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proofErr w:type="spellStart"/>
            <w:r w:rsidR="00047D7F" w:rsidRPr="00252C1A">
              <w:rPr>
                <w:rFonts w:ascii="Tahoma" w:hAnsi="Tahoma" w:cs="Tahoma"/>
                <w:sz w:val="14"/>
                <w:szCs w:val="14"/>
                <w:shd w:val="clear" w:color="auto" w:fill="FFFFFF"/>
                <w:lang w:val="it-IT"/>
              </w:rPr>
              <w:t>Jiří</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Jaromír</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Klemeš</w:t>
            </w:r>
            <w:proofErr w:type="spellEnd"/>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DD669D" w:rsidP="00E978D0">
      <w:pPr>
        <w:pStyle w:val="CETTitle"/>
      </w:pPr>
      <w:r w:rsidRPr="00DD669D">
        <w:rPr>
          <w:i/>
        </w:rPr>
        <w:t>T. obliquus</w:t>
      </w:r>
      <w:r w:rsidRPr="00DD669D">
        <w:t xml:space="preserve"> </w:t>
      </w:r>
      <w:r>
        <w:t>C</w:t>
      </w:r>
      <w:r w:rsidRPr="00DD669D">
        <w:t xml:space="preserve">ultivation </w:t>
      </w:r>
      <w:r>
        <w:t>U</w:t>
      </w:r>
      <w:r w:rsidRPr="00DD669D">
        <w:t xml:space="preserve">nder </w:t>
      </w:r>
      <w:r>
        <w:t>H</w:t>
      </w:r>
      <w:r w:rsidRPr="00DD669D">
        <w:t xml:space="preserve">eterotrophic </w:t>
      </w:r>
      <w:r>
        <w:t>C</w:t>
      </w:r>
      <w:r w:rsidRPr="00DD669D">
        <w:t xml:space="preserve">onditions: </w:t>
      </w:r>
      <w:r>
        <w:t>D</w:t>
      </w:r>
      <w:r w:rsidRPr="00DD669D">
        <w:t xml:space="preserve">etermination of </w:t>
      </w:r>
      <w:r>
        <w:t>G</w:t>
      </w:r>
      <w:r w:rsidRPr="00DD669D">
        <w:t xml:space="preserve">rowth </w:t>
      </w:r>
      <w:r>
        <w:t>P</w:t>
      </w:r>
      <w:r w:rsidRPr="00DD669D">
        <w:t xml:space="preserve">arameters </w:t>
      </w:r>
    </w:p>
    <w:p w:rsidR="00E978D0" w:rsidRPr="00DD669D" w:rsidRDefault="00DD669D" w:rsidP="00AB5011">
      <w:pPr>
        <w:pStyle w:val="CETAuthors"/>
        <w:rPr>
          <w:lang w:val="it-IT"/>
        </w:rPr>
      </w:pPr>
      <w:r w:rsidRPr="00DD669D">
        <w:rPr>
          <w:lang w:val="it-IT"/>
        </w:rPr>
        <w:t>Fabrizio Di Caprio</w:t>
      </w:r>
      <w:r w:rsidR="00600535" w:rsidRPr="00DD669D">
        <w:rPr>
          <w:vertAlign w:val="superscript"/>
          <w:lang w:val="it-IT"/>
        </w:rPr>
        <w:t>a</w:t>
      </w:r>
      <w:r w:rsidRPr="00DD669D">
        <w:rPr>
          <w:vertAlign w:val="superscript"/>
          <w:lang w:val="it-IT"/>
        </w:rPr>
        <w:t>,</w:t>
      </w:r>
      <w:r w:rsidRPr="00DD669D">
        <w:rPr>
          <w:lang w:val="it-IT"/>
        </w:rPr>
        <w:t>*</w:t>
      </w:r>
      <w:r w:rsidR="00600535" w:rsidRPr="00DD669D">
        <w:rPr>
          <w:lang w:val="it-IT"/>
        </w:rPr>
        <w:t>,</w:t>
      </w:r>
      <w:r w:rsidRPr="00DD669D">
        <w:rPr>
          <w:lang w:val="it-IT"/>
        </w:rPr>
        <w:t xml:space="preserve"> Pietro Altimari</w:t>
      </w:r>
      <w:r w:rsidRPr="00DD669D">
        <w:rPr>
          <w:vertAlign w:val="superscript"/>
          <w:lang w:val="it-IT"/>
        </w:rPr>
        <w:t>a</w:t>
      </w:r>
      <w:r w:rsidRPr="00DD669D">
        <w:rPr>
          <w:lang w:val="it-IT"/>
        </w:rPr>
        <w:t>,</w:t>
      </w:r>
      <w:r w:rsidR="00600535" w:rsidRPr="00DD669D">
        <w:rPr>
          <w:lang w:val="it-IT"/>
        </w:rPr>
        <w:t xml:space="preserve"> </w:t>
      </w:r>
      <w:r>
        <w:rPr>
          <w:lang w:val="it-IT"/>
        </w:rPr>
        <w:t>Gaetano Ianquaniello</w:t>
      </w:r>
      <w:r>
        <w:rPr>
          <w:vertAlign w:val="superscript"/>
          <w:lang w:val="it-IT"/>
        </w:rPr>
        <w:t>b</w:t>
      </w:r>
      <w:r>
        <w:rPr>
          <w:lang w:val="it-IT"/>
        </w:rPr>
        <w:t>, Luigi Toro</w:t>
      </w:r>
      <w:r>
        <w:rPr>
          <w:vertAlign w:val="superscript"/>
          <w:lang w:val="it-IT"/>
        </w:rPr>
        <w:t>b</w:t>
      </w:r>
      <w:r>
        <w:rPr>
          <w:lang w:val="it-IT"/>
        </w:rPr>
        <w:t>, Francesca Pagnanelli</w:t>
      </w:r>
      <w:r>
        <w:rPr>
          <w:vertAlign w:val="superscript"/>
          <w:lang w:val="it-IT"/>
        </w:rPr>
        <w:t>a</w:t>
      </w:r>
    </w:p>
    <w:p w:rsidR="00E978D0" w:rsidRPr="00DD669D" w:rsidRDefault="00E978D0" w:rsidP="00E978D0">
      <w:pPr>
        <w:pStyle w:val="CETAddress"/>
        <w:rPr>
          <w:lang w:val="it-IT"/>
        </w:rPr>
      </w:pPr>
      <w:r w:rsidRPr="00DD669D">
        <w:rPr>
          <w:vertAlign w:val="superscript"/>
          <w:lang w:val="it-IT"/>
        </w:rPr>
        <w:t>a</w:t>
      </w:r>
      <w:r w:rsidR="00DD669D" w:rsidRPr="00DD669D">
        <w:rPr>
          <w:lang w:val="it-IT"/>
        </w:rPr>
        <w:t>Università Sapienza di Roma, D</w:t>
      </w:r>
      <w:r w:rsidR="00DD669D">
        <w:rPr>
          <w:lang w:val="it-IT"/>
        </w:rPr>
        <w:t xml:space="preserve">ipartimento di Chimica, </w:t>
      </w:r>
      <w:r w:rsidR="00DD669D" w:rsidRPr="00DD669D">
        <w:rPr>
          <w:lang w:val="it-IT"/>
        </w:rPr>
        <w:t>Piazzale Aldo Moro 5, 00185 Rome (IT)</w:t>
      </w:r>
      <w:r w:rsidR="00DD669D">
        <w:rPr>
          <w:lang w:val="it-IT"/>
        </w:rPr>
        <w:t>.</w:t>
      </w:r>
    </w:p>
    <w:p w:rsidR="00E978D0" w:rsidRDefault="00E978D0" w:rsidP="00E978D0">
      <w:pPr>
        <w:pStyle w:val="CETAddress"/>
        <w:rPr>
          <w:lang w:val="it-IT"/>
        </w:rPr>
      </w:pPr>
      <w:r w:rsidRPr="00DD669D">
        <w:rPr>
          <w:vertAlign w:val="superscript"/>
          <w:lang w:val="it-IT"/>
        </w:rPr>
        <w:t>b</w:t>
      </w:r>
      <w:r w:rsidRPr="00DD669D">
        <w:rPr>
          <w:lang w:val="it-IT"/>
        </w:rPr>
        <w:t xml:space="preserve"> </w:t>
      </w:r>
      <w:r w:rsidR="00DD669D" w:rsidRPr="00DD669D">
        <w:rPr>
          <w:lang w:val="it-IT"/>
        </w:rPr>
        <w:t>Bio-P s.r.l. via di Vannina 88, 00156 Rome (IT)</w:t>
      </w:r>
      <w:r w:rsidR="00DD669D">
        <w:rPr>
          <w:lang w:val="it-IT"/>
        </w:rPr>
        <w:t>.</w:t>
      </w:r>
    </w:p>
    <w:p w:rsidR="00E978D0" w:rsidRPr="005030FC" w:rsidRDefault="0086348A" w:rsidP="00E978D0">
      <w:pPr>
        <w:pStyle w:val="CETemail"/>
        <w:rPr>
          <w:lang w:val="en-US"/>
        </w:rPr>
      </w:pPr>
      <w:r w:rsidRPr="0086348A">
        <w:rPr>
          <w:rStyle w:val="Collegamentoipertestuale"/>
          <w:color w:val="auto"/>
          <w:u w:val="none"/>
          <w:lang w:val="en-US"/>
        </w:rPr>
        <w:t>fabrizio.dicaprio@uniroma1.it</w:t>
      </w:r>
    </w:p>
    <w:p w:rsidR="005030FC" w:rsidRDefault="005030FC" w:rsidP="005030FC">
      <w:pPr>
        <w:pStyle w:val="CETBodytext"/>
      </w:pPr>
      <w:r>
        <w:t xml:space="preserve">Microalgae are a promising feedstock for the future of the industrial chemistry. </w:t>
      </w:r>
      <w:r w:rsidR="00B56EDF">
        <w:t xml:space="preserve">Among microalgae, </w:t>
      </w:r>
      <w:proofErr w:type="spellStart"/>
      <w:r w:rsidR="00B56EDF" w:rsidRPr="00B56EDF">
        <w:rPr>
          <w:i/>
        </w:rPr>
        <w:t>T</w:t>
      </w:r>
      <w:r w:rsidR="006026DF">
        <w:rPr>
          <w:i/>
        </w:rPr>
        <w:t>etradesmus</w:t>
      </w:r>
      <w:proofErr w:type="spellEnd"/>
      <w:r w:rsidR="00B56EDF" w:rsidRPr="00B56EDF">
        <w:rPr>
          <w:i/>
        </w:rPr>
        <w:t xml:space="preserve"> obliquus</w:t>
      </w:r>
      <w:r w:rsidR="00B56EDF">
        <w:t xml:space="preserve"> </w:t>
      </w:r>
      <w:r w:rsidR="00327576">
        <w:t xml:space="preserve">(generally known as </w:t>
      </w:r>
      <w:r w:rsidR="00327576" w:rsidRPr="00E015D2">
        <w:rPr>
          <w:i/>
        </w:rPr>
        <w:t>Scenedesmus obliquus</w:t>
      </w:r>
      <w:r w:rsidR="00327576">
        <w:t xml:space="preserve">) </w:t>
      </w:r>
      <w:r w:rsidR="00B56EDF">
        <w:t xml:space="preserve">is one of the most studied </w:t>
      </w:r>
      <w:r w:rsidR="00A60FC4">
        <w:t xml:space="preserve">species </w:t>
      </w:r>
      <w:r w:rsidR="00B56EDF">
        <w:t>due to its robustness and its good performance</w:t>
      </w:r>
      <w:r w:rsidR="00DD38BD">
        <w:t>s</w:t>
      </w:r>
      <w:r w:rsidR="00B56EDF">
        <w:t xml:space="preserve"> for production of lipids, proteins and carbohydrates. </w:t>
      </w:r>
      <w:r>
        <w:t xml:space="preserve">However, </w:t>
      </w:r>
      <w:r w:rsidR="00B56EDF">
        <w:t xml:space="preserve">the high production costs </w:t>
      </w:r>
      <w:r w:rsidR="00A60FC4">
        <w:t>still</w:t>
      </w:r>
      <w:r w:rsidR="00327576">
        <w:t xml:space="preserve"> </w:t>
      </w:r>
      <w:r w:rsidR="00B56EDF">
        <w:t xml:space="preserve">limit large part of the possible applications. </w:t>
      </w:r>
      <w:r w:rsidRPr="005030FC">
        <w:t>The exploitation of the h</w:t>
      </w:r>
      <w:r>
        <w:t xml:space="preserve">eterotrophic metabolism </w:t>
      </w:r>
      <w:r w:rsidR="00B56EDF">
        <w:t>for</w:t>
      </w:r>
      <w:r>
        <w:t xml:space="preserve"> </w:t>
      </w:r>
      <w:r w:rsidR="00A60FC4">
        <w:t>microalgae</w:t>
      </w:r>
      <w:r>
        <w:t xml:space="preserve"> </w:t>
      </w:r>
      <w:r w:rsidR="00B56EDF">
        <w:t xml:space="preserve">cultivation </w:t>
      </w:r>
      <w:r>
        <w:t>may potentially improve the biomass production</w:t>
      </w:r>
      <w:r w:rsidR="00B56EDF">
        <w:t xml:space="preserve"> sustainability</w:t>
      </w:r>
      <w:r>
        <w:t xml:space="preserve">, especially if organic substrates </w:t>
      </w:r>
      <w:r w:rsidR="00465895">
        <w:t>are obtained</w:t>
      </w:r>
      <w:r>
        <w:t xml:space="preserve"> from wastewaters. However, </w:t>
      </w:r>
      <w:r w:rsidR="00B56EDF">
        <w:t>this latter strategy has technical limits given by the issue of contamination by bacteria, which have growth rate</w:t>
      </w:r>
      <w:r w:rsidR="0086348A">
        <w:t>s</w:t>
      </w:r>
      <w:r w:rsidR="00B56EDF">
        <w:t xml:space="preserve"> </w:t>
      </w:r>
      <w:r w:rsidR="00B56EDF">
        <w:rPr>
          <w:rFonts w:cs="Arial"/>
        </w:rPr>
        <w:t>~</w:t>
      </w:r>
      <w:r w:rsidR="00B56EDF">
        <w:t xml:space="preserve"> 10 folds higher than microalgae. </w:t>
      </w:r>
    </w:p>
    <w:p w:rsidR="00A60FC4" w:rsidRDefault="00465895" w:rsidP="005030FC">
      <w:pPr>
        <w:pStyle w:val="CETBodytext"/>
      </w:pPr>
      <w:r>
        <w:t>The e</w:t>
      </w:r>
      <w:r w:rsidR="00703DDF">
        <w:t xml:space="preserve">stimation of the </w:t>
      </w:r>
      <w:r w:rsidR="00A60FC4">
        <w:t>microalgae growth</w:t>
      </w:r>
      <w:r w:rsidR="00703DDF">
        <w:t xml:space="preserve"> parameters</w:t>
      </w:r>
      <w:r w:rsidR="00A60FC4">
        <w:t xml:space="preserve"> </w:t>
      </w:r>
      <w:r w:rsidR="00B67F66">
        <w:t xml:space="preserve">could allow optimization of the feeding strategy by which wastewaters are supplied to microalgae culture, </w:t>
      </w:r>
      <w:r>
        <w:t>and</w:t>
      </w:r>
      <w:r w:rsidR="00B67F66">
        <w:t xml:space="preserve"> </w:t>
      </w:r>
      <w:r>
        <w:t xml:space="preserve">consequently, </w:t>
      </w:r>
      <w:r w:rsidR="00B67F66">
        <w:t>bacteria contamination</w:t>
      </w:r>
      <w:r>
        <w:t xml:space="preserve"> minimization</w:t>
      </w:r>
      <w:r w:rsidR="00B67F66">
        <w:t>.</w:t>
      </w:r>
    </w:p>
    <w:p w:rsidR="00640E12" w:rsidRDefault="00B67F66" w:rsidP="005030FC">
      <w:pPr>
        <w:pStyle w:val="CETBodytext"/>
      </w:pPr>
      <w:r>
        <w:t xml:space="preserve">In this work, an axenic culture of </w:t>
      </w:r>
      <w:r w:rsidRPr="002C6BD7">
        <w:rPr>
          <w:i/>
        </w:rPr>
        <w:t>T. obliquus</w:t>
      </w:r>
      <w:r>
        <w:t xml:space="preserve"> was isolated by a sonication pre-treatment followed by an incubation in solid media containing ampicillin (0.1 mg mL</w:t>
      </w:r>
      <w:r w:rsidRPr="00B67F66">
        <w:rPr>
          <w:vertAlign w:val="superscript"/>
        </w:rPr>
        <w:t>-1</w:t>
      </w:r>
      <w:r>
        <w:t>), penicillin (67 U mL</w:t>
      </w:r>
      <w:r w:rsidRPr="00B67F66">
        <w:rPr>
          <w:vertAlign w:val="superscript"/>
        </w:rPr>
        <w:t>-1</w:t>
      </w:r>
      <w:r>
        <w:t>) and streptomycin (0.07 mg mL</w:t>
      </w:r>
      <w:r w:rsidRPr="00B67F66">
        <w:rPr>
          <w:vertAlign w:val="superscript"/>
        </w:rPr>
        <w:t>-1</w:t>
      </w:r>
      <w:r>
        <w:t xml:space="preserve">). The axenic strain was then cultivated in heterotrophic condition under </w:t>
      </w:r>
      <w:r w:rsidR="00A60FC4">
        <w:t>N-replete and N-starvation</w:t>
      </w:r>
      <w:r>
        <w:t xml:space="preserve">. </w:t>
      </w:r>
      <w:r w:rsidR="00640E12">
        <w:t xml:space="preserve">Experimental data of biomass production and nitrogen consumption were well predicted by the Droop model. By </w:t>
      </w:r>
      <w:r w:rsidR="00216D39">
        <w:t xml:space="preserve">means of </w:t>
      </w:r>
      <w:r w:rsidR="00A60FC4">
        <w:t xml:space="preserve">the </w:t>
      </w:r>
      <w:r w:rsidR="00640E12">
        <w:t>model fitting</w:t>
      </w:r>
      <w:r w:rsidR="0086348A">
        <w:t xml:space="preserve"> with experimental data</w:t>
      </w:r>
      <w:r w:rsidR="00216D39">
        <w:t>,</w:t>
      </w:r>
      <w:r w:rsidR="00640E12">
        <w:t xml:space="preserve"> the optimal values for maximum theoretical growth rate (</w:t>
      </w:r>
      <m:oMath>
        <m:acc>
          <m:accPr>
            <m:chr m:val="̅"/>
            <m:ctrlPr>
              <w:rPr>
                <w:rFonts w:ascii="Cambria Math" w:hAnsi="Cambria Math"/>
                <w:i/>
              </w:rPr>
            </m:ctrlPr>
          </m:accPr>
          <m:e>
            <m:r>
              <w:rPr>
                <w:rFonts w:ascii="Cambria Math" w:hAnsi="Cambria Math"/>
              </w:rPr>
              <m:t>µ</m:t>
            </m:r>
          </m:e>
        </m:acc>
      </m:oMath>
      <w:r w:rsidR="00D44E36" w:rsidRPr="00D44E36">
        <w:rPr>
          <w:vertAlign w:val="subscript"/>
        </w:rPr>
        <w:t xml:space="preserve"> </w:t>
      </w:r>
      <w:r w:rsidR="00640E12">
        <w:t>), maximum nitrogen quota (</w:t>
      </w:r>
      <w:proofErr w:type="spellStart"/>
      <w:r w:rsidR="00D44E36">
        <w:t>q</w:t>
      </w:r>
      <w:r w:rsidR="00D44E36" w:rsidRPr="00D44E36">
        <w:rPr>
          <w:vertAlign w:val="subscript"/>
        </w:rPr>
        <w:t>max</w:t>
      </w:r>
      <w:proofErr w:type="spellEnd"/>
      <w:r w:rsidR="00640E12">
        <w:t>), minimum nitrogen quota (</w:t>
      </w:r>
      <w:proofErr w:type="spellStart"/>
      <w:r w:rsidR="00D44E36">
        <w:t>q</w:t>
      </w:r>
      <w:r w:rsidR="00D44E36" w:rsidRPr="00D44E36">
        <w:rPr>
          <w:vertAlign w:val="subscript"/>
        </w:rPr>
        <w:t>min</w:t>
      </w:r>
      <w:proofErr w:type="spellEnd"/>
      <w:r w:rsidR="00640E12">
        <w:t>) and maximum nitrogen uptake rate (</w:t>
      </w:r>
      <w:proofErr w:type="spellStart"/>
      <w:r w:rsidR="00D44E36">
        <w:rPr>
          <w:rFonts w:cs="Arial"/>
        </w:rPr>
        <w:t>ρ</w:t>
      </w:r>
      <w:r w:rsidR="00D44E36" w:rsidRPr="00D44E36">
        <w:rPr>
          <w:vertAlign w:val="subscript"/>
        </w:rPr>
        <w:t>max</w:t>
      </w:r>
      <w:proofErr w:type="spellEnd"/>
      <w:r w:rsidR="00640E12">
        <w:t xml:space="preserve">) were estimated. </w:t>
      </w:r>
    </w:p>
    <w:p w:rsidR="00703DDF" w:rsidRPr="005030FC" w:rsidRDefault="00640E12" w:rsidP="005030FC">
      <w:pPr>
        <w:pStyle w:val="CETBodytext"/>
      </w:pPr>
      <w:r w:rsidRPr="00640E12">
        <w:t xml:space="preserve">By </w:t>
      </w:r>
      <w:r>
        <w:t>estimati</w:t>
      </w:r>
      <w:r w:rsidR="00376B83">
        <w:t xml:space="preserve">ng, in the future, </w:t>
      </w:r>
      <w:r>
        <w:t>the</w:t>
      </w:r>
      <w:r w:rsidRPr="00640E12">
        <w:t xml:space="preserve"> </w:t>
      </w:r>
      <w:r>
        <w:t>growth</w:t>
      </w:r>
      <w:r w:rsidRPr="00640E12">
        <w:t xml:space="preserve"> parameters </w:t>
      </w:r>
      <w:r w:rsidR="00A60FC4">
        <w:t xml:space="preserve">also </w:t>
      </w:r>
      <w:r>
        <w:t>for</w:t>
      </w:r>
      <w:r w:rsidRPr="00640E12">
        <w:t xml:space="preserve"> other substrates and </w:t>
      </w:r>
      <w:r w:rsidR="007C0BF7">
        <w:t>for</w:t>
      </w:r>
      <w:r w:rsidR="00376B83">
        <w:t xml:space="preserve"> contaminant</w:t>
      </w:r>
      <w:r w:rsidRPr="00640E12">
        <w:t xml:space="preserve"> microorganisms</w:t>
      </w:r>
      <w:r w:rsidR="00376B83">
        <w:t>, a</w:t>
      </w:r>
      <w:r w:rsidRPr="00640E12">
        <w:t xml:space="preserve"> </w:t>
      </w:r>
      <w:r w:rsidR="00376B83">
        <w:t>more effective</w:t>
      </w:r>
      <w:r>
        <w:t xml:space="preserve"> wastewater supply strateg</w:t>
      </w:r>
      <w:r w:rsidR="00376B83">
        <w:t xml:space="preserve">y can be </w:t>
      </w:r>
      <w:r w:rsidR="001254C1">
        <w:t>developed</w:t>
      </w:r>
      <w:r>
        <w:t xml:space="preserve">. </w:t>
      </w:r>
    </w:p>
    <w:p w:rsidR="00600535" w:rsidRPr="00B57B36" w:rsidRDefault="00600535" w:rsidP="00600535">
      <w:pPr>
        <w:pStyle w:val="CETHeading1"/>
        <w:rPr>
          <w:lang w:val="en-GB"/>
        </w:rPr>
      </w:pPr>
      <w:r w:rsidRPr="00B57B36">
        <w:rPr>
          <w:lang w:val="en-GB"/>
        </w:rPr>
        <w:t>Introduction</w:t>
      </w:r>
    </w:p>
    <w:p w:rsidR="00F93602" w:rsidRDefault="00507A26" w:rsidP="00507A26">
      <w:pPr>
        <w:pStyle w:val="CETBodytext"/>
      </w:pPr>
      <w:r>
        <w:t>Microalgae are photosynthetic microorganisms, producing a large variety of different compounds exploitable for applications such as biofuels</w:t>
      </w:r>
      <w:r w:rsidR="00AD04A8">
        <w:t xml:space="preserve"> </w:t>
      </w:r>
      <w:r w:rsidR="005D2870" w:rsidRPr="001254E1">
        <w:t>(Ruiz et al., 2016)</w:t>
      </w:r>
      <w:r>
        <w:t>, biomaterials, food and feed</w:t>
      </w:r>
      <w:r w:rsidR="00A06049">
        <w:t xml:space="preserve"> </w:t>
      </w:r>
      <w:r w:rsidR="00A06049" w:rsidRPr="00A06049">
        <w:t>(</w:t>
      </w:r>
      <w:proofErr w:type="spellStart"/>
      <w:r w:rsidR="00A06049" w:rsidRPr="00A06049">
        <w:t>Spolaore</w:t>
      </w:r>
      <w:proofErr w:type="spellEnd"/>
      <w:r w:rsidR="00A06049" w:rsidRPr="00A06049">
        <w:t xml:space="preserve"> et al.</w:t>
      </w:r>
      <w:r w:rsidR="00D8188D">
        <w:t>,</w:t>
      </w:r>
      <w:r w:rsidR="00A06049" w:rsidRPr="00A06049">
        <w:t xml:space="preserve"> 2006)</w:t>
      </w:r>
      <w:r w:rsidRPr="00A06049">
        <w:t xml:space="preserve">. </w:t>
      </w:r>
      <w:r>
        <w:t>Although numerous studies have been carried out over the past years, most of the possible applications of microalgae are not economically sustainable yet</w:t>
      </w:r>
      <w:r w:rsidR="0095041F">
        <w:t xml:space="preserve"> </w:t>
      </w:r>
      <w:r w:rsidR="00F93602" w:rsidRPr="00F93602">
        <w:t>(Ruiz et al. 2016)</w:t>
      </w:r>
      <w:r w:rsidR="00F93602">
        <w:t xml:space="preserve">. </w:t>
      </w:r>
      <w:r w:rsidR="00BC0EBF">
        <w:t>The</w:t>
      </w:r>
      <w:r w:rsidR="00611A24">
        <w:t xml:space="preserve"> minimum </w:t>
      </w:r>
      <w:r w:rsidR="00BC0EBF">
        <w:t xml:space="preserve">cost </w:t>
      </w:r>
      <w:r w:rsidR="00611A24">
        <w:t>for microalgal biomass</w:t>
      </w:r>
      <w:r>
        <w:t xml:space="preserve"> </w:t>
      </w:r>
      <w:r w:rsidR="00611A24">
        <w:t xml:space="preserve">production </w:t>
      </w:r>
      <w:r w:rsidR="006407AA">
        <w:t>has been</w:t>
      </w:r>
      <w:r w:rsidR="00611A24">
        <w:t xml:space="preserve"> estimated </w:t>
      </w:r>
      <w:r w:rsidR="000002A5">
        <w:t>between</w:t>
      </w:r>
      <w:r w:rsidR="00611A24">
        <w:t xml:space="preserve"> 3</w:t>
      </w:r>
      <w:r w:rsidR="00594820">
        <w:t>.2</w:t>
      </w:r>
      <w:r w:rsidR="00611A24">
        <w:t xml:space="preserve"> – 1</w:t>
      </w:r>
      <w:r w:rsidR="000002A5">
        <w:t>2.4</w:t>
      </w:r>
      <w:r w:rsidR="00611A24">
        <w:t xml:space="preserve"> </w:t>
      </w:r>
      <w:r w:rsidR="00611A24" w:rsidRPr="00611A24">
        <w:t>€</w:t>
      </w:r>
      <w:r w:rsidR="002F1179">
        <w:t xml:space="preserve"> </w:t>
      </w:r>
      <w:r w:rsidR="00611A24">
        <w:t>kg</w:t>
      </w:r>
      <w:r w:rsidR="002F1179" w:rsidRPr="002F1179">
        <w:rPr>
          <w:vertAlign w:val="superscript"/>
        </w:rPr>
        <w:t>-1</w:t>
      </w:r>
      <w:r w:rsidR="00611A24">
        <w:t xml:space="preserve"> </w:t>
      </w:r>
      <w:r w:rsidR="006407AA">
        <w:t>by</w:t>
      </w:r>
      <w:r w:rsidR="00F93602" w:rsidRPr="00F93602">
        <w:t xml:space="preserve"> </w:t>
      </w:r>
      <w:proofErr w:type="spellStart"/>
      <w:r w:rsidR="00F93602" w:rsidRPr="00F93602">
        <w:t>Tredici</w:t>
      </w:r>
      <w:proofErr w:type="spellEnd"/>
      <w:r w:rsidR="00F93602" w:rsidRPr="00F93602">
        <w:t xml:space="preserve"> et al.</w:t>
      </w:r>
      <w:r w:rsidR="006407AA">
        <w:t xml:space="preserve"> (</w:t>
      </w:r>
      <w:r w:rsidR="00F93602" w:rsidRPr="00F93602">
        <w:t>2016)</w:t>
      </w:r>
      <w:r w:rsidR="000002A5">
        <w:t xml:space="preserve"> and between 3.4 – 11 </w:t>
      </w:r>
      <w:r w:rsidR="000002A5" w:rsidRPr="00611A24">
        <w:t>€</w:t>
      </w:r>
      <w:r w:rsidR="000002A5">
        <w:t xml:space="preserve"> kg</w:t>
      </w:r>
      <w:r w:rsidR="000002A5" w:rsidRPr="002F1179">
        <w:rPr>
          <w:vertAlign w:val="superscript"/>
        </w:rPr>
        <w:t>-1</w:t>
      </w:r>
      <w:r w:rsidR="000002A5">
        <w:t xml:space="preserve"> by </w:t>
      </w:r>
      <w:r w:rsidR="000002A5" w:rsidRPr="00F93602">
        <w:t>Ruiz et al.</w:t>
      </w:r>
      <w:r w:rsidR="000002A5">
        <w:t xml:space="preserve"> (</w:t>
      </w:r>
      <w:r w:rsidR="000002A5" w:rsidRPr="00F93602">
        <w:t>2016</w:t>
      </w:r>
      <w:r w:rsidR="000002A5">
        <w:t>)</w:t>
      </w:r>
      <w:r w:rsidR="00F93602" w:rsidRPr="00F93602">
        <w:t xml:space="preserve">. </w:t>
      </w:r>
      <w:r w:rsidR="002F1179">
        <w:t>The integration of m</w:t>
      </w:r>
      <w:r w:rsidR="00611A24">
        <w:t xml:space="preserve">icroalgae cultivation </w:t>
      </w:r>
      <w:r>
        <w:t xml:space="preserve">with wastewaters treatment is one of the most promising approaches to enhance economic and environmental feasibility of microalgal </w:t>
      </w:r>
      <w:r w:rsidR="00611A24">
        <w:t>production</w:t>
      </w:r>
      <w:r w:rsidR="00F93602">
        <w:t xml:space="preserve"> </w:t>
      </w:r>
      <w:r w:rsidR="00F93602" w:rsidRPr="00F93602">
        <w:t>(Di Caprio et al.</w:t>
      </w:r>
      <w:r w:rsidR="00D94919">
        <w:t>,</w:t>
      </w:r>
      <w:r w:rsidR="00F93602" w:rsidRPr="00F93602">
        <w:t xml:space="preserve"> 201</w:t>
      </w:r>
      <w:r w:rsidR="00270E69">
        <w:t>9</w:t>
      </w:r>
      <w:r w:rsidR="00F93602" w:rsidRPr="00F93602">
        <w:t>)</w:t>
      </w:r>
      <w:r>
        <w:t>. Wastewaters can provide inorganic nutrients such as P, N, S and others at zero cost, plus organic substrates as sugars and organic acids</w:t>
      </w:r>
      <w:r w:rsidR="0095041F">
        <w:t xml:space="preserve"> </w:t>
      </w:r>
      <w:r w:rsidR="00F93602" w:rsidRPr="00F93602">
        <w:t>(Di Caprio et al. 201</w:t>
      </w:r>
      <w:r w:rsidR="0091087A">
        <w:t>7</w:t>
      </w:r>
      <w:r w:rsidR="00F93602" w:rsidRPr="00F93602">
        <w:t xml:space="preserve">). </w:t>
      </w:r>
      <w:r w:rsidR="00611A24">
        <w:t>In particular, the</w:t>
      </w:r>
      <w:r>
        <w:t xml:space="preserve"> organic substrates can be exploited </w:t>
      </w:r>
      <w:r w:rsidR="002F1179">
        <w:t>to support</w:t>
      </w:r>
      <w:r>
        <w:t xml:space="preserve"> the heterotrophic metabolism of microalgae</w:t>
      </w:r>
      <w:r w:rsidR="00373D67">
        <w:t xml:space="preserve"> (</w:t>
      </w:r>
      <w:proofErr w:type="spellStart"/>
      <w:r w:rsidR="00373D67">
        <w:t>Visca</w:t>
      </w:r>
      <w:proofErr w:type="spellEnd"/>
      <w:r w:rsidR="00373D67">
        <w:t xml:space="preserve"> et al.</w:t>
      </w:r>
      <w:r w:rsidR="00D94919">
        <w:t>,</w:t>
      </w:r>
      <w:r w:rsidR="00373D67">
        <w:t xml:space="preserve"> 2017)</w:t>
      </w:r>
      <w:r w:rsidR="00611A24">
        <w:t>. The exploitation of heterotrophic metabolism can add a further improvement with</w:t>
      </w:r>
      <w:r>
        <w:t xml:space="preserve"> </w:t>
      </w:r>
      <w:r w:rsidR="00611A24">
        <w:t xml:space="preserve">respect to conventional photoautotrophic processes, thanks to the higher productivity induced by organic substrate and to the lower surface to volume ratio required in </w:t>
      </w:r>
      <w:r w:rsidR="00B807F5">
        <w:t xml:space="preserve">the </w:t>
      </w:r>
      <w:r w:rsidR="00E015D2">
        <w:t>fermenters</w:t>
      </w:r>
      <w:r w:rsidR="0091087A">
        <w:t xml:space="preserve"> </w:t>
      </w:r>
      <w:r w:rsidR="0091087A" w:rsidRPr="00F93602">
        <w:t>(Di Caprio et al.</w:t>
      </w:r>
      <w:r w:rsidR="0091087A">
        <w:t>,</w:t>
      </w:r>
      <w:r w:rsidR="0091087A" w:rsidRPr="00F93602">
        <w:t xml:space="preserve"> 201</w:t>
      </w:r>
      <w:r w:rsidR="00270E69">
        <w:t>9</w:t>
      </w:r>
      <w:r w:rsidR="0091087A" w:rsidRPr="00F93602">
        <w:t>)</w:t>
      </w:r>
      <w:r w:rsidR="00F93602">
        <w:t xml:space="preserve">. </w:t>
      </w:r>
      <w:r w:rsidR="00611A24">
        <w:t xml:space="preserve">These factors could potentially reduce both capital and operative costs. </w:t>
      </w:r>
      <w:r w:rsidR="009004F4">
        <w:t>However, addi</w:t>
      </w:r>
      <w:r w:rsidR="00495D24">
        <w:t>tion of</w:t>
      </w:r>
      <w:r w:rsidR="009004F4">
        <w:t xml:space="preserve"> </w:t>
      </w:r>
      <w:r w:rsidR="00495D24">
        <w:t xml:space="preserve">organic substrate increases considerably the issue of </w:t>
      </w:r>
      <w:proofErr w:type="spellStart"/>
      <w:r w:rsidR="00495D24">
        <w:t>bacteria</w:t>
      </w:r>
      <w:proofErr w:type="spellEnd"/>
      <w:r w:rsidR="00495D24">
        <w:t xml:space="preserve"> contamination. This issue is the result of the higher maximum growth rate of bacteria (</w:t>
      </w:r>
      <w:r w:rsidR="00495D24">
        <w:rPr>
          <w:rFonts w:cs="Arial"/>
        </w:rPr>
        <w:t>~</w:t>
      </w:r>
      <w:r w:rsidR="00495D24">
        <w:t xml:space="preserve"> 20 d</w:t>
      </w:r>
      <w:r w:rsidR="00495D24" w:rsidRPr="00495D24">
        <w:rPr>
          <w:vertAlign w:val="superscript"/>
        </w:rPr>
        <w:t>-1</w:t>
      </w:r>
      <w:r w:rsidR="00495D24">
        <w:t>) with respect to microalgae (</w:t>
      </w:r>
      <w:r w:rsidR="00495D24">
        <w:rPr>
          <w:rFonts w:cs="Arial"/>
        </w:rPr>
        <w:t>~</w:t>
      </w:r>
      <w:r w:rsidR="00495D24">
        <w:t xml:space="preserve"> 2 d</w:t>
      </w:r>
      <w:r w:rsidR="00495D24" w:rsidRPr="00495D24">
        <w:rPr>
          <w:vertAlign w:val="superscript"/>
        </w:rPr>
        <w:t>-1</w:t>
      </w:r>
      <w:r w:rsidR="00495D24">
        <w:t>)</w:t>
      </w:r>
      <w:r w:rsidR="00F93602">
        <w:t xml:space="preserve"> </w:t>
      </w:r>
      <w:r w:rsidR="00F93602" w:rsidRPr="00F93602">
        <w:t>(</w:t>
      </w:r>
      <w:proofErr w:type="spellStart"/>
      <w:r w:rsidR="00F93602" w:rsidRPr="00F93602">
        <w:t>Deschênes</w:t>
      </w:r>
      <w:proofErr w:type="spellEnd"/>
      <w:r w:rsidR="00F93602" w:rsidRPr="00F93602">
        <w:t>, 2016)</w:t>
      </w:r>
      <w:r w:rsidR="00495D24">
        <w:t xml:space="preserve">. The solution generally adopted to overcome this issue is to work by using sterilized </w:t>
      </w:r>
      <w:r w:rsidR="00495D24">
        <w:lastRenderedPageBreak/>
        <w:t>wastewater</w:t>
      </w:r>
      <w:r w:rsidR="00595E0D">
        <w:t>s</w:t>
      </w:r>
      <w:r w:rsidR="00495D24">
        <w:t xml:space="preserve"> in a fully axenic environment. However, </w:t>
      </w:r>
      <w:r w:rsidR="00595E0D">
        <w:t>it is hardly applicable to industrial scale due to the cost increment induced by sterilization.</w:t>
      </w:r>
    </w:p>
    <w:p w:rsidR="00507A26" w:rsidRDefault="00595E0D" w:rsidP="00507A26">
      <w:pPr>
        <w:pStyle w:val="CETBodytext"/>
      </w:pPr>
      <w:r>
        <w:t xml:space="preserve">A possible solution can be found in the </w:t>
      </w:r>
      <w:r w:rsidR="002F1179">
        <w:t>optimization</w:t>
      </w:r>
      <w:r>
        <w:t xml:space="preserve"> of the strategy adopted to supply nutrients to microalgae. For example, by giving nutrients in a strategy by which they are consumed by microalgae before that bacteria contamination becomes relevant. T</w:t>
      </w:r>
      <w:r w:rsidR="000031D0">
        <w:t xml:space="preserve">o investigate this possibility, it is required to know the kinetic parameters </w:t>
      </w:r>
      <w:r w:rsidR="005D6FB6">
        <w:t>to</w:t>
      </w:r>
      <w:r w:rsidR="000031D0">
        <w:t xml:space="preserve"> describe microalgae growth and the yield of microalgae cells with respect to substrates. </w:t>
      </w:r>
      <w:r w:rsidR="000031D0" w:rsidRPr="000031D0">
        <w:rPr>
          <w:i/>
        </w:rPr>
        <w:t>T</w:t>
      </w:r>
      <w:r w:rsidR="00376B83">
        <w:rPr>
          <w:i/>
        </w:rPr>
        <w:t>.</w:t>
      </w:r>
      <w:r w:rsidR="000031D0" w:rsidRPr="000031D0">
        <w:rPr>
          <w:i/>
        </w:rPr>
        <w:t xml:space="preserve"> obliquus</w:t>
      </w:r>
      <w:r w:rsidR="000031D0">
        <w:rPr>
          <w:i/>
        </w:rPr>
        <w:t xml:space="preserve"> </w:t>
      </w:r>
      <w:r w:rsidR="00ED12F3">
        <w:t>(</w:t>
      </w:r>
      <w:r w:rsidR="000031D0">
        <w:t>generally known as</w:t>
      </w:r>
      <w:r w:rsidR="00E015D2">
        <w:t xml:space="preserve"> </w:t>
      </w:r>
      <w:r w:rsidR="00E015D2" w:rsidRPr="00E015D2">
        <w:rPr>
          <w:i/>
        </w:rPr>
        <w:t>Scenedesmus obliquus</w:t>
      </w:r>
      <w:r w:rsidR="000031D0">
        <w:t>), the strain investigated in this study, is of the more promising microalgae strains for industrial application</w:t>
      </w:r>
      <w:r w:rsidR="00FD27F1">
        <w:t>s</w:t>
      </w:r>
      <w:r w:rsidR="000031D0">
        <w:t>, due to its robustness</w:t>
      </w:r>
      <w:r w:rsidR="00F93602">
        <w:t xml:space="preserve"> </w:t>
      </w:r>
      <w:r w:rsidR="00F93602" w:rsidRPr="00F93602">
        <w:t>(Wu et al.</w:t>
      </w:r>
      <w:r w:rsidR="00D94919">
        <w:t>,</w:t>
      </w:r>
      <w:r w:rsidR="00F93602" w:rsidRPr="00F93602">
        <w:t xml:space="preserve"> 2014</w:t>
      </w:r>
      <w:r w:rsidR="00F93602">
        <w:t>)</w:t>
      </w:r>
      <w:r w:rsidR="000031D0">
        <w:t>, its biochemical composition and its good growth performances</w:t>
      </w:r>
      <w:r w:rsidR="00B030E4">
        <w:t xml:space="preserve"> </w:t>
      </w:r>
      <w:r w:rsidR="00F93602">
        <w:t>(</w:t>
      </w:r>
      <w:r w:rsidR="00F93602" w:rsidRPr="00F93602">
        <w:t>Di Caprio et al.</w:t>
      </w:r>
      <w:r w:rsidR="00D94919">
        <w:t>,</w:t>
      </w:r>
      <w:r w:rsidR="00F93602" w:rsidRPr="00F93602">
        <w:t xml:space="preserve"> 2018</w:t>
      </w:r>
      <w:r w:rsidR="00270E69">
        <w:t>a</w:t>
      </w:r>
      <w:r w:rsidR="00F93602" w:rsidRPr="00F93602">
        <w:t>).</w:t>
      </w:r>
    </w:p>
    <w:p w:rsidR="00ED12F3" w:rsidRDefault="00507A26" w:rsidP="00507A26">
      <w:pPr>
        <w:pStyle w:val="CETBodytext"/>
      </w:pPr>
      <w:r>
        <w:t>However</w:t>
      </w:r>
      <w:r w:rsidR="00FD27F1">
        <w:t>,</w:t>
      </w:r>
      <w:r>
        <w:t xml:space="preserve"> there is scarce information in literature about its growth parameters in heterotrophic regime</w:t>
      </w:r>
      <w:r w:rsidR="00FD27F1">
        <w:t xml:space="preserve"> (such as </w:t>
      </w:r>
      <w:proofErr w:type="spellStart"/>
      <w:r w:rsidR="003A207B">
        <w:rPr>
          <w:rFonts w:cs="Arial"/>
        </w:rPr>
        <w:t>ρ</w:t>
      </w:r>
      <w:r w:rsidR="003A207B">
        <w:rPr>
          <w:vertAlign w:val="subscript"/>
        </w:rPr>
        <w:t>max</w:t>
      </w:r>
      <w:proofErr w:type="spellEnd"/>
      <w:r w:rsidR="00FD27F1" w:rsidRPr="00FD27F1">
        <w:rPr>
          <w:vertAlign w:val="subscript"/>
        </w:rPr>
        <w:t xml:space="preserve"> </w:t>
      </w:r>
      <w:r w:rsidR="00FD27F1">
        <w:t xml:space="preserve">and </w:t>
      </w:r>
      <m:oMath>
        <m:acc>
          <m:accPr>
            <m:chr m:val="̅"/>
            <m:ctrlPr>
              <w:rPr>
                <w:rFonts w:ascii="Cambria Math" w:hAnsi="Cambria Math"/>
                <w:i/>
              </w:rPr>
            </m:ctrlPr>
          </m:accPr>
          <m:e>
            <m:r>
              <w:rPr>
                <w:rFonts w:ascii="Cambria Math" w:hAnsi="Cambria Math"/>
              </w:rPr>
              <m:t>µ</m:t>
            </m:r>
          </m:e>
        </m:acc>
      </m:oMath>
      <w:r w:rsidR="00FD27F1">
        <w:t>)</w:t>
      </w:r>
      <w:r>
        <w:t xml:space="preserve">. Major difficulty to derive such parameters is to perform heterotrophic cultivation tests under axenic conditions, i.e., by preventing the contamination of bacteria competing with microalgae for the available nutrients (organic substrates and inorganic nutrients).   </w:t>
      </w:r>
    </w:p>
    <w:p w:rsidR="00507A26" w:rsidRDefault="00B030E4" w:rsidP="00507A26">
      <w:pPr>
        <w:pStyle w:val="CETBodytext"/>
      </w:pPr>
      <w:r>
        <w:t>T</w:t>
      </w:r>
      <w:r w:rsidR="00507A26">
        <w:t xml:space="preserve">he aim of this work was to isolate an axenic strain of </w:t>
      </w:r>
      <w:r w:rsidR="00507A26" w:rsidRPr="00507A26">
        <w:rPr>
          <w:i/>
        </w:rPr>
        <w:t>T. obliquus</w:t>
      </w:r>
      <w:r w:rsidR="00507A26">
        <w:t xml:space="preserve">, and then to perform heterotrophic cultivations in order to estimate </w:t>
      </w:r>
      <w:r w:rsidR="00BC15D6">
        <w:t xml:space="preserve">the </w:t>
      </w:r>
      <w:r w:rsidR="00507A26">
        <w:t>growth parameters by using a conventional unstructured model.</w:t>
      </w:r>
      <w:r w:rsidR="001B692F">
        <w:t xml:space="preserve"> </w:t>
      </w:r>
      <w:r w:rsidR="002F1179">
        <w:t xml:space="preserve"> </w:t>
      </w:r>
    </w:p>
    <w:p w:rsidR="00E4577C" w:rsidRDefault="00E4577C" w:rsidP="00E4577C">
      <w:pPr>
        <w:pStyle w:val="CETHeading1"/>
      </w:pPr>
      <w:r>
        <w:t>Materials and methods</w:t>
      </w:r>
    </w:p>
    <w:p w:rsidR="00600535" w:rsidRDefault="00E4577C" w:rsidP="00E4577C">
      <w:pPr>
        <w:pStyle w:val="CETheadingx"/>
        <w:numPr>
          <w:ilvl w:val="0"/>
          <w:numId w:val="0"/>
        </w:numPr>
      </w:pPr>
      <w:r>
        <w:t>2.</w:t>
      </w:r>
      <w:r w:rsidR="00E656A8">
        <w:t>1</w:t>
      </w:r>
      <w:r>
        <w:t xml:space="preserve"> Microalgae strain</w:t>
      </w:r>
    </w:p>
    <w:p w:rsidR="00E4577C" w:rsidRDefault="00FD4A9A" w:rsidP="00FD4A9A">
      <w:pPr>
        <w:pStyle w:val="CETBodytext"/>
      </w:pPr>
      <w:r>
        <w:t xml:space="preserve">A strain of </w:t>
      </w:r>
      <w:r w:rsidRPr="00FD4A9A">
        <w:rPr>
          <w:i/>
        </w:rPr>
        <w:t>T. obliquus</w:t>
      </w:r>
      <w:r>
        <w:t xml:space="preserve"> </w:t>
      </w:r>
      <w:r w:rsidR="006026DF">
        <w:t>isolated from</w:t>
      </w:r>
      <w:r>
        <w:t xml:space="preserve"> </w:t>
      </w:r>
      <w:proofErr w:type="spellStart"/>
      <w:r>
        <w:t>Siracusa</w:t>
      </w:r>
      <w:proofErr w:type="spellEnd"/>
      <w:r>
        <w:t xml:space="preserve"> (Italy) </w:t>
      </w:r>
      <w:r w:rsidR="006026DF">
        <w:t>was</w:t>
      </w:r>
      <w:r>
        <w:t xml:space="preserve"> maintained in Petri dishes in BG11 solid medium</w:t>
      </w:r>
      <w:r w:rsidR="00331BA6">
        <w:t xml:space="preserve"> </w:t>
      </w:r>
      <w:r>
        <w:t xml:space="preserve">under constant illumination </w:t>
      </w:r>
      <w:bookmarkStart w:id="0" w:name="_Hlk527035993"/>
      <w:r w:rsidR="0092386C">
        <w:t>(</w:t>
      </w:r>
      <w:r w:rsidR="0092386C" w:rsidRPr="005902A2">
        <w:rPr>
          <w:szCs w:val="18"/>
        </w:rPr>
        <w:t>cool-white fluorescent light</w:t>
      </w:r>
      <w:r w:rsidR="0092386C">
        <w:rPr>
          <w:szCs w:val="18"/>
        </w:rPr>
        <w:t xml:space="preserve">) </w:t>
      </w:r>
      <w:r>
        <w:t>at 80 μmol·s</w:t>
      </w:r>
      <w:r w:rsidRPr="00E656A8">
        <w:rPr>
          <w:vertAlign w:val="superscript"/>
        </w:rPr>
        <w:t>-1</w:t>
      </w:r>
      <w:r>
        <w:t>·m</w:t>
      </w:r>
      <w:r w:rsidRPr="00E656A8">
        <w:rPr>
          <w:vertAlign w:val="superscript"/>
        </w:rPr>
        <w:t>-2</w:t>
      </w:r>
      <w:r>
        <w:t xml:space="preserve"> and 25 ± 3 °C</w:t>
      </w:r>
      <w:bookmarkEnd w:id="0"/>
      <w:r w:rsidR="00E656A8">
        <w:t xml:space="preserve">. The identification of the strain was previously described </w:t>
      </w:r>
      <w:r w:rsidR="00331BA6" w:rsidRPr="00331BA6">
        <w:t>(Di Caprio et al.</w:t>
      </w:r>
      <w:r w:rsidR="00D94919">
        <w:t>,</w:t>
      </w:r>
      <w:r w:rsidR="00331BA6" w:rsidRPr="00331BA6">
        <w:t xml:space="preserve"> 2018</w:t>
      </w:r>
      <w:r w:rsidR="00270E69">
        <w:t>b</w:t>
      </w:r>
      <w:r w:rsidR="00331BA6" w:rsidRPr="00331BA6">
        <w:t>).</w:t>
      </w:r>
    </w:p>
    <w:p w:rsidR="00E656A8" w:rsidRDefault="00E656A8" w:rsidP="00E656A8">
      <w:pPr>
        <w:pStyle w:val="CETheadingx"/>
        <w:numPr>
          <w:ilvl w:val="0"/>
          <w:numId w:val="0"/>
        </w:numPr>
      </w:pPr>
      <w:r>
        <w:t>2.2 Axenic strain isolation</w:t>
      </w:r>
      <w:r w:rsidR="00C86FD0">
        <w:t xml:space="preserve"> and maintenance</w:t>
      </w:r>
    </w:p>
    <w:p w:rsidR="0092386C" w:rsidRDefault="00E656A8" w:rsidP="00E656A8">
      <w:pPr>
        <w:pStyle w:val="CETBodytext"/>
      </w:pPr>
      <w:r>
        <w:t xml:space="preserve">Microalgae were suspended in 30 mL of distilled water, </w:t>
      </w:r>
      <w:r w:rsidR="0074582C">
        <w:t xml:space="preserve">then the suspension was sonicated for 1 min by using </w:t>
      </w:r>
      <w:r w:rsidR="0074582C" w:rsidRPr="0074582C">
        <w:t xml:space="preserve">Branson </w:t>
      </w:r>
      <w:proofErr w:type="spellStart"/>
      <w:r w:rsidR="0074582C" w:rsidRPr="0074582C">
        <w:t>Sonifer</w:t>
      </w:r>
      <w:proofErr w:type="spellEnd"/>
      <w:r w:rsidR="0074582C">
        <w:t xml:space="preserve"> S 450 (20 kHz) at 50 % amplitude</w:t>
      </w:r>
      <w:r w:rsidR="004E77FB">
        <w:t xml:space="preserve"> (</w:t>
      </w:r>
      <w:r w:rsidR="0008221B">
        <w:t xml:space="preserve">76 </w:t>
      </w:r>
      <w:r w:rsidR="004E77FB">
        <w:rPr>
          <w:rFonts w:cs="Arial"/>
        </w:rPr>
        <w:t>µ</w:t>
      </w:r>
      <w:r w:rsidR="004E77FB">
        <w:t>m</w:t>
      </w:r>
      <w:r w:rsidR="0008221B">
        <w:t>, 145 W</w:t>
      </w:r>
      <w:r w:rsidR="004E77FB">
        <w:t>)</w:t>
      </w:r>
      <w:r w:rsidR="0074582C">
        <w:t xml:space="preserve">. Suspension was then centrifuged at 3,000 rpm for 5 min and washed twice with distilled water. </w:t>
      </w:r>
      <w:r w:rsidR="004917A5">
        <w:t>The obtained pellet was</w:t>
      </w:r>
      <w:r w:rsidR="006372FC">
        <w:t xml:space="preserve"> diluted in distilled water and plated in Petri dishes containing BG11 solid medium enriched with 1 g</w:t>
      </w:r>
      <w:r w:rsidR="00ED12F3">
        <w:t xml:space="preserve"> </w:t>
      </w:r>
      <w:r w:rsidR="006372FC">
        <w:t>L</w:t>
      </w:r>
      <w:r w:rsidR="00ED12F3" w:rsidRPr="00ED12F3">
        <w:rPr>
          <w:vertAlign w:val="superscript"/>
        </w:rPr>
        <w:t>-1</w:t>
      </w:r>
      <w:r w:rsidR="006372FC">
        <w:t xml:space="preserve"> of glucose and different concentrations of antibiotics</w:t>
      </w:r>
      <w:r w:rsidR="0092386C">
        <w:t xml:space="preserve"> (Table 1)</w:t>
      </w:r>
      <w:r w:rsidR="006372FC">
        <w:t>. The plate</w:t>
      </w:r>
      <w:r w:rsidR="0092386C">
        <w:t>s</w:t>
      </w:r>
      <w:r w:rsidR="006372FC">
        <w:t xml:space="preserve"> were illuminated at</w:t>
      </w:r>
      <w:r w:rsidR="006372FC" w:rsidRPr="006372FC">
        <w:t xml:space="preserve"> 80 </w:t>
      </w:r>
      <w:proofErr w:type="spellStart"/>
      <w:r w:rsidR="006372FC" w:rsidRPr="006372FC">
        <w:t>μmol</w:t>
      </w:r>
      <w:proofErr w:type="spellEnd"/>
      <w:r w:rsidR="00375E6F">
        <w:t xml:space="preserve"> </w:t>
      </w:r>
      <w:r w:rsidR="006372FC" w:rsidRPr="006372FC">
        <w:t>s</w:t>
      </w:r>
      <w:r w:rsidR="006372FC" w:rsidRPr="006372FC">
        <w:rPr>
          <w:vertAlign w:val="superscript"/>
        </w:rPr>
        <w:t>-1</w:t>
      </w:r>
      <w:r w:rsidR="00375E6F">
        <w:t xml:space="preserve"> </w:t>
      </w:r>
      <w:r w:rsidR="006372FC" w:rsidRPr="006372FC">
        <w:t>m</w:t>
      </w:r>
      <w:r w:rsidR="006372FC" w:rsidRPr="006372FC">
        <w:rPr>
          <w:vertAlign w:val="superscript"/>
        </w:rPr>
        <w:t>-2</w:t>
      </w:r>
      <w:r w:rsidR="006372FC" w:rsidRPr="006372FC">
        <w:t xml:space="preserve"> a</w:t>
      </w:r>
      <w:r w:rsidR="006372FC">
        <w:t xml:space="preserve">t </w:t>
      </w:r>
      <w:r w:rsidR="006372FC" w:rsidRPr="006372FC">
        <w:t>25 ± 3 °C</w:t>
      </w:r>
      <w:r w:rsidR="006372FC">
        <w:t xml:space="preserve">. </w:t>
      </w:r>
      <w:r w:rsidR="008B522A">
        <w:t xml:space="preserve">The presence of bacteria was evaluated by making replica plating on plates containing LB solid medium. </w:t>
      </w:r>
      <w:r w:rsidR="00B50F73">
        <w:t>The microalgae strain isolated from the axenic plates were then inoculated in 50 mL glass bottle</w:t>
      </w:r>
      <w:r w:rsidR="007B0C1B">
        <w:t>s</w:t>
      </w:r>
      <w:r w:rsidR="00B50F73">
        <w:t xml:space="preserve"> containing </w:t>
      </w:r>
      <w:r w:rsidR="00E154D4">
        <w:t xml:space="preserve">25 mL </w:t>
      </w:r>
      <w:r w:rsidR="00B50F73">
        <w:t xml:space="preserve">BG11 medium enriched with </w:t>
      </w:r>
      <w:r w:rsidR="00E154D4">
        <w:t>1 g</w:t>
      </w:r>
      <w:r w:rsidR="00ED12F3">
        <w:t xml:space="preserve"> </w:t>
      </w:r>
      <w:r w:rsidR="00E154D4">
        <w:t>L</w:t>
      </w:r>
      <w:r w:rsidR="00ED12F3" w:rsidRPr="00ED12F3">
        <w:rPr>
          <w:vertAlign w:val="superscript"/>
        </w:rPr>
        <w:t>-1</w:t>
      </w:r>
      <w:r w:rsidR="00E154D4">
        <w:t xml:space="preserve"> NaHCO</w:t>
      </w:r>
      <w:r w:rsidR="00E154D4" w:rsidRPr="00E154D4">
        <w:rPr>
          <w:vertAlign w:val="subscript"/>
        </w:rPr>
        <w:t>3</w:t>
      </w:r>
      <w:r w:rsidR="00E154D4">
        <w:t>. The bottles were closed and leaved under constant illumination of 4</w:t>
      </w:r>
      <w:r w:rsidR="00E154D4" w:rsidRPr="00E154D4">
        <w:t xml:space="preserve">0 </w:t>
      </w:r>
      <w:proofErr w:type="spellStart"/>
      <w:r w:rsidR="00E154D4" w:rsidRPr="00E154D4">
        <w:t>μmol</w:t>
      </w:r>
      <w:proofErr w:type="spellEnd"/>
      <w:r w:rsidR="00375E6F">
        <w:t xml:space="preserve"> </w:t>
      </w:r>
      <w:r w:rsidR="00E154D4" w:rsidRPr="00E154D4">
        <w:t>s</w:t>
      </w:r>
      <w:r w:rsidR="00E154D4" w:rsidRPr="00E154D4">
        <w:rPr>
          <w:vertAlign w:val="superscript"/>
        </w:rPr>
        <w:t>-1</w:t>
      </w:r>
      <w:r w:rsidR="00375E6F">
        <w:t xml:space="preserve"> </w:t>
      </w:r>
      <w:r w:rsidR="00E154D4" w:rsidRPr="00E154D4">
        <w:t>m</w:t>
      </w:r>
      <w:r w:rsidR="00E154D4" w:rsidRPr="00E154D4">
        <w:rPr>
          <w:vertAlign w:val="superscript"/>
        </w:rPr>
        <w:t>-2</w:t>
      </w:r>
      <w:r w:rsidR="00E154D4" w:rsidRPr="00E154D4">
        <w:t xml:space="preserve"> at 25 ± 3 °C</w:t>
      </w:r>
      <w:r w:rsidR="00E154D4">
        <w:t xml:space="preserve">. The axenic condition was </w:t>
      </w:r>
      <w:r w:rsidR="007B0C1B">
        <w:t>periodically</w:t>
      </w:r>
      <w:r w:rsidR="00E154D4">
        <w:t xml:space="preserve"> monitored by inoculating an aliquot of the suspension </w:t>
      </w:r>
      <w:r w:rsidR="007B0C1B">
        <w:t>from</w:t>
      </w:r>
      <w:r w:rsidR="00E154D4">
        <w:t xml:space="preserve"> bottles in </w:t>
      </w:r>
      <w:r w:rsidR="007B0C1B">
        <w:t xml:space="preserve">both </w:t>
      </w:r>
      <w:r w:rsidR="00E154D4">
        <w:t xml:space="preserve">LB </w:t>
      </w:r>
      <w:r w:rsidR="007B0C1B">
        <w:t xml:space="preserve">and </w:t>
      </w:r>
      <w:r w:rsidR="004E77FB">
        <w:t>Y</w:t>
      </w:r>
      <w:r w:rsidR="007B0C1B">
        <w:t xml:space="preserve">PD </w:t>
      </w:r>
      <w:r w:rsidR="00E154D4">
        <w:t>plates</w:t>
      </w:r>
      <w:r w:rsidR="00C86FD0">
        <w:t xml:space="preserve">. </w:t>
      </w:r>
      <w:r w:rsidR="00D934A5">
        <w:t xml:space="preserve">All the </w:t>
      </w:r>
      <w:r w:rsidR="004E77FB">
        <w:t>handling</w:t>
      </w:r>
      <w:r w:rsidR="00D934A5">
        <w:t xml:space="preserve"> of the axenic cultures was carried out in fully sterilized conditions. </w:t>
      </w:r>
    </w:p>
    <w:p w:rsidR="005E04FC" w:rsidRPr="005E04FC" w:rsidRDefault="005E04FC" w:rsidP="005E04FC">
      <w:pPr>
        <w:pStyle w:val="CETTabletitle"/>
      </w:pPr>
      <w:r w:rsidRPr="00B57B36">
        <w:t>Table 1:</w:t>
      </w:r>
      <w:r w:rsidR="00B0159A">
        <w:t xml:space="preserve"> </w:t>
      </w:r>
      <w:r w:rsidR="00A85B6B">
        <w:t>T</w:t>
      </w:r>
      <w:r w:rsidR="00023C38">
        <w:t>ype and concentration of antibiotic</w:t>
      </w:r>
      <w:r w:rsidR="008B522A">
        <w:t>s</w:t>
      </w:r>
      <w:r w:rsidR="00023C38">
        <w:t xml:space="preserve"> in </w:t>
      </w:r>
      <w:r w:rsidR="008B522A">
        <w:t>the different</w:t>
      </w:r>
      <w:r w:rsidR="00023C38">
        <w:t xml:space="preserve"> tested</w:t>
      </w:r>
      <w:r w:rsidR="008B522A">
        <w:t xml:space="preserve"> conditions</w:t>
      </w:r>
      <w:r w:rsidR="00023C38">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tblGrid>
      <w:tr w:rsidR="00EF46BA" w:rsidRPr="00B57B36" w:rsidTr="00A12913">
        <w:tc>
          <w:tcPr>
            <w:tcW w:w="1134" w:type="dxa"/>
            <w:tcBorders>
              <w:top w:val="single" w:sz="12" w:space="0" w:color="008000"/>
              <w:bottom w:val="single" w:sz="6" w:space="0" w:color="008000"/>
            </w:tcBorders>
            <w:shd w:val="clear" w:color="auto" w:fill="FFFFFF"/>
          </w:tcPr>
          <w:p w:rsidR="00EF46BA" w:rsidRPr="00B57B36" w:rsidRDefault="00EF46BA" w:rsidP="00A12913">
            <w:pPr>
              <w:pStyle w:val="CETBodytext"/>
              <w:rPr>
                <w:lang w:val="en-GB"/>
              </w:rPr>
            </w:pPr>
            <w:r>
              <w:rPr>
                <w:lang w:val="en-GB"/>
              </w:rPr>
              <w:t xml:space="preserve">Tested </w:t>
            </w:r>
            <w:r w:rsidR="00327576">
              <w:rPr>
                <w:lang w:val="en-GB"/>
              </w:rPr>
              <w:t>conditions</w:t>
            </w:r>
          </w:p>
        </w:tc>
        <w:tc>
          <w:tcPr>
            <w:tcW w:w="1134" w:type="dxa"/>
            <w:tcBorders>
              <w:top w:val="single" w:sz="12" w:space="0" w:color="008000"/>
              <w:bottom w:val="single" w:sz="6" w:space="0" w:color="008000"/>
            </w:tcBorders>
            <w:shd w:val="clear" w:color="auto" w:fill="FFFFFF"/>
          </w:tcPr>
          <w:p w:rsidR="00ED12F3" w:rsidRDefault="00EF46BA" w:rsidP="0092386C">
            <w:pPr>
              <w:pStyle w:val="CETBodytext"/>
              <w:jc w:val="center"/>
              <w:rPr>
                <w:lang w:val="en-GB"/>
              </w:rPr>
            </w:pPr>
            <w:r>
              <w:rPr>
                <w:lang w:val="en-GB"/>
              </w:rPr>
              <w:t xml:space="preserve">Ampicillin </w:t>
            </w:r>
          </w:p>
          <w:p w:rsidR="00EF46BA" w:rsidRPr="00B57B36" w:rsidRDefault="00EF46BA" w:rsidP="0092386C">
            <w:pPr>
              <w:pStyle w:val="CETBodytext"/>
              <w:jc w:val="center"/>
              <w:rPr>
                <w:lang w:val="en-GB"/>
              </w:rPr>
            </w:pPr>
            <w:r>
              <w:rPr>
                <w:lang w:val="en-GB"/>
              </w:rPr>
              <w:t>(mg</w:t>
            </w:r>
            <w:r w:rsidR="00ED12F3">
              <w:rPr>
                <w:lang w:val="en-GB"/>
              </w:rPr>
              <w:t xml:space="preserve"> </w:t>
            </w:r>
            <w:r>
              <w:rPr>
                <w:lang w:val="en-GB"/>
              </w:rPr>
              <w:t>mL</w:t>
            </w:r>
            <w:r w:rsidR="00ED12F3" w:rsidRPr="00ED12F3">
              <w:rPr>
                <w:vertAlign w:val="superscript"/>
                <w:lang w:val="en-GB"/>
              </w:rPr>
              <w:t>-1</w:t>
            </w:r>
            <w:r>
              <w:rPr>
                <w:lang w:val="en-GB"/>
              </w:rPr>
              <w:t>)</w:t>
            </w:r>
          </w:p>
        </w:tc>
        <w:tc>
          <w:tcPr>
            <w:tcW w:w="1134" w:type="dxa"/>
            <w:tcBorders>
              <w:top w:val="single" w:sz="12" w:space="0" w:color="008000"/>
              <w:bottom w:val="single" w:sz="6" w:space="0" w:color="008000"/>
            </w:tcBorders>
            <w:shd w:val="clear" w:color="auto" w:fill="FFFFFF"/>
          </w:tcPr>
          <w:p w:rsidR="00ED12F3" w:rsidRDefault="00EF46BA" w:rsidP="0092386C">
            <w:pPr>
              <w:pStyle w:val="CETBodytext"/>
              <w:jc w:val="center"/>
              <w:rPr>
                <w:lang w:val="en-GB"/>
              </w:rPr>
            </w:pPr>
            <w:r>
              <w:rPr>
                <w:lang w:val="en-GB"/>
              </w:rPr>
              <w:t xml:space="preserve">Penicillin </w:t>
            </w:r>
          </w:p>
          <w:p w:rsidR="00EF46BA" w:rsidRPr="00B57B36" w:rsidRDefault="00EF46BA" w:rsidP="0092386C">
            <w:pPr>
              <w:pStyle w:val="CETBodytext"/>
              <w:jc w:val="center"/>
              <w:rPr>
                <w:lang w:val="en-GB"/>
              </w:rPr>
            </w:pPr>
            <w:r>
              <w:rPr>
                <w:lang w:val="en-GB"/>
              </w:rPr>
              <w:t>(U</w:t>
            </w:r>
            <w:r w:rsidR="00ED12F3">
              <w:rPr>
                <w:lang w:val="en-GB"/>
              </w:rPr>
              <w:t xml:space="preserve"> </w:t>
            </w:r>
            <w:r>
              <w:rPr>
                <w:lang w:val="en-GB"/>
              </w:rPr>
              <w:t>mL</w:t>
            </w:r>
            <w:r w:rsidR="00ED12F3" w:rsidRPr="00ED12F3">
              <w:rPr>
                <w:vertAlign w:val="superscript"/>
                <w:lang w:val="en-GB"/>
              </w:rPr>
              <w:t>-1</w:t>
            </w:r>
            <w:r>
              <w:rPr>
                <w:lang w:val="en-GB"/>
              </w:rPr>
              <w:t>)</w:t>
            </w:r>
          </w:p>
        </w:tc>
        <w:tc>
          <w:tcPr>
            <w:tcW w:w="1134" w:type="dxa"/>
            <w:tcBorders>
              <w:top w:val="single" w:sz="12" w:space="0" w:color="008000"/>
              <w:bottom w:val="single" w:sz="6" w:space="0" w:color="008000"/>
            </w:tcBorders>
            <w:shd w:val="clear" w:color="auto" w:fill="FFFFFF"/>
          </w:tcPr>
          <w:p w:rsidR="00EF46BA" w:rsidRPr="00B57B36" w:rsidRDefault="00EF46BA" w:rsidP="0092386C">
            <w:pPr>
              <w:pStyle w:val="CETBodytext"/>
              <w:ind w:right="-1"/>
              <w:jc w:val="center"/>
              <w:rPr>
                <w:rFonts w:cs="Arial"/>
                <w:szCs w:val="18"/>
                <w:lang w:val="en-GB"/>
              </w:rPr>
            </w:pPr>
            <w:r>
              <w:rPr>
                <w:rFonts w:cs="Arial"/>
                <w:szCs w:val="18"/>
                <w:lang w:val="en-GB"/>
              </w:rPr>
              <w:t xml:space="preserve">Streptomycin </w:t>
            </w:r>
            <w:r>
              <w:rPr>
                <w:lang w:val="en-GB"/>
              </w:rPr>
              <w:t>(mg</w:t>
            </w:r>
            <w:r w:rsidR="00ED12F3">
              <w:rPr>
                <w:lang w:val="en-GB"/>
              </w:rPr>
              <w:t xml:space="preserve"> </w:t>
            </w:r>
            <w:r>
              <w:rPr>
                <w:lang w:val="en-GB"/>
              </w:rPr>
              <w:t>mL</w:t>
            </w:r>
            <w:r w:rsidR="00ED12F3" w:rsidRPr="00ED12F3">
              <w:rPr>
                <w:vertAlign w:val="superscript"/>
                <w:lang w:val="en-GB"/>
              </w:rPr>
              <w:t>-1</w:t>
            </w:r>
            <w:r>
              <w:rPr>
                <w:lang w:val="en-GB"/>
              </w:rPr>
              <w:t>)</w:t>
            </w:r>
          </w:p>
        </w:tc>
      </w:tr>
      <w:tr w:rsidR="00EF46BA" w:rsidRPr="00B57B36" w:rsidTr="00A12913">
        <w:tc>
          <w:tcPr>
            <w:tcW w:w="1134" w:type="dxa"/>
            <w:shd w:val="clear" w:color="auto" w:fill="FFFFFF"/>
          </w:tcPr>
          <w:p w:rsidR="00EF46BA" w:rsidRDefault="00EF46BA" w:rsidP="00A12913">
            <w:pPr>
              <w:pStyle w:val="CETBodytext"/>
              <w:rPr>
                <w:lang w:val="en-GB"/>
              </w:rPr>
            </w:pPr>
            <w:r>
              <w:rPr>
                <w:lang w:val="en-GB"/>
              </w:rPr>
              <w:t>Condition 1</w:t>
            </w:r>
          </w:p>
          <w:p w:rsidR="00EF46BA" w:rsidRDefault="00EF46BA" w:rsidP="00A12913">
            <w:pPr>
              <w:pStyle w:val="CETBodytext"/>
              <w:rPr>
                <w:lang w:val="en-GB"/>
              </w:rPr>
            </w:pPr>
            <w:r>
              <w:rPr>
                <w:lang w:val="en-GB"/>
              </w:rPr>
              <w:t>Condition 2</w:t>
            </w:r>
          </w:p>
          <w:p w:rsidR="00EF46BA" w:rsidRDefault="00EF46BA" w:rsidP="00A12913">
            <w:pPr>
              <w:pStyle w:val="CETBodytext"/>
              <w:rPr>
                <w:lang w:val="en-GB"/>
              </w:rPr>
            </w:pPr>
            <w:r>
              <w:rPr>
                <w:lang w:val="en-GB"/>
              </w:rPr>
              <w:t>Condition 3</w:t>
            </w:r>
          </w:p>
          <w:p w:rsidR="00EF46BA" w:rsidRPr="00B57B36" w:rsidRDefault="00EF46BA" w:rsidP="00A12913">
            <w:pPr>
              <w:pStyle w:val="CETBodytext"/>
              <w:rPr>
                <w:lang w:val="en-GB"/>
              </w:rPr>
            </w:pPr>
            <w:r>
              <w:rPr>
                <w:lang w:val="en-GB"/>
              </w:rPr>
              <w:t>Condition 4</w:t>
            </w:r>
          </w:p>
        </w:tc>
        <w:tc>
          <w:tcPr>
            <w:tcW w:w="1134" w:type="dxa"/>
            <w:shd w:val="clear" w:color="auto" w:fill="FFFFFF"/>
          </w:tcPr>
          <w:p w:rsidR="00EF46BA" w:rsidRDefault="00EF46BA" w:rsidP="0092386C">
            <w:pPr>
              <w:pStyle w:val="CETBodytext"/>
              <w:jc w:val="center"/>
              <w:rPr>
                <w:lang w:val="en-GB"/>
              </w:rPr>
            </w:pPr>
            <w:r>
              <w:rPr>
                <w:lang w:val="en-GB"/>
              </w:rPr>
              <w:t>0.07</w:t>
            </w:r>
          </w:p>
          <w:p w:rsidR="00EF46BA" w:rsidRDefault="00EF46BA" w:rsidP="0092386C">
            <w:pPr>
              <w:pStyle w:val="CETBodytext"/>
              <w:jc w:val="center"/>
              <w:rPr>
                <w:lang w:val="en-GB"/>
              </w:rPr>
            </w:pPr>
            <w:r>
              <w:rPr>
                <w:lang w:val="en-GB"/>
              </w:rPr>
              <w:t>0.1</w:t>
            </w:r>
          </w:p>
          <w:p w:rsidR="00EF46BA" w:rsidRDefault="00EF46BA" w:rsidP="0092386C">
            <w:pPr>
              <w:pStyle w:val="CETBodytext"/>
              <w:jc w:val="center"/>
              <w:rPr>
                <w:lang w:val="en-GB"/>
              </w:rPr>
            </w:pPr>
            <w:r>
              <w:rPr>
                <w:lang w:val="en-GB"/>
              </w:rPr>
              <w:t>-</w:t>
            </w:r>
          </w:p>
          <w:p w:rsidR="00EF46BA" w:rsidRPr="00B57B36" w:rsidRDefault="00EF46BA" w:rsidP="0092386C">
            <w:pPr>
              <w:pStyle w:val="CETBodytext"/>
              <w:jc w:val="center"/>
              <w:rPr>
                <w:lang w:val="en-GB"/>
              </w:rPr>
            </w:pPr>
            <w:r>
              <w:rPr>
                <w:lang w:val="en-GB"/>
              </w:rPr>
              <w:t>0.1</w:t>
            </w:r>
          </w:p>
        </w:tc>
        <w:tc>
          <w:tcPr>
            <w:tcW w:w="1134" w:type="dxa"/>
            <w:shd w:val="clear" w:color="auto" w:fill="FFFFFF"/>
          </w:tcPr>
          <w:p w:rsidR="00EF46BA" w:rsidRDefault="00EF46BA" w:rsidP="0092386C">
            <w:pPr>
              <w:pStyle w:val="CETBodytext"/>
              <w:jc w:val="center"/>
              <w:rPr>
                <w:lang w:val="en-GB"/>
              </w:rPr>
            </w:pPr>
            <w:r>
              <w:rPr>
                <w:lang w:val="en-GB"/>
              </w:rPr>
              <w:t>-</w:t>
            </w:r>
          </w:p>
          <w:p w:rsidR="00EF46BA" w:rsidRDefault="00EF46BA" w:rsidP="0092386C">
            <w:pPr>
              <w:pStyle w:val="CETBodytext"/>
              <w:jc w:val="center"/>
              <w:rPr>
                <w:lang w:val="en-GB"/>
              </w:rPr>
            </w:pPr>
            <w:r>
              <w:rPr>
                <w:lang w:val="en-GB"/>
              </w:rPr>
              <w:t>-</w:t>
            </w:r>
          </w:p>
          <w:p w:rsidR="00EF46BA" w:rsidRDefault="00EF46BA" w:rsidP="0092386C">
            <w:pPr>
              <w:pStyle w:val="CETBodytext"/>
              <w:jc w:val="center"/>
              <w:rPr>
                <w:lang w:val="en-GB"/>
              </w:rPr>
            </w:pPr>
            <w:r>
              <w:rPr>
                <w:lang w:val="en-GB"/>
              </w:rPr>
              <w:t>67</w:t>
            </w:r>
          </w:p>
          <w:p w:rsidR="00EF46BA" w:rsidRPr="00B57B36" w:rsidRDefault="00EF46BA" w:rsidP="0092386C">
            <w:pPr>
              <w:pStyle w:val="CETBodytext"/>
              <w:jc w:val="center"/>
              <w:rPr>
                <w:lang w:val="en-GB"/>
              </w:rPr>
            </w:pPr>
            <w:r>
              <w:rPr>
                <w:lang w:val="en-GB"/>
              </w:rPr>
              <w:t>67</w:t>
            </w:r>
          </w:p>
        </w:tc>
        <w:tc>
          <w:tcPr>
            <w:tcW w:w="1134" w:type="dxa"/>
            <w:shd w:val="clear" w:color="auto" w:fill="FFFFFF"/>
          </w:tcPr>
          <w:p w:rsidR="00EF46BA" w:rsidRDefault="00EF46BA" w:rsidP="0092386C">
            <w:pPr>
              <w:pStyle w:val="CETBodytext"/>
              <w:ind w:right="-1"/>
              <w:jc w:val="center"/>
              <w:rPr>
                <w:rFonts w:cs="Arial"/>
                <w:szCs w:val="18"/>
                <w:lang w:val="en-GB"/>
              </w:rPr>
            </w:pPr>
            <w:r>
              <w:rPr>
                <w:rFonts w:cs="Arial"/>
                <w:szCs w:val="18"/>
                <w:lang w:val="en-GB"/>
              </w:rPr>
              <w:t>-</w:t>
            </w:r>
          </w:p>
          <w:p w:rsidR="00EF46BA" w:rsidRDefault="00EF46BA" w:rsidP="0092386C">
            <w:pPr>
              <w:pStyle w:val="CETBodytext"/>
              <w:ind w:right="-1"/>
              <w:jc w:val="center"/>
              <w:rPr>
                <w:rFonts w:cs="Arial"/>
                <w:szCs w:val="18"/>
                <w:lang w:val="en-GB"/>
              </w:rPr>
            </w:pPr>
            <w:r>
              <w:rPr>
                <w:rFonts w:cs="Arial"/>
                <w:szCs w:val="18"/>
                <w:lang w:val="en-GB"/>
              </w:rPr>
              <w:t>-</w:t>
            </w:r>
          </w:p>
          <w:p w:rsidR="00EF46BA" w:rsidRDefault="00EF46BA" w:rsidP="0092386C">
            <w:pPr>
              <w:pStyle w:val="CETBodytext"/>
              <w:ind w:right="-1"/>
              <w:jc w:val="center"/>
              <w:rPr>
                <w:rFonts w:cs="Arial"/>
                <w:szCs w:val="18"/>
                <w:lang w:val="en-GB"/>
              </w:rPr>
            </w:pPr>
            <w:r>
              <w:rPr>
                <w:rFonts w:cs="Arial"/>
                <w:szCs w:val="18"/>
                <w:lang w:val="en-GB"/>
              </w:rPr>
              <w:t>0.07</w:t>
            </w:r>
          </w:p>
          <w:p w:rsidR="00EF46BA" w:rsidRPr="00B57B36" w:rsidRDefault="00EF46BA" w:rsidP="0092386C">
            <w:pPr>
              <w:pStyle w:val="CETBodytext"/>
              <w:ind w:right="-1"/>
              <w:jc w:val="center"/>
              <w:rPr>
                <w:rFonts w:cs="Arial"/>
                <w:szCs w:val="18"/>
                <w:lang w:val="en-GB"/>
              </w:rPr>
            </w:pPr>
            <w:r>
              <w:rPr>
                <w:rFonts w:cs="Arial"/>
                <w:szCs w:val="18"/>
                <w:lang w:val="en-GB"/>
              </w:rPr>
              <w:t>0.07</w:t>
            </w:r>
          </w:p>
        </w:tc>
      </w:tr>
      <w:tr w:rsidR="00EF46BA" w:rsidRPr="00B57B36" w:rsidTr="00A12913">
        <w:tc>
          <w:tcPr>
            <w:tcW w:w="1134" w:type="dxa"/>
            <w:shd w:val="clear" w:color="auto" w:fill="FFFFFF"/>
          </w:tcPr>
          <w:p w:rsidR="00EF46BA" w:rsidRPr="00B57B36" w:rsidRDefault="00EF46BA" w:rsidP="00A12913">
            <w:pPr>
              <w:pStyle w:val="CETBodytext"/>
              <w:ind w:right="-1"/>
              <w:rPr>
                <w:rFonts w:cs="Arial"/>
                <w:szCs w:val="18"/>
                <w:lang w:val="en-GB"/>
              </w:rPr>
            </w:pPr>
          </w:p>
        </w:tc>
        <w:tc>
          <w:tcPr>
            <w:tcW w:w="1134" w:type="dxa"/>
            <w:shd w:val="clear" w:color="auto" w:fill="FFFFFF"/>
          </w:tcPr>
          <w:p w:rsidR="00EF46BA" w:rsidRPr="00B57B36" w:rsidRDefault="00EF46BA" w:rsidP="0092386C">
            <w:pPr>
              <w:pStyle w:val="CETBodytext"/>
              <w:ind w:right="-1"/>
              <w:jc w:val="center"/>
              <w:rPr>
                <w:rFonts w:cs="Arial"/>
                <w:szCs w:val="18"/>
                <w:lang w:val="en-GB"/>
              </w:rPr>
            </w:pPr>
          </w:p>
        </w:tc>
        <w:tc>
          <w:tcPr>
            <w:tcW w:w="1134" w:type="dxa"/>
            <w:shd w:val="clear" w:color="auto" w:fill="FFFFFF"/>
          </w:tcPr>
          <w:p w:rsidR="00EF46BA" w:rsidRPr="00B57B36" w:rsidRDefault="00EF46BA" w:rsidP="0092386C">
            <w:pPr>
              <w:pStyle w:val="CETBodytext"/>
              <w:ind w:right="-1"/>
              <w:jc w:val="center"/>
              <w:rPr>
                <w:rFonts w:cs="Arial"/>
                <w:szCs w:val="18"/>
                <w:lang w:val="en-GB"/>
              </w:rPr>
            </w:pPr>
          </w:p>
        </w:tc>
        <w:tc>
          <w:tcPr>
            <w:tcW w:w="1134" w:type="dxa"/>
            <w:shd w:val="clear" w:color="auto" w:fill="FFFFFF"/>
          </w:tcPr>
          <w:p w:rsidR="00EF46BA" w:rsidRPr="00B57B36" w:rsidRDefault="00EF46BA" w:rsidP="0092386C">
            <w:pPr>
              <w:pStyle w:val="CETBodytext"/>
              <w:ind w:right="-1"/>
              <w:jc w:val="center"/>
              <w:rPr>
                <w:rFonts w:cs="Arial"/>
                <w:szCs w:val="18"/>
                <w:lang w:val="en-GB"/>
              </w:rPr>
            </w:pPr>
          </w:p>
        </w:tc>
      </w:tr>
    </w:tbl>
    <w:p w:rsidR="0092386C" w:rsidRDefault="0092386C" w:rsidP="00E656A8">
      <w:pPr>
        <w:pStyle w:val="CETBodytext"/>
      </w:pPr>
    </w:p>
    <w:p w:rsidR="008F2EF3" w:rsidRDefault="008F2EF3" w:rsidP="008F2EF3">
      <w:pPr>
        <w:pStyle w:val="CETheadingx"/>
        <w:numPr>
          <w:ilvl w:val="0"/>
          <w:numId w:val="0"/>
        </w:numPr>
      </w:pPr>
      <w:r>
        <w:t>2.3 Heterotrophic cultivation of axenic cultures</w:t>
      </w:r>
    </w:p>
    <w:p w:rsidR="008F2EF3" w:rsidRDefault="00BA5FDE" w:rsidP="00E656A8">
      <w:pPr>
        <w:pStyle w:val="CETBodytext"/>
      </w:pPr>
      <w:r>
        <w:t xml:space="preserve">Microalgae were harvested from maintenance bottles, centrifuged at 3,000 rpm for 5 min, and the pellet suspended in </w:t>
      </w:r>
      <w:r w:rsidR="00CE027F">
        <w:t>150 mL</w:t>
      </w:r>
      <w:r>
        <w:t xml:space="preserve"> cult</w:t>
      </w:r>
      <w:r w:rsidR="007B6711">
        <w:t>ure</w:t>
      </w:r>
      <w:r>
        <w:t xml:space="preserve"> medium</w:t>
      </w:r>
      <w:r w:rsidR="00CE027F">
        <w:t xml:space="preserve"> in 300 mL</w:t>
      </w:r>
      <w:r w:rsidR="00540E91">
        <w:t xml:space="preserve"> </w:t>
      </w:r>
      <w:r w:rsidR="00540E91" w:rsidRPr="00540E91">
        <w:t>Erlenmeyer</w:t>
      </w:r>
      <w:r w:rsidR="00CE027F">
        <w:t xml:space="preserve"> flasks</w:t>
      </w:r>
      <w:r w:rsidR="00483019">
        <w:t xml:space="preserve"> at an initial biomass concentration ranging between 20 – 40 mg L</w:t>
      </w:r>
      <w:r w:rsidR="00483019" w:rsidRPr="00483019">
        <w:rPr>
          <w:vertAlign w:val="superscript"/>
        </w:rPr>
        <w:t>-1</w:t>
      </w:r>
      <w:r>
        <w:t>. T</w:t>
      </w:r>
      <w:r w:rsidR="00AE6C85">
        <w:t>wo</w:t>
      </w:r>
      <w:r>
        <w:t xml:space="preserve"> different cult</w:t>
      </w:r>
      <w:r w:rsidR="007B6711">
        <w:t>ure</w:t>
      </w:r>
      <w:r>
        <w:t xml:space="preserve"> medium</w:t>
      </w:r>
      <w:r w:rsidR="00A84807">
        <w:t xml:space="preserve">s </w:t>
      </w:r>
      <w:r>
        <w:t>were tested, with</w:t>
      </w:r>
      <w:r w:rsidR="00CE027F">
        <w:t xml:space="preserve"> </w:t>
      </w:r>
      <w:r w:rsidR="00D104E4">
        <w:t>nutrients</w:t>
      </w:r>
      <w:r w:rsidR="00CE027F">
        <w:t xml:space="preserve"> concentration all the same</w:t>
      </w:r>
      <w:r w:rsidR="00D104E4">
        <w:t xml:space="preserve"> </w:t>
      </w:r>
      <w:r w:rsidR="00CE027F">
        <w:t>as</w:t>
      </w:r>
      <w:r>
        <w:t xml:space="preserve"> BG11, except for NO</w:t>
      </w:r>
      <w:r w:rsidRPr="00BA5FDE">
        <w:rPr>
          <w:vertAlign w:val="subscript"/>
        </w:rPr>
        <w:t>3</w:t>
      </w:r>
      <w:r w:rsidRPr="00BA5FDE">
        <w:rPr>
          <w:vertAlign w:val="superscript"/>
        </w:rPr>
        <w:t>-</w:t>
      </w:r>
      <w:r>
        <w:t>, which was varied at t</w:t>
      </w:r>
      <w:r w:rsidR="00803467">
        <w:t>wo</w:t>
      </w:r>
      <w:r>
        <w:t xml:space="preserve"> levels: 0 mg</w:t>
      </w:r>
      <w:r w:rsidR="0089097D">
        <w:t xml:space="preserve"> </w:t>
      </w:r>
      <w:r>
        <w:t>L</w:t>
      </w:r>
      <w:r w:rsidR="0089097D">
        <w:rPr>
          <w:vertAlign w:val="superscript"/>
        </w:rPr>
        <w:t>-1</w:t>
      </w:r>
      <w:r w:rsidR="00803467">
        <w:t xml:space="preserve"> and</w:t>
      </w:r>
      <w:r>
        <w:t xml:space="preserve"> 200 mg</w:t>
      </w:r>
      <w:r w:rsidR="0089097D">
        <w:t xml:space="preserve"> </w:t>
      </w:r>
      <w:r>
        <w:t>L</w:t>
      </w:r>
      <w:r w:rsidR="0089097D">
        <w:rPr>
          <w:vertAlign w:val="superscript"/>
        </w:rPr>
        <w:t>-1</w:t>
      </w:r>
      <w:r w:rsidR="0089097D">
        <w:t xml:space="preserve"> (N = 45 mg L</w:t>
      </w:r>
      <w:r w:rsidR="0089097D">
        <w:rPr>
          <w:vertAlign w:val="superscript"/>
        </w:rPr>
        <w:t>-1</w:t>
      </w:r>
      <w:r w:rsidR="0089097D">
        <w:t>)</w:t>
      </w:r>
      <w:r>
        <w:t xml:space="preserve">. </w:t>
      </w:r>
      <w:r w:rsidR="00540E91">
        <w:t>In every flask</w:t>
      </w:r>
      <w:r w:rsidR="00CE027F">
        <w:t xml:space="preserve"> 5 g</w:t>
      </w:r>
      <w:r w:rsidR="00A84807">
        <w:t xml:space="preserve"> </w:t>
      </w:r>
      <w:r w:rsidR="00CE027F">
        <w:t>L</w:t>
      </w:r>
      <w:r w:rsidR="00A84807" w:rsidRPr="00A84807">
        <w:rPr>
          <w:vertAlign w:val="superscript"/>
        </w:rPr>
        <w:t>-1</w:t>
      </w:r>
      <w:r w:rsidR="00CE027F">
        <w:t xml:space="preserve"> of glucose w</w:t>
      </w:r>
      <w:r w:rsidR="00A84807">
        <w:t>ere</w:t>
      </w:r>
      <w:r w:rsidR="00CE027F">
        <w:t xml:space="preserve"> supplied. All the flasks were covered with aluminum foils to ensure dark environment</w:t>
      </w:r>
      <w:r w:rsidR="00540E91">
        <w:t xml:space="preserve">, </w:t>
      </w:r>
      <w:r w:rsidR="00CE027F">
        <w:t xml:space="preserve">closed with </w:t>
      </w:r>
      <w:r w:rsidR="00540E91">
        <w:t>cellulose stoppers and continuously shaken at 150 rpm.</w:t>
      </w:r>
    </w:p>
    <w:p w:rsidR="0095041F" w:rsidRDefault="0095041F" w:rsidP="0095041F">
      <w:pPr>
        <w:pStyle w:val="CETheadingx"/>
        <w:numPr>
          <w:ilvl w:val="0"/>
          <w:numId w:val="0"/>
        </w:numPr>
      </w:pPr>
      <w:r>
        <w:t>2.4 Chemical and biochemical analyses</w:t>
      </w:r>
    </w:p>
    <w:p w:rsidR="0095041F" w:rsidRDefault="00A84807" w:rsidP="007E5B76">
      <w:pPr>
        <w:pStyle w:val="CETBodytext"/>
      </w:pPr>
      <w:r>
        <w:t xml:space="preserve">The </w:t>
      </w:r>
      <w:r w:rsidR="00586B7A">
        <w:t>conc</w:t>
      </w:r>
      <w:r w:rsidR="00772175">
        <w:t>e</w:t>
      </w:r>
      <w:r w:rsidR="00586B7A">
        <w:t>ntration</w:t>
      </w:r>
      <w:r>
        <w:t xml:space="preserve"> of the biomass suspension was measure</w:t>
      </w:r>
      <w:r w:rsidR="00322F73">
        <w:t>d</w:t>
      </w:r>
      <w:r>
        <w:t xml:space="preserve"> by reading the optical density at 750 nm by means of a UV-vis spectrophotometer. </w:t>
      </w:r>
      <w:r w:rsidR="00322F73">
        <w:t xml:space="preserve">Biomass concentration (X) </w:t>
      </w:r>
      <w:r>
        <w:t>was determined by using a calibration line obtained by</w:t>
      </w:r>
      <w:r w:rsidR="0076727E">
        <w:t xml:space="preserve"> filtering 10 mL of microalgae suspension on glass microfiber filter (0.7 </w:t>
      </w:r>
      <w:r w:rsidR="0076727E">
        <w:rPr>
          <w:rFonts w:cs="Arial"/>
        </w:rPr>
        <w:t>µ</w:t>
      </w:r>
      <w:r w:rsidR="0076727E">
        <w:t>m</w:t>
      </w:r>
      <w:r w:rsidR="002D0254">
        <w:t>, VWR 698</w:t>
      </w:r>
      <w:r w:rsidR="0076727E">
        <w:t xml:space="preserve">) and by drying the filters in oven at 105 °C. Glucose concentration was measured by using the Dubois colorimetric method </w:t>
      </w:r>
      <w:r w:rsidR="004555A6" w:rsidRPr="00D75F38">
        <w:t xml:space="preserve">(Di Caprio et </w:t>
      </w:r>
      <w:r w:rsidR="004555A6" w:rsidRPr="00D75F38">
        <w:lastRenderedPageBreak/>
        <w:t>al.</w:t>
      </w:r>
      <w:r w:rsidR="005D2870" w:rsidRPr="001254E1">
        <w:t>,</w:t>
      </w:r>
      <w:r w:rsidR="004555A6" w:rsidRPr="00D75F38">
        <w:t xml:space="preserve"> 2018</w:t>
      </w:r>
      <w:r w:rsidR="00270E69" w:rsidRPr="001254E1">
        <w:t>b</w:t>
      </w:r>
      <w:r w:rsidR="004555A6" w:rsidRPr="00D75F38">
        <w:t>)</w:t>
      </w:r>
      <w:r w:rsidR="00331BA6" w:rsidRPr="00D75F38">
        <w:t>,</w:t>
      </w:r>
      <w:r w:rsidR="00331BA6" w:rsidRPr="00331BA6">
        <w:t xml:space="preserve"> </w:t>
      </w:r>
      <w:r w:rsidR="0076727E">
        <w:t xml:space="preserve">while </w:t>
      </w:r>
      <w:r w:rsidR="00DF21CE">
        <w:t xml:space="preserve">nitrogen </w:t>
      </w:r>
      <w:r w:rsidR="0076727E">
        <w:t xml:space="preserve">concentration </w:t>
      </w:r>
      <w:r w:rsidR="00DF21CE">
        <w:t xml:space="preserve">(N) in the </w:t>
      </w:r>
      <w:r w:rsidR="007B6711">
        <w:t>culture</w:t>
      </w:r>
      <w:r w:rsidR="00DF21CE">
        <w:t xml:space="preserve"> medi</w:t>
      </w:r>
      <w:r w:rsidR="00406D66">
        <w:t>um</w:t>
      </w:r>
      <w:r w:rsidR="00DF21CE">
        <w:t xml:space="preserve"> </w:t>
      </w:r>
      <w:r w:rsidR="0076727E">
        <w:t>was measured by</w:t>
      </w:r>
      <w:r w:rsidR="007E5B76">
        <w:t xml:space="preserve"> using </w:t>
      </w:r>
      <w:r w:rsidR="00322F73">
        <w:t xml:space="preserve">a </w:t>
      </w:r>
      <w:r w:rsidR="007E5B76">
        <w:t>ion-selective electrode (</w:t>
      </w:r>
      <w:proofErr w:type="spellStart"/>
      <w:r w:rsidR="007E5B76">
        <w:t>perfectION</w:t>
      </w:r>
      <w:r w:rsidR="007E5B76" w:rsidRPr="00C67508">
        <w:rPr>
          <w:vertAlign w:val="superscript"/>
        </w:rPr>
        <w:t>TM</w:t>
      </w:r>
      <w:proofErr w:type="spellEnd"/>
      <w:r w:rsidR="007E5B76">
        <w:t>,</w:t>
      </w:r>
      <w:r w:rsidR="00C67508">
        <w:t xml:space="preserve"> </w:t>
      </w:r>
      <w:r w:rsidR="007E5B76">
        <w:t>Mettler Toledo)</w:t>
      </w:r>
      <w:r w:rsidR="00DF21CE">
        <w:t xml:space="preserve"> for NO</w:t>
      </w:r>
      <w:r w:rsidR="00DF21CE" w:rsidRPr="00DF21CE">
        <w:rPr>
          <w:vertAlign w:val="subscript"/>
        </w:rPr>
        <w:t>3</w:t>
      </w:r>
      <w:r w:rsidR="00DF21CE" w:rsidRPr="00DF21CE">
        <w:rPr>
          <w:vertAlign w:val="superscript"/>
        </w:rPr>
        <w:t>-</w:t>
      </w:r>
      <w:r w:rsidR="007E5B76">
        <w:t>.</w:t>
      </w:r>
    </w:p>
    <w:p w:rsidR="00BC09D8" w:rsidRDefault="00BC09D8" w:rsidP="00BC09D8">
      <w:pPr>
        <w:pStyle w:val="CETheadingx"/>
        <w:numPr>
          <w:ilvl w:val="0"/>
          <w:numId w:val="0"/>
        </w:numPr>
      </w:pPr>
      <w:r>
        <w:t>2.</w:t>
      </w:r>
      <w:r w:rsidR="0095041F">
        <w:t>5</w:t>
      </w:r>
      <w:r>
        <w:t xml:space="preserve"> Growth model </w:t>
      </w:r>
    </w:p>
    <w:p w:rsidR="00C02976" w:rsidRPr="00C02976" w:rsidRDefault="00C02976" w:rsidP="00EA6346">
      <w:pPr>
        <w:pStyle w:val="CETHeadingxx"/>
      </w:pPr>
      <w:r w:rsidRPr="00C02976">
        <w:t>2.5.1 Description of the model</w:t>
      </w:r>
    </w:p>
    <w:p w:rsidR="00C87EC9" w:rsidRDefault="00C87EC9" w:rsidP="00E656A8">
      <w:pPr>
        <w:pStyle w:val="CETBodytext"/>
      </w:pPr>
      <w:r>
        <w:t>Experimental growth data</w:t>
      </w:r>
      <w:r w:rsidR="00BC09D8">
        <w:t xml:space="preserve"> were </w:t>
      </w:r>
      <w:r w:rsidR="00694166">
        <w:t>described</w:t>
      </w:r>
      <w:r w:rsidR="00BC09D8">
        <w:t xml:space="preserve"> by using </w:t>
      </w:r>
      <w:r>
        <w:t xml:space="preserve">the </w:t>
      </w:r>
      <w:r w:rsidR="00AE6C85">
        <w:t>Droop</w:t>
      </w:r>
      <w:r>
        <w:t xml:space="preserve"> model</w:t>
      </w:r>
      <w:r w:rsidR="00331BA6">
        <w:t xml:space="preserve"> </w:t>
      </w:r>
      <w:r w:rsidR="00331BA6" w:rsidRPr="00331BA6">
        <w:t>(Bernard</w:t>
      </w:r>
      <w:r w:rsidR="00D94919">
        <w:t>,</w:t>
      </w:r>
      <w:r w:rsidR="00331BA6" w:rsidRPr="00331BA6">
        <w:t xml:space="preserve"> 2011)</w:t>
      </w:r>
      <w:r w:rsidR="00AE6C85">
        <w:t xml:space="preserve">. </w:t>
      </w:r>
      <w:r w:rsidR="000C0811">
        <w:t>Nitrogen was considered as the only limiting nutrient, and its</w:t>
      </w:r>
      <w:r w:rsidR="00AE6C85">
        <w:t xml:space="preserve"> </w:t>
      </w:r>
      <w:r w:rsidR="00D47DAD">
        <w:t>uptake</w:t>
      </w:r>
      <w:r w:rsidR="00AE6C85">
        <w:t xml:space="preserve"> rate </w:t>
      </w:r>
      <w:r w:rsidR="00D47DAD">
        <w:rPr>
          <w:rFonts w:cs="Arial"/>
        </w:rPr>
        <w:t>ρ</w:t>
      </w:r>
      <w:r w:rsidR="00D47DAD">
        <w:t xml:space="preserve"> (</w:t>
      </w:r>
      <w:proofErr w:type="spellStart"/>
      <w:r w:rsidR="00D47DAD">
        <w:t>g</w:t>
      </w:r>
      <w:r w:rsidR="00D47DAD" w:rsidRPr="00772175">
        <w:rPr>
          <w:vertAlign w:val="subscript"/>
        </w:rPr>
        <w:t>N</w:t>
      </w:r>
      <w:proofErr w:type="spellEnd"/>
      <w:r w:rsidR="00D47DAD">
        <w:t xml:space="preserve"> g</w:t>
      </w:r>
      <w:r w:rsidR="00D47DAD" w:rsidRPr="00772175">
        <w:rPr>
          <w:vertAlign w:val="subscript"/>
        </w:rPr>
        <w:t>X</w:t>
      </w:r>
      <w:r w:rsidR="00D47DAD" w:rsidRPr="00D47DAD">
        <w:rPr>
          <w:vertAlign w:val="superscript"/>
        </w:rPr>
        <w:t>-1</w:t>
      </w:r>
      <w:r w:rsidR="00D47DAD">
        <w:t xml:space="preserve"> d</w:t>
      </w:r>
      <w:r w:rsidR="00D47DAD" w:rsidRPr="00D47DAD">
        <w:rPr>
          <w:vertAlign w:val="superscript"/>
        </w:rPr>
        <w:t>-1</w:t>
      </w:r>
      <w:r w:rsidR="00D47DAD">
        <w:t xml:space="preserve">) </w:t>
      </w:r>
      <w:r w:rsidR="00C03FEC">
        <w:t>was described as follows:</w:t>
      </w:r>
    </w:p>
    <w:p w:rsidR="00C03FEC" w:rsidRPr="00C03FEC" w:rsidRDefault="00C03FEC" w:rsidP="001254E1">
      <w:pPr>
        <w:pStyle w:val="CETEquation"/>
        <w:jc w:val="right"/>
      </w:pPr>
      <m:oMath>
        <m:r>
          <w:rPr>
            <w:rFonts w:ascii="Cambria Math" w:hAnsi="Cambria Math"/>
          </w:rPr>
          <m:t>ρ</m:t>
        </m:r>
        <m:r>
          <m:rPr>
            <m:sty m:val="p"/>
          </m:rPr>
          <w:rPr>
            <w:rFonts w:ascii="Cambria Math" w:hAnsi="Cambria Math"/>
          </w:rPr>
          <m:t xml:space="preserve"> </m:t>
        </m:r>
        <m:d>
          <m:dPr>
            <m:ctrlPr>
              <w:rPr>
                <w:rFonts w:ascii="Cambria Math" w:hAnsi="Cambria Math"/>
              </w:rPr>
            </m:ctrlPr>
          </m:dPr>
          <m:e>
            <m:r>
              <w:rPr>
                <w:rFonts w:ascii="Cambria Math" w:hAnsi="Cambria Math"/>
              </w:rPr>
              <m:t>N</m:t>
            </m:r>
          </m:e>
        </m:d>
        <m:r>
          <m:rPr>
            <m:sty m:val="p"/>
          </m:rPr>
          <w:rPr>
            <w:rFonts w:ascii="Cambria Math" w:hAnsi="Cambria Math"/>
          </w:rPr>
          <m:t xml:space="preserve">= </m:t>
        </m:r>
        <m:sSub>
          <m:sSubPr>
            <m:ctrlPr>
              <w:rPr>
                <w:rFonts w:ascii="Cambria Math" w:hAnsi="Cambria Math"/>
              </w:rPr>
            </m:ctrlPr>
          </m:sSubPr>
          <m:e>
            <m:r>
              <w:rPr>
                <w:rFonts w:ascii="Cambria Math" w:hAnsi="Cambria Math"/>
              </w:rPr>
              <m:t>ρ</m:t>
            </m:r>
          </m:e>
          <m:sub>
            <m:r>
              <w:rPr>
                <w:rFonts w:ascii="Cambria Math" w:hAnsi="Cambria Math"/>
              </w:rPr>
              <m:t>max</m:t>
            </m:r>
          </m:sub>
        </m:sSub>
        <m:f>
          <m:fPr>
            <m:ctrlPr>
              <w:rPr>
                <w:rFonts w:ascii="Cambria Math" w:hAnsi="Cambria Math"/>
              </w:rPr>
            </m:ctrlPr>
          </m:fPr>
          <m:num>
            <m:r>
              <w:rPr>
                <w:rFonts w:ascii="Cambria Math" w:hAnsi="Cambria Math"/>
              </w:rPr>
              <m:t>N</m:t>
            </m:r>
          </m:num>
          <m:den>
            <m:r>
              <w:rPr>
                <w:rFonts w:ascii="Cambria Math" w:hAnsi="Cambria Math"/>
              </w:rPr>
              <m:t>N</m:t>
            </m:r>
            <m:r>
              <m:rPr>
                <m:sty m:val="p"/>
              </m:rPr>
              <w:rPr>
                <w:rFonts w:ascii="Cambria Math" w:hAnsi="Cambria Math"/>
              </w:rPr>
              <m:t xml:space="preserve">+ </m:t>
            </m:r>
            <m:sSub>
              <m:sSubPr>
                <m:ctrlPr>
                  <w:rPr>
                    <w:rFonts w:ascii="Cambria Math" w:hAnsi="Cambria Math"/>
                  </w:rPr>
                </m:ctrlPr>
              </m:sSubPr>
              <m:e>
                <m:r>
                  <w:rPr>
                    <w:rFonts w:ascii="Cambria Math" w:hAnsi="Cambria Math"/>
                  </w:rPr>
                  <m:t>K</m:t>
                </m:r>
              </m:e>
              <m:sub>
                <m:r>
                  <w:rPr>
                    <w:rFonts w:ascii="Cambria Math" w:hAnsi="Cambria Math"/>
                  </w:rPr>
                  <m:t>N</m:t>
                </m:r>
              </m:sub>
            </m:sSub>
          </m:den>
        </m:f>
      </m:oMath>
      <w:r>
        <w:t xml:space="preserve">                                                                                                                                            (1)</w:t>
      </w:r>
    </w:p>
    <w:p w:rsidR="00E86E44" w:rsidRPr="00BA0DB8" w:rsidRDefault="00C03FEC" w:rsidP="00E656A8">
      <w:pPr>
        <w:pStyle w:val="CETBodytext"/>
      </w:pPr>
      <w:r>
        <w:t>where N (</w:t>
      </w:r>
      <w:proofErr w:type="spellStart"/>
      <w:r>
        <w:t>g</w:t>
      </w:r>
      <w:r w:rsidRPr="00772175">
        <w:rPr>
          <w:vertAlign w:val="subscript"/>
        </w:rPr>
        <w:t>N</w:t>
      </w:r>
      <w:proofErr w:type="spellEnd"/>
      <w:r>
        <w:t xml:space="preserve"> L</w:t>
      </w:r>
      <w:r w:rsidRPr="00C03FEC">
        <w:rPr>
          <w:vertAlign w:val="superscript"/>
        </w:rPr>
        <w:t>-1</w:t>
      </w:r>
      <w:r>
        <w:t xml:space="preserve">) </w:t>
      </w:r>
      <w:r w:rsidR="00694166">
        <w:t>i</w:t>
      </w:r>
      <w:r>
        <w:t xml:space="preserve">s the nitrogen concentration in the </w:t>
      </w:r>
      <w:r w:rsidR="007B6711">
        <w:t>culture</w:t>
      </w:r>
      <w:r>
        <w:t xml:space="preserve"> medi</w:t>
      </w:r>
      <w:r w:rsidR="00406D66">
        <w:t>um</w:t>
      </w:r>
      <w:r>
        <w:t>, K</w:t>
      </w:r>
      <w:r>
        <w:rPr>
          <w:vertAlign w:val="subscript"/>
        </w:rPr>
        <w:t xml:space="preserve">N </w:t>
      </w:r>
      <w:r>
        <w:t>is the half-saturation constant (</w:t>
      </w:r>
      <w:proofErr w:type="spellStart"/>
      <w:r>
        <w:t>g</w:t>
      </w:r>
      <w:r w:rsidRPr="00772175">
        <w:rPr>
          <w:vertAlign w:val="subscript"/>
        </w:rPr>
        <w:t>N</w:t>
      </w:r>
      <w:proofErr w:type="spellEnd"/>
      <w:r>
        <w:t xml:space="preserve"> L</w:t>
      </w:r>
      <w:r w:rsidRPr="00C03FEC">
        <w:rPr>
          <w:vertAlign w:val="superscript"/>
        </w:rPr>
        <w:t>-1</w:t>
      </w:r>
      <w:r>
        <w:t xml:space="preserve">) and </w:t>
      </w:r>
      <w:proofErr w:type="spellStart"/>
      <w:r>
        <w:rPr>
          <w:rFonts w:cs="Arial"/>
        </w:rPr>
        <w:t>ρ</w:t>
      </w:r>
      <w:r>
        <w:rPr>
          <w:vertAlign w:val="subscript"/>
        </w:rPr>
        <w:t>max</w:t>
      </w:r>
      <w:proofErr w:type="spellEnd"/>
      <w:r>
        <w:rPr>
          <w:vertAlign w:val="subscript"/>
        </w:rPr>
        <w:t xml:space="preserve"> </w:t>
      </w:r>
      <w:r>
        <w:t>is the maximum nitrogen uptake rate (</w:t>
      </w:r>
      <w:proofErr w:type="spellStart"/>
      <w:r>
        <w:t>g</w:t>
      </w:r>
      <w:r w:rsidRPr="00772175">
        <w:rPr>
          <w:vertAlign w:val="subscript"/>
        </w:rPr>
        <w:t>N</w:t>
      </w:r>
      <w:proofErr w:type="spellEnd"/>
      <w:r>
        <w:t xml:space="preserve"> g</w:t>
      </w:r>
      <w:r w:rsidRPr="00772175">
        <w:rPr>
          <w:vertAlign w:val="subscript"/>
        </w:rPr>
        <w:t>X</w:t>
      </w:r>
      <w:r w:rsidRPr="00C03FEC">
        <w:rPr>
          <w:vertAlign w:val="superscript"/>
        </w:rPr>
        <w:t>-1</w:t>
      </w:r>
      <w:r>
        <w:t xml:space="preserve"> d</w:t>
      </w:r>
      <w:r w:rsidRPr="00C03FEC">
        <w:rPr>
          <w:vertAlign w:val="superscript"/>
        </w:rPr>
        <w:t>-1</w:t>
      </w:r>
      <w:r>
        <w:t xml:space="preserve">). </w:t>
      </w:r>
      <w:r w:rsidR="00BA0DB8">
        <w:t xml:space="preserve">The specific growth rate </w:t>
      </w:r>
      <w:r w:rsidR="00BA0DB8">
        <w:rPr>
          <w:rFonts w:cs="Arial"/>
        </w:rPr>
        <w:t>µ</w:t>
      </w:r>
      <w:r w:rsidR="00BA0DB8">
        <w:t xml:space="preserve"> (d</w:t>
      </w:r>
      <w:r w:rsidR="00BA0DB8">
        <w:rPr>
          <w:vertAlign w:val="superscript"/>
        </w:rPr>
        <w:t>-1</w:t>
      </w:r>
      <w:r w:rsidR="00BA0DB8">
        <w:t>) of the biomass was a function of the internal nitrogen quota q (</w:t>
      </w:r>
      <w:proofErr w:type="spellStart"/>
      <w:r w:rsidR="00BA0DB8">
        <w:t>g</w:t>
      </w:r>
      <w:r w:rsidR="00BA0DB8" w:rsidRPr="00772175">
        <w:rPr>
          <w:vertAlign w:val="subscript"/>
        </w:rPr>
        <w:t>N</w:t>
      </w:r>
      <w:proofErr w:type="spellEnd"/>
      <w:r w:rsidR="00BA0DB8">
        <w:t xml:space="preserve"> g</w:t>
      </w:r>
      <w:r w:rsidR="00BA0DB8" w:rsidRPr="00772175">
        <w:rPr>
          <w:vertAlign w:val="subscript"/>
        </w:rPr>
        <w:t>X</w:t>
      </w:r>
      <w:r w:rsidR="00BA0DB8" w:rsidRPr="00BA0DB8">
        <w:rPr>
          <w:vertAlign w:val="superscript"/>
        </w:rPr>
        <w:t>-1</w:t>
      </w:r>
      <w:r w:rsidR="00BA0DB8">
        <w:t>):</w:t>
      </w:r>
      <w:r w:rsidR="00BA0DB8" w:rsidRPr="00BA0DB8">
        <w:t xml:space="preserve"> </w:t>
      </w:r>
    </w:p>
    <w:p w:rsidR="00050CC8" w:rsidRDefault="00BA0DB8" w:rsidP="001254E1">
      <w:pPr>
        <w:pStyle w:val="CETEquation"/>
        <w:jc w:val="right"/>
      </w:pPr>
      <m:oMath>
        <m:r>
          <m:rPr>
            <m:sty m:val="p"/>
          </m:rPr>
          <w:rPr>
            <w:rFonts w:ascii="Cambria Math" w:hAnsi="Cambria Math"/>
          </w:rPr>
          <m:t xml:space="preserve">µ </m:t>
        </m:r>
        <m:d>
          <m:dPr>
            <m:ctrlPr>
              <w:rPr>
                <w:rFonts w:ascii="Cambria Math" w:hAnsi="Cambria Math"/>
              </w:rPr>
            </m:ctrlPr>
          </m:dPr>
          <m:e>
            <m:r>
              <m:rPr>
                <m:sty m:val="p"/>
              </m:rPr>
              <w:rPr>
                <w:rFonts w:ascii="Cambria Math" w:hAnsi="Cambria Math"/>
              </w:rPr>
              <m:t>q</m:t>
            </m:r>
          </m:e>
        </m:d>
        <m:r>
          <m:rPr>
            <m:sty m:val="p"/>
          </m:rPr>
          <w:rPr>
            <w:rFonts w:ascii="Cambria Math" w:hAnsi="Cambria Math"/>
          </w:rPr>
          <m:t xml:space="preserve">= </m:t>
        </m:r>
        <m:acc>
          <m:accPr>
            <m:chr m:val="̅"/>
            <m:ctrlPr>
              <w:rPr>
                <w:rFonts w:ascii="Cambria Math" w:hAnsi="Cambria Math"/>
              </w:rPr>
            </m:ctrlPr>
          </m:accPr>
          <m:e>
            <m:r>
              <m:rPr>
                <m:sty m:val="p"/>
              </m:rPr>
              <w:rPr>
                <w:rFonts w:ascii="Cambria Math" w:hAnsi="Cambria Math"/>
              </w:rPr>
              <m:t>µ</m:t>
            </m:r>
          </m:e>
        </m:acc>
        <m:d>
          <m:dPr>
            <m:ctrlPr>
              <w:rPr>
                <w:rFonts w:ascii="Cambria Math" w:hAnsi="Cambria Math"/>
              </w:rPr>
            </m:ctrlPr>
          </m:dPr>
          <m:e>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q</m:t>
                    </m:r>
                  </m:e>
                  <m:sub>
                    <m:r>
                      <w:rPr>
                        <w:rFonts w:ascii="Cambria Math" w:hAnsi="Cambria Math"/>
                      </w:rPr>
                      <m:t>min</m:t>
                    </m:r>
                  </m:sub>
                </m:sSub>
              </m:num>
              <m:den>
                <m:r>
                  <m:rPr>
                    <m:sty m:val="p"/>
                  </m:rPr>
                  <w:rPr>
                    <w:rFonts w:ascii="Cambria Math" w:hAnsi="Cambria Math"/>
                  </w:rPr>
                  <m:t>q</m:t>
                </m:r>
              </m:den>
            </m:f>
          </m:e>
        </m:d>
        <m:r>
          <m:rPr>
            <m:sty m:val="p"/>
          </m:rPr>
          <w:rPr>
            <w:rFonts w:ascii="Cambria Math" w:hAnsi="Cambria Math"/>
          </w:rPr>
          <m:t xml:space="preserve"> </m:t>
        </m:r>
      </m:oMath>
      <w:r>
        <w:t xml:space="preserve">                                                                                                          </w:t>
      </w:r>
      <w:r w:rsidR="00D75F38">
        <w:t xml:space="preserve">  </w:t>
      </w:r>
      <w:r>
        <w:t xml:space="preserve">                               </w:t>
      </w:r>
      <w:r w:rsidR="0001003E">
        <w:t>(2)</w:t>
      </w:r>
    </w:p>
    <w:p w:rsidR="00F1505C" w:rsidRDefault="00BA0DB8" w:rsidP="00E376EA">
      <w:pPr>
        <w:pStyle w:val="CETBodytext"/>
      </w:pPr>
      <w:r>
        <w:t xml:space="preserve">where </w:t>
      </w:r>
      <w:proofErr w:type="spellStart"/>
      <w:r>
        <w:t>q</w:t>
      </w:r>
      <w:r>
        <w:rPr>
          <w:vertAlign w:val="subscript"/>
        </w:rPr>
        <w:t>min</w:t>
      </w:r>
      <w:proofErr w:type="spellEnd"/>
      <w:r>
        <w:rPr>
          <w:vertAlign w:val="subscript"/>
        </w:rPr>
        <w:t xml:space="preserve"> </w:t>
      </w:r>
      <w:r>
        <w:t>is the minimum internal nitrogen quota</w:t>
      </w:r>
      <w:r w:rsidR="00050CC8">
        <w:t xml:space="preserve"> and </w:t>
      </w:r>
      <m:oMath>
        <m:acc>
          <m:accPr>
            <m:chr m:val="̅"/>
            <m:ctrlPr>
              <w:rPr>
                <w:rFonts w:ascii="Cambria Math" w:hAnsi="Cambria Math"/>
                <w:i/>
              </w:rPr>
            </m:ctrlPr>
          </m:accPr>
          <m:e>
            <m:r>
              <w:rPr>
                <w:rFonts w:ascii="Cambria Math" w:hAnsi="Cambria Math"/>
              </w:rPr>
              <m:t>µ</m:t>
            </m:r>
          </m:e>
        </m:acc>
      </m:oMath>
      <w:r w:rsidR="00050CC8">
        <w:rPr>
          <w:vertAlign w:val="subscript"/>
        </w:rPr>
        <w:t xml:space="preserve"> </w:t>
      </w:r>
      <w:r w:rsidR="00050CC8">
        <w:t>is the maximum theoretical growth rate</w:t>
      </w:r>
      <w:r w:rsidR="00E376EA">
        <w:t xml:space="preserve"> (the growth rate at hypothetical infinite quota)</w:t>
      </w:r>
      <w:r w:rsidR="00050CC8">
        <w:t xml:space="preserve">. </w:t>
      </w:r>
    </w:p>
    <w:p w:rsidR="00050CC8" w:rsidRDefault="00050CC8" w:rsidP="00E376EA">
      <w:pPr>
        <w:pStyle w:val="CETBodytext"/>
      </w:pPr>
      <w:r>
        <w:t>The variation of q</w:t>
      </w:r>
      <w:r>
        <w:rPr>
          <w:vertAlign w:val="subscript"/>
        </w:rPr>
        <w:t xml:space="preserve"> </w:t>
      </w:r>
      <w:r>
        <w:t xml:space="preserve">with respect to cultivation time </w:t>
      </w:r>
      <w:r w:rsidR="00310674">
        <w:t>was expressed by Eq (3),</w:t>
      </w:r>
      <w:r>
        <w:t xml:space="preserve"> as follows:</w:t>
      </w:r>
    </w:p>
    <w:p w:rsidR="00E87DAD" w:rsidRDefault="005A2C4E" w:rsidP="001254E1">
      <w:pPr>
        <w:pStyle w:val="CETEquation"/>
        <w:jc w:val="right"/>
      </w:pPr>
      <m:oMath>
        <m:f>
          <m:fPr>
            <m:ctrlPr>
              <w:rPr>
                <w:rFonts w:ascii="Cambria Math" w:hAnsi="Cambria Math"/>
              </w:rPr>
            </m:ctrlPr>
          </m:fPr>
          <m:num>
            <m:r>
              <w:rPr>
                <w:rFonts w:ascii="Cambria Math" w:hAnsi="Cambria Math"/>
              </w:rPr>
              <m:t>dq</m:t>
            </m:r>
          </m:num>
          <m:den>
            <m:r>
              <w:rPr>
                <w:rFonts w:ascii="Cambria Math" w:hAnsi="Cambria Math"/>
              </w:rPr>
              <m:t>dt</m:t>
            </m:r>
          </m:den>
        </m:f>
        <m:r>
          <m:rPr>
            <m:sty m:val="p"/>
          </m:rPr>
          <w:rPr>
            <w:rFonts w:ascii="Cambria Math" w:hAnsi="Cambria Math"/>
          </w:rPr>
          <m:t xml:space="preserve">= </m:t>
        </m:r>
        <m:sSub>
          <m:sSubPr>
            <m:ctrlPr>
              <w:rPr>
                <w:rFonts w:ascii="Cambria Math" w:hAnsi="Cambria Math"/>
              </w:rPr>
            </m:ctrlPr>
          </m:sSubPr>
          <m:e>
            <m:r>
              <w:rPr>
                <w:rFonts w:ascii="Cambria Math" w:hAnsi="Cambria Math"/>
              </w:rPr>
              <m:t>r</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H</m:t>
            </m:r>
          </m:sub>
        </m:sSub>
        <m:r>
          <w:rPr>
            <w:rFonts w:ascii="Cambria Math" w:hAnsi="Cambria Math"/>
          </w:rPr>
          <m:t>q</m:t>
        </m:r>
        <m:r>
          <m:rPr>
            <m:sty m:val="p"/>
          </m:rPr>
          <w:rPr>
            <w:rFonts w:ascii="Cambria Math" w:hAnsi="Cambria Math"/>
          </w:rPr>
          <m:t xml:space="preserve">= </m:t>
        </m:r>
        <m:r>
          <w:rPr>
            <w:rFonts w:ascii="Cambria Math" w:hAnsi="Cambria Math"/>
          </w:rPr>
          <m:t>ρ</m:t>
        </m:r>
        <m:d>
          <m:dPr>
            <m:ctrlPr>
              <w:rPr>
                <w:rFonts w:ascii="Cambria Math" w:hAnsi="Cambria Math"/>
              </w:rPr>
            </m:ctrlPr>
          </m:dPr>
          <m:e>
            <m:r>
              <w:rPr>
                <w:rFonts w:ascii="Cambria Math" w:hAnsi="Cambria Math"/>
              </w:rPr>
              <m:t>N</m:t>
            </m:r>
          </m:e>
        </m:d>
        <m:r>
          <m:rPr>
            <m:sty m:val="p"/>
          </m:rPr>
          <w:rPr>
            <w:rFonts w:ascii="Cambria Math" w:hAnsi="Cambria Math"/>
          </w:rPr>
          <m:t>- µ</m:t>
        </m:r>
        <m:d>
          <m:dPr>
            <m:ctrlPr>
              <w:rPr>
                <w:rFonts w:ascii="Cambria Math" w:hAnsi="Cambria Math"/>
              </w:rPr>
            </m:ctrlPr>
          </m:dPr>
          <m:e>
            <m:r>
              <m:rPr>
                <m:sty m:val="p"/>
              </m:rPr>
              <w:rPr>
                <w:rFonts w:ascii="Cambria Math" w:hAnsi="Cambria Math"/>
              </w:rPr>
              <m:t>q</m:t>
            </m:r>
          </m:e>
        </m:d>
        <m:r>
          <m:rPr>
            <m:sty m:val="p"/>
          </m:rPr>
          <w:rPr>
            <w:rFonts w:ascii="Cambria Math" w:hAnsi="Cambria Math"/>
          </w:rPr>
          <m:t>q</m:t>
        </m:r>
      </m:oMath>
      <w:r w:rsidR="00E87DAD">
        <w:t xml:space="preserve">             </w:t>
      </w:r>
      <w:r w:rsidR="00D75F38">
        <w:t xml:space="preserve">       </w:t>
      </w:r>
      <w:r w:rsidR="00E87DAD">
        <w:t xml:space="preserve">                                                                                                  </w:t>
      </w:r>
      <w:r w:rsidR="0001003E">
        <w:t xml:space="preserve">   (3)</w:t>
      </w:r>
    </w:p>
    <w:p w:rsidR="00D47DAD" w:rsidRDefault="00D47DAD" w:rsidP="00E656A8">
      <w:pPr>
        <w:pStyle w:val="CETBodytext"/>
      </w:pPr>
      <w:r>
        <w:t xml:space="preserve">Variation of X </w:t>
      </w:r>
      <w:r w:rsidR="00DF21CE">
        <w:t>and N during time were given respectively by Eq (4) and Eq</w:t>
      </w:r>
      <w:r w:rsidR="00C02976">
        <w:t xml:space="preserve"> </w:t>
      </w:r>
      <w:r w:rsidR="00DF21CE">
        <w:t>(5):</w:t>
      </w:r>
    </w:p>
    <w:p w:rsidR="00DF21CE" w:rsidRPr="00C900DA" w:rsidRDefault="005A2C4E" w:rsidP="001254E1">
      <w:pPr>
        <w:pStyle w:val="CETEquation"/>
        <w:jc w:val="right"/>
      </w:pPr>
      <m:oMath>
        <m:f>
          <m:fPr>
            <m:ctrlPr>
              <w:rPr>
                <w:rFonts w:ascii="Cambria Math" w:hAnsi="Cambria Math"/>
              </w:rPr>
            </m:ctrlPr>
          </m:fPr>
          <m:num>
            <m:r>
              <w:rPr>
                <w:rFonts w:ascii="Cambria Math" w:hAnsi="Cambria Math"/>
              </w:rPr>
              <m:t>dX</m:t>
            </m:r>
          </m:num>
          <m:den>
            <m:r>
              <w:rPr>
                <w:rFonts w:ascii="Cambria Math" w:hAnsi="Cambria Math"/>
              </w:rPr>
              <m:t>dt</m:t>
            </m:r>
          </m:den>
        </m:f>
        <m:r>
          <m:rPr>
            <m:sty m:val="p"/>
          </m:rPr>
          <w:rPr>
            <w:rFonts w:ascii="Cambria Math" w:hAnsi="Cambria Math"/>
          </w:rPr>
          <m:t>= µ</m:t>
        </m:r>
        <m:d>
          <m:dPr>
            <m:ctrlPr>
              <w:rPr>
                <w:rFonts w:ascii="Cambria Math" w:hAnsi="Cambria Math"/>
              </w:rPr>
            </m:ctrlPr>
          </m:dPr>
          <m:e>
            <m:r>
              <w:rPr>
                <w:rFonts w:ascii="Cambria Math" w:hAnsi="Cambria Math"/>
              </w:rPr>
              <m:t>q</m:t>
            </m:r>
          </m:e>
        </m:d>
        <m:r>
          <w:rPr>
            <w:rFonts w:ascii="Cambria Math" w:hAnsi="Cambria Math"/>
          </w:rPr>
          <m:t>X</m:t>
        </m:r>
        <m:r>
          <m:rPr>
            <m:sty m:val="p"/>
          </m:rPr>
          <w:rPr>
            <w:rFonts w:ascii="Cambria Math" w:hAnsi="Cambria Math"/>
          </w:rPr>
          <m:t xml:space="preserve"> </m:t>
        </m:r>
      </m:oMath>
      <w:r w:rsidR="00DF21CE">
        <w:t xml:space="preserve">                                                                                                           </w:t>
      </w:r>
      <w:r w:rsidR="00D75F38">
        <w:t xml:space="preserve">  </w:t>
      </w:r>
      <w:r w:rsidR="00DF21CE">
        <w:t xml:space="preserve">                                           (4</w:t>
      </w:r>
      <w:r w:rsidR="00C900DA">
        <w:t>)</w:t>
      </w:r>
    </w:p>
    <w:p w:rsidR="00DF21CE" w:rsidRDefault="005A2C4E" w:rsidP="001254E1">
      <w:pPr>
        <w:pStyle w:val="CETEquation"/>
        <w:jc w:val="right"/>
      </w:pPr>
      <m:oMath>
        <m:f>
          <m:fPr>
            <m:ctrlPr>
              <w:rPr>
                <w:rFonts w:ascii="Cambria Math" w:hAnsi="Cambria Math"/>
              </w:rPr>
            </m:ctrlPr>
          </m:fPr>
          <m:num>
            <m:r>
              <w:rPr>
                <w:rFonts w:ascii="Cambria Math" w:hAnsi="Cambria Math"/>
              </w:rPr>
              <m:t>dN</m:t>
            </m:r>
          </m:num>
          <m:den>
            <m:r>
              <w:rPr>
                <w:rFonts w:ascii="Cambria Math" w:hAnsi="Cambria Math"/>
              </w:rPr>
              <m:t>dt</m:t>
            </m:r>
          </m:den>
        </m:f>
        <m:r>
          <m:rPr>
            <m:sty m:val="p"/>
          </m:rPr>
          <w:rPr>
            <w:rFonts w:ascii="Cambria Math" w:hAnsi="Cambria Math"/>
          </w:rPr>
          <m:t>= -</m:t>
        </m:r>
        <m:r>
          <w:rPr>
            <w:rFonts w:ascii="Cambria Math" w:hAnsi="Cambria Math"/>
          </w:rPr>
          <m:t>ρ</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X</m:t>
        </m:r>
      </m:oMath>
      <w:r w:rsidR="00DF21CE">
        <w:t xml:space="preserve">                                                                                                                                                    </w:t>
      </w:r>
      <w:r w:rsidR="0001003E">
        <w:t xml:space="preserve"> (5)</w:t>
      </w:r>
    </w:p>
    <w:p w:rsidR="003A207B" w:rsidRDefault="007679B4" w:rsidP="00E656A8">
      <w:pPr>
        <w:pStyle w:val="CETBodytext"/>
      </w:pPr>
      <w:r>
        <w:t xml:space="preserve">The model did not include the </w:t>
      </w:r>
      <w:r w:rsidR="00433C68">
        <w:t xml:space="preserve">influence of </w:t>
      </w:r>
      <w:r>
        <w:t xml:space="preserve">glucose because during all </w:t>
      </w:r>
      <w:r w:rsidR="00B67EAC">
        <w:t>the test</w:t>
      </w:r>
      <w:r w:rsidR="003A207B">
        <w:t>s</w:t>
      </w:r>
      <w:r w:rsidR="00B67EAC">
        <w:t xml:space="preserve"> the glucose concentration remained quite high </w:t>
      </w:r>
      <w:r w:rsidR="00192D7F">
        <w:t>(&gt; 1000 mg L</w:t>
      </w:r>
      <w:r w:rsidR="00192D7F" w:rsidRPr="00B67EAC">
        <w:rPr>
          <w:vertAlign w:val="superscript"/>
        </w:rPr>
        <w:t>-1</w:t>
      </w:r>
      <w:r w:rsidR="00192D7F">
        <w:t>)</w:t>
      </w:r>
      <w:r w:rsidR="00192D7F">
        <w:rPr>
          <w:vertAlign w:val="superscript"/>
        </w:rPr>
        <w:t xml:space="preserve"> </w:t>
      </w:r>
      <w:r w:rsidR="00B67EAC">
        <w:t>to exclude any influence on the growth rate</w:t>
      </w:r>
      <w:r w:rsidR="00192D7F">
        <w:t>. For comparison, the K</w:t>
      </w:r>
      <w:r w:rsidR="00192D7F">
        <w:rPr>
          <w:vertAlign w:val="subscript"/>
        </w:rPr>
        <w:t xml:space="preserve">S </w:t>
      </w:r>
      <w:r w:rsidR="00192D7F">
        <w:t>typically reported in literature for glucose are &lt; 10 mg L</w:t>
      </w:r>
      <w:r w:rsidR="00192D7F" w:rsidRPr="00192D7F">
        <w:rPr>
          <w:vertAlign w:val="superscript"/>
        </w:rPr>
        <w:t>-1</w:t>
      </w:r>
      <w:r w:rsidR="00192D7F">
        <w:t xml:space="preserve"> </w:t>
      </w:r>
      <w:r w:rsidR="00331BA6" w:rsidRPr="00331BA6">
        <w:t>(</w:t>
      </w:r>
      <w:proofErr w:type="spellStart"/>
      <w:r w:rsidR="00331BA6" w:rsidRPr="00331BA6">
        <w:t>Deschênes</w:t>
      </w:r>
      <w:proofErr w:type="spellEnd"/>
      <w:r w:rsidR="00331BA6" w:rsidRPr="00331BA6">
        <w:t>, 2016).</w:t>
      </w:r>
    </w:p>
    <w:p w:rsidR="00C02976" w:rsidRDefault="00C02976" w:rsidP="00EA6346">
      <w:pPr>
        <w:pStyle w:val="CETHeadingxx"/>
      </w:pPr>
      <w:r w:rsidRPr="00C02976">
        <w:t>2.5.2 Estimation of the parameters</w:t>
      </w:r>
    </w:p>
    <w:p w:rsidR="00C02976" w:rsidRDefault="00C02976" w:rsidP="00E656A8">
      <w:pPr>
        <w:pStyle w:val="CETBodytext"/>
      </w:pPr>
      <w:r>
        <w:rPr>
          <w:lang w:val="en-GB"/>
        </w:rPr>
        <w:t>The K</w:t>
      </w:r>
      <w:r>
        <w:rPr>
          <w:vertAlign w:val="subscript"/>
          <w:lang w:val="en-GB"/>
        </w:rPr>
        <w:t>N</w:t>
      </w:r>
      <w:r>
        <w:rPr>
          <w:lang w:val="en-GB"/>
        </w:rPr>
        <w:t xml:space="preserve"> value was fixed </w:t>
      </w:r>
      <w:r w:rsidR="00D12F14">
        <w:rPr>
          <w:lang w:val="en-GB"/>
        </w:rPr>
        <w:t xml:space="preserve">at </w:t>
      </w:r>
      <w:r w:rsidR="00D12F14">
        <w:t>10</w:t>
      </w:r>
      <w:r w:rsidR="00D12F14" w:rsidRPr="00FD3638">
        <w:rPr>
          <w:vertAlign w:val="superscript"/>
        </w:rPr>
        <w:t>-5</w:t>
      </w:r>
      <w:r w:rsidR="00D12F14">
        <w:t xml:space="preserve"> </w:t>
      </w:r>
      <w:proofErr w:type="spellStart"/>
      <w:r w:rsidR="00D12F14">
        <w:t>g</w:t>
      </w:r>
      <w:r w:rsidR="00D12F14" w:rsidRPr="00FD3638">
        <w:rPr>
          <w:vertAlign w:val="subscript"/>
        </w:rPr>
        <w:t>N</w:t>
      </w:r>
      <w:proofErr w:type="spellEnd"/>
      <w:r w:rsidR="00D12F14">
        <w:t xml:space="preserve"> L</w:t>
      </w:r>
      <w:r w:rsidR="00D12F14" w:rsidRPr="00FD3638">
        <w:rPr>
          <w:vertAlign w:val="superscript"/>
        </w:rPr>
        <w:t>-1</w:t>
      </w:r>
      <w:r w:rsidR="00D12F14">
        <w:t>, such value was taken from previous literature data (</w:t>
      </w:r>
      <w:proofErr w:type="spellStart"/>
      <w:r w:rsidR="00D12F14">
        <w:t>Mairet</w:t>
      </w:r>
      <w:proofErr w:type="spellEnd"/>
      <w:r w:rsidR="00D12F14">
        <w:t xml:space="preserve"> et al. 2011). </w:t>
      </w:r>
      <w:r>
        <w:rPr>
          <w:lang w:val="en-GB"/>
        </w:rPr>
        <w:t xml:space="preserve">The optimal values of </w:t>
      </w:r>
      <m:oMath>
        <m:acc>
          <m:accPr>
            <m:chr m:val="̅"/>
            <m:ctrlPr>
              <w:rPr>
                <w:rFonts w:ascii="Cambria Math" w:hAnsi="Cambria Math"/>
                <w:i/>
              </w:rPr>
            </m:ctrlPr>
          </m:accPr>
          <m:e>
            <m:r>
              <w:rPr>
                <w:rFonts w:ascii="Cambria Math" w:hAnsi="Cambria Math"/>
              </w:rPr>
              <m:t>µ</m:t>
            </m:r>
          </m:e>
        </m:acc>
      </m:oMath>
      <w:r>
        <w:t>, q</w:t>
      </w:r>
      <w:r>
        <w:rPr>
          <w:vertAlign w:val="subscript"/>
        </w:rPr>
        <w:t>min</w:t>
      </w:r>
      <w:r w:rsidR="00C72DB7">
        <w:rPr>
          <w:vertAlign w:val="subscript"/>
        </w:rPr>
        <w:t xml:space="preserve"> </w:t>
      </w:r>
      <w:r w:rsidR="00C72DB7">
        <w:t xml:space="preserve">and </w:t>
      </w:r>
      <w:proofErr w:type="spellStart"/>
      <w:r w:rsidR="00C72DB7">
        <w:rPr>
          <w:rFonts w:cs="Arial"/>
        </w:rPr>
        <w:t>ρ</w:t>
      </w:r>
      <w:r w:rsidR="00C72DB7">
        <w:rPr>
          <w:vertAlign w:val="subscript"/>
        </w:rPr>
        <w:t>max</w:t>
      </w:r>
      <w:proofErr w:type="spellEnd"/>
      <w:r w:rsidR="00C72DB7">
        <w:rPr>
          <w:vertAlign w:val="subscript"/>
        </w:rPr>
        <w:t xml:space="preserve"> </w:t>
      </w:r>
      <w:r w:rsidR="00C72DB7">
        <w:t>were estimated by the minimization of the sum of squared residuals.</w:t>
      </w:r>
      <w:r w:rsidR="00874B62">
        <w:t xml:space="preserve"> The value of </w:t>
      </w:r>
      <w:proofErr w:type="spellStart"/>
      <w:r w:rsidR="00874B62">
        <w:t>q</w:t>
      </w:r>
      <w:r w:rsidR="00874B62" w:rsidRPr="00874B62">
        <w:rPr>
          <w:vertAlign w:val="subscript"/>
        </w:rPr>
        <w:t>max</w:t>
      </w:r>
      <w:proofErr w:type="spellEnd"/>
      <w:r w:rsidR="00874B62" w:rsidRPr="00874B62">
        <w:rPr>
          <w:vertAlign w:val="subscript"/>
        </w:rPr>
        <w:t xml:space="preserve"> </w:t>
      </w:r>
      <w:r w:rsidR="00874B62">
        <w:t xml:space="preserve">was </w:t>
      </w:r>
      <w:r w:rsidR="00874B62" w:rsidRPr="00874B62">
        <w:t xml:space="preserve">estimated by using </w:t>
      </w:r>
      <w:r w:rsidR="00874B62">
        <w:t xml:space="preserve">Eq (6), on the base of </w:t>
      </w:r>
      <w:r w:rsidR="00874B62" w:rsidRPr="00874B62">
        <w:t>the parameter</w:t>
      </w:r>
      <w:r w:rsidR="00FA69D3">
        <w:t xml:space="preserve"> </w:t>
      </w:r>
      <w:r w:rsidR="00874B62" w:rsidRPr="00874B62">
        <w:t xml:space="preserve">values obtained by fitting the model to the </w:t>
      </w:r>
      <w:r w:rsidR="001202CA">
        <w:t xml:space="preserve">experimental </w:t>
      </w:r>
      <w:r w:rsidR="00874B62" w:rsidRPr="00874B62">
        <w:t xml:space="preserve">data derived in presence of nitrogen </w:t>
      </w:r>
      <w:r w:rsidR="005A37B7" w:rsidRPr="005A37B7">
        <w:t>(Bernard</w:t>
      </w:r>
      <w:r w:rsidR="00D94919">
        <w:t>,</w:t>
      </w:r>
      <w:r w:rsidR="005A37B7" w:rsidRPr="005A37B7">
        <w:t xml:space="preserve"> 2011).</w:t>
      </w:r>
    </w:p>
    <w:p w:rsidR="00874B62" w:rsidRPr="00874B62" w:rsidRDefault="005A2C4E" w:rsidP="001254E1">
      <w:pPr>
        <w:pStyle w:val="CETEquation"/>
        <w:jc w:val="right"/>
      </w:pPr>
      <m:oMath>
        <m:sSub>
          <m:sSubPr>
            <m:ctrlPr>
              <w:rPr>
                <w:rFonts w:ascii="Cambria Math" w:hAnsi="Cambria Math"/>
              </w:rPr>
            </m:ctrlPr>
          </m:sSubPr>
          <m:e>
            <m:r>
              <w:rPr>
                <w:rFonts w:ascii="Cambria Math" w:hAnsi="Cambria Math"/>
              </w:rPr>
              <m:t>q</m:t>
            </m:r>
          </m:e>
          <m:sub>
            <m:r>
              <w:rPr>
                <w:rFonts w:ascii="Cambria Math" w:hAnsi="Cambria Math"/>
              </w:rPr>
              <m:t>max</m:t>
            </m:r>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ρ</m:t>
                </m:r>
              </m:e>
              <m:sub>
                <m:r>
                  <w:rPr>
                    <w:rFonts w:ascii="Cambria Math" w:hAnsi="Cambria Math"/>
                  </w:rPr>
                  <m:t>max</m:t>
                </m:r>
              </m:sub>
            </m:sSub>
          </m:num>
          <m:den>
            <m:acc>
              <m:accPr>
                <m:chr m:val="̅"/>
                <m:ctrlPr>
                  <w:rPr>
                    <w:rFonts w:ascii="Cambria Math" w:hAnsi="Cambria Math"/>
                  </w:rPr>
                </m:ctrlPr>
              </m:accPr>
              <m:e>
                <m:r>
                  <m:rPr>
                    <m:sty m:val="p"/>
                  </m:rPr>
                  <w:rPr>
                    <w:rFonts w:ascii="Cambria Math" w:hAnsi="Cambria Math"/>
                  </w:rPr>
                  <m:t>µ</m:t>
                </m:r>
              </m:e>
            </m:acc>
          </m:den>
        </m:f>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min</m:t>
            </m:r>
          </m:sub>
        </m:sSub>
      </m:oMath>
      <w:r w:rsidR="002266EC">
        <w:t xml:space="preserve">                                                                                                </w:t>
      </w:r>
      <w:r w:rsidR="0001003E">
        <w:t xml:space="preserve"> </w:t>
      </w:r>
      <w:r w:rsidR="002266EC">
        <w:t xml:space="preserve">                                      </w:t>
      </w:r>
      <w:r w:rsidR="0001003E">
        <w:t>(6)</w:t>
      </w:r>
    </w:p>
    <w:p w:rsidR="00C87EC9" w:rsidRDefault="00C87EC9" w:rsidP="00C87EC9">
      <w:pPr>
        <w:pStyle w:val="CETHeading1"/>
      </w:pPr>
      <w:r>
        <w:t>Results and discussion</w:t>
      </w:r>
    </w:p>
    <w:p w:rsidR="00D402B6" w:rsidRDefault="00FA69D3" w:rsidP="00D402B6">
      <w:pPr>
        <w:pStyle w:val="CETheadingx"/>
        <w:numPr>
          <w:ilvl w:val="0"/>
          <w:numId w:val="0"/>
        </w:numPr>
      </w:pPr>
      <w:r>
        <w:t>3</w:t>
      </w:r>
      <w:r w:rsidR="00D402B6">
        <w:t>.1 Isolation of the axenic strain</w:t>
      </w:r>
    </w:p>
    <w:p w:rsidR="00600535" w:rsidRPr="00B57B36" w:rsidRDefault="00FF4389" w:rsidP="00600535">
      <w:pPr>
        <w:pStyle w:val="CETBodytext"/>
        <w:rPr>
          <w:lang w:val="en-GB"/>
        </w:rPr>
      </w:pPr>
      <w:r>
        <w:rPr>
          <w:lang w:val="en-GB"/>
        </w:rPr>
        <w:t>Among the differen</w:t>
      </w:r>
      <w:r w:rsidR="004B5EA0">
        <w:rPr>
          <w:lang w:val="en-GB"/>
        </w:rPr>
        <w:t>t</w:t>
      </w:r>
      <w:r w:rsidR="00803557">
        <w:rPr>
          <w:lang w:val="en-GB"/>
        </w:rPr>
        <w:t xml:space="preserve"> tested strategies, the condition 4 (Table 1) was the only one by which an axenic strain of </w:t>
      </w:r>
      <w:r w:rsidR="00803557" w:rsidRPr="00803557">
        <w:rPr>
          <w:i/>
          <w:lang w:val="en-GB"/>
        </w:rPr>
        <w:t>T. o</w:t>
      </w:r>
      <w:r w:rsidR="00803557">
        <w:rPr>
          <w:i/>
          <w:lang w:val="en-GB"/>
        </w:rPr>
        <w:t>b</w:t>
      </w:r>
      <w:r w:rsidR="00803557" w:rsidRPr="00803557">
        <w:rPr>
          <w:i/>
          <w:lang w:val="en-GB"/>
        </w:rPr>
        <w:t>liquus</w:t>
      </w:r>
      <w:r w:rsidR="00803557">
        <w:rPr>
          <w:lang w:val="en-GB"/>
        </w:rPr>
        <w:t xml:space="preserve"> could be obtained. This condition correspond</w:t>
      </w:r>
      <w:r w:rsidR="00FA69D3">
        <w:rPr>
          <w:lang w:val="en-GB"/>
        </w:rPr>
        <w:t>ed</w:t>
      </w:r>
      <w:r w:rsidR="00803557">
        <w:rPr>
          <w:lang w:val="en-GB"/>
        </w:rPr>
        <w:t xml:space="preserve"> to the only one in which all the three </w:t>
      </w:r>
      <w:r w:rsidR="000F24B0">
        <w:rPr>
          <w:lang w:val="en-GB"/>
        </w:rPr>
        <w:t xml:space="preserve">tested </w:t>
      </w:r>
      <w:r w:rsidR="00803557">
        <w:rPr>
          <w:lang w:val="en-GB"/>
        </w:rPr>
        <w:t xml:space="preserve">antibiotics </w:t>
      </w:r>
      <w:r w:rsidR="000F24B0">
        <w:rPr>
          <w:lang w:val="en-GB"/>
        </w:rPr>
        <w:t>(</w:t>
      </w:r>
      <w:r w:rsidR="0049485A">
        <w:rPr>
          <w:lang w:val="en-GB"/>
        </w:rPr>
        <w:t>ampicillin, penicillin and streptomycin</w:t>
      </w:r>
      <w:r w:rsidR="000F24B0">
        <w:rPr>
          <w:lang w:val="en-GB"/>
        </w:rPr>
        <w:t>)</w:t>
      </w:r>
      <w:r w:rsidR="0049485A">
        <w:rPr>
          <w:lang w:val="en-GB"/>
        </w:rPr>
        <w:t xml:space="preserve"> </w:t>
      </w:r>
      <w:r w:rsidR="00803557">
        <w:rPr>
          <w:lang w:val="en-GB"/>
        </w:rPr>
        <w:t>were added simultaneously. This result is likely due to the large variability of the bacteria s</w:t>
      </w:r>
      <w:r w:rsidR="004B5EA0">
        <w:rPr>
          <w:lang w:val="en-GB"/>
        </w:rPr>
        <w:t>pecies</w:t>
      </w:r>
      <w:r w:rsidR="00803557">
        <w:rPr>
          <w:lang w:val="en-GB"/>
        </w:rPr>
        <w:t xml:space="preserve"> that live in symbiosis with microalgae</w:t>
      </w:r>
      <w:r w:rsidR="005A37B7">
        <w:rPr>
          <w:lang w:val="en-GB"/>
        </w:rPr>
        <w:t xml:space="preserve"> </w:t>
      </w:r>
      <w:r w:rsidR="005A37B7" w:rsidRPr="005A37B7">
        <w:rPr>
          <w:lang w:val="en-GB"/>
        </w:rPr>
        <w:t>(</w:t>
      </w:r>
      <w:r w:rsidR="00E6725C" w:rsidRPr="00E6725C">
        <w:rPr>
          <w:lang w:val="en-GB"/>
        </w:rPr>
        <w:t>Ramanan</w:t>
      </w:r>
      <w:r w:rsidR="00E6725C">
        <w:rPr>
          <w:lang w:val="en-GB"/>
        </w:rPr>
        <w:t xml:space="preserve"> </w:t>
      </w:r>
      <w:r w:rsidR="005A37B7" w:rsidRPr="005A37B7">
        <w:rPr>
          <w:lang w:val="en-GB"/>
        </w:rPr>
        <w:t>et al.</w:t>
      </w:r>
      <w:r w:rsidR="00D94919">
        <w:rPr>
          <w:lang w:val="en-GB"/>
        </w:rPr>
        <w:t>,</w:t>
      </w:r>
      <w:r w:rsidR="005A37B7" w:rsidRPr="005A37B7">
        <w:rPr>
          <w:lang w:val="en-GB"/>
        </w:rPr>
        <w:t xml:space="preserve"> 201</w:t>
      </w:r>
      <w:r w:rsidR="00E6725C">
        <w:rPr>
          <w:lang w:val="en-GB"/>
        </w:rPr>
        <w:t>5</w:t>
      </w:r>
      <w:r w:rsidR="005A37B7" w:rsidRPr="005A37B7">
        <w:rPr>
          <w:lang w:val="en-GB"/>
        </w:rPr>
        <w:t>)</w:t>
      </w:r>
      <w:r w:rsidR="00527F7F">
        <w:rPr>
          <w:lang w:val="en-GB"/>
        </w:rPr>
        <w:t>, which makes a single antibiotic effective only versus some strains.</w:t>
      </w:r>
    </w:p>
    <w:p w:rsidR="002A3F91" w:rsidRDefault="00FA69D3" w:rsidP="002A3F91">
      <w:pPr>
        <w:pStyle w:val="CETheadingx"/>
        <w:numPr>
          <w:ilvl w:val="0"/>
          <w:numId w:val="0"/>
        </w:numPr>
      </w:pPr>
      <w:r>
        <w:t>3</w:t>
      </w:r>
      <w:r w:rsidR="002A3F91">
        <w:t>.2 Heterotrophic growth</w:t>
      </w:r>
    </w:p>
    <w:p w:rsidR="00C02976" w:rsidRPr="00757874" w:rsidRDefault="00884E11" w:rsidP="00757874">
      <w:pPr>
        <w:pStyle w:val="CETBodytext"/>
      </w:pPr>
      <w:r>
        <w:rPr>
          <w:lang w:val="en-GB"/>
        </w:rPr>
        <w:t>The evolution of biomass concentration (X) during the cultivation is reported in Figure 1a</w:t>
      </w:r>
      <w:r w:rsidR="00606B14">
        <w:rPr>
          <w:lang w:val="en-GB"/>
        </w:rPr>
        <w:t xml:space="preserve"> for both the</w:t>
      </w:r>
      <w:r>
        <w:rPr>
          <w:lang w:val="en-GB"/>
        </w:rPr>
        <w:t xml:space="preserve"> initial N concentrations tested. </w:t>
      </w:r>
      <w:r w:rsidR="00B67EAC">
        <w:rPr>
          <w:lang w:val="en-GB"/>
        </w:rPr>
        <w:t>In the test with initial N = 45 mg L</w:t>
      </w:r>
      <w:r w:rsidR="00B67EAC" w:rsidRPr="00B67EAC">
        <w:rPr>
          <w:vertAlign w:val="superscript"/>
          <w:lang w:val="en-GB"/>
        </w:rPr>
        <w:t>-1</w:t>
      </w:r>
      <w:r w:rsidR="00B67EAC">
        <w:rPr>
          <w:lang w:val="en-GB"/>
        </w:rPr>
        <w:t>, the biomass grew until</w:t>
      </w:r>
      <w:r w:rsidR="00606B14">
        <w:rPr>
          <w:lang w:val="en-GB"/>
        </w:rPr>
        <w:t xml:space="preserve"> reaching 1.1 </w:t>
      </w:r>
      <w:r w:rsidR="00A12913">
        <w:rPr>
          <w:rFonts w:cs="Arial"/>
          <w:lang w:val="en-GB"/>
        </w:rPr>
        <w:t>±</w:t>
      </w:r>
      <w:r w:rsidR="00A12913">
        <w:rPr>
          <w:lang w:val="en-GB"/>
        </w:rPr>
        <w:t xml:space="preserve"> 0.1 </w:t>
      </w:r>
      <w:r w:rsidR="00606B14">
        <w:rPr>
          <w:lang w:val="en-GB"/>
        </w:rPr>
        <w:t>g L</w:t>
      </w:r>
      <w:r w:rsidR="00606B14">
        <w:rPr>
          <w:vertAlign w:val="superscript"/>
          <w:lang w:val="en-GB"/>
        </w:rPr>
        <w:t xml:space="preserve">-1 </w:t>
      </w:r>
      <w:r w:rsidR="00606B14">
        <w:rPr>
          <w:lang w:val="en-GB"/>
        </w:rPr>
        <w:t xml:space="preserve">of final biomass concentration at the third day, after that X remained constant </w:t>
      </w:r>
      <w:r w:rsidR="00EE5783">
        <w:rPr>
          <w:lang w:val="en-GB"/>
        </w:rPr>
        <w:t>and</w:t>
      </w:r>
      <w:r w:rsidR="00606B14">
        <w:rPr>
          <w:lang w:val="en-GB"/>
        </w:rPr>
        <w:t xml:space="preserve"> </w:t>
      </w:r>
      <w:proofErr w:type="spellStart"/>
      <w:r w:rsidR="00606B14">
        <w:rPr>
          <w:lang w:val="en-GB"/>
        </w:rPr>
        <w:t>q</w:t>
      </w:r>
      <w:r w:rsidR="00606B14">
        <w:rPr>
          <w:vertAlign w:val="subscript"/>
          <w:lang w:val="en-GB"/>
        </w:rPr>
        <w:t>min</w:t>
      </w:r>
      <w:proofErr w:type="spellEnd"/>
      <w:r w:rsidR="00606B14">
        <w:rPr>
          <w:vertAlign w:val="subscript"/>
          <w:lang w:val="en-GB"/>
        </w:rPr>
        <w:t xml:space="preserve"> </w:t>
      </w:r>
      <w:r w:rsidR="00606B14">
        <w:rPr>
          <w:lang w:val="en-GB"/>
        </w:rPr>
        <w:t>was reached</w:t>
      </w:r>
      <w:r w:rsidR="00D82C6D">
        <w:rPr>
          <w:lang w:val="en-GB"/>
        </w:rPr>
        <w:t xml:space="preserve"> (Figure 1c)</w:t>
      </w:r>
      <w:r w:rsidR="00606B14">
        <w:rPr>
          <w:lang w:val="en-GB"/>
        </w:rPr>
        <w:t xml:space="preserve">. </w:t>
      </w:r>
      <w:r w:rsidR="00402D1C" w:rsidRPr="00757874">
        <w:t xml:space="preserve">Instead, in the test in which there was no N in the </w:t>
      </w:r>
      <w:r w:rsidR="007B6711" w:rsidRPr="00757874">
        <w:t>culture</w:t>
      </w:r>
      <w:r w:rsidR="00402D1C" w:rsidRPr="00757874">
        <w:t xml:space="preserve"> medi</w:t>
      </w:r>
      <w:r w:rsidR="00406D66" w:rsidRPr="00757874">
        <w:t>um</w:t>
      </w:r>
      <w:r w:rsidR="00402D1C" w:rsidRPr="00757874">
        <w:t xml:space="preserve"> at the begin</w:t>
      </w:r>
      <w:r w:rsidR="00FA69D3">
        <w:t>ning</w:t>
      </w:r>
      <w:r w:rsidR="00402D1C" w:rsidRPr="00757874">
        <w:t xml:space="preserve"> of the cultivation, the final X was lower and equal to 0.13 </w:t>
      </w:r>
      <w:r w:rsidR="00A12913" w:rsidRPr="00757874">
        <w:t xml:space="preserve">± 0.03 </w:t>
      </w:r>
      <w:r w:rsidR="00402D1C" w:rsidRPr="00757874">
        <w:t>g L</w:t>
      </w:r>
      <w:r w:rsidR="00402D1C" w:rsidRPr="00FA69D3">
        <w:rPr>
          <w:vertAlign w:val="superscript"/>
        </w:rPr>
        <w:t>-1</w:t>
      </w:r>
      <w:r w:rsidR="00402D1C" w:rsidRPr="00757874">
        <w:t xml:space="preserve">. The reduced growth was given by the absence of </w:t>
      </w:r>
      <w:r w:rsidR="00527F7F" w:rsidRPr="00757874">
        <w:t>N</w:t>
      </w:r>
      <w:r w:rsidR="00402D1C" w:rsidRPr="00757874">
        <w:t xml:space="preserve">. While in the presence of N </w:t>
      </w:r>
      <w:r w:rsidR="004F5B3A">
        <w:t xml:space="preserve">(N-replete) </w:t>
      </w:r>
      <w:r w:rsidR="00402D1C" w:rsidRPr="00757874">
        <w:t xml:space="preserve">microalgae </w:t>
      </w:r>
      <w:r w:rsidR="00DA6530">
        <w:t>biomass</w:t>
      </w:r>
      <w:r w:rsidR="00D82C6D" w:rsidRPr="00757874">
        <w:t xml:space="preserve"> growth is given by cell duplication</w:t>
      </w:r>
      <w:r w:rsidR="00402D1C" w:rsidRPr="00757874">
        <w:t>, in the absence of N (N-starvation)</w:t>
      </w:r>
      <w:r w:rsidR="0077590B" w:rsidRPr="00757874">
        <w:t>,</w:t>
      </w:r>
      <w:r w:rsidR="00402D1C" w:rsidRPr="00757874">
        <w:t xml:space="preserve"> cell duplication is </w:t>
      </w:r>
      <w:proofErr w:type="gramStart"/>
      <w:r w:rsidR="00402D1C" w:rsidRPr="00757874">
        <w:t>stopped</w:t>
      </w:r>
      <w:proofErr w:type="gramEnd"/>
      <w:r w:rsidR="00402D1C" w:rsidRPr="00757874">
        <w:t xml:space="preserve"> and </w:t>
      </w:r>
      <w:r w:rsidR="00247083">
        <w:t>biomass</w:t>
      </w:r>
      <w:r w:rsidR="00402D1C" w:rsidRPr="00757874">
        <w:t xml:space="preserve"> grow</w:t>
      </w:r>
      <w:r w:rsidR="0077590B" w:rsidRPr="00757874">
        <w:t>th</w:t>
      </w:r>
      <w:r w:rsidR="00402D1C" w:rsidRPr="00757874">
        <w:t xml:space="preserve"> is mainly given by the </w:t>
      </w:r>
      <w:r w:rsidR="00D82C6D" w:rsidRPr="00757874">
        <w:t xml:space="preserve">limited amount of </w:t>
      </w:r>
      <w:r w:rsidR="00402D1C" w:rsidRPr="00757874">
        <w:t>organic molecule</w:t>
      </w:r>
      <w:r w:rsidR="003E63A9" w:rsidRPr="00757874">
        <w:t>s</w:t>
      </w:r>
      <w:r w:rsidR="00402D1C" w:rsidRPr="00757874">
        <w:t xml:space="preserve"> </w:t>
      </w:r>
      <w:r w:rsidR="00D82C6D" w:rsidRPr="00757874">
        <w:t xml:space="preserve">that can be accumulated </w:t>
      </w:r>
      <w:r w:rsidR="00402D1C" w:rsidRPr="00757874">
        <w:t>inside cells</w:t>
      </w:r>
      <w:r w:rsidR="00247083">
        <w:t>. Such accumulation</w:t>
      </w:r>
      <w:r w:rsidR="00402D1C" w:rsidRPr="00757874">
        <w:t xml:space="preserve"> </w:t>
      </w:r>
      <w:r w:rsidR="00247083">
        <w:t xml:space="preserve">of organic molecules </w:t>
      </w:r>
      <w:r w:rsidR="00402D1C" w:rsidRPr="00757874">
        <w:t>increase</w:t>
      </w:r>
      <w:r w:rsidR="00247083">
        <w:t>s</w:t>
      </w:r>
      <w:r w:rsidR="00402D1C" w:rsidRPr="00757874">
        <w:t xml:space="preserve"> </w:t>
      </w:r>
      <w:r w:rsidR="00D82C6D" w:rsidRPr="00757874">
        <w:t>cell</w:t>
      </w:r>
      <w:r w:rsidR="00402D1C" w:rsidRPr="00757874">
        <w:t xml:space="preserve"> size and reduce</w:t>
      </w:r>
      <w:r w:rsidR="00247083">
        <w:t>s</w:t>
      </w:r>
      <w:r w:rsidR="00402D1C" w:rsidRPr="00757874">
        <w:t xml:space="preserve"> q</w:t>
      </w:r>
      <w:r w:rsidR="003E63A9" w:rsidRPr="00757874">
        <w:t xml:space="preserve"> </w:t>
      </w:r>
      <w:r w:rsidR="000D60C4" w:rsidRPr="000D60C4">
        <w:t>(Di Caprio et al.</w:t>
      </w:r>
      <w:r w:rsidR="00D94919">
        <w:t>,</w:t>
      </w:r>
      <w:r w:rsidR="000D60C4" w:rsidRPr="000D60C4">
        <w:t xml:space="preserve"> 2018</w:t>
      </w:r>
      <w:r w:rsidR="00270E69">
        <w:t>a</w:t>
      </w:r>
      <w:r w:rsidR="000D60C4" w:rsidRPr="000D60C4">
        <w:t>).</w:t>
      </w:r>
    </w:p>
    <w:p w:rsidR="000D60C4" w:rsidRPr="001F4775" w:rsidRDefault="003A207B" w:rsidP="00757874">
      <w:pPr>
        <w:pStyle w:val="CETBodytext"/>
      </w:pPr>
      <w:r w:rsidRPr="00757874">
        <w:t xml:space="preserve">In order to determine the </w:t>
      </w:r>
      <w:r w:rsidR="008444C0" w:rsidRPr="00757874">
        <w:t xml:space="preserve">growth </w:t>
      </w:r>
      <w:r w:rsidRPr="00757874">
        <w:t xml:space="preserve">parameters of the model, a first regression was carried out on </w:t>
      </w:r>
      <w:r w:rsidR="008444C0" w:rsidRPr="00757874">
        <w:t>experimental</w:t>
      </w:r>
      <w:r w:rsidRPr="00757874">
        <w:t xml:space="preserve"> data obtained with initial N = 45 mg L</w:t>
      </w:r>
      <w:r w:rsidRPr="000D60C4">
        <w:rPr>
          <w:vertAlign w:val="superscript"/>
        </w:rPr>
        <w:t>-1</w:t>
      </w:r>
      <w:r w:rsidRPr="00757874">
        <w:t xml:space="preserve">. </w:t>
      </w:r>
      <w:r w:rsidR="00287880" w:rsidRPr="00757874">
        <w:t xml:space="preserve">As shown in Figure 1a and Figure 1b, the model was able to represent </w:t>
      </w:r>
      <w:r w:rsidR="00287880" w:rsidRPr="00757874">
        <w:lastRenderedPageBreak/>
        <w:t>well both data of biomass concentration and data of nitrogen concentration. The parameter</w:t>
      </w:r>
      <w:r w:rsidR="008444C0" w:rsidRPr="00757874">
        <w:t>s</w:t>
      </w:r>
      <w:r w:rsidR="00287880" w:rsidRPr="00757874">
        <w:t xml:space="preserve"> estimated </w:t>
      </w:r>
      <w:r w:rsidR="00527F7F" w:rsidRPr="00757874">
        <w:t>by</w:t>
      </w:r>
      <w:r w:rsidR="00287880" w:rsidRPr="00757874">
        <w:t xml:space="preserve"> this regression are reported in Table 2. The values of</w:t>
      </w:r>
      <w:r w:rsidR="00B16BBB" w:rsidRPr="00757874">
        <w:t xml:space="preserve"> </w:t>
      </w:r>
      <m:oMath>
        <m:acc>
          <m:accPr>
            <m:chr m:val="̅"/>
            <m:ctrlPr>
              <w:rPr>
                <w:rFonts w:ascii="Cambria Math" w:hAnsi="Cambria Math"/>
              </w:rPr>
            </m:ctrlPr>
          </m:accPr>
          <m:e>
            <m:r>
              <m:rPr>
                <m:sty m:val="p"/>
              </m:rPr>
              <w:rPr>
                <w:rFonts w:ascii="Cambria Math" w:hAnsi="Cambria Math"/>
              </w:rPr>
              <m:t>µ</m:t>
            </m:r>
          </m:e>
        </m:acc>
      </m:oMath>
      <w:r w:rsidR="008444C0" w:rsidRPr="00757874">
        <w:t xml:space="preserve"> </w:t>
      </w:r>
      <w:r w:rsidR="00287880" w:rsidRPr="00757874">
        <w:t xml:space="preserve">and </w:t>
      </w:r>
      <w:proofErr w:type="spellStart"/>
      <w:r w:rsidR="004F79CB" w:rsidRPr="00757874">
        <w:t>q</w:t>
      </w:r>
      <w:r w:rsidR="004F79CB" w:rsidRPr="00FA69D3">
        <w:rPr>
          <w:vertAlign w:val="subscript"/>
        </w:rPr>
        <w:t>max</w:t>
      </w:r>
      <w:proofErr w:type="spellEnd"/>
      <w:r w:rsidR="004F79CB" w:rsidRPr="00757874">
        <w:t xml:space="preserve"> </w:t>
      </w:r>
      <w:r w:rsidR="009F3919" w:rsidRPr="00757874">
        <w:t>were</w:t>
      </w:r>
      <w:r w:rsidR="004F79CB" w:rsidRPr="00757874">
        <w:t xml:space="preserve"> comparable with those previously reported for</w:t>
      </w:r>
      <w:r w:rsidR="00542BDB">
        <w:t xml:space="preserve"> </w:t>
      </w:r>
      <w:r w:rsidR="00542BDB" w:rsidRPr="00FD3638">
        <w:rPr>
          <w:i/>
        </w:rPr>
        <w:t xml:space="preserve">I. </w:t>
      </w:r>
      <w:proofErr w:type="spellStart"/>
      <w:r w:rsidR="00542BDB" w:rsidRPr="00FD3638">
        <w:rPr>
          <w:i/>
        </w:rPr>
        <w:t>galbana</w:t>
      </w:r>
      <w:proofErr w:type="spellEnd"/>
      <w:r w:rsidR="004F79CB" w:rsidRPr="00757874">
        <w:t xml:space="preserve"> </w:t>
      </w:r>
      <w:r w:rsidR="00CF3038">
        <w:t>(</w:t>
      </w:r>
      <w:proofErr w:type="spellStart"/>
      <w:r w:rsidR="00CF3038" w:rsidRPr="000D60C4">
        <w:t>Mairet</w:t>
      </w:r>
      <w:proofErr w:type="spellEnd"/>
      <w:r w:rsidR="00CF3038" w:rsidRPr="000D60C4">
        <w:t xml:space="preserve"> et al.</w:t>
      </w:r>
      <w:r w:rsidR="00CF3038">
        <w:t xml:space="preserve">, </w:t>
      </w:r>
      <w:r w:rsidR="00CF3038" w:rsidRPr="000D60C4">
        <w:t>2011</w:t>
      </w:r>
      <w:r w:rsidR="00CF3038">
        <w:t xml:space="preserve">), for </w:t>
      </w:r>
      <w:r w:rsidR="00CF3038" w:rsidRPr="001254E1">
        <w:rPr>
          <w:i/>
        </w:rPr>
        <w:t>T. obliquus</w:t>
      </w:r>
      <w:r w:rsidR="00CF3038">
        <w:t xml:space="preserve"> (</w:t>
      </w:r>
      <w:proofErr w:type="spellStart"/>
      <w:r w:rsidR="00CF3038" w:rsidRPr="000D60C4">
        <w:t>Deschênes</w:t>
      </w:r>
      <w:proofErr w:type="spellEnd"/>
      <w:r w:rsidR="00CF3038" w:rsidRPr="000D60C4">
        <w:t xml:space="preserve"> and </w:t>
      </w:r>
      <w:proofErr w:type="spellStart"/>
      <w:r w:rsidR="00CF3038" w:rsidRPr="000D60C4">
        <w:t>Vande</w:t>
      </w:r>
      <w:proofErr w:type="spellEnd"/>
      <w:r w:rsidR="00CF3038" w:rsidRPr="000D60C4">
        <w:t xml:space="preserve"> </w:t>
      </w:r>
      <w:proofErr w:type="spellStart"/>
      <w:r w:rsidR="00CF3038" w:rsidRPr="000D60C4">
        <w:t>Wouwer</w:t>
      </w:r>
      <w:proofErr w:type="spellEnd"/>
      <w:r w:rsidR="00CF3038">
        <w:t xml:space="preserve">, </w:t>
      </w:r>
      <w:r w:rsidR="00CF3038" w:rsidRPr="000D60C4">
        <w:t>2016)</w:t>
      </w:r>
      <w:r w:rsidR="00CF3038">
        <w:t xml:space="preserve"> and for </w:t>
      </w:r>
      <w:r w:rsidR="00CF3038" w:rsidRPr="001254E1">
        <w:rPr>
          <w:i/>
        </w:rPr>
        <w:t>S. platensis</w:t>
      </w:r>
      <w:r w:rsidR="00CF3038">
        <w:rPr>
          <w:i/>
        </w:rPr>
        <w:t xml:space="preserve"> </w:t>
      </w:r>
      <w:r w:rsidR="00CF3038">
        <w:t>(Arata et al., 2013)</w:t>
      </w:r>
      <w:r w:rsidR="00CF3038" w:rsidRPr="000D60C4">
        <w:t xml:space="preserve"> </w:t>
      </w:r>
      <w:r w:rsidR="00B16BBB" w:rsidRPr="00757874">
        <w:t>from experiments carried out in photoautotrophic conditions</w:t>
      </w:r>
      <w:r w:rsidR="00CF3038">
        <w:t xml:space="preserve">. </w:t>
      </w:r>
      <w:r w:rsidR="00B16BBB" w:rsidRPr="00757874">
        <w:t xml:space="preserve">Instead the value of </w:t>
      </w:r>
      <w:proofErr w:type="spellStart"/>
      <w:r w:rsidR="00B16BBB" w:rsidRPr="00757874">
        <w:t>ρ</w:t>
      </w:r>
      <w:r w:rsidR="00B16BBB" w:rsidRPr="000D60C4">
        <w:rPr>
          <w:vertAlign w:val="subscript"/>
        </w:rPr>
        <w:t>max</w:t>
      </w:r>
      <w:proofErr w:type="spellEnd"/>
      <w:r w:rsidR="00B16BBB" w:rsidRPr="00757874">
        <w:t xml:space="preserve"> is lower than the value of 0.7 ± 0.2 </w:t>
      </w:r>
      <w:proofErr w:type="spellStart"/>
      <w:r w:rsidR="00772B78" w:rsidRPr="00757874">
        <w:t>g</w:t>
      </w:r>
      <w:r w:rsidR="00772B78" w:rsidRPr="00772175">
        <w:rPr>
          <w:vertAlign w:val="subscript"/>
        </w:rPr>
        <w:t>N</w:t>
      </w:r>
      <w:proofErr w:type="spellEnd"/>
      <w:r w:rsidR="00772B78" w:rsidRPr="00757874">
        <w:t xml:space="preserve"> g</w:t>
      </w:r>
      <w:r w:rsidR="00772B78" w:rsidRPr="00772175">
        <w:rPr>
          <w:vertAlign w:val="subscript"/>
        </w:rPr>
        <w:t>X</w:t>
      </w:r>
      <w:r w:rsidR="00772B78" w:rsidRPr="000D60C4">
        <w:rPr>
          <w:vertAlign w:val="superscript"/>
        </w:rPr>
        <w:t>-1</w:t>
      </w:r>
      <w:r w:rsidR="00AC3E32" w:rsidRPr="00757874">
        <w:t xml:space="preserve"> </w:t>
      </w:r>
      <w:r w:rsidR="00772B78" w:rsidRPr="00757874">
        <w:t>d</w:t>
      </w:r>
      <w:r w:rsidR="00772B78" w:rsidRPr="000D60C4">
        <w:rPr>
          <w:vertAlign w:val="superscript"/>
        </w:rPr>
        <w:t>-1</w:t>
      </w:r>
      <w:r w:rsidR="00772B78" w:rsidRPr="00757874">
        <w:t xml:space="preserve"> </w:t>
      </w:r>
      <w:r w:rsidR="00B16BBB" w:rsidRPr="00757874">
        <w:t xml:space="preserve">previously reported for the same species </w:t>
      </w:r>
      <w:r w:rsidR="00CF3038">
        <w:t>(</w:t>
      </w:r>
      <w:r w:rsidR="00CF3038" w:rsidRPr="00FD3638">
        <w:rPr>
          <w:i/>
        </w:rPr>
        <w:t>T. obliquus</w:t>
      </w:r>
      <w:r w:rsidR="00CF3038">
        <w:t xml:space="preserve">) </w:t>
      </w:r>
      <w:r w:rsidR="00B16BBB" w:rsidRPr="00757874">
        <w:t xml:space="preserve">in photoautotrophic condition </w:t>
      </w:r>
      <w:r w:rsidR="00C537BD">
        <w:t xml:space="preserve">by </w:t>
      </w:r>
      <w:proofErr w:type="spellStart"/>
      <w:r w:rsidR="000D60C4" w:rsidRPr="000D60C4">
        <w:t>Deschênes</w:t>
      </w:r>
      <w:proofErr w:type="spellEnd"/>
      <w:r w:rsidR="000D60C4" w:rsidRPr="000D60C4">
        <w:t xml:space="preserve"> and </w:t>
      </w:r>
      <w:proofErr w:type="spellStart"/>
      <w:r w:rsidR="000D60C4" w:rsidRPr="000D60C4">
        <w:t>Vande</w:t>
      </w:r>
      <w:proofErr w:type="spellEnd"/>
      <w:r w:rsidR="000D60C4" w:rsidRPr="000D60C4">
        <w:t xml:space="preserve"> </w:t>
      </w:r>
      <w:proofErr w:type="spellStart"/>
      <w:r w:rsidR="000D60C4" w:rsidRPr="000D60C4">
        <w:t>Wouwer</w:t>
      </w:r>
      <w:proofErr w:type="spellEnd"/>
      <w:r w:rsidR="00C537BD">
        <w:t xml:space="preserve"> (</w:t>
      </w:r>
      <w:r w:rsidR="000D60C4" w:rsidRPr="000D60C4">
        <w:t>2016)</w:t>
      </w:r>
      <w:r w:rsidR="009F3919" w:rsidRPr="00757874">
        <w:t xml:space="preserve"> and higher </w:t>
      </w:r>
      <w:r w:rsidR="00FA69D3">
        <w:t xml:space="preserve">than </w:t>
      </w:r>
      <w:r w:rsidR="009F3919" w:rsidRPr="00757874">
        <w:t>th</w:t>
      </w:r>
      <w:r w:rsidR="00AC3E32" w:rsidRPr="00757874">
        <w:t>e</w:t>
      </w:r>
      <w:r w:rsidR="009F3919" w:rsidRPr="00757874">
        <w:t xml:space="preserve"> </w:t>
      </w:r>
      <w:r w:rsidR="00AC3E32" w:rsidRPr="00757874">
        <w:t>values</w:t>
      </w:r>
      <w:r w:rsidR="009F3919" w:rsidRPr="00757874">
        <w:t xml:space="preserve"> reported for </w:t>
      </w:r>
      <w:r w:rsidR="00806B9A" w:rsidRPr="00FD3638">
        <w:rPr>
          <w:i/>
        </w:rPr>
        <w:t xml:space="preserve">I. </w:t>
      </w:r>
      <w:proofErr w:type="spellStart"/>
      <w:r w:rsidR="00806B9A" w:rsidRPr="00FD3638">
        <w:rPr>
          <w:i/>
        </w:rPr>
        <w:t>galbana</w:t>
      </w:r>
      <w:proofErr w:type="spellEnd"/>
      <w:r w:rsidR="009F3919" w:rsidRPr="00757874">
        <w:t>, which w</w:t>
      </w:r>
      <w:r w:rsidR="00806B9A">
        <w:t>ere</w:t>
      </w:r>
      <w:r w:rsidR="009F3919" w:rsidRPr="00757874">
        <w:t xml:space="preserve"> between 0.0</w:t>
      </w:r>
      <w:r w:rsidR="00CF5708">
        <w:t>4</w:t>
      </w:r>
      <w:r w:rsidR="009F3919" w:rsidRPr="00757874">
        <w:t xml:space="preserve"> </w:t>
      </w:r>
      <w:proofErr w:type="spellStart"/>
      <w:r w:rsidR="00CF5708" w:rsidRPr="00757874">
        <w:t>g</w:t>
      </w:r>
      <w:r w:rsidR="00CF5708" w:rsidRPr="00772175">
        <w:rPr>
          <w:vertAlign w:val="subscript"/>
        </w:rPr>
        <w:t>N</w:t>
      </w:r>
      <w:proofErr w:type="spellEnd"/>
      <w:r w:rsidR="00CF5708" w:rsidRPr="00757874">
        <w:t xml:space="preserve"> g</w:t>
      </w:r>
      <w:r w:rsidR="00CF5708" w:rsidRPr="00772175">
        <w:rPr>
          <w:vertAlign w:val="subscript"/>
        </w:rPr>
        <w:t>X</w:t>
      </w:r>
      <w:r w:rsidR="00CF5708" w:rsidRPr="000D60C4">
        <w:rPr>
          <w:vertAlign w:val="superscript"/>
        </w:rPr>
        <w:t>-1</w:t>
      </w:r>
      <w:r w:rsidR="00CF5708" w:rsidRPr="00757874">
        <w:t xml:space="preserve"> d</w:t>
      </w:r>
      <w:r w:rsidR="00CF5708" w:rsidRPr="000D60C4">
        <w:rPr>
          <w:vertAlign w:val="superscript"/>
        </w:rPr>
        <w:t>-1</w:t>
      </w:r>
      <w:r w:rsidR="00CF5708">
        <w:rPr>
          <w:vertAlign w:val="superscript"/>
        </w:rPr>
        <w:t xml:space="preserve"> </w:t>
      </w:r>
      <w:r w:rsidR="00CF5708" w:rsidRPr="000D60C4">
        <w:t>(</w:t>
      </w:r>
      <w:proofErr w:type="spellStart"/>
      <w:r w:rsidR="00CF5708" w:rsidRPr="000D60C4">
        <w:t>Mairet</w:t>
      </w:r>
      <w:proofErr w:type="spellEnd"/>
      <w:r w:rsidR="00CF5708" w:rsidRPr="000D60C4">
        <w:t xml:space="preserve"> et al.</w:t>
      </w:r>
      <w:r w:rsidR="00CF5708">
        <w:t>,</w:t>
      </w:r>
      <w:r w:rsidR="00CF5708" w:rsidRPr="000D60C4">
        <w:t xml:space="preserve"> 2011)</w:t>
      </w:r>
      <w:r w:rsidR="00CF5708">
        <w:t xml:space="preserve"> and </w:t>
      </w:r>
      <w:r w:rsidR="009F3919" w:rsidRPr="00757874">
        <w:t xml:space="preserve">0.05 </w:t>
      </w:r>
      <w:proofErr w:type="spellStart"/>
      <w:r w:rsidR="009F3919" w:rsidRPr="00757874">
        <w:t>g</w:t>
      </w:r>
      <w:r w:rsidR="009F3919" w:rsidRPr="00772175">
        <w:rPr>
          <w:vertAlign w:val="subscript"/>
        </w:rPr>
        <w:t>N</w:t>
      </w:r>
      <w:proofErr w:type="spellEnd"/>
      <w:r w:rsidR="009F3919" w:rsidRPr="00757874">
        <w:t xml:space="preserve"> g</w:t>
      </w:r>
      <w:r w:rsidR="009F3919" w:rsidRPr="00772175">
        <w:rPr>
          <w:vertAlign w:val="subscript"/>
        </w:rPr>
        <w:t>X</w:t>
      </w:r>
      <w:r w:rsidR="009F3919" w:rsidRPr="000D60C4">
        <w:rPr>
          <w:vertAlign w:val="superscript"/>
        </w:rPr>
        <w:t>-1</w:t>
      </w:r>
      <w:r w:rsidR="009F3919" w:rsidRPr="00757874">
        <w:t xml:space="preserve"> d</w:t>
      </w:r>
      <w:r w:rsidR="009F3919" w:rsidRPr="000D60C4">
        <w:rPr>
          <w:vertAlign w:val="superscript"/>
        </w:rPr>
        <w:t>-1</w:t>
      </w:r>
      <w:r w:rsidR="00CF5708">
        <w:t xml:space="preserve"> </w:t>
      </w:r>
      <w:r w:rsidR="00CF5708" w:rsidRPr="000D60C4">
        <w:t>(Bernard</w:t>
      </w:r>
      <w:r w:rsidR="00CF5708">
        <w:t>,</w:t>
      </w:r>
      <w:r w:rsidR="00CF5708" w:rsidRPr="000D60C4">
        <w:t xml:space="preserve"> 2011</w:t>
      </w:r>
      <w:r w:rsidR="00CF5708">
        <w:t>).</w:t>
      </w:r>
      <w:r w:rsidR="000D60C4" w:rsidRPr="001254E1">
        <w:t xml:space="preserve"> </w:t>
      </w:r>
      <w:r w:rsidR="00F5571C" w:rsidRPr="00757874">
        <w:t xml:space="preserve">The </w:t>
      </w:r>
      <w:proofErr w:type="spellStart"/>
      <w:r w:rsidR="00F5571C" w:rsidRPr="00757874">
        <w:t>q</w:t>
      </w:r>
      <w:r w:rsidR="00F5571C" w:rsidRPr="000D60C4">
        <w:rPr>
          <w:vertAlign w:val="subscript"/>
        </w:rPr>
        <w:t>min</w:t>
      </w:r>
      <w:proofErr w:type="spellEnd"/>
      <w:r w:rsidR="00F5571C" w:rsidRPr="00757874">
        <w:t xml:space="preserve"> value found was higher than the one (0.011 ± 0.003 </w:t>
      </w:r>
      <w:proofErr w:type="spellStart"/>
      <w:r w:rsidR="00F5571C" w:rsidRPr="00757874">
        <w:t>g</w:t>
      </w:r>
      <w:r w:rsidR="00F5571C" w:rsidRPr="00772175">
        <w:rPr>
          <w:vertAlign w:val="subscript"/>
        </w:rPr>
        <w:t>N</w:t>
      </w:r>
      <w:proofErr w:type="spellEnd"/>
      <w:r w:rsidR="00F5571C" w:rsidRPr="00757874">
        <w:t xml:space="preserve"> g</w:t>
      </w:r>
      <w:r w:rsidR="00F5571C" w:rsidRPr="00772175">
        <w:rPr>
          <w:vertAlign w:val="subscript"/>
        </w:rPr>
        <w:t>X</w:t>
      </w:r>
      <w:r w:rsidR="00F5571C" w:rsidRPr="000D60C4">
        <w:rPr>
          <w:vertAlign w:val="superscript"/>
        </w:rPr>
        <w:t>-1</w:t>
      </w:r>
      <w:r w:rsidR="00F5571C" w:rsidRPr="00757874">
        <w:t>) previously reported for the same species in photoautotrophic conditions</w:t>
      </w:r>
      <w:r w:rsidR="000D60C4">
        <w:t xml:space="preserve"> </w:t>
      </w:r>
      <w:r w:rsidR="00CF5708">
        <w:t xml:space="preserve">by </w:t>
      </w:r>
      <w:proofErr w:type="spellStart"/>
      <w:r w:rsidR="000D60C4" w:rsidRPr="000D60C4">
        <w:t>Deschênes</w:t>
      </w:r>
      <w:proofErr w:type="spellEnd"/>
      <w:r w:rsidR="000D60C4" w:rsidRPr="000D60C4">
        <w:t xml:space="preserve"> and </w:t>
      </w:r>
      <w:proofErr w:type="spellStart"/>
      <w:r w:rsidR="000D60C4" w:rsidRPr="000D60C4">
        <w:t>Vande</w:t>
      </w:r>
      <w:proofErr w:type="spellEnd"/>
      <w:r w:rsidR="000D60C4" w:rsidRPr="000D60C4">
        <w:t xml:space="preserve"> </w:t>
      </w:r>
      <w:proofErr w:type="spellStart"/>
      <w:r w:rsidR="000D60C4" w:rsidRPr="000D60C4">
        <w:t>Wouwer</w:t>
      </w:r>
      <w:proofErr w:type="spellEnd"/>
      <w:r w:rsidR="00CF5708">
        <w:t xml:space="preserve"> (</w:t>
      </w:r>
      <w:r w:rsidR="000D60C4" w:rsidRPr="000D60C4">
        <w:t>2016)</w:t>
      </w:r>
      <w:r w:rsidR="00F5571C" w:rsidRPr="00757874">
        <w:t xml:space="preserve"> </w:t>
      </w:r>
      <w:r w:rsidR="00AC3E32" w:rsidRPr="00757874">
        <w:t xml:space="preserve">but in agreement with those reported for </w:t>
      </w:r>
      <w:r w:rsidR="00806B9A" w:rsidRPr="001254E1">
        <w:rPr>
          <w:i/>
        </w:rPr>
        <w:t xml:space="preserve">I. </w:t>
      </w:r>
      <w:proofErr w:type="spellStart"/>
      <w:r w:rsidR="00806B9A" w:rsidRPr="001254E1">
        <w:rPr>
          <w:i/>
        </w:rPr>
        <w:t>galbana</w:t>
      </w:r>
      <w:proofErr w:type="spellEnd"/>
      <w:r w:rsidR="00806B9A" w:rsidRPr="00806B9A" w:rsidDel="00806B9A">
        <w:t xml:space="preserve"> </w:t>
      </w:r>
      <w:r w:rsidR="000D60C4" w:rsidRPr="000D60C4">
        <w:t>(Bernard</w:t>
      </w:r>
      <w:r w:rsidR="00D94919">
        <w:t>,</w:t>
      </w:r>
      <w:r w:rsidR="000D60C4" w:rsidRPr="000D60C4">
        <w:t xml:space="preserve"> 2011</w:t>
      </w:r>
      <w:r w:rsidR="00806B9A">
        <w:t>)</w:t>
      </w:r>
      <w:r w:rsidR="000D60C4" w:rsidRPr="000D60C4">
        <w:t>.</w:t>
      </w:r>
      <w:r w:rsidR="00580DCB">
        <w:t xml:space="preserve"> </w:t>
      </w:r>
    </w:p>
    <w:p w:rsidR="00757874" w:rsidRDefault="00AC3E32" w:rsidP="00053881">
      <w:pPr>
        <w:pStyle w:val="CETBodytext"/>
      </w:pPr>
      <w:r w:rsidRPr="00757874">
        <w:t xml:space="preserve">For the regression of the data obtained in N-starvation, the </w:t>
      </w:r>
      <w:proofErr w:type="spellStart"/>
      <w:r w:rsidRPr="00757874">
        <w:t>q</w:t>
      </w:r>
      <w:r w:rsidRPr="000D60C4">
        <w:rPr>
          <w:vertAlign w:val="subscript"/>
        </w:rPr>
        <w:t>max</w:t>
      </w:r>
      <w:proofErr w:type="spellEnd"/>
      <w:r w:rsidRPr="00757874">
        <w:t xml:space="preserve"> value was fixed as the one estimated from the test with 45 mg L</w:t>
      </w:r>
      <w:r w:rsidRPr="000D60C4">
        <w:rPr>
          <w:vertAlign w:val="superscript"/>
        </w:rPr>
        <w:t>-1</w:t>
      </w:r>
      <w:r w:rsidRPr="00757874">
        <w:t xml:space="preserve"> of initial N concentration.</w:t>
      </w:r>
      <w:r w:rsidR="00B62797">
        <w:t xml:space="preserve"> Such cho</w:t>
      </w:r>
      <w:r w:rsidR="00C76542">
        <w:t>ic</w:t>
      </w:r>
      <w:r w:rsidR="00B62797">
        <w:t>e was motivated by consider</w:t>
      </w:r>
      <w:r w:rsidR="00C76542">
        <w:t>ing</w:t>
      </w:r>
      <w:r w:rsidR="00B62797">
        <w:t xml:space="preserve"> that</w:t>
      </w:r>
      <w:r w:rsidR="00C76542" w:rsidRPr="001254E1">
        <w:t xml:space="preserve"> </w:t>
      </w:r>
      <w:r w:rsidRPr="00B62797">
        <w:t xml:space="preserve">the microalgae used </w:t>
      </w:r>
      <w:r w:rsidR="00C76542">
        <w:t xml:space="preserve">as inoculum </w:t>
      </w:r>
      <w:r w:rsidRPr="00B62797">
        <w:t xml:space="preserve">in </w:t>
      </w:r>
      <w:r w:rsidR="00DA6530">
        <w:t xml:space="preserve">the </w:t>
      </w:r>
      <w:r w:rsidRPr="00B62797">
        <w:t>N-starvation test came from a photoautotrophic cultivation in a medium fully replete for every nutrient.</w:t>
      </w:r>
      <w:r w:rsidRPr="00757874">
        <w:t xml:space="preserve"> Therefore, it could be assumed that they started from a q = </w:t>
      </w:r>
      <w:proofErr w:type="spellStart"/>
      <w:r w:rsidRPr="00757874">
        <w:t>q</w:t>
      </w:r>
      <w:r w:rsidRPr="000D60C4">
        <w:rPr>
          <w:vertAlign w:val="subscript"/>
        </w:rPr>
        <w:t>max</w:t>
      </w:r>
      <w:proofErr w:type="spellEnd"/>
      <w:r w:rsidRPr="00757874">
        <w:t xml:space="preserve"> and that this latter was equal to the one determined from heterotrophic test with initial N = 45 mg L</w:t>
      </w:r>
      <w:r w:rsidRPr="000D60C4">
        <w:rPr>
          <w:vertAlign w:val="superscript"/>
        </w:rPr>
        <w:t>-1</w:t>
      </w:r>
      <w:r w:rsidRPr="00757874">
        <w:t xml:space="preserve">. The regression was repeated for the data obtained in N-starvation. As shown in Table 2, the values of </w:t>
      </w:r>
      <m:oMath>
        <m:acc>
          <m:accPr>
            <m:chr m:val="̅"/>
            <m:ctrlPr>
              <w:rPr>
                <w:rFonts w:ascii="Cambria Math" w:hAnsi="Cambria Math"/>
              </w:rPr>
            </m:ctrlPr>
          </m:accPr>
          <m:e>
            <m:r>
              <m:rPr>
                <m:sty m:val="p"/>
              </m:rPr>
              <w:rPr>
                <w:rFonts w:ascii="Cambria Math" w:hAnsi="Cambria Math"/>
              </w:rPr>
              <m:t>µ</m:t>
            </m:r>
          </m:e>
        </m:acc>
      </m:oMath>
      <w:r w:rsidRPr="00757874">
        <w:t xml:space="preserve"> and q</w:t>
      </w:r>
      <w:r w:rsidRPr="00FA69D3">
        <w:rPr>
          <w:vertAlign w:val="subscript"/>
        </w:rPr>
        <w:t>min</w:t>
      </w:r>
      <w:r w:rsidRPr="00757874">
        <w:t xml:space="preserve"> were comparable (the difference were not statistically significant) with those previously estimated in presence of N. </w:t>
      </w:r>
    </w:p>
    <w:p w:rsidR="00C50FB4" w:rsidRPr="00B57B36" w:rsidRDefault="008A4835" w:rsidP="00FA5F5F">
      <w:pPr>
        <w:pStyle w:val="CETBodytext"/>
        <w:jc w:val="left"/>
        <w:rPr>
          <w:lang w:val="en-GB"/>
        </w:rPr>
      </w:pPr>
      <w:r w:rsidRPr="00BF6202">
        <w:rPr>
          <w:noProof/>
        </w:rPr>
        <w:drawing>
          <wp:inline distT="0" distB="0" distL="0" distR="0" wp14:anchorId="4FCFAF18" wp14:editId="6D7D10B8">
            <wp:extent cx="5534622" cy="4057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9728" cy="4061393"/>
                    </a:xfrm>
                    <a:prstGeom prst="rect">
                      <a:avLst/>
                    </a:prstGeom>
                    <a:noFill/>
                    <a:ln>
                      <a:noFill/>
                    </a:ln>
                  </pic:spPr>
                </pic:pic>
              </a:graphicData>
            </a:graphic>
          </wp:inline>
        </w:drawing>
      </w:r>
    </w:p>
    <w:p w:rsidR="00600535" w:rsidRDefault="00600535" w:rsidP="00600535">
      <w:pPr>
        <w:pStyle w:val="CETCaption"/>
      </w:pPr>
      <w:r w:rsidRPr="00B57B36">
        <w:t xml:space="preserve">Figure 1: </w:t>
      </w:r>
      <w:r w:rsidR="00803467" w:rsidRPr="00803467">
        <w:t xml:space="preserve">Comparison between model predictions and experimental values; (a) biomass concentration; (b) nitrogen concentration in the culture medium; (c) nitrogen quota; (d) </w:t>
      </w:r>
      <w:proofErr w:type="spellStart"/>
      <w:r w:rsidR="00803467" w:rsidRPr="00803467">
        <w:t>r</w:t>
      </w:r>
      <w:r w:rsidR="00803467" w:rsidRPr="00803467">
        <w:rPr>
          <w:vertAlign w:val="subscript"/>
        </w:rPr>
        <w:t>N</w:t>
      </w:r>
      <w:proofErr w:type="spellEnd"/>
      <w:r w:rsidR="00803467" w:rsidRPr="00803467">
        <w:t xml:space="preserve"> (dotted line) and </w:t>
      </w:r>
      <w:proofErr w:type="spellStart"/>
      <w:r w:rsidR="00803467" w:rsidRPr="00803467">
        <w:t>r</w:t>
      </w:r>
      <w:r w:rsidR="00803467" w:rsidRPr="00803467">
        <w:rPr>
          <w:vertAlign w:val="subscript"/>
        </w:rPr>
        <w:t>H</w:t>
      </w:r>
      <w:r w:rsidR="00803467" w:rsidRPr="00803467">
        <w:t>q</w:t>
      </w:r>
      <w:proofErr w:type="spellEnd"/>
      <w:r w:rsidR="00803467" w:rsidRPr="00803467">
        <w:t xml:space="preserve"> (</w:t>
      </w:r>
      <w:r w:rsidR="0018599C">
        <w:t>dashed</w:t>
      </w:r>
      <w:r w:rsidR="00803467" w:rsidRPr="00803467">
        <w:t xml:space="preserve"> line)</w:t>
      </w:r>
      <w:r w:rsidR="006F4DBB">
        <w:t xml:space="preserve"> for </w:t>
      </w:r>
      <w:r w:rsidR="00D00EFB">
        <w:t>45 mg L</w:t>
      </w:r>
      <w:r w:rsidR="00D00EFB" w:rsidRPr="001254E1">
        <w:rPr>
          <w:vertAlign w:val="superscript"/>
        </w:rPr>
        <w:t>-1</w:t>
      </w:r>
      <w:r w:rsidR="00D00EFB">
        <w:t xml:space="preserve"> initial nitrogen concentration</w:t>
      </w:r>
      <w:r w:rsidR="00803467" w:rsidRPr="00803467">
        <w:t>. In</w:t>
      </w:r>
      <w:r w:rsidR="0018599C">
        <w:t xml:space="preserve"> </w:t>
      </w:r>
      <w:r w:rsidR="00803467" w:rsidRPr="00803467">
        <w:t xml:space="preserve">(a), (b) and (c), solid and dashed lines describe model predictions attained with </w:t>
      </w:r>
      <w:r w:rsidR="00053881">
        <w:t>45 mg L</w:t>
      </w:r>
      <w:r w:rsidR="00053881" w:rsidRPr="00053881">
        <w:rPr>
          <w:vertAlign w:val="superscript"/>
        </w:rPr>
        <w:t>-1</w:t>
      </w:r>
      <w:r w:rsidR="00053881">
        <w:t xml:space="preserve"> and 0 mg L</w:t>
      </w:r>
      <w:r w:rsidR="00053881" w:rsidRPr="00053881">
        <w:rPr>
          <w:vertAlign w:val="superscript"/>
        </w:rPr>
        <w:t>-1</w:t>
      </w:r>
      <w:r w:rsidR="00053881">
        <w:t xml:space="preserve"> initial</w:t>
      </w:r>
      <w:r w:rsidR="00803467" w:rsidRPr="00803467">
        <w:t xml:space="preserve"> nitrogen</w:t>
      </w:r>
      <w:r w:rsidR="0018599C">
        <w:t xml:space="preserve"> concentration</w:t>
      </w:r>
      <w:r w:rsidR="00803467" w:rsidRPr="00803467">
        <w:t xml:space="preserve"> in the medium, respectively</w:t>
      </w:r>
      <w:r w:rsidR="00053881">
        <w:t>.</w:t>
      </w:r>
    </w:p>
    <w:p w:rsidR="00485B30" w:rsidRDefault="004F1848" w:rsidP="004F1848">
      <w:pPr>
        <w:pStyle w:val="CETBodytext"/>
      </w:pPr>
      <w:r w:rsidRPr="00757874">
        <w:t xml:space="preserve">The Figure 1c and Figure 1d give further information about the dynamic of N uptake inside microalgae biomass. For the test without N in the medium, microalgae started from a q = </w:t>
      </w:r>
      <w:proofErr w:type="spellStart"/>
      <w:r w:rsidRPr="00757874">
        <w:t>q</w:t>
      </w:r>
      <w:r w:rsidRPr="000D60C4">
        <w:rPr>
          <w:vertAlign w:val="subscript"/>
        </w:rPr>
        <w:t>max</w:t>
      </w:r>
      <w:proofErr w:type="spellEnd"/>
      <w:r w:rsidRPr="00757874">
        <w:t xml:space="preserve">. During cultivation the internal quota of N gradually decreased until </w:t>
      </w:r>
      <w:proofErr w:type="spellStart"/>
      <w:r w:rsidRPr="00757874">
        <w:t>q</w:t>
      </w:r>
      <w:r w:rsidRPr="000D60C4">
        <w:rPr>
          <w:vertAlign w:val="subscript"/>
        </w:rPr>
        <w:t>min</w:t>
      </w:r>
      <w:proofErr w:type="spellEnd"/>
      <w:r w:rsidRPr="00757874">
        <w:t xml:space="preserve">, because ρ(N) was maintained equal to 0 (see </w:t>
      </w:r>
      <w:proofErr w:type="gramStart"/>
      <w:r w:rsidRPr="00757874">
        <w:t>Eq(</w:t>
      </w:r>
      <w:proofErr w:type="gramEnd"/>
      <w:r w:rsidRPr="00757874">
        <w:t>1) and Eq(3)) during all cultivation.</w:t>
      </w:r>
      <w:r>
        <w:t xml:space="preserve"> </w:t>
      </w:r>
    </w:p>
    <w:p w:rsidR="004F1848" w:rsidRDefault="004F1848" w:rsidP="004F1848">
      <w:pPr>
        <w:pStyle w:val="CETBodytext"/>
      </w:pPr>
      <w:r>
        <w:t>Instead, in the test with initial N concentration equal to 45 mg L</w:t>
      </w:r>
      <w:r w:rsidRPr="00795924">
        <w:rPr>
          <w:vertAlign w:val="superscript"/>
        </w:rPr>
        <w:t>-1</w:t>
      </w:r>
      <w:r>
        <w:t>, there was a phase of about 2 days, in which q</w:t>
      </w:r>
      <w:r>
        <w:rPr>
          <w:vertAlign w:val="subscript"/>
        </w:rPr>
        <w:t xml:space="preserve"> </w:t>
      </w:r>
      <w:r>
        <w:t xml:space="preserve">remained constant. </w:t>
      </w:r>
      <w:r w:rsidRPr="00AC3E32">
        <w:t>During this phase there was an equilibrium between the rise of q given by the N uptake rate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N</m:t>
            </m:r>
          </m:sub>
        </m:sSub>
        <m:r>
          <m:rPr>
            <m:sty m:val="p"/>
          </m:rPr>
          <w:rPr>
            <w:rFonts w:ascii="Cambria Math" w:hAnsi="Cambria Math"/>
          </w:rPr>
          <m:t>)</m:t>
        </m:r>
      </m:oMath>
      <w:r w:rsidRPr="00AC3E32">
        <w:t xml:space="preserve"> and the reduction of q due to the biomass production rate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H</m:t>
            </m:r>
          </m:sub>
        </m:sSub>
        <m:r>
          <m:rPr>
            <m:sty m:val="p"/>
          </m:rPr>
          <w:rPr>
            <w:rFonts w:ascii="Cambria Math" w:hAnsi="Cambria Math"/>
          </w:rPr>
          <m:t>q</m:t>
        </m:r>
      </m:oMath>
      <w:r w:rsidRPr="00AC3E32">
        <w:t>).</w:t>
      </w:r>
    </w:p>
    <w:p w:rsidR="00636D03" w:rsidRDefault="00636D03" w:rsidP="00276F42">
      <w:pPr>
        <w:pStyle w:val="CETTabletitle"/>
      </w:pPr>
      <w:r w:rsidRPr="00B57B36">
        <w:lastRenderedPageBreak/>
        <w:t xml:space="preserve">Table </w:t>
      </w:r>
      <w:r>
        <w:t>2</w:t>
      </w:r>
      <w:r w:rsidRPr="00B57B36">
        <w:t>:</w:t>
      </w:r>
      <w:r>
        <w:t xml:space="preserve"> </w:t>
      </w:r>
      <w:r w:rsidRPr="00803467">
        <w:t xml:space="preserve">Parameters values computed by fitting model predictions to the experimental biomass and nitrogen concentrations values attained during microalgae growth. </w:t>
      </w:r>
      <w:r w:rsidRPr="008851C6">
        <w:t xml:space="preserve">Errors are reported as ± </w:t>
      </w:r>
      <w:r>
        <w:t>confidence interval (95 %)</w:t>
      </w:r>
      <w:r w:rsidRPr="008851C6">
        <w:t>.</w:t>
      </w:r>
      <w:r w:rsidRPr="00803467">
        <w:t xml:space="preserve"> </w:t>
      </w:r>
      <w:r w:rsidRPr="005C6B91">
        <w:t>*Parameter maintained constant during the optimization</w:t>
      </w:r>
      <w:r>
        <w:t>.</w:t>
      </w:r>
    </w:p>
    <w:tbl>
      <w:tblPr>
        <w:tblpPr w:leftFromText="141" w:rightFromText="141" w:vertAnchor="text" w:tblpY="1"/>
        <w:tblOverlap w:val="neve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1559"/>
        <w:gridCol w:w="1843"/>
      </w:tblGrid>
      <w:tr w:rsidR="00636D03" w:rsidRPr="00B57B36" w:rsidTr="001254E1">
        <w:tc>
          <w:tcPr>
            <w:tcW w:w="1560" w:type="dxa"/>
            <w:tcBorders>
              <w:top w:val="single" w:sz="12" w:space="0" w:color="008000"/>
              <w:bottom w:val="single" w:sz="6" w:space="0" w:color="008000"/>
            </w:tcBorders>
            <w:shd w:val="clear" w:color="auto" w:fill="FFFFFF"/>
          </w:tcPr>
          <w:p w:rsidR="00636D03" w:rsidRPr="00B57B36" w:rsidRDefault="00636D03" w:rsidP="001254E1">
            <w:pPr>
              <w:pStyle w:val="CETBodytext"/>
              <w:jc w:val="center"/>
              <w:rPr>
                <w:lang w:val="en-GB"/>
              </w:rPr>
            </w:pPr>
            <w:r>
              <w:rPr>
                <w:lang w:val="en-GB"/>
              </w:rPr>
              <w:t>Parameter</w:t>
            </w:r>
          </w:p>
        </w:tc>
        <w:tc>
          <w:tcPr>
            <w:tcW w:w="1559" w:type="dxa"/>
            <w:tcBorders>
              <w:top w:val="single" w:sz="12" w:space="0" w:color="008000"/>
              <w:bottom w:val="single" w:sz="6" w:space="0" w:color="008000"/>
            </w:tcBorders>
            <w:shd w:val="clear" w:color="auto" w:fill="FFFFFF"/>
          </w:tcPr>
          <w:p w:rsidR="00636D03" w:rsidRDefault="00636D03" w:rsidP="001254E1">
            <w:pPr>
              <w:pStyle w:val="CETBodytext"/>
              <w:jc w:val="center"/>
              <w:rPr>
                <w:lang w:val="en-GB"/>
              </w:rPr>
            </w:pPr>
            <w:r>
              <w:rPr>
                <w:lang w:val="en-GB"/>
              </w:rPr>
              <w:t xml:space="preserve">N </w:t>
            </w:r>
          </w:p>
          <w:p w:rsidR="00636D03" w:rsidRPr="00B57B36" w:rsidRDefault="00636D03" w:rsidP="001254E1">
            <w:pPr>
              <w:pStyle w:val="CETBodytext"/>
              <w:jc w:val="center"/>
              <w:rPr>
                <w:lang w:val="en-GB"/>
              </w:rPr>
            </w:pPr>
            <w:r>
              <w:rPr>
                <w:lang w:val="en-GB"/>
              </w:rPr>
              <w:t xml:space="preserve"> 0 mg L</w:t>
            </w:r>
            <w:r w:rsidRPr="00AF3629">
              <w:rPr>
                <w:vertAlign w:val="superscript"/>
                <w:lang w:val="en-GB"/>
              </w:rPr>
              <w:t>-1</w:t>
            </w:r>
          </w:p>
        </w:tc>
        <w:tc>
          <w:tcPr>
            <w:tcW w:w="1843" w:type="dxa"/>
            <w:tcBorders>
              <w:top w:val="single" w:sz="12" w:space="0" w:color="008000"/>
              <w:bottom w:val="single" w:sz="6" w:space="0" w:color="008000"/>
            </w:tcBorders>
            <w:shd w:val="clear" w:color="auto" w:fill="FFFFFF"/>
          </w:tcPr>
          <w:p w:rsidR="00636D03" w:rsidRDefault="00636D03" w:rsidP="001254E1">
            <w:pPr>
              <w:pStyle w:val="CETBodytext"/>
              <w:jc w:val="center"/>
              <w:rPr>
                <w:lang w:val="en-GB"/>
              </w:rPr>
            </w:pPr>
            <w:r>
              <w:rPr>
                <w:lang w:val="en-GB"/>
              </w:rPr>
              <w:t>N</w:t>
            </w:r>
          </w:p>
          <w:p w:rsidR="00636D03" w:rsidRPr="00AF3629" w:rsidRDefault="00636D03" w:rsidP="001254E1">
            <w:pPr>
              <w:pStyle w:val="CETBodytext"/>
              <w:jc w:val="center"/>
              <w:rPr>
                <w:vertAlign w:val="superscript"/>
                <w:lang w:val="en-GB"/>
              </w:rPr>
            </w:pPr>
            <w:r>
              <w:rPr>
                <w:lang w:val="en-GB"/>
              </w:rPr>
              <w:t>45 mg L</w:t>
            </w:r>
            <w:r>
              <w:rPr>
                <w:vertAlign w:val="superscript"/>
                <w:lang w:val="en-GB"/>
              </w:rPr>
              <w:t>-1</w:t>
            </w:r>
          </w:p>
        </w:tc>
      </w:tr>
      <w:tr w:rsidR="00636D03" w:rsidRPr="00B57B36" w:rsidTr="001254E1">
        <w:tc>
          <w:tcPr>
            <w:tcW w:w="1560" w:type="dxa"/>
            <w:shd w:val="clear" w:color="auto" w:fill="FFFFFF"/>
          </w:tcPr>
          <w:p w:rsidR="00636D03" w:rsidRPr="005030FC" w:rsidRDefault="005A2C4E" w:rsidP="001254E1">
            <w:pPr>
              <w:pStyle w:val="CETBodytext"/>
              <w:jc w:val="center"/>
              <w:rPr>
                <w:lang w:val="it-IT"/>
              </w:rPr>
            </w:pPr>
            <m:oMath>
              <m:acc>
                <m:accPr>
                  <m:chr m:val="̅"/>
                  <m:ctrlPr>
                    <w:rPr>
                      <w:rFonts w:ascii="Cambria Math" w:hAnsi="Cambria Math"/>
                      <w:i/>
                    </w:rPr>
                  </m:ctrlPr>
                </m:accPr>
                <m:e>
                  <m:r>
                    <w:rPr>
                      <w:rFonts w:ascii="Cambria Math" w:hAnsi="Cambria Math"/>
                      <w:lang w:val="it-IT"/>
                    </w:rPr>
                    <m:t>µ</m:t>
                  </m:r>
                </m:e>
              </m:acc>
            </m:oMath>
            <w:r w:rsidR="00636D03" w:rsidRPr="005030FC">
              <w:rPr>
                <w:vertAlign w:val="subscript"/>
                <w:lang w:val="it-IT"/>
              </w:rPr>
              <w:t xml:space="preserve">  </w:t>
            </w:r>
            <w:r w:rsidR="00636D03" w:rsidRPr="005030FC">
              <w:rPr>
                <w:lang w:val="it-IT"/>
              </w:rPr>
              <w:t>(d</w:t>
            </w:r>
            <w:r w:rsidR="00636D03" w:rsidRPr="005030FC">
              <w:rPr>
                <w:vertAlign w:val="superscript"/>
                <w:lang w:val="it-IT"/>
              </w:rPr>
              <w:t>-1</w:t>
            </w:r>
            <w:r w:rsidR="00636D03" w:rsidRPr="005030FC">
              <w:rPr>
                <w:lang w:val="it-IT"/>
              </w:rPr>
              <w:t>)</w:t>
            </w:r>
          </w:p>
          <w:p w:rsidR="00636D03" w:rsidRPr="005030FC" w:rsidRDefault="00636D03" w:rsidP="001254E1">
            <w:pPr>
              <w:pStyle w:val="CETBodytext"/>
              <w:jc w:val="center"/>
              <w:rPr>
                <w:lang w:val="it-IT"/>
              </w:rPr>
            </w:pPr>
            <w:proofErr w:type="spellStart"/>
            <w:r w:rsidRPr="005030FC">
              <w:rPr>
                <w:lang w:val="it-IT"/>
              </w:rPr>
              <w:t>q</w:t>
            </w:r>
            <w:r w:rsidRPr="005030FC">
              <w:rPr>
                <w:vertAlign w:val="subscript"/>
                <w:lang w:val="it-IT"/>
              </w:rPr>
              <w:t>min</w:t>
            </w:r>
            <w:proofErr w:type="spellEnd"/>
            <w:r w:rsidRPr="005030FC">
              <w:rPr>
                <w:vertAlign w:val="subscript"/>
                <w:lang w:val="it-IT"/>
              </w:rPr>
              <w:t xml:space="preserve"> </w:t>
            </w:r>
            <w:r w:rsidRPr="005030FC">
              <w:rPr>
                <w:lang w:val="it-IT"/>
              </w:rPr>
              <w:t>(</w:t>
            </w:r>
            <w:proofErr w:type="spellStart"/>
            <w:r w:rsidRPr="005030FC">
              <w:rPr>
                <w:lang w:val="it-IT"/>
              </w:rPr>
              <w:t>g</w:t>
            </w:r>
            <w:r w:rsidRPr="005030FC">
              <w:rPr>
                <w:vertAlign w:val="subscript"/>
                <w:lang w:val="it-IT"/>
              </w:rPr>
              <w:t>N</w:t>
            </w:r>
            <w:proofErr w:type="spellEnd"/>
            <w:r w:rsidRPr="005030FC">
              <w:rPr>
                <w:vertAlign w:val="subscript"/>
                <w:lang w:val="it-IT"/>
              </w:rPr>
              <w:t xml:space="preserve"> </w:t>
            </w:r>
            <w:proofErr w:type="spellStart"/>
            <w:r w:rsidRPr="005030FC">
              <w:rPr>
                <w:lang w:val="it-IT"/>
              </w:rPr>
              <w:t>g</w:t>
            </w:r>
            <w:r w:rsidRPr="005030FC">
              <w:rPr>
                <w:vertAlign w:val="subscript"/>
                <w:lang w:val="it-IT"/>
              </w:rPr>
              <w:t>X</w:t>
            </w:r>
            <w:proofErr w:type="spellEnd"/>
            <w:r w:rsidRPr="005030FC">
              <w:rPr>
                <w:vertAlign w:val="subscript"/>
                <w:lang w:val="it-IT"/>
              </w:rPr>
              <w:t xml:space="preserve"> </w:t>
            </w:r>
            <w:r w:rsidRPr="005030FC">
              <w:rPr>
                <w:vertAlign w:val="superscript"/>
                <w:lang w:val="it-IT"/>
              </w:rPr>
              <w:t>-1</w:t>
            </w:r>
            <w:r w:rsidRPr="005030FC">
              <w:rPr>
                <w:lang w:val="it-IT"/>
              </w:rPr>
              <w:t>)</w:t>
            </w:r>
          </w:p>
          <w:p w:rsidR="00636D03" w:rsidRPr="005030FC" w:rsidRDefault="00636D03" w:rsidP="001254E1">
            <w:pPr>
              <w:pStyle w:val="CETBodytext"/>
              <w:jc w:val="center"/>
              <w:rPr>
                <w:lang w:val="it-IT"/>
              </w:rPr>
            </w:pPr>
            <w:proofErr w:type="spellStart"/>
            <w:r w:rsidRPr="005030FC">
              <w:rPr>
                <w:lang w:val="it-IT"/>
              </w:rPr>
              <w:t>q</w:t>
            </w:r>
            <w:r w:rsidRPr="005030FC">
              <w:rPr>
                <w:vertAlign w:val="subscript"/>
                <w:lang w:val="it-IT"/>
              </w:rPr>
              <w:t>max</w:t>
            </w:r>
            <w:proofErr w:type="spellEnd"/>
            <w:r w:rsidRPr="005030FC">
              <w:rPr>
                <w:vertAlign w:val="subscript"/>
                <w:lang w:val="it-IT"/>
              </w:rPr>
              <w:t xml:space="preserve"> </w:t>
            </w:r>
            <w:r w:rsidRPr="005030FC">
              <w:rPr>
                <w:lang w:val="it-IT"/>
              </w:rPr>
              <w:t>(</w:t>
            </w:r>
            <w:proofErr w:type="spellStart"/>
            <w:r w:rsidRPr="005030FC">
              <w:rPr>
                <w:lang w:val="it-IT"/>
              </w:rPr>
              <w:t>g</w:t>
            </w:r>
            <w:r w:rsidRPr="005030FC">
              <w:rPr>
                <w:vertAlign w:val="subscript"/>
                <w:lang w:val="it-IT"/>
              </w:rPr>
              <w:t>N</w:t>
            </w:r>
            <w:proofErr w:type="spellEnd"/>
            <w:r w:rsidRPr="005030FC">
              <w:rPr>
                <w:vertAlign w:val="subscript"/>
                <w:lang w:val="it-IT"/>
              </w:rPr>
              <w:t xml:space="preserve"> </w:t>
            </w:r>
            <w:proofErr w:type="spellStart"/>
            <w:r w:rsidRPr="005030FC">
              <w:rPr>
                <w:lang w:val="it-IT"/>
              </w:rPr>
              <w:t>g</w:t>
            </w:r>
            <w:r w:rsidRPr="005030FC">
              <w:rPr>
                <w:vertAlign w:val="subscript"/>
                <w:lang w:val="it-IT"/>
              </w:rPr>
              <w:t>X</w:t>
            </w:r>
            <w:proofErr w:type="spellEnd"/>
            <w:r w:rsidRPr="005030FC">
              <w:rPr>
                <w:vertAlign w:val="subscript"/>
                <w:lang w:val="it-IT"/>
              </w:rPr>
              <w:t xml:space="preserve"> </w:t>
            </w:r>
            <w:r w:rsidRPr="005030FC">
              <w:rPr>
                <w:vertAlign w:val="superscript"/>
                <w:lang w:val="it-IT"/>
              </w:rPr>
              <w:t>-1</w:t>
            </w:r>
            <w:r w:rsidRPr="005030FC">
              <w:rPr>
                <w:lang w:val="it-IT"/>
              </w:rPr>
              <w:t>)</w:t>
            </w:r>
          </w:p>
          <w:p w:rsidR="00636D03" w:rsidRPr="005030FC" w:rsidRDefault="00636D03" w:rsidP="001254E1">
            <w:pPr>
              <w:pStyle w:val="CETBodytext"/>
              <w:jc w:val="center"/>
              <w:rPr>
                <w:lang w:val="it-IT"/>
              </w:rPr>
            </w:pPr>
            <w:r w:rsidRPr="00146EB1">
              <w:rPr>
                <w:rFonts w:cs="Arial"/>
                <w:lang w:val="en-GB"/>
              </w:rPr>
              <w:t>ρ</w:t>
            </w:r>
            <w:proofErr w:type="spellStart"/>
            <w:r w:rsidRPr="005030FC">
              <w:rPr>
                <w:vertAlign w:val="subscript"/>
                <w:lang w:val="it-IT"/>
              </w:rPr>
              <w:t>max</w:t>
            </w:r>
            <w:proofErr w:type="spellEnd"/>
            <w:r w:rsidRPr="005030FC">
              <w:rPr>
                <w:vertAlign w:val="subscript"/>
                <w:lang w:val="it-IT"/>
              </w:rPr>
              <w:t xml:space="preserve"> </w:t>
            </w:r>
            <w:r w:rsidRPr="005030FC">
              <w:rPr>
                <w:lang w:val="it-IT"/>
              </w:rPr>
              <w:t>(</w:t>
            </w:r>
            <w:proofErr w:type="spellStart"/>
            <w:r w:rsidRPr="005030FC">
              <w:rPr>
                <w:lang w:val="it-IT"/>
              </w:rPr>
              <w:t>g</w:t>
            </w:r>
            <w:r w:rsidRPr="005030FC">
              <w:rPr>
                <w:vertAlign w:val="subscript"/>
                <w:lang w:val="it-IT"/>
              </w:rPr>
              <w:t>N</w:t>
            </w:r>
            <w:proofErr w:type="spellEnd"/>
            <w:r w:rsidRPr="005030FC">
              <w:rPr>
                <w:lang w:val="it-IT"/>
              </w:rPr>
              <w:t xml:space="preserve"> g</w:t>
            </w:r>
            <w:r w:rsidRPr="005030FC">
              <w:rPr>
                <w:vertAlign w:val="subscript"/>
                <w:lang w:val="it-IT"/>
              </w:rPr>
              <w:t>X</w:t>
            </w:r>
            <w:r w:rsidRPr="005030FC">
              <w:rPr>
                <w:vertAlign w:val="superscript"/>
                <w:lang w:val="it-IT"/>
              </w:rPr>
              <w:t>-1</w:t>
            </w:r>
            <w:r w:rsidRPr="005030FC">
              <w:rPr>
                <w:lang w:val="it-IT"/>
              </w:rPr>
              <w:t xml:space="preserve"> d</w:t>
            </w:r>
            <w:r w:rsidRPr="005030FC">
              <w:rPr>
                <w:vertAlign w:val="superscript"/>
                <w:lang w:val="it-IT"/>
              </w:rPr>
              <w:t>-1</w:t>
            </w:r>
            <w:r w:rsidRPr="005030FC">
              <w:rPr>
                <w:lang w:val="it-IT"/>
              </w:rPr>
              <w:t>)</w:t>
            </w:r>
          </w:p>
          <w:p w:rsidR="00636D03" w:rsidRPr="00146EB1" w:rsidRDefault="00636D03" w:rsidP="001254E1">
            <w:pPr>
              <w:pStyle w:val="CETBodytext"/>
              <w:jc w:val="center"/>
              <w:rPr>
                <w:lang w:val="en-GB"/>
              </w:rPr>
            </w:pPr>
            <w:r w:rsidRPr="00146EB1">
              <w:rPr>
                <w:lang w:val="en-GB"/>
              </w:rPr>
              <w:t>K</w:t>
            </w:r>
            <w:r>
              <w:rPr>
                <w:vertAlign w:val="subscript"/>
                <w:lang w:val="en-GB"/>
              </w:rPr>
              <w:t xml:space="preserve">N </w:t>
            </w:r>
            <w:r>
              <w:rPr>
                <w:lang w:val="en-GB"/>
              </w:rPr>
              <w:t>(</w:t>
            </w:r>
            <w:proofErr w:type="spellStart"/>
            <w:r>
              <w:rPr>
                <w:lang w:val="en-GB"/>
              </w:rPr>
              <w:t>g</w:t>
            </w:r>
            <w:r>
              <w:rPr>
                <w:vertAlign w:val="subscript"/>
                <w:lang w:val="en-GB"/>
              </w:rPr>
              <w:t>N</w:t>
            </w:r>
            <w:proofErr w:type="spellEnd"/>
            <w:r>
              <w:rPr>
                <w:vertAlign w:val="subscript"/>
                <w:lang w:val="en-GB"/>
              </w:rPr>
              <w:t xml:space="preserve"> </w:t>
            </w:r>
            <w:r>
              <w:rPr>
                <w:lang w:val="en-GB"/>
              </w:rPr>
              <w:t>L</w:t>
            </w:r>
            <w:r>
              <w:rPr>
                <w:vertAlign w:val="superscript"/>
                <w:lang w:val="en-GB"/>
              </w:rPr>
              <w:t>-1</w:t>
            </w:r>
            <w:r>
              <w:rPr>
                <w:lang w:val="en-GB"/>
              </w:rPr>
              <w:t>)</w:t>
            </w:r>
          </w:p>
        </w:tc>
        <w:tc>
          <w:tcPr>
            <w:tcW w:w="1559" w:type="dxa"/>
            <w:shd w:val="clear" w:color="auto" w:fill="FFFFFF"/>
          </w:tcPr>
          <w:p w:rsidR="00636D03" w:rsidRDefault="00636D03" w:rsidP="001254E1">
            <w:pPr>
              <w:pStyle w:val="CETBodytext"/>
              <w:jc w:val="center"/>
              <w:rPr>
                <w:lang w:val="en-GB"/>
              </w:rPr>
            </w:pPr>
            <w:r>
              <w:rPr>
                <w:lang w:val="en-GB"/>
              </w:rPr>
              <w:t xml:space="preserve">1.7 </w:t>
            </w:r>
            <w:r>
              <w:rPr>
                <w:rFonts w:cs="Arial"/>
                <w:lang w:val="en-GB"/>
              </w:rPr>
              <w:t>±</w:t>
            </w:r>
            <w:r>
              <w:rPr>
                <w:lang w:val="en-GB"/>
              </w:rPr>
              <w:t xml:space="preserve"> 0.4</w:t>
            </w:r>
          </w:p>
          <w:p w:rsidR="00636D03" w:rsidRDefault="00636D03" w:rsidP="001254E1">
            <w:pPr>
              <w:pStyle w:val="CETBodytext"/>
              <w:jc w:val="center"/>
              <w:rPr>
                <w:rFonts w:cs="Arial"/>
                <w:lang w:val="en-GB"/>
              </w:rPr>
            </w:pPr>
            <w:r>
              <w:rPr>
                <w:lang w:val="en-GB"/>
              </w:rPr>
              <w:t xml:space="preserve">0.030 </w:t>
            </w:r>
            <w:r>
              <w:rPr>
                <w:rFonts w:cs="Arial"/>
                <w:lang w:val="en-GB"/>
              </w:rPr>
              <w:t>± 0.005</w:t>
            </w:r>
          </w:p>
          <w:p w:rsidR="00636D03" w:rsidRDefault="00636D03" w:rsidP="001254E1">
            <w:pPr>
              <w:pStyle w:val="CETBodytext"/>
              <w:jc w:val="center"/>
              <w:rPr>
                <w:rFonts w:cs="Arial"/>
                <w:lang w:val="en-GB"/>
              </w:rPr>
            </w:pPr>
            <w:r>
              <w:rPr>
                <w:lang w:val="en-GB"/>
              </w:rPr>
              <w:t xml:space="preserve">0.1 </w:t>
            </w:r>
            <w:r>
              <w:rPr>
                <w:rFonts w:cs="Arial"/>
                <w:lang w:val="en-GB"/>
              </w:rPr>
              <w:t>± 0.3</w:t>
            </w:r>
          </w:p>
          <w:p w:rsidR="00636D03" w:rsidRDefault="00636D03" w:rsidP="001254E1">
            <w:pPr>
              <w:pStyle w:val="CETBodytext"/>
              <w:jc w:val="center"/>
              <w:rPr>
                <w:lang w:val="en-GB"/>
              </w:rPr>
            </w:pPr>
            <w:r>
              <w:rPr>
                <w:lang w:val="en-GB"/>
              </w:rPr>
              <w:t>-</w:t>
            </w:r>
          </w:p>
          <w:p w:rsidR="00636D03" w:rsidRPr="00B57B36" w:rsidRDefault="00636D03" w:rsidP="001254E1">
            <w:pPr>
              <w:pStyle w:val="CETBodytext"/>
              <w:jc w:val="center"/>
              <w:rPr>
                <w:lang w:val="en-GB"/>
              </w:rPr>
            </w:pPr>
            <w:r>
              <w:rPr>
                <w:lang w:val="en-GB"/>
              </w:rPr>
              <w:t>-</w:t>
            </w:r>
          </w:p>
        </w:tc>
        <w:tc>
          <w:tcPr>
            <w:tcW w:w="1843" w:type="dxa"/>
            <w:shd w:val="clear" w:color="auto" w:fill="FFFFFF"/>
          </w:tcPr>
          <w:p w:rsidR="00636D03" w:rsidRDefault="00636D03" w:rsidP="001254E1">
            <w:pPr>
              <w:pStyle w:val="CETBodytext"/>
              <w:jc w:val="center"/>
              <w:rPr>
                <w:lang w:val="en-GB"/>
              </w:rPr>
            </w:pPr>
            <w:r>
              <w:rPr>
                <w:lang w:val="en-GB"/>
              </w:rPr>
              <w:t xml:space="preserve">1.8 </w:t>
            </w:r>
            <w:r>
              <w:rPr>
                <w:rFonts w:cs="Arial"/>
                <w:lang w:val="en-GB"/>
              </w:rPr>
              <w:t>±</w:t>
            </w:r>
            <w:r>
              <w:rPr>
                <w:lang w:val="en-GB"/>
              </w:rPr>
              <w:t xml:space="preserve"> 0.3</w:t>
            </w:r>
          </w:p>
          <w:p w:rsidR="00636D03" w:rsidRDefault="00636D03" w:rsidP="001254E1">
            <w:pPr>
              <w:pStyle w:val="CETBodytext"/>
              <w:jc w:val="center"/>
              <w:rPr>
                <w:rFonts w:cs="Arial"/>
                <w:lang w:val="en-GB"/>
              </w:rPr>
            </w:pPr>
            <w:r>
              <w:rPr>
                <w:lang w:val="en-GB"/>
              </w:rPr>
              <w:t xml:space="preserve">0.040 </w:t>
            </w:r>
            <w:r>
              <w:rPr>
                <w:rFonts w:cs="Arial"/>
                <w:lang w:val="en-GB"/>
              </w:rPr>
              <w:t>± 0.004</w:t>
            </w:r>
          </w:p>
          <w:p w:rsidR="00636D03" w:rsidRDefault="00636D03" w:rsidP="001254E1">
            <w:pPr>
              <w:pStyle w:val="CETBodytext"/>
              <w:jc w:val="center"/>
              <w:rPr>
                <w:rFonts w:cs="Arial"/>
                <w:lang w:val="en-GB"/>
              </w:rPr>
            </w:pPr>
            <w:r>
              <w:rPr>
                <w:lang w:val="en-GB"/>
              </w:rPr>
              <w:t xml:space="preserve">0.1 </w:t>
            </w:r>
            <w:r>
              <w:rPr>
                <w:rFonts w:cs="Arial"/>
                <w:lang w:val="en-GB"/>
              </w:rPr>
              <w:t>± 0.3</w:t>
            </w:r>
          </w:p>
          <w:p w:rsidR="00636D03" w:rsidRDefault="00636D03" w:rsidP="001254E1">
            <w:pPr>
              <w:pStyle w:val="CETBodytext"/>
              <w:jc w:val="center"/>
              <w:rPr>
                <w:rFonts w:cs="Arial"/>
                <w:lang w:val="en-GB"/>
              </w:rPr>
            </w:pPr>
            <w:r>
              <w:rPr>
                <w:lang w:val="en-GB"/>
              </w:rPr>
              <w:t xml:space="preserve">0.14 </w:t>
            </w:r>
            <w:r>
              <w:rPr>
                <w:rFonts w:cs="Arial"/>
                <w:lang w:val="en-GB"/>
              </w:rPr>
              <w:t>± 0.02</w:t>
            </w:r>
          </w:p>
          <w:p w:rsidR="00636D03" w:rsidRPr="005C6B91" w:rsidRDefault="00636D03" w:rsidP="001254E1">
            <w:pPr>
              <w:pStyle w:val="CETBodytext"/>
              <w:jc w:val="center"/>
              <w:rPr>
                <w:lang w:val="en-GB"/>
              </w:rPr>
            </w:pPr>
            <w:r>
              <w:rPr>
                <w:lang w:val="en-GB"/>
              </w:rPr>
              <w:t>10</w:t>
            </w:r>
            <w:r w:rsidRPr="005C6B91">
              <w:rPr>
                <w:vertAlign w:val="superscript"/>
                <w:lang w:val="en-GB"/>
              </w:rPr>
              <w:t>-5</w:t>
            </w:r>
            <w:r>
              <w:rPr>
                <w:lang w:val="en-GB"/>
              </w:rPr>
              <w:t>*</w:t>
            </w:r>
          </w:p>
        </w:tc>
      </w:tr>
    </w:tbl>
    <w:p w:rsidR="00636D03" w:rsidRDefault="002303A1" w:rsidP="00636D03">
      <w:pPr>
        <w:pStyle w:val="CETBodytext"/>
      </w:pPr>
      <w:bookmarkStart w:id="1" w:name="_GoBack"/>
      <w:bookmarkEnd w:id="1"/>
      <w:r>
        <w:br w:type="textWrapping" w:clear="all"/>
      </w:r>
    </w:p>
    <w:p w:rsidR="00AC3E32" w:rsidRPr="00AC3E32" w:rsidRDefault="00AC3E32" w:rsidP="00D04950">
      <w:pPr>
        <w:pStyle w:val="CETBodytext"/>
        <w:jc w:val="left"/>
      </w:pPr>
      <w:r w:rsidRPr="00AC3E32">
        <w:t>As shown in Figure 1d, these terms maintained the same value when N was available in the culture medium. Only when N in solution finished (N = 0 mg L</w:t>
      </w:r>
      <w:r w:rsidRPr="000D60C4">
        <w:rPr>
          <w:vertAlign w:val="superscript"/>
        </w:rPr>
        <w:t>-1</w:t>
      </w:r>
      <w:r w:rsidRPr="00AC3E32">
        <w:t xml:space="preserve">),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N</m:t>
            </m:r>
          </m:sub>
        </m:sSub>
      </m:oMath>
      <w:r w:rsidRPr="00AC3E32">
        <w:t xml:space="preserve"> instantaneously dropped to zero. This change was so sudden because of the lower value of K</w:t>
      </w:r>
      <w:r w:rsidRPr="00A771B8">
        <w:rPr>
          <w:vertAlign w:val="subscript"/>
        </w:rPr>
        <w:t>N</w:t>
      </w:r>
      <w:r w:rsidRPr="00AC3E32">
        <w:t xml:space="preserve"> (0.01 mg L</w:t>
      </w:r>
      <w:r w:rsidRPr="000D60C4">
        <w:rPr>
          <w:vertAlign w:val="superscript"/>
        </w:rPr>
        <w:t>-1</w:t>
      </w:r>
      <w:r w:rsidRPr="00AC3E32">
        <w:t xml:space="preserve">) with respect of the ΔN induced by microalgae growth in the time intervals considered (Figure 1b). The value of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H</m:t>
            </m:r>
          </m:sub>
        </m:sSub>
        <m:r>
          <m:rPr>
            <m:sty m:val="p"/>
          </m:rPr>
          <w:rPr>
            <w:rFonts w:ascii="Cambria Math" w:hAnsi="Cambria Math"/>
          </w:rPr>
          <m:t>q</m:t>
        </m:r>
      </m:oMath>
      <w:r w:rsidRPr="00AC3E32">
        <w:t xml:space="preserve"> decreased progressively after the end of N in solution, because of the gradually reduction of q (that was given by the stopped N uptake) until to 0</w:t>
      </w:r>
      <w:r w:rsidR="0039711A">
        <w:t>,</w:t>
      </w:r>
      <w:r w:rsidRPr="00AC3E32">
        <w:t xml:space="preserve"> when q = </w:t>
      </w:r>
      <w:proofErr w:type="spellStart"/>
      <w:r w:rsidRPr="00AC3E32">
        <w:t>q</w:t>
      </w:r>
      <w:r w:rsidRPr="000D60C4">
        <w:rPr>
          <w:vertAlign w:val="subscript"/>
        </w:rPr>
        <w:t>min</w:t>
      </w:r>
      <w:proofErr w:type="spellEnd"/>
      <w:r w:rsidRPr="00AC3E32">
        <w:t xml:space="preserve"> was reached.</w:t>
      </w:r>
    </w:p>
    <w:p w:rsidR="00803467" w:rsidRPr="00AC3E32" w:rsidRDefault="005A47F3" w:rsidP="00AC3E32">
      <w:pPr>
        <w:pStyle w:val="CETBodytextItalic"/>
      </w:pPr>
      <w:r>
        <w:rPr>
          <w:i w:val="0"/>
        </w:rPr>
        <w:t xml:space="preserve">The </w:t>
      </w:r>
      <w:r w:rsidR="00056927">
        <w:rPr>
          <w:i w:val="0"/>
        </w:rPr>
        <w:t>experimental data obtained were used to determine the yield factors for the two main substrates, which were NO</w:t>
      </w:r>
      <w:r w:rsidR="00056927" w:rsidRPr="00056927">
        <w:rPr>
          <w:i w:val="0"/>
          <w:vertAlign w:val="subscript"/>
        </w:rPr>
        <w:t>3</w:t>
      </w:r>
      <w:r w:rsidR="00056927" w:rsidRPr="00056927">
        <w:rPr>
          <w:i w:val="0"/>
          <w:vertAlign w:val="superscript"/>
        </w:rPr>
        <w:t>-</w:t>
      </w:r>
      <w:r w:rsidR="00056927">
        <w:rPr>
          <w:i w:val="0"/>
          <w:vertAlign w:val="superscript"/>
        </w:rPr>
        <w:t xml:space="preserve"> </w:t>
      </w:r>
      <w:r w:rsidR="00056927">
        <w:rPr>
          <w:i w:val="0"/>
        </w:rPr>
        <w:t xml:space="preserve">and glucose. The yield factors were determined according to </w:t>
      </w:r>
      <w:proofErr w:type="spellStart"/>
      <w:proofErr w:type="gramStart"/>
      <w:r w:rsidR="00056927">
        <w:rPr>
          <w:i w:val="0"/>
        </w:rPr>
        <w:t>Eq</w:t>
      </w:r>
      <w:proofErr w:type="spellEnd"/>
      <w:r w:rsidR="00056927">
        <w:rPr>
          <w:i w:val="0"/>
        </w:rPr>
        <w:t>(</w:t>
      </w:r>
      <w:proofErr w:type="gramEnd"/>
      <w:r w:rsidR="00056927">
        <w:rPr>
          <w:i w:val="0"/>
        </w:rPr>
        <w:t xml:space="preserve">7) and </w:t>
      </w:r>
      <w:proofErr w:type="spellStart"/>
      <w:r w:rsidR="00056927">
        <w:rPr>
          <w:i w:val="0"/>
        </w:rPr>
        <w:t>Eq</w:t>
      </w:r>
      <w:proofErr w:type="spellEnd"/>
      <w:r w:rsidR="00056927">
        <w:rPr>
          <w:i w:val="0"/>
        </w:rPr>
        <w:t>(8):</w:t>
      </w:r>
    </w:p>
    <w:bookmarkStart w:id="2" w:name="_Hlk430893"/>
    <w:p w:rsidR="00056927" w:rsidRDefault="005A2C4E" w:rsidP="001254E1">
      <w:pPr>
        <w:pStyle w:val="CETEquation"/>
        <w:jc w:val="right"/>
      </w:pPr>
      <m:oMath>
        <m:sSub>
          <m:sSubPr>
            <m:ctrlPr>
              <w:rPr>
                <w:rFonts w:ascii="Cambria Math" w:hAnsi="Cambria Math"/>
              </w:rPr>
            </m:ctrlPr>
          </m:sSubPr>
          <m:e>
            <m:r>
              <w:rPr>
                <w:rFonts w:ascii="Cambria Math" w:hAnsi="Cambria Math"/>
              </w:rPr>
              <m:t>Y</m:t>
            </m:r>
          </m:e>
          <m:sub>
            <m:f>
              <m:fPr>
                <m:type m:val="lin"/>
                <m:ctrlPr>
                  <w:rPr>
                    <w:rFonts w:ascii="Cambria Math" w:hAnsi="Cambria Math"/>
                  </w:rPr>
                </m:ctrlPr>
              </m:fPr>
              <m:num>
                <m:r>
                  <w:rPr>
                    <w:rFonts w:ascii="Cambria Math" w:hAnsi="Cambria Math"/>
                  </w:rPr>
                  <m:t>X</m:t>
                </m:r>
              </m:num>
              <m:den>
                <m:sSubSup>
                  <m:sSubSupPr>
                    <m:ctrlPr>
                      <w:rPr>
                        <w:rFonts w:ascii="Cambria Math" w:hAnsi="Cambria Math"/>
                      </w:rPr>
                    </m:ctrlPr>
                  </m:sSubSupPr>
                  <m:e>
                    <m:r>
                      <w:rPr>
                        <w:rFonts w:ascii="Cambria Math" w:hAnsi="Cambria Math"/>
                      </w:rPr>
                      <m:t>NO</m:t>
                    </m:r>
                  </m:e>
                  <m:sub>
                    <m:r>
                      <m:rPr>
                        <m:sty m:val="p"/>
                      </m:rPr>
                      <w:rPr>
                        <w:rFonts w:ascii="Cambria Math" w:hAnsi="Cambria Math"/>
                      </w:rPr>
                      <m:t>3</m:t>
                    </m:r>
                  </m:sub>
                  <m:sup>
                    <m:r>
                      <m:rPr>
                        <m:sty m:val="p"/>
                      </m:rPr>
                      <w:rPr>
                        <w:rFonts w:ascii="Cambria Math" w:hAnsi="Cambria Math"/>
                      </w:rPr>
                      <m:t>-</m:t>
                    </m:r>
                  </m:sup>
                </m:sSubSup>
              </m:den>
            </m:f>
          </m:sub>
        </m:sSub>
        <w:bookmarkEnd w:id="2"/>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num>
          <m:den>
            <m:sSub>
              <m:sSubPr>
                <m:ctrlPr>
                  <w:rPr>
                    <w:rFonts w:ascii="Cambria Math" w:hAnsi="Cambria Math"/>
                  </w:rPr>
                </m:ctrlPr>
              </m:sSubPr>
              <m:e>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NO</m:t>
                        </m:r>
                      </m:e>
                      <m:sub>
                        <m:r>
                          <m:rPr>
                            <m:sty m:val="p"/>
                          </m:rPr>
                          <w:rPr>
                            <w:rFonts w:ascii="Cambria Math" w:hAnsi="Cambria Math"/>
                          </w:rPr>
                          <m:t>3</m:t>
                        </m:r>
                      </m:sub>
                      <m:sup>
                        <m:r>
                          <m:rPr>
                            <m:sty m:val="p"/>
                          </m:rPr>
                          <w:rPr>
                            <w:rFonts w:ascii="Cambria Math" w:hAnsi="Cambria Math"/>
                          </w:rPr>
                          <m:t>-</m:t>
                        </m:r>
                      </m:sup>
                    </m:sSubSup>
                  </m:e>
                </m:d>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NO</m:t>
                        </m:r>
                      </m:e>
                      <m:sub>
                        <m:r>
                          <m:rPr>
                            <m:sty m:val="p"/>
                          </m:rPr>
                          <w:rPr>
                            <w:rFonts w:ascii="Cambria Math" w:hAnsi="Cambria Math"/>
                          </w:rPr>
                          <m:t>3</m:t>
                        </m:r>
                      </m:sub>
                      <m:sup>
                        <m:r>
                          <m:rPr>
                            <m:sty m:val="p"/>
                          </m:rPr>
                          <w:rPr>
                            <w:rFonts w:ascii="Cambria Math" w:hAnsi="Cambria Math"/>
                          </w:rPr>
                          <m:t>-</m:t>
                        </m:r>
                      </m:sup>
                    </m:sSubSup>
                  </m:e>
                </m:d>
              </m:e>
              <m:sub>
                <m:r>
                  <w:rPr>
                    <w:rFonts w:ascii="Cambria Math" w:hAnsi="Cambria Math"/>
                  </w:rPr>
                  <m:t>f</m:t>
                </m:r>
              </m:sub>
            </m:sSub>
          </m:den>
        </m:f>
      </m:oMath>
      <w:r w:rsidR="002158D5">
        <w:t xml:space="preserve">                                                                                                                                        (7)</w:t>
      </w:r>
    </w:p>
    <w:p w:rsidR="002158D5" w:rsidRDefault="005A2C4E" w:rsidP="001254E1">
      <w:pPr>
        <w:pStyle w:val="CETEquation"/>
        <w:jc w:val="right"/>
      </w:pPr>
      <m:oMath>
        <m:sSub>
          <m:sSubPr>
            <m:ctrlPr>
              <w:rPr>
                <w:rFonts w:ascii="Cambria Math" w:hAnsi="Cambria Math"/>
              </w:rPr>
            </m:ctrlPr>
          </m:sSubPr>
          <m:e>
            <m:r>
              <w:rPr>
                <w:rFonts w:ascii="Cambria Math" w:hAnsi="Cambria Math"/>
              </w:rPr>
              <m:t>Y</m:t>
            </m:r>
          </m:e>
          <m:sub>
            <m:f>
              <m:fPr>
                <m:type m:val="lin"/>
                <m:ctrlPr>
                  <w:rPr>
                    <w:rFonts w:ascii="Cambria Math" w:hAnsi="Cambria Math"/>
                  </w:rPr>
                </m:ctrlPr>
              </m:fPr>
              <m:num>
                <m:r>
                  <w:rPr>
                    <w:rFonts w:ascii="Cambria Math" w:hAnsi="Cambria Math"/>
                  </w:rPr>
                  <m:t>X</m:t>
                </m:r>
              </m:num>
              <m:den>
                <m:r>
                  <m:rPr>
                    <m:sty m:val="p"/>
                  </m:rPr>
                  <w:rPr>
                    <w:rFonts w:ascii="Cambria Math" w:hAnsi="Cambria Math"/>
                  </w:rPr>
                  <m:t>glu</m:t>
                </m:r>
              </m:den>
            </m:f>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num>
          <m:den>
            <m:sSub>
              <m:sSubPr>
                <m:ctrlPr>
                  <w:rPr>
                    <w:rFonts w:ascii="Cambria Math" w:hAnsi="Cambria Math"/>
                  </w:rPr>
                </m:ctrlPr>
              </m:sSubPr>
              <m:e>
                <m:d>
                  <m:dPr>
                    <m:begChr m:val="["/>
                    <m:endChr m:val="]"/>
                    <m:ctrlPr>
                      <w:rPr>
                        <w:rFonts w:ascii="Cambria Math" w:hAnsi="Cambria Math"/>
                      </w:rPr>
                    </m:ctrlPr>
                  </m:dPr>
                  <m:e>
                    <m:r>
                      <m:rPr>
                        <m:sty m:val="p"/>
                      </m:rPr>
                      <w:rPr>
                        <w:rFonts w:ascii="Cambria Math" w:hAnsi="Cambria Math"/>
                      </w:rPr>
                      <m:t>glu</m:t>
                    </m:r>
                  </m:e>
                </m:d>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d>
                  <m:dPr>
                    <m:begChr m:val="["/>
                    <m:endChr m:val="]"/>
                    <m:ctrlPr>
                      <w:rPr>
                        <w:rFonts w:ascii="Cambria Math" w:hAnsi="Cambria Math"/>
                      </w:rPr>
                    </m:ctrlPr>
                  </m:dPr>
                  <m:e>
                    <m:r>
                      <m:rPr>
                        <m:sty m:val="p"/>
                      </m:rPr>
                      <w:rPr>
                        <w:rFonts w:ascii="Cambria Math" w:hAnsi="Cambria Math"/>
                      </w:rPr>
                      <m:t>glu</m:t>
                    </m:r>
                  </m:e>
                </m:d>
              </m:e>
              <m:sub>
                <m:r>
                  <w:rPr>
                    <w:rFonts w:ascii="Cambria Math" w:hAnsi="Cambria Math"/>
                  </w:rPr>
                  <m:t>f</m:t>
                </m:r>
              </m:sub>
            </m:sSub>
          </m:den>
        </m:f>
      </m:oMath>
      <w:r w:rsidR="002158D5">
        <w:t xml:space="preserve">                                                                                                                                             (8)</w:t>
      </w:r>
    </w:p>
    <w:p w:rsidR="002158D5" w:rsidRDefault="00014689" w:rsidP="002158D5">
      <w:pPr>
        <w:pStyle w:val="CETBodytext"/>
        <w:rPr>
          <w:lang w:val="en-GB"/>
        </w:rPr>
      </w:pPr>
      <w:r>
        <w:rPr>
          <w:lang w:val="en-GB"/>
        </w:rPr>
        <w:t>Where X</w:t>
      </w:r>
      <w:r>
        <w:rPr>
          <w:vertAlign w:val="subscript"/>
          <w:lang w:val="en-GB"/>
        </w:rPr>
        <w:t>0</w:t>
      </w:r>
      <w:r>
        <w:rPr>
          <w:lang w:val="en-GB"/>
        </w:rPr>
        <w:t xml:space="preserve"> and </w:t>
      </w:r>
      <w:proofErr w:type="spellStart"/>
      <w:r>
        <w:rPr>
          <w:lang w:val="en-GB"/>
        </w:rPr>
        <w:t>X</w:t>
      </w:r>
      <w:r>
        <w:rPr>
          <w:vertAlign w:val="subscript"/>
          <w:lang w:val="en-GB"/>
        </w:rPr>
        <w:t>f</w:t>
      </w:r>
      <w:proofErr w:type="spellEnd"/>
      <w:r>
        <w:rPr>
          <w:lang w:val="en-GB"/>
        </w:rPr>
        <w:t xml:space="preserve"> are the initial and final biomass concentration measured during the cultivation respectively</w:t>
      </w:r>
      <w:r w:rsidR="00252CB7">
        <w:rPr>
          <w:lang w:val="en-GB"/>
        </w:rPr>
        <w:t>.</w:t>
      </w:r>
      <w:r>
        <w:rPr>
          <w:lang w:val="en-GB"/>
        </w:rPr>
        <w:t xml:space="preserve"> </w:t>
      </w:r>
      <w:r w:rsidR="00252CB7">
        <w:rPr>
          <w:lang w:val="en-GB"/>
        </w:rPr>
        <w:t>[NO</w:t>
      </w:r>
      <w:r w:rsidR="00252CB7">
        <w:rPr>
          <w:vertAlign w:val="subscript"/>
          <w:lang w:val="en-GB"/>
        </w:rPr>
        <w:t>3</w:t>
      </w:r>
      <w:r w:rsidR="00252CB7">
        <w:rPr>
          <w:vertAlign w:val="superscript"/>
          <w:lang w:val="en-GB"/>
        </w:rPr>
        <w:t>-</w:t>
      </w:r>
      <w:r w:rsidR="00252CB7">
        <w:rPr>
          <w:lang w:val="en-GB"/>
        </w:rPr>
        <w:t>]</w:t>
      </w:r>
      <w:r w:rsidR="00252CB7">
        <w:rPr>
          <w:vertAlign w:val="subscript"/>
          <w:lang w:val="en-GB"/>
        </w:rPr>
        <w:t xml:space="preserve">0 </w:t>
      </w:r>
      <w:r w:rsidR="00252CB7">
        <w:rPr>
          <w:lang w:val="en-GB"/>
        </w:rPr>
        <w:t>and [NO</w:t>
      </w:r>
      <w:r w:rsidR="00252CB7">
        <w:rPr>
          <w:vertAlign w:val="subscript"/>
          <w:lang w:val="en-GB"/>
        </w:rPr>
        <w:t>3</w:t>
      </w:r>
      <w:proofErr w:type="gramStart"/>
      <w:r w:rsidR="00252CB7">
        <w:rPr>
          <w:vertAlign w:val="superscript"/>
          <w:lang w:val="en-GB"/>
        </w:rPr>
        <w:t>-</w:t>
      </w:r>
      <w:r w:rsidR="00252CB7">
        <w:rPr>
          <w:lang w:val="en-GB"/>
        </w:rPr>
        <w:t>]</w:t>
      </w:r>
      <w:r w:rsidR="00252CB7">
        <w:rPr>
          <w:vertAlign w:val="subscript"/>
          <w:lang w:val="en-GB"/>
        </w:rPr>
        <w:t>f</w:t>
      </w:r>
      <w:proofErr w:type="gramEnd"/>
      <w:r w:rsidR="00252CB7">
        <w:rPr>
          <w:vertAlign w:val="subscript"/>
          <w:lang w:val="en-GB"/>
        </w:rPr>
        <w:t xml:space="preserve"> </w:t>
      </w:r>
      <w:r w:rsidR="00252CB7" w:rsidRPr="00252CB7">
        <w:rPr>
          <w:lang w:val="en-GB"/>
        </w:rPr>
        <w:t xml:space="preserve">are the initial and final </w:t>
      </w:r>
      <w:r w:rsidR="00252CB7">
        <w:rPr>
          <w:lang w:val="en-GB"/>
        </w:rPr>
        <w:t>NO</w:t>
      </w:r>
      <w:r w:rsidR="00252CB7">
        <w:rPr>
          <w:vertAlign w:val="subscript"/>
          <w:lang w:val="en-GB"/>
        </w:rPr>
        <w:t>3</w:t>
      </w:r>
      <w:r w:rsidR="00252CB7">
        <w:rPr>
          <w:vertAlign w:val="superscript"/>
          <w:lang w:val="en-GB"/>
        </w:rPr>
        <w:t>-</w:t>
      </w:r>
      <w:r w:rsidR="00252CB7" w:rsidRPr="00252CB7">
        <w:rPr>
          <w:lang w:val="en-GB"/>
        </w:rPr>
        <w:t xml:space="preserve"> concentration measured during the cultivation respectively</w:t>
      </w:r>
      <w:r w:rsidR="00252CB7">
        <w:rPr>
          <w:lang w:val="en-GB"/>
        </w:rPr>
        <w:t>. [</w:t>
      </w:r>
      <w:proofErr w:type="spellStart"/>
      <w:r w:rsidR="00252CB7">
        <w:rPr>
          <w:lang w:val="en-GB"/>
        </w:rPr>
        <w:t>glu</w:t>
      </w:r>
      <w:proofErr w:type="spellEnd"/>
      <w:r w:rsidR="00252CB7">
        <w:rPr>
          <w:lang w:val="en-GB"/>
        </w:rPr>
        <w:t>]</w:t>
      </w:r>
      <w:r w:rsidR="00252CB7">
        <w:rPr>
          <w:vertAlign w:val="subscript"/>
          <w:lang w:val="en-GB"/>
        </w:rPr>
        <w:t xml:space="preserve">0 </w:t>
      </w:r>
      <w:r w:rsidR="00252CB7">
        <w:rPr>
          <w:lang w:val="en-GB"/>
        </w:rPr>
        <w:t>and [</w:t>
      </w:r>
      <w:proofErr w:type="spellStart"/>
      <w:r w:rsidR="00252CB7">
        <w:rPr>
          <w:lang w:val="en-GB"/>
        </w:rPr>
        <w:t>glu</w:t>
      </w:r>
      <w:proofErr w:type="spellEnd"/>
      <w:r w:rsidR="00252CB7">
        <w:rPr>
          <w:lang w:val="en-GB"/>
        </w:rPr>
        <w:t>]</w:t>
      </w:r>
      <w:r w:rsidR="00252CB7">
        <w:rPr>
          <w:vertAlign w:val="subscript"/>
          <w:lang w:val="en-GB"/>
        </w:rPr>
        <w:t>f</w:t>
      </w:r>
      <w:r w:rsidR="00252CB7" w:rsidRPr="001254E1">
        <w:rPr>
          <w:lang w:val="en-GB"/>
        </w:rPr>
        <w:t xml:space="preserve"> </w:t>
      </w:r>
      <w:proofErr w:type="gramStart"/>
      <w:r w:rsidR="00252CB7" w:rsidRPr="00252CB7">
        <w:rPr>
          <w:lang w:val="en-GB"/>
        </w:rPr>
        <w:t>are</w:t>
      </w:r>
      <w:proofErr w:type="gramEnd"/>
      <w:r w:rsidR="00252CB7" w:rsidRPr="00252CB7">
        <w:rPr>
          <w:lang w:val="en-GB"/>
        </w:rPr>
        <w:t xml:space="preserve"> the initial and final </w:t>
      </w:r>
      <w:r w:rsidR="00252CB7">
        <w:rPr>
          <w:lang w:val="en-GB"/>
        </w:rPr>
        <w:t>glucose</w:t>
      </w:r>
      <w:r w:rsidR="00252CB7" w:rsidRPr="00252CB7">
        <w:rPr>
          <w:lang w:val="en-GB"/>
        </w:rPr>
        <w:t xml:space="preserve"> concentration measured during the cultivation respectively</w:t>
      </w:r>
      <w:r w:rsidR="00252CB7">
        <w:rPr>
          <w:lang w:val="en-GB"/>
        </w:rPr>
        <w:t>.</w:t>
      </w:r>
    </w:p>
    <w:p w:rsidR="00636D03" w:rsidRDefault="00252CB7" w:rsidP="002158D5">
      <w:pPr>
        <w:pStyle w:val="CETBodytext"/>
      </w:pPr>
      <w:r>
        <w:rPr>
          <w:lang w:val="en-GB"/>
        </w:rPr>
        <w:t>The yield factors obtained for glucose are comparable with those obtained for the same strain in</w:t>
      </w:r>
      <w:r w:rsidR="00A771B8">
        <w:rPr>
          <w:lang w:val="en-GB"/>
        </w:rPr>
        <w:t xml:space="preserve"> </w:t>
      </w:r>
      <w:r>
        <w:rPr>
          <w:lang w:val="en-GB"/>
        </w:rPr>
        <w:t>previous stud</w:t>
      </w:r>
      <w:r w:rsidR="00A771B8">
        <w:rPr>
          <w:lang w:val="en-GB"/>
        </w:rPr>
        <w:t>ies</w:t>
      </w:r>
      <w:r w:rsidR="000D60C4">
        <w:rPr>
          <w:lang w:val="en-GB"/>
        </w:rPr>
        <w:t xml:space="preserve"> </w:t>
      </w:r>
      <w:r w:rsidR="00B409BF">
        <w:rPr>
          <w:lang w:val="en-GB"/>
        </w:rPr>
        <w:t xml:space="preserve">conducted by </w:t>
      </w:r>
      <w:r w:rsidR="000D60C4" w:rsidRPr="000D60C4">
        <w:rPr>
          <w:lang w:val="en-GB"/>
        </w:rPr>
        <w:t>Camacho Rubio et al.</w:t>
      </w:r>
      <w:r w:rsidR="00B409BF">
        <w:rPr>
          <w:lang w:val="en-GB"/>
        </w:rPr>
        <w:t xml:space="preserve"> (</w:t>
      </w:r>
      <w:r w:rsidR="000D60C4" w:rsidRPr="000D60C4">
        <w:rPr>
          <w:lang w:val="en-GB"/>
        </w:rPr>
        <w:t>1989</w:t>
      </w:r>
      <w:r w:rsidR="00B409BF">
        <w:rPr>
          <w:lang w:val="en-GB"/>
        </w:rPr>
        <w:t>) and by</w:t>
      </w:r>
      <w:r w:rsidR="00A771B8">
        <w:rPr>
          <w:lang w:val="en-GB"/>
        </w:rPr>
        <w:t xml:space="preserve"> Di Caprio et al.</w:t>
      </w:r>
      <w:r w:rsidR="00B409BF">
        <w:rPr>
          <w:lang w:val="en-GB"/>
        </w:rPr>
        <w:t xml:space="preserve"> (</w:t>
      </w:r>
      <w:r w:rsidR="00A771B8">
        <w:rPr>
          <w:lang w:val="en-GB"/>
        </w:rPr>
        <w:t>201</w:t>
      </w:r>
      <w:r w:rsidR="00270E69">
        <w:rPr>
          <w:lang w:val="en-GB"/>
        </w:rPr>
        <w:t>8c</w:t>
      </w:r>
      <w:r w:rsidR="000D60C4" w:rsidRPr="000D60C4">
        <w:rPr>
          <w:lang w:val="en-GB"/>
        </w:rPr>
        <w:t>)</w:t>
      </w:r>
      <w:r w:rsidR="00DC543E">
        <w:rPr>
          <w:lang w:val="en-GB"/>
        </w:rPr>
        <w:t xml:space="preserve">. </w:t>
      </w:r>
      <w:r w:rsidR="00550B24">
        <w:rPr>
          <w:lang w:val="en-GB"/>
        </w:rPr>
        <w:t xml:space="preserve">The lower value obtained in N-starvation condition can be a consequence of a higher percentage of glucose used for maintenance with respect to biomass production. </w:t>
      </w:r>
      <w:r w:rsidR="00796023">
        <w:rPr>
          <w:lang w:val="en-GB"/>
        </w:rPr>
        <w:t xml:space="preserve">The value determined for </w:t>
      </w:r>
      <m:oMath>
        <m:sSub>
          <m:sSubPr>
            <m:ctrlPr>
              <w:rPr>
                <w:rFonts w:ascii="Cambria Math" w:hAnsi="Cambria Math"/>
              </w:rPr>
            </m:ctrlPr>
          </m:sSubPr>
          <m:e>
            <m:r>
              <w:rPr>
                <w:rFonts w:ascii="Cambria Math" w:hAnsi="Cambria Math"/>
              </w:rPr>
              <m:t>Y</m:t>
            </m:r>
          </m:e>
          <m:sub>
            <m:f>
              <m:fPr>
                <m:type m:val="lin"/>
                <m:ctrlPr>
                  <w:rPr>
                    <w:rFonts w:ascii="Cambria Math" w:hAnsi="Cambria Math"/>
                  </w:rPr>
                </m:ctrlPr>
              </m:fPr>
              <m:num>
                <m:r>
                  <w:rPr>
                    <w:rFonts w:ascii="Cambria Math" w:hAnsi="Cambria Math"/>
                  </w:rPr>
                  <m:t>X</m:t>
                </m:r>
              </m:num>
              <m:den>
                <m:sSubSup>
                  <m:sSubSupPr>
                    <m:ctrlPr>
                      <w:rPr>
                        <w:rFonts w:ascii="Cambria Math" w:hAnsi="Cambria Math"/>
                      </w:rPr>
                    </m:ctrlPr>
                  </m:sSubSupPr>
                  <m:e>
                    <m:r>
                      <w:rPr>
                        <w:rFonts w:ascii="Cambria Math" w:hAnsi="Cambria Math"/>
                      </w:rPr>
                      <m:t>NO</m:t>
                    </m:r>
                  </m:e>
                  <m:sub>
                    <m:r>
                      <m:rPr>
                        <m:sty m:val="p"/>
                      </m:rPr>
                      <w:rPr>
                        <w:rFonts w:ascii="Cambria Math" w:hAnsi="Cambria Math"/>
                      </w:rPr>
                      <m:t>3</m:t>
                    </m:r>
                  </m:sub>
                  <m:sup>
                    <m:r>
                      <m:rPr>
                        <m:sty m:val="p"/>
                      </m:rPr>
                      <w:rPr>
                        <w:rFonts w:ascii="Cambria Math" w:hAnsi="Cambria Math"/>
                      </w:rPr>
                      <m:t>-</m:t>
                    </m:r>
                  </m:sup>
                </m:sSubSup>
              </m:den>
            </m:f>
          </m:sub>
        </m:sSub>
      </m:oMath>
      <w:r w:rsidR="001D5382">
        <w:t xml:space="preserve"> (Table 3) is higher than those previously reported for other microalgae species cultivated in photoautotrophic condition, which were 3.2 </w:t>
      </w:r>
      <w:r w:rsidR="005C37D9">
        <w:t>g g</w:t>
      </w:r>
      <w:r w:rsidR="005C37D9" w:rsidRPr="001D5382">
        <w:rPr>
          <w:vertAlign w:val="superscript"/>
        </w:rPr>
        <w:t>-1</w:t>
      </w:r>
      <w:r w:rsidR="005C37D9" w:rsidRPr="001254E1">
        <w:t xml:space="preserve"> </w:t>
      </w:r>
      <w:r w:rsidR="005C37D9" w:rsidRPr="000D60C4">
        <w:t>(Del Río et al.</w:t>
      </w:r>
      <w:r w:rsidR="005C37D9">
        <w:t>,</w:t>
      </w:r>
      <w:r w:rsidR="005C37D9" w:rsidRPr="000D60C4">
        <w:t xml:space="preserve"> 2005</w:t>
      </w:r>
      <w:r w:rsidR="005C37D9">
        <w:t xml:space="preserve">) </w:t>
      </w:r>
      <w:r w:rsidR="001D5382">
        <w:t>and 3.3 g g</w:t>
      </w:r>
      <w:r w:rsidR="001D5382" w:rsidRPr="001D5382">
        <w:rPr>
          <w:vertAlign w:val="superscript"/>
        </w:rPr>
        <w:t>-1</w:t>
      </w:r>
      <w:r w:rsidR="005C37D9">
        <w:t xml:space="preserve"> (</w:t>
      </w:r>
      <w:r w:rsidR="00E829D8">
        <w:t>D</w:t>
      </w:r>
      <w:r w:rsidR="000D60C4" w:rsidRPr="000D60C4">
        <w:t>el Rio-</w:t>
      </w:r>
      <w:proofErr w:type="spellStart"/>
      <w:r w:rsidR="000D60C4" w:rsidRPr="000D60C4">
        <w:t>Chanona</w:t>
      </w:r>
      <w:proofErr w:type="spellEnd"/>
      <w:r w:rsidR="000D60C4" w:rsidRPr="000D60C4">
        <w:t xml:space="preserve"> et al.</w:t>
      </w:r>
      <w:r w:rsidR="00D94919">
        <w:t>,</w:t>
      </w:r>
      <w:r w:rsidR="000D60C4" w:rsidRPr="000D60C4">
        <w:t xml:space="preserve"> 2017)</w:t>
      </w:r>
      <w:r w:rsidR="000D60C4">
        <w:t>.</w:t>
      </w:r>
      <w:r w:rsidR="001D5382" w:rsidRPr="00E015D2">
        <w:t xml:space="preserve"> </w:t>
      </w:r>
      <w:r w:rsidR="001D5382" w:rsidRPr="001D5382">
        <w:rPr>
          <w:lang w:val="en-GB"/>
        </w:rPr>
        <w:t xml:space="preserve">The difference </w:t>
      </w:r>
      <w:r w:rsidR="00F40DDA">
        <w:rPr>
          <w:lang w:val="en-GB"/>
        </w:rPr>
        <w:t>was</w:t>
      </w:r>
      <w:r w:rsidR="001D5382" w:rsidRPr="001D5382">
        <w:rPr>
          <w:lang w:val="en-GB"/>
        </w:rPr>
        <w:t xml:space="preserve"> give</w:t>
      </w:r>
      <w:r w:rsidR="0061730F">
        <w:rPr>
          <w:lang w:val="en-GB"/>
        </w:rPr>
        <w:t>n by the cultivation conditions</w:t>
      </w:r>
      <w:r w:rsidR="0061730F" w:rsidRPr="000C38EE">
        <w:rPr>
          <w:lang w:val="en-GB"/>
        </w:rPr>
        <w:t xml:space="preserve">. While the previous data from literature were obtained by </w:t>
      </w:r>
      <w:r w:rsidR="000C38EE" w:rsidRPr="001254E1">
        <w:rPr>
          <w:lang w:val="en-GB"/>
        </w:rPr>
        <w:t xml:space="preserve">using </w:t>
      </w:r>
      <w:r w:rsidR="0061730F" w:rsidRPr="000C38EE">
        <w:rPr>
          <w:lang w:val="en-GB"/>
        </w:rPr>
        <w:t>microalgae</w:t>
      </w:r>
      <w:r w:rsidR="00D93CEE" w:rsidRPr="000C38EE">
        <w:rPr>
          <w:lang w:val="en-GB"/>
        </w:rPr>
        <w:t xml:space="preserve"> cultivated</w:t>
      </w:r>
      <w:r w:rsidR="0061730F" w:rsidRPr="000C38EE">
        <w:rPr>
          <w:lang w:val="en-GB"/>
        </w:rPr>
        <w:t xml:space="preserve"> in a medium replete in N, the </w:t>
      </w:r>
      <m:oMath>
        <m:sSub>
          <m:sSubPr>
            <m:ctrlPr>
              <w:rPr>
                <w:rFonts w:ascii="Cambria Math" w:hAnsi="Cambria Math"/>
              </w:rPr>
            </m:ctrlPr>
          </m:sSubPr>
          <m:e>
            <m:r>
              <w:rPr>
                <w:rFonts w:ascii="Cambria Math" w:hAnsi="Cambria Math"/>
              </w:rPr>
              <m:t>Y</m:t>
            </m:r>
          </m:e>
          <m:sub>
            <m:f>
              <m:fPr>
                <m:type m:val="lin"/>
                <m:ctrlPr>
                  <w:rPr>
                    <w:rFonts w:ascii="Cambria Math" w:hAnsi="Cambria Math"/>
                  </w:rPr>
                </m:ctrlPr>
              </m:fPr>
              <m:num>
                <m:r>
                  <w:rPr>
                    <w:rFonts w:ascii="Cambria Math" w:hAnsi="Cambria Math"/>
                  </w:rPr>
                  <m:t>X</m:t>
                </m:r>
              </m:num>
              <m:den>
                <m:sSubSup>
                  <m:sSubSupPr>
                    <m:ctrlPr>
                      <w:rPr>
                        <w:rFonts w:ascii="Cambria Math" w:hAnsi="Cambria Math"/>
                      </w:rPr>
                    </m:ctrlPr>
                  </m:sSubSupPr>
                  <m:e>
                    <m:r>
                      <w:rPr>
                        <w:rFonts w:ascii="Cambria Math" w:hAnsi="Cambria Math"/>
                      </w:rPr>
                      <m:t>NO</m:t>
                    </m:r>
                  </m:e>
                  <m:sub>
                    <m:r>
                      <m:rPr>
                        <m:sty m:val="p"/>
                      </m:rPr>
                      <w:rPr>
                        <w:rFonts w:ascii="Cambria Math" w:hAnsi="Cambria Math"/>
                      </w:rPr>
                      <m:t>3</m:t>
                    </m:r>
                  </m:sub>
                  <m:sup>
                    <m:r>
                      <m:rPr>
                        <m:sty m:val="p"/>
                      </m:rPr>
                      <w:rPr>
                        <w:rFonts w:ascii="Cambria Math" w:hAnsi="Cambria Math"/>
                      </w:rPr>
                      <m:t>-</m:t>
                    </m:r>
                  </m:sup>
                </m:sSubSup>
              </m:den>
            </m:f>
          </m:sub>
        </m:sSub>
      </m:oMath>
      <w:r w:rsidR="0061730F" w:rsidRPr="000C38EE">
        <w:t xml:space="preserve"> determine</w:t>
      </w:r>
      <w:r w:rsidR="00BC53C4" w:rsidRPr="000C38EE">
        <w:t xml:space="preserve">d </w:t>
      </w:r>
      <w:r w:rsidR="0061730F" w:rsidRPr="000C38EE">
        <w:t>in this work includes the biomass produced during N-starvation, which makes the yield factor higher</w:t>
      </w:r>
      <w:r w:rsidR="00D93CEE" w:rsidRPr="000C38EE">
        <w:t>.</w:t>
      </w:r>
    </w:p>
    <w:p w:rsidR="004E007C" w:rsidRDefault="004E007C" w:rsidP="002158D5">
      <w:pPr>
        <w:pStyle w:val="CETBodytext"/>
      </w:pPr>
      <w:r>
        <w:t xml:space="preserve">Such effect was described also in Di Caprio et al. (2019), showing </w:t>
      </w:r>
      <w:r w:rsidR="00E9647F">
        <w:t>that,</w:t>
      </w:r>
      <w:r>
        <w:t xml:space="preserve"> during</w:t>
      </w:r>
      <w:r w:rsidR="00E9647F">
        <w:t xml:space="preserve"> a batch which includes</w:t>
      </w:r>
      <w:r>
        <w:t xml:space="preserve"> N-starvation</w:t>
      </w:r>
      <w:r w:rsidR="00E9647F">
        <w:t>,</w:t>
      </w:r>
      <w:r>
        <w:t xml:space="preserve"> the </w:t>
      </w:r>
      <m:oMath>
        <m:sSub>
          <m:sSubPr>
            <m:ctrlPr>
              <w:rPr>
                <w:rFonts w:ascii="Cambria Math" w:hAnsi="Cambria Math"/>
              </w:rPr>
            </m:ctrlPr>
          </m:sSubPr>
          <m:e>
            <m:r>
              <w:rPr>
                <w:rFonts w:ascii="Cambria Math" w:hAnsi="Cambria Math"/>
              </w:rPr>
              <m:t>Y</m:t>
            </m:r>
          </m:e>
          <m:sub>
            <m:f>
              <m:fPr>
                <m:type m:val="lin"/>
                <m:ctrlPr>
                  <w:rPr>
                    <w:rFonts w:ascii="Cambria Math" w:hAnsi="Cambria Math"/>
                  </w:rPr>
                </m:ctrlPr>
              </m:fPr>
              <m:num>
                <m:r>
                  <w:rPr>
                    <w:rFonts w:ascii="Cambria Math" w:hAnsi="Cambria Math"/>
                  </w:rPr>
                  <m:t>X</m:t>
                </m:r>
              </m:num>
              <m:den>
                <m:sSubSup>
                  <m:sSubSupPr>
                    <m:ctrlPr>
                      <w:rPr>
                        <w:rFonts w:ascii="Cambria Math" w:hAnsi="Cambria Math"/>
                      </w:rPr>
                    </m:ctrlPr>
                  </m:sSubSupPr>
                  <m:e>
                    <m:r>
                      <w:rPr>
                        <w:rFonts w:ascii="Cambria Math" w:hAnsi="Cambria Math"/>
                      </w:rPr>
                      <m:t>NO</m:t>
                    </m:r>
                  </m:e>
                  <m:sub>
                    <m:r>
                      <m:rPr>
                        <m:sty m:val="p"/>
                      </m:rPr>
                      <w:rPr>
                        <w:rFonts w:ascii="Cambria Math" w:hAnsi="Cambria Math"/>
                      </w:rPr>
                      <m:t>3</m:t>
                    </m:r>
                  </m:sub>
                  <m:sup>
                    <m:r>
                      <m:rPr>
                        <m:sty m:val="p"/>
                      </m:rPr>
                      <w:rPr>
                        <w:rFonts w:ascii="Cambria Math" w:hAnsi="Cambria Math"/>
                      </w:rPr>
                      <m:t>-</m:t>
                    </m:r>
                  </m:sup>
                </m:sSubSup>
              </m:den>
            </m:f>
          </m:sub>
        </m:sSub>
      </m:oMath>
      <w:r>
        <w:t xml:space="preserve"> of </w:t>
      </w:r>
      <w:r w:rsidRPr="001254E1">
        <w:rPr>
          <w:i/>
        </w:rPr>
        <w:t>T. obliquus</w:t>
      </w:r>
      <w:r>
        <w:t xml:space="preserve"> was </w:t>
      </w:r>
      <w:r>
        <w:rPr>
          <w:rFonts w:cs="Arial"/>
        </w:rPr>
        <w:t>~</w:t>
      </w:r>
      <w:r>
        <w:t xml:space="preserve"> 2 folds </w:t>
      </w:r>
      <w:r w:rsidR="00E9647F">
        <w:t xml:space="preserve">higher than </w:t>
      </w:r>
      <w:r>
        <w:t xml:space="preserve">the value achieved in </w:t>
      </w:r>
      <w:r w:rsidR="00E9647F">
        <w:t xml:space="preserve">the only </w:t>
      </w:r>
      <w:r>
        <w:t xml:space="preserve">N-replete condition, due to the biomass growth given by the sole organic carbon accumulation </w:t>
      </w:r>
      <w:r w:rsidR="00E9647F">
        <w:t>during</w:t>
      </w:r>
      <w:r>
        <w:t xml:space="preserve"> N-starvation. </w:t>
      </w:r>
    </w:p>
    <w:p w:rsidR="00636D03" w:rsidRDefault="00636D03" w:rsidP="00DA6B7A">
      <w:pPr>
        <w:pStyle w:val="CETTabletitle"/>
      </w:pPr>
      <w:r w:rsidRPr="00B57B36">
        <w:t xml:space="preserve">Table </w:t>
      </w:r>
      <w:r>
        <w:t>3</w:t>
      </w:r>
      <w:r w:rsidRPr="00B57B36">
        <w:t>:</w:t>
      </w:r>
      <w:r>
        <w:t xml:space="preserve"> </w:t>
      </w:r>
      <w:r w:rsidR="005F7EB1">
        <w:t>Y</w:t>
      </w:r>
      <w:r>
        <w:t>ield factors for biomass with respect to NO</w:t>
      </w:r>
      <w:r w:rsidRPr="00B7103C">
        <w:rPr>
          <w:vertAlign w:val="subscript"/>
        </w:rPr>
        <w:t>3</w:t>
      </w:r>
      <w:r w:rsidRPr="00B7103C">
        <w:rPr>
          <w:vertAlign w:val="superscript"/>
        </w:rPr>
        <w:t>-</w:t>
      </w:r>
      <w:r>
        <w:t xml:space="preserve"> and glucose obtained from T. obliquus cultivated in heterotrophic condition. Errors are reported as </w:t>
      </w:r>
      <w:r>
        <w:rPr>
          <w:rFonts w:cs="Arial"/>
        </w:rPr>
        <w:t>±</w:t>
      </w:r>
      <w:r>
        <w:t xml:space="preserve"> standard deviation.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81"/>
        <w:gridCol w:w="1417"/>
        <w:gridCol w:w="1134"/>
      </w:tblGrid>
      <w:tr w:rsidR="00636D03" w:rsidRPr="00B57B36" w:rsidTr="004438B1">
        <w:tc>
          <w:tcPr>
            <w:tcW w:w="1081" w:type="dxa"/>
            <w:tcBorders>
              <w:top w:val="single" w:sz="12" w:space="0" w:color="008000"/>
              <w:bottom w:val="single" w:sz="6" w:space="0" w:color="008000"/>
            </w:tcBorders>
            <w:shd w:val="clear" w:color="auto" w:fill="FFFFFF"/>
          </w:tcPr>
          <w:p w:rsidR="00636D03" w:rsidRPr="00AF3629" w:rsidRDefault="00636D03" w:rsidP="004438B1">
            <w:pPr>
              <w:pStyle w:val="CETBodytext"/>
              <w:jc w:val="center"/>
              <w:rPr>
                <w:vertAlign w:val="subscript"/>
                <w:lang w:val="en-GB"/>
              </w:rPr>
            </w:pPr>
            <w:r>
              <w:rPr>
                <w:lang w:val="en-GB"/>
              </w:rPr>
              <w:t>N</w:t>
            </w:r>
          </w:p>
        </w:tc>
        <w:tc>
          <w:tcPr>
            <w:tcW w:w="1417" w:type="dxa"/>
            <w:tcBorders>
              <w:top w:val="single" w:sz="12" w:space="0" w:color="008000"/>
              <w:bottom w:val="single" w:sz="6" w:space="0" w:color="008000"/>
            </w:tcBorders>
            <w:shd w:val="clear" w:color="auto" w:fill="FFFFFF"/>
          </w:tcPr>
          <w:p w:rsidR="00636D03" w:rsidRPr="00B57B36" w:rsidRDefault="005A2C4E" w:rsidP="004438B1">
            <w:pPr>
              <w:pStyle w:val="CETBodytext"/>
              <w:jc w:val="center"/>
              <w:rPr>
                <w:lang w:val="en-GB"/>
              </w:rPr>
            </w:pPr>
            <m:oMathPara>
              <m:oMath>
                <m:sSub>
                  <m:sSubPr>
                    <m:ctrlPr>
                      <w:rPr>
                        <w:rFonts w:ascii="Cambria Math" w:hAnsi="Cambria Math"/>
                        <w:i/>
                        <w:lang w:val="en-GB"/>
                      </w:rPr>
                    </m:ctrlPr>
                  </m:sSubPr>
                  <m:e>
                    <m:r>
                      <w:rPr>
                        <w:rFonts w:ascii="Cambria Math" w:hAnsi="Cambria Math"/>
                        <w:lang w:val="en-GB"/>
                      </w:rPr>
                      <m:t>Y</m:t>
                    </m:r>
                  </m:e>
                  <m:sub>
                    <m:f>
                      <m:fPr>
                        <m:type m:val="lin"/>
                        <m:ctrlPr>
                          <w:rPr>
                            <w:rFonts w:ascii="Cambria Math" w:hAnsi="Cambria Math"/>
                            <w:i/>
                            <w:lang w:val="en-GB"/>
                          </w:rPr>
                        </m:ctrlPr>
                      </m:fPr>
                      <m:num>
                        <m:r>
                          <w:rPr>
                            <w:rFonts w:ascii="Cambria Math" w:hAnsi="Cambria Math"/>
                            <w:lang w:val="en-GB"/>
                          </w:rPr>
                          <m:t>X</m:t>
                        </m:r>
                      </m:num>
                      <m:den>
                        <m:sSubSup>
                          <m:sSubSupPr>
                            <m:ctrlPr>
                              <w:rPr>
                                <w:rFonts w:ascii="Cambria Math" w:hAnsi="Cambria Math"/>
                                <w:i/>
                                <w:lang w:val="en-GB"/>
                              </w:rPr>
                            </m:ctrlPr>
                          </m:sSubSupPr>
                          <m:e>
                            <m:r>
                              <w:rPr>
                                <w:rFonts w:ascii="Cambria Math" w:hAnsi="Cambria Math"/>
                                <w:lang w:val="en-GB"/>
                              </w:rPr>
                              <m:t>NO</m:t>
                            </m:r>
                          </m:e>
                          <m:sub>
                            <m:r>
                              <w:rPr>
                                <w:rFonts w:ascii="Cambria Math" w:hAnsi="Cambria Math"/>
                                <w:lang w:val="en-GB"/>
                              </w:rPr>
                              <m:t>3</m:t>
                            </m:r>
                          </m:sub>
                          <m:sup>
                            <m:r>
                              <w:rPr>
                                <w:rFonts w:ascii="Cambria Math" w:hAnsi="Cambria Math"/>
                                <w:lang w:val="en-GB"/>
                              </w:rPr>
                              <m:t>-</m:t>
                            </m:r>
                          </m:sup>
                        </m:sSubSup>
                      </m:den>
                    </m:f>
                  </m:sub>
                </m:sSub>
              </m:oMath>
            </m:oMathPara>
          </w:p>
        </w:tc>
        <w:tc>
          <w:tcPr>
            <w:tcW w:w="1134" w:type="dxa"/>
            <w:tcBorders>
              <w:top w:val="single" w:sz="12" w:space="0" w:color="008000"/>
              <w:bottom w:val="single" w:sz="6" w:space="0" w:color="008000"/>
            </w:tcBorders>
            <w:shd w:val="clear" w:color="auto" w:fill="FFFFFF"/>
          </w:tcPr>
          <w:p w:rsidR="00636D03" w:rsidRPr="00B57B36" w:rsidRDefault="005A2C4E" w:rsidP="004438B1">
            <w:pPr>
              <w:pStyle w:val="CETBodytext"/>
              <w:jc w:val="center"/>
              <w:rPr>
                <w:lang w:val="en-GB"/>
              </w:rPr>
            </w:pPr>
            <m:oMathPara>
              <m:oMath>
                <m:sSub>
                  <m:sSubPr>
                    <m:ctrlPr>
                      <w:rPr>
                        <w:rFonts w:ascii="Cambria Math" w:hAnsi="Cambria Math"/>
                        <w:i/>
                        <w:lang w:val="en-GB"/>
                      </w:rPr>
                    </m:ctrlPr>
                  </m:sSubPr>
                  <m:e>
                    <m:r>
                      <w:rPr>
                        <w:rFonts w:ascii="Cambria Math" w:hAnsi="Cambria Math"/>
                        <w:lang w:val="en-GB"/>
                      </w:rPr>
                      <m:t>Y</m:t>
                    </m:r>
                  </m:e>
                  <m:sub>
                    <m:f>
                      <m:fPr>
                        <m:type m:val="lin"/>
                        <m:ctrlPr>
                          <w:rPr>
                            <w:rFonts w:ascii="Cambria Math" w:hAnsi="Cambria Math"/>
                            <w:i/>
                            <w:lang w:val="en-GB"/>
                          </w:rPr>
                        </m:ctrlPr>
                      </m:fPr>
                      <m:num>
                        <m:r>
                          <w:rPr>
                            <w:rFonts w:ascii="Cambria Math" w:hAnsi="Cambria Math"/>
                            <w:lang w:val="en-GB"/>
                          </w:rPr>
                          <m:t>X</m:t>
                        </m:r>
                      </m:num>
                      <m:den>
                        <m:r>
                          <w:rPr>
                            <w:rFonts w:ascii="Cambria Math" w:hAnsi="Cambria Math"/>
                            <w:lang w:val="en-GB"/>
                          </w:rPr>
                          <m:t>glu</m:t>
                        </m:r>
                      </m:den>
                    </m:f>
                  </m:sub>
                </m:sSub>
              </m:oMath>
            </m:oMathPara>
          </w:p>
        </w:tc>
      </w:tr>
      <w:tr w:rsidR="00636D03" w:rsidRPr="00B57B36" w:rsidTr="004438B1">
        <w:tc>
          <w:tcPr>
            <w:tcW w:w="1081" w:type="dxa"/>
            <w:shd w:val="clear" w:color="auto" w:fill="FFFFFF"/>
          </w:tcPr>
          <w:p w:rsidR="00636D03" w:rsidRDefault="00636D03" w:rsidP="004438B1">
            <w:pPr>
              <w:pStyle w:val="CETBodytext"/>
              <w:jc w:val="center"/>
              <w:rPr>
                <w:lang w:val="en-GB"/>
              </w:rPr>
            </w:pPr>
            <w:r>
              <w:rPr>
                <w:lang w:val="en-GB"/>
              </w:rPr>
              <w:t>0 (mg L</w:t>
            </w:r>
            <w:r>
              <w:rPr>
                <w:vertAlign w:val="superscript"/>
                <w:lang w:val="en-GB"/>
              </w:rPr>
              <w:t>-1</w:t>
            </w:r>
            <w:r>
              <w:rPr>
                <w:lang w:val="en-GB"/>
              </w:rPr>
              <w:t>)</w:t>
            </w:r>
          </w:p>
          <w:p w:rsidR="00636D03" w:rsidRPr="00B57B36" w:rsidRDefault="00636D03" w:rsidP="004438B1">
            <w:pPr>
              <w:pStyle w:val="CETBodytext"/>
              <w:jc w:val="center"/>
              <w:rPr>
                <w:lang w:val="en-GB"/>
              </w:rPr>
            </w:pPr>
            <w:r>
              <w:rPr>
                <w:lang w:val="en-GB"/>
              </w:rPr>
              <w:t>45 (mg L</w:t>
            </w:r>
            <w:r>
              <w:rPr>
                <w:vertAlign w:val="superscript"/>
                <w:lang w:val="en-GB"/>
              </w:rPr>
              <w:t>-1</w:t>
            </w:r>
            <w:r>
              <w:rPr>
                <w:lang w:val="en-GB"/>
              </w:rPr>
              <w:t>)</w:t>
            </w:r>
          </w:p>
        </w:tc>
        <w:tc>
          <w:tcPr>
            <w:tcW w:w="1417" w:type="dxa"/>
            <w:shd w:val="clear" w:color="auto" w:fill="FFFFFF"/>
          </w:tcPr>
          <w:p w:rsidR="00636D03" w:rsidRDefault="00636D03" w:rsidP="004438B1">
            <w:pPr>
              <w:pStyle w:val="CETBodytext"/>
              <w:jc w:val="center"/>
              <w:rPr>
                <w:lang w:val="en-GB"/>
              </w:rPr>
            </w:pPr>
            <w:r>
              <w:rPr>
                <w:lang w:val="en-GB"/>
              </w:rPr>
              <w:t>-</w:t>
            </w:r>
          </w:p>
          <w:p w:rsidR="00636D03" w:rsidRDefault="00636D03" w:rsidP="004438B1">
            <w:pPr>
              <w:pStyle w:val="CETBodytext"/>
              <w:jc w:val="center"/>
              <w:rPr>
                <w:lang w:val="en-GB"/>
              </w:rPr>
            </w:pPr>
            <w:r>
              <w:rPr>
                <w:lang w:val="en-GB"/>
              </w:rPr>
              <w:t xml:space="preserve">5.7 </w:t>
            </w:r>
            <w:r>
              <w:rPr>
                <w:rFonts w:cs="Arial"/>
                <w:lang w:val="en-GB"/>
              </w:rPr>
              <w:t>±</w:t>
            </w:r>
            <w:r>
              <w:rPr>
                <w:lang w:val="en-GB"/>
              </w:rPr>
              <w:t xml:space="preserve"> 0.5</w:t>
            </w:r>
          </w:p>
          <w:p w:rsidR="00636D03" w:rsidRPr="00B57B36" w:rsidRDefault="00636D03" w:rsidP="004438B1">
            <w:pPr>
              <w:pStyle w:val="CETBodytext"/>
              <w:jc w:val="center"/>
              <w:rPr>
                <w:lang w:val="en-GB"/>
              </w:rPr>
            </w:pPr>
          </w:p>
        </w:tc>
        <w:tc>
          <w:tcPr>
            <w:tcW w:w="1134" w:type="dxa"/>
            <w:shd w:val="clear" w:color="auto" w:fill="FFFFFF"/>
          </w:tcPr>
          <w:p w:rsidR="00636D03" w:rsidRDefault="00636D03" w:rsidP="004438B1">
            <w:pPr>
              <w:pStyle w:val="CETBodytext"/>
              <w:jc w:val="center"/>
              <w:rPr>
                <w:lang w:val="en-GB"/>
              </w:rPr>
            </w:pPr>
            <w:r>
              <w:rPr>
                <w:lang w:val="en-GB"/>
              </w:rPr>
              <w:t xml:space="preserve">0.13 </w:t>
            </w:r>
            <w:r>
              <w:rPr>
                <w:rFonts w:cs="Arial"/>
                <w:lang w:val="en-GB"/>
              </w:rPr>
              <w:t>±</w:t>
            </w:r>
            <w:r>
              <w:rPr>
                <w:lang w:val="en-GB"/>
              </w:rPr>
              <w:t xml:space="preserve"> 0.05</w:t>
            </w:r>
          </w:p>
          <w:p w:rsidR="00636D03" w:rsidRPr="00B57B36" w:rsidRDefault="00636D03" w:rsidP="004438B1">
            <w:pPr>
              <w:pStyle w:val="CETBodytext"/>
              <w:jc w:val="center"/>
              <w:rPr>
                <w:lang w:val="en-GB"/>
              </w:rPr>
            </w:pPr>
            <w:r>
              <w:rPr>
                <w:lang w:val="en-GB"/>
              </w:rPr>
              <w:t xml:space="preserve">0.3 </w:t>
            </w:r>
            <w:r>
              <w:rPr>
                <w:rFonts w:cs="Arial"/>
                <w:lang w:val="en-GB"/>
              </w:rPr>
              <w:t>±</w:t>
            </w:r>
            <w:r>
              <w:rPr>
                <w:lang w:val="en-GB"/>
              </w:rPr>
              <w:t xml:space="preserve"> 0.1</w:t>
            </w:r>
          </w:p>
        </w:tc>
      </w:tr>
    </w:tbl>
    <w:p w:rsidR="00600535" w:rsidRPr="001D5382" w:rsidRDefault="00600535" w:rsidP="00600535">
      <w:pPr>
        <w:pStyle w:val="CETHeading1"/>
        <w:rPr>
          <w:lang w:val="en-GB"/>
        </w:rPr>
      </w:pPr>
      <w:r w:rsidRPr="001D5382">
        <w:rPr>
          <w:lang w:val="en-GB"/>
        </w:rPr>
        <w:t>Conclusions</w:t>
      </w:r>
    </w:p>
    <w:p w:rsidR="00C44F2F" w:rsidRDefault="00DB63D8" w:rsidP="00A00D00">
      <w:pPr>
        <w:pStyle w:val="CETBodytext"/>
      </w:pPr>
      <w:r w:rsidRPr="00DB63D8">
        <w:t>The result</w:t>
      </w:r>
      <w:r w:rsidR="00181D75">
        <w:t>s</w:t>
      </w:r>
      <w:r w:rsidRPr="00DB63D8">
        <w:t xml:space="preserve"> obtained prove that </w:t>
      </w:r>
      <w:r>
        <w:t xml:space="preserve">the Droop model can be successfully used to </w:t>
      </w:r>
      <w:r w:rsidR="00181D75">
        <w:t>predict</w:t>
      </w:r>
      <w:r>
        <w:t xml:space="preserve"> </w:t>
      </w:r>
      <w:r w:rsidRPr="00DB63D8">
        <w:rPr>
          <w:i/>
        </w:rPr>
        <w:t>T. obliquus</w:t>
      </w:r>
      <w:r>
        <w:t xml:space="preserve"> growth under heterotrophic condition</w:t>
      </w:r>
      <w:r w:rsidR="00CB4745">
        <w:t>s</w:t>
      </w:r>
      <w:r>
        <w:t>.</w:t>
      </w:r>
      <w:r w:rsidR="00A00D00">
        <w:t xml:space="preserve"> The model parameters </w:t>
      </w:r>
      <m:oMath>
        <m:acc>
          <m:accPr>
            <m:chr m:val="̅"/>
            <m:ctrlPr>
              <w:rPr>
                <w:rFonts w:ascii="Cambria Math" w:hAnsi="Cambria Math"/>
                <w:i/>
              </w:rPr>
            </m:ctrlPr>
          </m:accPr>
          <m:e>
            <m:r>
              <w:rPr>
                <w:rFonts w:ascii="Cambria Math" w:hAnsi="Cambria Math"/>
              </w:rPr>
              <m:t>µ</m:t>
            </m:r>
          </m:e>
        </m:acc>
      </m:oMath>
      <w:r w:rsidR="00CB4745">
        <w:t xml:space="preserve"> and</w:t>
      </w:r>
      <w:r w:rsidR="00A00D00">
        <w:t xml:space="preserve"> </w:t>
      </w:r>
      <w:proofErr w:type="spellStart"/>
      <w:r w:rsidR="00A00D00">
        <w:t>q</w:t>
      </w:r>
      <w:r w:rsidR="00A00D00" w:rsidRPr="00A00D00">
        <w:rPr>
          <w:vertAlign w:val="subscript"/>
        </w:rPr>
        <w:t>max</w:t>
      </w:r>
      <w:proofErr w:type="spellEnd"/>
      <w:r w:rsidR="00A00D00">
        <w:t xml:space="preserve"> </w:t>
      </w:r>
      <w:r w:rsidR="0044172A">
        <w:t>estimated were</w:t>
      </w:r>
      <w:r w:rsidR="00A00D00">
        <w:t xml:space="preserve"> comparable with those previously reported in literature for </w:t>
      </w:r>
      <w:r w:rsidR="0044172A">
        <w:t>other different microalgae</w:t>
      </w:r>
      <w:r w:rsidR="00A00D00">
        <w:t xml:space="preserve"> cultivated in phototrophic conditions, while </w:t>
      </w:r>
      <w:proofErr w:type="spellStart"/>
      <w:r w:rsidR="00A00D00">
        <w:rPr>
          <w:rFonts w:cs="Arial"/>
        </w:rPr>
        <w:t>ρ</w:t>
      </w:r>
      <w:r w:rsidR="00A00D00">
        <w:rPr>
          <w:vertAlign w:val="subscript"/>
        </w:rPr>
        <w:t>max</w:t>
      </w:r>
      <w:proofErr w:type="spellEnd"/>
      <w:r w:rsidR="00A00D00">
        <w:rPr>
          <w:vertAlign w:val="subscript"/>
        </w:rPr>
        <w:t xml:space="preserve"> </w:t>
      </w:r>
      <w:r w:rsidR="0044172A">
        <w:t xml:space="preserve">and </w:t>
      </w:r>
      <w:proofErr w:type="spellStart"/>
      <w:r w:rsidR="0044172A">
        <w:t>q</w:t>
      </w:r>
      <w:r w:rsidR="0044172A" w:rsidRPr="0044172A">
        <w:rPr>
          <w:vertAlign w:val="subscript"/>
        </w:rPr>
        <w:t>min</w:t>
      </w:r>
      <w:proofErr w:type="spellEnd"/>
      <w:r w:rsidR="0044172A">
        <w:t xml:space="preserve"> were respectively</w:t>
      </w:r>
      <w:r w:rsidR="00A00D00">
        <w:t xml:space="preserve"> lower </w:t>
      </w:r>
      <w:r w:rsidR="0044172A">
        <w:t xml:space="preserve">and higher </w:t>
      </w:r>
      <w:r w:rsidR="00A00D00">
        <w:t>than th</w:t>
      </w:r>
      <w:r w:rsidR="0044172A">
        <w:t xml:space="preserve">ose </w:t>
      </w:r>
      <w:r w:rsidR="00A00D00">
        <w:t>previously estimated for the same s</w:t>
      </w:r>
      <w:r w:rsidR="0044172A">
        <w:t>pecies</w:t>
      </w:r>
      <w:r w:rsidR="00A00D00">
        <w:t xml:space="preserve"> in phototrophic growth. By coupling these results with the values </w:t>
      </w:r>
      <w:r w:rsidR="00D93CEE">
        <w:t xml:space="preserve">that can be estimated in future </w:t>
      </w:r>
      <w:r w:rsidR="00A00D00">
        <w:t xml:space="preserve">by using other substrates and </w:t>
      </w:r>
      <w:r w:rsidR="00D93CEE">
        <w:t>other microorganisms (including contaminant</w:t>
      </w:r>
      <w:r w:rsidR="00A00D00">
        <w:t xml:space="preserve"> bacteria), it will be possible to predict the optimal strategies to cultivate microalgae in wastewaters by exploiting their heterotrophic metabolism. </w:t>
      </w:r>
    </w:p>
    <w:p w:rsidR="004E007C" w:rsidRDefault="004E007C" w:rsidP="00A00D00">
      <w:pPr>
        <w:pStyle w:val="CETBodytext"/>
      </w:pPr>
    </w:p>
    <w:p w:rsidR="006B4888" w:rsidRPr="006F7D38" w:rsidRDefault="00600535" w:rsidP="002F1179">
      <w:pPr>
        <w:pStyle w:val="CETReference"/>
        <w:rPr>
          <w:lang w:val="en-US"/>
        </w:rPr>
      </w:pPr>
      <w:r w:rsidRPr="006F7D38">
        <w:rPr>
          <w:lang w:val="en-US"/>
        </w:rPr>
        <w:lastRenderedPageBreak/>
        <w:t>References</w:t>
      </w:r>
    </w:p>
    <w:p w:rsidR="00054BAD" w:rsidRDefault="00054BAD" w:rsidP="008779BD">
      <w:pPr>
        <w:pStyle w:val="CETReferencetext"/>
        <w:rPr>
          <w:lang w:val="en-US"/>
        </w:rPr>
      </w:pPr>
      <w:r w:rsidRPr="00054BAD">
        <w:rPr>
          <w:lang w:val="en-US"/>
        </w:rPr>
        <w:t>Arata</w:t>
      </w:r>
      <w:r>
        <w:rPr>
          <w:lang w:val="en-US"/>
        </w:rPr>
        <w:t xml:space="preserve"> S.</w:t>
      </w:r>
      <w:r w:rsidRPr="00054BAD">
        <w:rPr>
          <w:lang w:val="en-US"/>
        </w:rPr>
        <w:t xml:space="preserve">, </w:t>
      </w:r>
      <w:proofErr w:type="spellStart"/>
      <w:r w:rsidRPr="00054BAD">
        <w:rPr>
          <w:lang w:val="en-US"/>
        </w:rPr>
        <w:t>Strazza</w:t>
      </w:r>
      <w:proofErr w:type="spellEnd"/>
      <w:r>
        <w:rPr>
          <w:lang w:val="en-US"/>
        </w:rPr>
        <w:t xml:space="preserve"> C.</w:t>
      </w:r>
      <w:r w:rsidRPr="00054BAD">
        <w:rPr>
          <w:lang w:val="en-US"/>
        </w:rPr>
        <w:t>, Lodi</w:t>
      </w:r>
      <w:r>
        <w:rPr>
          <w:lang w:val="en-US"/>
        </w:rPr>
        <w:t xml:space="preserve"> A.</w:t>
      </w:r>
      <w:r w:rsidRPr="00054BAD">
        <w:rPr>
          <w:lang w:val="en-US"/>
        </w:rPr>
        <w:t xml:space="preserve">, Del </w:t>
      </w:r>
      <w:proofErr w:type="spellStart"/>
      <w:r w:rsidRPr="00054BAD">
        <w:rPr>
          <w:lang w:val="en-US"/>
        </w:rPr>
        <w:t>Borghi</w:t>
      </w:r>
      <w:proofErr w:type="spellEnd"/>
      <w:r>
        <w:rPr>
          <w:lang w:val="en-US"/>
        </w:rPr>
        <w:t xml:space="preserve"> A.</w:t>
      </w:r>
      <w:r w:rsidRPr="00054BAD">
        <w:rPr>
          <w:lang w:val="en-US"/>
        </w:rPr>
        <w:t xml:space="preserve">, </w:t>
      </w:r>
      <w:r>
        <w:rPr>
          <w:lang w:val="en-US"/>
        </w:rPr>
        <w:t xml:space="preserve">2013, </w:t>
      </w:r>
      <w:r w:rsidRPr="001254E1">
        <w:rPr>
          <w:i/>
          <w:lang w:val="en-US"/>
        </w:rPr>
        <w:t>Spirulina platensis</w:t>
      </w:r>
      <w:r w:rsidRPr="00054BAD">
        <w:rPr>
          <w:lang w:val="en-US"/>
        </w:rPr>
        <w:t xml:space="preserve"> </w:t>
      </w:r>
      <w:r>
        <w:rPr>
          <w:lang w:val="en-US"/>
        </w:rPr>
        <w:t>c</w:t>
      </w:r>
      <w:r w:rsidRPr="00054BAD">
        <w:rPr>
          <w:lang w:val="en-US"/>
        </w:rPr>
        <w:t xml:space="preserve">ulture with </w:t>
      </w:r>
      <w:r>
        <w:rPr>
          <w:lang w:val="en-US"/>
        </w:rPr>
        <w:t>f</w:t>
      </w:r>
      <w:r w:rsidRPr="00054BAD">
        <w:rPr>
          <w:lang w:val="en-US"/>
        </w:rPr>
        <w:t xml:space="preserve">lue </w:t>
      </w:r>
      <w:r>
        <w:rPr>
          <w:lang w:val="en-US"/>
        </w:rPr>
        <w:t>g</w:t>
      </w:r>
      <w:r w:rsidRPr="00054BAD">
        <w:rPr>
          <w:lang w:val="en-US"/>
        </w:rPr>
        <w:t xml:space="preserve">as </w:t>
      </w:r>
      <w:r>
        <w:rPr>
          <w:lang w:val="en-US"/>
        </w:rPr>
        <w:t>f</w:t>
      </w:r>
      <w:r w:rsidRPr="00054BAD">
        <w:rPr>
          <w:lang w:val="en-US"/>
        </w:rPr>
        <w:t xml:space="preserve">eeding as a </w:t>
      </w:r>
      <w:r>
        <w:rPr>
          <w:lang w:val="en-US"/>
        </w:rPr>
        <w:t>c</w:t>
      </w:r>
      <w:r w:rsidRPr="00054BAD">
        <w:rPr>
          <w:lang w:val="en-US"/>
        </w:rPr>
        <w:t>yanobacteria-</w:t>
      </w:r>
      <w:r>
        <w:rPr>
          <w:lang w:val="en-US"/>
        </w:rPr>
        <w:t>b</w:t>
      </w:r>
      <w:r w:rsidRPr="00054BAD">
        <w:rPr>
          <w:lang w:val="en-US"/>
        </w:rPr>
        <w:t xml:space="preserve">ased </w:t>
      </w:r>
      <w:r>
        <w:rPr>
          <w:lang w:val="en-US"/>
        </w:rPr>
        <w:t>c</w:t>
      </w:r>
      <w:r w:rsidRPr="00054BAD">
        <w:rPr>
          <w:lang w:val="en-US"/>
        </w:rPr>
        <w:t xml:space="preserve">arbon </w:t>
      </w:r>
      <w:r>
        <w:rPr>
          <w:lang w:val="en-US"/>
        </w:rPr>
        <w:t>s</w:t>
      </w:r>
      <w:r w:rsidRPr="00054BAD">
        <w:rPr>
          <w:lang w:val="en-US"/>
        </w:rPr>
        <w:t xml:space="preserve">equestration </w:t>
      </w:r>
      <w:r>
        <w:rPr>
          <w:lang w:val="en-US"/>
        </w:rPr>
        <w:t>o</w:t>
      </w:r>
      <w:r w:rsidRPr="00054BAD">
        <w:rPr>
          <w:lang w:val="en-US"/>
        </w:rPr>
        <w:t>ption, Chem</w:t>
      </w:r>
      <w:r>
        <w:rPr>
          <w:lang w:val="en-US"/>
        </w:rPr>
        <w:t>ical</w:t>
      </w:r>
      <w:r w:rsidRPr="00054BAD">
        <w:rPr>
          <w:lang w:val="en-US"/>
        </w:rPr>
        <w:t xml:space="preserve"> Eng</w:t>
      </w:r>
      <w:r>
        <w:rPr>
          <w:lang w:val="en-US"/>
        </w:rPr>
        <w:t>ineering</w:t>
      </w:r>
      <w:r w:rsidRPr="00054BAD">
        <w:rPr>
          <w:lang w:val="en-US"/>
        </w:rPr>
        <w:t xml:space="preserve"> Technol</w:t>
      </w:r>
      <w:r>
        <w:rPr>
          <w:lang w:val="en-US"/>
        </w:rPr>
        <w:t>ogy,</w:t>
      </w:r>
      <w:r w:rsidRPr="00054BAD">
        <w:rPr>
          <w:lang w:val="en-US"/>
        </w:rPr>
        <w:t xml:space="preserve"> 36</w:t>
      </w:r>
      <w:r>
        <w:rPr>
          <w:lang w:val="en-US"/>
        </w:rPr>
        <w:t xml:space="preserve">, </w:t>
      </w:r>
      <w:r w:rsidRPr="00054BAD">
        <w:rPr>
          <w:lang w:val="en-US"/>
        </w:rPr>
        <w:t>91</w:t>
      </w:r>
      <w:r>
        <w:rPr>
          <w:lang w:val="en-US"/>
        </w:rPr>
        <w:t>-</w:t>
      </w:r>
      <w:r w:rsidRPr="00054BAD">
        <w:rPr>
          <w:lang w:val="en-US"/>
        </w:rPr>
        <w:t xml:space="preserve">97. </w:t>
      </w:r>
    </w:p>
    <w:p w:rsidR="00393F3D" w:rsidRPr="00393F3D" w:rsidRDefault="00393F3D">
      <w:pPr>
        <w:pStyle w:val="CETReferencetext"/>
      </w:pPr>
      <w:r w:rsidRPr="00393F3D">
        <w:t>Bernard O.</w:t>
      </w:r>
      <w:r w:rsidR="001E498B">
        <w:t>,</w:t>
      </w:r>
      <w:r w:rsidRPr="00393F3D">
        <w:t xml:space="preserve"> 2011</w:t>
      </w:r>
      <w:r w:rsidR="00D97ADA">
        <w:t>,</w:t>
      </w:r>
      <w:r w:rsidRPr="00393F3D">
        <w:t xml:space="preserve"> Hurdles and challenges for modelling and control of microalgae for CO</w:t>
      </w:r>
      <w:r w:rsidRPr="00393F3D">
        <w:rPr>
          <w:vertAlign w:val="subscript"/>
        </w:rPr>
        <w:t>2</w:t>
      </w:r>
      <w:r w:rsidRPr="00393F3D">
        <w:t xml:space="preserve"> mitigation and biofuel</w:t>
      </w:r>
      <w:r w:rsidR="00A331AF">
        <w:t xml:space="preserve"> </w:t>
      </w:r>
      <w:r w:rsidRPr="00393F3D">
        <w:t>production</w:t>
      </w:r>
      <w:r w:rsidR="00D97ADA">
        <w:t>,</w:t>
      </w:r>
      <w:r w:rsidRPr="00393F3D">
        <w:t xml:space="preserve"> J</w:t>
      </w:r>
      <w:r w:rsidR="00D97ADA">
        <w:t>ournal of</w:t>
      </w:r>
      <w:r w:rsidRPr="00393F3D">
        <w:t xml:space="preserve"> Process Control</w:t>
      </w:r>
      <w:r w:rsidR="0037449A">
        <w:t>,</w:t>
      </w:r>
      <w:r w:rsidRPr="00393F3D">
        <w:t xml:space="preserve"> 21</w:t>
      </w:r>
      <w:r w:rsidR="00A06049">
        <w:t>,</w:t>
      </w:r>
      <w:r w:rsidRPr="00393F3D">
        <w:t>1378</w:t>
      </w:r>
      <w:r w:rsidR="00A83398">
        <w:t>-</w:t>
      </w:r>
      <w:r w:rsidR="0025200B">
        <w:t>13</w:t>
      </w:r>
      <w:r w:rsidRPr="00393F3D">
        <w:t>89.</w:t>
      </w:r>
    </w:p>
    <w:p w:rsidR="0037449A" w:rsidRPr="00393F3D" w:rsidRDefault="00393F3D" w:rsidP="0037449A">
      <w:pPr>
        <w:pStyle w:val="CETReferencetext"/>
      </w:pPr>
      <w:r w:rsidRPr="00393F3D">
        <w:t xml:space="preserve">Camacho Rubio F., Martínez Sancho M.E., Sánchez </w:t>
      </w:r>
      <w:proofErr w:type="spellStart"/>
      <w:r w:rsidRPr="00393F3D">
        <w:t>Villasclaras</w:t>
      </w:r>
      <w:proofErr w:type="spellEnd"/>
      <w:r w:rsidRPr="00393F3D">
        <w:t xml:space="preserve"> S. Delgado Pérez A.</w:t>
      </w:r>
      <w:r w:rsidR="008779BD">
        <w:t>,</w:t>
      </w:r>
      <w:r w:rsidRPr="00393F3D">
        <w:t xml:space="preserve"> 1989</w:t>
      </w:r>
      <w:r w:rsidR="008779BD">
        <w:t>,</w:t>
      </w:r>
      <w:r w:rsidRPr="00393F3D">
        <w:t xml:space="preserve"> Influence of pH on the kinetic and yield parameters of </w:t>
      </w:r>
      <w:r w:rsidRPr="00393F3D">
        <w:rPr>
          <w:i/>
        </w:rPr>
        <w:t>Scenedesmus obliquus</w:t>
      </w:r>
      <w:r w:rsidRPr="00393F3D">
        <w:t xml:space="preserve"> heterotrophic growth</w:t>
      </w:r>
      <w:r w:rsidR="008779BD">
        <w:t>,</w:t>
      </w:r>
      <w:r w:rsidR="0037449A" w:rsidRPr="0037449A">
        <w:t xml:space="preserve"> Process Biochemistry</w:t>
      </w:r>
      <w:r w:rsidR="0037449A">
        <w:t>,</w:t>
      </w:r>
      <w:r w:rsidRPr="00393F3D">
        <w:t xml:space="preserve"> 40</w:t>
      </w:r>
      <w:r w:rsidR="00A06049">
        <w:t xml:space="preserve">, </w:t>
      </w:r>
      <w:r w:rsidRPr="00393F3D">
        <w:t>133</w:t>
      </w:r>
      <w:r w:rsidR="00A83398">
        <w:t>-</w:t>
      </w:r>
      <w:r w:rsidR="0025200B">
        <w:t>13</w:t>
      </w:r>
      <w:r w:rsidRPr="00393F3D">
        <w:t>6.</w:t>
      </w:r>
    </w:p>
    <w:p w:rsidR="0037449A" w:rsidRPr="00393F3D" w:rsidRDefault="00E829D8" w:rsidP="0037449A">
      <w:pPr>
        <w:pStyle w:val="CETReferencetext"/>
      </w:pPr>
      <w:r>
        <w:t>D</w:t>
      </w:r>
      <w:r w:rsidR="00393F3D" w:rsidRPr="008779BD">
        <w:t>el Rio-</w:t>
      </w:r>
      <w:proofErr w:type="spellStart"/>
      <w:r w:rsidR="00393F3D" w:rsidRPr="008779BD">
        <w:t>Chanona</w:t>
      </w:r>
      <w:proofErr w:type="spellEnd"/>
      <w:r w:rsidR="00393F3D" w:rsidRPr="008779BD">
        <w:t xml:space="preserve"> E.A., Ahmed N. </w:t>
      </w:r>
      <w:r w:rsidR="008779BD">
        <w:t>R.</w:t>
      </w:r>
      <w:r w:rsidR="00393F3D" w:rsidRPr="008779BD">
        <w:t>, Zhang D., Lu Y. Jing K.</w:t>
      </w:r>
      <w:r w:rsidR="008779BD">
        <w:t>,</w:t>
      </w:r>
      <w:r w:rsidR="00393F3D" w:rsidRPr="008779BD">
        <w:t xml:space="preserve"> 2017</w:t>
      </w:r>
      <w:r w:rsidR="008779BD">
        <w:t>,</w:t>
      </w:r>
      <w:r w:rsidR="00393F3D" w:rsidRPr="008779BD">
        <w:t xml:space="preserve"> </w:t>
      </w:r>
      <w:r w:rsidR="00393F3D" w:rsidRPr="00393F3D">
        <w:t>Kinetic model</w:t>
      </w:r>
      <w:r w:rsidR="00393F3D">
        <w:t>l</w:t>
      </w:r>
      <w:r w:rsidR="00393F3D" w:rsidRPr="00393F3D">
        <w:t xml:space="preserve">ing and process analysis for </w:t>
      </w:r>
      <w:proofErr w:type="spellStart"/>
      <w:r w:rsidR="00393F3D" w:rsidRPr="00393F3D">
        <w:rPr>
          <w:i/>
        </w:rPr>
        <w:t>Desmodesmus</w:t>
      </w:r>
      <w:proofErr w:type="spellEnd"/>
      <w:r w:rsidR="00393F3D" w:rsidRPr="00393F3D">
        <w:t xml:space="preserve"> sp. lutein photo-production</w:t>
      </w:r>
      <w:r w:rsidR="008779BD">
        <w:t>,</w:t>
      </w:r>
      <w:r w:rsidR="00393F3D" w:rsidRPr="00393F3D">
        <w:t xml:space="preserve"> </w:t>
      </w:r>
      <w:proofErr w:type="spellStart"/>
      <w:r w:rsidR="0037449A" w:rsidRPr="0037449A">
        <w:t>AIChE</w:t>
      </w:r>
      <w:proofErr w:type="spellEnd"/>
      <w:r w:rsidR="0037449A" w:rsidRPr="0037449A">
        <w:t xml:space="preserve"> Journal</w:t>
      </w:r>
      <w:r w:rsidR="0037449A">
        <w:t>,</w:t>
      </w:r>
      <w:r w:rsidR="00393F3D" w:rsidRPr="00393F3D">
        <w:t xml:space="preserve"> 63</w:t>
      </w:r>
      <w:r w:rsidR="00A06049">
        <w:t xml:space="preserve">, </w:t>
      </w:r>
      <w:r w:rsidR="00393F3D" w:rsidRPr="00393F3D">
        <w:t>2546</w:t>
      </w:r>
      <w:r w:rsidR="00A83398">
        <w:t>-</w:t>
      </w:r>
      <w:r w:rsidR="0025200B">
        <w:t>25</w:t>
      </w:r>
      <w:r w:rsidR="00393F3D" w:rsidRPr="00393F3D">
        <w:t>54.</w:t>
      </w:r>
    </w:p>
    <w:p w:rsidR="00393F3D" w:rsidRPr="00393F3D" w:rsidRDefault="00393F3D" w:rsidP="00393F3D">
      <w:pPr>
        <w:pStyle w:val="CETReferencetext"/>
      </w:pPr>
      <w:r w:rsidRPr="001254E1">
        <w:t xml:space="preserve">Del Río E., Acién F.G., García-Malea M.C., Rivas J., Molina-Grima E. </w:t>
      </w:r>
      <w:r w:rsidRPr="008779BD">
        <w:t>Guerrero M.G.</w:t>
      </w:r>
      <w:r w:rsidR="008779BD" w:rsidRPr="008779BD">
        <w:t xml:space="preserve">, </w:t>
      </w:r>
      <w:r w:rsidRPr="008779BD">
        <w:t>2005</w:t>
      </w:r>
      <w:r w:rsidR="008779BD" w:rsidRPr="008779BD">
        <w:t>,</w:t>
      </w:r>
      <w:r w:rsidRPr="008779BD">
        <w:t xml:space="preserve"> </w:t>
      </w:r>
      <w:r w:rsidRPr="00393F3D">
        <w:t xml:space="preserve">Efficient one-step production of astaxanthin by the microalga </w:t>
      </w:r>
      <w:proofErr w:type="spellStart"/>
      <w:r w:rsidRPr="00393F3D">
        <w:rPr>
          <w:i/>
        </w:rPr>
        <w:t>Haematococcus</w:t>
      </w:r>
      <w:proofErr w:type="spellEnd"/>
      <w:r w:rsidRPr="00393F3D">
        <w:rPr>
          <w:i/>
        </w:rPr>
        <w:t xml:space="preserve"> </w:t>
      </w:r>
      <w:proofErr w:type="spellStart"/>
      <w:r w:rsidRPr="00393F3D">
        <w:rPr>
          <w:i/>
        </w:rPr>
        <w:t>pluvialis</w:t>
      </w:r>
      <w:proofErr w:type="spellEnd"/>
      <w:r w:rsidRPr="00393F3D">
        <w:t xml:space="preserve"> in continuous culture</w:t>
      </w:r>
      <w:r w:rsidR="008779BD">
        <w:t>,</w:t>
      </w:r>
      <w:r w:rsidRPr="00393F3D">
        <w:t xml:space="preserve"> </w:t>
      </w:r>
      <w:r w:rsidR="0037449A" w:rsidRPr="0037449A">
        <w:t>Biotechnology and Bioengineering</w:t>
      </w:r>
      <w:r w:rsidR="008779BD">
        <w:t>,</w:t>
      </w:r>
      <w:r w:rsidR="0037449A">
        <w:t xml:space="preserve"> </w:t>
      </w:r>
      <w:r w:rsidRPr="00393F3D">
        <w:t>91</w:t>
      </w:r>
      <w:r w:rsidR="00A06049">
        <w:t xml:space="preserve">, </w:t>
      </w:r>
      <w:r w:rsidRPr="00393F3D">
        <w:t>808</w:t>
      </w:r>
      <w:r w:rsidR="00A83398">
        <w:t>-</w:t>
      </w:r>
      <w:r w:rsidR="0025200B">
        <w:t>8</w:t>
      </w:r>
      <w:r w:rsidRPr="00393F3D">
        <w:t>15.</w:t>
      </w:r>
    </w:p>
    <w:p w:rsidR="00393F3D" w:rsidRPr="00393F3D" w:rsidRDefault="00393F3D" w:rsidP="00393F3D">
      <w:pPr>
        <w:pStyle w:val="CETReferencetext"/>
      </w:pPr>
      <w:proofErr w:type="spellStart"/>
      <w:r w:rsidRPr="00393F3D">
        <w:t>Deschênes</w:t>
      </w:r>
      <w:proofErr w:type="spellEnd"/>
      <w:r w:rsidRPr="00393F3D">
        <w:t xml:space="preserve"> J.S.</w:t>
      </w:r>
      <w:r w:rsidR="008779BD">
        <w:t>,</w:t>
      </w:r>
      <w:r w:rsidRPr="00393F3D">
        <w:t xml:space="preserve"> 2016</w:t>
      </w:r>
      <w:r w:rsidR="008779BD">
        <w:t>,</w:t>
      </w:r>
      <w:r w:rsidRPr="00393F3D">
        <w:t xml:space="preserve"> A Bacteriostatic Control Approach for Mixotrophic Cultures of Microalgae</w:t>
      </w:r>
      <w:r w:rsidR="008779BD">
        <w:t>,</w:t>
      </w:r>
      <w:r w:rsidRPr="00393F3D">
        <w:t xml:space="preserve"> IFAC-</w:t>
      </w:r>
      <w:proofErr w:type="spellStart"/>
      <w:r w:rsidRPr="00393F3D">
        <w:t>PapersOnLine</w:t>
      </w:r>
      <w:proofErr w:type="spellEnd"/>
      <w:r w:rsidR="0037449A">
        <w:t>,</w:t>
      </w:r>
      <w:r w:rsidRPr="00393F3D">
        <w:t xml:space="preserve"> 49</w:t>
      </w:r>
      <w:r w:rsidR="00A06049">
        <w:t xml:space="preserve">, </w:t>
      </w:r>
      <w:r w:rsidRPr="00393F3D">
        <w:t>1074</w:t>
      </w:r>
      <w:r w:rsidR="00A83398">
        <w:t>-</w:t>
      </w:r>
      <w:r w:rsidR="0025200B">
        <w:t>107</w:t>
      </w:r>
      <w:r w:rsidRPr="00393F3D">
        <w:t>8.</w:t>
      </w:r>
    </w:p>
    <w:p w:rsidR="00393F3D" w:rsidRDefault="00393F3D" w:rsidP="00393F3D">
      <w:pPr>
        <w:pStyle w:val="CETReferencetext"/>
      </w:pPr>
      <w:proofErr w:type="spellStart"/>
      <w:r w:rsidRPr="00393F3D">
        <w:t>Deschênes</w:t>
      </w:r>
      <w:proofErr w:type="spellEnd"/>
      <w:r w:rsidRPr="00393F3D">
        <w:t xml:space="preserve"> J.S. </w:t>
      </w:r>
      <w:proofErr w:type="spellStart"/>
      <w:r w:rsidRPr="00393F3D">
        <w:t>Vande</w:t>
      </w:r>
      <w:proofErr w:type="spellEnd"/>
      <w:r w:rsidRPr="00393F3D">
        <w:t xml:space="preserve"> </w:t>
      </w:r>
      <w:proofErr w:type="spellStart"/>
      <w:r w:rsidRPr="00393F3D">
        <w:t>Wouwer</w:t>
      </w:r>
      <w:proofErr w:type="spellEnd"/>
      <w:r w:rsidRPr="00393F3D">
        <w:t xml:space="preserve"> A.</w:t>
      </w:r>
      <w:r w:rsidR="008779BD">
        <w:t>,</w:t>
      </w:r>
      <w:r w:rsidRPr="00393F3D">
        <w:t xml:space="preserve"> 2016</w:t>
      </w:r>
      <w:r w:rsidR="008779BD">
        <w:t>,</w:t>
      </w:r>
      <w:r w:rsidRPr="00393F3D">
        <w:t xml:space="preserve"> ScienceDirect Parameter Identification of a Dynamic Model of Cultures of Microalgae </w:t>
      </w:r>
      <w:r w:rsidRPr="008779BD">
        <w:rPr>
          <w:i/>
        </w:rPr>
        <w:t>Scenedesmus obliquus</w:t>
      </w:r>
      <w:r w:rsidRPr="00393F3D">
        <w:t xml:space="preserve"> – An experimental study</w:t>
      </w:r>
      <w:r w:rsidR="008779BD">
        <w:t>,</w:t>
      </w:r>
      <w:r w:rsidRPr="00393F3D">
        <w:t xml:space="preserve"> IFAC-</w:t>
      </w:r>
      <w:proofErr w:type="spellStart"/>
      <w:r w:rsidRPr="00393F3D">
        <w:t>PapersOnLine</w:t>
      </w:r>
      <w:proofErr w:type="spellEnd"/>
      <w:r w:rsidR="0037449A">
        <w:t>,</w:t>
      </w:r>
      <w:r w:rsidRPr="00393F3D">
        <w:t xml:space="preserve"> 49</w:t>
      </w:r>
      <w:r w:rsidR="00A06049">
        <w:t xml:space="preserve">, </w:t>
      </w:r>
      <w:r w:rsidRPr="00393F3D">
        <w:t>1050</w:t>
      </w:r>
      <w:r w:rsidR="00A83398">
        <w:t>-</w:t>
      </w:r>
      <w:r w:rsidR="0025200B">
        <w:t>105</w:t>
      </w:r>
      <w:r w:rsidRPr="00393F3D">
        <w:t>5.</w:t>
      </w:r>
    </w:p>
    <w:p w:rsidR="00F76870" w:rsidRPr="001254E1" w:rsidRDefault="00F76870">
      <w:pPr>
        <w:pStyle w:val="CETReferencetext"/>
        <w:rPr>
          <w:lang w:val="en-US"/>
        </w:rPr>
      </w:pPr>
      <w:r w:rsidRPr="00907B9B">
        <w:rPr>
          <w:lang w:val="en-US"/>
        </w:rPr>
        <w:t xml:space="preserve">Di Caprio F., </w:t>
      </w:r>
      <w:proofErr w:type="spellStart"/>
      <w:r w:rsidRPr="00907B9B">
        <w:rPr>
          <w:lang w:val="en-US"/>
        </w:rPr>
        <w:t>Altimari</w:t>
      </w:r>
      <w:proofErr w:type="spellEnd"/>
      <w:r w:rsidRPr="00907B9B">
        <w:rPr>
          <w:lang w:val="en-US"/>
        </w:rPr>
        <w:t xml:space="preserve"> P. </w:t>
      </w:r>
      <w:proofErr w:type="spellStart"/>
      <w:r w:rsidRPr="00907B9B">
        <w:rPr>
          <w:lang w:val="en-US"/>
        </w:rPr>
        <w:t>Pagnanelli</w:t>
      </w:r>
      <w:proofErr w:type="spellEnd"/>
      <w:r w:rsidRPr="00907B9B">
        <w:rPr>
          <w:lang w:val="en-US"/>
        </w:rPr>
        <w:t xml:space="preserve"> F., 2017, </w:t>
      </w:r>
      <w:r w:rsidRPr="0037449A">
        <w:t>Effect of Ca</w:t>
      </w:r>
      <w:r w:rsidRPr="0037449A">
        <w:rPr>
          <w:vertAlign w:val="superscript"/>
        </w:rPr>
        <w:t>2+</w:t>
      </w:r>
      <w:r w:rsidRPr="0037449A">
        <w:t xml:space="preserve"> concentration on </w:t>
      </w:r>
      <w:r w:rsidRPr="0037449A">
        <w:rPr>
          <w:i/>
        </w:rPr>
        <w:t>Scenedesmu</w:t>
      </w:r>
      <w:r w:rsidRPr="0037449A">
        <w:t>s sp. growth in heterotrophic and photoautotrophic cultivation</w:t>
      </w:r>
      <w:r>
        <w:t xml:space="preserve">, </w:t>
      </w:r>
      <w:r w:rsidRPr="0037449A">
        <w:t>N</w:t>
      </w:r>
      <w:r>
        <w:t>ew</w:t>
      </w:r>
      <w:r w:rsidRPr="0037449A">
        <w:t xml:space="preserve"> Biotechnol</w:t>
      </w:r>
      <w:r>
        <w:t>ogy,</w:t>
      </w:r>
      <w:r w:rsidRPr="0037449A">
        <w:t xml:space="preserve"> </w:t>
      </w:r>
      <w:r w:rsidRPr="00907B9B">
        <w:rPr>
          <w:lang w:val="en-US"/>
        </w:rPr>
        <w:t>40 B, 228</w:t>
      </w:r>
      <w:r>
        <w:rPr>
          <w:lang w:val="en-US"/>
        </w:rPr>
        <w:t>-2</w:t>
      </w:r>
      <w:r w:rsidRPr="00907B9B">
        <w:rPr>
          <w:lang w:val="en-US"/>
        </w:rPr>
        <w:t>35.</w:t>
      </w:r>
    </w:p>
    <w:p w:rsidR="00BA71B5" w:rsidRDefault="00BA71B5" w:rsidP="00BA71B5">
      <w:pPr>
        <w:pStyle w:val="CETReferencetext"/>
        <w:rPr>
          <w:lang w:val="en-US"/>
        </w:rPr>
      </w:pPr>
      <w:r w:rsidRPr="001254E1">
        <w:rPr>
          <w:lang w:val="en-US"/>
        </w:rPr>
        <w:t xml:space="preserve">Di Caprio F., </w:t>
      </w:r>
      <w:proofErr w:type="spellStart"/>
      <w:r w:rsidRPr="001254E1">
        <w:rPr>
          <w:lang w:val="en-US"/>
        </w:rPr>
        <w:t>Altimari</w:t>
      </w:r>
      <w:proofErr w:type="spellEnd"/>
      <w:r w:rsidRPr="001254E1">
        <w:rPr>
          <w:lang w:val="en-US"/>
        </w:rPr>
        <w:t xml:space="preserve"> P., </w:t>
      </w:r>
      <w:proofErr w:type="spellStart"/>
      <w:r w:rsidRPr="001254E1">
        <w:rPr>
          <w:lang w:val="en-US"/>
        </w:rPr>
        <w:t>Iaquaniello</w:t>
      </w:r>
      <w:proofErr w:type="spellEnd"/>
      <w:r w:rsidRPr="001254E1">
        <w:rPr>
          <w:lang w:val="en-US"/>
        </w:rPr>
        <w:t xml:space="preserve"> G., Toro L. </w:t>
      </w:r>
      <w:proofErr w:type="spellStart"/>
      <w:r w:rsidRPr="008779BD">
        <w:rPr>
          <w:lang w:val="en-US"/>
        </w:rPr>
        <w:t>Pagnanelli</w:t>
      </w:r>
      <w:proofErr w:type="spellEnd"/>
      <w:r w:rsidRPr="008779BD">
        <w:rPr>
          <w:lang w:val="en-US"/>
        </w:rPr>
        <w:t xml:space="preserve"> F., 2018</w:t>
      </w:r>
      <w:r>
        <w:rPr>
          <w:lang w:val="en-US"/>
        </w:rPr>
        <w:t>b</w:t>
      </w:r>
      <w:r w:rsidRPr="008779BD">
        <w:rPr>
          <w:lang w:val="en-US"/>
        </w:rPr>
        <w:t xml:space="preserve">, </w:t>
      </w:r>
      <w:r w:rsidRPr="0037449A">
        <w:rPr>
          <w:i/>
        </w:rPr>
        <w:t>T. obliquus</w:t>
      </w:r>
      <w:r w:rsidRPr="0037449A">
        <w:t xml:space="preserve"> mixotrophic cultivation in treated and untreated olive mill wastewater</w:t>
      </w:r>
      <w:r>
        <w:t>,</w:t>
      </w:r>
      <w:r w:rsidRPr="0037449A">
        <w:t xml:space="preserve"> </w:t>
      </w:r>
      <w:r w:rsidRPr="008779BD">
        <w:rPr>
          <w:lang w:val="en-US"/>
        </w:rPr>
        <w:t>Chemical Engineering Transactions, 64, 625–630.</w:t>
      </w:r>
    </w:p>
    <w:p w:rsidR="00F76870" w:rsidRPr="001254E1" w:rsidRDefault="00F76870">
      <w:pPr>
        <w:pStyle w:val="CETReferencetext"/>
        <w:rPr>
          <w:lang w:val="en-US"/>
        </w:rPr>
      </w:pPr>
      <w:r w:rsidRPr="008779BD">
        <w:rPr>
          <w:lang w:val="en-US"/>
        </w:rPr>
        <w:t xml:space="preserve">Di Caprio F., </w:t>
      </w:r>
      <w:proofErr w:type="spellStart"/>
      <w:r w:rsidRPr="008779BD">
        <w:rPr>
          <w:lang w:val="en-US"/>
        </w:rPr>
        <w:t>Altimari</w:t>
      </w:r>
      <w:proofErr w:type="spellEnd"/>
      <w:r w:rsidRPr="008779BD">
        <w:rPr>
          <w:lang w:val="en-US"/>
        </w:rPr>
        <w:t xml:space="preserve"> P. </w:t>
      </w:r>
      <w:proofErr w:type="spellStart"/>
      <w:r w:rsidRPr="00FD3638">
        <w:rPr>
          <w:lang w:val="en-US"/>
        </w:rPr>
        <w:t>Iaquaniello</w:t>
      </w:r>
      <w:proofErr w:type="spellEnd"/>
      <w:r w:rsidRPr="00FD3638">
        <w:rPr>
          <w:lang w:val="en-US"/>
        </w:rPr>
        <w:t xml:space="preserve"> G., Toro L., </w:t>
      </w:r>
      <w:proofErr w:type="spellStart"/>
      <w:r w:rsidRPr="00FD3638">
        <w:rPr>
          <w:lang w:val="en-US"/>
        </w:rPr>
        <w:t>Pagnanelli</w:t>
      </w:r>
      <w:proofErr w:type="spellEnd"/>
      <w:r w:rsidRPr="00FD3638">
        <w:rPr>
          <w:lang w:val="en-US"/>
        </w:rPr>
        <w:t xml:space="preserve"> F., 2019, Heterotrophic cultivation of </w:t>
      </w:r>
      <w:r w:rsidRPr="00FD3638">
        <w:rPr>
          <w:i/>
          <w:lang w:val="en-US"/>
        </w:rPr>
        <w:t>T. obliquus</w:t>
      </w:r>
      <w:r w:rsidRPr="00FD3638">
        <w:rPr>
          <w:lang w:val="en-US"/>
        </w:rPr>
        <w:t xml:space="preserve"> under non-axenic conditions by uncoupled supply of nitrogen and glucose</w:t>
      </w:r>
      <w:r>
        <w:rPr>
          <w:lang w:val="en-US"/>
        </w:rPr>
        <w:t>, Biochemical Engineering Journal, 145, 127-136.</w:t>
      </w:r>
    </w:p>
    <w:p w:rsidR="008009ED" w:rsidRDefault="008009ED" w:rsidP="008009ED">
      <w:pPr>
        <w:pStyle w:val="CETReferencetext"/>
      </w:pPr>
      <w:r w:rsidRPr="001254E1">
        <w:rPr>
          <w:lang w:val="en-US"/>
        </w:rPr>
        <w:t xml:space="preserve">Di Caprio F., Pagnanelli F., Wijffels R.H. </w:t>
      </w:r>
      <w:r w:rsidRPr="008779BD">
        <w:t>Van der Veen D.</w:t>
      </w:r>
      <w:r w:rsidR="008779BD" w:rsidRPr="008779BD">
        <w:t>,</w:t>
      </w:r>
      <w:r w:rsidRPr="008779BD">
        <w:t xml:space="preserve"> 2018</w:t>
      </w:r>
      <w:r w:rsidR="0091087A">
        <w:t>a</w:t>
      </w:r>
      <w:r w:rsidR="008779BD" w:rsidRPr="008779BD">
        <w:t>,</w:t>
      </w:r>
      <w:r w:rsidRPr="008779BD">
        <w:t xml:space="preserve"> </w:t>
      </w:r>
      <w:r w:rsidRPr="0037449A">
        <w:t xml:space="preserve">Quantification of </w:t>
      </w:r>
      <w:proofErr w:type="spellStart"/>
      <w:r w:rsidRPr="0037449A">
        <w:rPr>
          <w:i/>
        </w:rPr>
        <w:t>Tetradesmus</w:t>
      </w:r>
      <w:proofErr w:type="spellEnd"/>
      <w:r w:rsidRPr="0037449A">
        <w:rPr>
          <w:i/>
        </w:rPr>
        <w:t xml:space="preserve"> obliquus</w:t>
      </w:r>
      <w:r w:rsidRPr="0037449A">
        <w:t xml:space="preserve"> (Chlorophyceae) cell size and lipid content heterogeneity at single-cell level</w:t>
      </w:r>
      <w:r w:rsidR="008779BD">
        <w:t>,</w:t>
      </w:r>
      <w:r w:rsidRPr="0037449A">
        <w:t xml:space="preserve"> J</w:t>
      </w:r>
      <w:r w:rsidR="0037449A">
        <w:t>ournal of</w:t>
      </w:r>
      <w:r w:rsidRPr="0037449A">
        <w:t xml:space="preserve"> Phycol</w:t>
      </w:r>
      <w:r w:rsidR="0037449A">
        <w:t>ogy,</w:t>
      </w:r>
      <w:r w:rsidRPr="0037449A">
        <w:t xml:space="preserve"> </w:t>
      </w:r>
      <w:r w:rsidRPr="008779BD">
        <w:t>54, 187</w:t>
      </w:r>
      <w:r w:rsidR="00B57F98" w:rsidRPr="008779BD">
        <w:t>-</w:t>
      </w:r>
      <w:r w:rsidR="0025200B">
        <w:t>1</w:t>
      </w:r>
      <w:r w:rsidRPr="008779BD">
        <w:t>97.</w:t>
      </w:r>
    </w:p>
    <w:p w:rsidR="00A771B8" w:rsidRPr="00A771B8" w:rsidRDefault="00A771B8" w:rsidP="00393F3D">
      <w:pPr>
        <w:pStyle w:val="CETReferencetext"/>
        <w:rPr>
          <w:lang w:val="en-US"/>
        </w:rPr>
      </w:pPr>
      <w:r w:rsidRPr="001254E1">
        <w:rPr>
          <w:lang w:val="en-US"/>
        </w:rPr>
        <w:t xml:space="preserve">Di Caprio F., Scarponi P., Altimari P., Iaquaniello G. </w:t>
      </w:r>
      <w:proofErr w:type="spellStart"/>
      <w:r w:rsidRPr="00A771B8">
        <w:rPr>
          <w:lang w:val="en-US"/>
        </w:rPr>
        <w:t>Pagnanelli</w:t>
      </w:r>
      <w:proofErr w:type="spellEnd"/>
      <w:r w:rsidRPr="00A771B8">
        <w:rPr>
          <w:lang w:val="en-US"/>
        </w:rPr>
        <w:t xml:space="preserve"> F., 2018</w:t>
      </w:r>
      <w:r w:rsidR="0091087A">
        <w:rPr>
          <w:lang w:val="en-US"/>
        </w:rPr>
        <w:t>c</w:t>
      </w:r>
      <w:r w:rsidRPr="00A771B8">
        <w:rPr>
          <w:lang w:val="en-US"/>
        </w:rPr>
        <w:t xml:space="preserve">, </w:t>
      </w:r>
      <w:proofErr w:type="gramStart"/>
      <w:r w:rsidRPr="00A771B8">
        <w:rPr>
          <w:lang w:val="en-US"/>
        </w:rPr>
        <w:t>The</w:t>
      </w:r>
      <w:proofErr w:type="gramEnd"/>
      <w:r w:rsidRPr="00A771B8">
        <w:rPr>
          <w:lang w:val="en-US"/>
        </w:rPr>
        <w:t xml:space="preserve"> influence of phenols extracted from olive mill wastewater on the heterotrophic and mixotrophic growth of </w:t>
      </w:r>
      <w:r w:rsidRPr="00A771B8">
        <w:rPr>
          <w:i/>
          <w:lang w:val="en-US"/>
        </w:rPr>
        <w:t>Scenedesmus</w:t>
      </w:r>
      <w:r w:rsidRPr="00A771B8">
        <w:rPr>
          <w:lang w:val="en-US"/>
        </w:rPr>
        <w:t xml:space="preserve"> sp.</w:t>
      </w:r>
      <w:r>
        <w:rPr>
          <w:lang w:val="en-US"/>
        </w:rPr>
        <w:t>, Journal of Chemical Technology &amp; Biotechnology, 93, 3619-3626.</w:t>
      </w:r>
    </w:p>
    <w:p w:rsidR="00393F3D" w:rsidRPr="00393F3D" w:rsidRDefault="00393F3D" w:rsidP="00393F3D">
      <w:pPr>
        <w:pStyle w:val="CETReferencetext"/>
      </w:pPr>
      <w:r w:rsidRPr="001254E1">
        <w:rPr>
          <w:lang w:val="en-US"/>
        </w:rPr>
        <w:t xml:space="preserve">Mairet F., Bernard O., Masci P., Lacour T. </w:t>
      </w:r>
      <w:proofErr w:type="spellStart"/>
      <w:r w:rsidRPr="00907B9B">
        <w:rPr>
          <w:lang w:val="en-US"/>
        </w:rPr>
        <w:t>Sciandra</w:t>
      </w:r>
      <w:proofErr w:type="spellEnd"/>
      <w:r w:rsidRPr="00907B9B">
        <w:rPr>
          <w:lang w:val="en-US"/>
        </w:rPr>
        <w:t xml:space="preserve"> A.</w:t>
      </w:r>
      <w:r w:rsidR="00907B9B" w:rsidRPr="00907B9B">
        <w:rPr>
          <w:lang w:val="en-US"/>
        </w:rPr>
        <w:t>,</w:t>
      </w:r>
      <w:r w:rsidRPr="00907B9B">
        <w:rPr>
          <w:lang w:val="en-US"/>
        </w:rPr>
        <w:t xml:space="preserve"> 2011</w:t>
      </w:r>
      <w:r w:rsidR="00907B9B" w:rsidRPr="00907B9B">
        <w:rPr>
          <w:lang w:val="en-US"/>
        </w:rPr>
        <w:t>,</w:t>
      </w:r>
      <w:r w:rsidRPr="00907B9B">
        <w:rPr>
          <w:lang w:val="en-US"/>
        </w:rPr>
        <w:t xml:space="preserve"> </w:t>
      </w:r>
      <w:r w:rsidRPr="00393F3D">
        <w:t xml:space="preserve">Modelling neutral lipid production by the microalga </w:t>
      </w:r>
      <w:proofErr w:type="spellStart"/>
      <w:r w:rsidRPr="00393F3D">
        <w:rPr>
          <w:i/>
        </w:rPr>
        <w:t>Isochrysis</w:t>
      </w:r>
      <w:proofErr w:type="spellEnd"/>
      <w:r w:rsidRPr="00393F3D">
        <w:t xml:space="preserve"> </w:t>
      </w:r>
      <w:proofErr w:type="spellStart"/>
      <w:r w:rsidRPr="00393F3D">
        <w:t>aff</w:t>
      </w:r>
      <w:proofErr w:type="spellEnd"/>
      <w:r w:rsidRPr="00393F3D">
        <w:t xml:space="preserve">. </w:t>
      </w:r>
      <w:proofErr w:type="spellStart"/>
      <w:r w:rsidRPr="00393F3D">
        <w:rPr>
          <w:i/>
        </w:rPr>
        <w:t>galbana</w:t>
      </w:r>
      <w:proofErr w:type="spellEnd"/>
      <w:r w:rsidRPr="00393F3D">
        <w:t xml:space="preserve"> under nitrogen limitation</w:t>
      </w:r>
      <w:r w:rsidR="00907B9B">
        <w:t>,</w:t>
      </w:r>
      <w:r w:rsidRPr="00393F3D">
        <w:t xml:space="preserve"> Bioresour</w:t>
      </w:r>
      <w:r w:rsidR="00CB37AA">
        <w:t>ce</w:t>
      </w:r>
      <w:r w:rsidRPr="00393F3D">
        <w:t xml:space="preserve"> Technol</w:t>
      </w:r>
      <w:r w:rsidR="00CB37AA">
        <w:t>ogy,</w:t>
      </w:r>
      <w:r w:rsidRPr="00393F3D">
        <w:t xml:space="preserve"> 102</w:t>
      </w:r>
      <w:r w:rsidR="00A06049">
        <w:t xml:space="preserve">, </w:t>
      </w:r>
      <w:r w:rsidRPr="00393F3D">
        <w:t>142–</w:t>
      </w:r>
      <w:r w:rsidR="0025200B">
        <w:t>14</w:t>
      </w:r>
      <w:r w:rsidRPr="00393F3D">
        <w:t>9.</w:t>
      </w:r>
    </w:p>
    <w:p w:rsidR="00E6725C" w:rsidRDefault="00E6725C" w:rsidP="00E6725C">
      <w:pPr>
        <w:pStyle w:val="CETReferencetext"/>
      </w:pPr>
      <w:r>
        <w:t xml:space="preserve">Ramanan R., Kanga Z., Kim B.H., Cho D.H., </w:t>
      </w:r>
      <w:proofErr w:type="spellStart"/>
      <w:r>
        <w:t>Jin</w:t>
      </w:r>
      <w:proofErr w:type="spellEnd"/>
      <w:r>
        <w:t xml:space="preserve"> L., </w:t>
      </w:r>
      <w:r w:rsidRPr="00E6725C">
        <w:t xml:space="preserve">Oh </w:t>
      </w:r>
      <w:r>
        <w:t>H. M.</w:t>
      </w:r>
      <w:r w:rsidRPr="00E6725C">
        <w:t>, Kim</w:t>
      </w:r>
      <w:r>
        <w:t xml:space="preserve"> H. S., 2015, </w:t>
      </w:r>
      <w:proofErr w:type="spellStart"/>
      <w:r>
        <w:t>Phycosphere</w:t>
      </w:r>
      <w:proofErr w:type="spellEnd"/>
      <w:r>
        <w:t xml:space="preserve"> bacterial diversity in green algae reveals an apparent similarity across habitats, </w:t>
      </w:r>
      <w:r w:rsidRPr="00E6725C">
        <w:t>Algal Research</w:t>
      </w:r>
      <w:r>
        <w:t>,</w:t>
      </w:r>
      <w:r w:rsidRPr="00E6725C">
        <w:t xml:space="preserve"> 8</w:t>
      </w:r>
      <w:r>
        <w:t>,</w:t>
      </w:r>
      <w:r w:rsidRPr="00E6725C">
        <w:t xml:space="preserve"> 140</w:t>
      </w:r>
      <w:r w:rsidR="00A83398">
        <w:t>-</w:t>
      </w:r>
      <w:r w:rsidRPr="00E6725C">
        <w:t>144</w:t>
      </w:r>
      <w:r>
        <w:t>.</w:t>
      </w:r>
    </w:p>
    <w:p w:rsidR="00393F3D" w:rsidRPr="00393F3D" w:rsidRDefault="00393F3D" w:rsidP="00393F3D">
      <w:pPr>
        <w:pStyle w:val="CETReferencetext"/>
      </w:pPr>
      <w:r w:rsidRPr="00393F3D">
        <w:t xml:space="preserve">Ruiz J., </w:t>
      </w:r>
      <w:proofErr w:type="spellStart"/>
      <w:r w:rsidRPr="00393F3D">
        <w:t>Olivieri</w:t>
      </w:r>
      <w:proofErr w:type="spellEnd"/>
      <w:r w:rsidRPr="00393F3D">
        <w:t xml:space="preserve"> G., De </w:t>
      </w:r>
      <w:proofErr w:type="spellStart"/>
      <w:r w:rsidRPr="00393F3D">
        <w:t>Vree</w:t>
      </w:r>
      <w:proofErr w:type="spellEnd"/>
      <w:r w:rsidRPr="00393F3D">
        <w:t xml:space="preserve"> J., </w:t>
      </w:r>
      <w:proofErr w:type="spellStart"/>
      <w:r w:rsidRPr="00393F3D">
        <w:t>Bosma</w:t>
      </w:r>
      <w:proofErr w:type="spellEnd"/>
      <w:r w:rsidRPr="00393F3D">
        <w:t xml:space="preserve"> R., Willems P., Reith J.H., </w:t>
      </w:r>
      <w:proofErr w:type="spellStart"/>
      <w:r w:rsidRPr="00393F3D">
        <w:t>Eppink</w:t>
      </w:r>
      <w:proofErr w:type="spellEnd"/>
      <w:r w:rsidRPr="00393F3D">
        <w:t xml:space="preserve"> M.H.M.</w:t>
      </w:r>
      <w:r w:rsidR="00252D85">
        <w:t xml:space="preserve">, </w:t>
      </w:r>
      <w:proofErr w:type="spellStart"/>
      <w:r w:rsidR="00252D85">
        <w:t>Kleinegris</w:t>
      </w:r>
      <w:proofErr w:type="spellEnd"/>
      <w:r w:rsidR="00252D85">
        <w:t xml:space="preserve"> D.M.M., </w:t>
      </w:r>
      <w:proofErr w:type="spellStart"/>
      <w:r w:rsidR="00252D85">
        <w:t>Wijffels</w:t>
      </w:r>
      <w:proofErr w:type="spellEnd"/>
      <w:r w:rsidR="00252D85">
        <w:t xml:space="preserve"> R.H., Barbosa M.J.,</w:t>
      </w:r>
      <w:r w:rsidRPr="00393F3D">
        <w:t xml:space="preserve"> 2016</w:t>
      </w:r>
      <w:r w:rsidR="00252D85">
        <w:t>,</w:t>
      </w:r>
      <w:r w:rsidRPr="00393F3D">
        <w:t xml:space="preserve"> Towards industrial products from microalgae</w:t>
      </w:r>
      <w:r w:rsidR="00252D85">
        <w:t>,</w:t>
      </w:r>
      <w:r w:rsidR="006F2C71">
        <w:t xml:space="preserve"> </w:t>
      </w:r>
      <w:r w:rsidR="006F2C71" w:rsidRPr="006F2C71">
        <w:t>Energy</w:t>
      </w:r>
      <w:r w:rsidR="00CB37AA">
        <w:t xml:space="preserve"> &amp;</w:t>
      </w:r>
      <w:r w:rsidR="006F2C71" w:rsidRPr="006F2C71">
        <w:t xml:space="preserve"> Envir</w:t>
      </w:r>
      <w:r w:rsidR="00CB37AA">
        <w:t>onmental Science,</w:t>
      </w:r>
      <w:r w:rsidR="006F2C71" w:rsidRPr="006F2C71">
        <w:t xml:space="preserve"> 9, 3036</w:t>
      </w:r>
      <w:r w:rsidR="00A83398">
        <w:t>-</w:t>
      </w:r>
      <w:r w:rsidR="006F2C71" w:rsidRPr="006F2C71">
        <w:t>3043</w:t>
      </w:r>
      <w:r w:rsidR="006F2C71">
        <w:t>.</w:t>
      </w:r>
    </w:p>
    <w:p w:rsidR="00393F3D" w:rsidRPr="00393F3D" w:rsidRDefault="00393F3D" w:rsidP="00393F3D">
      <w:pPr>
        <w:pStyle w:val="CETReferencetext"/>
      </w:pPr>
      <w:r w:rsidRPr="001254E1">
        <w:rPr>
          <w:lang w:val="en-US"/>
        </w:rPr>
        <w:t xml:space="preserve">Spolaore P., Joannis-Cassan C., Duran E. </w:t>
      </w:r>
      <w:proofErr w:type="spellStart"/>
      <w:r w:rsidRPr="00393F3D">
        <w:t>Isambert</w:t>
      </w:r>
      <w:proofErr w:type="spellEnd"/>
      <w:r w:rsidRPr="00393F3D">
        <w:t xml:space="preserve"> A.</w:t>
      </w:r>
      <w:r w:rsidR="00B65ABD">
        <w:t>,</w:t>
      </w:r>
      <w:r w:rsidRPr="00393F3D">
        <w:t xml:space="preserve"> 2006</w:t>
      </w:r>
      <w:r w:rsidR="00B65ABD">
        <w:t>,</w:t>
      </w:r>
      <w:r w:rsidRPr="00393F3D">
        <w:t xml:space="preserve"> Commercial applications of microalgae</w:t>
      </w:r>
      <w:r w:rsidR="00B65ABD">
        <w:t>,</w:t>
      </w:r>
      <w:r w:rsidRPr="00393F3D">
        <w:t xml:space="preserve"> </w:t>
      </w:r>
      <w:r w:rsidR="00CB37AA" w:rsidRPr="00CB37AA">
        <w:t>Journal of Bioscience and Bioengineering</w:t>
      </w:r>
      <w:r w:rsidR="00CB37AA">
        <w:t xml:space="preserve">, </w:t>
      </w:r>
      <w:r w:rsidRPr="00393F3D">
        <w:t>101</w:t>
      </w:r>
      <w:r w:rsidR="00A06049">
        <w:t xml:space="preserve">, </w:t>
      </w:r>
      <w:r w:rsidRPr="00393F3D">
        <w:t>87</w:t>
      </w:r>
      <w:r w:rsidR="00A83398">
        <w:t>-</w:t>
      </w:r>
      <w:r w:rsidRPr="00393F3D">
        <w:t>96.</w:t>
      </w:r>
    </w:p>
    <w:p w:rsidR="00393F3D" w:rsidRPr="00393F3D" w:rsidRDefault="00393F3D" w:rsidP="00393F3D">
      <w:pPr>
        <w:pStyle w:val="CETReferencetext"/>
      </w:pPr>
      <w:r w:rsidRPr="001254E1">
        <w:rPr>
          <w:lang w:val="en-US"/>
        </w:rPr>
        <w:t xml:space="preserve">Tredici M.R., Rodolfi L., Biondi N., Bassi N. </w:t>
      </w:r>
      <w:proofErr w:type="spellStart"/>
      <w:r w:rsidRPr="00B65ABD">
        <w:rPr>
          <w:lang w:val="en-US"/>
        </w:rPr>
        <w:t>Sampietro</w:t>
      </w:r>
      <w:proofErr w:type="spellEnd"/>
      <w:r w:rsidRPr="00B65ABD">
        <w:rPr>
          <w:lang w:val="en-US"/>
        </w:rPr>
        <w:t xml:space="preserve"> G.</w:t>
      </w:r>
      <w:r w:rsidR="00B65ABD" w:rsidRPr="00B65ABD">
        <w:rPr>
          <w:lang w:val="en-US"/>
        </w:rPr>
        <w:t>,</w:t>
      </w:r>
      <w:r w:rsidRPr="00B65ABD">
        <w:rPr>
          <w:lang w:val="en-US"/>
        </w:rPr>
        <w:t xml:space="preserve"> 2016</w:t>
      </w:r>
      <w:r w:rsidR="00B65ABD" w:rsidRPr="00B65ABD">
        <w:rPr>
          <w:lang w:val="en-US"/>
        </w:rPr>
        <w:t>,</w:t>
      </w:r>
      <w:r w:rsidRPr="00B65ABD">
        <w:rPr>
          <w:lang w:val="en-US"/>
        </w:rPr>
        <w:t xml:space="preserve"> </w:t>
      </w:r>
      <w:r w:rsidRPr="00393F3D">
        <w:t>Techno-economic analysis of microalgal biomass production in a 1-ha Green Wall Panel (GWP</w:t>
      </w:r>
      <w:r w:rsidRPr="006F2C71">
        <w:rPr>
          <w:vertAlign w:val="superscript"/>
        </w:rPr>
        <w:t>®</w:t>
      </w:r>
      <w:r w:rsidRPr="00393F3D">
        <w:t>) plant</w:t>
      </w:r>
      <w:r w:rsidR="00B65ABD">
        <w:t>,</w:t>
      </w:r>
      <w:r w:rsidRPr="00393F3D">
        <w:t xml:space="preserve"> Algal Res</w:t>
      </w:r>
      <w:r w:rsidR="00CB37AA">
        <w:t>earch,</w:t>
      </w:r>
      <w:r w:rsidRPr="00393F3D">
        <w:t xml:space="preserve"> 19</w:t>
      </w:r>
      <w:r w:rsidR="00A06049">
        <w:t xml:space="preserve">, </w:t>
      </w:r>
      <w:r w:rsidRPr="00393F3D">
        <w:t>253</w:t>
      </w:r>
      <w:r w:rsidR="00A83398">
        <w:t>-</w:t>
      </w:r>
      <w:r w:rsidR="00EA20C5">
        <w:t>2</w:t>
      </w:r>
      <w:r w:rsidRPr="00393F3D">
        <w:t>63.</w:t>
      </w:r>
    </w:p>
    <w:p w:rsidR="00373D67" w:rsidRDefault="00373D67" w:rsidP="00B65ABD">
      <w:pPr>
        <w:pStyle w:val="CETReferencetext"/>
      </w:pPr>
      <w:r w:rsidRPr="001254E1">
        <w:t xml:space="preserve">Visca A., Di Caprio F., Spinelli R., Altimari P., Cicci A., Iaquaniello G., Toro l. </w:t>
      </w:r>
      <w:proofErr w:type="spellStart"/>
      <w:r w:rsidRPr="00373D67">
        <w:t>Pagnanelli</w:t>
      </w:r>
      <w:proofErr w:type="spellEnd"/>
      <w:r w:rsidRPr="00373D67">
        <w:t xml:space="preserve"> F., 2017, Microalgae Cultivation for Lipids and Carbohydrates Production, Chemical Engineering Transactions</w:t>
      </w:r>
      <w:r>
        <w:t>, 57, 127-132.</w:t>
      </w:r>
    </w:p>
    <w:p w:rsidR="006F7D38" w:rsidRPr="00373D67" w:rsidRDefault="009B5BAC" w:rsidP="009B5BAC">
      <w:pPr>
        <w:pStyle w:val="CETReferencetext"/>
      </w:pPr>
      <w:r w:rsidRPr="00393F3D">
        <w:t>Wu Y.H., Hu H.Y., Yu Y., Zhang T.Y., Zhu S.F., Zhuang L.L., Zhang X.</w:t>
      </w:r>
      <w:r>
        <w:t xml:space="preserve"> Yun L.,</w:t>
      </w:r>
      <w:r w:rsidRPr="00393F3D">
        <w:t xml:space="preserve"> 2014</w:t>
      </w:r>
      <w:r>
        <w:t>,</w:t>
      </w:r>
      <w:r w:rsidRPr="00393F3D">
        <w:t xml:space="preserve"> Microalgal species for sustainable biomass/lipid production using wastewater as resource: a review</w:t>
      </w:r>
      <w:r>
        <w:t>,</w:t>
      </w:r>
      <w:r w:rsidRPr="00393F3D">
        <w:t xml:space="preserve"> </w:t>
      </w:r>
      <w:r w:rsidRPr="00CB37AA">
        <w:t>Renewable &amp; Sustainable Energy Reviews</w:t>
      </w:r>
      <w:r>
        <w:t xml:space="preserve">, </w:t>
      </w:r>
      <w:r w:rsidRPr="00393F3D">
        <w:t>33</w:t>
      </w:r>
      <w:r>
        <w:t xml:space="preserve">, </w:t>
      </w:r>
      <w:r w:rsidRPr="00393F3D">
        <w:t>675</w:t>
      </w:r>
      <w:r w:rsidR="00A83398">
        <w:t>-</w:t>
      </w:r>
      <w:r w:rsidR="00EA20C5">
        <w:t>6</w:t>
      </w:r>
      <w:r w:rsidRPr="00393F3D">
        <w:t>88</w:t>
      </w:r>
      <w:r>
        <w:t>.</w:t>
      </w:r>
    </w:p>
    <w:sectPr w:rsidR="006F7D38" w:rsidRPr="00373D67"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C4E" w:rsidRDefault="005A2C4E" w:rsidP="004F5E36">
      <w:r>
        <w:separator/>
      </w:r>
    </w:p>
  </w:endnote>
  <w:endnote w:type="continuationSeparator" w:id="0">
    <w:p w:rsidR="005A2C4E" w:rsidRDefault="005A2C4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C4E" w:rsidRDefault="005A2C4E" w:rsidP="004F5E36">
      <w:r>
        <w:separator/>
      </w:r>
    </w:p>
  </w:footnote>
  <w:footnote w:type="continuationSeparator" w:id="0">
    <w:p w:rsidR="005A2C4E" w:rsidRDefault="005A2C4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2A5"/>
    <w:rsid w:val="000027C0"/>
    <w:rsid w:val="000031D0"/>
    <w:rsid w:val="000052FB"/>
    <w:rsid w:val="0001003E"/>
    <w:rsid w:val="00010F40"/>
    <w:rsid w:val="000117CB"/>
    <w:rsid w:val="00014689"/>
    <w:rsid w:val="000230AC"/>
    <w:rsid w:val="00023C38"/>
    <w:rsid w:val="0003148D"/>
    <w:rsid w:val="00047D7F"/>
    <w:rsid w:val="00050CC8"/>
    <w:rsid w:val="00051566"/>
    <w:rsid w:val="00053881"/>
    <w:rsid w:val="00054BAD"/>
    <w:rsid w:val="00056927"/>
    <w:rsid w:val="00062A9A"/>
    <w:rsid w:val="00065058"/>
    <w:rsid w:val="0008221B"/>
    <w:rsid w:val="00086C39"/>
    <w:rsid w:val="00090270"/>
    <w:rsid w:val="000961EF"/>
    <w:rsid w:val="00096988"/>
    <w:rsid w:val="00097E0E"/>
    <w:rsid w:val="000A03B2"/>
    <w:rsid w:val="000A3B79"/>
    <w:rsid w:val="000B35D5"/>
    <w:rsid w:val="000B72A1"/>
    <w:rsid w:val="000C0811"/>
    <w:rsid w:val="000C38EE"/>
    <w:rsid w:val="000C448A"/>
    <w:rsid w:val="000D34BE"/>
    <w:rsid w:val="000D60C4"/>
    <w:rsid w:val="000E102F"/>
    <w:rsid w:val="000E36F1"/>
    <w:rsid w:val="000E3A73"/>
    <w:rsid w:val="000E414A"/>
    <w:rsid w:val="000F093C"/>
    <w:rsid w:val="000F16BD"/>
    <w:rsid w:val="000F24B0"/>
    <w:rsid w:val="000F787B"/>
    <w:rsid w:val="001202CA"/>
    <w:rsid w:val="0012091F"/>
    <w:rsid w:val="001254C1"/>
    <w:rsid w:val="001254E1"/>
    <w:rsid w:val="00126BC2"/>
    <w:rsid w:val="001308B6"/>
    <w:rsid w:val="00131059"/>
    <w:rsid w:val="0013121F"/>
    <w:rsid w:val="00131FAB"/>
    <w:rsid w:val="00131FE6"/>
    <w:rsid w:val="0013263F"/>
    <w:rsid w:val="0013359A"/>
    <w:rsid w:val="00134DE4"/>
    <w:rsid w:val="00137B8D"/>
    <w:rsid w:val="0014034D"/>
    <w:rsid w:val="00146EB1"/>
    <w:rsid w:val="00150E59"/>
    <w:rsid w:val="00152DE3"/>
    <w:rsid w:val="00157708"/>
    <w:rsid w:val="00164CF9"/>
    <w:rsid w:val="00181D75"/>
    <w:rsid w:val="00184AD6"/>
    <w:rsid w:val="0018599C"/>
    <w:rsid w:val="00192D7F"/>
    <w:rsid w:val="0019351C"/>
    <w:rsid w:val="001A36EB"/>
    <w:rsid w:val="001B0349"/>
    <w:rsid w:val="001B65C1"/>
    <w:rsid w:val="001B692F"/>
    <w:rsid w:val="001C482B"/>
    <w:rsid w:val="001C684B"/>
    <w:rsid w:val="001C7BA0"/>
    <w:rsid w:val="001D5382"/>
    <w:rsid w:val="001D53FC"/>
    <w:rsid w:val="001D6C4A"/>
    <w:rsid w:val="001E498B"/>
    <w:rsid w:val="001F42A5"/>
    <w:rsid w:val="001F4775"/>
    <w:rsid w:val="001F7B9D"/>
    <w:rsid w:val="002158D5"/>
    <w:rsid w:val="00216D39"/>
    <w:rsid w:val="002224B4"/>
    <w:rsid w:val="0022381C"/>
    <w:rsid w:val="002266EC"/>
    <w:rsid w:val="002303A1"/>
    <w:rsid w:val="00232888"/>
    <w:rsid w:val="002447EF"/>
    <w:rsid w:val="00247083"/>
    <w:rsid w:val="00251550"/>
    <w:rsid w:val="0025200B"/>
    <w:rsid w:val="00252C1A"/>
    <w:rsid w:val="00252CB7"/>
    <w:rsid w:val="00252D85"/>
    <w:rsid w:val="00263B05"/>
    <w:rsid w:val="00270E69"/>
    <w:rsid w:val="0027221A"/>
    <w:rsid w:val="00273FD0"/>
    <w:rsid w:val="00275B61"/>
    <w:rsid w:val="00276F42"/>
    <w:rsid w:val="002773EE"/>
    <w:rsid w:val="00282656"/>
    <w:rsid w:val="00283996"/>
    <w:rsid w:val="00287880"/>
    <w:rsid w:val="00296B83"/>
    <w:rsid w:val="002A3F91"/>
    <w:rsid w:val="002B0578"/>
    <w:rsid w:val="002B78CE"/>
    <w:rsid w:val="002C2FB6"/>
    <w:rsid w:val="002C6BD7"/>
    <w:rsid w:val="002D0254"/>
    <w:rsid w:val="002D49D2"/>
    <w:rsid w:val="002D5BCD"/>
    <w:rsid w:val="002F1179"/>
    <w:rsid w:val="002F7C7B"/>
    <w:rsid w:val="003009B7"/>
    <w:rsid w:val="00300E56"/>
    <w:rsid w:val="0030469C"/>
    <w:rsid w:val="00310674"/>
    <w:rsid w:val="00321CA6"/>
    <w:rsid w:val="00322F73"/>
    <w:rsid w:val="00327576"/>
    <w:rsid w:val="00331BA6"/>
    <w:rsid w:val="00334C09"/>
    <w:rsid w:val="003365E3"/>
    <w:rsid w:val="003723D4"/>
    <w:rsid w:val="00373D67"/>
    <w:rsid w:val="0037449A"/>
    <w:rsid w:val="00375E6F"/>
    <w:rsid w:val="00376B83"/>
    <w:rsid w:val="00384CC8"/>
    <w:rsid w:val="003871FD"/>
    <w:rsid w:val="00393F3D"/>
    <w:rsid w:val="0039711A"/>
    <w:rsid w:val="003A1E30"/>
    <w:rsid w:val="003A207B"/>
    <w:rsid w:val="003A7D1C"/>
    <w:rsid w:val="003B304B"/>
    <w:rsid w:val="003B3146"/>
    <w:rsid w:val="003B60F3"/>
    <w:rsid w:val="003E63A9"/>
    <w:rsid w:val="003E6957"/>
    <w:rsid w:val="003F015E"/>
    <w:rsid w:val="003F06CF"/>
    <w:rsid w:val="00400414"/>
    <w:rsid w:val="00402D1C"/>
    <w:rsid w:val="00406D66"/>
    <w:rsid w:val="0041446B"/>
    <w:rsid w:val="00433C68"/>
    <w:rsid w:val="0044172A"/>
    <w:rsid w:val="00442E2A"/>
    <w:rsid w:val="0044329C"/>
    <w:rsid w:val="004438B1"/>
    <w:rsid w:val="004470D3"/>
    <w:rsid w:val="00452E70"/>
    <w:rsid w:val="004555A6"/>
    <w:rsid w:val="004577FE"/>
    <w:rsid w:val="00457B9C"/>
    <w:rsid w:val="0046164A"/>
    <w:rsid w:val="004628D2"/>
    <w:rsid w:val="00462DCD"/>
    <w:rsid w:val="004648AD"/>
    <w:rsid w:val="00465895"/>
    <w:rsid w:val="004703A9"/>
    <w:rsid w:val="00471CB2"/>
    <w:rsid w:val="004760DE"/>
    <w:rsid w:val="00483019"/>
    <w:rsid w:val="00485B30"/>
    <w:rsid w:val="004917A5"/>
    <w:rsid w:val="0049485A"/>
    <w:rsid w:val="00495D24"/>
    <w:rsid w:val="004A004E"/>
    <w:rsid w:val="004A2351"/>
    <w:rsid w:val="004A24CF"/>
    <w:rsid w:val="004B5EA0"/>
    <w:rsid w:val="004B6721"/>
    <w:rsid w:val="004C3D1D"/>
    <w:rsid w:val="004C7913"/>
    <w:rsid w:val="004E007C"/>
    <w:rsid w:val="004E4DD6"/>
    <w:rsid w:val="004E77FB"/>
    <w:rsid w:val="004F1848"/>
    <w:rsid w:val="004F5B3A"/>
    <w:rsid w:val="004F5E36"/>
    <w:rsid w:val="004F79CB"/>
    <w:rsid w:val="005030FC"/>
    <w:rsid w:val="00507A26"/>
    <w:rsid w:val="00507B47"/>
    <w:rsid w:val="00507CC9"/>
    <w:rsid w:val="005119A5"/>
    <w:rsid w:val="005278B7"/>
    <w:rsid w:val="00527E69"/>
    <w:rsid w:val="00527F7F"/>
    <w:rsid w:val="00532016"/>
    <w:rsid w:val="005346C8"/>
    <w:rsid w:val="00540E91"/>
    <w:rsid w:val="00542BDB"/>
    <w:rsid w:val="00543E7D"/>
    <w:rsid w:val="00546B05"/>
    <w:rsid w:val="00547A68"/>
    <w:rsid w:val="00550B24"/>
    <w:rsid w:val="005531C9"/>
    <w:rsid w:val="00564DEC"/>
    <w:rsid w:val="00574839"/>
    <w:rsid w:val="00580DCB"/>
    <w:rsid w:val="0058609F"/>
    <w:rsid w:val="00586B7A"/>
    <w:rsid w:val="00594820"/>
    <w:rsid w:val="00595965"/>
    <w:rsid w:val="00595E0D"/>
    <w:rsid w:val="005A2C4E"/>
    <w:rsid w:val="005A37B7"/>
    <w:rsid w:val="005A47F3"/>
    <w:rsid w:val="005B2110"/>
    <w:rsid w:val="005B618F"/>
    <w:rsid w:val="005B61E6"/>
    <w:rsid w:val="005B7581"/>
    <w:rsid w:val="005C37D9"/>
    <w:rsid w:val="005C6B91"/>
    <w:rsid w:val="005C77E1"/>
    <w:rsid w:val="005D2870"/>
    <w:rsid w:val="005D6A2F"/>
    <w:rsid w:val="005D6FB6"/>
    <w:rsid w:val="005E04FC"/>
    <w:rsid w:val="005E1A82"/>
    <w:rsid w:val="005E794C"/>
    <w:rsid w:val="005F0A28"/>
    <w:rsid w:val="005F0E5E"/>
    <w:rsid w:val="005F7EB1"/>
    <w:rsid w:val="00600535"/>
    <w:rsid w:val="006026DF"/>
    <w:rsid w:val="00606B14"/>
    <w:rsid w:val="00610CD6"/>
    <w:rsid w:val="00611A24"/>
    <w:rsid w:val="0061730F"/>
    <w:rsid w:val="00620DEE"/>
    <w:rsid w:val="00621F92"/>
    <w:rsid w:val="00625639"/>
    <w:rsid w:val="00631B33"/>
    <w:rsid w:val="006350BA"/>
    <w:rsid w:val="00636D03"/>
    <w:rsid w:val="006372FC"/>
    <w:rsid w:val="006407AA"/>
    <w:rsid w:val="00640E12"/>
    <w:rsid w:val="0064184D"/>
    <w:rsid w:val="006422CC"/>
    <w:rsid w:val="00660E3E"/>
    <w:rsid w:val="00662E74"/>
    <w:rsid w:val="00666CEA"/>
    <w:rsid w:val="006805C8"/>
    <w:rsid w:val="00680C23"/>
    <w:rsid w:val="00693766"/>
    <w:rsid w:val="00694166"/>
    <w:rsid w:val="006A3281"/>
    <w:rsid w:val="006B4888"/>
    <w:rsid w:val="006C2E45"/>
    <w:rsid w:val="006C359C"/>
    <w:rsid w:val="006C5579"/>
    <w:rsid w:val="006D4DC8"/>
    <w:rsid w:val="006D5D39"/>
    <w:rsid w:val="006D7A6A"/>
    <w:rsid w:val="006E737D"/>
    <w:rsid w:val="006F2C71"/>
    <w:rsid w:val="006F4DBB"/>
    <w:rsid w:val="006F7D38"/>
    <w:rsid w:val="0070195D"/>
    <w:rsid w:val="00703DDF"/>
    <w:rsid w:val="00720A24"/>
    <w:rsid w:val="00732386"/>
    <w:rsid w:val="007447F3"/>
    <w:rsid w:val="00745793"/>
    <w:rsid w:val="0074582C"/>
    <w:rsid w:val="0075499F"/>
    <w:rsid w:val="00757874"/>
    <w:rsid w:val="007661C8"/>
    <w:rsid w:val="0076727E"/>
    <w:rsid w:val="007679B4"/>
    <w:rsid w:val="0077098D"/>
    <w:rsid w:val="00772175"/>
    <w:rsid w:val="00772B78"/>
    <w:rsid w:val="00774900"/>
    <w:rsid w:val="0077590B"/>
    <w:rsid w:val="00786715"/>
    <w:rsid w:val="00787D9A"/>
    <w:rsid w:val="007931FA"/>
    <w:rsid w:val="00795924"/>
    <w:rsid w:val="00795BD2"/>
    <w:rsid w:val="00796023"/>
    <w:rsid w:val="007A7BBA"/>
    <w:rsid w:val="007B0C1B"/>
    <w:rsid w:val="007B0C50"/>
    <w:rsid w:val="007B6711"/>
    <w:rsid w:val="007C0BF7"/>
    <w:rsid w:val="007C1A43"/>
    <w:rsid w:val="007D1356"/>
    <w:rsid w:val="007E1DC6"/>
    <w:rsid w:val="007E5B76"/>
    <w:rsid w:val="007F5F10"/>
    <w:rsid w:val="008009ED"/>
    <w:rsid w:val="00803467"/>
    <w:rsid w:val="00803557"/>
    <w:rsid w:val="00803A69"/>
    <w:rsid w:val="00806B9A"/>
    <w:rsid w:val="00813288"/>
    <w:rsid w:val="008168FC"/>
    <w:rsid w:val="00830996"/>
    <w:rsid w:val="008345F1"/>
    <w:rsid w:val="00835AF0"/>
    <w:rsid w:val="008444C0"/>
    <w:rsid w:val="0086348A"/>
    <w:rsid w:val="00865B07"/>
    <w:rsid w:val="008667EA"/>
    <w:rsid w:val="00874B62"/>
    <w:rsid w:val="0087637F"/>
    <w:rsid w:val="008779BD"/>
    <w:rsid w:val="00884E11"/>
    <w:rsid w:val="008851C6"/>
    <w:rsid w:val="008904B9"/>
    <w:rsid w:val="0089097D"/>
    <w:rsid w:val="00892AD5"/>
    <w:rsid w:val="008A1512"/>
    <w:rsid w:val="008A4835"/>
    <w:rsid w:val="008B522A"/>
    <w:rsid w:val="008C78C1"/>
    <w:rsid w:val="008D32B9"/>
    <w:rsid w:val="008D3F81"/>
    <w:rsid w:val="008D433B"/>
    <w:rsid w:val="008E566E"/>
    <w:rsid w:val="008F2EF3"/>
    <w:rsid w:val="009004F4"/>
    <w:rsid w:val="0090161A"/>
    <w:rsid w:val="00901EB6"/>
    <w:rsid w:val="00904C62"/>
    <w:rsid w:val="00907B9B"/>
    <w:rsid w:val="00910530"/>
    <w:rsid w:val="0091087A"/>
    <w:rsid w:val="0092283F"/>
    <w:rsid w:val="0092386C"/>
    <w:rsid w:val="00924DAC"/>
    <w:rsid w:val="00927058"/>
    <w:rsid w:val="00932570"/>
    <w:rsid w:val="009352BD"/>
    <w:rsid w:val="00943602"/>
    <w:rsid w:val="00944FE1"/>
    <w:rsid w:val="009450CE"/>
    <w:rsid w:val="00947179"/>
    <w:rsid w:val="0095041F"/>
    <w:rsid w:val="0095164B"/>
    <w:rsid w:val="00954090"/>
    <w:rsid w:val="009573E7"/>
    <w:rsid w:val="009635B9"/>
    <w:rsid w:val="00963E05"/>
    <w:rsid w:val="00967D54"/>
    <w:rsid w:val="00986BFC"/>
    <w:rsid w:val="00996483"/>
    <w:rsid w:val="00996F5A"/>
    <w:rsid w:val="009A0A3E"/>
    <w:rsid w:val="009A3B9F"/>
    <w:rsid w:val="009B041A"/>
    <w:rsid w:val="009B5BAC"/>
    <w:rsid w:val="009C2C3D"/>
    <w:rsid w:val="009C7C86"/>
    <w:rsid w:val="009D2FF7"/>
    <w:rsid w:val="009E0BEC"/>
    <w:rsid w:val="009E7884"/>
    <w:rsid w:val="009E788A"/>
    <w:rsid w:val="009F0E08"/>
    <w:rsid w:val="009F3919"/>
    <w:rsid w:val="009F7F08"/>
    <w:rsid w:val="00A00D00"/>
    <w:rsid w:val="00A06049"/>
    <w:rsid w:val="00A12913"/>
    <w:rsid w:val="00A1763D"/>
    <w:rsid w:val="00A17CEC"/>
    <w:rsid w:val="00A27EF0"/>
    <w:rsid w:val="00A331AF"/>
    <w:rsid w:val="00A50B20"/>
    <w:rsid w:val="00A51390"/>
    <w:rsid w:val="00A53375"/>
    <w:rsid w:val="00A60D13"/>
    <w:rsid w:val="00A60FC4"/>
    <w:rsid w:val="00A63CF2"/>
    <w:rsid w:val="00A72745"/>
    <w:rsid w:val="00A76EFC"/>
    <w:rsid w:val="00A771B8"/>
    <w:rsid w:val="00A83398"/>
    <w:rsid w:val="00A840FD"/>
    <w:rsid w:val="00A84807"/>
    <w:rsid w:val="00A852F1"/>
    <w:rsid w:val="00A85B6B"/>
    <w:rsid w:val="00A86885"/>
    <w:rsid w:val="00A91010"/>
    <w:rsid w:val="00A97F29"/>
    <w:rsid w:val="00AA702E"/>
    <w:rsid w:val="00AB0964"/>
    <w:rsid w:val="00AB5011"/>
    <w:rsid w:val="00AC3E32"/>
    <w:rsid w:val="00AC7368"/>
    <w:rsid w:val="00AD04A8"/>
    <w:rsid w:val="00AD16B9"/>
    <w:rsid w:val="00AE377D"/>
    <w:rsid w:val="00AE6C85"/>
    <w:rsid w:val="00AE75F7"/>
    <w:rsid w:val="00AF3629"/>
    <w:rsid w:val="00B0159A"/>
    <w:rsid w:val="00B030E4"/>
    <w:rsid w:val="00B12D37"/>
    <w:rsid w:val="00B16BBB"/>
    <w:rsid w:val="00B17FBD"/>
    <w:rsid w:val="00B315A6"/>
    <w:rsid w:val="00B31813"/>
    <w:rsid w:val="00B33365"/>
    <w:rsid w:val="00B409BF"/>
    <w:rsid w:val="00B4141B"/>
    <w:rsid w:val="00B50F73"/>
    <w:rsid w:val="00B529C0"/>
    <w:rsid w:val="00B556B9"/>
    <w:rsid w:val="00B56EDF"/>
    <w:rsid w:val="00B57B36"/>
    <w:rsid w:val="00B57F98"/>
    <w:rsid w:val="00B62797"/>
    <w:rsid w:val="00B65ABD"/>
    <w:rsid w:val="00B670CF"/>
    <w:rsid w:val="00B67EAC"/>
    <w:rsid w:val="00B67F66"/>
    <w:rsid w:val="00B7103C"/>
    <w:rsid w:val="00B807F5"/>
    <w:rsid w:val="00B814A8"/>
    <w:rsid w:val="00B8686D"/>
    <w:rsid w:val="00BA0DB8"/>
    <w:rsid w:val="00BA5FDE"/>
    <w:rsid w:val="00BA71B5"/>
    <w:rsid w:val="00BB0EF9"/>
    <w:rsid w:val="00BB39B9"/>
    <w:rsid w:val="00BC09D8"/>
    <w:rsid w:val="00BC0EBF"/>
    <w:rsid w:val="00BC15D6"/>
    <w:rsid w:val="00BC30C9"/>
    <w:rsid w:val="00BC53C4"/>
    <w:rsid w:val="00BE3E58"/>
    <w:rsid w:val="00BF485E"/>
    <w:rsid w:val="00C01616"/>
    <w:rsid w:val="00C0162B"/>
    <w:rsid w:val="00C02976"/>
    <w:rsid w:val="00C03FEC"/>
    <w:rsid w:val="00C07B03"/>
    <w:rsid w:val="00C22D9B"/>
    <w:rsid w:val="00C273F8"/>
    <w:rsid w:val="00C330FA"/>
    <w:rsid w:val="00C345B1"/>
    <w:rsid w:val="00C40142"/>
    <w:rsid w:val="00C44F2F"/>
    <w:rsid w:val="00C50FB4"/>
    <w:rsid w:val="00C537BD"/>
    <w:rsid w:val="00C5491F"/>
    <w:rsid w:val="00C549DE"/>
    <w:rsid w:val="00C57182"/>
    <w:rsid w:val="00C57863"/>
    <w:rsid w:val="00C655FD"/>
    <w:rsid w:val="00C67508"/>
    <w:rsid w:val="00C72DB7"/>
    <w:rsid w:val="00C750BE"/>
    <w:rsid w:val="00C76542"/>
    <w:rsid w:val="00C77D31"/>
    <w:rsid w:val="00C86FD0"/>
    <w:rsid w:val="00C870A8"/>
    <w:rsid w:val="00C87EC9"/>
    <w:rsid w:val="00C900DA"/>
    <w:rsid w:val="00C94434"/>
    <w:rsid w:val="00CA0D75"/>
    <w:rsid w:val="00CA1C95"/>
    <w:rsid w:val="00CA2848"/>
    <w:rsid w:val="00CA5A9C"/>
    <w:rsid w:val="00CB37AA"/>
    <w:rsid w:val="00CB4745"/>
    <w:rsid w:val="00CD3517"/>
    <w:rsid w:val="00CD5A00"/>
    <w:rsid w:val="00CD5FE2"/>
    <w:rsid w:val="00CE027F"/>
    <w:rsid w:val="00CE7C68"/>
    <w:rsid w:val="00CF3038"/>
    <w:rsid w:val="00CF5708"/>
    <w:rsid w:val="00D00EFB"/>
    <w:rsid w:val="00D02B4C"/>
    <w:rsid w:val="00D03330"/>
    <w:rsid w:val="00D040C4"/>
    <w:rsid w:val="00D04950"/>
    <w:rsid w:val="00D07702"/>
    <w:rsid w:val="00D104E4"/>
    <w:rsid w:val="00D12F14"/>
    <w:rsid w:val="00D30D4A"/>
    <w:rsid w:val="00D402B6"/>
    <w:rsid w:val="00D44BEA"/>
    <w:rsid w:val="00D44E36"/>
    <w:rsid w:val="00D46570"/>
    <w:rsid w:val="00D47DAD"/>
    <w:rsid w:val="00D57C84"/>
    <w:rsid w:val="00D6057D"/>
    <w:rsid w:val="00D628F4"/>
    <w:rsid w:val="00D75F38"/>
    <w:rsid w:val="00D8092F"/>
    <w:rsid w:val="00D8188D"/>
    <w:rsid w:val="00D82C6D"/>
    <w:rsid w:val="00D84576"/>
    <w:rsid w:val="00D90A1C"/>
    <w:rsid w:val="00D934A5"/>
    <w:rsid w:val="00D93CEE"/>
    <w:rsid w:val="00D94919"/>
    <w:rsid w:val="00D96DBB"/>
    <w:rsid w:val="00D97ADA"/>
    <w:rsid w:val="00DA1399"/>
    <w:rsid w:val="00DA24C6"/>
    <w:rsid w:val="00DA2DED"/>
    <w:rsid w:val="00DA4D7B"/>
    <w:rsid w:val="00DA6530"/>
    <w:rsid w:val="00DA6B7A"/>
    <w:rsid w:val="00DB63D8"/>
    <w:rsid w:val="00DC543E"/>
    <w:rsid w:val="00DD38BD"/>
    <w:rsid w:val="00DD55DF"/>
    <w:rsid w:val="00DD669D"/>
    <w:rsid w:val="00DE264A"/>
    <w:rsid w:val="00DF21CE"/>
    <w:rsid w:val="00E015D2"/>
    <w:rsid w:val="00E02D18"/>
    <w:rsid w:val="00E041E7"/>
    <w:rsid w:val="00E154D4"/>
    <w:rsid w:val="00E21DAA"/>
    <w:rsid w:val="00E23CA1"/>
    <w:rsid w:val="00E376EA"/>
    <w:rsid w:val="00E409A8"/>
    <w:rsid w:val="00E4577C"/>
    <w:rsid w:val="00E50C12"/>
    <w:rsid w:val="00E524EB"/>
    <w:rsid w:val="00E53EF8"/>
    <w:rsid w:val="00E656A8"/>
    <w:rsid w:val="00E65B91"/>
    <w:rsid w:val="00E6725C"/>
    <w:rsid w:val="00E67FB0"/>
    <w:rsid w:val="00E7209D"/>
    <w:rsid w:val="00E77223"/>
    <w:rsid w:val="00E829D8"/>
    <w:rsid w:val="00E8528B"/>
    <w:rsid w:val="00E85B94"/>
    <w:rsid w:val="00E86E44"/>
    <w:rsid w:val="00E87DAD"/>
    <w:rsid w:val="00E90708"/>
    <w:rsid w:val="00E9647F"/>
    <w:rsid w:val="00E978D0"/>
    <w:rsid w:val="00EA20C5"/>
    <w:rsid w:val="00EA4613"/>
    <w:rsid w:val="00EA6346"/>
    <w:rsid w:val="00EA7F91"/>
    <w:rsid w:val="00EB1523"/>
    <w:rsid w:val="00EC0E49"/>
    <w:rsid w:val="00EC5AAE"/>
    <w:rsid w:val="00ED12F3"/>
    <w:rsid w:val="00EE0131"/>
    <w:rsid w:val="00EE5783"/>
    <w:rsid w:val="00EF46BA"/>
    <w:rsid w:val="00EF601A"/>
    <w:rsid w:val="00F04138"/>
    <w:rsid w:val="00F049D3"/>
    <w:rsid w:val="00F1505C"/>
    <w:rsid w:val="00F155B2"/>
    <w:rsid w:val="00F22964"/>
    <w:rsid w:val="00F30C64"/>
    <w:rsid w:val="00F311E0"/>
    <w:rsid w:val="00F32CDB"/>
    <w:rsid w:val="00F40DDA"/>
    <w:rsid w:val="00F51B68"/>
    <w:rsid w:val="00F5571C"/>
    <w:rsid w:val="00F63A70"/>
    <w:rsid w:val="00F706CF"/>
    <w:rsid w:val="00F76870"/>
    <w:rsid w:val="00F93602"/>
    <w:rsid w:val="00F94D04"/>
    <w:rsid w:val="00FA21D0"/>
    <w:rsid w:val="00FA5F5F"/>
    <w:rsid w:val="00FA69D3"/>
    <w:rsid w:val="00FB730C"/>
    <w:rsid w:val="00FC2695"/>
    <w:rsid w:val="00FC3E03"/>
    <w:rsid w:val="00FC3FC1"/>
    <w:rsid w:val="00FD27F1"/>
    <w:rsid w:val="00FD4A9A"/>
    <w:rsid w:val="00FD7CE9"/>
    <w:rsid w:val="00FF4389"/>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91B21"/>
  <w15:docId w15:val="{56A5FE44-F7A4-457D-8679-9A58F2BC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BF485E"/>
    <w:rPr>
      <w:color w:val="808080"/>
    </w:rPr>
  </w:style>
  <w:style w:type="character" w:styleId="Menzionenonrisolta">
    <w:name w:val="Unresolved Mention"/>
    <w:basedOn w:val="Carpredefinitoparagrafo"/>
    <w:uiPriority w:val="99"/>
    <w:semiHidden/>
    <w:unhideWhenUsed/>
    <w:rsid w:val="00503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6A093-8DC3-419D-B646-3D605380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2839</TotalTime>
  <Pages>6</Pages>
  <Words>3591</Words>
  <Characters>20470</Characters>
  <Application>Microsoft Office Word</Application>
  <DocSecurity>0</DocSecurity>
  <Lines>170</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Fabrizio</cp:lastModifiedBy>
  <cp:revision>91</cp:revision>
  <cp:lastPrinted>2015-05-12T18:31:00Z</cp:lastPrinted>
  <dcterms:created xsi:type="dcterms:W3CDTF">2018-09-26T07:07:00Z</dcterms:created>
  <dcterms:modified xsi:type="dcterms:W3CDTF">2019-04-08T14:22:00Z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43639562-ff66-3a73-a0a4-ea0fce4dd481</vt:lpwstr>
  </property>
  <property fmtid="{D5CDD505-2E9C-101B-9397-08002B2CF9AE}" pid="6" name="Mendeley Citation Style_1">
    <vt:lpwstr>http://www.zotero.org/styles/journal-of-phycology</vt:lpwstr>
  </property>
  <property fmtid="{D5CDD505-2E9C-101B-9397-08002B2CF9AE}" pid="7" name="Mendeley Recent Style Id 0_1">
    <vt:lpwstr>http://www.zotero.org/styles/american-sociological-association</vt:lpwstr>
  </property>
  <property fmtid="{D5CDD505-2E9C-101B-9397-08002B2CF9AE}" pid="8" name="Mendeley Recent Style Name 0_1">
    <vt:lpwstr>American Sociological Association</vt:lpwstr>
  </property>
  <property fmtid="{D5CDD505-2E9C-101B-9397-08002B2CF9AE}" pid="9" name="Mendeley Recent Style Id 1_1">
    <vt:lpwstr>http://www.zotero.org/styles/biochemical-engineering-journal</vt:lpwstr>
  </property>
  <property fmtid="{D5CDD505-2E9C-101B-9397-08002B2CF9AE}" pid="10" name="Mendeley Recent Style Name 1_1">
    <vt:lpwstr>Biochemical Engineering Journal</vt:lpwstr>
  </property>
  <property fmtid="{D5CDD505-2E9C-101B-9397-08002B2CF9AE}" pid="11" name="Mendeley Recent Style Id 2_1">
    <vt:lpwstr>http://www.zotero.org/styles/chemical-engineering-journal</vt:lpwstr>
  </property>
  <property fmtid="{D5CDD505-2E9C-101B-9397-08002B2CF9AE}" pid="12" name="Mendeley Recent Style Name 2_1">
    <vt:lpwstr>Chemical Engineering Journal</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16th edition (author-date)</vt:lpwstr>
  </property>
  <property fmtid="{D5CDD505-2E9C-101B-9397-08002B2CF9AE}" pid="15" name="Mendeley Recent Style Id 4_1">
    <vt:lpwstr>http://www.zotero.org/styles/ieee</vt:lpwstr>
  </property>
  <property fmtid="{D5CDD505-2E9C-101B-9397-08002B2CF9AE}" pid="16" name="Mendeley Recent Style Name 4_1">
    <vt:lpwstr>IEEE</vt:lpwstr>
  </property>
  <property fmtid="{D5CDD505-2E9C-101B-9397-08002B2CF9AE}" pid="17" name="Mendeley Recent Style Id 5_1">
    <vt:lpwstr>http://www.zotero.org/styles/journal-of-phycology</vt:lpwstr>
  </property>
  <property fmtid="{D5CDD505-2E9C-101B-9397-08002B2CF9AE}" pid="18" name="Mendeley Recent Style Name 5_1">
    <vt:lpwstr>Journal of Phycology</vt:lpwstr>
  </property>
  <property fmtid="{D5CDD505-2E9C-101B-9397-08002B2CF9AE}" pid="19" name="Mendeley Recent Style Id 6_1">
    <vt:lpwstr>http://www.zotero.org/styles/modern-humanities-research-association</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Id 7_1">
    <vt:lpwstr>http://www.zotero.org/styles/modern-language-association</vt:lpwstr>
  </property>
  <property fmtid="{D5CDD505-2E9C-101B-9397-08002B2CF9AE}" pid="22" name="Mendeley Recent Style Name 7_1">
    <vt:lpwstr>Modern Language Association 7th edition</vt:lpwstr>
  </property>
  <property fmtid="{D5CDD505-2E9C-101B-9397-08002B2CF9AE}" pid="23" name="Mendeley Recent Style Id 8_1">
    <vt:lpwstr>http://www.zotero.org/styles/process-biochemistry</vt:lpwstr>
  </property>
  <property fmtid="{D5CDD505-2E9C-101B-9397-08002B2CF9AE}" pid="24" name="Mendeley Recent Style Name 8_1">
    <vt:lpwstr>Process Biochemistry</vt:lpwstr>
  </property>
  <property fmtid="{D5CDD505-2E9C-101B-9397-08002B2CF9AE}" pid="25" name="Mendeley Recent Style Id 9_1">
    <vt:lpwstr>http://www.zotero.org/styles/vancouver</vt:lpwstr>
  </property>
  <property fmtid="{D5CDD505-2E9C-101B-9397-08002B2CF9AE}" pid="26" name="Mendeley Recent Style Name 9_1">
    <vt:lpwstr>Vancouver</vt:lpwstr>
  </property>
</Properties>
</file>