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633F1" w14:paraId="43BCD415" w14:textId="77777777">
        <w:trPr>
          <w:trHeight w:val="852"/>
          <w:jc w:val="center"/>
        </w:trPr>
        <w:tc>
          <w:tcPr>
            <w:tcW w:w="6946" w:type="dxa"/>
            <w:vMerge w:val="restart"/>
            <w:tcBorders>
              <w:right w:val="single" w:sz="4" w:space="0" w:color="auto"/>
            </w:tcBorders>
          </w:tcPr>
          <w:p w14:paraId="05A67F3B" w14:textId="77777777" w:rsidR="000A03B2" w:rsidRPr="003633F1" w:rsidRDefault="000A03B2" w:rsidP="00DE264A">
            <w:pPr>
              <w:tabs>
                <w:tab w:val="left" w:pos="-108"/>
              </w:tabs>
              <w:ind w:left="-108"/>
              <w:jc w:val="left"/>
              <w:rPr>
                <w:rFonts w:cs="Arial"/>
                <w:b/>
                <w:bCs/>
                <w:i/>
                <w:iCs/>
                <w:color w:val="000066"/>
                <w:sz w:val="12"/>
                <w:szCs w:val="12"/>
                <w:lang w:val="en-US" w:eastAsia="it-IT"/>
              </w:rPr>
            </w:pPr>
            <w:r w:rsidRPr="003633F1">
              <w:rPr>
                <w:rFonts w:ascii="AdvP6960" w:hAnsi="AdvP6960" w:cs="AdvP6960"/>
                <w:noProof/>
                <w:color w:val="241F20"/>
                <w:szCs w:val="18"/>
                <w:lang w:val="fr-FR" w:eastAsia="fr-FR"/>
              </w:rPr>
              <w:drawing>
                <wp:inline distT="0" distB="0" distL="0" distR="0" wp14:anchorId="5CD402FF" wp14:editId="4C83DBB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633F1">
              <w:rPr>
                <w:rFonts w:ascii="AdvP6960" w:hAnsi="AdvP6960" w:cs="AdvP6960"/>
                <w:color w:val="241F20"/>
                <w:szCs w:val="18"/>
                <w:lang w:val="en-US" w:eastAsia="it-IT"/>
              </w:rPr>
              <w:t xml:space="preserve"> </w:t>
            </w:r>
            <w:r w:rsidRPr="003633F1">
              <w:rPr>
                <w:rFonts w:cs="Arial"/>
                <w:b/>
                <w:bCs/>
                <w:i/>
                <w:iCs/>
                <w:color w:val="000066"/>
                <w:sz w:val="24"/>
                <w:szCs w:val="24"/>
                <w:lang w:val="en-US" w:eastAsia="it-IT"/>
              </w:rPr>
              <w:t>CHEMICAL ENGINEERING</w:t>
            </w:r>
            <w:r w:rsidRPr="003633F1">
              <w:rPr>
                <w:rFonts w:cs="Arial"/>
                <w:b/>
                <w:bCs/>
                <w:i/>
                <w:iCs/>
                <w:color w:val="0033FF"/>
                <w:sz w:val="24"/>
                <w:szCs w:val="24"/>
                <w:lang w:val="en-US" w:eastAsia="it-IT"/>
              </w:rPr>
              <w:t xml:space="preserve"> </w:t>
            </w:r>
            <w:r w:rsidRPr="003633F1">
              <w:rPr>
                <w:rFonts w:cs="Arial"/>
                <w:b/>
                <w:bCs/>
                <w:i/>
                <w:iCs/>
                <w:color w:val="666666"/>
                <w:sz w:val="24"/>
                <w:szCs w:val="24"/>
                <w:lang w:val="en-US" w:eastAsia="it-IT"/>
              </w:rPr>
              <w:t>TRANSACTIONS</w:t>
            </w:r>
            <w:r w:rsidRPr="003633F1">
              <w:rPr>
                <w:color w:val="333333"/>
                <w:sz w:val="24"/>
                <w:szCs w:val="24"/>
                <w:lang w:val="en-US" w:eastAsia="it-IT"/>
              </w:rPr>
              <w:t xml:space="preserve"> </w:t>
            </w:r>
            <w:r w:rsidRPr="003633F1">
              <w:rPr>
                <w:rFonts w:cs="Arial"/>
                <w:b/>
                <w:bCs/>
                <w:i/>
                <w:iCs/>
                <w:color w:val="000066"/>
                <w:sz w:val="27"/>
                <w:szCs w:val="27"/>
                <w:lang w:val="en-US" w:eastAsia="it-IT"/>
              </w:rPr>
              <w:br/>
            </w:r>
          </w:p>
          <w:p w14:paraId="5F6BAC09" w14:textId="77777777" w:rsidR="000A03B2" w:rsidRPr="003633F1" w:rsidRDefault="00A76EFC" w:rsidP="009635B9">
            <w:pPr>
              <w:tabs>
                <w:tab w:val="left" w:pos="-108"/>
              </w:tabs>
              <w:ind w:left="-108"/>
              <w:rPr>
                <w:rFonts w:cs="Arial"/>
                <w:b/>
                <w:bCs/>
                <w:i/>
                <w:iCs/>
                <w:color w:val="000066"/>
                <w:sz w:val="22"/>
                <w:szCs w:val="22"/>
                <w:lang w:val="en-US" w:eastAsia="it-IT"/>
              </w:rPr>
            </w:pPr>
            <w:r w:rsidRPr="003633F1">
              <w:rPr>
                <w:rFonts w:cs="Arial"/>
                <w:b/>
                <w:bCs/>
                <w:i/>
                <w:iCs/>
                <w:color w:val="000066"/>
                <w:sz w:val="22"/>
                <w:szCs w:val="22"/>
                <w:lang w:val="en-US" w:eastAsia="it-IT"/>
              </w:rPr>
              <w:t xml:space="preserve">VOL. </w:t>
            </w:r>
            <w:r w:rsidR="007931FA" w:rsidRPr="003633F1">
              <w:rPr>
                <w:rFonts w:cs="Arial"/>
                <w:b/>
                <w:bCs/>
                <w:i/>
                <w:iCs/>
                <w:color w:val="000066"/>
                <w:sz w:val="22"/>
                <w:szCs w:val="22"/>
                <w:lang w:val="en-US" w:eastAsia="it-IT"/>
              </w:rPr>
              <w:t>7</w:t>
            </w:r>
            <w:r w:rsidR="009635B9" w:rsidRPr="003633F1">
              <w:rPr>
                <w:rFonts w:cs="Arial"/>
                <w:b/>
                <w:bCs/>
                <w:i/>
                <w:iCs/>
                <w:color w:val="000066"/>
                <w:sz w:val="22"/>
                <w:szCs w:val="22"/>
                <w:lang w:val="en-US" w:eastAsia="it-IT"/>
              </w:rPr>
              <w:t>6</w:t>
            </w:r>
            <w:r w:rsidR="00FA5F5F" w:rsidRPr="003633F1">
              <w:rPr>
                <w:rFonts w:cs="Arial"/>
                <w:b/>
                <w:bCs/>
                <w:i/>
                <w:iCs/>
                <w:color w:val="000066"/>
                <w:sz w:val="22"/>
                <w:szCs w:val="22"/>
                <w:lang w:val="en-US" w:eastAsia="it-IT"/>
              </w:rPr>
              <w:t>, 201</w:t>
            </w:r>
            <w:r w:rsidR="007931FA" w:rsidRPr="003633F1">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14:paraId="40B3B88D" w14:textId="77777777" w:rsidR="000A03B2" w:rsidRPr="003633F1" w:rsidRDefault="000A03B2" w:rsidP="00CD5FE2">
            <w:pPr>
              <w:spacing w:line="140" w:lineRule="atLeast"/>
              <w:jc w:val="right"/>
              <w:rPr>
                <w:rFonts w:cs="Arial"/>
                <w:sz w:val="14"/>
                <w:szCs w:val="14"/>
                <w:lang w:val="en-US"/>
              </w:rPr>
            </w:pPr>
            <w:r w:rsidRPr="003633F1">
              <w:rPr>
                <w:rFonts w:cs="Arial"/>
                <w:sz w:val="14"/>
                <w:szCs w:val="14"/>
                <w:lang w:val="en-US"/>
              </w:rPr>
              <w:t>A publication of</w:t>
            </w:r>
          </w:p>
          <w:p w14:paraId="49BBC68C" w14:textId="77777777" w:rsidR="000A03B2" w:rsidRPr="003633F1" w:rsidRDefault="000A03B2" w:rsidP="00CD5FE2">
            <w:pPr>
              <w:jc w:val="right"/>
              <w:rPr>
                <w:lang w:val="en-US"/>
              </w:rPr>
            </w:pPr>
            <w:r w:rsidRPr="003633F1">
              <w:rPr>
                <w:noProof/>
                <w:lang w:val="fr-FR" w:eastAsia="fr-FR"/>
              </w:rPr>
              <w:drawing>
                <wp:inline distT="0" distB="0" distL="0" distR="0" wp14:anchorId="79909E3E" wp14:editId="3C13BB8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633F1" w14:paraId="176E4B17" w14:textId="77777777">
        <w:trPr>
          <w:trHeight w:val="567"/>
          <w:jc w:val="center"/>
        </w:trPr>
        <w:tc>
          <w:tcPr>
            <w:tcW w:w="6946" w:type="dxa"/>
            <w:vMerge/>
            <w:tcBorders>
              <w:right w:val="single" w:sz="4" w:space="0" w:color="auto"/>
            </w:tcBorders>
          </w:tcPr>
          <w:p w14:paraId="3E2100B2" w14:textId="77777777" w:rsidR="000A03B2" w:rsidRPr="003633F1"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1324890E" w14:textId="77777777" w:rsidR="000A03B2" w:rsidRPr="003633F1" w:rsidRDefault="000A03B2" w:rsidP="00CD5FE2">
            <w:pPr>
              <w:spacing w:line="140" w:lineRule="atLeast"/>
              <w:jc w:val="right"/>
              <w:rPr>
                <w:rFonts w:cs="Arial"/>
                <w:sz w:val="14"/>
                <w:szCs w:val="14"/>
                <w:lang w:val="en-US"/>
              </w:rPr>
            </w:pPr>
            <w:r w:rsidRPr="003633F1">
              <w:rPr>
                <w:rFonts w:cs="Arial"/>
                <w:sz w:val="14"/>
                <w:szCs w:val="14"/>
                <w:lang w:val="en-US"/>
              </w:rPr>
              <w:t>The Italian Association</w:t>
            </w:r>
          </w:p>
          <w:p w14:paraId="7BAA9022" w14:textId="77777777" w:rsidR="000A03B2" w:rsidRPr="003633F1" w:rsidRDefault="000A03B2" w:rsidP="00CD5FE2">
            <w:pPr>
              <w:spacing w:line="140" w:lineRule="atLeast"/>
              <w:jc w:val="right"/>
              <w:rPr>
                <w:rFonts w:cs="Arial"/>
                <w:sz w:val="14"/>
                <w:szCs w:val="14"/>
                <w:lang w:val="en-US"/>
              </w:rPr>
            </w:pPr>
            <w:r w:rsidRPr="003633F1">
              <w:rPr>
                <w:rFonts w:cs="Arial"/>
                <w:sz w:val="14"/>
                <w:szCs w:val="14"/>
                <w:lang w:val="en-US"/>
              </w:rPr>
              <w:t>of Chemical Engineering</w:t>
            </w:r>
          </w:p>
          <w:p w14:paraId="59687571" w14:textId="77777777" w:rsidR="000A03B2" w:rsidRPr="003633F1" w:rsidRDefault="000A03B2" w:rsidP="00162642">
            <w:pPr>
              <w:spacing w:line="140" w:lineRule="atLeast"/>
              <w:jc w:val="right"/>
              <w:rPr>
                <w:rFonts w:cs="Arial"/>
                <w:sz w:val="14"/>
                <w:szCs w:val="14"/>
                <w:lang w:val="en-US"/>
              </w:rPr>
            </w:pPr>
            <w:r w:rsidRPr="003633F1">
              <w:rPr>
                <w:rFonts w:cs="Arial"/>
                <w:sz w:val="14"/>
                <w:szCs w:val="14"/>
                <w:lang w:val="en-US"/>
              </w:rPr>
              <w:t xml:space="preserve">Online at </w:t>
            </w:r>
            <w:r w:rsidR="00162642" w:rsidRPr="003633F1">
              <w:rPr>
                <w:rFonts w:cs="Arial"/>
                <w:sz w:val="14"/>
                <w:szCs w:val="14"/>
                <w:lang w:val="en-US"/>
              </w:rPr>
              <w:t>www.cetjournal.it</w:t>
            </w:r>
          </w:p>
        </w:tc>
      </w:tr>
      <w:tr w:rsidR="000A03B2" w:rsidRPr="003633F1" w14:paraId="40BFD05F" w14:textId="77777777">
        <w:trPr>
          <w:trHeight w:val="68"/>
          <w:jc w:val="center"/>
        </w:trPr>
        <w:tc>
          <w:tcPr>
            <w:tcW w:w="8789" w:type="dxa"/>
            <w:gridSpan w:val="2"/>
          </w:tcPr>
          <w:p w14:paraId="7D437F6D" w14:textId="77777777" w:rsidR="00300E56" w:rsidRPr="003633F1" w:rsidRDefault="00300E56" w:rsidP="003365E3">
            <w:pPr>
              <w:ind w:left="-107"/>
              <w:rPr>
                <w:lang w:val="en-US"/>
              </w:rPr>
            </w:pPr>
            <w:r w:rsidRPr="003633F1">
              <w:rPr>
                <w:rFonts w:ascii="Tahoma" w:hAnsi="Tahoma" w:cs="Tahoma"/>
                <w:iCs/>
                <w:color w:val="333333"/>
                <w:sz w:val="14"/>
                <w:szCs w:val="14"/>
                <w:lang w:val="en-US" w:eastAsia="it-IT"/>
              </w:rPr>
              <w:t>Guest Editors:</w:t>
            </w:r>
            <w:r w:rsidR="00904C62" w:rsidRPr="003633F1">
              <w:rPr>
                <w:rFonts w:ascii="Tahoma" w:hAnsi="Tahoma" w:cs="Tahoma"/>
                <w:iCs/>
                <w:color w:val="333333"/>
                <w:sz w:val="14"/>
                <w:szCs w:val="14"/>
                <w:lang w:val="en-US" w:eastAsia="it-IT"/>
              </w:rPr>
              <w:t xml:space="preserve"> </w:t>
            </w:r>
            <w:r w:rsidR="009635B9" w:rsidRPr="003633F1">
              <w:rPr>
                <w:rFonts w:ascii="Tahoma" w:hAnsi="Tahoma" w:cs="Tahoma"/>
                <w:sz w:val="14"/>
                <w:szCs w:val="14"/>
                <w:lang w:val="en-US"/>
              </w:rPr>
              <w:t>Sauro Pierucci,</w:t>
            </w:r>
            <w:r w:rsidR="003B60F3" w:rsidRPr="003633F1">
              <w:rPr>
                <w:rFonts w:ascii="Tahoma" w:hAnsi="Tahoma" w:cs="Tahoma"/>
                <w:sz w:val="14"/>
                <w:szCs w:val="14"/>
                <w:lang w:val="en-US"/>
              </w:rPr>
              <w:t xml:space="preserve"> </w:t>
            </w:r>
            <w:r w:rsidR="00047D7F" w:rsidRPr="003633F1">
              <w:rPr>
                <w:rFonts w:ascii="Tahoma" w:hAnsi="Tahoma" w:cs="Tahoma"/>
                <w:sz w:val="14"/>
                <w:szCs w:val="14"/>
                <w:shd w:val="clear" w:color="auto" w:fill="FFFFFF"/>
                <w:lang w:val="en-US"/>
              </w:rPr>
              <w:t>Jiří Jaromír Klemeš</w:t>
            </w:r>
            <w:r w:rsidR="00252C1A" w:rsidRPr="003633F1">
              <w:rPr>
                <w:rFonts w:ascii="Tahoma" w:hAnsi="Tahoma" w:cs="Tahoma"/>
                <w:sz w:val="14"/>
                <w:szCs w:val="14"/>
                <w:shd w:val="clear" w:color="auto" w:fill="FFFFFF"/>
                <w:lang w:val="en-US"/>
              </w:rPr>
              <w:t>, Laura Piazza</w:t>
            </w:r>
          </w:p>
          <w:p w14:paraId="217C8324" w14:textId="77777777" w:rsidR="000A03B2" w:rsidRPr="003633F1" w:rsidRDefault="00FA5F5F" w:rsidP="00131FAB">
            <w:pPr>
              <w:tabs>
                <w:tab w:val="left" w:pos="-108"/>
              </w:tabs>
              <w:spacing w:line="140" w:lineRule="atLeast"/>
              <w:ind w:left="-107"/>
              <w:jc w:val="left"/>
              <w:rPr>
                <w:lang w:val="en-US"/>
              </w:rPr>
            </w:pPr>
            <w:r w:rsidRPr="003633F1">
              <w:rPr>
                <w:rFonts w:ascii="Tahoma" w:hAnsi="Tahoma" w:cs="Tahoma"/>
                <w:iCs/>
                <w:color w:val="333333"/>
                <w:sz w:val="14"/>
                <w:szCs w:val="14"/>
                <w:lang w:val="en-US" w:eastAsia="it-IT"/>
              </w:rPr>
              <w:t>Copyright © 201</w:t>
            </w:r>
            <w:r w:rsidR="007931FA" w:rsidRPr="003633F1">
              <w:rPr>
                <w:rFonts w:ascii="Tahoma" w:hAnsi="Tahoma" w:cs="Tahoma"/>
                <w:iCs/>
                <w:color w:val="333333"/>
                <w:sz w:val="14"/>
                <w:szCs w:val="14"/>
                <w:lang w:val="en-US" w:eastAsia="it-IT"/>
              </w:rPr>
              <w:t>9</w:t>
            </w:r>
            <w:r w:rsidR="00904C62" w:rsidRPr="003633F1">
              <w:rPr>
                <w:rFonts w:ascii="Tahoma" w:hAnsi="Tahoma" w:cs="Tahoma"/>
                <w:iCs/>
                <w:color w:val="333333"/>
                <w:sz w:val="14"/>
                <w:szCs w:val="14"/>
                <w:lang w:val="en-US" w:eastAsia="it-IT"/>
              </w:rPr>
              <w:t>, AIDIC Servizi S.r.l.</w:t>
            </w:r>
            <w:r w:rsidR="00300E56" w:rsidRPr="003633F1">
              <w:rPr>
                <w:rFonts w:ascii="Tahoma" w:hAnsi="Tahoma" w:cs="Tahoma"/>
                <w:iCs/>
                <w:color w:val="333333"/>
                <w:sz w:val="14"/>
                <w:szCs w:val="14"/>
                <w:lang w:val="en-US" w:eastAsia="it-IT"/>
              </w:rPr>
              <w:br/>
            </w:r>
            <w:r w:rsidR="00300E56" w:rsidRPr="003633F1">
              <w:rPr>
                <w:rFonts w:ascii="Tahoma" w:hAnsi="Tahoma" w:cs="Tahoma"/>
                <w:b/>
                <w:iCs/>
                <w:color w:val="000000"/>
                <w:sz w:val="14"/>
                <w:szCs w:val="14"/>
                <w:lang w:val="en-US" w:eastAsia="it-IT"/>
              </w:rPr>
              <w:t>ISBN</w:t>
            </w:r>
            <w:r w:rsidR="00300E56" w:rsidRPr="003633F1">
              <w:rPr>
                <w:rFonts w:ascii="Tahoma" w:hAnsi="Tahoma" w:cs="Tahoma"/>
                <w:iCs/>
                <w:color w:val="000000"/>
                <w:sz w:val="14"/>
                <w:szCs w:val="14"/>
                <w:lang w:val="en-US" w:eastAsia="it-IT"/>
              </w:rPr>
              <w:t xml:space="preserve"> </w:t>
            </w:r>
            <w:r w:rsidR="008D32B9" w:rsidRPr="003633F1">
              <w:rPr>
                <w:rFonts w:ascii="Tahoma" w:hAnsi="Tahoma" w:cs="Tahoma"/>
                <w:sz w:val="14"/>
                <w:szCs w:val="14"/>
                <w:lang w:val="en-US"/>
              </w:rPr>
              <w:t>978-88-95608-</w:t>
            </w:r>
            <w:r w:rsidR="009635B9" w:rsidRPr="003633F1">
              <w:rPr>
                <w:rFonts w:ascii="Tahoma" w:hAnsi="Tahoma" w:cs="Tahoma"/>
                <w:sz w:val="14"/>
                <w:szCs w:val="14"/>
                <w:lang w:val="en-US"/>
              </w:rPr>
              <w:t>73</w:t>
            </w:r>
            <w:r w:rsidR="008D32B9" w:rsidRPr="003633F1">
              <w:rPr>
                <w:rFonts w:ascii="Tahoma" w:hAnsi="Tahoma" w:cs="Tahoma"/>
                <w:sz w:val="14"/>
                <w:szCs w:val="14"/>
                <w:lang w:val="en-US"/>
              </w:rPr>
              <w:t>-</w:t>
            </w:r>
            <w:r w:rsidR="009635B9" w:rsidRPr="003633F1">
              <w:rPr>
                <w:rFonts w:ascii="Tahoma" w:hAnsi="Tahoma" w:cs="Tahoma"/>
                <w:sz w:val="14"/>
                <w:szCs w:val="14"/>
                <w:lang w:val="en-US"/>
              </w:rPr>
              <w:t>0</w:t>
            </w:r>
            <w:r w:rsidR="00300E56" w:rsidRPr="003633F1">
              <w:rPr>
                <w:rFonts w:ascii="Tahoma" w:hAnsi="Tahoma" w:cs="Tahoma"/>
                <w:iCs/>
                <w:color w:val="333333"/>
                <w:sz w:val="14"/>
                <w:szCs w:val="14"/>
                <w:lang w:val="en-US" w:eastAsia="it-IT"/>
              </w:rPr>
              <w:t xml:space="preserve">; </w:t>
            </w:r>
            <w:r w:rsidR="00300E56" w:rsidRPr="003633F1">
              <w:rPr>
                <w:rFonts w:ascii="Tahoma" w:hAnsi="Tahoma" w:cs="Tahoma"/>
                <w:b/>
                <w:iCs/>
                <w:color w:val="333333"/>
                <w:sz w:val="14"/>
                <w:szCs w:val="14"/>
                <w:lang w:val="en-US" w:eastAsia="it-IT"/>
              </w:rPr>
              <w:t>ISSN</w:t>
            </w:r>
            <w:r w:rsidR="00300E56" w:rsidRPr="003633F1">
              <w:rPr>
                <w:rFonts w:ascii="Tahoma" w:hAnsi="Tahoma" w:cs="Tahoma"/>
                <w:iCs/>
                <w:color w:val="333333"/>
                <w:sz w:val="14"/>
                <w:szCs w:val="14"/>
                <w:lang w:val="en-US" w:eastAsia="it-IT"/>
              </w:rPr>
              <w:t xml:space="preserve"> 2283-9216</w:t>
            </w:r>
          </w:p>
        </w:tc>
      </w:tr>
    </w:tbl>
    <w:p w14:paraId="19A9B39E" w14:textId="77777777" w:rsidR="000A03B2" w:rsidRPr="003633F1" w:rsidRDefault="000A03B2" w:rsidP="000A03B2">
      <w:pPr>
        <w:pStyle w:val="CETAuthors"/>
        <w:rPr>
          <w:lang w:val="en-US"/>
        </w:rPr>
        <w:sectPr w:rsidR="000A03B2" w:rsidRPr="003633F1">
          <w:type w:val="continuous"/>
          <w:pgSz w:w="11906" w:h="16838" w:code="9"/>
          <w:pgMar w:top="1701" w:right="1418" w:bottom="1701" w:left="1701" w:header="1701" w:footer="0" w:gutter="0"/>
          <w:cols w:space="708"/>
          <w:titlePg/>
          <w:docGrid w:linePitch="360"/>
        </w:sectPr>
      </w:pPr>
    </w:p>
    <w:p w14:paraId="1E5C657B" w14:textId="3024437D" w:rsidR="004536CC" w:rsidRPr="003633F1" w:rsidRDefault="004536CC" w:rsidP="004536CC">
      <w:pPr>
        <w:pStyle w:val="CETTitle"/>
        <w:rPr>
          <w:lang w:val="en-US"/>
        </w:rPr>
      </w:pPr>
      <w:r w:rsidRPr="003633F1">
        <w:rPr>
          <w:lang w:val="en-US"/>
        </w:rPr>
        <w:t xml:space="preserve">Design and </w:t>
      </w:r>
      <w:r w:rsidR="008C7776">
        <w:rPr>
          <w:lang w:val="en-US"/>
        </w:rPr>
        <w:t>performance</w:t>
      </w:r>
      <w:r w:rsidRPr="003633F1">
        <w:rPr>
          <w:lang w:val="en-US"/>
        </w:rPr>
        <w:t xml:space="preserve"> study of a milli-channel vaporizer</w:t>
      </w:r>
    </w:p>
    <w:p w14:paraId="59ADD22F" w14:textId="2DA96009" w:rsidR="00E978D0" w:rsidRPr="001D09B6" w:rsidRDefault="00680A52" w:rsidP="00AB5011">
      <w:pPr>
        <w:pStyle w:val="CETAuthors"/>
        <w:rPr>
          <w:lang w:val="fr-FR"/>
        </w:rPr>
      </w:pPr>
      <w:r w:rsidRPr="001D09B6">
        <w:rPr>
          <w:lang w:val="fr-FR"/>
        </w:rPr>
        <w:t>Guillaume HENRY</w:t>
      </w:r>
      <w:r w:rsidRPr="001D09B6">
        <w:rPr>
          <w:vertAlign w:val="superscript"/>
          <w:lang w:val="fr-FR"/>
        </w:rPr>
        <w:t>a,*</w:t>
      </w:r>
      <w:r w:rsidR="00600535" w:rsidRPr="001D09B6">
        <w:rPr>
          <w:lang w:val="fr-FR"/>
        </w:rPr>
        <w:t xml:space="preserve">, </w:t>
      </w:r>
      <w:r w:rsidRPr="001D09B6">
        <w:rPr>
          <w:lang w:val="fr-FR"/>
        </w:rPr>
        <w:t>Alexandra PERE-GIGANTE</w:t>
      </w:r>
      <w:r w:rsidRPr="001D09B6">
        <w:rPr>
          <w:vertAlign w:val="superscript"/>
          <w:lang w:val="fr-FR"/>
        </w:rPr>
        <w:t>a</w:t>
      </w:r>
      <w:r w:rsidR="00271B34">
        <w:rPr>
          <w:lang w:val="fr-FR"/>
        </w:rPr>
        <w:t>,</w:t>
      </w:r>
      <w:r w:rsidRPr="001D09B6">
        <w:rPr>
          <w:lang w:val="fr-FR"/>
        </w:rPr>
        <w:t xml:space="preserve"> Jacopo S</w:t>
      </w:r>
      <w:r w:rsidR="005F21EA">
        <w:rPr>
          <w:lang w:val="fr-FR"/>
        </w:rPr>
        <w:t>EIW</w:t>
      </w:r>
      <w:r w:rsidRPr="001D09B6">
        <w:rPr>
          <w:lang w:val="fr-FR"/>
        </w:rPr>
        <w:t>ERT</w:t>
      </w:r>
      <w:r w:rsidRPr="001D09B6">
        <w:rPr>
          <w:vertAlign w:val="superscript"/>
          <w:lang w:val="fr-FR"/>
        </w:rPr>
        <w:t>b</w:t>
      </w:r>
      <w:r w:rsidRPr="001D09B6">
        <w:rPr>
          <w:lang w:val="fr-FR"/>
        </w:rPr>
        <w:t>, Solène VALENTIN</w:t>
      </w:r>
      <w:r w:rsidRPr="001D09B6">
        <w:rPr>
          <w:vertAlign w:val="superscript"/>
          <w:lang w:val="fr-FR"/>
        </w:rPr>
        <w:t>b</w:t>
      </w:r>
      <w:r w:rsidRPr="001D09B6">
        <w:rPr>
          <w:lang w:val="fr-FR"/>
        </w:rPr>
        <w:t>, Marc WAGNER</w:t>
      </w:r>
      <w:r w:rsidRPr="001D09B6">
        <w:rPr>
          <w:vertAlign w:val="superscript"/>
          <w:lang w:val="fr-FR"/>
        </w:rPr>
        <w:t>b</w:t>
      </w:r>
      <w:r w:rsidR="00271B34">
        <w:rPr>
          <w:lang w:val="fr-FR"/>
        </w:rPr>
        <w:t xml:space="preserve">, </w:t>
      </w:r>
      <w:r w:rsidR="00271B34" w:rsidRPr="001D09B6">
        <w:rPr>
          <w:lang w:val="fr-FR"/>
        </w:rPr>
        <w:t>Jean-Marc COMMENGE</w:t>
      </w:r>
      <w:r w:rsidR="00271B34" w:rsidRPr="001D09B6">
        <w:rPr>
          <w:vertAlign w:val="superscript"/>
          <w:lang w:val="fr-FR"/>
        </w:rPr>
        <w:t>a</w:t>
      </w:r>
    </w:p>
    <w:p w14:paraId="7C653F3F" w14:textId="77777777" w:rsidR="00E978D0" w:rsidRPr="001D09B6" w:rsidRDefault="00E978D0" w:rsidP="00E978D0">
      <w:pPr>
        <w:pStyle w:val="CETAddress"/>
        <w:rPr>
          <w:lang w:val="fr-FR"/>
        </w:rPr>
      </w:pPr>
      <w:r w:rsidRPr="001D09B6">
        <w:rPr>
          <w:vertAlign w:val="superscript"/>
          <w:lang w:val="fr-FR"/>
        </w:rPr>
        <w:t>a</w:t>
      </w:r>
      <w:r w:rsidR="00680A52" w:rsidRPr="001D09B6">
        <w:rPr>
          <w:rFonts w:cs="Arial"/>
          <w:sz w:val="20"/>
          <w:lang w:val="fr-FR"/>
        </w:rPr>
        <w:t xml:space="preserve"> </w:t>
      </w:r>
      <w:r w:rsidR="00680A52" w:rsidRPr="001D09B6">
        <w:rPr>
          <w:lang w:val="fr-FR"/>
        </w:rPr>
        <w:t>Université de Lorraine, CNRS, Laboratoire Réactions et Génie des Procédés, UMR 7274, Nancy, F-54000</w:t>
      </w:r>
      <w:r w:rsidR="00680A52" w:rsidRPr="001D09B6">
        <w:rPr>
          <w:rFonts w:cs="Arial"/>
          <w:sz w:val="20"/>
          <w:lang w:val="fr-FR"/>
        </w:rPr>
        <w:t xml:space="preserve"> </w:t>
      </w:r>
    </w:p>
    <w:p w14:paraId="53383C7C" w14:textId="7101AF2C" w:rsidR="00E978D0" w:rsidRDefault="00E978D0" w:rsidP="00E978D0">
      <w:pPr>
        <w:pStyle w:val="CETAddress"/>
        <w:rPr>
          <w:lang w:val="fr-FR"/>
        </w:rPr>
      </w:pPr>
      <w:r w:rsidRPr="001D09B6">
        <w:rPr>
          <w:vertAlign w:val="superscript"/>
          <w:lang w:val="fr-FR"/>
        </w:rPr>
        <w:t>b</w:t>
      </w:r>
      <w:r w:rsidR="00680A52" w:rsidRPr="001D09B6">
        <w:rPr>
          <w:rFonts w:cs="Arial"/>
          <w:sz w:val="20"/>
          <w:lang w:val="fr-FR"/>
        </w:rPr>
        <w:t xml:space="preserve"> </w:t>
      </w:r>
      <w:r w:rsidR="00680A52" w:rsidRPr="001D09B6">
        <w:rPr>
          <w:lang w:val="fr-FR"/>
        </w:rPr>
        <w:t>Air Liquide, Centre de Recherche Paris-Saclay, 1 chemin de la Porte des Loges, Les Loges-en-Josas, BP 126, 78354 Jouy-en-Josas, France</w:t>
      </w:r>
      <w:r w:rsidRPr="001D09B6">
        <w:rPr>
          <w:lang w:val="fr-FR"/>
        </w:rPr>
        <w:t xml:space="preserve"> </w:t>
      </w:r>
    </w:p>
    <w:p w14:paraId="68AA21BE" w14:textId="1124E758" w:rsidR="00271B34" w:rsidRPr="00271B34" w:rsidRDefault="00271B34" w:rsidP="00271B34">
      <w:pPr>
        <w:pStyle w:val="CETAddress"/>
        <w:rPr>
          <w:i/>
          <w:lang w:val="en-US"/>
        </w:rPr>
      </w:pPr>
      <w:r w:rsidRPr="00271B34">
        <w:rPr>
          <w:lang w:val="en-US"/>
        </w:rPr>
        <w:t xml:space="preserve">* </w:t>
      </w:r>
      <w:r w:rsidRPr="00271B34">
        <w:rPr>
          <w:i/>
          <w:lang w:val="en-US"/>
        </w:rPr>
        <w:t>Corresponding author : guillaume.henry@univ-lorraine.fr</w:t>
      </w:r>
    </w:p>
    <w:p w14:paraId="2F7550C4" w14:textId="77777777" w:rsidR="00680A52" w:rsidRPr="00271B34" w:rsidRDefault="00680A52" w:rsidP="00600535">
      <w:pPr>
        <w:pStyle w:val="CETBodytext"/>
      </w:pPr>
    </w:p>
    <w:p w14:paraId="42A84260" w14:textId="5705C302" w:rsidR="009E442C" w:rsidRPr="003633F1" w:rsidRDefault="00E44FA1" w:rsidP="00600535">
      <w:pPr>
        <w:pStyle w:val="CETBodytext"/>
      </w:pPr>
      <w:r w:rsidRPr="003633F1">
        <w:t xml:space="preserve">The </w:t>
      </w:r>
      <w:r w:rsidR="00D10A52">
        <w:t xml:space="preserve">most common </w:t>
      </w:r>
      <w:r w:rsidRPr="003633F1">
        <w:t xml:space="preserve">way to produce hydrogen </w:t>
      </w:r>
      <w:r w:rsidR="00D10A52">
        <w:t xml:space="preserve">at an industrial scale </w:t>
      </w:r>
      <w:r w:rsidRPr="003633F1">
        <w:t>is</w:t>
      </w:r>
      <w:r w:rsidR="00182824" w:rsidRPr="003633F1">
        <w:t>,</w:t>
      </w:r>
      <w:r w:rsidRPr="003633F1">
        <w:t xml:space="preserve"> by far</w:t>
      </w:r>
      <w:r w:rsidR="00182824" w:rsidRPr="003633F1">
        <w:t>,</w:t>
      </w:r>
      <w:r w:rsidRPr="003633F1">
        <w:t xml:space="preserve"> the Steam Methane Reforming (SMR) process. </w:t>
      </w:r>
      <w:r w:rsidR="009E442C" w:rsidRPr="003633F1">
        <w:t xml:space="preserve">The ever-growing interest about hydrogen as the fuel of the future has led to a redesign of </w:t>
      </w:r>
      <w:r w:rsidR="003F1B02" w:rsidRPr="003633F1">
        <w:t xml:space="preserve">the process for smaller production capacity. </w:t>
      </w:r>
      <w:r w:rsidRPr="003633F1">
        <w:t xml:space="preserve">The intensification of the SMR process concerns different </w:t>
      </w:r>
      <w:r w:rsidR="00182824" w:rsidRPr="003633F1">
        <w:t xml:space="preserve">pieces of </w:t>
      </w:r>
      <w:r w:rsidRPr="003633F1">
        <w:t xml:space="preserve">equipment such as the heat-exchanger reactor, the shift reactor or the vaporizer. </w:t>
      </w:r>
      <w:r w:rsidR="003F1B02" w:rsidRPr="003633F1">
        <w:t xml:space="preserve">In this paper, </w:t>
      </w:r>
      <w:r w:rsidR="00A8279D" w:rsidRPr="003633F1">
        <w:t xml:space="preserve">an intensified vaporizer </w:t>
      </w:r>
      <w:r w:rsidR="00182824" w:rsidRPr="003633F1">
        <w:t>is</w:t>
      </w:r>
      <w:r w:rsidR="003F1B02" w:rsidRPr="003633F1">
        <w:t xml:space="preserve"> studied</w:t>
      </w:r>
      <w:r w:rsidR="00A8279D" w:rsidRPr="003633F1">
        <w:t xml:space="preserve"> </w:t>
      </w:r>
      <w:r w:rsidR="00182824" w:rsidRPr="003633F1">
        <w:t xml:space="preserve">for </w:t>
      </w:r>
      <w:r w:rsidR="00A8279D" w:rsidRPr="003633F1">
        <w:t>the vaporization of water in 2 mm diameter channels</w:t>
      </w:r>
      <w:r w:rsidR="00527798" w:rsidRPr="003633F1">
        <w:t xml:space="preserve"> with semi-circular cross section</w:t>
      </w:r>
      <w:r w:rsidR="003F1B02" w:rsidRPr="003633F1">
        <w:t>.</w:t>
      </w:r>
      <w:r w:rsidR="00CE6198" w:rsidRPr="003633F1">
        <w:t xml:space="preserve"> </w:t>
      </w:r>
      <w:r w:rsidR="005F418B">
        <w:t>The</w:t>
      </w:r>
      <w:r w:rsidR="00CE6198" w:rsidRPr="003633F1">
        <w:t xml:space="preserve"> vaporizer is tested, </w:t>
      </w:r>
      <w:r w:rsidR="00935CD2">
        <w:t xml:space="preserve">and </w:t>
      </w:r>
      <w:r w:rsidR="00CE6198" w:rsidRPr="003633F1">
        <w:t>t</w:t>
      </w:r>
      <w:r w:rsidR="00527798" w:rsidRPr="003633F1">
        <w:t xml:space="preserve">he effect of the various operating parameters (flowrates, temperatures and pressure) on the vapour quality produced </w:t>
      </w:r>
      <w:r w:rsidR="00182824" w:rsidRPr="003633F1">
        <w:t>is</w:t>
      </w:r>
      <w:r w:rsidR="00527798" w:rsidRPr="003633F1">
        <w:t xml:space="preserve"> analysed</w:t>
      </w:r>
      <w:r w:rsidR="00182824" w:rsidRPr="003633F1">
        <w:t>.</w:t>
      </w:r>
    </w:p>
    <w:p w14:paraId="4C07282D" w14:textId="77777777" w:rsidR="001667C5" w:rsidRPr="003633F1" w:rsidRDefault="001667C5" w:rsidP="001667C5">
      <w:pPr>
        <w:pStyle w:val="CETHeading1"/>
        <w:numPr>
          <w:ilvl w:val="1"/>
          <w:numId w:val="1"/>
        </w:numPr>
        <w:tabs>
          <w:tab w:val="num" w:pos="360"/>
        </w:tabs>
      </w:pPr>
      <w:r w:rsidRPr="003633F1">
        <w:t>Introduction</w:t>
      </w:r>
    </w:p>
    <w:p w14:paraId="44741D86" w14:textId="5DC1DC9B" w:rsidR="00270D82" w:rsidRPr="003633F1" w:rsidRDefault="00270D82" w:rsidP="00270D82">
      <w:pPr>
        <w:pStyle w:val="CETBodytext"/>
      </w:pPr>
      <w:r w:rsidRPr="003633F1">
        <w:t xml:space="preserve">In the case of the SMR process, for hydrogen production, steam reacts with methane on a catalyst at high temperature (around 950 °C) to produce carbon </w:t>
      </w:r>
      <w:r>
        <w:t>mon</w:t>
      </w:r>
      <w:r w:rsidRPr="003633F1">
        <w:t xml:space="preserve">oxide and hydrogen. The heat remaining in hot exhaust fumes can be integrated to produce steam. In </w:t>
      </w:r>
      <w:r>
        <w:t xml:space="preserve">the </w:t>
      </w:r>
      <w:r w:rsidRPr="003633F1">
        <w:t>industrial process, this operation occurs in unit</w:t>
      </w:r>
      <w:r>
        <w:t>s</w:t>
      </w:r>
      <w:r w:rsidRPr="003633F1">
        <w:t xml:space="preserve"> called Waste Heat Boilers.</w:t>
      </w:r>
      <w:r w:rsidR="000A374C" w:rsidRPr="000A374C">
        <w:t xml:space="preserve"> </w:t>
      </w:r>
    </w:p>
    <w:p w14:paraId="22107DD7" w14:textId="3790E10E" w:rsidR="00DA470B" w:rsidRDefault="00DA470B">
      <w:pPr>
        <w:pStyle w:val="CETBodytext"/>
      </w:pPr>
      <w:r>
        <w:t xml:space="preserve">Many heat exchangers rely on phase changes of the working fluid when </w:t>
      </w:r>
      <w:r w:rsidR="00D10A52">
        <w:t xml:space="preserve">high heat transfers are </w:t>
      </w:r>
      <w:r>
        <w:t>needed, because vaporization and condensation typically require much more energy than heating or cooling of a single phase fluid. Additionally, in the last f</w:t>
      </w:r>
      <w:r w:rsidRPr="003633F1">
        <w:t>ew decades, mil</w:t>
      </w:r>
      <w:r>
        <w:t>l</w:t>
      </w:r>
      <w:r w:rsidRPr="003633F1">
        <w:t>i</w:t>
      </w:r>
      <w:r>
        <w:t>-</w:t>
      </w:r>
      <w:r w:rsidRPr="003633F1">
        <w:t xml:space="preserve"> and microstructures have raised an ever-growing interest for </w:t>
      </w:r>
      <w:r>
        <w:t xml:space="preserve">their </w:t>
      </w:r>
      <w:r w:rsidRPr="003633F1">
        <w:t xml:space="preserve">high performances </w:t>
      </w:r>
      <w:r>
        <w:t xml:space="preserve">in boiling heat transfers. Some models relevant to our configuration (boiling of water in millimeter sized channels) have been proposed throughout the years, most notably by Chen (1966) (for water and organic fluids), Shah </w:t>
      </w:r>
      <w:r w:rsidRPr="003633F1">
        <w:t>(1982) or most recently Bertsch &amp; al.</w:t>
      </w:r>
      <w:r>
        <w:t xml:space="preserve"> (2009). </w:t>
      </w:r>
    </w:p>
    <w:p w14:paraId="0D2CAA81" w14:textId="02555A5B" w:rsidR="002B2292" w:rsidRDefault="000A374C" w:rsidP="00600535">
      <w:pPr>
        <w:pStyle w:val="CETBodytext"/>
      </w:pPr>
      <w:r w:rsidRPr="003633F1">
        <w:t>Some authors tried to establish general correlation</w:t>
      </w:r>
      <w:r>
        <w:t>s</w:t>
      </w:r>
      <w:r w:rsidRPr="003633F1">
        <w:t xml:space="preserve"> for two-phase heat-transfer coefficient (e.g. Kandlikar 1990), others, like Bertsch &amp; al. (2009), tested existing correlations for </w:t>
      </w:r>
      <w:r>
        <w:t>numerous</w:t>
      </w:r>
      <w:r w:rsidRPr="003633F1">
        <w:t xml:space="preserve"> experiment</w:t>
      </w:r>
      <w:r>
        <w:t>al</w:t>
      </w:r>
      <w:r w:rsidRPr="003633F1">
        <w:t xml:space="preserve"> points available in the literature. </w:t>
      </w:r>
      <w:r w:rsidR="002B2292">
        <w:t xml:space="preserve">Recently, Fang &amp; al. (2017) assessed in their study existing correlation of two-phase heat-transfer coefficients correlation applied to only water experiments available in literature. One of their main conclusion reveals that there a strong need for developing an accurate correlation. </w:t>
      </w:r>
      <w:r w:rsidRPr="003633F1">
        <w:t>These works highlight</w:t>
      </w:r>
      <w:r>
        <w:t>ed</w:t>
      </w:r>
      <w:r w:rsidRPr="003633F1">
        <w:t xml:space="preserve"> the complexity of boiling characterization; none of these correlations can be used as a precise tool for sizing. However, by these correlations, a correct magnitude of two-phase heat-transfer coefficient can be obtained. </w:t>
      </w:r>
    </w:p>
    <w:p w14:paraId="19091857" w14:textId="3EC10013" w:rsidR="00E47B45" w:rsidRPr="003633F1" w:rsidRDefault="000A374C" w:rsidP="00600535">
      <w:pPr>
        <w:pStyle w:val="CETBodytext"/>
      </w:pPr>
      <w:r w:rsidRPr="003633F1">
        <w:t xml:space="preserve">In this work, the </w:t>
      </w:r>
      <w:r>
        <w:t xml:space="preserve">milli-channel </w:t>
      </w:r>
      <w:r w:rsidRPr="003633F1">
        <w:t xml:space="preserve">vaporizer </w:t>
      </w:r>
      <w:r>
        <w:t xml:space="preserve">studied vaporizes </w:t>
      </w:r>
      <w:r w:rsidRPr="003633F1">
        <w:t>demineralized water</w:t>
      </w:r>
      <w:r>
        <w:t xml:space="preserve"> and uses </w:t>
      </w:r>
      <w:r w:rsidRPr="003633F1">
        <w:t xml:space="preserve">silicon oil </w:t>
      </w:r>
      <w:r>
        <w:t>as the hot fluid to simulate industrial operating conditions</w:t>
      </w:r>
      <w:r w:rsidRPr="003633F1">
        <w:t>.</w:t>
      </w:r>
      <w:r>
        <w:t xml:space="preserve"> It has a special borosilicate </w:t>
      </w:r>
      <w:r w:rsidR="007351CB">
        <w:t>window, which</w:t>
      </w:r>
      <w:r>
        <w:t xml:space="preserve"> enables a direct visualization of the water flow </w:t>
      </w:r>
      <w:r w:rsidR="007351CB">
        <w:t>for a pressure up to five bars. A specific focus on the two-phase heat-transfer coefficient and the vapour quality is done in this work, since they are corner stones of a vaporizer sizing.</w:t>
      </w:r>
    </w:p>
    <w:p w14:paraId="0CF770E3" w14:textId="77777777" w:rsidR="00600535" w:rsidRPr="003633F1" w:rsidRDefault="00CD16AE" w:rsidP="001667C5">
      <w:pPr>
        <w:pStyle w:val="CETHeading1"/>
        <w:numPr>
          <w:ilvl w:val="1"/>
          <w:numId w:val="1"/>
        </w:numPr>
        <w:tabs>
          <w:tab w:val="num" w:pos="360"/>
        </w:tabs>
      </w:pPr>
      <w:r w:rsidRPr="003633F1">
        <w:lastRenderedPageBreak/>
        <w:t>Experiment</w:t>
      </w:r>
      <w:r w:rsidR="001667C5" w:rsidRPr="003633F1">
        <w:t>s</w:t>
      </w:r>
    </w:p>
    <w:p w14:paraId="0BB27F8C" w14:textId="77777777" w:rsidR="001667C5" w:rsidRPr="003633F1" w:rsidRDefault="001667C5" w:rsidP="009E74BC">
      <w:pPr>
        <w:pStyle w:val="CETheadingx"/>
        <w:numPr>
          <w:ilvl w:val="2"/>
          <w:numId w:val="1"/>
        </w:numPr>
      </w:pPr>
      <w:r w:rsidRPr="003633F1">
        <w:t>Experimental setup</w:t>
      </w:r>
    </w:p>
    <w:p w14:paraId="59D3D17C" w14:textId="45587F15" w:rsidR="002F2646" w:rsidRPr="003633F1" w:rsidRDefault="00A4153B" w:rsidP="00CD16AE">
      <w:pPr>
        <w:pStyle w:val="CETBodytext"/>
      </w:pPr>
      <w:r>
        <w:t xml:space="preserve">The dedicated test bench </w:t>
      </w:r>
      <w:r w:rsidR="00270D82">
        <w:t>set up</w:t>
      </w:r>
      <w:r>
        <w:t xml:space="preserve"> </w:t>
      </w:r>
      <w:r w:rsidR="00247461" w:rsidRPr="003633F1">
        <w:t xml:space="preserve">consists of </w:t>
      </w:r>
      <w:r w:rsidR="00B6369C" w:rsidRPr="003633F1">
        <w:t xml:space="preserve">two closed fluid </w:t>
      </w:r>
      <w:r w:rsidR="007351CB" w:rsidRPr="003633F1">
        <w:t>loops, which</w:t>
      </w:r>
      <w:r w:rsidR="00B6369C" w:rsidRPr="003633F1">
        <w:t xml:space="preserve"> contain the test </w:t>
      </w:r>
      <w:r w:rsidR="00CC4104" w:rsidRPr="003633F1">
        <w:t xml:space="preserve">vaporization </w:t>
      </w:r>
      <w:r w:rsidR="00B6369C" w:rsidRPr="003633F1">
        <w:t xml:space="preserve">section </w:t>
      </w:r>
      <w:r w:rsidR="00CC4104" w:rsidRPr="003633F1">
        <w:t>and</w:t>
      </w:r>
      <w:r w:rsidR="00B6369C" w:rsidRPr="003633F1">
        <w:t xml:space="preserve"> another closed loop to cool </w:t>
      </w:r>
      <w:r w:rsidR="00CC4104" w:rsidRPr="003633F1">
        <w:t xml:space="preserve">down </w:t>
      </w:r>
      <w:r w:rsidR="00B6369C" w:rsidRPr="003633F1">
        <w:t xml:space="preserve">and condensate the </w:t>
      </w:r>
      <w:r w:rsidR="007351CB">
        <w:t xml:space="preserve">global </w:t>
      </w:r>
      <w:r w:rsidR="00CC4104" w:rsidRPr="003633F1">
        <w:t>vapour</w:t>
      </w:r>
      <w:r w:rsidR="007351CB">
        <w:t xml:space="preserve"> quality</w:t>
      </w:r>
      <w:r w:rsidR="00B6369C" w:rsidRPr="003633F1">
        <w:t xml:space="preserve"> produced by the vaporizer</w:t>
      </w:r>
      <w:r>
        <w:t xml:space="preserve"> </w:t>
      </w:r>
      <w:r w:rsidRPr="003633F1">
        <w:t>(See Figure 1(a)).</w:t>
      </w:r>
    </w:p>
    <w:p w14:paraId="2E1861A8" w14:textId="42295988" w:rsidR="00CD16AE" w:rsidRPr="003633F1" w:rsidRDefault="00884663" w:rsidP="00CD16AE">
      <w:pPr>
        <w:pStyle w:val="CETBodytext"/>
      </w:pPr>
      <w:r w:rsidRPr="003633F1">
        <w:t>The use of</w:t>
      </w:r>
      <w:r w:rsidR="00CC4104" w:rsidRPr="003633F1">
        <w:t xml:space="preserve"> a</w:t>
      </w:r>
      <w:r w:rsidRPr="003633F1">
        <w:t xml:space="preserve"> hot</w:t>
      </w:r>
      <w:r w:rsidR="00CC4104" w:rsidRPr="003633F1">
        <w:t>-</w:t>
      </w:r>
      <w:r w:rsidRPr="003633F1">
        <w:t xml:space="preserve">gas loop represents </w:t>
      </w:r>
      <w:r w:rsidR="00CC4104" w:rsidRPr="003633F1">
        <w:t>significant</w:t>
      </w:r>
      <w:r w:rsidRPr="003633F1">
        <w:t xml:space="preserve"> technical and security </w:t>
      </w:r>
      <w:r w:rsidR="009A3ABA" w:rsidRPr="003633F1">
        <w:t>issues;</w:t>
      </w:r>
      <w:r w:rsidRPr="003633F1">
        <w:t xml:space="preserve"> </w:t>
      </w:r>
      <w:r w:rsidR="009A3ABA" w:rsidRPr="003633F1">
        <w:t>therefore,</w:t>
      </w:r>
      <w:r w:rsidR="00247461" w:rsidRPr="003633F1">
        <w:t xml:space="preserve"> a hot oil loop is used to recreate a similar thermal exchange situation.</w:t>
      </w:r>
      <w:r w:rsidR="002F2646" w:rsidRPr="003633F1">
        <w:t xml:space="preserve"> </w:t>
      </w:r>
      <w:r w:rsidR="00247461" w:rsidRPr="003633F1">
        <w:t>Th</w:t>
      </w:r>
      <w:r w:rsidR="00B6369C" w:rsidRPr="003633F1">
        <w:t xml:space="preserve">e JULABO Thermal HS oil (silicon oil) is stored </w:t>
      </w:r>
      <w:r w:rsidR="00247461" w:rsidRPr="003633F1">
        <w:t xml:space="preserve">in a JULABO SE-6 </w:t>
      </w:r>
      <w:r w:rsidR="00B6369C" w:rsidRPr="003633F1">
        <w:t>temperature-controlled</w:t>
      </w:r>
      <w:r w:rsidR="00247461" w:rsidRPr="003633F1">
        <w:t xml:space="preserve"> bath</w:t>
      </w:r>
      <w:r w:rsidR="002F2646" w:rsidRPr="003633F1">
        <w:t xml:space="preserve"> (20 – 300 °C</w:t>
      </w:r>
      <w:r w:rsidR="00746DFF" w:rsidRPr="003633F1">
        <w:t>; 3 kW</w:t>
      </w:r>
      <w:r w:rsidR="002F2646" w:rsidRPr="003633F1">
        <w:t>)</w:t>
      </w:r>
      <w:r w:rsidR="00247461" w:rsidRPr="003633F1">
        <w:t xml:space="preserve"> </w:t>
      </w:r>
      <w:r w:rsidR="00CC4104" w:rsidRPr="003633F1">
        <w:t xml:space="preserve">and </w:t>
      </w:r>
      <w:r w:rsidR="00B6369C" w:rsidRPr="003633F1">
        <w:t>is pump</w:t>
      </w:r>
      <w:r w:rsidR="00CC4104" w:rsidRPr="003633F1">
        <w:t>ed by a MAAG Refinex 22/22 gear</w:t>
      </w:r>
      <w:r w:rsidR="00B6369C" w:rsidRPr="003633F1">
        <w:t xml:space="preserve"> pump</w:t>
      </w:r>
      <w:r w:rsidR="002F2646" w:rsidRPr="003633F1">
        <w:t xml:space="preserve"> (1 – 10 L/min)</w:t>
      </w:r>
      <w:r w:rsidR="00B6369C" w:rsidRPr="003633F1">
        <w:t xml:space="preserve">. </w:t>
      </w:r>
      <w:r w:rsidR="000A7453" w:rsidRPr="003633F1">
        <w:t>The downstream pump pressure is controlled by a YOKOGAWA pressure transmitter</w:t>
      </w:r>
      <w:r w:rsidR="002F2646" w:rsidRPr="003633F1">
        <w:t xml:space="preserve"> (0 – 20 bars)</w:t>
      </w:r>
      <w:r w:rsidR="000A7453" w:rsidRPr="003633F1">
        <w:t xml:space="preserve"> to ensure </w:t>
      </w:r>
      <w:r w:rsidR="00A4153B">
        <w:t xml:space="preserve">safe operation of </w:t>
      </w:r>
      <w:r w:rsidR="000A7453" w:rsidRPr="003633F1">
        <w:t xml:space="preserve">the pump. </w:t>
      </w:r>
      <w:r w:rsidR="00B6369C" w:rsidRPr="003633F1">
        <w:t>The oil flowrate is measured by a YOKOGAWA Rotamass Nano Coriolis flowmeter</w:t>
      </w:r>
      <w:r w:rsidR="000A7453" w:rsidRPr="003633F1">
        <w:t xml:space="preserve"> before passing through the vaporizer and going back to the bath.</w:t>
      </w:r>
      <w:r w:rsidR="002F2646" w:rsidRPr="003633F1">
        <w:t xml:space="preserve"> The oil temperature is </w:t>
      </w:r>
      <w:r w:rsidR="00CC4104" w:rsidRPr="003633F1">
        <w:t>measured</w:t>
      </w:r>
      <w:r w:rsidR="002F2646" w:rsidRPr="003633F1">
        <w:t xml:space="preserve"> at the entrance and the exit of the vaporizer by 1/10 DIN PT100 sensors in order to estimate the thermal power transferred by the oil flow.</w:t>
      </w:r>
    </w:p>
    <w:p w14:paraId="78673B2D" w14:textId="4AF221F0" w:rsidR="006407EC" w:rsidRPr="003633F1" w:rsidRDefault="002F2646" w:rsidP="00CD16AE">
      <w:pPr>
        <w:pStyle w:val="CETBodytext"/>
      </w:pPr>
      <w:r w:rsidRPr="003633F1">
        <w:t>The vaporized water is stored in a tank</w:t>
      </w:r>
      <w:r w:rsidR="00A4153B">
        <w:t xml:space="preserve"> and </w:t>
      </w:r>
      <w:r w:rsidRPr="003633F1">
        <w:t>pump</w:t>
      </w:r>
      <w:r w:rsidR="00CC4104" w:rsidRPr="003633F1">
        <w:t>ed</w:t>
      </w:r>
      <w:r w:rsidRPr="003633F1">
        <w:t xml:space="preserve"> by a </w:t>
      </w:r>
      <w:r w:rsidR="00A3225E" w:rsidRPr="003633F1">
        <w:t>HNP Mikrosystem mzr-7205 gear pump (0.048 – 248 mL/min) through a BRONKHORST</w:t>
      </w:r>
      <w:r w:rsidR="00746DFF" w:rsidRPr="003633F1">
        <w:t xml:space="preserve"> mini CORI-FLOW</w:t>
      </w:r>
      <w:r w:rsidR="00A3225E" w:rsidRPr="003633F1">
        <w:t xml:space="preserve"> Coriolis flowmeter</w:t>
      </w:r>
      <w:r w:rsidR="006407EC" w:rsidRPr="003633F1">
        <w:t xml:space="preserve"> (0.4 – 20 kg/h)</w:t>
      </w:r>
      <w:r w:rsidR="00A3225E" w:rsidRPr="003633F1">
        <w:t xml:space="preserve">. </w:t>
      </w:r>
      <w:r w:rsidR="00A4153B">
        <w:t>T</w:t>
      </w:r>
      <w:r w:rsidR="00A3225E" w:rsidRPr="003633F1">
        <w:t>he water is preheated passing through 1/4” spires stored in a JULABO ME-6 temperature-controlled bath (20 – 200 °C</w:t>
      </w:r>
      <w:r w:rsidR="00746DFF" w:rsidRPr="003633F1">
        <w:t>; 2 kW</w:t>
      </w:r>
      <w:r w:rsidR="00A3225E" w:rsidRPr="003633F1">
        <w:t>)</w:t>
      </w:r>
      <w:r w:rsidR="006407EC" w:rsidRPr="003633F1">
        <w:t xml:space="preserve"> before going in the test section. The test section pressure is regulated downstream by a QBS Equilibar discharge pressure controller (1 – 5 bars). The </w:t>
      </w:r>
      <w:r w:rsidR="00CC4104" w:rsidRPr="003633F1">
        <w:t>two-phase</w:t>
      </w:r>
      <w:r w:rsidR="006407EC" w:rsidRPr="003633F1">
        <w:t xml:space="preserve"> flow is cooled</w:t>
      </w:r>
      <w:r w:rsidR="00CC4104" w:rsidRPr="003633F1">
        <w:t xml:space="preserve"> down</w:t>
      </w:r>
      <w:r w:rsidR="006407EC" w:rsidRPr="003633F1">
        <w:t xml:space="preserve"> and the </w:t>
      </w:r>
      <w:r w:rsidR="00CC4104" w:rsidRPr="003633F1">
        <w:t>vapour is</w:t>
      </w:r>
      <w:r w:rsidR="006407EC" w:rsidRPr="003633F1">
        <w:t xml:space="preserve"> condensed in a </w:t>
      </w:r>
      <w:r w:rsidR="00CC4104" w:rsidRPr="003633F1">
        <w:t xml:space="preserve">plate </w:t>
      </w:r>
      <w:r w:rsidR="006407EC" w:rsidRPr="003633F1">
        <w:t xml:space="preserve">heat exchanger </w:t>
      </w:r>
      <w:r w:rsidR="00A4153B">
        <w:t xml:space="preserve">before returning </w:t>
      </w:r>
      <w:r w:rsidR="006407EC" w:rsidRPr="003633F1">
        <w:t>in the storage tank.</w:t>
      </w:r>
      <w:r w:rsidR="00746DFF" w:rsidRPr="003633F1">
        <w:t xml:space="preserve"> </w:t>
      </w:r>
      <w:r w:rsidR="006407EC" w:rsidRPr="003633F1">
        <w:t>The condenser is cooled by a flow</w:t>
      </w:r>
      <w:r w:rsidR="00CC4104" w:rsidRPr="003633F1">
        <w:t xml:space="preserve"> of water</w:t>
      </w:r>
      <w:r w:rsidR="006407EC" w:rsidRPr="003633F1">
        <w:t xml:space="preserve"> coming from a JULABO FL-1</w:t>
      </w:r>
      <w:r w:rsidR="00746DFF" w:rsidRPr="003633F1">
        <w:t>2</w:t>
      </w:r>
      <w:r w:rsidR="006407EC" w:rsidRPr="003633F1">
        <w:t>0</w:t>
      </w:r>
      <w:r w:rsidR="00746DFF" w:rsidRPr="003633F1">
        <w:t>1 cooler (-20 – 40 °C; 1.2 kW)</w:t>
      </w:r>
      <w:r w:rsidR="00080B92" w:rsidRPr="003633F1">
        <w:t>.</w:t>
      </w:r>
    </w:p>
    <w:p w14:paraId="2B5622B0" w14:textId="77777777" w:rsidR="00080B92" w:rsidRPr="003633F1" w:rsidRDefault="00A018E3" w:rsidP="00CD16AE">
      <w:pPr>
        <w:pStyle w:val="CETBodytext"/>
      </w:pPr>
      <w:r w:rsidRPr="003633F1">
        <w:rPr>
          <w:noProof/>
          <w:lang w:val="fr-FR" w:eastAsia="fr-FR"/>
        </w:rPr>
        <mc:AlternateContent>
          <mc:Choice Requires="wps">
            <w:drawing>
              <wp:anchor distT="45720" distB="45720" distL="114300" distR="114300" simplePos="0" relativeHeight="251659264" behindDoc="0" locked="0" layoutInCell="1" allowOverlap="1" wp14:anchorId="5C0D8EB1" wp14:editId="0F28110B">
                <wp:simplePos x="0" y="0"/>
                <wp:positionH relativeFrom="column">
                  <wp:posOffset>2330422</wp:posOffset>
                </wp:positionH>
                <wp:positionV relativeFrom="paragraph">
                  <wp:posOffset>2632848</wp:posOffset>
                </wp:positionV>
                <wp:extent cx="365760" cy="1404620"/>
                <wp:effectExtent l="0" t="0" r="0" b="25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solidFill>
                          <a:srgbClr val="FFFFFF"/>
                        </a:solidFill>
                        <a:ln w="9525">
                          <a:noFill/>
                          <a:miter lim="800000"/>
                          <a:headEnd/>
                          <a:tailEnd/>
                        </a:ln>
                      </wps:spPr>
                      <wps:txbx>
                        <w:txbxContent>
                          <w:p w14:paraId="7A9F78E0" w14:textId="77777777" w:rsidR="00A87597" w:rsidRPr="00A018E3" w:rsidRDefault="00A87597">
                            <w:pPr>
                              <w:rPr>
                                <w:lang w:val="fr-FR"/>
                              </w:rPr>
                            </w:pP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D8EB1" id="_x0000_t202" coordsize="21600,21600" o:spt="202" path="m,l,21600r21600,l21600,xe">
                <v:stroke joinstyle="miter"/>
                <v:path gradientshapeok="t" o:connecttype="rect"/>
              </v:shapetype>
              <v:shape id="Zone de texte 2" o:spid="_x0000_s1026" type="#_x0000_t202" style="position:absolute;left:0;text-align:left;margin-left:183.5pt;margin-top:207.3pt;width:2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" stroked="f">
                <v:textbox style="mso-fit-shape-to-text:t">
                  <w:txbxContent>
                    <w:p w14:paraId="7A9F78E0" w14:textId="77777777" w:rsidR="00A87597" w:rsidRPr="00A018E3" w:rsidRDefault="00A87597">
                      <w:pPr>
                        <w:rPr>
                          <w:lang w:val="fr-FR"/>
                        </w:rPr>
                      </w:pPr>
                      <w:r>
                        <w:t>(a)</w:t>
                      </w:r>
                    </w:p>
                  </w:txbxContent>
                </v:textbox>
              </v:shape>
            </w:pict>
          </mc:Fallback>
        </mc:AlternateContent>
      </w:r>
      <w:r w:rsidRPr="003633F1">
        <w:rPr>
          <w:noProof/>
          <w:lang w:val="fr-FR" w:eastAsia="fr-FR"/>
        </w:rPr>
        <mc:AlternateContent>
          <mc:Choice Requires="wps">
            <w:drawing>
              <wp:anchor distT="45720" distB="45720" distL="114300" distR="114300" simplePos="0" relativeHeight="251661312" behindDoc="0" locked="0" layoutInCell="1" allowOverlap="1" wp14:anchorId="0F228653" wp14:editId="3A87E1E3">
                <wp:simplePos x="0" y="0"/>
                <wp:positionH relativeFrom="margin">
                  <wp:align>right</wp:align>
                </wp:positionH>
                <wp:positionV relativeFrom="paragraph">
                  <wp:posOffset>2617166</wp:posOffset>
                </wp:positionV>
                <wp:extent cx="365760" cy="1404620"/>
                <wp:effectExtent l="0" t="0" r="0" b="254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14:paraId="6EDCAA75" w14:textId="77777777" w:rsidR="00A87597" w:rsidRPr="00A018E3" w:rsidRDefault="00A87597" w:rsidP="00A018E3">
                            <w:pPr>
                              <w:rPr>
                                <w:lang w:val="fr-FR"/>
                              </w:rPr>
                            </w:pPr>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28653" id="_x0000_s1027" type="#_x0000_t202" style="position:absolute;left:0;text-align:left;margin-left:-22.4pt;margin-top:206.1pt;width:28.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" filled="f" stroked="f">
                <v:textbox style="mso-fit-shape-to-text:t">
                  <w:txbxContent>
                    <w:p w14:paraId="6EDCAA75" w14:textId="77777777" w:rsidR="00A87597" w:rsidRPr="00A018E3" w:rsidRDefault="00A87597" w:rsidP="00A018E3">
                      <w:pPr>
                        <w:rPr>
                          <w:lang w:val="fr-FR"/>
                        </w:rPr>
                      </w:pPr>
                      <w:r>
                        <w:t>(b)</w:t>
                      </w:r>
                    </w:p>
                  </w:txbxContent>
                </v:textbox>
                <w10:wrap anchorx="margin"/>
              </v:shape>
            </w:pict>
          </mc:Fallback>
        </mc:AlternateContent>
      </w:r>
      <w:r w:rsidR="00080B92" w:rsidRPr="003633F1">
        <w:rPr>
          <w:noProof/>
          <w:lang w:val="fr-FR" w:eastAsia="fr-FR"/>
        </w:rPr>
        <w:drawing>
          <wp:inline distT="0" distB="0" distL="0" distR="0" wp14:anchorId="09F1A31A" wp14:editId="160AC390">
            <wp:extent cx="2788746" cy="2853635"/>
            <wp:effectExtent l="0" t="0" r="0" b="4445"/>
            <wp:docPr id="2" name="Image 2" descr="C:\Users\henry52\Pictures\PI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52\Pictures\PID_v2.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03586" cy="2868820"/>
                    </a:xfrm>
                    <a:prstGeom prst="rect">
                      <a:avLst/>
                    </a:prstGeom>
                    <a:noFill/>
                    <a:ln>
                      <a:noFill/>
                    </a:ln>
                  </pic:spPr>
                </pic:pic>
              </a:graphicData>
            </a:graphic>
          </wp:inline>
        </w:drawing>
      </w:r>
      <w:r w:rsidR="00C24826" w:rsidRPr="003633F1">
        <w:rPr>
          <w:noProof/>
          <w:lang w:val="fr-FR" w:eastAsia="fr-FR"/>
        </w:rPr>
        <w:drawing>
          <wp:inline distT="0" distB="0" distL="0" distR="0" wp14:anchorId="35FD17BF" wp14:editId="4984C936">
            <wp:extent cx="2790000" cy="2861597"/>
            <wp:effectExtent l="0" t="0" r="0" b="0"/>
            <wp:docPr id="15" name="Image 15" descr="C:\Users\henry52\Pictures\test section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y52\Pictures\test section_v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000" cy="2861597"/>
                    </a:xfrm>
                    <a:prstGeom prst="rect">
                      <a:avLst/>
                    </a:prstGeom>
                    <a:noFill/>
                    <a:ln>
                      <a:noFill/>
                    </a:ln>
                  </pic:spPr>
                </pic:pic>
              </a:graphicData>
            </a:graphic>
          </wp:inline>
        </w:drawing>
      </w:r>
    </w:p>
    <w:p w14:paraId="227D7ECC" w14:textId="77777777" w:rsidR="00C433F2" w:rsidRPr="003633F1" w:rsidRDefault="00C433F2" w:rsidP="00C433F2">
      <w:pPr>
        <w:pStyle w:val="CETCaption"/>
        <w:rPr>
          <w:lang w:val="en-US"/>
        </w:rPr>
      </w:pPr>
      <w:r w:rsidRPr="003633F1">
        <w:rPr>
          <w:lang w:val="en-US"/>
        </w:rPr>
        <w:t>Figure 1: PI&amp;D of the test bench (a), exploded view of the test section (b)</w:t>
      </w:r>
    </w:p>
    <w:p w14:paraId="43762F2D" w14:textId="42C38D54" w:rsidR="00A4153B" w:rsidRDefault="00746DFF" w:rsidP="00CD16AE">
      <w:pPr>
        <w:pStyle w:val="CETBodytext"/>
      </w:pPr>
      <w:r w:rsidRPr="003633F1">
        <w:t>The test section</w:t>
      </w:r>
      <w:r w:rsidR="00A87597">
        <w:t xml:space="preserve">, </w:t>
      </w:r>
      <w:r w:rsidR="00270D82">
        <w:t>called</w:t>
      </w:r>
      <w:r w:rsidR="00A87597">
        <w:t xml:space="preserve"> the “vaporizer”,</w:t>
      </w:r>
      <w:r w:rsidRPr="003633F1">
        <w:t xml:space="preserve"> is presented in Figure </w:t>
      </w:r>
      <w:r w:rsidR="00C433F2" w:rsidRPr="003633F1">
        <w:t>1(b)</w:t>
      </w:r>
      <w:r w:rsidR="00A87597">
        <w:t xml:space="preserve">, and </w:t>
      </w:r>
      <w:r w:rsidR="00D16556">
        <w:t xml:space="preserve">has been </w:t>
      </w:r>
      <w:r w:rsidR="00A87597">
        <w:t xml:space="preserve">fabricated in </w:t>
      </w:r>
      <w:r w:rsidR="00A87597" w:rsidRPr="003633F1">
        <w:t>the mechanical workshop of the Reactions and Chemical Engineering Laboratory (LRGP) located in Nancy, France.</w:t>
      </w:r>
      <w:r w:rsidR="00CC4104" w:rsidRPr="003633F1">
        <w:t xml:space="preserve"> I</w:t>
      </w:r>
      <w:r w:rsidRPr="003633F1">
        <w:t xml:space="preserve">t consists of </w:t>
      </w:r>
      <w:r w:rsidR="00A4153B">
        <w:t xml:space="preserve">three </w:t>
      </w:r>
      <w:r w:rsidRPr="003633F1">
        <w:t>mechanical</w:t>
      </w:r>
      <w:r w:rsidR="00C078AA">
        <w:t>ly</w:t>
      </w:r>
      <w:r w:rsidRPr="003633F1">
        <w:t xml:space="preserve"> engraved plate</w:t>
      </w:r>
      <w:r w:rsidR="00A4153B">
        <w:t>s</w:t>
      </w:r>
      <w:r w:rsidR="00A87597">
        <w:t xml:space="preserve"> </w:t>
      </w:r>
      <w:r w:rsidR="00A87597" w:rsidRPr="003633F1">
        <w:t>(130 mm x 250 mm x 50 mm)</w:t>
      </w:r>
      <w:r w:rsidR="00A87597">
        <w:t xml:space="preserve">: </w:t>
      </w:r>
      <w:r w:rsidR="00A87597" w:rsidRPr="003633F1">
        <w:t>the multi-task block, the milli-structured plate and the visualization window lid.</w:t>
      </w:r>
      <w:r w:rsidR="00A87597">
        <w:t xml:space="preserve"> </w:t>
      </w:r>
    </w:p>
    <w:p w14:paraId="23A1DDB7" w14:textId="5F3864D4" w:rsidR="005A0141" w:rsidRPr="003633F1" w:rsidRDefault="00746DFF" w:rsidP="00CD16AE">
      <w:pPr>
        <w:pStyle w:val="CETBodytext"/>
      </w:pPr>
      <w:r w:rsidRPr="003633F1">
        <w:t>The multi-task block</w:t>
      </w:r>
      <w:r w:rsidR="00B4601F" w:rsidRPr="003633F1">
        <w:t xml:space="preserve"> </w:t>
      </w:r>
      <w:r w:rsidR="00362114" w:rsidRPr="003633F1">
        <w:t>includes two chambers for the distribution and th</w:t>
      </w:r>
      <w:r w:rsidR="00C433F2" w:rsidRPr="003633F1">
        <w:t>e collect</w:t>
      </w:r>
      <w:r w:rsidR="00866299" w:rsidRPr="003633F1">
        <w:t>ion</w:t>
      </w:r>
      <w:r w:rsidR="00C433F2" w:rsidRPr="003633F1">
        <w:t xml:space="preserve"> of water but also </w:t>
      </w:r>
      <w:r w:rsidR="005A0141" w:rsidRPr="003633F1">
        <w:t xml:space="preserve">a rectangular cross section (2.5 mm x 9 mm) </w:t>
      </w:r>
      <w:r w:rsidR="00362114" w:rsidRPr="003633F1">
        <w:t xml:space="preserve">channel where the hot oil flows. The milli-structured plate is constituted by </w:t>
      </w:r>
      <w:r w:rsidR="00B4601F" w:rsidRPr="003633F1">
        <w:t>ten 180</w:t>
      </w:r>
      <w:r w:rsidR="00362114" w:rsidRPr="003633F1">
        <w:t xml:space="preserve"> mm </w:t>
      </w:r>
      <w:r w:rsidR="005A0141" w:rsidRPr="003633F1">
        <w:t>long, 2 mm semi-circular cross section milli-</w:t>
      </w:r>
      <w:r w:rsidR="00362114" w:rsidRPr="003633F1">
        <w:t>channel</w:t>
      </w:r>
      <w:r w:rsidR="00C433F2" w:rsidRPr="003633F1">
        <w:t>s</w:t>
      </w:r>
      <w:r w:rsidR="00362114" w:rsidRPr="003633F1">
        <w:t xml:space="preserve">. </w:t>
      </w:r>
      <w:r w:rsidR="00866299" w:rsidRPr="003633F1">
        <w:t>At both ends</w:t>
      </w:r>
      <w:r w:rsidR="00362114" w:rsidRPr="003633F1">
        <w:t xml:space="preserve"> of the channels, similar chambers are present </w:t>
      </w:r>
      <w:r w:rsidR="00B4601F" w:rsidRPr="003633F1">
        <w:t>to distribute and collect the flow.</w:t>
      </w:r>
      <w:r w:rsidR="009A3ABA">
        <w:t xml:space="preserve"> </w:t>
      </w:r>
      <w:r w:rsidR="00B4601F" w:rsidRPr="003633F1">
        <w:t xml:space="preserve">The lid </w:t>
      </w:r>
      <w:r w:rsidR="00A87597">
        <w:t xml:space="preserve">is used to fasten a </w:t>
      </w:r>
      <w:r w:rsidR="00B4601F" w:rsidRPr="003633F1">
        <w:t xml:space="preserve">11 mm thick borosilicate window </w:t>
      </w:r>
      <w:r w:rsidR="00A87597">
        <w:t>which allows direct observation (with a high-frequency camera) of the boiling flow</w:t>
      </w:r>
      <w:r w:rsidR="00B4601F" w:rsidRPr="003633F1">
        <w:t>.</w:t>
      </w:r>
      <w:r w:rsidR="005F3196" w:rsidRPr="003633F1">
        <w:t xml:space="preserve"> The test section is</w:t>
      </w:r>
      <w:r w:rsidR="009F6FAC" w:rsidRPr="003633F1">
        <w:t xml:space="preserve"> insulated with a </w:t>
      </w:r>
      <w:r w:rsidR="00C078AA" w:rsidRPr="003633F1">
        <w:t>customized</w:t>
      </w:r>
      <w:r w:rsidR="00CD7D4C" w:rsidRPr="003633F1">
        <w:t xml:space="preserve"> envelop</w:t>
      </w:r>
      <w:r w:rsidR="009F6FAC" w:rsidRPr="003633F1">
        <w:t xml:space="preserve"> made of a 6 mm braided </w:t>
      </w:r>
      <w:r w:rsidR="00C078AA" w:rsidRPr="003633F1">
        <w:t>fiberglass</w:t>
      </w:r>
      <w:r w:rsidR="009F6FAC" w:rsidRPr="003633F1">
        <w:t xml:space="preserve"> sheet.</w:t>
      </w:r>
    </w:p>
    <w:p w14:paraId="13C375D9" w14:textId="77777777" w:rsidR="00B62022" w:rsidRPr="003633F1" w:rsidRDefault="00B62022" w:rsidP="00CD16AE">
      <w:pPr>
        <w:pStyle w:val="CETBodytext"/>
      </w:pPr>
      <w:r w:rsidRPr="003633F1">
        <w:t>P</w:t>
      </w:r>
      <w:r w:rsidR="00A018E3" w:rsidRPr="003633F1">
        <w:t xml:space="preserve">ressure </w:t>
      </w:r>
      <w:r w:rsidRPr="003633F1">
        <w:t xml:space="preserve">inside the vaporizer </w:t>
      </w:r>
      <w:r w:rsidR="00A018E3" w:rsidRPr="003633F1">
        <w:t>is measured by a YOKOGAWA</w:t>
      </w:r>
      <w:r w:rsidRPr="003633F1">
        <w:t xml:space="preserve"> absolute</w:t>
      </w:r>
      <w:r w:rsidR="00A018E3" w:rsidRPr="003633F1">
        <w:t xml:space="preserve"> pressure sensor (</w:t>
      </w:r>
      <w:r w:rsidRPr="003633F1">
        <w:t xml:space="preserve">0 - </w:t>
      </w:r>
      <w:r w:rsidR="00A018E3" w:rsidRPr="003633F1">
        <w:t>20 bars) in the collect</w:t>
      </w:r>
      <w:r w:rsidR="00C078AA">
        <w:t>ion</w:t>
      </w:r>
      <w:r w:rsidR="00A018E3" w:rsidRPr="003633F1">
        <w:t xml:space="preserve"> chamber </w:t>
      </w:r>
      <w:r w:rsidR="00C078AA">
        <w:t>at</w:t>
      </w:r>
      <w:r w:rsidR="00A018E3" w:rsidRPr="003633F1">
        <w:t xml:space="preserve"> the top of the vaporizer. Moreover, pressure drop </w:t>
      </w:r>
      <w:r w:rsidRPr="003633F1">
        <w:t>along</w:t>
      </w:r>
      <w:r w:rsidR="00A018E3" w:rsidRPr="003633F1">
        <w:t xml:space="preserve"> </w:t>
      </w:r>
      <w:r w:rsidRPr="003633F1">
        <w:t>channel</w:t>
      </w:r>
      <w:r w:rsidR="00C078AA">
        <w:t>s</w:t>
      </w:r>
      <w:r w:rsidR="00A018E3" w:rsidRPr="003633F1">
        <w:t xml:space="preserve"> is also measured by a YOKOGAWA differential pressure sensor</w:t>
      </w:r>
      <w:r w:rsidRPr="003633F1">
        <w:t xml:space="preserve"> (0 – 5 bars) between the distribution and collect</w:t>
      </w:r>
      <w:r w:rsidR="00866299" w:rsidRPr="003633F1">
        <w:t>ion</w:t>
      </w:r>
      <w:r w:rsidRPr="003633F1">
        <w:t xml:space="preserve"> chamber</w:t>
      </w:r>
      <w:r w:rsidR="00866299" w:rsidRPr="003633F1">
        <w:t>s</w:t>
      </w:r>
      <w:r w:rsidR="00A018E3" w:rsidRPr="003633F1">
        <w:t>.</w:t>
      </w:r>
      <w:r w:rsidRPr="003633F1">
        <w:t xml:space="preserve"> In parallel, water temperature is also measured in these chambers by PT 100 sensors.</w:t>
      </w:r>
      <w:r w:rsidR="00A018E3" w:rsidRPr="003633F1">
        <w:t xml:space="preserve"> Wall temperature is </w:t>
      </w:r>
      <w:r w:rsidR="00A018E3" w:rsidRPr="003633F1">
        <w:lastRenderedPageBreak/>
        <w:t xml:space="preserve">assessed by six 1/10 DIN PT 100 sensors inserted in dedicated holes </w:t>
      </w:r>
      <w:r w:rsidRPr="003633F1">
        <w:t xml:space="preserve">present </w:t>
      </w:r>
      <w:r w:rsidR="00A018E3" w:rsidRPr="003633F1">
        <w:t xml:space="preserve">in the </w:t>
      </w:r>
      <w:r w:rsidR="00866299" w:rsidRPr="003633F1">
        <w:t xml:space="preserve">milli-structured </w:t>
      </w:r>
      <w:r w:rsidR="00A018E3" w:rsidRPr="003633F1">
        <w:t>plate</w:t>
      </w:r>
      <w:r w:rsidRPr="003633F1">
        <w:t>.</w:t>
      </w:r>
      <w:r w:rsidR="00ED04B4" w:rsidRPr="003633F1">
        <w:t xml:space="preserve"> </w:t>
      </w:r>
      <w:r w:rsidR="0001457C" w:rsidRPr="003633F1">
        <w:t>The test bench is controlled through a LabVIEW interface developed in the LRGP electronic engineering department.</w:t>
      </w:r>
    </w:p>
    <w:p w14:paraId="4C8CBA6E" w14:textId="77777777" w:rsidR="001667C5" w:rsidRPr="003633F1" w:rsidRDefault="001667C5" w:rsidP="00CD16AE">
      <w:pPr>
        <w:pStyle w:val="CETBodytext"/>
      </w:pPr>
    </w:p>
    <w:p w14:paraId="4DD8FB6E" w14:textId="77777777" w:rsidR="001667C5" w:rsidRPr="003633F1" w:rsidRDefault="009E74BC" w:rsidP="009E74BC">
      <w:pPr>
        <w:pStyle w:val="CETheadingx"/>
        <w:numPr>
          <w:ilvl w:val="2"/>
          <w:numId w:val="1"/>
        </w:numPr>
      </w:pPr>
      <w:r w:rsidRPr="003633F1">
        <w:t>Experimental procedure</w:t>
      </w:r>
    </w:p>
    <w:p w14:paraId="18329344" w14:textId="1F0FF28B" w:rsidR="009E74BC" w:rsidRPr="003633F1" w:rsidRDefault="009E74BC" w:rsidP="00CD16AE">
      <w:pPr>
        <w:pStyle w:val="CETBodytext"/>
      </w:pPr>
      <w:r w:rsidRPr="003633F1">
        <w:t xml:space="preserve">All </w:t>
      </w:r>
      <w:r w:rsidR="00D977BC" w:rsidRPr="003633F1">
        <w:t>operating</w:t>
      </w:r>
      <w:r w:rsidRPr="003633F1">
        <w:t xml:space="preserve"> conditions were investigated </w:t>
      </w:r>
      <w:r w:rsidR="00A87597">
        <w:t xml:space="preserve">using </w:t>
      </w:r>
      <w:r w:rsidRPr="003633F1">
        <w:t xml:space="preserve">the same experimental procedure. At first, a set of </w:t>
      </w:r>
      <w:r w:rsidR="00D977BC" w:rsidRPr="003633F1">
        <w:t>operating</w:t>
      </w:r>
      <w:r w:rsidRPr="003633F1">
        <w:t xml:space="preserve"> condition</w:t>
      </w:r>
      <w:r w:rsidR="00866299" w:rsidRPr="003633F1">
        <w:t>s</w:t>
      </w:r>
      <w:r w:rsidRPr="003633F1">
        <w:t xml:space="preserve"> is chosen: oil temperature</w:t>
      </w:r>
      <w:r w:rsidR="002E2C1D">
        <w:t xml:space="preserve"> </w:t>
      </w:r>
      <w:r w:rsidR="008D4E7D">
        <w:t>i</w:t>
      </w:r>
      <w:r w:rsidR="002E2C1D">
        <w:t>n the bath</w:t>
      </w:r>
      <w:r w:rsidRPr="003633F1">
        <w:t xml:space="preserve"> and flowrate, </w:t>
      </w:r>
      <w:r w:rsidR="00D977BC" w:rsidRPr="003633F1">
        <w:t>water-preheating</w:t>
      </w:r>
      <w:r w:rsidRPr="003633F1">
        <w:t xml:space="preserve"> temperature and flowrate</w:t>
      </w:r>
      <w:r w:rsidR="00D977BC" w:rsidRPr="003633F1">
        <w:t xml:space="preserve">. In this paper, only experiments </w:t>
      </w:r>
      <w:r w:rsidR="00A87597">
        <w:t xml:space="preserve">at atmospheric pressure </w:t>
      </w:r>
      <w:r w:rsidR="00866299" w:rsidRPr="003633F1">
        <w:t>are presented</w:t>
      </w:r>
      <w:r w:rsidR="00D977BC" w:rsidRPr="003633F1">
        <w:t>, thus the pressure was not controlled.</w:t>
      </w:r>
      <w:r w:rsidR="00104EDC" w:rsidRPr="003633F1">
        <w:t xml:space="preserve"> The steady state was assumed once all temperature</w:t>
      </w:r>
      <w:r w:rsidR="00E83FAC">
        <w:t>s</w:t>
      </w:r>
      <w:r w:rsidR="00104EDC" w:rsidRPr="003633F1">
        <w:t xml:space="preserve"> in the test bench were stable over 10 minutes. Since the vaporizer is a massive block of stainless steel, it took more than </w:t>
      </w:r>
      <w:r w:rsidR="00866299" w:rsidRPr="003633F1">
        <w:t>one</w:t>
      </w:r>
      <w:r w:rsidR="00104EDC" w:rsidRPr="003633F1">
        <w:t xml:space="preserve"> hour and</w:t>
      </w:r>
      <w:r w:rsidR="00866299" w:rsidRPr="003633F1">
        <w:t xml:space="preserve"> a</w:t>
      </w:r>
      <w:r w:rsidR="00104EDC" w:rsidRPr="003633F1">
        <w:t xml:space="preserve"> half to reach the first steady state then new steady states </w:t>
      </w:r>
      <w:r w:rsidR="00866299" w:rsidRPr="003633F1">
        <w:t>could be</w:t>
      </w:r>
      <w:r w:rsidR="00104EDC" w:rsidRPr="003633F1">
        <w:t xml:space="preserve"> established </w:t>
      </w:r>
      <w:r w:rsidR="00866299" w:rsidRPr="003633F1">
        <w:t>within</w:t>
      </w:r>
      <w:r w:rsidR="00104EDC" w:rsidRPr="003633F1">
        <w:t xml:space="preserve"> approximately half an hour. Then all the data</w:t>
      </w:r>
      <w:r w:rsidR="000721A2" w:rsidRPr="003633F1">
        <w:t xml:space="preserve">, such as </w:t>
      </w:r>
      <w:r w:rsidR="004617AD">
        <w:t>the oil flowrate, the inlet and outlet oil temperature, the water flowrate, the water flow temperature in the distribution and collect</w:t>
      </w:r>
      <w:r w:rsidR="00D16556">
        <w:t>ion</w:t>
      </w:r>
      <w:r w:rsidR="004617AD">
        <w:t xml:space="preserve"> chambers, the wall temperatures, the test section pressure</w:t>
      </w:r>
      <w:r w:rsidR="000721A2" w:rsidRPr="003633F1">
        <w:t>,</w:t>
      </w:r>
      <w:r w:rsidR="00104EDC" w:rsidRPr="003633F1">
        <w:t xml:space="preserve"> were collected for post-processing</w:t>
      </w:r>
      <w:r w:rsidR="000721A2" w:rsidRPr="003633F1">
        <w:t>.</w:t>
      </w:r>
    </w:p>
    <w:p w14:paraId="6748452F" w14:textId="77777777" w:rsidR="005A4E95" w:rsidRPr="003633F1" w:rsidRDefault="005A4E95" w:rsidP="00CD16AE">
      <w:pPr>
        <w:pStyle w:val="CETBodytext"/>
      </w:pPr>
    </w:p>
    <w:p w14:paraId="5A92FFBA" w14:textId="77777777" w:rsidR="005A4E95" w:rsidRPr="003633F1" w:rsidRDefault="005A4E95" w:rsidP="005A4E95">
      <w:pPr>
        <w:pStyle w:val="CETheadingx"/>
        <w:numPr>
          <w:ilvl w:val="2"/>
          <w:numId w:val="1"/>
        </w:numPr>
      </w:pPr>
      <w:r w:rsidRPr="003633F1">
        <w:t>Experimental range of operating conditions</w:t>
      </w:r>
    </w:p>
    <w:p w14:paraId="546972BD" w14:textId="77777777" w:rsidR="005A4E95" w:rsidRPr="003633F1" w:rsidRDefault="00866299" w:rsidP="004F68A7">
      <w:pPr>
        <w:tabs>
          <w:tab w:val="clear" w:pos="7100"/>
        </w:tabs>
        <w:spacing w:line="276" w:lineRule="auto"/>
        <w:jc w:val="left"/>
        <w:rPr>
          <w:i/>
          <w:lang w:val="en-US"/>
        </w:rPr>
      </w:pPr>
      <w:r w:rsidRPr="003633F1">
        <w:rPr>
          <w:lang w:val="en-US"/>
        </w:rPr>
        <w:t>The Table 1 presents the ranges of operating parameters used in this study.</w:t>
      </w:r>
    </w:p>
    <w:p w14:paraId="6C639346" w14:textId="77777777" w:rsidR="005A4E95" w:rsidRPr="003633F1" w:rsidRDefault="005A4E95" w:rsidP="005A4E95">
      <w:pPr>
        <w:pStyle w:val="CETTabletitle"/>
        <w:rPr>
          <w:lang w:val="en-US"/>
        </w:rPr>
      </w:pPr>
      <w:r w:rsidRPr="003633F1">
        <w:rPr>
          <w:lang w:val="en-US"/>
        </w:rPr>
        <w:t>Table 1: Operating parameters range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2268"/>
        <w:gridCol w:w="709"/>
      </w:tblGrid>
      <w:tr w:rsidR="005A4E95" w:rsidRPr="003633F1" w14:paraId="1071EA3A" w14:textId="77777777" w:rsidTr="005A4E95">
        <w:tc>
          <w:tcPr>
            <w:tcW w:w="2977" w:type="dxa"/>
            <w:tcBorders>
              <w:top w:val="single" w:sz="12" w:space="0" w:color="008000"/>
              <w:bottom w:val="single" w:sz="6" w:space="0" w:color="008000"/>
            </w:tcBorders>
            <w:shd w:val="clear" w:color="auto" w:fill="FFFFFF"/>
          </w:tcPr>
          <w:p w14:paraId="4315E3BC" w14:textId="77777777" w:rsidR="005A4E95" w:rsidRPr="003633F1" w:rsidRDefault="001848B7" w:rsidP="00A87597">
            <w:pPr>
              <w:pStyle w:val="CETBodytext"/>
            </w:pPr>
            <w:r w:rsidRPr="003633F1">
              <w:t xml:space="preserve">Operating </w:t>
            </w:r>
            <w:r w:rsidR="005A4E95" w:rsidRPr="003633F1">
              <w:t>Parameter</w:t>
            </w:r>
          </w:p>
        </w:tc>
        <w:tc>
          <w:tcPr>
            <w:tcW w:w="2268" w:type="dxa"/>
            <w:tcBorders>
              <w:top w:val="single" w:sz="12" w:space="0" w:color="008000"/>
              <w:bottom w:val="single" w:sz="6" w:space="0" w:color="008000"/>
            </w:tcBorders>
            <w:shd w:val="clear" w:color="auto" w:fill="FFFFFF"/>
          </w:tcPr>
          <w:p w14:paraId="39CE6E27" w14:textId="77777777" w:rsidR="005A4E95" w:rsidRPr="003633F1" w:rsidRDefault="005A4E95" w:rsidP="00A87597">
            <w:pPr>
              <w:pStyle w:val="CETBodytext"/>
            </w:pPr>
            <w:r w:rsidRPr="003633F1">
              <w:t>Range</w:t>
            </w:r>
          </w:p>
        </w:tc>
        <w:tc>
          <w:tcPr>
            <w:tcW w:w="709" w:type="dxa"/>
            <w:tcBorders>
              <w:top w:val="single" w:sz="12" w:space="0" w:color="008000"/>
              <w:bottom w:val="single" w:sz="6" w:space="0" w:color="008000"/>
            </w:tcBorders>
            <w:shd w:val="clear" w:color="auto" w:fill="FFFFFF"/>
          </w:tcPr>
          <w:p w14:paraId="3F649341" w14:textId="77777777" w:rsidR="005A4E95" w:rsidRPr="003633F1" w:rsidRDefault="005A4E95" w:rsidP="00A87597">
            <w:pPr>
              <w:pStyle w:val="CETBodytext"/>
            </w:pPr>
            <w:r w:rsidRPr="003633F1">
              <w:t>Units</w:t>
            </w:r>
          </w:p>
        </w:tc>
      </w:tr>
      <w:tr w:rsidR="005A4E95" w:rsidRPr="003633F1" w14:paraId="55A571A4" w14:textId="77777777" w:rsidTr="005A4E95">
        <w:tc>
          <w:tcPr>
            <w:tcW w:w="2977" w:type="dxa"/>
            <w:shd w:val="clear" w:color="auto" w:fill="FFFFFF"/>
          </w:tcPr>
          <w:p w14:paraId="7D335CBA" w14:textId="77777777" w:rsidR="005A4E95" w:rsidRPr="003633F1" w:rsidRDefault="005A4E95" w:rsidP="00A87597">
            <w:pPr>
              <w:pStyle w:val="CETBodytext"/>
            </w:pPr>
            <w:r w:rsidRPr="003633F1">
              <w:t>Pressure</w:t>
            </w:r>
          </w:p>
        </w:tc>
        <w:tc>
          <w:tcPr>
            <w:tcW w:w="2268" w:type="dxa"/>
            <w:shd w:val="clear" w:color="auto" w:fill="FFFFFF"/>
          </w:tcPr>
          <w:p w14:paraId="36794B79" w14:textId="77777777" w:rsidR="005A4E95" w:rsidRPr="003633F1" w:rsidRDefault="001848B7" w:rsidP="00A87597">
            <w:pPr>
              <w:pStyle w:val="CETBodytext"/>
            </w:pPr>
            <w:r w:rsidRPr="003633F1">
              <w:t>1</w:t>
            </w:r>
          </w:p>
        </w:tc>
        <w:tc>
          <w:tcPr>
            <w:tcW w:w="709" w:type="dxa"/>
            <w:shd w:val="clear" w:color="auto" w:fill="FFFFFF"/>
          </w:tcPr>
          <w:p w14:paraId="66513D31" w14:textId="77777777" w:rsidR="005A4E95" w:rsidRPr="003633F1" w:rsidRDefault="001848B7" w:rsidP="00A87597">
            <w:pPr>
              <w:pStyle w:val="CETBodytext"/>
            </w:pPr>
            <w:r w:rsidRPr="003633F1">
              <w:t>(Bar)</w:t>
            </w:r>
          </w:p>
        </w:tc>
      </w:tr>
      <w:tr w:rsidR="005A4E95" w:rsidRPr="003633F1" w14:paraId="0D2D90E0" w14:textId="77777777" w:rsidTr="005A4E95">
        <w:tc>
          <w:tcPr>
            <w:tcW w:w="2977" w:type="dxa"/>
            <w:shd w:val="clear" w:color="auto" w:fill="FFFFFF"/>
          </w:tcPr>
          <w:p w14:paraId="47058F8C" w14:textId="77777777" w:rsidR="005A4E95" w:rsidRPr="003633F1" w:rsidRDefault="005A4E95" w:rsidP="00A87597">
            <w:pPr>
              <w:pStyle w:val="CETBodytext"/>
              <w:ind w:right="-1"/>
              <w:rPr>
                <w:rFonts w:cs="Arial"/>
                <w:szCs w:val="18"/>
              </w:rPr>
            </w:pPr>
            <w:r w:rsidRPr="003633F1">
              <w:rPr>
                <w:rFonts w:cs="Arial"/>
                <w:szCs w:val="18"/>
              </w:rPr>
              <w:t>Water Flowrate</w:t>
            </w:r>
          </w:p>
        </w:tc>
        <w:tc>
          <w:tcPr>
            <w:tcW w:w="2268" w:type="dxa"/>
            <w:shd w:val="clear" w:color="auto" w:fill="FFFFFF"/>
          </w:tcPr>
          <w:p w14:paraId="3B60C813" w14:textId="77777777" w:rsidR="005A4E95" w:rsidRPr="003633F1" w:rsidRDefault="001848B7" w:rsidP="00A87597">
            <w:pPr>
              <w:pStyle w:val="CETBodytext"/>
              <w:ind w:right="-1"/>
              <w:rPr>
                <w:rFonts w:cs="Arial"/>
                <w:szCs w:val="18"/>
              </w:rPr>
            </w:pPr>
            <w:r w:rsidRPr="003633F1">
              <w:rPr>
                <w:rFonts w:cs="Arial"/>
                <w:szCs w:val="18"/>
              </w:rPr>
              <w:t>0.3 - 6</w:t>
            </w:r>
          </w:p>
        </w:tc>
        <w:tc>
          <w:tcPr>
            <w:tcW w:w="709" w:type="dxa"/>
            <w:shd w:val="clear" w:color="auto" w:fill="FFFFFF"/>
          </w:tcPr>
          <w:p w14:paraId="0AE84F0E" w14:textId="77777777" w:rsidR="005A4E95" w:rsidRPr="003633F1" w:rsidRDefault="001848B7" w:rsidP="00A87597">
            <w:pPr>
              <w:pStyle w:val="CETBodytext"/>
              <w:ind w:right="-1"/>
              <w:rPr>
                <w:rFonts w:cs="Arial"/>
                <w:szCs w:val="18"/>
              </w:rPr>
            </w:pPr>
            <w:r w:rsidRPr="003633F1">
              <w:rPr>
                <w:rFonts w:cs="Arial"/>
                <w:szCs w:val="18"/>
              </w:rPr>
              <w:t>(L/h)</w:t>
            </w:r>
          </w:p>
        </w:tc>
      </w:tr>
      <w:tr w:rsidR="005A4E95" w:rsidRPr="003633F1" w14:paraId="65EEB97F" w14:textId="77777777" w:rsidTr="005A4E95">
        <w:tc>
          <w:tcPr>
            <w:tcW w:w="2977" w:type="dxa"/>
            <w:shd w:val="clear" w:color="auto" w:fill="FFFFFF"/>
          </w:tcPr>
          <w:p w14:paraId="281B8B1D" w14:textId="77777777" w:rsidR="005A4E95" w:rsidRPr="003633F1" w:rsidRDefault="005A4E95" w:rsidP="00A87597">
            <w:pPr>
              <w:pStyle w:val="CETBodytext"/>
              <w:ind w:right="-1"/>
              <w:rPr>
                <w:rFonts w:cs="Arial"/>
                <w:szCs w:val="18"/>
              </w:rPr>
            </w:pPr>
            <w:r w:rsidRPr="003633F1">
              <w:rPr>
                <w:rFonts w:cs="Arial"/>
                <w:szCs w:val="18"/>
              </w:rPr>
              <w:t>Pre-heating water temperature</w:t>
            </w:r>
          </w:p>
        </w:tc>
        <w:tc>
          <w:tcPr>
            <w:tcW w:w="2268" w:type="dxa"/>
            <w:shd w:val="clear" w:color="auto" w:fill="FFFFFF"/>
          </w:tcPr>
          <w:p w14:paraId="43B491AE" w14:textId="77777777" w:rsidR="005A4E95" w:rsidRPr="003633F1" w:rsidRDefault="001848B7" w:rsidP="00A87597">
            <w:pPr>
              <w:pStyle w:val="CETBodytext"/>
              <w:ind w:right="-1"/>
              <w:rPr>
                <w:rFonts w:cs="Arial"/>
                <w:szCs w:val="18"/>
              </w:rPr>
            </w:pPr>
            <w:r w:rsidRPr="003633F1">
              <w:rPr>
                <w:rFonts w:cs="Arial"/>
                <w:szCs w:val="18"/>
              </w:rPr>
              <w:t>50 - 80</w:t>
            </w:r>
          </w:p>
        </w:tc>
        <w:tc>
          <w:tcPr>
            <w:tcW w:w="709" w:type="dxa"/>
            <w:shd w:val="clear" w:color="auto" w:fill="FFFFFF"/>
          </w:tcPr>
          <w:p w14:paraId="01459841" w14:textId="77777777" w:rsidR="005A4E95" w:rsidRPr="003633F1" w:rsidRDefault="001848B7" w:rsidP="00A87597">
            <w:pPr>
              <w:pStyle w:val="CETBodytext"/>
              <w:ind w:right="-1"/>
              <w:rPr>
                <w:rFonts w:cs="Arial"/>
                <w:szCs w:val="18"/>
              </w:rPr>
            </w:pPr>
            <w:r w:rsidRPr="003633F1">
              <w:rPr>
                <w:rFonts w:cs="Arial"/>
                <w:szCs w:val="18"/>
              </w:rPr>
              <w:t>(°C)</w:t>
            </w:r>
          </w:p>
        </w:tc>
      </w:tr>
      <w:tr w:rsidR="005A4E95" w:rsidRPr="003633F1" w14:paraId="4842228F" w14:textId="77777777" w:rsidTr="005A4E95">
        <w:tc>
          <w:tcPr>
            <w:tcW w:w="2977" w:type="dxa"/>
            <w:shd w:val="clear" w:color="auto" w:fill="FFFFFF"/>
          </w:tcPr>
          <w:p w14:paraId="124F2CB6" w14:textId="77777777" w:rsidR="005A4E95" w:rsidRPr="003633F1" w:rsidRDefault="001848B7" w:rsidP="00A87597">
            <w:pPr>
              <w:pStyle w:val="CETBodytext"/>
              <w:ind w:right="-1"/>
              <w:rPr>
                <w:rFonts w:cs="Arial"/>
                <w:szCs w:val="18"/>
              </w:rPr>
            </w:pPr>
            <w:r w:rsidRPr="003633F1">
              <w:rPr>
                <w:rFonts w:cs="Arial"/>
                <w:szCs w:val="18"/>
              </w:rPr>
              <w:t>Oil flowrate</w:t>
            </w:r>
          </w:p>
        </w:tc>
        <w:tc>
          <w:tcPr>
            <w:tcW w:w="2268" w:type="dxa"/>
            <w:shd w:val="clear" w:color="auto" w:fill="FFFFFF"/>
          </w:tcPr>
          <w:p w14:paraId="0272EC75" w14:textId="77777777" w:rsidR="005A4E95" w:rsidRPr="003633F1" w:rsidRDefault="001848B7" w:rsidP="00A87597">
            <w:pPr>
              <w:pStyle w:val="CETBodytext"/>
              <w:ind w:right="-1"/>
              <w:rPr>
                <w:rFonts w:cs="Arial"/>
                <w:szCs w:val="18"/>
              </w:rPr>
            </w:pPr>
            <w:r w:rsidRPr="003633F1">
              <w:rPr>
                <w:rFonts w:cs="Arial"/>
                <w:szCs w:val="18"/>
              </w:rPr>
              <w:t>70 - 180</w:t>
            </w:r>
          </w:p>
        </w:tc>
        <w:tc>
          <w:tcPr>
            <w:tcW w:w="709" w:type="dxa"/>
            <w:shd w:val="clear" w:color="auto" w:fill="FFFFFF"/>
          </w:tcPr>
          <w:p w14:paraId="0DE5E9AC" w14:textId="77777777" w:rsidR="005A4E95" w:rsidRPr="003633F1" w:rsidRDefault="001848B7" w:rsidP="00A87597">
            <w:pPr>
              <w:pStyle w:val="CETBodytext"/>
              <w:ind w:right="-1"/>
              <w:rPr>
                <w:rFonts w:cs="Arial"/>
                <w:szCs w:val="18"/>
              </w:rPr>
            </w:pPr>
            <w:r w:rsidRPr="003633F1">
              <w:rPr>
                <w:rFonts w:cs="Arial"/>
                <w:szCs w:val="18"/>
              </w:rPr>
              <w:t>(kg/h)</w:t>
            </w:r>
          </w:p>
        </w:tc>
      </w:tr>
      <w:tr w:rsidR="005A4E95" w:rsidRPr="003633F1" w14:paraId="55311F92" w14:textId="77777777" w:rsidTr="005A4E95">
        <w:tc>
          <w:tcPr>
            <w:tcW w:w="2977" w:type="dxa"/>
            <w:shd w:val="clear" w:color="auto" w:fill="FFFFFF"/>
          </w:tcPr>
          <w:p w14:paraId="2C34A5D6" w14:textId="77777777" w:rsidR="005A4E95" w:rsidRPr="003633F1" w:rsidRDefault="001848B7" w:rsidP="00A87597">
            <w:pPr>
              <w:pStyle w:val="CETBodytext"/>
              <w:ind w:right="-1"/>
              <w:rPr>
                <w:rFonts w:cs="Arial"/>
                <w:szCs w:val="18"/>
              </w:rPr>
            </w:pPr>
            <w:r w:rsidRPr="003633F1">
              <w:rPr>
                <w:rFonts w:cs="Arial"/>
                <w:szCs w:val="18"/>
              </w:rPr>
              <w:t>Bath oil temperature</w:t>
            </w:r>
          </w:p>
        </w:tc>
        <w:tc>
          <w:tcPr>
            <w:tcW w:w="2268" w:type="dxa"/>
            <w:shd w:val="clear" w:color="auto" w:fill="FFFFFF"/>
          </w:tcPr>
          <w:p w14:paraId="7ACACD11" w14:textId="77777777" w:rsidR="005A4E95" w:rsidRPr="003633F1" w:rsidRDefault="001848B7" w:rsidP="00A87597">
            <w:pPr>
              <w:pStyle w:val="CETBodytext"/>
              <w:ind w:right="-1"/>
              <w:rPr>
                <w:rFonts w:cs="Arial"/>
                <w:szCs w:val="18"/>
              </w:rPr>
            </w:pPr>
            <w:r w:rsidRPr="003633F1">
              <w:rPr>
                <w:rFonts w:cs="Arial"/>
                <w:szCs w:val="18"/>
              </w:rPr>
              <w:t>130 - 180</w:t>
            </w:r>
          </w:p>
        </w:tc>
        <w:tc>
          <w:tcPr>
            <w:tcW w:w="709" w:type="dxa"/>
            <w:shd w:val="clear" w:color="auto" w:fill="FFFFFF"/>
          </w:tcPr>
          <w:p w14:paraId="512A0C92" w14:textId="77777777" w:rsidR="005A4E95" w:rsidRPr="003633F1" w:rsidRDefault="001848B7" w:rsidP="00A87597">
            <w:pPr>
              <w:pStyle w:val="CETBodytext"/>
              <w:ind w:right="-1"/>
              <w:rPr>
                <w:rFonts w:cs="Arial"/>
                <w:szCs w:val="18"/>
              </w:rPr>
            </w:pPr>
            <w:r w:rsidRPr="003633F1">
              <w:rPr>
                <w:rFonts w:cs="Arial"/>
                <w:szCs w:val="18"/>
              </w:rPr>
              <w:t>(°C)</w:t>
            </w:r>
          </w:p>
        </w:tc>
      </w:tr>
    </w:tbl>
    <w:p w14:paraId="5894F868" w14:textId="77777777" w:rsidR="005A4E95" w:rsidRPr="003633F1" w:rsidRDefault="005A4E95" w:rsidP="00CD16AE">
      <w:pPr>
        <w:pStyle w:val="CETBodytext"/>
      </w:pPr>
    </w:p>
    <w:p w14:paraId="660A9BD9" w14:textId="77777777" w:rsidR="00CD16AE" w:rsidRPr="003633F1" w:rsidRDefault="00606D3A" w:rsidP="00606D3A">
      <w:pPr>
        <w:pStyle w:val="CETHeading1"/>
        <w:numPr>
          <w:ilvl w:val="1"/>
          <w:numId w:val="1"/>
        </w:numPr>
        <w:tabs>
          <w:tab w:val="num" w:pos="360"/>
        </w:tabs>
      </w:pPr>
      <w:r w:rsidRPr="003633F1">
        <w:t>Data reduction</w:t>
      </w:r>
    </w:p>
    <w:p w14:paraId="4009CD84" w14:textId="77777777" w:rsidR="00E30C2C" w:rsidRPr="003633F1" w:rsidRDefault="00E30C2C" w:rsidP="00691138">
      <w:pPr>
        <w:pStyle w:val="CETheadingx"/>
        <w:numPr>
          <w:ilvl w:val="2"/>
          <w:numId w:val="1"/>
        </w:numPr>
      </w:pPr>
      <w:r w:rsidRPr="003633F1">
        <w:t>Vapour quality</w:t>
      </w:r>
    </w:p>
    <w:p w14:paraId="531E1A31" w14:textId="5AD1898D" w:rsidR="008963C7" w:rsidRPr="003633F1" w:rsidRDefault="008963C7" w:rsidP="00CD16AE">
      <w:pPr>
        <w:pStyle w:val="CETBodytext"/>
      </w:pPr>
      <w:r w:rsidRPr="003633F1">
        <w:t>Vapour quality i</w:t>
      </w:r>
      <w:r w:rsidR="002768C6" w:rsidRPr="003633F1">
        <w:t xml:space="preserve">s one of the crucial </w:t>
      </w:r>
      <w:r w:rsidR="00837537" w:rsidRPr="003633F1">
        <w:t>boiling</w:t>
      </w:r>
      <w:r w:rsidR="009F6FAC" w:rsidRPr="003633F1">
        <w:t xml:space="preserve"> data</w:t>
      </w:r>
      <w:r w:rsidR="002768C6" w:rsidRPr="003633F1">
        <w:t xml:space="preserve"> to </w:t>
      </w:r>
      <w:r w:rsidR="00837537" w:rsidRPr="003633F1">
        <w:t>be determined</w:t>
      </w:r>
      <w:r w:rsidR="002768C6" w:rsidRPr="003633F1">
        <w:t xml:space="preserve"> for several reasons</w:t>
      </w:r>
      <w:r w:rsidR="00837537" w:rsidRPr="003633F1">
        <w:t>.</w:t>
      </w:r>
      <w:r w:rsidR="00075223">
        <w:t xml:space="preserve"> </w:t>
      </w:r>
      <w:r w:rsidR="007351CB" w:rsidRPr="003633F1">
        <w:t>First</w:t>
      </w:r>
      <w:r w:rsidR="002768C6" w:rsidRPr="003633F1">
        <w:t xml:space="preserve">, it </w:t>
      </w:r>
      <w:r w:rsidR="00E83FAC" w:rsidRPr="003633F1">
        <w:t>characterizes</w:t>
      </w:r>
      <w:r w:rsidR="002768C6" w:rsidRPr="003633F1">
        <w:t xml:space="preserve"> the </w:t>
      </w:r>
      <w:r w:rsidR="00075223">
        <w:t xml:space="preserve">boiling </w:t>
      </w:r>
      <w:r w:rsidR="002768C6" w:rsidRPr="003633F1">
        <w:t xml:space="preserve">efficiency </w:t>
      </w:r>
      <w:r w:rsidR="00075223">
        <w:t xml:space="preserve">of </w:t>
      </w:r>
      <w:r w:rsidR="002768C6" w:rsidRPr="003633F1">
        <w:t xml:space="preserve">the </w:t>
      </w:r>
      <w:r w:rsidR="00075223">
        <w:t>d</w:t>
      </w:r>
      <w:r w:rsidR="002768C6" w:rsidRPr="003633F1">
        <w:t xml:space="preserve">evice. </w:t>
      </w:r>
      <w:r w:rsidR="007E306D" w:rsidRPr="003633F1">
        <w:t>Secondly,</w:t>
      </w:r>
      <w:r w:rsidR="002768C6" w:rsidRPr="003633F1">
        <w:t xml:space="preserve"> heat transfer is </w:t>
      </w:r>
      <w:r w:rsidR="009F6FAC" w:rsidRPr="003633F1">
        <w:t xml:space="preserve">directly </w:t>
      </w:r>
      <w:r w:rsidR="002768C6" w:rsidRPr="003633F1">
        <w:t>impacted by the vapour quality</w:t>
      </w:r>
      <w:r w:rsidR="00BB226B">
        <w:t>.</w:t>
      </w:r>
      <w:r w:rsidR="008E7A98" w:rsidRPr="003633F1">
        <w:t xml:space="preserve"> </w:t>
      </w:r>
      <w:r w:rsidR="007351CB">
        <w:t>It</w:t>
      </w:r>
      <w:r w:rsidR="008E7A98" w:rsidRPr="003633F1">
        <w:t xml:space="preserve"> is defined as the</w:t>
      </w:r>
      <w:r w:rsidR="00E83FAC">
        <w:t xml:space="preserve"> mass</w:t>
      </w:r>
      <w:r w:rsidR="008E7A98" w:rsidRPr="003633F1">
        <w:t xml:space="preserve"> fraction of vapour</w:t>
      </w:r>
      <w:r w:rsidR="009F6FAC" w:rsidRPr="003633F1">
        <w:t xml:space="preserve"> phase</w:t>
      </w:r>
      <w:r w:rsidR="008E7A98" w:rsidRPr="003633F1">
        <w:t xml:space="preserve"> composing a two-phase flow, for a continuous</w:t>
      </w:r>
      <w:r w:rsidR="008C0704" w:rsidRPr="003633F1">
        <w:t xml:space="preserve"> vaporizer, </w:t>
      </w:r>
      <w:r w:rsidR="007E306D" w:rsidRPr="003633F1">
        <w:t>and</w:t>
      </w:r>
      <w:r w:rsidR="008C0704" w:rsidRPr="003633F1">
        <w:t xml:space="preserve"> is calculated by the ratio of the mass flowrate</w:t>
      </w:r>
      <w:r w:rsidR="00D16556">
        <w:t>s</w:t>
      </w:r>
      <w:r w:rsidR="008C0704" w:rsidRPr="003633F1">
        <w:t xml:space="preserve"> of both phase</w:t>
      </w:r>
      <w:r w:rsidR="009F6FAC" w:rsidRPr="003633F1">
        <w:t>s</w:t>
      </w:r>
      <w:r w:rsidR="008C0704" w:rsidRPr="003633F1">
        <w:t>:</w:t>
      </w:r>
    </w:p>
    <w:tbl>
      <w:tblPr>
        <w:tblpPr w:leftFromText="141" w:rightFromText="141" w:vertAnchor="text" w:horzAnchor="margin" w:tblpY="178"/>
        <w:tblW w:w="5000" w:type="pct"/>
        <w:tblLook w:val="04A0" w:firstRow="1" w:lastRow="0" w:firstColumn="1" w:lastColumn="0" w:noHBand="0" w:noVBand="1"/>
      </w:tblPr>
      <w:tblGrid>
        <w:gridCol w:w="7982"/>
        <w:gridCol w:w="805"/>
      </w:tblGrid>
      <w:tr w:rsidR="008E7A98" w:rsidRPr="003633F1" w14:paraId="79A0D7F1" w14:textId="77777777" w:rsidTr="008E7A98">
        <w:trPr>
          <w:trHeight w:val="572"/>
        </w:trPr>
        <w:tc>
          <w:tcPr>
            <w:tcW w:w="7982" w:type="dxa"/>
            <w:shd w:val="clear" w:color="auto" w:fill="auto"/>
            <w:vAlign w:val="center"/>
          </w:tcPr>
          <w:p w14:paraId="44DFB074" w14:textId="77777777" w:rsidR="008E7A98" w:rsidRPr="003633F1" w:rsidRDefault="008E7A98" w:rsidP="008C0704">
            <w:pPr>
              <w:pStyle w:val="CETEquation"/>
              <w:rPr>
                <w:lang w:val="en-US"/>
              </w:rPr>
            </w:pPr>
            <m:oMathPara>
              <m:oMathParaPr>
                <m:jc m:val="left"/>
              </m:oMathParaPr>
              <m:oMath>
                <m:r>
                  <w:rPr>
                    <w:rFonts w:ascii="Cambria Math" w:hAnsi="Cambria Math"/>
                    <w:lang w:val="en-US"/>
                  </w:rPr>
                  <m:t>x=</m:t>
                </m:r>
                <m:f>
                  <m:fPr>
                    <m:ctrlPr>
                      <w:rPr>
                        <w:rFonts w:ascii="Cambria Math" w:hAnsi="Cambria Math"/>
                        <w:i/>
                        <w:lang w:val="en-US"/>
                      </w:rPr>
                    </m:ctrlPr>
                  </m:fPr>
                  <m:num>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m</m:t>
                            </m:r>
                          </m:e>
                        </m:acc>
                      </m:e>
                      <m:sub>
                        <m:r>
                          <w:rPr>
                            <w:rFonts w:ascii="Cambria Math" w:hAnsi="Cambria Math"/>
                            <w:lang w:val="en-US"/>
                          </w:rPr>
                          <m:t>vapour</m:t>
                        </m:r>
                      </m:sub>
                    </m:sSub>
                  </m:num>
                  <m:den>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m</m:t>
                            </m:r>
                          </m:e>
                        </m:acc>
                      </m:e>
                      <m:sub>
                        <m:r>
                          <w:rPr>
                            <w:rFonts w:ascii="Cambria Math" w:hAnsi="Cambria Math"/>
                            <w:lang w:val="en-US"/>
                          </w:rPr>
                          <m:t>vapour</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m</m:t>
                            </m:r>
                          </m:e>
                        </m:acc>
                      </m:e>
                      <m:sub>
                        <m:r>
                          <w:rPr>
                            <w:rFonts w:ascii="Cambria Math" w:hAnsi="Cambria Math"/>
                            <w:lang w:val="en-US"/>
                          </w:rPr>
                          <m:t>liquid</m:t>
                        </m:r>
                      </m:sub>
                    </m:sSub>
                  </m:den>
                </m:f>
              </m:oMath>
            </m:oMathPara>
          </w:p>
        </w:tc>
        <w:tc>
          <w:tcPr>
            <w:tcW w:w="805" w:type="dxa"/>
            <w:shd w:val="clear" w:color="auto" w:fill="auto"/>
            <w:vAlign w:val="center"/>
          </w:tcPr>
          <w:p w14:paraId="54812622" w14:textId="77777777" w:rsidR="008E7A98" w:rsidRPr="003633F1" w:rsidRDefault="008E7A98" w:rsidP="008E7A98">
            <w:pPr>
              <w:pStyle w:val="CETEquation"/>
              <w:jc w:val="right"/>
              <w:rPr>
                <w:lang w:val="en-US"/>
              </w:rPr>
            </w:pPr>
            <w:r w:rsidRPr="003633F1">
              <w:rPr>
                <w:lang w:val="en-US"/>
              </w:rPr>
              <w:t>(1)</w:t>
            </w:r>
          </w:p>
        </w:tc>
      </w:tr>
    </w:tbl>
    <w:p w14:paraId="2A89207A" w14:textId="2081A53E" w:rsidR="004F68A7" w:rsidRDefault="004F68A7" w:rsidP="00CD16AE">
      <w:pPr>
        <w:pStyle w:val="CETBodytext"/>
      </w:pPr>
      <w:r w:rsidRPr="003633F1">
        <w:t xml:space="preserve">Where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vapour</m:t>
            </m:r>
          </m:sub>
        </m:sSub>
      </m:oMath>
      <w:r w:rsidRPr="003633F1">
        <w:t xml:space="preserve"> is the mass flowrate of the vapour phase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liquid</m:t>
            </m:r>
          </m:sub>
        </m:sSub>
      </m:oMath>
      <w:r w:rsidRPr="003633F1">
        <w:t xml:space="preserve"> is the mass flowrate of the liquid phase</w:t>
      </w:r>
    </w:p>
    <w:p w14:paraId="28ACED47" w14:textId="77777777" w:rsidR="007351CB" w:rsidRPr="003633F1" w:rsidRDefault="007351CB" w:rsidP="00CD16AE">
      <w:pPr>
        <w:pStyle w:val="CETBodytext"/>
      </w:pPr>
    </w:p>
    <w:p w14:paraId="69AFBFC2" w14:textId="3FE46E4E" w:rsidR="008C0704" w:rsidRPr="003633F1" w:rsidRDefault="000721A2">
      <w:pPr>
        <w:pStyle w:val="CETBodytext"/>
      </w:pPr>
      <w:r w:rsidRPr="003633F1">
        <w:t>In the literature</w:t>
      </w:r>
      <w:r w:rsidR="00C97160" w:rsidRPr="003633F1">
        <w:t>, test bench</w:t>
      </w:r>
      <w:r w:rsidR="009F6FAC" w:rsidRPr="003633F1">
        <w:t>es</w:t>
      </w:r>
      <w:r w:rsidR="00C97160" w:rsidRPr="003633F1">
        <w:t xml:space="preserve"> used to perform experimental study of a boiling flow </w:t>
      </w:r>
      <w:r w:rsidR="007E07AD" w:rsidRPr="003633F1">
        <w:t>are</w:t>
      </w:r>
      <w:r w:rsidR="00C97160" w:rsidRPr="003633F1">
        <w:t xml:space="preserve"> almost exclusively heat</w:t>
      </w:r>
      <w:r w:rsidR="007E07AD" w:rsidRPr="003633F1">
        <w:t>ed</w:t>
      </w:r>
      <w:r w:rsidR="00C97160" w:rsidRPr="003633F1">
        <w:t xml:space="preserve"> by electrical cartridges</w:t>
      </w:r>
      <w:r w:rsidR="000A19DD">
        <w:t xml:space="preserve"> (see </w:t>
      </w:r>
      <w:r w:rsidR="001C3DD5">
        <w:t>Li &amp; al. (2017</w:t>
      </w:r>
      <w:r w:rsidR="00C97160" w:rsidRPr="003633F1">
        <w:t>)</w:t>
      </w:r>
      <w:r w:rsidR="000A19DD">
        <w:t xml:space="preserve">). Then, since the local heat flux is well known (because it can be measured for each heater block), </w:t>
      </w:r>
      <w:r w:rsidR="00D16556">
        <w:t>t</w:t>
      </w:r>
      <w:r w:rsidR="00D16556" w:rsidRPr="003633F1">
        <w:t xml:space="preserve">he </w:t>
      </w:r>
      <w:r w:rsidR="00E30C2C" w:rsidRPr="003633F1">
        <w:t xml:space="preserve">vapour quality can be easily estimated </w:t>
      </w:r>
      <w:r w:rsidR="000A19DD">
        <w:t>at every location of the vaporizer</w:t>
      </w:r>
      <w:r w:rsidR="009F6FAC" w:rsidRPr="003633F1">
        <w:t xml:space="preserve"> </w:t>
      </w:r>
      <w:r w:rsidR="00E30C2C" w:rsidRPr="003633F1">
        <w:t>by</w:t>
      </w:r>
      <w:r w:rsidR="000A19DD">
        <w:t xml:space="preserve"> </w:t>
      </w:r>
      <w:r w:rsidR="00E30C2C" w:rsidRPr="003633F1">
        <w:t>heat balance.</w:t>
      </w:r>
      <w:r w:rsidR="008C0704" w:rsidRPr="003633F1">
        <w:t xml:space="preserve"> </w:t>
      </w:r>
    </w:p>
    <w:p w14:paraId="165C74B5" w14:textId="30228AAB" w:rsidR="00606D3A" w:rsidRPr="003633F1" w:rsidRDefault="008C0704" w:rsidP="00CD16AE">
      <w:pPr>
        <w:pStyle w:val="CETBodytext"/>
      </w:pPr>
      <w:r w:rsidRPr="003633F1">
        <w:t>Since the vapori</w:t>
      </w:r>
      <w:r w:rsidR="007E07AD" w:rsidRPr="003633F1">
        <w:t>z</w:t>
      </w:r>
      <w:r w:rsidRPr="003633F1">
        <w:t xml:space="preserve">er studied in this paper </w:t>
      </w:r>
      <w:r w:rsidR="000A19DD">
        <w:t>uses a hot fluid flow</w:t>
      </w:r>
      <w:r w:rsidRPr="003633F1">
        <w:t xml:space="preserve">, the temperature of the hot fluid is not constant along its channel. Moreover, </w:t>
      </w:r>
      <w:r w:rsidR="003B64C0" w:rsidRPr="003633F1">
        <w:t>as the Figure 1b shows, the internal geometry of the vaporizer is not symmetrical at all, therefore; the</w:t>
      </w:r>
      <w:r w:rsidRPr="003633F1">
        <w:t xml:space="preserve"> heat </w:t>
      </w:r>
      <w:r w:rsidR="000A19DD">
        <w:t xml:space="preserve">transfer coefficient </w:t>
      </w:r>
      <w:r w:rsidR="00A814C1" w:rsidRPr="003633F1">
        <w:t>between the hot oil flow and the water flow</w:t>
      </w:r>
      <w:r w:rsidRPr="003633F1">
        <w:t xml:space="preserve"> </w:t>
      </w:r>
      <w:r w:rsidR="000A19DD">
        <w:t>cannot be assumed constant</w:t>
      </w:r>
      <w:r w:rsidR="003B64C0" w:rsidRPr="003633F1">
        <w:t>.</w:t>
      </w:r>
      <w:r w:rsidR="00440698" w:rsidRPr="003633F1">
        <w:t xml:space="preserve"> Nevertheless, a global quality can be estimated by a global heat balance on the vaporizer.</w:t>
      </w:r>
    </w:p>
    <w:tbl>
      <w:tblPr>
        <w:tblpPr w:leftFromText="141" w:rightFromText="141" w:vertAnchor="text" w:horzAnchor="margin" w:tblpY="178"/>
        <w:tblW w:w="5000" w:type="pct"/>
        <w:tblLook w:val="04A0" w:firstRow="1" w:lastRow="0" w:firstColumn="1" w:lastColumn="0" w:noHBand="0" w:noVBand="1"/>
      </w:tblPr>
      <w:tblGrid>
        <w:gridCol w:w="7982"/>
        <w:gridCol w:w="805"/>
      </w:tblGrid>
      <w:tr w:rsidR="0099704C" w:rsidRPr="003633F1" w14:paraId="7D75655C" w14:textId="77777777" w:rsidTr="00A87597">
        <w:trPr>
          <w:trHeight w:val="572"/>
        </w:trPr>
        <w:tc>
          <w:tcPr>
            <w:tcW w:w="7982" w:type="dxa"/>
            <w:shd w:val="clear" w:color="auto" w:fill="auto"/>
            <w:vAlign w:val="center"/>
          </w:tcPr>
          <w:p w14:paraId="73F60790" w14:textId="77777777" w:rsidR="0099704C" w:rsidRPr="003633F1" w:rsidRDefault="00AE64DA" w:rsidP="0099704C">
            <w:pPr>
              <w:pStyle w:val="CETEquation"/>
              <w:rPr>
                <w:lang w:val="en-US"/>
              </w:rPr>
            </w:pPr>
            <m:oMathPara>
              <m:oMathParaPr>
                <m:jc m:val="left"/>
              </m:oMathPara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oil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preheating</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vaporization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losses</m:t>
                    </m:r>
                  </m:sub>
                </m:sSub>
              </m:oMath>
            </m:oMathPara>
          </w:p>
        </w:tc>
        <w:tc>
          <w:tcPr>
            <w:tcW w:w="805" w:type="dxa"/>
            <w:shd w:val="clear" w:color="auto" w:fill="auto"/>
            <w:vAlign w:val="center"/>
          </w:tcPr>
          <w:p w14:paraId="408D07EA" w14:textId="77777777" w:rsidR="0099704C" w:rsidRPr="003633F1" w:rsidRDefault="0099704C" w:rsidP="0099704C">
            <w:pPr>
              <w:pStyle w:val="CETEquation"/>
              <w:jc w:val="right"/>
              <w:rPr>
                <w:lang w:val="en-US"/>
              </w:rPr>
            </w:pPr>
            <w:r w:rsidRPr="003633F1">
              <w:rPr>
                <w:lang w:val="en-US"/>
              </w:rPr>
              <w:t>(2)</w:t>
            </w:r>
          </w:p>
        </w:tc>
      </w:tr>
    </w:tbl>
    <w:p w14:paraId="63A6C8AF" w14:textId="55B6DA8F" w:rsidR="007351CB" w:rsidRDefault="0099704C" w:rsidP="00CD16AE">
      <w:pPr>
        <w:pStyle w:val="CETBodytext"/>
      </w:pPr>
      <w:r w:rsidRPr="003633F1">
        <w:t xml:space="preserve">Where </w:t>
      </w:r>
      <m:oMath>
        <m:sSub>
          <m:sSubPr>
            <m:ctrlPr>
              <w:rPr>
                <w:rFonts w:ascii="Cambria Math" w:hAnsi="Cambria Math"/>
                <w:i/>
              </w:rPr>
            </m:ctrlPr>
          </m:sSubPr>
          <m:e>
            <m:r>
              <w:rPr>
                <w:rFonts w:ascii="Cambria Math" w:hAnsi="Cambria Math"/>
              </w:rPr>
              <m:t>Q</m:t>
            </m:r>
          </m:e>
          <m:sub>
            <m:r>
              <w:rPr>
                <w:rFonts w:ascii="Cambria Math" w:hAnsi="Cambria Math"/>
              </w:rPr>
              <m:t>oil</m:t>
            </m:r>
          </m:sub>
        </m:sSub>
      </m:oMath>
      <w:r w:rsidR="004F68A7" w:rsidRPr="003633F1">
        <w:t xml:space="preserve"> is the heat flux given by the oil,</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preheating</m:t>
            </m:r>
          </m:sub>
        </m:sSub>
      </m:oMath>
      <w:r w:rsidR="004F68A7" w:rsidRPr="003633F1">
        <w:t xml:space="preserve"> the heat flux needed to heat the water flow up to its boiling point, </w:t>
      </w:r>
      <m:oMath>
        <m:sSub>
          <m:sSubPr>
            <m:ctrlPr>
              <w:rPr>
                <w:rFonts w:ascii="Cambria Math" w:hAnsi="Cambria Math"/>
                <w:i/>
              </w:rPr>
            </m:ctrlPr>
          </m:sSubPr>
          <m:e>
            <m:r>
              <w:rPr>
                <w:rFonts w:ascii="Cambria Math" w:hAnsi="Cambria Math"/>
              </w:rPr>
              <m:t>Q</m:t>
            </m:r>
          </m:e>
          <m:sub>
            <m:r>
              <w:rPr>
                <w:rFonts w:ascii="Cambria Math" w:hAnsi="Cambria Math"/>
              </w:rPr>
              <m:t>losses</m:t>
            </m:r>
          </m:sub>
        </m:sSub>
      </m:oMath>
      <w:r w:rsidR="004F68A7" w:rsidRPr="003633F1">
        <w:t xml:space="preserve"> the heat flux of heat losses and </w:t>
      </w:r>
      <m:oMath>
        <m:sSub>
          <m:sSubPr>
            <m:ctrlPr>
              <w:rPr>
                <w:rFonts w:ascii="Cambria Math" w:hAnsi="Cambria Math"/>
              </w:rPr>
            </m:ctrlPr>
          </m:sSubPr>
          <m:e>
            <m:r>
              <w:rPr>
                <w:rFonts w:ascii="Cambria Math" w:hAnsi="Cambria Math"/>
              </w:rPr>
              <m:t>Q</m:t>
            </m:r>
          </m:e>
          <m:sub>
            <m:r>
              <w:rPr>
                <w:rFonts w:ascii="Cambria Math" w:hAnsi="Cambria Math"/>
              </w:rPr>
              <m:t>vaporization</m:t>
            </m:r>
          </m:sub>
        </m:sSub>
      </m:oMath>
      <w:r w:rsidRPr="003633F1">
        <w:t xml:space="preserve"> </w:t>
      </w:r>
      <w:r w:rsidR="00A85105" w:rsidRPr="003633F1">
        <w:t xml:space="preserve">the </w:t>
      </w:r>
      <w:r w:rsidR="004F68A7" w:rsidRPr="003633F1">
        <w:t xml:space="preserve">remaining </w:t>
      </w:r>
      <w:r w:rsidR="00A85105" w:rsidRPr="003633F1">
        <w:t xml:space="preserve">part of the total </w:t>
      </w:r>
      <w:r w:rsidR="007E07AD" w:rsidRPr="003633F1">
        <w:t>heat flux</w:t>
      </w:r>
      <w:r w:rsidR="00A85105" w:rsidRPr="003633F1">
        <w:t xml:space="preserve"> given by the oil </w:t>
      </w:r>
      <w:r w:rsidR="005C47B8" w:rsidRPr="003633F1">
        <w:t>to vaporize</w:t>
      </w:r>
      <w:r w:rsidR="00A85105" w:rsidRPr="003633F1">
        <w:t xml:space="preserve"> water</w:t>
      </w:r>
      <w:r w:rsidR="007351CB">
        <w:t>.</w:t>
      </w:r>
    </w:p>
    <w:p w14:paraId="395881DC" w14:textId="77777777" w:rsidR="007351CB" w:rsidRDefault="007351CB" w:rsidP="007351CB">
      <w:pPr>
        <w:pStyle w:val="CETBodytext"/>
      </w:pPr>
    </w:p>
    <w:p w14:paraId="59EA0CB3" w14:textId="7D4D7C7D" w:rsidR="007351CB" w:rsidRPr="003633F1" w:rsidRDefault="00AE64DA" w:rsidP="00A6502C">
      <w:pPr>
        <w:pStyle w:val="CETListbullets"/>
        <w:numPr>
          <w:ilvl w:val="0"/>
          <w:numId w:val="25"/>
        </w:numPr>
        <w:ind w:left="340" w:hanging="227"/>
      </w:pPr>
      <m:oMath>
        <m:sSub>
          <m:sSubPr>
            <m:ctrlPr>
              <w:rPr>
                <w:rFonts w:ascii="Cambria Math" w:hAnsi="Cambria Math"/>
              </w:rPr>
            </m:ctrlPr>
          </m:sSubPr>
          <m:e>
            <m:r>
              <w:rPr>
                <w:rFonts w:ascii="Cambria Math" w:hAnsi="Cambria Math"/>
              </w:rPr>
              <m:t>Q</m:t>
            </m:r>
          </m:e>
          <m:sub>
            <m:r>
              <w:rPr>
                <w:rFonts w:ascii="Cambria Math" w:hAnsi="Cambria Math"/>
              </w:rPr>
              <m:t>oil</m:t>
            </m:r>
          </m:sub>
        </m:sSub>
      </m:oMath>
      <w:r w:rsidR="007351CB" w:rsidRPr="003633F1">
        <w:t xml:space="preserve"> is </w:t>
      </w:r>
      <w:r w:rsidR="00A6502C">
        <w:t>calculated by</w:t>
      </w:r>
      <w:r w:rsidR="007351CB" w:rsidRPr="003633F1">
        <w:t>:</w:t>
      </w:r>
    </w:p>
    <w:tbl>
      <w:tblPr>
        <w:tblpPr w:leftFromText="141" w:rightFromText="141" w:vertAnchor="text" w:horzAnchor="margin" w:tblpY="178"/>
        <w:tblW w:w="5000" w:type="pct"/>
        <w:tblLook w:val="04A0" w:firstRow="1" w:lastRow="0" w:firstColumn="1" w:lastColumn="0" w:noHBand="0" w:noVBand="1"/>
      </w:tblPr>
      <w:tblGrid>
        <w:gridCol w:w="7982"/>
        <w:gridCol w:w="805"/>
      </w:tblGrid>
      <w:tr w:rsidR="007351CB" w:rsidRPr="003633F1" w14:paraId="6E4426D3" w14:textId="77777777" w:rsidTr="00F44DAC">
        <w:trPr>
          <w:trHeight w:val="572"/>
        </w:trPr>
        <w:tc>
          <w:tcPr>
            <w:tcW w:w="7982" w:type="dxa"/>
            <w:shd w:val="clear" w:color="auto" w:fill="auto"/>
            <w:vAlign w:val="center"/>
          </w:tcPr>
          <w:p w14:paraId="02F61156" w14:textId="0973D5A3" w:rsidR="007351CB" w:rsidRPr="003633F1" w:rsidRDefault="00AE64DA" w:rsidP="00A6502C">
            <w:pPr>
              <w:pStyle w:val="CETEquation"/>
              <w:rPr>
                <w:lang w:val="en-US"/>
              </w:rPr>
            </w:pPr>
            <m:oMathPara>
              <m:oMathParaPr>
                <m:jc m:val="left"/>
              </m:oMathPara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oil</m:t>
                    </m:r>
                  </m:sub>
                </m:sSub>
                <m:r>
                  <w:rPr>
                    <w:rFonts w:ascii="Cambria Math" w:hAnsi="Cambria Math"/>
                    <w:lang w:val="en-US"/>
                  </w:rPr>
                  <m:t>=</m:t>
                </m:r>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m</m:t>
                        </m:r>
                      </m:e>
                    </m:acc>
                  </m:e>
                  <m:sub>
                    <m:r>
                      <w:rPr>
                        <w:rFonts w:ascii="Cambria Math" w:hAnsi="Cambria Math"/>
                        <w:lang w:val="en-US"/>
                      </w:rPr>
                      <m:t>oil</m:t>
                    </m:r>
                  </m:sub>
                  <m:sup>
                    <m:r>
                      <w:rPr>
                        <w:rFonts w:ascii="Cambria Math" w:hAnsi="Cambria Math"/>
                        <w:lang w:val="en-US"/>
                      </w:rPr>
                      <m:t>in</m:t>
                    </m:r>
                  </m:sup>
                </m:sSubSup>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p oil</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oil</m:t>
                    </m:r>
                  </m:sub>
                  <m:sup>
                    <m:r>
                      <w:rPr>
                        <w:rFonts w:ascii="Cambria Math" w:hAnsi="Cambria Math"/>
                        <w:lang w:val="en-US"/>
                      </w:rPr>
                      <m:t>in</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oil</m:t>
                    </m:r>
                  </m:sub>
                  <m:sup>
                    <m:r>
                      <w:rPr>
                        <w:rFonts w:ascii="Cambria Math" w:hAnsi="Cambria Math"/>
                        <w:lang w:val="en-US"/>
                      </w:rPr>
                      <m:t>out</m:t>
                    </m:r>
                  </m:sup>
                </m:sSubSup>
                <m:r>
                  <w:rPr>
                    <w:rFonts w:ascii="Cambria Math" w:hAnsi="Cambria Math"/>
                    <w:lang w:val="en-US"/>
                  </w:rPr>
                  <m:t>)</m:t>
                </m:r>
              </m:oMath>
            </m:oMathPara>
          </w:p>
        </w:tc>
        <w:tc>
          <w:tcPr>
            <w:tcW w:w="805" w:type="dxa"/>
            <w:shd w:val="clear" w:color="auto" w:fill="auto"/>
            <w:vAlign w:val="center"/>
          </w:tcPr>
          <w:p w14:paraId="3503CFB5" w14:textId="77777777" w:rsidR="007351CB" w:rsidRPr="003633F1" w:rsidRDefault="007351CB" w:rsidP="00F44DAC">
            <w:pPr>
              <w:pStyle w:val="CETEquation"/>
              <w:jc w:val="right"/>
              <w:rPr>
                <w:lang w:val="en-US"/>
              </w:rPr>
            </w:pPr>
            <w:r w:rsidRPr="003633F1">
              <w:rPr>
                <w:lang w:val="en-US"/>
              </w:rPr>
              <w:t>(</w:t>
            </w:r>
            <w:r>
              <w:rPr>
                <w:lang w:val="en-US"/>
              </w:rPr>
              <w:t>3</w:t>
            </w:r>
            <w:r w:rsidRPr="003633F1">
              <w:rPr>
                <w:lang w:val="en-US"/>
              </w:rPr>
              <w:t>)</w:t>
            </w:r>
          </w:p>
        </w:tc>
      </w:tr>
    </w:tbl>
    <w:p w14:paraId="479255DA" w14:textId="005367B2" w:rsidR="007351CB" w:rsidRPr="003633F1" w:rsidRDefault="007351CB" w:rsidP="007351CB">
      <w:pPr>
        <w:pStyle w:val="CETBodytext"/>
      </w:pPr>
      <w:r w:rsidRPr="003633F1">
        <w:t xml:space="preserve">Where </w:t>
      </w:r>
      <m:oMath>
        <m:sSub>
          <m:sSubPr>
            <m:ctrlPr>
              <w:rPr>
                <w:rFonts w:ascii="Cambria Math" w:hAnsi="Cambria Math"/>
                <w:i/>
              </w:rPr>
            </m:ctrlPr>
          </m:sSubPr>
          <m:e>
            <m:r>
              <w:rPr>
                <w:rFonts w:ascii="Cambria Math" w:hAnsi="Cambria Math"/>
              </w:rPr>
              <m:t>C</m:t>
            </m:r>
          </m:e>
          <m:sub>
            <m:r>
              <w:rPr>
                <w:rFonts w:ascii="Cambria Math" w:hAnsi="Cambria Math"/>
              </w:rPr>
              <m:t>p oil</m:t>
            </m:r>
          </m:sub>
        </m:sSub>
      </m:oMath>
      <w:r w:rsidRPr="003633F1">
        <w:t xml:space="preserve"> is the heat capacity </w:t>
      </w:r>
      <w:r w:rsidR="00A6502C">
        <w:t>of the oil</w:t>
      </w:r>
      <w:r w:rsidRPr="003633F1">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oil</m:t>
            </m:r>
          </m:sub>
          <m:sup>
            <m:r>
              <w:rPr>
                <w:rFonts w:ascii="Cambria Math" w:hAnsi="Cambria Math"/>
              </w:rPr>
              <m:t>in</m:t>
            </m:r>
          </m:sup>
        </m:sSubSup>
      </m:oMath>
      <w:r w:rsidRPr="003633F1">
        <w:t xml:space="preserve"> the inlet </w:t>
      </w:r>
      <w:r w:rsidR="00A6502C">
        <w:t>oil</w:t>
      </w:r>
      <w:r w:rsidR="00A6502C" w:rsidRPr="003633F1">
        <w:t xml:space="preserve"> </w:t>
      </w:r>
      <w:r w:rsidRPr="003633F1">
        <w:t>temperature</w:t>
      </w:r>
      <w:r w:rsidR="00A6502C">
        <w:t xml:space="preserve"> and </w:t>
      </w:r>
      <m:oMath>
        <m:sSubSup>
          <m:sSubSupPr>
            <m:ctrlPr>
              <w:rPr>
                <w:rFonts w:ascii="Cambria Math" w:hAnsi="Cambria Math"/>
                <w:i/>
              </w:rPr>
            </m:ctrlPr>
          </m:sSubSupPr>
          <m:e>
            <m:r>
              <w:rPr>
                <w:rFonts w:ascii="Cambria Math" w:hAnsi="Cambria Math"/>
              </w:rPr>
              <m:t>T</m:t>
            </m:r>
          </m:e>
          <m:sub>
            <m:r>
              <w:rPr>
                <w:rFonts w:ascii="Cambria Math" w:hAnsi="Cambria Math"/>
              </w:rPr>
              <m:t>oil</m:t>
            </m:r>
          </m:sub>
          <m:sup>
            <m:r>
              <w:rPr>
                <w:rFonts w:ascii="Cambria Math" w:hAnsi="Cambria Math"/>
              </w:rPr>
              <m:t>out</m:t>
            </m:r>
          </m:sup>
        </m:sSubSup>
      </m:oMath>
      <w:r w:rsidR="00A6502C" w:rsidRPr="003633F1">
        <w:t xml:space="preserve"> the </w:t>
      </w:r>
      <w:r w:rsidR="00A6502C">
        <w:t>out</w:t>
      </w:r>
      <w:r w:rsidR="00A6502C" w:rsidRPr="003633F1">
        <w:t xml:space="preserve">let </w:t>
      </w:r>
      <w:r w:rsidR="00A6502C">
        <w:t>oil</w:t>
      </w:r>
      <w:r w:rsidR="00A6502C" w:rsidRPr="003633F1">
        <w:t xml:space="preserve"> temperature</w:t>
      </w:r>
      <w:r w:rsidR="00A6502C">
        <w:t>.</w:t>
      </w:r>
    </w:p>
    <w:p w14:paraId="6225E421" w14:textId="48A60682" w:rsidR="007351CB" w:rsidRPr="003633F1" w:rsidRDefault="00AE64DA" w:rsidP="00A6502C">
      <w:pPr>
        <w:pStyle w:val="CETListbullets"/>
        <w:numPr>
          <w:ilvl w:val="0"/>
          <w:numId w:val="25"/>
        </w:numPr>
        <w:ind w:left="340" w:hanging="227"/>
      </w:pPr>
      <m:oMath>
        <m:sSub>
          <m:sSubPr>
            <m:ctrlPr>
              <w:rPr>
                <w:rFonts w:ascii="Cambria Math" w:hAnsi="Cambria Math"/>
              </w:rPr>
            </m:ctrlPr>
          </m:sSubPr>
          <m:e>
            <m:r>
              <w:rPr>
                <w:rFonts w:ascii="Cambria Math" w:hAnsi="Cambria Math"/>
              </w:rPr>
              <m:t>Q</m:t>
            </m:r>
          </m:e>
          <m:sub>
            <m:r>
              <w:rPr>
                <w:rFonts w:ascii="Cambria Math" w:hAnsi="Cambria Math"/>
              </w:rPr>
              <m:t>preheating</m:t>
            </m:r>
          </m:sub>
        </m:sSub>
      </m:oMath>
      <w:r w:rsidR="007351CB" w:rsidRPr="003633F1">
        <w:t xml:space="preserve"> is defined by:</w:t>
      </w:r>
    </w:p>
    <w:tbl>
      <w:tblPr>
        <w:tblpPr w:leftFromText="141" w:rightFromText="141" w:vertAnchor="text" w:horzAnchor="margin" w:tblpY="178"/>
        <w:tblW w:w="5000" w:type="pct"/>
        <w:tblLook w:val="04A0" w:firstRow="1" w:lastRow="0" w:firstColumn="1" w:lastColumn="0" w:noHBand="0" w:noVBand="1"/>
      </w:tblPr>
      <w:tblGrid>
        <w:gridCol w:w="7982"/>
        <w:gridCol w:w="805"/>
      </w:tblGrid>
      <w:tr w:rsidR="007351CB" w:rsidRPr="003633F1" w14:paraId="0E8F87B8" w14:textId="77777777" w:rsidTr="00B05409">
        <w:trPr>
          <w:trHeight w:val="572"/>
        </w:trPr>
        <w:tc>
          <w:tcPr>
            <w:tcW w:w="7982" w:type="dxa"/>
            <w:shd w:val="clear" w:color="auto" w:fill="auto"/>
            <w:vAlign w:val="center"/>
          </w:tcPr>
          <w:p w14:paraId="62ADB662" w14:textId="77777777" w:rsidR="007351CB" w:rsidRPr="003633F1" w:rsidRDefault="00AE64DA" w:rsidP="00B05409">
            <w:pPr>
              <w:pStyle w:val="CETEquation"/>
              <w:rPr>
                <w:lang w:val="en-US"/>
              </w:rPr>
            </w:pPr>
            <m:oMathPara>
              <m:oMathParaPr>
                <m:jc m:val="left"/>
              </m:oMathPara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preheating</m:t>
                    </m:r>
                  </m:sub>
                </m:sSub>
                <m:r>
                  <w:rPr>
                    <w:rFonts w:ascii="Cambria Math" w:hAnsi="Cambria Math"/>
                    <w:lang w:val="en-US"/>
                  </w:rPr>
                  <m:t>=</m:t>
                </m:r>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m</m:t>
                        </m:r>
                      </m:e>
                    </m:acc>
                  </m:e>
                  <m:sub>
                    <m:r>
                      <w:rPr>
                        <w:rFonts w:ascii="Cambria Math" w:hAnsi="Cambria Math"/>
                        <w:lang w:val="en-US"/>
                      </w:rPr>
                      <m:t>water</m:t>
                    </m:r>
                  </m:sub>
                  <m:sup>
                    <m:r>
                      <w:rPr>
                        <w:rFonts w:ascii="Cambria Math" w:hAnsi="Cambria Math"/>
                        <w:lang w:val="en-US"/>
                      </w:rPr>
                      <m:t>in</m:t>
                    </m:r>
                  </m:sup>
                </m:sSubSup>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p</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eb</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in</m:t>
                    </m:r>
                  </m:sup>
                </m:sSup>
                <m:r>
                  <w:rPr>
                    <w:rFonts w:ascii="Cambria Math" w:hAnsi="Cambria Math"/>
                    <w:lang w:val="en-US"/>
                  </w:rPr>
                  <m:t>)</m:t>
                </m:r>
              </m:oMath>
            </m:oMathPara>
          </w:p>
        </w:tc>
        <w:tc>
          <w:tcPr>
            <w:tcW w:w="805" w:type="dxa"/>
            <w:shd w:val="clear" w:color="auto" w:fill="auto"/>
            <w:vAlign w:val="center"/>
          </w:tcPr>
          <w:p w14:paraId="3D3AA9C4" w14:textId="7A8F855A" w:rsidR="007351CB" w:rsidRPr="003633F1" w:rsidRDefault="007351CB" w:rsidP="00A6502C">
            <w:pPr>
              <w:pStyle w:val="CETEquation"/>
              <w:jc w:val="right"/>
              <w:rPr>
                <w:lang w:val="en-US"/>
              </w:rPr>
            </w:pPr>
            <w:r w:rsidRPr="003633F1">
              <w:rPr>
                <w:lang w:val="en-US"/>
              </w:rPr>
              <w:t>(</w:t>
            </w:r>
            <w:r w:rsidR="00A6502C">
              <w:rPr>
                <w:lang w:val="en-US"/>
              </w:rPr>
              <w:t>4</w:t>
            </w:r>
            <w:r w:rsidRPr="003633F1">
              <w:rPr>
                <w:lang w:val="en-US"/>
              </w:rPr>
              <w:t>)</w:t>
            </w:r>
          </w:p>
        </w:tc>
      </w:tr>
    </w:tbl>
    <w:p w14:paraId="33564435" w14:textId="77777777" w:rsidR="007351CB" w:rsidRPr="003633F1" w:rsidRDefault="007351CB" w:rsidP="007351CB">
      <w:pPr>
        <w:pStyle w:val="CETBodytext"/>
      </w:pPr>
      <w:r w:rsidRPr="003633F1">
        <w:t xml:space="preserve">Where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3633F1">
        <w:t xml:space="preserve"> is the heat capacity of </w:t>
      </w:r>
      <w:r>
        <w:t xml:space="preserve">liquid </w:t>
      </w:r>
      <w:r w:rsidRPr="003633F1">
        <w:t xml:space="preserve">water, </w:t>
      </w:r>
      <m:oMath>
        <m:sSup>
          <m:sSupPr>
            <m:ctrlPr>
              <w:rPr>
                <w:rFonts w:ascii="Cambria Math" w:hAnsi="Cambria Math"/>
                <w:i/>
              </w:rPr>
            </m:ctrlPr>
          </m:sSupPr>
          <m:e>
            <m:r>
              <w:rPr>
                <w:rFonts w:ascii="Cambria Math" w:hAnsi="Cambria Math"/>
              </w:rPr>
              <m:t>T</m:t>
            </m:r>
          </m:e>
          <m:sup>
            <m:r>
              <w:rPr>
                <w:rFonts w:ascii="Cambria Math" w:hAnsi="Cambria Math"/>
              </w:rPr>
              <m:t>eb</m:t>
            </m:r>
          </m:sup>
        </m:sSup>
      </m:oMath>
      <w:r w:rsidRPr="003633F1">
        <w:t xml:space="preserve"> the </w:t>
      </w:r>
      <w:r>
        <w:t>boiling</w:t>
      </w:r>
      <w:r w:rsidRPr="003633F1">
        <w:t xml:space="preserve"> temperature and </w:t>
      </w:r>
      <m:oMath>
        <m:sSup>
          <m:sSupPr>
            <m:ctrlPr>
              <w:rPr>
                <w:rFonts w:ascii="Cambria Math" w:hAnsi="Cambria Math"/>
                <w:i/>
              </w:rPr>
            </m:ctrlPr>
          </m:sSupPr>
          <m:e>
            <m:r>
              <w:rPr>
                <w:rFonts w:ascii="Cambria Math" w:hAnsi="Cambria Math"/>
              </w:rPr>
              <m:t>T</m:t>
            </m:r>
          </m:e>
          <m:sup>
            <m:r>
              <w:rPr>
                <w:rFonts w:ascii="Cambria Math" w:hAnsi="Cambria Math"/>
              </w:rPr>
              <m:t>in</m:t>
            </m:r>
          </m:sup>
        </m:sSup>
      </m:oMath>
      <w:r w:rsidRPr="003633F1">
        <w:t xml:space="preserve"> the inlet water temperature.</w:t>
      </w:r>
    </w:p>
    <w:p w14:paraId="1BBE73F5" w14:textId="2A5C94BB" w:rsidR="0099704C" w:rsidRPr="00A6502C" w:rsidRDefault="00AE64DA" w:rsidP="00A6502C">
      <w:pPr>
        <w:pStyle w:val="CETListbullets"/>
        <w:numPr>
          <w:ilvl w:val="0"/>
          <w:numId w:val="25"/>
        </w:numPr>
        <w:ind w:left="340" w:hanging="227"/>
        <w:rPr>
          <w:rFonts w:ascii="Cambria Math" w:hAnsi="Cambria Math"/>
        </w:rPr>
      </w:pPr>
      <m:oMath>
        <m:sSub>
          <m:sSubPr>
            <m:ctrlPr>
              <w:rPr>
                <w:rFonts w:ascii="Cambria Math" w:hAnsi="Cambria Math"/>
              </w:rPr>
            </m:ctrlPr>
          </m:sSubPr>
          <m:e>
            <m:r>
              <w:rPr>
                <w:rFonts w:ascii="Cambria Math" w:hAnsi="Cambria Math"/>
              </w:rPr>
              <m:t>Q</m:t>
            </m:r>
          </m:e>
          <m:sub>
            <m:r>
              <w:rPr>
                <w:rFonts w:ascii="Cambria Math" w:hAnsi="Cambria Math"/>
              </w:rPr>
              <m:t>vaporization</m:t>
            </m:r>
          </m:sub>
        </m:sSub>
      </m:oMath>
      <w:r w:rsidR="007351CB" w:rsidRPr="00A6502C">
        <w:rPr>
          <w:rFonts w:ascii="Cambria Math" w:hAnsi="Cambria Math"/>
        </w:rPr>
        <w:t xml:space="preserve"> </w:t>
      </w:r>
      <w:r w:rsidR="00A814C1" w:rsidRPr="00A6502C">
        <w:t xml:space="preserve">is </w:t>
      </w:r>
      <w:r w:rsidR="007351CB" w:rsidRPr="00A6502C">
        <w:t>defined by</w:t>
      </w:r>
      <w:r w:rsidR="0099704C" w:rsidRPr="00A6502C">
        <w:rPr>
          <w:rFonts w:ascii="Cambria Math" w:hAnsi="Cambria Math"/>
        </w:rPr>
        <w:t>:</w:t>
      </w:r>
    </w:p>
    <w:tbl>
      <w:tblPr>
        <w:tblpPr w:leftFromText="141" w:rightFromText="141" w:vertAnchor="text" w:horzAnchor="margin" w:tblpY="178"/>
        <w:tblW w:w="5000" w:type="pct"/>
        <w:tblLook w:val="04A0" w:firstRow="1" w:lastRow="0" w:firstColumn="1" w:lastColumn="0" w:noHBand="0" w:noVBand="1"/>
      </w:tblPr>
      <w:tblGrid>
        <w:gridCol w:w="7982"/>
        <w:gridCol w:w="805"/>
      </w:tblGrid>
      <w:tr w:rsidR="0099704C" w:rsidRPr="003633F1" w14:paraId="7997929B" w14:textId="77777777" w:rsidTr="00A87597">
        <w:trPr>
          <w:trHeight w:val="572"/>
        </w:trPr>
        <w:tc>
          <w:tcPr>
            <w:tcW w:w="7982" w:type="dxa"/>
            <w:shd w:val="clear" w:color="auto" w:fill="auto"/>
            <w:vAlign w:val="center"/>
          </w:tcPr>
          <w:p w14:paraId="74734974" w14:textId="77777777" w:rsidR="0099704C" w:rsidRPr="003633F1" w:rsidRDefault="00AE64DA" w:rsidP="0099704C">
            <w:pPr>
              <w:pStyle w:val="CETEquation"/>
              <w:rPr>
                <w:lang w:val="en-US"/>
              </w:rPr>
            </w:pPr>
            <m:oMathPara>
              <m:oMathParaPr>
                <m:jc m:val="left"/>
              </m:oMathPara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vaporization</m:t>
                    </m:r>
                  </m:sub>
                </m:sSub>
                <m:r>
                  <w:rPr>
                    <w:rFonts w:ascii="Cambria Math" w:hAnsi="Cambria Math"/>
                    <w:lang w:val="en-US"/>
                  </w:rPr>
                  <m:t xml:space="preserve">=x </m:t>
                </m:r>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m</m:t>
                        </m:r>
                      </m:e>
                    </m:acc>
                  </m:e>
                  <m:sub>
                    <m:r>
                      <w:rPr>
                        <w:rFonts w:ascii="Cambria Math" w:hAnsi="Cambria Math"/>
                        <w:lang w:val="en-US"/>
                      </w:rPr>
                      <m:t>water</m:t>
                    </m:r>
                  </m:sub>
                  <m:sup>
                    <m:r>
                      <w:rPr>
                        <w:rFonts w:ascii="Cambria Math" w:hAnsi="Cambria Math"/>
                        <w:lang w:val="en-US"/>
                      </w:rPr>
                      <m:t>in</m:t>
                    </m:r>
                  </m:sup>
                </m:sSubSup>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vap</m:t>
                        </m:r>
                      </m:sub>
                    </m:sSub>
                  </m:e>
                </m:acc>
              </m:oMath>
            </m:oMathPara>
          </w:p>
        </w:tc>
        <w:tc>
          <w:tcPr>
            <w:tcW w:w="805" w:type="dxa"/>
            <w:shd w:val="clear" w:color="auto" w:fill="auto"/>
            <w:vAlign w:val="center"/>
          </w:tcPr>
          <w:p w14:paraId="05D5E3FA" w14:textId="6EFBB7B7" w:rsidR="0099704C" w:rsidRPr="003633F1" w:rsidRDefault="0099704C" w:rsidP="00A6502C">
            <w:pPr>
              <w:pStyle w:val="CETEquation"/>
              <w:jc w:val="right"/>
              <w:rPr>
                <w:lang w:val="en-US"/>
              </w:rPr>
            </w:pPr>
            <w:r w:rsidRPr="003633F1">
              <w:rPr>
                <w:lang w:val="en-US"/>
              </w:rPr>
              <w:t>(</w:t>
            </w:r>
            <w:r w:rsidR="00A6502C">
              <w:rPr>
                <w:lang w:val="en-US"/>
              </w:rPr>
              <w:t>5</w:t>
            </w:r>
            <w:r w:rsidRPr="003633F1">
              <w:rPr>
                <w:lang w:val="en-US"/>
              </w:rPr>
              <w:t>)</w:t>
            </w:r>
          </w:p>
        </w:tc>
      </w:tr>
    </w:tbl>
    <w:p w14:paraId="46E04BA1" w14:textId="77777777" w:rsidR="00EC7BC4" w:rsidRPr="003633F1" w:rsidRDefault="00EC7BC4" w:rsidP="00CD16AE">
      <w:pPr>
        <w:pStyle w:val="CETBodytext"/>
      </w:pPr>
      <w:r w:rsidRPr="003633F1">
        <w:t xml:space="preserve">Where </w:t>
      </w:r>
      <m:oMath>
        <m:acc>
          <m:accPr>
            <m:chr m:val="̅"/>
            <m:ctrlPr>
              <w:rPr>
                <w:rFonts w:ascii="Cambria Math" w:hAnsi="Cambria Math"/>
                <w:i/>
              </w:rPr>
            </m:ctrlPr>
          </m:accPr>
          <m:e>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vap</m:t>
                </m:r>
              </m:sub>
            </m:sSub>
          </m:e>
        </m:acc>
      </m:oMath>
      <w:r w:rsidRPr="003633F1">
        <w:t xml:space="preserve"> is the latent mass heat of vaporization.</w:t>
      </w:r>
    </w:p>
    <w:p w14:paraId="08F2FD87" w14:textId="77777777" w:rsidR="00EC7BC4" w:rsidRPr="003633F1" w:rsidRDefault="00EC7BC4" w:rsidP="00CD16AE">
      <w:pPr>
        <w:pStyle w:val="CETBodytext"/>
      </w:pPr>
    </w:p>
    <w:p w14:paraId="0A0DC332" w14:textId="4CFE32E2" w:rsidR="00A85105" w:rsidRPr="003633F1" w:rsidRDefault="00A814C1" w:rsidP="00CD16AE">
      <w:pPr>
        <w:pStyle w:val="CETBodytext"/>
      </w:pPr>
      <w:r w:rsidRPr="003633F1">
        <w:t>Thanks to equations (2)</w:t>
      </w:r>
      <w:r w:rsidR="0021586F" w:rsidRPr="003633F1">
        <w:t>, (3)</w:t>
      </w:r>
      <w:r w:rsidR="00A6502C">
        <w:t>,</w:t>
      </w:r>
      <w:r w:rsidR="00A6502C" w:rsidRPr="003633F1">
        <w:t xml:space="preserve"> </w:t>
      </w:r>
      <w:r w:rsidRPr="003633F1">
        <w:t>(</w:t>
      </w:r>
      <w:r w:rsidR="0021586F" w:rsidRPr="003633F1">
        <w:t>4</w:t>
      </w:r>
      <w:r w:rsidRPr="003633F1">
        <w:t>)</w:t>
      </w:r>
      <w:r w:rsidR="00A6502C">
        <w:t xml:space="preserve"> and (5)</w:t>
      </w:r>
      <w:r w:rsidRPr="003633F1">
        <w:t>, the vapour quality can be assessed for each set of operating condition</w:t>
      </w:r>
      <w:r w:rsidR="005C47B8" w:rsidRPr="003633F1">
        <w:t>s</w:t>
      </w:r>
      <w:r w:rsidRPr="003633F1">
        <w:t xml:space="preserve"> running on the test bench.</w:t>
      </w:r>
      <w:r w:rsidR="00692C90">
        <w:t xml:space="preserve"> </w:t>
      </w:r>
      <w:r w:rsidR="00A85105" w:rsidRPr="003633F1">
        <w:t>Specific experiments were carried out to estimate</w:t>
      </w:r>
      <w:r w:rsidRPr="003633F1">
        <w:t xml:space="preserve"> the vaporizer</w:t>
      </w:r>
      <w:r w:rsidR="00A85105" w:rsidRPr="003633F1">
        <w:t xml:space="preserve"> heat losses </w:t>
      </w:r>
      <w:r w:rsidR="00E83FAC">
        <w:t>as a</w:t>
      </w:r>
      <w:r w:rsidR="00A85105" w:rsidRPr="003633F1">
        <w:t xml:space="preserve"> function of operating conditions.</w:t>
      </w:r>
    </w:p>
    <w:p w14:paraId="4D061155" w14:textId="77777777" w:rsidR="00A85105" w:rsidRPr="003633F1" w:rsidRDefault="00A85105" w:rsidP="00CD16AE">
      <w:pPr>
        <w:pStyle w:val="CETBodytext"/>
      </w:pPr>
    </w:p>
    <w:p w14:paraId="7CD3BE3F" w14:textId="77777777" w:rsidR="00A85105" w:rsidRPr="003633F1" w:rsidRDefault="00A85105" w:rsidP="00A85105">
      <w:pPr>
        <w:pStyle w:val="CETheadingx"/>
        <w:numPr>
          <w:ilvl w:val="2"/>
          <w:numId w:val="1"/>
        </w:numPr>
      </w:pPr>
      <w:r w:rsidRPr="003633F1">
        <w:t>Two-phase heat transfer coefficient</w:t>
      </w:r>
    </w:p>
    <w:p w14:paraId="623664F4" w14:textId="544145C0" w:rsidR="00A85105" w:rsidRPr="003633F1" w:rsidRDefault="00A85105" w:rsidP="00CD16AE">
      <w:pPr>
        <w:pStyle w:val="CETBodytext"/>
      </w:pPr>
      <w:r w:rsidRPr="003633F1">
        <w:t xml:space="preserve">As </w:t>
      </w:r>
      <w:r w:rsidR="005C47B8" w:rsidRPr="003633F1">
        <w:t xml:space="preserve">for </w:t>
      </w:r>
      <w:r w:rsidRPr="003633F1">
        <w:t>the vapour quality</w:t>
      </w:r>
      <w:r w:rsidR="005C47B8" w:rsidRPr="003633F1">
        <w:t>,</w:t>
      </w:r>
      <w:r w:rsidRPr="003633F1">
        <w:t xml:space="preserve"> and for the same reasons, </w:t>
      </w:r>
      <w:r w:rsidR="00D16556" w:rsidRPr="003633F1">
        <w:t>heat</w:t>
      </w:r>
      <w:r w:rsidR="00D16556">
        <w:t>-</w:t>
      </w:r>
      <w:r w:rsidRPr="003633F1">
        <w:t>transfer coefficients presented in this work are estimated by a global approach</w:t>
      </w:r>
      <w:r w:rsidR="005C47B8" w:rsidRPr="003633F1">
        <w:t>.</w:t>
      </w:r>
      <w:r w:rsidR="003F77BF" w:rsidRPr="003633F1">
        <w:t xml:space="preserve"> </w:t>
      </w:r>
      <w:r w:rsidR="005C47B8" w:rsidRPr="003633F1">
        <w:t>T</w:t>
      </w:r>
      <w:r w:rsidR="003F77BF" w:rsidRPr="003633F1">
        <w:t xml:space="preserve">he </w:t>
      </w:r>
      <w:r w:rsidR="005C47B8" w:rsidRPr="003633F1">
        <w:t>heat</w:t>
      </w:r>
      <w:r w:rsidR="003F77BF" w:rsidRPr="003633F1">
        <w:t xml:space="preserve"> flow dedicated</w:t>
      </w:r>
      <w:r w:rsidR="005C47B8" w:rsidRPr="003633F1">
        <w:t xml:space="preserve"> to</w:t>
      </w:r>
      <w:r w:rsidR="003F77BF" w:rsidRPr="003633F1">
        <w:t xml:space="preserve"> the vapori</w:t>
      </w:r>
      <w:r w:rsidR="005C47B8" w:rsidRPr="003633F1">
        <w:t>z</w:t>
      </w:r>
      <w:r w:rsidR="003F77BF" w:rsidRPr="003633F1">
        <w:t xml:space="preserve">ation </w:t>
      </w:r>
      <w:r w:rsidR="007313C7">
        <w:t xml:space="preserve">is defined by </w:t>
      </w:r>
      <w:r w:rsidR="003F77BF" w:rsidRPr="003633F1">
        <w:t>equation:</w:t>
      </w:r>
    </w:p>
    <w:tbl>
      <w:tblPr>
        <w:tblpPr w:leftFromText="141" w:rightFromText="141" w:vertAnchor="text" w:horzAnchor="margin" w:tblpY="178"/>
        <w:tblW w:w="5000" w:type="pct"/>
        <w:tblLook w:val="04A0" w:firstRow="1" w:lastRow="0" w:firstColumn="1" w:lastColumn="0" w:noHBand="0" w:noVBand="1"/>
      </w:tblPr>
      <w:tblGrid>
        <w:gridCol w:w="7982"/>
        <w:gridCol w:w="805"/>
      </w:tblGrid>
      <w:tr w:rsidR="003F77BF" w:rsidRPr="003633F1" w14:paraId="5A5F1FDF" w14:textId="77777777" w:rsidTr="00A87597">
        <w:trPr>
          <w:trHeight w:val="572"/>
        </w:trPr>
        <w:tc>
          <w:tcPr>
            <w:tcW w:w="7982" w:type="dxa"/>
            <w:shd w:val="clear" w:color="auto" w:fill="auto"/>
            <w:vAlign w:val="center"/>
          </w:tcPr>
          <w:p w14:paraId="5BCBDE66" w14:textId="77777777" w:rsidR="003F77BF" w:rsidRPr="003633F1" w:rsidRDefault="00AE64DA" w:rsidP="00A87597">
            <w:pPr>
              <w:pStyle w:val="CETEquation"/>
              <w:rPr>
                <w:lang w:val="en-US"/>
              </w:rPr>
            </w:pPr>
            <m:oMathPara>
              <m:oMathParaPr>
                <m:jc m:val="left"/>
              </m:oMathPara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vaporization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tp</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exch</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ml</m:t>
                    </m:r>
                  </m:sub>
                </m:sSub>
              </m:oMath>
            </m:oMathPara>
          </w:p>
        </w:tc>
        <w:tc>
          <w:tcPr>
            <w:tcW w:w="805" w:type="dxa"/>
            <w:shd w:val="clear" w:color="auto" w:fill="auto"/>
            <w:vAlign w:val="center"/>
          </w:tcPr>
          <w:p w14:paraId="371FCF43" w14:textId="35C8C40B" w:rsidR="003F77BF" w:rsidRPr="003633F1" w:rsidRDefault="003F77BF" w:rsidP="00A6502C">
            <w:pPr>
              <w:pStyle w:val="CETEquation"/>
              <w:jc w:val="right"/>
              <w:rPr>
                <w:lang w:val="en-US"/>
              </w:rPr>
            </w:pPr>
            <w:r w:rsidRPr="00B66ED4">
              <w:rPr>
                <w:lang w:val="en-US"/>
              </w:rPr>
              <w:t>(</w:t>
            </w:r>
            <w:r w:rsidR="00A6502C">
              <w:rPr>
                <w:lang w:val="en-US"/>
              </w:rPr>
              <w:t>6</w:t>
            </w:r>
            <w:r w:rsidRPr="00B66ED4">
              <w:rPr>
                <w:lang w:val="en-US"/>
              </w:rPr>
              <w:t>)</w:t>
            </w:r>
          </w:p>
        </w:tc>
      </w:tr>
    </w:tbl>
    <w:p w14:paraId="3DB1953C" w14:textId="671DA9B2" w:rsidR="002E2C1D" w:rsidRPr="003633F1" w:rsidRDefault="003F77BF" w:rsidP="002E2C1D">
      <w:pPr>
        <w:pStyle w:val="CETBodytext"/>
      </w:pPr>
      <w:r w:rsidRPr="003633F1">
        <w:t>Where</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ml</m:t>
            </m:r>
          </m:sub>
        </m:sSub>
      </m:oMath>
      <w:r w:rsidRPr="003633F1">
        <w:t xml:space="preserve"> is the logarithmic mean</w:t>
      </w:r>
      <w:r w:rsidR="00801B95" w:rsidRPr="003633F1">
        <w:t xml:space="preserve"> temperature difference between the wall and the water flow starting from the location where water flow reaches the </w:t>
      </w:r>
      <w:r w:rsidR="003C5C26" w:rsidRPr="003633F1">
        <w:t>boiling</w:t>
      </w:r>
      <w:r w:rsidR="00801B95" w:rsidRPr="003633F1">
        <w:t xml:space="preserve"> point </w:t>
      </w:r>
      <w:r w:rsidR="003C5C26" w:rsidRPr="003633F1">
        <w:t>to</w:t>
      </w:r>
      <w:r w:rsidR="00801B95" w:rsidRPr="003633F1">
        <w:t xml:space="preserve"> the end of the channel. </w:t>
      </w:r>
      <w:r w:rsidR="00BC37B8">
        <w:t>Assessing t</w:t>
      </w:r>
      <w:r w:rsidR="0099546A" w:rsidRPr="003633F1">
        <w:t>he exchange surface</w:t>
      </w:r>
      <w:r w:rsidR="00F05525" w:rsidRPr="003633F1">
        <w:t xml:space="preserve"> (</w:t>
      </w:r>
      <m:oMath>
        <m:sSub>
          <m:sSubPr>
            <m:ctrlPr>
              <w:rPr>
                <w:rFonts w:ascii="Cambria Math" w:hAnsi="Cambria Math"/>
                <w:i/>
              </w:rPr>
            </m:ctrlPr>
          </m:sSubPr>
          <m:e>
            <m:r>
              <w:rPr>
                <w:rFonts w:ascii="Cambria Math" w:hAnsi="Cambria Math"/>
              </w:rPr>
              <m:t>S</m:t>
            </m:r>
          </m:e>
          <m:sub>
            <m:r>
              <w:rPr>
                <w:rFonts w:ascii="Cambria Math" w:hAnsi="Cambria Math"/>
              </w:rPr>
              <m:t>exch</m:t>
            </m:r>
          </m:sub>
        </m:sSub>
        <m:r>
          <w:rPr>
            <w:rFonts w:ascii="Cambria Math" w:hAnsi="Cambria Math"/>
          </w:rPr>
          <m:t>)</m:t>
        </m:r>
      </m:oMath>
      <w:r w:rsidR="00BC37B8">
        <w:t xml:space="preserve"> represents a real issue: </w:t>
      </w:r>
      <w:r w:rsidR="0035255E">
        <w:t>hydrodynamic</w:t>
      </w:r>
      <w:r w:rsidR="00D16556">
        <w:t>s</w:t>
      </w:r>
      <w:r w:rsidR="0035255E">
        <w:t xml:space="preserve"> of the boiling flow is directly impacted by the bubbles growth since</w:t>
      </w:r>
      <w:r w:rsidR="0099546A" w:rsidRPr="003633F1">
        <w:t xml:space="preserve"> </w:t>
      </w:r>
      <w:r w:rsidR="00801B95" w:rsidRPr="003633F1">
        <w:t>the cross section of the bubbles is quickly matching</w:t>
      </w:r>
      <w:r w:rsidR="00F05525" w:rsidRPr="003633F1">
        <w:t>, after its nucleation,</w:t>
      </w:r>
      <w:r w:rsidR="00801B95" w:rsidRPr="003633F1">
        <w:t xml:space="preserve"> the cross section of </w:t>
      </w:r>
      <w:r w:rsidR="00434DF8" w:rsidRPr="003633F1">
        <w:t>channels</w:t>
      </w:r>
      <w:r w:rsidR="00801B95" w:rsidRPr="003633F1">
        <w:t xml:space="preserve">. </w:t>
      </w:r>
      <w:r w:rsidR="0035255E">
        <w:t>These phenomena create an oscillating flow in the channels,</w:t>
      </w:r>
      <w:r w:rsidR="003C5C26" w:rsidRPr="003633F1">
        <w:t xml:space="preserve"> </w:t>
      </w:r>
      <w:r w:rsidR="0035255E">
        <w:t>f</w:t>
      </w:r>
      <w:r w:rsidR="0035255E" w:rsidRPr="003633F1">
        <w:t xml:space="preserve">or </w:t>
      </w:r>
      <w:r w:rsidR="00434DF8" w:rsidRPr="003633F1">
        <w:t>that reason</w:t>
      </w:r>
      <w:r w:rsidR="003C5C26" w:rsidRPr="003633F1">
        <w:t>,</w:t>
      </w:r>
      <w:r w:rsidR="00F05525" w:rsidRPr="003633F1">
        <w:t xml:space="preserve"> the lowest vertical position</w:t>
      </w:r>
      <w:r w:rsidR="0035255E">
        <w:t xml:space="preserve"> of the interface</w:t>
      </w:r>
      <w:r w:rsidR="00F05525" w:rsidRPr="003633F1">
        <w:t xml:space="preserve"> is chosen to calculate the exchange surface in order to</w:t>
      </w:r>
      <w:r w:rsidR="00434DF8" w:rsidRPr="003633F1">
        <w:t xml:space="preserve"> estimate the two-phase </w:t>
      </w:r>
      <w:r w:rsidR="00D16556" w:rsidRPr="003633F1">
        <w:t>heat</w:t>
      </w:r>
      <w:r w:rsidR="00D16556">
        <w:t>-</w:t>
      </w:r>
      <w:r w:rsidR="00434DF8" w:rsidRPr="003633F1">
        <w:t>transfer coefficient</w:t>
      </w:r>
      <w:r w:rsidR="00E54163" w:rsidRPr="003633F1">
        <w:t>.</w:t>
      </w:r>
      <w:r w:rsidR="002E2C1D">
        <w:t xml:space="preserve"> </w:t>
      </w:r>
      <w:r w:rsidR="002E2C1D" w:rsidRPr="003633F1">
        <w:t xml:space="preserve">Since the estimation of the exchange surface is quite inaccurate </w:t>
      </w:r>
      <w:r w:rsidR="002E2C1D">
        <w:t>using this method</w:t>
      </w:r>
      <w:r w:rsidR="002E2C1D" w:rsidRPr="003633F1">
        <w:t xml:space="preserve">, further investigations </w:t>
      </w:r>
      <w:r w:rsidR="002E2C1D">
        <w:t xml:space="preserve">on the high-speed movies </w:t>
      </w:r>
      <w:r w:rsidR="002E2C1D" w:rsidRPr="003633F1">
        <w:t xml:space="preserve">are needed to estimate uncertainty and validate </w:t>
      </w:r>
      <w:r w:rsidR="002E2C1D">
        <w:t>the method</w:t>
      </w:r>
      <w:r w:rsidR="002E2C1D" w:rsidRPr="003633F1">
        <w:t>.</w:t>
      </w:r>
    </w:p>
    <w:p w14:paraId="27D4B14F" w14:textId="53099F44" w:rsidR="001D09B6" w:rsidRDefault="001D09B6" w:rsidP="00CD16AE">
      <w:pPr>
        <w:pStyle w:val="CETBodytext"/>
      </w:pPr>
    </w:p>
    <w:p w14:paraId="25A2F705" w14:textId="77777777" w:rsidR="001D09B6" w:rsidRDefault="001D09B6" w:rsidP="001D09B6">
      <w:pPr>
        <w:pStyle w:val="CETheadingx"/>
        <w:numPr>
          <w:ilvl w:val="2"/>
          <w:numId w:val="1"/>
        </w:numPr>
      </w:pPr>
      <w:r>
        <w:t xml:space="preserve">Global </w:t>
      </w:r>
      <w:r w:rsidR="0056644A">
        <w:t>HS product</w:t>
      </w:r>
    </w:p>
    <w:p w14:paraId="77EB540E" w14:textId="0D4DDB04" w:rsidR="00FB3D31" w:rsidRDefault="001D09B6" w:rsidP="00CD16AE">
      <w:pPr>
        <w:pStyle w:val="CETBodytext"/>
      </w:pPr>
      <w:r>
        <w:t xml:space="preserve">For </w:t>
      </w:r>
      <w:r w:rsidR="008D4E7D">
        <w:t>heat exchangers</w:t>
      </w:r>
      <w:r>
        <w:t xml:space="preserve">, the global </w:t>
      </w:r>
      <w:r w:rsidR="0056644A">
        <w:t>HS product (W/K)</w:t>
      </w:r>
      <w:r w:rsidR="00FB3D31">
        <w:t xml:space="preserve"> is often </w:t>
      </w:r>
      <w:r w:rsidR="007313C7">
        <w:t xml:space="preserve">used as a characteristic </w:t>
      </w:r>
      <w:r w:rsidR="00FB3D31">
        <w:t xml:space="preserve">performance, and it is calculated by equation (6). In the case of a vaporizer, the logarithmic mean temperature difference should be estimated </w:t>
      </w:r>
      <w:r w:rsidR="0035255E">
        <w:t>only for the single-phase flow.</w:t>
      </w:r>
      <w:r w:rsidR="00FB3D31">
        <w:t xml:space="preserve"> However, in this paper, it is assumed the vaporizer </w:t>
      </w:r>
      <w:r w:rsidR="00E83FAC">
        <w:t>can be</w:t>
      </w:r>
      <w:r w:rsidR="00FB3D31">
        <w:t xml:space="preserve"> considered like a single-phase </w:t>
      </w:r>
      <w:r w:rsidR="008D4E7D">
        <w:t>heat exchanger</w:t>
      </w:r>
      <w:r w:rsidR="00FB3D31">
        <w:t>. Thus,</w:t>
      </w:r>
      <w:r w:rsidR="0035255E" w:rsidRPr="0035255E">
        <w:t xml:space="preserve"> </w:t>
      </w:r>
      <w:r w:rsidR="0035255E">
        <w:t>the logarithmic mean temperature difference</w:t>
      </w:r>
      <w:r w:rsidR="00FB3D31">
        <w:t xml:space="preserve"> </w:t>
      </w:r>
      <w:r w:rsidR="0035255E">
        <w:t>is calculated for both single and two-phase flow situation</w:t>
      </w:r>
      <w:r w:rsidR="008D4E7D">
        <w:t>s</w:t>
      </w:r>
      <w:r w:rsidR="0035255E">
        <w:t>. T</w:t>
      </w:r>
      <w:r w:rsidR="00FB3D31">
        <w:t>he temperatures used in the calculation are the inlet and outlet temperatures of both sides. Moreover, the HS product is estimated from the heat flux given by the oil flow.</w:t>
      </w:r>
    </w:p>
    <w:tbl>
      <w:tblPr>
        <w:tblpPr w:leftFromText="141" w:rightFromText="141" w:vertAnchor="text" w:horzAnchor="margin" w:tblpY="178"/>
        <w:tblW w:w="5000" w:type="pct"/>
        <w:tblLook w:val="04A0" w:firstRow="1" w:lastRow="0" w:firstColumn="1" w:lastColumn="0" w:noHBand="0" w:noVBand="1"/>
      </w:tblPr>
      <w:tblGrid>
        <w:gridCol w:w="7982"/>
        <w:gridCol w:w="805"/>
      </w:tblGrid>
      <w:tr w:rsidR="00B66ED4" w:rsidRPr="00B66ED4" w14:paraId="14046101" w14:textId="77777777" w:rsidTr="00A87597">
        <w:trPr>
          <w:trHeight w:val="572"/>
        </w:trPr>
        <w:tc>
          <w:tcPr>
            <w:tcW w:w="7982" w:type="dxa"/>
            <w:shd w:val="clear" w:color="auto" w:fill="auto"/>
            <w:vAlign w:val="center"/>
          </w:tcPr>
          <w:p w14:paraId="1A0483BE" w14:textId="77777777" w:rsidR="00FB3D31" w:rsidRPr="003633F1" w:rsidRDefault="00AE64DA" w:rsidP="00A87597">
            <w:pPr>
              <w:pStyle w:val="CETEquation"/>
              <w:rPr>
                <w:lang w:val="en-US"/>
              </w:rPr>
            </w:pPr>
            <m:oMathPara>
              <m:oMathParaPr>
                <m:jc m:val="left"/>
              </m:oMathPara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Oil</m:t>
                    </m:r>
                  </m:sub>
                </m:sSub>
                <m:r>
                  <w:rPr>
                    <w:rFonts w:ascii="Cambria Math" w:hAnsi="Cambria Math"/>
                    <w:lang w:val="en-US"/>
                  </w:rPr>
                  <m:t>=HS∆</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ml</m:t>
                    </m:r>
                  </m:sub>
                </m:sSub>
              </m:oMath>
            </m:oMathPara>
          </w:p>
        </w:tc>
        <w:tc>
          <w:tcPr>
            <w:tcW w:w="805" w:type="dxa"/>
            <w:shd w:val="clear" w:color="auto" w:fill="auto"/>
            <w:vAlign w:val="center"/>
          </w:tcPr>
          <w:p w14:paraId="3A3EBDCE" w14:textId="77777777" w:rsidR="00FB3D31" w:rsidRPr="00B66ED4" w:rsidRDefault="00FB3D31" w:rsidP="00A87597">
            <w:pPr>
              <w:pStyle w:val="CETEquation"/>
              <w:jc w:val="right"/>
              <w:rPr>
                <w:lang w:val="en-US"/>
              </w:rPr>
            </w:pPr>
            <w:r w:rsidRPr="00B66ED4">
              <w:rPr>
                <w:lang w:val="en-US"/>
              </w:rPr>
              <w:t>(6)</w:t>
            </w:r>
          </w:p>
        </w:tc>
      </w:tr>
    </w:tbl>
    <w:p w14:paraId="070A1CB0" w14:textId="77777777" w:rsidR="00E54163" w:rsidRPr="003633F1" w:rsidRDefault="00E54163" w:rsidP="00E54163">
      <w:pPr>
        <w:pStyle w:val="CETHeading1"/>
        <w:numPr>
          <w:ilvl w:val="1"/>
          <w:numId w:val="1"/>
        </w:numPr>
        <w:tabs>
          <w:tab w:val="num" w:pos="360"/>
        </w:tabs>
      </w:pPr>
      <w:r w:rsidRPr="003633F1">
        <w:t>Results</w:t>
      </w:r>
    </w:p>
    <w:p w14:paraId="29FB3DB1" w14:textId="7ED7DD33" w:rsidR="00FB3D31" w:rsidRDefault="007313C7" w:rsidP="00E54163">
      <w:pPr>
        <w:pStyle w:val="CETBodytext"/>
      </w:pPr>
      <w:r>
        <w:t>F</w:t>
      </w:r>
      <w:r w:rsidR="009703F7">
        <w:t xml:space="preserve">ive different operating parameters </w:t>
      </w:r>
      <w:r>
        <w:t xml:space="preserve">must be chosen for each experiment: </w:t>
      </w:r>
      <w:r w:rsidR="009703F7">
        <w:t>the oil and water flowrates, oil</w:t>
      </w:r>
      <w:r>
        <w:t xml:space="preserve"> temperature</w:t>
      </w:r>
      <w:r w:rsidR="00E57C6E">
        <w:t xml:space="preserve"> in the temperature-controlled bath</w:t>
      </w:r>
      <w:r w:rsidR="009703F7">
        <w:t xml:space="preserve">, </w:t>
      </w:r>
      <w:r>
        <w:t xml:space="preserve">water inlet temperature </w:t>
      </w:r>
      <w:r w:rsidR="009703F7">
        <w:t>and pressure</w:t>
      </w:r>
      <w:r w:rsidR="00E57C6E">
        <w:t xml:space="preserve"> (in this work atmospheric pressure)</w:t>
      </w:r>
      <w:r w:rsidR="009703F7">
        <w:t xml:space="preserve">. </w:t>
      </w:r>
    </w:p>
    <w:p w14:paraId="267A7A28" w14:textId="300BB0E8" w:rsidR="00B532B0" w:rsidRDefault="00B532B0">
      <w:pPr>
        <w:pStyle w:val="CETBodytext"/>
      </w:pPr>
      <w:r>
        <w:t xml:space="preserve">The global </w:t>
      </w:r>
      <w:r w:rsidR="0056644A">
        <w:t>HS product</w:t>
      </w:r>
      <w:r>
        <w:t xml:space="preserve">, </w:t>
      </w:r>
      <w:r w:rsidR="007313C7">
        <w:t xml:space="preserve">for all data points, is shown in </w:t>
      </w:r>
      <w:r>
        <w:t>Figure 2b</w:t>
      </w:r>
      <w:r w:rsidR="007F3C99">
        <w:t xml:space="preserve"> as a function of water flowrate</w:t>
      </w:r>
      <w:r w:rsidR="007313C7">
        <w:t xml:space="preserve">. </w:t>
      </w:r>
      <w:r w:rsidR="007F3C99">
        <w:t>The dispersion of the curve is due to the variation of the other parameters</w:t>
      </w:r>
      <w:r w:rsidR="00E57C6E">
        <w:t xml:space="preserve"> </w:t>
      </w:r>
      <w:r w:rsidR="00601A04">
        <w:rPr>
          <w:lang w:val="en-GB"/>
        </w:rPr>
        <w:t>(see Table 1).</w:t>
      </w:r>
      <w:r w:rsidR="007F3C99">
        <w:t xml:space="preserve"> Despite the varying operating condition</w:t>
      </w:r>
      <w:r w:rsidR="00BC62F7">
        <w:t>s</w:t>
      </w:r>
      <w:r w:rsidR="007F3C99">
        <w:t>, the HS product only varies by approximately +/- 1</w:t>
      </w:r>
      <w:r w:rsidR="00BC62F7">
        <w:t>2</w:t>
      </w:r>
      <w:r w:rsidR="007F3C99">
        <w:t xml:space="preserve">% around its mean value of </w:t>
      </w:r>
      <w:r w:rsidR="00BC62F7">
        <w:t>6.8W/K</w:t>
      </w:r>
      <w:r w:rsidR="007F3C99">
        <w:t>.</w:t>
      </w:r>
      <w:r>
        <w:t xml:space="preserve"> Therefore, concerning the oil operating parameters, only the </w:t>
      </w:r>
      <w:r w:rsidR="00A6502C">
        <w:t xml:space="preserve">measured </w:t>
      </w:r>
      <w:r>
        <w:t>oil inlet temperature has a real influence on the heat flux given by the oil, and thus on the vapour quality. Experimentally, all things being equal</w:t>
      </w:r>
      <w:r w:rsidR="00A6502C">
        <w:t xml:space="preserve"> in particular the </w:t>
      </w:r>
      <w:r w:rsidR="00A6502C">
        <w:lastRenderedPageBreak/>
        <w:t>oil bath temperature</w:t>
      </w:r>
      <w:r>
        <w:t>, increasing the oil flowrate changes the heat losses of the flow in the</w:t>
      </w:r>
      <w:r w:rsidR="00A6502C">
        <w:t xml:space="preserve"> test bench</w:t>
      </w:r>
      <w:r>
        <w:t xml:space="preserve"> piping. The</w:t>
      </w:r>
      <w:r w:rsidR="00A6502C">
        <w:t xml:space="preserve"> result</w:t>
      </w:r>
      <w:r w:rsidR="003D1F93">
        <w:t>ing</w:t>
      </w:r>
      <w:r w:rsidR="00A6502C">
        <w:t xml:space="preserve"> effect is: the</w:t>
      </w:r>
      <w:r>
        <w:t xml:space="preserve"> higher the flowrate is, the higher the </w:t>
      </w:r>
      <w:r w:rsidR="00A6502C">
        <w:t xml:space="preserve">measured </w:t>
      </w:r>
      <w:r>
        <w:t>inlet oil temperature is and the higher the vapour quality is.</w:t>
      </w:r>
    </w:p>
    <w:p w14:paraId="43AD159E" w14:textId="257FDAA9" w:rsidR="00E54163" w:rsidRPr="003633F1" w:rsidRDefault="003C5C26" w:rsidP="00E54163">
      <w:pPr>
        <w:pStyle w:val="CETBodytext"/>
      </w:pPr>
      <w:r w:rsidRPr="003633F1">
        <w:t>In</w:t>
      </w:r>
      <w:r w:rsidR="00172A72" w:rsidRPr="003633F1">
        <w:t xml:space="preserve"> Figure </w:t>
      </w:r>
      <w:r w:rsidR="00B532B0">
        <w:t>2a</w:t>
      </w:r>
      <w:r w:rsidR="00172A72" w:rsidRPr="003633F1">
        <w:t>, the variation of the vapo</w:t>
      </w:r>
      <w:r w:rsidR="007933CF" w:rsidRPr="003633F1">
        <w:t>u</w:t>
      </w:r>
      <w:r w:rsidR="00172A72" w:rsidRPr="003633F1">
        <w:t>r quality produced by the vapori</w:t>
      </w:r>
      <w:r w:rsidRPr="003633F1">
        <w:t>z</w:t>
      </w:r>
      <w:r w:rsidR="00172A72" w:rsidRPr="003633F1">
        <w:t>er</w:t>
      </w:r>
      <w:r w:rsidR="007933CF" w:rsidRPr="003633F1">
        <w:t xml:space="preserve"> </w:t>
      </w:r>
      <w:r w:rsidRPr="003633F1">
        <w:t>as a</w:t>
      </w:r>
      <w:r w:rsidR="007933CF" w:rsidRPr="003633F1">
        <w:t xml:space="preserve"> function of the inlet oil temperature</w:t>
      </w:r>
      <w:r w:rsidR="00172A72" w:rsidRPr="003633F1">
        <w:t xml:space="preserve"> is plotted versus the water flo</w:t>
      </w:r>
      <w:r w:rsidR="007933CF" w:rsidRPr="003633F1">
        <w:t>wrate.</w:t>
      </w:r>
      <w:r w:rsidR="001837AC" w:rsidRPr="003633F1">
        <w:t xml:space="preserve"> The oil flowrate is fixed to 180 kg/h and the water enter</w:t>
      </w:r>
      <w:r w:rsidRPr="003633F1">
        <w:t>s</w:t>
      </w:r>
      <w:r w:rsidR="001837AC" w:rsidRPr="003633F1">
        <w:t xml:space="preserve"> the vaporizer at 80</w:t>
      </w:r>
      <w:r w:rsidR="002D4DED" w:rsidRPr="003633F1">
        <w:t xml:space="preserve"> </w:t>
      </w:r>
      <w:r w:rsidR="001837AC" w:rsidRPr="003633F1">
        <w:t>°C.</w:t>
      </w:r>
    </w:p>
    <w:p w14:paraId="62231401" w14:textId="77777777" w:rsidR="00E54163" w:rsidRPr="003633F1" w:rsidRDefault="009703F7" w:rsidP="00E54163">
      <w:pPr>
        <w:pStyle w:val="CETBodytext"/>
      </w:pPr>
      <w:r w:rsidRPr="003633F1">
        <w:rPr>
          <w:noProof/>
          <w:lang w:val="fr-FR" w:eastAsia="fr-FR"/>
        </w:rPr>
        <mc:AlternateContent>
          <mc:Choice Requires="wps">
            <w:drawing>
              <wp:anchor distT="45720" distB="45720" distL="114300" distR="114300" simplePos="0" relativeHeight="251665408" behindDoc="0" locked="0" layoutInCell="1" allowOverlap="1" wp14:anchorId="0627F9C2" wp14:editId="46A5327C">
                <wp:simplePos x="0" y="0"/>
                <wp:positionH relativeFrom="column">
                  <wp:posOffset>5082540</wp:posOffset>
                </wp:positionH>
                <wp:positionV relativeFrom="paragraph">
                  <wp:posOffset>53340</wp:posOffset>
                </wp:positionV>
                <wp:extent cx="365760" cy="31178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1785"/>
                        </a:xfrm>
                        <a:prstGeom prst="rect">
                          <a:avLst/>
                        </a:prstGeom>
                        <a:noFill/>
                        <a:ln w="9525">
                          <a:noFill/>
                          <a:miter lim="800000"/>
                          <a:headEnd/>
                          <a:tailEnd/>
                        </a:ln>
                      </wps:spPr>
                      <wps:txbx>
                        <w:txbxContent>
                          <w:p w14:paraId="48D6AC0E" w14:textId="77777777" w:rsidR="00A87597" w:rsidRPr="00A018E3" w:rsidRDefault="00A87597" w:rsidP="009703F7">
                            <w:pPr>
                              <w:rPr>
                                <w:lang w:val="fr-FR"/>
                              </w:rPr>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7F9C2" id="_x0000_s1028" type="#_x0000_t202" style="position:absolute;left:0;text-align:left;margin-left:400.2pt;margin-top:4.2pt;width:28.8pt;height:2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" filled="f" stroked="f">
                <v:textbox>
                  <w:txbxContent>
                    <w:p w14:paraId="48D6AC0E" w14:textId="77777777" w:rsidR="00A87597" w:rsidRPr="00A018E3" w:rsidRDefault="00A87597" w:rsidP="009703F7">
                      <w:pPr>
                        <w:rPr>
                          <w:lang w:val="fr-FR"/>
                        </w:rPr>
                      </w:pPr>
                      <w:r>
                        <w:t>(b)</w:t>
                      </w:r>
                    </w:p>
                  </w:txbxContent>
                </v:textbox>
              </v:shape>
            </w:pict>
          </mc:Fallback>
        </mc:AlternateContent>
      </w:r>
      <w:r w:rsidRPr="003633F1">
        <w:rPr>
          <w:noProof/>
          <w:lang w:val="fr-FR" w:eastAsia="fr-FR"/>
        </w:rPr>
        <mc:AlternateContent>
          <mc:Choice Requires="wps">
            <w:drawing>
              <wp:anchor distT="45720" distB="45720" distL="114300" distR="114300" simplePos="0" relativeHeight="251663360" behindDoc="0" locked="0" layoutInCell="1" allowOverlap="1" wp14:anchorId="4A8EA2ED" wp14:editId="5D0D3CCE">
                <wp:simplePos x="0" y="0"/>
                <wp:positionH relativeFrom="column">
                  <wp:posOffset>2228850</wp:posOffset>
                </wp:positionH>
                <wp:positionV relativeFrom="paragraph">
                  <wp:posOffset>45720</wp:posOffset>
                </wp:positionV>
                <wp:extent cx="365760" cy="1404620"/>
                <wp:effectExtent l="0" t="0" r="0" b="254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14:paraId="284CF4B2" w14:textId="77777777" w:rsidR="00A87597" w:rsidRPr="00A018E3" w:rsidRDefault="00A87597" w:rsidP="009703F7">
                            <w:pPr>
                              <w:rPr>
                                <w:lang w:val="fr-FR"/>
                              </w:rPr>
                            </w:pP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EA2ED" id="_x0000_s1029" type="#_x0000_t202" style="position:absolute;left:0;text-align:left;margin-left:175.5pt;margin-top:3.6pt;width:28.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" filled="f" stroked="f">
                <v:textbox style="mso-fit-shape-to-text:t">
                  <w:txbxContent>
                    <w:p w14:paraId="284CF4B2" w14:textId="77777777" w:rsidR="00A87597" w:rsidRPr="00A018E3" w:rsidRDefault="00A87597" w:rsidP="009703F7">
                      <w:pPr>
                        <w:rPr>
                          <w:lang w:val="fr-FR"/>
                        </w:rPr>
                      </w:pPr>
                      <w:r>
                        <w:t>(a)</w:t>
                      </w:r>
                    </w:p>
                  </w:txbxContent>
                </v:textbox>
              </v:shape>
            </w:pict>
          </mc:Fallback>
        </mc:AlternateContent>
      </w:r>
      <w:r w:rsidR="00172A72" w:rsidRPr="003633F1">
        <w:rPr>
          <w:rFonts w:asciiTheme="minorHAnsi" w:eastAsia="MS PGothic" w:hAnsiTheme="minorHAnsi"/>
          <w:noProof/>
          <w:color w:val="000000"/>
          <w:lang w:val="fr-FR" w:eastAsia="fr-FR"/>
        </w:rPr>
        <w:drawing>
          <wp:inline distT="0" distB="0" distL="0" distR="0" wp14:anchorId="5FE29B74" wp14:editId="13728B35">
            <wp:extent cx="2790000" cy="2225615"/>
            <wp:effectExtent l="0" t="0" r="0" b="381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703F7">
        <w:rPr>
          <w:noProof/>
          <w:lang w:val="fr-FR" w:eastAsia="fr-FR"/>
        </w:rPr>
        <w:drawing>
          <wp:inline distT="0" distB="0" distL="0" distR="0" wp14:anchorId="2C533078" wp14:editId="0E7738A0">
            <wp:extent cx="2771775" cy="2211705"/>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C360BF" w14:textId="77777777" w:rsidR="007933CF" w:rsidRPr="003633F1" w:rsidRDefault="007933CF" w:rsidP="007933CF">
      <w:pPr>
        <w:pStyle w:val="CETCaption"/>
        <w:rPr>
          <w:lang w:val="en-US"/>
        </w:rPr>
      </w:pPr>
      <w:r w:rsidRPr="003633F1">
        <w:rPr>
          <w:lang w:val="en-US"/>
        </w:rPr>
        <w:t>Figure 2: Influence of the inlet oil temperature</w:t>
      </w:r>
      <w:r w:rsidR="006D249F" w:rsidRPr="003633F1">
        <w:rPr>
          <w:lang w:val="en-US"/>
        </w:rPr>
        <w:t xml:space="preserve"> and water flowrate</w:t>
      </w:r>
      <w:r w:rsidRPr="003633F1">
        <w:rPr>
          <w:lang w:val="en-US"/>
        </w:rPr>
        <w:t xml:space="preserve"> on the vapour quality</w:t>
      </w:r>
      <w:r w:rsidR="00567B1D">
        <w:rPr>
          <w:lang w:val="en-US"/>
        </w:rPr>
        <w:t xml:space="preserve"> (a), Influence of the water flowrate on the HS</w:t>
      </w:r>
      <w:r w:rsidR="0056644A">
        <w:rPr>
          <w:lang w:val="en-US"/>
        </w:rPr>
        <w:t xml:space="preserve"> product</w:t>
      </w:r>
      <w:r w:rsidR="00567B1D">
        <w:rPr>
          <w:lang w:val="en-US"/>
        </w:rPr>
        <w:t xml:space="preserve"> (b).</w:t>
      </w:r>
    </w:p>
    <w:p w14:paraId="40637F4A" w14:textId="7CBFD3F7" w:rsidR="007933CF" w:rsidRPr="003633F1" w:rsidRDefault="007933CF" w:rsidP="007933CF">
      <w:pPr>
        <w:pStyle w:val="CETBodytext"/>
      </w:pPr>
      <w:r w:rsidRPr="003633F1">
        <w:t xml:space="preserve">Whatever </w:t>
      </w:r>
      <w:r w:rsidR="000368D2" w:rsidRPr="003633F1">
        <w:t>the</w:t>
      </w:r>
      <w:r w:rsidR="001837AC" w:rsidRPr="003633F1">
        <w:t xml:space="preserve"> </w:t>
      </w:r>
      <w:r w:rsidRPr="003633F1">
        <w:t xml:space="preserve">inlet oil temperature, </w:t>
      </w:r>
      <w:r w:rsidR="007F3C99">
        <w:t xml:space="preserve">vapor quality decreases with </w:t>
      </w:r>
      <w:r w:rsidRPr="003633F1">
        <w:t xml:space="preserve">water flowrate. This trend </w:t>
      </w:r>
      <w:r w:rsidR="00530D24" w:rsidRPr="003633F1">
        <w:t xml:space="preserve">can be explained by the distribution of </w:t>
      </w:r>
      <w:r w:rsidRPr="003633F1">
        <w:t>the heat provided by the oil</w:t>
      </w:r>
      <w:r w:rsidR="00BE0B8E" w:rsidRPr="003633F1">
        <w:t>. Indeed,</w:t>
      </w:r>
      <w:r w:rsidRPr="003633F1">
        <w:t xml:space="preserve"> </w:t>
      </w:r>
      <w:r w:rsidR="00267C44">
        <w:t xml:space="preserve">the main </w:t>
      </w:r>
      <w:r w:rsidR="003D1F93">
        <w:t>heat-</w:t>
      </w:r>
      <w:r w:rsidR="00267C44">
        <w:t xml:space="preserve">transfer resistance is located in the hot oil side, consequently, </w:t>
      </w:r>
      <w:r w:rsidRPr="003633F1">
        <w:t xml:space="preserve">for </w:t>
      </w:r>
      <w:r w:rsidR="001837AC" w:rsidRPr="003633F1">
        <w:t>a specific</w:t>
      </w:r>
      <w:r w:rsidRPr="003633F1">
        <w:t xml:space="preserve"> inlet oil temperature, the heat power given by the oil is </w:t>
      </w:r>
      <w:r w:rsidR="007F3C99">
        <w:t xml:space="preserve">almost </w:t>
      </w:r>
      <w:r w:rsidR="00BE0B8E" w:rsidRPr="003633F1">
        <w:t>constant regardless of the water flowrate</w:t>
      </w:r>
      <w:r w:rsidR="001837AC" w:rsidRPr="003633F1">
        <w:t>. In addition, i</w:t>
      </w:r>
      <w:r w:rsidR="00BE0B8E" w:rsidRPr="003633F1">
        <w:t xml:space="preserve">t is assumed that the heat losses are also </w:t>
      </w:r>
      <w:r w:rsidR="007F3C99">
        <w:t>constant</w:t>
      </w:r>
      <w:r w:rsidR="00BE0B8E" w:rsidRPr="003633F1">
        <w:t xml:space="preserve">. According to equation (2), the remaining power is divided between the pre-heating of the flow and the vaporization of the flow. </w:t>
      </w:r>
      <w:r w:rsidR="007405A1" w:rsidRPr="003633F1">
        <w:t xml:space="preserve">Since a higher water flowrate </w:t>
      </w:r>
      <w:r w:rsidR="00861C47" w:rsidRPr="003633F1">
        <w:t>requires</w:t>
      </w:r>
      <w:r w:rsidR="007405A1" w:rsidRPr="003633F1">
        <w:t xml:space="preserve"> more power to be preheated </w:t>
      </w:r>
      <w:r w:rsidR="00861C47" w:rsidRPr="003633F1">
        <w:t xml:space="preserve">up </w:t>
      </w:r>
      <w:r w:rsidR="007405A1" w:rsidRPr="003633F1">
        <w:t>to the boiling point</w:t>
      </w:r>
      <w:r w:rsidR="007F3C99">
        <w:t xml:space="preserve"> (at a given water input temperature)</w:t>
      </w:r>
      <w:r w:rsidR="007405A1" w:rsidRPr="003633F1">
        <w:t xml:space="preserve">, the remaining heat </w:t>
      </w:r>
      <w:r w:rsidR="00FC1FE2" w:rsidRPr="003633F1">
        <w:t>available</w:t>
      </w:r>
      <w:r w:rsidR="007405A1" w:rsidRPr="003633F1">
        <w:t xml:space="preserve"> </w:t>
      </w:r>
      <w:r w:rsidR="002D4DED" w:rsidRPr="003633F1">
        <w:t>is</w:t>
      </w:r>
      <w:r w:rsidR="007405A1" w:rsidRPr="003633F1">
        <w:t xml:space="preserve"> reduced</w:t>
      </w:r>
      <w:r w:rsidR="001837AC" w:rsidRPr="003633F1">
        <w:t xml:space="preserve"> and thus the vapor quality</w:t>
      </w:r>
      <w:r w:rsidR="002D4DED" w:rsidRPr="003633F1">
        <w:t xml:space="preserve"> drops.</w:t>
      </w:r>
    </w:p>
    <w:p w14:paraId="4417161F" w14:textId="77777777" w:rsidR="002D4DED" w:rsidRPr="003633F1" w:rsidRDefault="002D4DED" w:rsidP="007933CF">
      <w:pPr>
        <w:pStyle w:val="CETBodytext"/>
      </w:pPr>
      <w:r w:rsidRPr="003633F1">
        <w:t xml:space="preserve">If </w:t>
      </w:r>
      <w:r w:rsidR="00E81CDB" w:rsidRPr="003633F1">
        <w:t>one focuses</w:t>
      </w:r>
      <w:r w:rsidRPr="003633F1">
        <w:t xml:space="preserve"> on a specific water flowrate, the vapour quality is improved by a higher oil temperature. Indeed, the larger temperature difference between both sides is, the larger the power given by the hot side is, since this difference is the driving force of heat transfer. The vapori</w:t>
      </w:r>
      <w:r w:rsidR="00E81CDB" w:rsidRPr="003633F1">
        <w:t>z</w:t>
      </w:r>
      <w:r w:rsidRPr="003633F1">
        <w:t>er was pre-designed to vaporise 2 L/h of water</w:t>
      </w:r>
      <w:r w:rsidR="00E81CDB" w:rsidRPr="003633F1">
        <w:t>:</w:t>
      </w:r>
      <w:r w:rsidRPr="003633F1">
        <w:t xml:space="preserve"> Figure 2 highlights that </w:t>
      </w:r>
      <w:r w:rsidR="00E81CDB" w:rsidRPr="003633F1">
        <w:t xml:space="preserve">only </w:t>
      </w:r>
      <w:r w:rsidRPr="003633F1">
        <w:t>25% of this goal can be reached with an oil temperature of 141 °C.</w:t>
      </w:r>
    </w:p>
    <w:p w14:paraId="44B86DBE" w14:textId="00F24DF9" w:rsidR="002D4DED" w:rsidRDefault="00864BB3" w:rsidP="007933CF">
      <w:pPr>
        <w:pStyle w:val="CETBodytext"/>
      </w:pPr>
      <w:r w:rsidRPr="003633F1">
        <w:rPr>
          <w:noProof/>
          <w:lang w:val="fr-FR" w:eastAsia="fr-FR"/>
        </w:rPr>
        <w:drawing>
          <wp:inline distT="0" distB="0" distL="0" distR="0" wp14:anchorId="0B5D7A54" wp14:editId="1941A465">
            <wp:extent cx="4829789" cy="2924354"/>
            <wp:effectExtent l="0" t="0" r="9525" b="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p.svg"/>
                    <pic:cNvPicPr/>
                  </pic:nvPicPr>
                  <pic:blipFill>
                    <a:blip r:embed="rId1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4866443" cy="2946547"/>
                    </a:xfrm>
                    <a:prstGeom prst="rect">
                      <a:avLst/>
                    </a:prstGeom>
                  </pic:spPr>
                </pic:pic>
              </a:graphicData>
            </a:graphic>
          </wp:inline>
        </w:drawing>
      </w:r>
    </w:p>
    <w:p w14:paraId="79F41061" w14:textId="77777777" w:rsidR="00864BB3" w:rsidRPr="003633F1" w:rsidRDefault="00864BB3" w:rsidP="00864BB3">
      <w:pPr>
        <w:pStyle w:val="CETCaption"/>
        <w:rPr>
          <w:lang w:val="en-US"/>
        </w:rPr>
      </w:pPr>
      <w:r w:rsidRPr="003633F1">
        <w:rPr>
          <w:lang w:val="en-US"/>
        </w:rPr>
        <w:t>Figure 3: Influence of the pre-heating temperature on the two-phase heat transfer coefficient</w:t>
      </w:r>
    </w:p>
    <w:p w14:paraId="7256DAA0" w14:textId="65C999FD" w:rsidR="006F546A" w:rsidRPr="003633F1" w:rsidRDefault="006F546A" w:rsidP="007933CF">
      <w:pPr>
        <w:pStyle w:val="CETBodytext"/>
      </w:pPr>
      <w:r w:rsidRPr="003633F1">
        <w:lastRenderedPageBreak/>
        <w:t>Boiling flows enable heat</w:t>
      </w:r>
      <w:r w:rsidR="0056644A">
        <w:t xml:space="preserve"> </w:t>
      </w:r>
      <w:r w:rsidRPr="003633F1">
        <w:t>transfer with high heat</w:t>
      </w:r>
      <w:r w:rsidR="0056644A">
        <w:t>-</w:t>
      </w:r>
      <w:r w:rsidRPr="003633F1">
        <w:t>transfer coefficients</w:t>
      </w:r>
      <w:r w:rsidR="00E81CDB" w:rsidRPr="003633F1">
        <w:t>:</w:t>
      </w:r>
      <w:r w:rsidRPr="003633F1">
        <w:t xml:space="preserve"> Figure 3 </w:t>
      </w:r>
      <w:r w:rsidR="00E81CDB" w:rsidRPr="003633F1">
        <w:t>presents average</w:t>
      </w:r>
      <w:r w:rsidRPr="003633F1">
        <w:t xml:space="preserve"> two-phase heat</w:t>
      </w:r>
      <w:r w:rsidR="00E81CDB" w:rsidRPr="003633F1">
        <w:t>-</w:t>
      </w:r>
      <w:r w:rsidRPr="003633F1">
        <w:t xml:space="preserve">transfer coefficients </w:t>
      </w:r>
      <w:r w:rsidR="00E81CDB" w:rsidRPr="003633F1">
        <w:t>f</w:t>
      </w:r>
      <w:r w:rsidRPr="003633F1">
        <w:t xml:space="preserve">or the boiling water in the vaporizer </w:t>
      </w:r>
      <w:r w:rsidR="00E81CDB" w:rsidRPr="003633F1">
        <w:t>as a</w:t>
      </w:r>
      <w:r w:rsidRPr="003633F1">
        <w:t xml:space="preserve"> function</w:t>
      </w:r>
      <w:r w:rsidR="00E81CDB" w:rsidRPr="003633F1">
        <w:t xml:space="preserve"> of the water flowrate and </w:t>
      </w:r>
      <w:r w:rsidRPr="003633F1">
        <w:t xml:space="preserve">inlet water temperature. In this </w:t>
      </w:r>
      <w:r w:rsidR="007F3C99">
        <w:t>study</w:t>
      </w:r>
      <w:r w:rsidRPr="003633F1">
        <w:t xml:space="preserve">, the inlet oil temperature is set </w:t>
      </w:r>
      <w:r w:rsidR="007F3C99">
        <w:t>to</w:t>
      </w:r>
      <w:r w:rsidR="007F3C99" w:rsidRPr="003633F1">
        <w:t xml:space="preserve"> </w:t>
      </w:r>
      <w:r w:rsidRPr="003633F1">
        <w:t xml:space="preserve">121°C and the oil flowrate </w:t>
      </w:r>
      <w:r w:rsidR="007F3C99">
        <w:t>to</w:t>
      </w:r>
      <w:r w:rsidRPr="003633F1">
        <w:t xml:space="preserve"> 110 kg/h. </w:t>
      </w:r>
    </w:p>
    <w:p w14:paraId="7FD5C38A" w14:textId="1832FC71" w:rsidR="006466EF" w:rsidRPr="003633F1" w:rsidRDefault="006F546A" w:rsidP="007933CF">
      <w:pPr>
        <w:pStyle w:val="CETBodytext"/>
      </w:pPr>
      <w:r w:rsidRPr="003633F1">
        <w:t>The</w:t>
      </w:r>
      <w:r w:rsidR="006466EF" w:rsidRPr="003633F1">
        <w:t xml:space="preserve"> values</w:t>
      </w:r>
      <w:r w:rsidR="00E81CDB" w:rsidRPr="003633F1">
        <w:t xml:space="preserve"> of the heat-</w:t>
      </w:r>
      <w:r w:rsidRPr="003633F1">
        <w:t xml:space="preserve">transfer coefficient </w:t>
      </w:r>
      <w:r w:rsidR="007F3C99">
        <w:t xml:space="preserve">fall within a typical </w:t>
      </w:r>
      <w:r w:rsidR="00E81CDB" w:rsidRPr="003633F1">
        <w:t>range</w:t>
      </w:r>
      <w:r w:rsidR="00267C44">
        <w:t>, several thousand</w:t>
      </w:r>
      <w:r w:rsidR="007E551A">
        <w:t>s</w:t>
      </w:r>
      <w:r w:rsidR="00267C44">
        <w:t xml:space="preserve"> of W/m²/K, </w:t>
      </w:r>
      <w:r w:rsidR="007F3C99">
        <w:t>f</w:t>
      </w:r>
      <w:r w:rsidR="006466EF" w:rsidRPr="003633F1">
        <w:t>or two-phase flow in milli-structures</w:t>
      </w:r>
      <w:r w:rsidR="00267C44">
        <w:t xml:space="preserve"> (e.g. Bertsch &amp; al. (2009))</w:t>
      </w:r>
      <w:r w:rsidR="006466EF" w:rsidRPr="003633F1">
        <w:t xml:space="preserve">. Two different </w:t>
      </w:r>
      <w:r w:rsidR="00426201" w:rsidRPr="003633F1">
        <w:t>behaviors</w:t>
      </w:r>
      <w:r w:rsidR="006466EF" w:rsidRPr="003633F1">
        <w:t xml:space="preserve"> are observed</w:t>
      </w:r>
      <w:r w:rsidR="002D2797">
        <w:t>, depending on the water inlet temperature (50°C or 70°C</w:t>
      </w:r>
      <w:r w:rsidR="00267C44">
        <w:t xml:space="preserve"> and more</w:t>
      </w:r>
      <w:r w:rsidR="002D2797">
        <w:t>)</w:t>
      </w:r>
      <w:r w:rsidR="006466EF" w:rsidRPr="003633F1">
        <w:t xml:space="preserve">. In the first case, according to equation (2) and (4), the power needed by the flow to reach the boiling point is </w:t>
      </w:r>
      <w:r w:rsidR="00E81CDB" w:rsidRPr="003633F1">
        <w:t>larger</w:t>
      </w:r>
      <w:r w:rsidR="006466EF" w:rsidRPr="003633F1">
        <w:t xml:space="preserve"> than </w:t>
      </w:r>
      <w:r w:rsidR="00E81CDB" w:rsidRPr="003633F1">
        <w:t xml:space="preserve">in </w:t>
      </w:r>
      <w:r w:rsidR="006466EF" w:rsidRPr="003633F1">
        <w:t xml:space="preserve">the second case. </w:t>
      </w:r>
      <w:r w:rsidR="0025787A" w:rsidRPr="003633F1">
        <w:t>That not only</w:t>
      </w:r>
      <w:r w:rsidR="006466EF" w:rsidRPr="003633F1">
        <w:t xml:space="preserve"> means</w:t>
      </w:r>
      <w:r w:rsidR="0025787A" w:rsidRPr="003633F1">
        <w:t xml:space="preserve"> that</w:t>
      </w:r>
      <w:r w:rsidR="006466EF" w:rsidRPr="003633F1">
        <w:t xml:space="preserve"> the useful power for vapori</w:t>
      </w:r>
      <w:r w:rsidR="0025787A" w:rsidRPr="003633F1">
        <w:t>z</w:t>
      </w:r>
      <w:r w:rsidR="006466EF" w:rsidRPr="003633F1">
        <w:t xml:space="preserve">ation is low but also the </w:t>
      </w:r>
      <w:r w:rsidR="0025787A" w:rsidRPr="003633F1">
        <w:t>single-phase</w:t>
      </w:r>
      <w:r w:rsidR="006466EF" w:rsidRPr="003633F1">
        <w:t>/two-phase flow</w:t>
      </w:r>
      <w:r w:rsidR="0025787A" w:rsidRPr="003633F1">
        <w:t xml:space="preserve"> interface</w:t>
      </w:r>
      <w:r w:rsidR="006466EF" w:rsidRPr="003633F1">
        <w:t xml:space="preserve"> is higher in channels and thus a lower exchange surface</w:t>
      </w:r>
      <w:r w:rsidR="0056644A">
        <w:t xml:space="preserve"> is available</w:t>
      </w:r>
      <w:r w:rsidR="006466EF" w:rsidRPr="003633F1">
        <w:t>.</w:t>
      </w:r>
      <w:r w:rsidR="00FE22AA">
        <w:t xml:space="preserve"> </w:t>
      </w:r>
      <w:r w:rsidR="006466EF" w:rsidRPr="003633F1">
        <w:t xml:space="preserve">Nevertheless, </w:t>
      </w:r>
      <w:r w:rsidR="002D005E" w:rsidRPr="003633F1">
        <w:t>the range of the two-phase</w:t>
      </w:r>
      <w:r w:rsidR="006466EF" w:rsidRPr="003633F1">
        <w:t xml:space="preserve"> </w:t>
      </w:r>
      <w:r w:rsidR="002D005E" w:rsidRPr="003633F1">
        <w:t>heat</w:t>
      </w:r>
      <w:r w:rsidR="00426201">
        <w:t>-</w:t>
      </w:r>
      <w:r w:rsidR="002D005E" w:rsidRPr="003633F1">
        <w:t xml:space="preserve">transfer coefficients is at least twice the range of </w:t>
      </w:r>
      <w:r w:rsidR="0025787A" w:rsidRPr="003633F1">
        <w:t>single-phase heat-</w:t>
      </w:r>
      <w:r w:rsidR="002D005E" w:rsidRPr="003633F1">
        <w:t>transfer coefficients in the same channel geometry.</w:t>
      </w:r>
    </w:p>
    <w:p w14:paraId="46BB7048" w14:textId="53C04D30" w:rsidR="002D4DED" w:rsidRPr="003633F1" w:rsidRDefault="002D4DED" w:rsidP="007933CF">
      <w:pPr>
        <w:pStyle w:val="CETBodytext"/>
      </w:pPr>
    </w:p>
    <w:p w14:paraId="77DDFDB3" w14:textId="0C1B5A4E" w:rsidR="00600535" w:rsidRPr="003633F1" w:rsidRDefault="00600535" w:rsidP="001667C5">
      <w:pPr>
        <w:pStyle w:val="CETHeading1"/>
        <w:numPr>
          <w:ilvl w:val="1"/>
          <w:numId w:val="1"/>
        </w:numPr>
        <w:tabs>
          <w:tab w:val="num" w:pos="360"/>
        </w:tabs>
      </w:pPr>
      <w:r w:rsidRPr="003633F1">
        <w:t>Conclusions</w:t>
      </w:r>
      <w:r w:rsidR="005A206F">
        <w:t xml:space="preserve"> and perspectives </w:t>
      </w:r>
    </w:p>
    <w:p w14:paraId="64F86D9D" w14:textId="1FB6FAA3" w:rsidR="005A206F" w:rsidRDefault="005A206F" w:rsidP="00600535">
      <w:pPr>
        <w:pStyle w:val="CETBodytext"/>
      </w:pPr>
      <w:r>
        <w:t>An experimental study of a vertical milli-channel vaporizer was performed in order to assess its performances in terms of two-phase heat-transfer coefficient and vapour quality. Main results can be summarized as follows:</w:t>
      </w:r>
    </w:p>
    <w:p w14:paraId="188B850E" w14:textId="02B44657" w:rsidR="00D84816" w:rsidRPr="002A397D" w:rsidRDefault="00D84816" w:rsidP="00717C8A">
      <w:pPr>
        <w:pStyle w:val="CETBodytext"/>
        <w:numPr>
          <w:ilvl w:val="0"/>
          <w:numId w:val="25"/>
        </w:numPr>
        <w:ind w:left="426"/>
        <w:rPr>
          <w:lang w:val="en-GB"/>
        </w:rPr>
      </w:pPr>
      <w:r>
        <w:t>For a vaporizer working with hot fluid convection as heat vector,</w:t>
      </w:r>
      <w:r w:rsidR="00A625D0">
        <w:t xml:space="preserve"> the main heat-transfer resistance </w:t>
      </w:r>
      <w:r w:rsidR="00AD509F">
        <w:t>h</w:t>
      </w:r>
      <w:r w:rsidR="002A397D">
        <w:t>as to be determined to understand how the heat flux exchanged can be optimized.</w:t>
      </w:r>
      <w:r>
        <w:t xml:space="preserve"> </w:t>
      </w:r>
      <w:r w:rsidR="002A397D">
        <w:t>However</w:t>
      </w:r>
      <w:r>
        <w:t xml:space="preserve"> inlet operating conditions of both fluids ha</w:t>
      </w:r>
      <w:r w:rsidR="002F1CB5">
        <w:t>ve</w:t>
      </w:r>
      <w:r>
        <w:t xml:space="preserve"> a significant impact on the quality </w:t>
      </w:r>
      <w:r w:rsidR="002A397D">
        <w:t>determined by heat</w:t>
      </w:r>
      <w:r w:rsidR="007E551A">
        <w:t xml:space="preserve"> </w:t>
      </w:r>
      <w:r w:rsidR="002A397D">
        <w:t xml:space="preserve">balance on the vaporizer </w:t>
      </w:r>
      <w:r>
        <w:t>(e.g. the water temperature for pre-heating or the oil temperature, driving force of the heat exchange)</w:t>
      </w:r>
      <w:r w:rsidR="002A397D">
        <w:t>.</w:t>
      </w:r>
    </w:p>
    <w:p w14:paraId="3CB21CF2" w14:textId="5EE3D440" w:rsidR="00284325" w:rsidRPr="00284325" w:rsidRDefault="003633F1" w:rsidP="00284325">
      <w:pPr>
        <w:pStyle w:val="CETBodytext"/>
        <w:numPr>
          <w:ilvl w:val="0"/>
          <w:numId w:val="25"/>
        </w:numPr>
        <w:ind w:left="426"/>
        <w:rPr>
          <w:lang w:val="en-GB"/>
        </w:rPr>
      </w:pPr>
      <w:r w:rsidRPr="00717C8A">
        <w:rPr>
          <w:lang w:val="en-GB"/>
        </w:rPr>
        <w:t>The magnitude of global heat-transfer coefficients</w:t>
      </w:r>
      <w:r w:rsidR="00E03FD9" w:rsidRPr="00717C8A">
        <w:rPr>
          <w:lang w:val="en-GB"/>
        </w:rPr>
        <w:t xml:space="preserve"> and two-phase heat-transfer coefficient</w:t>
      </w:r>
      <w:r w:rsidR="00D84816">
        <w:rPr>
          <w:lang w:val="en-GB"/>
        </w:rPr>
        <w:t>s</w:t>
      </w:r>
      <w:r w:rsidR="00E03FD9" w:rsidRPr="00717C8A">
        <w:rPr>
          <w:lang w:val="en-GB"/>
        </w:rPr>
        <w:t xml:space="preserve"> were</w:t>
      </w:r>
      <w:r w:rsidRPr="00717C8A">
        <w:rPr>
          <w:lang w:val="en-GB"/>
        </w:rPr>
        <w:t xml:space="preserve"> estimated in the vaporizer</w:t>
      </w:r>
      <w:r w:rsidR="00E03FD9" w:rsidRPr="00717C8A">
        <w:rPr>
          <w:lang w:val="en-GB"/>
        </w:rPr>
        <w:t xml:space="preserve">. Further investigations are required to </w:t>
      </w:r>
      <w:r w:rsidR="00671275">
        <w:rPr>
          <w:lang w:val="en-GB"/>
        </w:rPr>
        <w:t>relate</w:t>
      </w:r>
      <w:r w:rsidR="00E03FD9" w:rsidRPr="00717C8A">
        <w:rPr>
          <w:lang w:val="en-GB"/>
        </w:rPr>
        <w:t xml:space="preserve"> more precisely the dependence between heat-transfer coefficients and the heat flux exchanged between both fluids.</w:t>
      </w:r>
    </w:p>
    <w:p w14:paraId="72C62579" w14:textId="77777777" w:rsidR="00D84816" w:rsidRDefault="00D84816" w:rsidP="00D84816">
      <w:pPr>
        <w:pStyle w:val="CETBodytext"/>
        <w:ind w:left="426"/>
      </w:pPr>
    </w:p>
    <w:p w14:paraId="2372F1F2" w14:textId="002693A8" w:rsidR="00B4763F" w:rsidRPr="003633F1" w:rsidRDefault="006D70A1" w:rsidP="00D84816">
      <w:pPr>
        <w:pStyle w:val="CETBodytext"/>
        <w:tabs>
          <w:tab w:val="clear" w:pos="7100"/>
          <w:tab w:val="right" w:pos="66"/>
        </w:tabs>
      </w:pPr>
      <w:r>
        <w:t>The hydrodynamic of the boiling flow on this vaporizer is a real issue for its efficiency. Indeed, visual observation shows that a great part of the liquid is kicked out of the channels</w:t>
      </w:r>
      <w:r w:rsidR="00717C8A">
        <w:t xml:space="preserve"> during the bubble</w:t>
      </w:r>
      <w:r w:rsidR="007E551A">
        <w:t xml:space="preserve"> </w:t>
      </w:r>
      <w:r w:rsidR="00717C8A">
        <w:t>growth</w:t>
      </w:r>
      <w:r>
        <w:t>. The</w:t>
      </w:r>
      <w:r w:rsidR="00106850">
        <w:t xml:space="preserve"> main</w:t>
      </w:r>
      <w:r>
        <w:t xml:space="preserve"> transit time of the liquid is shorten</w:t>
      </w:r>
      <w:r w:rsidR="00426201">
        <w:t>ed</w:t>
      </w:r>
      <w:r>
        <w:t xml:space="preserve"> by </w:t>
      </w:r>
      <w:r w:rsidR="00B4763F">
        <w:t>the boiling</w:t>
      </w:r>
      <w:r w:rsidR="00106850">
        <w:t xml:space="preserve"> phenomena</w:t>
      </w:r>
      <w:r w:rsidR="00B4763F">
        <w:t xml:space="preserve"> </w:t>
      </w:r>
      <w:r w:rsidR="00BA1424">
        <w:t>themselves</w:t>
      </w:r>
      <w:r w:rsidR="00B4763F">
        <w:t xml:space="preserve">. The hydrodynamic regimes have to be understood more precisely </w:t>
      </w:r>
      <w:r w:rsidR="00B8614E">
        <w:t>in order to draw a flow regime map</w:t>
      </w:r>
      <w:r w:rsidR="00B4763F">
        <w:t xml:space="preserve"> </w:t>
      </w:r>
      <w:r w:rsidR="00B8614E">
        <w:t>of the vaporizer. From</w:t>
      </w:r>
      <w:r w:rsidR="00B4763F">
        <w:t xml:space="preserve"> this knowledge, new designs of channels could be tested in order to keep the liquid in</w:t>
      </w:r>
      <w:r w:rsidR="003F5CB0">
        <w:t xml:space="preserve"> the</w:t>
      </w:r>
      <w:r w:rsidR="00B4763F">
        <w:t xml:space="preserve"> channels</w:t>
      </w:r>
      <w:r w:rsidR="00991FD9">
        <w:t xml:space="preserve"> (as Yi &amp; al. (2017))</w:t>
      </w:r>
      <w:r w:rsidR="00B4763F">
        <w:t>. Moreover, the effect of the pressure has to be determined to finalize the study.</w:t>
      </w:r>
    </w:p>
    <w:p w14:paraId="0BB8A895" w14:textId="77777777" w:rsidR="00600535" w:rsidRPr="003633F1" w:rsidRDefault="00600535" w:rsidP="00600535">
      <w:pPr>
        <w:pStyle w:val="CETAcknowledgementstitle"/>
        <w:rPr>
          <w:lang w:val="en-US"/>
        </w:rPr>
      </w:pPr>
      <w:r w:rsidRPr="003633F1">
        <w:rPr>
          <w:lang w:val="en-US"/>
        </w:rPr>
        <w:t>Acknowledgments</w:t>
      </w:r>
      <w:bookmarkStart w:id="0" w:name="_GoBack"/>
      <w:bookmarkEnd w:id="0"/>
    </w:p>
    <w:p w14:paraId="46282389" w14:textId="435071B2" w:rsidR="00600535" w:rsidRPr="003633F1" w:rsidRDefault="00D70D51" w:rsidP="00600535">
      <w:pPr>
        <w:pStyle w:val="CETBodytext"/>
      </w:pPr>
      <w:r w:rsidRPr="003633F1">
        <w:t>Authors acknowledge BPI France for their financial support of the FAIR Project (“Fabrication Additive pour l’Intensification des Réacteurs”; n°2015-PRSP-16), in the frame of the “Progra</w:t>
      </w:r>
      <w:r w:rsidR="00253BA3">
        <w:t>mme d’investissements d’avenir”, and the EN</w:t>
      </w:r>
      <w:r w:rsidR="007E551A">
        <w:t>E</w:t>
      </w:r>
      <w:r w:rsidR="00253BA3">
        <w:t>RBATIN Project supported by Région Grand-Est through CPER 2015-2020.</w:t>
      </w:r>
    </w:p>
    <w:p w14:paraId="0CE81C95" w14:textId="22391DF9" w:rsidR="00600535" w:rsidRPr="003633F1" w:rsidRDefault="00600535" w:rsidP="00600535">
      <w:pPr>
        <w:pStyle w:val="CETReference"/>
        <w:rPr>
          <w:lang w:val="en-US"/>
        </w:rPr>
      </w:pPr>
      <w:r w:rsidRPr="003633F1">
        <w:rPr>
          <w:lang w:val="en-US"/>
        </w:rPr>
        <w:t>References</w:t>
      </w:r>
    </w:p>
    <w:p w14:paraId="0F32F791" w14:textId="55A48A48" w:rsidR="001C0D25" w:rsidRPr="003633F1" w:rsidRDefault="001C0D25" w:rsidP="001C0D25">
      <w:pPr>
        <w:pStyle w:val="CETReferencetext"/>
        <w:rPr>
          <w:lang w:val="en-US"/>
        </w:rPr>
      </w:pPr>
      <w:r w:rsidRPr="003633F1">
        <w:rPr>
          <w:lang w:val="en-US"/>
        </w:rPr>
        <w:t>B</w:t>
      </w:r>
      <w:r w:rsidR="00824CE9" w:rsidRPr="003633F1">
        <w:rPr>
          <w:lang w:val="en-US"/>
        </w:rPr>
        <w:t>ertsch</w:t>
      </w:r>
      <w:r w:rsidRPr="003633F1">
        <w:rPr>
          <w:lang w:val="en-US"/>
        </w:rPr>
        <w:t xml:space="preserve"> S. S., Eckhard A. G., and Suresh V. G., 2009. A Composite Heat Transfer Correlation for Saturated Flow Boiling in Small Channels, </w:t>
      </w:r>
      <w:r w:rsidRPr="003633F1">
        <w:rPr>
          <w:iCs/>
          <w:lang w:val="en-US"/>
        </w:rPr>
        <w:t>International Journal of Heat and Mass Transfer</w:t>
      </w:r>
      <w:r w:rsidRPr="003633F1">
        <w:rPr>
          <w:lang w:val="en-US"/>
        </w:rPr>
        <w:t xml:space="preserve"> 52(7–8):2110–18.</w:t>
      </w:r>
      <w:r w:rsidR="0082013E">
        <w:rPr>
          <w:lang w:val="en-US"/>
        </w:rPr>
        <w:t xml:space="preserve"> (</w:t>
      </w:r>
      <w:r w:rsidR="0082013E" w:rsidRPr="0082013E">
        <w:rPr>
          <w:lang w:val="en-US"/>
        </w:rPr>
        <w:t>DOI: 10.1016/j.ijheatmasstransfer.2008.10.022</w:t>
      </w:r>
      <w:r w:rsidR="0082013E">
        <w:rPr>
          <w:lang w:val="en-US"/>
        </w:rPr>
        <w:t>)</w:t>
      </w:r>
    </w:p>
    <w:p w14:paraId="31503165" w14:textId="7D0DB662" w:rsidR="00C06E7F" w:rsidRDefault="00C06E7F" w:rsidP="006B4888">
      <w:pPr>
        <w:pStyle w:val="CETReferencetext"/>
        <w:rPr>
          <w:lang w:val="en-US"/>
        </w:rPr>
      </w:pPr>
      <w:r w:rsidRPr="003633F1">
        <w:rPr>
          <w:lang w:val="en-US"/>
        </w:rPr>
        <w:t>Chen J.C., 1996, Correlation for boiling heat Transfer to saturated fluids in convective flow, Indus. Eng. Chem. Process Des. Dev., 5, pp. 322–329</w:t>
      </w:r>
      <w:r w:rsidR="0082013E">
        <w:rPr>
          <w:lang w:val="en-US"/>
        </w:rPr>
        <w:t>. (</w:t>
      </w:r>
      <w:r w:rsidR="0082013E" w:rsidRPr="0082013E">
        <w:rPr>
          <w:lang w:val="en-US"/>
        </w:rPr>
        <w:t>DOI: 10.1021/i260019a023</w:t>
      </w:r>
      <w:r w:rsidR="0082013E">
        <w:rPr>
          <w:lang w:val="en-US"/>
        </w:rPr>
        <w:t>)</w:t>
      </w:r>
    </w:p>
    <w:p w14:paraId="5C7EAF56" w14:textId="4DF39BF4" w:rsidR="002B2292" w:rsidRPr="002B2292" w:rsidRDefault="002B2292" w:rsidP="002B2292">
      <w:pPr>
        <w:pStyle w:val="CETReferencetext"/>
        <w:rPr>
          <w:lang w:val="en-US"/>
        </w:rPr>
      </w:pPr>
      <w:r w:rsidRPr="002B2292">
        <w:rPr>
          <w:lang w:val="en-US"/>
        </w:rPr>
        <w:t>Fang X., Yuliang Y., Xu A.,</w:t>
      </w:r>
      <w:r w:rsidRPr="00D84816">
        <w:rPr>
          <w:lang w:val="en-US"/>
        </w:rPr>
        <w:t xml:space="preserve"> Tian L., Wu Q., 2017. </w:t>
      </w:r>
      <w:r w:rsidRPr="002B2292">
        <w:rPr>
          <w:lang w:val="en-US"/>
        </w:rPr>
        <w:t xml:space="preserve">Review of correlations for subcooled flow boiling heat transfer </w:t>
      </w:r>
      <w:r>
        <w:rPr>
          <w:lang w:val="en-US"/>
        </w:rPr>
        <w:t>a</w:t>
      </w:r>
      <w:r w:rsidRPr="002B2292">
        <w:rPr>
          <w:lang w:val="en-US"/>
        </w:rPr>
        <w:t>nd</w:t>
      </w:r>
      <w:r>
        <w:rPr>
          <w:lang w:val="en-US"/>
        </w:rPr>
        <w:t xml:space="preserve"> </w:t>
      </w:r>
      <w:r w:rsidRPr="002B2292">
        <w:rPr>
          <w:lang w:val="en-US"/>
        </w:rPr>
        <w:t>assessment of their applicability to water</w:t>
      </w:r>
      <w:r>
        <w:rPr>
          <w:lang w:val="en-US"/>
        </w:rPr>
        <w:t>, Fusion Engineering and Design, vol 122, pp 52-63 (</w:t>
      </w:r>
      <w:r w:rsidRPr="002B2292">
        <w:rPr>
          <w:lang w:val="en-US"/>
        </w:rPr>
        <w:t>DOI: 10.1016/j.fusengdes.2017.09.008</w:t>
      </w:r>
      <w:r>
        <w:rPr>
          <w:lang w:val="en-US"/>
        </w:rPr>
        <w:t>)</w:t>
      </w:r>
    </w:p>
    <w:p w14:paraId="6C83C09D" w14:textId="39686F3E" w:rsidR="00201C58" w:rsidRDefault="00201C58" w:rsidP="006B4888">
      <w:pPr>
        <w:pStyle w:val="CETReferencetext"/>
        <w:rPr>
          <w:lang w:val="en-US"/>
        </w:rPr>
      </w:pPr>
      <w:r w:rsidRPr="003633F1">
        <w:rPr>
          <w:lang w:val="en-US"/>
        </w:rPr>
        <w:t>Kandlikar S.G., 1990, A General Correlation for Saturated Two-Phase Flow Boiling Heat transfer Inside Horizontal and Vertical Tubes</w:t>
      </w:r>
      <w:r w:rsidR="00824CE9" w:rsidRPr="003633F1">
        <w:rPr>
          <w:lang w:val="en-US"/>
        </w:rPr>
        <w:t>, Journal of Heat Transfer, vol. 112, pp 219-228</w:t>
      </w:r>
      <w:r w:rsidR="0082013E">
        <w:rPr>
          <w:lang w:val="en-US"/>
        </w:rPr>
        <w:t>. (</w:t>
      </w:r>
      <w:r w:rsidR="0082013E" w:rsidRPr="0082013E">
        <w:rPr>
          <w:lang w:val="en-US"/>
        </w:rPr>
        <w:t>DOI: 10.1115/1.2910348</w:t>
      </w:r>
      <w:r w:rsidR="00B508F7">
        <w:rPr>
          <w:lang w:val="en-US"/>
        </w:rPr>
        <w:t>)</w:t>
      </w:r>
    </w:p>
    <w:p w14:paraId="76806D3E" w14:textId="44C3B677" w:rsidR="001C3DD5" w:rsidRPr="001C3DD5" w:rsidRDefault="001C3DD5" w:rsidP="001C3DD5">
      <w:pPr>
        <w:pStyle w:val="CETReferencetext"/>
        <w:rPr>
          <w:lang w:val="en-US"/>
        </w:rPr>
      </w:pPr>
      <w:r w:rsidRPr="001C3DD5">
        <w:rPr>
          <w:lang w:val="en-US"/>
        </w:rPr>
        <w:t>Li Y., Xia G., Jia Y., Cheng Y.</w:t>
      </w:r>
      <w:r>
        <w:rPr>
          <w:lang w:val="en-US"/>
        </w:rPr>
        <w:t xml:space="preserve">, Wang J., 2017, </w:t>
      </w:r>
      <w:r w:rsidRPr="001C3DD5">
        <w:rPr>
          <w:lang w:val="en-US"/>
        </w:rPr>
        <w:t>Experimental investigation of flow boiling performance in</w:t>
      </w:r>
      <w:r>
        <w:rPr>
          <w:lang w:val="en-US"/>
        </w:rPr>
        <w:t xml:space="preserve"> </w:t>
      </w:r>
      <w:r w:rsidRPr="001C3DD5">
        <w:rPr>
          <w:lang w:val="en-US"/>
        </w:rPr>
        <w:t>microchannels with and without triangular cavities – A comparative</w:t>
      </w:r>
      <w:r>
        <w:rPr>
          <w:lang w:val="en-US"/>
        </w:rPr>
        <w:t xml:space="preserve"> </w:t>
      </w:r>
      <w:r w:rsidRPr="001C3DD5">
        <w:rPr>
          <w:lang w:val="en-US"/>
        </w:rPr>
        <w:t>study</w:t>
      </w:r>
      <w:r>
        <w:rPr>
          <w:lang w:val="en-US"/>
        </w:rPr>
        <w:t>, International Journal of Heat and Mass Transfer, vol. 108, pp 1511-1526. (</w:t>
      </w:r>
      <w:r w:rsidRPr="001C3DD5">
        <w:rPr>
          <w:lang w:val="en-US"/>
        </w:rPr>
        <w:t>DOI: 10.1016/j.ijheatmasstransfer.2017.01.011</w:t>
      </w:r>
      <w:r>
        <w:rPr>
          <w:lang w:val="en-US"/>
        </w:rPr>
        <w:t>)</w:t>
      </w:r>
    </w:p>
    <w:p w14:paraId="15812779" w14:textId="77777777" w:rsidR="00E725BE" w:rsidRPr="003633F1" w:rsidRDefault="00E725BE" w:rsidP="006B4888">
      <w:pPr>
        <w:pStyle w:val="CETReferencetext"/>
        <w:rPr>
          <w:lang w:val="en-US"/>
        </w:rPr>
      </w:pPr>
      <w:r w:rsidRPr="003633F1">
        <w:rPr>
          <w:lang w:val="en-US"/>
        </w:rPr>
        <w:t>Shah M.M.,1982 Chart correlation for saturated boiling heat transfer: equation and further study, ASHRAE Trans., 88, pp. 185–196</w:t>
      </w:r>
    </w:p>
    <w:p w14:paraId="16D3F7BE" w14:textId="19476678" w:rsidR="004628D2" w:rsidRPr="003633F1" w:rsidRDefault="00440698" w:rsidP="00B532B0">
      <w:pPr>
        <w:pStyle w:val="CETReferencetext"/>
      </w:pPr>
      <w:r w:rsidRPr="003633F1">
        <w:rPr>
          <w:lang w:val="en-US"/>
        </w:rPr>
        <w:t>Sobierska E., Kulenovic R., Mertz R., Groll M., 2006, Experimental results of flow boiling of water in a vertical microchannel, Experimental Thermal and Fluid Science, 31, 111-119</w:t>
      </w:r>
      <w:r w:rsidR="00B508F7">
        <w:rPr>
          <w:lang w:val="en-US"/>
        </w:rPr>
        <w:t>. (DOI:</w:t>
      </w:r>
      <w:r w:rsidR="00B508F7" w:rsidRPr="00B508F7">
        <w:rPr>
          <w:lang w:val="en-US"/>
        </w:rPr>
        <w:t>10.1016/j.expthermflusci.2006.03.022</w:t>
      </w:r>
      <w:r w:rsidR="00B508F7">
        <w:rPr>
          <w:lang w:val="en-US"/>
        </w:rPr>
        <w:t>)</w:t>
      </w:r>
    </w:p>
    <w:sectPr w:rsidR="004628D2" w:rsidRPr="003633F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223E3" w14:textId="77777777" w:rsidR="00AE64DA" w:rsidRDefault="00AE64DA" w:rsidP="004F5E36">
      <w:r>
        <w:separator/>
      </w:r>
    </w:p>
  </w:endnote>
  <w:endnote w:type="continuationSeparator" w:id="0">
    <w:p w14:paraId="490A10FA" w14:textId="77777777" w:rsidR="00AE64DA" w:rsidRDefault="00AE64D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FF6AF" w14:textId="77777777" w:rsidR="00AE64DA" w:rsidRDefault="00AE64DA" w:rsidP="004F5E36">
      <w:r>
        <w:separator/>
      </w:r>
    </w:p>
  </w:footnote>
  <w:footnote w:type="continuationSeparator" w:id="0">
    <w:p w14:paraId="701BA945" w14:textId="77777777" w:rsidR="00AE64DA" w:rsidRDefault="00AE64D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3E7C4A"/>
    <w:multiLevelType w:val="hybridMultilevel"/>
    <w:tmpl w:val="8B74576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2B2372"/>
    <w:multiLevelType w:val="hybridMultilevel"/>
    <w:tmpl w:val="2C60B0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AD42D5"/>
    <w:multiLevelType w:val="hybridMultilevel"/>
    <w:tmpl w:val="B6A8E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8C32988"/>
    <w:multiLevelType w:val="hybridMultilevel"/>
    <w:tmpl w:val="FA3C82B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5A02CD"/>
    <w:multiLevelType w:val="hybridMultilevel"/>
    <w:tmpl w:val="611A7F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2"/>
  </w:num>
  <w:num w:numId="15">
    <w:abstractNumId w:val="24"/>
  </w:num>
  <w:num w:numId="16">
    <w:abstractNumId w:val="23"/>
  </w:num>
  <w:num w:numId="17">
    <w:abstractNumId w:val="14"/>
  </w:num>
  <w:num w:numId="18">
    <w:abstractNumId w:val="15"/>
    <w:lvlOverride w:ilvl="0">
      <w:startOverride w:val="1"/>
    </w:lvlOverride>
  </w:num>
  <w:num w:numId="19">
    <w:abstractNumId w:val="20"/>
  </w:num>
  <w:num w:numId="20">
    <w:abstractNumId w:val="19"/>
  </w:num>
  <w:num w:numId="21">
    <w:abstractNumId w:val="16"/>
  </w:num>
  <w:num w:numId="22">
    <w:abstractNumId w:val="13"/>
  </w:num>
  <w:num w:numId="23">
    <w:abstractNumId w:val="11"/>
  </w:num>
  <w:num w:numId="24">
    <w:abstractNumId w:val="18"/>
  </w:num>
  <w:num w:numId="25">
    <w:abstractNumId w:val="12"/>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03"/>
    <w:rsid w:val="000027C0"/>
    <w:rsid w:val="000052FB"/>
    <w:rsid w:val="0000622A"/>
    <w:rsid w:val="00010F40"/>
    <w:rsid w:val="000117CB"/>
    <w:rsid w:val="0001457C"/>
    <w:rsid w:val="0003148D"/>
    <w:rsid w:val="000368D2"/>
    <w:rsid w:val="00047D7F"/>
    <w:rsid w:val="00051566"/>
    <w:rsid w:val="00052F66"/>
    <w:rsid w:val="00062A9A"/>
    <w:rsid w:val="00065058"/>
    <w:rsid w:val="000721A2"/>
    <w:rsid w:val="00075223"/>
    <w:rsid w:val="00080B92"/>
    <w:rsid w:val="000821EE"/>
    <w:rsid w:val="00086C39"/>
    <w:rsid w:val="000A03B2"/>
    <w:rsid w:val="000A19DD"/>
    <w:rsid w:val="000A374C"/>
    <w:rsid w:val="000A3B79"/>
    <w:rsid w:val="000A7453"/>
    <w:rsid w:val="000D34BE"/>
    <w:rsid w:val="000E022E"/>
    <w:rsid w:val="000E102F"/>
    <w:rsid w:val="000E36F1"/>
    <w:rsid w:val="000E3A73"/>
    <w:rsid w:val="000E414A"/>
    <w:rsid w:val="000F093C"/>
    <w:rsid w:val="000F16BD"/>
    <w:rsid w:val="000F787B"/>
    <w:rsid w:val="00104EDC"/>
    <w:rsid w:val="00106850"/>
    <w:rsid w:val="00116F9D"/>
    <w:rsid w:val="00120308"/>
    <w:rsid w:val="0012091F"/>
    <w:rsid w:val="00126BC2"/>
    <w:rsid w:val="001308B6"/>
    <w:rsid w:val="0013121F"/>
    <w:rsid w:val="00131FAB"/>
    <w:rsid w:val="00131FE6"/>
    <w:rsid w:val="0013263F"/>
    <w:rsid w:val="00134DE4"/>
    <w:rsid w:val="0014034D"/>
    <w:rsid w:val="00150E59"/>
    <w:rsid w:val="00152DE3"/>
    <w:rsid w:val="001552DA"/>
    <w:rsid w:val="00162642"/>
    <w:rsid w:val="001635A7"/>
    <w:rsid w:val="00164CF9"/>
    <w:rsid w:val="001667C5"/>
    <w:rsid w:val="00172A72"/>
    <w:rsid w:val="00182824"/>
    <w:rsid w:val="001837AC"/>
    <w:rsid w:val="001848B7"/>
    <w:rsid w:val="00184AD6"/>
    <w:rsid w:val="001933D9"/>
    <w:rsid w:val="001B0349"/>
    <w:rsid w:val="001B65C1"/>
    <w:rsid w:val="001C0D25"/>
    <w:rsid w:val="001C3DD5"/>
    <w:rsid w:val="001C4934"/>
    <w:rsid w:val="001C684B"/>
    <w:rsid w:val="001D09B6"/>
    <w:rsid w:val="001D53FC"/>
    <w:rsid w:val="001E581D"/>
    <w:rsid w:val="001F42A5"/>
    <w:rsid w:val="001F7B9D"/>
    <w:rsid w:val="00201C58"/>
    <w:rsid w:val="0021586F"/>
    <w:rsid w:val="002224B4"/>
    <w:rsid w:val="002447EF"/>
    <w:rsid w:val="00247461"/>
    <w:rsid w:val="00251550"/>
    <w:rsid w:val="00252C1A"/>
    <w:rsid w:val="00253BA3"/>
    <w:rsid w:val="0025787A"/>
    <w:rsid w:val="00263B05"/>
    <w:rsid w:val="00267C44"/>
    <w:rsid w:val="00270D82"/>
    <w:rsid w:val="00271B34"/>
    <w:rsid w:val="0027221A"/>
    <w:rsid w:val="00275B61"/>
    <w:rsid w:val="002768C6"/>
    <w:rsid w:val="00282656"/>
    <w:rsid w:val="00284325"/>
    <w:rsid w:val="00294E39"/>
    <w:rsid w:val="00296B83"/>
    <w:rsid w:val="002A397D"/>
    <w:rsid w:val="002B2292"/>
    <w:rsid w:val="002B78CE"/>
    <w:rsid w:val="002C2FB6"/>
    <w:rsid w:val="002C6BB3"/>
    <w:rsid w:val="002D005E"/>
    <w:rsid w:val="002D2797"/>
    <w:rsid w:val="002D4DED"/>
    <w:rsid w:val="002D5BCD"/>
    <w:rsid w:val="002E2C1D"/>
    <w:rsid w:val="002F1CB5"/>
    <w:rsid w:val="002F2646"/>
    <w:rsid w:val="003009B7"/>
    <w:rsid w:val="00300E56"/>
    <w:rsid w:val="0030469C"/>
    <w:rsid w:val="00321CA6"/>
    <w:rsid w:val="00334C09"/>
    <w:rsid w:val="003365E3"/>
    <w:rsid w:val="0035255E"/>
    <w:rsid w:val="003561D2"/>
    <w:rsid w:val="00362114"/>
    <w:rsid w:val="003633F1"/>
    <w:rsid w:val="003723D4"/>
    <w:rsid w:val="00380A63"/>
    <w:rsid w:val="00383EEA"/>
    <w:rsid w:val="00384CC8"/>
    <w:rsid w:val="003871FD"/>
    <w:rsid w:val="003A1E30"/>
    <w:rsid w:val="003A4B95"/>
    <w:rsid w:val="003A7D1C"/>
    <w:rsid w:val="003B304B"/>
    <w:rsid w:val="003B3146"/>
    <w:rsid w:val="003B446D"/>
    <w:rsid w:val="003B60F3"/>
    <w:rsid w:val="003B64C0"/>
    <w:rsid w:val="003C5C26"/>
    <w:rsid w:val="003D1F93"/>
    <w:rsid w:val="003F015E"/>
    <w:rsid w:val="003F1B02"/>
    <w:rsid w:val="003F5CB0"/>
    <w:rsid w:val="003F77BF"/>
    <w:rsid w:val="00400414"/>
    <w:rsid w:val="0041446B"/>
    <w:rsid w:val="00426201"/>
    <w:rsid w:val="004321C1"/>
    <w:rsid w:val="00434DF8"/>
    <w:rsid w:val="00440698"/>
    <w:rsid w:val="00442E84"/>
    <w:rsid w:val="0044329C"/>
    <w:rsid w:val="004536CC"/>
    <w:rsid w:val="004577FE"/>
    <w:rsid w:val="00457B9C"/>
    <w:rsid w:val="0046164A"/>
    <w:rsid w:val="004617AD"/>
    <w:rsid w:val="004628D2"/>
    <w:rsid w:val="00462DCD"/>
    <w:rsid w:val="004648AD"/>
    <w:rsid w:val="004703A9"/>
    <w:rsid w:val="00474AD0"/>
    <w:rsid w:val="004760DE"/>
    <w:rsid w:val="00480483"/>
    <w:rsid w:val="004A004E"/>
    <w:rsid w:val="004A24CF"/>
    <w:rsid w:val="004B6721"/>
    <w:rsid w:val="004C3D1D"/>
    <w:rsid w:val="004C7913"/>
    <w:rsid w:val="004E4DD6"/>
    <w:rsid w:val="004F1D2A"/>
    <w:rsid w:val="004F5E36"/>
    <w:rsid w:val="004F68A7"/>
    <w:rsid w:val="0050478F"/>
    <w:rsid w:val="00507B47"/>
    <w:rsid w:val="00507CC9"/>
    <w:rsid w:val="005119A5"/>
    <w:rsid w:val="005133CE"/>
    <w:rsid w:val="00527798"/>
    <w:rsid w:val="005278B7"/>
    <w:rsid w:val="00530D24"/>
    <w:rsid w:val="00532016"/>
    <w:rsid w:val="005346C8"/>
    <w:rsid w:val="00543E7D"/>
    <w:rsid w:val="00544455"/>
    <w:rsid w:val="00546B05"/>
    <w:rsid w:val="00547A68"/>
    <w:rsid w:val="005531C9"/>
    <w:rsid w:val="0056644A"/>
    <w:rsid w:val="00567B1D"/>
    <w:rsid w:val="005711AE"/>
    <w:rsid w:val="005A0141"/>
    <w:rsid w:val="005A206F"/>
    <w:rsid w:val="005A2152"/>
    <w:rsid w:val="005A4E95"/>
    <w:rsid w:val="005B2110"/>
    <w:rsid w:val="005B61E6"/>
    <w:rsid w:val="005C47B8"/>
    <w:rsid w:val="005C77E1"/>
    <w:rsid w:val="005D6A2F"/>
    <w:rsid w:val="005E1A82"/>
    <w:rsid w:val="005E794C"/>
    <w:rsid w:val="005F0A28"/>
    <w:rsid w:val="005F0E5E"/>
    <w:rsid w:val="005F21EA"/>
    <w:rsid w:val="005F3196"/>
    <w:rsid w:val="005F418B"/>
    <w:rsid w:val="00600535"/>
    <w:rsid w:val="00601A04"/>
    <w:rsid w:val="00606D3A"/>
    <w:rsid w:val="00610CD6"/>
    <w:rsid w:val="00620DEE"/>
    <w:rsid w:val="0062193C"/>
    <w:rsid w:val="00621F92"/>
    <w:rsid w:val="00625639"/>
    <w:rsid w:val="00631B33"/>
    <w:rsid w:val="00636D59"/>
    <w:rsid w:val="006407EC"/>
    <w:rsid w:val="0064184D"/>
    <w:rsid w:val="006422CC"/>
    <w:rsid w:val="006466EF"/>
    <w:rsid w:val="00660E3E"/>
    <w:rsid w:val="00662E74"/>
    <w:rsid w:val="00671275"/>
    <w:rsid w:val="00680A52"/>
    <w:rsid w:val="00680C23"/>
    <w:rsid w:val="006847B8"/>
    <w:rsid w:val="00691138"/>
    <w:rsid w:val="00692C90"/>
    <w:rsid w:val="00693766"/>
    <w:rsid w:val="006A3281"/>
    <w:rsid w:val="006B4888"/>
    <w:rsid w:val="006C2E45"/>
    <w:rsid w:val="006C359C"/>
    <w:rsid w:val="006C5579"/>
    <w:rsid w:val="006D249F"/>
    <w:rsid w:val="006D70A1"/>
    <w:rsid w:val="006E737D"/>
    <w:rsid w:val="006F546A"/>
    <w:rsid w:val="006F6566"/>
    <w:rsid w:val="0070195D"/>
    <w:rsid w:val="00717C8A"/>
    <w:rsid w:val="00720A24"/>
    <w:rsid w:val="007313C7"/>
    <w:rsid w:val="00732386"/>
    <w:rsid w:val="007351CB"/>
    <w:rsid w:val="007405A1"/>
    <w:rsid w:val="007447F3"/>
    <w:rsid w:val="00746DFF"/>
    <w:rsid w:val="007505C9"/>
    <w:rsid w:val="0075499F"/>
    <w:rsid w:val="007661C8"/>
    <w:rsid w:val="0077098D"/>
    <w:rsid w:val="007931FA"/>
    <w:rsid w:val="007933CF"/>
    <w:rsid w:val="007A290D"/>
    <w:rsid w:val="007A7BBA"/>
    <w:rsid w:val="007B0C50"/>
    <w:rsid w:val="007C1A43"/>
    <w:rsid w:val="007C6B85"/>
    <w:rsid w:val="007E07AD"/>
    <w:rsid w:val="007E1DC6"/>
    <w:rsid w:val="007E306D"/>
    <w:rsid w:val="007E551A"/>
    <w:rsid w:val="007F3C99"/>
    <w:rsid w:val="007F7EA8"/>
    <w:rsid w:val="00801B95"/>
    <w:rsid w:val="00801FD7"/>
    <w:rsid w:val="00813288"/>
    <w:rsid w:val="008168FC"/>
    <w:rsid w:val="0082013E"/>
    <w:rsid w:val="00824CE9"/>
    <w:rsid w:val="00830996"/>
    <w:rsid w:val="008345F1"/>
    <w:rsid w:val="00837537"/>
    <w:rsid w:val="00861C47"/>
    <w:rsid w:val="00864BB3"/>
    <w:rsid w:val="00865B07"/>
    <w:rsid w:val="00866299"/>
    <w:rsid w:val="008667EA"/>
    <w:rsid w:val="0087637F"/>
    <w:rsid w:val="00884663"/>
    <w:rsid w:val="008904B9"/>
    <w:rsid w:val="00890D06"/>
    <w:rsid w:val="00892AD5"/>
    <w:rsid w:val="008963C7"/>
    <w:rsid w:val="008A1512"/>
    <w:rsid w:val="008C0704"/>
    <w:rsid w:val="008C4694"/>
    <w:rsid w:val="008C7776"/>
    <w:rsid w:val="008C78C1"/>
    <w:rsid w:val="008D32B9"/>
    <w:rsid w:val="008D433B"/>
    <w:rsid w:val="008D4E7D"/>
    <w:rsid w:val="008E566E"/>
    <w:rsid w:val="008E7A98"/>
    <w:rsid w:val="008F22BB"/>
    <w:rsid w:val="008F4BEF"/>
    <w:rsid w:val="0090161A"/>
    <w:rsid w:val="00901EB6"/>
    <w:rsid w:val="009036FC"/>
    <w:rsid w:val="00903BBF"/>
    <w:rsid w:val="00904C62"/>
    <w:rsid w:val="0092443E"/>
    <w:rsid w:val="00924DAC"/>
    <w:rsid w:val="00927058"/>
    <w:rsid w:val="00935CD2"/>
    <w:rsid w:val="009450CE"/>
    <w:rsid w:val="00947179"/>
    <w:rsid w:val="0095164B"/>
    <w:rsid w:val="00954090"/>
    <w:rsid w:val="009573E7"/>
    <w:rsid w:val="009635B9"/>
    <w:rsid w:val="00963E05"/>
    <w:rsid w:val="00967D54"/>
    <w:rsid w:val="009703F7"/>
    <w:rsid w:val="00973768"/>
    <w:rsid w:val="00991FD9"/>
    <w:rsid w:val="0099546A"/>
    <w:rsid w:val="00996483"/>
    <w:rsid w:val="00996F5A"/>
    <w:rsid w:val="0099704C"/>
    <w:rsid w:val="009A0A3E"/>
    <w:rsid w:val="009A3ABA"/>
    <w:rsid w:val="009B041A"/>
    <w:rsid w:val="009C7C86"/>
    <w:rsid w:val="009D2FF7"/>
    <w:rsid w:val="009E442C"/>
    <w:rsid w:val="009E74BC"/>
    <w:rsid w:val="009E7884"/>
    <w:rsid w:val="009E788A"/>
    <w:rsid w:val="009F0E08"/>
    <w:rsid w:val="009F6FAC"/>
    <w:rsid w:val="00A018E3"/>
    <w:rsid w:val="00A1763D"/>
    <w:rsid w:val="00A17CEC"/>
    <w:rsid w:val="00A27EF0"/>
    <w:rsid w:val="00A3225E"/>
    <w:rsid w:val="00A4153B"/>
    <w:rsid w:val="00A50B20"/>
    <w:rsid w:val="00A51390"/>
    <w:rsid w:val="00A60D13"/>
    <w:rsid w:val="00A625D0"/>
    <w:rsid w:val="00A6502C"/>
    <w:rsid w:val="00A72745"/>
    <w:rsid w:val="00A76EFC"/>
    <w:rsid w:val="00A814C1"/>
    <w:rsid w:val="00A8279D"/>
    <w:rsid w:val="00A85105"/>
    <w:rsid w:val="00A864C2"/>
    <w:rsid w:val="00A87597"/>
    <w:rsid w:val="00A91010"/>
    <w:rsid w:val="00A97F29"/>
    <w:rsid w:val="00AA702E"/>
    <w:rsid w:val="00AB0964"/>
    <w:rsid w:val="00AB5011"/>
    <w:rsid w:val="00AC7368"/>
    <w:rsid w:val="00AD16B9"/>
    <w:rsid w:val="00AD509F"/>
    <w:rsid w:val="00AD69EE"/>
    <w:rsid w:val="00AE377D"/>
    <w:rsid w:val="00AE64DA"/>
    <w:rsid w:val="00AF0544"/>
    <w:rsid w:val="00B114DC"/>
    <w:rsid w:val="00B17FBD"/>
    <w:rsid w:val="00B315A6"/>
    <w:rsid w:val="00B31813"/>
    <w:rsid w:val="00B33365"/>
    <w:rsid w:val="00B4601F"/>
    <w:rsid w:val="00B4763F"/>
    <w:rsid w:val="00B508F7"/>
    <w:rsid w:val="00B532B0"/>
    <w:rsid w:val="00B57B36"/>
    <w:rsid w:val="00B62022"/>
    <w:rsid w:val="00B6369C"/>
    <w:rsid w:val="00B66ED4"/>
    <w:rsid w:val="00B8614E"/>
    <w:rsid w:val="00B8686D"/>
    <w:rsid w:val="00BA1424"/>
    <w:rsid w:val="00BA575D"/>
    <w:rsid w:val="00BB226B"/>
    <w:rsid w:val="00BC30C9"/>
    <w:rsid w:val="00BC37B8"/>
    <w:rsid w:val="00BC62F7"/>
    <w:rsid w:val="00BD2B76"/>
    <w:rsid w:val="00BE0B8E"/>
    <w:rsid w:val="00BE3E58"/>
    <w:rsid w:val="00BE6446"/>
    <w:rsid w:val="00BF53B2"/>
    <w:rsid w:val="00C01616"/>
    <w:rsid w:val="00C0162B"/>
    <w:rsid w:val="00C06E7F"/>
    <w:rsid w:val="00C078AA"/>
    <w:rsid w:val="00C13D70"/>
    <w:rsid w:val="00C24826"/>
    <w:rsid w:val="00C345B1"/>
    <w:rsid w:val="00C40142"/>
    <w:rsid w:val="00C433F2"/>
    <w:rsid w:val="00C57182"/>
    <w:rsid w:val="00C57863"/>
    <w:rsid w:val="00C655FD"/>
    <w:rsid w:val="00C669FA"/>
    <w:rsid w:val="00C870A8"/>
    <w:rsid w:val="00C94434"/>
    <w:rsid w:val="00C97160"/>
    <w:rsid w:val="00CA0D75"/>
    <w:rsid w:val="00CA1C95"/>
    <w:rsid w:val="00CA5A9C"/>
    <w:rsid w:val="00CB31C3"/>
    <w:rsid w:val="00CC4104"/>
    <w:rsid w:val="00CD16AE"/>
    <w:rsid w:val="00CD30D8"/>
    <w:rsid w:val="00CD3517"/>
    <w:rsid w:val="00CD5A00"/>
    <w:rsid w:val="00CD5FE2"/>
    <w:rsid w:val="00CD7D4C"/>
    <w:rsid w:val="00CE1B1E"/>
    <w:rsid w:val="00CE6198"/>
    <w:rsid w:val="00CE7C68"/>
    <w:rsid w:val="00D02B4C"/>
    <w:rsid w:val="00D040C4"/>
    <w:rsid w:val="00D10A52"/>
    <w:rsid w:val="00D16556"/>
    <w:rsid w:val="00D40DB8"/>
    <w:rsid w:val="00D41D14"/>
    <w:rsid w:val="00D57C84"/>
    <w:rsid w:val="00D6057D"/>
    <w:rsid w:val="00D70D51"/>
    <w:rsid w:val="00D84576"/>
    <w:rsid w:val="00D84816"/>
    <w:rsid w:val="00D977BC"/>
    <w:rsid w:val="00DA1399"/>
    <w:rsid w:val="00DA24C6"/>
    <w:rsid w:val="00DA470B"/>
    <w:rsid w:val="00DA4D7B"/>
    <w:rsid w:val="00DB0261"/>
    <w:rsid w:val="00DE264A"/>
    <w:rsid w:val="00E02D18"/>
    <w:rsid w:val="00E03FD9"/>
    <w:rsid w:val="00E041E7"/>
    <w:rsid w:val="00E046B2"/>
    <w:rsid w:val="00E23CA1"/>
    <w:rsid w:val="00E26995"/>
    <w:rsid w:val="00E30C2C"/>
    <w:rsid w:val="00E409A8"/>
    <w:rsid w:val="00E44FA1"/>
    <w:rsid w:val="00E47B45"/>
    <w:rsid w:val="00E50C12"/>
    <w:rsid w:val="00E51908"/>
    <w:rsid w:val="00E54163"/>
    <w:rsid w:val="00E57C6E"/>
    <w:rsid w:val="00E63CF3"/>
    <w:rsid w:val="00E65B91"/>
    <w:rsid w:val="00E7209D"/>
    <w:rsid w:val="00E725BE"/>
    <w:rsid w:val="00E77223"/>
    <w:rsid w:val="00E81CDB"/>
    <w:rsid w:val="00E83FAC"/>
    <w:rsid w:val="00E8528B"/>
    <w:rsid w:val="00E85B94"/>
    <w:rsid w:val="00E93F93"/>
    <w:rsid w:val="00E978D0"/>
    <w:rsid w:val="00EA4613"/>
    <w:rsid w:val="00EA7F91"/>
    <w:rsid w:val="00EB1523"/>
    <w:rsid w:val="00EC0E49"/>
    <w:rsid w:val="00EC3B0D"/>
    <w:rsid w:val="00EC47FD"/>
    <w:rsid w:val="00EC7BC4"/>
    <w:rsid w:val="00ED04B4"/>
    <w:rsid w:val="00EE0131"/>
    <w:rsid w:val="00EF508C"/>
    <w:rsid w:val="00F05525"/>
    <w:rsid w:val="00F155B2"/>
    <w:rsid w:val="00F30C64"/>
    <w:rsid w:val="00F32CDB"/>
    <w:rsid w:val="00F3344F"/>
    <w:rsid w:val="00F4138F"/>
    <w:rsid w:val="00F60D2C"/>
    <w:rsid w:val="00F63A70"/>
    <w:rsid w:val="00F64198"/>
    <w:rsid w:val="00F73BBE"/>
    <w:rsid w:val="00F876B4"/>
    <w:rsid w:val="00F948A0"/>
    <w:rsid w:val="00F97A21"/>
    <w:rsid w:val="00FA21D0"/>
    <w:rsid w:val="00FA5F5F"/>
    <w:rsid w:val="00FB3D31"/>
    <w:rsid w:val="00FB730C"/>
    <w:rsid w:val="00FC1FE2"/>
    <w:rsid w:val="00FC2695"/>
    <w:rsid w:val="00FC3E03"/>
    <w:rsid w:val="00FC3FC1"/>
    <w:rsid w:val="00FC571C"/>
    <w:rsid w:val="00FD0A99"/>
    <w:rsid w:val="00FD5636"/>
    <w:rsid w:val="00FE22A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53D63"/>
  <w15:docId w15:val="{E6DC867B-8F0D-45E5-AC62-D4A4162F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edelespacerserv">
    <w:name w:val="Placeholder Text"/>
    <w:basedOn w:val="Policepardfaut"/>
    <w:uiPriority w:val="99"/>
    <w:semiHidden/>
    <w:rsid w:val="00E30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23812">
      <w:bodyDiv w:val="1"/>
      <w:marLeft w:val="0"/>
      <w:marRight w:val="0"/>
      <w:marTop w:val="0"/>
      <w:marBottom w:val="0"/>
      <w:divBdr>
        <w:top w:val="none" w:sz="0" w:space="0" w:color="auto"/>
        <w:left w:val="none" w:sz="0" w:space="0" w:color="auto"/>
        <w:bottom w:val="none" w:sz="0" w:space="0" w:color="auto"/>
        <w:right w:val="none" w:sz="0" w:space="0" w:color="auto"/>
      </w:divBdr>
    </w:div>
    <w:div w:id="44704876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16184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nry52\Dropbox\Th&#232;se%20microvaporiseur\PILOTE\Manipulations\Campagne%20R&#233;gime%20d'&#233;coulement%201750RPM_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nry52\Dropbox\Th&#232;se%20microvaporiseur\PILOTE\Manipulations\Etude%20du%20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63553326605857"/>
          <c:y val="3.6899969386496409E-2"/>
          <c:w val="0.81902131343529705"/>
          <c:h val="0.82856580967724858"/>
        </c:manualLayout>
      </c:layout>
      <c:scatterChart>
        <c:scatterStyle val="lineMarker"/>
        <c:varyColors val="0"/>
        <c:ser>
          <c:idx val="0"/>
          <c:order val="0"/>
          <c:tx>
            <c:v>T_in_oil=114°C</c:v>
          </c:tx>
          <c:spPr>
            <a:ln w="25400" cap="rnd">
              <a:noFill/>
              <a:round/>
            </a:ln>
            <a:effectLst/>
          </c:spPr>
          <c:marker>
            <c:symbol val="circle"/>
            <c:size val="4"/>
            <c:spPr>
              <a:solidFill>
                <a:schemeClr val="accent1"/>
              </a:solidFill>
              <a:ln w="9525">
                <a:solidFill>
                  <a:schemeClr val="accent1"/>
                </a:solidFill>
              </a:ln>
              <a:effectLst/>
            </c:spPr>
          </c:marker>
          <c:errBars>
            <c:errDir val="y"/>
            <c:errBarType val="both"/>
            <c:errValType val="cust"/>
            <c:noEndCap val="0"/>
            <c:plus>
              <c:numRef>
                <c:f>Feuil1!$AQ$5:$AQ$13</c:f>
                <c:numCache>
                  <c:formatCode>General</c:formatCode>
                  <c:ptCount val="9"/>
                  <c:pt idx="0">
                    <c:v>4.8653855166387715E-3</c:v>
                  </c:pt>
                  <c:pt idx="1">
                    <c:v>6.4905639807309335E-3</c:v>
                  </c:pt>
                  <c:pt idx="2">
                    <c:v>9.7360447573896537E-3</c:v>
                  </c:pt>
                  <c:pt idx="3">
                    <c:v>1.3910193807453244E-2</c:v>
                  </c:pt>
                  <c:pt idx="4">
                    <c:v>1.9444895500302969E-2</c:v>
                  </c:pt>
                  <c:pt idx="5">
                    <c:v>2.4313735875812065E-2</c:v>
                  </c:pt>
                  <c:pt idx="6">
                    <c:v>3.2439473303649283E-2</c:v>
                  </c:pt>
                  <c:pt idx="7">
                    <c:v>4.8658067701586594E-2</c:v>
                  </c:pt>
                  <c:pt idx="8">
                    <c:v>2.2884268395625593E-3</c:v>
                  </c:pt>
                </c:numCache>
              </c:numRef>
            </c:plus>
            <c:minus>
              <c:numRef>
                <c:f>Feuil1!$AQ$5:$AQ$13</c:f>
                <c:numCache>
                  <c:formatCode>General</c:formatCode>
                  <c:ptCount val="9"/>
                  <c:pt idx="0">
                    <c:v>4.8653855166387715E-3</c:v>
                  </c:pt>
                  <c:pt idx="1">
                    <c:v>6.4905639807309335E-3</c:v>
                  </c:pt>
                  <c:pt idx="2">
                    <c:v>9.7360447573896537E-3</c:v>
                  </c:pt>
                  <c:pt idx="3">
                    <c:v>1.3910193807453244E-2</c:v>
                  </c:pt>
                  <c:pt idx="4">
                    <c:v>1.9444895500302969E-2</c:v>
                  </c:pt>
                  <c:pt idx="5">
                    <c:v>2.4313735875812065E-2</c:v>
                  </c:pt>
                  <c:pt idx="6">
                    <c:v>3.2439473303649283E-2</c:v>
                  </c:pt>
                  <c:pt idx="7">
                    <c:v>4.8658067701586594E-2</c:v>
                  </c:pt>
                  <c:pt idx="8">
                    <c:v>2.2884268395625593E-3</c:v>
                  </c:pt>
                </c:numCache>
              </c:numRef>
            </c:minus>
            <c:spPr>
              <a:noFill/>
              <a:ln w="9525" cap="flat" cmpd="sng" algn="ctr">
                <a:solidFill>
                  <a:schemeClr val="tx1">
                    <a:lumMod val="65000"/>
                    <a:lumOff val="35000"/>
                  </a:schemeClr>
                </a:solidFill>
                <a:round/>
              </a:ln>
              <a:effectLst/>
            </c:spPr>
          </c:errBars>
          <c:xVal>
            <c:numRef>
              <c:f>Feuil1!$S$5:$S$12</c:f>
              <c:numCache>
                <c:formatCode>General</c:formatCode>
                <c:ptCount val="8"/>
                <c:pt idx="0">
                  <c:v>6</c:v>
                </c:pt>
                <c:pt idx="1">
                  <c:v>4.5</c:v>
                </c:pt>
                <c:pt idx="2">
                  <c:v>3</c:v>
                </c:pt>
                <c:pt idx="3">
                  <c:v>2.1</c:v>
                </c:pt>
                <c:pt idx="4">
                  <c:v>1.5</c:v>
                </c:pt>
                <c:pt idx="5">
                  <c:v>1.2</c:v>
                </c:pt>
                <c:pt idx="6">
                  <c:v>0.89999999999999991</c:v>
                </c:pt>
                <c:pt idx="7">
                  <c:v>0.6</c:v>
                </c:pt>
              </c:numCache>
            </c:numRef>
          </c:xVal>
          <c:yVal>
            <c:numRef>
              <c:f>Feuil1!$AB$5:$AB$11</c:f>
              <c:numCache>
                <c:formatCode>0.00%</c:formatCode>
                <c:ptCount val="7"/>
                <c:pt idx="0">
                  <c:v>3.071176195188435E-3</c:v>
                </c:pt>
                <c:pt idx="1">
                  <c:v>1.0488919170446117E-2</c:v>
                </c:pt>
                <c:pt idx="2">
                  <c:v>2.0692319891771782E-2</c:v>
                </c:pt>
                <c:pt idx="3">
                  <c:v>5.2153639262224286E-2</c:v>
                </c:pt>
                <c:pt idx="4">
                  <c:v>6.9449249161180587E-2</c:v>
                </c:pt>
                <c:pt idx="5">
                  <c:v>0.10763903013632864</c:v>
                </c:pt>
                <c:pt idx="6">
                  <c:v>0.17131745987338975</c:v>
                </c:pt>
              </c:numCache>
            </c:numRef>
          </c:yVal>
          <c:smooth val="0"/>
          <c:extLst>
            <c:ext xmlns:c16="http://schemas.microsoft.com/office/drawing/2014/chart" uri="{C3380CC4-5D6E-409C-BE32-E72D297353CC}">
              <c16:uniqueId val="{00000000-B073-4E05-B2E1-83F7A5316DDF}"/>
            </c:ext>
          </c:extLst>
        </c:ser>
        <c:ser>
          <c:idx val="1"/>
          <c:order val="1"/>
          <c:tx>
            <c:v>T_in_oil=123.5°C</c:v>
          </c:tx>
          <c:spPr>
            <a:ln w="25400" cap="rnd">
              <a:noFill/>
              <a:round/>
            </a:ln>
            <a:effectLst/>
          </c:spPr>
          <c:marker>
            <c:symbol val="triangle"/>
            <c:size val="5"/>
            <c:spPr>
              <a:solidFill>
                <a:schemeClr val="accent2"/>
              </a:solidFill>
              <a:ln w="9525">
                <a:solidFill>
                  <a:schemeClr val="accent2"/>
                </a:solidFill>
              </a:ln>
              <a:effectLst/>
            </c:spPr>
          </c:marker>
          <c:errBars>
            <c:errDir val="y"/>
            <c:errBarType val="both"/>
            <c:errValType val="cust"/>
            <c:noEndCap val="0"/>
            <c:plus>
              <c:numRef>
                <c:f>(Feuil1!$AQ$16:$AQ$23,Feuil1!$AQ$25)</c:f>
                <c:numCache>
                  <c:formatCode>General</c:formatCode>
                  <c:ptCount val="9"/>
                  <c:pt idx="0">
                    <c:v>4.8703691077468967E-3</c:v>
                  </c:pt>
                  <c:pt idx="1">
                    <c:v>6.4962553971624126E-3</c:v>
                  </c:pt>
                  <c:pt idx="2">
                    <c:v>9.7458533354806438E-3</c:v>
                  </c:pt>
                  <c:pt idx="3">
                    <c:v>1.39217983400351E-2</c:v>
                  </c:pt>
                  <c:pt idx="4">
                    <c:v>1.6264884250330645E-2</c:v>
                  </c:pt>
                  <c:pt idx="5">
                    <c:v>1.9521556704408721E-2</c:v>
                  </c:pt>
                  <c:pt idx="6">
                    <c:v>2.4412540367420601E-2</c:v>
                  </c:pt>
                  <c:pt idx="7">
                    <c:v>3.2581609243342212E-2</c:v>
                  </c:pt>
                  <c:pt idx="8">
                    <c:v>9.901956716874355E-2</c:v>
                  </c:pt>
                </c:numCache>
              </c:numRef>
            </c:plus>
            <c:minus>
              <c:numRef>
                <c:f>(Feuil1!$AQ$16:$AQ$23,Feuil1!$AQ$25)</c:f>
                <c:numCache>
                  <c:formatCode>General</c:formatCode>
                  <c:ptCount val="9"/>
                  <c:pt idx="0">
                    <c:v>4.8703691077468967E-3</c:v>
                  </c:pt>
                  <c:pt idx="1">
                    <c:v>6.4962553971624126E-3</c:v>
                  </c:pt>
                  <c:pt idx="2">
                    <c:v>9.7458533354806438E-3</c:v>
                  </c:pt>
                  <c:pt idx="3">
                    <c:v>1.39217983400351E-2</c:v>
                  </c:pt>
                  <c:pt idx="4">
                    <c:v>1.6264884250330645E-2</c:v>
                  </c:pt>
                  <c:pt idx="5">
                    <c:v>1.9521556704408721E-2</c:v>
                  </c:pt>
                  <c:pt idx="6">
                    <c:v>2.4412540367420601E-2</c:v>
                  </c:pt>
                  <c:pt idx="7">
                    <c:v>3.2581609243342212E-2</c:v>
                  </c:pt>
                  <c:pt idx="8">
                    <c:v>9.901956716874355E-2</c:v>
                  </c:pt>
                </c:numCache>
              </c:numRef>
            </c:minus>
            <c:spPr>
              <a:noFill/>
              <a:ln w="9525" cap="flat" cmpd="sng" algn="ctr">
                <a:solidFill>
                  <a:schemeClr val="tx1">
                    <a:lumMod val="65000"/>
                    <a:lumOff val="35000"/>
                  </a:schemeClr>
                </a:solidFill>
                <a:round/>
              </a:ln>
              <a:effectLst/>
            </c:spPr>
          </c:errBars>
          <c:xVal>
            <c:numRef>
              <c:f>Feuil1!$S$16:$S$25</c:f>
              <c:numCache>
                <c:formatCode>General</c:formatCode>
                <c:ptCount val="10"/>
                <c:pt idx="0">
                  <c:v>6</c:v>
                </c:pt>
                <c:pt idx="1">
                  <c:v>4.5</c:v>
                </c:pt>
                <c:pt idx="2">
                  <c:v>3</c:v>
                </c:pt>
                <c:pt idx="3">
                  <c:v>2.1</c:v>
                </c:pt>
                <c:pt idx="4">
                  <c:v>1.7999999999999998</c:v>
                </c:pt>
                <c:pt idx="5">
                  <c:v>1.5</c:v>
                </c:pt>
                <c:pt idx="6">
                  <c:v>1.2</c:v>
                </c:pt>
                <c:pt idx="7">
                  <c:v>0.89999999999999991</c:v>
                </c:pt>
                <c:pt idx="8">
                  <c:v>0.6</c:v>
                </c:pt>
                <c:pt idx="9">
                  <c:v>0.3</c:v>
                </c:pt>
              </c:numCache>
            </c:numRef>
          </c:xVal>
          <c:yVal>
            <c:numRef>
              <c:f>Feuil1!$AB$16:$AB$25</c:f>
              <c:numCache>
                <c:formatCode>0.00%</c:formatCode>
                <c:ptCount val="10"/>
                <c:pt idx="0">
                  <c:v>2.2369083600406958E-2</c:v>
                </c:pt>
                <c:pt idx="1">
                  <c:v>2.7052729182220868E-2</c:v>
                </c:pt>
                <c:pt idx="2">
                  <c:v>6.387995057631575E-2</c:v>
                </c:pt>
                <c:pt idx="3">
                  <c:v>9.4180145689562358E-2</c:v>
                </c:pt>
                <c:pt idx="4">
                  <c:v>0.12398384937106204</c:v>
                </c:pt>
                <c:pt idx="5">
                  <c:v>0.14709335058463996</c:v>
                </c:pt>
                <c:pt idx="6">
                  <c:v>0.216149626933231</c:v>
                </c:pt>
                <c:pt idx="7">
                  <c:v>0.28545588764141233</c:v>
                </c:pt>
                <c:pt idx="9">
                  <c:v>0.83947375433469418</c:v>
                </c:pt>
              </c:numCache>
            </c:numRef>
          </c:yVal>
          <c:smooth val="0"/>
          <c:extLst>
            <c:ext xmlns:c16="http://schemas.microsoft.com/office/drawing/2014/chart" uri="{C3380CC4-5D6E-409C-BE32-E72D297353CC}">
              <c16:uniqueId val="{00000001-B073-4E05-B2E1-83F7A5316DDF}"/>
            </c:ext>
          </c:extLst>
        </c:ser>
        <c:ser>
          <c:idx val="2"/>
          <c:order val="2"/>
          <c:tx>
            <c:v>T_in_oil=132°C</c:v>
          </c:tx>
          <c:spPr>
            <a:ln w="25400" cap="rnd">
              <a:noFill/>
              <a:round/>
            </a:ln>
            <a:effectLst/>
          </c:spPr>
          <c:marker>
            <c:symbol val="diamond"/>
            <c:size val="4"/>
            <c:spPr>
              <a:solidFill>
                <a:schemeClr val="accent3"/>
              </a:solidFill>
              <a:ln w="9525">
                <a:solidFill>
                  <a:schemeClr val="accent3"/>
                </a:solidFill>
              </a:ln>
              <a:effectLst/>
            </c:spPr>
          </c:marker>
          <c:errBars>
            <c:errDir val="y"/>
            <c:errBarType val="both"/>
            <c:errValType val="cust"/>
            <c:noEndCap val="0"/>
            <c:plus>
              <c:numRef>
                <c:f>Feuil1!$AQ$27:$AQ$36</c:f>
                <c:numCache>
                  <c:formatCode>General</c:formatCode>
                  <c:ptCount val="10"/>
                  <c:pt idx="0">
                    <c:v>4.8886548272232761E-3</c:v>
                  </c:pt>
                  <c:pt idx="1">
                    <c:v>6.5191563397076577E-3</c:v>
                  </c:pt>
                  <c:pt idx="2">
                    <c:v>9.7804824464428966E-3</c:v>
                  </c:pt>
                  <c:pt idx="3">
                    <c:v>1.3975106012270569E-2</c:v>
                  </c:pt>
                  <c:pt idx="4">
                    <c:v>1.631374681873532E-2</c:v>
                  </c:pt>
                  <c:pt idx="5">
                    <c:v>1.9583294582178608E-2</c:v>
                  </c:pt>
                  <c:pt idx="6">
                    <c:v>2.4498066060718984E-2</c:v>
                  </c:pt>
                  <c:pt idx="7">
                    <c:v>3.2715242851306767E-2</c:v>
                  </c:pt>
                  <c:pt idx="8">
                    <c:v>4.9255921492554464E-2</c:v>
                  </c:pt>
                  <c:pt idx="9">
                    <c:v>0</c:v>
                  </c:pt>
                </c:numCache>
              </c:numRef>
            </c:plus>
            <c:minus>
              <c:numRef>
                <c:f>Feuil1!$AQ$27:$AQ$36</c:f>
                <c:numCache>
                  <c:formatCode>General</c:formatCode>
                  <c:ptCount val="10"/>
                  <c:pt idx="0">
                    <c:v>4.8886548272232761E-3</c:v>
                  </c:pt>
                  <c:pt idx="1">
                    <c:v>6.5191563397076577E-3</c:v>
                  </c:pt>
                  <c:pt idx="2">
                    <c:v>9.7804824464428966E-3</c:v>
                  </c:pt>
                  <c:pt idx="3">
                    <c:v>1.3975106012270569E-2</c:v>
                  </c:pt>
                  <c:pt idx="4">
                    <c:v>1.631374681873532E-2</c:v>
                  </c:pt>
                  <c:pt idx="5">
                    <c:v>1.9583294582178608E-2</c:v>
                  </c:pt>
                  <c:pt idx="6">
                    <c:v>2.4498066060718984E-2</c:v>
                  </c:pt>
                  <c:pt idx="7">
                    <c:v>3.2715242851306767E-2</c:v>
                  </c:pt>
                  <c:pt idx="8">
                    <c:v>4.9255921492554464E-2</c:v>
                  </c:pt>
                  <c:pt idx="9">
                    <c:v>0</c:v>
                  </c:pt>
                </c:numCache>
              </c:numRef>
            </c:minus>
            <c:spPr>
              <a:noFill/>
              <a:ln w="9525" cap="flat" cmpd="sng" algn="ctr">
                <a:solidFill>
                  <a:schemeClr val="tx1">
                    <a:lumMod val="65000"/>
                    <a:lumOff val="35000"/>
                  </a:schemeClr>
                </a:solidFill>
                <a:round/>
              </a:ln>
              <a:effectLst/>
            </c:spPr>
          </c:errBars>
          <c:xVal>
            <c:numRef>
              <c:f>Feuil1!$S$27:$S$36</c:f>
              <c:numCache>
                <c:formatCode>General</c:formatCode>
                <c:ptCount val="10"/>
                <c:pt idx="0">
                  <c:v>6</c:v>
                </c:pt>
                <c:pt idx="1">
                  <c:v>4.5</c:v>
                </c:pt>
                <c:pt idx="2">
                  <c:v>3</c:v>
                </c:pt>
                <c:pt idx="3">
                  <c:v>2.1</c:v>
                </c:pt>
                <c:pt idx="4">
                  <c:v>1.7999999999999998</c:v>
                </c:pt>
                <c:pt idx="5">
                  <c:v>1.5</c:v>
                </c:pt>
                <c:pt idx="6">
                  <c:v>1.2</c:v>
                </c:pt>
                <c:pt idx="7">
                  <c:v>0.89999999999999991</c:v>
                </c:pt>
                <c:pt idx="8">
                  <c:v>0.6</c:v>
                </c:pt>
                <c:pt idx="9">
                  <c:v>0.3</c:v>
                </c:pt>
              </c:numCache>
            </c:numRef>
          </c:xVal>
          <c:yVal>
            <c:numRef>
              <c:f>Feuil1!$AB$27:$AB$36</c:f>
              <c:numCache>
                <c:formatCode>0.00%</c:formatCode>
                <c:ptCount val="10"/>
                <c:pt idx="0">
                  <c:v>3.4029156455300198E-2</c:v>
                </c:pt>
                <c:pt idx="1">
                  <c:v>5.7854623522679095E-2</c:v>
                </c:pt>
                <c:pt idx="2">
                  <c:v>0.1054924948763979</c:v>
                </c:pt>
                <c:pt idx="3">
                  <c:v>0.16016735616775871</c:v>
                </c:pt>
                <c:pt idx="4">
                  <c:v>0.2008117095237279</c:v>
                </c:pt>
                <c:pt idx="5">
                  <c:v>0.23927869486030579</c:v>
                </c:pt>
                <c:pt idx="6">
                  <c:v>0.30845364837157196</c:v>
                </c:pt>
                <c:pt idx="7">
                  <c:v>0.40844461485684075</c:v>
                </c:pt>
                <c:pt idx="8">
                  <c:v>0.5854696769020955</c:v>
                </c:pt>
                <c:pt idx="9">
                  <c:v>1</c:v>
                </c:pt>
              </c:numCache>
            </c:numRef>
          </c:yVal>
          <c:smooth val="0"/>
          <c:extLst>
            <c:ext xmlns:c16="http://schemas.microsoft.com/office/drawing/2014/chart" uri="{C3380CC4-5D6E-409C-BE32-E72D297353CC}">
              <c16:uniqueId val="{00000002-B073-4E05-B2E1-83F7A5316DDF}"/>
            </c:ext>
          </c:extLst>
        </c:ser>
        <c:ser>
          <c:idx val="3"/>
          <c:order val="3"/>
          <c:tx>
            <c:v>T_in_oil=141°C</c:v>
          </c:tx>
          <c:spPr>
            <a:ln w="25400" cap="rnd">
              <a:noFill/>
              <a:round/>
            </a:ln>
            <a:effectLst/>
          </c:spPr>
          <c:marker>
            <c:symbol val="square"/>
            <c:size val="4"/>
            <c:spPr>
              <a:solidFill>
                <a:schemeClr val="accent4"/>
              </a:solidFill>
              <a:ln w="9525">
                <a:solidFill>
                  <a:schemeClr val="accent4"/>
                </a:solidFill>
              </a:ln>
              <a:effectLst/>
            </c:spPr>
          </c:marker>
          <c:errBars>
            <c:errDir val="y"/>
            <c:errBarType val="both"/>
            <c:errValType val="cust"/>
            <c:noEndCap val="0"/>
            <c:plus>
              <c:numRef>
                <c:f>Feuil1!$AQ$38:$AQ$47</c:f>
                <c:numCache>
                  <c:formatCode>General</c:formatCode>
                  <c:ptCount val="10"/>
                  <c:pt idx="0">
                    <c:v>4.7917949403731312E-3</c:v>
                  </c:pt>
                  <c:pt idx="1">
                    <c:v>6.328268927499694E-3</c:v>
                  </c:pt>
                  <c:pt idx="2">
                    <c:v>9.3996444765958882E-3</c:v>
                  </c:pt>
                  <c:pt idx="3">
                    <c:v>1.338165727823422E-2</c:v>
                  </c:pt>
                  <c:pt idx="4">
                    <c:v>1.5620057324289902E-2</c:v>
                  </c:pt>
                  <c:pt idx="5">
                    <c:v>1.8746199435495336E-2</c:v>
                  </c:pt>
                  <c:pt idx="6">
                    <c:v>2.3452839697715718E-2</c:v>
                  </c:pt>
                  <c:pt idx="7">
                    <c:v>3.1457546221579626E-2</c:v>
                  </c:pt>
                  <c:pt idx="8">
                    <c:v>4.8108364537044895E-2</c:v>
                  </c:pt>
                  <c:pt idx="9">
                    <c:v>0</c:v>
                  </c:pt>
                </c:numCache>
              </c:numRef>
            </c:plus>
            <c:minus>
              <c:numRef>
                <c:f>Feuil1!$AQ$38:$AQ$47</c:f>
                <c:numCache>
                  <c:formatCode>General</c:formatCode>
                  <c:ptCount val="10"/>
                  <c:pt idx="0">
                    <c:v>4.7917949403731312E-3</c:v>
                  </c:pt>
                  <c:pt idx="1">
                    <c:v>6.328268927499694E-3</c:v>
                  </c:pt>
                  <c:pt idx="2">
                    <c:v>9.3996444765958882E-3</c:v>
                  </c:pt>
                  <c:pt idx="3">
                    <c:v>1.338165727823422E-2</c:v>
                  </c:pt>
                  <c:pt idx="4">
                    <c:v>1.5620057324289902E-2</c:v>
                  </c:pt>
                  <c:pt idx="5">
                    <c:v>1.8746199435495336E-2</c:v>
                  </c:pt>
                  <c:pt idx="6">
                    <c:v>2.3452839697715718E-2</c:v>
                  </c:pt>
                  <c:pt idx="7">
                    <c:v>3.1457546221579626E-2</c:v>
                  </c:pt>
                  <c:pt idx="8">
                    <c:v>4.8108364537044895E-2</c:v>
                  </c:pt>
                  <c:pt idx="9">
                    <c:v>0</c:v>
                  </c:pt>
                </c:numCache>
              </c:numRef>
            </c:minus>
            <c:spPr>
              <a:noFill/>
              <a:ln w="9525" cap="flat" cmpd="sng" algn="ctr">
                <a:solidFill>
                  <a:schemeClr val="tx1">
                    <a:lumMod val="65000"/>
                    <a:lumOff val="35000"/>
                  </a:schemeClr>
                </a:solidFill>
                <a:round/>
              </a:ln>
              <a:effectLst/>
            </c:spPr>
          </c:errBars>
          <c:xVal>
            <c:numRef>
              <c:f>Feuil1!$S$27:$S$36</c:f>
              <c:numCache>
                <c:formatCode>General</c:formatCode>
                <c:ptCount val="10"/>
                <c:pt idx="0">
                  <c:v>6</c:v>
                </c:pt>
                <c:pt idx="1">
                  <c:v>4.5</c:v>
                </c:pt>
                <c:pt idx="2">
                  <c:v>3</c:v>
                </c:pt>
                <c:pt idx="3">
                  <c:v>2.1</c:v>
                </c:pt>
                <c:pt idx="4">
                  <c:v>1.7999999999999998</c:v>
                </c:pt>
                <c:pt idx="5">
                  <c:v>1.5</c:v>
                </c:pt>
                <c:pt idx="6">
                  <c:v>1.2</c:v>
                </c:pt>
                <c:pt idx="7">
                  <c:v>0.89999999999999991</c:v>
                </c:pt>
                <c:pt idx="8">
                  <c:v>0.6</c:v>
                </c:pt>
                <c:pt idx="9">
                  <c:v>0.3</c:v>
                </c:pt>
              </c:numCache>
            </c:numRef>
          </c:xVal>
          <c:yVal>
            <c:numRef>
              <c:f>Feuil1!$AB$38:$AB$47</c:f>
              <c:numCache>
                <c:formatCode>0.00%</c:formatCode>
                <c:ptCount val="10"/>
                <c:pt idx="0">
                  <c:v>5.874016656322277E-2</c:v>
                </c:pt>
                <c:pt idx="1">
                  <c:v>7.8363668746569692E-2</c:v>
                </c:pt>
                <c:pt idx="2">
                  <c:v>0.13366163079077775</c:v>
                </c:pt>
                <c:pt idx="3">
                  <c:v>0.19847719461948843</c:v>
                </c:pt>
                <c:pt idx="4">
                  <c:v>0.24544639415276404</c:v>
                </c:pt>
                <c:pt idx="5">
                  <c:v>0.30147413886489016</c:v>
                </c:pt>
                <c:pt idx="6">
                  <c:v>0.37376000520645219</c:v>
                </c:pt>
                <c:pt idx="7">
                  <c:v>0.52404519736508626</c:v>
                </c:pt>
                <c:pt idx="8">
                  <c:v>0.72070964974436513</c:v>
                </c:pt>
                <c:pt idx="9">
                  <c:v>1</c:v>
                </c:pt>
              </c:numCache>
            </c:numRef>
          </c:yVal>
          <c:smooth val="0"/>
          <c:extLst>
            <c:ext xmlns:c16="http://schemas.microsoft.com/office/drawing/2014/chart" uri="{C3380CC4-5D6E-409C-BE32-E72D297353CC}">
              <c16:uniqueId val="{00000003-B073-4E05-B2E1-83F7A5316DDF}"/>
            </c:ext>
          </c:extLst>
        </c:ser>
        <c:dLbls>
          <c:showLegendKey val="0"/>
          <c:showVal val="0"/>
          <c:showCatName val="0"/>
          <c:showSerName val="0"/>
          <c:showPercent val="0"/>
          <c:showBubbleSize val="0"/>
        </c:dLbls>
        <c:axId val="389559424"/>
        <c:axId val="389561344"/>
      </c:scatterChart>
      <c:valAx>
        <c:axId val="389559424"/>
        <c:scaling>
          <c:orientation val="minMax"/>
          <c:max val="6"/>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800" dirty="0">
                    <a:latin typeface="Arial" panose="020B0604020202020204" pitchFamily="34" charset="0"/>
                    <a:cs typeface="Arial" panose="020B0604020202020204" pitchFamily="34" charset="0"/>
                  </a:rPr>
                  <a:t>Water Flowrate </a:t>
                </a:r>
                <a:r>
                  <a:rPr lang="fr-FR" sz="800" baseline="0" dirty="0">
                    <a:latin typeface="Arial" panose="020B0604020202020204" pitchFamily="34" charset="0"/>
                    <a:cs typeface="Arial" panose="020B0604020202020204" pitchFamily="34" charset="0"/>
                  </a:rPr>
                  <a:t>(L/h)</a:t>
                </a:r>
                <a:endParaRPr lang="fr-FR" sz="800" dirty="0">
                  <a:latin typeface="Arial" panose="020B0604020202020204" pitchFamily="34" charset="0"/>
                  <a:cs typeface="Arial" panose="020B0604020202020204" pitchFamily="34" charset="0"/>
                </a:endParaRPr>
              </a:p>
            </c:rich>
          </c:tx>
          <c:layout>
            <c:manualLayout>
              <c:xMode val="edge"/>
              <c:yMode val="edge"/>
              <c:x val="0.37321612144988581"/>
              <c:y val="0.92275245133263251"/>
            </c:manualLayout>
          </c:layout>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89561344"/>
        <c:crosses val="autoZero"/>
        <c:crossBetween val="midCat"/>
      </c:valAx>
      <c:valAx>
        <c:axId val="38956134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a:latin typeface="Arial" panose="020B0604020202020204" pitchFamily="34" charset="0"/>
                    <a:cs typeface="Arial" panose="020B0604020202020204" pitchFamily="34" charset="0"/>
                  </a:rPr>
                  <a:t>Vapor Quality</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89559424"/>
        <c:crosses val="autoZero"/>
        <c:crossBetween val="midCat"/>
      </c:valAx>
      <c:spPr>
        <a:noFill/>
        <a:ln>
          <a:noFill/>
        </a:ln>
        <a:effectLst/>
      </c:spPr>
    </c:plotArea>
    <c:legend>
      <c:legendPos val="r"/>
      <c:layout>
        <c:manualLayout>
          <c:xMode val="edge"/>
          <c:yMode val="edge"/>
          <c:x val="0.55396395845720414"/>
          <c:y val="0.36055529081919513"/>
          <c:w val="0.40926877788829685"/>
          <c:h val="0.330578562405924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noFill/>
    <a:ln w="9525" cap="flat" cmpd="sng" algn="ctr">
      <a:no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1157741880202"/>
          <c:y val="2.6333512024524785E-2"/>
          <c:w val="0.81099295577743502"/>
          <c:h val="0.84405132382324888"/>
        </c:manualLayout>
      </c:layout>
      <c:scatterChart>
        <c:scatterStyle val="lineMarker"/>
        <c:varyColors val="0"/>
        <c:ser>
          <c:idx val="0"/>
          <c:order val="0"/>
          <c:spPr>
            <a:ln w="25400" cap="rnd">
              <a:noFill/>
              <a:round/>
            </a:ln>
            <a:effectLst/>
          </c:spPr>
          <c:marker>
            <c:symbol val="diamond"/>
            <c:size val="4"/>
            <c:spPr>
              <a:solidFill>
                <a:schemeClr val="tx1"/>
              </a:solidFill>
              <a:ln w="9525">
                <a:solidFill>
                  <a:schemeClr val="tx1"/>
                </a:solidFill>
              </a:ln>
              <a:effectLst/>
            </c:spPr>
          </c:marker>
          <c:xVal>
            <c:numRef>
              <c:f>Feuil1!$B$2:$B$86</c:f>
              <c:numCache>
                <c:formatCode>General</c:formatCode>
                <c:ptCount val="85"/>
                <c:pt idx="0">
                  <c:v>1.98</c:v>
                </c:pt>
                <c:pt idx="1">
                  <c:v>1.7999999999999998</c:v>
                </c:pt>
                <c:pt idx="2">
                  <c:v>1.65</c:v>
                </c:pt>
                <c:pt idx="3">
                  <c:v>1.5</c:v>
                </c:pt>
                <c:pt idx="4">
                  <c:v>1.3499999999999999</c:v>
                </c:pt>
                <c:pt idx="5">
                  <c:v>1.2</c:v>
                </c:pt>
                <c:pt idx="6">
                  <c:v>1.05</c:v>
                </c:pt>
                <c:pt idx="7">
                  <c:v>0.89999999999999991</c:v>
                </c:pt>
                <c:pt idx="8">
                  <c:v>0.75</c:v>
                </c:pt>
                <c:pt idx="9">
                  <c:v>0.6</c:v>
                </c:pt>
                <c:pt idx="10">
                  <c:v>1.98</c:v>
                </c:pt>
                <c:pt idx="11">
                  <c:v>1.7999999999999998</c:v>
                </c:pt>
                <c:pt idx="12">
                  <c:v>1.65</c:v>
                </c:pt>
                <c:pt idx="13">
                  <c:v>1.5</c:v>
                </c:pt>
                <c:pt idx="14">
                  <c:v>1.3499999999999999</c:v>
                </c:pt>
                <c:pt idx="15">
                  <c:v>1.3499999999999999</c:v>
                </c:pt>
                <c:pt idx="16">
                  <c:v>1.2</c:v>
                </c:pt>
                <c:pt idx="17">
                  <c:v>1.05</c:v>
                </c:pt>
                <c:pt idx="18">
                  <c:v>0.89999999999999991</c:v>
                </c:pt>
                <c:pt idx="19">
                  <c:v>0.75</c:v>
                </c:pt>
                <c:pt idx="20">
                  <c:v>0.6</c:v>
                </c:pt>
                <c:pt idx="21">
                  <c:v>1.98</c:v>
                </c:pt>
                <c:pt idx="22">
                  <c:v>1.7999999999999998</c:v>
                </c:pt>
                <c:pt idx="23">
                  <c:v>1.65</c:v>
                </c:pt>
                <c:pt idx="24">
                  <c:v>1.5</c:v>
                </c:pt>
                <c:pt idx="25">
                  <c:v>1.3499999999999999</c:v>
                </c:pt>
                <c:pt idx="26">
                  <c:v>1.2</c:v>
                </c:pt>
                <c:pt idx="27">
                  <c:v>1.05</c:v>
                </c:pt>
                <c:pt idx="28">
                  <c:v>0.89999999999999991</c:v>
                </c:pt>
                <c:pt idx="29">
                  <c:v>0.75</c:v>
                </c:pt>
                <c:pt idx="30">
                  <c:v>1.98</c:v>
                </c:pt>
                <c:pt idx="31">
                  <c:v>1.7999999999999998</c:v>
                </c:pt>
                <c:pt idx="32">
                  <c:v>1.65</c:v>
                </c:pt>
                <c:pt idx="33">
                  <c:v>1.5</c:v>
                </c:pt>
                <c:pt idx="34">
                  <c:v>1.3499999999999999</c:v>
                </c:pt>
                <c:pt idx="35">
                  <c:v>1.2</c:v>
                </c:pt>
                <c:pt idx="36">
                  <c:v>1.05</c:v>
                </c:pt>
                <c:pt idx="37">
                  <c:v>0.89999999999999991</c:v>
                </c:pt>
                <c:pt idx="38">
                  <c:v>0.75</c:v>
                </c:pt>
                <c:pt idx="39">
                  <c:v>0.6</c:v>
                </c:pt>
                <c:pt idx="40">
                  <c:v>1.98</c:v>
                </c:pt>
                <c:pt idx="41">
                  <c:v>1.7999999999999998</c:v>
                </c:pt>
                <c:pt idx="42">
                  <c:v>1.65</c:v>
                </c:pt>
                <c:pt idx="43">
                  <c:v>1.5</c:v>
                </c:pt>
                <c:pt idx="44">
                  <c:v>1.3499999999999999</c:v>
                </c:pt>
                <c:pt idx="45">
                  <c:v>1.2</c:v>
                </c:pt>
                <c:pt idx="46">
                  <c:v>1.05</c:v>
                </c:pt>
                <c:pt idx="47">
                  <c:v>0.89999999999999991</c:v>
                </c:pt>
                <c:pt idx="48">
                  <c:v>0.75</c:v>
                </c:pt>
                <c:pt idx="49">
                  <c:v>6</c:v>
                </c:pt>
                <c:pt idx="50">
                  <c:v>4.5</c:v>
                </c:pt>
                <c:pt idx="51">
                  <c:v>3</c:v>
                </c:pt>
                <c:pt idx="52">
                  <c:v>2.1</c:v>
                </c:pt>
                <c:pt idx="53">
                  <c:v>1.5</c:v>
                </c:pt>
                <c:pt idx="54">
                  <c:v>1.2</c:v>
                </c:pt>
                <c:pt idx="55">
                  <c:v>0.89999999999999991</c:v>
                </c:pt>
                <c:pt idx="56">
                  <c:v>6</c:v>
                </c:pt>
                <c:pt idx="57">
                  <c:v>4.5</c:v>
                </c:pt>
                <c:pt idx="58">
                  <c:v>3</c:v>
                </c:pt>
                <c:pt idx="59">
                  <c:v>2.1</c:v>
                </c:pt>
                <c:pt idx="60">
                  <c:v>1.7999999999999998</c:v>
                </c:pt>
                <c:pt idx="61">
                  <c:v>1.5</c:v>
                </c:pt>
                <c:pt idx="62">
                  <c:v>1.2</c:v>
                </c:pt>
                <c:pt idx="63">
                  <c:v>0.89999999999999991</c:v>
                </c:pt>
                <c:pt idx="64">
                  <c:v>0.3</c:v>
                </c:pt>
                <c:pt idx="65">
                  <c:v>6</c:v>
                </c:pt>
                <c:pt idx="66">
                  <c:v>4.5</c:v>
                </c:pt>
                <c:pt idx="67">
                  <c:v>3</c:v>
                </c:pt>
                <c:pt idx="68">
                  <c:v>2.1</c:v>
                </c:pt>
                <c:pt idx="69">
                  <c:v>1.7999999999999998</c:v>
                </c:pt>
                <c:pt idx="70">
                  <c:v>1.5</c:v>
                </c:pt>
                <c:pt idx="71">
                  <c:v>1.2</c:v>
                </c:pt>
                <c:pt idx="72">
                  <c:v>0.89999999999999991</c:v>
                </c:pt>
                <c:pt idx="73">
                  <c:v>0.6</c:v>
                </c:pt>
                <c:pt idx="74">
                  <c:v>0.3</c:v>
                </c:pt>
                <c:pt idx="75">
                  <c:v>6.1452</c:v>
                </c:pt>
                <c:pt idx="76">
                  <c:v>4.6529999999999996</c:v>
                </c:pt>
                <c:pt idx="77">
                  <c:v>3.1332</c:v>
                </c:pt>
                <c:pt idx="78">
                  <c:v>2.2014</c:v>
                </c:pt>
                <c:pt idx="79">
                  <c:v>1.887</c:v>
                </c:pt>
                <c:pt idx="80">
                  <c:v>1.5731999999999999</c:v>
                </c:pt>
                <c:pt idx="81">
                  <c:v>1.2588000000000001</c:v>
                </c:pt>
                <c:pt idx="82">
                  <c:v>0.9413999999999999</c:v>
                </c:pt>
                <c:pt idx="83">
                  <c:v>0.61860000000000004</c:v>
                </c:pt>
                <c:pt idx="84">
                  <c:v>0.30359999999999998</c:v>
                </c:pt>
              </c:numCache>
            </c:numRef>
          </c:xVal>
          <c:yVal>
            <c:numRef>
              <c:f>Feuil1!$A$2:$A$86</c:f>
              <c:numCache>
                <c:formatCode>General</c:formatCode>
                <c:ptCount val="85"/>
                <c:pt idx="0">
                  <c:v>5.519654160655544</c:v>
                </c:pt>
                <c:pt idx="1">
                  <c:v>5.7051814169789044</c:v>
                </c:pt>
                <c:pt idx="2">
                  <c:v>5.4503362880378212</c:v>
                </c:pt>
                <c:pt idx="3">
                  <c:v>6.0010273352182812</c:v>
                </c:pt>
                <c:pt idx="4">
                  <c:v>5.8882445391739191</c:v>
                </c:pt>
                <c:pt idx="5">
                  <c:v>6.0252995424362261</c:v>
                </c:pt>
                <c:pt idx="6">
                  <c:v>6.057537252240996</c:v>
                </c:pt>
                <c:pt idx="7">
                  <c:v>6.1481283446184696</c:v>
                </c:pt>
                <c:pt idx="8">
                  <c:v>6.3215011062320023</c:v>
                </c:pt>
                <c:pt idx="9">
                  <c:v>6.4897769161258285</c:v>
                </c:pt>
                <c:pt idx="10">
                  <c:v>5.8178649467828016</c:v>
                </c:pt>
                <c:pt idx="11">
                  <c:v>5.6570576916653481</c:v>
                </c:pt>
                <c:pt idx="12">
                  <c:v>5.8161694595276199</c:v>
                </c:pt>
                <c:pt idx="13">
                  <c:v>5.9338138947721326</c:v>
                </c:pt>
                <c:pt idx="14">
                  <c:v>6.3251193002929416</c:v>
                </c:pt>
                <c:pt idx="15">
                  <c:v>8.0627840377776021</c:v>
                </c:pt>
                <c:pt idx="16">
                  <c:v>6.5743743721566439</c:v>
                </c:pt>
                <c:pt idx="17">
                  <c:v>6.6957707033512666</c:v>
                </c:pt>
                <c:pt idx="18">
                  <c:v>6.6196187316148558</c:v>
                </c:pt>
                <c:pt idx="19">
                  <c:v>7.0271054758094547</c:v>
                </c:pt>
                <c:pt idx="20">
                  <c:v>7.161779843602754</c:v>
                </c:pt>
                <c:pt idx="21">
                  <c:v>6.6111003505173667</c:v>
                </c:pt>
                <c:pt idx="22">
                  <c:v>6.7378111670669067</c:v>
                </c:pt>
                <c:pt idx="23">
                  <c:v>6.6349533428763587</c:v>
                </c:pt>
                <c:pt idx="24">
                  <c:v>6.8119511623651681</c:v>
                </c:pt>
                <c:pt idx="25">
                  <c:v>6.8392542450441427</c:v>
                </c:pt>
                <c:pt idx="26">
                  <c:v>6.7391457168394329</c:v>
                </c:pt>
                <c:pt idx="27">
                  <c:v>7.0920427466285885</c:v>
                </c:pt>
                <c:pt idx="28">
                  <c:v>7.1235991502063314</c:v>
                </c:pt>
                <c:pt idx="29">
                  <c:v>7.443424813144861</c:v>
                </c:pt>
                <c:pt idx="30">
                  <c:v>6.3142514444661533</c:v>
                </c:pt>
                <c:pt idx="31">
                  <c:v>6.5786058043800226</c:v>
                </c:pt>
                <c:pt idx="32">
                  <c:v>6.8060146712183043</c:v>
                </c:pt>
                <c:pt idx="33">
                  <c:v>6.880862223432171</c:v>
                </c:pt>
                <c:pt idx="34">
                  <c:v>6.6443276247568548</c:v>
                </c:pt>
                <c:pt idx="35">
                  <c:v>6.7643022046746628</c:v>
                </c:pt>
                <c:pt idx="36">
                  <c:v>6.3092349889639481</c:v>
                </c:pt>
                <c:pt idx="37">
                  <c:v>6.6410176526098246</c:v>
                </c:pt>
                <c:pt idx="38">
                  <c:v>6.7203376903609744</c:v>
                </c:pt>
                <c:pt idx="39">
                  <c:v>6.8849372255410977</c:v>
                </c:pt>
                <c:pt idx="40">
                  <c:v>7.118044692227353</c:v>
                </c:pt>
                <c:pt idx="41">
                  <c:v>6.8879501560147274</c:v>
                </c:pt>
                <c:pt idx="42">
                  <c:v>6.9367133038419153</c:v>
                </c:pt>
                <c:pt idx="43">
                  <c:v>7.0856282571224716</c:v>
                </c:pt>
                <c:pt idx="44">
                  <c:v>6.8163203454059333</c:v>
                </c:pt>
                <c:pt idx="45">
                  <c:v>4.3695349275112854</c:v>
                </c:pt>
                <c:pt idx="46">
                  <c:v>6.9875105016823769</c:v>
                </c:pt>
                <c:pt idx="47">
                  <c:v>6.8184578404937533</c:v>
                </c:pt>
                <c:pt idx="48">
                  <c:v>7.1951201558346289</c:v>
                </c:pt>
                <c:pt idx="49">
                  <c:v>7.4144131206196624</c:v>
                </c:pt>
                <c:pt idx="50">
                  <c:v>6.7402841336744954</c:v>
                </c:pt>
                <c:pt idx="51">
                  <c:v>5.6786712790012128</c:v>
                </c:pt>
                <c:pt idx="52">
                  <c:v>6.0226483804101445</c:v>
                </c:pt>
                <c:pt idx="53">
                  <c:v>5.415264376753175</c:v>
                </c:pt>
                <c:pt idx="54">
                  <c:v>5.7412288411892094</c:v>
                </c:pt>
                <c:pt idx="55">
                  <c:v>6.0333778477118392</c:v>
                </c:pt>
                <c:pt idx="56">
                  <c:v>7.8276100143321798</c:v>
                </c:pt>
                <c:pt idx="57">
                  <c:v>6.5213228581592215</c:v>
                </c:pt>
                <c:pt idx="58">
                  <c:v>6.7548231277879323</c:v>
                </c:pt>
                <c:pt idx="59">
                  <c:v>6.2853332526768693</c:v>
                </c:pt>
                <c:pt idx="60">
                  <c:v>6.5329327015993384</c:v>
                </c:pt>
                <c:pt idx="61">
                  <c:v>6.2407924679497162</c:v>
                </c:pt>
                <c:pt idx="62">
                  <c:v>6.8008915689382681</c:v>
                </c:pt>
                <c:pt idx="63">
                  <c:v>6.4920528561949</c:v>
                </c:pt>
                <c:pt idx="64">
                  <c:v>5.9471877514695279</c:v>
                </c:pt>
                <c:pt idx="65">
                  <c:v>7.3644057132978791</c:v>
                </c:pt>
                <c:pt idx="66">
                  <c:v>7.3462892007279326</c:v>
                </c:pt>
                <c:pt idx="67">
                  <c:v>7.3356874410235191</c:v>
                </c:pt>
                <c:pt idx="68">
                  <c:v>7.1506323558798837</c:v>
                </c:pt>
                <c:pt idx="69">
                  <c:v>7.3103332636851395</c:v>
                </c:pt>
                <c:pt idx="70">
                  <c:v>7.1186257165161511</c:v>
                </c:pt>
                <c:pt idx="71">
                  <c:v>7.1289553033707449</c:v>
                </c:pt>
                <c:pt idx="72">
                  <c:v>6.8857113615581795</c:v>
                </c:pt>
                <c:pt idx="73">
                  <c:v>6.4418698628389386</c:v>
                </c:pt>
                <c:pt idx="74">
                  <c:v>5.6623512948748065</c:v>
                </c:pt>
                <c:pt idx="75">
                  <c:v>8.0697776035011071</c:v>
                </c:pt>
                <c:pt idx="76">
                  <c:v>7.4086340590469408</c:v>
                </c:pt>
                <c:pt idx="77">
                  <c:v>7.4798533252507546</c:v>
                </c:pt>
                <c:pt idx="78">
                  <c:v>7.4081448355039594</c:v>
                </c:pt>
                <c:pt idx="79">
                  <c:v>7.6597900629040412</c:v>
                </c:pt>
                <c:pt idx="80">
                  <c:v>7.7470230409033132</c:v>
                </c:pt>
                <c:pt idx="81">
                  <c:v>7.6256356987348006</c:v>
                </c:pt>
                <c:pt idx="82">
                  <c:v>7.853430580705985</c:v>
                </c:pt>
                <c:pt idx="83">
                  <c:v>7.1454121028707753</c:v>
                </c:pt>
                <c:pt idx="84">
                  <c:v>5.1795768252219565</c:v>
                </c:pt>
              </c:numCache>
            </c:numRef>
          </c:yVal>
          <c:smooth val="0"/>
          <c:extLst>
            <c:ext xmlns:c16="http://schemas.microsoft.com/office/drawing/2014/chart" uri="{C3380CC4-5D6E-409C-BE32-E72D297353CC}">
              <c16:uniqueId val="{00000000-67C7-46E7-8177-114CDCDB0244}"/>
            </c:ext>
          </c:extLst>
        </c:ser>
        <c:dLbls>
          <c:showLegendKey val="0"/>
          <c:showVal val="0"/>
          <c:showCatName val="0"/>
          <c:showSerName val="0"/>
          <c:showPercent val="0"/>
          <c:showBubbleSize val="0"/>
        </c:dLbls>
        <c:axId val="389583232"/>
        <c:axId val="389593344"/>
      </c:scatterChart>
      <c:valAx>
        <c:axId val="389583232"/>
        <c:scaling>
          <c:orientation val="minMax"/>
          <c:max val="7"/>
          <c:min val="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800" dirty="0">
                    <a:latin typeface="Arial" panose="020B0604020202020204" pitchFamily="34" charset="0"/>
                    <a:cs typeface="Arial" panose="020B0604020202020204" pitchFamily="34" charset="0"/>
                  </a:rPr>
                  <a:t>Water </a:t>
                </a:r>
                <a:r>
                  <a:rPr lang="fr-FR" sz="800" dirty="0" err="1">
                    <a:latin typeface="Arial" panose="020B0604020202020204" pitchFamily="34" charset="0"/>
                    <a:cs typeface="Arial" panose="020B0604020202020204" pitchFamily="34" charset="0"/>
                  </a:rPr>
                  <a:t>flowrate</a:t>
                </a:r>
                <a:r>
                  <a:rPr lang="fr-FR" sz="800" dirty="0">
                    <a:latin typeface="Arial" panose="020B0604020202020204" pitchFamily="34" charset="0"/>
                    <a:cs typeface="Arial" panose="020B0604020202020204" pitchFamily="34" charset="0"/>
                  </a:rPr>
                  <a:t> </a:t>
                </a:r>
                <a:r>
                  <a:rPr lang="fr-FR" sz="800" baseline="0" dirty="0">
                    <a:latin typeface="Arial" panose="020B0604020202020204" pitchFamily="34" charset="0"/>
                    <a:cs typeface="Arial" panose="020B0604020202020204" pitchFamily="34" charset="0"/>
                  </a:rPr>
                  <a:t>(L/h)</a:t>
                </a:r>
                <a:endParaRPr lang="fr-FR" sz="800" dirty="0">
                  <a:latin typeface="Arial" panose="020B0604020202020204" pitchFamily="34" charset="0"/>
                  <a:cs typeface="Arial" panose="020B0604020202020204" pitchFamily="34" charset="0"/>
                </a:endParaRPr>
              </a:p>
            </c:rich>
          </c:tx>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89593344"/>
        <c:crosses val="autoZero"/>
        <c:crossBetween val="midCat"/>
        <c:majorUnit val="1"/>
        <c:minorUnit val="0.5"/>
      </c:valAx>
      <c:valAx>
        <c:axId val="38959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800" dirty="0" err="1">
                    <a:latin typeface="Arial" panose="020B0604020202020204" pitchFamily="34" charset="0"/>
                    <a:cs typeface="Arial" panose="020B0604020202020204" pitchFamily="34" charset="0"/>
                  </a:rPr>
                  <a:t>Heat</a:t>
                </a:r>
                <a:r>
                  <a:rPr lang="fr-FR" sz="800" dirty="0">
                    <a:latin typeface="Arial" panose="020B0604020202020204" pitchFamily="34" charset="0"/>
                    <a:cs typeface="Arial" panose="020B0604020202020204" pitchFamily="34" charset="0"/>
                  </a:rPr>
                  <a:t> Flux</a:t>
                </a:r>
                <a:r>
                  <a:rPr lang="fr-FR" sz="800" baseline="0" dirty="0">
                    <a:latin typeface="Arial" panose="020B0604020202020204" pitchFamily="34" charset="0"/>
                    <a:cs typeface="Arial" panose="020B0604020202020204" pitchFamily="34" charset="0"/>
                  </a:rPr>
                  <a:t> </a:t>
                </a:r>
                <a:r>
                  <a:rPr lang="fr-FR" sz="800" dirty="0">
                    <a:latin typeface="Arial" panose="020B0604020202020204" pitchFamily="34" charset="0"/>
                    <a:cs typeface="Arial" panose="020B0604020202020204" pitchFamily="34" charset="0"/>
                  </a:rPr>
                  <a:t>HS</a:t>
                </a:r>
                <a:r>
                  <a:rPr lang="fr-FR" sz="800" baseline="0" dirty="0">
                    <a:latin typeface="Arial" panose="020B0604020202020204" pitchFamily="34" charset="0"/>
                    <a:cs typeface="Arial" panose="020B0604020202020204" pitchFamily="34" charset="0"/>
                  </a:rPr>
                  <a:t> (W/K)</a:t>
                </a:r>
                <a:endParaRPr lang="fr-FR" sz="800" dirty="0">
                  <a:latin typeface="Arial" panose="020B0604020202020204" pitchFamily="34" charset="0"/>
                  <a:cs typeface="Arial" panose="020B0604020202020204" pitchFamily="34" charset="0"/>
                </a:endParaRPr>
              </a:p>
            </c:rich>
          </c:tx>
          <c:layout>
            <c:manualLayout>
              <c:xMode val="edge"/>
              <c:yMode val="edge"/>
              <c:x val="3.6655211912943873E-2"/>
              <c:y val="0.216116088937158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8958323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65B8-F9D8-4B44-BA23-2D426786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3127</Words>
  <Characters>17199</Characters>
  <Application>Microsoft Office Word</Application>
  <DocSecurity>0</DocSecurity>
  <Lines>143</Lines>
  <Paragraphs>40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henry52</cp:lastModifiedBy>
  <cp:revision>31</cp:revision>
  <cp:lastPrinted>2015-05-12T18:31:00Z</cp:lastPrinted>
  <dcterms:created xsi:type="dcterms:W3CDTF">2019-01-29T15:28:00Z</dcterms:created>
  <dcterms:modified xsi:type="dcterms:W3CDTF">2019-04-05T06:48:00Z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