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6B7981">
        <w:trPr>
          <w:trHeight w:val="852"/>
          <w:jc w:val="center"/>
        </w:trPr>
        <w:tc>
          <w:tcPr>
            <w:tcW w:w="6946" w:type="dxa"/>
            <w:vMerge w:val="restart"/>
            <w:tcBorders>
              <w:right w:val="single" w:sz="4" w:space="0" w:color="auto"/>
            </w:tcBorders>
          </w:tcPr>
          <w:p w:rsidR="000A03B2" w:rsidRPr="006B7981" w:rsidRDefault="000A03B2" w:rsidP="00DE264A">
            <w:pPr>
              <w:tabs>
                <w:tab w:val="left" w:pos="-108"/>
              </w:tabs>
              <w:ind w:left="-108"/>
              <w:jc w:val="left"/>
              <w:rPr>
                <w:rFonts w:cs="Arial"/>
                <w:b/>
                <w:bCs/>
                <w:i/>
                <w:iCs/>
                <w:color w:val="000066"/>
                <w:sz w:val="12"/>
                <w:szCs w:val="12"/>
                <w:lang w:eastAsia="it-IT"/>
              </w:rPr>
            </w:pPr>
            <w:r w:rsidRPr="006B7981">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6B7981">
              <w:rPr>
                <w:rFonts w:ascii="AdvP6960" w:hAnsi="AdvP6960" w:cs="AdvP6960"/>
                <w:color w:val="241F20"/>
                <w:szCs w:val="18"/>
                <w:lang w:eastAsia="it-IT"/>
              </w:rPr>
              <w:t xml:space="preserve"> </w:t>
            </w:r>
            <w:r w:rsidRPr="006B7981">
              <w:rPr>
                <w:rFonts w:cs="Arial"/>
                <w:b/>
                <w:bCs/>
                <w:i/>
                <w:iCs/>
                <w:color w:val="000066"/>
                <w:sz w:val="24"/>
                <w:szCs w:val="24"/>
                <w:lang w:eastAsia="it-IT"/>
              </w:rPr>
              <w:t>CHEMICAL ENGINEERING</w:t>
            </w:r>
            <w:r w:rsidRPr="006B7981">
              <w:rPr>
                <w:rFonts w:cs="Arial"/>
                <w:b/>
                <w:bCs/>
                <w:i/>
                <w:iCs/>
                <w:color w:val="0033FF"/>
                <w:sz w:val="24"/>
                <w:szCs w:val="24"/>
                <w:lang w:eastAsia="it-IT"/>
              </w:rPr>
              <w:t xml:space="preserve"> </w:t>
            </w:r>
            <w:r w:rsidRPr="006B7981">
              <w:rPr>
                <w:rFonts w:cs="Arial"/>
                <w:b/>
                <w:bCs/>
                <w:i/>
                <w:iCs/>
                <w:color w:val="666666"/>
                <w:sz w:val="24"/>
                <w:szCs w:val="24"/>
                <w:lang w:eastAsia="it-IT"/>
              </w:rPr>
              <w:t>TRANSACTIONS</w:t>
            </w:r>
            <w:r w:rsidRPr="006B7981">
              <w:rPr>
                <w:color w:val="333333"/>
                <w:sz w:val="24"/>
                <w:szCs w:val="24"/>
                <w:lang w:eastAsia="it-IT"/>
              </w:rPr>
              <w:t xml:space="preserve"> </w:t>
            </w:r>
            <w:r w:rsidRPr="006B7981">
              <w:rPr>
                <w:rFonts w:cs="Arial"/>
                <w:b/>
                <w:bCs/>
                <w:i/>
                <w:iCs/>
                <w:color w:val="000066"/>
                <w:sz w:val="27"/>
                <w:szCs w:val="27"/>
                <w:lang w:eastAsia="it-IT"/>
              </w:rPr>
              <w:br/>
            </w:r>
          </w:p>
          <w:p w:rsidR="000A03B2" w:rsidRPr="006B7981" w:rsidRDefault="00A76EFC" w:rsidP="009635B9">
            <w:pPr>
              <w:tabs>
                <w:tab w:val="left" w:pos="-108"/>
              </w:tabs>
              <w:ind w:left="-108"/>
              <w:rPr>
                <w:rFonts w:cs="Arial"/>
                <w:b/>
                <w:bCs/>
                <w:i/>
                <w:iCs/>
                <w:color w:val="000066"/>
                <w:sz w:val="22"/>
                <w:szCs w:val="22"/>
                <w:lang w:eastAsia="it-IT"/>
              </w:rPr>
            </w:pPr>
            <w:r w:rsidRPr="006B7981">
              <w:rPr>
                <w:rFonts w:cs="Arial"/>
                <w:b/>
                <w:bCs/>
                <w:i/>
                <w:iCs/>
                <w:color w:val="000066"/>
                <w:sz w:val="22"/>
                <w:szCs w:val="22"/>
                <w:lang w:eastAsia="it-IT"/>
              </w:rPr>
              <w:t xml:space="preserve">VOL. </w:t>
            </w:r>
            <w:r w:rsidR="007931FA" w:rsidRPr="006B7981">
              <w:rPr>
                <w:rFonts w:cs="Arial"/>
                <w:b/>
                <w:bCs/>
                <w:i/>
                <w:iCs/>
                <w:color w:val="000066"/>
                <w:sz w:val="22"/>
                <w:szCs w:val="22"/>
                <w:lang w:eastAsia="it-IT"/>
              </w:rPr>
              <w:t>7</w:t>
            </w:r>
            <w:r w:rsidR="009635B9" w:rsidRPr="006B7981">
              <w:rPr>
                <w:rFonts w:cs="Arial"/>
                <w:b/>
                <w:bCs/>
                <w:i/>
                <w:iCs/>
                <w:color w:val="000066"/>
                <w:sz w:val="22"/>
                <w:szCs w:val="22"/>
                <w:lang w:eastAsia="it-IT"/>
              </w:rPr>
              <w:t>6</w:t>
            </w:r>
            <w:r w:rsidR="00FA5F5F" w:rsidRPr="006B7981">
              <w:rPr>
                <w:rFonts w:cs="Arial"/>
                <w:b/>
                <w:bCs/>
                <w:i/>
                <w:iCs/>
                <w:color w:val="000066"/>
                <w:sz w:val="22"/>
                <w:szCs w:val="22"/>
                <w:lang w:eastAsia="it-IT"/>
              </w:rPr>
              <w:t>, 201</w:t>
            </w:r>
            <w:r w:rsidR="007931FA" w:rsidRPr="006B7981">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6B7981" w:rsidRDefault="000A03B2" w:rsidP="00CD5FE2">
            <w:pPr>
              <w:spacing w:line="140" w:lineRule="atLeast"/>
              <w:jc w:val="right"/>
              <w:rPr>
                <w:rFonts w:cs="Arial"/>
                <w:sz w:val="14"/>
                <w:szCs w:val="14"/>
              </w:rPr>
            </w:pPr>
            <w:r w:rsidRPr="006B7981">
              <w:rPr>
                <w:rFonts w:cs="Arial"/>
                <w:sz w:val="14"/>
                <w:szCs w:val="14"/>
              </w:rPr>
              <w:t>A publication of</w:t>
            </w:r>
          </w:p>
          <w:p w:rsidR="000A03B2" w:rsidRPr="006B7981" w:rsidRDefault="000A03B2" w:rsidP="00CD5FE2">
            <w:pPr>
              <w:jc w:val="right"/>
            </w:pPr>
            <w:r w:rsidRPr="006B7981">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6B7981">
        <w:trPr>
          <w:trHeight w:val="567"/>
          <w:jc w:val="center"/>
        </w:trPr>
        <w:tc>
          <w:tcPr>
            <w:tcW w:w="6946" w:type="dxa"/>
            <w:vMerge/>
            <w:tcBorders>
              <w:right w:val="single" w:sz="4" w:space="0" w:color="auto"/>
            </w:tcBorders>
          </w:tcPr>
          <w:p w:rsidR="000A03B2" w:rsidRPr="006B7981" w:rsidRDefault="000A03B2" w:rsidP="00CD5FE2">
            <w:pPr>
              <w:tabs>
                <w:tab w:val="left" w:pos="-108"/>
              </w:tabs>
            </w:pPr>
          </w:p>
        </w:tc>
        <w:tc>
          <w:tcPr>
            <w:tcW w:w="1843" w:type="dxa"/>
            <w:tcBorders>
              <w:left w:val="single" w:sz="4" w:space="0" w:color="auto"/>
              <w:bottom w:val="nil"/>
              <w:right w:val="single" w:sz="4" w:space="0" w:color="auto"/>
            </w:tcBorders>
          </w:tcPr>
          <w:p w:rsidR="000A03B2" w:rsidRPr="006B7981" w:rsidRDefault="000A03B2" w:rsidP="00CD5FE2">
            <w:pPr>
              <w:spacing w:line="140" w:lineRule="atLeast"/>
              <w:jc w:val="right"/>
              <w:rPr>
                <w:rFonts w:cs="Arial"/>
                <w:sz w:val="14"/>
                <w:szCs w:val="14"/>
              </w:rPr>
            </w:pPr>
            <w:r w:rsidRPr="006B7981">
              <w:rPr>
                <w:rFonts w:cs="Arial"/>
                <w:sz w:val="14"/>
                <w:szCs w:val="14"/>
              </w:rPr>
              <w:t>The Italian Association</w:t>
            </w:r>
          </w:p>
          <w:p w:rsidR="000A03B2" w:rsidRPr="006B7981" w:rsidRDefault="000A03B2" w:rsidP="00CD5FE2">
            <w:pPr>
              <w:spacing w:line="140" w:lineRule="atLeast"/>
              <w:jc w:val="right"/>
              <w:rPr>
                <w:rFonts w:cs="Arial"/>
                <w:sz w:val="14"/>
                <w:szCs w:val="14"/>
              </w:rPr>
            </w:pPr>
            <w:r w:rsidRPr="006B7981">
              <w:rPr>
                <w:rFonts w:cs="Arial"/>
                <w:sz w:val="14"/>
                <w:szCs w:val="14"/>
              </w:rPr>
              <w:t>of Chemical Engineering</w:t>
            </w:r>
          </w:p>
          <w:p w:rsidR="000A03B2" w:rsidRPr="006B7981" w:rsidRDefault="000A03B2" w:rsidP="00162642">
            <w:pPr>
              <w:spacing w:line="140" w:lineRule="atLeast"/>
              <w:jc w:val="right"/>
              <w:rPr>
                <w:rFonts w:cs="Arial"/>
                <w:sz w:val="14"/>
                <w:szCs w:val="14"/>
              </w:rPr>
            </w:pPr>
            <w:r w:rsidRPr="006B7981">
              <w:rPr>
                <w:rFonts w:cs="Arial"/>
                <w:sz w:val="14"/>
                <w:szCs w:val="14"/>
              </w:rPr>
              <w:t xml:space="preserve">Online at </w:t>
            </w:r>
            <w:r w:rsidR="00162642" w:rsidRPr="006B7981">
              <w:rPr>
                <w:rFonts w:cs="Arial"/>
                <w:sz w:val="14"/>
                <w:szCs w:val="14"/>
              </w:rPr>
              <w:t>www.cetjournal.it</w:t>
            </w:r>
          </w:p>
        </w:tc>
      </w:tr>
      <w:tr w:rsidR="000A03B2" w:rsidRPr="006B7981">
        <w:trPr>
          <w:trHeight w:val="68"/>
          <w:jc w:val="center"/>
        </w:trPr>
        <w:tc>
          <w:tcPr>
            <w:tcW w:w="8789" w:type="dxa"/>
            <w:gridSpan w:val="2"/>
          </w:tcPr>
          <w:p w:rsidR="00300E56" w:rsidRPr="006B7981" w:rsidRDefault="00300E56" w:rsidP="003365E3">
            <w:pPr>
              <w:ind w:left="-107"/>
              <w:rPr>
                <w:lang w:val="it-IT"/>
              </w:rPr>
            </w:pPr>
            <w:r w:rsidRPr="006B7981">
              <w:rPr>
                <w:rFonts w:ascii="Tahoma" w:hAnsi="Tahoma" w:cs="Tahoma"/>
                <w:iCs/>
                <w:color w:val="333333"/>
                <w:sz w:val="14"/>
                <w:szCs w:val="14"/>
                <w:lang w:val="it-IT" w:eastAsia="it-IT"/>
              </w:rPr>
              <w:t>Guest Editors:</w:t>
            </w:r>
            <w:r w:rsidR="00904C62" w:rsidRPr="006B7981">
              <w:rPr>
                <w:rFonts w:ascii="Tahoma" w:hAnsi="Tahoma" w:cs="Tahoma"/>
                <w:iCs/>
                <w:color w:val="333333"/>
                <w:sz w:val="14"/>
                <w:szCs w:val="14"/>
                <w:lang w:val="it-IT" w:eastAsia="it-IT"/>
              </w:rPr>
              <w:t xml:space="preserve"> </w:t>
            </w:r>
            <w:r w:rsidR="009635B9" w:rsidRPr="006B7981">
              <w:rPr>
                <w:rFonts w:ascii="Tahoma" w:hAnsi="Tahoma" w:cs="Tahoma"/>
                <w:sz w:val="14"/>
                <w:szCs w:val="14"/>
                <w:lang w:val="it-IT"/>
              </w:rPr>
              <w:t>Sauro Pierucci,</w:t>
            </w:r>
            <w:r w:rsidR="003B60F3" w:rsidRPr="006B7981">
              <w:rPr>
                <w:rFonts w:ascii="Tahoma" w:hAnsi="Tahoma" w:cs="Tahoma"/>
                <w:sz w:val="14"/>
                <w:szCs w:val="14"/>
                <w:lang w:val="it-IT"/>
              </w:rPr>
              <w:t xml:space="preserve"> </w:t>
            </w:r>
            <w:r w:rsidR="00047D7F" w:rsidRPr="006B7981">
              <w:rPr>
                <w:rFonts w:ascii="Tahoma" w:hAnsi="Tahoma" w:cs="Tahoma"/>
                <w:sz w:val="14"/>
                <w:szCs w:val="14"/>
                <w:shd w:val="clear" w:color="auto" w:fill="FFFFFF"/>
                <w:lang w:val="it-IT"/>
              </w:rPr>
              <w:t>Jiří Jaromír Klemeš</w:t>
            </w:r>
            <w:r w:rsidR="00252C1A" w:rsidRPr="006B7981">
              <w:rPr>
                <w:rFonts w:ascii="Tahoma" w:hAnsi="Tahoma" w:cs="Tahoma"/>
                <w:sz w:val="14"/>
                <w:szCs w:val="14"/>
                <w:shd w:val="clear" w:color="auto" w:fill="FFFFFF"/>
                <w:lang w:val="it-IT"/>
              </w:rPr>
              <w:t>, Laura Piazza</w:t>
            </w:r>
          </w:p>
          <w:p w:rsidR="000A03B2" w:rsidRPr="006B7981" w:rsidRDefault="00FA5F5F" w:rsidP="00131FAB">
            <w:pPr>
              <w:tabs>
                <w:tab w:val="left" w:pos="-108"/>
              </w:tabs>
              <w:spacing w:line="140" w:lineRule="atLeast"/>
              <w:ind w:left="-107"/>
              <w:jc w:val="left"/>
            </w:pPr>
            <w:r w:rsidRPr="006B7981">
              <w:rPr>
                <w:rFonts w:ascii="Tahoma" w:hAnsi="Tahoma" w:cs="Tahoma"/>
                <w:iCs/>
                <w:color w:val="333333"/>
                <w:sz w:val="14"/>
                <w:szCs w:val="14"/>
                <w:lang w:eastAsia="it-IT"/>
              </w:rPr>
              <w:t>Copyright © 201</w:t>
            </w:r>
            <w:r w:rsidR="007931FA" w:rsidRPr="006B7981">
              <w:rPr>
                <w:rFonts w:ascii="Tahoma" w:hAnsi="Tahoma" w:cs="Tahoma"/>
                <w:iCs/>
                <w:color w:val="333333"/>
                <w:sz w:val="14"/>
                <w:szCs w:val="14"/>
                <w:lang w:eastAsia="it-IT"/>
              </w:rPr>
              <w:t>9</w:t>
            </w:r>
            <w:r w:rsidR="00904C62" w:rsidRPr="006B7981">
              <w:rPr>
                <w:rFonts w:ascii="Tahoma" w:hAnsi="Tahoma" w:cs="Tahoma"/>
                <w:iCs/>
                <w:color w:val="333333"/>
                <w:sz w:val="14"/>
                <w:szCs w:val="14"/>
                <w:lang w:eastAsia="it-IT"/>
              </w:rPr>
              <w:t>, AIDIC Servizi S.r.l.</w:t>
            </w:r>
            <w:r w:rsidR="00300E56" w:rsidRPr="006B7981">
              <w:rPr>
                <w:rFonts w:ascii="Tahoma" w:hAnsi="Tahoma" w:cs="Tahoma"/>
                <w:iCs/>
                <w:color w:val="333333"/>
                <w:sz w:val="14"/>
                <w:szCs w:val="14"/>
                <w:lang w:eastAsia="it-IT"/>
              </w:rPr>
              <w:br/>
            </w:r>
            <w:r w:rsidR="00300E56" w:rsidRPr="006B7981">
              <w:rPr>
                <w:rFonts w:ascii="Tahoma" w:hAnsi="Tahoma" w:cs="Tahoma"/>
                <w:b/>
                <w:iCs/>
                <w:color w:val="000000"/>
                <w:sz w:val="14"/>
                <w:szCs w:val="14"/>
                <w:lang w:eastAsia="it-IT"/>
              </w:rPr>
              <w:t>ISBN</w:t>
            </w:r>
            <w:r w:rsidR="00300E56" w:rsidRPr="006B7981">
              <w:rPr>
                <w:rFonts w:ascii="Tahoma" w:hAnsi="Tahoma" w:cs="Tahoma"/>
                <w:iCs/>
                <w:color w:val="000000"/>
                <w:sz w:val="14"/>
                <w:szCs w:val="14"/>
                <w:lang w:eastAsia="it-IT"/>
              </w:rPr>
              <w:t xml:space="preserve"> </w:t>
            </w:r>
            <w:r w:rsidR="008D32B9" w:rsidRPr="006B7981">
              <w:rPr>
                <w:rFonts w:ascii="Tahoma" w:hAnsi="Tahoma" w:cs="Tahoma"/>
                <w:sz w:val="14"/>
                <w:szCs w:val="14"/>
              </w:rPr>
              <w:t>978-88-95608-</w:t>
            </w:r>
            <w:r w:rsidR="009635B9" w:rsidRPr="006B7981">
              <w:rPr>
                <w:rFonts w:ascii="Tahoma" w:hAnsi="Tahoma" w:cs="Tahoma"/>
                <w:sz w:val="14"/>
                <w:szCs w:val="14"/>
              </w:rPr>
              <w:t>73</w:t>
            </w:r>
            <w:r w:rsidR="008D32B9" w:rsidRPr="006B7981">
              <w:rPr>
                <w:rFonts w:ascii="Tahoma" w:hAnsi="Tahoma" w:cs="Tahoma"/>
                <w:sz w:val="14"/>
                <w:szCs w:val="14"/>
              </w:rPr>
              <w:t>-</w:t>
            </w:r>
            <w:r w:rsidR="009635B9" w:rsidRPr="006B7981">
              <w:rPr>
                <w:rFonts w:ascii="Tahoma" w:hAnsi="Tahoma" w:cs="Tahoma"/>
                <w:sz w:val="14"/>
                <w:szCs w:val="14"/>
              </w:rPr>
              <w:t>0</w:t>
            </w:r>
            <w:r w:rsidR="00300E56" w:rsidRPr="006B7981">
              <w:rPr>
                <w:rFonts w:ascii="Tahoma" w:hAnsi="Tahoma" w:cs="Tahoma"/>
                <w:iCs/>
                <w:color w:val="333333"/>
                <w:sz w:val="14"/>
                <w:szCs w:val="14"/>
                <w:lang w:eastAsia="it-IT"/>
              </w:rPr>
              <w:t xml:space="preserve">; </w:t>
            </w:r>
            <w:r w:rsidR="00300E56" w:rsidRPr="006B7981">
              <w:rPr>
                <w:rFonts w:ascii="Tahoma" w:hAnsi="Tahoma" w:cs="Tahoma"/>
                <w:b/>
                <w:iCs/>
                <w:color w:val="333333"/>
                <w:sz w:val="14"/>
                <w:szCs w:val="14"/>
                <w:lang w:eastAsia="it-IT"/>
              </w:rPr>
              <w:t>ISSN</w:t>
            </w:r>
            <w:r w:rsidR="00300E56" w:rsidRPr="006B7981">
              <w:rPr>
                <w:rFonts w:ascii="Tahoma" w:hAnsi="Tahoma" w:cs="Tahoma"/>
                <w:iCs/>
                <w:color w:val="333333"/>
                <w:sz w:val="14"/>
                <w:szCs w:val="14"/>
                <w:lang w:eastAsia="it-IT"/>
              </w:rPr>
              <w:t xml:space="preserve"> 2283-9216</w:t>
            </w:r>
          </w:p>
        </w:tc>
      </w:tr>
    </w:tbl>
    <w:p w:rsidR="000A03B2" w:rsidRPr="006B7981" w:rsidRDefault="000A03B2" w:rsidP="000A03B2">
      <w:pPr>
        <w:pStyle w:val="CETAuthors"/>
        <w:sectPr w:rsidR="000A03B2" w:rsidRPr="006B7981">
          <w:type w:val="continuous"/>
          <w:pgSz w:w="11906" w:h="16838" w:code="9"/>
          <w:pgMar w:top="1701" w:right="1418" w:bottom="1701" w:left="1701" w:header="1701" w:footer="0" w:gutter="0"/>
          <w:cols w:space="708"/>
          <w:titlePg/>
          <w:docGrid w:linePitch="360"/>
        </w:sectPr>
      </w:pPr>
    </w:p>
    <w:p w:rsidR="00E978D0" w:rsidRPr="006B7981" w:rsidRDefault="00D305AD" w:rsidP="00E978D0">
      <w:pPr>
        <w:pStyle w:val="CETTitle"/>
      </w:pPr>
      <w:r w:rsidRPr="006B7981">
        <w:lastRenderedPageBreak/>
        <w:t>Effect of Current Density on Product Distribution for the Electrocatalytic Reduction of CO</w:t>
      </w:r>
      <w:r w:rsidRPr="006B7981">
        <w:rPr>
          <w:vertAlign w:val="subscript"/>
        </w:rPr>
        <w:t>2</w:t>
      </w:r>
    </w:p>
    <w:p w:rsidR="00E978D0" w:rsidRPr="006B7981" w:rsidRDefault="00E80DC3" w:rsidP="00AB5011">
      <w:pPr>
        <w:pStyle w:val="CETAuthors"/>
        <w:rPr>
          <w:lang w:val="it-IT"/>
        </w:rPr>
      </w:pPr>
      <w:r w:rsidRPr="006B7981">
        <w:rPr>
          <w:lang w:val="it-IT"/>
        </w:rPr>
        <w:t>Claudio Ampelli</w:t>
      </w:r>
      <w:r w:rsidRPr="006B7981">
        <w:rPr>
          <w:vertAlign w:val="superscript"/>
          <w:lang w:val="it-IT"/>
        </w:rPr>
        <w:t>a</w:t>
      </w:r>
      <w:r w:rsidR="00600535" w:rsidRPr="006B7981">
        <w:rPr>
          <w:vertAlign w:val="superscript"/>
          <w:lang w:val="it-IT"/>
        </w:rPr>
        <w:t>,</w:t>
      </w:r>
      <w:r w:rsidR="00600535" w:rsidRPr="006B7981">
        <w:rPr>
          <w:lang w:val="it-IT"/>
        </w:rPr>
        <w:t xml:space="preserve">*, </w:t>
      </w:r>
      <w:r w:rsidRPr="006B7981">
        <w:rPr>
          <w:lang w:val="it-IT"/>
        </w:rPr>
        <w:t>Chiara Genovese</w:t>
      </w:r>
      <w:r w:rsidRPr="006B7981">
        <w:rPr>
          <w:vertAlign w:val="superscript"/>
          <w:lang w:val="it-IT"/>
        </w:rPr>
        <w:t>a</w:t>
      </w:r>
      <w:r w:rsidRPr="006B7981">
        <w:rPr>
          <w:lang w:val="it-IT"/>
        </w:rPr>
        <w:t>, Daniele Cosio</w:t>
      </w:r>
      <w:r w:rsidR="001845B1" w:rsidRPr="006B7981">
        <w:rPr>
          <w:vertAlign w:val="superscript"/>
          <w:lang w:val="it-IT"/>
        </w:rPr>
        <w:t>b</w:t>
      </w:r>
      <w:r w:rsidRPr="006B7981">
        <w:rPr>
          <w:lang w:val="it-IT"/>
        </w:rPr>
        <w:t>, Siglinda Perathoner</w:t>
      </w:r>
      <w:r w:rsidRPr="006B7981">
        <w:rPr>
          <w:vertAlign w:val="superscript"/>
          <w:lang w:val="it-IT"/>
        </w:rPr>
        <w:t>a</w:t>
      </w:r>
      <w:r w:rsidRPr="006B7981">
        <w:rPr>
          <w:lang w:val="it-IT"/>
        </w:rPr>
        <w:t>, Gabriele Centi</w:t>
      </w:r>
      <w:r w:rsidR="001845B1" w:rsidRPr="006B7981">
        <w:rPr>
          <w:vertAlign w:val="superscript"/>
          <w:lang w:val="it-IT"/>
        </w:rPr>
        <w:t>b</w:t>
      </w:r>
    </w:p>
    <w:p w:rsidR="00E978D0" w:rsidRPr="006B7981" w:rsidRDefault="00E978D0" w:rsidP="00E978D0">
      <w:pPr>
        <w:pStyle w:val="CETAddress"/>
      </w:pPr>
      <w:r w:rsidRPr="006B7981">
        <w:rPr>
          <w:vertAlign w:val="superscript"/>
        </w:rPr>
        <w:t>a</w:t>
      </w:r>
      <w:r w:rsidR="001845B1" w:rsidRPr="006B7981">
        <w:t>Department of Chemical, Biological, Pharmaceutical and Environmental Sciences – University of Messina, ERIC aisbl and CASPE/INSTM, v.le F. Stagno d'Alcontres, 31 – 98166 Messina, Italy</w:t>
      </w:r>
    </w:p>
    <w:p w:rsidR="00E978D0" w:rsidRPr="006B7981" w:rsidRDefault="00E978D0" w:rsidP="00E978D0">
      <w:pPr>
        <w:pStyle w:val="CETAddress"/>
      </w:pPr>
      <w:r w:rsidRPr="006B7981">
        <w:rPr>
          <w:vertAlign w:val="superscript"/>
        </w:rPr>
        <w:t>b</w:t>
      </w:r>
      <w:r w:rsidR="001845B1" w:rsidRPr="006B7981">
        <w:t>Department of Mathematical, Computer, Physical and Earth Sciences – University of Messina, ERIC aisbl and CASPE/INSTM, v.le F. Stagno d'Alcontres, 31 – 98166 Messina, Italy</w:t>
      </w:r>
    </w:p>
    <w:p w:rsidR="00E978D0" w:rsidRPr="006B7981" w:rsidRDefault="001845B1" w:rsidP="00E978D0">
      <w:pPr>
        <w:pStyle w:val="CETemail"/>
      </w:pPr>
      <w:r w:rsidRPr="006B7981">
        <w:t>ampellic@unime.it</w:t>
      </w:r>
    </w:p>
    <w:p w:rsidR="0070270E" w:rsidRPr="006B7981" w:rsidRDefault="009B4535" w:rsidP="0030380D">
      <w:pPr>
        <w:pStyle w:val="CETBodytext"/>
        <w:rPr>
          <w:lang w:val="en-GB"/>
        </w:rPr>
      </w:pPr>
      <w:r w:rsidRPr="006B7981">
        <w:rPr>
          <w:lang w:val="en-GB"/>
        </w:rPr>
        <w:t xml:space="preserve">The effect of current density on product distribution </w:t>
      </w:r>
      <w:r w:rsidR="00E6784E" w:rsidRPr="006B7981">
        <w:rPr>
          <w:lang w:val="en-GB"/>
        </w:rPr>
        <w:t>and yield</w:t>
      </w:r>
      <w:r w:rsidR="00C415A7" w:rsidRPr="006B7981">
        <w:rPr>
          <w:lang w:val="en-GB"/>
        </w:rPr>
        <w:t xml:space="preserve"> in</w:t>
      </w:r>
      <w:r w:rsidR="00E6784E" w:rsidRPr="006B7981">
        <w:rPr>
          <w:lang w:val="en-GB"/>
        </w:rPr>
        <w:t xml:space="preserve"> the electrochemical reduction of carbon dioxide </w:t>
      </w:r>
      <w:r w:rsidRPr="006B7981">
        <w:rPr>
          <w:lang w:val="en-GB"/>
        </w:rPr>
        <w:t xml:space="preserve">was </w:t>
      </w:r>
      <w:r w:rsidR="00EB3026" w:rsidRPr="006B7981">
        <w:rPr>
          <w:lang w:val="en-GB"/>
        </w:rPr>
        <w:t>studied</w:t>
      </w:r>
      <w:r w:rsidRPr="006B7981">
        <w:rPr>
          <w:lang w:val="en-GB"/>
        </w:rPr>
        <w:t xml:space="preserve"> by </w:t>
      </w:r>
      <w:r w:rsidR="00022A2E" w:rsidRPr="006B7981">
        <w:rPr>
          <w:lang w:val="en-GB"/>
        </w:rPr>
        <w:t>processing lo</w:t>
      </w:r>
      <w:r w:rsidR="00E6784E" w:rsidRPr="006B7981">
        <w:rPr>
          <w:lang w:val="en-GB"/>
        </w:rPr>
        <w:t xml:space="preserve">w-cost and </w:t>
      </w:r>
      <w:r w:rsidR="00011F66">
        <w:rPr>
          <w:lang w:val="en-GB"/>
        </w:rPr>
        <w:t>non-critical raw</w:t>
      </w:r>
      <w:r w:rsidR="00E6784E" w:rsidRPr="006B7981">
        <w:rPr>
          <w:lang w:val="en-GB"/>
        </w:rPr>
        <w:t xml:space="preserve"> materials</w:t>
      </w:r>
      <w:r w:rsidRPr="006B7981">
        <w:rPr>
          <w:lang w:val="en-GB"/>
        </w:rPr>
        <w:t xml:space="preserve">. </w:t>
      </w:r>
      <w:r w:rsidR="00E6784E" w:rsidRPr="006B7981">
        <w:rPr>
          <w:lang w:val="en-GB"/>
        </w:rPr>
        <w:t>Specifically, th</w:t>
      </w:r>
      <w:r w:rsidRPr="006B7981">
        <w:rPr>
          <w:lang w:val="en-GB"/>
        </w:rPr>
        <w:t>e electro</w:t>
      </w:r>
      <w:r w:rsidR="00E6784E" w:rsidRPr="006B7981">
        <w:rPr>
          <w:lang w:val="en-GB"/>
        </w:rPr>
        <w:t>des</w:t>
      </w:r>
      <w:r w:rsidRPr="006B7981">
        <w:rPr>
          <w:lang w:val="en-GB"/>
        </w:rPr>
        <w:t xml:space="preserve"> were prepared by depositing </w:t>
      </w:r>
      <w:r w:rsidR="00E6784E" w:rsidRPr="006B7981">
        <w:rPr>
          <w:lang w:val="en-GB"/>
        </w:rPr>
        <w:t>copper (</w:t>
      </w:r>
      <w:r w:rsidRPr="006B7981">
        <w:rPr>
          <w:lang w:val="en-GB"/>
        </w:rPr>
        <w:t>Cu</w:t>
      </w:r>
      <w:r w:rsidR="00E6784E" w:rsidRPr="006B7981">
        <w:rPr>
          <w:lang w:val="en-GB"/>
        </w:rPr>
        <w:t>)</w:t>
      </w:r>
      <w:r w:rsidRPr="006B7981">
        <w:rPr>
          <w:lang w:val="en-GB"/>
        </w:rPr>
        <w:t xml:space="preserve"> nanoparticles on functionalized carbon nanotubes </w:t>
      </w:r>
      <w:r w:rsidR="00E6784E" w:rsidRPr="006B7981">
        <w:rPr>
          <w:lang w:val="en-GB"/>
        </w:rPr>
        <w:t>(CNTs)</w:t>
      </w:r>
      <w:r w:rsidR="00775543" w:rsidRPr="006B7981">
        <w:rPr>
          <w:lang w:val="en-GB"/>
        </w:rPr>
        <w:t xml:space="preserve">, </w:t>
      </w:r>
      <w:r w:rsidR="00E6784E" w:rsidRPr="006B7981">
        <w:rPr>
          <w:lang w:val="en-GB"/>
        </w:rPr>
        <w:t xml:space="preserve">then assembled with a gas diffusion layer and a proton exchange membrane. The as-prepared </w:t>
      </w:r>
      <w:r w:rsidR="0006737B" w:rsidRPr="006B7981">
        <w:rPr>
          <w:lang w:val="en-GB"/>
        </w:rPr>
        <w:t>electrodes</w:t>
      </w:r>
      <w:r w:rsidR="00E6784E" w:rsidRPr="006B7981">
        <w:rPr>
          <w:lang w:val="en-GB"/>
        </w:rPr>
        <w:t xml:space="preserve"> were fully characterized by different advanced techniques to study their morphological and </w:t>
      </w:r>
      <w:r w:rsidR="008A5B52" w:rsidRPr="006B7981">
        <w:rPr>
          <w:lang w:val="en-GB"/>
        </w:rPr>
        <w:t>structural</w:t>
      </w:r>
      <w:r w:rsidR="00E6784E" w:rsidRPr="006B7981">
        <w:rPr>
          <w:lang w:val="en-GB"/>
        </w:rPr>
        <w:t xml:space="preserve"> </w:t>
      </w:r>
      <w:r w:rsidR="003240CC">
        <w:rPr>
          <w:lang w:val="en-GB"/>
        </w:rPr>
        <w:t>characteristics</w:t>
      </w:r>
      <w:r w:rsidR="00EC25A8">
        <w:rPr>
          <w:lang w:val="en-GB"/>
        </w:rPr>
        <w:t xml:space="preserve">, as well as </w:t>
      </w:r>
      <w:r w:rsidR="00E6784E" w:rsidRPr="006B7981">
        <w:rPr>
          <w:lang w:val="en-GB"/>
        </w:rPr>
        <w:t>their electrochemical properties.</w:t>
      </w:r>
      <w:r w:rsidR="0006737B" w:rsidRPr="006B7981">
        <w:rPr>
          <w:lang w:val="en-GB"/>
        </w:rPr>
        <w:t xml:space="preserve"> </w:t>
      </w:r>
      <w:r w:rsidR="00C415A7" w:rsidRPr="006B7981">
        <w:rPr>
          <w:lang w:val="en-GB"/>
        </w:rPr>
        <w:t>Finally</w:t>
      </w:r>
      <w:r w:rsidR="00F84A33" w:rsidRPr="006B7981">
        <w:rPr>
          <w:lang w:val="en-GB"/>
        </w:rPr>
        <w:t>,</w:t>
      </w:r>
      <w:r w:rsidR="00C415A7" w:rsidRPr="006B7981">
        <w:rPr>
          <w:lang w:val="en-GB"/>
        </w:rPr>
        <w:t xml:space="preserve"> the</w:t>
      </w:r>
      <w:r w:rsidR="00EC25A8">
        <w:rPr>
          <w:lang w:val="en-GB"/>
        </w:rPr>
        <w:t xml:space="preserve"> electrodes</w:t>
      </w:r>
      <w:r w:rsidR="00C415A7" w:rsidRPr="006B7981">
        <w:rPr>
          <w:lang w:val="en-GB"/>
        </w:rPr>
        <w:t xml:space="preserve"> were tested </w:t>
      </w:r>
      <w:r w:rsidR="00775543" w:rsidRPr="006B7981">
        <w:rPr>
          <w:lang w:val="en-GB"/>
        </w:rPr>
        <w:t>in the process of CO</w:t>
      </w:r>
      <w:r w:rsidR="00775543" w:rsidRPr="006B7981">
        <w:rPr>
          <w:vertAlign w:val="subscript"/>
          <w:lang w:val="en-GB"/>
        </w:rPr>
        <w:t>2</w:t>
      </w:r>
      <w:r w:rsidR="00775543" w:rsidRPr="006B7981">
        <w:rPr>
          <w:lang w:val="en-GB"/>
        </w:rPr>
        <w:t xml:space="preserve"> electro</w:t>
      </w:r>
      <w:r w:rsidR="00E27D2C">
        <w:rPr>
          <w:lang w:val="en-GB"/>
        </w:rPr>
        <w:t>-</w:t>
      </w:r>
      <w:r w:rsidR="00775543" w:rsidRPr="006B7981">
        <w:rPr>
          <w:lang w:val="en-GB"/>
        </w:rPr>
        <w:t>reduction by using</w:t>
      </w:r>
      <w:r w:rsidR="00C415A7" w:rsidRPr="006B7981">
        <w:rPr>
          <w:lang w:val="en-GB"/>
        </w:rPr>
        <w:t xml:space="preserve"> a </w:t>
      </w:r>
      <w:r w:rsidR="00F10D45" w:rsidRPr="006B7981">
        <w:rPr>
          <w:lang w:val="en-GB"/>
        </w:rPr>
        <w:t>compact</w:t>
      </w:r>
      <w:r w:rsidR="00C415A7" w:rsidRPr="006B7981">
        <w:rPr>
          <w:lang w:val="en-GB"/>
        </w:rPr>
        <w:t xml:space="preserve"> electrochemical device</w:t>
      </w:r>
      <w:r w:rsidR="00F84A33" w:rsidRPr="006B7981">
        <w:rPr>
          <w:lang w:val="en-GB"/>
        </w:rPr>
        <w:t>, designed on purpose to minimize overpotential phenomena</w:t>
      </w:r>
      <w:r w:rsidR="00C415A7" w:rsidRPr="006B7981">
        <w:rPr>
          <w:lang w:val="en-GB"/>
        </w:rPr>
        <w:t xml:space="preserve">. The tests were carried out under a continuous flow of </w:t>
      </w:r>
      <w:r w:rsidR="00F10D45" w:rsidRPr="006B7981">
        <w:rPr>
          <w:lang w:val="en-GB"/>
        </w:rPr>
        <w:t xml:space="preserve">pure </w:t>
      </w:r>
      <w:r w:rsidR="00C415A7" w:rsidRPr="006B7981">
        <w:rPr>
          <w:lang w:val="en-GB"/>
        </w:rPr>
        <w:t>CO</w:t>
      </w:r>
      <w:r w:rsidR="00C415A7" w:rsidRPr="006B7981">
        <w:rPr>
          <w:vertAlign w:val="subscript"/>
          <w:lang w:val="en-GB"/>
        </w:rPr>
        <w:t>2</w:t>
      </w:r>
      <w:r w:rsidR="00C415A7" w:rsidRPr="006B7981">
        <w:rPr>
          <w:lang w:val="en-GB"/>
        </w:rPr>
        <w:t xml:space="preserve"> in 0.1 M KHCO</w:t>
      </w:r>
      <w:r w:rsidR="00C415A7" w:rsidRPr="006B7981">
        <w:rPr>
          <w:vertAlign w:val="subscript"/>
          <w:lang w:val="en-GB"/>
        </w:rPr>
        <w:t>3</w:t>
      </w:r>
      <w:r w:rsidR="00C415A7" w:rsidRPr="006B7981">
        <w:rPr>
          <w:lang w:val="en-GB"/>
        </w:rPr>
        <w:t xml:space="preserve"> as the electrolyte</w:t>
      </w:r>
      <w:r w:rsidR="00775543" w:rsidRPr="006B7981">
        <w:rPr>
          <w:lang w:val="en-GB"/>
        </w:rPr>
        <w:t xml:space="preserve">, applying different </w:t>
      </w:r>
      <w:r w:rsidR="0070270E" w:rsidRPr="006B7981">
        <w:rPr>
          <w:lang w:val="en-GB"/>
        </w:rPr>
        <w:t>voltages</w:t>
      </w:r>
      <w:r w:rsidR="00775543" w:rsidRPr="006B7981">
        <w:rPr>
          <w:lang w:val="en-GB"/>
        </w:rPr>
        <w:t xml:space="preserve"> (</w:t>
      </w:r>
      <w:r w:rsidR="000C5008" w:rsidRPr="006B7981">
        <w:rPr>
          <w:lang w:val="en-GB"/>
        </w:rPr>
        <w:t>from</w:t>
      </w:r>
      <w:r w:rsidR="00775543" w:rsidRPr="006B7981">
        <w:rPr>
          <w:lang w:val="en-GB"/>
        </w:rPr>
        <w:t xml:space="preserve"> -0.5 </w:t>
      </w:r>
      <w:r w:rsidR="000C5008" w:rsidRPr="006B7981">
        <w:rPr>
          <w:lang w:val="en-GB"/>
        </w:rPr>
        <w:t>to -</w:t>
      </w:r>
      <w:r w:rsidR="00775543" w:rsidRPr="006B7981">
        <w:rPr>
          <w:lang w:val="en-GB"/>
        </w:rPr>
        <w:t xml:space="preserve">1.7 V vs. Ag/AgCl) in order to </w:t>
      </w:r>
      <w:r w:rsidR="0070270E" w:rsidRPr="006B7981">
        <w:rPr>
          <w:lang w:val="en-GB"/>
        </w:rPr>
        <w:t>obtain</w:t>
      </w:r>
      <w:r w:rsidR="00775543" w:rsidRPr="006B7981">
        <w:rPr>
          <w:lang w:val="en-GB"/>
        </w:rPr>
        <w:t xml:space="preserve"> different current densities (</w:t>
      </w:r>
      <w:r w:rsidR="000C5008" w:rsidRPr="006B7981">
        <w:rPr>
          <w:lang w:val="en-GB"/>
        </w:rPr>
        <w:t>from 0.1 to 2.3 mA cm</w:t>
      </w:r>
      <w:r w:rsidR="000C5008" w:rsidRPr="006B7981">
        <w:rPr>
          <w:vertAlign w:val="superscript"/>
          <w:lang w:val="en-GB"/>
        </w:rPr>
        <w:t>-2</w:t>
      </w:r>
      <w:r w:rsidR="000C5008" w:rsidRPr="006B7981">
        <w:rPr>
          <w:lang w:val="en-GB"/>
        </w:rPr>
        <w:t>, respectively). Furthermore, test</w:t>
      </w:r>
      <w:r w:rsidR="007604AD">
        <w:rPr>
          <w:lang w:val="en-GB"/>
        </w:rPr>
        <w:t>s</w:t>
      </w:r>
      <w:r w:rsidR="000C5008" w:rsidRPr="006B7981">
        <w:rPr>
          <w:lang w:val="en-GB"/>
        </w:rPr>
        <w:t xml:space="preserve"> under industrial relevant conditions (high current density) w</w:t>
      </w:r>
      <w:r w:rsidR="007604AD">
        <w:rPr>
          <w:lang w:val="en-GB"/>
        </w:rPr>
        <w:t>ere</w:t>
      </w:r>
      <w:r w:rsidR="000C5008" w:rsidRPr="006B7981">
        <w:rPr>
          <w:lang w:val="en-GB"/>
        </w:rPr>
        <w:t xml:space="preserve"> performed by providing directly 10 mA cm</w:t>
      </w:r>
      <w:r w:rsidR="000C5008" w:rsidRPr="006B7981">
        <w:rPr>
          <w:vertAlign w:val="superscript"/>
          <w:lang w:val="en-GB"/>
        </w:rPr>
        <w:t>-2</w:t>
      </w:r>
      <w:r w:rsidR="000C5008" w:rsidRPr="006B7981">
        <w:rPr>
          <w:lang w:val="en-GB"/>
        </w:rPr>
        <w:t xml:space="preserve"> </w:t>
      </w:r>
      <w:r w:rsidR="00623259" w:rsidRPr="006B7981">
        <w:rPr>
          <w:lang w:val="en-GB"/>
        </w:rPr>
        <w:t xml:space="preserve">to the working electrode. </w:t>
      </w:r>
      <w:r w:rsidR="000C5008" w:rsidRPr="006B7981">
        <w:rPr>
          <w:lang w:val="en-GB"/>
        </w:rPr>
        <w:t xml:space="preserve">Results showed </w:t>
      </w:r>
      <w:r w:rsidR="0070270E" w:rsidRPr="006B7981">
        <w:rPr>
          <w:lang w:val="en-GB"/>
        </w:rPr>
        <w:t xml:space="preserve">that current density </w:t>
      </w:r>
      <w:r w:rsidR="00623259" w:rsidRPr="006B7981">
        <w:rPr>
          <w:lang w:val="en-GB"/>
        </w:rPr>
        <w:t xml:space="preserve">strongly </w:t>
      </w:r>
      <w:r w:rsidR="0070270E" w:rsidRPr="006B7981">
        <w:rPr>
          <w:lang w:val="en-GB"/>
        </w:rPr>
        <w:t xml:space="preserve">influences the product distribution, with formic acid and CO being the main products at high current density, </w:t>
      </w:r>
      <w:r w:rsidR="004D786A" w:rsidRPr="006B7981">
        <w:rPr>
          <w:lang w:val="en-GB"/>
        </w:rPr>
        <w:t>while</w:t>
      </w:r>
      <w:r w:rsidR="00623259" w:rsidRPr="006B7981">
        <w:rPr>
          <w:lang w:val="en-GB"/>
        </w:rPr>
        <w:t xml:space="preserve"> </w:t>
      </w:r>
      <w:r w:rsidR="0070270E" w:rsidRPr="006B7981">
        <w:rPr>
          <w:lang w:val="en-GB"/>
        </w:rPr>
        <w:t xml:space="preserve">products like methanol, ethanol, isopropanol, acetic acid, and oxalic acid </w:t>
      </w:r>
      <w:r w:rsidR="004D786A" w:rsidRPr="006B7981">
        <w:rPr>
          <w:lang w:val="en-GB"/>
        </w:rPr>
        <w:t xml:space="preserve">were </w:t>
      </w:r>
      <w:r w:rsidR="004838BD" w:rsidRPr="006B7981">
        <w:rPr>
          <w:lang w:val="en-GB"/>
        </w:rPr>
        <w:t xml:space="preserve">formed </w:t>
      </w:r>
      <w:r w:rsidR="00EB3026" w:rsidRPr="006B7981">
        <w:rPr>
          <w:lang w:val="en-GB"/>
        </w:rPr>
        <w:t>at low</w:t>
      </w:r>
      <w:r w:rsidR="005571A2">
        <w:rPr>
          <w:lang w:val="en-GB"/>
        </w:rPr>
        <w:t>er</w:t>
      </w:r>
      <w:r w:rsidR="00623259" w:rsidRPr="006B7981">
        <w:rPr>
          <w:lang w:val="en-GB"/>
        </w:rPr>
        <w:t xml:space="preserve"> applied potential</w:t>
      </w:r>
      <w:r w:rsidR="00BD204C" w:rsidRPr="006B7981">
        <w:rPr>
          <w:lang w:val="en-GB"/>
        </w:rPr>
        <w:t>.</w:t>
      </w:r>
    </w:p>
    <w:p w:rsidR="00600535" w:rsidRPr="006B7981" w:rsidRDefault="00600535" w:rsidP="00600535">
      <w:pPr>
        <w:pStyle w:val="CETHeading1"/>
        <w:rPr>
          <w:lang w:val="en-GB"/>
        </w:rPr>
      </w:pPr>
      <w:r w:rsidRPr="006B7981">
        <w:rPr>
          <w:lang w:val="en-GB"/>
        </w:rPr>
        <w:t>Introduction</w:t>
      </w:r>
    </w:p>
    <w:p w:rsidR="0006361E" w:rsidRPr="006B7981" w:rsidRDefault="00E80DC3" w:rsidP="00E80DC3">
      <w:pPr>
        <w:pStyle w:val="CETBodytext"/>
        <w:rPr>
          <w:lang w:val="en-GB"/>
        </w:rPr>
      </w:pPr>
      <w:r w:rsidRPr="006B7981">
        <w:rPr>
          <w:lang w:val="en-GB"/>
        </w:rPr>
        <w:t xml:space="preserve">The progressive substitution of fossil fuels with renewable energy sources, and in particular with solar energy, requires the need to move to a modified scenario for the industrial chemical production, indicated as solar-driven chemistry </w:t>
      </w:r>
      <w:r w:rsidR="00F342E3" w:rsidRPr="006B7981">
        <w:rPr>
          <w:lang w:val="en-GB"/>
        </w:rPr>
        <w:t>(Lanzafame et al., 2017)</w:t>
      </w:r>
      <w:r w:rsidRPr="006B7981">
        <w:rPr>
          <w:lang w:val="en-GB"/>
        </w:rPr>
        <w:t>. In this vision, the conversion of CO</w:t>
      </w:r>
      <w:r w:rsidRPr="006B7981">
        <w:rPr>
          <w:vertAlign w:val="subscript"/>
          <w:lang w:val="en-GB"/>
        </w:rPr>
        <w:t>2</w:t>
      </w:r>
      <w:r w:rsidRPr="006B7981">
        <w:rPr>
          <w:lang w:val="en-GB"/>
        </w:rPr>
        <w:t xml:space="preserve"> by electro</w:t>
      </w:r>
      <w:r w:rsidR="00F562BE">
        <w:rPr>
          <w:lang w:val="en-GB"/>
        </w:rPr>
        <w:t>-</w:t>
      </w:r>
      <w:r w:rsidRPr="006B7981">
        <w:rPr>
          <w:lang w:val="en-GB"/>
        </w:rPr>
        <w:t>reduction process is an attractive and sustainable technology to assist the energy transition and limit greenhouse gas emissions</w:t>
      </w:r>
      <w:r w:rsidR="009D2245" w:rsidRPr="006B7981">
        <w:rPr>
          <w:lang w:val="en-GB"/>
        </w:rPr>
        <w:t xml:space="preserve"> (Rudin et al., 2017)</w:t>
      </w:r>
      <w:r w:rsidRPr="006B7981">
        <w:rPr>
          <w:lang w:val="en-GB"/>
        </w:rPr>
        <w:t>. The base concept is that CO</w:t>
      </w:r>
      <w:r w:rsidRPr="006B7981">
        <w:rPr>
          <w:vertAlign w:val="subscript"/>
          <w:lang w:val="en-GB"/>
        </w:rPr>
        <w:t>2</w:t>
      </w:r>
      <w:r w:rsidRPr="006B7981">
        <w:rPr>
          <w:lang w:val="en-GB"/>
        </w:rPr>
        <w:t xml:space="preserve"> and H</w:t>
      </w:r>
      <w:r w:rsidRPr="006B7981">
        <w:rPr>
          <w:vertAlign w:val="subscript"/>
          <w:lang w:val="en-GB"/>
        </w:rPr>
        <w:t>2</w:t>
      </w:r>
      <w:r w:rsidRPr="006B7981">
        <w:rPr>
          <w:lang w:val="en-GB"/>
        </w:rPr>
        <w:t>O can be processed by a direct electrocatalytic route to produce O</w:t>
      </w:r>
      <w:r w:rsidRPr="006B7981">
        <w:rPr>
          <w:vertAlign w:val="subscript"/>
          <w:lang w:val="en-GB"/>
        </w:rPr>
        <w:t>2</w:t>
      </w:r>
      <w:r w:rsidRPr="006B7981">
        <w:rPr>
          <w:lang w:val="en-GB"/>
        </w:rPr>
        <w:t xml:space="preserve"> and more value-added carbon products, through the implementation of an artificial-leaf-type device</w:t>
      </w:r>
      <w:r w:rsidR="00F342E3" w:rsidRPr="006B7981">
        <w:rPr>
          <w:lang w:val="en-GB"/>
        </w:rPr>
        <w:t xml:space="preserve"> (Marepally et</w:t>
      </w:r>
      <w:r w:rsidRPr="006B7981">
        <w:rPr>
          <w:lang w:val="en-GB"/>
        </w:rPr>
        <w:t>.</w:t>
      </w:r>
      <w:r w:rsidR="00F342E3" w:rsidRPr="006B7981">
        <w:rPr>
          <w:lang w:val="en-GB"/>
        </w:rPr>
        <w:t xml:space="preserve"> </w:t>
      </w:r>
      <w:r w:rsidR="00A37997" w:rsidRPr="006B7981">
        <w:rPr>
          <w:lang w:val="en-GB"/>
        </w:rPr>
        <w:t>a</w:t>
      </w:r>
      <w:r w:rsidR="00F342E3" w:rsidRPr="006B7981">
        <w:rPr>
          <w:lang w:val="en-GB"/>
        </w:rPr>
        <w:t>l., 2017a).</w:t>
      </w:r>
    </w:p>
    <w:p w:rsidR="008079F3" w:rsidRPr="006B7981" w:rsidRDefault="008079F3" w:rsidP="006B7010">
      <w:pPr>
        <w:pStyle w:val="CETBodytext"/>
        <w:rPr>
          <w:lang w:val="en-GB"/>
        </w:rPr>
      </w:pPr>
      <w:r w:rsidRPr="006B7981">
        <w:rPr>
          <w:lang w:val="en-GB"/>
        </w:rPr>
        <w:t xml:space="preserve">In general, </w:t>
      </w:r>
      <w:r w:rsidR="00FB5EBB" w:rsidRPr="006B7981">
        <w:rPr>
          <w:lang w:val="en-GB"/>
        </w:rPr>
        <w:t>many</w:t>
      </w:r>
      <w:r w:rsidRPr="006B7981">
        <w:rPr>
          <w:lang w:val="en-GB"/>
        </w:rPr>
        <w:t xml:space="preserve"> aspects should be taken into account </w:t>
      </w:r>
      <w:r w:rsidR="00FB5EBB" w:rsidRPr="006B7981">
        <w:rPr>
          <w:lang w:val="en-GB"/>
        </w:rPr>
        <w:t xml:space="preserve">for </w:t>
      </w:r>
      <w:r w:rsidRPr="006B7981">
        <w:rPr>
          <w:lang w:val="en-GB"/>
        </w:rPr>
        <w:t xml:space="preserve">the realization of </w:t>
      </w:r>
      <w:r w:rsidR="00FB5EBB" w:rsidRPr="006B7981">
        <w:rPr>
          <w:lang w:val="en-GB"/>
        </w:rPr>
        <w:t xml:space="preserve">an artificial-leaf-type </w:t>
      </w:r>
      <w:r w:rsidR="0006361E" w:rsidRPr="006B7981">
        <w:rPr>
          <w:lang w:val="en-GB"/>
        </w:rPr>
        <w:t xml:space="preserve">electrocatalytic </w:t>
      </w:r>
      <w:r w:rsidR="00E84F5C" w:rsidRPr="006B7981">
        <w:rPr>
          <w:lang w:val="en-GB"/>
        </w:rPr>
        <w:t>cell</w:t>
      </w:r>
      <w:r w:rsidR="00FB5EBB" w:rsidRPr="006B7981">
        <w:rPr>
          <w:lang w:val="en-GB"/>
        </w:rPr>
        <w:t>, ranging from the</w:t>
      </w:r>
      <w:r w:rsidR="0068330C" w:rsidRPr="006B7981">
        <w:rPr>
          <w:lang w:val="en-GB"/>
        </w:rPr>
        <w:t xml:space="preserve"> </w:t>
      </w:r>
      <w:r w:rsidR="00FB5EBB" w:rsidRPr="006B7981">
        <w:rPr>
          <w:lang w:val="en-GB"/>
        </w:rPr>
        <w:t>development o</w:t>
      </w:r>
      <w:r w:rsidR="0068330C" w:rsidRPr="006B7981">
        <w:rPr>
          <w:lang w:val="en-GB"/>
        </w:rPr>
        <w:t xml:space="preserve">f the </w:t>
      </w:r>
      <w:r w:rsidR="00FB5EBB" w:rsidRPr="006B7981">
        <w:rPr>
          <w:lang w:val="en-GB"/>
        </w:rPr>
        <w:t>electrocatalytic materials to the design of the cell</w:t>
      </w:r>
      <w:r w:rsidR="005C36B2" w:rsidRPr="006B7981">
        <w:rPr>
          <w:lang w:val="en-GB"/>
        </w:rPr>
        <w:t xml:space="preserve"> and </w:t>
      </w:r>
      <w:r w:rsidR="00973BE4" w:rsidRPr="006B7981">
        <w:rPr>
          <w:lang w:val="en-GB"/>
        </w:rPr>
        <w:t xml:space="preserve">the related </w:t>
      </w:r>
      <w:r w:rsidR="005C36B2" w:rsidRPr="006B7981">
        <w:rPr>
          <w:lang w:val="en-GB"/>
        </w:rPr>
        <w:t>electrodes</w:t>
      </w:r>
      <w:r w:rsidR="00FB5EBB" w:rsidRPr="006B7981">
        <w:rPr>
          <w:lang w:val="en-GB"/>
        </w:rPr>
        <w:t xml:space="preserve">, in order to </w:t>
      </w:r>
      <w:r w:rsidR="0068330C" w:rsidRPr="006B7981">
        <w:rPr>
          <w:lang w:val="en-GB"/>
        </w:rPr>
        <w:t>minimiz</w:t>
      </w:r>
      <w:r w:rsidR="00FB5EBB" w:rsidRPr="006B7981">
        <w:rPr>
          <w:lang w:val="en-GB"/>
        </w:rPr>
        <w:t>e</w:t>
      </w:r>
      <w:r w:rsidR="0068330C" w:rsidRPr="006B7981">
        <w:rPr>
          <w:lang w:val="en-GB"/>
        </w:rPr>
        <w:t xml:space="preserve"> mass and charge transfer </w:t>
      </w:r>
      <w:r w:rsidR="00FB5EBB" w:rsidRPr="006B7981">
        <w:rPr>
          <w:lang w:val="en-GB"/>
        </w:rPr>
        <w:t>and</w:t>
      </w:r>
      <w:r w:rsidR="0068330C" w:rsidRPr="006B7981">
        <w:rPr>
          <w:lang w:val="en-GB"/>
        </w:rPr>
        <w:t xml:space="preserve"> limit overpotential</w:t>
      </w:r>
      <w:r w:rsidR="0006361E" w:rsidRPr="006B7981">
        <w:rPr>
          <w:lang w:val="en-GB"/>
        </w:rPr>
        <w:t xml:space="preserve"> (Ampelli et al., 2017</w:t>
      </w:r>
      <w:r w:rsidR="009F681B" w:rsidRPr="006B7981">
        <w:rPr>
          <w:lang w:val="en-GB"/>
        </w:rPr>
        <w:t>a</w:t>
      </w:r>
      <w:r w:rsidR="0006361E" w:rsidRPr="006B7981">
        <w:rPr>
          <w:lang w:val="en-GB"/>
        </w:rPr>
        <w:t>)</w:t>
      </w:r>
      <w:r w:rsidR="0068330C" w:rsidRPr="006B7981">
        <w:rPr>
          <w:lang w:val="en-GB"/>
        </w:rPr>
        <w:t xml:space="preserve">. The latter factor generally consists of three different types of polarization: </w:t>
      </w:r>
      <w:r w:rsidR="0028318D">
        <w:rPr>
          <w:lang w:val="en-GB"/>
        </w:rPr>
        <w:t>1</w:t>
      </w:r>
      <w:r w:rsidR="0068330C" w:rsidRPr="006B7981">
        <w:rPr>
          <w:lang w:val="en-GB"/>
        </w:rPr>
        <w:t xml:space="preserve">) the ohmic overpotential, </w:t>
      </w:r>
      <w:r w:rsidR="0028318D">
        <w:rPr>
          <w:lang w:val="en-GB"/>
        </w:rPr>
        <w:t>2</w:t>
      </w:r>
      <w:r w:rsidR="00083604" w:rsidRPr="006B7981">
        <w:rPr>
          <w:lang w:val="en-GB"/>
        </w:rPr>
        <w:t>) the activation overpotential</w:t>
      </w:r>
      <w:r w:rsidR="00083604">
        <w:rPr>
          <w:lang w:val="en-GB"/>
        </w:rPr>
        <w:t xml:space="preserve"> and</w:t>
      </w:r>
      <w:r w:rsidR="0028318D">
        <w:rPr>
          <w:lang w:val="en-GB"/>
        </w:rPr>
        <w:t xml:space="preserve"> 3</w:t>
      </w:r>
      <w:r w:rsidR="00083604" w:rsidRPr="006B7981">
        <w:rPr>
          <w:lang w:val="en-GB"/>
        </w:rPr>
        <w:t>) the concentration overpotential</w:t>
      </w:r>
      <w:r w:rsidR="00083604">
        <w:rPr>
          <w:lang w:val="en-GB"/>
        </w:rPr>
        <w:t xml:space="preserve">. The </w:t>
      </w:r>
      <w:r w:rsidR="0028318D">
        <w:rPr>
          <w:lang w:val="en-GB"/>
        </w:rPr>
        <w:t xml:space="preserve">ohmic overpotential </w:t>
      </w:r>
      <w:r w:rsidR="0068330C" w:rsidRPr="006B7981">
        <w:rPr>
          <w:lang w:val="en-GB"/>
        </w:rPr>
        <w:t>refers to the losses caused when ions move through the electrolyte and electrons move through the electrode</w:t>
      </w:r>
      <w:r w:rsidR="00083604">
        <w:rPr>
          <w:lang w:val="en-GB"/>
        </w:rPr>
        <w:t xml:space="preserve">. The </w:t>
      </w:r>
      <w:r w:rsidR="0028318D">
        <w:rPr>
          <w:lang w:val="en-GB"/>
        </w:rPr>
        <w:t>activation overpotential</w:t>
      </w:r>
      <w:r w:rsidR="0068330C" w:rsidRPr="006B7981">
        <w:rPr>
          <w:lang w:val="en-GB"/>
        </w:rPr>
        <w:t xml:space="preserve"> describes the energy needed to overcome the activation energy barrier</w:t>
      </w:r>
      <w:r w:rsidR="00083604">
        <w:rPr>
          <w:lang w:val="en-GB"/>
        </w:rPr>
        <w:t xml:space="preserve">. The </w:t>
      </w:r>
      <w:r w:rsidR="0028318D">
        <w:rPr>
          <w:lang w:val="en-GB"/>
        </w:rPr>
        <w:t>concentration overpotential</w:t>
      </w:r>
      <w:r w:rsidR="00083604">
        <w:rPr>
          <w:lang w:val="en-GB"/>
        </w:rPr>
        <w:t xml:space="preserve"> is </w:t>
      </w:r>
      <w:r w:rsidR="0068330C" w:rsidRPr="006B7981">
        <w:rPr>
          <w:lang w:val="en-GB"/>
        </w:rPr>
        <w:t>related to the mass transfer limitations</w:t>
      </w:r>
      <w:r w:rsidR="00083604">
        <w:rPr>
          <w:lang w:val="en-GB"/>
        </w:rPr>
        <w:t xml:space="preserve">, </w:t>
      </w:r>
      <w:r w:rsidR="0068330C" w:rsidRPr="006B7981">
        <w:rPr>
          <w:lang w:val="en-GB"/>
        </w:rPr>
        <w:t>i.e. bulk and adsorbed CO</w:t>
      </w:r>
      <w:r w:rsidR="0068330C" w:rsidRPr="006B7981">
        <w:rPr>
          <w:vertAlign w:val="subscript"/>
          <w:lang w:val="en-GB"/>
        </w:rPr>
        <w:t>2</w:t>
      </w:r>
      <w:r w:rsidR="0068330C" w:rsidRPr="006B7981">
        <w:rPr>
          <w:lang w:val="en-GB"/>
        </w:rPr>
        <w:t xml:space="preserve"> diffusion. Except for the </w:t>
      </w:r>
      <w:r w:rsidR="00E2424A">
        <w:rPr>
          <w:lang w:val="en-GB"/>
        </w:rPr>
        <w:t>concentration overpotential</w:t>
      </w:r>
      <w:r w:rsidR="0068330C" w:rsidRPr="006B7981">
        <w:rPr>
          <w:lang w:val="en-GB"/>
        </w:rPr>
        <w:t xml:space="preserve">, </w:t>
      </w:r>
      <w:r w:rsidR="00083604">
        <w:rPr>
          <w:lang w:val="en-GB"/>
        </w:rPr>
        <w:t xml:space="preserve">the other two types of </w:t>
      </w:r>
      <w:r w:rsidR="0068330C" w:rsidRPr="006B7981">
        <w:rPr>
          <w:lang w:val="en-GB"/>
        </w:rPr>
        <w:t>overpotential can be reduced by developing advanced catalytic materials designed on purpose in order to minimize the resistances due to Helmholtz double layers</w:t>
      </w:r>
      <w:r w:rsidRPr="006B7981">
        <w:rPr>
          <w:lang w:val="en-GB"/>
        </w:rPr>
        <w:t xml:space="preserve"> </w:t>
      </w:r>
      <w:r w:rsidR="00795F6C" w:rsidRPr="006B7981">
        <w:rPr>
          <w:lang w:val="en-GB"/>
        </w:rPr>
        <w:t>(Qiao et al., 2016)</w:t>
      </w:r>
      <w:r w:rsidR="0068330C" w:rsidRPr="006B7981">
        <w:rPr>
          <w:lang w:val="en-GB"/>
        </w:rPr>
        <w:t>.</w:t>
      </w:r>
      <w:r w:rsidR="00E84F5C" w:rsidRPr="006B7981">
        <w:rPr>
          <w:lang w:val="en-GB"/>
        </w:rPr>
        <w:t xml:space="preserve"> For l</w:t>
      </w:r>
      <w:r w:rsidR="00CC0A77" w:rsidRPr="006B7981">
        <w:rPr>
          <w:lang w:val="en-GB"/>
        </w:rPr>
        <w:t>owering</w:t>
      </w:r>
      <w:r w:rsidR="00E84F5C" w:rsidRPr="006B7981">
        <w:rPr>
          <w:lang w:val="en-GB"/>
        </w:rPr>
        <w:t xml:space="preserve"> the concentration overpotential, instead, </w:t>
      </w:r>
      <w:r w:rsidR="00CC0A77" w:rsidRPr="006B7981">
        <w:rPr>
          <w:lang w:val="en-GB"/>
        </w:rPr>
        <w:t xml:space="preserve">studies on controlling operational conditions (i.e. </w:t>
      </w:r>
      <w:r w:rsidR="00CC0A77" w:rsidRPr="006B7981">
        <w:rPr>
          <w:lang w:val="en-GB"/>
        </w:rPr>
        <w:lastRenderedPageBreak/>
        <w:t xml:space="preserve">electrolyte, pressure, current density, cell </w:t>
      </w:r>
      <w:r w:rsidR="00E84F5C" w:rsidRPr="006B7981">
        <w:rPr>
          <w:lang w:val="en-GB"/>
        </w:rPr>
        <w:t>configuration</w:t>
      </w:r>
      <w:r w:rsidR="00CC0A77" w:rsidRPr="006B7981">
        <w:rPr>
          <w:lang w:val="en-GB"/>
        </w:rPr>
        <w:t xml:space="preserve">) </w:t>
      </w:r>
      <w:r w:rsidR="00973BE4" w:rsidRPr="006B7981">
        <w:rPr>
          <w:lang w:val="en-GB"/>
        </w:rPr>
        <w:t>should be performed</w:t>
      </w:r>
      <w:r w:rsidR="00BA617F" w:rsidRPr="006B7981">
        <w:rPr>
          <w:lang w:val="en-GB"/>
        </w:rPr>
        <w:t xml:space="preserve"> (Lobaccaro et al., 2016).</w:t>
      </w:r>
      <w:r w:rsidR="00973BE4" w:rsidRPr="006B7981">
        <w:rPr>
          <w:lang w:val="en-GB"/>
        </w:rPr>
        <w:t xml:space="preserve"> </w:t>
      </w:r>
      <w:r w:rsidR="00214AC1" w:rsidRPr="006B7981">
        <w:rPr>
          <w:lang w:val="en-GB"/>
        </w:rPr>
        <w:t>Moreover</w:t>
      </w:r>
      <w:r w:rsidR="00973BE4" w:rsidRPr="006B7981">
        <w:rPr>
          <w:lang w:val="en-GB"/>
        </w:rPr>
        <w:t>, varying one of these conditions may also influence the product distribution.</w:t>
      </w:r>
      <w:r w:rsidR="00B11ED3">
        <w:rPr>
          <w:lang w:val="en-GB"/>
        </w:rPr>
        <w:t xml:space="preserve"> </w:t>
      </w:r>
      <w:r w:rsidR="006B7010" w:rsidRPr="006B7981">
        <w:rPr>
          <w:lang w:val="en-GB"/>
        </w:rPr>
        <w:t>The main products obtained by CO</w:t>
      </w:r>
      <w:r w:rsidR="006B7010" w:rsidRPr="006B7981">
        <w:rPr>
          <w:vertAlign w:val="subscript"/>
          <w:lang w:val="en-GB"/>
        </w:rPr>
        <w:t>2</w:t>
      </w:r>
      <w:r w:rsidR="006B7010" w:rsidRPr="006B7981">
        <w:rPr>
          <w:lang w:val="en-GB"/>
        </w:rPr>
        <w:t xml:space="preserve"> electrochemical reduction are formic acid (or formate) and carbon monoxide, as well as hydrogen produced by the side reaction of water splitting. In addition, </w:t>
      </w:r>
      <w:r w:rsidR="00663130">
        <w:rPr>
          <w:lang w:val="en-GB"/>
        </w:rPr>
        <w:t>more</w:t>
      </w:r>
      <w:r w:rsidR="006B7010" w:rsidRPr="006B7981">
        <w:rPr>
          <w:lang w:val="en-GB"/>
        </w:rPr>
        <w:t xml:space="preserve"> </w:t>
      </w:r>
      <w:r w:rsidR="00663130">
        <w:rPr>
          <w:lang w:val="en-GB"/>
        </w:rPr>
        <w:t xml:space="preserve">value added </w:t>
      </w:r>
      <w:r w:rsidR="006B7010" w:rsidRPr="006B7981">
        <w:rPr>
          <w:lang w:val="en-GB"/>
        </w:rPr>
        <w:t>products can be produced</w:t>
      </w:r>
      <w:r w:rsidR="00C42E6C">
        <w:rPr>
          <w:lang w:val="en-GB"/>
        </w:rPr>
        <w:t xml:space="preserve"> but only</w:t>
      </w:r>
      <w:r w:rsidR="00663130">
        <w:rPr>
          <w:lang w:val="en-GB"/>
        </w:rPr>
        <w:t xml:space="preserve"> </w:t>
      </w:r>
      <w:r w:rsidR="006B7010" w:rsidRPr="006B7981">
        <w:rPr>
          <w:lang w:val="en-GB"/>
        </w:rPr>
        <w:t xml:space="preserve">in small amounts. </w:t>
      </w:r>
      <w:r w:rsidR="00FF0BDB" w:rsidRPr="006B7981">
        <w:rPr>
          <w:lang w:val="en-GB"/>
        </w:rPr>
        <w:t>For example, Kuhl</w:t>
      </w:r>
      <w:r w:rsidR="006B7010" w:rsidRPr="006B7981">
        <w:rPr>
          <w:lang w:val="en-GB"/>
        </w:rPr>
        <w:t xml:space="preserve"> et al. </w:t>
      </w:r>
      <w:r w:rsidR="00FF0BDB" w:rsidRPr="006B7981">
        <w:rPr>
          <w:lang w:val="en-GB"/>
        </w:rPr>
        <w:t xml:space="preserve">(2012) </w:t>
      </w:r>
      <w:r w:rsidR="00FC7AF3" w:rsidRPr="006B7981">
        <w:rPr>
          <w:lang w:val="en-GB"/>
        </w:rPr>
        <w:t>observed a total of 16 different products</w:t>
      </w:r>
      <w:r w:rsidR="00FF0BDB" w:rsidRPr="006B7981">
        <w:rPr>
          <w:lang w:val="en-GB"/>
        </w:rPr>
        <w:t>,</w:t>
      </w:r>
      <w:r w:rsidR="00FC7AF3" w:rsidRPr="006B7981">
        <w:rPr>
          <w:lang w:val="en-GB"/>
        </w:rPr>
        <w:t xml:space="preserve"> by processing CO</w:t>
      </w:r>
      <w:r w:rsidR="00FC7AF3" w:rsidRPr="006B7981">
        <w:rPr>
          <w:vertAlign w:val="subscript"/>
          <w:lang w:val="en-GB"/>
        </w:rPr>
        <w:t>2</w:t>
      </w:r>
      <w:r w:rsidR="00FC7AF3" w:rsidRPr="006B7981">
        <w:rPr>
          <w:lang w:val="en-GB"/>
        </w:rPr>
        <w:t xml:space="preserve"> on metallic copper surface, including aldehydes, ketones, alcohols and carboxylic acids in the range C1-C3.</w:t>
      </w:r>
      <w:r w:rsidR="006B7010" w:rsidRPr="006B7981">
        <w:rPr>
          <w:lang w:val="en-GB"/>
        </w:rPr>
        <w:t xml:space="preserve"> The selective distribution of </w:t>
      </w:r>
      <w:r w:rsidR="00FC7AF3" w:rsidRPr="006B7981">
        <w:rPr>
          <w:lang w:val="en-GB"/>
        </w:rPr>
        <w:t>CO</w:t>
      </w:r>
      <w:r w:rsidR="00FC7AF3" w:rsidRPr="006B7981">
        <w:rPr>
          <w:vertAlign w:val="subscript"/>
          <w:lang w:val="en-GB"/>
        </w:rPr>
        <w:t>2</w:t>
      </w:r>
      <w:r w:rsidR="00FC7AF3" w:rsidRPr="006B7981">
        <w:rPr>
          <w:lang w:val="en-GB"/>
        </w:rPr>
        <w:t xml:space="preserve"> </w:t>
      </w:r>
      <w:r w:rsidR="006B7010" w:rsidRPr="006B7981">
        <w:rPr>
          <w:lang w:val="en-GB"/>
        </w:rPr>
        <w:t>products mainly depends on the nature of the electrocatalyst</w:t>
      </w:r>
      <w:r w:rsidR="00973BE4" w:rsidRPr="006B7981">
        <w:rPr>
          <w:lang w:val="en-GB"/>
        </w:rPr>
        <w:t>, but</w:t>
      </w:r>
      <w:r w:rsidR="006B7010" w:rsidRPr="006B7981">
        <w:rPr>
          <w:lang w:val="en-GB"/>
        </w:rPr>
        <w:t xml:space="preserve"> the selectivity is</w:t>
      </w:r>
      <w:r w:rsidR="00FC7AF3" w:rsidRPr="006B7981">
        <w:rPr>
          <w:lang w:val="en-GB"/>
        </w:rPr>
        <w:t xml:space="preserve"> also</w:t>
      </w:r>
      <w:r w:rsidR="006B7010" w:rsidRPr="006B7981">
        <w:rPr>
          <w:lang w:val="en-GB"/>
        </w:rPr>
        <w:t xml:space="preserve"> strongly influenced by the current density. For industrial application, in which high space-time yields are mandatory, high current densities are often required, for reasons related to stoichiometry and economics (Oloman and Li, 2008).</w:t>
      </w:r>
      <w:r w:rsidR="00FC7AF3" w:rsidRPr="006B7981">
        <w:rPr>
          <w:lang w:val="en-GB"/>
        </w:rPr>
        <w:t xml:space="preserve"> Thus, the products </w:t>
      </w:r>
      <w:r w:rsidR="00FF0BDB" w:rsidRPr="006B7981">
        <w:rPr>
          <w:lang w:val="en-GB"/>
        </w:rPr>
        <w:t xml:space="preserve">may be greatly different by changing the current density and this should be </w:t>
      </w:r>
      <w:r w:rsidR="00FA54C2">
        <w:rPr>
          <w:lang w:val="en-GB"/>
        </w:rPr>
        <w:t>considered</w:t>
      </w:r>
      <w:r w:rsidR="00FF0BDB" w:rsidRPr="006B7981">
        <w:rPr>
          <w:lang w:val="en-GB"/>
        </w:rPr>
        <w:t xml:space="preserve"> in scale-up industrial </w:t>
      </w:r>
      <w:r w:rsidR="005C36B2" w:rsidRPr="006B7981">
        <w:rPr>
          <w:lang w:val="en-GB"/>
        </w:rPr>
        <w:t>operation</w:t>
      </w:r>
      <w:r w:rsidR="00FF0BDB" w:rsidRPr="006B7981">
        <w:rPr>
          <w:lang w:val="en-GB"/>
        </w:rPr>
        <w:t>.</w:t>
      </w:r>
    </w:p>
    <w:p w:rsidR="007D5462" w:rsidRPr="006B7981" w:rsidRDefault="005C36B2" w:rsidP="007D5462">
      <w:pPr>
        <w:pStyle w:val="CETBodytext"/>
        <w:rPr>
          <w:lang w:val="en-GB"/>
        </w:rPr>
      </w:pPr>
      <w:r w:rsidRPr="006B7981">
        <w:rPr>
          <w:lang w:val="en-GB"/>
        </w:rPr>
        <w:t>In this context, t</w:t>
      </w:r>
      <w:r w:rsidR="0057254D" w:rsidRPr="006B7981">
        <w:rPr>
          <w:lang w:val="en-GB"/>
        </w:rPr>
        <w:t xml:space="preserve">he main objective of this work </w:t>
      </w:r>
      <w:r w:rsidR="006B7010" w:rsidRPr="006B7981">
        <w:rPr>
          <w:lang w:val="en-GB"/>
        </w:rPr>
        <w:t>is to</w:t>
      </w:r>
      <w:r w:rsidR="00FF0BDB" w:rsidRPr="006B7981">
        <w:rPr>
          <w:lang w:val="en-GB"/>
        </w:rPr>
        <w:t xml:space="preserve"> show th</w:t>
      </w:r>
      <w:r w:rsidR="002E3A01" w:rsidRPr="006B7981">
        <w:rPr>
          <w:lang w:val="en-GB"/>
        </w:rPr>
        <w:t>e</w:t>
      </w:r>
      <w:r w:rsidR="00FF0BDB" w:rsidRPr="006B7981">
        <w:rPr>
          <w:lang w:val="en-GB"/>
        </w:rPr>
        <w:t xml:space="preserve"> dependence of </w:t>
      </w:r>
      <w:r w:rsidR="002E3A01" w:rsidRPr="006B7981">
        <w:rPr>
          <w:lang w:val="en-GB"/>
        </w:rPr>
        <w:t>product</w:t>
      </w:r>
      <w:r w:rsidRPr="006B7981">
        <w:rPr>
          <w:lang w:val="en-GB"/>
        </w:rPr>
        <w:t xml:space="preserve"> distribution </w:t>
      </w:r>
      <w:r w:rsidR="002E3A01" w:rsidRPr="006B7981">
        <w:rPr>
          <w:lang w:val="en-GB"/>
        </w:rPr>
        <w:t>on current density</w:t>
      </w:r>
      <w:r w:rsidRPr="006B7981">
        <w:rPr>
          <w:lang w:val="en-GB"/>
        </w:rPr>
        <w:t>,</w:t>
      </w:r>
      <w:r w:rsidR="00FF0BDB" w:rsidRPr="006B7981">
        <w:rPr>
          <w:lang w:val="en-GB"/>
        </w:rPr>
        <w:t xml:space="preserve"> th</w:t>
      </w:r>
      <w:r w:rsidRPr="006B7981">
        <w:rPr>
          <w:lang w:val="en-GB"/>
        </w:rPr>
        <w:t>r</w:t>
      </w:r>
      <w:r w:rsidR="00FF0BDB" w:rsidRPr="006B7981">
        <w:rPr>
          <w:lang w:val="en-GB"/>
        </w:rPr>
        <w:t xml:space="preserve">ough </w:t>
      </w:r>
      <w:r w:rsidR="00973BE4" w:rsidRPr="006B7981">
        <w:rPr>
          <w:lang w:val="en-GB"/>
        </w:rPr>
        <w:t xml:space="preserve">the analysis of </w:t>
      </w:r>
      <w:r w:rsidRPr="006B7981">
        <w:rPr>
          <w:lang w:val="en-GB"/>
        </w:rPr>
        <w:t>CO</w:t>
      </w:r>
      <w:r w:rsidRPr="006B7981">
        <w:rPr>
          <w:vertAlign w:val="subscript"/>
          <w:lang w:val="en-GB"/>
        </w:rPr>
        <w:t>2</w:t>
      </w:r>
      <w:r w:rsidRPr="006B7981">
        <w:rPr>
          <w:lang w:val="en-GB"/>
        </w:rPr>
        <w:t xml:space="preserve"> electro</w:t>
      </w:r>
      <w:r w:rsidR="007D7F3D">
        <w:rPr>
          <w:lang w:val="en-GB"/>
        </w:rPr>
        <w:t>-</w:t>
      </w:r>
      <w:r w:rsidRPr="006B7981">
        <w:rPr>
          <w:lang w:val="en-GB"/>
        </w:rPr>
        <w:t xml:space="preserve">reduction </w:t>
      </w:r>
      <w:r w:rsidR="00695EC5" w:rsidRPr="006B7981">
        <w:rPr>
          <w:lang w:val="en-GB"/>
        </w:rPr>
        <w:t>over</w:t>
      </w:r>
      <w:r w:rsidR="00C85DA3" w:rsidRPr="006B7981">
        <w:rPr>
          <w:lang w:val="en-GB"/>
        </w:rPr>
        <w:t xml:space="preserve"> </w:t>
      </w:r>
      <w:r w:rsidR="00FF0BDB" w:rsidRPr="006B7981">
        <w:rPr>
          <w:lang w:val="en-GB"/>
        </w:rPr>
        <w:t>carbon nanotube</w:t>
      </w:r>
      <w:r w:rsidR="0022138F">
        <w:rPr>
          <w:lang w:val="en-GB"/>
        </w:rPr>
        <w:t>s doped with copper nanoparticles</w:t>
      </w:r>
      <w:r w:rsidR="00FF0BDB" w:rsidRPr="006B7981">
        <w:rPr>
          <w:lang w:val="en-GB"/>
        </w:rPr>
        <w:t>.</w:t>
      </w:r>
      <w:r w:rsidR="00695EC5" w:rsidRPr="006B7981">
        <w:rPr>
          <w:lang w:val="en-GB"/>
        </w:rPr>
        <w:t xml:space="preserve"> </w:t>
      </w:r>
      <w:r w:rsidR="0022138F">
        <w:rPr>
          <w:lang w:val="en-GB"/>
        </w:rPr>
        <w:t xml:space="preserve">Carbon nanotubes were chosen for their high conductivity, mechanical resistance and stability. Moreover, carbon nanotubes can easily be modified </w:t>
      </w:r>
      <w:r w:rsidR="00162809">
        <w:rPr>
          <w:lang w:val="en-GB"/>
        </w:rPr>
        <w:t>by</w:t>
      </w:r>
      <w:r w:rsidR="0022138F">
        <w:rPr>
          <w:lang w:val="en-GB"/>
        </w:rPr>
        <w:t xml:space="preserve"> introduc</w:t>
      </w:r>
      <w:r w:rsidR="00162809">
        <w:rPr>
          <w:lang w:val="en-GB"/>
        </w:rPr>
        <w:t>ing</w:t>
      </w:r>
      <w:r w:rsidR="0022138F">
        <w:rPr>
          <w:lang w:val="en-GB"/>
        </w:rPr>
        <w:t xml:space="preserve"> oxygen functional groups to anchor </w:t>
      </w:r>
      <w:r w:rsidR="000F4D23">
        <w:rPr>
          <w:lang w:val="en-GB"/>
        </w:rPr>
        <w:t xml:space="preserve">the </w:t>
      </w:r>
      <w:r w:rsidR="0022138F">
        <w:rPr>
          <w:lang w:val="en-GB"/>
        </w:rPr>
        <w:t xml:space="preserve">metal nanoparticles (i.e. Cu). </w:t>
      </w:r>
      <w:r w:rsidR="00CB5CA3">
        <w:rPr>
          <w:lang w:val="en-GB"/>
        </w:rPr>
        <w:t>T</w:t>
      </w:r>
      <w:r w:rsidR="00214AC1" w:rsidRPr="006B7981">
        <w:rPr>
          <w:lang w:val="en-GB"/>
        </w:rPr>
        <w:t>he electrocatalysts</w:t>
      </w:r>
      <w:r w:rsidR="00695EC5" w:rsidRPr="006B7981">
        <w:rPr>
          <w:lang w:val="en-GB"/>
        </w:rPr>
        <w:t xml:space="preserve"> were synthesised by wet impregnation and deposited/assembled with a gas diffusion layer and a proton exchange membrane to obtain a Membrane Electrode Assembly - MEA (in analogy with fuel cells).</w:t>
      </w:r>
      <w:r w:rsidR="007D5462" w:rsidRPr="006B7981">
        <w:rPr>
          <w:lang w:val="en-GB"/>
        </w:rPr>
        <w:t xml:space="preserve"> Then, the</w:t>
      </w:r>
      <w:r w:rsidR="00180DB0">
        <w:rPr>
          <w:lang w:val="en-GB"/>
        </w:rPr>
        <w:t xml:space="preserve"> electrodes</w:t>
      </w:r>
      <w:r w:rsidR="007D5462" w:rsidRPr="006B7981">
        <w:rPr>
          <w:lang w:val="en-GB"/>
        </w:rPr>
        <w:t xml:space="preserve"> were tested in the electrocatalytic reduction of CO</w:t>
      </w:r>
      <w:r w:rsidR="007D5462" w:rsidRPr="006B7981">
        <w:rPr>
          <w:vertAlign w:val="subscript"/>
          <w:lang w:val="en-GB"/>
        </w:rPr>
        <w:t>2</w:t>
      </w:r>
      <w:r w:rsidR="007D5462" w:rsidRPr="006B7981">
        <w:rPr>
          <w:lang w:val="en-GB"/>
        </w:rPr>
        <w:t xml:space="preserve"> by processing pure CO</w:t>
      </w:r>
      <w:r w:rsidR="007D5462" w:rsidRPr="006B7981">
        <w:rPr>
          <w:vertAlign w:val="subscript"/>
          <w:lang w:val="en-GB"/>
        </w:rPr>
        <w:t>2</w:t>
      </w:r>
      <w:r w:rsidR="007D5462" w:rsidRPr="006B7981">
        <w:rPr>
          <w:lang w:val="en-GB"/>
        </w:rPr>
        <w:t xml:space="preserve"> in KHCO</w:t>
      </w:r>
      <w:r w:rsidR="007D5462" w:rsidRPr="006B7981">
        <w:rPr>
          <w:vertAlign w:val="subscript"/>
          <w:lang w:val="en-GB"/>
        </w:rPr>
        <w:t>3</w:t>
      </w:r>
      <w:r w:rsidR="007D5462" w:rsidRPr="006B7981">
        <w:rPr>
          <w:lang w:val="en-GB"/>
        </w:rPr>
        <w:t xml:space="preserve"> </w:t>
      </w:r>
      <w:r w:rsidR="007D7F3D">
        <w:rPr>
          <w:lang w:val="en-GB"/>
        </w:rPr>
        <w:t xml:space="preserve">aqueous </w:t>
      </w:r>
      <w:r w:rsidR="007D5462" w:rsidRPr="006B7981">
        <w:rPr>
          <w:lang w:val="en-GB"/>
        </w:rPr>
        <w:t xml:space="preserve">electrolyte under different applied </w:t>
      </w:r>
      <w:r w:rsidR="00B73017">
        <w:rPr>
          <w:lang w:val="en-GB"/>
        </w:rPr>
        <w:t>potentials</w:t>
      </w:r>
      <w:r w:rsidR="007D5462" w:rsidRPr="006B7981">
        <w:rPr>
          <w:lang w:val="en-GB"/>
        </w:rPr>
        <w:t>.</w:t>
      </w:r>
    </w:p>
    <w:p w:rsidR="0052335D" w:rsidRPr="006B7981" w:rsidRDefault="0052335D" w:rsidP="0052335D">
      <w:pPr>
        <w:pStyle w:val="CETHeading1"/>
        <w:rPr>
          <w:lang w:val="en-GB"/>
        </w:rPr>
      </w:pPr>
      <w:r w:rsidRPr="006B7981">
        <w:rPr>
          <w:lang w:val="en-GB"/>
        </w:rPr>
        <w:t>Experimental</w:t>
      </w:r>
    </w:p>
    <w:p w:rsidR="00E41AAC" w:rsidRPr="00B67AC7" w:rsidRDefault="00E41AAC" w:rsidP="00B67AC7">
      <w:pPr>
        <w:pStyle w:val="CETheadingx"/>
      </w:pPr>
      <w:r w:rsidRPr="00B67AC7">
        <w:t>Synthesis</w:t>
      </w:r>
      <w:r>
        <w:t xml:space="preserve"> and characterization</w:t>
      </w:r>
    </w:p>
    <w:p w:rsidR="00017EC5" w:rsidRDefault="0052335D" w:rsidP="0052335D">
      <w:pPr>
        <w:pStyle w:val="CETBodytext"/>
        <w:rPr>
          <w:lang w:val="en-GB"/>
        </w:rPr>
      </w:pPr>
      <w:r w:rsidRPr="006B7981">
        <w:rPr>
          <w:lang w:val="en-GB"/>
        </w:rPr>
        <w:t>Copper nanoparticles (</w:t>
      </w:r>
      <w:r w:rsidR="0075417C" w:rsidRPr="006B7981">
        <w:rPr>
          <w:lang w:val="en-GB"/>
        </w:rPr>
        <w:t>Cu</w:t>
      </w:r>
      <w:r w:rsidR="00E65AF8" w:rsidRPr="006B7981">
        <w:rPr>
          <w:lang w:val="en-GB"/>
        </w:rPr>
        <w:t xml:space="preserve"> </w:t>
      </w:r>
      <w:r w:rsidRPr="006B7981">
        <w:rPr>
          <w:lang w:val="en-GB"/>
        </w:rPr>
        <w:t>NPs) were deposited on</w:t>
      </w:r>
      <w:r w:rsidR="00E6784E" w:rsidRPr="006B7981">
        <w:rPr>
          <w:lang w:val="en-GB"/>
        </w:rPr>
        <w:t xml:space="preserve"> pre-functionalized </w:t>
      </w:r>
      <w:r w:rsidRPr="006B7981">
        <w:rPr>
          <w:lang w:val="en-GB"/>
        </w:rPr>
        <w:t xml:space="preserve">carbon nanotubes (CNTs, PR-24-XT-PS Pyrograf®) by an incipient wetness impregnation method using an </w:t>
      </w:r>
      <w:r w:rsidR="004F118B" w:rsidRPr="006B7981">
        <w:rPr>
          <w:lang w:val="en-GB"/>
        </w:rPr>
        <w:t>aqueous s</w:t>
      </w:r>
      <w:r w:rsidRPr="006B7981">
        <w:rPr>
          <w:lang w:val="en-GB"/>
        </w:rPr>
        <w:t xml:space="preserve">olution </w:t>
      </w:r>
      <w:r w:rsidR="004F118B" w:rsidRPr="006B7981">
        <w:rPr>
          <w:lang w:val="en-GB"/>
        </w:rPr>
        <w:t xml:space="preserve">of ethanol </w:t>
      </w:r>
      <w:r w:rsidRPr="006B7981">
        <w:rPr>
          <w:lang w:val="en-GB"/>
        </w:rPr>
        <w:t xml:space="preserve">containing </w:t>
      </w:r>
      <w:r w:rsidR="004F118B" w:rsidRPr="006B7981">
        <w:rPr>
          <w:lang w:val="en-GB"/>
        </w:rPr>
        <w:t xml:space="preserve">the copper salt </w:t>
      </w:r>
      <w:r w:rsidRPr="006B7981">
        <w:rPr>
          <w:lang w:val="en-GB"/>
        </w:rPr>
        <w:t>precursor Cu(NO</w:t>
      </w:r>
      <w:r w:rsidRPr="006B7981">
        <w:rPr>
          <w:vertAlign w:val="subscript"/>
          <w:lang w:val="en-GB"/>
        </w:rPr>
        <w:t>3</w:t>
      </w:r>
      <w:r w:rsidRPr="006B7981">
        <w:rPr>
          <w:lang w:val="en-GB"/>
        </w:rPr>
        <w:t>)</w:t>
      </w:r>
      <w:r w:rsidRPr="006B7981">
        <w:rPr>
          <w:vertAlign w:val="subscript"/>
          <w:lang w:val="en-GB"/>
        </w:rPr>
        <w:t>2</w:t>
      </w:r>
      <w:r w:rsidRPr="006B7981">
        <w:rPr>
          <w:lang w:val="en-GB"/>
        </w:rPr>
        <w:t>·3H</w:t>
      </w:r>
      <w:r w:rsidRPr="006B7981">
        <w:rPr>
          <w:vertAlign w:val="subscript"/>
          <w:lang w:val="en-GB"/>
        </w:rPr>
        <w:t>2</w:t>
      </w:r>
      <w:r w:rsidRPr="006B7981">
        <w:rPr>
          <w:lang w:val="en-GB"/>
        </w:rPr>
        <w:t>O. After drying at 60 °C for 24 h, the sample</w:t>
      </w:r>
      <w:r w:rsidR="006D6BD0" w:rsidRPr="006B7981">
        <w:rPr>
          <w:lang w:val="en-GB"/>
        </w:rPr>
        <w:t>s</w:t>
      </w:r>
      <w:r w:rsidR="0075417C" w:rsidRPr="006B7981">
        <w:rPr>
          <w:lang w:val="en-GB"/>
        </w:rPr>
        <w:t xml:space="preserve"> </w:t>
      </w:r>
      <w:r w:rsidRPr="006B7981">
        <w:rPr>
          <w:lang w:val="en-GB"/>
        </w:rPr>
        <w:t>w</w:t>
      </w:r>
      <w:r w:rsidR="006D6BD0" w:rsidRPr="006B7981">
        <w:rPr>
          <w:lang w:val="en-GB"/>
        </w:rPr>
        <w:t>ere</w:t>
      </w:r>
      <w:r w:rsidR="0075417C" w:rsidRPr="006B7981">
        <w:rPr>
          <w:lang w:val="en-GB"/>
        </w:rPr>
        <w:t xml:space="preserve"> </w:t>
      </w:r>
      <w:r w:rsidRPr="006B7981">
        <w:rPr>
          <w:lang w:val="en-GB"/>
        </w:rPr>
        <w:t>annealed for 2 h at 350 °C and reduced at 400 °C under a slow H</w:t>
      </w:r>
      <w:r w:rsidRPr="006B7981">
        <w:rPr>
          <w:vertAlign w:val="subscript"/>
          <w:lang w:val="en-GB"/>
        </w:rPr>
        <w:t>2</w:t>
      </w:r>
      <w:r w:rsidRPr="006B7981">
        <w:rPr>
          <w:lang w:val="en-GB"/>
        </w:rPr>
        <w:t xml:space="preserve"> flow. The total amount of </w:t>
      </w:r>
      <w:r w:rsidR="0075417C" w:rsidRPr="006B7981">
        <w:rPr>
          <w:lang w:val="en-GB"/>
        </w:rPr>
        <w:t>Cu</w:t>
      </w:r>
      <w:r w:rsidRPr="006B7981">
        <w:rPr>
          <w:lang w:val="en-GB"/>
        </w:rPr>
        <w:t xml:space="preserve"> loaded onto the </w:t>
      </w:r>
      <w:r w:rsidR="0075417C" w:rsidRPr="006B7981">
        <w:rPr>
          <w:lang w:val="en-GB"/>
        </w:rPr>
        <w:t>CNTs</w:t>
      </w:r>
      <w:r w:rsidRPr="006B7981">
        <w:rPr>
          <w:lang w:val="en-GB"/>
        </w:rPr>
        <w:t xml:space="preserve"> was </w:t>
      </w:r>
      <w:r w:rsidR="004F118B" w:rsidRPr="006B7981">
        <w:rPr>
          <w:lang w:val="en-GB"/>
        </w:rPr>
        <w:t>5</w:t>
      </w:r>
      <w:r w:rsidRPr="006B7981">
        <w:rPr>
          <w:lang w:val="en-GB"/>
        </w:rPr>
        <w:t xml:space="preserve"> wt</w:t>
      </w:r>
      <w:r w:rsidR="0075417C" w:rsidRPr="006B7981">
        <w:rPr>
          <w:lang w:val="en-GB"/>
        </w:rPr>
        <w:t>.</w:t>
      </w:r>
      <w:r w:rsidRPr="006B7981">
        <w:rPr>
          <w:lang w:val="en-GB"/>
        </w:rPr>
        <w:t xml:space="preserve">%. The as-prepared </w:t>
      </w:r>
      <w:r w:rsidR="0075417C" w:rsidRPr="006B7981">
        <w:rPr>
          <w:lang w:val="en-GB"/>
        </w:rPr>
        <w:t>Cu</w:t>
      </w:r>
      <w:r w:rsidR="00E65AF8" w:rsidRPr="006B7981">
        <w:rPr>
          <w:lang w:val="en-GB"/>
        </w:rPr>
        <w:t xml:space="preserve"> </w:t>
      </w:r>
      <w:r w:rsidR="0075417C" w:rsidRPr="006B7981">
        <w:rPr>
          <w:lang w:val="en-GB"/>
        </w:rPr>
        <w:t xml:space="preserve">NPs-CNTs </w:t>
      </w:r>
      <w:r w:rsidRPr="006B7981">
        <w:rPr>
          <w:lang w:val="en-GB"/>
        </w:rPr>
        <w:t>were then deposited on a gas diffusion layer (GDL, GDL29BC Sigracet®) using a similar impregnation</w:t>
      </w:r>
      <w:r w:rsidR="00D5430F" w:rsidRPr="006B7981">
        <w:rPr>
          <w:lang w:val="en-GB"/>
        </w:rPr>
        <w:t xml:space="preserve"> method</w:t>
      </w:r>
      <w:r w:rsidRPr="006B7981">
        <w:rPr>
          <w:lang w:val="en-GB"/>
        </w:rPr>
        <w:t xml:space="preserve"> in anhydrous ethanol</w:t>
      </w:r>
      <w:r w:rsidR="004B582B" w:rsidRPr="006B7981">
        <w:rPr>
          <w:lang w:val="en-GB"/>
        </w:rPr>
        <w:t>. The quantity of Cu</w:t>
      </w:r>
      <w:r w:rsidR="00E65AF8" w:rsidRPr="006B7981">
        <w:rPr>
          <w:lang w:val="en-GB"/>
        </w:rPr>
        <w:t xml:space="preserve"> </w:t>
      </w:r>
      <w:r w:rsidR="004B582B" w:rsidRPr="006B7981">
        <w:rPr>
          <w:lang w:val="en-GB"/>
        </w:rPr>
        <w:t>NPs-CNTs was chosen in order to obtain a final Cu loading of 0.1 mg cm</w:t>
      </w:r>
      <w:r w:rsidR="004B582B" w:rsidRPr="006B7981">
        <w:rPr>
          <w:vertAlign w:val="superscript"/>
          <w:lang w:val="en-GB"/>
        </w:rPr>
        <w:t>-2</w:t>
      </w:r>
      <w:r w:rsidR="004B582B" w:rsidRPr="006B7981">
        <w:rPr>
          <w:lang w:val="en-GB"/>
        </w:rPr>
        <w:t xml:space="preserve"> (</w:t>
      </w:r>
      <w:r w:rsidR="00D5430F" w:rsidRPr="006B7981">
        <w:rPr>
          <w:lang w:val="en-GB"/>
        </w:rPr>
        <w:t xml:space="preserve">per </w:t>
      </w:r>
      <w:r w:rsidR="004B582B" w:rsidRPr="006B7981">
        <w:rPr>
          <w:lang w:val="en-GB"/>
        </w:rPr>
        <w:t>geometrical area of GDL).</w:t>
      </w:r>
      <w:r w:rsidRPr="006B7981">
        <w:rPr>
          <w:lang w:val="en-GB"/>
        </w:rPr>
        <w:t xml:space="preserve"> </w:t>
      </w:r>
      <w:r w:rsidR="004E6358" w:rsidRPr="006B7981">
        <w:rPr>
          <w:lang w:val="en-GB"/>
        </w:rPr>
        <w:t>Details about the preparation of the electrode</w:t>
      </w:r>
      <w:r w:rsidR="006D6BD0" w:rsidRPr="006B7981">
        <w:rPr>
          <w:lang w:val="en-GB"/>
        </w:rPr>
        <w:t>s</w:t>
      </w:r>
      <w:r w:rsidR="004E6358" w:rsidRPr="006B7981">
        <w:rPr>
          <w:lang w:val="en-GB"/>
        </w:rPr>
        <w:t xml:space="preserve"> </w:t>
      </w:r>
      <w:r w:rsidR="008C4A81">
        <w:rPr>
          <w:lang w:val="en-GB"/>
        </w:rPr>
        <w:t>were</w:t>
      </w:r>
      <w:r w:rsidR="004E6358" w:rsidRPr="006B7981">
        <w:rPr>
          <w:lang w:val="en-GB"/>
        </w:rPr>
        <w:t xml:space="preserve"> </w:t>
      </w:r>
      <w:r w:rsidR="008C4A81">
        <w:rPr>
          <w:lang w:val="en-GB"/>
        </w:rPr>
        <w:t xml:space="preserve">earlier </w:t>
      </w:r>
      <w:r w:rsidR="004E6358" w:rsidRPr="006B7981">
        <w:rPr>
          <w:lang w:val="en-GB"/>
        </w:rPr>
        <w:t xml:space="preserve">reported (Marepally et. </w:t>
      </w:r>
      <w:r w:rsidR="00692070" w:rsidRPr="006B7981">
        <w:rPr>
          <w:lang w:val="en-GB"/>
        </w:rPr>
        <w:t>a</w:t>
      </w:r>
      <w:r w:rsidR="004E6358" w:rsidRPr="006B7981">
        <w:rPr>
          <w:lang w:val="en-GB"/>
        </w:rPr>
        <w:t>l., 2017b).</w:t>
      </w:r>
      <w:r w:rsidR="00C97D40">
        <w:rPr>
          <w:lang w:val="en-GB"/>
        </w:rPr>
        <w:t xml:space="preserve"> </w:t>
      </w:r>
      <w:r w:rsidR="00017EC5" w:rsidRPr="006B7981">
        <w:rPr>
          <w:lang w:val="en-GB"/>
        </w:rPr>
        <w:t>The electrode</w:t>
      </w:r>
      <w:r w:rsidR="006D6BD0" w:rsidRPr="006B7981">
        <w:rPr>
          <w:lang w:val="en-GB"/>
        </w:rPr>
        <w:t>s</w:t>
      </w:r>
      <w:r w:rsidR="00017EC5" w:rsidRPr="006B7981">
        <w:rPr>
          <w:lang w:val="en-GB"/>
        </w:rPr>
        <w:t xml:space="preserve"> w</w:t>
      </w:r>
      <w:r w:rsidR="006D6BD0" w:rsidRPr="006B7981">
        <w:rPr>
          <w:lang w:val="en-GB"/>
        </w:rPr>
        <w:t>ere</w:t>
      </w:r>
      <w:r w:rsidR="00017EC5" w:rsidRPr="006B7981">
        <w:rPr>
          <w:lang w:val="en-GB"/>
        </w:rPr>
        <w:t xml:space="preserve"> </w:t>
      </w:r>
      <w:r w:rsidR="00B305FE">
        <w:rPr>
          <w:lang w:val="en-GB"/>
        </w:rPr>
        <w:t xml:space="preserve">then </w:t>
      </w:r>
      <w:r w:rsidR="00017EC5" w:rsidRPr="006B7981">
        <w:rPr>
          <w:lang w:val="en-GB"/>
        </w:rPr>
        <w:t xml:space="preserve">fully characterized by </w:t>
      </w:r>
      <w:r w:rsidR="00F2185C" w:rsidRPr="006B7981">
        <w:rPr>
          <w:lang w:val="en-GB"/>
        </w:rPr>
        <w:t>X-R</w:t>
      </w:r>
      <w:r w:rsidR="00017EC5" w:rsidRPr="006B7981">
        <w:rPr>
          <w:lang w:val="en-GB"/>
        </w:rPr>
        <w:t xml:space="preserve">ay </w:t>
      </w:r>
      <w:r w:rsidR="00F2185C" w:rsidRPr="006B7981">
        <w:rPr>
          <w:lang w:val="en-GB"/>
        </w:rPr>
        <w:t>D</w:t>
      </w:r>
      <w:r w:rsidR="00017EC5" w:rsidRPr="006B7981">
        <w:rPr>
          <w:lang w:val="en-GB"/>
        </w:rPr>
        <w:t>iffraction (XRD)</w:t>
      </w:r>
      <w:r w:rsidR="006D6BD0" w:rsidRPr="006B7981">
        <w:rPr>
          <w:lang w:val="en-GB"/>
        </w:rPr>
        <w:t xml:space="preserve"> and</w:t>
      </w:r>
      <w:r w:rsidR="00017EC5" w:rsidRPr="006B7981">
        <w:rPr>
          <w:lang w:val="en-GB"/>
        </w:rPr>
        <w:t xml:space="preserve"> Transmission </w:t>
      </w:r>
      <w:r w:rsidR="00F2185C" w:rsidRPr="006B7981">
        <w:rPr>
          <w:lang w:val="en-GB"/>
        </w:rPr>
        <w:t>E</w:t>
      </w:r>
      <w:r w:rsidR="00017EC5" w:rsidRPr="006B7981">
        <w:rPr>
          <w:lang w:val="en-GB"/>
        </w:rPr>
        <w:t xml:space="preserve">lectron </w:t>
      </w:r>
      <w:r w:rsidR="00F2185C" w:rsidRPr="006B7981">
        <w:rPr>
          <w:lang w:val="en-GB"/>
        </w:rPr>
        <w:t>M</w:t>
      </w:r>
      <w:r w:rsidR="00017EC5" w:rsidRPr="006B7981">
        <w:rPr>
          <w:lang w:val="en-GB"/>
        </w:rPr>
        <w:t>icroscopy (TEM)</w:t>
      </w:r>
      <w:r w:rsidR="006D6BD0" w:rsidRPr="006B7981">
        <w:rPr>
          <w:lang w:val="en-GB"/>
        </w:rPr>
        <w:t xml:space="preserve"> to study their morphological and </w:t>
      </w:r>
      <w:r w:rsidR="008A5B52" w:rsidRPr="006B7981">
        <w:rPr>
          <w:lang w:val="en-GB"/>
        </w:rPr>
        <w:t>structural</w:t>
      </w:r>
      <w:r w:rsidR="006D6BD0" w:rsidRPr="006B7981">
        <w:rPr>
          <w:lang w:val="en-GB"/>
        </w:rPr>
        <w:t xml:space="preserve"> characteristics, as well as by Linear Sweep </w:t>
      </w:r>
      <w:r w:rsidR="00874FC7">
        <w:rPr>
          <w:lang w:val="en-GB"/>
        </w:rPr>
        <w:t xml:space="preserve">Voltammetry (LSV) </w:t>
      </w:r>
      <w:r w:rsidR="006D6BD0" w:rsidRPr="006B7981">
        <w:rPr>
          <w:lang w:val="en-GB"/>
        </w:rPr>
        <w:t>and Cyclic Voltammetry</w:t>
      </w:r>
      <w:r w:rsidR="00874FC7">
        <w:rPr>
          <w:lang w:val="en-GB"/>
        </w:rPr>
        <w:t xml:space="preserve"> (CV)</w:t>
      </w:r>
      <w:r w:rsidR="006D6BD0" w:rsidRPr="006B7981">
        <w:rPr>
          <w:lang w:val="en-GB"/>
        </w:rPr>
        <w:t xml:space="preserve"> to evaluate their electrochemical properties.</w:t>
      </w:r>
    </w:p>
    <w:p w:rsidR="00E41AAC" w:rsidRPr="00B67AC7" w:rsidRDefault="00E41AAC" w:rsidP="00B67AC7">
      <w:pPr>
        <w:pStyle w:val="CETheadingx"/>
      </w:pPr>
      <w:r w:rsidRPr="00B67AC7">
        <w:t>Testing</w:t>
      </w:r>
    </w:p>
    <w:p w:rsidR="00D05109" w:rsidRDefault="00C81215" w:rsidP="00071244">
      <w:pPr>
        <w:pStyle w:val="CETBodytext"/>
        <w:rPr>
          <w:lang w:val="en-GB"/>
        </w:rPr>
      </w:pPr>
      <w:r w:rsidRPr="006B7981">
        <w:rPr>
          <w:lang w:val="en-GB"/>
        </w:rPr>
        <w:t>Cu</w:t>
      </w:r>
      <w:r w:rsidR="00E65AF8" w:rsidRPr="006B7981">
        <w:rPr>
          <w:lang w:val="en-GB"/>
        </w:rPr>
        <w:t xml:space="preserve"> </w:t>
      </w:r>
      <w:r w:rsidRPr="006B7981">
        <w:rPr>
          <w:lang w:val="en-GB"/>
        </w:rPr>
        <w:t>NPs-CNTs/GDL</w:t>
      </w:r>
      <w:r w:rsidR="00BB2CE0" w:rsidRPr="006B7981">
        <w:rPr>
          <w:lang w:val="en-GB"/>
        </w:rPr>
        <w:t xml:space="preserve"> electrodes were tested in the process of CO</w:t>
      </w:r>
      <w:r w:rsidR="00BB2CE0" w:rsidRPr="006B7981">
        <w:rPr>
          <w:vertAlign w:val="subscript"/>
          <w:lang w:val="en-GB"/>
        </w:rPr>
        <w:t>2</w:t>
      </w:r>
      <w:r w:rsidR="00BB2CE0" w:rsidRPr="006B7981">
        <w:rPr>
          <w:lang w:val="en-GB"/>
        </w:rPr>
        <w:t xml:space="preserve"> electrocatalytic reduction. The electrochemical device was </w:t>
      </w:r>
      <w:r w:rsidR="002B026E" w:rsidRPr="006B7981">
        <w:rPr>
          <w:lang w:val="en-GB"/>
        </w:rPr>
        <w:t xml:space="preserve">made </w:t>
      </w:r>
      <w:r w:rsidR="00485EFB" w:rsidRPr="006B7981">
        <w:rPr>
          <w:lang w:val="en-GB"/>
        </w:rPr>
        <w:t>of</w:t>
      </w:r>
      <w:r w:rsidR="002B026E" w:rsidRPr="006B7981">
        <w:rPr>
          <w:lang w:val="en-GB"/>
        </w:rPr>
        <w:t xml:space="preserve"> </w:t>
      </w:r>
      <w:r w:rsidR="00485EFB" w:rsidRPr="006B7981">
        <w:rPr>
          <w:lang w:val="en-GB"/>
        </w:rPr>
        <w:t>transparent material (</w:t>
      </w:r>
      <w:r w:rsidR="002B026E" w:rsidRPr="006B7981">
        <w:rPr>
          <w:lang w:val="en-GB"/>
        </w:rPr>
        <w:t>Plexiglas</w:t>
      </w:r>
      <w:r w:rsidR="00485EFB" w:rsidRPr="006B7981">
        <w:rPr>
          <w:lang w:val="en-GB"/>
        </w:rPr>
        <w:t>®)</w:t>
      </w:r>
      <w:r w:rsidR="002B026E" w:rsidRPr="006B7981">
        <w:rPr>
          <w:lang w:val="en-GB"/>
        </w:rPr>
        <w:t xml:space="preserve"> </w:t>
      </w:r>
      <w:r w:rsidR="006D7C1B" w:rsidRPr="006B7981">
        <w:rPr>
          <w:lang w:val="en-GB"/>
        </w:rPr>
        <w:t>to allow a</w:t>
      </w:r>
      <w:r w:rsidR="00D5430F" w:rsidRPr="006B7981">
        <w:rPr>
          <w:lang w:val="en-GB"/>
        </w:rPr>
        <w:t>n internal</w:t>
      </w:r>
      <w:r w:rsidR="006D7C1B" w:rsidRPr="006B7981">
        <w:rPr>
          <w:lang w:val="en-GB"/>
        </w:rPr>
        <w:t xml:space="preserve"> visual inspection</w:t>
      </w:r>
      <w:r w:rsidR="009B0AB5" w:rsidRPr="006B7981">
        <w:rPr>
          <w:lang w:val="en-GB"/>
        </w:rPr>
        <w:t>,</w:t>
      </w:r>
      <w:r w:rsidR="006D7C1B" w:rsidRPr="006B7981">
        <w:rPr>
          <w:lang w:val="en-GB"/>
        </w:rPr>
        <w:t xml:space="preserve"> work</w:t>
      </w:r>
      <w:r w:rsidR="00D5430F" w:rsidRPr="006B7981">
        <w:rPr>
          <w:lang w:val="en-GB"/>
        </w:rPr>
        <w:t>ing</w:t>
      </w:r>
      <w:r w:rsidR="006D7C1B" w:rsidRPr="006B7981">
        <w:rPr>
          <w:lang w:val="en-GB"/>
        </w:rPr>
        <w:t xml:space="preserve"> in a three-electrode configuration</w:t>
      </w:r>
      <w:r w:rsidR="009B0AB5" w:rsidRPr="006B7981">
        <w:rPr>
          <w:lang w:val="en-GB"/>
        </w:rPr>
        <w:t>: 1) working electrode (Cu</w:t>
      </w:r>
      <w:r w:rsidR="00E65AF8" w:rsidRPr="006B7981">
        <w:rPr>
          <w:lang w:val="en-GB"/>
        </w:rPr>
        <w:t xml:space="preserve"> </w:t>
      </w:r>
      <w:r w:rsidR="009B0AB5" w:rsidRPr="006B7981">
        <w:rPr>
          <w:lang w:val="en-GB"/>
        </w:rPr>
        <w:t>NPs-CNTs/GDL), 2) counter-electrode (Pt rod) and 3) reference electrode (Ag/AgCl).</w:t>
      </w:r>
      <w:r w:rsidR="00FA0EA8" w:rsidRPr="006B7981">
        <w:rPr>
          <w:lang w:val="en-GB"/>
        </w:rPr>
        <w:t xml:space="preserve"> </w:t>
      </w:r>
      <w:r w:rsidR="00ED5819">
        <w:rPr>
          <w:lang w:val="en-GB"/>
        </w:rPr>
        <w:t>A</w:t>
      </w:r>
      <w:r w:rsidR="00ED5819" w:rsidRPr="006B7981">
        <w:rPr>
          <w:lang w:val="en-GB"/>
        </w:rPr>
        <w:t xml:space="preserve"> Nafion® membrane (N115</w:t>
      </w:r>
      <w:r w:rsidR="00ED5819">
        <w:rPr>
          <w:lang w:val="en-GB"/>
        </w:rPr>
        <w:t>, supplied by Ion Power</w:t>
      </w:r>
      <w:r w:rsidR="00ED5819" w:rsidRPr="006B7981">
        <w:rPr>
          <w:lang w:val="en-GB"/>
        </w:rPr>
        <w:t xml:space="preserve">) </w:t>
      </w:r>
      <w:r w:rsidR="00ED5819">
        <w:rPr>
          <w:lang w:val="en-GB"/>
        </w:rPr>
        <w:t>was used to separate the two half-cells.</w:t>
      </w:r>
      <w:r w:rsidR="00D077BB">
        <w:rPr>
          <w:lang w:val="en-GB"/>
        </w:rPr>
        <w:t xml:space="preserve"> </w:t>
      </w:r>
      <w:r w:rsidR="00FA0EA8" w:rsidRPr="006B7981">
        <w:rPr>
          <w:lang w:val="en-GB"/>
        </w:rPr>
        <w:t>Both the compartments (cathode and anode) were filled with 0.1</w:t>
      </w:r>
      <w:r w:rsidR="00D5430F" w:rsidRPr="006B7981">
        <w:rPr>
          <w:lang w:val="en-GB"/>
        </w:rPr>
        <w:t xml:space="preserve"> </w:t>
      </w:r>
      <w:r w:rsidR="00FA0EA8" w:rsidRPr="006B7981">
        <w:rPr>
          <w:lang w:val="en-GB"/>
        </w:rPr>
        <w:t>M KHCO</w:t>
      </w:r>
      <w:r w:rsidR="00FA0EA8" w:rsidRPr="006B7981">
        <w:rPr>
          <w:vertAlign w:val="subscript"/>
          <w:lang w:val="en-GB"/>
        </w:rPr>
        <w:t>3</w:t>
      </w:r>
      <w:r w:rsidR="00FA0EA8" w:rsidRPr="006B7981">
        <w:rPr>
          <w:lang w:val="en-GB"/>
        </w:rPr>
        <w:t xml:space="preserve"> as the electrolyte under a continuous flow of pure CO</w:t>
      </w:r>
      <w:r w:rsidR="00FA0EA8" w:rsidRPr="006B7981">
        <w:rPr>
          <w:vertAlign w:val="subscript"/>
          <w:lang w:val="en-GB"/>
        </w:rPr>
        <w:t>2</w:t>
      </w:r>
      <w:r w:rsidR="00FA0EA8" w:rsidRPr="006B7981">
        <w:rPr>
          <w:lang w:val="en-GB"/>
        </w:rPr>
        <w:t xml:space="preserve"> (20 mL min</w:t>
      </w:r>
      <w:r w:rsidR="00FA0EA8" w:rsidRPr="006B7981">
        <w:rPr>
          <w:vertAlign w:val="superscript"/>
          <w:lang w:val="en-GB"/>
        </w:rPr>
        <w:t>-1</w:t>
      </w:r>
      <w:r w:rsidR="00FA0EA8" w:rsidRPr="006B7981">
        <w:rPr>
          <w:lang w:val="en-GB"/>
        </w:rPr>
        <w:t>)</w:t>
      </w:r>
      <w:r w:rsidR="00647432">
        <w:rPr>
          <w:lang w:val="en-GB"/>
        </w:rPr>
        <w:t xml:space="preserve"> to saturate the aqueous solutions and operate</w:t>
      </w:r>
      <w:r w:rsidR="00FA0EA8" w:rsidRPr="006B7981">
        <w:rPr>
          <w:lang w:val="en-GB"/>
        </w:rPr>
        <w:t xml:space="preserve"> under the same pH </w:t>
      </w:r>
      <w:r w:rsidR="00647432">
        <w:rPr>
          <w:lang w:val="en-GB"/>
        </w:rPr>
        <w:t xml:space="preserve">(about </w:t>
      </w:r>
      <w:r w:rsidR="00EA07B0">
        <w:rPr>
          <w:lang w:val="en-GB"/>
        </w:rPr>
        <w:t>7.5-</w:t>
      </w:r>
      <w:r w:rsidR="00647432">
        <w:rPr>
          <w:lang w:val="en-GB"/>
        </w:rPr>
        <w:t>8</w:t>
      </w:r>
      <w:r w:rsidR="00EA07B0">
        <w:rPr>
          <w:lang w:val="en-GB"/>
        </w:rPr>
        <w:t>.0</w:t>
      </w:r>
      <w:r w:rsidR="00647432">
        <w:rPr>
          <w:lang w:val="en-GB"/>
        </w:rPr>
        <w:t xml:space="preserve">) </w:t>
      </w:r>
      <w:r w:rsidR="00FA0EA8" w:rsidRPr="006B7981">
        <w:rPr>
          <w:lang w:val="en-GB"/>
        </w:rPr>
        <w:t>in both the half-cells, at least at the initial stage of testing.</w:t>
      </w:r>
      <w:r w:rsidR="00183ABD" w:rsidRPr="006B7981">
        <w:rPr>
          <w:lang w:val="en-GB"/>
        </w:rPr>
        <w:t xml:space="preserve"> </w:t>
      </w:r>
      <w:r w:rsidR="00B26D7D" w:rsidRPr="006B7981">
        <w:rPr>
          <w:lang w:val="en-GB"/>
        </w:rPr>
        <w:t>The active electrocatalytic area was about 5 cm</w:t>
      </w:r>
      <w:r w:rsidR="00B26D7D" w:rsidRPr="006B7981">
        <w:rPr>
          <w:vertAlign w:val="superscript"/>
          <w:lang w:val="en-GB"/>
        </w:rPr>
        <w:t>2</w:t>
      </w:r>
      <w:r w:rsidR="00B26D7D" w:rsidRPr="006B7981">
        <w:rPr>
          <w:lang w:val="en-GB"/>
        </w:rPr>
        <w:t xml:space="preserve">. </w:t>
      </w:r>
      <w:r w:rsidR="00067A8A">
        <w:rPr>
          <w:lang w:val="en-GB"/>
        </w:rPr>
        <w:t>Figure 1 shows a schem</w:t>
      </w:r>
      <w:r w:rsidR="00150794">
        <w:rPr>
          <w:lang w:val="en-GB"/>
        </w:rPr>
        <w:t xml:space="preserve">e of the electrochemical device </w:t>
      </w:r>
      <w:r w:rsidR="00610353" w:rsidRPr="006B7981">
        <w:rPr>
          <w:lang w:val="en-GB"/>
        </w:rPr>
        <w:t>(Ampelli et al., 2015).</w:t>
      </w:r>
    </w:p>
    <w:p w:rsidR="00D05109" w:rsidRDefault="00D05109" w:rsidP="00071244">
      <w:pPr>
        <w:pStyle w:val="CETBodytext"/>
        <w:rPr>
          <w:lang w:val="en-GB"/>
        </w:rPr>
      </w:pPr>
    </w:p>
    <w:p w:rsidR="00D05109" w:rsidRDefault="00573E37" w:rsidP="00071244">
      <w:pPr>
        <w:pStyle w:val="CETBodytext"/>
        <w:rPr>
          <w:lang w:val="en-GB"/>
        </w:rPr>
      </w:pPr>
      <w:r w:rsidRPr="00573E37">
        <w:rPr>
          <w:noProof/>
          <w:lang w:val="it-IT" w:eastAsia="it-IT"/>
        </w:rPr>
        <w:drawing>
          <wp:inline distT="0" distB="0" distL="0" distR="0" wp14:anchorId="0EE36E70" wp14:editId="461085B8">
            <wp:extent cx="5479084" cy="1720755"/>
            <wp:effectExtent l="0" t="0" r="0" b="0"/>
            <wp:docPr id="101"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5729" cy="1763669"/>
                    </a:xfrm>
                    <a:prstGeom prst="rect">
                      <a:avLst/>
                    </a:prstGeom>
                    <a:noFill/>
                    <a:ln>
                      <a:noFill/>
                    </a:ln>
                  </pic:spPr>
                </pic:pic>
              </a:graphicData>
            </a:graphic>
          </wp:inline>
        </w:drawing>
      </w:r>
    </w:p>
    <w:p w:rsidR="00CA0947" w:rsidRPr="006B7981" w:rsidRDefault="00CA0947" w:rsidP="00CA0947">
      <w:pPr>
        <w:pStyle w:val="CETCaption"/>
      </w:pPr>
      <w:r w:rsidRPr="006B7981">
        <w:t xml:space="preserve">Figure 1: </w:t>
      </w:r>
      <w:r>
        <w:t xml:space="preserve">Schematic representation of the electrochemical cell. Adapted from </w:t>
      </w:r>
      <w:r w:rsidR="00334CB8">
        <w:t>Ampelli e</w:t>
      </w:r>
      <w:r>
        <w:t>t al. (201</w:t>
      </w:r>
      <w:r w:rsidR="00334CB8">
        <w:t>5</w:t>
      </w:r>
      <w:r>
        <w:t>)</w:t>
      </w:r>
      <w:r w:rsidRPr="006B7981">
        <w:t>.</w:t>
      </w:r>
    </w:p>
    <w:p w:rsidR="00B26D7D" w:rsidRPr="006B7981" w:rsidRDefault="00546DE4" w:rsidP="00071244">
      <w:pPr>
        <w:pStyle w:val="CETBodytext"/>
        <w:rPr>
          <w:lang w:val="en-GB"/>
        </w:rPr>
      </w:pPr>
      <w:r w:rsidRPr="006B7981">
        <w:rPr>
          <w:lang w:val="en-GB"/>
        </w:rPr>
        <w:lastRenderedPageBreak/>
        <w:t xml:space="preserve">The tests were carried out at different applied </w:t>
      </w:r>
      <w:r w:rsidR="00B26D7D" w:rsidRPr="006B7981">
        <w:rPr>
          <w:lang w:val="en-GB"/>
        </w:rPr>
        <w:t>potentials (from -</w:t>
      </w:r>
      <w:r w:rsidR="000C5008" w:rsidRPr="006B7981">
        <w:rPr>
          <w:lang w:val="en-GB"/>
        </w:rPr>
        <w:t>0.5</w:t>
      </w:r>
      <w:r w:rsidR="00B26D7D" w:rsidRPr="006B7981">
        <w:rPr>
          <w:lang w:val="en-GB"/>
        </w:rPr>
        <w:t xml:space="preserve"> to -1.7 V vs. Ag/AgCl), corresponding to different c</w:t>
      </w:r>
      <w:r w:rsidRPr="006B7981">
        <w:rPr>
          <w:lang w:val="en-GB"/>
        </w:rPr>
        <w:t>urrent densit</w:t>
      </w:r>
      <w:r w:rsidR="00B26D7D" w:rsidRPr="006B7981">
        <w:rPr>
          <w:lang w:val="en-GB"/>
        </w:rPr>
        <w:t xml:space="preserve">ies (from 0.1 to 2.3 </w:t>
      </w:r>
      <w:r w:rsidRPr="006B7981">
        <w:rPr>
          <w:lang w:val="en-GB"/>
        </w:rPr>
        <w:t>mA cm</w:t>
      </w:r>
      <w:r w:rsidRPr="006B7981">
        <w:rPr>
          <w:vertAlign w:val="superscript"/>
          <w:lang w:val="en-GB"/>
        </w:rPr>
        <w:t>-2</w:t>
      </w:r>
      <w:r w:rsidR="00B26D7D" w:rsidRPr="006B7981">
        <w:rPr>
          <w:lang w:val="en-GB"/>
        </w:rPr>
        <w:t>, respectively). A further test was carried out in amperometric mode applying directly 10 mA cm</w:t>
      </w:r>
      <w:r w:rsidR="00B26D7D" w:rsidRPr="006B7981">
        <w:rPr>
          <w:vertAlign w:val="superscript"/>
          <w:lang w:val="en-GB"/>
        </w:rPr>
        <w:t>-2</w:t>
      </w:r>
      <w:r w:rsidR="00B26D7D" w:rsidRPr="006B7981">
        <w:rPr>
          <w:lang w:val="en-GB"/>
        </w:rPr>
        <w:t xml:space="preserve">, in order to evaluate the catalytic performance under industrial </w:t>
      </w:r>
      <w:r w:rsidR="005124D2" w:rsidRPr="006B7981">
        <w:rPr>
          <w:lang w:val="en-GB"/>
        </w:rPr>
        <w:t xml:space="preserve">relevant </w:t>
      </w:r>
      <w:r w:rsidR="00B26D7D" w:rsidRPr="006B7981">
        <w:rPr>
          <w:lang w:val="en-GB"/>
        </w:rPr>
        <w:t>conditions.</w:t>
      </w:r>
    </w:p>
    <w:p w:rsidR="00546DE4" w:rsidRPr="006B7981" w:rsidRDefault="00962B56" w:rsidP="00071244">
      <w:pPr>
        <w:pStyle w:val="CETBodytext"/>
        <w:rPr>
          <w:lang w:val="en-GB"/>
        </w:rPr>
      </w:pPr>
      <w:r w:rsidRPr="006B7981">
        <w:rPr>
          <w:lang w:val="en-GB"/>
        </w:rPr>
        <w:t>The gas products (H</w:t>
      </w:r>
      <w:r w:rsidRPr="006B7981">
        <w:rPr>
          <w:vertAlign w:val="subscript"/>
          <w:lang w:val="en-GB"/>
        </w:rPr>
        <w:t>2</w:t>
      </w:r>
      <w:r w:rsidRPr="006B7981">
        <w:rPr>
          <w:lang w:val="en-GB"/>
        </w:rPr>
        <w:t xml:space="preserve">, CO) were analysed by </w:t>
      </w:r>
      <w:r w:rsidR="00B52F78" w:rsidRPr="006B7981">
        <w:rPr>
          <w:lang w:val="en-GB"/>
        </w:rPr>
        <w:t xml:space="preserve">using a </w:t>
      </w:r>
      <w:r w:rsidRPr="006B7981">
        <w:rPr>
          <w:lang w:val="en-GB"/>
        </w:rPr>
        <w:t xml:space="preserve">micro </w:t>
      </w:r>
      <w:r w:rsidR="00B52F78" w:rsidRPr="006B7981">
        <w:rPr>
          <w:lang w:val="en-GB"/>
        </w:rPr>
        <w:t>G</w:t>
      </w:r>
      <w:r w:rsidRPr="006B7981">
        <w:rPr>
          <w:lang w:val="en-GB"/>
        </w:rPr>
        <w:t xml:space="preserve">as </w:t>
      </w:r>
      <w:r w:rsidR="00B52F78" w:rsidRPr="006B7981">
        <w:rPr>
          <w:lang w:val="en-GB"/>
        </w:rPr>
        <w:t>C</w:t>
      </w:r>
      <w:r w:rsidRPr="006B7981">
        <w:rPr>
          <w:lang w:val="en-GB"/>
        </w:rPr>
        <w:t>hromatograph (microGC Pollution Srl) equipped with two modules and TCD as the detector</w:t>
      </w:r>
      <w:r w:rsidR="00B52F78" w:rsidRPr="006B7981">
        <w:rPr>
          <w:lang w:val="en-GB"/>
        </w:rPr>
        <w:t>s</w:t>
      </w:r>
      <w:r w:rsidRPr="006B7981">
        <w:rPr>
          <w:lang w:val="en-GB"/>
        </w:rPr>
        <w:t>.</w:t>
      </w:r>
      <w:r w:rsidR="00071244" w:rsidRPr="006B7981">
        <w:rPr>
          <w:lang w:val="en-GB"/>
        </w:rPr>
        <w:t xml:space="preserve"> The liquid products were analysed by using a Gas Chromatograph-Mass Spectrometer (GC-MS Thermo 1310-Tsq 8000 Evo, column Stabilwax) and Ion Chromatography (IC Metrohm 940 Professional, column Metrohm Organic Acids).</w:t>
      </w:r>
    </w:p>
    <w:p w:rsidR="002F2649" w:rsidRPr="006B7981" w:rsidRDefault="002F2649" w:rsidP="002F2649">
      <w:pPr>
        <w:pStyle w:val="CETHeading1"/>
        <w:rPr>
          <w:lang w:val="en-GB"/>
        </w:rPr>
      </w:pPr>
      <w:r w:rsidRPr="006B7981">
        <w:rPr>
          <w:lang w:val="en-GB"/>
        </w:rPr>
        <w:t>Results and discussion</w:t>
      </w:r>
    </w:p>
    <w:p w:rsidR="00F80416" w:rsidRPr="006B7981" w:rsidRDefault="00F80416" w:rsidP="00F80416">
      <w:pPr>
        <w:pStyle w:val="CETheadingx"/>
      </w:pPr>
      <w:r w:rsidRPr="006B7981">
        <w:t>Morphological and electronic characterization</w:t>
      </w:r>
    </w:p>
    <w:p w:rsidR="000C6391" w:rsidRPr="006B7981" w:rsidRDefault="000C6391" w:rsidP="00F80416">
      <w:pPr>
        <w:pStyle w:val="CETBodytext"/>
        <w:rPr>
          <w:lang w:val="en-GB"/>
        </w:rPr>
      </w:pPr>
      <w:r w:rsidRPr="006B7981">
        <w:rPr>
          <w:lang w:val="en-GB"/>
        </w:rPr>
        <w:t xml:space="preserve">Figure </w:t>
      </w:r>
      <w:r w:rsidR="00573E37">
        <w:rPr>
          <w:lang w:val="en-GB"/>
        </w:rPr>
        <w:t>2</w:t>
      </w:r>
      <w:r w:rsidRPr="006B7981">
        <w:rPr>
          <w:lang w:val="en-GB"/>
        </w:rPr>
        <w:t xml:space="preserve"> shows t</w:t>
      </w:r>
      <w:r w:rsidR="00F80416" w:rsidRPr="006B7981">
        <w:rPr>
          <w:lang w:val="en-GB"/>
        </w:rPr>
        <w:t xml:space="preserve">he </w:t>
      </w:r>
      <w:r w:rsidRPr="006B7981">
        <w:rPr>
          <w:lang w:val="en-GB"/>
        </w:rPr>
        <w:t xml:space="preserve">XRD pattern of </w:t>
      </w:r>
      <w:r w:rsidR="00F80416" w:rsidRPr="006B7981">
        <w:rPr>
          <w:lang w:val="en-GB"/>
        </w:rPr>
        <w:t>Cu</w:t>
      </w:r>
      <w:r w:rsidR="00E65AF8" w:rsidRPr="006B7981">
        <w:rPr>
          <w:lang w:val="en-GB"/>
        </w:rPr>
        <w:t xml:space="preserve"> </w:t>
      </w:r>
      <w:r w:rsidRPr="006B7981">
        <w:rPr>
          <w:lang w:val="en-GB"/>
        </w:rPr>
        <w:t>NPs</w:t>
      </w:r>
      <w:r w:rsidR="00F80416" w:rsidRPr="006B7981">
        <w:rPr>
          <w:lang w:val="en-GB"/>
        </w:rPr>
        <w:t>-CNT</w:t>
      </w:r>
      <w:r w:rsidRPr="006B7981">
        <w:rPr>
          <w:lang w:val="en-GB"/>
        </w:rPr>
        <w:t xml:space="preserve">s. </w:t>
      </w:r>
      <w:r w:rsidR="00F80416" w:rsidRPr="006B7981">
        <w:rPr>
          <w:lang w:val="en-GB"/>
        </w:rPr>
        <w:t>The dominant diffraction peak at 26.4° can be assigned to</w:t>
      </w:r>
      <w:r w:rsidRPr="006B7981">
        <w:rPr>
          <w:lang w:val="en-GB"/>
        </w:rPr>
        <w:t xml:space="preserve"> </w:t>
      </w:r>
      <w:r w:rsidR="00F80416" w:rsidRPr="006B7981">
        <w:rPr>
          <w:lang w:val="en-GB"/>
        </w:rPr>
        <w:t>the (002) planes of the hexagonal graphite structure of CNTs</w:t>
      </w:r>
      <w:r w:rsidRPr="006B7981">
        <w:rPr>
          <w:lang w:val="en-GB"/>
        </w:rPr>
        <w:t xml:space="preserve"> </w:t>
      </w:r>
      <w:r w:rsidR="00F80416" w:rsidRPr="006B7981">
        <w:rPr>
          <w:lang w:val="en-GB"/>
        </w:rPr>
        <w:t>with an interplanar spacing of 0.34 nm. Two twin peaks at 2θ =</w:t>
      </w:r>
      <w:r w:rsidRPr="006B7981">
        <w:rPr>
          <w:lang w:val="en-GB"/>
        </w:rPr>
        <w:t xml:space="preserve"> </w:t>
      </w:r>
      <w:r w:rsidR="00F80416" w:rsidRPr="006B7981">
        <w:rPr>
          <w:lang w:val="en-GB"/>
        </w:rPr>
        <w:t>35.67° and 38.90° and a weak</w:t>
      </w:r>
      <w:r w:rsidR="00B26FF9" w:rsidRPr="006B7981">
        <w:rPr>
          <w:lang w:val="en-GB"/>
        </w:rPr>
        <w:t>er</w:t>
      </w:r>
      <w:r w:rsidR="00F80416" w:rsidRPr="006B7981">
        <w:rPr>
          <w:lang w:val="en-GB"/>
        </w:rPr>
        <w:t xml:space="preserve"> peak at 2θ = 48.97° </w:t>
      </w:r>
      <w:r w:rsidR="004938F5" w:rsidRPr="006B7981">
        <w:rPr>
          <w:lang w:val="en-GB"/>
        </w:rPr>
        <w:t>are</w:t>
      </w:r>
      <w:r w:rsidRPr="006B7981">
        <w:rPr>
          <w:lang w:val="en-GB"/>
        </w:rPr>
        <w:t xml:space="preserve"> </w:t>
      </w:r>
      <w:r w:rsidR="00F80416" w:rsidRPr="006B7981">
        <w:rPr>
          <w:lang w:val="en-GB"/>
        </w:rPr>
        <w:t>observed</w:t>
      </w:r>
      <w:r w:rsidR="00B26FF9" w:rsidRPr="006B7981">
        <w:rPr>
          <w:lang w:val="en-GB"/>
        </w:rPr>
        <w:t>,</w:t>
      </w:r>
      <w:r w:rsidR="00F80416" w:rsidRPr="006B7981">
        <w:rPr>
          <w:lang w:val="en-GB"/>
        </w:rPr>
        <w:t xml:space="preserve"> corresponding to the planes (020), (111) and (202) of</w:t>
      </w:r>
      <w:r w:rsidRPr="006B7981">
        <w:rPr>
          <w:lang w:val="en-GB"/>
        </w:rPr>
        <w:t xml:space="preserve"> </w:t>
      </w:r>
      <w:r w:rsidR="00F80416" w:rsidRPr="006B7981">
        <w:rPr>
          <w:lang w:val="en-GB"/>
        </w:rPr>
        <w:t>monoclinic CuO, respectively (JCPDS 80-1916).</w:t>
      </w:r>
      <w:r w:rsidRPr="006B7981">
        <w:rPr>
          <w:lang w:val="en-GB"/>
        </w:rPr>
        <w:t xml:space="preserve"> </w:t>
      </w:r>
      <w:r w:rsidR="00F80416" w:rsidRPr="006B7981">
        <w:rPr>
          <w:lang w:val="en-GB"/>
        </w:rPr>
        <w:t>The average crystallite size</w:t>
      </w:r>
      <w:r w:rsidR="00B26FF9" w:rsidRPr="006B7981">
        <w:rPr>
          <w:lang w:val="en-GB"/>
        </w:rPr>
        <w:t xml:space="preserve"> </w:t>
      </w:r>
      <w:r w:rsidR="00E720FD" w:rsidRPr="006B7981">
        <w:rPr>
          <w:lang w:val="en-GB"/>
        </w:rPr>
        <w:t xml:space="preserve">can be </w:t>
      </w:r>
      <w:r w:rsidR="00B26FF9" w:rsidRPr="006B7981">
        <w:rPr>
          <w:lang w:val="en-GB"/>
        </w:rPr>
        <w:t>determ</w:t>
      </w:r>
      <w:r w:rsidR="00F80416" w:rsidRPr="006B7981">
        <w:rPr>
          <w:lang w:val="en-GB"/>
        </w:rPr>
        <w:t>ined by the Scherrer</w:t>
      </w:r>
      <w:r w:rsidRPr="006B7981">
        <w:rPr>
          <w:lang w:val="en-GB"/>
        </w:rPr>
        <w:t xml:space="preserve"> </w:t>
      </w:r>
      <w:r w:rsidR="00F80416" w:rsidRPr="006B7981">
        <w:rPr>
          <w:lang w:val="en-GB"/>
        </w:rPr>
        <w:t>equation</w:t>
      </w:r>
      <w:r w:rsidR="004F0A98">
        <w:rPr>
          <w:lang w:val="en-GB"/>
        </w:rPr>
        <w:t xml:space="preserve"> (</w:t>
      </w:r>
      <w:r w:rsidR="004F0A98" w:rsidRPr="004F0A98">
        <w:rPr>
          <w:lang w:val="en-GB"/>
        </w:rPr>
        <w:t xml:space="preserve">Holzwarth </w:t>
      </w:r>
      <w:r w:rsidR="004F0A98">
        <w:rPr>
          <w:lang w:val="en-GB"/>
        </w:rPr>
        <w:t>and</w:t>
      </w:r>
      <w:r w:rsidR="004F0A98" w:rsidRPr="004F0A98">
        <w:rPr>
          <w:lang w:val="en-GB"/>
        </w:rPr>
        <w:t xml:space="preserve"> Gibson</w:t>
      </w:r>
      <w:r w:rsidR="004F0A98">
        <w:rPr>
          <w:lang w:val="en-GB"/>
        </w:rPr>
        <w:t xml:space="preserve">, </w:t>
      </w:r>
      <w:r w:rsidR="004F0A98" w:rsidRPr="004F0A98">
        <w:rPr>
          <w:lang w:val="en-GB"/>
        </w:rPr>
        <w:t>2011</w:t>
      </w:r>
      <w:r w:rsidR="004F0A98">
        <w:rPr>
          <w:lang w:val="en-GB"/>
        </w:rPr>
        <w:t>)</w:t>
      </w:r>
      <w:r w:rsidR="00E720FD" w:rsidRPr="006B7981">
        <w:rPr>
          <w:lang w:val="en-GB"/>
        </w:rPr>
        <w:t xml:space="preserve"> and it</w:t>
      </w:r>
      <w:r w:rsidR="00B26FF9" w:rsidRPr="006B7981">
        <w:rPr>
          <w:lang w:val="en-GB"/>
        </w:rPr>
        <w:t xml:space="preserve"> is </w:t>
      </w:r>
      <w:r w:rsidR="00F80416" w:rsidRPr="006B7981">
        <w:rPr>
          <w:lang w:val="en-GB"/>
        </w:rPr>
        <w:t>in the range of 38</w:t>
      </w:r>
      <w:r w:rsidR="00B26FF9" w:rsidRPr="006B7981">
        <w:rPr>
          <w:lang w:val="en-GB"/>
        </w:rPr>
        <w:t>-40 nm.</w:t>
      </w:r>
    </w:p>
    <w:p w:rsidR="000C6391" w:rsidRPr="006B7981" w:rsidRDefault="000945E0" w:rsidP="00F80416">
      <w:pPr>
        <w:pStyle w:val="CETBodytext"/>
        <w:rPr>
          <w:lang w:val="en-GB"/>
        </w:rPr>
      </w:pPr>
      <w:r>
        <w:rPr>
          <w:noProof/>
          <w:lang w:val="it-IT" w:eastAsia="it-IT"/>
        </w:rPr>
        <w:drawing>
          <wp:inline distT="0" distB="0" distL="0" distR="0" wp14:anchorId="6BE77B21">
            <wp:extent cx="3474720" cy="2761568"/>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4804" cy="2769583"/>
                    </a:xfrm>
                    <a:prstGeom prst="rect">
                      <a:avLst/>
                    </a:prstGeom>
                    <a:noFill/>
                  </pic:spPr>
                </pic:pic>
              </a:graphicData>
            </a:graphic>
          </wp:inline>
        </w:drawing>
      </w:r>
    </w:p>
    <w:p w:rsidR="000C6391" w:rsidRPr="006B7981" w:rsidRDefault="000C6391" w:rsidP="000C6391">
      <w:pPr>
        <w:pStyle w:val="CETCaption"/>
      </w:pPr>
      <w:r w:rsidRPr="006B7981">
        <w:t xml:space="preserve">Figure </w:t>
      </w:r>
      <w:r w:rsidR="00573E37">
        <w:t>2</w:t>
      </w:r>
      <w:r w:rsidRPr="006B7981">
        <w:t>: XRD pattern of CuNPs-CNTs.</w:t>
      </w:r>
      <w:bookmarkStart w:id="0" w:name="_GoBack"/>
      <w:bookmarkEnd w:id="0"/>
    </w:p>
    <w:p w:rsidR="000C6391" w:rsidRPr="006B7981" w:rsidRDefault="000C6391" w:rsidP="00FA0EA8">
      <w:pPr>
        <w:pStyle w:val="CETBodytext"/>
        <w:rPr>
          <w:lang w:val="en-GB"/>
        </w:rPr>
      </w:pPr>
    </w:p>
    <w:p w:rsidR="0006361E" w:rsidRPr="006B7981" w:rsidRDefault="00B823E7" w:rsidP="00E80DC3">
      <w:pPr>
        <w:pStyle w:val="CETBodytext"/>
        <w:rPr>
          <w:lang w:val="en-GB"/>
        </w:rPr>
      </w:pPr>
      <w:r w:rsidRPr="00B823E7">
        <w:rPr>
          <w:lang w:val="en-GB"/>
        </w:rPr>
        <w:t xml:space="preserve"> </w:t>
      </w:r>
      <w:r w:rsidRPr="00B823E7">
        <w:rPr>
          <w:noProof/>
          <w:lang w:val="it-IT" w:eastAsia="it-IT"/>
        </w:rPr>
        <w:drawing>
          <wp:inline distT="0" distB="0" distL="0" distR="0" wp14:anchorId="654D45CA" wp14:editId="607B4A72">
            <wp:extent cx="3341310" cy="2388358"/>
            <wp:effectExtent l="0" t="0" r="0" b="0"/>
            <wp:docPr id="116"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1310" cy="2388358"/>
                    </a:xfrm>
                    <a:prstGeom prst="rect">
                      <a:avLst/>
                    </a:prstGeom>
                    <a:noFill/>
                    <a:ln>
                      <a:noFill/>
                    </a:ln>
                  </pic:spPr>
                </pic:pic>
              </a:graphicData>
            </a:graphic>
          </wp:inline>
        </w:drawing>
      </w:r>
    </w:p>
    <w:p w:rsidR="00D006B8" w:rsidRPr="006B7981" w:rsidRDefault="00D006B8" w:rsidP="00D006B8">
      <w:pPr>
        <w:pStyle w:val="CETCaption"/>
      </w:pPr>
      <w:r w:rsidRPr="006B7981">
        <w:t xml:space="preserve">Figure </w:t>
      </w:r>
      <w:r w:rsidR="00573E37">
        <w:t>3</w:t>
      </w:r>
      <w:r w:rsidRPr="006B7981">
        <w:t xml:space="preserve">: </w:t>
      </w:r>
      <w:r w:rsidR="00E720FD" w:rsidRPr="006B7981">
        <w:t xml:space="preserve">a) </w:t>
      </w:r>
      <w:r w:rsidRPr="006B7981">
        <w:t xml:space="preserve">TEM image of CuNPs-CNTs </w:t>
      </w:r>
      <w:r w:rsidR="00E720FD" w:rsidRPr="006B7981">
        <w:t>and b)</w:t>
      </w:r>
      <w:r w:rsidRPr="006B7981">
        <w:t xml:space="preserve"> particle </w:t>
      </w:r>
      <w:r w:rsidR="00AA0F33" w:rsidRPr="006B7981">
        <w:t xml:space="preserve">size </w:t>
      </w:r>
      <w:r w:rsidRPr="006B7981">
        <w:t>distribution.</w:t>
      </w:r>
    </w:p>
    <w:p w:rsidR="00573E37" w:rsidRPr="006B7981" w:rsidRDefault="00573E37" w:rsidP="00573E37">
      <w:pPr>
        <w:pStyle w:val="CETBodytext"/>
        <w:rPr>
          <w:lang w:val="en-GB"/>
        </w:rPr>
      </w:pPr>
      <w:r w:rsidRPr="006B7981">
        <w:rPr>
          <w:lang w:val="en-GB"/>
        </w:rPr>
        <w:lastRenderedPageBreak/>
        <w:t xml:space="preserve">The morphology and the particle size distribution of Cu NPs-CNTs were determined by Transmission Electron Microscopy (TEM). Figure </w:t>
      </w:r>
      <w:r>
        <w:rPr>
          <w:lang w:val="en-GB"/>
        </w:rPr>
        <w:t>3</w:t>
      </w:r>
      <w:r w:rsidRPr="006B7981">
        <w:rPr>
          <w:lang w:val="en-GB"/>
        </w:rPr>
        <w:t xml:space="preserve">a shows a representative TEM image of a Cu-doped carbon nanotube, evidencing round-like Cu particles mainly localized inside the nanotube with a relatively narrow size distribution (see Figure </w:t>
      </w:r>
      <w:r>
        <w:rPr>
          <w:lang w:val="en-GB"/>
        </w:rPr>
        <w:t>3</w:t>
      </w:r>
      <w:r w:rsidRPr="006B7981">
        <w:rPr>
          <w:lang w:val="en-GB"/>
        </w:rPr>
        <w:t>b). The estimated average particle diameter is 42.5 nm</w:t>
      </w:r>
      <w:r w:rsidR="00C17C81">
        <w:rPr>
          <w:lang w:val="en-GB"/>
        </w:rPr>
        <w:t xml:space="preserve"> (</w:t>
      </w:r>
      <w:r w:rsidR="00C17C81">
        <w:rPr>
          <w:rFonts w:cs="Arial"/>
          <w:lang w:val="en-GB"/>
        </w:rPr>
        <w:t>±</w:t>
      </w:r>
      <w:r w:rsidR="00C17C81">
        <w:rPr>
          <w:lang w:val="en-GB"/>
        </w:rPr>
        <w:t xml:space="preserve"> 3.5 nm)</w:t>
      </w:r>
      <w:r w:rsidRPr="006B7981">
        <w:rPr>
          <w:lang w:val="en-GB"/>
        </w:rPr>
        <w:t>, which is in good agreement with XRD results.</w:t>
      </w:r>
    </w:p>
    <w:p w:rsidR="00E32061" w:rsidRPr="006B7981" w:rsidRDefault="00E32061" w:rsidP="00E32061">
      <w:pPr>
        <w:pStyle w:val="CETheadingx"/>
      </w:pPr>
      <w:r w:rsidRPr="006B7981">
        <w:t xml:space="preserve">Electrocatalytic </w:t>
      </w:r>
      <w:r w:rsidR="00376E81" w:rsidRPr="006B7981">
        <w:t>tests</w:t>
      </w:r>
    </w:p>
    <w:p w:rsidR="003C3ED2" w:rsidRPr="006B7981" w:rsidRDefault="005B69CB" w:rsidP="00E80DC3">
      <w:pPr>
        <w:pStyle w:val="CETBodytext"/>
        <w:rPr>
          <w:lang w:val="en-GB"/>
        </w:rPr>
      </w:pPr>
      <w:r w:rsidRPr="006B7981">
        <w:rPr>
          <w:lang w:val="en-GB"/>
        </w:rPr>
        <w:t>Despite the many kinds of electrocatalysts investigated in literature, copper is the only one that exhibits appreciable activity and Faradaic efficiency for reducing CO</w:t>
      </w:r>
      <w:r w:rsidRPr="006B7981">
        <w:rPr>
          <w:vertAlign w:val="subscript"/>
          <w:lang w:val="en-GB"/>
        </w:rPr>
        <w:t>2</w:t>
      </w:r>
      <w:r w:rsidRPr="006B7981">
        <w:rPr>
          <w:lang w:val="en-GB"/>
        </w:rPr>
        <w:t xml:space="preserve"> to hydrocarbons and oxygenates </w:t>
      </w:r>
      <w:r w:rsidR="00E85502" w:rsidRPr="006B7981">
        <w:rPr>
          <w:lang w:val="en-GB"/>
        </w:rPr>
        <w:t>(</w:t>
      </w:r>
      <w:r w:rsidR="0085369D" w:rsidRPr="006B7981">
        <w:rPr>
          <w:lang w:val="en-GB"/>
        </w:rPr>
        <w:t>Kuhl et al. 2014).</w:t>
      </w:r>
      <w:r w:rsidR="00E65AF8" w:rsidRPr="006B7981">
        <w:rPr>
          <w:lang w:val="en-GB"/>
        </w:rPr>
        <w:t xml:space="preserve"> The use of Cu NPs deposited onto nanocarbons (i.e. CNTs) with respect to a Cu foil, may improve the catalytic activity and facilitate the formation of C-C bond, due to the positive catalytic effect of the interface between Cu NPs and CNTs (Genovese et al., 2017).</w:t>
      </w:r>
    </w:p>
    <w:p w:rsidR="00A648C0" w:rsidRPr="006B7981" w:rsidRDefault="00D03F86" w:rsidP="00E80DC3">
      <w:pPr>
        <w:pStyle w:val="CETBodytext"/>
        <w:rPr>
          <w:lang w:val="en-GB"/>
        </w:rPr>
      </w:pPr>
      <w:r w:rsidRPr="006B7981">
        <w:rPr>
          <w:lang w:val="en-GB"/>
        </w:rPr>
        <w:t>Table 1 reports the different kinds of carbon products obtained in the electrocatalytic tests of CO</w:t>
      </w:r>
      <w:r w:rsidRPr="006B7981">
        <w:rPr>
          <w:vertAlign w:val="subscript"/>
          <w:lang w:val="en-GB"/>
        </w:rPr>
        <w:t>2</w:t>
      </w:r>
      <w:r w:rsidRPr="006B7981">
        <w:rPr>
          <w:lang w:val="en-GB"/>
        </w:rPr>
        <w:t xml:space="preserve"> reduction</w:t>
      </w:r>
      <w:r w:rsidR="00735029" w:rsidRPr="006B7981">
        <w:rPr>
          <w:lang w:val="en-GB"/>
        </w:rPr>
        <w:t xml:space="preserve"> over Cu NPs-CNTs/GDL. They range</w:t>
      </w:r>
      <w:r w:rsidR="00A648C0" w:rsidRPr="006B7981">
        <w:rPr>
          <w:lang w:val="en-GB"/>
        </w:rPr>
        <w:t xml:space="preserve"> </w:t>
      </w:r>
      <w:r w:rsidR="00735029" w:rsidRPr="006B7981">
        <w:rPr>
          <w:lang w:val="en-GB"/>
        </w:rPr>
        <w:t>from</w:t>
      </w:r>
      <w:r w:rsidR="00A648C0" w:rsidRPr="006B7981">
        <w:rPr>
          <w:lang w:val="en-GB"/>
        </w:rPr>
        <w:t xml:space="preserve"> C1 products</w:t>
      </w:r>
      <w:r w:rsidR="00735029" w:rsidRPr="006B7981">
        <w:rPr>
          <w:lang w:val="en-GB"/>
        </w:rPr>
        <w:t xml:space="preserve"> (CO, formic acid and methanol) to</w:t>
      </w:r>
      <w:r w:rsidR="00A648C0" w:rsidRPr="006B7981">
        <w:rPr>
          <w:lang w:val="en-GB"/>
        </w:rPr>
        <w:t xml:space="preserve"> C2</w:t>
      </w:r>
      <w:r w:rsidR="00735029" w:rsidRPr="006B7981">
        <w:rPr>
          <w:lang w:val="en-GB"/>
        </w:rPr>
        <w:t>-C3</w:t>
      </w:r>
      <w:r w:rsidR="00A648C0" w:rsidRPr="006B7981">
        <w:rPr>
          <w:lang w:val="en-GB"/>
        </w:rPr>
        <w:t xml:space="preserve"> products (ethanol, acetic acid</w:t>
      </w:r>
      <w:r w:rsidR="00735029" w:rsidRPr="006B7981">
        <w:rPr>
          <w:lang w:val="en-GB"/>
        </w:rPr>
        <w:t>,</w:t>
      </w:r>
      <w:r w:rsidR="00A648C0" w:rsidRPr="006B7981">
        <w:rPr>
          <w:lang w:val="en-GB"/>
        </w:rPr>
        <w:t xml:space="preserve"> oxalic acid</w:t>
      </w:r>
      <w:r w:rsidR="00735029" w:rsidRPr="006B7981">
        <w:rPr>
          <w:lang w:val="en-GB"/>
        </w:rPr>
        <w:t xml:space="preserve"> and </w:t>
      </w:r>
      <w:r w:rsidR="00A648C0" w:rsidRPr="006B7981">
        <w:rPr>
          <w:lang w:val="en-GB"/>
        </w:rPr>
        <w:t>isopropanol).</w:t>
      </w:r>
    </w:p>
    <w:p w:rsidR="001347BA" w:rsidRPr="006B7981" w:rsidRDefault="001347BA" w:rsidP="001347BA">
      <w:pPr>
        <w:pStyle w:val="CETTabletitle"/>
      </w:pPr>
      <w:r w:rsidRPr="006B7981">
        <w:t>Table 1: Carbon products obtained in CO</w:t>
      </w:r>
      <w:r w:rsidRPr="006B7981">
        <w:rPr>
          <w:vertAlign w:val="subscript"/>
        </w:rPr>
        <w:t>2</w:t>
      </w:r>
      <w:r w:rsidRPr="006B7981">
        <w:t xml:space="preserve"> electrocatalytic reduction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1843"/>
        <w:gridCol w:w="1701"/>
      </w:tblGrid>
      <w:tr w:rsidR="001347BA" w:rsidRPr="006B7981" w:rsidTr="00562902">
        <w:tc>
          <w:tcPr>
            <w:tcW w:w="1843" w:type="dxa"/>
            <w:tcBorders>
              <w:top w:val="single" w:sz="12" w:space="0" w:color="008000"/>
              <w:bottom w:val="single" w:sz="6" w:space="0" w:color="008000"/>
            </w:tcBorders>
            <w:shd w:val="clear" w:color="auto" w:fill="FFFFFF"/>
          </w:tcPr>
          <w:p w:rsidR="00562902" w:rsidRPr="006B7981" w:rsidRDefault="001347BA" w:rsidP="00562902">
            <w:pPr>
              <w:pStyle w:val="CETBodytext"/>
              <w:rPr>
                <w:lang w:val="en-GB"/>
              </w:rPr>
            </w:pPr>
            <w:r w:rsidRPr="006B7981">
              <w:rPr>
                <w:lang w:val="en-GB"/>
              </w:rPr>
              <w:t>C1</w:t>
            </w:r>
          </w:p>
        </w:tc>
        <w:tc>
          <w:tcPr>
            <w:tcW w:w="1843" w:type="dxa"/>
            <w:tcBorders>
              <w:top w:val="single" w:sz="12" w:space="0" w:color="008000"/>
              <w:bottom w:val="single" w:sz="6" w:space="0" w:color="008000"/>
            </w:tcBorders>
            <w:shd w:val="clear" w:color="auto" w:fill="FFFFFF"/>
          </w:tcPr>
          <w:p w:rsidR="00562902" w:rsidRPr="006B7981" w:rsidRDefault="001347BA" w:rsidP="00562902">
            <w:pPr>
              <w:pStyle w:val="CETBodytext"/>
              <w:rPr>
                <w:lang w:val="en-GB"/>
              </w:rPr>
            </w:pPr>
            <w:r w:rsidRPr="006B7981">
              <w:rPr>
                <w:lang w:val="en-GB"/>
              </w:rPr>
              <w:t>C2</w:t>
            </w:r>
          </w:p>
        </w:tc>
        <w:tc>
          <w:tcPr>
            <w:tcW w:w="1701" w:type="dxa"/>
            <w:tcBorders>
              <w:top w:val="single" w:sz="12" w:space="0" w:color="008000"/>
              <w:bottom w:val="single" w:sz="6" w:space="0" w:color="008000"/>
            </w:tcBorders>
            <w:shd w:val="clear" w:color="auto" w:fill="FFFFFF"/>
          </w:tcPr>
          <w:p w:rsidR="00562902" w:rsidRPr="006B7981" w:rsidRDefault="001347BA" w:rsidP="00562902">
            <w:pPr>
              <w:pStyle w:val="CETBodytext"/>
              <w:ind w:right="-1"/>
              <w:rPr>
                <w:rFonts w:cs="Arial"/>
                <w:szCs w:val="18"/>
                <w:lang w:val="en-GB"/>
              </w:rPr>
            </w:pPr>
            <w:r w:rsidRPr="006B7981">
              <w:rPr>
                <w:rFonts w:cs="Arial"/>
                <w:szCs w:val="18"/>
                <w:lang w:val="en-GB"/>
              </w:rPr>
              <w:t>C3</w:t>
            </w:r>
          </w:p>
        </w:tc>
      </w:tr>
      <w:tr w:rsidR="001347BA" w:rsidRPr="006B7981" w:rsidTr="00562902">
        <w:tc>
          <w:tcPr>
            <w:tcW w:w="1843" w:type="dxa"/>
            <w:shd w:val="clear" w:color="auto" w:fill="FFFFFF"/>
          </w:tcPr>
          <w:p w:rsidR="00562902" w:rsidRPr="006B7981" w:rsidRDefault="00AA065D" w:rsidP="0022138F">
            <w:pPr>
              <w:pStyle w:val="CETBodytext"/>
              <w:rPr>
                <w:lang w:val="en-GB"/>
              </w:rPr>
            </w:pPr>
            <w:r>
              <w:rPr>
                <w:lang w:val="en-GB"/>
              </w:rPr>
              <w:t>C</w:t>
            </w:r>
            <w:r w:rsidR="001347BA" w:rsidRPr="006B7981">
              <w:rPr>
                <w:lang w:val="en-GB"/>
              </w:rPr>
              <w:t>arbon monoxide</w:t>
            </w:r>
          </w:p>
        </w:tc>
        <w:tc>
          <w:tcPr>
            <w:tcW w:w="1843" w:type="dxa"/>
            <w:shd w:val="clear" w:color="auto" w:fill="FFFFFF"/>
          </w:tcPr>
          <w:p w:rsidR="001347BA" w:rsidRPr="006B7981" w:rsidRDefault="00AA065D">
            <w:pPr>
              <w:pStyle w:val="CETBodytext"/>
              <w:rPr>
                <w:lang w:val="en-GB"/>
              </w:rPr>
            </w:pPr>
            <w:r>
              <w:rPr>
                <w:lang w:val="en-GB"/>
              </w:rPr>
              <w:t>E</w:t>
            </w:r>
            <w:r w:rsidR="001347BA" w:rsidRPr="006B7981">
              <w:rPr>
                <w:lang w:val="en-GB"/>
              </w:rPr>
              <w:t>thanol</w:t>
            </w:r>
          </w:p>
        </w:tc>
        <w:tc>
          <w:tcPr>
            <w:tcW w:w="1701" w:type="dxa"/>
            <w:shd w:val="clear" w:color="auto" w:fill="FFFFFF"/>
          </w:tcPr>
          <w:p w:rsidR="001347BA" w:rsidRPr="006B7981" w:rsidRDefault="00AA065D" w:rsidP="00156136">
            <w:pPr>
              <w:pStyle w:val="CETBodytext"/>
              <w:ind w:right="-1"/>
              <w:rPr>
                <w:rFonts w:cs="Arial"/>
                <w:szCs w:val="18"/>
                <w:lang w:val="en-GB"/>
              </w:rPr>
            </w:pPr>
            <w:r>
              <w:rPr>
                <w:rFonts w:cs="Arial"/>
                <w:szCs w:val="18"/>
                <w:lang w:val="en-GB"/>
              </w:rPr>
              <w:t>I</w:t>
            </w:r>
            <w:r w:rsidR="001347BA" w:rsidRPr="006B7981">
              <w:rPr>
                <w:rFonts w:cs="Arial"/>
                <w:szCs w:val="18"/>
                <w:lang w:val="en-GB"/>
              </w:rPr>
              <w:t>sopropanol</w:t>
            </w:r>
          </w:p>
        </w:tc>
      </w:tr>
      <w:tr w:rsidR="001347BA" w:rsidRPr="006B7981" w:rsidTr="00562902">
        <w:tc>
          <w:tcPr>
            <w:tcW w:w="1843" w:type="dxa"/>
            <w:shd w:val="clear" w:color="auto" w:fill="FFFFFF"/>
          </w:tcPr>
          <w:p w:rsidR="00562902" w:rsidRPr="006B7981" w:rsidRDefault="00AA065D" w:rsidP="0022138F">
            <w:pPr>
              <w:pStyle w:val="CETBodytext"/>
              <w:ind w:right="-1"/>
              <w:rPr>
                <w:rFonts w:cs="Arial"/>
                <w:szCs w:val="18"/>
                <w:lang w:val="en-GB"/>
              </w:rPr>
            </w:pPr>
            <w:r>
              <w:rPr>
                <w:rFonts w:cs="Arial"/>
                <w:szCs w:val="18"/>
                <w:lang w:val="en-GB"/>
              </w:rPr>
              <w:t>F</w:t>
            </w:r>
            <w:r w:rsidR="001347BA" w:rsidRPr="006B7981">
              <w:rPr>
                <w:rFonts w:cs="Arial"/>
                <w:szCs w:val="18"/>
                <w:lang w:val="en-GB"/>
              </w:rPr>
              <w:t>ormic acid</w:t>
            </w:r>
          </w:p>
        </w:tc>
        <w:tc>
          <w:tcPr>
            <w:tcW w:w="1843" w:type="dxa"/>
            <w:shd w:val="clear" w:color="auto" w:fill="FFFFFF"/>
          </w:tcPr>
          <w:p w:rsidR="001347BA" w:rsidRPr="006B7981" w:rsidRDefault="00AA065D">
            <w:pPr>
              <w:pStyle w:val="CETBodytext"/>
              <w:ind w:right="-1"/>
              <w:rPr>
                <w:rFonts w:cs="Arial"/>
                <w:szCs w:val="18"/>
                <w:lang w:val="en-GB"/>
              </w:rPr>
            </w:pPr>
            <w:r>
              <w:rPr>
                <w:rFonts w:cs="Arial"/>
                <w:szCs w:val="18"/>
                <w:lang w:val="en-GB"/>
              </w:rPr>
              <w:t>A</w:t>
            </w:r>
            <w:r w:rsidR="001347BA" w:rsidRPr="006B7981">
              <w:rPr>
                <w:rFonts w:cs="Arial"/>
                <w:szCs w:val="18"/>
                <w:lang w:val="en-GB"/>
              </w:rPr>
              <w:t>cetic acid</w:t>
            </w:r>
          </w:p>
        </w:tc>
        <w:tc>
          <w:tcPr>
            <w:tcW w:w="1701" w:type="dxa"/>
            <w:shd w:val="clear" w:color="auto" w:fill="FFFFFF"/>
          </w:tcPr>
          <w:p w:rsidR="001347BA" w:rsidRPr="006B7981" w:rsidRDefault="001347BA" w:rsidP="00156136">
            <w:pPr>
              <w:pStyle w:val="CETBodytext"/>
              <w:ind w:right="-1"/>
              <w:rPr>
                <w:rFonts w:cs="Arial"/>
                <w:szCs w:val="18"/>
                <w:lang w:val="en-GB"/>
              </w:rPr>
            </w:pPr>
          </w:p>
        </w:tc>
      </w:tr>
      <w:tr w:rsidR="001347BA" w:rsidRPr="006B7981" w:rsidTr="00562902">
        <w:tc>
          <w:tcPr>
            <w:tcW w:w="1843" w:type="dxa"/>
            <w:shd w:val="clear" w:color="auto" w:fill="FFFFFF"/>
          </w:tcPr>
          <w:p w:rsidR="001347BA" w:rsidRPr="006B7981" w:rsidRDefault="00AA065D" w:rsidP="0022138F">
            <w:pPr>
              <w:pStyle w:val="CETBodytext"/>
              <w:ind w:right="-1"/>
              <w:rPr>
                <w:rFonts w:cs="Arial"/>
                <w:szCs w:val="18"/>
                <w:lang w:val="en-GB"/>
              </w:rPr>
            </w:pPr>
            <w:r>
              <w:rPr>
                <w:rFonts w:cs="Arial"/>
                <w:szCs w:val="18"/>
                <w:lang w:val="en-GB"/>
              </w:rPr>
              <w:t>M</w:t>
            </w:r>
            <w:r w:rsidR="001347BA" w:rsidRPr="006B7981">
              <w:rPr>
                <w:rFonts w:cs="Arial"/>
                <w:szCs w:val="18"/>
                <w:lang w:val="en-GB"/>
              </w:rPr>
              <w:t>ethanol</w:t>
            </w:r>
          </w:p>
        </w:tc>
        <w:tc>
          <w:tcPr>
            <w:tcW w:w="1843" w:type="dxa"/>
            <w:shd w:val="clear" w:color="auto" w:fill="FFFFFF"/>
          </w:tcPr>
          <w:p w:rsidR="001347BA" w:rsidRPr="006B7981" w:rsidRDefault="00AA065D">
            <w:pPr>
              <w:pStyle w:val="CETBodytext"/>
              <w:ind w:right="-1"/>
              <w:rPr>
                <w:rFonts w:cs="Arial"/>
                <w:szCs w:val="18"/>
                <w:lang w:val="en-GB"/>
              </w:rPr>
            </w:pPr>
            <w:r>
              <w:rPr>
                <w:rFonts w:cs="Arial"/>
                <w:szCs w:val="18"/>
                <w:lang w:val="en-GB"/>
              </w:rPr>
              <w:t>O</w:t>
            </w:r>
            <w:r w:rsidR="001347BA" w:rsidRPr="006B7981">
              <w:rPr>
                <w:rFonts w:cs="Arial"/>
                <w:szCs w:val="18"/>
                <w:lang w:val="en-GB"/>
              </w:rPr>
              <w:t>xalic acid</w:t>
            </w:r>
          </w:p>
        </w:tc>
        <w:tc>
          <w:tcPr>
            <w:tcW w:w="1701" w:type="dxa"/>
            <w:shd w:val="clear" w:color="auto" w:fill="FFFFFF"/>
          </w:tcPr>
          <w:p w:rsidR="001347BA" w:rsidRPr="006B7981" w:rsidRDefault="001347BA" w:rsidP="00156136">
            <w:pPr>
              <w:pStyle w:val="CETBodytext"/>
              <w:ind w:right="-1"/>
              <w:rPr>
                <w:rFonts w:cs="Arial"/>
                <w:szCs w:val="18"/>
                <w:lang w:val="en-GB"/>
              </w:rPr>
            </w:pPr>
          </w:p>
        </w:tc>
      </w:tr>
    </w:tbl>
    <w:p w:rsidR="00A22145" w:rsidRPr="006B7981" w:rsidRDefault="00A22145" w:rsidP="00E80DC3">
      <w:pPr>
        <w:pStyle w:val="CETBodytext"/>
        <w:rPr>
          <w:lang w:val="en-GB"/>
        </w:rPr>
      </w:pPr>
    </w:p>
    <w:p w:rsidR="00556A9D" w:rsidRPr="006B7981" w:rsidRDefault="00556A9D" w:rsidP="00E80DC3">
      <w:pPr>
        <w:pStyle w:val="CETBodytext"/>
        <w:rPr>
          <w:lang w:val="en-GB"/>
        </w:rPr>
      </w:pPr>
    </w:p>
    <w:p w:rsidR="00DF4D5D" w:rsidRPr="006B7981" w:rsidRDefault="003C3ED2" w:rsidP="00322C64">
      <w:pPr>
        <w:pStyle w:val="CETBodytext"/>
        <w:rPr>
          <w:lang w:val="en-GB"/>
        </w:rPr>
      </w:pPr>
      <w:r w:rsidRPr="006B7981">
        <w:rPr>
          <w:lang w:val="en-GB"/>
        </w:rPr>
        <w:t>Both t</w:t>
      </w:r>
      <w:r w:rsidR="00A648C0" w:rsidRPr="006B7981">
        <w:rPr>
          <w:lang w:val="en-GB"/>
        </w:rPr>
        <w:t>he product distribution and yield strongly depend on the current density and applied potential.</w:t>
      </w:r>
      <w:r w:rsidR="00010D06" w:rsidRPr="006B7981">
        <w:rPr>
          <w:lang w:val="en-GB"/>
        </w:rPr>
        <w:t xml:space="preserve"> Figure </w:t>
      </w:r>
      <w:r w:rsidR="00420164">
        <w:rPr>
          <w:lang w:val="en-GB"/>
        </w:rPr>
        <w:t>4</w:t>
      </w:r>
      <w:r w:rsidR="00010D06" w:rsidRPr="006B7981">
        <w:rPr>
          <w:lang w:val="en-GB"/>
        </w:rPr>
        <w:t xml:space="preserve"> shows the </w:t>
      </w:r>
      <w:r w:rsidR="00DB29CB" w:rsidRPr="006B7981">
        <w:rPr>
          <w:lang w:val="en-GB"/>
        </w:rPr>
        <w:t xml:space="preserve">profiles of </w:t>
      </w:r>
      <w:r w:rsidR="00010D06" w:rsidRPr="006B7981">
        <w:rPr>
          <w:lang w:val="en-GB"/>
        </w:rPr>
        <w:t>production rate versus current density.</w:t>
      </w:r>
      <w:r w:rsidR="00322C64" w:rsidRPr="006B7981">
        <w:rPr>
          <w:lang w:val="en-GB"/>
        </w:rPr>
        <w:t xml:space="preserve"> </w:t>
      </w:r>
      <w:r w:rsidR="00420164">
        <w:rPr>
          <w:lang w:val="en-GB"/>
        </w:rPr>
        <w:t xml:space="preserve">All the points in the graph </w:t>
      </w:r>
      <w:r w:rsidR="007D3B0C">
        <w:rPr>
          <w:lang w:val="en-GB"/>
        </w:rPr>
        <w:t>have been obtained by</w:t>
      </w:r>
      <w:r w:rsidR="00420164">
        <w:rPr>
          <w:lang w:val="en-GB"/>
        </w:rPr>
        <w:t xml:space="preserve"> </w:t>
      </w:r>
      <w:r w:rsidR="007D3B0C">
        <w:rPr>
          <w:lang w:val="en-GB"/>
        </w:rPr>
        <w:t>calculating the a</w:t>
      </w:r>
      <w:r w:rsidR="00420164">
        <w:rPr>
          <w:lang w:val="en-GB"/>
        </w:rPr>
        <w:t>verag</w:t>
      </w:r>
      <w:r w:rsidR="007D3B0C">
        <w:rPr>
          <w:lang w:val="en-GB"/>
        </w:rPr>
        <w:t xml:space="preserve">e </w:t>
      </w:r>
      <w:r w:rsidR="00420164">
        <w:rPr>
          <w:lang w:val="en-GB"/>
        </w:rPr>
        <w:t>production rate</w:t>
      </w:r>
      <w:r w:rsidR="002E1CF6">
        <w:rPr>
          <w:lang w:val="en-GB"/>
        </w:rPr>
        <w:t>s</w:t>
      </w:r>
      <w:r w:rsidR="00420164">
        <w:rPr>
          <w:lang w:val="en-GB"/>
        </w:rPr>
        <w:t xml:space="preserve"> </w:t>
      </w:r>
      <w:r w:rsidR="002E1CF6">
        <w:rPr>
          <w:lang w:val="en-GB"/>
        </w:rPr>
        <w:t>from</w:t>
      </w:r>
      <w:r w:rsidR="00420164">
        <w:rPr>
          <w:lang w:val="en-GB"/>
        </w:rPr>
        <w:t xml:space="preserve"> three different tests</w:t>
      </w:r>
      <w:r w:rsidR="007D3B0C">
        <w:rPr>
          <w:lang w:val="en-GB"/>
        </w:rPr>
        <w:t xml:space="preserve"> (</w:t>
      </w:r>
      <w:r w:rsidR="00420164">
        <w:rPr>
          <w:lang w:val="en-GB"/>
        </w:rPr>
        <w:t>standard deviation less than 5 %</w:t>
      </w:r>
      <w:r w:rsidR="007D3B0C">
        <w:rPr>
          <w:lang w:val="en-GB"/>
        </w:rPr>
        <w:t>)</w:t>
      </w:r>
      <w:r w:rsidR="00420164">
        <w:rPr>
          <w:lang w:val="en-GB"/>
        </w:rPr>
        <w:t>.</w:t>
      </w:r>
    </w:p>
    <w:p w:rsidR="00C8718B" w:rsidRPr="006B7981" w:rsidRDefault="00573E37" w:rsidP="00E80DC3">
      <w:pPr>
        <w:pStyle w:val="CETBodytext"/>
        <w:rPr>
          <w:lang w:val="en-GB"/>
        </w:rPr>
      </w:pPr>
      <w:r w:rsidRPr="00573E37">
        <w:rPr>
          <w:lang w:val="en-GB"/>
        </w:rPr>
        <w:t xml:space="preserve"> </w:t>
      </w:r>
      <w:r w:rsidR="00DB5DFF" w:rsidRPr="00DB5DFF">
        <w:rPr>
          <w:noProof/>
          <w:lang w:val="it-IT" w:eastAsia="it-IT"/>
        </w:rPr>
        <w:drawing>
          <wp:inline distT="0" distB="0" distL="0" distR="0" wp14:anchorId="63925BC1" wp14:editId="00D6EF42">
            <wp:extent cx="5579745" cy="2254908"/>
            <wp:effectExtent l="0" t="0" r="1905" b="0"/>
            <wp:docPr id="103"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9745" cy="2254908"/>
                    </a:xfrm>
                    <a:prstGeom prst="rect">
                      <a:avLst/>
                    </a:prstGeom>
                    <a:noFill/>
                    <a:ln>
                      <a:noFill/>
                    </a:ln>
                  </pic:spPr>
                </pic:pic>
              </a:graphicData>
            </a:graphic>
          </wp:inline>
        </w:drawing>
      </w:r>
    </w:p>
    <w:p w:rsidR="00C8718B" w:rsidRPr="006B7981" w:rsidRDefault="00C8718B" w:rsidP="00C8718B">
      <w:pPr>
        <w:pStyle w:val="CETCaption"/>
      </w:pPr>
      <w:r w:rsidRPr="006B7981">
        <w:t xml:space="preserve">Figure </w:t>
      </w:r>
      <w:r w:rsidR="00573E37">
        <w:t>4</w:t>
      </w:r>
      <w:r w:rsidRPr="006B7981">
        <w:t>: Production rate vs. current density for a) H</w:t>
      </w:r>
      <w:r w:rsidRPr="006B7981">
        <w:rPr>
          <w:vertAlign w:val="subscript"/>
        </w:rPr>
        <w:t>2</w:t>
      </w:r>
      <w:r w:rsidRPr="006B7981">
        <w:t>, CO and formic acid and b) methanol and acetic acid.</w:t>
      </w:r>
    </w:p>
    <w:p w:rsidR="008302F3" w:rsidRPr="006B7981" w:rsidRDefault="008302F3" w:rsidP="00DF4D5D">
      <w:pPr>
        <w:pStyle w:val="CETBodytext"/>
        <w:rPr>
          <w:lang w:val="en-GB"/>
        </w:rPr>
      </w:pPr>
    </w:p>
    <w:p w:rsidR="00010D06" w:rsidRDefault="002E1CF6" w:rsidP="00E80DC3">
      <w:pPr>
        <w:pStyle w:val="CETBodytext"/>
        <w:rPr>
          <w:lang w:val="en-GB"/>
        </w:rPr>
      </w:pPr>
      <w:r w:rsidRPr="006B7981">
        <w:rPr>
          <w:lang w:val="en-GB"/>
        </w:rPr>
        <w:t xml:space="preserve">Formic acid and CO were the carbon products formed with the highest yield, especially at high current density (see Figure </w:t>
      </w:r>
      <w:r>
        <w:rPr>
          <w:lang w:val="en-GB"/>
        </w:rPr>
        <w:t>4</w:t>
      </w:r>
      <w:r w:rsidRPr="006B7981">
        <w:rPr>
          <w:lang w:val="en-GB"/>
        </w:rPr>
        <w:t>a).</w:t>
      </w:r>
      <w:r>
        <w:rPr>
          <w:lang w:val="en-GB"/>
        </w:rPr>
        <w:t xml:space="preserve"> </w:t>
      </w:r>
      <w:r w:rsidR="00DF4D5D" w:rsidRPr="006B7981">
        <w:rPr>
          <w:lang w:val="en-GB"/>
        </w:rPr>
        <w:t>Hydrogen evolution rate was also high and increased regularly with the current density, with a slight slowdown at 1.5 mA cm</w:t>
      </w:r>
      <w:r w:rsidR="00DF4D5D" w:rsidRPr="006B7981">
        <w:rPr>
          <w:vertAlign w:val="superscript"/>
          <w:lang w:val="en-GB"/>
        </w:rPr>
        <w:t>-2</w:t>
      </w:r>
      <w:r w:rsidR="00DF4D5D" w:rsidRPr="006B7981">
        <w:rPr>
          <w:lang w:val="en-GB"/>
        </w:rPr>
        <w:t xml:space="preserve">. At the same current density, </w:t>
      </w:r>
      <w:r w:rsidR="005A1395">
        <w:rPr>
          <w:lang w:val="en-GB"/>
        </w:rPr>
        <w:t xml:space="preserve">the </w:t>
      </w:r>
      <w:r w:rsidR="00DF4D5D" w:rsidRPr="006B7981">
        <w:rPr>
          <w:lang w:val="en-GB"/>
        </w:rPr>
        <w:t xml:space="preserve">methanol production rate reached a maximum, while </w:t>
      </w:r>
      <w:r w:rsidR="005A1395">
        <w:rPr>
          <w:lang w:val="en-GB"/>
        </w:rPr>
        <w:t xml:space="preserve">the </w:t>
      </w:r>
      <w:r w:rsidR="00DF4D5D" w:rsidRPr="006B7981">
        <w:rPr>
          <w:lang w:val="en-GB"/>
        </w:rPr>
        <w:t xml:space="preserve">formation of acetic acid decreased with </w:t>
      </w:r>
      <w:r w:rsidR="005A1395">
        <w:rPr>
          <w:lang w:val="en-GB"/>
        </w:rPr>
        <w:t xml:space="preserve">the </w:t>
      </w:r>
      <w:r w:rsidR="00DF4D5D" w:rsidRPr="006B7981">
        <w:rPr>
          <w:lang w:val="en-GB"/>
        </w:rPr>
        <w:t>current density (see Figure</w:t>
      </w:r>
      <w:r w:rsidR="00573E37">
        <w:rPr>
          <w:lang w:val="en-GB"/>
        </w:rPr>
        <w:t xml:space="preserve"> 4</w:t>
      </w:r>
      <w:r w:rsidR="00DF4D5D" w:rsidRPr="006B7981">
        <w:rPr>
          <w:lang w:val="en-GB"/>
        </w:rPr>
        <w:t>b).</w:t>
      </w:r>
      <w:r w:rsidR="00CF13C6">
        <w:rPr>
          <w:lang w:val="en-GB"/>
        </w:rPr>
        <w:t xml:space="preserve"> </w:t>
      </w:r>
      <w:r w:rsidR="00244A1B" w:rsidRPr="006B7981">
        <w:rPr>
          <w:lang w:val="en-GB"/>
        </w:rPr>
        <w:t xml:space="preserve">Furthermore, </w:t>
      </w:r>
      <w:r w:rsidR="00DF4D5D" w:rsidRPr="006B7981">
        <w:rPr>
          <w:lang w:val="en-GB"/>
        </w:rPr>
        <w:t>Faradaic Efficiency (FE) was</w:t>
      </w:r>
      <w:r w:rsidR="00244A1B" w:rsidRPr="006B7981">
        <w:rPr>
          <w:lang w:val="en-GB"/>
        </w:rPr>
        <w:t xml:space="preserve"> </w:t>
      </w:r>
      <w:r w:rsidR="00DF4D5D" w:rsidRPr="006B7981">
        <w:rPr>
          <w:lang w:val="en-GB"/>
        </w:rPr>
        <w:t xml:space="preserve">calculated by taking into account the number of electrons needed to form each </w:t>
      </w:r>
      <w:r w:rsidR="00244A1B" w:rsidRPr="006B7981">
        <w:rPr>
          <w:lang w:val="en-GB"/>
        </w:rPr>
        <w:t xml:space="preserve">reduction </w:t>
      </w:r>
      <w:r w:rsidR="00DF4D5D" w:rsidRPr="006B7981">
        <w:rPr>
          <w:lang w:val="en-GB"/>
        </w:rPr>
        <w:t>product</w:t>
      </w:r>
      <w:r w:rsidR="00244A1B" w:rsidRPr="006B7981">
        <w:rPr>
          <w:lang w:val="en-GB"/>
        </w:rPr>
        <w:t xml:space="preserve"> from</w:t>
      </w:r>
      <w:r w:rsidR="00DF4D5D" w:rsidRPr="006B7981">
        <w:rPr>
          <w:lang w:val="en-GB"/>
        </w:rPr>
        <w:t xml:space="preserve"> CO</w:t>
      </w:r>
      <w:r w:rsidR="00DF4D5D" w:rsidRPr="006B7981">
        <w:rPr>
          <w:vertAlign w:val="subscript"/>
          <w:lang w:val="en-GB"/>
        </w:rPr>
        <w:t>2</w:t>
      </w:r>
      <w:r w:rsidR="00DF4D5D" w:rsidRPr="006B7981">
        <w:rPr>
          <w:lang w:val="en-GB"/>
        </w:rPr>
        <w:t xml:space="preserve"> with respect to the provided electric current</w:t>
      </w:r>
      <w:r w:rsidR="009F681B" w:rsidRPr="006B7981">
        <w:rPr>
          <w:lang w:val="en-GB"/>
        </w:rPr>
        <w:t xml:space="preserve"> (Ampelli et al., 2017b)</w:t>
      </w:r>
      <w:r w:rsidR="00DF4D5D" w:rsidRPr="006B7981">
        <w:rPr>
          <w:lang w:val="en-GB"/>
        </w:rPr>
        <w:t xml:space="preserve">. Figure </w:t>
      </w:r>
      <w:r w:rsidR="00513508">
        <w:rPr>
          <w:lang w:val="en-GB"/>
        </w:rPr>
        <w:t>5</w:t>
      </w:r>
      <w:r w:rsidR="00DF4D5D" w:rsidRPr="006B7981">
        <w:rPr>
          <w:lang w:val="en-GB"/>
        </w:rPr>
        <w:t xml:space="preserve"> shows the product distribution expressed in terms of FE</w:t>
      </w:r>
      <w:r w:rsidR="0036249C" w:rsidRPr="006B7981">
        <w:rPr>
          <w:lang w:val="en-GB"/>
        </w:rPr>
        <w:t xml:space="preserve"> </w:t>
      </w:r>
      <w:r w:rsidR="00DF4D5D" w:rsidRPr="006B7981">
        <w:rPr>
          <w:lang w:val="en-GB"/>
        </w:rPr>
        <w:t>%.</w:t>
      </w:r>
      <w:r w:rsidR="00CF13C6">
        <w:rPr>
          <w:lang w:val="en-GB"/>
        </w:rPr>
        <w:t xml:space="preserve"> </w:t>
      </w:r>
      <w:r w:rsidR="00CF13C6" w:rsidRPr="00CF13C6">
        <w:rPr>
          <w:lang w:val="en-GB"/>
        </w:rPr>
        <w:t>All the values reported in</w:t>
      </w:r>
      <w:r w:rsidR="00CF13C6">
        <w:rPr>
          <w:lang w:val="en-GB"/>
        </w:rPr>
        <w:t xml:space="preserve"> Figures 4 and 5</w:t>
      </w:r>
      <w:r w:rsidR="00CF13C6" w:rsidRPr="00CF13C6">
        <w:rPr>
          <w:lang w:val="en-GB"/>
        </w:rPr>
        <w:t xml:space="preserve"> refer to average</w:t>
      </w:r>
      <w:r w:rsidR="001F73D6">
        <w:rPr>
          <w:lang w:val="en-GB"/>
        </w:rPr>
        <w:t>s</w:t>
      </w:r>
      <w:r w:rsidR="00CF13C6" w:rsidRPr="00CF13C6">
        <w:rPr>
          <w:lang w:val="en-GB"/>
        </w:rPr>
        <w:t xml:space="preserve"> from three different tests </w:t>
      </w:r>
      <w:r w:rsidR="001F73D6">
        <w:rPr>
          <w:lang w:val="en-GB"/>
        </w:rPr>
        <w:t>(the</w:t>
      </w:r>
      <w:r w:rsidR="00CF13C6" w:rsidRPr="00CF13C6">
        <w:rPr>
          <w:lang w:val="en-GB"/>
        </w:rPr>
        <w:t xml:space="preserve"> </w:t>
      </w:r>
      <w:r w:rsidR="001F73D6">
        <w:rPr>
          <w:lang w:val="en-GB"/>
        </w:rPr>
        <w:t>calculated</w:t>
      </w:r>
      <w:r w:rsidR="001F73D6" w:rsidRPr="00CF13C6">
        <w:rPr>
          <w:lang w:val="en-GB"/>
        </w:rPr>
        <w:t xml:space="preserve"> </w:t>
      </w:r>
      <w:r w:rsidR="00CF13C6" w:rsidRPr="00CF13C6">
        <w:rPr>
          <w:lang w:val="en-GB"/>
        </w:rPr>
        <w:t>standard deviation</w:t>
      </w:r>
      <w:r w:rsidR="001F73D6">
        <w:rPr>
          <w:lang w:val="en-GB"/>
        </w:rPr>
        <w:t xml:space="preserve"> is lower than 5 %).</w:t>
      </w:r>
    </w:p>
    <w:p w:rsidR="002E1CF6" w:rsidRDefault="002E1CF6" w:rsidP="00E80DC3">
      <w:pPr>
        <w:pStyle w:val="CETBodytext"/>
        <w:rPr>
          <w:lang w:val="en-GB"/>
        </w:rPr>
      </w:pPr>
    </w:p>
    <w:p w:rsidR="002E1CF6" w:rsidRPr="006B7981" w:rsidRDefault="002E1CF6" w:rsidP="00E80DC3">
      <w:pPr>
        <w:pStyle w:val="CETBodytext"/>
        <w:rPr>
          <w:lang w:val="en-GB"/>
        </w:rPr>
      </w:pPr>
    </w:p>
    <w:p w:rsidR="00010D06" w:rsidRPr="006B7981" w:rsidRDefault="00010D06" w:rsidP="00E80DC3">
      <w:pPr>
        <w:pStyle w:val="CETBodytext"/>
        <w:rPr>
          <w:lang w:val="en-GB"/>
        </w:rPr>
      </w:pPr>
    </w:p>
    <w:p w:rsidR="00C8718B" w:rsidRPr="006B7981" w:rsidRDefault="000602E6" w:rsidP="00E80DC3">
      <w:pPr>
        <w:pStyle w:val="CETBodytext"/>
        <w:rPr>
          <w:lang w:val="en-GB"/>
        </w:rPr>
      </w:pPr>
      <w:r w:rsidRPr="000602E6">
        <w:lastRenderedPageBreak/>
        <w:t xml:space="preserve"> </w:t>
      </w:r>
      <w:r w:rsidRPr="000602E6">
        <w:rPr>
          <w:noProof/>
          <w:lang w:val="it-IT" w:eastAsia="it-IT"/>
        </w:rPr>
        <w:drawing>
          <wp:inline distT="0" distB="0" distL="0" distR="0" wp14:anchorId="2B7C0701" wp14:editId="50256CA2">
            <wp:extent cx="5281684" cy="3159418"/>
            <wp:effectExtent l="0" t="0" r="0" b="3175"/>
            <wp:docPr id="102"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5917" cy="3161950"/>
                    </a:xfrm>
                    <a:prstGeom prst="rect">
                      <a:avLst/>
                    </a:prstGeom>
                    <a:noFill/>
                    <a:ln>
                      <a:noFill/>
                    </a:ln>
                  </pic:spPr>
                </pic:pic>
              </a:graphicData>
            </a:graphic>
          </wp:inline>
        </w:drawing>
      </w:r>
    </w:p>
    <w:p w:rsidR="006131F7" w:rsidRPr="006B7981" w:rsidRDefault="006131F7" w:rsidP="006131F7">
      <w:pPr>
        <w:pStyle w:val="CETCaption"/>
      </w:pPr>
      <w:r w:rsidRPr="006B7981">
        <w:t xml:space="preserve">Figure </w:t>
      </w:r>
      <w:r w:rsidR="00513508">
        <w:t>5</w:t>
      </w:r>
      <w:r w:rsidRPr="006B7981">
        <w:t>: Faradaic efficiency</w:t>
      </w:r>
      <w:r w:rsidR="0036249C" w:rsidRPr="006B7981">
        <w:t xml:space="preserve"> (%)</w:t>
      </w:r>
      <w:r w:rsidRPr="006B7981">
        <w:t xml:space="preserve"> vs. current density.</w:t>
      </w:r>
    </w:p>
    <w:p w:rsidR="00EE7FCB" w:rsidRPr="006B7981" w:rsidRDefault="00EE7FCB" w:rsidP="00EE7FCB">
      <w:pPr>
        <w:pStyle w:val="CETBodytext"/>
        <w:rPr>
          <w:lang w:val="en-GB"/>
        </w:rPr>
      </w:pPr>
    </w:p>
    <w:p w:rsidR="005C28B0" w:rsidRPr="006B7981" w:rsidRDefault="00DD6577" w:rsidP="005C28B0">
      <w:pPr>
        <w:pStyle w:val="CETBodytext"/>
        <w:rPr>
          <w:lang w:val="en-GB"/>
        </w:rPr>
      </w:pPr>
      <w:r w:rsidRPr="006B7981">
        <w:rPr>
          <w:lang w:val="en-GB"/>
        </w:rPr>
        <w:t xml:space="preserve">As it can be observed, the total Faradaic </w:t>
      </w:r>
      <w:r w:rsidR="005B7995">
        <w:rPr>
          <w:lang w:val="en-GB"/>
        </w:rPr>
        <w:t>E</w:t>
      </w:r>
      <w:r w:rsidR="005B7995" w:rsidRPr="006B7981">
        <w:rPr>
          <w:lang w:val="en-GB"/>
        </w:rPr>
        <w:t xml:space="preserve">fficiency </w:t>
      </w:r>
      <w:r w:rsidRPr="006B7981">
        <w:rPr>
          <w:lang w:val="en-GB"/>
        </w:rPr>
        <w:t xml:space="preserve">values are all ranging from 75 to almost 90 %, except when the current density </w:t>
      </w:r>
      <w:r w:rsidR="00972B69" w:rsidRPr="006B7981">
        <w:rPr>
          <w:lang w:val="en-GB"/>
        </w:rPr>
        <w:t>is</w:t>
      </w:r>
      <w:r w:rsidRPr="006B7981">
        <w:rPr>
          <w:lang w:val="en-GB"/>
        </w:rPr>
        <w:t xml:space="preserve"> very low (0.11 mA cm</w:t>
      </w:r>
      <w:r w:rsidRPr="006B7981">
        <w:rPr>
          <w:vertAlign w:val="superscript"/>
          <w:lang w:val="en-GB"/>
        </w:rPr>
        <w:t>-2</w:t>
      </w:r>
      <w:r w:rsidR="00972B69" w:rsidRPr="006B7981">
        <w:rPr>
          <w:lang w:val="en-GB"/>
        </w:rPr>
        <w:t xml:space="preserve">). At this current density, no </w:t>
      </w:r>
      <w:r w:rsidRPr="006B7981">
        <w:rPr>
          <w:lang w:val="en-GB"/>
        </w:rPr>
        <w:t xml:space="preserve">hydrogen was detected, </w:t>
      </w:r>
      <w:r w:rsidR="00972B69" w:rsidRPr="006B7981">
        <w:rPr>
          <w:lang w:val="en-GB"/>
        </w:rPr>
        <w:t xml:space="preserve">as the applied voltage (-0.5 V vs. Ag/AgCl) was not sufficient to activate water reduction. However, </w:t>
      </w:r>
      <w:r w:rsidR="00105E95" w:rsidRPr="006B7981">
        <w:rPr>
          <w:lang w:val="en-GB"/>
        </w:rPr>
        <w:t>under</w:t>
      </w:r>
      <w:r w:rsidR="00972B69" w:rsidRPr="006B7981">
        <w:rPr>
          <w:lang w:val="en-GB"/>
        </w:rPr>
        <w:t xml:space="preserve"> industrial </w:t>
      </w:r>
      <w:r w:rsidR="00C55430" w:rsidRPr="006B7981">
        <w:rPr>
          <w:lang w:val="en-GB"/>
        </w:rPr>
        <w:t xml:space="preserve">relevant </w:t>
      </w:r>
      <w:r w:rsidR="00972B69" w:rsidRPr="006B7981">
        <w:rPr>
          <w:lang w:val="en-GB"/>
        </w:rPr>
        <w:t>conditions (10 mA cm</w:t>
      </w:r>
      <w:r w:rsidR="00972B69" w:rsidRPr="006B7981">
        <w:rPr>
          <w:vertAlign w:val="superscript"/>
          <w:lang w:val="en-GB"/>
        </w:rPr>
        <w:t>-2</w:t>
      </w:r>
      <w:r w:rsidR="00972B69" w:rsidRPr="006B7981">
        <w:rPr>
          <w:lang w:val="en-GB"/>
        </w:rPr>
        <w:t xml:space="preserve">), the carbon Faradaic selectivity was quite high (27.4 %), </w:t>
      </w:r>
      <w:r w:rsidR="001142E6" w:rsidRPr="006B7981">
        <w:rPr>
          <w:lang w:val="en-GB"/>
        </w:rPr>
        <w:t>indicating Cu NPs-CNTs/GDL as a promising electrocatalyst for CO</w:t>
      </w:r>
      <w:r w:rsidR="001142E6" w:rsidRPr="006B7981">
        <w:rPr>
          <w:vertAlign w:val="subscript"/>
          <w:lang w:val="en-GB"/>
        </w:rPr>
        <w:t>2</w:t>
      </w:r>
      <w:r w:rsidR="001142E6" w:rsidRPr="006B7981">
        <w:rPr>
          <w:lang w:val="en-GB"/>
        </w:rPr>
        <w:t xml:space="preserve"> reduction process.</w:t>
      </w:r>
      <w:r w:rsidR="00F47634" w:rsidRPr="006B7981">
        <w:rPr>
          <w:lang w:val="en-GB"/>
        </w:rPr>
        <w:t xml:space="preserve"> The values of FE for all the products have been summarized </w:t>
      </w:r>
      <w:r w:rsidR="005C28B0" w:rsidRPr="006B7981">
        <w:rPr>
          <w:lang w:val="en-GB"/>
        </w:rPr>
        <w:t>in Table 2, confirming</w:t>
      </w:r>
      <w:r w:rsidR="0056151A" w:rsidRPr="006B7981">
        <w:rPr>
          <w:lang w:val="en-GB"/>
        </w:rPr>
        <w:t xml:space="preserve"> that f</w:t>
      </w:r>
      <w:r w:rsidR="005C28B0" w:rsidRPr="006B7981">
        <w:rPr>
          <w:lang w:val="en-GB"/>
        </w:rPr>
        <w:t>ormic acid was</w:t>
      </w:r>
      <w:r w:rsidR="0056151A" w:rsidRPr="006B7981">
        <w:rPr>
          <w:lang w:val="en-GB"/>
        </w:rPr>
        <w:t xml:space="preserve"> the main carbon product formed, while c</w:t>
      </w:r>
      <w:r w:rsidR="005C28B0" w:rsidRPr="006B7981">
        <w:rPr>
          <w:lang w:val="en-GB"/>
        </w:rPr>
        <w:t>arbon monoxide start</w:t>
      </w:r>
      <w:r w:rsidR="0056151A" w:rsidRPr="006B7981">
        <w:rPr>
          <w:lang w:val="en-GB"/>
        </w:rPr>
        <w:t>ed</w:t>
      </w:r>
      <w:r w:rsidR="005C28B0" w:rsidRPr="006B7981">
        <w:rPr>
          <w:lang w:val="en-GB"/>
        </w:rPr>
        <w:t xml:space="preserve"> to form at </w:t>
      </w:r>
      <w:r w:rsidR="0056151A" w:rsidRPr="006B7981">
        <w:rPr>
          <w:lang w:val="en-GB"/>
        </w:rPr>
        <w:t>2.25 mA cm</w:t>
      </w:r>
      <w:r w:rsidR="0056151A" w:rsidRPr="006B7981">
        <w:rPr>
          <w:vertAlign w:val="superscript"/>
          <w:lang w:val="en-GB"/>
        </w:rPr>
        <w:t>-2</w:t>
      </w:r>
      <w:r w:rsidR="005C28B0" w:rsidRPr="006B7981">
        <w:rPr>
          <w:lang w:val="en-GB"/>
        </w:rPr>
        <w:t xml:space="preserve"> </w:t>
      </w:r>
      <w:r w:rsidR="0056151A" w:rsidRPr="006B7981">
        <w:rPr>
          <w:lang w:val="en-GB"/>
        </w:rPr>
        <w:t xml:space="preserve">and </w:t>
      </w:r>
      <w:r w:rsidR="005C28B0" w:rsidRPr="006B7981">
        <w:rPr>
          <w:lang w:val="en-GB"/>
        </w:rPr>
        <w:t>bec</w:t>
      </w:r>
      <w:r w:rsidR="0056151A" w:rsidRPr="006B7981">
        <w:rPr>
          <w:lang w:val="en-GB"/>
        </w:rPr>
        <w:t xml:space="preserve">ame </w:t>
      </w:r>
      <w:r w:rsidR="005C28B0" w:rsidRPr="006B7981">
        <w:rPr>
          <w:lang w:val="en-GB"/>
        </w:rPr>
        <w:t xml:space="preserve">even higher than formic acid </w:t>
      </w:r>
      <w:r w:rsidR="0056151A" w:rsidRPr="006B7981">
        <w:rPr>
          <w:lang w:val="en-GB"/>
        </w:rPr>
        <w:t>at 10 mA cm</w:t>
      </w:r>
      <w:r w:rsidR="0056151A" w:rsidRPr="006B7981">
        <w:rPr>
          <w:vertAlign w:val="superscript"/>
          <w:lang w:val="en-GB"/>
        </w:rPr>
        <w:t>-2</w:t>
      </w:r>
      <w:r w:rsidR="005C28B0" w:rsidRPr="006B7981">
        <w:rPr>
          <w:lang w:val="en-GB"/>
        </w:rPr>
        <w:t>.</w:t>
      </w:r>
    </w:p>
    <w:p w:rsidR="00972B69" w:rsidRPr="006B7981" w:rsidRDefault="00B15CCF" w:rsidP="005C28B0">
      <w:pPr>
        <w:pStyle w:val="CETBodytext"/>
        <w:rPr>
          <w:lang w:val="en-GB"/>
        </w:rPr>
      </w:pPr>
      <w:r w:rsidRPr="006B7981">
        <w:rPr>
          <w:lang w:val="en-GB"/>
        </w:rPr>
        <w:t>However, a</w:t>
      </w:r>
      <w:r w:rsidR="005C28B0" w:rsidRPr="006B7981">
        <w:rPr>
          <w:lang w:val="en-GB"/>
        </w:rPr>
        <w:t xml:space="preserve">t low </w:t>
      </w:r>
      <w:r w:rsidRPr="006B7981">
        <w:rPr>
          <w:lang w:val="en-GB"/>
        </w:rPr>
        <w:t>current density</w:t>
      </w:r>
      <w:r w:rsidR="005C28B0" w:rsidRPr="006B7981">
        <w:rPr>
          <w:lang w:val="en-GB"/>
        </w:rPr>
        <w:t xml:space="preserve"> the product distribution is quite different: methanol, ethanol and isopropanol (especially at </w:t>
      </w:r>
      <w:r w:rsidRPr="006B7981">
        <w:rPr>
          <w:lang w:val="en-GB"/>
        </w:rPr>
        <w:t>0.25 mA cm</w:t>
      </w:r>
      <w:r w:rsidRPr="006B7981">
        <w:rPr>
          <w:vertAlign w:val="superscript"/>
          <w:lang w:val="en-GB"/>
        </w:rPr>
        <w:t>-2</w:t>
      </w:r>
      <w:r w:rsidRPr="006B7981">
        <w:rPr>
          <w:lang w:val="en-GB"/>
        </w:rPr>
        <w:t xml:space="preserve">, corresponding to </w:t>
      </w:r>
      <w:r w:rsidR="00F728A4" w:rsidRPr="006B7981">
        <w:rPr>
          <w:lang w:val="en-GB"/>
        </w:rPr>
        <w:t>-</w:t>
      </w:r>
      <w:r w:rsidRPr="006B7981">
        <w:rPr>
          <w:lang w:val="en-GB"/>
        </w:rPr>
        <w:t>1.0 V vs. Ag/AgCl)</w:t>
      </w:r>
      <w:r w:rsidR="005C28B0" w:rsidRPr="006B7981">
        <w:rPr>
          <w:lang w:val="en-GB"/>
        </w:rPr>
        <w:t xml:space="preserve"> were formed</w:t>
      </w:r>
      <w:r w:rsidRPr="006B7981">
        <w:rPr>
          <w:lang w:val="en-GB"/>
        </w:rPr>
        <w:t xml:space="preserve">, while acetic acid and oxalic acid were produced at </w:t>
      </w:r>
      <w:r w:rsidR="00A1579E">
        <w:rPr>
          <w:lang w:val="en-GB"/>
        </w:rPr>
        <w:t>-</w:t>
      </w:r>
      <w:r w:rsidRPr="006B7981">
        <w:rPr>
          <w:lang w:val="en-GB"/>
        </w:rPr>
        <w:t>0.5 V vs. Ag/AgCl (0.11 mA cm</w:t>
      </w:r>
      <w:r w:rsidRPr="006B7981">
        <w:rPr>
          <w:vertAlign w:val="superscript"/>
          <w:lang w:val="en-GB"/>
        </w:rPr>
        <w:t>-2</w:t>
      </w:r>
      <w:r w:rsidRPr="006B7981">
        <w:rPr>
          <w:lang w:val="en-GB"/>
        </w:rPr>
        <w:t xml:space="preserve">). </w:t>
      </w:r>
      <w:r w:rsidR="005C28B0" w:rsidRPr="006B7981">
        <w:rPr>
          <w:lang w:val="en-GB"/>
        </w:rPr>
        <w:t>These are examples of products involving C-C bond formation</w:t>
      </w:r>
      <w:r w:rsidR="009F681B" w:rsidRPr="006B7981">
        <w:rPr>
          <w:lang w:val="en-GB"/>
        </w:rPr>
        <w:t xml:space="preserve"> (Genovese et al., 2013).</w:t>
      </w:r>
    </w:p>
    <w:p w:rsidR="008302F3" w:rsidRPr="006B7981" w:rsidRDefault="008302F3" w:rsidP="005C28B0">
      <w:pPr>
        <w:pStyle w:val="CETBodytext"/>
        <w:rPr>
          <w:lang w:val="en-GB"/>
        </w:rPr>
      </w:pPr>
    </w:p>
    <w:p w:rsidR="00EE7FCB" w:rsidRPr="006B7981" w:rsidRDefault="00EE7FCB" w:rsidP="00EE7FCB">
      <w:pPr>
        <w:pStyle w:val="CETTabletitle"/>
      </w:pPr>
      <w:r w:rsidRPr="006B7981">
        <w:t xml:space="preserve">Table 2: Faradaic </w:t>
      </w:r>
      <w:r w:rsidR="005B7995">
        <w:t>E</w:t>
      </w:r>
      <w:r w:rsidRPr="006B7981">
        <w:t>fficiency</w:t>
      </w:r>
      <w:r w:rsidR="005B7995">
        <w:t xml:space="preserve"> (FE)</w:t>
      </w:r>
      <w:r w:rsidRPr="006B7981">
        <w:t xml:space="preserve"> for all the CO</w:t>
      </w:r>
      <w:r w:rsidRPr="006B7981">
        <w:rPr>
          <w:vertAlign w:val="subscript"/>
        </w:rPr>
        <w:t>2</w:t>
      </w:r>
      <w:r w:rsidRPr="006B7981">
        <w:t xml:space="preserve"> reduction products at different current densit</w:t>
      </w:r>
      <w:r w:rsidR="00BE7525" w:rsidRPr="006B7981">
        <w:t>ies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1086"/>
        <w:gridCol w:w="1087"/>
        <w:gridCol w:w="1086"/>
        <w:gridCol w:w="1087"/>
        <w:gridCol w:w="1086"/>
        <w:gridCol w:w="1087"/>
      </w:tblGrid>
      <w:tr w:rsidR="00A22145" w:rsidRPr="006B7981" w:rsidTr="00A22145">
        <w:tc>
          <w:tcPr>
            <w:tcW w:w="2268" w:type="dxa"/>
            <w:tcBorders>
              <w:top w:val="single" w:sz="12" w:space="0" w:color="008000"/>
              <w:bottom w:val="nil"/>
            </w:tcBorders>
            <w:shd w:val="clear" w:color="auto" w:fill="FFFFFF"/>
          </w:tcPr>
          <w:p w:rsidR="00A22145" w:rsidRPr="006B7981" w:rsidRDefault="00A22145" w:rsidP="00AD7123">
            <w:pPr>
              <w:pStyle w:val="CETBodytext"/>
              <w:rPr>
                <w:i/>
                <w:lang w:val="en-GB"/>
              </w:rPr>
            </w:pPr>
          </w:p>
        </w:tc>
        <w:tc>
          <w:tcPr>
            <w:tcW w:w="6519" w:type="dxa"/>
            <w:gridSpan w:val="6"/>
            <w:tcBorders>
              <w:top w:val="single" w:sz="12" w:space="0" w:color="008000"/>
              <w:bottom w:val="nil"/>
            </w:tcBorders>
            <w:shd w:val="clear" w:color="auto" w:fill="FFFFFF"/>
          </w:tcPr>
          <w:p w:rsidR="00A22145" w:rsidRPr="006B7981" w:rsidRDefault="00A22145" w:rsidP="00AD7123">
            <w:pPr>
              <w:pStyle w:val="CETBodytext"/>
              <w:jc w:val="center"/>
              <w:rPr>
                <w:rFonts w:cs="Arial"/>
                <w:szCs w:val="18"/>
                <w:lang w:val="en-GB"/>
              </w:rPr>
            </w:pPr>
            <w:r w:rsidRPr="006B7981">
              <w:rPr>
                <w:rFonts w:cs="Arial"/>
                <w:szCs w:val="18"/>
                <w:lang w:val="en-GB"/>
              </w:rPr>
              <w:t>Faradaic Efficiency (%)</w:t>
            </w:r>
          </w:p>
        </w:tc>
      </w:tr>
      <w:tr w:rsidR="00A22145" w:rsidRPr="006B7981" w:rsidTr="00AD7123">
        <w:tc>
          <w:tcPr>
            <w:tcW w:w="2268" w:type="dxa"/>
            <w:tcBorders>
              <w:top w:val="nil"/>
              <w:bottom w:val="single" w:sz="6" w:space="0" w:color="008000"/>
            </w:tcBorders>
            <w:shd w:val="clear" w:color="auto" w:fill="FFFFFF"/>
          </w:tcPr>
          <w:p w:rsidR="00A22145" w:rsidRPr="006B7981" w:rsidRDefault="00C024C0" w:rsidP="0022138F">
            <w:pPr>
              <w:pStyle w:val="CETBodytext"/>
              <w:rPr>
                <w:i/>
                <w:lang w:val="en-GB"/>
              </w:rPr>
            </w:pPr>
            <w:r>
              <w:rPr>
                <w:i/>
                <w:lang w:val="en-GB"/>
              </w:rPr>
              <w:t>C</w:t>
            </w:r>
            <w:r w:rsidR="00A22145" w:rsidRPr="006B7981">
              <w:rPr>
                <w:i/>
                <w:lang w:val="en-GB"/>
              </w:rPr>
              <w:t>urrent density, mA cm</w:t>
            </w:r>
            <w:r w:rsidR="00A22145" w:rsidRPr="006B7981">
              <w:rPr>
                <w:i/>
                <w:vertAlign w:val="superscript"/>
                <w:lang w:val="en-GB"/>
              </w:rPr>
              <w:t>-2</w:t>
            </w:r>
          </w:p>
        </w:tc>
        <w:tc>
          <w:tcPr>
            <w:tcW w:w="1086" w:type="dxa"/>
            <w:tcBorders>
              <w:top w:val="nil"/>
              <w:bottom w:val="single" w:sz="6" w:space="0" w:color="008000"/>
            </w:tcBorders>
            <w:shd w:val="clear" w:color="auto" w:fill="FFFFFF"/>
          </w:tcPr>
          <w:p w:rsidR="00A22145" w:rsidRPr="006B7981" w:rsidRDefault="00A22145" w:rsidP="00AD7123">
            <w:pPr>
              <w:pStyle w:val="CETBodytext"/>
              <w:rPr>
                <w:i/>
                <w:lang w:val="en-GB"/>
              </w:rPr>
            </w:pPr>
            <w:r w:rsidRPr="006B7981">
              <w:rPr>
                <w:i/>
                <w:lang w:val="en-GB"/>
              </w:rPr>
              <w:t>0.11</w:t>
            </w:r>
          </w:p>
        </w:tc>
        <w:tc>
          <w:tcPr>
            <w:tcW w:w="1087" w:type="dxa"/>
            <w:tcBorders>
              <w:top w:val="nil"/>
              <w:bottom w:val="single" w:sz="6" w:space="0" w:color="008000"/>
            </w:tcBorders>
            <w:shd w:val="clear" w:color="auto" w:fill="FFFFFF"/>
          </w:tcPr>
          <w:p w:rsidR="00A22145" w:rsidRPr="006B7981" w:rsidRDefault="00A22145" w:rsidP="00AD7123">
            <w:pPr>
              <w:pStyle w:val="CETBodytext"/>
              <w:ind w:right="-1"/>
              <w:rPr>
                <w:rFonts w:cs="Arial"/>
                <w:i/>
                <w:szCs w:val="18"/>
                <w:lang w:val="en-GB"/>
              </w:rPr>
            </w:pPr>
            <w:r w:rsidRPr="006B7981">
              <w:rPr>
                <w:rFonts w:cs="Arial"/>
                <w:i/>
                <w:szCs w:val="18"/>
                <w:lang w:val="en-GB"/>
              </w:rPr>
              <w:t>0.25</w:t>
            </w:r>
          </w:p>
        </w:tc>
        <w:tc>
          <w:tcPr>
            <w:tcW w:w="1086" w:type="dxa"/>
            <w:tcBorders>
              <w:top w:val="nil"/>
              <w:bottom w:val="single" w:sz="6" w:space="0" w:color="008000"/>
            </w:tcBorders>
            <w:shd w:val="clear" w:color="auto" w:fill="FFFFFF"/>
          </w:tcPr>
          <w:p w:rsidR="00A22145" w:rsidRPr="006B7981" w:rsidRDefault="00A22145" w:rsidP="00AD7123">
            <w:pPr>
              <w:pStyle w:val="CETBodytext"/>
              <w:ind w:right="-1"/>
              <w:rPr>
                <w:rFonts w:cs="Arial"/>
                <w:i/>
                <w:szCs w:val="18"/>
                <w:lang w:val="en-GB"/>
              </w:rPr>
            </w:pPr>
            <w:r w:rsidRPr="006B7981">
              <w:rPr>
                <w:rFonts w:cs="Arial"/>
                <w:i/>
                <w:szCs w:val="18"/>
                <w:lang w:val="en-GB"/>
              </w:rPr>
              <w:t>0.59</w:t>
            </w:r>
          </w:p>
        </w:tc>
        <w:tc>
          <w:tcPr>
            <w:tcW w:w="1087" w:type="dxa"/>
            <w:tcBorders>
              <w:top w:val="nil"/>
              <w:bottom w:val="single" w:sz="6" w:space="0" w:color="008000"/>
            </w:tcBorders>
            <w:shd w:val="clear" w:color="auto" w:fill="FFFFFF"/>
          </w:tcPr>
          <w:p w:rsidR="00A22145" w:rsidRPr="006B7981" w:rsidRDefault="00A22145" w:rsidP="00AD7123">
            <w:pPr>
              <w:pStyle w:val="CETBodytext"/>
              <w:ind w:right="-1"/>
              <w:rPr>
                <w:rFonts w:cs="Arial"/>
                <w:i/>
                <w:szCs w:val="18"/>
                <w:lang w:val="en-GB"/>
              </w:rPr>
            </w:pPr>
            <w:r w:rsidRPr="006B7981">
              <w:rPr>
                <w:rFonts w:cs="Arial"/>
                <w:i/>
                <w:szCs w:val="18"/>
                <w:lang w:val="en-GB"/>
              </w:rPr>
              <w:t>1.49</w:t>
            </w:r>
          </w:p>
        </w:tc>
        <w:tc>
          <w:tcPr>
            <w:tcW w:w="1086" w:type="dxa"/>
            <w:tcBorders>
              <w:top w:val="nil"/>
              <w:bottom w:val="single" w:sz="6" w:space="0" w:color="008000"/>
            </w:tcBorders>
            <w:shd w:val="clear" w:color="auto" w:fill="FFFFFF"/>
          </w:tcPr>
          <w:p w:rsidR="00A22145" w:rsidRPr="006B7981" w:rsidRDefault="00A22145" w:rsidP="00AD7123">
            <w:pPr>
              <w:pStyle w:val="CETBodytext"/>
              <w:ind w:right="-1"/>
              <w:rPr>
                <w:rFonts w:cs="Arial"/>
                <w:i/>
                <w:szCs w:val="18"/>
                <w:lang w:val="en-GB"/>
              </w:rPr>
            </w:pPr>
            <w:r w:rsidRPr="006B7981">
              <w:rPr>
                <w:rFonts w:cs="Arial"/>
                <w:i/>
                <w:szCs w:val="18"/>
                <w:lang w:val="en-GB"/>
              </w:rPr>
              <w:t>2.25</w:t>
            </w:r>
          </w:p>
        </w:tc>
        <w:tc>
          <w:tcPr>
            <w:tcW w:w="1087" w:type="dxa"/>
            <w:tcBorders>
              <w:top w:val="nil"/>
              <w:bottom w:val="single" w:sz="6" w:space="0" w:color="008000"/>
            </w:tcBorders>
            <w:shd w:val="clear" w:color="auto" w:fill="FFFFFF"/>
          </w:tcPr>
          <w:p w:rsidR="00A22145" w:rsidRPr="006B7981" w:rsidRDefault="00A22145" w:rsidP="00AD7123">
            <w:pPr>
              <w:pStyle w:val="CETBodytext"/>
              <w:ind w:right="-1"/>
              <w:rPr>
                <w:rFonts w:cs="Arial"/>
                <w:i/>
                <w:szCs w:val="18"/>
                <w:lang w:val="en-GB"/>
              </w:rPr>
            </w:pPr>
            <w:r w:rsidRPr="006B7981">
              <w:rPr>
                <w:rFonts w:cs="Arial"/>
                <w:i/>
                <w:szCs w:val="18"/>
                <w:lang w:val="en-GB"/>
              </w:rPr>
              <w:t>10.0</w:t>
            </w:r>
          </w:p>
        </w:tc>
      </w:tr>
      <w:tr w:rsidR="00A22145" w:rsidRPr="006B7981" w:rsidTr="00AD7123">
        <w:tc>
          <w:tcPr>
            <w:tcW w:w="2268" w:type="dxa"/>
            <w:shd w:val="clear" w:color="auto" w:fill="FFFFFF"/>
          </w:tcPr>
          <w:p w:rsidR="00A22145" w:rsidRPr="006B7981" w:rsidRDefault="00C024C0" w:rsidP="00AD7123">
            <w:pPr>
              <w:pStyle w:val="CETBodytext"/>
              <w:rPr>
                <w:lang w:val="en-GB"/>
              </w:rPr>
            </w:pPr>
            <w:r>
              <w:rPr>
                <w:lang w:val="en-GB"/>
              </w:rPr>
              <w:t>C</w:t>
            </w:r>
            <w:r w:rsidR="00A22145" w:rsidRPr="006B7981">
              <w:rPr>
                <w:lang w:val="en-GB"/>
              </w:rPr>
              <w:t>arbon monoxide</w:t>
            </w:r>
          </w:p>
        </w:tc>
        <w:tc>
          <w:tcPr>
            <w:tcW w:w="1086" w:type="dxa"/>
            <w:shd w:val="clear" w:color="auto" w:fill="FFFFFF"/>
          </w:tcPr>
          <w:p w:rsidR="00A22145" w:rsidRPr="006B7981" w:rsidRDefault="00A22145" w:rsidP="00AD7123">
            <w:pPr>
              <w:pStyle w:val="CETBodytext"/>
              <w:rPr>
                <w:lang w:val="en-GB"/>
              </w:rPr>
            </w:pPr>
            <w:r w:rsidRPr="006B7981">
              <w:rPr>
                <w:lang w:val="en-GB"/>
              </w:rPr>
              <w:t>-</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0.57</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14.7</w:t>
            </w:r>
          </w:p>
        </w:tc>
      </w:tr>
      <w:tr w:rsidR="00A22145" w:rsidRPr="006B7981" w:rsidTr="00AD7123">
        <w:tc>
          <w:tcPr>
            <w:tcW w:w="2268" w:type="dxa"/>
            <w:shd w:val="clear" w:color="auto" w:fill="FFFFFF"/>
          </w:tcPr>
          <w:p w:rsidR="00A22145" w:rsidRPr="006B7981" w:rsidRDefault="00C024C0" w:rsidP="00AD7123">
            <w:pPr>
              <w:pStyle w:val="CETBodytext"/>
              <w:ind w:right="-1"/>
              <w:rPr>
                <w:rFonts w:cs="Arial"/>
                <w:szCs w:val="18"/>
                <w:lang w:val="en-GB"/>
              </w:rPr>
            </w:pPr>
            <w:r>
              <w:rPr>
                <w:rFonts w:cs="Arial"/>
                <w:szCs w:val="18"/>
                <w:lang w:val="en-GB"/>
              </w:rPr>
              <w:t>F</w:t>
            </w:r>
            <w:r w:rsidR="00A22145" w:rsidRPr="006B7981">
              <w:rPr>
                <w:rFonts w:cs="Arial"/>
                <w:szCs w:val="18"/>
                <w:lang w:val="en-GB"/>
              </w:rPr>
              <w:t>ormic acid</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7.9</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0.26</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3.9</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16.5</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19.7</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11.4</w:t>
            </w:r>
          </w:p>
        </w:tc>
      </w:tr>
      <w:tr w:rsidR="00A22145" w:rsidRPr="006B7981" w:rsidTr="00AD7123">
        <w:tc>
          <w:tcPr>
            <w:tcW w:w="2268" w:type="dxa"/>
            <w:shd w:val="clear" w:color="auto" w:fill="FFFFFF"/>
          </w:tcPr>
          <w:p w:rsidR="00A22145" w:rsidRPr="006B7981" w:rsidRDefault="00C024C0" w:rsidP="00AD7123">
            <w:pPr>
              <w:pStyle w:val="CETBodytext"/>
              <w:ind w:right="-1"/>
              <w:rPr>
                <w:rFonts w:cs="Arial"/>
                <w:szCs w:val="18"/>
                <w:lang w:val="en-GB"/>
              </w:rPr>
            </w:pPr>
            <w:r>
              <w:rPr>
                <w:rFonts w:cs="Arial"/>
                <w:szCs w:val="18"/>
                <w:lang w:val="en-GB"/>
              </w:rPr>
              <w:t>M</w:t>
            </w:r>
            <w:r w:rsidR="00A22145" w:rsidRPr="006B7981">
              <w:rPr>
                <w:rFonts w:cs="Arial"/>
                <w:szCs w:val="18"/>
                <w:lang w:val="en-GB"/>
              </w:rPr>
              <w:t>ethanol</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5.5</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3.7</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2.9</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0.88</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0.08</w:t>
            </w:r>
          </w:p>
        </w:tc>
      </w:tr>
      <w:tr w:rsidR="00A22145" w:rsidRPr="006B7981" w:rsidTr="00AD7123">
        <w:tc>
          <w:tcPr>
            <w:tcW w:w="2268" w:type="dxa"/>
            <w:shd w:val="clear" w:color="auto" w:fill="FFFFFF"/>
          </w:tcPr>
          <w:p w:rsidR="00A22145" w:rsidRPr="006B7981" w:rsidRDefault="00C024C0" w:rsidP="00AD7123">
            <w:pPr>
              <w:pStyle w:val="CETBodytext"/>
              <w:ind w:right="-1"/>
              <w:rPr>
                <w:rFonts w:cs="Arial"/>
                <w:szCs w:val="18"/>
                <w:lang w:val="en-GB"/>
              </w:rPr>
            </w:pPr>
            <w:r>
              <w:rPr>
                <w:lang w:val="en-GB"/>
              </w:rPr>
              <w:t>E</w:t>
            </w:r>
            <w:r w:rsidR="00A22145" w:rsidRPr="006B7981">
              <w:rPr>
                <w:lang w:val="en-GB"/>
              </w:rPr>
              <w:t>thanol</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8.0</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2.9</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0.57</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2.0</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0.25</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0.26</w:t>
            </w:r>
          </w:p>
        </w:tc>
      </w:tr>
      <w:tr w:rsidR="00A22145" w:rsidRPr="006B7981" w:rsidTr="00AD7123">
        <w:tc>
          <w:tcPr>
            <w:tcW w:w="2268" w:type="dxa"/>
            <w:shd w:val="clear" w:color="auto" w:fill="FFFFFF"/>
          </w:tcPr>
          <w:p w:rsidR="00A22145" w:rsidRPr="006B7981" w:rsidRDefault="00C024C0" w:rsidP="00AD7123">
            <w:pPr>
              <w:pStyle w:val="CETBodytext"/>
              <w:ind w:right="-1"/>
              <w:rPr>
                <w:rFonts w:cs="Arial"/>
                <w:szCs w:val="18"/>
                <w:lang w:val="en-GB"/>
              </w:rPr>
            </w:pPr>
            <w:r>
              <w:rPr>
                <w:rFonts w:cs="Arial"/>
                <w:szCs w:val="18"/>
                <w:lang w:val="en-GB"/>
              </w:rPr>
              <w:t>A</w:t>
            </w:r>
            <w:r w:rsidR="00A22145" w:rsidRPr="006B7981">
              <w:rPr>
                <w:rFonts w:cs="Arial"/>
                <w:szCs w:val="18"/>
                <w:lang w:val="en-GB"/>
              </w:rPr>
              <w:t>cetic acid</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47.4</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6.0</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1.3</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w:t>
            </w:r>
          </w:p>
        </w:tc>
      </w:tr>
      <w:tr w:rsidR="00A22145" w:rsidRPr="006B7981" w:rsidTr="00AD7123">
        <w:tc>
          <w:tcPr>
            <w:tcW w:w="2268" w:type="dxa"/>
            <w:shd w:val="clear" w:color="auto" w:fill="FFFFFF"/>
          </w:tcPr>
          <w:p w:rsidR="00A22145" w:rsidRPr="006B7981" w:rsidRDefault="00C024C0" w:rsidP="00AD7123">
            <w:pPr>
              <w:pStyle w:val="CETBodytext"/>
              <w:ind w:right="-1"/>
              <w:rPr>
                <w:rFonts w:cs="Arial"/>
                <w:szCs w:val="18"/>
                <w:lang w:val="en-GB"/>
              </w:rPr>
            </w:pPr>
            <w:r>
              <w:rPr>
                <w:rFonts w:cs="Arial"/>
                <w:szCs w:val="18"/>
                <w:lang w:val="en-GB"/>
              </w:rPr>
              <w:t>O</w:t>
            </w:r>
            <w:r w:rsidR="00A22145" w:rsidRPr="006B7981">
              <w:rPr>
                <w:rFonts w:cs="Arial"/>
                <w:szCs w:val="18"/>
                <w:lang w:val="en-GB"/>
              </w:rPr>
              <w:t>xalic acid</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4.1</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0.37</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1.4</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0.04</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0.34</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0.70</w:t>
            </w:r>
          </w:p>
        </w:tc>
      </w:tr>
      <w:tr w:rsidR="00A22145" w:rsidRPr="006B7981" w:rsidTr="00AD7123">
        <w:tc>
          <w:tcPr>
            <w:tcW w:w="2268" w:type="dxa"/>
            <w:shd w:val="clear" w:color="auto" w:fill="FFFFFF"/>
          </w:tcPr>
          <w:p w:rsidR="00A22145" w:rsidRPr="006B7981" w:rsidRDefault="00C024C0" w:rsidP="00AD7123">
            <w:pPr>
              <w:pStyle w:val="CETBodytext"/>
              <w:ind w:right="-1"/>
              <w:rPr>
                <w:rFonts w:cs="Arial"/>
                <w:szCs w:val="18"/>
                <w:lang w:val="en-GB"/>
              </w:rPr>
            </w:pPr>
            <w:r>
              <w:rPr>
                <w:rFonts w:cs="Arial"/>
                <w:szCs w:val="18"/>
                <w:lang w:val="en-GB"/>
              </w:rPr>
              <w:t>I</w:t>
            </w:r>
            <w:r w:rsidR="00A22145" w:rsidRPr="006B7981">
              <w:rPr>
                <w:rFonts w:cs="Arial"/>
                <w:szCs w:val="18"/>
                <w:lang w:val="en-GB"/>
              </w:rPr>
              <w:t>sopropanol</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1.64</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14.9</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0.38</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1.85</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0.22</w:t>
            </w:r>
          </w:p>
        </w:tc>
      </w:tr>
      <w:tr w:rsidR="00A22145" w:rsidRPr="006B7981" w:rsidTr="00AD7123">
        <w:tc>
          <w:tcPr>
            <w:tcW w:w="2268" w:type="dxa"/>
            <w:shd w:val="clear" w:color="auto" w:fill="FFFFFF"/>
          </w:tcPr>
          <w:p w:rsidR="00A22145" w:rsidRPr="006B7981" w:rsidRDefault="00C024C0" w:rsidP="00AD7123">
            <w:pPr>
              <w:pStyle w:val="CETBodytext"/>
              <w:ind w:right="-1"/>
              <w:rPr>
                <w:rFonts w:cs="Arial"/>
                <w:szCs w:val="18"/>
                <w:lang w:val="en-GB"/>
              </w:rPr>
            </w:pPr>
            <w:r>
              <w:rPr>
                <w:rFonts w:cs="Arial"/>
                <w:szCs w:val="18"/>
                <w:lang w:val="en-GB"/>
              </w:rPr>
              <w:t>T</w:t>
            </w:r>
            <w:r w:rsidR="00A22145" w:rsidRPr="006B7981">
              <w:rPr>
                <w:rFonts w:cs="Arial"/>
                <w:szCs w:val="18"/>
                <w:lang w:val="en-GB"/>
              </w:rPr>
              <w:t>otal carbon</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69.0</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29.9</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11.3</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23.3</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21.7</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27.4</w:t>
            </w:r>
          </w:p>
        </w:tc>
      </w:tr>
      <w:tr w:rsidR="00A22145" w:rsidRPr="006B7981" w:rsidTr="00AD7123">
        <w:tc>
          <w:tcPr>
            <w:tcW w:w="2268" w:type="dxa"/>
            <w:shd w:val="clear" w:color="auto" w:fill="FFFFFF"/>
          </w:tcPr>
          <w:p w:rsidR="00A22145" w:rsidRPr="006B7981" w:rsidRDefault="00C024C0" w:rsidP="00AD7123">
            <w:pPr>
              <w:pStyle w:val="CETBodytext"/>
              <w:ind w:right="-1"/>
              <w:rPr>
                <w:rFonts w:cs="Arial"/>
                <w:szCs w:val="18"/>
                <w:lang w:val="en-GB"/>
              </w:rPr>
            </w:pPr>
            <w:r>
              <w:rPr>
                <w:rFonts w:cs="Arial"/>
                <w:szCs w:val="18"/>
                <w:lang w:val="en-GB"/>
              </w:rPr>
              <w:t>H</w:t>
            </w:r>
            <w:r w:rsidR="00A22145" w:rsidRPr="006B7981">
              <w:rPr>
                <w:rFonts w:cs="Arial"/>
                <w:szCs w:val="18"/>
                <w:lang w:val="en-GB"/>
              </w:rPr>
              <w:t>ydrogen</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56.4</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73.2</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65.6</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63.5</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48.3</w:t>
            </w:r>
          </w:p>
        </w:tc>
      </w:tr>
      <w:tr w:rsidR="00A22145" w:rsidRPr="006B7981" w:rsidTr="00AD7123">
        <w:tc>
          <w:tcPr>
            <w:tcW w:w="2268" w:type="dxa"/>
            <w:shd w:val="clear" w:color="auto" w:fill="FFFFFF"/>
          </w:tcPr>
          <w:p w:rsidR="00A22145" w:rsidRPr="006B7981" w:rsidRDefault="00C024C0" w:rsidP="00AD7123">
            <w:pPr>
              <w:pStyle w:val="CETBodytext"/>
              <w:ind w:right="-1"/>
              <w:rPr>
                <w:rFonts w:cs="Arial"/>
                <w:szCs w:val="18"/>
                <w:lang w:val="en-GB"/>
              </w:rPr>
            </w:pPr>
            <w:r>
              <w:rPr>
                <w:rFonts w:cs="Arial"/>
                <w:szCs w:val="18"/>
                <w:lang w:val="en-GB"/>
              </w:rPr>
              <w:t>T</w:t>
            </w:r>
            <w:r w:rsidR="00A22145" w:rsidRPr="006B7981">
              <w:rPr>
                <w:rFonts w:cs="Arial"/>
                <w:szCs w:val="18"/>
                <w:lang w:val="en-GB"/>
              </w:rPr>
              <w:t>otal products</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69.0</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86.3</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84.5</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88.9</w:t>
            </w:r>
          </w:p>
        </w:tc>
        <w:tc>
          <w:tcPr>
            <w:tcW w:w="1086"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85.2</w:t>
            </w:r>
          </w:p>
        </w:tc>
        <w:tc>
          <w:tcPr>
            <w:tcW w:w="1087" w:type="dxa"/>
            <w:shd w:val="clear" w:color="auto" w:fill="FFFFFF"/>
          </w:tcPr>
          <w:p w:rsidR="00A22145" w:rsidRPr="006B7981" w:rsidRDefault="00A22145" w:rsidP="00AD7123">
            <w:pPr>
              <w:pStyle w:val="CETBodytext"/>
              <w:ind w:right="-1"/>
              <w:rPr>
                <w:rFonts w:cs="Arial"/>
                <w:szCs w:val="18"/>
                <w:lang w:val="en-GB"/>
              </w:rPr>
            </w:pPr>
            <w:r w:rsidRPr="006B7981">
              <w:rPr>
                <w:rFonts w:cs="Arial"/>
                <w:szCs w:val="18"/>
                <w:lang w:val="en-GB"/>
              </w:rPr>
              <w:t>75.7</w:t>
            </w:r>
          </w:p>
        </w:tc>
      </w:tr>
    </w:tbl>
    <w:p w:rsidR="00915D7E" w:rsidRDefault="00915D7E" w:rsidP="00B67AC7">
      <w:pPr>
        <w:pStyle w:val="CETBodytext"/>
      </w:pPr>
    </w:p>
    <w:p w:rsidR="00915D7E" w:rsidRDefault="00915D7E" w:rsidP="00B67AC7">
      <w:pPr>
        <w:pStyle w:val="CETBodytext"/>
      </w:pPr>
    </w:p>
    <w:p w:rsidR="00915D7E" w:rsidRDefault="00915D7E" w:rsidP="00B67AC7">
      <w:pPr>
        <w:pStyle w:val="CETBodytext"/>
      </w:pPr>
    </w:p>
    <w:p w:rsidR="0056213B" w:rsidRDefault="0056213B" w:rsidP="00B67AC7">
      <w:pPr>
        <w:pStyle w:val="CETBodytext"/>
      </w:pPr>
    </w:p>
    <w:p w:rsidR="00915D7E" w:rsidRDefault="00915D7E" w:rsidP="00B67AC7">
      <w:pPr>
        <w:pStyle w:val="CETBodytext"/>
      </w:pPr>
    </w:p>
    <w:p w:rsidR="00E720FD" w:rsidRPr="006B7981" w:rsidRDefault="00E720FD" w:rsidP="00E720FD">
      <w:pPr>
        <w:pStyle w:val="CETHeading1"/>
        <w:rPr>
          <w:lang w:val="en-GB"/>
        </w:rPr>
      </w:pPr>
      <w:r w:rsidRPr="006B7981">
        <w:rPr>
          <w:lang w:val="en-GB"/>
        </w:rPr>
        <w:lastRenderedPageBreak/>
        <w:t>Conclusions</w:t>
      </w:r>
    </w:p>
    <w:p w:rsidR="00E80DC3" w:rsidRPr="006B7981" w:rsidRDefault="00E80DC3" w:rsidP="00E80DC3">
      <w:pPr>
        <w:pStyle w:val="CETBodytext"/>
        <w:rPr>
          <w:lang w:val="en-GB"/>
        </w:rPr>
      </w:pPr>
      <w:r w:rsidRPr="006B7981">
        <w:rPr>
          <w:lang w:val="en-GB"/>
        </w:rPr>
        <w:t xml:space="preserve">This contribution focused on the preparation of efficient electrodes to be implemented in a </w:t>
      </w:r>
      <w:r w:rsidR="00515CD2">
        <w:rPr>
          <w:lang w:val="en-GB"/>
        </w:rPr>
        <w:t>compact</w:t>
      </w:r>
      <w:r w:rsidRPr="006B7981">
        <w:rPr>
          <w:lang w:val="en-GB"/>
        </w:rPr>
        <w:t xml:space="preserve"> electrocatalytic reactor for the production of </w:t>
      </w:r>
      <w:r w:rsidR="0080211F" w:rsidRPr="006B7981">
        <w:rPr>
          <w:lang w:val="en-GB"/>
        </w:rPr>
        <w:t>value-added chemicals</w:t>
      </w:r>
      <w:r w:rsidRPr="006B7981">
        <w:rPr>
          <w:lang w:val="en-GB"/>
        </w:rPr>
        <w:t xml:space="preserve">. Particularly, </w:t>
      </w:r>
      <w:r w:rsidR="00DA2AF4" w:rsidRPr="006B7981">
        <w:rPr>
          <w:lang w:val="en-GB"/>
        </w:rPr>
        <w:t>copper</w:t>
      </w:r>
      <w:r w:rsidRPr="006B7981">
        <w:rPr>
          <w:lang w:val="en-GB"/>
        </w:rPr>
        <w:t>-doped carbon nanotubes were synthesised and deposited/assembled with a gas diffusion layer and</w:t>
      </w:r>
      <w:r w:rsidR="0080211F" w:rsidRPr="006B7981">
        <w:rPr>
          <w:lang w:val="en-GB"/>
        </w:rPr>
        <w:t xml:space="preserve"> a proton exchange membrane to form a Membrane Electrode Assembly</w:t>
      </w:r>
      <w:r w:rsidRPr="006B7981">
        <w:rPr>
          <w:lang w:val="en-GB"/>
        </w:rPr>
        <w:t xml:space="preserve">. </w:t>
      </w:r>
      <w:r w:rsidR="005108D7">
        <w:rPr>
          <w:lang w:val="en-GB"/>
        </w:rPr>
        <w:t>Testing the</w:t>
      </w:r>
      <w:r w:rsidR="0040205A">
        <w:rPr>
          <w:lang w:val="en-GB"/>
        </w:rPr>
        <w:t>se</w:t>
      </w:r>
      <w:r w:rsidR="005108D7">
        <w:rPr>
          <w:lang w:val="en-GB"/>
        </w:rPr>
        <w:t xml:space="preserve"> electrodes in </w:t>
      </w:r>
      <w:r w:rsidR="005108D7" w:rsidRPr="006B7981">
        <w:rPr>
          <w:lang w:val="en-GB"/>
        </w:rPr>
        <w:t>CO</w:t>
      </w:r>
      <w:r w:rsidR="005108D7" w:rsidRPr="006B7981">
        <w:rPr>
          <w:vertAlign w:val="subscript"/>
          <w:lang w:val="en-GB"/>
        </w:rPr>
        <w:t>2</w:t>
      </w:r>
      <w:r w:rsidR="005108D7" w:rsidRPr="006B7981">
        <w:rPr>
          <w:lang w:val="en-GB"/>
        </w:rPr>
        <w:t xml:space="preserve"> electrocatalytic reduction </w:t>
      </w:r>
      <w:r w:rsidR="00A60ED3" w:rsidRPr="006B7981">
        <w:rPr>
          <w:lang w:val="en-GB"/>
        </w:rPr>
        <w:t xml:space="preserve">under different applied </w:t>
      </w:r>
      <w:r w:rsidR="001B3DEF">
        <w:rPr>
          <w:lang w:val="en-GB"/>
        </w:rPr>
        <w:t xml:space="preserve">voltages </w:t>
      </w:r>
      <w:r w:rsidRPr="006B7981">
        <w:rPr>
          <w:lang w:val="en-GB"/>
        </w:rPr>
        <w:t>show</w:t>
      </w:r>
      <w:r w:rsidR="0080211F" w:rsidRPr="006B7981">
        <w:rPr>
          <w:lang w:val="en-GB"/>
        </w:rPr>
        <w:t>ed</w:t>
      </w:r>
      <w:r w:rsidRPr="006B7981">
        <w:rPr>
          <w:lang w:val="en-GB"/>
        </w:rPr>
        <w:t xml:space="preserve"> that </w:t>
      </w:r>
      <w:r w:rsidR="00460568" w:rsidRPr="006B7981">
        <w:rPr>
          <w:lang w:val="en-GB"/>
        </w:rPr>
        <w:t xml:space="preserve">the </w:t>
      </w:r>
      <w:r w:rsidRPr="006B7981">
        <w:rPr>
          <w:lang w:val="en-GB"/>
        </w:rPr>
        <w:t xml:space="preserve">current density strongly affects the product distribution. Specifically, acetic acid, </w:t>
      </w:r>
      <w:r w:rsidR="00A66D51" w:rsidRPr="006B7981">
        <w:rPr>
          <w:lang w:val="en-GB"/>
        </w:rPr>
        <w:t xml:space="preserve">ethanol, formic acid, </w:t>
      </w:r>
      <w:r w:rsidRPr="006B7981">
        <w:rPr>
          <w:lang w:val="en-GB"/>
        </w:rPr>
        <w:t xml:space="preserve">oxalic acid, methanol, and isopropanol </w:t>
      </w:r>
      <w:r w:rsidR="0040205A">
        <w:rPr>
          <w:lang w:val="en-GB"/>
        </w:rPr>
        <w:t>were</w:t>
      </w:r>
      <w:r w:rsidRPr="006B7981">
        <w:rPr>
          <w:lang w:val="en-GB"/>
        </w:rPr>
        <w:t xml:space="preserve"> the main products </w:t>
      </w:r>
      <w:r w:rsidR="00460568" w:rsidRPr="006B7981">
        <w:rPr>
          <w:lang w:val="en-GB"/>
        </w:rPr>
        <w:t xml:space="preserve">obtained </w:t>
      </w:r>
      <w:r w:rsidRPr="006B7981">
        <w:rPr>
          <w:lang w:val="en-GB"/>
        </w:rPr>
        <w:t>at lower current density, while the production of formic acid, CO and H</w:t>
      </w:r>
      <w:r w:rsidRPr="006B7981">
        <w:rPr>
          <w:vertAlign w:val="subscript"/>
          <w:lang w:val="en-GB"/>
        </w:rPr>
        <w:t>2</w:t>
      </w:r>
      <w:r w:rsidRPr="006B7981">
        <w:rPr>
          <w:lang w:val="en-GB"/>
        </w:rPr>
        <w:t xml:space="preserve"> increase</w:t>
      </w:r>
      <w:r w:rsidR="0080211F" w:rsidRPr="006B7981">
        <w:rPr>
          <w:lang w:val="en-GB"/>
        </w:rPr>
        <w:t>d</w:t>
      </w:r>
      <w:r w:rsidRPr="006B7981">
        <w:rPr>
          <w:lang w:val="en-GB"/>
        </w:rPr>
        <w:t xml:space="preserve"> at higher current density, evidencing a direct influence of this parameter on C-C bond formation.</w:t>
      </w:r>
      <w:r w:rsidR="0080211F" w:rsidRPr="006B7981">
        <w:rPr>
          <w:lang w:val="en-GB"/>
        </w:rPr>
        <w:t xml:space="preserve"> </w:t>
      </w:r>
      <w:r w:rsidR="00B5101E" w:rsidRPr="006B7981">
        <w:rPr>
          <w:lang w:val="en-GB"/>
        </w:rPr>
        <w:t>When tested under industrial relevant conditions (i.e. high current density), the copper-based electro</w:t>
      </w:r>
      <w:r w:rsidR="0040205A">
        <w:rPr>
          <w:lang w:val="en-GB"/>
        </w:rPr>
        <w:t>des</w:t>
      </w:r>
      <w:r w:rsidR="00B5101E" w:rsidRPr="006B7981">
        <w:rPr>
          <w:lang w:val="en-GB"/>
        </w:rPr>
        <w:t xml:space="preserve"> provided a </w:t>
      </w:r>
      <w:r w:rsidR="00460568" w:rsidRPr="006B7981">
        <w:rPr>
          <w:lang w:val="en-GB"/>
        </w:rPr>
        <w:t>relatively</w:t>
      </w:r>
      <w:r w:rsidR="00B5101E" w:rsidRPr="006B7981">
        <w:rPr>
          <w:lang w:val="en-GB"/>
        </w:rPr>
        <w:t xml:space="preserve"> high Faradaic efficiency (27.4 %), opening the route towards a practical implementation of CO</w:t>
      </w:r>
      <w:r w:rsidR="00B5101E" w:rsidRPr="006B7981">
        <w:rPr>
          <w:vertAlign w:val="subscript"/>
          <w:lang w:val="en-GB"/>
        </w:rPr>
        <w:t>2</w:t>
      </w:r>
      <w:r w:rsidR="00B5101E" w:rsidRPr="006B7981">
        <w:rPr>
          <w:lang w:val="en-GB"/>
        </w:rPr>
        <w:t xml:space="preserve"> electroreduction process with low-cost and earth abundant materials as electrocatalysts. However, f</w:t>
      </w:r>
      <w:r w:rsidR="0080211F" w:rsidRPr="006B7981">
        <w:rPr>
          <w:lang w:val="en-GB"/>
        </w:rPr>
        <w:t>urther studies are needed to improve the catalytic performance by both catalyst and cell design.</w:t>
      </w:r>
    </w:p>
    <w:p w:rsidR="00656920" w:rsidRPr="006B7981" w:rsidRDefault="00656920" w:rsidP="00656920">
      <w:pPr>
        <w:pStyle w:val="CETAcknowledgementstitle"/>
      </w:pPr>
      <w:r w:rsidRPr="006B7981">
        <w:t>Acknowledgments</w:t>
      </w:r>
    </w:p>
    <w:p w:rsidR="00656920" w:rsidRPr="006B7981" w:rsidRDefault="00DB6A90" w:rsidP="00656920">
      <w:pPr>
        <w:pStyle w:val="CETBodytext"/>
        <w:rPr>
          <w:lang w:val="en-GB"/>
        </w:rPr>
      </w:pPr>
      <w:r w:rsidRPr="006B7981">
        <w:rPr>
          <w:lang w:val="en-GB"/>
        </w:rPr>
        <w:t>This work was funded by the European Union through the A-LEAF project (732840-A-LEAF), which is gratefully acknowledged.</w:t>
      </w:r>
    </w:p>
    <w:p w:rsidR="00656920" w:rsidRPr="006B7981" w:rsidRDefault="00656920" w:rsidP="00656920">
      <w:pPr>
        <w:pStyle w:val="CETReference"/>
      </w:pPr>
      <w:r w:rsidRPr="006B7981">
        <w:t>References</w:t>
      </w:r>
    </w:p>
    <w:p w:rsidR="00B7221A" w:rsidRPr="006B7981" w:rsidRDefault="00B7221A" w:rsidP="00B7221A">
      <w:pPr>
        <w:pStyle w:val="CETReferencetext"/>
      </w:pPr>
      <w:r w:rsidRPr="006B7981">
        <w:t>Ampelli C., Genovese C., Tavella F., Perathoner S., Centi G., 2017a, Nano-engineered electrodes for the generation of solar fuels: Benefits and drawbacks of adopting a photo-electrocatalytic (PECa) approach, Chem</w:t>
      </w:r>
      <w:r w:rsidR="00250C48">
        <w:t xml:space="preserve">ical </w:t>
      </w:r>
      <w:r w:rsidRPr="006B7981">
        <w:t>Eng</w:t>
      </w:r>
      <w:r w:rsidR="00250C48">
        <w:t>ineering</w:t>
      </w:r>
      <w:r w:rsidRPr="006B7981">
        <w:t xml:space="preserve"> Trans</w:t>
      </w:r>
      <w:r w:rsidR="00250C48">
        <w:t>actions</w:t>
      </w:r>
      <w:r w:rsidRPr="006B7981">
        <w:t>, 57, 1597–1602.</w:t>
      </w:r>
    </w:p>
    <w:p w:rsidR="00656920" w:rsidRPr="006B7981" w:rsidRDefault="00656920" w:rsidP="00656920">
      <w:pPr>
        <w:pStyle w:val="CETReferencetext"/>
      </w:pPr>
      <w:r w:rsidRPr="006B7981">
        <w:t>Ampelli C., Tavella F., Perathoner S., Centi G., 2017</w:t>
      </w:r>
      <w:r w:rsidR="00B7221A" w:rsidRPr="006B7981">
        <w:t>b</w:t>
      </w:r>
      <w:r w:rsidRPr="006B7981">
        <w:t>, Engineering of photoanodes based on ordered TiO</w:t>
      </w:r>
      <w:r w:rsidRPr="006B7981">
        <w:rPr>
          <w:vertAlign w:val="subscript"/>
        </w:rPr>
        <w:t>2</w:t>
      </w:r>
      <w:r w:rsidRPr="006B7981">
        <w:t>-nanotube arrays in solar photo-electrocatalytic (PECa) cells, Chem</w:t>
      </w:r>
      <w:r w:rsidR="00250C48">
        <w:t>ical</w:t>
      </w:r>
      <w:r w:rsidRPr="006B7981">
        <w:t xml:space="preserve"> Eng</w:t>
      </w:r>
      <w:r w:rsidR="00250C48">
        <w:t>ineering</w:t>
      </w:r>
      <w:r w:rsidRPr="006B7981">
        <w:t xml:space="preserve"> J</w:t>
      </w:r>
      <w:r w:rsidR="00250C48">
        <w:t>ournal</w:t>
      </w:r>
      <w:r w:rsidRPr="006B7981">
        <w:t>, 320, 352</w:t>
      </w:r>
      <w:r w:rsidR="00DF3C66" w:rsidRPr="006B7981">
        <w:t>–</w:t>
      </w:r>
      <w:r w:rsidRPr="006B7981">
        <w:t>362.</w:t>
      </w:r>
    </w:p>
    <w:p w:rsidR="00656920" w:rsidRPr="006B7981" w:rsidRDefault="00656920" w:rsidP="00656920">
      <w:pPr>
        <w:pStyle w:val="CETReferencetext"/>
      </w:pPr>
      <w:r w:rsidRPr="006B7981">
        <w:t>Ampelli C., Genovese C., Errahali M., Gatti G., Marchese L., Perathoner S., Centi G., 2015, CO</w:t>
      </w:r>
      <w:r w:rsidRPr="006B7981">
        <w:rPr>
          <w:vertAlign w:val="subscript"/>
        </w:rPr>
        <w:t>2</w:t>
      </w:r>
      <w:r w:rsidRPr="006B7981">
        <w:t xml:space="preserve"> capture and reduction to liquid fuels in a novel electrochemical setup by using metal-doped conjugated microporous polymers, J</w:t>
      </w:r>
      <w:r w:rsidR="00250C48">
        <w:t xml:space="preserve">ournal of </w:t>
      </w:r>
      <w:r w:rsidRPr="006B7981">
        <w:t>Appl</w:t>
      </w:r>
      <w:r w:rsidR="00250C48">
        <w:t>ied</w:t>
      </w:r>
      <w:r w:rsidRPr="006B7981">
        <w:t xml:space="preserve"> Electrochem</w:t>
      </w:r>
      <w:r w:rsidR="00250C48">
        <w:t>istry</w:t>
      </w:r>
      <w:r w:rsidRPr="006B7981">
        <w:t>, 45, 701</w:t>
      </w:r>
      <w:r w:rsidR="00DF3C66" w:rsidRPr="006B7981">
        <w:t>–</w:t>
      </w:r>
      <w:r w:rsidRPr="006B7981">
        <w:t>713.</w:t>
      </w:r>
    </w:p>
    <w:p w:rsidR="00656920" w:rsidRPr="006B7981" w:rsidRDefault="00656920" w:rsidP="00656920">
      <w:pPr>
        <w:pStyle w:val="CETReferencetext"/>
      </w:pPr>
      <w:r w:rsidRPr="006B7981">
        <w:t>Genovese C., Ampelli C., Perathoner S., Centi G., 2017, Mechanism of C-C bond formation in the electrocatalytic reduction of CO</w:t>
      </w:r>
      <w:r w:rsidRPr="006B7981">
        <w:rPr>
          <w:vertAlign w:val="subscript"/>
        </w:rPr>
        <w:t>2</w:t>
      </w:r>
      <w:r w:rsidRPr="006B7981">
        <w:t xml:space="preserve"> to acetic acid. A challenging reaction to harvest renewable energy with chemistry, Green Chem</w:t>
      </w:r>
      <w:r w:rsidR="00250C48">
        <w:t>istry</w:t>
      </w:r>
      <w:r w:rsidRPr="006B7981">
        <w:t>, 19, 2406</w:t>
      </w:r>
      <w:r w:rsidR="00DF3C66" w:rsidRPr="006B7981">
        <w:t>–</w:t>
      </w:r>
      <w:r w:rsidRPr="006B7981">
        <w:t>2415.</w:t>
      </w:r>
    </w:p>
    <w:p w:rsidR="00656920" w:rsidRDefault="00656920" w:rsidP="00656920">
      <w:pPr>
        <w:pStyle w:val="CETReferencetext"/>
        <w:rPr>
          <w:lang w:val="en-US"/>
        </w:rPr>
      </w:pPr>
      <w:r w:rsidRPr="006B7981">
        <w:t>Genovese C., Ampelli C., Perathoner S., Centi G., 2013, A Gas-phase Electrochemical Reactor for Carbon Dioxide Reduction back to Liquid Fuels, Chem</w:t>
      </w:r>
      <w:r w:rsidR="00250C48">
        <w:t>ical</w:t>
      </w:r>
      <w:r w:rsidRPr="006B7981">
        <w:t xml:space="preserve"> Eng</w:t>
      </w:r>
      <w:r w:rsidR="00250C48">
        <w:t>ineering</w:t>
      </w:r>
      <w:r w:rsidRPr="006B7981">
        <w:t xml:space="preserve"> </w:t>
      </w:r>
      <w:r w:rsidRPr="006B7981">
        <w:rPr>
          <w:lang w:val="en-US"/>
        </w:rPr>
        <w:t>Trans</w:t>
      </w:r>
      <w:r w:rsidR="00250C48">
        <w:rPr>
          <w:lang w:val="en-US"/>
        </w:rPr>
        <w:t>actions</w:t>
      </w:r>
      <w:r w:rsidRPr="006B7981">
        <w:rPr>
          <w:lang w:val="en-US"/>
        </w:rPr>
        <w:t>, 32, 289</w:t>
      </w:r>
      <w:r w:rsidR="00DF3C66" w:rsidRPr="006B7981">
        <w:t>–</w:t>
      </w:r>
      <w:r w:rsidRPr="006B7981">
        <w:rPr>
          <w:lang w:val="en-US"/>
        </w:rPr>
        <w:t>294.</w:t>
      </w:r>
    </w:p>
    <w:p w:rsidR="00084255" w:rsidRPr="00084255" w:rsidRDefault="00084255" w:rsidP="00084255">
      <w:pPr>
        <w:pStyle w:val="CETReferencetext"/>
        <w:rPr>
          <w:lang w:val="en-US"/>
        </w:rPr>
      </w:pPr>
      <w:r>
        <w:rPr>
          <w:lang w:val="en-US"/>
        </w:rPr>
        <w:t>Holzwarth</w:t>
      </w:r>
      <w:r w:rsidRPr="00084255">
        <w:rPr>
          <w:lang w:val="en-US"/>
        </w:rPr>
        <w:t xml:space="preserve"> U.</w:t>
      </w:r>
      <w:r>
        <w:rPr>
          <w:lang w:val="en-US"/>
        </w:rPr>
        <w:t>, Gibson</w:t>
      </w:r>
      <w:r w:rsidRPr="00084255">
        <w:rPr>
          <w:lang w:val="en-US"/>
        </w:rPr>
        <w:t xml:space="preserve"> N.</w:t>
      </w:r>
      <w:r>
        <w:rPr>
          <w:lang w:val="en-US"/>
        </w:rPr>
        <w:t xml:space="preserve">, 2011, </w:t>
      </w:r>
      <w:r w:rsidRPr="00084255">
        <w:rPr>
          <w:lang w:val="en-US"/>
        </w:rPr>
        <w:t>Th</w:t>
      </w:r>
      <w:r w:rsidR="008B7F1A">
        <w:rPr>
          <w:lang w:val="en-US"/>
        </w:rPr>
        <w:t>e Scherrer equation versus the ‘</w:t>
      </w:r>
      <w:r w:rsidRPr="00084255">
        <w:rPr>
          <w:lang w:val="en-US"/>
        </w:rPr>
        <w:t>Debye-Scherrer equation</w:t>
      </w:r>
      <w:r w:rsidR="008B7F1A">
        <w:rPr>
          <w:lang w:val="en-US"/>
        </w:rPr>
        <w:t>’, Nat</w:t>
      </w:r>
      <w:r w:rsidR="00250C48">
        <w:rPr>
          <w:lang w:val="en-US"/>
        </w:rPr>
        <w:t>ure</w:t>
      </w:r>
      <w:r w:rsidR="00895B55">
        <w:rPr>
          <w:lang w:val="en-US"/>
        </w:rPr>
        <w:t xml:space="preserve"> Nanotechnol</w:t>
      </w:r>
      <w:r w:rsidR="00250C48">
        <w:rPr>
          <w:lang w:val="en-US"/>
        </w:rPr>
        <w:t>ogy</w:t>
      </w:r>
      <w:r w:rsidR="00895B55">
        <w:rPr>
          <w:lang w:val="en-US"/>
        </w:rPr>
        <w:t>, 6, 534.</w:t>
      </w:r>
    </w:p>
    <w:p w:rsidR="005B69CB" w:rsidRPr="006B7981" w:rsidRDefault="005B69CB" w:rsidP="00B67AC7">
      <w:pPr>
        <w:pStyle w:val="CETReferencetext"/>
        <w:rPr>
          <w:lang w:val="en-US"/>
        </w:rPr>
      </w:pPr>
      <w:r w:rsidRPr="006B7981">
        <w:rPr>
          <w:lang w:val="en-US"/>
        </w:rPr>
        <w:t>Kuhl</w:t>
      </w:r>
      <w:r w:rsidR="00773A1D" w:rsidRPr="006B7981">
        <w:rPr>
          <w:lang w:val="en-US"/>
        </w:rPr>
        <w:t xml:space="preserve"> K.P.</w:t>
      </w:r>
      <w:r w:rsidRPr="006B7981">
        <w:rPr>
          <w:lang w:val="en-US"/>
        </w:rPr>
        <w:t>, Hatsukade</w:t>
      </w:r>
      <w:r w:rsidR="00773A1D" w:rsidRPr="006B7981">
        <w:rPr>
          <w:lang w:val="en-US"/>
        </w:rPr>
        <w:t xml:space="preserve"> T., </w:t>
      </w:r>
      <w:r w:rsidRPr="006B7981">
        <w:rPr>
          <w:lang w:val="en-US"/>
        </w:rPr>
        <w:t>Cave</w:t>
      </w:r>
      <w:r w:rsidR="00773A1D" w:rsidRPr="006B7981">
        <w:rPr>
          <w:lang w:val="en-US"/>
        </w:rPr>
        <w:t xml:space="preserve"> E.R.</w:t>
      </w:r>
      <w:r w:rsidRPr="006B7981">
        <w:rPr>
          <w:lang w:val="en-US"/>
        </w:rPr>
        <w:t>,</w:t>
      </w:r>
      <w:r w:rsidR="00773A1D" w:rsidRPr="006B7981">
        <w:rPr>
          <w:lang w:val="en-US"/>
        </w:rPr>
        <w:t xml:space="preserve"> </w:t>
      </w:r>
      <w:r w:rsidRPr="006B7981">
        <w:rPr>
          <w:lang w:val="en-US"/>
        </w:rPr>
        <w:t>Abram</w:t>
      </w:r>
      <w:r w:rsidR="00773A1D" w:rsidRPr="006B7981">
        <w:rPr>
          <w:lang w:val="en-US"/>
        </w:rPr>
        <w:t xml:space="preserve"> D.N.</w:t>
      </w:r>
      <w:r w:rsidRPr="006B7981">
        <w:rPr>
          <w:lang w:val="en-US"/>
        </w:rPr>
        <w:t>, Kibsgaard,</w:t>
      </w:r>
      <w:r w:rsidR="00773A1D" w:rsidRPr="006B7981">
        <w:rPr>
          <w:lang w:val="en-US"/>
        </w:rPr>
        <w:t xml:space="preserve"> J., </w:t>
      </w:r>
      <w:r w:rsidRPr="006B7981">
        <w:rPr>
          <w:lang w:val="en-US"/>
        </w:rPr>
        <w:t>Jaramillo</w:t>
      </w:r>
      <w:r w:rsidR="00773A1D" w:rsidRPr="006B7981">
        <w:rPr>
          <w:lang w:val="en-US"/>
        </w:rPr>
        <w:t xml:space="preserve"> T.F., </w:t>
      </w:r>
      <w:r w:rsidR="000A1B7A" w:rsidRPr="006B7981">
        <w:rPr>
          <w:lang w:val="en-US"/>
        </w:rPr>
        <w:t>2014, Electrocatalytic Conversion of Carbon Dioxide to Methane and Methanol on Transition Metal Surfaces,</w:t>
      </w:r>
      <w:r w:rsidR="00250C48">
        <w:rPr>
          <w:lang w:val="en-US"/>
        </w:rPr>
        <w:t xml:space="preserve"> Journal of the </w:t>
      </w:r>
      <w:r w:rsidR="000A1B7A" w:rsidRPr="006B7981">
        <w:rPr>
          <w:lang w:val="en-US"/>
        </w:rPr>
        <w:t>Am</w:t>
      </w:r>
      <w:r w:rsidR="00250C48">
        <w:rPr>
          <w:lang w:val="en-US"/>
        </w:rPr>
        <w:t xml:space="preserve">erican </w:t>
      </w:r>
      <w:r w:rsidR="000A1B7A" w:rsidRPr="006B7981">
        <w:rPr>
          <w:lang w:val="en-US"/>
        </w:rPr>
        <w:t>Chem</w:t>
      </w:r>
      <w:r w:rsidR="00250C48">
        <w:rPr>
          <w:lang w:val="en-US"/>
        </w:rPr>
        <w:t>ical</w:t>
      </w:r>
      <w:r w:rsidR="000A1B7A" w:rsidRPr="006B7981">
        <w:rPr>
          <w:lang w:val="en-US"/>
        </w:rPr>
        <w:t xml:space="preserve"> Soc</w:t>
      </w:r>
      <w:r w:rsidR="00250C48">
        <w:rPr>
          <w:lang w:val="en-US"/>
        </w:rPr>
        <w:t>iety</w:t>
      </w:r>
      <w:r w:rsidR="000A1B7A" w:rsidRPr="006B7981">
        <w:rPr>
          <w:lang w:val="en-US"/>
        </w:rPr>
        <w:t>,</w:t>
      </w:r>
      <w:r w:rsidR="000D0865">
        <w:rPr>
          <w:lang w:val="en-US"/>
        </w:rPr>
        <w:t xml:space="preserve"> </w:t>
      </w:r>
      <w:r w:rsidR="000A1B7A" w:rsidRPr="006B7981">
        <w:rPr>
          <w:lang w:val="en-US"/>
        </w:rPr>
        <w:t>136, 14107</w:t>
      </w:r>
      <w:r w:rsidR="00DF3C66" w:rsidRPr="006B7981">
        <w:t>–</w:t>
      </w:r>
      <w:r w:rsidR="000A1B7A" w:rsidRPr="006B7981">
        <w:rPr>
          <w:lang w:val="en-US"/>
        </w:rPr>
        <w:t>14113.</w:t>
      </w:r>
    </w:p>
    <w:p w:rsidR="00656920" w:rsidRPr="006B7981" w:rsidRDefault="00656920" w:rsidP="00656920">
      <w:pPr>
        <w:pStyle w:val="CETReferencetext"/>
        <w:rPr>
          <w:lang w:val="en-US"/>
        </w:rPr>
      </w:pPr>
      <w:r w:rsidRPr="006B7981">
        <w:rPr>
          <w:lang w:val="en-US"/>
        </w:rPr>
        <w:t xml:space="preserve">Kuhl K.P., Cave E.R., Abram D.N., Jaramillo T.F., 2012, New insights into the electrochemical reduction of carbon dioxide on metallic copper surfaces, Energy </w:t>
      </w:r>
      <w:r w:rsidR="003D1BCD">
        <w:rPr>
          <w:lang w:val="en-US"/>
        </w:rPr>
        <w:t xml:space="preserve">&amp; </w:t>
      </w:r>
      <w:r w:rsidRPr="006B7981">
        <w:rPr>
          <w:lang w:val="en-US"/>
        </w:rPr>
        <w:t>Environ</w:t>
      </w:r>
      <w:r w:rsidR="003D1BCD">
        <w:rPr>
          <w:lang w:val="en-US"/>
        </w:rPr>
        <w:t>mental</w:t>
      </w:r>
      <w:r w:rsidRPr="006B7981">
        <w:rPr>
          <w:lang w:val="en-US"/>
        </w:rPr>
        <w:t xml:space="preserve"> Sci</w:t>
      </w:r>
      <w:r w:rsidR="003D1BCD">
        <w:rPr>
          <w:lang w:val="en-US"/>
        </w:rPr>
        <w:t>ence</w:t>
      </w:r>
      <w:r w:rsidRPr="006B7981">
        <w:rPr>
          <w:lang w:val="en-US"/>
        </w:rPr>
        <w:t>, 2012, 5, 7050</w:t>
      </w:r>
      <w:r w:rsidR="00DF3C66" w:rsidRPr="006B7981">
        <w:t>–</w:t>
      </w:r>
      <w:r w:rsidRPr="006B7981">
        <w:rPr>
          <w:lang w:val="en-US"/>
        </w:rPr>
        <w:t>7059.</w:t>
      </w:r>
    </w:p>
    <w:p w:rsidR="00656920" w:rsidRPr="006B7981" w:rsidRDefault="00656920" w:rsidP="00656920">
      <w:pPr>
        <w:pStyle w:val="CETReferencetext"/>
      </w:pPr>
      <w:r w:rsidRPr="006B7981">
        <w:rPr>
          <w:lang w:val="en-US"/>
        </w:rPr>
        <w:t xml:space="preserve">Lanzafame P., Abate S., Ampelli C., Genovese C., Passalacqua R., Centi G., Perathoner S., 2017, </w:t>
      </w:r>
      <w:r w:rsidRPr="006B7981">
        <w:t>Beyond Solar Fuels: Renewable Energy-Driven Chemistry, ChemSusChem, 10, 4409</w:t>
      </w:r>
      <w:r w:rsidR="00DF3C66" w:rsidRPr="006B7981">
        <w:t>–</w:t>
      </w:r>
      <w:r w:rsidRPr="006B7981">
        <w:t>4419.</w:t>
      </w:r>
    </w:p>
    <w:p w:rsidR="00656920" w:rsidRPr="006B7981" w:rsidRDefault="00656920" w:rsidP="00656920">
      <w:pPr>
        <w:pStyle w:val="CETReferencetext"/>
        <w:rPr>
          <w:lang w:val="en-US"/>
        </w:rPr>
      </w:pPr>
      <w:r w:rsidRPr="006B7981">
        <w:rPr>
          <w:lang w:val="en-US"/>
        </w:rPr>
        <w:t>Lobaccaro P., Singh M.R., Lee Clark E., Kwon Y., Bell A.T., Ager J.W., 2016, Effects of temperature and gas–liquid mass transfer on the operation of small electrochemical cells for the quantitative evaluation of CO</w:t>
      </w:r>
      <w:r w:rsidRPr="006B7981">
        <w:rPr>
          <w:vertAlign w:val="subscript"/>
          <w:lang w:val="en-US"/>
        </w:rPr>
        <w:t>2</w:t>
      </w:r>
      <w:r w:rsidRPr="006B7981">
        <w:rPr>
          <w:lang w:val="en-US"/>
        </w:rPr>
        <w:t xml:space="preserve"> reduction electrocatalysts, </w:t>
      </w:r>
      <w:r w:rsidR="000D0865">
        <w:rPr>
          <w:lang w:val="en-US"/>
        </w:rPr>
        <w:t xml:space="preserve">Physical Chemistry Chemical Physics, </w:t>
      </w:r>
      <w:r w:rsidRPr="006B7981">
        <w:rPr>
          <w:lang w:val="en-US"/>
        </w:rPr>
        <w:t>18, 26777</w:t>
      </w:r>
      <w:r w:rsidR="00DF3C66" w:rsidRPr="006B7981">
        <w:t>–</w:t>
      </w:r>
      <w:r w:rsidRPr="006B7981">
        <w:rPr>
          <w:lang w:val="en-US"/>
        </w:rPr>
        <w:t>26785.</w:t>
      </w:r>
    </w:p>
    <w:p w:rsidR="00656920" w:rsidRPr="006B7981" w:rsidRDefault="00656920" w:rsidP="00656920">
      <w:pPr>
        <w:pStyle w:val="CETReferencetext"/>
      </w:pPr>
      <w:r w:rsidRPr="006B7981">
        <w:rPr>
          <w:lang w:val="en-US"/>
        </w:rPr>
        <w:t xml:space="preserve">Marepally B.C., Ampelli C., Genovese C., Saboo T., Perathoner S., Wisser F.M., Veyre L., Canivet J., Quadrelli E.A., Centi G., 2017a, </w:t>
      </w:r>
      <w:r w:rsidRPr="006B7981">
        <w:t>Enhanced formation of &gt;C1 Products in the Electroreduction of CO</w:t>
      </w:r>
      <w:r w:rsidRPr="006B7981">
        <w:rPr>
          <w:vertAlign w:val="subscript"/>
        </w:rPr>
        <w:t>2</w:t>
      </w:r>
      <w:r w:rsidRPr="006B7981">
        <w:t xml:space="preserve"> by Adding a CO</w:t>
      </w:r>
      <w:r w:rsidRPr="006B7981">
        <w:rPr>
          <w:vertAlign w:val="subscript"/>
        </w:rPr>
        <w:t>2</w:t>
      </w:r>
      <w:r w:rsidRPr="006B7981">
        <w:t xml:space="preserve"> Adsorption Component to a Gas-Diffusion Layer-Type Catalytic Electrode, ChemSusChem, 10, 4442</w:t>
      </w:r>
      <w:r w:rsidR="00DF3C66" w:rsidRPr="006B7981">
        <w:t>–</w:t>
      </w:r>
      <w:r w:rsidRPr="006B7981">
        <w:t>4446.</w:t>
      </w:r>
    </w:p>
    <w:p w:rsidR="00656920" w:rsidRPr="006B7981" w:rsidRDefault="00656920" w:rsidP="00656920">
      <w:pPr>
        <w:pStyle w:val="CETReferencetext"/>
      </w:pPr>
      <w:r w:rsidRPr="006B7981">
        <w:rPr>
          <w:lang w:val="en-US"/>
        </w:rPr>
        <w:t xml:space="preserve">Marepally B.C., Ampelli C., Genovese C., Tavella F., Veyre L., Thieuleux C., Quadrelli E.A., Perathoner S., Centi G., 2017b, </w:t>
      </w:r>
      <w:r w:rsidRPr="006B7981">
        <w:t>Role of small Cu nanoparticles in the behaviour of nanocarbon-based electrodes for the electrocatalytic reduction of CO</w:t>
      </w:r>
      <w:r w:rsidRPr="006B7981">
        <w:rPr>
          <w:vertAlign w:val="subscript"/>
        </w:rPr>
        <w:t>2</w:t>
      </w:r>
      <w:r w:rsidRPr="006B7981">
        <w:t>, J</w:t>
      </w:r>
      <w:r w:rsidR="00CB75B8">
        <w:t>ournal of</w:t>
      </w:r>
      <w:r w:rsidRPr="006B7981">
        <w:t xml:space="preserve"> CO</w:t>
      </w:r>
      <w:r w:rsidRPr="006B7981">
        <w:rPr>
          <w:vertAlign w:val="subscript"/>
        </w:rPr>
        <w:t>2</w:t>
      </w:r>
      <w:r w:rsidRPr="006B7981">
        <w:t xml:space="preserve"> Util</w:t>
      </w:r>
      <w:r w:rsidR="00CB75B8">
        <w:t>ization</w:t>
      </w:r>
      <w:r w:rsidRPr="006B7981">
        <w:t>, 21, 534</w:t>
      </w:r>
      <w:r w:rsidR="00DF3C66" w:rsidRPr="006B7981">
        <w:t>–</w:t>
      </w:r>
      <w:r w:rsidRPr="006B7981">
        <w:t>542.</w:t>
      </w:r>
    </w:p>
    <w:p w:rsidR="00656920" w:rsidRPr="006B7981" w:rsidRDefault="00656920" w:rsidP="00656920">
      <w:pPr>
        <w:pStyle w:val="CETReferencetext"/>
      </w:pPr>
      <w:r w:rsidRPr="006B7981">
        <w:t>Oloman C., Li H, 2008, Electrochemical Processing of Carbon Dioxide, ChemSusChem, 1, 385</w:t>
      </w:r>
      <w:r w:rsidR="00DF3C66" w:rsidRPr="006B7981">
        <w:t>–</w:t>
      </w:r>
      <w:r w:rsidRPr="006B7981">
        <w:t>391.</w:t>
      </w:r>
    </w:p>
    <w:p w:rsidR="00656920" w:rsidRPr="006B7981" w:rsidRDefault="00656920" w:rsidP="00656920">
      <w:pPr>
        <w:pStyle w:val="CETReferencetext"/>
        <w:rPr>
          <w:lang w:val="en-US"/>
        </w:rPr>
      </w:pPr>
      <w:r w:rsidRPr="006B7981">
        <w:rPr>
          <w:lang w:val="en-US"/>
        </w:rPr>
        <w:t>Qiao J., Liu Y., Zhang J., 2016, Eds. Electrochemical Reduction of Carbon Dioxide: Fundamentals and Technologies, 1st ed.; CRC Press, Boca Raton, USA.</w:t>
      </w:r>
    </w:p>
    <w:p w:rsidR="00A912C0" w:rsidRPr="00A912C0" w:rsidRDefault="00A912C0" w:rsidP="00A912C0">
      <w:pPr>
        <w:pStyle w:val="CETReferencetext"/>
        <w:rPr>
          <w:lang w:val="en-US"/>
        </w:rPr>
      </w:pPr>
      <w:r w:rsidRPr="006B7981">
        <w:rPr>
          <w:lang w:val="en-US"/>
        </w:rPr>
        <w:t>Rudin S.N.F.M., Muis Z., Hashim H., Ho W.S., 2017, Overview of carbon reduction, capture, utilization and storage: Development of new framework, Chem</w:t>
      </w:r>
      <w:r w:rsidR="00CB75B8">
        <w:rPr>
          <w:lang w:val="en-US"/>
        </w:rPr>
        <w:t xml:space="preserve">ical </w:t>
      </w:r>
      <w:r w:rsidRPr="006B7981">
        <w:rPr>
          <w:lang w:val="en-US"/>
        </w:rPr>
        <w:t>Eng</w:t>
      </w:r>
      <w:r w:rsidR="00CB75B8">
        <w:rPr>
          <w:lang w:val="en-US"/>
        </w:rPr>
        <w:t>ineering</w:t>
      </w:r>
      <w:r w:rsidRPr="006B7981">
        <w:rPr>
          <w:lang w:val="en-US"/>
        </w:rPr>
        <w:t xml:space="preserve"> Trans</w:t>
      </w:r>
      <w:r w:rsidR="00CB75B8">
        <w:rPr>
          <w:lang w:val="en-US"/>
        </w:rPr>
        <w:t>actions</w:t>
      </w:r>
      <w:r w:rsidRPr="006B7981">
        <w:rPr>
          <w:lang w:val="en-US"/>
        </w:rPr>
        <w:t>, 56, 649</w:t>
      </w:r>
      <w:r w:rsidRPr="006B7981">
        <w:t>–</w:t>
      </w:r>
      <w:r w:rsidRPr="006B7981">
        <w:rPr>
          <w:lang w:val="en-US"/>
        </w:rPr>
        <w:t>654.</w:t>
      </w:r>
    </w:p>
    <w:sectPr w:rsidR="00A912C0" w:rsidRPr="00A912C0"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9EB" w:rsidRDefault="00A359EB" w:rsidP="004F5E36">
      <w:r>
        <w:separator/>
      </w:r>
    </w:p>
  </w:endnote>
  <w:endnote w:type="continuationSeparator" w:id="0">
    <w:p w:rsidR="00A359EB" w:rsidRDefault="00A359E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9EB" w:rsidRDefault="00A359EB" w:rsidP="004F5E36">
      <w:r>
        <w:separator/>
      </w:r>
    </w:p>
  </w:footnote>
  <w:footnote w:type="continuationSeparator" w:id="0">
    <w:p w:rsidR="00A359EB" w:rsidRDefault="00A359EB"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D06"/>
    <w:rsid w:val="00010F40"/>
    <w:rsid w:val="000117CB"/>
    <w:rsid w:val="00011F66"/>
    <w:rsid w:val="00017EC5"/>
    <w:rsid w:val="00020934"/>
    <w:rsid w:val="00022A2E"/>
    <w:rsid w:val="0003148D"/>
    <w:rsid w:val="00047C9D"/>
    <w:rsid w:val="00047D7F"/>
    <w:rsid w:val="00051566"/>
    <w:rsid w:val="000602E6"/>
    <w:rsid w:val="00062A9A"/>
    <w:rsid w:val="0006361E"/>
    <w:rsid w:val="00065058"/>
    <w:rsid w:val="0006737B"/>
    <w:rsid w:val="00067A8A"/>
    <w:rsid w:val="00071244"/>
    <w:rsid w:val="00074519"/>
    <w:rsid w:val="00083604"/>
    <w:rsid w:val="00084255"/>
    <w:rsid w:val="00086C39"/>
    <w:rsid w:val="0009126E"/>
    <w:rsid w:val="000945E0"/>
    <w:rsid w:val="000957E2"/>
    <w:rsid w:val="000A03B2"/>
    <w:rsid w:val="000A1B7A"/>
    <w:rsid w:val="000A3B79"/>
    <w:rsid w:val="000A7450"/>
    <w:rsid w:val="000B4BEF"/>
    <w:rsid w:val="000B6ED4"/>
    <w:rsid w:val="000C5008"/>
    <w:rsid w:val="000C6391"/>
    <w:rsid w:val="000D0865"/>
    <w:rsid w:val="000D34BE"/>
    <w:rsid w:val="000D5416"/>
    <w:rsid w:val="000E102F"/>
    <w:rsid w:val="000E36F1"/>
    <w:rsid w:val="000E3A73"/>
    <w:rsid w:val="000E414A"/>
    <w:rsid w:val="000F03F2"/>
    <w:rsid w:val="000F093C"/>
    <w:rsid w:val="000F16BD"/>
    <w:rsid w:val="000F4D23"/>
    <w:rsid w:val="000F787B"/>
    <w:rsid w:val="00105E95"/>
    <w:rsid w:val="001142E6"/>
    <w:rsid w:val="0012091F"/>
    <w:rsid w:val="00126BC2"/>
    <w:rsid w:val="001308B6"/>
    <w:rsid w:val="0013121F"/>
    <w:rsid w:val="00131FAB"/>
    <w:rsid w:val="00131FE6"/>
    <w:rsid w:val="0013263F"/>
    <w:rsid w:val="001347BA"/>
    <w:rsid w:val="00134DE4"/>
    <w:rsid w:val="0014034D"/>
    <w:rsid w:val="00150794"/>
    <w:rsid w:val="00150E59"/>
    <w:rsid w:val="00152DE3"/>
    <w:rsid w:val="00162642"/>
    <w:rsid w:val="00162809"/>
    <w:rsid w:val="00164CF9"/>
    <w:rsid w:val="00177077"/>
    <w:rsid w:val="00180DB0"/>
    <w:rsid w:val="00183ABD"/>
    <w:rsid w:val="001845B1"/>
    <w:rsid w:val="00184AD6"/>
    <w:rsid w:val="00187F1C"/>
    <w:rsid w:val="001A5255"/>
    <w:rsid w:val="001B0349"/>
    <w:rsid w:val="001B3DEF"/>
    <w:rsid w:val="001B65C1"/>
    <w:rsid w:val="001C684B"/>
    <w:rsid w:val="001D53FC"/>
    <w:rsid w:val="001F42A5"/>
    <w:rsid w:val="001F73D6"/>
    <w:rsid w:val="001F7B9D"/>
    <w:rsid w:val="00202477"/>
    <w:rsid w:val="00202C31"/>
    <w:rsid w:val="00204855"/>
    <w:rsid w:val="00207AD7"/>
    <w:rsid w:val="00214AC1"/>
    <w:rsid w:val="0022138F"/>
    <w:rsid w:val="002224B4"/>
    <w:rsid w:val="002234F2"/>
    <w:rsid w:val="00230D3D"/>
    <w:rsid w:val="002447EF"/>
    <w:rsid w:val="00244A1B"/>
    <w:rsid w:val="00250C48"/>
    <w:rsid w:val="00251550"/>
    <w:rsid w:val="00252C1A"/>
    <w:rsid w:val="00263B05"/>
    <w:rsid w:val="0027221A"/>
    <w:rsid w:val="00275B61"/>
    <w:rsid w:val="00282656"/>
    <w:rsid w:val="0028318D"/>
    <w:rsid w:val="00296B83"/>
    <w:rsid w:val="002A217F"/>
    <w:rsid w:val="002B026E"/>
    <w:rsid w:val="002B78CE"/>
    <w:rsid w:val="002C2FB6"/>
    <w:rsid w:val="002D3EED"/>
    <w:rsid w:val="002D46EB"/>
    <w:rsid w:val="002D5BCD"/>
    <w:rsid w:val="002E1CF6"/>
    <w:rsid w:val="002E3A01"/>
    <w:rsid w:val="002E4740"/>
    <w:rsid w:val="002F2649"/>
    <w:rsid w:val="003009B7"/>
    <w:rsid w:val="00300E56"/>
    <w:rsid w:val="0030380D"/>
    <w:rsid w:val="0030469C"/>
    <w:rsid w:val="003078C0"/>
    <w:rsid w:val="00321CA6"/>
    <w:rsid w:val="00322C64"/>
    <w:rsid w:val="003240CC"/>
    <w:rsid w:val="00325474"/>
    <w:rsid w:val="00332808"/>
    <w:rsid w:val="00334C09"/>
    <w:rsid w:val="00334CB8"/>
    <w:rsid w:val="003365E3"/>
    <w:rsid w:val="0034130B"/>
    <w:rsid w:val="0036249C"/>
    <w:rsid w:val="00367899"/>
    <w:rsid w:val="003723D4"/>
    <w:rsid w:val="003742B4"/>
    <w:rsid w:val="003769AA"/>
    <w:rsid w:val="00376E81"/>
    <w:rsid w:val="00384CC8"/>
    <w:rsid w:val="003871FD"/>
    <w:rsid w:val="003A1E30"/>
    <w:rsid w:val="003A288E"/>
    <w:rsid w:val="003A7D1C"/>
    <w:rsid w:val="003B1B23"/>
    <w:rsid w:val="003B304B"/>
    <w:rsid w:val="003B3146"/>
    <w:rsid w:val="003B60F3"/>
    <w:rsid w:val="003B74AF"/>
    <w:rsid w:val="003C3ED2"/>
    <w:rsid w:val="003D1BCD"/>
    <w:rsid w:val="003F015E"/>
    <w:rsid w:val="003F0D31"/>
    <w:rsid w:val="00400414"/>
    <w:rsid w:val="0040205A"/>
    <w:rsid w:val="0041446B"/>
    <w:rsid w:val="004152F2"/>
    <w:rsid w:val="00420164"/>
    <w:rsid w:val="00431A88"/>
    <w:rsid w:val="0044329C"/>
    <w:rsid w:val="004577FE"/>
    <w:rsid w:val="00457B9C"/>
    <w:rsid w:val="00460568"/>
    <w:rsid w:val="0046164A"/>
    <w:rsid w:val="0046165A"/>
    <w:rsid w:val="004628D2"/>
    <w:rsid w:val="00462DCD"/>
    <w:rsid w:val="004648AD"/>
    <w:rsid w:val="004703A9"/>
    <w:rsid w:val="004752A3"/>
    <w:rsid w:val="004760DE"/>
    <w:rsid w:val="004838BD"/>
    <w:rsid w:val="00484EE9"/>
    <w:rsid w:val="00485EFB"/>
    <w:rsid w:val="004938F5"/>
    <w:rsid w:val="004941AF"/>
    <w:rsid w:val="00494B1B"/>
    <w:rsid w:val="004A004E"/>
    <w:rsid w:val="004A24CF"/>
    <w:rsid w:val="004B1C43"/>
    <w:rsid w:val="004B1C88"/>
    <w:rsid w:val="004B582B"/>
    <w:rsid w:val="004B6721"/>
    <w:rsid w:val="004C2D0D"/>
    <w:rsid w:val="004C3D1D"/>
    <w:rsid w:val="004C7913"/>
    <w:rsid w:val="004D786A"/>
    <w:rsid w:val="004E4DD6"/>
    <w:rsid w:val="004E6358"/>
    <w:rsid w:val="004F0A98"/>
    <w:rsid w:val="004F118B"/>
    <w:rsid w:val="004F253E"/>
    <w:rsid w:val="004F5E36"/>
    <w:rsid w:val="005068C3"/>
    <w:rsid w:val="00506D2D"/>
    <w:rsid w:val="00507B47"/>
    <w:rsid w:val="00507CC9"/>
    <w:rsid w:val="005103FF"/>
    <w:rsid w:val="005108D7"/>
    <w:rsid w:val="005119A5"/>
    <w:rsid w:val="005124D2"/>
    <w:rsid w:val="00513508"/>
    <w:rsid w:val="00515853"/>
    <w:rsid w:val="00515CD2"/>
    <w:rsid w:val="005178FA"/>
    <w:rsid w:val="0052335D"/>
    <w:rsid w:val="005278B7"/>
    <w:rsid w:val="00532016"/>
    <w:rsid w:val="005346C8"/>
    <w:rsid w:val="00535879"/>
    <w:rsid w:val="00543E7D"/>
    <w:rsid w:val="00546B05"/>
    <w:rsid w:val="00546DE4"/>
    <w:rsid w:val="00547A68"/>
    <w:rsid w:val="005531C9"/>
    <w:rsid w:val="00556A9D"/>
    <w:rsid w:val="005571A2"/>
    <w:rsid w:val="0056151A"/>
    <w:rsid w:val="0056213B"/>
    <w:rsid w:val="00562902"/>
    <w:rsid w:val="0057254D"/>
    <w:rsid w:val="00573E37"/>
    <w:rsid w:val="00590154"/>
    <w:rsid w:val="005A1395"/>
    <w:rsid w:val="005B2110"/>
    <w:rsid w:val="005B61E6"/>
    <w:rsid w:val="005B69CB"/>
    <w:rsid w:val="005B7995"/>
    <w:rsid w:val="005C28B0"/>
    <w:rsid w:val="005C36B2"/>
    <w:rsid w:val="005C77E1"/>
    <w:rsid w:val="005D6A2F"/>
    <w:rsid w:val="005E0D6D"/>
    <w:rsid w:val="005E1A82"/>
    <w:rsid w:val="005E794C"/>
    <w:rsid w:val="005F0A28"/>
    <w:rsid w:val="005F0E5E"/>
    <w:rsid w:val="00600535"/>
    <w:rsid w:val="00607910"/>
    <w:rsid w:val="00610353"/>
    <w:rsid w:val="00610CD6"/>
    <w:rsid w:val="006131F7"/>
    <w:rsid w:val="00620DEE"/>
    <w:rsid w:val="00621F92"/>
    <w:rsid w:val="00623259"/>
    <w:rsid w:val="006249A3"/>
    <w:rsid w:val="00625639"/>
    <w:rsid w:val="00631B33"/>
    <w:rsid w:val="0064184D"/>
    <w:rsid w:val="006422CC"/>
    <w:rsid w:val="00647432"/>
    <w:rsid w:val="00655ACF"/>
    <w:rsid w:val="00656920"/>
    <w:rsid w:val="00660E3E"/>
    <w:rsid w:val="00662E74"/>
    <w:rsid w:val="00663130"/>
    <w:rsid w:val="0066427E"/>
    <w:rsid w:val="00680C23"/>
    <w:rsid w:val="0068330C"/>
    <w:rsid w:val="00692070"/>
    <w:rsid w:val="00693766"/>
    <w:rsid w:val="00695EC5"/>
    <w:rsid w:val="006A0C6E"/>
    <w:rsid w:val="006A18B5"/>
    <w:rsid w:val="006A3281"/>
    <w:rsid w:val="006A3492"/>
    <w:rsid w:val="006B4888"/>
    <w:rsid w:val="006B7010"/>
    <w:rsid w:val="006B7981"/>
    <w:rsid w:val="006C2E45"/>
    <w:rsid w:val="006C359C"/>
    <w:rsid w:val="006C5579"/>
    <w:rsid w:val="006D2B4E"/>
    <w:rsid w:val="006D6BD0"/>
    <w:rsid w:val="006D7C1B"/>
    <w:rsid w:val="006E737D"/>
    <w:rsid w:val="006F1050"/>
    <w:rsid w:val="006F4073"/>
    <w:rsid w:val="0070195D"/>
    <w:rsid w:val="00701B09"/>
    <w:rsid w:val="0070270E"/>
    <w:rsid w:val="00720A24"/>
    <w:rsid w:val="00725A0F"/>
    <w:rsid w:val="00726E9A"/>
    <w:rsid w:val="00732386"/>
    <w:rsid w:val="00735029"/>
    <w:rsid w:val="007447F3"/>
    <w:rsid w:val="0075417C"/>
    <w:rsid w:val="0075499F"/>
    <w:rsid w:val="007604AD"/>
    <w:rsid w:val="007661C8"/>
    <w:rsid w:val="0076738F"/>
    <w:rsid w:val="0077098D"/>
    <w:rsid w:val="00773A1D"/>
    <w:rsid w:val="00775543"/>
    <w:rsid w:val="007922A4"/>
    <w:rsid w:val="007931FA"/>
    <w:rsid w:val="00795F6C"/>
    <w:rsid w:val="00796217"/>
    <w:rsid w:val="007A0DE0"/>
    <w:rsid w:val="007A7BBA"/>
    <w:rsid w:val="007B0C50"/>
    <w:rsid w:val="007B474F"/>
    <w:rsid w:val="007C1A43"/>
    <w:rsid w:val="007D3B0C"/>
    <w:rsid w:val="007D5462"/>
    <w:rsid w:val="007D7F3D"/>
    <w:rsid w:val="007E1DC6"/>
    <w:rsid w:val="007F031A"/>
    <w:rsid w:val="0080211F"/>
    <w:rsid w:val="008079F3"/>
    <w:rsid w:val="00813288"/>
    <w:rsid w:val="008168FC"/>
    <w:rsid w:val="008302F3"/>
    <w:rsid w:val="00830667"/>
    <w:rsid w:val="00830994"/>
    <w:rsid w:val="00830996"/>
    <w:rsid w:val="008345F1"/>
    <w:rsid w:val="008509A8"/>
    <w:rsid w:val="0085369D"/>
    <w:rsid w:val="00865B07"/>
    <w:rsid w:val="008667EA"/>
    <w:rsid w:val="00874FC7"/>
    <w:rsid w:val="0087637F"/>
    <w:rsid w:val="00887BDF"/>
    <w:rsid w:val="008904B9"/>
    <w:rsid w:val="00892AD5"/>
    <w:rsid w:val="00895B55"/>
    <w:rsid w:val="008A1512"/>
    <w:rsid w:val="008A5B52"/>
    <w:rsid w:val="008A675F"/>
    <w:rsid w:val="008B7F1A"/>
    <w:rsid w:val="008C0945"/>
    <w:rsid w:val="008C4A81"/>
    <w:rsid w:val="008C78C1"/>
    <w:rsid w:val="008D32B9"/>
    <w:rsid w:val="008D433B"/>
    <w:rsid w:val="008E566E"/>
    <w:rsid w:val="008F2767"/>
    <w:rsid w:val="0090161A"/>
    <w:rsid w:val="00901EB6"/>
    <w:rsid w:val="00904C62"/>
    <w:rsid w:val="00914775"/>
    <w:rsid w:val="00915D7E"/>
    <w:rsid w:val="00916331"/>
    <w:rsid w:val="00924DAC"/>
    <w:rsid w:val="00927058"/>
    <w:rsid w:val="009450CE"/>
    <w:rsid w:val="00947179"/>
    <w:rsid w:val="0095164B"/>
    <w:rsid w:val="00954090"/>
    <w:rsid w:val="009573E7"/>
    <w:rsid w:val="00962B56"/>
    <w:rsid w:val="009635B9"/>
    <w:rsid w:val="00963E05"/>
    <w:rsid w:val="00967D54"/>
    <w:rsid w:val="00972B69"/>
    <w:rsid w:val="00973BE4"/>
    <w:rsid w:val="0099246D"/>
    <w:rsid w:val="00996483"/>
    <w:rsid w:val="00996F5A"/>
    <w:rsid w:val="009A0A3E"/>
    <w:rsid w:val="009B041A"/>
    <w:rsid w:val="009B0AB5"/>
    <w:rsid w:val="009B4535"/>
    <w:rsid w:val="009C7C86"/>
    <w:rsid w:val="009D2245"/>
    <w:rsid w:val="009D2FF7"/>
    <w:rsid w:val="009E7884"/>
    <w:rsid w:val="009E788A"/>
    <w:rsid w:val="009F0E08"/>
    <w:rsid w:val="009F681B"/>
    <w:rsid w:val="00A1579E"/>
    <w:rsid w:val="00A1763D"/>
    <w:rsid w:val="00A17CEC"/>
    <w:rsid w:val="00A22145"/>
    <w:rsid w:val="00A27EF0"/>
    <w:rsid w:val="00A359EB"/>
    <w:rsid w:val="00A37997"/>
    <w:rsid w:val="00A50B20"/>
    <w:rsid w:val="00A51390"/>
    <w:rsid w:val="00A60D13"/>
    <w:rsid w:val="00A60ED3"/>
    <w:rsid w:val="00A638A8"/>
    <w:rsid w:val="00A648C0"/>
    <w:rsid w:val="00A66D51"/>
    <w:rsid w:val="00A72745"/>
    <w:rsid w:val="00A74C31"/>
    <w:rsid w:val="00A76EFC"/>
    <w:rsid w:val="00A91010"/>
    <w:rsid w:val="00A912C0"/>
    <w:rsid w:val="00A91C48"/>
    <w:rsid w:val="00A97F29"/>
    <w:rsid w:val="00AA065D"/>
    <w:rsid w:val="00AA0F33"/>
    <w:rsid w:val="00AA702E"/>
    <w:rsid w:val="00AB0964"/>
    <w:rsid w:val="00AB5011"/>
    <w:rsid w:val="00AC7368"/>
    <w:rsid w:val="00AD16B9"/>
    <w:rsid w:val="00AD7592"/>
    <w:rsid w:val="00AE377D"/>
    <w:rsid w:val="00AF0052"/>
    <w:rsid w:val="00AF4882"/>
    <w:rsid w:val="00B10D87"/>
    <w:rsid w:val="00B11ED3"/>
    <w:rsid w:val="00B15CCF"/>
    <w:rsid w:val="00B17FBD"/>
    <w:rsid w:val="00B23D32"/>
    <w:rsid w:val="00B243A5"/>
    <w:rsid w:val="00B26D7D"/>
    <w:rsid w:val="00B26FF9"/>
    <w:rsid w:val="00B305FE"/>
    <w:rsid w:val="00B315A6"/>
    <w:rsid w:val="00B31813"/>
    <w:rsid w:val="00B31872"/>
    <w:rsid w:val="00B33365"/>
    <w:rsid w:val="00B5101E"/>
    <w:rsid w:val="00B52F78"/>
    <w:rsid w:val="00B57B36"/>
    <w:rsid w:val="00B67AC7"/>
    <w:rsid w:val="00B7221A"/>
    <w:rsid w:val="00B73017"/>
    <w:rsid w:val="00B823E7"/>
    <w:rsid w:val="00B8686D"/>
    <w:rsid w:val="00BA617F"/>
    <w:rsid w:val="00BB2CE0"/>
    <w:rsid w:val="00BC30C9"/>
    <w:rsid w:val="00BC30E6"/>
    <w:rsid w:val="00BD204C"/>
    <w:rsid w:val="00BD25D3"/>
    <w:rsid w:val="00BE3E58"/>
    <w:rsid w:val="00BE7525"/>
    <w:rsid w:val="00BF7911"/>
    <w:rsid w:val="00C01616"/>
    <w:rsid w:val="00C0162B"/>
    <w:rsid w:val="00C024C0"/>
    <w:rsid w:val="00C17C81"/>
    <w:rsid w:val="00C33E2D"/>
    <w:rsid w:val="00C345B1"/>
    <w:rsid w:val="00C40142"/>
    <w:rsid w:val="00C415A7"/>
    <w:rsid w:val="00C41AA7"/>
    <w:rsid w:val="00C42E6C"/>
    <w:rsid w:val="00C44B93"/>
    <w:rsid w:val="00C45FCD"/>
    <w:rsid w:val="00C50E81"/>
    <w:rsid w:val="00C55430"/>
    <w:rsid w:val="00C57182"/>
    <w:rsid w:val="00C57863"/>
    <w:rsid w:val="00C655FD"/>
    <w:rsid w:val="00C81215"/>
    <w:rsid w:val="00C85DA3"/>
    <w:rsid w:val="00C870A8"/>
    <w:rsid w:val="00C8718B"/>
    <w:rsid w:val="00C94434"/>
    <w:rsid w:val="00C96712"/>
    <w:rsid w:val="00C97D40"/>
    <w:rsid w:val="00CA0947"/>
    <w:rsid w:val="00CA0D75"/>
    <w:rsid w:val="00CA1C95"/>
    <w:rsid w:val="00CA5A9C"/>
    <w:rsid w:val="00CB207B"/>
    <w:rsid w:val="00CB5CA3"/>
    <w:rsid w:val="00CB6761"/>
    <w:rsid w:val="00CB75B8"/>
    <w:rsid w:val="00CC07E2"/>
    <w:rsid w:val="00CC0A77"/>
    <w:rsid w:val="00CD3517"/>
    <w:rsid w:val="00CD5A00"/>
    <w:rsid w:val="00CD5FE2"/>
    <w:rsid w:val="00CE4F15"/>
    <w:rsid w:val="00CE7C68"/>
    <w:rsid w:val="00CF13C6"/>
    <w:rsid w:val="00D006B8"/>
    <w:rsid w:val="00D02B4C"/>
    <w:rsid w:val="00D03F86"/>
    <w:rsid w:val="00D040C4"/>
    <w:rsid w:val="00D05109"/>
    <w:rsid w:val="00D077BB"/>
    <w:rsid w:val="00D25546"/>
    <w:rsid w:val="00D305AD"/>
    <w:rsid w:val="00D33D08"/>
    <w:rsid w:val="00D35769"/>
    <w:rsid w:val="00D43E60"/>
    <w:rsid w:val="00D47C65"/>
    <w:rsid w:val="00D5430F"/>
    <w:rsid w:val="00D57C84"/>
    <w:rsid w:val="00D6057D"/>
    <w:rsid w:val="00D710DF"/>
    <w:rsid w:val="00D72C18"/>
    <w:rsid w:val="00D74C99"/>
    <w:rsid w:val="00D77038"/>
    <w:rsid w:val="00D77873"/>
    <w:rsid w:val="00D80ACC"/>
    <w:rsid w:val="00D81875"/>
    <w:rsid w:val="00D84576"/>
    <w:rsid w:val="00DA1399"/>
    <w:rsid w:val="00DA24C6"/>
    <w:rsid w:val="00DA2AF4"/>
    <w:rsid w:val="00DA4D7B"/>
    <w:rsid w:val="00DB29CB"/>
    <w:rsid w:val="00DB5DFF"/>
    <w:rsid w:val="00DB6A90"/>
    <w:rsid w:val="00DD6577"/>
    <w:rsid w:val="00DE264A"/>
    <w:rsid w:val="00DF3C66"/>
    <w:rsid w:val="00DF4D5D"/>
    <w:rsid w:val="00E02D18"/>
    <w:rsid w:val="00E041E7"/>
    <w:rsid w:val="00E05BA4"/>
    <w:rsid w:val="00E131B1"/>
    <w:rsid w:val="00E23CA1"/>
    <w:rsid w:val="00E2424A"/>
    <w:rsid w:val="00E26995"/>
    <w:rsid w:val="00E27D2C"/>
    <w:rsid w:val="00E32061"/>
    <w:rsid w:val="00E409A8"/>
    <w:rsid w:val="00E41AAC"/>
    <w:rsid w:val="00E50C12"/>
    <w:rsid w:val="00E64CDD"/>
    <w:rsid w:val="00E65AF8"/>
    <w:rsid w:val="00E65B91"/>
    <w:rsid w:val="00E6784E"/>
    <w:rsid w:val="00E7209D"/>
    <w:rsid w:val="00E720FD"/>
    <w:rsid w:val="00E77223"/>
    <w:rsid w:val="00E80DC3"/>
    <w:rsid w:val="00E82515"/>
    <w:rsid w:val="00E84F5C"/>
    <w:rsid w:val="00E8528B"/>
    <w:rsid w:val="00E85502"/>
    <w:rsid w:val="00E85B94"/>
    <w:rsid w:val="00E872C7"/>
    <w:rsid w:val="00E901C7"/>
    <w:rsid w:val="00E978D0"/>
    <w:rsid w:val="00EA07B0"/>
    <w:rsid w:val="00EA3CAA"/>
    <w:rsid w:val="00EA4613"/>
    <w:rsid w:val="00EA7F91"/>
    <w:rsid w:val="00EB1523"/>
    <w:rsid w:val="00EB3026"/>
    <w:rsid w:val="00EB596C"/>
    <w:rsid w:val="00EC0E49"/>
    <w:rsid w:val="00EC25A8"/>
    <w:rsid w:val="00ED5819"/>
    <w:rsid w:val="00EE0131"/>
    <w:rsid w:val="00EE7FCB"/>
    <w:rsid w:val="00EF6E76"/>
    <w:rsid w:val="00F10D45"/>
    <w:rsid w:val="00F155B2"/>
    <w:rsid w:val="00F2185C"/>
    <w:rsid w:val="00F234BE"/>
    <w:rsid w:val="00F30C64"/>
    <w:rsid w:val="00F32CDB"/>
    <w:rsid w:val="00F342E3"/>
    <w:rsid w:val="00F47634"/>
    <w:rsid w:val="00F562BE"/>
    <w:rsid w:val="00F63A70"/>
    <w:rsid w:val="00F642A5"/>
    <w:rsid w:val="00F65D44"/>
    <w:rsid w:val="00F728A4"/>
    <w:rsid w:val="00F80416"/>
    <w:rsid w:val="00F84A33"/>
    <w:rsid w:val="00FA0EA8"/>
    <w:rsid w:val="00FA21D0"/>
    <w:rsid w:val="00FA54C2"/>
    <w:rsid w:val="00FA5F5F"/>
    <w:rsid w:val="00FB4AF5"/>
    <w:rsid w:val="00FB52E8"/>
    <w:rsid w:val="00FB5EBB"/>
    <w:rsid w:val="00FB730C"/>
    <w:rsid w:val="00FC2695"/>
    <w:rsid w:val="00FC3E03"/>
    <w:rsid w:val="00FC3FC1"/>
    <w:rsid w:val="00FC4A5C"/>
    <w:rsid w:val="00FC7AF3"/>
    <w:rsid w:val="00FE6463"/>
    <w:rsid w:val="00FF0BDB"/>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CETReference-text">
    <w:name w:val="CET Reference-text"/>
    <w:rsid w:val="00F642A5"/>
    <w:pPr>
      <w:spacing w:after="0" w:line="264" w:lineRule="auto"/>
      <w:ind w:left="284" w:hanging="284"/>
      <w:jc w:val="both"/>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40726">
      <w:bodyDiv w:val="1"/>
      <w:marLeft w:val="0"/>
      <w:marRight w:val="0"/>
      <w:marTop w:val="0"/>
      <w:marBottom w:val="0"/>
      <w:divBdr>
        <w:top w:val="none" w:sz="0" w:space="0" w:color="auto"/>
        <w:left w:val="none" w:sz="0" w:space="0" w:color="auto"/>
        <w:bottom w:val="none" w:sz="0" w:space="0" w:color="auto"/>
        <w:right w:val="none" w:sz="0" w:space="0" w:color="auto"/>
      </w:divBdr>
    </w:div>
    <w:div w:id="178547783">
      <w:bodyDiv w:val="1"/>
      <w:marLeft w:val="0"/>
      <w:marRight w:val="0"/>
      <w:marTop w:val="0"/>
      <w:marBottom w:val="0"/>
      <w:divBdr>
        <w:top w:val="none" w:sz="0" w:space="0" w:color="auto"/>
        <w:left w:val="none" w:sz="0" w:space="0" w:color="auto"/>
        <w:bottom w:val="none" w:sz="0" w:space="0" w:color="auto"/>
        <w:right w:val="none" w:sz="0" w:space="0" w:color="auto"/>
      </w:divBdr>
      <w:divsChild>
        <w:div w:id="1532567646">
          <w:marLeft w:val="0"/>
          <w:marRight w:val="0"/>
          <w:marTop w:val="0"/>
          <w:marBottom w:val="0"/>
          <w:divBdr>
            <w:top w:val="none" w:sz="0" w:space="0" w:color="auto"/>
            <w:left w:val="none" w:sz="0" w:space="0" w:color="auto"/>
            <w:bottom w:val="none" w:sz="0" w:space="0" w:color="auto"/>
            <w:right w:val="none" w:sz="0" w:space="0" w:color="auto"/>
          </w:divBdr>
        </w:div>
        <w:div w:id="1083066986">
          <w:marLeft w:val="0"/>
          <w:marRight w:val="0"/>
          <w:marTop w:val="0"/>
          <w:marBottom w:val="0"/>
          <w:divBdr>
            <w:top w:val="none" w:sz="0" w:space="0" w:color="auto"/>
            <w:left w:val="none" w:sz="0" w:space="0" w:color="auto"/>
            <w:bottom w:val="none" w:sz="0" w:space="0" w:color="auto"/>
            <w:right w:val="none" w:sz="0" w:space="0" w:color="auto"/>
          </w:divBdr>
        </w:div>
        <w:div w:id="1950164538">
          <w:marLeft w:val="0"/>
          <w:marRight w:val="0"/>
          <w:marTop w:val="0"/>
          <w:marBottom w:val="0"/>
          <w:divBdr>
            <w:top w:val="none" w:sz="0" w:space="0" w:color="auto"/>
            <w:left w:val="none" w:sz="0" w:space="0" w:color="auto"/>
            <w:bottom w:val="none" w:sz="0" w:space="0" w:color="auto"/>
            <w:right w:val="none" w:sz="0" w:space="0" w:color="auto"/>
          </w:divBdr>
        </w:div>
        <w:div w:id="553124377">
          <w:marLeft w:val="0"/>
          <w:marRight w:val="0"/>
          <w:marTop w:val="0"/>
          <w:marBottom w:val="0"/>
          <w:divBdr>
            <w:top w:val="none" w:sz="0" w:space="0" w:color="auto"/>
            <w:left w:val="none" w:sz="0" w:space="0" w:color="auto"/>
            <w:bottom w:val="none" w:sz="0" w:space="0" w:color="auto"/>
            <w:right w:val="none" w:sz="0" w:space="0" w:color="auto"/>
          </w:divBdr>
        </w:div>
        <w:div w:id="1932079828">
          <w:marLeft w:val="0"/>
          <w:marRight w:val="0"/>
          <w:marTop w:val="0"/>
          <w:marBottom w:val="0"/>
          <w:divBdr>
            <w:top w:val="none" w:sz="0" w:space="0" w:color="auto"/>
            <w:left w:val="none" w:sz="0" w:space="0" w:color="auto"/>
            <w:bottom w:val="none" w:sz="0" w:space="0" w:color="auto"/>
            <w:right w:val="none" w:sz="0" w:space="0" w:color="auto"/>
          </w:divBdr>
        </w:div>
      </w:divsChild>
    </w:div>
    <w:div w:id="347028061">
      <w:bodyDiv w:val="1"/>
      <w:marLeft w:val="0"/>
      <w:marRight w:val="0"/>
      <w:marTop w:val="0"/>
      <w:marBottom w:val="0"/>
      <w:divBdr>
        <w:top w:val="none" w:sz="0" w:space="0" w:color="auto"/>
        <w:left w:val="none" w:sz="0" w:space="0" w:color="auto"/>
        <w:bottom w:val="none" w:sz="0" w:space="0" w:color="auto"/>
        <w:right w:val="none" w:sz="0" w:space="0" w:color="auto"/>
      </w:divBdr>
      <w:divsChild>
        <w:div w:id="1093748162">
          <w:marLeft w:val="0"/>
          <w:marRight w:val="0"/>
          <w:marTop w:val="0"/>
          <w:marBottom w:val="0"/>
          <w:divBdr>
            <w:top w:val="none" w:sz="0" w:space="0" w:color="auto"/>
            <w:left w:val="none" w:sz="0" w:space="0" w:color="auto"/>
            <w:bottom w:val="none" w:sz="0" w:space="0" w:color="auto"/>
            <w:right w:val="none" w:sz="0" w:space="0" w:color="auto"/>
          </w:divBdr>
        </w:div>
        <w:div w:id="969091375">
          <w:marLeft w:val="0"/>
          <w:marRight w:val="0"/>
          <w:marTop w:val="0"/>
          <w:marBottom w:val="0"/>
          <w:divBdr>
            <w:top w:val="none" w:sz="0" w:space="0" w:color="auto"/>
            <w:left w:val="none" w:sz="0" w:space="0" w:color="auto"/>
            <w:bottom w:val="none" w:sz="0" w:space="0" w:color="auto"/>
            <w:right w:val="none" w:sz="0" w:space="0" w:color="auto"/>
          </w:divBdr>
        </w:div>
      </w:divsChild>
    </w:div>
    <w:div w:id="430128103">
      <w:bodyDiv w:val="1"/>
      <w:marLeft w:val="0"/>
      <w:marRight w:val="0"/>
      <w:marTop w:val="0"/>
      <w:marBottom w:val="0"/>
      <w:divBdr>
        <w:top w:val="none" w:sz="0" w:space="0" w:color="auto"/>
        <w:left w:val="none" w:sz="0" w:space="0" w:color="auto"/>
        <w:bottom w:val="none" w:sz="0" w:space="0" w:color="auto"/>
        <w:right w:val="none" w:sz="0" w:space="0" w:color="auto"/>
      </w:divBdr>
    </w:div>
    <w:div w:id="76587896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4348">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6659">
      <w:bodyDiv w:val="1"/>
      <w:marLeft w:val="0"/>
      <w:marRight w:val="0"/>
      <w:marTop w:val="0"/>
      <w:marBottom w:val="0"/>
      <w:divBdr>
        <w:top w:val="none" w:sz="0" w:space="0" w:color="auto"/>
        <w:left w:val="none" w:sz="0" w:space="0" w:color="auto"/>
        <w:bottom w:val="none" w:sz="0" w:space="0" w:color="auto"/>
        <w:right w:val="none" w:sz="0" w:space="0" w:color="auto"/>
      </w:divBdr>
      <w:divsChild>
        <w:div w:id="522977579">
          <w:marLeft w:val="0"/>
          <w:marRight w:val="0"/>
          <w:marTop w:val="0"/>
          <w:marBottom w:val="0"/>
          <w:divBdr>
            <w:top w:val="none" w:sz="0" w:space="0" w:color="auto"/>
            <w:left w:val="none" w:sz="0" w:space="0" w:color="auto"/>
            <w:bottom w:val="none" w:sz="0" w:space="0" w:color="auto"/>
            <w:right w:val="none" w:sz="0" w:space="0" w:color="auto"/>
          </w:divBdr>
        </w:div>
        <w:div w:id="1603955388">
          <w:marLeft w:val="0"/>
          <w:marRight w:val="0"/>
          <w:marTop w:val="0"/>
          <w:marBottom w:val="0"/>
          <w:divBdr>
            <w:top w:val="none" w:sz="0" w:space="0" w:color="auto"/>
            <w:left w:val="none" w:sz="0" w:space="0" w:color="auto"/>
            <w:bottom w:val="none" w:sz="0" w:space="0" w:color="auto"/>
            <w:right w:val="none" w:sz="0" w:space="0" w:color="auto"/>
          </w:divBdr>
        </w:div>
        <w:div w:id="1746029813">
          <w:marLeft w:val="0"/>
          <w:marRight w:val="0"/>
          <w:marTop w:val="0"/>
          <w:marBottom w:val="0"/>
          <w:divBdr>
            <w:top w:val="none" w:sz="0" w:space="0" w:color="auto"/>
            <w:left w:val="none" w:sz="0" w:space="0" w:color="auto"/>
            <w:bottom w:val="none" w:sz="0" w:space="0" w:color="auto"/>
            <w:right w:val="none" w:sz="0" w:space="0" w:color="auto"/>
          </w:divBdr>
        </w:div>
        <w:div w:id="1794051910">
          <w:marLeft w:val="0"/>
          <w:marRight w:val="0"/>
          <w:marTop w:val="0"/>
          <w:marBottom w:val="0"/>
          <w:divBdr>
            <w:top w:val="none" w:sz="0" w:space="0" w:color="auto"/>
            <w:left w:val="none" w:sz="0" w:space="0" w:color="auto"/>
            <w:bottom w:val="none" w:sz="0" w:space="0" w:color="auto"/>
            <w:right w:val="none" w:sz="0" w:space="0" w:color="auto"/>
          </w:divBdr>
        </w:div>
        <w:div w:id="2134470724">
          <w:marLeft w:val="0"/>
          <w:marRight w:val="0"/>
          <w:marTop w:val="0"/>
          <w:marBottom w:val="0"/>
          <w:divBdr>
            <w:top w:val="none" w:sz="0" w:space="0" w:color="auto"/>
            <w:left w:val="none" w:sz="0" w:space="0" w:color="auto"/>
            <w:bottom w:val="none" w:sz="0" w:space="0" w:color="auto"/>
            <w:right w:val="none" w:sz="0" w:space="0" w:color="auto"/>
          </w:divBdr>
        </w:div>
        <w:div w:id="2081752701">
          <w:marLeft w:val="0"/>
          <w:marRight w:val="0"/>
          <w:marTop w:val="0"/>
          <w:marBottom w:val="0"/>
          <w:divBdr>
            <w:top w:val="none" w:sz="0" w:space="0" w:color="auto"/>
            <w:left w:val="none" w:sz="0" w:space="0" w:color="auto"/>
            <w:bottom w:val="none" w:sz="0" w:space="0" w:color="auto"/>
            <w:right w:val="none" w:sz="0" w:space="0" w:color="auto"/>
          </w:divBdr>
        </w:div>
        <w:div w:id="1918977237">
          <w:marLeft w:val="0"/>
          <w:marRight w:val="0"/>
          <w:marTop w:val="0"/>
          <w:marBottom w:val="0"/>
          <w:divBdr>
            <w:top w:val="none" w:sz="0" w:space="0" w:color="auto"/>
            <w:left w:val="none" w:sz="0" w:space="0" w:color="auto"/>
            <w:bottom w:val="none" w:sz="0" w:space="0" w:color="auto"/>
            <w:right w:val="none" w:sz="0" w:space="0" w:color="auto"/>
          </w:divBdr>
        </w:div>
        <w:div w:id="1167672898">
          <w:marLeft w:val="0"/>
          <w:marRight w:val="0"/>
          <w:marTop w:val="0"/>
          <w:marBottom w:val="0"/>
          <w:divBdr>
            <w:top w:val="none" w:sz="0" w:space="0" w:color="auto"/>
            <w:left w:val="none" w:sz="0" w:space="0" w:color="auto"/>
            <w:bottom w:val="none" w:sz="0" w:space="0" w:color="auto"/>
            <w:right w:val="none" w:sz="0" w:space="0" w:color="auto"/>
          </w:divBdr>
        </w:div>
        <w:div w:id="1819151444">
          <w:marLeft w:val="0"/>
          <w:marRight w:val="0"/>
          <w:marTop w:val="0"/>
          <w:marBottom w:val="0"/>
          <w:divBdr>
            <w:top w:val="none" w:sz="0" w:space="0" w:color="auto"/>
            <w:left w:val="none" w:sz="0" w:space="0" w:color="auto"/>
            <w:bottom w:val="none" w:sz="0" w:space="0" w:color="auto"/>
            <w:right w:val="none" w:sz="0" w:space="0" w:color="auto"/>
          </w:divBdr>
        </w:div>
        <w:div w:id="138425617">
          <w:marLeft w:val="0"/>
          <w:marRight w:val="0"/>
          <w:marTop w:val="0"/>
          <w:marBottom w:val="0"/>
          <w:divBdr>
            <w:top w:val="none" w:sz="0" w:space="0" w:color="auto"/>
            <w:left w:val="none" w:sz="0" w:space="0" w:color="auto"/>
            <w:bottom w:val="none" w:sz="0" w:space="0" w:color="auto"/>
            <w:right w:val="none" w:sz="0" w:space="0" w:color="auto"/>
          </w:divBdr>
        </w:div>
        <w:div w:id="1741054331">
          <w:marLeft w:val="0"/>
          <w:marRight w:val="0"/>
          <w:marTop w:val="0"/>
          <w:marBottom w:val="0"/>
          <w:divBdr>
            <w:top w:val="none" w:sz="0" w:space="0" w:color="auto"/>
            <w:left w:val="none" w:sz="0" w:space="0" w:color="auto"/>
            <w:bottom w:val="none" w:sz="0" w:space="0" w:color="auto"/>
            <w:right w:val="none" w:sz="0" w:space="0" w:color="auto"/>
          </w:divBdr>
        </w:div>
      </w:divsChild>
    </w:div>
    <w:div w:id="1251965089">
      <w:bodyDiv w:val="1"/>
      <w:marLeft w:val="0"/>
      <w:marRight w:val="0"/>
      <w:marTop w:val="0"/>
      <w:marBottom w:val="0"/>
      <w:divBdr>
        <w:top w:val="none" w:sz="0" w:space="0" w:color="auto"/>
        <w:left w:val="none" w:sz="0" w:space="0" w:color="auto"/>
        <w:bottom w:val="none" w:sz="0" w:space="0" w:color="auto"/>
        <w:right w:val="none" w:sz="0" w:space="0" w:color="auto"/>
      </w:divBdr>
    </w:div>
    <w:div w:id="1350524871">
      <w:bodyDiv w:val="1"/>
      <w:marLeft w:val="0"/>
      <w:marRight w:val="0"/>
      <w:marTop w:val="0"/>
      <w:marBottom w:val="0"/>
      <w:divBdr>
        <w:top w:val="none" w:sz="0" w:space="0" w:color="auto"/>
        <w:left w:val="none" w:sz="0" w:space="0" w:color="auto"/>
        <w:bottom w:val="none" w:sz="0" w:space="0" w:color="auto"/>
        <w:right w:val="none" w:sz="0" w:space="0" w:color="auto"/>
      </w:divBdr>
    </w:div>
    <w:div w:id="1399089612">
      <w:bodyDiv w:val="1"/>
      <w:marLeft w:val="0"/>
      <w:marRight w:val="0"/>
      <w:marTop w:val="0"/>
      <w:marBottom w:val="0"/>
      <w:divBdr>
        <w:top w:val="none" w:sz="0" w:space="0" w:color="auto"/>
        <w:left w:val="none" w:sz="0" w:space="0" w:color="auto"/>
        <w:bottom w:val="none" w:sz="0" w:space="0" w:color="auto"/>
        <w:right w:val="none" w:sz="0" w:space="0" w:color="auto"/>
      </w:divBdr>
    </w:div>
    <w:div w:id="1507016772">
      <w:bodyDiv w:val="1"/>
      <w:marLeft w:val="0"/>
      <w:marRight w:val="0"/>
      <w:marTop w:val="0"/>
      <w:marBottom w:val="0"/>
      <w:divBdr>
        <w:top w:val="none" w:sz="0" w:space="0" w:color="auto"/>
        <w:left w:val="none" w:sz="0" w:space="0" w:color="auto"/>
        <w:bottom w:val="none" w:sz="0" w:space="0" w:color="auto"/>
        <w:right w:val="none" w:sz="0" w:space="0" w:color="auto"/>
      </w:divBdr>
    </w:div>
    <w:div w:id="1549606157">
      <w:bodyDiv w:val="1"/>
      <w:marLeft w:val="0"/>
      <w:marRight w:val="0"/>
      <w:marTop w:val="0"/>
      <w:marBottom w:val="0"/>
      <w:divBdr>
        <w:top w:val="none" w:sz="0" w:space="0" w:color="auto"/>
        <w:left w:val="none" w:sz="0" w:space="0" w:color="auto"/>
        <w:bottom w:val="none" w:sz="0" w:space="0" w:color="auto"/>
        <w:right w:val="none" w:sz="0" w:space="0" w:color="auto"/>
      </w:divBdr>
      <w:divsChild>
        <w:div w:id="1353069639">
          <w:marLeft w:val="0"/>
          <w:marRight w:val="0"/>
          <w:marTop w:val="0"/>
          <w:marBottom w:val="0"/>
          <w:divBdr>
            <w:top w:val="none" w:sz="0" w:space="0" w:color="auto"/>
            <w:left w:val="none" w:sz="0" w:space="0" w:color="auto"/>
            <w:bottom w:val="none" w:sz="0" w:space="0" w:color="auto"/>
            <w:right w:val="none" w:sz="0" w:space="0" w:color="auto"/>
          </w:divBdr>
        </w:div>
        <w:div w:id="522668410">
          <w:marLeft w:val="0"/>
          <w:marRight w:val="0"/>
          <w:marTop w:val="0"/>
          <w:marBottom w:val="0"/>
          <w:divBdr>
            <w:top w:val="none" w:sz="0" w:space="0" w:color="auto"/>
            <w:left w:val="none" w:sz="0" w:space="0" w:color="auto"/>
            <w:bottom w:val="none" w:sz="0" w:space="0" w:color="auto"/>
            <w:right w:val="none" w:sz="0" w:space="0" w:color="auto"/>
          </w:divBdr>
        </w:div>
      </w:divsChild>
    </w:div>
    <w:div w:id="160322234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7108">
      <w:bodyDiv w:val="1"/>
      <w:marLeft w:val="0"/>
      <w:marRight w:val="0"/>
      <w:marTop w:val="0"/>
      <w:marBottom w:val="0"/>
      <w:divBdr>
        <w:top w:val="none" w:sz="0" w:space="0" w:color="auto"/>
        <w:left w:val="none" w:sz="0" w:space="0" w:color="auto"/>
        <w:bottom w:val="none" w:sz="0" w:space="0" w:color="auto"/>
        <w:right w:val="none" w:sz="0" w:space="0" w:color="auto"/>
      </w:divBdr>
      <w:divsChild>
        <w:div w:id="1735396121">
          <w:marLeft w:val="0"/>
          <w:marRight w:val="0"/>
          <w:marTop w:val="0"/>
          <w:marBottom w:val="0"/>
          <w:divBdr>
            <w:top w:val="none" w:sz="0" w:space="0" w:color="auto"/>
            <w:left w:val="none" w:sz="0" w:space="0" w:color="auto"/>
            <w:bottom w:val="none" w:sz="0" w:space="0" w:color="auto"/>
            <w:right w:val="none" w:sz="0" w:space="0" w:color="auto"/>
          </w:divBdr>
        </w:div>
        <w:div w:id="1219780317">
          <w:marLeft w:val="0"/>
          <w:marRight w:val="0"/>
          <w:marTop w:val="0"/>
          <w:marBottom w:val="0"/>
          <w:divBdr>
            <w:top w:val="none" w:sz="0" w:space="0" w:color="auto"/>
            <w:left w:val="none" w:sz="0" w:space="0" w:color="auto"/>
            <w:bottom w:val="none" w:sz="0" w:space="0" w:color="auto"/>
            <w:right w:val="none" w:sz="0" w:space="0" w:color="auto"/>
          </w:divBdr>
        </w:div>
        <w:div w:id="1825000535">
          <w:marLeft w:val="0"/>
          <w:marRight w:val="0"/>
          <w:marTop w:val="0"/>
          <w:marBottom w:val="0"/>
          <w:divBdr>
            <w:top w:val="none" w:sz="0" w:space="0" w:color="auto"/>
            <w:left w:val="none" w:sz="0" w:space="0" w:color="auto"/>
            <w:bottom w:val="none" w:sz="0" w:space="0" w:color="auto"/>
            <w:right w:val="none" w:sz="0" w:space="0" w:color="auto"/>
          </w:divBdr>
        </w:div>
        <w:div w:id="1334720318">
          <w:marLeft w:val="0"/>
          <w:marRight w:val="0"/>
          <w:marTop w:val="0"/>
          <w:marBottom w:val="0"/>
          <w:divBdr>
            <w:top w:val="none" w:sz="0" w:space="0" w:color="auto"/>
            <w:left w:val="none" w:sz="0" w:space="0" w:color="auto"/>
            <w:bottom w:val="none" w:sz="0" w:space="0" w:color="auto"/>
            <w:right w:val="none" w:sz="0" w:space="0" w:color="auto"/>
          </w:divBdr>
        </w:div>
      </w:divsChild>
    </w:div>
    <w:div w:id="191623476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B4C4B-FEE3-4D49-9FBF-A0EB6FD3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2805</Words>
  <Characters>15995</Characters>
  <Application>Microsoft Office Word</Application>
  <DocSecurity>0</DocSecurity>
  <Lines>133</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Claudio Ampelli</cp:lastModifiedBy>
  <cp:revision>4</cp:revision>
  <cp:lastPrinted>2019-04-10T13:42:00Z</cp:lastPrinted>
  <dcterms:created xsi:type="dcterms:W3CDTF">2019-04-10T13:41:00Z</dcterms:created>
  <dcterms:modified xsi:type="dcterms:W3CDTF">2019-04-10T13:44:00Z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