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02DD57B4" w14:textId="77777777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559A4E8F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212FF10A" wp14:editId="473EE054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1BC4B22C" w14:textId="77777777" w:rsidR="000A03B2" w:rsidRPr="00B57B36" w:rsidRDefault="00A76EFC" w:rsidP="009635B9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VOL. 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7</w:t>
            </w:r>
            <w:r w:rsidR="009635B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6</w:t>
            </w:r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 201</w:t>
            </w:r>
            <w:r w:rsidR="007931FA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9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3F3FCE0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223914BD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230CC3C" wp14:editId="3517EBD8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399B8F9" w14:textId="77777777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007A3AFC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C357790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5A38D1FB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50DC6EF6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 xml:space="preserve">Online at </w:t>
            </w:r>
            <w:r w:rsidR="00892AD5" w:rsidRPr="00963E05">
              <w:rPr>
                <w:rFonts w:cs="Arial"/>
                <w:sz w:val="14"/>
                <w:szCs w:val="14"/>
              </w:rPr>
              <w:t>www.aidic.it/cet</w:t>
            </w:r>
          </w:p>
        </w:tc>
      </w:tr>
      <w:tr w:rsidR="000A03B2" w:rsidRPr="00B57B36" w14:paraId="2BFB3579" w14:textId="77777777">
        <w:trPr>
          <w:trHeight w:val="68"/>
          <w:jc w:val="center"/>
        </w:trPr>
        <w:tc>
          <w:tcPr>
            <w:tcW w:w="8789" w:type="dxa"/>
            <w:gridSpan w:val="2"/>
          </w:tcPr>
          <w:p w14:paraId="2B59E7A0" w14:textId="77777777" w:rsidR="00300E56" w:rsidRPr="00252C1A" w:rsidRDefault="00300E56" w:rsidP="003365E3">
            <w:pPr>
              <w:ind w:left="-107"/>
              <w:rPr>
                <w:lang w:val="it-IT"/>
              </w:rPr>
            </w:pPr>
            <w:r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="00904C62" w:rsidRPr="00252C1A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 xml:space="preserve"> </w:t>
            </w:r>
            <w:r w:rsidR="009635B9" w:rsidRPr="00252C1A">
              <w:rPr>
                <w:rFonts w:ascii="Tahoma" w:hAnsi="Tahoma" w:cs="Tahoma"/>
                <w:sz w:val="14"/>
                <w:szCs w:val="14"/>
                <w:lang w:val="it-IT"/>
              </w:rPr>
              <w:t>Sauro Pierucci,</w:t>
            </w:r>
            <w:r w:rsidR="003B60F3" w:rsidRPr="00252C1A">
              <w:rPr>
                <w:rFonts w:ascii="Tahoma" w:hAnsi="Tahoma" w:cs="Tahoma"/>
                <w:sz w:val="14"/>
                <w:szCs w:val="14"/>
                <w:lang w:val="it-IT"/>
              </w:rPr>
              <w:t xml:space="preserve"> </w:t>
            </w:r>
            <w:r w:rsidR="00047D7F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Jiří Jaromír Klemeš</w:t>
            </w:r>
            <w:r w:rsid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, Lau</w:t>
            </w:r>
            <w:r w:rsidR="00252C1A" w:rsidRPr="00252C1A">
              <w:rPr>
                <w:rFonts w:ascii="Tahoma" w:hAnsi="Tahoma" w:cs="Tahoma"/>
                <w:sz w:val="14"/>
                <w:szCs w:val="14"/>
                <w:shd w:val="clear" w:color="auto" w:fill="FFFFFF"/>
                <w:lang w:val="it-IT"/>
              </w:rPr>
              <w:t>ra Piazza</w:t>
            </w:r>
          </w:p>
          <w:p w14:paraId="33179D53" w14:textId="77777777" w:rsidR="000A03B2" w:rsidRPr="00B57B36" w:rsidRDefault="00FA5F5F" w:rsidP="00131FAB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201</w:t>
            </w:r>
            <w:r w:rsidR="007931FA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9</w:t>
            </w:r>
            <w:r w:rsidR="00904C62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, AIDIC Servizi S.r.l.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="00300E56"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="00300E56"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978-88-95608-</w:t>
            </w:r>
            <w:r w:rsidR="009635B9">
              <w:rPr>
                <w:rFonts w:ascii="Tahoma" w:hAnsi="Tahoma" w:cs="Tahoma"/>
                <w:sz w:val="14"/>
                <w:szCs w:val="14"/>
              </w:rPr>
              <w:t>73</w:t>
            </w:r>
            <w:r w:rsidR="008D32B9" w:rsidRPr="00131FAB">
              <w:rPr>
                <w:rFonts w:ascii="Tahoma" w:hAnsi="Tahoma" w:cs="Tahoma"/>
                <w:sz w:val="14"/>
                <w:szCs w:val="14"/>
              </w:rPr>
              <w:t>-</w:t>
            </w:r>
            <w:r w:rsidR="009635B9">
              <w:rPr>
                <w:rFonts w:ascii="Tahoma" w:hAnsi="Tahoma" w:cs="Tahoma"/>
                <w:sz w:val="14"/>
                <w:szCs w:val="14"/>
              </w:rPr>
              <w:t>0</w:t>
            </w:r>
            <w:r w:rsidR="00300E56" w:rsidRPr="00131FAB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="00300E56"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="00300E56"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5F3F1EE6" w14:textId="77777777" w:rsidR="000A03B2" w:rsidRPr="00B57B36" w:rsidRDefault="000A03B2" w:rsidP="000A03B2">
      <w:pPr>
        <w:pStyle w:val="CETAuthors"/>
        <w:sectPr w:rsidR="000A03B2" w:rsidRPr="00B57B36">
          <w:type w:val="continuous"/>
          <w:pgSz w:w="11906" w:h="16838" w:code="9"/>
          <w:pgMar w:top="1701" w:right="1418" w:bottom="1701" w:left="1701" w:header="1701" w:footer="0" w:gutter="0"/>
          <w:cols w:space="708"/>
          <w:titlePg/>
          <w:docGrid w:linePitch="360"/>
        </w:sectPr>
      </w:pPr>
    </w:p>
    <w:p w14:paraId="221BCAAF" w14:textId="6257CFA4" w:rsidR="00E978D0" w:rsidRPr="00B57B36" w:rsidRDefault="00BC6803" w:rsidP="00BC6803">
      <w:pPr>
        <w:pStyle w:val="CETTitle"/>
      </w:pPr>
      <w:r>
        <w:lastRenderedPageBreak/>
        <w:t xml:space="preserve">Gas separation Hollow Fiber Membranes: Processing conditions for manipulating morphology </w:t>
      </w:r>
      <w:bookmarkStart w:id="0" w:name="_GoBack"/>
      <w:bookmarkEnd w:id="0"/>
      <w:r>
        <w:t>and performance</w:t>
      </w:r>
    </w:p>
    <w:p w14:paraId="1F3B5905" w14:textId="172F4A78" w:rsidR="00E978D0" w:rsidRPr="00097F5A" w:rsidRDefault="00097F5A" w:rsidP="00AB5011">
      <w:pPr>
        <w:pStyle w:val="CETAuthors"/>
        <w:rPr>
          <w:color w:val="C00000"/>
          <w:lang w:val="it-IT"/>
        </w:rPr>
      </w:pPr>
      <w:r w:rsidRPr="00097F5A">
        <w:rPr>
          <w:lang w:val="it-IT"/>
        </w:rPr>
        <w:t>Paola Bernardo*, Franco Tasselli,</w:t>
      </w:r>
      <w:r w:rsidR="00600535" w:rsidRPr="00097F5A">
        <w:rPr>
          <w:lang w:val="it-IT"/>
        </w:rPr>
        <w:t xml:space="preserve"> </w:t>
      </w:r>
      <w:r w:rsidR="00677771">
        <w:rPr>
          <w:lang w:val="it-IT"/>
        </w:rPr>
        <w:t>Gabriele Clarizia</w:t>
      </w:r>
    </w:p>
    <w:p w14:paraId="42D2C632" w14:textId="77777777" w:rsidR="00E978D0" w:rsidRPr="00BC6803" w:rsidRDefault="00BC6803" w:rsidP="00BC6803">
      <w:pPr>
        <w:pStyle w:val="CETAddress"/>
        <w:rPr>
          <w:lang w:val="it-IT"/>
        </w:rPr>
      </w:pPr>
      <w:r w:rsidRPr="00BC6803">
        <w:rPr>
          <w:lang w:val="it-IT"/>
        </w:rPr>
        <w:t>Istituto per la Tecnologia delle Membrane, Consiglio Nazionale delle Ricerche</w:t>
      </w:r>
      <w:r>
        <w:rPr>
          <w:lang w:val="it-IT"/>
        </w:rPr>
        <w:t>, v</w:t>
      </w:r>
      <w:r w:rsidRPr="00BC6803">
        <w:rPr>
          <w:lang w:val="it-IT"/>
        </w:rPr>
        <w:t>ia P. Bu</w:t>
      </w:r>
      <w:r>
        <w:rPr>
          <w:lang w:val="it-IT"/>
        </w:rPr>
        <w:t>cci 17/c, 87036 Rende CS, Italy</w:t>
      </w:r>
      <w:r w:rsidR="00E978D0" w:rsidRPr="00BC6803">
        <w:rPr>
          <w:lang w:val="it-IT"/>
        </w:rPr>
        <w:t xml:space="preserve"> </w:t>
      </w:r>
    </w:p>
    <w:p w14:paraId="2B0A3A8A" w14:textId="01F21A21" w:rsidR="00E978D0" w:rsidRPr="00097F5A" w:rsidRDefault="00BC6803" w:rsidP="00E978D0">
      <w:pPr>
        <w:pStyle w:val="CETemail"/>
        <w:rPr>
          <w:color w:val="C00000"/>
        </w:rPr>
      </w:pPr>
      <w:r w:rsidRPr="009B2998">
        <w:rPr>
          <w:rStyle w:val="Collegamentoipertestuale"/>
        </w:rPr>
        <w:t>p.bernardo@itm.cnr.it</w:t>
      </w:r>
    </w:p>
    <w:p w14:paraId="427499D2" w14:textId="39AB7E4F" w:rsidR="009B2998" w:rsidRPr="009B2998" w:rsidRDefault="009B2998" w:rsidP="00F870DD">
      <w:pPr>
        <w:pStyle w:val="CETBodytext"/>
        <w:rPr>
          <w:lang w:val="en-GB"/>
        </w:rPr>
      </w:pPr>
      <w:r w:rsidRPr="009B2998">
        <w:rPr>
          <w:lang w:val="en-GB"/>
        </w:rPr>
        <w:t xml:space="preserve">Currently, membrane unit operations are widely applied at industrial level, replacing conventional separation systems. Membrane gas separation represents a successful case, with an increasing number of installed plants in chemical processes, petrochemical plants and </w:t>
      </w:r>
      <w:r w:rsidRPr="00C64646">
        <w:rPr>
          <w:color w:val="000000" w:themeColor="text1"/>
          <w:lang w:val="en-GB"/>
        </w:rPr>
        <w:t xml:space="preserve">refineries </w:t>
      </w:r>
      <w:r w:rsidR="00F870DD" w:rsidRPr="00C64646">
        <w:rPr>
          <w:color w:val="000000" w:themeColor="text1"/>
          <w:lang w:val="en-GB"/>
        </w:rPr>
        <w:t>for the production of nitrogen from air</w:t>
      </w:r>
      <w:r w:rsidRPr="00C64646">
        <w:rPr>
          <w:color w:val="000000" w:themeColor="text1"/>
          <w:lang w:val="en-GB"/>
        </w:rPr>
        <w:t xml:space="preserve">, the hydrogen separation and recovery and the carbon dioxide separation from natural gas. Owing to the low </w:t>
      </w:r>
      <w:r w:rsidR="009C1512" w:rsidRPr="00C64646">
        <w:rPr>
          <w:color w:val="000000" w:themeColor="text1"/>
          <w:lang w:val="en-GB"/>
        </w:rPr>
        <w:t xml:space="preserve">space </w:t>
      </w:r>
      <w:r w:rsidRPr="00C64646">
        <w:rPr>
          <w:color w:val="000000" w:themeColor="text1"/>
          <w:lang w:val="en-GB"/>
        </w:rPr>
        <w:t xml:space="preserve">footprint and </w:t>
      </w:r>
      <w:r w:rsidR="00F870DD" w:rsidRPr="00C64646">
        <w:rPr>
          <w:color w:val="000000" w:themeColor="text1"/>
          <w:lang w:val="en-GB"/>
        </w:rPr>
        <w:t xml:space="preserve">low </w:t>
      </w:r>
      <w:r w:rsidR="009C1512" w:rsidRPr="00C64646">
        <w:rPr>
          <w:color w:val="000000" w:themeColor="text1"/>
          <w:lang w:val="en-GB"/>
        </w:rPr>
        <w:t xml:space="preserve">energy </w:t>
      </w:r>
      <w:r w:rsidRPr="00C64646">
        <w:rPr>
          <w:color w:val="000000" w:themeColor="text1"/>
          <w:lang w:val="en-GB"/>
        </w:rPr>
        <w:t xml:space="preserve">consumption, membrane separation is </w:t>
      </w:r>
      <w:r w:rsidRPr="009B2998">
        <w:rPr>
          <w:lang w:val="en-GB"/>
        </w:rPr>
        <w:t>an environmental friendly technique that meets the Process Intensification requirements</w:t>
      </w:r>
      <w:r w:rsidR="00F870DD" w:rsidRPr="00F870DD">
        <w:rPr>
          <w:lang w:val="en-GB"/>
        </w:rPr>
        <w:t>.</w:t>
      </w:r>
    </w:p>
    <w:p w14:paraId="0E3DF764" w14:textId="6EBE1CE8" w:rsidR="009B2998" w:rsidRPr="00A07525" w:rsidRDefault="009B2998" w:rsidP="009B2998">
      <w:pPr>
        <w:pStyle w:val="CETBodytext"/>
        <w:rPr>
          <w:lang w:val="en-GB"/>
        </w:rPr>
      </w:pPr>
      <w:r w:rsidRPr="009B2998">
        <w:rPr>
          <w:lang w:val="en-GB"/>
        </w:rPr>
        <w:t xml:space="preserve">The present study concentrates on the hollow fiber (HF) configuration that is the most used in applications of industrial interest. HF modules, having a high membrane packing density, are compact devices with thousands of </w:t>
      </w:r>
      <w:r w:rsidRPr="00A07525">
        <w:rPr>
          <w:lang w:val="en-GB"/>
        </w:rPr>
        <w:t xml:space="preserve">square meters of membrane area per unit of volume. </w:t>
      </w:r>
    </w:p>
    <w:p w14:paraId="7A487298" w14:textId="05C8CFE2" w:rsidR="00600535" w:rsidRPr="009B2998" w:rsidRDefault="009B2998" w:rsidP="009B2998">
      <w:pPr>
        <w:pStyle w:val="CETBodytext"/>
        <w:rPr>
          <w:lang w:val="en-GB"/>
        </w:rPr>
      </w:pPr>
      <w:r w:rsidRPr="00A07525">
        <w:rPr>
          <w:lang w:val="en-GB"/>
        </w:rPr>
        <w:t>The required membranes have an asymmetric structure, in which a thin dense layer performs the separation and a porous substructure provides the needed mechanical resistance. The manipulation of the HFs morphology, according to a dry-wet spinning process in a pilot plant apparatus, investigating the effect of the operating</w:t>
      </w:r>
      <w:r w:rsidRPr="009B2998">
        <w:rPr>
          <w:lang w:val="en-GB"/>
        </w:rPr>
        <w:t xml:space="preserve"> conditions adopted for the spinning on the membrane performance and microstructure, is experi-mentally examined. Commercially available glassy polymers are used to make a comparison of a conventional double orifice spinneret with a triple orifice spinneret. </w:t>
      </w:r>
      <w:r w:rsidR="00A07525">
        <w:rPr>
          <w:lang w:val="en-GB"/>
        </w:rPr>
        <w:t xml:space="preserve">The prepared HF batches are characterized </w:t>
      </w:r>
      <w:r w:rsidRPr="009B2998">
        <w:rPr>
          <w:lang w:val="en-GB"/>
        </w:rPr>
        <w:t xml:space="preserve">by means of a morphological characterization </w:t>
      </w:r>
      <w:r w:rsidRPr="00FB23D0">
        <w:rPr>
          <w:lang w:val="en-GB"/>
        </w:rPr>
        <w:t>(SEM analysis)</w:t>
      </w:r>
      <w:r w:rsidRPr="009B2998">
        <w:rPr>
          <w:lang w:val="en-GB"/>
        </w:rPr>
        <w:t xml:space="preserve"> and gas permeation rate measurements.</w:t>
      </w:r>
    </w:p>
    <w:p w14:paraId="51D78365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Introduction</w:t>
      </w:r>
    </w:p>
    <w:p w14:paraId="3710B509" w14:textId="77777777" w:rsidR="0042725A" w:rsidRPr="00C71A94" w:rsidRDefault="007923CE" w:rsidP="007F2E38">
      <w:pPr>
        <w:pStyle w:val="CETListbullets"/>
        <w:ind w:left="0" w:firstLine="0"/>
      </w:pPr>
      <w:r w:rsidRPr="003F6221">
        <w:t xml:space="preserve">Membrane gas separation is </w:t>
      </w:r>
      <w:r w:rsidR="003F6221" w:rsidRPr="003F6221">
        <w:t xml:space="preserve">recognized as </w:t>
      </w:r>
      <w:r w:rsidRPr="003F6221">
        <w:t xml:space="preserve">a </w:t>
      </w:r>
      <w:r w:rsidR="003F6221" w:rsidRPr="003F6221">
        <w:t>valuable</w:t>
      </w:r>
      <w:r w:rsidRPr="003F6221">
        <w:t xml:space="preserve"> alternative to conventional energy-intensive separation processes such as distillation or </w:t>
      </w:r>
      <w:r w:rsidRPr="00B352ED">
        <w:t>a</w:t>
      </w:r>
      <w:r w:rsidR="003F6221" w:rsidRPr="00B352ED">
        <w:t>d</w:t>
      </w:r>
      <w:r w:rsidRPr="00B352ED">
        <w:t xml:space="preserve">sorption </w:t>
      </w:r>
      <w:r w:rsidR="001F4347" w:rsidRPr="00B352ED">
        <w:t>(Bernardo et al., 2009)</w:t>
      </w:r>
      <w:r w:rsidRPr="00B352ED">
        <w:t xml:space="preserve">. </w:t>
      </w:r>
      <w:r w:rsidR="003F6221" w:rsidRPr="00B352ED">
        <w:t>Currently</w:t>
      </w:r>
      <w:r w:rsidRPr="00B352ED">
        <w:t xml:space="preserve">, </w:t>
      </w:r>
      <w:r w:rsidR="003F6221" w:rsidRPr="00B352ED">
        <w:t xml:space="preserve">membrane plants are installed in </w:t>
      </w:r>
      <w:r w:rsidRPr="00B352ED">
        <w:t xml:space="preserve">different </w:t>
      </w:r>
      <w:r w:rsidR="003F6221" w:rsidRPr="00B352ED">
        <w:t>industrial sectors</w:t>
      </w:r>
      <w:r w:rsidR="00201AED">
        <w:t xml:space="preserve"> for gas and vapour </w:t>
      </w:r>
      <w:r w:rsidR="00C71A94">
        <w:t>separation</w:t>
      </w:r>
      <w:r w:rsidR="003F6221" w:rsidRPr="00B352ED">
        <w:t xml:space="preserve">. They </w:t>
      </w:r>
      <w:r w:rsidRPr="00B352ED">
        <w:t>cover</w:t>
      </w:r>
      <w:r w:rsidR="003F6221" w:rsidRPr="00B352ED">
        <w:t xml:space="preserve"> a wide range of applications such as </w:t>
      </w:r>
      <w:r w:rsidRPr="00B352ED">
        <w:t>hydrogen recovery in refineries, natural gas sweetening and biogas upgrading</w:t>
      </w:r>
      <w:r w:rsidR="00201AED">
        <w:t>, VOC recovery</w:t>
      </w:r>
      <w:r w:rsidR="003F6221" w:rsidRPr="00B352ED">
        <w:t xml:space="preserve"> and air separation</w:t>
      </w:r>
      <w:r w:rsidR="001F4347" w:rsidRPr="00B352ED">
        <w:t xml:space="preserve"> (Bernardo and Clarizia, 2013)</w:t>
      </w:r>
      <w:r w:rsidRPr="00B352ED">
        <w:t xml:space="preserve">. </w:t>
      </w:r>
      <w:r w:rsidR="0042725A" w:rsidRPr="00B352ED">
        <w:t xml:space="preserve">The integration of </w:t>
      </w:r>
      <w:r w:rsidR="0042725A" w:rsidRPr="00C71A94">
        <w:t xml:space="preserve">membrane systems with conventional operations is also </w:t>
      </w:r>
      <w:r w:rsidR="00201AED" w:rsidRPr="00C71A94">
        <w:t>considered</w:t>
      </w:r>
      <w:r w:rsidR="00896C37" w:rsidRPr="00C71A94">
        <w:t xml:space="preserve"> to intensify separations</w:t>
      </w:r>
      <w:r w:rsidR="0042725A" w:rsidRPr="00C71A94">
        <w:t xml:space="preserve"> </w:t>
      </w:r>
      <w:r w:rsidR="00994E2F">
        <w:t xml:space="preserve">for a successfully application at industrial level </w:t>
      </w:r>
      <w:r w:rsidR="001F4347" w:rsidRPr="00C71A94">
        <w:t>(</w:t>
      </w:r>
      <w:r w:rsidR="0042725A" w:rsidRPr="00C71A94">
        <w:t xml:space="preserve">Ortiz </w:t>
      </w:r>
      <w:r w:rsidR="001F4347" w:rsidRPr="00C71A94">
        <w:t>et al</w:t>
      </w:r>
      <w:r w:rsidR="0042725A" w:rsidRPr="00C71A94">
        <w:t xml:space="preserve">., </w:t>
      </w:r>
      <w:r w:rsidR="001F4347" w:rsidRPr="00C71A94">
        <w:t>2018)</w:t>
      </w:r>
      <w:r w:rsidR="0042725A" w:rsidRPr="00C71A94">
        <w:t xml:space="preserve">. </w:t>
      </w:r>
    </w:p>
    <w:p w14:paraId="16FDEC65" w14:textId="03195EA4" w:rsidR="007923CE" w:rsidRDefault="00C71A94" w:rsidP="007F2E38">
      <w:pPr>
        <w:pStyle w:val="CETListbullets"/>
        <w:ind w:left="0" w:firstLine="0"/>
      </w:pPr>
      <w:r w:rsidRPr="00FB6D17">
        <w:t xml:space="preserve">Typically, </w:t>
      </w:r>
      <w:r w:rsidRPr="00C64646">
        <w:rPr>
          <w:color w:val="000000" w:themeColor="text1"/>
        </w:rPr>
        <w:t>h</w:t>
      </w:r>
      <w:r w:rsidR="007923CE" w:rsidRPr="00C64646">
        <w:rPr>
          <w:color w:val="000000" w:themeColor="text1"/>
        </w:rPr>
        <w:t>ollow fibe</w:t>
      </w:r>
      <w:r w:rsidR="00F870DD" w:rsidRPr="00C64646">
        <w:rPr>
          <w:color w:val="000000" w:themeColor="text1"/>
        </w:rPr>
        <w:t>r</w:t>
      </w:r>
      <w:r w:rsidR="007923CE" w:rsidRPr="00C64646">
        <w:rPr>
          <w:color w:val="000000" w:themeColor="text1"/>
        </w:rPr>
        <w:t xml:space="preserve">s (HFs) </w:t>
      </w:r>
      <w:r w:rsidR="007923CE" w:rsidRPr="00FB6D17">
        <w:t xml:space="preserve">are </w:t>
      </w:r>
      <w:r w:rsidR="00994E2F" w:rsidRPr="00FB6D17">
        <w:t xml:space="preserve">widely </w:t>
      </w:r>
      <w:r w:rsidR="007923CE" w:rsidRPr="00FB6D17">
        <w:t xml:space="preserve">used </w:t>
      </w:r>
      <w:r w:rsidRPr="00FB6D17">
        <w:t xml:space="preserve">as </w:t>
      </w:r>
      <w:r w:rsidR="007923CE" w:rsidRPr="00FB6D17">
        <w:t>gas separation membranes.</w:t>
      </w:r>
      <w:r w:rsidR="00FB6D17" w:rsidRPr="00FB6D17">
        <w:t xml:space="preserve"> In fact</w:t>
      </w:r>
      <w:r w:rsidR="007923CE" w:rsidRPr="00FB6D17">
        <w:t xml:space="preserve">, this </w:t>
      </w:r>
      <w:r w:rsidR="00A07525">
        <w:t>geometry</w:t>
      </w:r>
      <w:r w:rsidR="007923CE" w:rsidRPr="00FB6D17">
        <w:t xml:space="preserve"> pr</w:t>
      </w:r>
      <w:r w:rsidR="00FB6D17" w:rsidRPr="00FB6D17">
        <w:t>ovide</w:t>
      </w:r>
      <w:r w:rsidR="007923CE" w:rsidRPr="00FB6D17">
        <w:t xml:space="preserve">s different advantages over flat-film and spiral-wound modules, such as a </w:t>
      </w:r>
      <w:r w:rsidR="00FB6D17" w:rsidRPr="00FB6D17">
        <w:t>superior</w:t>
      </w:r>
      <w:r w:rsidR="007923CE" w:rsidRPr="00FB6D17">
        <w:t xml:space="preserve"> membrane packing density, which results in high membrane area </w:t>
      </w:r>
      <w:r w:rsidR="00FB6D17">
        <w:t>with</w:t>
      </w:r>
      <w:r w:rsidR="007923CE" w:rsidRPr="00FB6D17">
        <w:t xml:space="preserve">in compact modules </w:t>
      </w:r>
      <w:r w:rsidR="001F4347" w:rsidRPr="00FB6D17">
        <w:t>(Mulder, 2003).</w:t>
      </w:r>
    </w:p>
    <w:p w14:paraId="792644B0" w14:textId="18243168" w:rsidR="00F84F64" w:rsidRPr="00732F7B" w:rsidRDefault="007F2E38" w:rsidP="0092335C">
      <w:pPr>
        <w:pStyle w:val="CETListbullets"/>
        <w:ind w:left="0" w:firstLine="0"/>
      </w:pPr>
      <w:r w:rsidRPr="007F2E38">
        <w:t>In general, the ho</w:t>
      </w:r>
      <w:r w:rsidR="003F6221">
        <w:t>llo</w:t>
      </w:r>
      <w:r w:rsidRPr="007F2E38">
        <w:t xml:space="preserve">w fiber spinning presents </w:t>
      </w:r>
      <w:r w:rsidR="00D325A7">
        <w:t>several</w:t>
      </w:r>
      <w:r w:rsidRPr="007F2E38">
        <w:t xml:space="preserve"> </w:t>
      </w:r>
      <w:r w:rsidR="00016005">
        <w:t xml:space="preserve">peculiar </w:t>
      </w:r>
      <w:r w:rsidRPr="007F2E38">
        <w:t>parameters that</w:t>
      </w:r>
      <w:r w:rsidR="00FB6D17">
        <w:t>,</w:t>
      </w:r>
      <w:r w:rsidRPr="007F2E38">
        <w:t xml:space="preserve"> </w:t>
      </w:r>
      <w:r w:rsidR="00FB6D17">
        <w:t>if</w:t>
      </w:r>
      <w:r w:rsidR="002157EF">
        <w:t xml:space="preserve"> properly controlled</w:t>
      </w:r>
      <w:r w:rsidR="00FB6D17">
        <w:t>,</w:t>
      </w:r>
      <w:r w:rsidR="002157EF">
        <w:t xml:space="preserve"> </w:t>
      </w:r>
      <w:r w:rsidR="00FB6D17">
        <w:t>lead to</w:t>
      </w:r>
      <w:r w:rsidRPr="007F2E38">
        <w:t xml:space="preserve"> the desired morphology</w:t>
      </w:r>
      <w:r w:rsidR="00994E2F">
        <w:t xml:space="preserve"> and consequently </w:t>
      </w:r>
      <w:r w:rsidR="002157EF">
        <w:t xml:space="preserve">tailored </w:t>
      </w:r>
      <w:r w:rsidR="00994E2F">
        <w:t>transport properties</w:t>
      </w:r>
      <w:r w:rsidRPr="007F2E38">
        <w:t>.</w:t>
      </w:r>
      <w:r w:rsidR="00D325A7">
        <w:t xml:space="preserve"> They can be distinguished in chemical-physical and geometric/fluid</w:t>
      </w:r>
      <w:r w:rsidR="00EA733C">
        <w:t>-</w:t>
      </w:r>
      <w:r w:rsidR="00D325A7">
        <w:t>dynamic variables.</w:t>
      </w:r>
      <w:r w:rsidR="0092335C">
        <w:t xml:space="preserve"> </w:t>
      </w:r>
      <w:r w:rsidR="00EA733C">
        <w:t>The composition and concentration of the dope and bore fluid, the operatin</w:t>
      </w:r>
      <w:r w:rsidR="00FB6D17">
        <w:t>g</w:t>
      </w:r>
      <w:r w:rsidR="00EA733C">
        <w:t xml:space="preserve"> temperature are the main </w:t>
      </w:r>
      <w:r w:rsidR="00DF3817">
        <w:t xml:space="preserve">chemical parameters </w:t>
      </w:r>
      <w:r w:rsidR="00732F7B" w:rsidRPr="00732F7B">
        <w:t>that can be varied during the spinning process</w:t>
      </w:r>
      <w:r w:rsidR="00E77BB0">
        <w:t>. Instead,</w:t>
      </w:r>
      <w:r w:rsidR="00D325A7">
        <w:t xml:space="preserve"> the </w:t>
      </w:r>
      <w:r w:rsidR="00D325A7" w:rsidRPr="00F84F64">
        <w:t>geometric</w:t>
      </w:r>
      <w:r w:rsidR="00F84F64" w:rsidRPr="00F84F64">
        <w:t xml:space="preserve"> dimensions of the spinneret</w:t>
      </w:r>
      <w:r w:rsidR="00F84F64">
        <w:t xml:space="preserve">, </w:t>
      </w:r>
      <w:r w:rsidR="00732F7B">
        <w:t xml:space="preserve">the </w:t>
      </w:r>
      <w:r w:rsidR="00F84F64">
        <w:t>a</w:t>
      </w:r>
      <w:r w:rsidR="00F84F64" w:rsidRPr="00F84F64">
        <w:t>ir gap</w:t>
      </w:r>
      <w:r w:rsidR="00F84F64">
        <w:t xml:space="preserve">, </w:t>
      </w:r>
      <w:r w:rsidR="00732F7B">
        <w:t xml:space="preserve">the </w:t>
      </w:r>
      <w:r w:rsidR="00F84F64">
        <w:t>d</w:t>
      </w:r>
      <w:r w:rsidR="00F84F64" w:rsidRPr="00F84F64">
        <w:t>ope and bore fluid flow rates</w:t>
      </w:r>
      <w:r w:rsidR="00F84F64">
        <w:t xml:space="preserve"> are </w:t>
      </w:r>
      <w:r w:rsidR="00F84F64" w:rsidRPr="00F84F64">
        <w:t>some of the main parameters</w:t>
      </w:r>
      <w:r w:rsidR="003C01A4">
        <w:t xml:space="preserve"> </w:t>
      </w:r>
      <w:r w:rsidR="00E77BB0" w:rsidRPr="00732F7B">
        <w:t xml:space="preserve">related to the system </w:t>
      </w:r>
      <w:r w:rsidR="003C01A4" w:rsidRPr="00732F7B">
        <w:t>engineering.</w:t>
      </w:r>
    </w:p>
    <w:p w14:paraId="2C7810B2" w14:textId="65E9CFB2" w:rsidR="00732F7B" w:rsidRPr="004E463A" w:rsidRDefault="00732F7B" w:rsidP="00732F7B">
      <w:pPr>
        <w:pStyle w:val="CETBodytext"/>
      </w:pPr>
      <w:r w:rsidRPr="004E463A">
        <w:t>Consequently, there are different possibilities to tune the membrane performance in the case of HFs with respect to flat</w:t>
      </w:r>
      <w:r w:rsidR="00FB6D17">
        <w:t>-</w:t>
      </w:r>
      <w:r w:rsidRPr="004E463A">
        <w:t xml:space="preserve">sheet membrane configuration. </w:t>
      </w:r>
    </w:p>
    <w:p w14:paraId="28CE26A1" w14:textId="2099B019" w:rsidR="002D2308" w:rsidRPr="003C7E14" w:rsidRDefault="002D2308" w:rsidP="0092335C">
      <w:pPr>
        <w:pStyle w:val="CETBodytext"/>
      </w:pPr>
      <w:r w:rsidRPr="004E463A">
        <w:t xml:space="preserve">In this work, the effect of </w:t>
      </w:r>
      <w:r w:rsidR="00CA0FBC" w:rsidRPr="004E463A">
        <w:t>the above mentioned</w:t>
      </w:r>
      <w:r w:rsidR="00CA0FBC">
        <w:t xml:space="preserve"> </w:t>
      </w:r>
      <w:r w:rsidRPr="009F3841">
        <w:t>operation parameters was experimentally evaluated</w:t>
      </w:r>
      <w:r w:rsidR="00EA733C">
        <w:t xml:space="preserve">. </w:t>
      </w:r>
      <w:r w:rsidR="00C16009">
        <w:t>A</w:t>
      </w:r>
      <w:r w:rsidR="00EA733C">
        <w:t xml:space="preserve"> careful design of the spinning operating conditions for producing different HF batches was adopted in order to </w:t>
      </w:r>
      <w:r w:rsidR="00EA733C" w:rsidRPr="00CD2BE8">
        <w:rPr>
          <w:lang w:val="en-GB"/>
        </w:rPr>
        <w:t xml:space="preserve">highlight </w:t>
      </w:r>
      <w:r w:rsidR="00EA733C" w:rsidRPr="00CD2BE8">
        <w:rPr>
          <w:lang w:val="en-GB"/>
        </w:rPr>
        <w:lastRenderedPageBreak/>
        <w:t xml:space="preserve">the existence of synergies </w:t>
      </w:r>
      <w:r w:rsidR="00EA733C">
        <w:rPr>
          <w:lang w:val="en-GB"/>
        </w:rPr>
        <w:t>among</w:t>
      </w:r>
      <w:r w:rsidR="00EA733C" w:rsidRPr="00CD2BE8">
        <w:rPr>
          <w:lang w:val="en-GB"/>
        </w:rPr>
        <w:t xml:space="preserve"> some of them</w:t>
      </w:r>
      <w:r w:rsidR="00EA733C">
        <w:rPr>
          <w:lang w:val="en-GB"/>
        </w:rPr>
        <w:t>.</w:t>
      </w:r>
      <w:r w:rsidR="00EA733C" w:rsidRPr="009F3841">
        <w:t xml:space="preserve"> </w:t>
      </w:r>
      <w:r w:rsidR="00EA733C">
        <w:t>C</w:t>
      </w:r>
      <w:r w:rsidRPr="009F3841">
        <w:t>ommercial glassy polymers (e.g., polyimide and polysulfone)</w:t>
      </w:r>
      <w:r w:rsidR="00EA733C">
        <w:t>,</w:t>
      </w:r>
      <w:r w:rsidRPr="009F3841">
        <w:t xml:space="preserve"> typically </w:t>
      </w:r>
      <w:r w:rsidR="00EA733C">
        <w:t>appli</w:t>
      </w:r>
      <w:r w:rsidRPr="009F3841">
        <w:t>ed for the industrial membrane preparation</w:t>
      </w:r>
      <w:r w:rsidR="00EA733C">
        <w:t>, were adopted</w:t>
      </w:r>
      <w:r w:rsidRPr="009F3841">
        <w:t>.</w:t>
      </w:r>
      <w:r w:rsidR="00732F7B" w:rsidRPr="00732F7B">
        <w:rPr>
          <w:lang w:val="en-GB"/>
        </w:rPr>
        <w:t xml:space="preserve"> </w:t>
      </w:r>
      <w:r>
        <w:t xml:space="preserve">Some guidelines are identified, showing the procedures that ensure membranes with a good interplay of </w:t>
      </w:r>
      <w:r w:rsidR="00EA733C">
        <w:t xml:space="preserve">gas </w:t>
      </w:r>
      <w:r>
        <w:t>permeance and selectivity.</w:t>
      </w:r>
    </w:p>
    <w:p w14:paraId="26BF1193" w14:textId="24966237" w:rsidR="00D5215B" w:rsidRPr="00B57B36" w:rsidRDefault="00D5215B" w:rsidP="00D5215B">
      <w:pPr>
        <w:pStyle w:val="CETHeading1"/>
        <w:rPr>
          <w:lang w:val="en-GB"/>
        </w:rPr>
      </w:pPr>
      <w:r>
        <w:rPr>
          <w:lang w:val="en-GB"/>
        </w:rPr>
        <w:t>Materials and methods</w:t>
      </w:r>
    </w:p>
    <w:p w14:paraId="03AE3687" w14:textId="063E2703" w:rsidR="00D5215B" w:rsidRPr="0042725A" w:rsidRDefault="00D5215B" w:rsidP="00D5215B">
      <w:pPr>
        <w:pStyle w:val="CETheadingx"/>
      </w:pPr>
      <w:r>
        <w:t>Materials</w:t>
      </w:r>
    </w:p>
    <w:p w14:paraId="650ACEFB" w14:textId="297084AE" w:rsidR="00D23E0F" w:rsidRDefault="00092ABA" w:rsidP="003F6221">
      <w:pPr>
        <w:pStyle w:val="CETBodytext"/>
        <w:rPr>
          <w:lang w:val="en-GB"/>
        </w:rPr>
      </w:pPr>
      <w:r w:rsidRPr="00092ABA">
        <w:rPr>
          <w:lang w:val="en-GB"/>
        </w:rPr>
        <w:t>Polysulfone (PSf</w:t>
      </w:r>
      <w:r w:rsidR="00FB23D0">
        <w:rPr>
          <w:lang w:val="en-GB"/>
        </w:rPr>
        <w:t>,</w:t>
      </w:r>
      <w:r w:rsidR="00DE48D5">
        <w:rPr>
          <w:lang w:val="en-GB"/>
        </w:rPr>
        <w:t xml:space="preserve"> </w:t>
      </w:r>
      <w:r w:rsidRPr="00092ABA">
        <w:rPr>
          <w:lang w:val="en-GB"/>
        </w:rPr>
        <w:t xml:space="preserve">Udel® P-3500), was </w:t>
      </w:r>
      <w:r w:rsidR="00FB23D0" w:rsidRPr="00FB23D0">
        <w:rPr>
          <w:lang w:val="en-GB"/>
        </w:rPr>
        <w:t>supplied by Solvay (Belgium)</w:t>
      </w:r>
      <w:r w:rsidRPr="00092ABA">
        <w:rPr>
          <w:lang w:val="en-GB"/>
        </w:rPr>
        <w:t xml:space="preserve">. </w:t>
      </w:r>
      <w:r w:rsidR="00DE48D5">
        <w:rPr>
          <w:lang w:val="en-GB"/>
        </w:rPr>
        <w:t xml:space="preserve">The polyimide </w:t>
      </w:r>
      <w:r w:rsidR="00201AED" w:rsidRPr="00201AED">
        <w:rPr>
          <w:lang w:val="en-GB"/>
        </w:rPr>
        <w:t>Matrimid® 5218 was</w:t>
      </w:r>
      <w:r w:rsidR="00DE48D5">
        <w:rPr>
          <w:lang w:val="en-GB"/>
        </w:rPr>
        <w:t xml:space="preserve"> received from Huntsman </w:t>
      </w:r>
      <w:r w:rsidR="00790AC6" w:rsidRPr="00790AC6">
        <w:rPr>
          <w:lang w:val="en-GB"/>
        </w:rPr>
        <w:t>Advanced Materials (Europe)</w:t>
      </w:r>
      <w:r w:rsidR="00D23E0F" w:rsidRPr="00790AC6">
        <w:rPr>
          <w:lang w:val="en-GB"/>
        </w:rPr>
        <w:t>.</w:t>
      </w:r>
      <w:r w:rsidR="00790AC6" w:rsidRPr="00790AC6">
        <w:rPr>
          <w:lang w:val="en-GB"/>
        </w:rPr>
        <w:t xml:space="preserve"> </w:t>
      </w:r>
      <w:r w:rsidRPr="00790AC6">
        <w:rPr>
          <w:lang w:val="en-GB"/>
        </w:rPr>
        <w:t xml:space="preserve">N-methyl-2-pyrrolidone (NMP), supplied by </w:t>
      </w:r>
      <w:r w:rsidR="00423C6F" w:rsidRPr="00790AC6">
        <w:rPr>
          <w:lang w:val="en-GB"/>
        </w:rPr>
        <w:t>VWR</w:t>
      </w:r>
      <w:r w:rsidRPr="00790AC6">
        <w:rPr>
          <w:lang w:val="en-GB"/>
        </w:rPr>
        <w:t xml:space="preserve">, </w:t>
      </w:r>
      <w:r w:rsidR="00D23E0F" w:rsidRPr="00790AC6">
        <w:rPr>
          <w:lang w:val="en-GB"/>
        </w:rPr>
        <w:t>was used as solvent for both polymers.</w:t>
      </w:r>
      <w:r w:rsidR="00790AC6">
        <w:rPr>
          <w:lang w:val="en-GB"/>
        </w:rPr>
        <w:t xml:space="preserve"> </w:t>
      </w:r>
      <w:r w:rsidR="00777E36" w:rsidRPr="002D2308">
        <w:rPr>
          <w:lang w:val="en-GB"/>
        </w:rPr>
        <w:t>Single</w:t>
      </w:r>
      <w:r w:rsidR="002D2308" w:rsidRPr="002D2308">
        <w:rPr>
          <w:lang w:val="en-GB"/>
        </w:rPr>
        <w:t xml:space="preserve"> </w:t>
      </w:r>
      <w:r w:rsidR="005B2E11">
        <w:rPr>
          <w:lang w:val="en-GB"/>
        </w:rPr>
        <w:t xml:space="preserve">permanent </w:t>
      </w:r>
      <w:r w:rsidR="002D2308" w:rsidRPr="00A07525">
        <w:rPr>
          <w:lang w:val="en-GB"/>
        </w:rPr>
        <w:t>gases (</w:t>
      </w:r>
      <w:r w:rsidR="00A07525" w:rsidRPr="00A07525">
        <w:rPr>
          <w:lang w:val="en-GB"/>
        </w:rPr>
        <w:t xml:space="preserve">e.g., </w:t>
      </w:r>
      <w:r w:rsidR="002D2308" w:rsidRPr="00A07525">
        <w:rPr>
          <w:lang w:val="en-GB"/>
        </w:rPr>
        <w:t>N</w:t>
      </w:r>
      <w:r w:rsidR="002D2308" w:rsidRPr="00A07525">
        <w:rPr>
          <w:vertAlign w:val="subscript"/>
          <w:lang w:val="en-GB"/>
        </w:rPr>
        <w:t>2</w:t>
      </w:r>
      <w:r w:rsidR="002D2308" w:rsidRPr="00A07525">
        <w:rPr>
          <w:lang w:val="en-GB"/>
        </w:rPr>
        <w:t>, CH</w:t>
      </w:r>
      <w:r w:rsidR="002D2308" w:rsidRPr="00A07525">
        <w:rPr>
          <w:vertAlign w:val="subscript"/>
          <w:lang w:val="en-GB"/>
        </w:rPr>
        <w:t>4</w:t>
      </w:r>
      <w:r w:rsidR="002D2308" w:rsidRPr="00A07525">
        <w:rPr>
          <w:lang w:val="en-GB"/>
        </w:rPr>
        <w:t xml:space="preserve"> and CO</w:t>
      </w:r>
      <w:r w:rsidR="002D2308" w:rsidRPr="00A07525">
        <w:rPr>
          <w:vertAlign w:val="subscript"/>
          <w:lang w:val="en-GB"/>
        </w:rPr>
        <w:t>2</w:t>
      </w:r>
      <w:r w:rsidR="002D2308" w:rsidRPr="002D2308">
        <w:rPr>
          <w:lang w:val="en-GB"/>
        </w:rPr>
        <w:t>)</w:t>
      </w:r>
      <w:r w:rsidR="002D2308">
        <w:rPr>
          <w:lang w:val="en-GB"/>
        </w:rPr>
        <w:t xml:space="preserve"> were used for permeation tests</w:t>
      </w:r>
      <w:r w:rsidR="00D23E0F">
        <w:rPr>
          <w:lang w:val="en-GB"/>
        </w:rPr>
        <w:t xml:space="preserve"> </w:t>
      </w:r>
      <w:r w:rsidR="00FB23D0">
        <w:rPr>
          <w:lang w:val="en-GB"/>
        </w:rPr>
        <w:t>and purchased from SAPIO (Italy)</w:t>
      </w:r>
      <w:r w:rsidR="00D23E0F">
        <w:rPr>
          <w:lang w:val="en-GB"/>
        </w:rPr>
        <w:t>.</w:t>
      </w:r>
    </w:p>
    <w:p w14:paraId="6AB34DD8" w14:textId="77777777" w:rsidR="0042725A" w:rsidRPr="0042725A" w:rsidRDefault="0042725A" w:rsidP="000F77FA">
      <w:pPr>
        <w:pStyle w:val="CETheadingx"/>
      </w:pPr>
      <w:r w:rsidRPr="0042725A">
        <w:t>Membrane preparation</w:t>
      </w:r>
    </w:p>
    <w:p w14:paraId="4EFA0162" w14:textId="3A6A1A74" w:rsidR="00D23E0F" w:rsidRDefault="0042725A" w:rsidP="003F6221">
      <w:pPr>
        <w:pStyle w:val="CETBodytext"/>
      </w:pPr>
      <w:r>
        <w:t>Different HF batches were spun according to a dry-jet wet technique</w:t>
      </w:r>
      <w:r w:rsidR="001F4347">
        <w:t xml:space="preserve">, using </w:t>
      </w:r>
      <w:r w:rsidR="00AF15C0">
        <w:t xml:space="preserve">alternatively </w:t>
      </w:r>
      <w:r w:rsidR="003C7E14">
        <w:t>a</w:t>
      </w:r>
      <w:r w:rsidR="00AF15C0">
        <w:t xml:space="preserve"> double and a </w:t>
      </w:r>
      <w:r w:rsidR="003C7E14">
        <w:t xml:space="preserve">triple orifice spinneret within </w:t>
      </w:r>
      <w:r w:rsidR="00D23E0F">
        <w:t>the</w:t>
      </w:r>
      <w:r w:rsidR="001F4347">
        <w:t xml:space="preserve"> pilot plant described </w:t>
      </w:r>
      <w:r w:rsidR="00D23E0F">
        <w:t xml:space="preserve">in </w:t>
      </w:r>
      <w:r w:rsidR="00D23E0F" w:rsidRPr="00FB6D17">
        <w:t xml:space="preserve">Figure </w:t>
      </w:r>
      <w:r w:rsidR="004E463A" w:rsidRPr="00FB6D17">
        <w:t>1</w:t>
      </w:r>
      <w:r w:rsidR="001F4347">
        <w:t xml:space="preserve"> </w:t>
      </w:r>
      <w:r w:rsidR="001F4347" w:rsidRPr="00B352ED">
        <w:t>(Tasselli and Drioli, 2007).</w:t>
      </w:r>
    </w:p>
    <w:p w14:paraId="58840BB9" w14:textId="77777777" w:rsidR="00EA733C" w:rsidRDefault="00EA733C" w:rsidP="003F6221">
      <w:pPr>
        <w:pStyle w:val="CETBodytext"/>
      </w:pPr>
    </w:p>
    <w:p w14:paraId="6813DEF2" w14:textId="77777777" w:rsidR="00D23E0F" w:rsidRPr="00B57B36" w:rsidRDefault="00D23E0F" w:rsidP="00D23E0F">
      <w:pPr>
        <w:pStyle w:val="CETBodytext"/>
        <w:jc w:val="left"/>
        <w:rPr>
          <w:lang w:val="en-GB"/>
        </w:rPr>
      </w:pPr>
      <w:r>
        <w:rPr>
          <w:noProof/>
          <w:lang w:val="it-IT" w:eastAsia="it-IT"/>
        </w:rPr>
        <w:drawing>
          <wp:inline distT="0" distB="0" distL="0" distR="0" wp14:anchorId="0DDBEE04" wp14:editId="4946D7C2">
            <wp:extent cx="3998174" cy="1928495"/>
            <wp:effectExtent l="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48"/>
                    <a:stretch/>
                  </pic:blipFill>
                  <pic:spPr bwMode="auto">
                    <a:xfrm>
                      <a:off x="0" y="0"/>
                      <a:ext cx="3998815" cy="192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5CDBA7" w14:textId="0C6A87DC" w:rsidR="00D23E0F" w:rsidRPr="00B57B36" w:rsidRDefault="00D23E0F" w:rsidP="00D23E0F">
      <w:pPr>
        <w:pStyle w:val="CETCaption"/>
      </w:pPr>
      <w:r w:rsidRPr="00DA421E">
        <w:t xml:space="preserve">Figure </w:t>
      </w:r>
      <w:r w:rsidR="004E463A" w:rsidRPr="00DA421E">
        <w:t>1</w:t>
      </w:r>
      <w:r w:rsidRPr="00DA421E">
        <w:t>: S</w:t>
      </w:r>
      <w:r w:rsidR="00C71A94" w:rsidRPr="00DA421E">
        <w:t>c</w:t>
      </w:r>
      <w:r w:rsidRPr="00DA421E">
        <w:t>h</w:t>
      </w:r>
      <w:r w:rsidR="00C71A94" w:rsidRPr="00DA421E">
        <w:t>eme</w:t>
      </w:r>
      <w:r w:rsidR="00C71A94" w:rsidRPr="00DE48D5">
        <w:t xml:space="preserve"> </w:t>
      </w:r>
      <w:r w:rsidRPr="00DE48D5">
        <w:t>o</w:t>
      </w:r>
      <w:r w:rsidR="00C71A94" w:rsidRPr="00DE48D5">
        <w:t xml:space="preserve">f the pilot plant for the spinning </w:t>
      </w:r>
    </w:p>
    <w:p w14:paraId="4E638B88" w14:textId="779CDC03" w:rsidR="001F4347" w:rsidRDefault="006C5DD1" w:rsidP="003F6221">
      <w:pPr>
        <w:pStyle w:val="CETBodytext"/>
      </w:pPr>
      <w:r>
        <w:t xml:space="preserve">The polymers were dissolved in </w:t>
      </w:r>
      <w:r w:rsidR="00724EF9">
        <w:t>NMP, which</w:t>
      </w:r>
      <w:r w:rsidR="003D3DEE">
        <w:t xml:space="preserve"> has</w:t>
      </w:r>
      <w:r w:rsidR="00FB23D0">
        <w:t xml:space="preserve"> a good</w:t>
      </w:r>
      <w:r>
        <w:t xml:space="preserve"> compatibility with the coagula</w:t>
      </w:r>
      <w:r w:rsidR="00FB23D0">
        <w:t>tion</w:t>
      </w:r>
      <w:r>
        <w:t xml:space="preserve"> </w:t>
      </w:r>
      <w:r w:rsidR="003D3DEE">
        <w:t>medium</w:t>
      </w:r>
      <w:r w:rsidR="00AF15C0">
        <w:t xml:space="preserve"> </w:t>
      </w:r>
      <w:r>
        <w:t>(water)</w:t>
      </w:r>
      <w:r w:rsidR="00FB23D0">
        <w:t>, while its</w:t>
      </w:r>
      <w:r>
        <w:t xml:space="preserve"> </w:t>
      </w:r>
      <w:r w:rsidR="00FB23D0">
        <w:t xml:space="preserve">low volatility </w:t>
      </w:r>
      <w:r w:rsidR="00AF15C0">
        <w:t>reduce</w:t>
      </w:r>
      <w:r w:rsidR="00FB23D0">
        <w:t>s</w:t>
      </w:r>
      <w:r w:rsidR="00AF15C0">
        <w:t xml:space="preserve"> </w:t>
      </w:r>
      <w:r w:rsidR="00FB23D0">
        <w:t xml:space="preserve">evaporation </w:t>
      </w:r>
      <w:r w:rsidR="00AF15C0">
        <w:t>loss</w:t>
      </w:r>
      <w:r w:rsidR="00FB23D0">
        <w:t>es</w:t>
      </w:r>
      <w:r w:rsidR="00AF15C0">
        <w:t xml:space="preserve"> in </w:t>
      </w:r>
      <w:r w:rsidR="00FB23D0">
        <w:t xml:space="preserve">the </w:t>
      </w:r>
      <w:r w:rsidR="00AF15C0">
        <w:t>environment</w:t>
      </w:r>
      <w:r w:rsidR="001F4347">
        <w:t>.</w:t>
      </w:r>
    </w:p>
    <w:p w14:paraId="2216C70E" w14:textId="1FF2E415" w:rsidR="00423C6F" w:rsidRPr="00423C6F" w:rsidRDefault="00785FC1" w:rsidP="00785FC1">
      <w:pPr>
        <w:pStyle w:val="CETBodytext"/>
        <w:rPr>
          <w:lang w:val="en-GB"/>
        </w:rPr>
      </w:pPr>
      <w:r w:rsidRPr="00785FC1">
        <w:rPr>
          <w:lang w:val="en-GB"/>
        </w:rPr>
        <w:t>The as-spun fibers were</w:t>
      </w:r>
      <w:r>
        <w:rPr>
          <w:lang w:val="en-GB"/>
        </w:rPr>
        <w:t xml:space="preserve"> </w:t>
      </w:r>
      <w:r w:rsidRPr="00785FC1">
        <w:rPr>
          <w:lang w:val="en-GB"/>
        </w:rPr>
        <w:t xml:space="preserve">immersed in </w:t>
      </w:r>
      <w:r>
        <w:rPr>
          <w:lang w:val="en-GB"/>
        </w:rPr>
        <w:t xml:space="preserve">deionized </w:t>
      </w:r>
      <w:r w:rsidRPr="00785FC1">
        <w:rPr>
          <w:lang w:val="en-GB"/>
        </w:rPr>
        <w:t>water for 3 days to remove the residual solvent</w:t>
      </w:r>
      <w:r w:rsidR="00CB0481">
        <w:rPr>
          <w:lang w:val="en-GB"/>
        </w:rPr>
        <w:t xml:space="preserve"> and </w:t>
      </w:r>
      <w:r w:rsidR="00CB0481" w:rsidRPr="00CB0481">
        <w:rPr>
          <w:lang w:val="en-GB"/>
        </w:rPr>
        <w:t>air-dried</w:t>
      </w:r>
      <w:r w:rsidR="00572837">
        <w:rPr>
          <w:lang w:val="en-GB"/>
        </w:rPr>
        <w:t xml:space="preserve"> before their characterisation and use in gas separation.</w:t>
      </w:r>
    </w:p>
    <w:p w14:paraId="5EDF24F9" w14:textId="77777777" w:rsidR="001F4347" w:rsidRPr="003C7E14" w:rsidRDefault="001F4347" w:rsidP="000F77FA">
      <w:pPr>
        <w:pStyle w:val="CETheadingx"/>
      </w:pPr>
      <w:r w:rsidRPr="003C7E14">
        <w:t>Membrane characterization</w:t>
      </w:r>
    </w:p>
    <w:p w14:paraId="319A49D6" w14:textId="255E8650" w:rsidR="0042725A" w:rsidRPr="00501823" w:rsidRDefault="006C5DD1" w:rsidP="00AF5737">
      <w:pPr>
        <w:pStyle w:val="CETBodytext"/>
      </w:pPr>
      <w:r>
        <w:t xml:space="preserve">The prepared membranes were characterized </w:t>
      </w:r>
      <w:r w:rsidR="003C7E14">
        <w:t xml:space="preserve">measuring </w:t>
      </w:r>
      <w:r>
        <w:t xml:space="preserve">their </w:t>
      </w:r>
      <w:r w:rsidR="003D3DEE">
        <w:t xml:space="preserve">gas </w:t>
      </w:r>
      <w:r>
        <w:t>permeation rate properties</w:t>
      </w:r>
      <w:r w:rsidR="003C7E14">
        <w:t xml:space="preserve"> at 25°C and 1 bar of feed pressure</w:t>
      </w:r>
      <w:r w:rsidR="00D06888">
        <w:t xml:space="preserve"> in a fixed-volume/variable-pressure se</w:t>
      </w:r>
      <w:r w:rsidR="006479D5">
        <w:t>t</w:t>
      </w:r>
      <w:r w:rsidR="00D06888">
        <w:t>-up (</w:t>
      </w:r>
      <w:r w:rsidR="009F3841" w:rsidRPr="009F3841">
        <w:t>Clarizia</w:t>
      </w:r>
      <w:r w:rsidR="009F3841">
        <w:t xml:space="preserve"> et al.</w:t>
      </w:r>
      <w:r w:rsidR="009F3841" w:rsidRPr="009F3841">
        <w:t>, 2018)</w:t>
      </w:r>
      <w:r>
        <w:t>.</w:t>
      </w:r>
      <w:r w:rsidR="00201AED">
        <w:t xml:space="preserve"> The gas permeance is expressed in GPU (1</w:t>
      </w:r>
      <w:r w:rsidR="00AF5737">
        <w:t xml:space="preserve"> </w:t>
      </w:r>
      <w:r w:rsidR="00201AED">
        <w:t>GPU</w:t>
      </w:r>
      <w:r w:rsidR="00AF5737">
        <w:t xml:space="preserve"> </w:t>
      </w:r>
      <w:r w:rsidR="00201AED">
        <w:t>=</w:t>
      </w:r>
      <w:r w:rsidR="00AF5737">
        <w:t xml:space="preserve"> </w:t>
      </w:r>
      <w:r w:rsidR="00201AED">
        <w:t>1×10</w:t>
      </w:r>
      <w:r w:rsidR="00201AED" w:rsidRPr="00201AED">
        <w:rPr>
          <w:vertAlign w:val="superscript"/>
        </w:rPr>
        <w:t>−6</w:t>
      </w:r>
      <w:r w:rsidR="00201AED">
        <w:t xml:space="preserve"> cm</w:t>
      </w:r>
      <w:r w:rsidR="00201AED" w:rsidRPr="00201AED">
        <w:rPr>
          <w:vertAlign w:val="superscript"/>
        </w:rPr>
        <w:t>3</w:t>
      </w:r>
      <w:r w:rsidR="00201AED">
        <w:t xml:space="preserve"> (STP)/cm</w:t>
      </w:r>
      <w:r w:rsidR="00201AED" w:rsidRPr="00201AED">
        <w:rPr>
          <w:vertAlign w:val="superscript"/>
        </w:rPr>
        <w:t>2</w:t>
      </w:r>
      <w:r w:rsidR="00201AED">
        <w:t xml:space="preserve"> s cmHg).</w:t>
      </w:r>
      <w:r w:rsidR="00AF5737">
        <w:t xml:space="preserve"> The ideal separation factor </w:t>
      </w:r>
      <w:r w:rsidR="00732F7B">
        <w:t xml:space="preserve">for a certain gas pair </w:t>
      </w:r>
      <w:r w:rsidR="00AF5737">
        <w:t xml:space="preserve">is determined as the </w:t>
      </w:r>
      <w:r w:rsidR="00AF5737" w:rsidRPr="00501823">
        <w:t>ratio of individual permeance values.</w:t>
      </w:r>
    </w:p>
    <w:p w14:paraId="070F675E" w14:textId="77777777" w:rsidR="002D2308" w:rsidRDefault="000B7DAF" w:rsidP="00AF5737">
      <w:pPr>
        <w:pStyle w:val="CETBodytext"/>
      </w:pPr>
      <w:r w:rsidRPr="00501823">
        <w:t xml:space="preserve">The morphology of the membranes was investigated by </w:t>
      </w:r>
      <w:r w:rsidR="00501823" w:rsidRPr="00501823">
        <w:t xml:space="preserve">means of scanning electron microscopy (SEM) on an EVO|MA 10 (Zeiss, Italy) </w:t>
      </w:r>
      <w:r w:rsidR="00DE48D5">
        <w:t>instrument</w:t>
      </w:r>
      <w:r w:rsidR="00501823">
        <w:t>.</w:t>
      </w:r>
    </w:p>
    <w:p w14:paraId="4638ECEF" w14:textId="58B96E02" w:rsidR="00D5215B" w:rsidRPr="0042725A" w:rsidRDefault="003A0249" w:rsidP="00D5215B">
      <w:pPr>
        <w:pStyle w:val="CETheadingx"/>
      </w:pPr>
      <w:r>
        <w:t xml:space="preserve">Approach and </w:t>
      </w:r>
      <w:r w:rsidR="00D5215B">
        <w:t>Methods</w:t>
      </w:r>
    </w:p>
    <w:p w14:paraId="66D9E64E" w14:textId="3B629D72" w:rsidR="00791B1D" w:rsidRDefault="00791B1D" w:rsidP="00791B1D">
      <w:pPr>
        <w:pStyle w:val="CETBodytext"/>
      </w:pPr>
      <w:r>
        <w:rPr>
          <w:lang w:val="en-GB"/>
        </w:rPr>
        <w:t xml:space="preserve">The general approach </w:t>
      </w:r>
      <w:r w:rsidR="0035595E">
        <w:rPr>
          <w:lang w:val="en-GB"/>
        </w:rPr>
        <w:t xml:space="preserve">adopted in this work, </w:t>
      </w:r>
      <w:r>
        <w:rPr>
          <w:lang w:val="en-GB"/>
        </w:rPr>
        <w:t>was aimed at increasing the gas permeation rates through the HFs</w:t>
      </w:r>
      <w:r w:rsidR="00C75007">
        <w:rPr>
          <w:lang w:val="en-GB"/>
        </w:rPr>
        <w:t xml:space="preserve"> in order to enhance the productivity, reducing the required membrane area for a fixed flow rate of the stream to be treated in the membrane separation system</w:t>
      </w:r>
      <w:r>
        <w:rPr>
          <w:lang w:val="en-GB"/>
        </w:rPr>
        <w:t>. Therefore, t</w:t>
      </w:r>
      <w:r>
        <w:t xml:space="preserve">he spinning was carried out </w:t>
      </w:r>
      <w:r w:rsidR="003D3DEE">
        <w:t xml:space="preserve">investigating the role of </w:t>
      </w:r>
      <w:r>
        <w:t>the following parameters:</w:t>
      </w:r>
    </w:p>
    <w:p w14:paraId="5DE249EC" w14:textId="672C8967" w:rsidR="00791B1D" w:rsidRDefault="00791B1D" w:rsidP="00791B1D">
      <w:pPr>
        <w:pStyle w:val="CETListbullets"/>
        <w:numPr>
          <w:ilvl w:val="0"/>
          <w:numId w:val="23"/>
        </w:numPr>
      </w:pPr>
      <w:r>
        <w:t xml:space="preserve">Dope polymer </w:t>
      </w:r>
      <w:r w:rsidR="00552E15">
        <w:t xml:space="preserve">composition and </w:t>
      </w:r>
      <w:r>
        <w:t>concentration</w:t>
      </w:r>
      <w:r w:rsidR="00790AC6">
        <w:t>,</w:t>
      </w:r>
    </w:p>
    <w:p w14:paraId="49F5E2C6" w14:textId="4AC7EE1C" w:rsidR="00791B1D" w:rsidRDefault="00791B1D" w:rsidP="00791B1D">
      <w:pPr>
        <w:pStyle w:val="CETListbullets"/>
        <w:numPr>
          <w:ilvl w:val="0"/>
          <w:numId w:val="23"/>
        </w:numPr>
      </w:pPr>
      <w:r>
        <w:t xml:space="preserve">Bore fluid </w:t>
      </w:r>
      <w:r w:rsidR="00DF7C5D">
        <w:t xml:space="preserve">(BF) </w:t>
      </w:r>
      <w:r w:rsidR="00552E15">
        <w:t xml:space="preserve">composition and </w:t>
      </w:r>
      <w:r>
        <w:t>concentration</w:t>
      </w:r>
      <w:r w:rsidR="00790AC6">
        <w:t>,</w:t>
      </w:r>
    </w:p>
    <w:p w14:paraId="32712140" w14:textId="4620F42B" w:rsidR="00791B1D" w:rsidRDefault="00791B1D" w:rsidP="00791B1D">
      <w:pPr>
        <w:pStyle w:val="CETListbullets"/>
        <w:numPr>
          <w:ilvl w:val="0"/>
          <w:numId w:val="23"/>
        </w:numPr>
      </w:pPr>
      <w:r>
        <w:t>Temperature</w:t>
      </w:r>
      <w:r w:rsidR="00790AC6">
        <w:t>,</w:t>
      </w:r>
    </w:p>
    <w:p w14:paraId="3F4E5AB5" w14:textId="7943EBC9" w:rsidR="00791B1D" w:rsidRDefault="00791B1D" w:rsidP="00791B1D">
      <w:pPr>
        <w:pStyle w:val="CETListbullets"/>
        <w:numPr>
          <w:ilvl w:val="0"/>
          <w:numId w:val="23"/>
        </w:numPr>
      </w:pPr>
      <w:r>
        <w:t>Flowrates ratio (BF/Dope)</w:t>
      </w:r>
      <w:r w:rsidR="00790AC6">
        <w:t>,</w:t>
      </w:r>
    </w:p>
    <w:p w14:paraId="1770811B" w14:textId="3DB979E0" w:rsidR="00791B1D" w:rsidRDefault="00791B1D" w:rsidP="00791B1D">
      <w:pPr>
        <w:pStyle w:val="CETListbullets"/>
        <w:numPr>
          <w:ilvl w:val="0"/>
          <w:numId w:val="23"/>
        </w:numPr>
      </w:pPr>
      <w:r>
        <w:t>Spinneret type (double or triple)</w:t>
      </w:r>
      <w:r w:rsidR="00790AC6">
        <w:t>,</w:t>
      </w:r>
    </w:p>
    <w:p w14:paraId="5215B828" w14:textId="36487051" w:rsidR="00791B1D" w:rsidRDefault="00791B1D" w:rsidP="00791B1D">
      <w:pPr>
        <w:pStyle w:val="CETListbullets"/>
        <w:numPr>
          <w:ilvl w:val="0"/>
          <w:numId w:val="23"/>
        </w:numPr>
      </w:pPr>
      <w:r>
        <w:t>Spinneret dimensions (</w:t>
      </w:r>
      <w:r w:rsidR="00DF7C5D">
        <w:t xml:space="preserve">cross section </w:t>
      </w:r>
      <w:r>
        <w:t>ratio</w:t>
      </w:r>
      <w:r w:rsidR="00DF7C5D">
        <w:t>,</w:t>
      </w:r>
      <w:r>
        <w:t xml:space="preserve"> BF/Dope)</w:t>
      </w:r>
      <w:r w:rsidR="00790AC6">
        <w:t>,</w:t>
      </w:r>
    </w:p>
    <w:p w14:paraId="4DE8CFC8" w14:textId="00B92B00" w:rsidR="00791B1D" w:rsidRDefault="00791B1D" w:rsidP="00791B1D">
      <w:pPr>
        <w:pStyle w:val="CETListbullets"/>
        <w:numPr>
          <w:ilvl w:val="0"/>
          <w:numId w:val="23"/>
        </w:numPr>
      </w:pPr>
      <w:r>
        <w:t>Air gap</w:t>
      </w:r>
      <w:r w:rsidR="00552E15">
        <w:t>.</w:t>
      </w:r>
    </w:p>
    <w:p w14:paraId="70EEAF63" w14:textId="70481E4B" w:rsidR="00295AD2" w:rsidRPr="0092335C" w:rsidRDefault="00540E49" w:rsidP="00C16009">
      <w:pPr>
        <w:pStyle w:val="CETListbullets"/>
        <w:ind w:left="0" w:firstLine="0"/>
      </w:pPr>
      <w:r>
        <w:lastRenderedPageBreak/>
        <w:t xml:space="preserve">Concerning </w:t>
      </w:r>
      <w:r w:rsidRPr="00A07525">
        <w:t xml:space="preserve">these parameters, it is </w:t>
      </w:r>
      <w:r w:rsidR="00552E15" w:rsidRPr="00A07525">
        <w:t>no</w:t>
      </w:r>
      <w:r w:rsidRPr="00A07525">
        <w:t>t</w:t>
      </w:r>
      <w:r w:rsidR="00552E15" w:rsidRPr="00A07525">
        <w:t>eworthy</w:t>
      </w:r>
      <w:r w:rsidRPr="00A07525">
        <w:t xml:space="preserve"> to </w:t>
      </w:r>
      <w:r w:rsidR="00A07525" w:rsidRPr="00A07525">
        <w:t>underline</w:t>
      </w:r>
      <w:r w:rsidR="00552E15" w:rsidRPr="00A07525">
        <w:t xml:space="preserve"> </w:t>
      </w:r>
      <w:r w:rsidRPr="00A07525">
        <w:t xml:space="preserve">some points. </w:t>
      </w:r>
      <w:r w:rsidR="00552E15" w:rsidRPr="00A07525">
        <w:t>First</w:t>
      </w:r>
      <w:r w:rsidR="0092335C" w:rsidRPr="00A07525">
        <w:t xml:space="preserve">, </w:t>
      </w:r>
      <w:r w:rsidR="00791B1D" w:rsidRPr="00A07525">
        <w:t xml:space="preserve">HF preparation requires </w:t>
      </w:r>
      <w:r w:rsidR="0092335C" w:rsidRPr="00A07525">
        <w:t xml:space="preserve">a </w:t>
      </w:r>
      <w:r w:rsidR="00791B1D" w:rsidRPr="00A07525">
        <w:t xml:space="preserve">higher </w:t>
      </w:r>
      <w:r w:rsidR="0092335C" w:rsidRPr="00A07525">
        <w:t xml:space="preserve">dope concentration </w:t>
      </w:r>
      <w:r w:rsidR="00C663C1" w:rsidRPr="00A07525">
        <w:t xml:space="preserve">with respect to </w:t>
      </w:r>
      <w:r w:rsidR="0092335C" w:rsidRPr="00A07525">
        <w:t>flat</w:t>
      </w:r>
      <w:r w:rsidR="00552E15" w:rsidRPr="00A07525">
        <w:t>-</w:t>
      </w:r>
      <w:r w:rsidR="0092335C" w:rsidRPr="00A07525">
        <w:t xml:space="preserve">sheet </w:t>
      </w:r>
      <w:r w:rsidR="00C663C1" w:rsidRPr="00A07525">
        <w:t>membra</w:t>
      </w:r>
      <w:r w:rsidR="0092335C" w:rsidRPr="00A07525">
        <w:t>n</w:t>
      </w:r>
      <w:r w:rsidR="00C663C1" w:rsidRPr="00A07525">
        <w:t>es</w:t>
      </w:r>
      <w:r w:rsidR="0092335C" w:rsidRPr="00A07525">
        <w:t xml:space="preserve">. However, there is a critical concentration for attaining viscosity levels suitable to produce </w:t>
      </w:r>
      <w:r w:rsidR="00531961" w:rsidRPr="00A07525">
        <w:t>s</w:t>
      </w:r>
      <w:r w:rsidR="0092335C" w:rsidRPr="00A07525">
        <w:t>elf-standing samples. It depends mainly on the dope chemistry (e.g., polymer and solvent</w:t>
      </w:r>
      <w:r w:rsidR="00552E15" w:rsidRPr="00A07525">
        <w:t xml:space="preserve"> type</w:t>
      </w:r>
      <w:r w:rsidR="0092335C" w:rsidRPr="00A07525">
        <w:t>), but also on operation conditions.</w:t>
      </w:r>
      <w:r w:rsidR="00791B1D" w:rsidRPr="00A07525">
        <w:t xml:space="preserve"> Gelation should be avoided as well.</w:t>
      </w:r>
      <w:r w:rsidR="00153BF0" w:rsidRPr="00A07525">
        <w:t xml:space="preserve"> </w:t>
      </w:r>
      <w:r w:rsidR="0092335C" w:rsidRPr="00A07525">
        <w:t xml:space="preserve">The air gap is </w:t>
      </w:r>
      <w:r w:rsidRPr="00A07525">
        <w:t xml:space="preserve">the </w:t>
      </w:r>
      <w:r w:rsidR="00552E15" w:rsidRPr="00A07525">
        <w:t>distinctive</w:t>
      </w:r>
      <w:r w:rsidRPr="00A07525">
        <w:t xml:space="preserve"> </w:t>
      </w:r>
      <w:r w:rsidR="00552E15" w:rsidRPr="00A07525">
        <w:t xml:space="preserve">element </w:t>
      </w:r>
      <w:r w:rsidRPr="00A07525">
        <w:t xml:space="preserve">in dry-wet phase inversion process for HF </w:t>
      </w:r>
      <w:r w:rsidRPr="00C64646">
        <w:rPr>
          <w:color w:val="000000" w:themeColor="text1"/>
        </w:rPr>
        <w:t>preparation</w:t>
      </w:r>
      <w:r w:rsidR="009550CD" w:rsidRPr="00C64646">
        <w:rPr>
          <w:color w:val="000000" w:themeColor="text1"/>
        </w:rPr>
        <w:t xml:space="preserve"> (</w:t>
      </w:r>
      <w:r w:rsidR="002A4B4D" w:rsidRPr="00C64646">
        <w:rPr>
          <w:color w:val="000000" w:themeColor="text1"/>
        </w:rPr>
        <w:t>Khayet</w:t>
      </w:r>
      <w:r w:rsidR="00D35DBB" w:rsidRPr="00C64646">
        <w:rPr>
          <w:color w:val="000000" w:themeColor="text1"/>
        </w:rPr>
        <w:t>, 2003</w:t>
      </w:r>
      <w:r w:rsidR="009550CD" w:rsidRPr="00C64646">
        <w:rPr>
          <w:color w:val="000000" w:themeColor="text1"/>
        </w:rPr>
        <w:t>)</w:t>
      </w:r>
      <w:r w:rsidRPr="00C64646">
        <w:rPr>
          <w:color w:val="000000" w:themeColor="text1"/>
        </w:rPr>
        <w:t xml:space="preserve">. It </w:t>
      </w:r>
      <w:r w:rsidR="0092335C" w:rsidRPr="00A07525">
        <w:t xml:space="preserve">induces elongational stresses because of gravity and allows the mass exchange in dry phase before the coagulation step. </w:t>
      </w:r>
      <w:r w:rsidRPr="00A07525">
        <w:t>Finally</w:t>
      </w:r>
      <w:r w:rsidR="0092335C" w:rsidRPr="00A07525">
        <w:t xml:space="preserve">, </w:t>
      </w:r>
      <w:r w:rsidRPr="00A07525">
        <w:t>the use of a</w:t>
      </w:r>
      <w:r w:rsidR="0092335C" w:rsidRPr="00A07525">
        <w:t xml:space="preserve"> triple–orifice </w:t>
      </w:r>
      <w:r w:rsidRPr="00A07525">
        <w:t xml:space="preserve">as </w:t>
      </w:r>
      <w:r w:rsidR="0055313A" w:rsidRPr="00A07525">
        <w:t xml:space="preserve">an </w:t>
      </w:r>
      <w:r w:rsidRPr="00A07525">
        <w:t xml:space="preserve">alternative to traditional double-orifice spinneret </w:t>
      </w:r>
      <w:r w:rsidR="00C663C1" w:rsidRPr="00A07525">
        <w:t xml:space="preserve">provides another line that can be fed with a different fluid, thus </w:t>
      </w:r>
      <w:r w:rsidR="0092335C">
        <w:t>giv</w:t>
      </w:r>
      <w:r w:rsidR="00C663C1">
        <w:t>ing</w:t>
      </w:r>
      <w:r w:rsidR="0092335C">
        <w:t xml:space="preserve"> further options </w:t>
      </w:r>
      <w:r w:rsidR="0092335C" w:rsidRPr="00B352ED">
        <w:t xml:space="preserve">to change the membrane microstructure, </w:t>
      </w:r>
      <w:r w:rsidR="00C663C1">
        <w:t xml:space="preserve">specifically </w:t>
      </w:r>
      <w:r w:rsidR="00790AC6">
        <w:t xml:space="preserve">acting </w:t>
      </w:r>
      <w:r w:rsidR="00C663C1">
        <w:t xml:space="preserve">on the outer </w:t>
      </w:r>
      <w:r w:rsidR="00790AC6">
        <w:t xml:space="preserve">HF </w:t>
      </w:r>
      <w:r w:rsidR="00C663C1">
        <w:t>region</w:t>
      </w:r>
      <w:r w:rsidR="0092335C" w:rsidRPr="00B352ED">
        <w:t xml:space="preserve"> (Bernardo et al., 2019).</w:t>
      </w:r>
      <w:r w:rsidR="002A4B4D">
        <w:t xml:space="preserve"> </w:t>
      </w:r>
    </w:p>
    <w:p w14:paraId="3842A289" w14:textId="51ACDB69" w:rsidR="00D5215B" w:rsidRPr="00B57B36" w:rsidRDefault="00D5215B" w:rsidP="00D5215B">
      <w:pPr>
        <w:pStyle w:val="CETHeading1"/>
        <w:rPr>
          <w:lang w:val="en-GB"/>
        </w:rPr>
      </w:pPr>
      <w:r>
        <w:rPr>
          <w:lang w:val="en-GB"/>
        </w:rPr>
        <w:t>Results</w:t>
      </w:r>
    </w:p>
    <w:p w14:paraId="7164B75F" w14:textId="72CC5EE4" w:rsidR="00790AC6" w:rsidRDefault="00153BF0" w:rsidP="00C50C46">
      <w:pPr>
        <w:pStyle w:val="CETBodytext"/>
        <w:rPr>
          <w:lang w:val="en-GB"/>
        </w:rPr>
      </w:pPr>
      <w:r>
        <w:rPr>
          <w:lang w:val="en-GB"/>
        </w:rPr>
        <w:t>Membranes</w:t>
      </w:r>
      <w:r w:rsidR="00790AC6">
        <w:rPr>
          <w:lang w:val="en-GB"/>
        </w:rPr>
        <w:t xml:space="preserve"> for gas separation applications require a</w:t>
      </w:r>
      <w:r w:rsidR="00A050CD">
        <w:rPr>
          <w:lang w:val="en-GB"/>
        </w:rPr>
        <w:t xml:space="preserve"> dense selective layer </w:t>
      </w:r>
      <w:r w:rsidR="00790AC6">
        <w:rPr>
          <w:lang w:val="en-GB"/>
        </w:rPr>
        <w:t>t</w:t>
      </w:r>
      <w:r w:rsidR="00A050CD">
        <w:rPr>
          <w:lang w:val="en-GB"/>
        </w:rPr>
        <w:t>o p</w:t>
      </w:r>
      <w:r w:rsidR="00A07525">
        <w:rPr>
          <w:lang w:val="en-GB"/>
        </w:rPr>
        <w:t>erform the separation at a molecula</w:t>
      </w:r>
      <w:r w:rsidR="00A050CD">
        <w:rPr>
          <w:lang w:val="en-GB"/>
        </w:rPr>
        <w:t>r</w:t>
      </w:r>
      <w:r w:rsidR="00A07525">
        <w:rPr>
          <w:lang w:val="en-GB"/>
        </w:rPr>
        <w:t xml:space="preserve"> level</w:t>
      </w:r>
      <w:r w:rsidR="00A050CD">
        <w:rPr>
          <w:lang w:val="en-GB"/>
        </w:rPr>
        <w:t>. A</w:t>
      </w:r>
      <w:r w:rsidR="009F3841">
        <w:rPr>
          <w:lang w:val="en-GB"/>
        </w:rPr>
        <w:t>t the same time, a</w:t>
      </w:r>
      <w:r w:rsidR="00942632">
        <w:rPr>
          <w:lang w:val="en-GB"/>
        </w:rPr>
        <w:t xml:space="preserve"> very</w:t>
      </w:r>
      <w:r w:rsidR="009F3841">
        <w:rPr>
          <w:lang w:val="en-GB"/>
        </w:rPr>
        <w:t xml:space="preserve"> thin </w:t>
      </w:r>
      <w:r w:rsidR="00ED2EF8">
        <w:rPr>
          <w:lang w:val="en-GB"/>
        </w:rPr>
        <w:t xml:space="preserve">skin </w:t>
      </w:r>
      <w:r w:rsidR="009F3841">
        <w:rPr>
          <w:lang w:val="en-GB"/>
        </w:rPr>
        <w:t xml:space="preserve">layer </w:t>
      </w:r>
      <w:r w:rsidR="00A877CA">
        <w:rPr>
          <w:lang w:val="en-GB"/>
        </w:rPr>
        <w:t xml:space="preserve">is </w:t>
      </w:r>
      <w:r w:rsidR="00A877CA" w:rsidRPr="000F584B">
        <w:rPr>
          <w:lang w:val="en-GB"/>
        </w:rPr>
        <w:t xml:space="preserve">desired to achieve </w:t>
      </w:r>
      <w:r w:rsidR="009F3841" w:rsidRPr="000F584B">
        <w:rPr>
          <w:lang w:val="en-GB"/>
        </w:rPr>
        <w:t xml:space="preserve">more permeable </w:t>
      </w:r>
      <w:r w:rsidR="006523D2" w:rsidRPr="000F584B">
        <w:rPr>
          <w:lang w:val="en-GB"/>
        </w:rPr>
        <w:t>samples</w:t>
      </w:r>
      <w:r w:rsidR="009F3841" w:rsidRPr="000F584B">
        <w:rPr>
          <w:lang w:val="en-GB"/>
        </w:rPr>
        <w:t xml:space="preserve">. </w:t>
      </w:r>
    </w:p>
    <w:p w14:paraId="1A00CBFA" w14:textId="0A57E399" w:rsidR="00C50C46" w:rsidRPr="003C7E14" w:rsidRDefault="00153BF0" w:rsidP="00C50C46">
      <w:pPr>
        <w:pStyle w:val="CETBodytext"/>
        <w:rPr>
          <w:highlight w:val="green"/>
        </w:rPr>
      </w:pPr>
      <w:r w:rsidRPr="000F584B">
        <w:t>Usually</w:t>
      </w:r>
      <w:r w:rsidR="00C50C46" w:rsidRPr="000F584B">
        <w:t xml:space="preserve">, the structure resulting from a dry-jet/wet spinning is asymmetric, with denser layers on the inner and outer surfaces and a porous substructure that </w:t>
      </w:r>
      <w:r w:rsidR="008448C2">
        <w:t>act</w:t>
      </w:r>
      <w:r w:rsidR="008448C2" w:rsidRPr="000F584B">
        <w:t>s</w:t>
      </w:r>
      <w:r w:rsidR="00C50C46" w:rsidRPr="000F584B">
        <w:t xml:space="preserve"> as mechanical support (Figure </w:t>
      </w:r>
      <w:r w:rsidR="004E463A" w:rsidRPr="000F584B">
        <w:t>2</w:t>
      </w:r>
      <w:r w:rsidR="00C75007" w:rsidRPr="000F584B">
        <w:t>a</w:t>
      </w:r>
      <w:r w:rsidR="00C50C46" w:rsidRPr="000F584B">
        <w:t>). The</w:t>
      </w:r>
      <w:r w:rsidR="009047AD" w:rsidRPr="000F584B">
        <w:t xml:space="preserve"> effective</w:t>
      </w:r>
      <w:r w:rsidR="00C50C46" w:rsidRPr="000F584B">
        <w:t xml:space="preserve"> permea</w:t>
      </w:r>
      <w:r w:rsidR="009047AD" w:rsidRPr="000F584B">
        <w:t>nce</w:t>
      </w:r>
      <w:r w:rsidR="00C50C46" w:rsidRPr="000F584B">
        <w:t xml:space="preserve"> </w:t>
      </w:r>
      <w:r w:rsidR="009047AD" w:rsidRPr="000F584B">
        <w:t xml:space="preserve">of the whole asymmetric structure </w:t>
      </w:r>
      <w:r w:rsidR="00C50C46" w:rsidRPr="000F584B">
        <w:t xml:space="preserve">can be estimated by considering </w:t>
      </w:r>
      <w:r w:rsidR="008448C2">
        <w:t>a simplified</w:t>
      </w:r>
      <w:r w:rsidR="00C50C46" w:rsidRPr="000F584B">
        <w:t xml:space="preserve"> series model in which the different resistances are connected as </w:t>
      </w:r>
      <w:r w:rsidR="00AD58D1" w:rsidRPr="000F584B">
        <w:t xml:space="preserve">represented </w:t>
      </w:r>
      <w:r w:rsidR="00C50C46" w:rsidRPr="000F584B">
        <w:t xml:space="preserve">in Figure </w:t>
      </w:r>
      <w:r w:rsidR="00AD58D1" w:rsidRPr="000F584B">
        <w:t>2</w:t>
      </w:r>
      <w:r w:rsidR="00C75007" w:rsidRPr="000F584B">
        <w:t>b</w:t>
      </w:r>
      <w:r w:rsidR="00C50C46" w:rsidRPr="000F584B">
        <w:t xml:space="preserve">. </w:t>
      </w:r>
      <w:r w:rsidR="009047AD" w:rsidRPr="000F584B">
        <w:t>Each layer</w:t>
      </w:r>
      <w:r w:rsidR="00637B13">
        <w:t xml:space="preserve">, </w:t>
      </w:r>
      <w:r w:rsidR="00A050CD">
        <w:t>depending on</w:t>
      </w:r>
      <w:r w:rsidR="00637B13">
        <w:t xml:space="preserve"> its thickness and microstructure,</w:t>
      </w:r>
      <w:r w:rsidR="009047AD" w:rsidRPr="000F584B">
        <w:t xml:space="preserve"> contributes to the </w:t>
      </w:r>
      <w:r w:rsidR="00637B13">
        <w:t xml:space="preserve">overall </w:t>
      </w:r>
      <w:r w:rsidR="009047AD" w:rsidRPr="000F584B">
        <w:t>resistance offered to the mass transfer. In particular, the porous r</w:t>
      </w:r>
      <w:r w:rsidR="00A050CD">
        <w:t>egion</w:t>
      </w:r>
      <w:r w:rsidR="009047AD" w:rsidRPr="000F584B">
        <w:t xml:space="preserve"> closer to the skin layers</w:t>
      </w:r>
      <w:r w:rsidR="009047AD" w:rsidRPr="009047AD">
        <w:t xml:space="preserve"> can exert a not negligible role in the </w:t>
      </w:r>
      <w:r w:rsidR="008448C2">
        <w:t>measur</w:t>
      </w:r>
      <w:r w:rsidR="009047AD" w:rsidRPr="009047AD">
        <w:t>ed permeance (Clausi et al., 1999).</w:t>
      </w:r>
    </w:p>
    <w:p w14:paraId="2B9DF151" w14:textId="77777777" w:rsidR="00C50C46" w:rsidRPr="00510FF9" w:rsidRDefault="00C50C46" w:rsidP="00C50C46">
      <w:pPr>
        <w:pStyle w:val="CETBodytext"/>
        <w:rPr>
          <w:highlight w:val="yellow"/>
        </w:rPr>
      </w:pPr>
    </w:p>
    <w:p w14:paraId="1287DE29" w14:textId="43D97610" w:rsidR="004E463A" w:rsidRPr="00B57B36" w:rsidRDefault="00EB5DDA" w:rsidP="004E463A">
      <w:pPr>
        <w:pStyle w:val="CETBodytext"/>
        <w:jc w:val="left"/>
        <w:rPr>
          <w:lang w:val="en-GB"/>
        </w:rPr>
      </w:pPr>
      <w:r>
        <w:rPr>
          <w:lang w:val="en-GB"/>
        </w:rPr>
        <w:t xml:space="preserve">  </w:t>
      </w:r>
      <w:r w:rsidR="00AD767A">
        <w:rPr>
          <w:noProof/>
          <w:lang w:val="it-IT" w:eastAsia="it-IT"/>
        </w:rPr>
        <w:drawing>
          <wp:inline distT="0" distB="0" distL="0" distR="0" wp14:anchorId="1583B634" wp14:editId="543DA6BC">
            <wp:extent cx="3998562" cy="1307427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52"/>
                    <a:stretch/>
                  </pic:blipFill>
                  <pic:spPr bwMode="auto">
                    <a:xfrm>
                      <a:off x="0" y="0"/>
                      <a:ext cx="4030509" cy="1317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lang w:val="en-GB"/>
        </w:rPr>
        <w:t xml:space="preserve">        </w:t>
      </w:r>
      <w:r w:rsidR="00AD767A">
        <w:rPr>
          <w:noProof/>
          <w:lang w:val="it-IT" w:eastAsia="it-IT"/>
        </w:rPr>
        <w:drawing>
          <wp:inline distT="0" distB="0" distL="0" distR="0" wp14:anchorId="313C882E" wp14:editId="063D4C34">
            <wp:extent cx="991892" cy="1439094"/>
            <wp:effectExtent l="0" t="0" r="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922" cy="14478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646B75A" w14:textId="6AF8D561" w:rsidR="00C50C46" w:rsidRPr="00011159" w:rsidRDefault="004E463A" w:rsidP="00C50C46">
      <w:pPr>
        <w:pStyle w:val="CETCaption"/>
      </w:pPr>
      <w:r w:rsidRPr="005B2E11">
        <w:t>Fig</w:t>
      </w:r>
      <w:r w:rsidR="00C50C46" w:rsidRPr="005B2E11">
        <w:t xml:space="preserve">ure </w:t>
      </w:r>
      <w:r w:rsidRPr="005B2E11">
        <w:t>2</w:t>
      </w:r>
      <w:r w:rsidR="00C50C46" w:rsidRPr="005B2E11">
        <w:t xml:space="preserve">: </w:t>
      </w:r>
      <w:r w:rsidR="00C75007">
        <w:t xml:space="preserve">a) </w:t>
      </w:r>
      <w:r w:rsidR="00C50C46" w:rsidRPr="005B2E11">
        <w:t>S</w:t>
      </w:r>
      <w:r w:rsidRPr="005B2E11">
        <w:t>cheme of an asymmetric HF membrane</w:t>
      </w:r>
      <w:r w:rsidR="005B2E11">
        <w:t xml:space="preserve"> and </w:t>
      </w:r>
      <w:r w:rsidR="00C75007">
        <w:t xml:space="preserve">b) </w:t>
      </w:r>
      <w:r w:rsidR="005B2E11">
        <w:t xml:space="preserve">representation of the main transport </w:t>
      </w:r>
      <w:r w:rsidR="005B2E11" w:rsidRPr="00011159">
        <w:t>resistances</w:t>
      </w:r>
      <w:r w:rsidRPr="00011159">
        <w:t>.</w:t>
      </w:r>
    </w:p>
    <w:p w14:paraId="401970B3" w14:textId="62B7D088" w:rsidR="00A877CA" w:rsidRDefault="00ED2EF8" w:rsidP="00201AED">
      <w:pPr>
        <w:pStyle w:val="CETBodytext"/>
        <w:rPr>
          <w:lang w:val="en-GB"/>
        </w:rPr>
      </w:pPr>
      <w:r>
        <w:rPr>
          <w:lang w:val="en-GB"/>
        </w:rPr>
        <w:t>Typically, a</w:t>
      </w:r>
      <w:r w:rsidR="00A877CA">
        <w:rPr>
          <w:lang w:val="en-GB"/>
        </w:rPr>
        <w:t xml:space="preserve"> reduc</w:t>
      </w:r>
      <w:r w:rsidR="0055313A">
        <w:rPr>
          <w:lang w:val="en-GB"/>
        </w:rPr>
        <w:t>ed</w:t>
      </w:r>
      <w:r>
        <w:rPr>
          <w:lang w:val="en-GB"/>
        </w:rPr>
        <w:t xml:space="preserve"> </w:t>
      </w:r>
      <w:r w:rsidR="00A877CA" w:rsidRPr="00A07525">
        <w:rPr>
          <w:lang w:val="en-GB"/>
        </w:rPr>
        <w:t xml:space="preserve">polymer concentration </w:t>
      </w:r>
      <w:r w:rsidRPr="00A07525">
        <w:rPr>
          <w:lang w:val="en-GB"/>
        </w:rPr>
        <w:t xml:space="preserve">in the dope </w:t>
      </w:r>
      <w:r w:rsidR="00A877CA" w:rsidRPr="00A07525">
        <w:rPr>
          <w:lang w:val="en-GB"/>
        </w:rPr>
        <w:t xml:space="preserve">produces </w:t>
      </w:r>
      <w:r w:rsidR="00572837" w:rsidRPr="00A07525">
        <w:rPr>
          <w:lang w:val="en-GB"/>
        </w:rPr>
        <w:t xml:space="preserve">a structure </w:t>
      </w:r>
      <w:r w:rsidR="00531961" w:rsidRPr="00A07525">
        <w:rPr>
          <w:lang w:val="en-GB"/>
        </w:rPr>
        <w:t>with</w:t>
      </w:r>
      <w:r w:rsidR="00572837" w:rsidRPr="00A07525">
        <w:rPr>
          <w:lang w:val="en-GB"/>
        </w:rPr>
        <w:t xml:space="preserve"> a l</w:t>
      </w:r>
      <w:r w:rsidR="00531961" w:rsidRPr="00A07525">
        <w:rPr>
          <w:lang w:val="en-GB"/>
        </w:rPr>
        <w:t>oos</w:t>
      </w:r>
      <w:r w:rsidR="00572837" w:rsidRPr="00A07525">
        <w:rPr>
          <w:lang w:val="en-GB"/>
        </w:rPr>
        <w:t>e internal network and th</w:t>
      </w:r>
      <w:r w:rsidR="00531961" w:rsidRPr="00A07525">
        <w:rPr>
          <w:lang w:val="en-GB"/>
        </w:rPr>
        <w:t>us</w:t>
      </w:r>
      <w:r w:rsidR="00572837" w:rsidRPr="00A07525">
        <w:rPr>
          <w:lang w:val="en-GB"/>
        </w:rPr>
        <w:t xml:space="preserve"> </w:t>
      </w:r>
      <w:r w:rsidR="00A877CA" w:rsidRPr="00A07525">
        <w:rPr>
          <w:lang w:val="en-GB"/>
        </w:rPr>
        <w:t xml:space="preserve">more </w:t>
      </w:r>
      <w:r w:rsidR="00A877CA">
        <w:rPr>
          <w:lang w:val="en-GB"/>
        </w:rPr>
        <w:t xml:space="preserve">permeable samples. However, </w:t>
      </w:r>
      <w:r w:rsidR="00B352ED">
        <w:rPr>
          <w:lang w:val="en-GB"/>
        </w:rPr>
        <w:t xml:space="preserve">a critical value has to be overcome in order to guarantee a </w:t>
      </w:r>
      <w:r w:rsidR="006523D2">
        <w:rPr>
          <w:lang w:val="en-GB"/>
        </w:rPr>
        <w:t xml:space="preserve">sufficient </w:t>
      </w:r>
      <w:r w:rsidR="00B352ED">
        <w:rPr>
          <w:lang w:val="en-GB"/>
        </w:rPr>
        <w:t>viscosity of the dope solution</w:t>
      </w:r>
      <w:r w:rsidR="00B352ED" w:rsidRPr="00B352ED">
        <w:rPr>
          <w:lang w:val="en-GB"/>
        </w:rPr>
        <w:t xml:space="preserve"> </w:t>
      </w:r>
      <w:r w:rsidR="00B352ED">
        <w:rPr>
          <w:lang w:val="en-GB"/>
        </w:rPr>
        <w:t xml:space="preserve">during spinning. These concentration values will result in </w:t>
      </w:r>
      <w:r w:rsidR="00B352ED" w:rsidRPr="00B352ED">
        <w:rPr>
          <w:lang w:val="en-GB"/>
        </w:rPr>
        <w:t xml:space="preserve">significant chain entanglement, which aids the formation of dense skin with minimal defects on the hollow fibers </w:t>
      </w:r>
      <w:r w:rsidR="00B352ED">
        <w:rPr>
          <w:lang w:val="en-GB"/>
        </w:rPr>
        <w:t>(</w:t>
      </w:r>
      <w:r w:rsidR="00B352ED" w:rsidRPr="00B352ED">
        <w:rPr>
          <w:lang w:val="en-GB"/>
        </w:rPr>
        <w:t xml:space="preserve">Tai </w:t>
      </w:r>
      <w:r w:rsidR="00B352ED">
        <w:rPr>
          <w:lang w:val="en-GB"/>
        </w:rPr>
        <w:t>et al., 1997).</w:t>
      </w:r>
      <w:r w:rsidR="00201AED">
        <w:rPr>
          <w:lang w:val="en-GB"/>
        </w:rPr>
        <w:t xml:space="preserve"> </w:t>
      </w:r>
      <w:r w:rsidR="001C222D">
        <w:rPr>
          <w:lang w:val="en-GB"/>
        </w:rPr>
        <w:t xml:space="preserve">The HFs prepared </w:t>
      </w:r>
      <w:r w:rsidR="006523D2">
        <w:rPr>
          <w:lang w:val="en-GB"/>
        </w:rPr>
        <w:t>at</w:t>
      </w:r>
      <w:r w:rsidR="001C222D">
        <w:rPr>
          <w:lang w:val="en-GB"/>
        </w:rPr>
        <w:t xml:space="preserve"> </w:t>
      </w:r>
      <w:r w:rsidR="00201AED" w:rsidRPr="006523D2">
        <w:rPr>
          <w:lang w:val="en-GB"/>
        </w:rPr>
        <w:t xml:space="preserve">higher </w:t>
      </w:r>
      <w:r w:rsidR="00FB23D0">
        <w:rPr>
          <w:lang w:val="en-GB"/>
        </w:rPr>
        <w:t xml:space="preserve">dope </w:t>
      </w:r>
      <w:r w:rsidR="00201AED" w:rsidRPr="006523D2">
        <w:rPr>
          <w:lang w:val="en-GB"/>
        </w:rPr>
        <w:t xml:space="preserve">concentrations </w:t>
      </w:r>
      <w:r w:rsidR="008448C2">
        <w:rPr>
          <w:lang w:val="en-GB"/>
        </w:rPr>
        <w:t>present</w:t>
      </w:r>
      <w:r w:rsidR="006523D2" w:rsidRPr="006523D2">
        <w:rPr>
          <w:lang w:val="en-GB"/>
        </w:rPr>
        <w:t xml:space="preserve"> </w:t>
      </w:r>
      <w:r w:rsidR="00201AED" w:rsidRPr="006523D2">
        <w:rPr>
          <w:lang w:val="en-GB"/>
        </w:rPr>
        <w:t xml:space="preserve">thicker skin layers and more dense substructures, therefore </w:t>
      </w:r>
      <w:r w:rsidR="00790AC6">
        <w:rPr>
          <w:lang w:val="en-GB"/>
        </w:rPr>
        <w:t xml:space="preserve">their </w:t>
      </w:r>
      <w:r w:rsidR="00792C04">
        <w:rPr>
          <w:lang w:val="en-GB"/>
        </w:rPr>
        <w:t xml:space="preserve">gas </w:t>
      </w:r>
      <w:r w:rsidR="00201AED" w:rsidRPr="006523D2">
        <w:rPr>
          <w:lang w:val="en-GB"/>
        </w:rPr>
        <w:t xml:space="preserve">permeation rates </w:t>
      </w:r>
      <w:r w:rsidR="008448C2" w:rsidRPr="006523D2">
        <w:rPr>
          <w:lang w:val="en-GB"/>
        </w:rPr>
        <w:t>are considerably reduced</w:t>
      </w:r>
      <w:r w:rsidR="00201AED" w:rsidRPr="006523D2">
        <w:rPr>
          <w:lang w:val="en-GB"/>
        </w:rPr>
        <w:t>.</w:t>
      </w:r>
    </w:p>
    <w:p w14:paraId="48FD05A8" w14:textId="6C3BB125" w:rsidR="006523D2" w:rsidRDefault="008448C2" w:rsidP="00201AED">
      <w:pPr>
        <w:pStyle w:val="CETBodytext"/>
        <w:rPr>
          <w:lang w:val="en-GB"/>
        </w:rPr>
      </w:pPr>
      <w:r>
        <w:t xml:space="preserve">In the case of polysulfone HFs the </w:t>
      </w:r>
      <w:r w:rsidR="00792C04">
        <w:t xml:space="preserve">investigated </w:t>
      </w:r>
      <w:r>
        <w:t xml:space="preserve">dope concentration was in the range 30–35 wt.%, while the polyimide-based HFs were prepared </w:t>
      </w:r>
      <w:r w:rsidRPr="00637B13">
        <w:t>at a concentration of 24 wt.%. Indeed, the critical concentration for PSf was reported to be 26% (</w:t>
      </w:r>
      <w:r w:rsidRPr="00637B13">
        <w:rPr>
          <w:lang w:val="en-GB"/>
        </w:rPr>
        <w:t>Ismail et al., 2017), whereas for Matrimid a lower value is</w:t>
      </w:r>
      <w:r>
        <w:rPr>
          <w:lang w:val="en-GB"/>
        </w:rPr>
        <w:t xml:space="preserve"> typically reported at room conditions. </w:t>
      </w:r>
      <w:r w:rsidRPr="008448C2">
        <w:rPr>
          <w:lang w:val="en-GB"/>
        </w:rPr>
        <w:t>Thus, m</w:t>
      </w:r>
      <w:r w:rsidR="006523D2" w:rsidRPr="008448C2">
        <w:rPr>
          <w:lang w:val="en-GB"/>
        </w:rPr>
        <w:t xml:space="preserve">oving </w:t>
      </w:r>
      <w:r w:rsidR="006523D2">
        <w:rPr>
          <w:lang w:val="en-GB"/>
        </w:rPr>
        <w:t>from 35 wt</w:t>
      </w:r>
      <w:r w:rsidR="00C36607">
        <w:rPr>
          <w:lang w:val="en-GB"/>
        </w:rPr>
        <w:t>.</w:t>
      </w:r>
      <w:r w:rsidR="006523D2">
        <w:rPr>
          <w:lang w:val="en-GB"/>
        </w:rPr>
        <w:t>% to 30 wt</w:t>
      </w:r>
      <w:r w:rsidR="00C36607">
        <w:rPr>
          <w:lang w:val="en-GB"/>
        </w:rPr>
        <w:t>.</w:t>
      </w:r>
      <w:r w:rsidR="006523D2">
        <w:rPr>
          <w:lang w:val="en-GB"/>
        </w:rPr>
        <w:t xml:space="preserve">% in terms of PSf dope concentration, a three-fold </w:t>
      </w:r>
      <w:r w:rsidR="006523D2" w:rsidRPr="00A07525">
        <w:rPr>
          <w:lang w:val="en-GB"/>
        </w:rPr>
        <w:t xml:space="preserve">higher </w:t>
      </w:r>
      <w:r w:rsidR="00A07525">
        <w:rPr>
          <w:lang w:val="en-GB"/>
        </w:rPr>
        <w:t xml:space="preserve">gas </w:t>
      </w:r>
      <w:r w:rsidR="006523D2">
        <w:rPr>
          <w:lang w:val="en-GB"/>
        </w:rPr>
        <w:t>permeance was achieved</w:t>
      </w:r>
      <w:r w:rsidR="00A07525">
        <w:rPr>
          <w:lang w:val="en-GB"/>
        </w:rPr>
        <w:t xml:space="preserve">, as evidenced in Table 1 for </w:t>
      </w:r>
      <w:r w:rsidR="00A07525" w:rsidRPr="00A07525">
        <w:rPr>
          <w:lang w:val="en-GB"/>
        </w:rPr>
        <w:t>CO</w:t>
      </w:r>
      <w:r w:rsidR="00A07525" w:rsidRPr="00A07525">
        <w:rPr>
          <w:vertAlign w:val="subscript"/>
          <w:lang w:val="en-GB"/>
        </w:rPr>
        <w:t>2</w:t>
      </w:r>
      <w:r w:rsidR="006523D2">
        <w:rPr>
          <w:lang w:val="en-GB"/>
        </w:rPr>
        <w:t>.</w:t>
      </w:r>
    </w:p>
    <w:p w14:paraId="5E4EF126" w14:textId="7C082D33" w:rsidR="00FB23D0" w:rsidRPr="00A96C60" w:rsidRDefault="00FB23D0" w:rsidP="00FB23D0">
      <w:pPr>
        <w:pStyle w:val="CETTabletitle"/>
        <w:rPr>
          <w:color w:val="C00000"/>
        </w:rPr>
      </w:pPr>
      <w:r w:rsidRPr="00DF7C5D">
        <w:rPr>
          <w:color w:val="000000" w:themeColor="text1"/>
        </w:rPr>
        <w:t xml:space="preserve">Table 1: </w:t>
      </w:r>
      <w:r w:rsidRPr="00AF129C">
        <w:t xml:space="preserve">Effect of the </w:t>
      </w:r>
      <w:r>
        <w:t>dope concentration</w:t>
      </w:r>
      <w:r w:rsidR="00724EF9">
        <w:t xml:space="preserve"> (PSf membranes)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134"/>
        <w:gridCol w:w="1276"/>
        <w:gridCol w:w="1276"/>
      </w:tblGrid>
      <w:tr w:rsidR="000D4A83" w:rsidRPr="00A96C60" w14:paraId="044AD5B5" w14:textId="340CD8C8" w:rsidTr="005A5427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586308C" w14:textId="77777777" w:rsidR="000D4A83" w:rsidRPr="000F77FA" w:rsidRDefault="000D4A83" w:rsidP="000D4A8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Membrane</w:t>
            </w:r>
            <w:r w:rsidRPr="000F77FA">
              <w:rPr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D55EE2B" w14:textId="77777777" w:rsidR="000D4A83" w:rsidRDefault="000D4A83" w:rsidP="000D4A8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Dope conc.</w:t>
            </w:r>
          </w:p>
          <w:p w14:paraId="47349746" w14:textId="77777777" w:rsidR="005A5427" w:rsidRDefault="005A5427" w:rsidP="000D4A83">
            <w:pPr>
              <w:pStyle w:val="CETBodytext"/>
              <w:rPr>
                <w:lang w:val="en-GB"/>
              </w:rPr>
            </w:pPr>
          </w:p>
          <w:p w14:paraId="48452F1D" w14:textId="487F4F9A" w:rsidR="005A5427" w:rsidRPr="000F77FA" w:rsidRDefault="005A5427" w:rsidP="000D4A8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(wt.%)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62ADE46" w14:textId="0179AA56" w:rsidR="000D4A83" w:rsidRDefault="000D4A83" w:rsidP="000D4A83">
            <w:pPr>
              <w:pStyle w:val="CETBodytext"/>
              <w:rPr>
                <w:lang w:val="en-GB"/>
              </w:rPr>
            </w:pPr>
            <w:r w:rsidRPr="000F77FA">
              <w:rPr>
                <w:lang w:val="en-GB"/>
              </w:rPr>
              <w:t xml:space="preserve">Air gap </w:t>
            </w:r>
          </w:p>
          <w:p w14:paraId="33885F03" w14:textId="77777777" w:rsidR="005A5427" w:rsidRDefault="005A5427" w:rsidP="000D4A83">
            <w:pPr>
              <w:pStyle w:val="CETBodytext"/>
              <w:rPr>
                <w:lang w:val="en-GB"/>
              </w:rPr>
            </w:pPr>
          </w:p>
          <w:p w14:paraId="08998103" w14:textId="459E0CDB" w:rsidR="000D4A83" w:rsidRDefault="000D4A83" w:rsidP="000D4A83">
            <w:pPr>
              <w:pStyle w:val="CETBodytext"/>
              <w:rPr>
                <w:lang w:val="en-GB"/>
              </w:rPr>
            </w:pPr>
            <w:r w:rsidRPr="000F77FA">
              <w:rPr>
                <w:lang w:val="en-GB"/>
              </w:rPr>
              <w:t>(cm)</w:t>
            </w:r>
          </w:p>
        </w:tc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254348C" w14:textId="77777777" w:rsidR="005A5427" w:rsidRDefault="000D4A83" w:rsidP="000D4A8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BF</w:t>
            </w:r>
            <w:r w:rsidR="005A5427">
              <w:rPr>
                <w:lang w:val="en-GB"/>
              </w:rPr>
              <w:t>/Dope</w:t>
            </w:r>
          </w:p>
          <w:p w14:paraId="43585518" w14:textId="518BA769" w:rsidR="000D4A83" w:rsidRDefault="000D4A83" w:rsidP="000D4A83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flow rate</w:t>
            </w:r>
            <w:r w:rsidR="005A5427">
              <w:rPr>
                <w:lang w:val="en-GB"/>
              </w:rPr>
              <w:t xml:space="preserve"> ratio</w:t>
            </w:r>
          </w:p>
          <w:p w14:paraId="47939869" w14:textId="6E5301D1" w:rsidR="000D4A83" w:rsidRPr="00A96C60" w:rsidRDefault="000D4A83" w:rsidP="005A5427">
            <w:pPr>
              <w:pStyle w:val="CETBodytext"/>
              <w:ind w:right="-1"/>
              <w:rPr>
                <w:rFonts w:cs="Arial"/>
                <w:color w:val="C00000"/>
                <w:szCs w:val="18"/>
                <w:lang w:val="en-GB"/>
              </w:rPr>
            </w:pPr>
            <w:r>
              <w:rPr>
                <w:lang w:val="en-GB"/>
              </w:rPr>
              <w:t>(</w:t>
            </w:r>
            <w:r w:rsidR="005A5427">
              <w:rPr>
                <w:lang w:val="en-GB"/>
              </w:rPr>
              <w:t>-</w:t>
            </w:r>
            <w:r>
              <w:rPr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D696A45" w14:textId="77777777" w:rsidR="000D4A83" w:rsidRDefault="000D4A83" w:rsidP="000D4A83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0F77FA">
              <w:rPr>
                <w:rFonts w:cs="Arial"/>
                <w:szCs w:val="18"/>
                <w:lang w:val="en-GB"/>
              </w:rPr>
              <w:t>CO</w:t>
            </w:r>
            <w:r w:rsidRPr="000F77FA">
              <w:rPr>
                <w:rFonts w:cs="Arial"/>
                <w:szCs w:val="18"/>
                <w:vertAlign w:val="subscript"/>
                <w:lang w:val="en-GB"/>
              </w:rPr>
              <w:t>2</w:t>
            </w:r>
            <w:r w:rsidRPr="000F77FA">
              <w:rPr>
                <w:rFonts w:cs="Arial"/>
                <w:szCs w:val="18"/>
                <w:lang w:val="en-GB"/>
              </w:rPr>
              <w:t xml:space="preserve"> Permeance</w:t>
            </w:r>
          </w:p>
          <w:p w14:paraId="6BE539FF" w14:textId="001EC292" w:rsidR="000D4A83" w:rsidRPr="00A96C60" w:rsidRDefault="000D4A83" w:rsidP="000D4A83">
            <w:pPr>
              <w:pStyle w:val="CETBodytext"/>
              <w:ind w:right="-1"/>
              <w:rPr>
                <w:rFonts w:cs="Arial"/>
                <w:color w:val="C00000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(GPU)</w:t>
            </w:r>
          </w:p>
        </w:tc>
      </w:tr>
      <w:tr w:rsidR="00760399" w:rsidRPr="00A96C60" w14:paraId="37C335C4" w14:textId="53EEE548" w:rsidTr="005A5427">
        <w:tc>
          <w:tcPr>
            <w:tcW w:w="1134" w:type="dxa"/>
            <w:shd w:val="clear" w:color="auto" w:fill="FFFFFF"/>
          </w:tcPr>
          <w:p w14:paraId="45F520E6" w14:textId="5D41A16C" w:rsidR="00760399" w:rsidRPr="000F77FA" w:rsidRDefault="00025965" w:rsidP="00760399">
            <w:pPr>
              <w:pStyle w:val="CETBodytext"/>
              <w:rPr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46F86668" w14:textId="2F376ECA" w:rsidR="00760399" w:rsidRPr="000F77FA" w:rsidRDefault="00760399" w:rsidP="00760399">
            <w:pPr>
              <w:pStyle w:val="CETBodytext"/>
              <w:rPr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35</w:t>
            </w:r>
          </w:p>
        </w:tc>
        <w:tc>
          <w:tcPr>
            <w:tcW w:w="1134" w:type="dxa"/>
            <w:shd w:val="clear" w:color="auto" w:fill="FFFFFF"/>
          </w:tcPr>
          <w:p w14:paraId="391C6325" w14:textId="7CA209C1" w:rsidR="00760399" w:rsidRPr="00A96C60" w:rsidRDefault="00760399" w:rsidP="00760399">
            <w:pPr>
              <w:pStyle w:val="CETBodytext"/>
              <w:ind w:right="-1"/>
              <w:rPr>
                <w:rFonts w:cs="Arial"/>
                <w:color w:val="C00000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14:paraId="644EA2AA" w14:textId="707A0A63" w:rsidR="00760399" w:rsidRPr="005A5427" w:rsidRDefault="005A5427" w:rsidP="007603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5A5427">
              <w:rPr>
                <w:rFonts w:cs="Arial"/>
                <w:szCs w:val="18"/>
                <w:lang w:val="en-GB"/>
              </w:rPr>
              <w:t>0.8</w:t>
            </w:r>
          </w:p>
        </w:tc>
        <w:tc>
          <w:tcPr>
            <w:tcW w:w="1276" w:type="dxa"/>
            <w:shd w:val="clear" w:color="auto" w:fill="FFFFFF"/>
          </w:tcPr>
          <w:p w14:paraId="0EDEE422" w14:textId="6F5D312A" w:rsidR="00760399" w:rsidRPr="00A96C60" w:rsidRDefault="00760399" w:rsidP="00760399">
            <w:pPr>
              <w:pStyle w:val="CETBodytext"/>
              <w:ind w:right="-1"/>
              <w:rPr>
                <w:rFonts w:cs="Arial"/>
                <w:color w:val="C00000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3.4</w:t>
            </w:r>
          </w:p>
        </w:tc>
      </w:tr>
      <w:tr w:rsidR="00760399" w:rsidRPr="00A96C60" w14:paraId="4D941195" w14:textId="77777777" w:rsidTr="005A5427">
        <w:tc>
          <w:tcPr>
            <w:tcW w:w="1134" w:type="dxa"/>
            <w:shd w:val="clear" w:color="auto" w:fill="FFFFFF"/>
          </w:tcPr>
          <w:p w14:paraId="573B3C6C" w14:textId="39DA9E80" w:rsidR="00760399" w:rsidRDefault="00025965" w:rsidP="007603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B</w:t>
            </w:r>
          </w:p>
        </w:tc>
        <w:tc>
          <w:tcPr>
            <w:tcW w:w="1134" w:type="dxa"/>
            <w:shd w:val="clear" w:color="auto" w:fill="FFFFFF"/>
          </w:tcPr>
          <w:p w14:paraId="1689E32A" w14:textId="7EFF74D2" w:rsidR="00760399" w:rsidRDefault="00760399" w:rsidP="007603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30</w:t>
            </w:r>
          </w:p>
        </w:tc>
        <w:tc>
          <w:tcPr>
            <w:tcW w:w="1134" w:type="dxa"/>
            <w:shd w:val="clear" w:color="auto" w:fill="FFFFFF"/>
          </w:tcPr>
          <w:p w14:paraId="42DC7343" w14:textId="293187D0" w:rsidR="00760399" w:rsidRDefault="00760399" w:rsidP="00760399">
            <w:pPr>
              <w:pStyle w:val="CETBodytext"/>
              <w:ind w:right="-1"/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14:paraId="1E3EA33D" w14:textId="62897603" w:rsidR="00760399" w:rsidRPr="005A5427" w:rsidRDefault="005A5427" w:rsidP="007603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5A5427">
              <w:rPr>
                <w:rFonts w:cs="Arial"/>
                <w:szCs w:val="18"/>
                <w:lang w:val="en-GB"/>
              </w:rPr>
              <w:t>0.8</w:t>
            </w:r>
          </w:p>
        </w:tc>
        <w:tc>
          <w:tcPr>
            <w:tcW w:w="1276" w:type="dxa"/>
            <w:shd w:val="clear" w:color="auto" w:fill="FFFFFF"/>
          </w:tcPr>
          <w:p w14:paraId="64092317" w14:textId="6C340336" w:rsidR="00760399" w:rsidRPr="000D4A83" w:rsidRDefault="00760399" w:rsidP="00760399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0D4A83">
              <w:rPr>
                <w:rFonts w:cs="Arial"/>
                <w:color w:val="000000" w:themeColor="text1"/>
                <w:szCs w:val="18"/>
                <w:lang w:val="en-GB"/>
              </w:rPr>
              <w:t>10.1</w:t>
            </w:r>
          </w:p>
        </w:tc>
      </w:tr>
    </w:tbl>
    <w:p w14:paraId="49C41241" w14:textId="18A7632F" w:rsidR="004819B4" w:rsidRDefault="005D1D2C" w:rsidP="00EA2682">
      <w:pPr>
        <w:pStyle w:val="CETBodytext"/>
        <w:rPr>
          <w:lang w:val="en-GB"/>
        </w:rPr>
      </w:pPr>
      <w:r>
        <w:rPr>
          <w:lang w:val="en-GB"/>
        </w:rPr>
        <w:t>At fixed dope concentration, a</w:t>
      </w:r>
      <w:r w:rsidR="00201AED">
        <w:rPr>
          <w:lang w:val="en-GB"/>
        </w:rPr>
        <w:t xml:space="preserve">n increase in the </w:t>
      </w:r>
      <w:r w:rsidR="00201AED" w:rsidRPr="005A5427">
        <w:rPr>
          <w:lang w:val="en-GB"/>
        </w:rPr>
        <w:t xml:space="preserve">dope temperature </w:t>
      </w:r>
      <w:r w:rsidR="00201AED">
        <w:rPr>
          <w:lang w:val="en-GB"/>
        </w:rPr>
        <w:t xml:space="preserve">determines a lower viscosity </w:t>
      </w:r>
      <w:r w:rsidR="00A20B11">
        <w:rPr>
          <w:lang w:val="en-GB"/>
        </w:rPr>
        <w:t>resulting in</w:t>
      </w:r>
      <w:r w:rsidR="00201AED">
        <w:rPr>
          <w:lang w:val="en-GB"/>
        </w:rPr>
        <w:t xml:space="preserve"> membranes with a larger permeability</w:t>
      </w:r>
      <w:r w:rsidR="00365E07">
        <w:rPr>
          <w:lang w:val="en-GB"/>
        </w:rPr>
        <w:t>,</w:t>
      </w:r>
      <w:r w:rsidR="00A20B11">
        <w:rPr>
          <w:lang w:val="en-GB"/>
        </w:rPr>
        <w:t xml:space="preserve"> as </w:t>
      </w:r>
      <w:r w:rsidR="006523D2">
        <w:rPr>
          <w:lang w:val="en-GB"/>
        </w:rPr>
        <w:t xml:space="preserve">observed </w:t>
      </w:r>
      <w:r w:rsidR="00A20B11">
        <w:rPr>
          <w:lang w:val="en-GB"/>
        </w:rPr>
        <w:t xml:space="preserve">in the case of a lower polymer concentration. </w:t>
      </w:r>
      <w:r w:rsidR="005854FE">
        <w:rPr>
          <w:lang w:val="en-GB"/>
        </w:rPr>
        <w:t xml:space="preserve">In addition, </w:t>
      </w:r>
      <w:r w:rsidR="00505318">
        <w:rPr>
          <w:lang w:val="en-GB"/>
        </w:rPr>
        <w:t>at a high</w:t>
      </w:r>
      <w:r w:rsidR="005854FE" w:rsidRPr="005854FE">
        <w:rPr>
          <w:lang w:val="en-GB"/>
        </w:rPr>
        <w:t xml:space="preserve"> temperature a faster inter-layer diffusion occurs during the phase inversion process.</w:t>
      </w:r>
      <w:r w:rsidR="00760399">
        <w:rPr>
          <w:lang w:val="en-GB"/>
        </w:rPr>
        <w:t xml:space="preserve"> In practice</w:t>
      </w:r>
      <w:r w:rsidR="00365E07" w:rsidRPr="00365E07">
        <w:rPr>
          <w:lang w:val="en-GB"/>
        </w:rPr>
        <w:t>, i</w:t>
      </w:r>
      <w:r w:rsidR="006523D2" w:rsidRPr="00365E07">
        <w:rPr>
          <w:lang w:val="en-GB"/>
        </w:rPr>
        <w:t xml:space="preserve">ncreasing </w:t>
      </w:r>
      <w:r w:rsidR="006523D2">
        <w:rPr>
          <w:lang w:val="en-GB"/>
        </w:rPr>
        <w:t>the dope solution temperature of 10 °C, moving from 60 °C to 70 °C, a</w:t>
      </w:r>
      <w:r w:rsidR="00EA2682">
        <w:rPr>
          <w:lang w:val="en-GB"/>
        </w:rPr>
        <w:t>n</w:t>
      </w:r>
      <w:r w:rsidR="006523D2">
        <w:rPr>
          <w:lang w:val="en-GB"/>
        </w:rPr>
        <w:t xml:space="preserve"> </w:t>
      </w:r>
      <w:r w:rsidR="00EA2682">
        <w:rPr>
          <w:lang w:val="en-GB"/>
        </w:rPr>
        <w:t xml:space="preserve">almost </w:t>
      </w:r>
      <w:r w:rsidR="00EA2682" w:rsidRPr="005A5427">
        <w:rPr>
          <w:lang w:val="en-GB"/>
        </w:rPr>
        <w:t xml:space="preserve">doubled </w:t>
      </w:r>
      <w:r w:rsidR="006523D2" w:rsidRPr="005A5427">
        <w:rPr>
          <w:lang w:val="en-GB"/>
        </w:rPr>
        <w:t>CO</w:t>
      </w:r>
      <w:r w:rsidR="006523D2" w:rsidRPr="005A5427">
        <w:rPr>
          <w:vertAlign w:val="subscript"/>
          <w:lang w:val="en-GB"/>
        </w:rPr>
        <w:t>2</w:t>
      </w:r>
      <w:r w:rsidR="006523D2">
        <w:rPr>
          <w:lang w:val="en-GB"/>
        </w:rPr>
        <w:t xml:space="preserve"> permeance was measured in PSf-based HFs</w:t>
      </w:r>
      <w:r w:rsidR="005A5427">
        <w:rPr>
          <w:lang w:val="en-GB"/>
        </w:rPr>
        <w:t xml:space="preserve"> as reported in Table 2</w:t>
      </w:r>
      <w:r w:rsidR="006523D2">
        <w:rPr>
          <w:lang w:val="en-GB"/>
        </w:rPr>
        <w:t xml:space="preserve">. </w:t>
      </w:r>
      <w:r w:rsidR="00EA2682" w:rsidRPr="005854FE">
        <w:rPr>
          <w:lang w:val="en-GB"/>
        </w:rPr>
        <w:t xml:space="preserve">In presence of </w:t>
      </w:r>
      <w:r w:rsidR="008448C2">
        <w:rPr>
          <w:lang w:val="en-GB"/>
        </w:rPr>
        <w:t xml:space="preserve">more </w:t>
      </w:r>
      <w:r w:rsidR="00EA2682" w:rsidRPr="005854FE">
        <w:rPr>
          <w:lang w:val="en-GB"/>
        </w:rPr>
        <w:t xml:space="preserve">volatile solvents, </w:t>
      </w:r>
      <w:r w:rsidR="008448C2">
        <w:rPr>
          <w:lang w:val="en-GB"/>
        </w:rPr>
        <w:t>high</w:t>
      </w:r>
      <w:r w:rsidR="005854FE">
        <w:rPr>
          <w:lang w:val="en-GB"/>
        </w:rPr>
        <w:t xml:space="preserve"> operating temperatures </w:t>
      </w:r>
      <w:r w:rsidR="00EA2682" w:rsidRPr="005854FE">
        <w:rPr>
          <w:lang w:val="en-GB"/>
        </w:rPr>
        <w:t>favour</w:t>
      </w:r>
      <w:r w:rsidR="00EA2682" w:rsidRPr="006523D2">
        <w:rPr>
          <w:lang w:val="en-GB"/>
        </w:rPr>
        <w:t xml:space="preserve"> also </w:t>
      </w:r>
      <w:r w:rsidR="008448C2">
        <w:rPr>
          <w:lang w:val="en-GB"/>
        </w:rPr>
        <w:t>a significant</w:t>
      </w:r>
      <w:r w:rsidR="00EA2682" w:rsidRPr="006523D2">
        <w:rPr>
          <w:lang w:val="en-GB"/>
        </w:rPr>
        <w:t xml:space="preserve"> solvent </w:t>
      </w:r>
      <w:r w:rsidR="00EA2682">
        <w:rPr>
          <w:lang w:val="en-GB"/>
        </w:rPr>
        <w:t>evaporation.</w:t>
      </w:r>
    </w:p>
    <w:p w14:paraId="1966EF7A" w14:textId="2C48E332" w:rsidR="00153BF0" w:rsidRPr="00A96C60" w:rsidRDefault="00153BF0" w:rsidP="00153BF0">
      <w:pPr>
        <w:pStyle w:val="CETTabletitle"/>
        <w:rPr>
          <w:color w:val="C00000"/>
        </w:rPr>
      </w:pPr>
      <w:r w:rsidRPr="00DA421E">
        <w:lastRenderedPageBreak/>
        <w:t>Table 2</w:t>
      </w:r>
      <w:r w:rsidRPr="00DA421E">
        <w:rPr>
          <w:color w:val="C00000"/>
        </w:rPr>
        <w:t xml:space="preserve">: </w:t>
      </w:r>
      <w:r w:rsidRPr="00DA421E">
        <w:t>Effect</w:t>
      </w:r>
      <w:r w:rsidRPr="00AF129C">
        <w:t xml:space="preserve"> of the </w:t>
      </w:r>
      <w:r>
        <w:t>temperature</w:t>
      </w:r>
      <w:r w:rsidR="004C6A15">
        <w:t xml:space="preserve"> (PSf membranes)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276"/>
        <w:gridCol w:w="1134"/>
        <w:gridCol w:w="1134"/>
        <w:gridCol w:w="1134"/>
      </w:tblGrid>
      <w:tr w:rsidR="00054671" w:rsidRPr="00A96C60" w14:paraId="4411FFBD" w14:textId="193A72CE" w:rsidTr="005A5427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CFDE9D9" w14:textId="77777777" w:rsidR="00054671" w:rsidRPr="000F77FA" w:rsidRDefault="00054671" w:rsidP="0005467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Membrane</w:t>
            </w:r>
            <w:r w:rsidRPr="000F77FA">
              <w:rPr>
                <w:lang w:val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2E124198" w14:textId="29DD420E" w:rsidR="00054671" w:rsidRDefault="00054671" w:rsidP="00054671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054671">
              <w:rPr>
                <w:rFonts w:cs="Arial"/>
                <w:color w:val="000000" w:themeColor="text1"/>
                <w:szCs w:val="18"/>
                <w:lang w:val="en-GB"/>
              </w:rPr>
              <w:t>Temperature</w:t>
            </w:r>
          </w:p>
          <w:p w14:paraId="283BED9A" w14:textId="77777777" w:rsidR="005A5427" w:rsidRPr="00054671" w:rsidRDefault="005A5427" w:rsidP="00054671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</w:p>
          <w:p w14:paraId="78ADF161" w14:textId="426D03B8" w:rsidR="00054671" w:rsidRPr="00A96C60" w:rsidRDefault="00054671" w:rsidP="00054671">
            <w:pPr>
              <w:pStyle w:val="CETBodytext"/>
              <w:ind w:right="-1"/>
              <w:rPr>
                <w:rFonts w:cs="Arial"/>
                <w:color w:val="C00000"/>
                <w:szCs w:val="18"/>
                <w:lang w:val="en-GB"/>
              </w:rPr>
            </w:pPr>
            <w:r w:rsidRPr="00054671">
              <w:rPr>
                <w:rFonts w:cs="Arial"/>
                <w:color w:val="000000" w:themeColor="text1"/>
                <w:szCs w:val="18"/>
                <w:lang w:val="en-GB"/>
              </w:rPr>
              <w:t>(°C)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5B35CC1A" w14:textId="0796AA7E" w:rsidR="00054671" w:rsidRDefault="00054671" w:rsidP="00054671">
            <w:pPr>
              <w:pStyle w:val="CETBodytext"/>
              <w:rPr>
                <w:lang w:val="en-GB"/>
              </w:rPr>
            </w:pPr>
            <w:r w:rsidRPr="000F77FA">
              <w:rPr>
                <w:lang w:val="en-GB"/>
              </w:rPr>
              <w:t xml:space="preserve">Air gap </w:t>
            </w:r>
          </w:p>
          <w:p w14:paraId="3A1745CB" w14:textId="77777777" w:rsidR="005A5427" w:rsidRDefault="005A5427" w:rsidP="00054671">
            <w:pPr>
              <w:pStyle w:val="CETBodytext"/>
              <w:rPr>
                <w:lang w:val="en-GB"/>
              </w:rPr>
            </w:pPr>
          </w:p>
          <w:p w14:paraId="6EB44931" w14:textId="39E3E420" w:rsidR="00054671" w:rsidRDefault="00054671" w:rsidP="00054671">
            <w:pPr>
              <w:pStyle w:val="CETBodytext"/>
              <w:rPr>
                <w:lang w:val="en-GB"/>
              </w:rPr>
            </w:pPr>
            <w:r w:rsidRPr="000F77FA">
              <w:rPr>
                <w:lang w:val="en-GB"/>
              </w:rPr>
              <w:t>(cm)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31ACFFA" w14:textId="77777777" w:rsidR="005A5427" w:rsidRDefault="005A5427" w:rsidP="005A542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BF/Dope</w:t>
            </w:r>
          </w:p>
          <w:p w14:paraId="16A9A12F" w14:textId="77777777" w:rsidR="005A5427" w:rsidRDefault="005A5427" w:rsidP="005A5427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flow rate ratio</w:t>
            </w:r>
          </w:p>
          <w:p w14:paraId="1A45B463" w14:textId="0499491E" w:rsidR="00054671" w:rsidRPr="000F77FA" w:rsidRDefault="005A5427" w:rsidP="005A5427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lang w:val="en-GB"/>
              </w:rPr>
              <w:t>(-)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7E6787F7" w14:textId="158B40E8" w:rsidR="00054671" w:rsidRDefault="00054671" w:rsidP="00054671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0F77FA">
              <w:rPr>
                <w:rFonts w:cs="Arial"/>
                <w:szCs w:val="18"/>
                <w:lang w:val="en-GB"/>
              </w:rPr>
              <w:t>CO</w:t>
            </w:r>
            <w:r w:rsidRPr="000F77FA">
              <w:rPr>
                <w:rFonts w:cs="Arial"/>
                <w:szCs w:val="18"/>
                <w:vertAlign w:val="subscript"/>
                <w:lang w:val="en-GB"/>
              </w:rPr>
              <w:t>2</w:t>
            </w:r>
            <w:r w:rsidRPr="000F77FA">
              <w:rPr>
                <w:rFonts w:cs="Arial"/>
                <w:szCs w:val="18"/>
                <w:lang w:val="en-GB"/>
              </w:rPr>
              <w:t xml:space="preserve"> Permeance</w:t>
            </w:r>
          </w:p>
          <w:p w14:paraId="725313FC" w14:textId="64D80E1B" w:rsidR="00054671" w:rsidRPr="00A96C60" w:rsidRDefault="00054671" w:rsidP="00054671">
            <w:pPr>
              <w:pStyle w:val="CETBodytext"/>
              <w:ind w:right="-1"/>
              <w:rPr>
                <w:rFonts w:cs="Arial"/>
                <w:color w:val="C00000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(GPU)</w:t>
            </w:r>
          </w:p>
        </w:tc>
      </w:tr>
      <w:tr w:rsidR="00054671" w:rsidRPr="00A96C60" w14:paraId="2A3118BC" w14:textId="7832B1DD" w:rsidTr="005A5427">
        <w:tc>
          <w:tcPr>
            <w:tcW w:w="1134" w:type="dxa"/>
            <w:shd w:val="clear" w:color="auto" w:fill="FFFFFF"/>
          </w:tcPr>
          <w:p w14:paraId="018CC5EA" w14:textId="0EA8AB50" w:rsidR="00054671" w:rsidRPr="000F77FA" w:rsidRDefault="00025965" w:rsidP="0005467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</w:t>
            </w:r>
          </w:p>
        </w:tc>
        <w:tc>
          <w:tcPr>
            <w:tcW w:w="1276" w:type="dxa"/>
            <w:shd w:val="clear" w:color="auto" w:fill="FFFFFF"/>
          </w:tcPr>
          <w:p w14:paraId="6D13C31D" w14:textId="56A459A7" w:rsidR="00054671" w:rsidRPr="00054671" w:rsidRDefault="00054671" w:rsidP="00054671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054671">
              <w:rPr>
                <w:rFonts w:cs="Arial"/>
                <w:color w:val="000000" w:themeColor="text1"/>
                <w:szCs w:val="18"/>
                <w:lang w:val="en-GB"/>
              </w:rPr>
              <w:t>60</w:t>
            </w:r>
          </w:p>
        </w:tc>
        <w:tc>
          <w:tcPr>
            <w:tcW w:w="1134" w:type="dxa"/>
            <w:shd w:val="clear" w:color="auto" w:fill="FFFFFF"/>
          </w:tcPr>
          <w:p w14:paraId="7354FCB6" w14:textId="79B93ABA" w:rsidR="00054671" w:rsidRPr="00054671" w:rsidRDefault="00054671" w:rsidP="00054671">
            <w:pPr>
              <w:pStyle w:val="CETBodytext"/>
              <w:ind w:right="-1"/>
              <w:rPr>
                <w:color w:val="000000" w:themeColor="text1"/>
                <w:lang w:val="en-GB"/>
              </w:rPr>
            </w:pPr>
            <w:r w:rsidRPr="00054671">
              <w:rPr>
                <w:color w:val="000000" w:themeColor="text1"/>
                <w:lang w:val="en-GB"/>
              </w:rPr>
              <w:t>60</w:t>
            </w:r>
          </w:p>
        </w:tc>
        <w:tc>
          <w:tcPr>
            <w:tcW w:w="1134" w:type="dxa"/>
            <w:shd w:val="clear" w:color="auto" w:fill="FFFFFF"/>
          </w:tcPr>
          <w:p w14:paraId="7099711D" w14:textId="4238F94D" w:rsidR="00054671" w:rsidRPr="00054671" w:rsidRDefault="005A5427" w:rsidP="00054671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>
              <w:rPr>
                <w:color w:val="000000" w:themeColor="text1"/>
                <w:lang w:val="en-GB"/>
              </w:rPr>
              <w:t>0.6</w:t>
            </w:r>
          </w:p>
        </w:tc>
        <w:tc>
          <w:tcPr>
            <w:tcW w:w="1134" w:type="dxa"/>
            <w:shd w:val="clear" w:color="auto" w:fill="FFFFFF"/>
          </w:tcPr>
          <w:p w14:paraId="4BDE6D49" w14:textId="2DD20FC0" w:rsidR="00054671" w:rsidRPr="00054671" w:rsidRDefault="00054671" w:rsidP="00054671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054671">
              <w:rPr>
                <w:rFonts w:cs="Arial"/>
                <w:color w:val="000000" w:themeColor="text1"/>
                <w:szCs w:val="18"/>
                <w:lang w:val="en-GB"/>
              </w:rPr>
              <w:t>4.9</w:t>
            </w:r>
          </w:p>
        </w:tc>
      </w:tr>
      <w:tr w:rsidR="00054671" w:rsidRPr="00A96C60" w14:paraId="5427273E" w14:textId="2F13690E" w:rsidTr="005A5427">
        <w:tc>
          <w:tcPr>
            <w:tcW w:w="1134" w:type="dxa"/>
            <w:shd w:val="clear" w:color="auto" w:fill="FFFFFF"/>
          </w:tcPr>
          <w:p w14:paraId="1D6AEB64" w14:textId="6C7B4BCF" w:rsidR="00054671" w:rsidRDefault="00025965" w:rsidP="00054671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D</w:t>
            </w:r>
          </w:p>
        </w:tc>
        <w:tc>
          <w:tcPr>
            <w:tcW w:w="1276" w:type="dxa"/>
            <w:shd w:val="clear" w:color="auto" w:fill="FFFFFF"/>
          </w:tcPr>
          <w:p w14:paraId="1640EF40" w14:textId="5D5FB130" w:rsidR="00054671" w:rsidRPr="00054671" w:rsidRDefault="00054671" w:rsidP="00054671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054671">
              <w:rPr>
                <w:rFonts w:cs="Arial"/>
                <w:color w:val="000000" w:themeColor="text1"/>
                <w:szCs w:val="18"/>
                <w:lang w:val="en-GB"/>
              </w:rPr>
              <w:t>70</w:t>
            </w:r>
          </w:p>
        </w:tc>
        <w:tc>
          <w:tcPr>
            <w:tcW w:w="1134" w:type="dxa"/>
            <w:shd w:val="clear" w:color="auto" w:fill="FFFFFF"/>
          </w:tcPr>
          <w:p w14:paraId="401E6568" w14:textId="5F8C6D49" w:rsidR="00054671" w:rsidRPr="00054671" w:rsidRDefault="00054671" w:rsidP="00054671">
            <w:pPr>
              <w:pStyle w:val="CETBodytext"/>
              <w:ind w:right="-1"/>
              <w:rPr>
                <w:color w:val="000000" w:themeColor="text1"/>
                <w:lang w:val="en-GB"/>
              </w:rPr>
            </w:pPr>
            <w:r w:rsidRPr="00054671">
              <w:rPr>
                <w:color w:val="000000" w:themeColor="text1"/>
                <w:lang w:val="en-GB"/>
              </w:rPr>
              <w:t>60</w:t>
            </w:r>
          </w:p>
        </w:tc>
        <w:tc>
          <w:tcPr>
            <w:tcW w:w="1134" w:type="dxa"/>
            <w:shd w:val="clear" w:color="auto" w:fill="FFFFFF"/>
          </w:tcPr>
          <w:p w14:paraId="7F28868C" w14:textId="2C7E5284" w:rsidR="00054671" w:rsidRPr="00054671" w:rsidRDefault="005A5427" w:rsidP="00054671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>
              <w:rPr>
                <w:color w:val="000000" w:themeColor="text1"/>
                <w:lang w:val="en-GB"/>
              </w:rPr>
              <w:t>0.6</w:t>
            </w:r>
          </w:p>
        </w:tc>
        <w:tc>
          <w:tcPr>
            <w:tcW w:w="1134" w:type="dxa"/>
            <w:shd w:val="clear" w:color="auto" w:fill="FFFFFF"/>
          </w:tcPr>
          <w:p w14:paraId="16B20845" w14:textId="349CAD83" w:rsidR="00054671" w:rsidRPr="00054671" w:rsidRDefault="00054671" w:rsidP="00054671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 w:rsidRPr="00054671">
              <w:rPr>
                <w:rFonts w:cs="Arial"/>
                <w:color w:val="000000" w:themeColor="text1"/>
                <w:szCs w:val="18"/>
                <w:lang w:val="en-GB"/>
              </w:rPr>
              <w:t>8.7</w:t>
            </w:r>
          </w:p>
        </w:tc>
      </w:tr>
    </w:tbl>
    <w:p w14:paraId="327A2994" w14:textId="77777777" w:rsidR="004B2578" w:rsidRDefault="004B2578" w:rsidP="00EA2682">
      <w:pPr>
        <w:pStyle w:val="CETBodytext"/>
        <w:rPr>
          <w:lang w:val="en-GB"/>
        </w:rPr>
      </w:pPr>
    </w:p>
    <w:p w14:paraId="753DE6F8" w14:textId="291A1DB4" w:rsidR="00734805" w:rsidRDefault="00E0161E" w:rsidP="00734805">
      <w:pPr>
        <w:pStyle w:val="CETBodytext"/>
        <w:rPr>
          <w:lang w:val="en-GB"/>
        </w:rPr>
      </w:pPr>
      <w:r>
        <w:rPr>
          <w:lang w:val="en-GB"/>
        </w:rPr>
        <w:t xml:space="preserve">The presence of a solvent in the bore fluid, delaying the coagulation time and reducing the dope concentration at the interface, can be </w:t>
      </w:r>
      <w:r w:rsidR="0055313A">
        <w:rPr>
          <w:lang w:val="en-GB"/>
        </w:rPr>
        <w:t>exploit</w:t>
      </w:r>
      <w:r>
        <w:rPr>
          <w:lang w:val="en-GB"/>
        </w:rPr>
        <w:t>ed to modify the structure of the internal skin layer.</w:t>
      </w:r>
      <w:r w:rsidR="00760399">
        <w:rPr>
          <w:lang w:val="en-GB"/>
        </w:rPr>
        <w:t xml:space="preserve"> </w:t>
      </w:r>
      <w:r>
        <w:rPr>
          <w:lang w:val="en-GB"/>
        </w:rPr>
        <w:t xml:space="preserve">A </w:t>
      </w:r>
      <w:r w:rsidRPr="00CD221E">
        <w:rPr>
          <w:lang w:val="en-GB"/>
        </w:rPr>
        <w:t xml:space="preserve">change in the bore fluid composition </w:t>
      </w:r>
      <w:r>
        <w:rPr>
          <w:lang w:val="en-GB"/>
        </w:rPr>
        <w:t xml:space="preserve">(e.g. a </w:t>
      </w:r>
      <w:r w:rsidRPr="007807A0">
        <w:rPr>
          <w:lang w:val="en-GB"/>
        </w:rPr>
        <w:t>mixture of NMP and water)</w:t>
      </w:r>
      <w:r>
        <w:rPr>
          <w:lang w:val="en-GB"/>
        </w:rPr>
        <w:t xml:space="preserve"> results in very thin </w:t>
      </w:r>
      <w:r w:rsidR="0055313A">
        <w:rPr>
          <w:lang w:val="en-GB"/>
        </w:rPr>
        <w:t>inner</w:t>
      </w:r>
      <w:r>
        <w:rPr>
          <w:lang w:val="en-GB"/>
        </w:rPr>
        <w:t xml:space="preserve"> skin layers, with </w:t>
      </w:r>
      <w:r w:rsidR="0055313A">
        <w:rPr>
          <w:lang w:val="en-GB"/>
        </w:rPr>
        <w:t xml:space="preserve">a </w:t>
      </w:r>
      <w:r>
        <w:rPr>
          <w:lang w:val="en-GB"/>
        </w:rPr>
        <w:t>consequent increase of the gas permeance through these HFs.</w:t>
      </w:r>
      <w:r w:rsidR="00637B13">
        <w:rPr>
          <w:lang w:val="en-GB"/>
        </w:rPr>
        <w:t xml:space="preserve"> </w:t>
      </w:r>
      <w:r w:rsidR="00691A0C">
        <w:rPr>
          <w:lang w:val="en-GB"/>
        </w:rPr>
        <w:t>In the case of the Matrimid-based</w:t>
      </w:r>
      <w:r w:rsidR="00DF7C5D" w:rsidRPr="00DF7C5D">
        <w:rPr>
          <w:lang w:val="en-GB"/>
        </w:rPr>
        <w:t xml:space="preserve"> </w:t>
      </w:r>
      <w:r w:rsidR="00DF7C5D">
        <w:rPr>
          <w:lang w:val="en-GB"/>
        </w:rPr>
        <w:t>HFs</w:t>
      </w:r>
      <w:r w:rsidR="00691A0C">
        <w:rPr>
          <w:lang w:val="en-GB"/>
        </w:rPr>
        <w:t xml:space="preserve">, the substitution of the water as bore fluid with a </w:t>
      </w:r>
      <w:r w:rsidR="00691A0C" w:rsidRPr="007807A0">
        <w:rPr>
          <w:lang w:val="en-GB"/>
        </w:rPr>
        <w:t xml:space="preserve">mixture of NMP and water </w:t>
      </w:r>
      <w:r w:rsidR="00691A0C">
        <w:rPr>
          <w:lang w:val="en-GB"/>
        </w:rPr>
        <w:t>(6</w:t>
      </w:r>
      <w:r w:rsidR="00691A0C" w:rsidRPr="007807A0">
        <w:rPr>
          <w:lang w:val="en-GB"/>
        </w:rPr>
        <w:t>0/</w:t>
      </w:r>
      <w:r w:rsidR="00691A0C">
        <w:rPr>
          <w:lang w:val="en-GB"/>
        </w:rPr>
        <w:t>4</w:t>
      </w:r>
      <w:r w:rsidR="00691A0C" w:rsidRPr="007807A0">
        <w:rPr>
          <w:lang w:val="en-GB"/>
        </w:rPr>
        <w:t>0 wt.</w:t>
      </w:r>
      <w:r w:rsidR="00691A0C">
        <w:rPr>
          <w:lang w:val="en-GB"/>
        </w:rPr>
        <w:t>/wt) causes a significant increase in CO</w:t>
      </w:r>
      <w:r w:rsidR="00691A0C" w:rsidRPr="00691A0C">
        <w:rPr>
          <w:vertAlign w:val="subscript"/>
          <w:lang w:val="en-GB"/>
        </w:rPr>
        <w:t>2</w:t>
      </w:r>
      <w:r w:rsidR="00691A0C">
        <w:rPr>
          <w:lang w:val="en-GB"/>
        </w:rPr>
        <w:t xml:space="preserve"> permeance from 13.</w:t>
      </w:r>
      <w:r w:rsidR="004C6A15">
        <w:rPr>
          <w:lang w:val="en-GB"/>
        </w:rPr>
        <w:t>3</w:t>
      </w:r>
      <w:r w:rsidR="00691A0C">
        <w:rPr>
          <w:lang w:val="en-GB"/>
        </w:rPr>
        <w:t xml:space="preserve"> GPU to 50 </w:t>
      </w:r>
      <w:r w:rsidR="00691A0C" w:rsidRPr="00691A0C">
        <w:rPr>
          <w:lang w:val="en-GB"/>
        </w:rPr>
        <w:t>GPU</w:t>
      </w:r>
      <w:r w:rsidR="00760399">
        <w:rPr>
          <w:lang w:val="en-GB"/>
        </w:rPr>
        <w:t>,</w:t>
      </w:r>
      <w:r w:rsidR="00691A0C" w:rsidRPr="00691A0C">
        <w:rPr>
          <w:lang w:val="en-GB"/>
        </w:rPr>
        <w:t xml:space="preserve"> but partially compromising the selectivity.</w:t>
      </w:r>
      <w:r w:rsidR="00691A0C">
        <w:rPr>
          <w:color w:val="FF0000"/>
          <w:lang w:val="en-GB"/>
        </w:rPr>
        <w:t xml:space="preserve"> </w:t>
      </w:r>
    </w:p>
    <w:p w14:paraId="7ADE4E7B" w14:textId="31C6D7E5" w:rsidR="00730F02" w:rsidRDefault="001123EB" w:rsidP="00730F02">
      <w:pPr>
        <w:pStyle w:val="CETBodytext"/>
        <w:rPr>
          <w:lang w:val="en-GB"/>
        </w:rPr>
      </w:pPr>
      <w:r>
        <w:rPr>
          <w:lang w:val="en-GB"/>
        </w:rPr>
        <w:t>A</w:t>
      </w:r>
      <w:r w:rsidRPr="001123EB">
        <w:rPr>
          <w:lang w:val="en-GB"/>
        </w:rPr>
        <w:t xml:space="preserve">fter </w:t>
      </w:r>
      <w:r>
        <w:rPr>
          <w:lang w:val="en-GB"/>
        </w:rPr>
        <w:t>prov</w:t>
      </w:r>
      <w:r w:rsidRPr="001123EB">
        <w:rPr>
          <w:lang w:val="en-GB"/>
        </w:rPr>
        <w:t xml:space="preserve">ing the </w:t>
      </w:r>
      <w:r w:rsidR="00BB5572">
        <w:rPr>
          <w:lang w:val="en-GB"/>
        </w:rPr>
        <w:t xml:space="preserve">role </w:t>
      </w:r>
      <w:r w:rsidRPr="001123EB">
        <w:rPr>
          <w:lang w:val="en-GB"/>
        </w:rPr>
        <w:t>of the main physical-chemical parameters</w:t>
      </w:r>
      <w:r>
        <w:rPr>
          <w:lang w:val="en-GB"/>
        </w:rPr>
        <w:t xml:space="preserve"> </w:t>
      </w:r>
      <w:r w:rsidR="00BB5572">
        <w:rPr>
          <w:lang w:val="en-GB"/>
        </w:rPr>
        <w:t>in spinning process</w:t>
      </w:r>
      <w:r>
        <w:rPr>
          <w:lang w:val="en-GB"/>
        </w:rPr>
        <w:t xml:space="preserve">, </w:t>
      </w:r>
      <w:r w:rsidR="001E3E44">
        <w:rPr>
          <w:lang w:val="en-GB"/>
        </w:rPr>
        <w:t>the effect of engineering nature variables was investigated.</w:t>
      </w:r>
      <w:r w:rsidR="00760399">
        <w:rPr>
          <w:lang w:val="en-GB"/>
        </w:rPr>
        <w:t xml:space="preserve"> </w:t>
      </w:r>
      <w:r w:rsidR="001F4347" w:rsidRPr="001F4347">
        <w:rPr>
          <w:lang w:val="en-GB"/>
        </w:rPr>
        <w:t xml:space="preserve">A reduction </w:t>
      </w:r>
      <w:r w:rsidR="001F4347" w:rsidRPr="00CD221E">
        <w:rPr>
          <w:lang w:val="en-GB"/>
        </w:rPr>
        <w:t xml:space="preserve">in the </w:t>
      </w:r>
      <w:r w:rsidR="009F3841" w:rsidRPr="00CD221E">
        <w:rPr>
          <w:lang w:val="en-GB"/>
        </w:rPr>
        <w:t>a</w:t>
      </w:r>
      <w:r w:rsidR="001F4347" w:rsidRPr="00CD221E">
        <w:rPr>
          <w:lang w:val="en-GB"/>
        </w:rPr>
        <w:t xml:space="preserve">ir gap </w:t>
      </w:r>
      <w:r w:rsidR="009F3841">
        <w:rPr>
          <w:lang w:val="en-GB"/>
        </w:rPr>
        <w:t xml:space="preserve">was effective </w:t>
      </w:r>
      <w:r w:rsidR="001F4347" w:rsidRPr="001F4347">
        <w:rPr>
          <w:lang w:val="en-GB"/>
        </w:rPr>
        <w:t>in increas</w:t>
      </w:r>
      <w:r w:rsidR="009F3841">
        <w:rPr>
          <w:lang w:val="en-GB"/>
        </w:rPr>
        <w:t>ing th</w:t>
      </w:r>
      <w:r w:rsidR="001F4347" w:rsidRPr="001F4347">
        <w:rPr>
          <w:lang w:val="en-GB"/>
        </w:rPr>
        <w:t>e</w:t>
      </w:r>
      <w:r w:rsidR="009F3841">
        <w:rPr>
          <w:lang w:val="en-GB"/>
        </w:rPr>
        <w:t xml:space="preserve"> gas</w:t>
      </w:r>
      <w:r w:rsidR="001F4347" w:rsidRPr="001F4347">
        <w:rPr>
          <w:lang w:val="en-GB"/>
        </w:rPr>
        <w:t xml:space="preserve"> permeance in the case of PSf HFs</w:t>
      </w:r>
      <w:r w:rsidR="00365E07">
        <w:rPr>
          <w:lang w:val="en-GB"/>
        </w:rPr>
        <w:t>.</w:t>
      </w:r>
      <w:r w:rsidR="00054671">
        <w:rPr>
          <w:lang w:val="en-GB"/>
        </w:rPr>
        <w:t xml:space="preserve"> </w:t>
      </w:r>
      <w:r w:rsidR="00365E07" w:rsidRPr="00365E07">
        <w:rPr>
          <w:lang w:val="en-GB"/>
        </w:rPr>
        <w:t>Thus, r</w:t>
      </w:r>
      <w:r w:rsidR="006939B6" w:rsidRPr="00365E07">
        <w:rPr>
          <w:lang w:val="en-GB"/>
        </w:rPr>
        <w:t xml:space="preserve">educing </w:t>
      </w:r>
      <w:r w:rsidR="006939B6">
        <w:rPr>
          <w:lang w:val="en-GB"/>
        </w:rPr>
        <w:t>the air gap from 60 cm to 50 cm and finally to 6 cm, a progressive increase in CO</w:t>
      </w:r>
      <w:r w:rsidR="006939B6" w:rsidRPr="00FB23D0">
        <w:rPr>
          <w:vertAlign w:val="subscript"/>
          <w:lang w:val="en-GB"/>
        </w:rPr>
        <w:t>2</w:t>
      </w:r>
      <w:r w:rsidR="006939B6">
        <w:rPr>
          <w:lang w:val="en-GB"/>
        </w:rPr>
        <w:t xml:space="preserve"> permeance was </w:t>
      </w:r>
      <w:r w:rsidR="00BB5572">
        <w:rPr>
          <w:lang w:val="en-GB"/>
        </w:rPr>
        <w:t>measur</w:t>
      </w:r>
      <w:r w:rsidR="006939B6">
        <w:rPr>
          <w:lang w:val="en-GB"/>
        </w:rPr>
        <w:t>ed</w:t>
      </w:r>
      <w:r w:rsidR="005C356D">
        <w:rPr>
          <w:lang w:val="en-GB"/>
        </w:rPr>
        <w:t xml:space="preserve"> (Table </w:t>
      </w:r>
      <w:r w:rsidR="00054671">
        <w:rPr>
          <w:lang w:val="en-GB"/>
        </w:rPr>
        <w:t>3</w:t>
      </w:r>
      <w:r w:rsidR="00730F02">
        <w:rPr>
          <w:lang w:val="en-GB"/>
        </w:rPr>
        <w:t>, samples E, A and F</w:t>
      </w:r>
      <w:r w:rsidR="005C356D">
        <w:rPr>
          <w:lang w:val="en-GB"/>
        </w:rPr>
        <w:t>).</w:t>
      </w:r>
      <w:r w:rsidR="006939B6" w:rsidRPr="006939B6">
        <w:rPr>
          <w:lang w:val="en-GB"/>
        </w:rPr>
        <w:t xml:space="preserve"> </w:t>
      </w:r>
      <w:r w:rsidR="00C75007" w:rsidRPr="00CA264E">
        <w:rPr>
          <w:lang w:val="en-GB"/>
        </w:rPr>
        <w:t xml:space="preserve">Indeed, </w:t>
      </w:r>
      <w:r w:rsidR="007C42B6" w:rsidRPr="00CA264E">
        <w:rPr>
          <w:lang w:val="en-GB"/>
        </w:rPr>
        <w:t>varying the air</w:t>
      </w:r>
      <w:r w:rsidR="00EC7452">
        <w:rPr>
          <w:lang w:val="en-GB"/>
        </w:rPr>
        <w:t xml:space="preserve"> </w:t>
      </w:r>
      <w:r w:rsidR="007C42B6" w:rsidRPr="00CA264E">
        <w:rPr>
          <w:lang w:val="en-GB"/>
        </w:rPr>
        <w:t xml:space="preserve">gap, </w:t>
      </w:r>
      <w:r w:rsidR="007E33BE" w:rsidRPr="00CA264E">
        <w:rPr>
          <w:lang w:val="en-GB"/>
        </w:rPr>
        <w:t xml:space="preserve">a different membrane microstructure </w:t>
      </w:r>
      <w:r w:rsidR="007E33BE">
        <w:rPr>
          <w:lang w:val="en-GB"/>
        </w:rPr>
        <w:t xml:space="preserve">during </w:t>
      </w:r>
      <w:r w:rsidR="007C42B6" w:rsidRPr="00CA264E">
        <w:rPr>
          <w:lang w:val="en-GB"/>
        </w:rPr>
        <w:t xml:space="preserve">the spinning since </w:t>
      </w:r>
      <w:r w:rsidR="00C75007" w:rsidRPr="00CA264E">
        <w:rPr>
          <w:lang w:val="en-GB"/>
        </w:rPr>
        <w:t xml:space="preserve">different precipitation paths take place on the extremal surface of the forming HF. At very low </w:t>
      </w:r>
      <w:r w:rsidR="003132CF">
        <w:rPr>
          <w:lang w:val="en-GB"/>
        </w:rPr>
        <w:t>air gap distance</w:t>
      </w:r>
      <w:r w:rsidR="00C75007" w:rsidRPr="00CA264E">
        <w:rPr>
          <w:lang w:val="en-GB"/>
        </w:rPr>
        <w:t xml:space="preserve">s, the coagulation on the external side is almost instantaneous, producing more </w:t>
      </w:r>
      <w:r w:rsidR="007C42B6" w:rsidRPr="00CA264E">
        <w:rPr>
          <w:lang w:val="en-GB"/>
        </w:rPr>
        <w:t xml:space="preserve">open and </w:t>
      </w:r>
      <w:r w:rsidR="00C75007" w:rsidRPr="00CA264E">
        <w:rPr>
          <w:lang w:val="en-GB"/>
        </w:rPr>
        <w:t xml:space="preserve">permeable skin layers. On the contrary, increasing the air gap the combined effect of larger velocity, elongational stresses </w:t>
      </w:r>
      <w:r w:rsidR="002A635B" w:rsidRPr="00CA264E">
        <w:rPr>
          <w:lang w:val="en-GB"/>
        </w:rPr>
        <w:t xml:space="preserve">because of gravity </w:t>
      </w:r>
      <w:r w:rsidR="00C75007" w:rsidRPr="00CA264E">
        <w:rPr>
          <w:lang w:val="en-GB"/>
        </w:rPr>
        <w:t xml:space="preserve">and kinetically slower phase-separation lead to denser and less permeable skin layers on </w:t>
      </w:r>
      <w:r w:rsidR="007E33BE">
        <w:rPr>
          <w:lang w:val="en-GB"/>
        </w:rPr>
        <w:t xml:space="preserve">both inner and </w:t>
      </w:r>
      <w:r w:rsidR="00C75007" w:rsidRPr="00CA264E">
        <w:rPr>
          <w:lang w:val="en-GB"/>
        </w:rPr>
        <w:t>outer region</w:t>
      </w:r>
      <w:r w:rsidR="007E33BE">
        <w:rPr>
          <w:lang w:val="en-GB"/>
        </w:rPr>
        <w:t>s</w:t>
      </w:r>
      <w:r w:rsidR="00C75007" w:rsidRPr="00CA264E">
        <w:rPr>
          <w:lang w:val="en-GB"/>
        </w:rPr>
        <w:t xml:space="preserve"> of the HFs.</w:t>
      </w:r>
      <w:r w:rsidR="007E33BE">
        <w:rPr>
          <w:lang w:val="en-GB"/>
        </w:rPr>
        <w:t xml:space="preserve"> </w:t>
      </w:r>
      <w:r w:rsidR="007E33BE" w:rsidRPr="001F4347">
        <w:rPr>
          <w:lang w:val="en-GB"/>
        </w:rPr>
        <w:t xml:space="preserve">This effect is particularly evident when the </w:t>
      </w:r>
      <w:r w:rsidR="007E33BE">
        <w:rPr>
          <w:lang w:val="en-GB"/>
        </w:rPr>
        <w:t xml:space="preserve">spinning </w:t>
      </w:r>
      <w:r w:rsidR="007E33BE" w:rsidRPr="001F4347">
        <w:rPr>
          <w:lang w:val="en-GB"/>
        </w:rPr>
        <w:t>temperature is</w:t>
      </w:r>
      <w:r w:rsidR="007E33BE">
        <w:rPr>
          <w:lang w:val="en-GB"/>
        </w:rPr>
        <w:t xml:space="preserve"> increased. However, the air gap influence is still more pronounced when a small spinneret is used. </w:t>
      </w:r>
      <w:r w:rsidR="00730F02">
        <w:rPr>
          <w:lang w:val="en-GB"/>
        </w:rPr>
        <w:t>Reducing the air gap from 50 cm to 1 cm, an almost three-fold higher CO</w:t>
      </w:r>
      <w:r w:rsidR="00730F02" w:rsidRPr="006523D2">
        <w:rPr>
          <w:vertAlign w:val="subscript"/>
          <w:lang w:val="en-GB"/>
        </w:rPr>
        <w:t>2</w:t>
      </w:r>
      <w:r w:rsidR="00730F02">
        <w:rPr>
          <w:lang w:val="en-GB"/>
        </w:rPr>
        <w:t xml:space="preserve"> permeance was measured (Table 3, samples G and H).</w:t>
      </w:r>
      <w:r w:rsidR="00730F02" w:rsidRPr="00D47D37">
        <w:t xml:space="preserve"> </w:t>
      </w:r>
      <w:r w:rsidR="00730F02" w:rsidRPr="00691A0C">
        <w:rPr>
          <w:lang w:val="en-GB"/>
        </w:rPr>
        <w:t xml:space="preserve">By using the same </w:t>
      </w:r>
      <w:r w:rsidR="00730F02">
        <w:rPr>
          <w:lang w:val="en-GB"/>
        </w:rPr>
        <w:t xml:space="preserve">spinneret (BF/Dope Cross section ratio = 0.15) and an equiponderal </w:t>
      </w:r>
      <w:r w:rsidR="00730F02" w:rsidRPr="007807A0">
        <w:rPr>
          <w:lang w:val="en-GB"/>
        </w:rPr>
        <w:t>NMP and water</w:t>
      </w:r>
      <w:r w:rsidR="00730F02">
        <w:rPr>
          <w:lang w:val="en-GB"/>
        </w:rPr>
        <w:t xml:space="preserve"> </w:t>
      </w:r>
      <w:r w:rsidR="00730F02" w:rsidRPr="007807A0">
        <w:rPr>
          <w:lang w:val="en-GB"/>
        </w:rPr>
        <w:t>mixture</w:t>
      </w:r>
      <w:r w:rsidR="00730F02" w:rsidRPr="00760399">
        <w:rPr>
          <w:lang w:val="en-GB"/>
        </w:rPr>
        <w:t xml:space="preserve"> </w:t>
      </w:r>
      <w:r w:rsidR="00730F02">
        <w:rPr>
          <w:lang w:val="en-GB"/>
        </w:rPr>
        <w:t>as bore fluid,</w:t>
      </w:r>
      <w:r w:rsidR="00730F02" w:rsidRPr="007807A0">
        <w:rPr>
          <w:lang w:val="en-GB"/>
        </w:rPr>
        <w:t xml:space="preserve"> </w:t>
      </w:r>
      <w:r w:rsidR="00730F02">
        <w:rPr>
          <w:lang w:val="en-GB"/>
        </w:rPr>
        <w:t>instead of pure water, six times more permeable HFs were obtained when decreasing the air gap from 50 cm to 1 cm.</w:t>
      </w:r>
      <w:r w:rsidR="00730F02" w:rsidRPr="007C42B6">
        <w:rPr>
          <w:lang w:val="en-GB"/>
        </w:rPr>
        <w:t xml:space="preserve"> </w:t>
      </w:r>
    </w:p>
    <w:p w14:paraId="3D75CEC7" w14:textId="44B7863C" w:rsidR="00730F02" w:rsidRDefault="007E33BE" w:rsidP="00730F02">
      <w:pPr>
        <w:pStyle w:val="CETBodytext"/>
      </w:pPr>
      <w:r>
        <w:rPr>
          <w:lang w:val="en-GB"/>
        </w:rPr>
        <w:t xml:space="preserve">In this way, it is possible to favourably couple different effects in a synergistic way. </w:t>
      </w:r>
    </w:p>
    <w:p w14:paraId="454C28D1" w14:textId="7301551E" w:rsidR="005C356D" w:rsidRPr="00A96C60" w:rsidRDefault="005C356D" w:rsidP="005C356D">
      <w:pPr>
        <w:pStyle w:val="CETTabletitle"/>
        <w:rPr>
          <w:color w:val="C00000"/>
        </w:rPr>
      </w:pPr>
      <w:r w:rsidRPr="00DA421E">
        <w:t xml:space="preserve">Table </w:t>
      </w:r>
      <w:r w:rsidR="00054671">
        <w:t>3</w:t>
      </w:r>
      <w:r w:rsidRPr="00DA421E">
        <w:rPr>
          <w:color w:val="C00000"/>
        </w:rPr>
        <w:t xml:space="preserve">: </w:t>
      </w:r>
      <w:r w:rsidRPr="00DA421E">
        <w:t>Effect</w:t>
      </w:r>
      <w:r w:rsidRPr="00AF129C">
        <w:t xml:space="preserve"> of the air gap</w:t>
      </w:r>
      <w:r w:rsidR="004C6A15">
        <w:t xml:space="preserve"> (PSf membranes)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560"/>
        <w:gridCol w:w="1134"/>
      </w:tblGrid>
      <w:tr w:rsidR="005C356D" w:rsidRPr="00A96C60" w14:paraId="62E0C9B1" w14:textId="77777777" w:rsidTr="00CD221E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5C6AA40" w14:textId="77777777" w:rsidR="005C356D" w:rsidRPr="000F77FA" w:rsidRDefault="005C356D" w:rsidP="000611D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Membrane</w:t>
            </w:r>
            <w:r w:rsidRPr="000F77FA">
              <w:rPr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17E284E" w14:textId="77777777" w:rsidR="005C356D" w:rsidRDefault="005C356D" w:rsidP="000611D5">
            <w:pPr>
              <w:pStyle w:val="CETBodytext"/>
              <w:rPr>
                <w:lang w:val="en-GB"/>
              </w:rPr>
            </w:pPr>
            <w:r w:rsidRPr="000F77FA">
              <w:rPr>
                <w:lang w:val="en-GB"/>
              </w:rPr>
              <w:t xml:space="preserve">Air gap </w:t>
            </w:r>
          </w:p>
          <w:p w14:paraId="5FDCDDA6" w14:textId="77777777" w:rsidR="005C356D" w:rsidRPr="000F77FA" w:rsidRDefault="005C356D" w:rsidP="000611D5">
            <w:pPr>
              <w:pStyle w:val="CETBodytext"/>
              <w:rPr>
                <w:lang w:val="en-GB"/>
              </w:rPr>
            </w:pPr>
            <w:r w:rsidRPr="000F77FA">
              <w:rPr>
                <w:lang w:val="en-GB"/>
              </w:rPr>
              <w:t>(cm)</w:t>
            </w:r>
          </w:p>
        </w:tc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07A56646" w14:textId="77777777" w:rsidR="00CD221E" w:rsidRDefault="00CD221E" w:rsidP="00CD221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BF/Dope</w:t>
            </w:r>
          </w:p>
          <w:p w14:paraId="6F5147E5" w14:textId="77777777" w:rsidR="00CD221E" w:rsidRDefault="00CD221E" w:rsidP="00CD221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flow rate ratio</w:t>
            </w:r>
          </w:p>
          <w:p w14:paraId="4A962151" w14:textId="1C400C70" w:rsidR="005C356D" w:rsidRPr="000F77FA" w:rsidRDefault="00CD221E" w:rsidP="00CD221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(-)</w:t>
            </w:r>
          </w:p>
        </w:tc>
        <w:tc>
          <w:tcPr>
            <w:tcW w:w="15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6B7D00B7" w14:textId="77777777" w:rsidR="006C15DB" w:rsidRDefault="006C15DB" w:rsidP="006C15D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BF/Dope</w:t>
            </w:r>
          </w:p>
          <w:p w14:paraId="35915681" w14:textId="2CCF285C" w:rsidR="006C15DB" w:rsidRDefault="006C15DB" w:rsidP="006C15DB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Cross section ratio</w:t>
            </w:r>
          </w:p>
          <w:p w14:paraId="2BE7CC0B" w14:textId="23B06D9A" w:rsidR="005C356D" w:rsidRPr="00A96C60" w:rsidRDefault="006C15DB" w:rsidP="006C15DB">
            <w:pPr>
              <w:pStyle w:val="CETBodytext"/>
              <w:ind w:right="-1"/>
              <w:rPr>
                <w:rFonts w:cs="Arial"/>
                <w:color w:val="C00000"/>
                <w:szCs w:val="18"/>
                <w:lang w:val="en-GB"/>
              </w:rPr>
            </w:pPr>
            <w:r>
              <w:rPr>
                <w:lang w:val="en-GB"/>
              </w:rPr>
              <w:t>(-)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81CBA67" w14:textId="77777777" w:rsidR="006C15DB" w:rsidRDefault="006C15DB" w:rsidP="006C15DB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0F77FA">
              <w:rPr>
                <w:rFonts w:cs="Arial"/>
                <w:szCs w:val="18"/>
                <w:lang w:val="en-GB"/>
              </w:rPr>
              <w:t>CO</w:t>
            </w:r>
            <w:r w:rsidRPr="000F77FA">
              <w:rPr>
                <w:rFonts w:cs="Arial"/>
                <w:szCs w:val="18"/>
                <w:vertAlign w:val="subscript"/>
                <w:lang w:val="en-GB"/>
              </w:rPr>
              <w:t>2</w:t>
            </w:r>
            <w:r w:rsidRPr="000F77FA">
              <w:rPr>
                <w:rFonts w:cs="Arial"/>
                <w:szCs w:val="18"/>
                <w:lang w:val="en-GB"/>
              </w:rPr>
              <w:t xml:space="preserve"> Permeance</w:t>
            </w:r>
          </w:p>
          <w:p w14:paraId="768B8E58" w14:textId="2127AF93" w:rsidR="005C356D" w:rsidRPr="00A96C60" w:rsidRDefault="006C15DB" w:rsidP="006C15DB">
            <w:pPr>
              <w:pStyle w:val="CETBodytext"/>
              <w:ind w:right="-1"/>
              <w:rPr>
                <w:rFonts w:cs="Arial"/>
                <w:color w:val="C00000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(GPU)</w:t>
            </w:r>
          </w:p>
        </w:tc>
      </w:tr>
      <w:tr w:rsidR="00760399" w:rsidRPr="00A96C60" w14:paraId="35FE0FFF" w14:textId="77777777" w:rsidTr="00CD221E">
        <w:tc>
          <w:tcPr>
            <w:tcW w:w="1134" w:type="dxa"/>
            <w:shd w:val="clear" w:color="auto" w:fill="FFFFFF"/>
          </w:tcPr>
          <w:p w14:paraId="2CB37037" w14:textId="0AA42CE1" w:rsidR="00760399" w:rsidRDefault="00730F02" w:rsidP="007603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E</w:t>
            </w:r>
          </w:p>
        </w:tc>
        <w:tc>
          <w:tcPr>
            <w:tcW w:w="1134" w:type="dxa"/>
            <w:shd w:val="clear" w:color="auto" w:fill="FFFFFF"/>
          </w:tcPr>
          <w:p w14:paraId="7AE4C9D7" w14:textId="75B906B3" w:rsidR="00760399" w:rsidRDefault="00760399" w:rsidP="007603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60</w:t>
            </w:r>
          </w:p>
        </w:tc>
        <w:tc>
          <w:tcPr>
            <w:tcW w:w="1276" w:type="dxa"/>
            <w:shd w:val="clear" w:color="auto" w:fill="FFFFFF"/>
          </w:tcPr>
          <w:p w14:paraId="36203178" w14:textId="5B626E2C" w:rsidR="00760399" w:rsidRDefault="00CD221E" w:rsidP="00760399">
            <w:pPr>
              <w:pStyle w:val="CETBodytex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0.8</w:t>
            </w:r>
          </w:p>
        </w:tc>
        <w:tc>
          <w:tcPr>
            <w:tcW w:w="1560" w:type="dxa"/>
            <w:shd w:val="clear" w:color="auto" w:fill="FFFFFF"/>
          </w:tcPr>
          <w:p w14:paraId="0C16A5E2" w14:textId="004BDCD6" w:rsidR="00760399" w:rsidRDefault="006C15DB" w:rsidP="00760399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>
              <w:rPr>
                <w:rFonts w:cs="Arial"/>
                <w:color w:val="000000" w:themeColor="text1"/>
                <w:szCs w:val="18"/>
                <w:lang w:val="en-GB"/>
              </w:rPr>
              <w:t>0.21</w:t>
            </w:r>
          </w:p>
        </w:tc>
        <w:tc>
          <w:tcPr>
            <w:tcW w:w="1134" w:type="dxa"/>
            <w:shd w:val="clear" w:color="auto" w:fill="FFFFFF"/>
          </w:tcPr>
          <w:p w14:paraId="5BE6880C" w14:textId="6BDB6DAD" w:rsidR="00760399" w:rsidRPr="006C15DB" w:rsidRDefault="006C15DB" w:rsidP="007603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6C15DB">
              <w:rPr>
                <w:rFonts w:cs="Arial"/>
                <w:szCs w:val="18"/>
                <w:lang w:val="en-GB"/>
              </w:rPr>
              <w:t>2.3</w:t>
            </w:r>
          </w:p>
        </w:tc>
      </w:tr>
      <w:tr w:rsidR="00760399" w:rsidRPr="00A96C60" w14:paraId="46E45B0B" w14:textId="77777777" w:rsidTr="00CD221E">
        <w:tc>
          <w:tcPr>
            <w:tcW w:w="1134" w:type="dxa"/>
            <w:shd w:val="clear" w:color="auto" w:fill="FFFFFF"/>
          </w:tcPr>
          <w:p w14:paraId="4FDE6E21" w14:textId="02095637" w:rsidR="00760399" w:rsidRDefault="00730F02" w:rsidP="007603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A</w:t>
            </w:r>
          </w:p>
        </w:tc>
        <w:tc>
          <w:tcPr>
            <w:tcW w:w="1134" w:type="dxa"/>
            <w:shd w:val="clear" w:color="auto" w:fill="FFFFFF"/>
          </w:tcPr>
          <w:p w14:paraId="2333C37A" w14:textId="38201153" w:rsidR="00760399" w:rsidRDefault="00760399" w:rsidP="007603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14:paraId="13DEF0D8" w14:textId="06D959E9" w:rsidR="00760399" w:rsidRDefault="00CD221E" w:rsidP="00760399">
            <w:pPr>
              <w:pStyle w:val="CETBodytex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0.8</w:t>
            </w:r>
          </w:p>
        </w:tc>
        <w:tc>
          <w:tcPr>
            <w:tcW w:w="1560" w:type="dxa"/>
            <w:shd w:val="clear" w:color="auto" w:fill="FFFFFF"/>
          </w:tcPr>
          <w:p w14:paraId="6ACA59EB" w14:textId="7A7B6441" w:rsidR="00760399" w:rsidRDefault="006C15DB" w:rsidP="00760399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>
              <w:rPr>
                <w:rFonts w:cs="Arial"/>
                <w:color w:val="000000" w:themeColor="text1"/>
                <w:szCs w:val="18"/>
                <w:lang w:val="en-GB"/>
              </w:rPr>
              <w:t>0.21</w:t>
            </w:r>
          </w:p>
        </w:tc>
        <w:tc>
          <w:tcPr>
            <w:tcW w:w="1134" w:type="dxa"/>
            <w:shd w:val="clear" w:color="auto" w:fill="FFFFFF"/>
          </w:tcPr>
          <w:p w14:paraId="6FE88933" w14:textId="7FE577A4" w:rsidR="00760399" w:rsidRPr="006C15DB" w:rsidRDefault="006C15DB" w:rsidP="007603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6C15DB">
              <w:rPr>
                <w:rFonts w:cs="Arial"/>
                <w:szCs w:val="18"/>
                <w:lang w:val="en-GB"/>
              </w:rPr>
              <w:t>3.4</w:t>
            </w:r>
          </w:p>
        </w:tc>
      </w:tr>
      <w:tr w:rsidR="00760399" w:rsidRPr="00A96C60" w14:paraId="3A502A8E" w14:textId="77777777" w:rsidTr="00CD221E">
        <w:tc>
          <w:tcPr>
            <w:tcW w:w="1134" w:type="dxa"/>
            <w:shd w:val="clear" w:color="auto" w:fill="FFFFFF"/>
          </w:tcPr>
          <w:p w14:paraId="3E8F271F" w14:textId="0A24C2F6" w:rsidR="00760399" w:rsidRPr="004C6A15" w:rsidRDefault="00730F02" w:rsidP="00760399">
            <w:pPr>
              <w:pStyle w:val="CETBodytext"/>
              <w:rPr>
                <w:color w:val="000000" w:themeColor="text1"/>
                <w:lang w:val="en-GB"/>
              </w:rPr>
            </w:pPr>
            <w:r w:rsidRPr="004C6A15">
              <w:rPr>
                <w:color w:val="000000" w:themeColor="text1"/>
                <w:lang w:val="en-GB"/>
              </w:rPr>
              <w:t>F</w:t>
            </w:r>
          </w:p>
        </w:tc>
        <w:tc>
          <w:tcPr>
            <w:tcW w:w="1134" w:type="dxa"/>
            <w:shd w:val="clear" w:color="auto" w:fill="FFFFFF"/>
          </w:tcPr>
          <w:p w14:paraId="14DCAD1A" w14:textId="27FCAD8E" w:rsidR="00760399" w:rsidRDefault="00760399" w:rsidP="00760399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14:paraId="70E973F1" w14:textId="41F73F6D" w:rsidR="00760399" w:rsidRDefault="00CD221E" w:rsidP="00760399">
            <w:pPr>
              <w:pStyle w:val="CETBodytex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0.8</w:t>
            </w:r>
          </w:p>
        </w:tc>
        <w:tc>
          <w:tcPr>
            <w:tcW w:w="1560" w:type="dxa"/>
            <w:shd w:val="clear" w:color="auto" w:fill="FFFFFF"/>
          </w:tcPr>
          <w:p w14:paraId="4711D8EA" w14:textId="6E6EF207" w:rsidR="00760399" w:rsidRPr="000D4A83" w:rsidRDefault="006C15DB" w:rsidP="00760399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>
              <w:rPr>
                <w:rFonts w:cs="Arial"/>
                <w:color w:val="000000" w:themeColor="text1"/>
                <w:szCs w:val="18"/>
                <w:lang w:val="en-GB"/>
              </w:rPr>
              <w:t>0.21</w:t>
            </w:r>
          </w:p>
        </w:tc>
        <w:tc>
          <w:tcPr>
            <w:tcW w:w="1134" w:type="dxa"/>
            <w:shd w:val="clear" w:color="auto" w:fill="FFFFFF"/>
          </w:tcPr>
          <w:p w14:paraId="12BB664C" w14:textId="6E8DCA9B" w:rsidR="00760399" w:rsidRPr="006C15DB" w:rsidRDefault="006C15DB" w:rsidP="00760399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6C15DB">
              <w:rPr>
                <w:rFonts w:cs="Arial"/>
                <w:szCs w:val="18"/>
                <w:lang w:val="en-GB"/>
              </w:rPr>
              <w:t>4.8</w:t>
            </w:r>
          </w:p>
        </w:tc>
      </w:tr>
      <w:tr w:rsidR="0036620C" w:rsidRPr="00A96C60" w14:paraId="2826B677" w14:textId="77777777" w:rsidTr="00CD221E">
        <w:tc>
          <w:tcPr>
            <w:tcW w:w="1134" w:type="dxa"/>
            <w:shd w:val="clear" w:color="auto" w:fill="FFFFFF"/>
          </w:tcPr>
          <w:p w14:paraId="0AF63D1D" w14:textId="2FAB65A6" w:rsidR="0036620C" w:rsidRPr="004C6A15" w:rsidRDefault="00730F02" w:rsidP="0036620C">
            <w:pPr>
              <w:pStyle w:val="CETBodytext"/>
              <w:rPr>
                <w:color w:val="000000" w:themeColor="text1"/>
                <w:lang w:val="en-GB"/>
              </w:rPr>
            </w:pPr>
            <w:r w:rsidRPr="004C6A15">
              <w:rPr>
                <w:rFonts w:cs="Arial"/>
                <w:color w:val="000000" w:themeColor="text1"/>
                <w:szCs w:val="18"/>
                <w:lang w:val="en-GB"/>
              </w:rPr>
              <w:t>G</w:t>
            </w:r>
          </w:p>
        </w:tc>
        <w:tc>
          <w:tcPr>
            <w:tcW w:w="1134" w:type="dxa"/>
            <w:shd w:val="clear" w:color="auto" w:fill="FFFFFF"/>
          </w:tcPr>
          <w:p w14:paraId="2393466E" w14:textId="69103C46" w:rsidR="0036620C" w:rsidRDefault="0036620C" w:rsidP="0036620C">
            <w:pPr>
              <w:pStyle w:val="CETBodytext"/>
              <w:rPr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50</w:t>
            </w:r>
          </w:p>
        </w:tc>
        <w:tc>
          <w:tcPr>
            <w:tcW w:w="1276" w:type="dxa"/>
            <w:shd w:val="clear" w:color="auto" w:fill="FFFFFF"/>
          </w:tcPr>
          <w:p w14:paraId="6401A9B4" w14:textId="2EE53F38" w:rsidR="0036620C" w:rsidRDefault="0036620C" w:rsidP="0036620C">
            <w:pPr>
              <w:pStyle w:val="CETBodytext"/>
              <w:rPr>
                <w:color w:val="000000" w:themeColor="text1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0.4</w:t>
            </w:r>
          </w:p>
        </w:tc>
        <w:tc>
          <w:tcPr>
            <w:tcW w:w="1560" w:type="dxa"/>
            <w:shd w:val="clear" w:color="auto" w:fill="FFFFFF"/>
          </w:tcPr>
          <w:p w14:paraId="2ED85634" w14:textId="2BB70F80" w:rsidR="0036620C" w:rsidRDefault="0036620C" w:rsidP="0036620C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0.15</w:t>
            </w:r>
          </w:p>
        </w:tc>
        <w:tc>
          <w:tcPr>
            <w:tcW w:w="1134" w:type="dxa"/>
            <w:shd w:val="clear" w:color="auto" w:fill="FFFFFF"/>
          </w:tcPr>
          <w:p w14:paraId="3C6FCD60" w14:textId="28DA7845" w:rsidR="0036620C" w:rsidRPr="006C15DB" w:rsidRDefault="0036620C" w:rsidP="003662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6C15DB">
              <w:rPr>
                <w:rFonts w:cs="Arial"/>
                <w:szCs w:val="18"/>
                <w:lang w:val="en-GB"/>
              </w:rPr>
              <w:t>1.2</w:t>
            </w:r>
          </w:p>
        </w:tc>
      </w:tr>
      <w:tr w:rsidR="0036620C" w:rsidRPr="00A96C60" w14:paraId="2952C875" w14:textId="77777777" w:rsidTr="00CD221E">
        <w:tc>
          <w:tcPr>
            <w:tcW w:w="1134" w:type="dxa"/>
            <w:shd w:val="clear" w:color="auto" w:fill="FFFFFF"/>
          </w:tcPr>
          <w:p w14:paraId="56FC71EB" w14:textId="27B7A6A2" w:rsidR="0036620C" w:rsidRPr="004C6A15" w:rsidRDefault="00730F02" w:rsidP="0036620C">
            <w:pPr>
              <w:pStyle w:val="CETBodytext"/>
              <w:rPr>
                <w:color w:val="000000" w:themeColor="text1"/>
                <w:lang w:val="en-GB"/>
              </w:rPr>
            </w:pPr>
            <w:r w:rsidRPr="004C6A15">
              <w:rPr>
                <w:color w:val="000000" w:themeColor="text1"/>
                <w:lang w:val="en-GB"/>
              </w:rPr>
              <w:t>H</w:t>
            </w:r>
          </w:p>
        </w:tc>
        <w:tc>
          <w:tcPr>
            <w:tcW w:w="1134" w:type="dxa"/>
            <w:shd w:val="clear" w:color="auto" w:fill="FFFFFF"/>
          </w:tcPr>
          <w:p w14:paraId="2DAB3823" w14:textId="4610A9AA" w:rsidR="0036620C" w:rsidRDefault="0036620C" w:rsidP="0036620C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14:paraId="1C95628B" w14:textId="0849C3FD" w:rsidR="0036620C" w:rsidRDefault="0036620C" w:rsidP="0036620C">
            <w:pPr>
              <w:pStyle w:val="CETBodytex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0.4</w:t>
            </w:r>
          </w:p>
        </w:tc>
        <w:tc>
          <w:tcPr>
            <w:tcW w:w="1560" w:type="dxa"/>
            <w:shd w:val="clear" w:color="auto" w:fill="FFFFFF"/>
          </w:tcPr>
          <w:p w14:paraId="29F24172" w14:textId="10F08399" w:rsidR="0036620C" w:rsidRDefault="0036620C" w:rsidP="0036620C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>
              <w:rPr>
                <w:rFonts w:cs="Arial"/>
                <w:color w:val="000000" w:themeColor="text1"/>
                <w:szCs w:val="18"/>
                <w:lang w:val="en-GB"/>
              </w:rPr>
              <w:t>0.15</w:t>
            </w:r>
          </w:p>
        </w:tc>
        <w:tc>
          <w:tcPr>
            <w:tcW w:w="1134" w:type="dxa"/>
            <w:shd w:val="clear" w:color="auto" w:fill="FFFFFF"/>
          </w:tcPr>
          <w:p w14:paraId="4DC568D0" w14:textId="75F55161" w:rsidR="0036620C" w:rsidRPr="006C15DB" w:rsidRDefault="0036620C" w:rsidP="0036620C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6C15DB">
              <w:rPr>
                <w:rFonts w:cs="Arial"/>
                <w:szCs w:val="18"/>
                <w:lang w:val="en-GB"/>
              </w:rPr>
              <w:t>3.3</w:t>
            </w:r>
          </w:p>
        </w:tc>
      </w:tr>
    </w:tbl>
    <w:p w14:paraId="148B7675" w14:textId="77777777" w:rsidR="005C356D" w:rsidRDefault="005C356D" w:rsidP="00C75007">
      <w:pPr>
        <w:pStyle w:val="CETBodytext"/>
        <w:rPr>
          <w:lang w:val="en-GB"/>
        </w:rPr>
      </w:pPr>
    </w:p>
    <w:p w14:paraId="1AAC9730" w14:textId="3F02AEAA" w:rsidR="004819B4" w:rsidRPr="00C64646" w:rsidRDefault="00365E07" w:rsidP="003F6221">
      <w:pPr>
        <w:pStyle w:val="CETBodytext"/>
        <w:rPr>
          <w:color w:val="000000" w:themeColor="text1"/>
          <w:lang w:val="en-GB"/>
        </w:rPr>
      </w:pPr>
      <w:r>
        <w:rPr>
          <w:lang w:val="en-GB"/>
        </w:rPr>
        <w:t xml:space="preserve">In the </w:t>
      </w:r>
      <w:r w:rsidRPr="004C6A15">
        <w:rPr>
          <w:color w:val="000000" w:themeColor="text1"/>
          <w:lang w:val="en-GB"/>
        </w:rPr>
        <w:t>case of Matrimid, the reduction of air gap from 50 cm to 1 cm cause</w:t>
      </w:r>
      <w:r w:rsidR="009047AD" w:rsidRPr="004C6A15">
        <w:rPr>
          <w:color w:val="000000" w:themeColor="text1"/>
          <w:lang w:val="en-GB"/>
        </w:rPr>
        <w:t>d</w:t>
      </w:r>
      <w:r w:rsidRPr="004C6A15">
        <w:rPr>
          <w:color w:val="000000" w:themeColor="text1"/>
          <w:lang w:val="en-GB"/>
        </w:rPr>
        <w:t xml:space="preserve"> an increase in HF selectivity, without a significant incre</w:t>
      </w:r>
      <w:r w:rsidR="007C42B6" w:rsidRPr="004C6A15">
        <w:rPr>
          <w:color w:val="000000" w:themeColor="text1"/>
          <w:lang w:val="en-GB"/>
        </w:rPr>
        <w:t>ase in gas permeance. This i</w:t>
      </w:r>
      <w:r w:rsidRPr="004C6A15">
        <w:rPr>
          <w:color w:val="000000" w:themeColor="text1"/>
          <w:lang w:val="en-GB"/>
        </w:rPr>
        <w:t xml:space="preserve">s </w:t>
      </w:r>
      <w:r w:rsidR="007C42B6" w:rsidRPr="004C6A15">
        <w:rPr>
          <w:color w:val="000000" w:themeColor="text1"/>
          <w:lang w:val="en-GB"/>
        </w:rPr>
        <w:t>dissimilar</w:t>
      </w:r>
      <w:r w:rsidRPr="004C6A15">
        <w:rPr>
          <w:color w:val="000000" w:themeColor="text1"/>
          <w:lang w:val="en-GB"/>
        </w:rPr>
        <w:t xml:space="preserve"> </w:t>
      </w:r>
      <w:r w:rsidR="007C42B6" w:rsidRPr="004C6A15">
        <w:rPr>
          <w:color w:val="000000" w:themeColor="text1"/>
          <w:lang w:val="en-GB"/>
        </w:rPr>
        <w:t>than wh</w:t>
      </w:r>
      <w:r w:rsidRPr="004C6A15">
        <w:rPr>
          <w:color w:val="000000" w:themeColor="text1"/>
          <w:lang w:val="en-GB"/>
        </w:rPr>
        <w:t xml:space="preserve">at observed by </w:t>
      </w:r>
      <w:r w:rsidRPr="00C64646">
        <w:rPr>
          <w:color w:val="000000" w:themeColor="text1"/>
          <w:lang w:val="en-GB"/>
        </w:rPr>
        <w:t>Clausi and Kor</w:t>
      </w:r>
      <w:r w:rsidR="007C42B6" w:rsidRPr="00C64646">
        <w:rPr>
          <w:color w:val="000000" w:themeColor="text1"/>
          <w:lang w:val="en-GB"/>
        </w:rPr>
        <w:t>os</w:t>
      </w:r>
      <w:r w:rsidR="00D35DBB" w:rsidRPr="00C64646">
        <w:rPr>
          <w:color w:val="000000" w:themeColor="text1"/>
          <w:lang w:val="en-GB"/>
        </w:rPr>
        <w:t xml:space="preserve"> (</w:t>
      </w:r>
      <w:r w:rsidR="007C42B6" w:rsidRPr="00C64646">
        <w:rPr>
          <w:color w:val="000000" w:themeColor="text1"/>
          <w:lang w:val="en-GB"/>
        </w:rPr>
        <w:t>2000</w:t>
      </w:r>
      <w:r w:rsidR="00D35DBB" w:rsidRPr="00C64646">
        <w:rPr>
          <w:color w:val="000000" w:themeColor="text1"/>
          <w:lang w:val="en-GB"/>
        </w:rPr>
        <w:t>)</w:t>
      </w:r>
      <w:r w:rsidR="007C42B6" w:rsidRPr="00C64646">
        <w:rPr>
          <w:color w:val="000000" w:themeColor="text1"/>
          <w:lang w:val="en-GB"/>
        </w:rPr>
        <w:t xml:space="preserve"> with a similar polymer, probably due to a different weight of internal and external resistances in a different </w:t>
      </w:r>
      <w:r w:rsidR="00CA264E" w:rsidRPr="00C64646">
        <w:rPr>
          <w:color w:val="000000" w:themeColor="text1"/>
          <w:lang w:val="en-GB"/>
        </w:rPr>
        <w:t xml:space="preserve">membrane </w:t>
      </w:r>
      <w:r w:rsidR="007C42B6" w:rsidRPr="00C64646">
        <w:rPr>
          <w:color w:val="000000" w:themeColor="text1"/>
          <w:lang w:val="en-GB"/>
        </w:rPr>
        <w:t xml:space="preserve">morphology. </w:t>
      </w:r>
    </w:p>
    <w:p w14:paraId="7DA771E2" w14:textId="632CDE51" w:rsidR="00A877CA" w:rsidRDefault="00C75007" w:rsidP="00820F41">
      <w:pPr>
        <w:pStyle w:val="CETBodytext"/>
      </w:pPr>
      <w:r w:rsidRPr="00C64646">
        <w:rPr>
          <w:color w:val="000000" w:themeColor="text1"/>
          <w:lang w:val="en-GB"/>
        </w:rPr>
        <w:t>Furthermore</w:t>
      </w:r>
      <w:r w:rsidR="009047AD" w:rsidRPr="00C64646">
        <w:rPr>
          <w:color w:val="000000" w:themeColor="text1"/>
          <w:lang w:val="en-GB"/>
        </w:rPr>
        <w:t>,</w:t>
      </w:r>
      <w:r w:rsidR="004819B4" w:rsidRPr="00C64646">
        <w:rPr>
          <w:color w:val="000000" w:themeColor="text1"/>
          <w:lang w:val="en-GB"/>
        </w:rPr>
        <w:t xml:space="preserve"> a</w:t>
      </w:r>
      <w:r w:rsidR="003F6221" w:rsidRPr="00C64646">
        <w:rPr>
          <w:color w:val="000000" w:themeColor="text1"/>
          <w:lang w:val="en-GB"/>
        </w:rPr>
        <w:t>n increase in the bore fluid flow rate results in more permeable HFs</w:t>
      </w:r>
      <w:r w:rsidR="00734805" w:rsidRPr="00C64646">
        <w:rPr>
          <w:color w:val="000000" w:themeColor="text1"/>
          <w:lang w:val="en-GB"/>
        </w:rPr>
        <w:t xml:space="preserve"> when </w:t>
      </w:r>
      <w:r w:rsidR="00734805">
        <w:rPr>
          <w:lang w:val="en-GB"/>
        </w:rPr>
        <w:t>the air gap is fixed</w:t>
      </w:r>
      <w:r w:rsidR="004819B4">
        <w:rPr>
          <w:lang w:val="en-GB"/>
        </w:rPr>
        <w:t>.</w:t>
      </w:r>
      <w:r w:rsidR="00DF7C5D">
        <w:rPr>
          <w:lang w:val="en-GB"/>
        </w:rPr>
        <w:t xml:space="preserve"> </w:t>
      </w:r>
      <w:r w:rsidR="00877272">
        <w:t xml:space="preserve">Using </w:t>
      </w:r>
      <w:r w:rsidR="00F872AA" w:rsidRPr="00F872AA">
        <w:t xml:space="preserve">the same </w:t>
      </w:r>
      <w:r w:rsidR="00F872AA">
        <w:t>spinneret</w:t>
      </w:r>
      <w:r w:rsidR="00F872AA" w:rsidRPr="00F872AA">
        <w:t xml:space="preserve"> and flow rates ratio</w:t>
      </w:r>
      <w:r w:rsidR="00877272">
        <w:t xml:space="preserve"> (</w:t>
      </w:r>
      <w:r w:rsidR="00DF7C5D">
        <w:t>BF</w:t>
      </w:r>
      <w:r w:rsidR="00877272">
        <w:t>/dope)</w:t>
      </w:r>
      <w:r>
        <w:t>,</w:t>
      </w:r>
      <w:r w:rsidR="00F872AA" w:rsidRPr="00F872AA">
        <w:t xml:space="preserve"> the higher the flow rates</w:t>
      </w:r>
      <w:r w:rsidR="003D54B9">
        <w:t xml:space="preserve"> for the dope and the bore fluid</w:t>
      </w:r>
      <w:r w:rsidR="00F872AA" w:rsidRPr="00F872AA">
        <w:t xml:space="preserve">, the </w:t>
      </w:r>
      <w:r w:rsidR="003D54B9">
        <w:t xml:space="preserve">greater </w:t>
      </w:r>
      <w:r w:rsidR="00F872AA" w:rsidRPr="00F872AA">
        <w:t xml:space="preserve">the </w:t>
      </w:r>
      <w:r w:rsidR="00877272">
        <w:t xml:space="preserve">spinning </w:t>
      </w:r>
      <w:r w:rsidR="003D54B9" w:rsidRPr="00126076">
        <w:rPr>
          <w:color w:val="000000" w:themeColor="text1"/>
        </w:rPr>
        <w:t>velocity</w:t>
      </w:r>
      <w:r w:rsidR="00F872AA" w:rsidRPr="00126076">
        <w:rPr>
          <w:color w:val="000000" w:themeColor="text1"/>
        </w:rPr>
        <w:t xml:space="preserve"> and therefore the </w:t>
      </w:r>
      <w:r w:rsidR="00877272" w:rsidRPr="00126076">
        <w:rPr>
          <w:color w:val="000000" w:themeColor="text1"/>
        </w:rPr>
        <w:t xml:space="preserve">HF </w:t>
      </w:r>
      <w:r w:rsidR="00F872AA" w:rsidRPr="00126076">
        <w:rPr>
          <w:color w:val="000000" w:themeColor="text1"/>
        </w:rPr>
        <w:t>gas permeance</w:t>
      </w:r>
      <w:r w:rsidR="00952656" w:rsidRPr="00126076">
        <w:rPr>
          <w:color w:val="000000" w:themeColor="text1"/>
        </w:rPr>
        <w:t xml:space="preserve"> (</w:t>
      </w:r>
      <w:r w:rsidR="00734805" w:rsidRPr="00126076">
        <w:rPr>
          <w:color w:val="000000" w:themeColor="text1"/>
        </w:rPr>
        <w:t>Table 4, samples</w:t>
      </w:r>
      <w:r w:rsidR="00952656" w:rsidRPr="00126076">
        <w:rPr>
          <w:color w:val="000000" w:themeColor="text1"/>
        </w:rPr>
        <w:t xml:space="preserve"> </w:t>
      </w:r>
      <w:r w:rsidR="00126076" w:rsidRPr="00126076">
        <w:rPr>
          <w:color w:val="000000" w:themeColor="text1"/>
        </w:rPr>
        <w:t>I</w:t>
      </w:r>
      <w:r w:rsidR="00952656" w:rsidRPr="00126076">
        <w:rPr>
          <w:color w:val="000000" w:themeColor="text1"/>
        </w:rPr>
        <w:t xml:space="preserve"> </w:t>
      </w:r>
      <w:r w:rsidR="007E33BE">
        <w:rPr>
          <w:color w:val="000000" w:themeColor="text1"/>
        </w:rPr>
        <w:t>and</w:t>
      </w:r>
      <w:r w:rsidR="00952656" w:rsidRPr="00126076">
        <w:rPr>
          <w:color w:val="000000" w:themeColor="text1"/>
        </w:rPr>
        <w:t xml:space="preserve"> </w:t>
      </w:r>
      <w:r w:rsidR="00126076" w:rsidRPr="00126076">
        <w:rPr>
          <w:color w:val="000000" w:themeColor="text1"/>
        </w:rPr>
        <w:t>L</w:t>
      </w:r>
      <w:r w:rsidR="00952656" w:rsidRPr="00126076">
        <w:rPr>
          <w:color w:val="000000" w:themeColor="text1"/>
        </w:rPr>
        <w:t>)</w:t>
      </w:r>
      <w:r w:rsidR="00F872AA" w:rsidRPr="00126076">
        <w:rPr>
          <w:color w:val="000000" w:themeColor="text1"/>
        </w:rPr>
        <w:t xml:space="preserve">. </w:t>
      </w:r>
      <w:r w:rsidR="0055313A" w:rsidRPr="00126076">
        <w:rPr>
          <w:color w:val="000000" w:themeColor="text1"/>
        </w:rPr>
        <w:t>The</w:t>
      </w:r>
      <w:r w:rsidR="008D2EEF" w:rsidRPr="00126076">
        <w:rPr>
          <w:color w:val="000000" w:themeColor="text1"/>
        </w:rPr>
        <w:t xml:space="preserve"> lower gas transport resistance arises from thinner dense layers. At the same time, </w:t>
      </w:r>
      <w:r w:rsidR="002C02FD" w:rsidRPr="00126076">
        <w:rPr>
          <w:color w:val="000000" w:themeColor="text1"/>
        </w:rPr>
        <w:t>k</w:t>
      </w:r>
      <w:r w:rsidR="00E3213B" w:rsidRPr="00126076">
        <w:rPr>
          <w:color w:val="000000" w:themeColor="text1"/>
        </w:rPr>
        <w:t>eeping</w:t>
      </w:r>
      <w:r w:rsidR="00F872AA" w:rsidRPr="00126076">
        <w:rPr>
          <w:color w:val="000000" w:themeColor="text1"/>
        </w:rPr>
        <w:t xml:space="preserve"> the same flow rates, </w:t>
      </w:r>
      <w:r w:rsidR="00E3213B" w:rsidRPr="00126076">
        <w:rPr>
          <w:color w:val="000000" w:themeColor="text1"/>
        </w:rPr>
        <w:t>a</w:t>
      </w:r>
      <w:r w:rsidR="00F872AA" w:rsidRPr="00126076">
        <w:rPr>
          <w:color w:val="000000" w:themeColor="text1"/>
        </w:rPr>
        <w:t xml:space="preserve"> smaller spinneret produces </w:t>
      </w:r>
      <w:r w:rsidR="00E3213B" w:rsidRPr="00126076">
        <w:rPr>
          <w:color w:val="000000" w:themeColor="text1"/>
        </w:rPr>
        <w:t>more permeable HFs</w:t>
      </w:r>
      <w:r w:rsidR="002C02FD" w:rsidRPr="00126076">
        <w:rPr>
          <w:color w:val="000000" w:themeColor="text1"/>
        </w:rPr>
        <w:t xml:space="preserve"> </w:t>
      </w:r>
      <w:r w:rsidR="008D2EEF" w:rsidRPr="00126076">
        <w:rPr>
          <w:color w:val="000000" w:themeColor="text1"/>
        </w:rPr>
        <w:t xml:space="preserve">owing to larger linear velocities for the dope and bore fluid </w:t>
      </w:r>
      <w:r w:rsidR="002C02FD" w:rsidRPr="00126076">
        <w:rPr>
          <w:color w:val="000000" w:themeColor="text1"/>
        </w:rPr>
        <w:t>(</w:t>
      </w:r>
      <w:r w:rsidR="00734805" w:rsidRPr="00126076">
        <w:rPr>
          <w:color w:val="000000" w:themeColor="text1"/>
        </w:rPr>
        <w:t xml:space="preserve">Table 4, samples </w:t>
      </w:r>
      <w:r w:rsidR="00126076" w:rsidRPr="00126076">
        <w:rPr>
          <w:color w:val="000000" w:themeColor="text1"/>
        </w:rPr>
        <w:t>I</w:t>
      </w:r>
      <w:r w:rsidR="002C02FD" w:rsidRPr="00126076">
        <w:rPr>
          <w:color w:val="000000" w:themeColor="text1"/>
        </w:rPr>
        <w:t xml:space="preserve"> </w:t>
      </w:r>
      <w:r w:rsidR="007E33BE">
        <w:rPr>
          <w:color w:val="000000" w:themeColor="text1"/>
        </w:rPr>
        <w:t>and</w:t>
      </w:r>
      <w:r w:rsidR="002C02FD" w:rsidRPr="00126076">
        <w:rPr>
          <w:color w:val="000000" w:themeColor="text1"/>
        </w:rPr>
        <w:t xml:space="preserve"> </w:t>
      </w:r>
      <w:r w:rsidR="00126076" w:rsidRPr="00126076">
        <w:rPr>
          <w:color w:val="000000" w:themeColor="text1"/>
        </w:rPr>
        <w:t>M</w:t>
      </w:r>
      <w:r w:rsidR="002C02FD" w:rsidRPr="00126076">
        <w:rPr>
          <w:color w:val="000000" w:themeColor="text1"/>
        </w:rPr>
        <w:t>).</w:t>
      </w:r>
      <w:r w:rsidR="00F872AA" w:rsidRPr="00126076">
        <w:rPr>
          <w:color w:val="000000" w:themeColor="text1"/>
        </w:rPr>
        <w:t xml:space="preserve"> </w:t>
      </w:r>
      <w:r w:rsidR="00820F41" w:rsidRPr="00126076">
        <w:rPr>
          <w:color w:val="000000" w:themeColor="text1"/>
        </w:rPr>
        <w:t xml:space="preserve">Therefore, </w:t>
      </w:r>
      <w:r w:rsidR="00820F41">
        <w:t>smaller spinnerets</w:t>
      </w:r>
      <w:r w:rsidR="00820F41" w:rsidRPr="00820F41">
        <w:t xml:space="preserve"> </w:t>
      </w:r>
      <w:r w:rsidR="00820F41">
        <w:t xml:space="preserve">should be selected </w:t>
      </w:r>
      <w:r w:rsidR="008D2EEF">
        <w:t>since they p</w:t>
      </w:r>
      <w:r w:rsidR="00820F41">
        <w:t>roduce thinner HFs that can be packed in more compact modules, but at the same time are also more permeable. The</w:t>
      </w:r>
      <w:r w:rsidR="00C263E4">
        <w:t xml:space="preserve"> resulting membranes</w:t>
      </w:r>
      <w:r w:rsidR="00820F41">
        <w:t xml:space="preserve"> will </w:t>
      </w:r>
      <w:r w:rsidR="00C263E4">
        <w:t>cause</w:t>
      </w:r>
      <w:r w:rsidR="00820F41">
        <w:t xml:space="preserve"> significant footprint reductions to treat a fixed stream. </w:t>
      </w:r>
      <w:r w:rsidR="00C263E4">
        <w:t>In these operation conditions, the pretreatment of the feed gas stream is fundamental in order to prevent fiber plugging by impurities.</w:t>
      </w:r>
    </w:p>
    <w:p w14:paraId="06D8B82A" w14:textId="3D751882" w:rsidR="00734805" w:rsidRPr="00A96C60" w:rsidRDefault="00734805" w:rsidP="00734805">
      <w:pPr>
        <w:pStyle w:val="CETTabletitle"/>
        <w:rPr>
          <w:color w:val="C00000"/>
        </w:rPr>
      </w:pPr>
      <w:r w:rsidRPr="00DA421E">
        <w:t xml:space="preserve">Table </w:t>
      </w:r>
      <w:r>
        <w:t>4</w:t>
      </w:r>
      <w:r w:rsidRPr="00DA421E">
        <w:rPr>
          <w:color w:val="C00000"/>
        </w:rPr>
        <w:t xml:space="preserve">: </w:t>
      </w:r>
      <w:r w:rsidRPr="00DA421E">
        <w:t>Effect</w:t>
      </w:r>
      <w:r w:rsidRPr="00AF129C">
        <w:t xml:space="preserve"> of the </w:t>
      </w:r>
      <w:r>
        <w:t>flow rates</w:t>
      </w:r>
      <w:r w:rsidR="004C6A15">
        <w:t xml:space="preserve"> (PI membranes)</w:t>
      </w:r>
    </w:p>
    <w:tbl>
      <w:tblPr>
        <w:tblW w:w="0" w:type="auto"/>
        <w:tblBorders>
          <w:top w:val="single" w:sz="12" w:space="0" w:color="008000"/>
          <w:bottom w:val="single" w:sz="12" w:space="0" w:color="008000"/>
        </w:tblBorders>
        <w:shd w:val="clear" w:color="auto" w:fill="FFFFFF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34"/>
        <w:gridCol w:w="1276"/>
        <w:gridCol w:w="1560"/>
        <w:gridCol w:w="1134"/>
      </w:tblGrid>
      <w:tr w:rsidR="00734805" w:rsidRPr="00A96C60" w14:paraId="718E00F8" w14:textId="77777777" w:rsidTr="009631BE"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431DDF33" w14:textId="77777777" w:rsidR="00734805" w:rsidRPr="000F77FA" w:rsidRDefault="00734805" w:rsidP="009631B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Membrane</w:t>
            </w:r>
            <w:r w:rsidRPr="000F77FA">
              <w:rPr>
                <w:lang w:val="en-GB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4A3B744" w14:textId="44AC8B20" w:rsidR="00734805" w:rsidRDefault="00734805" w:rsidP="0073480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BF</w:t>
            </w:r>
          </w:p>
          <w:p w14:paraId="12D89280" w14:textId="77777777" w:rsidR="00734805" w:rsidRDefault="00734805" w:rsidP="00734805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 xml:space="preserve">flow rate </w:t>
            </w:r>
          </w:p>
          <w:p w14:paraId="1F23B021" w14:textId="2A7D7420" w:rsidR="00734805" w:rsidRPr="000F77FA" w:rsidRDefault="00734805" w:rsidP="00734805">
            <w:pPr>
              <w:pStyle w:val="CETBodytext"/>
              <w:rPr>
                <w:lang w:val="en-GB"/>
              </w:rPr>
            </w:pPr>
            <w:r w:rsidRPr="000F77FA">
              <w:rPr>
                <w:lang w:val="en-GB"/>
              </w:rPr>
              <w:lastRenderedPageBreak/>
              <w:t>(</w:t>
            </w:r>
            <w:r>
              <w:rPr>
                <w:lang w:val="en-GB"/>
              </w:rPr>
              <w:t>g/min</w:t>
            </w:r>
            <w:r w:rsidRPr="000F77FA">
              <w:rPr>
                <w:lang w:val="en-GB"/>
              </w:rPr>
              <w:t>)</w:t>
            </w:r>
          </w:p>
        </w:tc>
        <w:tc>
          <w:tcPr>
            <w:tcW w:w="1276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728B456" w14:textId="77777777" w:rsidR="00734805" w:rsidRDefault="00734805" w:rsidP="009631B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lastRenderedPageBreak/>
              <w:t>BF/Dope</w:t>
            </w:r>
          </w:p>
          <w:p w14:paraId="2F9B129F" w14:textId="77777777" w:rsidR="00734805" w:rsidRDefault="00734805" w:rsidP="009631B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flow rate ratio</w:t>
            </w:r>
          </w:p>
          <w:p w14:paraId="6B262D42" w14:textId="77777777" w:rsidR="00734805" w:rsidRPr="000F77FA" w:rsidRDefault="00734805" w:rsidP="009631B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lastRenderedPageBreak/>
              <w:t>(-)</w:t>
            </w:r>
          </w:p>
        </w:tc>
        <w:tc>
          <w:tcPr>
            <w:tcW w:w="1560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32A33277" w14:textId="77777777" w:rsidR="00734805" w:rsidRDefault="00734805" w:rsidP="009631B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lastRenderedPageBreak/>
              <w:t>BF/Dope</w:t>
            </w:r>
          </w:p>
          <w:p w14:paraId="39D3D1E1" w14:textId="77777777" w:rsidR="00734805" w:rsidRDefault="00734805" w:rsidP="009631BE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Cross section ratio</w:t>
            </w:r>
          </w:p>
          <w:p w14:paraId="0E2765A1" w14:textId="77777777" w:rsidR="00734805" w:rsidRPr="00A96C60" w:rsidRDefault="00734805" w:rsidP="009631BE">
            <w:pPr>
              <w:pStyle w:val="CETBodytext"/>
              <w:ind w:right="-1"/>
              <w:rPr>
                <w:rFonts w:cs="Arial"/>
                <w:color w:val="C00000"/>
                <w:szCs w:val="18"/>
                <w:lang w:val="en-GB"/>
              </w:rPr>
            </w:pPr>
            <w:r>
              <w:rPr>
                <w:lang w:val="en-GB"/>
              </w:rPr>
              <w:lastRenderedPageBreak/>
              <w:t>(-)</w:t>
            </w:r>
          </w:p>
        </w:tc>
        <w:tc>
          <w:tcPr>
            <w:tcW w:w="1134" w:type="dxa"/>
            <w:tcBorders>
              <w:top w:val="single" w:sz="12" w:space="0" w:color="008000"/>
              <w:bottom w:val="single" w:sz="6" w:space="0" w:color="008000"/>
            </w:tcBorders>
            <w:shd w:val="clear" w:color="auto" w:fill="FFFFFF"/>
          </w:tcPr>
          <w:p w14:paraId="18729081" w14:textId="77777777" w:rsidR="00734805" w:rsidRDefault="00734805" w:rsidP="009631BE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 w:rsidRPr="000F77FA">
              <w:rPr>
                <w:rFonts w:cs="Arial"/>
                <w:szCs w:val="18"/>
                <w:lang w:val="en-GB"/>
              </w:rPr>
              <w:lastRenderedPageBreak/>
              <w:t>CO</w:t>
            </w:r>
            <w:r w:rsidRPr="000F77FA">
              <w:rPr>
                <w:rFonts w:cs="Arial"/>
                <w:szCs w:val="18"/>
                <w:vertAlign w:val="subscript"/>
                <w:lang w:val="en-GB"/>
              </w:rPr>
              <w:t>2</w:t>
            </w:r>
            <w:r w:rsidRPr="000F77FA">
              <w:rPr>
                <w:rFonts w:cs="Arial"/>
                <w:szCs w:val="18"/>
                <w:lang w:val="en-GB"/>
              </w:rPr>
              <w:t xml:space="preserve"> Permeance</w:t>
            </w:r>
          </w:p>
          <w:p w14:paraId="7E1E757C" w14:textId="77777777" w:rsidR="00734805" w:rsidRPr="00A96C60" w:rsidRDefault="00734805" w:rsidP="009631BE">
            <w:pPr>
              <w:pStyle w:val="CETBodytext"/>
              <w:ind w:right="-1"/>
              <w:rPr>
                <w:rFonts w:cs="Arial"/>
                <w:color w:val="C00000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lastRenderedPageBreak/>
              <w:t>(GPU)</w:t>
            </w:r>
          </w:p>
        </w:tc>
      </w:tr>
      <w:tr w:rsidR="00126076" w:rsidRPr="00A96C60" w14:paraId="0B557330" w14:textId="77777777" w:rsidTr="009631BE">
        <w:tc>
          <w:tcPr>
            <w:tcW w:w="1134" w:type="dxa"/>
            <w:shd w:val="clear" w:color="auto" w:fill="FFFFFF"/>
          </w:tcPr>
          <w:p w14:paraId="6FC80BB9" w14:textId="01B565B2" w:rsidR="00126076" w:rsidRDefault="00126076" w:rsidP="00126076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lastRenderedPageBreak/>
              <w:t>I</w:t>
            </w:r>
          </w:p>
        </w:tc>
        <w:tc>
          <w:tcPr>
            <w:tcW w:w="1134" w:type="dxa"/>
            <w:shd w:val="clear" w:color="auto" w:fill="FFFFFF"/>
          </w:tcPr>
          <w:p w14:paraId="6876AC1E" w14:textId="509F051E" w:rsidR="00126076" w:rsidRDefault="00126076" w:rsidP="00126076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14:paraId="2BB5FB1A" w14:textId="7F942CF5" w:rsidR="00126076" w:rsidRDefault="00126076" w:rsidP="00126076">
            <w:pPr>
              <w:pStyle w:val="CETBodytex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0.6</w:t>
            </w:r>
          </w:p>
        </w:tc>
        <w:tc>
          <w:tcPr>
            <w:tcW w:w="1560" w:type="dxa"/>
            <w:shd w:val="clear" w:color="auto" w:fill="FFFFFF"/>
          </w:tcPr>
          <w:p w14:paraId="7F6EE61D" w14:textId="728DA3C5" w:rsidR="00126076" w:rsidRDefault="00126076" w:rsidP="00126076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>
              <w:rPr>
                <w:rFonts w:cs="Arial"/>
                <w:color w:val="000000" w:themeColor="text1"/>
                <w:szCs w:val="18"/>
                <w:lang w:val="en-GB"/>
              </w:rPr>
              <w:t>0.21</w:t>
            </w:r>
          </w:p>
        </w:tc>
        <w:tc>
          <w:tcPr>
            <w:tcW w:w="1134" w:type="dxa"/>
            <w:shd w:val="clear" w:color="auto" w:fill="FFFFFF"/>
          </w:tcPr>
          <w:p w14:paraId="5C7EE649" w14:textId="3ED0A4A4" w:rsidR="00126076" w:rsidRPr="006C15DB" w:rsidRDefault="00126076" w:rsidP="00126076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5.1</w:t>
            </w:r>
          </w:p>
        </w:tc>
      </w:tr>
      <w:tr w:rsidR="00126076" w:rsidRPr="00A96C60" w14:paraId="585B0F92" w14:textId="77777777" w:rsidTr="009631BE">
        <w:tc>
          <w:tcPr>
            <w:tcW w:w="1134" w:type="dxa"/>
            <w:shd w:val="clear" w:color="auto" w:fill="FFFFFF"/>
          </w:tcPr>
          <w:p w14:paraId="5E05FA15" w14:textId="26A9610D" w:rsidR="00126076" w:rsidRDefault="00126076" w:rsidP="00126076">
            <w:pPr>
              <w:pStyle w:val="CETBodytext"/>
              <w:rPr>
                <w:highlight w:val="yellow"/>
                <w:lang w:val="en-GB"/>
              </w:rPr>
            </w:pPr>
            <w:r>
              <w:rPr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FFFFF"/>
          </w:tcPr>
          <w:p w14:paraId="2657D2AB" w14:textId="7B649755" w:rsidR="00126076" w:rsidRDefault="00126076" w:rsidP="00126076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76" w:type="dxa"/>
            <w:shd w:val="clear" w:color="auto" w:fill="FFFFFF"/>
          </w:tcPr>
          <w:p w14:paraId="1239B833" w14:textId="5D0E7F47" w:rsidR="00126076" w:rsidRDefault="00126076" w:rsidP="00126076">
            <w:pPr>
              <w:pStyle w:val="CETBodytex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0.6</w:t>
            </w:r>
          </w:p>
        </w:tc>
        <w:tc>
          <w:tcPr>
            <w:tcW w:w="1560" w:type="dxa"/>
            <w:shd w:val="clear" w:color="auto" w:fill="FFFFFF"/>
          </w:tcPr>
          <w:p w14:paraId="4B5C3A58" w14:textId="1035BA1C" w:rsidR="00126076" w:rsidRDefault="00126076" w:rsidP="00126076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>
              <w:rPr>
                <w:rFonts w:cs="Arial"/>
                <w:color w:val="000000" w:themeColor="text1"/>
                <w:szCs w:val="18"/>
                <w:lang w:val="en-GB"/>
              </w:rPr>
              <w:t>0.21</w:t>
            </w:r>
          </w:p>
        </w:tc>
        <w:tc>
          <w:tcPr>
            <w:tcW w:w="1134" w:type="dxa"/>
            <w:shd w:val="clear" w:color="auto" w:fill="FFFFFF"/>
          </w:tcPr>
          <w:p w14:paraId="2C371631" w14:textId="78318C8D" w:rsidR="00126076" w:rsidRDefault="00126076" w:rsidP="00126076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10.2</w:t>
            </w:r>
          </w:p>
        </w:tc>
      </w:tr>
      <w:tr w:rsidR="00126076" w:rsidRPr="00A96C60" w14:paraId="4771C9D2" w14:textId="77777777" w:rsidTr="009631BE">
        <w:tc>
          <w:tcPr>
            <w:tcW w:w="1134" w:type="dxa"/>
            <w:shd w:val="clear" w:color="auto" w:fill="FFFFFF"/>
          </w:tcPr>
          <w:p w14:paraId="6E670D50" w14:textId="5597C6F1" w:rsidR="00126076" w:rsidRDefault="00126076" w:rsidP="00126076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M</w:t>
            </w:r>
          </w:p>
        </w:tc>
        <w:tc>
          <w:tcPr>
            <w:tcW w:w="1134" w:type="dxa"/>
            <w:shd w:val="clear" w:color="auto" w:fill="FFFFFF"/>
          </w:tcPr>
          <w:p w14:paraId="0276A230" w14:textId="7C3D7E45" w:rsidR="00126076" w:rsidRDefault="00126076" w:rsidP="00126076">
            <w:pPr>
              <w:pStyle w:val="CETBodytext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14:paraId="1C38C31D" w14:textId="6FD25B03" w:rsidR="00126076" w:rsidRDefault="00126076" w:rsidP="00126076">
            <w:pPr>
              <w:pStyle w:val="CETBodytext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0.6</w:t>
            </w:r>
          </w:p>
        </w:tc>
        <w:tc>
          <w:tcPr>
            <w:tcW w:w="1560" w:type="dxa"/>
            <w:shd w:val="clear" w:color="auto" w:fill="FFFFFF"/>
          </w:tcPr>
          <w:p w14:paraId="48A1E171" w14:textId="6F0C3A58" w:rsidR="00126076" w:rsidRPr="000D4A83" w:rsidRDefault="00126076" w:rsidP="00126076">
            <w:pPr>
              <w:pStyle w:val="CETBodytext"/>
              <w:ind w:right="-1"/>
              <w:rPr>
                <w:rFonts w:cs="Arial"/>
                <w:color w:val="000000" w:themeColor="text1"/>
                <w:szCs w:val="18"/>
                <w:lang w:val="en-GB"/>
              </w:rPr>
            </w:pPr>
            <w:r>
              <w:rPr>
                <w:rFonts w:cs="Arial"/>
                <w:color w:val="000000" w:themeColor="text1"/>
                <w:szCs w:val="18"/>
                <w:lang w:val="en-GB"/>
              </w:rPr>
              <w:t>0.15</w:t>
            </w:r>
          </w:p>
        </w:tc>
        <w:tc>
          <w:tcPr>
            <w:tcW w:w="1134" w:type="dxa"/>
            <w:shd w:val="clear" w:color="auto" w:fill="FFFFFF"/>
          </w:tcPr>
          <w:p w14:paraId="0552757C" w14:textId="53C55354" w:rsidR="00126076" w:rsidRPr="006C15DB" w:rsidRDefault="00126076" w:rsidP="00126076">
            <w:pPr>
              <w:pStyle w:val="CETBodytext"/>
              <w:ind w:right="-1"/>
              <w:rPr>
                <w:rFonts w:cs="Arial"/>
                <w:szCs w:val="18"/>
                <w:lang w:val="en-GB"/>
              </w:rPr>
            </w:pPr>
            <w:r>
              <w:rPr>
                <w:rFonts w:cs="Arial"/>
                <w:szCs w:val="18"/>
                <w:lang w:val="en-GB"/>
              </w:rPr>
              <w:t>12.1</w:t>
            </w:r>
          </w:p>
        </w:tc>
      </w:tr>
    </w:tbl>
    <w:p w14:paraId="4010C141" w14:textId="77777777" w:rsidR="00734805" w:rsidRDefault="00734805" w:rsidP="008D2EEF">
      <w:pPr>
        <w:pStyle w:val="CETBodytext"/>
      </w:pPr>
    </w:p>
    <w:p w14:paraId="2B8AA50B" w14:textId="4ABEAF82" w:rsidR="008D2EEF" w:rsidRPr="008D2EEF" w:rsidRDefault="00A877CA" w:rsidP="008D2EEF">
      <w:pPr>
        <w:pStyle w:val="CETBodytext"/>
        <w:rPr>
          <w:strike/>
          <w:lang w:val="en-GB"/>
        </w:rPr>
      </w:pPr>
      <w:r>
        <w:t>The</w:t>
      </w:r>
      <w:r w:rsidR="008D2EEF">
        <w:t xml:space="preserve"> discussed </w:t>
      </w:r>
      <w:r>
        <w:t xml:space="preserve">results </w:t>
      </w:r>
      <w:r w:rsidR="00820F41" w:rsidRPr="00F872AA">
        <w:t xml:space="preserve">highlight the fundamental role of </w:t>
      </w:r>
      <w:r w:rsidR="00820F41">
        <w:t xml:space="preserve">the </w:t>
      </w:r>
      <w:r w:rsidR="00820F41" w:rsidRPr="00F872AA">
        <w:t xml:space="preserve">spinning </w:t>
      </w:r>
      <w:r w:rsidR="00820F41">
        <w:t>velocity</w:t>
      </w:r>
      <w:r>
        <w:t xml:space="preserve"> in order to produce more permeable </w:t>
      </w:r>
      <w:r w:rsidRPr="002B2AAE">
        <w:t>samples</w:t>
      </w:r>
      <w:r w:rsidR="00820F41" w:rsidRPr="002B2AAE">
        <w:t>.</w:t>
      </w:r>
      <w:r w:rsidR="003C70E5" w:rsidRPr="002B2AAE">
        <w:t xml:space="preserve"> </w:t>
      </w:r>
      <w:r w:rsidR="002B2AAE">
        <w:t>Similarly, larger</w:t>
      </w:r>
      <w:r w:rsidR="003C70E5" w:rsidRPr="002B2AAE">
        <w:t xml:space="preserve"> air gap </w:t>
      </w:r>
      <w:r w:rsidR="002B2AAE">
        <w:t xml:space="preserve">distances produce </w:t>
      </w:r>
      <w:r w:rsidR="003C70E5" w:rsidRPr="002B2AAE">
        <w:t xml:space="preserve">an increase of the </w:t>
      </w:r>
      <w:r w:rsidR="00F57C95" w:rsidRPr="002B2AAE">
        <w:t>spinning</w:t>
      </w:r>
      <w:r w:rsidR="00DF7C5D" w:rsidRPr="002B2AAE">
        <w:t xml:space="preserve"> </w:t>
      </w:r>
      <w:r w:rsidR="003C70E5" w:rsidRPr="002B2AAE">
        <w:t>velocities</w:t>
      </w:r>
      <w:r w:rsidR="007C42B6" w:rsidRPr="002B2AAE">
        <w:t>, but the predominant role is related to the microstructure evolution due to the solvent-non solvent exchange</w:t>
      </w:r>
      <w:r w:rsidR="002B2AAE">
        <w:t>, as reported before in the discussion associated to Table 3</w:t>
      </w:r>
      <w:r w:rsidR="003C70E5" w:rsidRPr="002B2AAE">
        <w:t xml:space="preserve">. </w:t>
      </w:r>
    </w:p>
    <w:p w14:paraId="73B1D344" w14:textId="451081BB" w:rsidR="008D2EEF" w:rsidRDefault="00F539BC" w:rsidP="00AF129C">
      <w:pPr>
        <w:pStyle w:val="CETBodytext"/>
        <w:rPr>
          <w:lang w:val="en-GB"/>
        </w:rPr>
      </w:pPr>
      <w:r>
        <w:rPr>
          <w:lang w:val="en-GB"/>
        </w:rPr>
        <w:t xml:space="preserve">The HF spinning, </w:t>
      </w:r>
      <w:r w:rsidR="008D2EEF">
        <w:rPr>
          <w:lang w:val="en-GB"/>
        </w:rPr>
        <w:t>performed</w:t>
      </w:r>
      <w:r>
        <w:rPr>
          <w:lang w:val="en-GB"/>
        </w:rPr>
        <w:t xml:space="preserve"> </w:t>
      </w:r>
      <w:r w:rsidR="008D2EEF">
        <w:rPr>
          <w:lang w:val="en-GB"/>
        </w:rPr>
        <w:t xml:space="preserve">with </w:t>
      </w:r>
      <w:r>
        <w:rPr>
          <w:lang w:val="en-GB"/>
        </w:rPr>
        <w:t xml:space="preserve">a conventional double orifice spinneret, inevitably </w:t>
      </w:r>
      <w:r w:rsidR="00C75007">
        <w:rPr>
          <w:lang w:val="en-GB"/>
        </w:rPr>
        <w:t xml:space="preserve">causes </w:t>
      </w:r>
      <w:r>
        <w:rPr>
          <w:lang w:val="en-GB"/>
        </w:rPr>
        <w:t>the formation of two opposite skin layers. Th</w:t>
      </w:r>
      <w:r w:rsidR="003C70E5">
        <w:rPr>
          <w:lang w:val="en-GB"/>
        </w:rPr>
        <w:t xml:space="preserve">erefore, the resulting HFs </w:t>
      </w:r>
      <w:r w:rsidRPr="00F539BC">
        <w:rPr>
          <w:lang w:val="en-GB"/>
        </w:rPr>
        <w:t>pr</w:t>
      </w:r>
      <w:r w:rsidR="003C70E5">
        <w:rPr>
          <w:lang w:val="en-GB"/>
        </w:rPr>
        <w:t xml:space="preserve">esent </w:t>
      </w:r>
      <w:r>
        <w:rPr>
          <w:lang w:val="en-GB"/>
        </w:rPr>
        <w:t xml:space="preserve">a doubled resistance to the mass transport with </w:t>
      </w:r>
      <w:r w:rsidR="003C70E5">
        <w:rPr>
          <w:lang w:val="en-GB"/>
        </w:rPr>
        <w:t xml:space="preserve">a </w:t>
      </w:r>
      <w:r>
        <w:rPr>
          <w:lang w:val="en-GB"/>
        </w:rPr>
        <w:t xml:space="preserve">consequent reduction in </w:t>
      </w:r>
      <w:r w:rsidR="003C70E5">
        <w:rPr>
          <w:lang w:val="en-GB"/>
        </w:rPr>
        <w:t xml:space="preserve">the </w:t>
      </w:r>
      <w:r>
        <w:rPr>
          <w:lang w:val="en-GB"/>
        </w:rPr>
        <w:t>gas permeance. T</w:t>
      </w:r>
      <w:r w:rsidRPr="00F539BC">
        <w:rPr>
          <w:lang w:val="en-GB"/>
        </w:rPr>
        <w:t xml:space="preserve">he opportunity </w:t>
      </w:r>
      <w:r w:rsidR="003C70E5">
        <w:rPr>
          <w:lang w:val="en-GB"/>
        </w:rPr>
        <w:t>of</w:t>
      </w:r>
      <w:r w:rsidRPr="00F539BC">
        <w:rPr>
          <w:lang w:val="en-GB"/>
        </w:rPr>
        <w:t xml:space="preserve"> suppress</w:t>
      </w:r>
      <w:r w:rsidR="003C70E5">
        <w:rPr>
          <w:lang w:val="en-GB"/>
        </w:rPr>
        <w:t>ing</w:t>
      </w:r>
      <w:r>
        <w:rPr>
          <w:lang w:val="en-GB"/>
        </w:rPr>
        <w:t xml:space="preserve"> one of these </w:t>
      </w:r>
      <w:r w:rsidR="00B70534">
        <w:rPr>
          <w:lang w:val="en-GB"/>
        </w:rPr>
        <w:t xml:space="preserve">main </w:t>
      </w:r>
      <w:r>
        <w:rPr>
          <w:lang w:val="en-GB"/>
        </w:rPr>
        <w:t>resistance</w:t>
      </w:r>
      <w:r w:rsidR="00D233E2">
        <w:rPr>
          <w:lang w:val="en-GB"/>
        </w:rPr>
        <w:t>s</w:t>
      </w:r>
      <w:r>
        <w:rPr>
          <w:lang w:val="en-GB"/>
        </w:rPr>
        <w:t xml:space="preserve"> is </w:t>
      </w:r>
      <w:r w:rsidR="00C75007">
        <w:rPr>
          <w:lang w:val="en-GB"/>
        </w:rPr>
        <w:t>significant in order to enhance the productivity</w:t>
      </w:r>
      <w:r w:rsidR="00E77BB0">
        <w:rPr>
          <w:lang w:val="en-GB"/>
        </w:rPr>
        <w:t>.</w:t>
      </w:r>
      <w:r w:rsidR="007C42B6">
        <w:rPr>
          <w:lang w:val="en-GB"/>
        </w:rPr>
        <w:t xml:space="preserve"> </w:t>
      </w:r>
    </w:p>
    <w:p w14:paraId="0DFA8975" w14:textId="3D989863" w:rsidR="002B2AAE" w:rsidRDefault="008D2EEF" w:rsidP="00443F79">
      <w:pPr>
        <w:pStyle w:val="CETBodytext"/>
        <w:rPr>
          <w:lang w:val="en-GB"/>
        </w:rPr>
      </w:pPr>
      <w:r>
        <w:rPr>
          <w:lang w:val="en-GB"/>
        </w:rPr>
        <w:t>Indeed</w:t>
      </w:r>
      <w:r w:rsidR="00E34778">
        <w:rPr>
          <w:lang w:val="en-GB"/>
        </w:rPr>
        <w:t xml:space="preserve"> as discussed before</w:t>
      </w:r>
      <w:r>
        <w:rPr>
          <w:lang w:val="en-GB"/>
        </w:rPr>
        <w:t>, a change in the</w:t>
      </w:r>
      <w:r w:rsidRPr="007807A0">
        <w:rPr>
          <w:lang w:val="en-GB"/>
        </w:rPr>
        <w:t xml:space="preserve"> bore fluid </w:t>
      </w:r>
      <w:r>
        <w:rPr>
          <w:lang w:val="en-GB"/>
        </w:rPr>
        <w:t xml:space="preserve">composition, by adding a solvent, can be used to suppress the transport </w:t>
      </w:r>
      <w:r w:rsidRPr="002B2AAE">
        <w:rPr>
          <w:lang w:val="en-GB"/>
        </w:rPr>
        <w:t xml:space="preserve">resistance located on the inner HF side. </w:t>
      </w:r>
      <w:r w:rsidR="002B2AAE" w:rsidRPr="002B2AAE">
        <w:rPr>
          <w:lang w:val="en-GB"/>
        </w:rPr>
        <w:t>However, a thinner internal skin layer can be associated to a compromised selectivity.</w:t>
      </w:r>
      <w:r w:rsidR="002B2AAE">
        <w:rPr>
          <w:lang w:val="en-GB"/>
        </w:rPr>
        <w:t xml:space="preserve"> </w:t>
      </w:r>
      <w:r w:rsidR="00443F79">
        <w:rPr>
          <w:lang w:val="en-GB"/>
        </w:rPr>
        <w:t xml:space="preserve">In this </w:t>
      </w:r>
      <w:r w:rsidR="00443F79" w:rsidRPr="00443F79">
        <w:rPr>
          <w:lang w:val="en-GB"/>
        </w:rPr>
        <w:t>case, the role of the external layer is more important.</w:t>
      </w:r>
      <w:r w:rsidR="002926B0">
        <w:rPr>
          <w:lang w:val="en-GB"/>
        </w:rPr>
        <w:t xml:space="preserve"> </w:t>
      </w:r>
      <w:r w:rsidR="00443F79" w:rsidRPr="00443F79">
        <w:rPr>
          <w:lang w:val="en-GB"/>
        </w:rPr>
        <w:t>The resistances in series model indicate that the presence of an external layer with a low selectivity depresses the overall performance besides to reduce the overall gas permeance.</w:t>
      </w:r>
    </w:p>
    <w:p w14:paraId="5B81D0E4" w14:textId="2A401396" w:rsidR="002B2AAE" w:rsidRDefault="00443F79" w:rsidP="008D2EEF">
      <w:pPr>
        <w:pStyle w:val="CETBodytext"/>
        <w:rPr>
          <w:lang w:val="en-GB"/>
        </w:rPr>
      </w:pPr>
      <w:r>
        <w:rPr>
          <w:lang w:val="en-GB"/>
        </w:rPr>
        <w:t>Typically</w:t>
      </w:r>
      <w:r w:rsidR="008D2EEF">
        <w:rPr>
          <w:lang w:val="en-GB"/>
        </w:rPr>
        <w:t xml:space="preserve">, the external skin layer formed in a conventional spinneret is not completely selective when working at a high air gap in order to increase the spinning velocity. </w:t>
      </w:r>
    </w:p>
    <w:p w14:paraId="18842CBE" w14:textId="2C7063C4" w:rsidR="002D2308" w:rsidRPr="004C6A15" w:rsidRDefault="00B70534" w:rsidP="004C6A15">
      <w:pPr>
        <w:pStyle w:val="CETBodytext"/>
        <w:rPr>
          <w:lang w:val="en-GB"/>
        </w:rPr>
      </w:pPr>
      <w:r>
        <w:rPr>
          <w:lang w:val="en-GB"/>
        </w:rPr>
        <w:t xml:space="preserve">A suitable approach to </w:t>
      </w:r>
      <w:r w:rsidR="00443F79">
        <w:rPr>
          <w:lang w:val="en-GB"/>
        </w:rPr>
        <w:t xml:space="preserve">reduce the mass transport resistance </w:t>
      </w:r>
      <w:r>
        <w:rPr>
          <w:lang w:val="en-GB"/>
        </w:rPr>
        <w:t xml:space="preserve">is the use of a triple orifice spinneret where an additional fluid stream </w:t>
      </w:r>
      <w:r w:rsidR="003C70E5">
        <w:rPr>
          <w:lang w:val="en-GB"/>
        </w:rPr>
        <w:t>on the external side of the forming HF is involved</w:t>
      </w:r>
      <w:r>
        <w:rPr>
          <w:lang w:val="en-GB"/>
        </w:rPr>
        <w:t>.</w:t>
      </w:r>
      <w:r w:rsidR="007C42B6" w:rsidRPr="007C42B6">
        <w:rPr>
          <w:lang w:val="en-GB"/>
        </w:rPr>
        <w:t xml:space="preserve"> </w:t>
      </w:r>
      <w:r w:rsidR="007C42B6">
        <w:rPr>
          <w:lang w:val="en-GB"/>
        </w:rPr>
        <w:t>When using a triple orifice spinneret, a high air gap height is necessary in order to take advantage of</w:t>
      </w:r>
      <w:r w:rsidR="007C42B6" w:rsidRPr="002D2308">
        <w:rPr>
          <w:lang w:val="en-GB"/>
        </w:rPr>
        <w:t xml:space="preserve"> </w:t>
      </w:r>
      <w:r w:rsidR="007C42B6">
        <w:rPr>
          <w:lang w:val="en-GB"/>
        </w:rPr>
        <w:t>the crucial</w:t>
      </w:r>
      <w:r w:rsidR="007C42B6" w:rsidRPr="002D2308">
        <w:rPr>
          <w:lang w:val="en-GB"/>
        </w:rPr>
        <w:t xml:space="preserve"> role </w:t>
      </w:r>
      <w:r w:rsidR="007C42B6">
        <w:rPr>
          <w:lang w:val="en-GB"/>
        </w:rPr>
        <w:t xml:space="preserve">of the </w:t>
      </w:r>
      <w:r w:rsidR="007C42B6" w:rsidRPr="002D2308">
        <w:rPr>
          <w:lang w:val="en-GB"/>
        </w:rPr>
        <w:t>external fluid</w:t>
      </w:r>
      <w:r w:rsidR="007C42B6">
        <w:rPr>
          <w:lang w:val="en-GB"/>
        </w:rPr>
        <w:t>.</w:t>
      </w:r>
      <w:r w:rsidR="00F57C95">
        <w:rPr>
          <w:lang w:val="en-GB"/>
        </w:rPr>
        <w:t xml:space="preserve"> </w:t>
      </w:r>
      <w:r w:rsidR="002D2308">
        <w:rPr>
          <w:lang w:val="en-GB"/>
        </w:rPr>
        <w:t>In</w:t>
      </w:r>
      <w:r w:rsidR="008D2EEF">
        <w:rPr>
          <w:lang w:val="en-GB"/>
        </w:rPr>
        <w:t xml:space="preserve"> particular</w:t>
      </w:r>
      <w:r w:rsidR="002D2308">
        <w:rPr>
          <w:lang w:val="en-GB"/>
        </w:rPr>
        <w:t xml:space="preserve">, </w:t>
      </w:r>
      <w:r w:rsidR="004C6A15">
        <w:rPr>
          <w:lang w:val="en-GB"/>
        </w:rPr>
        <w:t xml:space="preserve">at a fixed air gap, </w:t>
      </w:r>
      <w:r w:rsidR="002D2308">
        <w:rPr>
          <w:lang w:val="en-GB"/>
        </w:rPr>
        <w:t xml:space="preserve">a solvent-rich external fluid is capable of suppress the </w:t>
      </w:r>
      <w:r w:rsidR="003C70E5">
        <w:rPr>
          <w:lang w:val="en-GB"/>
        </w:rPr>
        <w:t xml:space="preserve">mass </w:t>
      </w:r>
      <w:r w:rsidR="002D2308">
        <w:rPr>
          <w:lang w:val="en-GB"/>
        </w:rPr>
        <w:t xml:space="preserve">transport resistance located on the outer side of the membrane, creating a porous surface as confirmed by the SEM </w:t>
      </w:r>
      <w:r w:rsidR="002D2308" w:rsidRPr="00435DFE">
        <w:rPr>
          <w:lang w:val="en-GB"/>
        </w:rPr>
        <w:t xml:space="preserve">analysis (Figure </w:t>
      </w:r>
      <w:r w:rsidR="004E463A" w:rsidRPr="00435DFE">
        <w:rPr>
          <w:lang w:val="en-GB"/>
        </w:rPr>
        <w:t>3</w:t>
      </w:r>
      <w:r w:rsidR="002D2308" w:rsidRPr="00435DFE">
        <w:rPr>
          <w:lang w:val="en-GB"/>
        </w:rPr>
        <w:t>). As</w:t>
      </w:r>
      <w:r w:rsidR="002D2308">
        <w:rPr>
          <w:lang w:val="en-GB"/>
        </w:rPr>
        <w:t xml:space="preserve"> a result, the permeance </w:t>
      </w:r>
      <w:r w:rsidR="004C6A15">
        <w:rPr>
          <w:lang w:val="en-GB"/>
        </w:rPr>
        <w:t>is</w:t>
      </w:r>
      <w:r w:rsidR="002D2308">
        <w:rPr>
          <w:lang w:val="en-GB"/>
        </w:rPr>
        <w:t xml:space="preserve"> improved</w:t>
      </w:r>
      <w:r w:rsidR="003C70E5">
        <w:rPr>
          <w:lang w:val="en-GB"/>
        </w:rPr>
        <w:t xml:space="preserve"> (</w:t>
      </w:r>
      <w:r w:rsidR="004C6A15" w:rsidRPr="004C6A15">
        <w:rPr>
          <w:lang w:val="en-GB"/>
        </w:rPr>
        <w:t>from 13.</w:t>
      </w:r>
      <w:r w:rsidR="004C6A15">
        <w:rPr>
          <w:lang w:val="en-GB"/>
        </w:rPr>
        <w:t>3</w:t>
      </w:r>
      <w:r w:rsidR="004C6A15" w:rsidRPr="004C6A15">
        <w:rPr>
          <w:lang w:val="en-GB"/>
        </w:rPr>
        <w:t xml:space="preserve"> GPU to </w:t>
      </w:r>
      <w:r w:rsidR="004C6A15">
        <w:rPr>
          <w:lang w:val="en-GB"/>
        </w:rPr>
        <w:t>22</w:t>
      </w:r>
      <w:r w:rsidR="004C6A15" w:rsidRPr="004C6A15">
        <w:rPr>
          <w:lang w:val="en-GB"/>
        </w:rPr>
        <w:t xml:space="preserve"> GPU</w:t>
      </w:r>
      <w:r w:rsidR="004C6A15">
        <w:rPr>
          <w:lang w:val="en-GB"/>
        </w:rPr>
        <w:t xml:space="preserve"> for CO</w:t>
      </w:r>
      <w:r w:rsidR="004C6A15" w:rsidRPr="004C6A15">
        <w:rPr>
          <w:vertAlign w:val="subscript"/>
          <w:lang w:val="en-GB"/>
        </w:rPr>
        <w:t>2</w:t>
      </w:r>
      <w:r w:rsidR="003C70E5">
        <w:rPr>
          <w:lang w:val="en-GB"/>
        </w:rPr>
        <w:t>)</w:t>
      </w:r>
      <w:r w:rsidR="002D2308">
        <w:rPr>
          <w:lang w:val="en-GB"/>
        </w:rPr>
        <w:t>.</w:t>
      </w:r>
      <w:r w:rsidR="004C6A15">
        <w:rPr>
          <w:lang w:val="en-GB"/>
        </w:rPr>
        <w:t xml:space="preserve"> In addition, the samples produced with the triple orifice spinneret have an enhanced selectivity (up t</w:t>
      </w:r>
      <w:r w:rsidR="004C6A15" w:rsidRPr="004C6A15">
        <w:rPr>
          <w:lang w:val="en-GB"/>
        </w:rPr>
        <w:t xml:space="preserve">o </w:t>
      </w:r>
      <w:r w:rsidR="004C6A15">
        <w:rPr>
          <w:lang w:val="en-GB"/>
        </w:rPr>
        <w:t>35 for CO</w:t>
      </w:r>
      <w:r w:rsidR="004C6A15" w:rsidRPr="004C6A15">
        <w:rPr>
          <w:vertAlign w:val="subscript"/>
          <w:lang w:val="en-GB"/>
        </w:rPr>
        <w:t>2</w:t>
      </w:r>
      <w:r w:rsidR="004C6A15">
        <w:rPr>
          <w:lang w:val="en-GB"/>
        </w:rPr>
        <w:t>/N</w:t>
      </w:r>
      <w:r w:rsidR="004C6A15" w:rsidRPr="004C6A15">
        <w:rPr>
          <w:vertAlign w:val="subscript"/>
          <w:lang w:val="en-GB"/>
        </w:rPr>
        <w:t>2</w:t>
      </w:r>
      <w:r w:rsidR="004C6A15">
        <w:rPr>
          <w:lang w:val="en-GB"/>
        </w:rPr>
        <w:t xml:space="preserve">) owing to </w:t>
      </w:r>
      <w:r w:rsidR="004C6A15" w:rsidRPr="004C6A15">
        <w:rPr>
          <w:lang w:val="en-GB"/>
        </w:rPr>
        <w:t xml:space="preserve">a </w:t>
      </w:r>
      <w:r w:rsidR="004C6A15">
        <w:rPr>
          <w:lang w:val="en-GB"/>
        </w:rPr>
        <w:t xml:space="preserve">predominant role of the </w:t>
      </w:r>
      <w:r w:rsidR="004C6A15" w:rsidRPr="004C6A15">
        <w:rPr>
          <w:lang w:val="en-GB"/>
        </w:rPr>
        <w:t>tighter and higher perfect inner layer</w:t>
      </w:r>
      <w:r w:rsidR="004C6A15">
        <w:rPr>
          <w:lang w:val="en-GB"/>
        </w:rPr>
        <w:t xml:space="preserve"> induced by the </w:t>
      </w:r>
      <w:r w:rsidR="004C6A15" w:rsidRPr="004C6A15">
        <w:rPr>
          <w:lang w:val="en-GB"/>
        </w:rPr>
        <w:t>big air gap.</w:t>
      </w:r>
    </w:p>
    <w:p w14:paraId="21B52295" w14:textId="77777777" w:rsidR="002D2308" w:rsidRPr="004C6A15" w:rsidRDefault="002D2308" w:rsidP="002D2308">
      <w:pPr>
        <w:pStyle w:val="CETBodytext"/>
        <w:rPr>
          <w:lang w:val="en-GB"/>
        </w:rPr>
      </w:pPr>
    </w:p>
    <w:p w14:paraId="3CFC7264" w14:textId="55BC134C" w:rsidR="002D2308" w:rsidRPr="00B57B36" w:rsidRDefault="00552E15" w:rsidP="002D2308">
      <w:pPr>
        <w:pStyle w:val="CETBodytext"/>
        <w:jc w:val="left"/>
        <w:rPr>
          <w:lang w:val="en-GB"/>
        </w:rPr>
      </w:pPr>
      <w:r w:rsidRPr="00552E15">
        <w:rPr>
          <w:rFonts w:ascii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52E15">
        <w:rPr>
          <w:noProof/>
          <w:lang w:eastAsia="it-IT"/>
        </w:rPr>
        <w:t xml:space="preserve">         </w:t>
      </w:r>
      <w:r w:rsidRPr="00552E15">
        <w:rPr>
          <w:noProof/>
          <w:lang w:val="it-IT" w:eastAsia="it-IT"/>
        </w:rPr>
        <w:drawing>
          <wp:inline distT="0" distB="0" distL="0" distR="0" wp14:anchorId="2B3D3BD4" wp14:editId="27E2808B">
            <wp:extent cx="2160000" cy="1620000"/>
            <wp:effectExtent l="0" t="0" r="0" b="0"/>
            <wp:docPr id="1" name="Immagine 1" descr="C:\Users\P. BERNARDO\Desktop\ITM-CNR 12dic2018\Paola\Progetti\HFs\SEM\Matri (332A-F)_2-8-18\C-EXT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 BERNARDO\Desktop\ITM-CNR 12dic2018\Paola\Progetti\HFs\SEM\Matri (332A-F)_2-8-18\C-EXT0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2E15">
        <w:rPr>
          <w:noProof/>
          <w:lang w:eastAsia="it-IT"/>
        </w:rPr>
        <w:t xml:space="preserve">      </w:t>
      </w:r>
      <w:r>
        <w:rPr>
          <w:noProof/>
          <w:lang w:val="it-IT" w:eastAsia="it-IT"/>
        </w:rPr>
        <w:drawing>
          <wp:inline distT="0" distB="0" distL="0" distR="0" wp14:anchorId="4AA24720" wp14:editId="00340859">
            <wp:extent cx="1827324" cy="1620000"/>
            <wp:effectExtent l="0" t="0" r="190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24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D45D2" w14:textId="5C4BF420" w:rsidR="00AF129C" w:rsidRDefault="002D2308" w:rsidP="004C6A15">
      <w:pPr>
        <w:pStyle w:val="CETCaption"/>
      </w:pPr>
      <w:r w:rsidRPr="00DA421E">
        <w:t xml:space="preserve">Figure </w:t>
      </w:r>
      <w:r w:rsidR="004E463A" w:rsidRPr="00DA421E">
        <w:t>3</w:t>
      </w:r>
      <w:r w:rsidRPr="00DA421E">
        <w:t>: SEM</w:t>
      </w:r>
      <w:r w:rsidRPr="002D2308">
        <w:t xml:space="preserve"> image of the external surface of a Matrimid </w:t>
      </w:r>
      <w:r w:rsidRPr="00A65EE7">
        <w:t>HF</w:t>
      </w:r>
      <w:r w:rsidR="00552E15">
        <w:t xml:space="preserve">. </w:t>
      </w:r>
      <w:r w:rsidR="009D2357">
        <w:t>a</w:t>
      </w:r>
      <w:r w:rsidR="00552E15">
        <w:t xml:space="preserve">) </w:t>
      </w:r>
      <w:r w:rsidR="009D2357">
        <w:t>Conventional</w:t>
      </w:r>
      <w:r w:rsidR="00552E15">
        <w:t xml:space="preserve"> spinneret; b) </w:t>
      </w:r>
      <w:r w:rsidR="009D2357">
        <w:t>T</w:t>
      </w:r>
      <w:r w:rsidR="00552E15" w:rsidRPr="00A65EE7">
        <w:t>riple orifice spinneret</w:t>
      </w:r>
      <w:r w:rsidR="00552E15" w:rsidRPr="00552E15">
        <w:t xml:space="preserve"> </w:t>
      </w:r>
      <w:r w:rsidR="00552E15">
        <w:t xml:space="preserve">with a </w:t>
      </w:r>
      <w:r w:rsidR="00552E15" w:rsidRPr="00A65EE7">
        <w:t>solvent-rich e</w:t>
      </w:r>
      <w:r w:rsidR="00552E15">
        <w:t>xternal</w:t>
      </w:r>
      <w:r w:rsidR="00552E15" w:rsidRPr="00A65EE7">
        <w:t xml:space="preserve"> fluid</w:t>
      </w:r>
    </w:p>
    <w:p w14:paraId="68E1512E" w14:textId="08C84FE4" w:rsidR="00724EF9" w:rsidRDefault="00724EF9" w:rsidP="00724EF9">
      <w:pPr>
        <w:pStyle w:val="CETBodytext"/>
        <w:rPr>
          <w:lang w:val="en-GB"/>
        </w:rPr>
      </w:pPr>
    </w:p>
    <w:p w14:paraId="07AD8AA4" w14:textId="27AC5A85" w:rsidR="00F53D22" w:rsidRDefault="00F53D22" w:rsidP="00724EF9">
      <w:pPr>
        <w:pStyle w:val="CETBodytext"/>
        <w:rPr>
          <w:lang w:val="en-GB"/>
        </w:rPr>
      </w:pPr>
    </w:p>
    <w:p w14:paraId="1A1968DA" w14:textId="77777777" w:rsidR="00F53D22" w:rsidRDefault="00F53D22" w:rsidP="00724EF9">
      <w:pPr>
        <w:pStyle w:val="CETBodytext"/>
        <w:rPr>
          <w:lang w:val="en-GB"/>
        </w:rPr>
      </w:pPr>
    </w:p>
    <w:p w14:paraId="21E6D0DC" w14:textId="77777777" w:rsidR="00724EF9" w:rsidRPr="003F6221" w:rsidRDefault="00724EF9" w:rsidP="00724EF9">
      <w:pPr>
        <w:pStyle w:val="CETBodytext"/>
        <w:rPr>
          <w:lang w:val="en-GB"/>
        </w:rPr>
      </w:pPr>
    </w:p>
    <w:p w14:paraId="1B9C4E60" w14:textId="77777777" w:rsidR="00600535" w:rsidRPr="00B57B36" w:rsidRDefault="00600535" w:rsidP="00600535">
      <w:pPr>
        <w:pStyle w:val="CETHeading1"/>
        <w:rPr>
          <w:lang w:val="en-GB"/>
        </w:rPr>
      </w:pPr>
      <w:r w:rsidRPr="00B57B36">
        <w:rPr>
          <w:lang w:val="en-GB"/>
        </w:rPr>
        <w:t>Conclusions</w:t>
      </w:r>
    </w:p>
    <w:p w14:paraId="311CA62B" w14:textId="4608F036" w:rsidR="00DE66F2" w:rsidRDefault="00820F41" w:rsidP="00F026E4">
      <w:pPr>
        <w:pStyle w:val="CETBodytext"/>
        <w:rPr>
          <w:lang w:val="en-GB"/>
        </w:rPr>
      </w:pPr>
      <w:r w:rsidRPr="00820F41">
        <w:rPr>
          <w:lang w:val="en-GB"/>
        </w:rPr>
        <w:t xml:space="preserve">Different </w:t>
      </w:r>
      <w:r w:rsidRPr="002D2308">
        <w:rPr>
          <w:lang w:val="en-GB"/>
        </w:rPr>
        <w:t xml:space="preserve">batches of </w:t>
      </w:r>
      <w:r w:rsidR="00B70828" w:rsidRPr="00B70828">
        <w:rPr>
          <w:lang w:val="en-GB"/>
        </w:rPr>
        <w:t xml:space="preserve">asymmetric </w:t>
      </w:r>
      <w:r w:rsidR="00B70828" w:rsidRPr="002D2308">
        <w:rPr>
          <w:lang w:val="en-GB"/>
        </w:rPr>
        <w:t xml:space="preserve">hollow fibers </w:t>
      </w:r>
      <w:r w:rsidR="00B70828" w:rsidRPr="00B70828">
        <w:rPr>
          <w:lang w:val="en-GB"/>
        </w:rPr>
        <w:t xml:space="preserve">were spun </w:t>
      </w:r>
      <w:r w:rsidR="004069E3">
        <w:rPr>
          <w:lang w:val="en-GB"/>
        </w:rPr>
        <w:t>according to</w:t>
      </w:r>
      <w:r w:rsidR="00B70828" w:rsidRPr="00B70828">
        <w:rPr>
          <w:lang w:val="en-GB"/>
        </w:rPr>
        <w:t xml:space="preserve"> the dry</w:t>
      </w:r>
      <w:r w:rsidR="006D2496">
        <w:rPr>
          <w:lang w:val="en-GB"/>
        </w:rPr>
        <w:t>-jet</w:t>
      </w:r>
      <w:r w:rsidR="00B70828" w:rsidRPr="00B70828">
        <w:rPr>
          <w:lang w:val="en-GB"/>
        </w:rPr>
        <w:t>/wet phase inversion process</w:t>
      </w:r>
      <w:r w:rsidR="004069E3">
        <w:rPr>
          <w:lang w:val="en-GB"/>
        </w:rPr>
        <w:t xml:space="preserve"> </w:t>
      </w:r>
      <w:r w:rsidR="006D2496">
        <w:rPr>
          <w:lang w:val="en-GB"/>
        </w:rPr>
        <w:t>by</w:t>
      </w:r>
      <w:r w:rsidR="004069E3">
        <w:rPr>
          <w:lang w:val="en-GB"/>
        </w:rPr>
        <w:t xml:space="preserve"> using </w:t>
      </w:r>
      <w:r w:rsidR="004069E3" w:rsidRPr="002D2308">
        <w:rPr>
          <w:lang w:val="en-GB"/>
        </w:rPr>
        <w:t>commercial glassy polymers</w:t>
      </w:r>
      <w:r w:rsidR="00B70828">
        <w:rPr>
          <w:lang w:val="en-GB"/>
        </w:rPr>
        <w:t>. The</w:t>
      </w:r>
      <w:r w:rsidR="004069E3">
        <w:rPr>
          <w:lang w:val="en-GB"/>
        </w:rPr>
        <w:t>se</w:t>
      </w:r>
      <w:r w:rsidR="00B70828">
        <w:rPr>
          <w:lang w:val="en-GB"/>
        </w:rPr>
        <w:t xml:space="preserve"> </w:t>
      </w:r>
      <w:r w:rsidR="00B70828" w:rsidRPr="00B70828">
        <w:rPr>
          <w:lang w:val="en-GB"/>
        </w:rPr>
        <w:t>HF</w:t>
      </w:r>
      <w:r w:rsidR="00B70828" w:rsidRPr="002D2308">
        <w:rPr>
          <w:lang w:val="en-GB"/>
        </w:rPr>
        <w:t xml:space="preserve"> </w:t>
      </w:r>
      <w:r w:rsidR="0038566C" w:rsidRPr="002D2308">
        <w:rPr>
          <w:lang w:val="en-GB"/>
        </w:rPr>
        <w:t>membrane</w:t>
      </w:r>
      <w:r w:rsidRPr="002D2308">
        <w:rPr>
          <w:lang w:val="en-GB"/>
        </w:rPr>
        <w:t>s</w:t>
      </w:r>
      <w:r w:rsidR="0038566C" w:rsidRPr="002D2308">
        <w:rPr>
          <w:lang w:val="en-GB"/>
        </w:rPr>
        <w:t xml:space="preserve"> w</w:t>
      </w:r>
      <w:r w:rsidRPr="002D2308">
        <w:rPr>
          <w:lang w:val="en-GB"/>
        </w:rPr>
        <w:t>ere</w:t>
      </w:r>
      <w:r w:rsidR="0038566C" w:rsidRPr="002D2308">
        <w:rPr>
          <w:lang w:val="en-GB"/>
        </w:rPr>
        <w:t xml:space="preserve"> prepared </w:t>
      </w:r>
      <w:r w:rsidR="000F584B">
        <w:rPr>
          <w:lang w:val="en-GB"/>
        </w:rPr>
        <w:t xml:space="preserve">for </w:t>
      </w:r>
      <w:r w:rsidRPr="002D2308">
        <w:rPr>
          <w:lang w:val="en-GB"/>
        </w:rPr>
        <w:t>gas separation</w:t>
      </w:r>
      <w:r w:rsidR="00DE66F2">
        <w:rPr>
          <w:lang w:val="en-GB"/>
        </w:rPr>
        <w:t xml:space="preserve">, </w:t>
      </w:r>
      <w:r w:rsidR="005B1F44">
        <w:rPr>
          <w:lang w:val="en-GB"/>
        </w:rPr>
        <w:t>investigat</w:t>
      </w:r>
      <w:r w:rsidR="00DE66F2">
        <w:rPr>
          <w:lang w:val="en-GB"/>
        </w:rPr>
        <w:t>ing</w:t>
      </w:r>
      <w:r w:rsidR="005B1F44">
        <w:rPr>
          <w:lang w:val="en-GB"/>
        </w:rPr>
        <w:t xml:space="preserve"> the role of the main operation parameters </w:t>
      </w:r>
      <w:r w:rsidR="00EB73A2">
        <w:rPr>
          <w:lang w:val="en-GB"/>
        </w:rPr>
        <w:t xml:space="preserve">that affect the spinning process </w:t>
      </w:r>
      <w:r w:rsidR="005B1F44" w:rsidRPr="005B1F44">
        <w:rPr>
          <w:lang w:val="en-GB"/>
        </w:rPr>
        <w:t>individually and in synergy</w:t>
      </w:r>
      <w:r w:rsidR="005B1F44">
        <w:rPr>
          <w:lang w:val="en-GB"/>
        </w:rPr>
        <w:t>.</w:t>
      </w:r>
      <w:r w:rsidR="0038566C" w:rsidRPr="002D2308">
        <w:rPr>
          <w:lang w:val="en-GB"/>
        </w:rPr>
        <w:t xml:space="preserve"> </w:t>
      </w:r>
    </w:p>
    <w:p w14:paraId="3C18747D" w14:textId="5125E5C0" w:rsidR="000F584B" w:rsidRPr="00C64646" w:rsidRDefault="00DA421E" w:rsidP="000F584B">
      <w:pPr>
        <w:pStyle w:val="CETBodytext"/>
        <w:rPr>
          <w:color w:val="000000" w:themeColor="text1"/>
          <w:lang w:val="en-GB"/>
        </w:rPr>
      </w:pPr>
      <w:r>
        <w:rPr>
          <w:lang w:val="en-GB"/>
        </w:rPr>
        <w:t>The permeation data show as the extrusion</w:t>
      </w:r>
      <w:r w:rsidRPr="00820F41">
        <w:rPr>
          <w:lang w:val="en-GB"/>
        </w:rPr>
        <w:t xml:space="preserve"> velocity is an important </w:t>
      </w:r>
      <w:r w:rsidRPr="003D54B9">
        <w:rPr>
          <w:lang w:val="en-GB"/>
        </w:rPr>
        <w:t xml:space="preserve">variable in HF </w:t>
      </w:r>
      <w:r w:rsidRPr="002D2308">
        <w:rPr>
          <w:lang w:val="en-GB"/>
        </w:rPr>
        <w:t xml:space="preserve">spinning. </w:t>
      </w:r>
      <w:r w:rsidR="00A3660E">
        <w:rPr>
          <w:lang w:val="en-GB"/>
        </w:rPr>
        <w:t xml:space="preserve">Higher flow rates for BF and dope allow obtaining more permeable samples as well as small size spinnerets. </w:t>
      </w:r>
      <w:r w:rsidR="000F584B">
        <w:rPr>
          <w:lang w:val="en-GB"/>
        </w:rPr>
        <w:t xml:space="preserve">The </w:t>
      </w:r>
      <w:r w:rsidR="003D3DEE">
        <w:rPr>
          <w:lang w:val="en-GB"/>
        </w:rPr>
        <w:t xml:space="preserve">dope </w:t>
      </w:r>
      <w:r w:rsidR="000F584B">
        <w:rPr>
          <w:lang w:val="en-GB"/>
        </w:rPr>
        <w:t xml:space="preserve">temperature holds a double role </w:t>
      </w:r>
      <w:r w:rsidR="003D3DEE">
        <w:rPr>
          <w:lang w:val="en-GB"/>
        </w:rPr>
        <w:t xml:space="preserve">in </w:t>
      </w:r>
      <w:r w:rsidR="000F584B">
        <w:rPr>
          <w:lang w:val="en-GB"/>
        </w:rPr>
        <w:t>decreasing the viscosity of the dope solution and favouring the evaporation/</w:t>
      </w:r>
      <w:r w:rsidR="000F584B" w:rsidRPr="00C64646">
        <w:rPr>
          <w:color w:val="000000" w:themeColor="text1"/>
          <w:lang w:val="en-GB"/>
        </w:rPr>
        <w:t xml:space="preserve">exchange of solvent and </w:t>
      </w:r>
      <w:r w:rsidR="00724EF9" w:rsidRPr="00C64646">
        <w:rPr>
          <w:color w:val="000000" w:themeColor="text1"/>
          <w:lang w:val="en-GB"/>
        </w:rPr>
        <w:t>non-solvent</w:t>
      </w:r>
      <w:r w:rsidR="000F584B" w:rsidRPr="00C64646">
        <w:rPr>
          <w:color w:val="000000" w:themeColor="text1"/>
          <w:lang w:val="en-GB"/>
        </w:rPr>
        <w:t xml:space="preserve"> </w:t>
      </w:r>
      <w:r w:rsidR="003D3DEE" w:rsidRPr="00C64646">
        <w:rPr>
          <w:color w:val="000000" w:themeColor="text1"/>
          <w:lang w:val="en-GB"/>
        </w:rPr>
        <w:t xml:space="preserve">during the </w:t>
      </w:r>
      <w:r w:rsidR="000F584B" w:rsidRPr="00C64646">
        <w:rPr>
          <w:color w:val="000000" w:themeColor="text1"/>
          <w:lang w:val="en-GB"/>
        </w:rPr>
        <w:t>phase</w:t>
      </w:r>
      <w:r w:rsidR="003D3DEE" w:rsidRPr="00C64646">
        <w:rPr>
          <w:color w:val="000000" w:themeColor="text1"/>
          <w:lang w:val="en-GB"/>
        </w:rPr>
        <w:t xml:space="preserve"> </w:t>
      </w:r>
      <w:r w:rsidR="000F584B" w:rsidRPr="00C64646">
        <w:rPr>
          <w:color w:val="000000" w:themeColor="text1"/>
          <w:lang w:val="en-GB"/>
        </w:rPr>
        <w:t>s</w:t>
      </w:r>
      <w:r w:rsidR="003D3DEE" w:rsidRPr="00C64646">
        <w:rPr>
          <w:color w:val="000000" w:themeColor="text1"/>
          <w:lang w:val="en-GB"/>
        </w:rPr>
        <w:t>eparation process</w:t>
      </w:r>
      <w:r w:rsidR="000F584B" w:rsidRPr="00C64646">
        <w:rPr>
          <w:color w:val="000000" w:themeColor="text1"/>
          <w:lang w:val="en-GB"/>
        </w:rPr>
        <w:t>.</w:t>
      </w:r>
      <w:r w:rsidR="00A3660E" w:rsidRPr="00C64646">
        <w:rPr>
          <w:color w:val="000000" w:themeColor="text1"/>
          <w:lang w:val="en-GB"/>
        </w:rPr>
        <w:t xml:space="preserve"> </w:t>
      </w:r>
    </w:p>
    <w:p w14:paraId="1139C2EB" w14:textId="46961FE8" w:rsidR="000F584B" w:rsidRPr="00C64646" w:rsidRDefault="00DA421E" w:rsidP="000F584B">
      <w:pPr>
        <w:pStyle w:val="CETBodytext"/>
        <w:rPr>
          <w:color w:val="000000" w:themeColor="text1"/>
          <w:lang w:val="en-GB"/>
        </w:rPr>
      </w:pPr>
      <w:r w:rsidRPr="00C64646">
        <w:rPr>
          <w:color w:val="000000" w:themeColor="text1"/>
          <w:lang w:val="en-GB"/>
        </w:rPr>
        <w:lastRenderedPageBreak/>
        <w:t>Using a conventional double spinneret, l</w:t>
      </w:r>
      <w:r w:rsidR="000F584B" w:rsidRPr="00C64646">
        <w:rPr>
          <w:color w:val="000000" w:themeColor="text1"/>
          <w:lang w:val="en-GB"/>
        </w:rPr>
        <w:t xml:space="preserve">ow air gap </w:t>
      </w:r>
      <w:r w:rsidRPr="00C64646">
        <w:rPr>
          <w:color w:val="000000" w:themeColor="text1"/>
          <w:lang w:val="en-GB"/>
        </w:rPr>
        <w:t>distance</w:t>
      </w:r>
      <w:r w:rsidR="000F584B" w:rsidRPr="00C64646">
        <w:rPr>
          <w:color w:val="000000" w:themeColor="text1"/>
          <w:lang w:val="en-GB"/>
        </w:rPr>
        <w:t xml:space="preserve">s are </w:t>
      </w:r>
      <w:r w:rsidR="007745EF" w:rsidRPr="00C64646">
        <w:rPr>
          <w:color w:val="000000" w:themeColor="text1"/>
          <w:lang w:val="en-GB"/>
        </w:rPr>
        <w:t>suggested</w:t>
      </w:r>
      <w:r w:rsidR="000F584B" w:rsidRPr="00C64646">
        <w:rPr>
          <w:color w:val="000000" w:themeColor="text1"/>
          <w:lang w:val="en-GB"/>
        </w:rPr>
        <w:t xml:space="preserve"> to increase the gas permeation </w:t>
      </w:r>
      <w:r w:rsidR="007E33BE" w:rsidRPr="00C64646">
        <w:rPr>
          <w:color w:val="000000" w:themeColor="text1"/>
          <w:lang w:val="en-GB"/>
        </w:rPr>
        <w:t xml:space="preserve">rates </w:t>
      </w:r>
      <w:r w:rsidR="000F584B" w:rsidRPr="00C64646">
        <w:rPr>
          <w:color w:val="000000" w:themeColor="text1"/>
          <w:lang w:val="en-GB"/>
        </w:rPr>
        <w:t xml:space="preserve">of the hollow </w:t>
      </w:r>
      <w:r w:rsidR="00F870DD" w:rsidRPr="00C64646">
        <w:rPr>
          <w:color w:val="000000" w:themeColor="text1"/>
        </w:rPr>
        <w:t>fibers</w:t>
      </w:r>
      <w:r w:rsidR="000F584B" w:rsidRPr="00C64646">
        <w:rPr>
          <w:color w:val="000000" w:themeColor="text1"/>
          <w:lang w:val="en-GB"/>
        </w:rPr>
        <w:t>.</w:t>
      </w:r>
      <w:r w:rsidR="00767085" w:rsidRPr="00C64646">
        <w:rPr>
          <w:color w:val="000000" w:themeColor="text1"/>
          <w:lang w:val="en-GB"/>
        </w:rPr>
        <w:t xml:space="preserve"> </w:t>
      </w:r>
    </w:p>
    <w:p w14:paraId="52F5F7B5" w14:textId="2163FE87" w:rsidR="00724EF9" w:rsidRDefault="000F584B" w:rsidP="000F584B">
      <w:pPr>
        <w:pStyle w:val="CETBodytext"/>
        <w:rPr>
          <w:lang w:val="en-GB"/>
        </w:rPr>
      </w:pPr>
      <w:r>
        <w:rPr>
          <w:lang w:val="en-GB"/>
        </w:rPr>
        <w:t>An</w:t>
      </w:r>
      <w:r w:rsidRPr="005B1F44">
        <w:rPr>
          <w:lang w:val="en-GB"/>
        </w:rPr>
        <w:t xml:space="preserve"> advantageous </w:t>
      </w:r>
      <w:r>
        <w:rPr>
          <w:lang w:val="en-GB"/>
        </w:rPr>
        <w:t>strategy to suppress the external mass transport resistance is the use of triple orifice spinneret</w:t>
      </w:r>
      <w:r w:rsidR="007745EF">
        <w:rPr>
          <w:lang w:val="en-GB"/>
        </w:rPr>
        <w:t xml:space="preserve"> using a </w:t>
      </w:r>
      <w:r w:rsidR="007745EF" w:rsidRPr="002D2308">
        <w:rPr>
          <w:lang w:val="en-GB"/>
        </w:rPr>
        <w:t>solvent-rich external fluid</w:t>
      </w:r>
      <w:r>
        <w:rPr>
          <w:lang w:val="en-GB"/>
        </w:rPr>
        <w:t>, where</w:t>
      </w:r>
      <w:r w:rsidR="007745EF">
        <w:rPr>
          <w:lang w:val="en-GB"/>
        </w:rPr>
        <w:t>as</w:t>
      </w:r>
      <w:r>
        <w:rPr>
          <w:lang w:val="en-GB"/>
        </w:rPr>
        <w:t xml:space="preserve"> the addition of solvent to the bore fluid is helpful in the reduction of internal mass transport resistance.</w:t>
      </w:r>
      <w:r w:rsidRPr="005B1F44">
        <w:rPr>
          <w:lang w:val="en-GB"/>
        </w:rPr>
        <w:t xml:space="preserve"> </w:t>
      </w:r>
      <w:r w:rsidR="007745EF">
        <w:rPr>
          <w:lang w:val="en-GB"/>
        </w:rPr>
        <w:t xml:space="preserve">However, the triple orifice spinneret is able to produce </w:t>
      </w:r>
      <w:r w:rsidR="007E33BE">
        <w:rPr>
          <w:lang w:val="en-GB"/>
        </w:rPr>
        <w:t xml:space="preserve">at the same time </w:t>
      </w:r>
      <w:r w:rsidR="007745EF">
        <w:rPr>
          <w:lang w:val="en-GB"/>
        </w:rPr>
        <w:t xml:space="preserve">permeable and selective membranes. </w:t>
      </w:r>
    </w:p>
    <w:p w14:paraId="793A41C6" w14:textId="327E0714" w:rsidR="007031F3" w:rsidRDefault="00724EF9" w:rsidP="000F584B">
      <w:pPr>
        <w:pStyle w:val="CETBodytext"/>
        <w:rPr>
          <w:lang w:val="en-GB"/>
        </w:rPr>
      </w:pPr>
      <w:r w:rsidRPr="00724EF9">
        <w:rPr>
          <w:lang w:val="en-GB"/>
        </w:rPr>
        <w:t>A proper selection of the spinning conditions and spinneret type results in gas separat</w:t>
      </w:r>
      <w:r>
        <w:rPr>
          <w:lang w:val="en-GB"/>
        </w:rPr>
        <w:t>ion HFs having thin skin layers</w:t>
      </w:r>
      <w:r w:rsidRPr="00724EF9">
        <w:rPr>
          <w:lang w:val="en-GB"/>
        </w:rPr>
        <w:t>, high permeation rates and selectivity coefficients.</w:t>
      </w:r>
    </w:p>
    <w:p w14:paraId="3C4D2B14" w14:textId="77777777" w:rsidR="00600535" w:rsidRPr="00B57B36" w:rsidRDefault="00600535" w:rsidP="00600535">
      <w:pPr>
        <w:pStyle w:val="CETAcknowledgementstitle"/>
      </w:pPr>
      <w:r w:rsidRPr="00B57B36">
        <w:t>Acknowledgments</w:t>
      </w:r>
    </w:p>
    <w:p w14:paraId="30B79179" w14:textId="3C9DA3D0" w:rsidR="00600535" w:rsidRPr="00501823" w:rsidRDefault="0041237F" w:rsidP="00600535">
      <w:pPr>
        <w:pStyle w:val="CETBodytext"/>
        <w:rPr>
          <w:color w:val="C00000"/>
          <w:lang w:val="en-GB"/>
        </w:rPr>
      </w:pPr>
      <w:r w:rsidRPr="0041237F">
        <w:rPr>
          <w:lang w:val="en-GB"/>
        </w:rPr>
        <w:t xml:space="preserve">Huntsman Advanced Materials (Europe) is gratefully acknowledged for providing the </w:t>
      </w:r>
      <w:r w:rsidR="00CF6516">
        <w:rPr>
          <w:lang w:val="en-GB"/>
        </w:rPr>
        <w:t xml:space="preserve">Matrimid </w:t>
      </w:r>
      <w:r w:rsidRPr="0041237F">
        <w:rPr>
          <w:lang w:val="en-GB"/>
        </w:rPr>
        <w:t>sample.</w:t>
      </w:r>
      <w:r w:rsidR="00790AC6">
        <w:rPr>
          <w:lang w:val="en-GB"/>
        </w:rPr>
        <w:t xml:space="preserve"> </w:t>
      </w:r>
      <w:r w:rsidR="00501823" w:rsidRPr="00501823">
        <w:rPr>
          <w:lang w:val="en-GB"/>
        </w:rPr>
        <w:t>The authors thank Dr. G. Chiappetta (ITM–CNR) for the SEM analyses.</w:t>
      </w:r>
    </w:p>
    <w:p w14:paraId="0D549BC3" w14:textId="77777777" w:rsidR="00600535" w:rsidRPr="00B57B36" w:rsidRDefault="00600535" w:rsidP="00600535">
      <w:pPr>
        <w:pStyle w:val="CETReference"/>
      </w:pPr>
      <w:r w:rsidRPr="00B57B36">
        <w:t>References</w:t>
      </w:r>
      <w:r w:rsidR="00A877CA">
        <w:t xml:space="preserve"> </w:t>
      </w:r>
    </w:p>
    <w:p w14:paraId="4643B812" w14:textId="77777777" w:rsidR="00BC6803" w:rsidRPr="00D45986" w:rsidRDefault="00BC6803" w:rsidP="00BC6803">
      <w:pPr>
        <w:pStyle w:val="CETReferencetext"/>
      </w:pPr>
      <w:r w:rsidRPr="00D45986">
        <w:rPr>
          <w:lang w:val="en-US"/>
        </w:rPr>
        <w:t>Bernardo</w:t>
      </w:r>
      <w:r w:rsidR="00052E84" w:rsidRPr="00D45986">
        <w:rPr>
          <w:lang w:val="en-US"/>
        </w:rPr>
        <w:t xml:space="preserve"> P.</w:t>
      </w:r>
      <w:r w:rsidRPr="00D45986">
        <w:rPr>
          <w:lang w:val="en-US"/>
        </w:rPr>
        <w:t>, Drioli</w:t>
      </w:r>
      <w:r w:rsidR="00052E84" w:rsidRPr="00D45986">
        <w:rPr>
          <w:lang w:val="en-US"/>
        </w:rPr>
        <w:t xml:space="preserve"> E.</w:t>
      </w:r>
      <w:r w:rsidRPr="00D45986">
        <w:rPr>
          <w:lang w:val="en-US"/>
        </w:rPr>
        <w:t>, Golemme</w:t>
      </w:r>
      <w:r w:rsidR="00052E84" w:rsidRPr="00D45986">
        <w:rPr>
          <w:lang w:val="en-US"/>
        </w:rPr>
        <w:t xml:space="preserve"> G.</w:t>
      </w:r>
      <w:r w:rsidRPr="00D45986">
        <w:rPr>
          <w:lang w:val="en-US"/>
        </w:rPr>
        <w:t xml:space="preserve">, </w:t>
      </w:r>
      <w:r w:rsidR="00052E84" w:rsidRPr="00D45986">
        <w:rPr>
          <w:lang w:val="en-US"/>
        </w:rPr>
        <w:t>2009,</w:t>
      </w:r>
      <w:r w:rsidR="00D45986" w:rsidRPr="00D45986">
        <w:t xml:space="preserve"> </w:t>
      </w:r>
      <w:r w:rsidR="00D45986" w:rsidRPr="00D45986">
        <w:rPr>
          <w:lang w:val="en-US"/>
        </w:rPr>
        <w:t>Membrane Gas Separation: A Review/State of the Art,</w:t>
      </w:r>
      <w:r w:rsidR="00052E84" w:rsidRPr="00D45986">
        <w:rPr>
          <w:lang w:val="en-US"/>
        </w:rPr>
        <w:t xml:space="preserve"> </w:t>
      </w:r>
      <w:r w:rsidRPr="00D45986">
        <w:rPr>
          <w:lang w:val="en-US"/>
        </w:rPr>
        <w:t>Ind</w:t>
      </w:r>
      <w:r w:rsidR="00D45986">
        <w:rPr>
          <w:lang w:val="en-US"/>
        </w:rPr>
        <w:t>ustrial and</w:t>
      </w:r>
      <w:r w:rsidRPr="00D45986">
        <w:rPr>
          <w:lang w:val="en-US"/>
        </w:rPr>
        <w:t xml:space="preserve"> Eng</w:t>
      </w:r>
      <w:r w:rsidR="00D45986">
        <w:rPr>
          <w:lang w:val="en-US"/>
        </w:rPr>
        <w:t>ineering</w:t>
      </w:r>
      <w:r w:rsidRPr="00D45986">
        <w:rPr>
          <w:lang w:val="en-US"/>
        </w:rPr>
        <w:t xml:space="preserve"> </w:t>
      </w:r>
      <w:r w:rsidRPr="003649BA">
        <w:t>Chem</w:t>
      </w:r>
      <w:r w:rsidR="00D45986">
        <w:t>istry</w:t>
      </w:r>
      <w:r w:rsidRPr="003649BA">
        <w:t xml:space="preserve"> Res</w:t>
      </w:r>
      <w:r w:rsidR="00D45986">
        <w:t>earch</w:t>
      </w:r>
      <w:r w:rsidRPr="003649BA">
        <w:t xml:space="preserve">, 48 (10), </w:t>
      </w:r>
      <w:r w:rsidRPr="00D45986">
        <w:t>4638</w:t>
      </w:r>
      <w:r w:rsidR="00052E84" w:rsidRPr="00D45986">
        <w:t>–</w:t>
      </w:r>
      <w:r w:rsidR="00D45986" w:rsidRPr="00D45986">
        <w:rPr>
          <w:rStyle w:val="st1"/>
          <w:rFonts w:cs="Arial"/>
        </w:rPr>
        <w:t>4663</w:t>
      </w:r>
      <w:r w:rsidR="00052E84" w:rsidRPr="00D45986">
        <w:t>.</w:t>
      </w:r>
    </w:p>
    <w:p w14:paraId="2EF9644F" w14:textId="77777777" w:rsidR="00BC6803" w:rsidRDefault="00BC6803" w:rsidP="00011159">
      <w:pPr>
        <w:pStyle w:val="CETReferencetext"/>
      </w:pPr>
      <w:r w:rsidRPr="003649BA">
        <w:rPr>
          <w:lang w:val="en-US"/>
        </w:rPr>
        <w:t>Bernardo</w:t>
      </w:r>
      <w:r w:rsidR="00052E84" w:rsidRPr="00052E84">
        <w:rPr>
          <w:lang w:val="en-US"/>
        </w:rPr>
        <w:t xml:space="preserve"> </w:t>
      </w:r>
      <w:r w:rsidR="00052E84" w:rsidRPr="003649BA">
        <w:rPr>
          <w:lang w:val="en-US"/>
        </w:rPr>
        <w:t>P.</w:t>
      </w:r>
      <w:r w:rsidRPr="003649BA">
        <w:rPr>
          <w:lang w:val="en-US"/>
        </w:rPr>
        <w:t>, Clarizia</w:t>
      </w:r>
      <w:r w:rsidR="00052E84" w:rsidRPr="00052E84">
        <w:rPr>
          <w:lang w:val="en-US"/>
        </w:rPr>
        <w:t xml:space="preserve"> </w:t>
      </w:r>
      <w:r w:rsidR="00052E84" w:rsidRPr="003649BA">
        <w:rPr>
          <w:lang w:val="en-US"/>
        </w:rPr>
        <w:t>G.</w:t>
      </w:r>
      <w:r w:rsidRPr="003649BA">
        <w:rPr>
          <w:lang w:val="en-US"/>
        </w:rPr>
        <w:t xml:space="preserve">, </w:t>
      </w:r>
      <w:r w:rsidR="004E0600" w:rsidRPr="003649BA">
        <w:rPr>
          <w:lang w:val="en-US"/>
        </w:rPr>
        <w:t xml:space="preserve">2013, </w:t>
      </w:r>
      <w:r w:rsidR="001009D4" w:rsidRPr="001009D4">
        <w:rPr>
          <w:lang w:val="en-US"/>
        </w:rPr>
        <w:t xml:space="preserve">30 </w:t>
      </w:r>
      <w:r w:rsidR="001009D4" w:rsidRPr="00011159">
        <w:t>years</w:t>
      </w:r>
      <w:r w:rsidR="001009D4" w:rsidRPr="001009D4">
        <w:rPr>
          <w:lang w:val="en-US"/>
        </w:rPr>
        <w:t xml:space="preserve"> of membrane technology for gas separation</w:t>
      </w:r>
      <w:r w:rsidR="001009D4">
        <w:rPr>
          <w:lang w:val="en-US"/>
        </w:rPr>
        <w:t xml:space="preserve">, </w:t>
      </w:r>
      <w:r w:rsidR="003F6221" w:rsidRPr="003F6221">
        <w:rPr>
          <w:lang w:val="en-US"/>
        </w:rPr>
        <w:t>Chemical Engineering Transactions</w:t>
      </w:r>
      <w:r w:rsidRPr="003649BA">
        <w:t xml:space="preserve">, 32, </w:t>
      </w:r>
      <w:r w:rsidRPr="001009D4">
        <w:t>1999–</w:t>
      </w:r>
      <w:r w:rsidR="001009D4" w:rsidRPr="001009D4">
        <w:rPr>
          <w:lang w:val="en-US"/>
        </w:rPr>
        <w:t>2004</w:t>
      </w:r>
      <w:r w:rsidRPr="001009D4">
        <w:t>.</w:t>
      </w:r>
    </w:p>
    <w:p w14:paraId="3089E60B" w14:textId="77777777" w:rsidR="004915F8" w:rsidRDefault="004915F8" w:rsidP="004915F8">
      <w:pPr>
        <w:pStyle w:val="CETReferencetext"/>
      </w:pPr>
      <w:r w:rsidRPr="004E0600">
        <w:t xml:space="preserve">Bernardo </w:t>
      </w:r>
      <w:r w:rsidR="00A96C60" w:rsidRPr="004E0600">
        <w:t>P</w:t>
      </w:r>
      <w:r w:rsidRPr="004E0600">
        <w:t xml:space="preserve">., </w:t>
      </w:r>
      <w:r w:rsidR="004E0600" w:rsidRPr="004E0600">
        <w:t xml:space="preserve">Prete S., Clarizia G., Tasselli F., </w:t>
      </w:r>
      <w:r w:rsidRPr="004E0600">
        <w:t xml:space="preserve">2019, </w:t>
      </w:r>
      <w:r w:rsidR="004E0600" w:rsidRPr="004E0600">
        <w:t>Effect of external fluid and inline crosslinking on the performance of polyimide hollow fibres prepared by using a triple–orifice spinneret, Journal of Membrane Science, 570–571, 410–417.</w:t>
      </w:r>
    </w:p>
    <w:p w14:paraId="354B0871" w14:textId="77777777" w:rsidR="009F3841" w:rsidRPr="009F3841" w:rsidRDefault="009F3841" w:rsidP="009F3841">
      <w:pPr>
        <w:pStyle w:val="CETReferencetext"/>
      </w:pPr>
      <w:r w:rsidRPr="009F3841">
        <w:t>Clarizia G., Bernardo P., Gorrasi G., Zampino D., Carroccio S.C., 2018</w:t>
      </w:r>
      <w:r>
        <w:t xml:space="preserve">, </w:t>
      </w:r>
      <w:r w:rsidRPr="009F3841">
        <w:t>Influence of the preparation method and photo-oxidation treatment on the thermal and gas transport properties of dense films based on a poly(ether-block-amide) copolymer, Materials, 11</w:t>
      </w:r>
      <w:r>
        <w:t>,</w:t>
      </w:r>
      <w:r w:rsidRPr="009F3841">
        <w:t xml:space="preserve"> 1326–1342.</w:t>
      </w:r>
    </w:p>
    <w:p w14:paraId="1A8FA5BA" w14:textId="77777777" w:rsidR="004E0600" w:rsidRDefault="004E0600" w:rsidP="004915F8">
      <w:pPr>
        <w:pStyle w:val="CETReferencetext"/>
      </w:pPr>
      <w:r w:rsidRPr="004E0600">
        <w:t>Clausi D.T., McKelvey S.A., Koros W.J., 1999</w:t>
      </w:r>
      <w:r>
        <w:t xml:space="preserve">, </w:t>
      </w:r>
      <w:r w:rsidRPr="004E0600">
        <w:t xml:space="preserve">Characterization of substructure resistance in asymmetric gas separation membranes, </w:t>
      </w:r>
      <w:r w:rsidRPr="006F6BC9">
        <w:rPr>
          <w:lang w:val="en-US"/>
        </w:rPr>
        <w:t>Journal of</w:t>
      </w:r>
      <w:r>
        <w:rPr>
          <w:lang w:val="en-US"/>
        </w:rPr>
        <w:t xml:space="preserve"> </w:t>
      </w:r>
      <w:r w:rsidRPr="003F6221">
        <w:t>Membrane Science</w:t>
      </w:r>
      <w:r w:rsidRPr="003649BA">
        <w:t xml:space="preserve">, </w:t>
      </w:r>
      <w:r w:rsidRPr="004E0600">
        <w:t>160/1</w:t>
      </w:r>
      <w:r>
        <w:t>,</w:t>
      </w:r>
      <w:r w:rsidRPr="004E0600">
        <w:t xml:space="preserve"> 51</w:t>
      </w:r>
      <w:r>
        <w:t>–</w:t>
      </w:r>
      <w:r w:rsidRPr="004E0600">
        <w:t>64.</w:t>
      </w:r>
    </w:p>
    <w:p w14:paraId="13D59FC6" w14:textId="16CDC9C5" w:rsidR="00D87696" w:rsidRPr="00C64646" w:rsidRDefault="009C425A" w:rsidP="00D87696">
      <w:pPr>
        <w:pStyle w:val="CETReferencetext"/>
        <w:rPr>
          <w:color w:val="000000" w:themeColor="text1"/>
        </w:rPr>
      </w:pPr>
      <w:r>
        <w:rPr>
          <w:lang w:val="en-US"/>
        </w:rPr>
        <w:t>Clausi D.T., Koros W.</w:t>
      </w:r>
      <w:r w:rsidR="00D87696" w:rsidRPr="00D87696">
        <w:rPr>
          <w:lang w:val="en-US"/>
        </w:rPr>
        <w:t xml:space="preserve">J., </w:t>
      </w:r>
      <w:r w:rsidR="00D87696" w:rsidRPr="00C64646">
        <w:rPr>
          <w:color w:val="000000" w:themeColor="text1"/>
        </w:rPr>
        <w:t>2000, Formation of defect-free polyimide hollow fiber membranes for gas separations, Journal of Membrane Science, 167, 79–89.</w:t>
      </w:r>
    </w:p>
    <w:p w14:paraId="055F222F" w14:textId="13498C62" w:rsidR="00423C6F" w:rsidRPr="00C64646" w:rsidRDefault="00423C6F" w:rsidP="00BC6803">
      <w:pPr>
        <w:pStyle w:val="CETReferencetext"/>
        <w:rPr>
          <w:color w:val="000000" w:themeColor="text1"/>
        </w:rPr>
      </w:pPr>
      <w:r w:rsidRPr="00C64646">
        <w:rPr>
          <w:color w:val="000000" w:themeColor="text1"/>
        </w:rPr>
        <w:t>Ismail N.M., Jakariah N.R., Bolong N., Anissuzaman S.M., Nordin N.A.H.M., Razali A.R., 2017, Effect of Polymer Concentration</w:t>
      </w:r>
      <w:r w:rsidR="005B6395" w:rsidRPr="00C64646">
        <w:rPr>
          <w:color w:val="000000" w:themeColor="text1"/>
        </w:rPr>
        <w:t xml:space="preserve"> </w:t>
      </w:r>
      <w:r w:rsidRPr="00C64646">
        <w:rPr>
          <w:color w:val="000000" w:themeColor="text1"/>
        </w:rPr>
        <w:t xml:space="preserve">on the Morphology and Mechanical Properties of Asymmetric Polysulfone (PSf) Membrane, J. Applied Membrane Science &amp; Technology, 21, 33–41. </w:t>
      </w:r>
    </w:p>
    <w:p w14:paraId="079B3AF6" w14:textId="09978D20" w:rsidR="002A4B4D" w:rsidRPr="00C64646" w:rsidRDefault="002A4B4D" w:rsidP="000F1E14">
      <w:pPr>
        <w:pStyle w:val="CETReferencetext"/>
        <w:jc w:val="left"/>
        <w:rPr>
          <w:color w:val="000000" w:themeColor="text1"/>
        </w:rPr>
      </w:pPr>
      <w:r w:rsidRPr="00C64646">
        <w:rPr>
          <w:color w:val="000000" w:themeColor="text1"/>
        </w:rPr>
        <w:t>Khayet M., 2003, The effects of air gap length on the internal and external morphology of hollow fiber membranes, Chemical Engineering Science</w:t>
      </w:r>
      <w:r w:rsidR="006561F7" w:rsidRPr="00C64646">
        <w:rPr>
          <w:color w:val="000000" w:themeColor="text1"/>
        </w:rPr>
        <w:t>,</w:t>
      </w:r>
      <w:r w:rsidRPr="00C64646">
        <w:rPr>
          <w:color w:val="000000" w:themeColor="text1"/>
        </w:rPr>
        <w:t xml:space="preserve"> 58, 3091–3104.</w:t>
      </w:r>
    </w:p>
    <w:p w14:paraId="2DAF21D8" w14:textId="77777777" w:rsidR="00BC6803" w:rsidRPr="00C64646" w:rsidRDefault="00BC6803" w:rsidP="00BC6803">
      <w:pPr>
        <w:pStyle w:val="CETReferencetext"/>
        <w:rPr>
          <w:color w:val="000000" w:themeColor="text1"/>
        </w:rPr>
      </w:pPr>
      <w:r w:rsidRPr="00C64646">
        <w:rPr>
          <w:color w:val="000000" w:themeColor="text1"/>
        </w:rPr>
        <w:t>Mulder</w:t>
      </w:r>
      <w:r w:rsidR="003F6221" w:rsidRPr="00C64646">
        <w:rPr>
          <w:color w:val="000000" w:themeColor="text1"/>
        </w:rPr>
        <w:t xml:space="preserve"> M.</w:t>
      </w:r>
      <w:r w:rsidRPr="00C64646">
        <w:rPr>
          <w:color w:val="000000" w:themeColor="text1"/>
        </w:rPr>
        <w:t xml:space="preserve">, </w:t>
      </w:r>
      <w:r w:rsidR="00D0093C" w:rsidRPr="00C64646">
        <w:rPr>
          <w:color w:val="000000" w:themeColor="text1"/>
        </w:rPr>
        <w:t xml:space="preserve">2003, </w:t>
      </w:r>
      <w:r w:rsidRPr="00C64646">
        <w:rPr>
          <w:color w:val="000000" w:themeColor="text1"/>
        </w:rPr>
        <w:t>Basic principles of membrane technology, 2</w:t>
      </w:r>
      <w:r w:rsidRPr="00C64646">
        <w:rPr>
          <w:color w:val="000000" w:themeColor="text1"/>
          <w:vertAlign w:val="superscript"/>
        </w:rPr>
        <w:t>nd</w:t>
      </w:r>
      <w:r w:rsidRPr="00C64646">
        <w:rPr>
          <w:color w:val="000000" w:themeColor="text1"/>
        </w:rPr>
        <w:t xml:space="preserve"> edition, Kluwer Academic Publishers, Dordrecht, </w:t>
      </w:r>
      <w:r w:rsidR="00D0093C" w:rsidRPr="00C64646">
        <w:rPr>
          <w:color w:val="000000" w:themeColor="text1"/>
        </w:rPr>
        <w:t xml:space="preserve">the </w:t>
      </w:r>
      <w:r w:rsidRPr="00C64646">
        <w:rPr>
          <w:color w:val="000000" w:themeColor="text1"/>
        </w:rPr>
        <w:t xml:space="preserve">Netherlands. </w:t>
      </w:r>
    </w:p>
    <w:p w14:paraId="32B21ADC" w14:textId="77777777" w:rsidR="0042725A" w:rsidRDefault="0042725A" w:rsidP="0042725A">
      <w:pPr>
        <w:pStyle w:val="CETReferencetext"/>
      </w:pPr>
      <w:r w:rsidRPr="00C64646">
        <w:rPr>
          <w:color w:val="000000" w:themeColor="text1"/>
        </w:rPr>
        <w:t>Ortiz C., Valverde J.M., Chacartegui R., Romeo L.M., Perez-Maqueda L.A., 2018, The mOxy-CaL Process: Integration of Membrane Separation, Partial Oxy</w:t>
      </w:r>
      <w:r w:rsidRPr="007C083D">
        <w:t>-combustion and Calcium Looping for CO</w:t>
      </w:r>
      <w:r w:rsidRPr="007C083D">
        <w:rPr>
          <w:vertAlign w:val="subscript"/>
        </w:rPr>
        <w:t>2</w:t>
      </w:r>
      <w:r w:rsidRPr="007C083D">
        <w:t xml:space="preserve"> Capture, Chemical Engineering Transactions, 70, 643</w:t>
      </w:r>
      <w:r w:rsidR="00D0093C" w:rsidRPr="007C083D">
        <w:t>–</w:t>
      </w:r>
      <w:r w:rsidRPr="007C083D">
        <w:t>648.</w:t>
      </w:r>
    </w:p>
    <w:p w14:paraId="75BD3705" w14:textId="77777777" w:rsidR="00B352ED" w:rsidRPr="0042725A" w:rsidRDefault="00B352ED" w:rsidP="00B352ED">
      <w:pPr>
        <w:pStyle w:val="CETReferencetext"/>
      </w:pPr>
      <w:r>
        <w:t>Tai S.C., Teoh S.K., Hu X., 1997, Formation of ultrathin high-performance polyethersulfone hollow-fiber membranes, Journal of Membrane Science, 133(2), 161–175.</w:t>
      </w:r>
    </w:p>
    <w:p w14:paraId="4CDBA403" w14:textId="430E1D93" w:rsidR="006B4888" w:rsidRPr="000D56D6" w:rsidRDefault="00BC6803" w:rsidP="006B4888">
      <w:pPr>
        <w:pStyle w:val="CETReferencetext"/>
      </w:pPr>
      <w:r w:rsidRPr="001009D4">
        <w:rPr>
          <w:lang w:val="en-US"/>
        </w:rPr>
        <w:t>Tasselli</w:t>
      </w:r>
      <w:r w:rsidR="001009D4" w:rsidRPr="001009D4">
        <w:rPr>
          <w:lang w:val="en-US"/>
        </w:rPr>
        <w:t xml:space="preserve"> F.</w:t>
      </w:r>
      <w:r w:rsidRPr="001009D4">
        <w:rPr>
          <w:lang w:val="en-US"/>
        </w:rPr>
        <w:t>, Drioli</w:t>
      </w:r>
      <w:r w:rsidR="001009D4" w:rsidRPr="001009D4">
        <w:rPr>
          <w:lang w:val="en-US"/>
        </w:rPr>
        <w:t xml:space="preserve"> E.</w:t>
      </w:r>
      <w:r w:rsidRPr="001009D4">
        <w:rPr>
          <w:lang w:val="en-US"/>
        </w:rPr>
        <w:t xml:space="preserve">, </w:t>
      </w:r>
      <w:r w:rsidR="001009D4" w:rsidRPr="003649BA">
        <w:t>2007</w:t>
      </w:r>
      <w:r w:rsidR="001009D4">
        <w:t xml:space="preserve">, </w:t>
      </w:r>
      <w:r w:rsidR="004E0600" w:rsidRPr="001009D4">
        <w:rPr>
          <w:lang w:val="en-US"/>
        </w:rPr>
        <w:t>Tuning of hollow fiber membrane properties using different bore fluids</w:t>
      </w:r>
      <w:r w:rsidR="004E0600">
        <w:rPr>
          <w:lang w:val="en-US"/>
        </w:rPr>
        <w:t xml:space="preserve">, </w:t>
      </w:r>
      <w:r w:rsidR="006F6BC9" w:rsidRPr="006F6BC9">
        <w:rPr>
          <w:lang w:val="en-US"/>
        </w:rPr>
        <w:t>Journal of</w:t>
      </w:r>
      <w:r w:rsidR="003F6221">
        <w:rPr>
          <w:lang w:val="en-US"/>
        </w:rPr>
        <w:t xml:space="preserve"> </w:t>
      </w:r>
      <w:r w:rsidR="006F6BC9" w:rsidRPr="003F6221">
        <w:t>Membrane Science</w:t>
      </w:r>
      <w:r w:rsidRPr="003649BA">
        <w:t>, 301, 11</w:t>
      </w:r>
      <w:r w:rsidR="001009D4">
        <w:t>–18</w:t>
      </w:r>
      <w:r w:rsidRPr="003649BA">
        <w:t>.</w:t>
      </w:r>
    </w:p>
    <w:sectPr w:rsidR="006B4888" w:rsidRPr="000D56D6" w:rsidSect="0077098D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1638C" w14:textId="77777777" w:rsidR="00F11170" w:rsidRDefault="00F11170" w:rsidP="004F5E36">
      <w:r>
        <w:separator/>
      </w:r>
    </w:p>
  </w:endnote>
  <w:endnote w:type="continuationSeparator" w:id="0">
    <w:p w14:paraId="55B02ED2" w14:textId="77777777" w:rsidR="00F11170" w:rsidRDefault="00F11170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FAFD0" w14:textId="77777777" w:rsidR="00F11170" w:rsidRDefault="00F11170" w:rsidP="004F5E36">
      <w:r>
        <w:separator/>
      </w:r>
    </w:p>
  </w:footnote>
  <w:footnote w:type="continuationSeparator" w:id="0">
    <w:p w14:paraId="1AF5282B" w14:textId="77777777" w:rsidR="00F11170" w:rsidRDefault="00F11170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438217E"/>
    <w:multiLevelType w:val="multilevel"/>
    <w:tmpl w:val="8F3A1E82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1135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7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A7103"/>
    <w:multiLevelType w:val="hybridMultilevel"/>
    <w:tmpl w:val="AF2E17F4"/>
    <w:lvl w:ilvl="0" w:tplc="DDFA7D76">
      <w:start w:val="198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6"/>
  </w:num>
  <w:num w:numId="13">
    <w:abstractNumId w:val="12"/>
  </w:num>
  <w:num w:numId="14">
    <w:abstractNumId w:val="17"/>
  </w:num>
  <w:num w:numId="15">
    <w:abstractNumId w:val="20"/>
  </w:num>
  <w:num w:numId="16">
    <w:abstractNumId w:val="18"/>
  </w:num>
  <w:num w:numId="17">
    <w:abstractNumId w:val="11"/>
  </w:num>
  <w:num w:numId="18">
    <w:abstractNumId w:val="12"/>
    <w:lvlOverride w:ilvl="0">
      <w:startOverride w:val="1"/>
    </w:lvlOverride>
  </w:num>
  <w:num w:numId="19">
    <w:abstractNumId w:val="15"/>
  </w:num>
  <w:num w:numId="20">
    <w:abstractNumId w:val="14"/>
  </w:num>
  <w:num w:numId="21">
    <w:abstractNumId w:val="13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27C0"/>
    <w:rsid w:val="0000294C"/>
    <w:rsid w:val="000052FB"/>
    <w:rsid w:val="00010F40"/>
    <w:rsid w:val="00011159"/>
    <w:rsid w:val="000117CB"/>
    <w:rsid w:val="00012D4E"/>
    <w:rsid w:val="00016005"/>
    <w:rsid w:val="00025965"/>
    <w:rsid w:val="000277E6"/>
    <w:rsid w:val="0003148D"/>
    <w:rsid w:val="00047D7F"/>
    <w:rsid w:val="00051566"/>
    <w:rsid w:val="00052E84"/>
    <w:rsid w:val="00054671"/>
    <w:rsid w:val="000559F5"/>
    <w:rsid w:val="00062A9A"/>
    <w:rsid w:val="00065058"/>
    <w:rsid w:val="00086C39"/>
    <w:rsid w:val="00090231"/>
    <w:rsid w:val="00092ABA"/>
    <w:rsid w:val="00097F5A"/>
    <w:rsid w:val="000A03B2"/>
    <w:rsid w:val="000A3B79"/>
    <w:rsid w:val="000B62B6"/>
    <w:rsid w:val="000B7DAF"/>
    <w:rsid w:val="000D34BE"/>
    <w:rsid w:val="000D4A83"/>
    <w:rsid w:val="000D67B0"/>
    <w:rsid w:val="000E102F"/>
    <w:rsid w:val="000E36F1"/>
    <w:rsid w:val="000E3A73"/>
    <w:rsid w:val="000E414A"/>
    <w:rsid w:val="000F093C"/>
    <w:rsid w:val="000F0AAE"/>
    <w:rsid w:val="000F16BD"/>
    <w:rsid w:val="000F1B01"/>
    <w:rsid w:val="000F1E14"/>
    <w:rsid w:val="000F584B"/>
    <w:rsid w:val="000F77FA"/>
    <w:rsid w:val="000F787B"/>
    <w:rsid w:val="001009D4"/>
    <w:rsid w:val="00106FAE"/>
    <w:rsid w:val="0010716D"/>
    <w:rsid w:val="001123EB"/>
    <w:rsid w:val="0012091F"/>
    <w:rsid w:val="00126076"/>
    <w:rsid w:val="00126BC2"/>
    <w:rsid w:val="001308B6"/>
    <w:rsid w:val="0013121F"/>
    <w:rsid w:val="00131FAB"/>
    <w:rsid w:val="00131FE6"/>
    <w:rsid w:val="0013263F"/>
    <w:rsid w:val="00134DE4"/>
    <w:rsid w:val="0014034D"/>
    <w:rsid w:val="00150E59"/>
    <w:rsid w:val="00152DE3"/>
    <w:rsid w:val="00153BF0"/>
    <w:rsid w:val="00164CF9"/>
    <w:rsid w:val="00184AD6"/>
    <w:rsid w:val="001A1911"/>
    <w:rsid w:val="001B0349"/>
    <w:rsid w:val="001B3BFF"/>
    <w:rsid w:val="001B65C1"/>
    <w:rsid w:val="001C222D"/>
    <w:rsid w:val="001C684B"/>
    <w:rsid w:val="001D53FC"/>
    <w:rsid w:val="001E3E44"/>
    <w:rsid w:val="001E7921"/>
    <w:rsid w:val="001F42A5"/>
    <w:rsid w:val="001F4347"/>
    <w:rsid w:val="001F7B9D"/>
    <w:rsid w:val="00201AED"/>
    <w:rsid w:val="002157EF"/>
    <w:rsid w:val="002224B4"/>
    <w:rsid w:val="002250E5"/>
    <w:rsid w:val="002427B8"/>
    <w:rsid w:val="002447EF"/>
    <w:rsid w:val="00251550"/>
    <w:rsid w:val="00252C1A"/>
    <w:rsid w:val="00263B05"/>
    <w:rsid w:val="0026747D"/>
    <w:rsid w:val="0027221A"/>
    <w:rsid w:val="0027579F"/>
    <w:rsid w:val="00275B61"/>
    <w:rsid w:val="00282656"/>
    <w:rsid w:val="002926B0"/>
    <w:rsid w:val="00295AD2"/>
    <w:rsid w:val="00296B83"/>
    <w:rsid w:val="002A4B4D"/>
    <w:rsid w:val="002A635B"/>
    <w:rsid w:val="002B2AAE"/>
    <w:rsid w:val="002B78CE"/>
    <w:rsid w:val="002C02FD"/>
    <w:rsid w:val="002C2FB6"/>
    <w:rsid w:val="002C39F0"/>
    <w:rsid w:val="002D2308"/>
    <w:rsid w:val="002D5BCD"/>
    <w:rsid w:val="003009B7"/>
    <w:rsid w:val="00300E56"/>
    <w:rsid w:val="00302F41"/>
    <w:rsid w:val="0030469C"/>
    <w:rsid w:val="003132CF"/>
    <w:rsid w:val="00321CA6"/>
    <w:rsid w:val="00334C09"/>
    <w:rsid w:val="003365E3"/>
    <w:rsid w:val="00352059"/>
    <w:rsid w:val="0035595E"/>
    <w:rsid w:val="003649BA"/>
    <w:rsid w:val="00365BD1"/>
    <w:rsid w:val="00365E07"/>
    <w:rsid w:val="0036620C"/>
    <w:rsid w:val="003723D4"/>
    <w:rsid w:val="00384CC8"/>
    <w:rsid w:val="0038566C"/>
    <w:rsid w:val="003871FD"/>
    <w:rsid w:val="003A0249"/>
    <w:rsid w:val="003A1E30"/>
    <w:rsid w:val="003A7D1C"/>
    <w:rsid w:val="003B304B"/>
    <w:rsid w:val="003B3146"/>
    <w:rsid w:val="003B60F3"/>
    <w:rsid w:val="003C01A4"/>
    <w:rsid w:val="003C70E5"/>
    <w:rsid w:val="003C7E14"/>
    <w:rsid w:val="003D3DEE"/>
    <w:rsid w:val="003D54B9"/>
    <w:rsid w:val="003F015E"/>
    <w:rsid w:val="003F6221"/>
    <w:rsid w:val="00400414"/>
    <w:rsid w:val="004069E3"/>
    <w:rsid w:val="0041237F"/>
    <w:rsid w:val="0041446B"/>
    <w:rsid w:val="00423C6F"/>
    <w:rsid w:val="0042725A"/>
    <w:rsid w:val="00435DFE"/>
    <w:rsid w:val="00435F13"/>
    <w:rsid w:val="0044329C"/>
    <w:rsid w:val="00443F79"/>
    <w:rsid w:val="00444E35"/>
    <w:rsid w:val="004577FE"/>
    <w:rsid w:val="00457B9C"/>
    <w:rsid w:val="0046164A"/>
    <w:rsid w:val="004628D2"/>
    <w:rsid w:val="00462DCD"/>
    <w:rsid w:val="004648AD"/>
    <w:rsid w:val="004703A9"/>
    <w:rsid w:val="004726BB"/>
    <w:rsid w:val="00474FC6"/>
    <w:rsid w:val="004760DE"/>
    <w:rsid w:val="004819B4"/>
    <w:rsid w:val="004915F8"/>
    <w:rsid w:val="004A004E"/>
    <w:rsid w:val="004A24CF"/>
    <w:rsid w:val="004B2578"/>
    <w:rsid w:val="004B6721"/>
    <w:rsid w:val="004C3D1D"/>
    <w:rsid w:val="004C6A15"/>
    <w:rsid w:val="004C7913"/>
    <w:rsid w:val="004E0600"/>
    <w:rsid w:val="004E463A"/>
    <w:rsid w:val="004E4DD6"/>
    <w:rsid w:val="004F5E36"/>
    <w:rsid w:val="00501823"/>
    <w:rsid w:val="00505318"/>
    <w:rsid w:val="00507B47"/>
    <w:rsid w:val="00507CC9"/>
    <w:rsid w:val="00510FF9"/>
    <w:rsid w:val="005119A5"/>
    <w:rsid w:val="00514B55"/>
    <w:rsid w:val="005278B7"/>
    <w:rsid w:val="00531961"/>
    <w:rsid w:val="00532016"/>
    <w:rsid w:val="005346C8"/>
    <w:rsid w:val="00540E49"/>
    <w:rsid w:val="00543E7D"/>
    <w:rsid w:val="00546B05"/>
    <w:rsid w:val="00547A68"/>
    <w:rsid w:val="00552E15"/>
    <w:rsid w:val="0055313A"/>
    <w:rsid w:val="005531C9"/>
    <w:rsid w:val="00572837"/>
    <w:rsid w:val="005854FE"/>
    <w:rsid w:val="005A393D"/>
    <w:rsid w:val="005A4CF6"/>
    <w:rsid w:val="005A5427"/>
    <w:rsid w:val="005B1F44"/>
    <w:rsid w:val="005B2110"/>
    <w:rsid w:val="005B2E11"/>
    <w:rsid w:val="005B35E4"/>
    <w:rsid w:val="005B61E6"/>
    <w:rsid w:val="005B6395"/>
    <w:rsid w:val="005C356D"/>
    <w:rsid w:val="005C77E1"/>
    <w:rsid w:val="005D1D2C"/>
    <w:rsid w:val="005D6A2F"/>
    <w:rsid w:val="005E1A82"/>
    <w:rsid w:val="005E794C"/>
    <w:rsid w:val="005F0A28"/>
    <w:rsid w:val="005F0E5E"/>
    <w:rsid w:val="00600535"/>
    <w:rsid w:val="00610CD6"/>
    <w:rsid w:val="00620DEE"/>
    <w:rsid w:val="00621F92"/>
    <w:rsid w:val="00625639"/>
    <w:rsid w:val="00631B33"/>
    <w:rsid w:val="00632FA5"/>
    <w:rsid w:val="00637B13"/>
    <w:rsid w:val="0064184D"/>
    <w:rsid w:val="006422CC"/>
    <w:rsid w:val="006479D5"/>
    <w:rsid w:val="006523D2"/>
    <w:rsid w:val="006561F7"/>
    <w:rsid w:val="00660E3E"/>
    <w:rsid w:val="006614D9"/>
    <w:rsid w:val="00662E74"/>
    <w:rsid w:val="006640D6"/>
    <w:rsid w:val="00677771"/>
    <w:rsid w:val="00680C23"/>
    <w:rsid w:val="00687C69"/>
    <w:rsid w:val="00690F46"/>
    <w:rsid w:val="00691A0C"/>
    <w:rsid w:val="00693766"/>
    <w:rsid w:val="006939B6"/>
    <w:rsid w:val="006A3281"/>
    <w:rsid w:val="006A41AD"/>
    <w:rsid w:val="006B4888"/>
    <w:rsid w:val="006C15DB"/>
    <w:rsid w:val="006C2E45"/>
    <w:rsid w:val="006C359C"/>
    <w:rsid w:val="006C5579"/>
    <w:rsid w:val="006C5DD1"/>
    <w:rsid w:val="006D2496"/>
    <w:rsid w:val="006E737D"/>
    <w:rsid w:val="006F3C85"/>
    <w:rsid w:val="006F6BC9"/>
    <w:rsid w:val="0070195D"/>
    <w:rsid w:val="007031F3"/>
    <w:rsid w:val="007103BA"/>
    <w:rsid w:val="00711F73"/>
    <w:rsid w:val="00720A24"/>
    <w:rsid w:val="00722C00"/>
    <w:rsid w:val="00724EF9"/>
    <w:rsid w:val="00730F02"/>
    <w:rsid w:val="00732386"/>
    <w:rsid w:val="00732F7B"/>
    <w:rsid w:val="00734805"/>
    <w:rsid w:val="00743615"/>
    <w:rsid w:val="007447F3"/>
    <w:rsid w:val="0075499F"/>
    <w:rsid w:val="00760399"/>
    <w:rsid w:val="007661C8"/>
    <w:rsid w:val="00767085"/>
    <w:rsid w:val="0077098D"/>
    <w:rsid w:val="007745EF"/>
    <w:rsid w:val="00777E36"/>
    <w:rsid w:val="007807A0"/>
    <w:rsid w:val="00781202"/>
    <w:rsid w:val="00785FC1"/>
    <w:rsid w:val="00790AC6"/>
    <w:rsid w:val="00791B1D"/>
    <w:rsid w:val="007923CE"/>
    <w:rsid w:val="00792C04"/>
    <w:rsid w:val="007931FA"/>
    <w:rsid w:val="007A7BBA"/>
    <w:rsid w:val="007B0C50"/>
    <w:rsid w:val="007C083D"/>
    <w:rsid w:val="007C1A43"/>
    <w:rsid w:val="007C42B6"/>
    <w:rsid w:val="007E1DC6"/>
    <w:rsid w:val="007E33BE"/>
    <w:rsid w:val="007F2E38"/>
    <w:rsid w:val="00813288"/>
    <w:rsid w:val="008168FC"/>
    <w:rsid w:val="00820F41"/>
    <w:rsid w:val="00830996"/>
    <w:rsid w:val="008345F1"/>
    <w:rsid w:val="008448C2"/>
    <w:rsid w:val="00861F19"/>
    <w:rsid w:val="00865B07"/>
    <w:rsid w:val="008667EA"/>
    <w:rsid w:val="0087637F"/>
    <w:rsid w:val="00877272"/>
    <w:rsid w:val="008869A1"/>
    <w:rsid w:val="008904B9"/>
    <w:rsid w:val="00892AD5"/>
    <w:rsid w:val="0089398F"/>
    <w:rsid w:val="00896C37"/>
    <w:rsid w:val="008A1512"/>
    <w:rsid w:val="008C25B1"/>
    <w:rsid w:val="008C78C1"/>
    <w:rsid w:val="008D2EEF"/>
    <w:rsid w:val="008D32B9"/>
    <w:rsid w:val="008D433B"/>
    <w:rsid w:val="008E566E"/>
    <w:rsid w:val="008F5537"/>
    <w:rsid w:val="0090161A"/>
    <w:rsid w:val="00901EB6"/>
    <w:rsid w:val="0090329E"/>
    <w:rsid w:val="009047AD"/>
    <w:rsid w:val="00904C62"/>
    <w:rsid w:val="0092335C"/>
    <w:rsid w:val="00924DAC"/>
    <w:rsid w:val="00927058"/>
    <w:rsid w:val="00942632"/>
    <w:rsid w:val="009450CE"/>
    <w:rsid w:val="00947179"/>
    <w:rsid w:val="0095164B"/>
    <w:rsid w:val="00952656"/>
    <w:rsid w:val="00954090"/>
    <w:rsid w:val="009550CD"/>
    <w:rsid w:val="009573E7"/>
    <w:rsid w:val="009635B9"/>
    <w:rsid w:val="00963E05"/>
    <w:rsid w:val="00965B6F"/>
    <w:rsid w:val="00967D54"/>
    <w:rsid w:val="00994E2F"/>
    <w:rsid w:val="00996483"/>
    <w:rsid w:val="00996F5A"/>
    <w:rsid w:val="009A0A3E"/>
    <w:rsid w:val="009A1DA5"/>
    <w:rsid w:val="009B041A"/>
    <w:rsid w:val="009B2998"/>
    <w:rsid w:val="009C1512"/>
    <w:rsid w:val="009C425A"/>
    <w:rsid w:val="009C7C86"/>
    <w:rsid w:val="009D2357"/>
    <w:rsid w:val="009D2FF7"/>
    <w:rsid w:val="009E7884"/>
    <w:rsid w:val="009E788A"/>
    <w:rsid w:val="009F0E08"/>
    <w:rsid w:val="009F3841"/>
    <w:rsid w:val="00A050CD"/>
    <w:rsid w:val="00A06D19"/>
    <w:rsid w:val="00A07525"/>
    <w:rsid w:val="00A1763D"/>
    <w:rsid w:val="00A17CEC"/>
    <w:rsid w:val="00A20B11"/>
    <w:rsid w:val="00A23493"/>
    <w:rsid w:val="00A275C9"/>
    <w:rsid w:val="00A27EF0"/>
    <w:rsid w:val="00A33740"/>
    <w:rsid w:val="00A3660E"/>
    <w:rsid w:val="00A43A56"/>
    <w:rsid w:val="00A45BD9"/>
    <w:rsid w:val="00A50B20"/>
    <w:rsid w:val="00A51390"/>
    <w:rsid w:val="00A60D13"/>
    <w:rsid w:val="00A65EE7"/>
    <w:rsid w:val="00A72745"/>
    <w:rsid w:val="00A76EFC"/>
    <w:rsid w:val="00A801D2"/>
    <w:rsid w:val="00A82FE3"/>
    <w:rsid w:val="00A877CA"/>
    <w:rsid w:val="00A91010"/>
    <w:rsid w:val="00A96C60"/>
    <w:rsid w:val="00A975D0"/>
    <w:rsid w:val="00A97F29"/>
    <w:rsid w:val="00AA702E"/>
    <w:rsid w:val="00AB0832"/>
    <w:rsid w:val="00AB0964"/>
    <w:rsid w:val="00AB10F0"/>
    <w:rsid w:val="00AB5011"/>
    <w:rsid w:val="00AC0447"/>
    <w:rsid w:val="00AC7368"/>
    <w:rsid w:val="00AD16B9"/>
    <w:rsid w:val="00AD58D1"/>
    <w:rsid w:val="00AD668E"/>
    <w:rsid w:val="00AD767A"/>
    <w:rsid w:val="00AE377D"/>
    <w:rsid w:val="00AF129C"/>
    <w:rsid w:val="00AF15C0"/>
    <w:rsid w:val="00AF5737"/>
    <w:rsid w:val="00B021E5"/>
    <w:rsid w:val="00B11A31"/>
    <w:rsid w:val="00B17AE6"/>
    <w:rsid w:val="00B17FBD"/>
    <w:rsid w:val="00B27AF9"/>
    <w:rsid w:val="00B315A6"/>
    <w:rsid w:val="00B31813"/>
    <w:rsid w:val="00B33365"/>
    <w:rsid w:val="00B352ED"/>
    <w:rsid w:val="00B370F4"/>
    <w:rsid w:val="00B57B36"/>
    <w:rsid w:val="00B70534"/>
    <w:rsid w:val="00B70828"/>
    <w:rsid w:val="00B77341"/>
    <w:rsid w:val="00B8686D"/>
    <w:rsid w:val="00BB5572"/>
    <w:rsid w:val="00BC30C9"/>
    <w:rsid w:val="00BC6803"/>
    <w:rsid w:val="00BE3E58"/>
    <w:rsid w:val="00C01616"/>
    <w:rsid w:val="00C0162B"/>
    <w:rsid w:val="00C16009"/>
    <w:rsid w:val="00C263E4"/>
    <w:rsid w:val="00C311A7"/>
    <w:rsid w:val="00C345B1"/>
    <w:rsid w:val="00C36607"/>
    <w:rsid w:val="00C40142"/>
    <w:rsid w:val="00C4500D"/>
    <w:rsid w:val="00C50C46"/>
    <w:rsid w:val="00C57182"/>
    <w:rsid w:val="00C57863"/>
    <w:rsid w:val="00C64646"/>
    <w:rsid w:val="00C655FD"/>
    <w:rsid w:val="00C663C1"/>
    <w:rsid w:val="00C71A94"/>
    <w:rsid w:val="00C75007"/>
    <w:rsid w:val="00C870A8"/>
    <w:rsid w:val="00C901E3"/>
    <w:rsid w:val="00C94434"/>
    <w:rsid w:val="00CA0D75"/>
    <w:rsid w:val="00CA0FBC"/>
    <w:rsid w:val="00CA1C95"/>
    <w:rsid w:val="00CA264E"/>
    <w:rsid w:val="00CA5A9C"/>
    <w:rsid w:val="00CB0481"/>
    <w:rsid w:val="00CB1C27"/>
    <w:rsid w:val="00CC615E"/>
    <w:rsid w:val="00CD221E"/>
    <w:rsid w:val="00CD2BE8"/>
    <w:rsid w:val="00CD3517"/>
    <w:rsid w:val="00CD5A00"/>
    <w:rsid w:val="00CD5FE2"/>
    <w:rsid w:val="00CE7C68"/>
    <w:rsid w:val="00CF6516"/>
    <w:rsid w:val="00D0093C"/>
    <w:rsid w:val="00D02B4C"/>
    <w:rsid w:val="00D040C4"/>
    <w:rsid w:val="00D06888"/>
    <w:rsid w:val="00D233E2"/>
    <w:rsid w:val="00D23E0F"/>
    <w:rsid w:val="00D325A7"/>
    <w:rsid w:val="00D35DBB"/>
    <w:rsid w:val="00D45986"/>
    <w:rsid w:val="00D47D37"/>
    <w:rsid w:val="00D5215B"/>
    <w:rsid w:val="00D57C84"/>
    <w:rsid w:val="00D6057D"/>
    <w:rsid w:val="00D84576"/>
    <w:rsid w:val="00D848E3"/>
    <w:rsid w:val="00D87696"/>
    <w:rsid w:val="00DA1399"/>
    <w:rsid w:val="00DA24C6"/>
    <w:rsid w:val="00DA421E"/>
    <w:rsid w:val="00DA4D7B"/>
    <w:rsid w:val="00DD67BE"/>
    <w:rsid w:val="00DE264A"/>
    <w:rsid w:val="00DE48D5"/>
    <w:rsid w:val="00DE66F2"/>
    <w:rsid w:val="00DF147C"/>
    <w:rsid w:val="00DF3817"/>
    <w:rsid w:val="00DF7C5D"/>
    <w:rsid w:val="00E0161E"/>
    <w:rsid w:val="00E02D18"/>
    <w:rsid w:val="00E041E7"/>
    <w:rsid w:val="00E23CA1"/>
    <w:rsid w:val="00E3213B"/>
    <w:rsid w:val="00E34778"/>
    <w:rsid w:val="00E35832"/>
    <w:rsid w:val="00E409A8"/>
    <w:rsid w:val="00E50C12"/>
    <w:rsid w:val="00E65B91"/>
    <w:rsid w:val="00E7209D"/>
    <w:rsid w:val="00E77223"/>
    <w:rsid w:val="00E77BB0"/>
    <w:rsid w:val="00E8528B"/>
    <w:rsid w:val="00E85B94"/>
    <w:rsid w:val="00E93FB2"/>
    <w:rsid w:val="00E978D0"/>
    <w:rsid w:val="00EA2682"/>
    <w:rsid w:val="00EA4613"/>
    <w:rsid w:val="00EA733C"/>
    <w:rsid w:val="00EA7F91"/>
    <w:rsid w:val="00EB1523"/>
    <w:rsid w:val="00EB5DDA"/>
    <w:rsid w:val="00EB73A2"/>
    <w:rsid w:val="00EC0E49"/>
    <w:rsid w:val="00EC7452"/>
    <w:rsid w:val="00ED2EF8"/>
    <w:rsid w:val="00ED564A"/>
    <w:rsid w:val="00EE0131"/>
    <w:rsid w:val="00EE2F21"/>
    <w:rsid w:val="00F026E4"/>
    <w:rsid w:val="00F11170"/>
    <w:rsid w:val="00F155B2"/>
    <w:rsid w:val="00F228A5"/>
    <w:rsid w:val="00F27F3B"/>
    <w:rsid w:val="00F30C64"/>
    <w:rsid w:val="00F32CDB"/>
    <w:rsid w:val="00F52218"/>
    <w:rsid w:val="00F539BC"/>
    <w:rsid w:val="00F53D22"/>
    <w:rsid w:val="00F57C95"/>
    <w:rsid w:val="00F57D27"/>
    <w:rsid w:val="00F6380F"/>
    <w:rsid w:val="00F63A70"/>
    <w:rsid w:val="00F662F1"/>
    <w:rsid w:val="00F84F64"/>
    <w:rsid w:val="00F870DD"/>
    <w:rsid w:val="00F872AA"/>
    <w:rsid w:val="00F95387"/>
    <w:rsid w:val="00FA21D0"/>
    <w:rsid w:val="00FA5F5F"/>
    <w:rsid w:val="00FB23D0"/>
    <w:rsid w:val="00FB6D17"/>
    <w:rsid w:val="00FB730C"/>
    <w:rsid w:val="00FC2695"/>
    <w:rsid w:val="00FC3E03"/>
    <w:rsid w:val="00FC3FC1"/>
    <w:rsid w:val="00FD164A"/>
    <w:rsid w:val="00FD25C8"/>
    <w:rsid w:val="00FE3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|"/>
  <w14:docId w14:val="719D4322"/>
  <w15:docId w15:val="{D8833855-4738-4A7F-A6F2-7DBDE782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  <w:ind w:left="0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0F77FA"/>
    <w:pPr>
      <w:keepNext/>
      <w:numPr>
        <w:ilvl w:val="2"/>
        <w:numId w:val="1"/>
      </w:numPr>
      <w:suppressAutoHyphens/>
      <w:spacing w:before="120" w:after="120" w:line="240" w:lineRule="auto"/>
    </w:pPr>
    <w:rPr>
      <w:rFonts w:ascii="Arial" w:eastAsia="Times New Roman" w:hAnsi="Arial" w:cs="Times New Roman"/>
      <w:b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9E788A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0F77FA"/>
    <w:rPr>
      <w:rFonts w:ascii="Arial" w:eastAsia="Times New Roman" w:hAnsi="Arial" w:cs="Times New Roman"/>
      <w:b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9E788A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252C1A"/>
    <w:pPr>
      <w:numPr>
        <w:ilvl w:val="0"/>
        <w:numId w:val="0"/>
      </w:numPr>
      <w:spacing w:after="0"/>
    </w:pPr>
  </w:style>
  <w:style w:type="character" w:customStyle="1" w:styleId="CETHeadingxxChar">
    <w:name w:val="CET Headingxx Char"/>
    <w:basedOn w:val="CETheadingxCarattere"/>
    <w:link w:val="CETHeadingxx"/>
    <w:rsid w:val="00252C1A"/>
    <w:rPr>
      <w:rFonts w:ascii="Arial" w:eastAsia="Times New Roman" w:hAnsi="Arial" w:cs="Times New Roman"/>
      <w:b/>
      <w:color w:val="C00000"/>
      <w:sz w:val="18"/>
      <w:szCs w:val="20"/>
      <w:lang w:val="en-US"/>
    </w:rPr>
  </w:style>
  <w:style w:type="character" w:customStyle="1" w:styleId="st1">
    <w:name w:val="st1"/>
    <w:basedOn w:val="Carpredefinitoparagrafo"/>
    <w:rsid w:val="00D459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4FFDB-EC6A-4136-BCD3-63BAB26A1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3119</Words>
  <Characters>17780</Characters>
  <Application>Microsoft Office Word</Application>
  <DocSecurity>0</DocSecurity>
  <Lines>148</Lines>
  <Paragraphs>41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20858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raffaella</dc:creator>
  <cp:lastModifiedBy>Sauro</cp:lastModifiedBy>
  <cp:revision>4</cp:revision>
  <cp:lastPrinted>2019-01-29T13:34:00Z</cp:lastPrinted>
  <dcterms:created xsi:type="dcterms:W3CDTF">2019-04-11T13:08:00Z</dcterms:created>
  <dcterms:modified xsi:type="dcterms:W3CDTF">2019-05-12T13:35:00Z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zotero-version="4.0.29.17"&gt;&lt;session id="s8VwuD2U"/&gt;&lt;style id="http://www.zotero.org/styles/chemical-engineering-transactions" hasBibliography="1" bibliographyStyleHasBeenSet="1"/&gt;&lt;prefs&gt;&lt;pref name="fieldType" value="Field"/&gt;&lt;pref na</vt:lpwstr>
  </property>
  <property fmtid="{D5CDD505-2E9C-101B-9397-08002B2CF9AE}" pid="3" name="ZOTERO_PREF_2">
    <vt:lpwstr>me="storeReferences" value="true"/&gt;&lt;pref name="automaticJournalAbbreviations" value=""/&gt;&lt;pref name="noteType" value=""/&gt;&lt;/prefs&gt;&lt;/data&gt;</vt:lpwstr>
  </property>
</Properties>
</file>