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6E4245" w:rsidP="00E978D0">
      <w:pPr>
        <w:pStyle w:val="CETTitle"/>
      </w:pPr>
      <w:r w:rsidRPr="006E4245">
        <w:t>H</w:t>
      </w:r>
      <w:r w:rsidRPr="006E4245">
        <w:rPr>
          <w:vertAlign w:val="subscript"/>
        </w:rPr>
        <w:t>2</w:t>
      </w:r>
      <w:r w:rsidRPr="006E4245">
        <w:t xml:space="preserve"> production over Pt-Ni/CeO</w:t>
      </w:r>
      <w:r w:rsidRPr="006E4245">
        <w:rPr>
          <w:vertAlign w:val="subscript"/>
        </w:rPr>
        <w:t>2</w:t>
      </w:r>
      <w:r w:rsidRPr="006E4245">
        <w:t>-SiO</w:t>
      </w:r>
      <w:r w:rsidRPr="006E4245">
        <w:rPr>
          <w:vertAlign w:val="subscript"/>
        </w:rPr>
        <w:t>2</w:t>
      </w:r>
      <w:r w:rsidRPr="006E4245">
        <w:t xml:space="preserve"> via ethanol reforming in a fluidized bed</w:t>
      </w:r>
    </w:p>
    <w:p w:rsidR="00E978D0" w:rsidRPr="006E4245" w:rsidRDefault="006E4245" w:rsidP="00AB5011">
      <w:pPr>
        <w:pStyle w:val="CETAuthors"/>
        <w:rPr>
          <w:lang w:val="it-IT"/>
        </w:rPr>
      </w:pPr>
      <w:r>
        <w:rPr>
          <w:lang w:val="it-IT"/>
        </w:rPr>
        <w:t>Vincenzo Palma,</w:t>
      </w:r>
      <w:r w:rsidRPr="006E4245">
        <w:rPr>
          <w:lang w:val="it-IT"/>
        </w:rPr>
        <w:t xml:space="preserve"> </w:t>
      </w:r>
      <w:r w:rsidR="00BF4B7B">
        <w:rPr>
          <w:lang w:val="it-IT"/>
        </w:rPr>
        <w:t>Concetta Ruocco*</w:t>
      </w:r>
      <w:r w:rsidR="00BF4B7B" w:rsidRPr="006E4245">
        <w:rPr>
          <w:lang w:val="it-IT"/>
        </w:rPr>
        <w:t>,</w:t>
      </w:r>
      <w:r w:rsidR="00BF4B7B">
        <w:rPr>
          <w:lang w:val="it-IT"/>
        </w:rPr>
        <w:t xml:space="preserve"> </w:t>
      </w:r>
      <w:r w:rsidR="006E3BFC">
        <w:rPr>
          <w:lang w:val="it-IT"/>
        </w:rPr>
        <w:t xml:space="preserve">Marco Martino, </w:t>
      </w:r>
      <w:r w:rsidRPr="006E4245">
        <w:rPr>
          <w:lang w:val="it-IT"/>
        </w:rPr>
        <w:t>Antonio Ricca</w:t>
      </w:r>
    </w:p>
    <w:p w:rsidR="00E978D0" w:rsidRPr="006E4245" w:rsidRDefault="006E4245" w:rsidP="00E978D0">
      <w:pPr>
        <w:pStyle w:val="CETAddress"/>
      </w:pPr>
      <w:r w:rsidRPr="006E4245">
        <w:t>Department of Industrial Engineering, University of Salerno, Via Giovanni Paolo II 132, 84084, Fisciano (SA) Italy</w:t>
      </w:r>
    </w:p>
    <w:p w:rsidR="00E978D0" w:rsidRPr="00B57B36" w:rsidRDefault="006E4245" w:rsidP="00E978D0">
      <w:pPr>
        <w:pStyle w:val="CETemail"/>
      </w:pPr>
      <w:r>
        <w:t>cruocco@unisa.it</w:t>
      </w:r>
    </w:p>
    <w:p w:rsidR="000626A4" w:rsidRPr="000626A4" w:rsidRDefault="000626A4" w:rsidP="000626A4">
      <w:pPr>
        <w:pStyle w:val="CETBodytext"/>
        <w:rPr>
          <w:lang w:val="en-GB"/>
        </w:rPr>
      </w:pPr>
      <w:bookmarkStart w:id="0" w:name="_Hlk495475023"/>
      <w:r w:rsidRPr="000626A4">
        <w:rPr>
          <w:lang w:val="en-GB"/>
        </w:rPr>
        <w:t xml:space="preserve">The aim of the present work is to study the application of a fluidized bed reactor for oxidative steam reforming of ethanol (OESR) over a bimetallic </w:t>
      </w:r>
      <w:r w:rsidR="00300FF2">
        <w:rPr>
          <w:lang w:val="en-GB"/>
        </w:rPr>
        <w:t xml:space="preserve">3wt% </w:t>
      </w:r>
      <w:r w:rsidRPr="000626A4">
        <w:rPr>
          <w:lang w:val="en-GB"/>
        </w:rPr>
        <w:t>Pt-</w:t>
      </w:r>
      <w:r w:rsidR="00300FF2">
        <w:rPr>
          <w:lang w:val="en-GB"/>
        </w:rPr>
        <w:t xml:space="preserve">10wt% </w:t>
      </w:r>
      <w:r w:rsidRPr="000626A4">
        <w:rPr>
          <w:lang w:val="en-GB"/>
        </w:rPr>
        <w:t>Ni/CeO</w:t>
      </w:r>
      <w:r w:rsidRPr="000626A4">
        <w:rPr>
          <w:vertAlign w:val="subscript"/>
          <w:lang w:val="en-GB"/>
        </w:rPr>
        <w:t>2</w:t>
      </w:r>
      <w:r w:rsidRPr="000626A4">
        <w:rPr>
          <w:lang w:val="en-GB"/>
        </w:rPr>
        <w:t>-SiO</w:t>
      </w:r>
      <w:r w:rsidRPr="000626A4">
        <w:rPr>
          <w:vertAlign w:val="subscript"/>
          <w:lang w:val="en-GB"/>
        </w:rPr>
        <w:t>2</w:t>
      </w:r>
      <w:r w:rsidRPr="000626A4">
        <w:rPr>
          <w:lang w:val="en-GB"/>
        </w:rPr>
        <w:t xml:space="preserve"> catalyst. In particular, the effect of cerium salt precursor (nitrate</w:t>
      </w:r>
      <w:r w:rsidR="00300FF2">
        <w:rPr>
          <w:lang w:val="en-GB"/>
        </w:rPr>
        <w:t xml:space="preserve"> (N)</w:t>
      </w:r>
      <w:r w:rsidRPr="000626A4">
        <w:rPr>
          <w:lang w:val="en-GB"/>
        </w:rPr>
        <w:t xml:space="preserve">, ammonium nitrate </w:t>
      </w:r>
      <w:r w:rsidR="00300FF2">
        <w:rPr>
          <w:lang w:val="en-GB"/>
        </w:rPr>
        <w:t xml:space="preserve">(AN) </w:t>
      </w:r>
      <w:r w:rsidRPr="000626A4">
        <w:rPr>
          <w:lang w:val="en-GB"/>
        </w:rPr>
        <w:t>and acetylacetonate</w:t>
      </w:r>
      <w:r w:rsidR="00300FF2">
        <w:rPr>
          <w:lang w:val="en-GB"/>
        </w:rPr>
        <w:t xml:space="preserve"> (AC)</w:t>
      </w:r>
      <w:r w:rsidRPr="000626A4">
        <w:rPr>
          <w:lang w:val="en-GB"/>
        </w:rPr>
        <w:t>) on catalyst activity and stability was investigated. Three catalysts were synthetized. In all cases, the support was composed of a CeO</w:t>
      </w:r>
      <w:r w:rsidRPr="000626A4">
        <w:rPr>
          <w:vertAlign w:val="subscript"/>
          <w:lang w:val="en-GB"/>
        </w:rPr>
        <w:t>2</w:t>
      </w:r>
      <w:r w:rsidRPr="000626A4">
        <w:rPr>
          <w:lang w:val="en-GB"/>
        </w:rPr>
        <w:t>-SiO</w:t>
      </w:r>
      <w:r w:rsidRPr="000626A4">
        <w:rPr>
          <w:vertAlign w:val="subscript"/>
          <w:lang w:val="en-GB"/>
        </w:rPr>
        <w:t>2</w:t>
      </w:r>
      <w:r w:rsidRPr="000626A4">
        <w:rPr>
          <w:lang w:val="en-GB"/>
        </w:rPr>
        <w:t xml:space="preserve"> m</w:t>
      </w:r>
      <w:r>
        <w:rPr>
          <w:lang w:val="en-GB"/>
        </w:rPr>
        <w:t xml:space="preserve">ixed oxide and the </w:t>
      </w:r>
      <w:r w:rsidRPr="000626A4">
        <w:rPr>
          <w:lang w:val="en-GB"/>
        </w:rPr>
        <w:t xml:space="preserve">ceria content for all the catalysts was fixed to 30 wt%. </w:t>
      </w:r>
      <w:r w:rsidR="006E3BFC">
        <w:rPr>
          <w:lang w:val="en-GB"/>
        </w:rPr>
        <w:t>The</w:t>
      </w:r>
      <w:r w:rsidRPr="000626A4">
        <w:rPr>
          <w:lang w:val="en-GB"/>
        </w:rPr>
        <w:t xml:space="preserve"> tests were carried out at a steam to ethanol ratio (f.r.) of 4 and oxygen to ethanol ratio (o.r.) of 0.5; temp</w:t>
      </w:r>
      <w:r w:rsidR="00300FF2">
        <w:rPr>
          <w:lang w:val="en-GB"/>
        </w:rPr>
        <w:t xml:space="preserve">erature was fixed </w:t>
      </w:r>
      <w:r w:rsidR="00073519">
        <w:rPr>
          <w:lang w:val="en-GB"/>
        </w:rPr>
        <w:t>to</w:t>
      </w:r>
      <w:r w:rsidR="00300FF2">
        <w:rPr>
          <w:lang w:val="en-GB"/>
        </w:rPr>
        <w:t xml:space="preserve"> 500°C and </w:t>
      </w:r>
      <w:r w:rsidRPr="000626A4">
        <w:rPr>
          <w:lang w:val="en-GB"/>
        </w:rPr>
        <w:t>the weigh hourly space velocity (WHSV) to 12.3 h</w:t>
      </w:r>
      <w:r w:rsidRPr="00300FF2">
        <w:rPr>
          <w:vertAlign w:val="superscript"/>
          <w:lang w:val="en-GB"/>
        </w:rPr>
        <w:t>-1</w:t>
      </w:r>
      <w:r w:rsidRPr="000626A4">
        <w:rPr>
          <w:lang w:val="en-GB"/>
        </w:rPr>
        <w:t xml:space="preserve">. All the samples displayed a partial deactivation </w:t>
      </w:r>
      <w:r w:rsidR="00073519">
        <w:rPr>
          <w:lang w:val="en-GB"/>
        </w:rPr>
        <w:t xml:space="preserve">with time-on-stream </w:t>
      </w:r>
      <w:r w:rsidRPr="000626A4">
        <w:rPr>
          <w:lang w:val="en-GB"/>
        </w:rPr>
        <w:t xml:space="preserve">and ethanol was completely converted only for few hours. The initial </w:t>
      </w:r>
      <w:r w:rsidR="00073519">
        <w:rPr>
          <w:lang w:val="en-GB"/>
        </w:rPr>
        <w:t>H</w:t>
      </w:r>
      <w:r w:rsidR="00073519" w:rsidRPr="00073519">
        <w:rPr>
          <w:vertAlign w:val="subscript"/>
          <w:lang w:val="en-GB"/>
        </w:rPr>
        <w:t>2</w:t>
      </w:r>
      <w:r w:rsidRPr="000626A4">
        <w:rPr>
          <w:lang w:val="en-GB"/>
        </w:rPr>
        <w:t xml:space="preserve"> yield was very close to the predicted thermodynamic value (41.5%) and a gradual yield lowering was observed over the three catalysts. However, after 80 h of test, all the samples reached a plateau condition, with no more variation in selectivity. It is worthwhile noting that, for the sample </w:t>
      </w:r>
      <w:r w:rsidR="00300FF2">
        <w:rPr>
          <w:lang w:val="en-GB"/>
        </w:rPr>
        <w:t>AC,</w:t>
      </w:r>
      <w:r w:rsidRPr="000626A4">
        <w:rPr>
          <w:lang w:val="en-GB"/>
        </w:rPr>
        <w:t xml:space="preserve"> the final conversion was attested to 75%, while the other two catalysts displayed a similar </w:t>
      </w:r>
      <w:r w:rsidR="00300FF2" w:rsidRPr="000626A4">
        <w:rPr>
          <w:lang w:val="en-GB"/>
        </w:rPr>
        <w:t>behaviour</w:t>
      </w:r>
      <w:r w:rsidRPr="000626A4">
        <w:rPr>
          <w:lang w:val="en-GB"/>
        </w:rPr>
        <w:t xml:space="preserve"> with plateau </w:t>
      </w:r>
      <w:r w:rsidR="00C20E3E">
        <w:rPr>
          <w:lang w:val="en-GB"/>
        </w:rPr>
        <w:t>conversion</w:t>
      </w:r>
      <w:r w:rsidRPr="000626A4">
        <w:rPr>
          <w:lang w:val="en-GB"/>
        </w:rPr>
        <w:t xml:space="preserve"> of almost 60%. In addition, a higher H</w:t>
      </w:r>
      <w:r w:rsidRPr="00C20E3E">
        <w:rPr>
          <w:vertAlign w:val="subscript"/>
          <w:lang w:val="en-GB"/>
        </w:rPr>
        <w:t>2</w:t>
      </w:r>
      <w:r w:rsidRPr="000626A4">
        <w:rPr>
          <w:lang w:val="en-GB"/>
        </w:rPr>
        <w:t xml:space="preserve"> yield (20%) was recorded after </w:t>
      </w:r>
      <w:r w:rsidR="00C20E3E">
        <w:rPr>
          <w:lang w:val="en-GB"/>
        </w:rPr>
        <w:t>100 h of test for the sample AC and the c</w:t>
      </w:r>
      <w:r w:rsidRPr="000626A4">
        <w:rPr>
          <w:lang w:val="en-GB"/>
        </w:rPr>
        <w:t xml:space="preserve">arbon formation rate measured after the test on the </w:t>
      </w:r>
      <w:r w:rsidR="00C20E3E">
        <w:rPr>
          <w:lang w:val="en-GB"/>
        </w:rPr>
        <w:t>latter catalyst</w:t>
      </w:r>
      <w:r w:rsidRPr="000626A4">
        <w:rPr>
          <w:lang w:val="en-GB"/>
        </w:rPr>
        <w:t xml:space="preserve"> was almost 1 half of the values found for the catalysts </w:t>
      </w:r>
      <w:r w:rsidR="00C20E3E">
        <w:rPr>
          <w:lang w:val="en-GB"/>
        </w:rPr>
        <w:t>N</w:t>
      </w:r>
      <w:r w:rsidRPr="000626A4">
        <w:rPr>
          <w:lang w:val="en-GB"/>
        </w:rPr>
        <w:t xml:space="preserve"> and </w:t>
      </w:r>
      <w:r w:rsidR="00C20E3E">
        <w:rPr>
          <w:lang w:val="en-GB"/>
        </w:rPr>
        <w:t>AN</w:t>
      </w:r>
      <w:r w:rsidRPr="000626A4">
        <w:rPr>
          <w:lang w:val="en-GB"/>
        </w:rPr>
        <w:t xml:space="preserve">: </w:t>
      </w:r>
      <w:r w:rsidR="00C20E3E">
        <w:rPr>
          <w:lang w:val="en-GB"/>
        </w:rPr>
        <w:t>i</w:t>
      </w:r>
      <w:r w:rsidR="001B41FD">
        <w:rPr>
          <w:lang w:val="en-GB"/>
        </w:rPr>
        <w:t>n the case of acetyl</w:t>
      </w:r>
      <w:r w:rsidRPr="000626A4">
        <w:rPr>
          <w:lang w:val="en-GB"/>
        </w:rPr>
        <w:t>acetonate, the organic group of the salt probably assures a templanting effect, which protects ceria molecules</w:t>
      </w:r>
      <w:r w:rsidR="00BF4B7B">
        <w:rPr>
          <w:lang w:val="en-GB"/>
        </w:rPr>
        <w:t>, improving their dispersion and increasing catalyst activity towards both reforming and carbon gasification</w:t>
      </w:r>
      <w:r w:rsidR="00600744">
        <w:rPr>
          <w:lang w:val="en-GB"/>
        </w:rPr>
        <w:t xml:space="preserve"> reactions</w:t>
      </w:r>
      <w:r w:rsidRPr="000626A4">
        <w:rPr>
          <w:lang w:val="en-GB"/>
        </w:rPr>
        <w:t>.</w:t>
      </w:r>
    </w:p>
    <w:bookmarkEnd w:id="0"/>
    <w:p w:rsidR="00600535" w:rsidRPr="00B57B36" w:rsidRDefault="00600535" w:rsidP="00600535">
      <w:pPr>
        <w:pStyle w:val="CETHeading1"/>
        <w:rPr>
          <w:lang w:val="en-GB"/>
        </w:rPr>
      </w:pPr>
      <w:r w:rsidRPr="00B57B36">
        <w:rPr>
          <w:lang w:val="en-GB"/>
        </w:rPr>
        <w:t>Introduction</w:t>
      </w:r>
    </w:p>
    <w:p w:rsidR="00214A8D" w:rsidRPr="00F30837" w:rsidRDefault="00045591" w:rsidP="00845479">
      <w:pPr>
        <w:pStyle w:val="CETBodytext"/>
      </w:pPr>
      <w:bookmarkStart w:id="1" w:name="_GoBack"/>
      <w:r w:rsidRPr="00F30837">
        <w:t>Nowadays, almost 96% of the global hydrogen production passes through</w:t>
      </w:r>
      <w:r w:rsidR="00210F66" w:rsidRPr="00F30837">
        <w:t xml:space="preserve"> the conversion of fossil fuels </w:t>
      </w:r>
      <w:r w:rsidRPr="00F30837">
        <w:t xml:space="preserve">resources, thus releasing huge amount of harmful gasses in the atmosphere and leading </w:t>
      </w:r>
      <w:r w:rsidR="00214A8D" w:rsidRPr="00F30837">
        <w:t>to several environmental issues</w:t>
      </w:r>
      <w:r w:rsidR="00646A37" w:rsidRPr="00F30837">
        <w:t xml:space="preserve"> (Di Michele</w:t>
      </w:r>
      <w:r w:rsidRPr="00F30837">
        <w:t xml:space="preserve"> et al.</w:t>
      </w:r>
      <w:r w:rsidR="007D3FC5" w:rsidRPr="00F30837">
        <w:t>, 2019</w:t>
      </w:r>
      <w:r w:rsidRPr="00F30837">
        <w:t>)</w:t>
      </w:r>
      <w:r w:rsidR="002D2F57" w:rsidRPr="00F30837">
        <w:t>. A sustainable route f</w:t>
      </w:r>
      <w:r w:rsidR="001B41FD" w:rsidRPr="00F30837">
        <w:t>or hydrogen generation having reduced</w:t>
      </w:r>
      <w:r w:rsidR="002D2F57" w:rsidRPr="00F30837">
        <w:t xml:space="preserve"> effect on the global warming </w:t>
      </w:r>
      <w:r w:rsidR="001B41FD" w:rsidRPr="00F30837">
        <w:t>can be</w:t>
      </w:r>
      <w:r w:rsidR="002D2F57" w:rsidRPr="00F30837">
        <w:t xml:space="preserve"> provided by the conversi</w:t>
      </w:r>
      <w:r w:rsidR="008A758C" w:rsidRPr="00F30837">
        <w:t xml:space="preserve">on of biomass-derived fuels, which </w:t>
      </w:r>
      <w:r w:rsidR="001B41FD" w:rsidRPr="00F30837">
        <w:t>are expected to assure</w:t>
      </w:r>
      <w:r w:rsidR="008A758C" w:rsidRPr="00F30837">
        <w:t xml:space="preserve"> CO</w:t>
      </w:r>
      <w:r w:rsidR="008A758C" w:rsidRPr="00F30837">
        <w:rPr>
          <w:vertAlign w:val="subscript"/>
        </w:rPr>
        <w:t>2</w:t>
      </w:r>
      <w:r w:rsidR="008A758C" w:rsidRPr="00F30837">
        <w:t xml:space="preserve"> neutrality with respect to the greenhouse issue. For example, bioethanol is an available and efficient fuel with well-developed production and distribution infrast</w:t>
      </w:r>
      <w:r w:rsidR="006A273B" w:rsidRPr="00F30837">
        <w:t>ructures in different countries</w:t>
      </w:r>
      <w:r w:rsidR="000C4D97" w:rsidRPr="00F30837">
        <w:t xml:space="preserve"> </w:t>
      </w:r>
      <w:r w:rsidR="00214A8D" w:rsidRPr="00F30837">
        <w:t xml:space="preserve">worldwide </w:t>
      </w:r>
      <w:r w:rsidR="000C4D97" w:rsidRPr="00F30837">
        <w:t>(Rodrigues S.T. et al., 2019)</w:t>
      </w:r>
      <w:r w:rsidR="006A273B" w:rsidRPr="00F30837">
        <w:t xml:space="preserve">. </w:t>
      </w:r>
      <w:r w:rsidR="00845479" w:rsidRPr="00F30837">
        <w:t xml:space="preserve">In addition, bioethanol </w:t>
      </w:r>
      <w:r w:rsidR="006E3BFC" w:rsidRPr="00F30837">
        <w:t xml:space="preserve">is </w:t>
      </w:r>
      <w:r w:rsidR="007D3FC5" w:rsidRPr="00F30837">
        <w:t xml:space="preserve">a </w:t>
      </w:r>
      <w:r w:rsidR="00845479" w:rsidRPr="00F30837">
        <w:t>good material for hydrogen production since it is easy to store</w:t>
      </w:r>
      <w:r w:rsidR="00214A8D" w:rsidRPr="00F30837">
        <w:t>, handle</w:t>
      </w:r>
      <w:r w:rsidR="00845479" w:rsidRPr="00F30837">
        <w:t xml:space="preserve"> and transport, and unlike methanol, bioethanol is non-toxic</w:t>
      </w:r>
      <w:r w:rsidR="00214A8D" w:rsidRPr="00F30837">
        <w:t xml:space="preserve">. </w:t>
      </w:r>
    </w:p>
    <w:p w:rsidR="00317137" w:rsidRPr="00F30837" w:rsidRDefault="000C4D97" w:rsidP="00845479">
      <w:pPr>
        <w:pStyle w:val="CETBodytext"/>
      </w:pPr>
      <w:r w:rsidRPr="00F30837">
        <w:t xml:space="preserve">Ethanol produced via biomass fermentation has a high water content (water/ethanol ratio of 13) and is a suitable feedstock for </w:t>
      </w:r>
      <w:r w:rsidR="007D3FC5" w:rsidRPr="00F30837">
        <w:t xml:space="preserve">the </w:t>
      </w:r>
      <w:r w:rsidRPr="00F30837">
        <w:t>reform</w:t>
      </w:r>
      <w:r w:rsidR="00646A37" w:rsidRPr="00F30837">
        <w:t>ing process (Da Costa-Serra</w:t>
      </w:r>
      <w:r w:rsidRPr="00F30837">
        <w:t xml:space="preserve"> et al</w:t>
      </w:r>
      <w:r w:rsidR="00646A37" w:rsidRPr="00F30837">
        <w:t>.</w:t>
      </w:r>
      <w:r w:rsidRPr="00F30837">
        <w:t>, 2018</w:t>
      </w:r>
      <w:r w:rsidR="00A4096D" w:rsidRPr="00F30837">
        <w:t>)</w:t>
      </w:r>
      <w:r w:rsidRPr="00F30837">
        <w:t xml:space="preserve">. </w:t>
      </w:r>
      <w:r w:rsidR="00A4096D" w:rsidRPr="00F30837">
        <w:t xml:space="preserve">However, the ethanol steam reforming mechanism is very complex and parallel reactions </w:t>
      </w:r>
      <w:r w:rsidR="00214A8D" w:rsidRPr="00F30837">
        <w:t xml:space="preserve">(involving the formation of secondary products) can </w:t>
      </w:r>
      <w:r w:rsidR="000D5109" w:rsidRPr="00F30837">
        <w:t>negatively affect</w:t>
      </w:r>
      <w:r w:rsidR="00A4096D" w:rsidRPr="00F30837">
        <w:t xml:space="preserve"> the overall hydrogen yield</w:t>
      </w:r>
      <w:r w:rsidR="003A78BF" w:rsidRPr="00F30837">
        <w:t>; unwanted pathways responsible for carbon formation and catalyst deactivation also occur</w:t>
      </w:r>
      <w:r w:rsidR="00A4096D" w:rsidRPr="00F30837">
        <w:t xml:space="preserve">. Moreover, the steam reforming pathway is endothermic and </w:t>
      </w:r>
      <w:r w:rsidR="003A78BF" w:rsidRPr="00F30837">
        <w:t>the impact of operative costs on the global efficiency of the process can become significant. Therefore, the oxidative reforming route was proposed as an interesting alternative to overcome the typical limitation of ethanol steam reforming: the addition of proper oxygen amounts, in fact, allows auto-thermal operations and an easier gasification of coke deposits (Palma et al., 2016)</w:t>
      </w:r>
      <w:r w:rsidR="00FE2191" w:rsidRPr="00F30837">
        <w:t xml:space="preserve"> compared to the steam reforming case</w:t>
      </w:r>
      <w:r w:rsidR="003A78BF" w:rsidRPr="00F30837">
        <w:t>.</w:t>
      </w:r>
      <w:r w:rsidR="002C7F23" w:rsidRPr="00F30837">
        <w:t xml:space="preserve"> </w:t>
      </w:r>
    </w:p>
    <w:p w:rsidR="002C7F23" w:rsidRPr="00F30837" w:rsidRDefault="002C7F23" w:rsidP="00845479">
      <w:pPr>
        <w:pStyle w:val="CETBodytext"/>
      </w:pPr>
      <w:r w:rsidRPr="00F30837">
        <w:t>The performances of the reforming process are also affected by the chosen reactor configuration. It was proved (Montero et al. 2014) that the employment of fluidized bed reactors improve</w:t>
      </w:r>
      <w:r w:rsidR="00210F66" w:rsidRPr="00F30837">
        <w:t>s</w:t>
      </w:r>
      <w:r w:rsidRPr="00F30837">
        <w:t xml:space="preserve"> the rate of heat and mass transfer, </w:t>
      </w:r>
      <w:r w:rsidRPr="00F30837">
        <w:lastRenderedPageBreak/>
        <w:t>assuring high stability during operation</w:t>
      </w:r>
      <w:r w:rsidR="00EE2248" w:rsidRPr="00F30837">
        <w:t xml:space="preserve">; a better catalytic bed uniformity with respect to the packed bed and </w:t>
      </w:r>
      <w:r w:rsidR="000B1464" w:rsidRPr="00F30837">
        <w:t xml:space="preserve">a virtual elimination of diffusional limitations can </w:t>
      </w:r>
      <w:r w:rsidR="007D3FC5" w:rsidRPr="00F30837">
        <w:t xml:space="preserve">also </w:t>
      </w:r>
      <w:r w:rsidR="000B1464" w:rsidRPr="00F30837">
        <w:t>be reached.</w:t>
      </w:r>
      <w:r w:rsidRPr="00F30837">
        <w:t xml:space="preserve"> Moreover, under oxidative steam reforming conditions, the catalyst particles recirculation between oxidizing and reducing zones assures an easier removal</w:t>
      </w:r>
      <w:r w:rsidR="000B1464" w:rsidRPr="00F30837">
        <w:t xml:space="preserve"> of carbonaceous deposits</w:t>
      </w:r>
      <w:r w:rsidRPr="00F30837">
        <w:t>; the level of catalyst reducibility also remain considerable, thus enhancing the reactants conversion.</w:t>
      </w:r>
    </w:p>
    <w:p w:rsidR="00210F66" w:rsidRPr="00F30837" w:rsidRDefault="00210F66" w:rsidP="00210F66">
      <w:pPr>
        <w:pStyle w:val="CETBodytext"/>
      </w:pPr>
      <w:r w:rsidRPr="00F30837">
        <w:t>Different catalytic systems have been investigated for oxidative reforming of ethanol</w:t>
      </w:r>
      <w:r w:rsidR="0090293D" w:rsidRPr="00F30837">
        <w:t xml:space="preserve"> (OESR)</w:t>
      </w:r>
      <w:r w:rsidRPr="00F30837">
        <w:t>: Ni, Co, Pt;</w:t>
      </w:r>
      <w:r w:rsidR="00DF0C30" w:rsidRPr="00F30837">
        <w:t xml:space="preserve"> Pd,</w:t>
      </w:r>
      <w:r w:rsidRPr="00F30837">
        <w:t xml:space="preserve"> </w:t>
      </w:r>
      <w:r w:rsidR="00DF0C30" w:rsidRPr="00F30837">
        <w:t xml:space="preserve">Rh, Ir, </w:t>
      </w:r>
      <w:r w:rsidRPr="00F30837">
        <w:t>Ru are the most common active species while Al</w:t>
      </w:r>
      <w:r w:rsidRPr="00F30837">
        <w:rPr>
          <w:vertAlign w:val="subscript"/>
        </w:rPr>
        <w:t>2</w:t>
      </w:r>
      <w:r w:rsidRPr="00F30837">
        <w:t>O</w:t>
      </w:r>
      <w:r w:rsidRPr="00F30837">
        <w:rPr>
          <w:vertAlign w:val="subscript"/>
        </w:rPr>
        <w:t>3</w:t>
      </w:r>
      <w:r w:rsidRPr="00F30837">
        <w:t>, SiO</w:t>
      </w:r>
      <w:r w:rsidRPr="00F30837">
        <w:rPr>
          <w:vertAlign w:val="subscript"/>
        </w:rPr>
        <w:t>2</w:t>
      </w:r>
      <w:r w:rsidRPr="00F30837">
        <w:t>, CeO</w:t>
      </w:r>
      <w:r w:rsidRPr="00F30837">
        <w:rPr>
          <w:vertAlign w:val="subscript"/>
        </w:rPr>
        <w:t>2</w:t>
      </w:r>
      <w:r w:rsidRPr="00F30837">
        <w:t xml:space="preserve"> and CeO</w:t>
      </w:r>
      <w:r w:rsidRPr="00F30837">
        <w:rPr>
          <w:vertAlign w:val="subscript"/>
        </w:rPr>
        <w:t>2</w:t>
      </w:r>
      <w:r w:rsidRPr="00F30837">
        <w:t>-ZrO</w:t>
      </w:r>
      <w:r w:rsidRPr="00F30837">
        <w:rPr>
          <w:vertAlign w:val="subscript"/>
        </w:rPr>
        <w:t>2</w:t>
      </w:r>
      <w:r w:rsidRPr="00F30837">
        <w:t xml:space="preserve"> </w:t>
      </w:r>
      <w:r w:rsidR="00DF0C30" w:rsidRPr="00F30837">
        <w:t>are often selected as supports (Baruah et al., 2015)</w:t>
      </w:r>
      <w:r w:rsidRPr="00F30837">
        <w:t xml:space="preserve">. </w:t>
      </w:r>
      <w:r w:rsidR="0090293D" w:rsidRPr="00F30837">
        <w:t>The interesting performances of a bimetallic Pt-Ni/CeO</w:t>
      </w:r>
      <w:r w:rsidR="0090293D" w:rsidRPr="00F30837">
        <w:rPr>
          <w:vertAlign w:val="subscript"/>
        </w:rPr>
        <w:t>2</w:t>
      </w:r>
      <w:r w:rsidR="0090293D" w:rsidRPr="00F30837">
        <w:t>-SiO</w:t>
      </w:r>
      <w:r w:rsidR="0090293D" w:rsidRPr="00F30837">
        <w:rPr>
          <w:vertAlign w:val="subscript"/>
        </w:rPr>
        <w:t>2</w:t>
      </w:r>
      <w:r w:rsidR="0090293D" w:rsidRPr="00F30837">
        <w:t xml:space="preserve"> </w:t>
      </w:r>
      <w:r w:rsidR="000A499D" w:rsidRPr="00F30837">
        <w:t xml:space="preserve">catalyst </w:t>
      </w:r>
      <w:r w:rsidR="0090293D" w:rsidRPr="00F30837">
        <w:t>for OESR in a fluidized bed reactor</w:t>
      </w:r>
      <w:r w:rsidR="000A499D" w:rsidRPr="00F30837">
        <w:t>, which assured very low coke selectivity,</w:t>
      </w:r>
      <w:r w:rsidR="0090293D" w:rsidRPr="00F30837">
        <w:t xml:space="preserve"> </w:t>
      </w:r>
      <w:r w:rsidR="000A499D" w:rsidRPr="00F30837">
        <w:t>were pre</w:t>
      </w:r>
      <w:r w:rsidR="00646A37" w:rsidRPr="00F30837">
        <w:t>viously described (Viviente</w:t>
      </w:r>
      <w:r w:rsidR="000A499D" w:rsidRPr="00F30837">
        <w:t xml:space="preserve"> et al., 2017). However, the dispersion of CeO</w:t>
      </w:r>
      <w:r w:rsidR="000A499D" w:rsidRPr="00F30837">
        <w:rPr>
          <w:vertAlign w:val="subscript"/>
        </w:rPr>
        <w:t>2</w:t>
      </w:r>
      <w:r w:rsidR="000A499D" w:rsidRPr="00F30837">
        <w:t xml:space="preserve"> on the silica support can strongly affect catalyst activity and stability. Therefore, in order to investigate the latter aspect, three different ceria precursors (nitrate, ammonium nitrate and acetylacetonate) were employed for the preparation of the bimetallic catalyst and the effect of CeO</w:t>
      </w:r>
      <w:r w:rsidR="000A499D" w:rsidRPr="00F30837">
        <w:rPr>
          <w:vertAlign w:val="subscript"/>
        </w:rPr>
        <w:t>2</w:t>
      </w:r>
      <w:r w:rsidR="000A499D" w:rsidRPr="00F30837">
        <w:t xml:space="preserve"> salt precursor on the performances of the </w:t>
      </w:r>
      <w:r w:rsidR="007D3FC5" w:rsidRPr="00F30837">
        <w:t>different samples</w:t>
      </w:r>
      <w:r w:rsidR="000A499D" w:rsidRPr="00F30837">
        <w:t xml:space="preserve"> was studied.</w:t>
      </w:r>
    </w:p>
    <w:p w:rsidR="00600535" w:rsidRPr="00F30837" w:rsidRDefault="000B1464" w:rsidP="00600535">
      <w:pPr>
        <w:pStyle w:val="CETHeading1"/>
        <w:tabs>
          <w:tab w:val="right" w:pos="7100"/>
        </w:tabs>
        <w:jc w:val="both"/>
        <w:rPr>
          <w:lang w:val="en-GB"/>
        </w:rPr>
      </w:pPr>
      <w:r w:rsidRPr="00F30837">
        <w:rPr>
          <w:lang w:val="en-GB"/>
        </w:rPr>
        <w:t>Experimental</w:t>
      </w:r>
    </w:p>
    <w:p w:rsidR="00600535" w:rsidRPr="00F30837" w:rsidRDefault="000B1464" w:rsidP="00FA5F5F">
      <w:pPr>
        <w:pStyle w:val="CETheadingx"/>
      </w:pPr>
      <w:r w:rsidRPr="00F30837">
        <w:t>Catalyst preparation and characterization</w:t>
      </w:r>
    </w:p>
    <w:p w:rsidR="000B1464" w:rsidRPr="00F30837" w:rsidRDefault="000B1464" w:rsidP="000B1464">
      <w:pPr>
        <w:pStyle w:val="CETBodytext"/>
      </w:pPr>
      <w:r w:rsidRPr="00F30837">
        <w:t>3wt% Pt-10wt% Ni/30wt% CeO</w:t>
      </w:r>
      <w:r w:rsidRPr="00F30837">
        <w:rPr>
          <w:vertAlign w:val="subscript"/>
        </w:rPr>
        <w:t>2</w:t>
      </w:r>
      <w:r w:rsidRPr="00F30837">
        <w:t>-SiO</w:t>
      </w:r>
      <w:r w:rsidRPr="00F30837">
        <w:rPr>
          <w:vertAlign w:val="subscript"/>
        </w:rPr>
        <w:t>2</w:t>
      </w:r>
      <w:r w:rsidRPr="00F30837">
        <w:t xml:space="preserve"> catalyst from different CeO</w:t>
      </w:r>
      <w:r w:rsidRPr="00F30837">
        <w:rPr>
          <w:vertAlign w:val="subscript"/>
        </w:rPr>
        <w:t>2</w:t>
      </w:r>
      <w:r w:rsidRPr="00F30837">
        <w:t xml:space="preserve"> precursors was prepared as follows. SiO</w:t>
      </w:r>
      <w:r w:rsidRPr="00F30837">
        <w:rPr>
          <w:vertAlign w:val="subscript"/>
        </w:rPr>
        <w:t>2</w:t>
      </w:r>
      <w:r w:rsidRPr="00F30837">
        <w:t xml:space="preserve"> gel (90-115 </w:t>
      </w:r>
      <w:r w:rsidRPr="00F30837">
        <w:rPr>
          <w:rFonts w:cs="Arial"/>
        </w:rPr>
        <w:t>µ</w:t>
      </w:r>
      <w:r w:rsidRPr="00F30837">
        <w:t>m, Sigma Aldrich) was calcined at 600°C for 3 h (heating rate of 10°C</w:t>
      </w:r>
      <w:r w:rsidRPr="00F30837">
        <w:rPr>
          <w:rFonts w:cs="Arial"/>
        </w:rPr>
        <w:t>·</w:t>
      </w:r>
      <w:r w:rsidRPr="00F30837">
        <w:t>min</w:t>
      </w:r>
      <w:r w:rsidRPr="00F30837">
        <w:rPr>
          <w:vertAlign w:val="superscript"/>
        </w:rPr>
        <w:t>-1</w:t>
      </w:r>
      <w:r w:rsidRPr="00F30837">
        <w:t>) and added to the solutions of the corresponding ceria salt precursors. In the case of cerium nitrate hexahydrate and cerium ammonium nitrate tetrahydrate (supplied by Strem Chemicals), the required amount of the salt was dissolved in distilled  water; then, calcined SiO</w:t>
      </w:r>
      <w:r w:rsidRPr="00F30837">
        <w:rPr>
          <w:vertAlign w:val="subscript"/>
        </w:rPr>
        <w:t>2</w:t>
      </w:r>
      <w:r w:rsidRPr="00F30837">
        <w:t xml:space="preserve"> was added to the solution and impregnation was carried out at 80°C for two hours. Thereafter, drying at 120°C for 12 h and calcination at the same conditions reported for the SiO</w:t>
      </w:r>
      <w:r w:rsidRPr="00F30837">
        <w:rPr>
          <w:vertAlign w:val="subscript"/>
        </w:rPr>
        <w:t>2</w:t>
      </w:r>
      <w:r w:rsidRPr="00F30837">
        <w:t xml:space="preserve"> support occurred. For the dissolution of cerium acetylacetonate hydrate (Sigma-Aldrich), a solution of 0.6/1 acetic acid/methanol (Sigma-Aldrich) was prepared and the impregnation-drying-calcination procedure was carried out as reported above. Afterwards, the sequential impregnation of active species (nickel before platinum) was carried out starting from nickel nitrate hexahydrate and platinum chloride (both provided by Strem Chemicals). The loading of metals </w:t>
      </w:r>
      <w:r w:rsidR="00672D20" w:rsidRPr="00F30837">
        <w:t>as well as</w:t>
      </w:r>
      <w:r w:rsidRPr="00F30837">
        <w:t xml:space="preserve"> the impregnation order have been investigated in a previous work (Palma V. et al., 2015).</w:t>
      </w:r>
      <w:r w:rsidR="003C1889" w:rsidRPr="00F30837">
        <w:t xml:space="preserve"> The catalytic Pt-N/CeO</w:t>
      </w:r>
      <w:r w:rsidR="003C1889" w:rsidRPr="00F30837">
        <w:rPr>
          <w:vertAlign w:val="subscript"/>
        </w:rPr>
        <w:t>2</w:t>
      </w:r>
      <w:r w:rsidR="003C1889" w:rsidRPr="00F30837">
        <w:t>-SiO</w:t>
      </w:r>
      <w:r w:rsidR="003C1889" w:rsidRPr="00F30837">
        <w:rPr>
          <w:vertAlign w:val="subscript"/>
        </w:rPr>
        <w:t>2</w:t>
      </w:r>
      <w:r w:rsidR="003C1889" w:rsidRPr="00F30837">
        <w:t xml:space="preserve"> samples were denoted as N, AN and AC, respectively, </w:t>
      </w:r>
      <w:r w:rsidR="000F021D" w:rsidRPr="00F30837">
        <w:t>based on</w:t>
      </w:r>
      <w:r w:rsidR="003C1889" w:rsidRPr="00F30837">
        <w:t xml:space="preserve"> the selected salt precursor (</w:t>
      </w:r>
      <w:r w:rsidR="003C1889" w:rsidRPr="00F30837">
        <w:rPr>
          <w:lang w:val="en-GB"/>
        </w:rPr>
        <w:t>nitrate, ammonium nitrate and acetylacetonate).</w:t>
      </w:r>
    </w:p>
    <w:p w:rsidR="00672D20" w:rsidRPr="00F30837" w:rsidRDefault="00672D20" w:rsidP="000B1464">
      <w:pPr>
        <w:pStyle w:val="CETBodytext"/>
      </w:pPr>
      <w:r w:rsidRPr="00F30837">
        <w:t>The physiochemical properties of the prepared catalysts was studied by surface area measurements (BET method), X-ray diffraction analysis (XRD) and Temperature programmed reduction (TPR) measurements.</w:t>
      </w:r>
    </w:p>
    <w:p w:rsidR="00672D20" w:rsidRPr="00F30837" w:rsidRDefault="00672D20" w:rsidP="009C7D47">
      <w:pPr>
        <w:pStyle w:val="CETBodytext"/>
      </w:pPr>
      <w:r w:rsidRPr="00F30837">
        <w:t>BET surface area</w:t>
      </w:r>
      <w:r w:rsidR="000F021D" w:rsidRPr="00F30837">
        <w:t>s</w:t>
      </w:r>
      <w:r w:rsidRPr="00F30837">
        <w:t xml:space="preserve"> w</w:t>
      </w:r>
      <w:r w:rsidR="000F021D" w:rsidRPr="00F30837">
        <w:t>ere</w:t>
      </w:r>
      <w:r w:rsidRPr="00F30837">
        <w:t xml:space="preserve"> measured by nitrogen adsorption-desorption </w:t>
      </w:r>
      <w:r w:rsidR="009C7D47" w:rsidRPr="00F30837">
        <w:t>isotherms using a Sorptometer 1040 “Kelvin” by Costech Analytical Tecnologies</w:t>
      </w:r>
      <w:r w:rsidRPr="00F30837">
        <w:t>. Before the measurement, samples were heated at 150°C for 1 h under vacuum.</w:t>
      </w:r>
    </w:p>
    <w:p w:rsidR="009C7D47" w:rsidRPr="00F30837" w:rsidRDefault="009C7D47" w:rsidP="009C7D47">
      <w:pPr>
        <w:pStyle w:val="CETBodytext"/>
      </w:pPr>
      <w:r w:rsidRPr="00F30837">
        <w:t>X-ray power diffraction patterns were recorded using a D-8 Advance Bruker WAXRD diffractometer. Data were acquired over the 2θ range of 20° to 80° and the Scherrer Equation was used to estimate the average crystallite size of CeO</w:t>
      </w:r>
      <w:r w:rsidRPr="00F30837">
        <w:rPr>
          <w:vertAlign w:val="subscript"/>
        </w:rPr>
        <w:t>2</w:t>
      </w:r>
      <w:r w:rsidRPr="00F30837">
        <w:t xml:space="preserve"> and NiO particles.</w:t>
      </w:r>
    </w:p>
    <w:p w:rsidR="009C7D47" w:rsidRPr="00F30837" w:rsidRDefault="009C7D47" w:rsidP="009C7D47">
      <w:pPr>
        <w:pStyle w:val="CETBodytext"/>
      </w:pPr>
      <w:r w:rsidRPr="00F30837">
        <w:t>Hydrogen temperature programmed reduction (H</w:t>
      </w:r>
      <w:r w:rsidRPr="00F30837">
        <w:rPr>
          <w:vertAlign w:val="subscript"/>
        </w:rPr>
        <w:t>2</w:t>
      </w:r>
      <w:r w:rsidRPr="00F30837">
        <w:t xml:space="preserve">-TPR) of </w:t>
      </w:r>
      <w:r w:rsidR="000F021D" w:rsidRPr="00F30837">
        <w:t xml:space="preserve">the </w:t>
      </w:r>
      <w:r w:rsidRPr="00F30837">
        <w:t>samples was conducted in the laboratory apparatus described in Par. 2.2. The catalysts were treated by a 5%H</w:t>
      </w:r>
      <w:r w:rsidRPr="00F30837">
        <w:rPr>
          <w:vertAlign w:val="subscript"/>
        </w:rPr>
        <w:t>2</w:t>
      </w:r>
      <w:r w:rsidRPr="00F30837">
        <w:t>/N</w:t>
      </w:r>
      <w:r w:rsidRPr="00F30837">
        <w:rPr>
          <w:vertAlign w:val="subscript"/>
        </w:rPr>
        <w:t>2</w:t>
      </w:r>
      <w:r w:rsidRPr="00F30837">
        <w:t xml:space="preserve"> stream </w:t>
      </w:r>
      <w:r w:rsidR="00424AB1" w:rsidRPr="00F30837">
        <w:t>and</w:t>
      </w:r>
      <w:r w:rsidRPr="00F30837">
        <w:t xml:space="preserve"> heated to </w:t>
      </w:r>
      <w:r w:rsidR="00424AB1" w:rsidRPr="00F30837">
        <w:t>700</w:t>
      </w:r>
      <w:r w:rsidRPr="00F30837">
        <w:t xml:space="preserve"> </w:t>
      </w:r>
      <w:r w:rsidR="00424AB1" w:rsidRPr="00F30837">
        <w:t xml:space="preserve">°C </w:t>
      </w:r>
      <w:r w:rsidRPr="00F30837">
        <w:t xml:space="preserve">at a rate of 10 </w:t>
      </w:r>
      <w:r w:rsidR="00424AB1" w:rsidRPr="00F30837">
        <w:t>°C</w:t>
      </w:r>
      <w:r w:rsidR="00424AB1" w:rsidRPr="00F30837">
        <w:rPr>
          <w:rFonts w:cs="Arial"/>
        </w:rPr>
        <w:t>·</w:t>
      </w:r>
      <w:r w:rsidRPr="00F30837">
        <w:t>min</w:t>
      </w:r>
      <w:r w:rsidR="00424AB1" w:rsidRPr="00F30837">
        <w:rPr>
          <w:vertAlign w:val="superscript"/>
        </w:rPr>
        <w:t>-1</w:t>
      </w:r>
      <w:r w:rsidRPr="00F30837">
        <w:t>.</w:t>
      </w:r>
    </w:p>
    <w:p w:rsidR="002B144C" w:rsidRPr="00F30837" w:rsidRDefault="002B144C" w:rsidP="002B144C">
      <w:pPr>
        <w:pStyle w:val="CETBodytext"/>
      </w:pPr>
      <w:r w:rsidRPr="00F30837">
        <w:t>The spent catalysts after stability tests were characterized by means of Q600 thermo</w:t>
      </w:r>
      <w:r w:rsidR="00627F4B" w:rsidRPr="00F30837">
        <w:t>-</w:t>
      </w:r>
      <w:r w:rsidRPr="00F30837">
        <w:t xml:space="preserve">gravimetric </w:t>
      </w:r>
      <w:r w:rsidR="00627F4B" w:rsidRPr="00F30837">
        <w:t>analyzer</w:t>
      </w:r>
      <w:r w:rsidRPr="00F30837">
        <w:t xml:space="preserve"> (TA Instrument), devoted to the estimation of carbon content. The catalysts were heated from room temperature to 1000°C (heating rate of 10°C</w:t>
      </w:r>
      <w:r w:rsidRPr="00F30837">
        <w:rPr>
          <w:rFonts w:cs="Arial"/>
        </w:rPr>
        <w:t>·</w:t>
      </w:r>
      <w:r w:rsidRPr="00F30837">
        <w:t>min</w:t>
      </w:r>
      <w:r w:rsidRPr="00F30837">
        <w:rPr>
          <w:vertAlign w:val="superscript"/>
        </w:rPr>
        <w:t>-1</w:t>
      </w:r>
      <w:r w:rsidRPr="00F30837">
        <w:t>).</w:t>
      </w:r>
    </w:p>
    <w:p w:rsidR="00600535" w:rsidRPr="00F30837" w:rsidRDefault="000B1464" w:rsidP="00FA5F5F">
      <w:pPr>
        <w:pStyle w:val="CETheadingx"/>
      </w:pPr>
      <w:r w:rsidRPr="00F30837">
        <w:t>Laboratory Apparatus and Procedure</w:t>
      </w:r>
    </w:p>
    <w:p w:rsidR="003C1889" w:rsidRPr="00F30837" w:rsidRDefault="00E90320" w:rsidP="00B54C60">
      <w:pPr>
        <w:pStyle w:val="CETBodytext"/>
        <w:spacing w:after="240"/>
        <w:rPr>
          <w:lang w:val="en-GB"/>
        </w:rPr>
      </w:pPr>
      <w:r w:rsidRPr="00F30837">
        <w:rPr>
          <w:lang w:val="en-GB"/>
        </w:rPr>
        <w:t>Oxidative steam reforming of ethanol was conducted in a fluidized bed reactor at ambient pressure. Prior to the reaction, 0.83 g of catalyst was loaded and treated under a reducing stream, as reported above. Then, the water/ethanol solution (molar ratio of ethanol to water 1:4)</w:t>
      </w:r>
      <w:r w:rsidR="002A5305" w:rsidRPr="00F30837">
        <w:rPr>
          <w:lang w:val="en-GB"/>
        </w:rPr>
        <w:t>, stored in a tank under nitrogen pressure,</w:t>
      </w:r>
      <w:r w:rsidRPr="00F30837">
        <w:rPr>
          <w:lang w:val="en-GB"/>
        </w:rPr>
        <w:t xml:space="preserve"> was fed at a rate of 26.1 g</w:t>
      </w:r>
      <w:r w:rsidRPr="00F30837">
        <w:rPr>
          <w:rFonts w:cs="Arial"/>
          <w:lang w:val="en-GB"/>
        </w:rPr>
        <w:t>·</w:t>
      </w:r>
      <w:r w:rsidRPr="00F30837">
        <w:rPr>
          <w:lang w:val="en-GB"/>
        </w:rPr>
        <w:t>h</w:t>
      </w:r>
      <w:r w:rsidRPr="00F30837">
        <w:rPr>
          <w:vertAlign w:val="superscript"/>
          <w:lang w:val="en-GB"/>
        </w:rPr>
        <w:t>-1</w:t>
      </w:r>
      <w:r w:rsidRPr="00F30837">
        <w:rPr>
          <w:lang w:val="en-GB"/>
        </w:rPr>
        <w:t xml:space="preserve"> by means of a mass flow controllers for</w:t>
      </w:r>
      <w:r w:rsidR="002A5305" w:rsidRPr="00F30837">
        <w:rPr>
          <w:lang w:val="en-GB"/>
        </w:rPr>
        <w:t xml:space="preserve"> liquids (supplied by Bronkhorst High-Tech</w:t>
      </w:r>
      <w:r w:rsidRPr="00F30837">
        <w:rPr>
          <w:lang w:val="en-GB"/>
        </w:rPr>
        <w:t>). After vaporization at 200°C, the gas mixture of H</w:t>
      </w:r>
      <w:r w:rsidRPr="00F30837">
        <w:rPr>
          <w:vertAlign w:val="subscript"/>
          <w:lang w:val="en-GB"/>
        </w:rPr>
        <w:t>2</w:t>
      </w:r>
      <w:r w:rsidRPr="00F30837">
        <w:rPr>
          <w:lang w:val="en-GB"/>
        </w:rPr>
        <w:t>O, C</w:t>
      </w:r>
      <w:r w:rsidRPr="00F30837">
        <w:rPr>
          <w:vertAlign w:val="subscript"/>
          <w:lang w:val="en-GB"/>
        </w:rPr>
        <w:t>2</w:t>
      </w:r>
      <w:r w:rsidRPr="00F30837">
        <w:rPr>
          <w:lang w:val="en-GB"/>
        </w:rPr>
        <w:t>H</w:t>
      </w:r>
      <w:r w:rsidRPr="00F30837">
        <w:rPr>
          <w:vertAlign w:val="subscript"/>
          <w:lang w:val="en-GB"/>
        </w:rPr>
        <w:t>5</w:t>
      </w:r>
      <w:r w:rsidRPr="00F30837">
        <w:rPr>
          <w:lang w:val="en-GB"/>
        </w:rPr>
        <w:t xml:space="preserve">OH and </w:t>
      </w:r>
      <w:r w:rsidR="002B144C" w:rsidRPr="00F30837">
        <w:rPr>
          <w:lang w:val="en-GB"/>
        </w:rPr>
        <w:t>N</w:t>
      </w:r>
      <w:r w:rsidR="002B144C" w:rsidRPr="00F30837">
        <w:rPr>
          <w:vertAlign w:val="subscript"/>
          <w:lang w:val="en-GB"/>
        </w:rPr>
        <w:t>2</w:t>
      </w:r>
      <w:r w:rsidR="002B144C" w:rsidRPr="00F30837">
        <w:rPr>
          <w:lang w:val="en-GB"/>
        </w:rPr>
        <w:t xml:space="preserve"> was passed through the catalytic bed; at the same tim</w:t>
      </w:r>
      <w:r w:rsidR="002A5305" w:rsidRPr="00F30837">
        <w:rPr>
          <w:lang w:val="en-GB"/>
        </w:rPr>
        <w:t xml:space="preserve">e, an air stream resulting in an oxygen </w:t>
      </w:r>
      <w:r w:rsidR="002B144C" w:rsidRPr="00F30837">
        <w:rPr>
          <w:lang w:val="en-GB"/>
        </w:rPr>
        <w:t>concentration of 5% was directly sent to the reaction section through an independent line, in order to limit the contribution of homogeneous reactions.</w:t>
      </w:r>
      <w:r w:rsidR="00A96E25" w:rsidRPr="00F30837">
        <w:rPr>
          <w:lang w:val="en-GB"/>
        </w:rPr>
        <w:t xml:space="preserve"> </w:t>
      </w:r>
      <w:r w:rsidR="00D80181" w:rsidRPr="00F30837">
        <w:rPr>
          <w:lang w:val="en-GB"/>
        </w:rPr>
        <w:t>The operative conditions were selected based on thermodynamic evaluations on the water/ethanol/nitrogen/oxygen system</w:t>
      </w:r>
      <w:r w:rsidR="00646A37" w:rsidRPr="00F30837">
        <w:rPr>
          <w:lang w:val="en-GB"/>
        </w:rPr>
        <w:t xml:space="preserve"> (Palma</w:t>
      </w:r>
      <w:r w:rsidR="00D80181" w:rsidRPr="00F30837">
        <w:rPr>
          <w:lang w:val="en-GB"/>
        </w:rPr>
        <w:t xml:space="preserve"> et al, 2016</w:t>
      </w:r>
      <w:r w:rsidR="000F021D" w:rsidRPr="00F30837">
        <w:rPr>
          <w:lang w:val="en-GB"/>
        </w:rPr>
        <w:t>)</w:t>
      </w:r>
      <w:r w:rsidR="00D80181" w:rsidRPr="00F30837">
        <w:rPr>
          <w:lang w:val="en-GB"/>
        </w:rPr>
        <w:t xml:space="preserve">: high water to ethanol ratios improve catalyst stability by promoting the gasification reactions of the carbonaceous species eventually formed; similarly, high oxygen contents may favour the oxidation of coke, reducing, as a drawback, hydrogen production rates. Based on this observations and in order to test catalyst performances under severe conditions, the steam to ethanol ratio was fixed to 4 (slightly higher than the stoichiometric value) while an intermediate value of 0.5 was chosen for oxygen. </w:t>
      </w:r>
      <w:r w:rsidR="00881343" w:rsidRPr="00F30837">
        <w:rPr>
          <w:lang w:val="en-GB"/>
        </w:rPr>
        <w:t xml:space="preserve">A Weight Hourly Space </w:t>
      </w:r>
      <w:r w:rsidR="00881343" w:rsidRPr="00F30837">
        <w:rPr>
          <w:lang w:val="en-GB"/>
        </w:rPr>
        <w:lastRenderedPageBreak/>
        <w:t>Velocity (WHSV) of 12.3 g</w:t>
      </w:r>
      <w:r w:rsidR="00881343" w:rsidRPr="00F30837">
        <w:rPr>
          <w:vertAlign w:val="subscript"/>
          <w:lang w:val="en-GB"/>
        </w:rPr>
        <w:t>ethanol</w:t>
      </w:r>
      <w:r w:rsidR="00881343" w:rsidRPr="00F30837">
        <w:rPr>
          <w:rFonts w:cs="Arial"/>
          <w:lang w:val="en-GB"/>
        </w:rPr>
        <w:t>·</w:t>
      </w:r>
      <w:r w:rsidR="00881343" w:rsidRPr="00F30837">
        <w:rPr>
          <w:lang w:val="en-GB"/>
        </w:rPr>
        <w:t>g</w:t>
      </w:r>
      <w:r w:rsidR="00881343" w:rsidRPr="00F30837">
        <w:rPr>
          <w:vertAlign w:val="subscript"/>
          <w:lang w:val="en-GB"/>
        </w:rPr>
        <w:t>catalyst</w:t>
      </w:r>
      <w:r w:rsidR="00881343" w:rsidRPr="00F30837">
        <w:rPr>
          <w:vertAlign w:val="superscript"/>
          <w:lang w:val="en-GB"/>
        </w:rPr>
        <w:t>-1</w:t>
      </w:r>
      <w:r w:rsidR="00881343" w:rsidRPr="00F30837">
        <w:rPr>
          <w:rFonts w:cs="Arial"/>
          <w:lang w:val="en-GB"/>
        </w:rPr>
        <w:t>·</w:t>
      </w:r>
      <w:r w:rsidR="00881343" w:rsidRPr="00F30837">
        <w:rPr>
          <w:lang w:val="en-GB"/>
        </w:rPr>
        <w:t>h</w:t>
      </w:r>
      <w:r w:rsidR="00881343" w:rsidRPr="00F30837">
        <w:rPr>
          <w:vertAlign w:val="superscript"/>
          <w:lang w:val="en-GB"/>
        </w:rPr>
        <w:t>-1</w:t>
      </w:r>
      <w:r w:rsidR="00A96E25" w:rsidRPr="00F30837">
        <w:rPr>
          <w:lang w:val="en-GB"/>
        </w:rPr>
        <w:t xml:space="preserve"> </w:t>
      </w:r>
      <w:r w:rsidR="00881343" w:rsidRPr="00F30837">
        <w:rPr>
          <w:lang w:val="en-GB"/>
        </w:rPr>
        <w:t>was selected and stability performances were evaluated at 500°C</w:t>
      </w:r>
      <w:r w:rsidR="002A5305" w:rsidRPr="00F30837">
        <w:rPr>
          <w:lang w:val="en-GB"/>
        </w:rPr>
        <w:t xml:space="preserve">; a quite low contact time was </w:t>
      </w:r>
      <w:r w:rsidR="00D80181" w:rsidRPr="00F30837">
        <w:rPr>
          <w:lang w:val="en-GB"/>
        </w:rPr>
        <w:t xml:space="preserve">also </w:t>
      </w:r>
      <w:r w:rsidR="002A5305" w:rsidRPr="00F30837">
        <w:rPr>
          <w:lang w:val="en-GB"/>
        </w:rPr>
        <w:t xml:space="preserve">chosen to </w:t>
      </w:r>
      <w:r w:rsidR="000F021D" w:rsidRPr="00F30837">
        <w:rPr>
          <w:lang w:val="en-GB"/>
        </w:rPr>
        <w:t>test</w:t>
      </w:r>
      <w:r w:rsidR="002A5305" w:rsidRPr="00F30837">
        <w:rPr>
          <w:lang w:val="en-GB"/>
        </w:rPr>
        <w:t xml:space="preserve"> the catalyst performance</w:t>
      </w:r>
      <w:r w:rsidR="000F021D" w:rsidRPr="00F30837">
        <w:rPr>
          <w:lang w:val="en-GB"/>
        </w:rPr>
        <w:t>s</w:t>
      </w:r>
      <w:r w:rsidR="002A5305" w:rsidRPr="00F30837">
        <w:rPr>
          <w:lang w:val="en-GB"/>
        </w:rPr>
        <w:t xml:space="preserve"> under more stressful conditions</w:t>
      </w:r>
      <w:r w:rsidR="00881343" w:rsidRPr="00F30837">
        <w:rPr>
          <w:lang w:val="en-GB"/>
        </w:rPr>
        <w:t xml:space="preserve">. The composition of the stream exiting the reactor was quantified by a spectrophotometer (Nicolet Antaris supplied by Thermoscientific); downstream the latter analyser, the mixture was sent to a cold trap for the separation of condensable species. The </w:t>
      </w:r>
      <w:r w:rsidR="002A5305" w:rsidRPr="00F30837">
        <w:rPr>
          <w:lang w:val="en-GB"/>
        </w:rPr>
        <w:t>hydrogen</w:t>
      </w:r>
      <w:r w:rsidR="00881343" w:rsidRPr="00F30837">
        <w:rPr>
          <w:lang w:val="en-GB"/>
        </w:rPr>
        <w:t xml:space="preserve"> and </w:t>
      </w:r>
      <w:r w:rsidR="002A5305" w:rsidRPr="00F30837">
        <w:rPr>
          <w:lang w:val="en-GB"/>
        </w:rPr>
        <w:t>oxygen</w:t>
      </w:r>
      <w:r w:rsidR="00881343" w:rsidRPr="00F30837">
        <w:rPr>
          <w:lang w:val="en-GB"/>
        </w:rPr>
        <w:t xml:space="preserve"> content in the dry stream were measured by a thermal conductivity detector (Caldos 27 by ABB) and a paramagnetic instrument (Magnos 206 by ABB)</w:t>
      </w:r>
      <w:r w:rsidR="002A5305" w:rsidRPr="00F30837">
        <w:rPr>
          <w:lang w:val="en-GB"/>
        </w:rPr>
        <w:t>, respectively</w:t>
      </w:r>
      <w:r w:rsidR="00881343" w:rsidRPr="00F30837">
        <w:rPr>
          <w:lang w:val="en-GB"/>
        </w:rPr>
        <w:t>. Ethanol conversion (X</w:t>
      </w:r>
      <w:r w:rsidR="00881343" w:rsidRPr="00F30837">
        <w:rPr>
          <w:vertAlign w:val="subscript"/>
          <w:lang w:val="en-GB"/>
        </w:rPr>
        <w:t>C2H5OH</w:t>
      </w:r>
      <w:r w:rsidR="007E2F96" w:rsidRPr="00F30837">
        <w:rPr>
          <w:lang w:val="en-GB"/>
        </w:rPr>
        <w:t xml:space="preserve">, </w:t>
      </w:r>
      <w:r w:rsidR="00367AF5" w:rsidRPr="00F30837">
        <w:rPr>
          <w:lang w:val="en-GB"/>
        </w:rPr>
        <w:t>(1)</w:t>
      </w:r>
      <w:r w:rsidR="00881343" w:rsidRPr="00F30837">
        <w:rPr>
          <w:lang w:val="en-GB"/>
        </w:rPr>
        <w:t>), hydrogen yield (Y</w:t>
      </w:r>
      <w:r w:rsidR="00881343" w:rsidRPr="00F30837">
        <w:rPr>
          <w:vertAlign w:val="subscript"/>
          <w:lang w:val="en-GB"/>
        </w:rPr>
        <w:t>H2</w:t>
      </w:r>
      <w:r w:rsidR="007E2F96" w:rsidRPr="00F30837">
        <w:rPr>
          <w:lang w:val="en-GB"/>
        </w:rPr>
        <w:t xml:space="preserve">, </w:t>
      </w:r>
      <w:r w:rsidR="00367AF5" w:rsidRPr="00F30837">
        <w:rPr>
          <w:lang w:val="en-GB"/>
        </w:rPr>
        <w:t>(2)</w:t>
      </w:r>
      <w:r w:rsidR="00881343" w:rsidRPr="00F30837">
        <w:rPr>
          <w:lang w:val="en-GB"/>
        </w:rPr>
        <w:t>)</w:t>
      </w:r>
      <w:r w:rsidR="00367AF5" w:rsidRPr="00F30837">
        <w:rPr>
          <w:lang w:val="en-GB"/>
        </w:rPr>
        <w:t xml:space="preserve">, products yield (Yi, where </w:t>
      </w:r>
      <w:r w:rsidR="00367AF5" w:rsidRPr="00F30837">
        <w:rPr>
          <w:rFonts w:cs="Arial"/>
          <w:lang w:val="en-GB"/>
        </w:rPr>
        <w:t>ν is the stoichiometric ratio between the generic product and reacting ethanol, (3))</w:t>
      </w:r>
      <w:r w:rsidR="00E242FC" w:rsidRPr="00F30837">
        <w:rPr>
          <w:lang w:val="en-GB"/>
        </w:rPr>
        <w:t xml:space="preserve"> and carbon formation rate (CFR</w:t>
      </w:r>
      <w:r w:rsidR="007E2F96" w:rsidRPr="00F30837">
        <w:rPr>
          <w:lang w:val="en-GB"/>
        </w:rPr>
        <w:t xml:space="preserve">, Eq. </w:t>
      </w:r>
      <w:r w:rsidR="000F021D" w:rsidRPr="00F30837">
        <w:rPr>
          <w:lang w:val="en-GB"/>
        </w:rPr>
        <w:t>4</w:t>
      </w:r>
      <w:r w:rsidR="00E242FC" w:rsidRPr="00F30837">
        <w:rPr>
          <w:lang w:val="en-GB"/>
        </w:rPr>
        <w:t>) we</w:t>
      </w:r>
      <w:r w:rsidR="00F5055C" w:rsidRPr="00F30837">
        <w:rPr>
          <w:lang w:val="en-GB"/>
        </w:rPr>
        <w:t>re calculated as follows. The experimental results were compared with the equilibrium values: the thermodynamic analysis of the system H</w:t>
      </w:r>
      <w:r w:rsidR="00F5055C" w:rsidRPr="00F30837">
        <w:rPr>
          <w:vertAlign w:val="subscript"/>
          <w:lang w:val="en-GB"/>
        </w:rPr>
        <w:t>2</w:t>
      </w:r>
      <w:r w:rsidR="00F5055C" w:rsidRPr="00F30837">
        <w:rPr>
          <w:lang w:val="en-GB"/>
        </w:rPr>
        <w:t>O/C</w:t>
      </w:r>
      <w:r w:rsidR="00F5055C" w:rsidRPr="00F30837">
        <w:rPr>
          <w:vertAlign w:val="subscript"/>
          <w:lang w:val="en-GB"/>
        </w:rPr>
        <w:t>2</w:t>
      </w:r>
      <w:r w:rsidR="00F5055C" w:rsidRPr="00F30837">
        <w:rPr>
          <w:lang w:val="en-GB"/>
        </w:rPr>
        <w:t>H</w:t>
      </w:r>
      <w:r w:rsidR="00F5055C" w:rsidRPr="00F30837">
        <w:rPr>
          <w:vertAlign w:val="subscript"/>
          <w:lang w:val="en-GB"/>
        </w:rPr>
        <w:t>5</w:t>
      </w:r>
      <w:r w:rsidR="00F5055C" w:rsidRPr="00F30837">
        <w:rPr>
          <w:lang w:val="en-GB"/>
        </w:rPr>
        <w:t>OH/N</w:t>
      </w:r>
      <w:r w:rsidR="00F5055C" w:rsidRPr="00F30837">
        <w:rPr>
          <w:vertAlign w:val="subscript"/>
          <w:lang w:val="en-GB"/>
        </w:rPr>
        <w:t>2</w:t>
      </w:r>
      <w:r w:rsidR="00F5055C" w:rsidRPr="00F30837">
        <w:rPr>
          <w:lang w:val="en-GB"/>
        </w:rPr>
        <w:t>/O</w:t>
      </w:r>
      <w:r w:rsidR="00F5055C" w:rsidRPr="00F30837">
        <w:rPr>
          <w:vertAlign w:val="subscript"/>
          <w:lang w:val="en-GB"/>
        </w:rPr>
        <w:t>2</w:t>
      </w:r>
      <w:r w:rsidR="00F5055C" w:rsidRPr="00F30837">
        <w:rPr>
          <w:lang w:val="en-GB"/>
        </w:rPr>
        <w:t xml:space="preserve"> was carried out by means of the software GasEq, based on the minimization of the free Gibbs energy (</w:t>
      </w:r>
      <w:r w:rsidR="00DB243B" w:rsidRPr="00F30837">
        <w:rPr>
          <w:lang w:val="en-GB"/>
        </w:rPr>
        <w:t>Skřínský J. et al., 2018).</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F30837" w:rsidRPr="00F30837" w:rsidTr="00B54C60">
        <w:tc>
          <w:tcPr>
            <w:tcW w:w="8500" w:type="dxa"/>
          </w:tcPr>
          <w:p w:rsidR="00E242FC" w:rsidRPr="00F30837" w:rsidRDefault="007E2F96" w:rsidP="00E90320">
            <w:pPr>
              <w:pStyle w:val="CETBodytext"/>
              <w:rPr>
                <w:lang w:val="en-GB"/>
              </w:rPr>
            </w:pPr>
            <w:r w:rsidRPr="00F30837">
              <w:rPr>
                <w:noProof/>
                <w:lang w:val="it-IT" w:eastAsia="it-IT"/>
              </w:rPr>
              <w:drawing>
                <wp:inline distT="0" distB="0" distL="0" distR="0">
                  <wp:extent cx="2762791" cy="396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966" t="4445" r="16752" b="-1"/>
                          <a:stretch/>
                        </pic:blipFill>
                        <pic:spPr bwMode="auto">
                          <a:xfrm>
                            <a:off x="0" y="0"/>
                            <a:ext cx="2762791" cy="39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 w:type="dxa"/>
          </w:tcPr>
          <w:p w:rsidR="00E242FC" w:rsidRPr="00F30837" w:rsidRDefault="00367AF5" w:rsidP="00E90320">
            <w:pPr>
              <w:pStyle w:val="CETBodytext"/>
              <w:rPr>
                <w:lang w:val="en-GB"/>
              </w:rPr>
            </w:pPr>
            <w:r w:rsidRPr="00F30837">
              <w:rPr>
                <w:lang w:val="en-GB"/>
              </w:rPr>
              <w:t>(1)</w:t>
            </w:r>
          </w:p>
        </w:tc>
      </w:tr>
      <w:tr w:rsidR="00F30837" w:rsidRPr="00F30837" w:rsidTr="00B54C60">
        <w:tc>
          <w:tcPr>
            <w:tcW w:w="8500" w:type="dxa"/>
          </w:tcPr>
          <w:p w:rsidR="00E242FC" w:rsidRPr="00F30837" w:rsidRDefault="007E2F96" w:rsidP="00E90320">
            <w:pPr>
              <w:pStyle w:val="CETBodytext"/>
              <w:rPr>
                <w:lang w:val="en-GB"/>
              </w:rPr>
            </w:pPr>
            <w:r w:rsidRPr="00F30837">
              <w:rPr>
                <w:noProof/>
                <w:lang w:val="it-IT" w:eastAsia="it-IT"/>
              </w:rPr>
              <w:drawing>
                <wp:inline distT="0" distB="0" distL="0" distR="0">
                  <wp:extent cx="2187000" cy="396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9487" t="2222" r="18975"/>
                          <a:stretch/>
                        </pic:blipFill>
                        <pic:spPr bwMode="auto">
                          <a:xfrm>
                            <a:off x="0" y="0"/>
                            <a:ext cx="2187000" cy="39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 w:type="dxa"/>
          </w:tcPr>
          <w:p w:rsidR="00E242FC" w:rsidRPr="00F30837" w:rsidRDefault="00367AF5" w:rsidP="00E90320">
            <w:pPr>
              <w:pStyle w:val="CETBodytext"/>
              <w:rPr>
                <w:lang w:val="en-GB"/>
              </w:rPr>
            </w:pPr>
            <w:r w:rsidRPr="00F30837">
              <w:rPr>
                <w:lang w:val="en-GB"/>
              </w:rPr>
              <w:t>(</w:t>
            </w:r>
            <w:r w:rsidR="00E242FC" w:rsidRPr="00F30837">
              <w:rPr>
                <w:lang w:val="en-GB"/>
              </w:rPr>
              <w:t>2</w:t>
            </w:r>
            <w:r w:rsidRPr="00F30837">
              <w:rPr>
                <w:lang w:val="en-GB"/>
              </w:rPr>
              <w:t>)</w:t>
            </w:r>
          </w:p>
        </w:tc>
      </w:tr>
      <w:tr w:rsidR="00F30837" w:rsidRPr="00F30837" w:rsidTr="00B54C60">
        <w:tc>
          <w:tcPr>
            <w:tcW w:w="8500" w:type="dxa"/>
          </w:tcPr>
          <w:p w:rsidR="00E242FC" w:rsidRPr="00F30837" w:rsidRDefault="00367AF5" w:rsidP="00E90320">
            <w:pPr>
              <w:pStyle w:val="CETBodytext"/>
              <w:rPr>
                <w:lang w:val="en-GB"/>
              </w:rPr>
            </w:pPr>
            <w:r w:rsidRPr="00F30837">
              <w:rPr>
                <w:noProof/>
                <w:lang w:val="it-IT" w:eastAsia="it-IT"/>
              </w:rPr>
              <w:drawing>
                <wp:inline distT="0" distB="0" distL="0" distR="0">
                  <wp:extent cx="3062400" cy="396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513"/>
                          <a:stretch/>
                        </pic:blipFill>
                        <pic:spPr bwMode="auto">
                          <a:xfrm>
                            <a:off x="0" y="0"/>
                            <a:ext cx="3062400" cy="39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 w:type="dxa"/>
          </w:tcPr>
          <w:p w:rsidR="00E242FC" w:rsidRPr="00F30837" w:rsidRDefault="00367AF5" w:rsidP="00E90320">
            <w:pPr>
              <w:pStyle w:val="CETBodytext"/>
              <w:rPr>
                <w:lang w:val="en-GB"/>
              </w:rPr>
            </w:pPr>
            <w:r w:rsidRPr="00F30837">
              <w:rPr>
                <w:lang w:val="en-GB"/>
              </w:rPr>
              <w:t>(3)</w:t>
            </w:r>
          </w:p>
        </w:tc>
      </w:tr>
      <w:tr w:rsidR="00F30837" w:rsidRPr="00F30837" w:rsidTr="00B54C60">
        <w:tc>
          <w:tcPr>
            <w:tcW w:w="8500" w:type="dxa"/>
          </w:tcPr>
          <w:p w:rsidR="007F2643" w:rsidRPr="00F30837" w:rsidRDefault="00DB29C7" w:rsidP="00E90320">
            <w:pPr>
              <w:pStyle w:val="CETBodytext"/>
              <w:rPr>
                <w:noProof/>
                <w:lang w:val="it-IT" w:eastAsia="it-IT"/>
              </w:rPr>
            </w:pPr>
            <w:r w:rsidRPr="00F30837">
              <w:rPr>
                <w:noProof/>
                <w:lang w:val="it-IT" w:eastAsia="it-IT"/>
              </w:rPr>
              <w:drawing>
                <wp:inline distT="0" distB="0" distL="0" distR="0">
                  <wp:extent cx="2143906" cy="3960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619" t="-2217" r="29727" b="-1"/>
                          <a:stretch/>
                        </pic:blipFill>
                        <pic:spPr bwMode="auto">
                          <a:xfrm>
                            <a:off x="0" y="0"/>
                            <a:ext cx="2143906" cy="39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 w:type="dxa"/>
          </w:tcPr>
          <w:p w:rsidR="007F2643" w:rsidRPr="00F30837" w:rsidRDefault="00367AF5" w:rsidP="00E90320">
            <w:pPr>
              <w:pStyle w:val="CETBodytext"/>
              <w:rPr>
                <w:lang w:val="en-GB"/>
              </w:rPr>
            </w:pPr>
            <w:r w:rsidRPr="00F30837">
              <w:rPr>
                <w:lang w:val="en-GB"/>
              </w:rPr>
              <w:t>(4)</w:t>
            </w:r>
          </w:p>
        </w:tc>
      </w:tr>
    </w:tbl>
    <w:p w:rsidR="00600535" w:rsidRPr="00F30837" w:rsidRDefault="000B1464" w:rsidP="00600535">
      <w:pPr>
        <w:pStyle w:val="CETHeading1"/>
        <w:rPr>
          <w:lang w:val="en-GB"/>
        </w:rPr>
      </w:pPr>
      <w:r w:rsidRPr="00F30837">
        <w:rPr>
          <w:lang w:val="en-GB"/>
        </w:rPr>
        <w:t>Results and discussion</w:t>
      </w:r>
      <w:r w:rsidR="00E90320" w:rsidRPr="00F30837">
        <w:rPr>
          <w:lang w:val="en-GB"/>
        </w:rPr>
        <w:t xml:space="preserve"> </w:t>
      </w:r>
    </w:p>
    <w:p w:rsidR="00825E6C" w:rsidRPr="00F30837" w:rsidRDefault="00825E6C" w:rsidP="00825E6C">
      <w:pPr>
        <w:pStyle w:val="CETheadingx"/>
      </w:pPr>
      <w:r w:rsidRPr="00F30837">
        <w:t>Catalyst characterization</w:t>
      </w:r>
    </w:p>
    <w:p w:rsidR="00600535" w:rsidRPr="00F30837" w:rsidRDefault="00CD44FB" w:rsidP="00600535">
      <w:pPr>
        <w:pStyle w:val="CETBodytext"/>
        <w:rPr>
          <w:lang w:val="en-GB"/>
        </w:rPr>
      </w:pPr>
      <w:r w:rsidRPr="00F30837">
        <w:rPr>
          <w:lang w:val="en-GB"/>
        </w:rPr>
        <w:t>As shown in Table 1, the S</w:t>
      </w:r>
      <w:r w:rsidRPr="00F30837">
        <w:rPr>
          <w:vertAlign w:val="subscript"/>
          <w:lang w:val="en-GB"/>
        </w:rPr>
        <w:t>BET</w:t>
      </w:r>
      <w:r w:rsidRPr="00F30837">
        <w:rPr>
          <w:lang w:val="en-GB"/>
        </w:rPr>
        <w:t xml:space="preserve"> of N, AN and AC sample were 217, 223 and 227 m</w:t>
      </w:r>
      <w:r w:rsidRPr="00F30837">
        <w:rPr>
          <w:vertAlign w:val="superscript"/>
          <w:lang w:val="en-GB"/>
        </w:rPr>
        <w:t>2</w:t>
      </w:r>
      <w:r w:rsidRPr="00F30837">
        <w:rPr>
          <w:rFonts w:cs="Arial"/>
          <w:lang w:val="en-GB"/>
        </w:rPr>
        <w:t>·</w:t>
      </w:r>
      <w:r w:rsidRPr="00F30837">
        <w:rPr>
          <w:lang w:val="en-GB"/>
        </w:rPr>
        <w:t>g</w:t>
      </w:r>
      <w:r w:rsidRPr="00F30837">
        <w:rPr>
          <w:vertAlign w:val="subscript"/>
          <w:lang w:val="en-GB"/>
        </w:rPr>
        <w:t>cat</w:t>
      </w:r>
      <w:r w:rsidRPr="00F30837">
        <w:rPr>
          <w:vertAlign w:val="superscript"/>
          <w:lang w:val="en-GB"/>
        </w:rPr>
        <w:t>-1</w:t>
      </w:r>
      <w:r w:rsidRPr="00F30837">
        <w:rPr>
          <w:lang w:val="en-GB"/>
        </w:rPr>
        <w:t>, respectively</w:t>
      </w:r>
      <w:r w:rsidR="00600535" w:rsidRPr="00F30837">
        <w:rPr>
          <w:lang w:val="en-GB"/>
        </w:rPr>
        <w:t>.</w:t>
      </w:r>
      <w:r w:rsidRPr="00F30837">
        <w:rPr>
          <w:lang w:val="en-GB"/>
        </w:rPr>
        <w:t xml:space="preserve"> All the Pt-Ni/CeO</w:t>
      </w:r>
      <w:r w:rsidRPr="00F30837">
        <w:rPr>
          <w:vertAlign w:val="subscript"/>
          <w:lang w:val="en-GB"/>
        </w:rPr>
        <w:t>2</w:t>
      </w:r>
      <w:r w:rsidRPr="00F30837">
        <w:rPr>
          <w:lang w:val="en-GB"/>
        </w:rPr>
        <w:t>-SiO</w:t>
      </w:r>
      <w:r w:rsidRPr="00F30837">
        <w:rPr>
          <w:vertAlign w:val="subscript"/>
          <w:lang w:val="en-GB"/>
        </w:rPr>
        <w:t>2</w:t>
      </w:r>
      <w:r w:rsidRPr="00F30837">
        <w:rPr>
          <w:lang w:val="en-GB"/>
        </w:rPr>
        <w:t xml:space="preserve"> samples displayed very high specific surface areas, which is ascribable to the Pt-Ni/CeO</w:t>
      </w:r>
      <w:r w:rsidRPr="00F30837">
        <w:rPr>
          <w:vertAlign w:val="subscript"/>
          <w:lang w:val="en-GB"/>
        </w:rPr>
        <w:t>2</w:t>
      </w:r>
      <w:r w:rsidRPr="00F30837">
        <w:rPr>
          <w:lang w:val="en-GB"/>
        </w:rPr>
        <w:t xml:space="preserve"> catalyst deposition on mesoporous silica gel</w:t>
      </w:r>
      <w:r w:rsidR="002E60B6" w:rsidRPr="00F30837">
        <w:rPr>
          <w:lang w:val="en-GB"/>
        </w:rPr>
        <w:t xml:space="preserve"> (400 m</w:t>
      </w:r>
      <w:r w:rsidR="002E60B6" w:rsidRPr="00F30837">
        <w:rPr>
          <w:vertAlign w:val="superscript"/>
          <w:lang w:val="en-GB"/>
        </w:rPr>
        <w:t>2</w:t>
      </w:r>
      <w:r w:rsidR="002E60B6" w:rsidRPr="00F30837">
        <w:rPr>
          <w:rFonts w:cs="Arial"/>
          <w:lang w:val="en-GB"/>
        </w:rPr>
        <w:t>·</w:t>
      </w:r>
      <w:r w:rsidR="002E60B6" w:rsidRPr="00F30837">
        <w:rPr>
          <w:lang w:val="en-GB"/>
        </w:rPr>
        <w:t>g</w:t>
      </w:r>
      <w:r w:rsidR="002E60B6" w:rsidRPr="00F30837">
        <w:rPr>
          <w:vertAlign w:val="superscript"/>
          <w:lang w:val="en-GB"/>
        </w:rPr>
        <w:t>-1</w:t>
      </w:r>
      <w:r w:rsidR="002E60B6" w:rsidRPr="00F30837">
        <w:rPr>
          <w:lang w:val="en-GB"/>
        </w:rPr>
        <w:t xml:space="preserve"> of surface area after calcination at 600°C for 3 hours)</w:t>
      </w:r>
      <w:r w:rsidRPr="00F30837">
        <w:rPr>
          <w:lang w:val="en-GB"/>
        </w:rPr>
        <w:t>. A good active species dispersion was also observed, with CeO</w:t>
      </w:r>
      <w:r w:rsidRPr="00F30837">
        <w:rPr>
          <w:vertAlign w:val="subscript"/>
          <w:lang w:val="en-GB"/>
        </w:rPr>
        <w:t>2</w:t>
      </w:r>
      <w:r w:rsidRPr="00F30837">
        <w:rPr>
          <w:lang w:val="en-GB"/>
        </w:rPr>
        <w:t xml:space="preserve"> and NiO crystallite sizes of 6-8 nm and 9-10 nm, respectively. It is interesting to observe that </w:t>
      </w:r>
      <w:r w:rsidR="007A55DB" w:rsidRPr="00F30837">
        <w:rPr>
          <w:lang w:val="en-GB"/>
        </w:rPr>
        <w:t xml:space="preserve">the catalyst prepared from acetylacetonate </w:t>
      </w:r>
      <w:r w:rsidR="006E3BFC" w:rsidRPr="00F30837">
        <w:rPr>
          <w:lang w:val="en-GB"/>
        </w:rPr>
        <w:t>assured</w:t>
      </w:r>
      <w:r w:rsidR="007A55DB" w:rsidRPr="00F30837">
        <w:rPr>
          <w:lang w:val="en-GB"/>
        </w:rPr>
        <w:t xml:space="preserve"> the lowest dimension for ceria particles, which suggest that the cho</w:t>
      </w:r>
      <w:r w:rsidR="002E60B6" w:rsidRPr="00F30837">
        <w:rPr>
          <w:lang w:val="en-GB"/>
        </w:rPr>
        <w:t>ice of o</w:t>
      </w:r>
      <w:r w:rsidR="00845479" w:rsidRPr="00F30837">
        <w:rPr>
          <w:lang w:val="en-GB"/>
        </w:rPr>
        <w:t>rganic salt precursors can be a</w:t>
      </w:r>
      <w:r w:rsidR="002E60B6" w:rsidRPr="00F30837">
        <w:rPr>
          <w:lang w:val="en-GB"/>
        </w:rPr>
        <w:t xml:space="preserve"> useful tool to improve</w:t>
      </w:r>
      <w:r w:rsidR="007A55DB" w:rsidRPr="00F30837">
        <w:rPr>
          <w:lang w:val="en-GB"/>
        </w:rPr>
        <w:t xml:space="preserve"> active species dispersion.</w:t>
      </w:r>
    </w:p>
    <w:p w:rsidR="00E90320" w:rsidRPr="00F30837" w:rsidRDefault="00E90320" w:rsidP="003C1889">
      <w:pPr>
        <w:pStyle w:val="CETTabletitle"/>
        <w:jc w:val="both"/>
      </w:pPr>
      <w:r w:rsidRPr="00F30837">
        <w:t xml:space="preserve">Table 1: </w:t>
      </w:r>
      <w:r w:rsidR="003C1889" w:rsidRPr="00F30837">
        <w:t>BET specific surface area (S</w:t>
      </w:r>
      <w:r w:rsidR="003C1889" w:rsidRPr="00F30837">
        <w:rPr>
          <w:vertAlign w:val="subscript"/>
        </w:rPr>
        <w:t>BET</w:t>
      </w:r>
      <w:r w:rsidR="003C1889" w:rsidRPr="00F30837">
        <w:t>), average crystallite sizes of NiO (d</w:t>
      </w:r>
      <w:r w:rsidR="003C1889" w:rsidRPr="00F30837">
        <w:rPr>
          <w:vertAlign w:val="subscript"/>
        </w:rPr>
        <w:t>NiO</w:t>
      </w:r>
      <w:r w:rsidR="003C1889" w:rsidRPr="00F30837">
        <w:t>) and CeO</w:t>
      </w:r>
      <w:r w:rsidR="003C1889" w:rsidRPr="00F30837">
        <w:rPr>
          <w:vertAlign w:val="subscript"/>
        </w:rPr>
        <w:t>2</w:t>
      </w:r>
      <w:r w:rsidR="003C1889" w:rsidRPr="00F30837">
        <w:t xml:space="preserve"> (d</w:t>
      </w:r>
      <w:r w:rsidR="003C1889" w:rsidRPr="00F30837">
        <w:rPr>
          <w:vertAlign w:val="subscript"/>
        </w:rPr>
        <w:t>CeO2</w:t>
      </w:r>
      <w:r w:rsidR="003C1889" w:rsidRPr="00F30837">
        <w:t>), H</w:t>
      </w:r>
      <w:r w:rsidR="003C1889" w:rsidRPr="00F30837">
        <w:rPr>
          <w:vertAlign w:val="subscript"/>
        </w:rPr>
        <w:t>2</w:t>
      </w:r>
      <w:r w:rsidR="003C1889" w:rsidRPr="00F30837">
        <w:t xml:space="preserve"> consumption from TPR.</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748"/>
        <w:gridCol w:w="1748"/>
        <w:gridCol w:w="1749"/>
        <w:gridCol w:w="2552"/>
      </w:tblGrid>
      <w:tr w:rsidR="00F30837" w:rsidRPr="00F30837" w:rsidTr="001F3A02">
        <w:tc>
          <w:tcPr>
            <w:tcW w:w="1134" w:type="dxa"/>
            <w:tcBorders>
              <w:top w:val="single" w:sz="12" w:space="0" w:color="008000"/>
              <w:bottom w:val="single" w:sz="6" w:space="0" w:color="008000"/>
            </w:tcBorders>
            <w:shd w:val="clear" w:color="auto" w:fill="FFFFFF"/>
          </w:tcPr>
          <w:p w:rsidR="00E90320" w:rsidRPr="00F30837" w:rsidRDefault="003C1889" w:rsidP="0033193F">
            <w:pPr>
              <w:pStyle w:val="CETBodytext"/>
              <w:rPr>
                <w:lang w:val="en-GB"/>
              </w:rPr>
            </w:pPr>
            <w:r w:rsidRPr="00F30837">
              <w:rPr>
                <w:lang w:val="en-GB"/>
              </w:rPr>
              <w:t>Sample</w:t>
            </w:r>
            <w:r w:rsidR="00E90320" w:rsidRPr="00F30837">
              <w:rPr>
                <w:lang w:val="en-GB"/>
              </w:rPr>
              <w:t xml:space="preserve"> </w:t>
            </w:r>
          </w:p>
        </w:tc>
        <w:tc>
          <w:tcPr>
            <w:tcW w:w="1748" w:type="dxa"/>
            <w:tcBorders>
              <w:top w:val="single" w:sz="12" w:space="0" w:color="008000"/>
              <w:bottom w:val="single" w:sz="6" w:space="0" w:color="008000"/>
            </w:tcBorders>
            <w:shd w:val="clear" w:color="auto" w:fill="FFFFFF"/>
          </w:tcPr>
          <w:p w:rsidR="00E90320" w:rsidRPr="00F30837" w:rsidRDefault="00827279" w:rsidP="0033193F">
            <w:pPr>
              <w:pStyle w:val="CETBodytext"/>
              <w:rPr>
                <w:lang w:val="en-GB"/>
              </w:rPr>
            </w:pPr>
            <w:r w:rsidRPr="00F30837">
              <w:rPr>
                <w:lang w:val="en-GB"/>
              </w:rPr>
              <w:t>S</w:t>
            </w:r>
            <w:r w:rsidRPr="00F30837">
              <w:rPr>
                <w:vertAlign w:val="subscript"/>
                <w:lang w:val="en-GB"/>
              </w:rPr>
              <w:t>BET</w:t>
            </w:r>
            <w:r w:rsidRPr="00F30837">
              <w:rPr>
                <w:lang w:val="en-GB"/>
              </w:rPr>
              <w:t xml:space="preserve"> (m</w:t>
            </w:r>
            <w:r w:rsidRPr="00F30837">
              <w:rPr>
                <w:vertAlign w:val="superscript"/>
                <w:lang w:val="en-GB"/>
              </w:rPr>
              <w:t>2</w:t>
            </w:r>
            <w:r w:rsidRPr="00F30837">
              <w:rPr>
                <w:rFonts w:cs="Arial"/>
                <w:lang w:val="en-GB"/>
              </w:rPr>
              <w:t>·</w:t>
            </w:r>
            <w:r w:rsidRPr="00F30837">
              <w:rPr>
                <w:lang w:val="en-GB"/>
              </w:rPr>
              <w:t>g</w:t>
            </w:r>
            <w:r w:rsidRPr="00F30837">
              <w:rPr>
                <w:vertAlign w:val="subscript"/>
                <w:lang w:val="en-GB"/>
              </w:rPr>
              <w:t>cat</w:t>
            </w:r>
            <w:r w:rsidRPr="00F30837">
              <w:rPr>
                <w:vertAlign w:val="superscript"/>
                <w:lang w:val="en-GB"/>
              </w:rPr>
              <w:t>-1</w:t>
            </w:r>
            <w:r w:rsidRPr="00F30837">
              <w:rPr>
                <w:lang w:val="en-GB"/>
              </w:rPr>
              <w:t>)</w:t>
            </w:r>
          </w:p>
        </w:tc>
        <w:tc>
          <w:tcPr>
            <w:tcW w:w="1748" w:type="dxa"/>
            <w:tcBorders>
              <w:top w:val="single" w:sz="12" w:space="0" w:color="008000"/>
              <w:bottom w:val="single" w:sz="6" w:space="0" w:color="008000"/>
            </w:tcBorders>
            <w:shd w:val="clear" w:color="auto" w:fill="FFFFFF"/>
          </w:tcPr>
          <w:p w:rsidR="00E90320" w:rsidRPr="00F30837" w:rsidRDefault="00827279" w:rsidP="0033193F">
            <w:pPr>
              <w:pStyle w:val="CETBodytext"/>
              <w:rPr>
                <w:lang w:val="en-GB"/>
              </w:rPr>
            </w:pPr>
            <w:r w:rsidRPr="00F30837">
              <w:rPr>
                <w:lang w:val="en-GB"/>
              </w:rPr>
              <w:t>d</w:t>
            </w:r>
            <w:r w:rsidRPr="00F30837">
              <w:rPr>
                <w:vertAlign w:val="subscript"/>
                <w:lang w:val="en-GB"/>
              </w:rPr>
              <w:t>NiO</w:t>
            </w:r>
            <w:r w:rsidRPr="00F30837">
              <w:rPr>
                <w:lang w:val="en-GB"/>
              </w:rPr>
              <w:t xml:space="preserve"> (nm)</w:t>
            </w:r>
          </w:p>
        </w:tc>
        <w:tc>
          <w:tcPr>
            <w:tcW w:w="1749" w:type="dxa"/>
            <w:tcBorders>
              <w:top w:val="single" w:sz="12" w:space="0" w:color="008000"/>
              <w:bottom w:val="single" w:sz="6" w:space="0" w:color="008000"/>
            </w:tcBorders>
            <w:shd w:val="clear" w:color="auto" w:fill="FFFFFF"/>
          </w:tcPr>
          <w:p w:rsidR="00E90320" w:rsidRPr="00F30837" w:rsidRDefault="00827279" w:rsidP="0033193F">
            <w:pPr>
              <w:pStyle w:val="CETBodytext"/>
              <w:ind w:right="-1"/>
              <w:rPr>
                <w:rFonts w:cs="Arial"/>
                <w:szCs w:val="18"/>
                <w:lang w:val="en-GB"/>
              </w:rPr>
            </w:pPr>
            <w:r w:rsidRPr="00F30837">
              <w:rPr>
                <w:rFonts w:cs="Arial"/>
                <w:szCs w:val="18"/>
                <w:lang w:val="en-GB"/>
              </w:rPr>
              <w:t>d</w:t>
            </w:r>
            <w:r w:rsidRPr="00F30837">
              <w:rPr>
                <w:rFonts w:cs="Arial"/>
                <w:szCs w:val="18"/>
                <w:vertAlign w:val="subscript"/>
                <w:lang w:val="en-GB"/>
              </w:rPr>
              <w:t>CeO2</w:t>
            </w:r>
            <w:r w:rsidRPr="00F30837">
              <w:rPr>
                <w:rFonts w:cs="Arial"/>
                <w:szCs w:val="18"/>
                <w:lang w:val="en-GB"/>
              </w:rPr>
              <w:t xml:space="preserve"> (nm)</w:t>
            </w:r>
          </w:p>
        </w:tc>
        <w:tc>
          <w:tcPr>
            <w:tcW w:w="2552" w:type="dxa"/>
            <w:tcBorders>
              <w:top w:val="single" w:sz="12" w:space="0" w:color="008000"/>
              <w:bottom w:val="single" w:sz="6" w:space="0" w:color="008000"/>
            </w:tcBorders>
            <w:shd w:val="clear" w:color="auto" w:fill="FFFFFF"/>
          </w:tcPr>
          <w:p w:rsidR="00E90320" w:rsidRPr="00F30837" w:rsidRDefault="00827279" w:rsidP="0033193F">
            <w:pPr>
              <w:pStyle w:val="CETBodytext"/>
              <w:ind w:right="-1"/>
              <w:rPr>
                <w:rFonts w:cs="Arial"/>
                <w:szCs w:val="18"/>
                <w:lang w:val="en-GB"/>
              </w:rPr>
            </w:pPr>
            <w:r w:rsidRPr="00F30837">
              <w:rPr>
                <w:rFonts w:cs="Arial"/>
                <w:szCs w:val="18"/>
                <w:lang w:val="en-GB"/>
              </w:rPr>
              <w:t>H</w:t>
            </w:r>
            <w:r w:rsidRPr="00F30837">
              <w:rPr>
                <w:rFonts w:cs="Arial"/>
                <w:szCs w:val="18"/>
                <w:vertAlign w:val="subscript"/>
                <w:lang w:val="en-GB"/>
              </w:rPr>
              <w:t>2</w:t>
            </w:r>
            <w:r w:rsidRPr="00F30837">
              <w:rPr>
                <w:rFonts w:cs="Arial"/>
                <w:szCs w:val="18"/>
                <w:lang w:val="en-GB"/>
              </w:rPr>
              <w:t xml:space="preserve"> consumption (µmol</w:t>
            </w:r>
            <w:r w:rsidRPr="00F30837">
              <w:rPr>
                <w:rFonts w:cs="Arial"/>
                <w:szCs w:val="18"/>
                <w:vertAlign w:val="subscript"/>
                <w:lang w:val="en-GB"/>
              </w:rPr>
              <w:t>H2</w:t>
            </w:r>
            <w:r w:rsidRPr="00F30837">
              <w:rPr>
                <w:rFonts w:cs="Arial"/>
                <w:szCs w:val="18"/>
                <w:lang w:val="en-GB"/>
              </w:rPr>
              <w:t>·g</w:t>
            </w:r>
            <w:r w:rsidRPr="00F30837">
              <w:rPr>
                <w:rFonts w:cs="Arial"/>
                <w:szCs w:val="18"/>
                <w:vertAlign w:val="subscript"/>
                <w:lang w:val="en-GB"/>
              </w:rPr>
              <w:t>cat</w:t>
            </w:r>
            <w:r w:rsidRPr="00F30837">
              <w:rPr>
                <w:rFonts w:cs="Arial"/>
                <w:szCs w:val="18"/>
                <w:vertAlign w:val="superscript"/>
                <w:lang w:val="en-GB"/>
              </w:rPr>
              <w:t>-1</w:t>
            </w:r>
            <w:r w:rsidRPr="00F30837">
              <w:rPr>
                <w:rFonts w:cs="Arial"/>
                <w:szCs w:val="18"/>
                <w:lang w:val="en-GB"/>
              </w:rPr>
              <w:t>)</w:t>
            </w:r>
          </w:p>
        </w:tc>
      </w:tr>
      <w:tr w:rsidR="00F30837" w:rsidRPr="00F30837" w:rsidTr="001F3A02">
        <w:tc>
          <w:tcPr>
            <w:tcW w:w="1134" w:type="dxa"/>
            <w:shd w:val="clear" w:color="auto" w:fill="FFFFFF"/>
          </w:tcPr>
          <w:p w:rsidR="00E90320" w:rsidRPr="00F30837" w:rsidRDefault="003C1889" w:rsidP="0033193F">
            <w:pPr>
              <w:pStyle w:val="CETBodytext"/>
              <w:rPr>
                <w:lang w:val="en-GB"/>
              </w:rPr>
            </w:pPr>
            <w:r w:rsidRPr="00F30837">
              <w:rPr>
                <w:lang w:val="en-GB"/>
              </w:rPr>
              <w:t>N</w:t>
            </w:r>
          </w:p>
        </w:tc>
        <w:tc>
          <w:tcPr>
            <w:tcW w:w="1748" w:type="dxa"/>
            <w:shd w:val="clear" w:color="auto" w:fill="FFFFFF"/>
          </w:tcPr>
          <w:p w:rsidR="00E90320" w:rsidRPr="00F30837" w:rsidRDefault="001F3A02" w:rsidP="0033193F">
            <w:pPr>
              <w:pStyle w:val="CETBodytext"/>
              <w:rPr>
                <w:lang w:val="en-GB"/>
              </w:rPr>
            </w:pPr>
            <w:r w:rsidRPr="00F30837">
              <w:rPr>
                <w:lang w:val="en-GB"/>
              </w:rPr>
              <w:t>217</w:t>
            </w:r>
          </w:p>
        </w:tc>
        <w:tc>
          <w:tcPr>
            <w:tcW w:w="1748" w:type="dxa"/>
            <w:shd w:val="clear" w:color="auto" w:fill="FFFFFF"/>
          </w:tcPr>
          <w:p w:rsidR="00E90320" w:rsidRPr="00F30837" w:rsidRDefault="001F3A02" w:rsidP="0033193F">
            <w:pPr>
              <w:pStyle w:val="CETBodytext"/>
              <w:rPr>
                <w:lang w:val="en-GB"/>
              </w:rPr>
            </w:pPr>
            <w:r w:rsidRPr="00F30837">
              <w:rPr>
                <w:lang w:val="en-GB"/>
              </w:rPr>
              <w:t>8</w:t>
            </w:r>
          </w:p>
        </w:tc>
        <w:tc>
          <w:tcPr>
            <w:tcW w:w="1749" w:type="dxa"/>
            <w:shd w:val="clear" w:color="auto" w:fill="FFFFFF"/>
          </w:tcPr>
          <w:p w:rsidR="00E90320" w:rsidRPr="00F30837" w:rsidRDefault="001F3A02" w:rsidP="0033193F">
            <w:pPr>
              <w:pStyle w:val="CETBodytext"/>
              <w:ind w:right="-1"/>
              <w:rPr>
                <w:rFonts w:cs="Arial"/>
                <w:szCs w:val="18"/>
                <w:lang w:val="en-GB"/>
              </w:rPr>
            </w:pPr>
            <w:r w:rsidRPr="00F30837">
              <w:rPr>
                <w:rFonts w:cs="Arial"/>
                <w:szCs w:val="18"/>
                <w:lang w:val="en-GB"/>
              </w:rPr>
              <w:t>10</w:t>
            </w:r>
          </w:p>
        </w:tc>
        <w:tc>
          <w:tcPr>
            <w:tcW w:w="2552" w:type="dxa"/>
            <w:shd w:val="clear" w:color="auto" w:fill="FFFFFF"/>
          </w:tcPr>
          <w:p w:rsidR="00E90320" w:rsidRPr="00F30837" w:rsidRDefault="001F3A02" w:rsidP="0033193F">
            <w:pPr>
              <w:pStyle w:val="CETBodytext"/>
              <w:ind w:right="-1"/>
              <w:rPr>
                <w:rFonts w:cs="Arial"/>
                <w:szCs w:val="18"/>
                <w:lang w:val="en-GB"/>
              </w:rPr>
            </w:pPr>
            <w:r w:rsidRPr="00F30837">
              <w:rPr>
                <w:rFonts w:cs="Arial"/>
                <w:szCs w:val="18"/>
                <w:lang w:val="en-GB"/>
              </w:rPr>
              <w:t>2780</w:t>
            </w:r>
          </w:p>
        </w:tc>
      </w:tr>
      <w:tr w:rsidR="00F30837" w:rsidRPr="00F30837" w:rsidTr="001F3A02">
        <w:tc>
          <w:tcPr>
            <w:tcW w:w="1134" w:type="dxa"/>
            <w:shd w:val="clear" w:color="auto" w:fill="FFFFFF"/>
          </w:tcPr>
          <w:p w:rsidR="00E90320" w:rsidRPr="00F30837" w:rsidRDefault="003C1889" w:rsidP="0033193F">
            <w:pPr>
              <w:pStyle w:val="CETBodytext"/>
              <w:ind w:right="-1"/>
              <w:rPr>
                <w:rFonts w:cs="Arial"/>
                <w:szCs w:val="18"/>
                <w:lang w:val="en-GB"/>
              </w:rPr>
            </w:pPr>
            <w:r w:rsidRPr="00F30837">
              <w:rPr>
                <w:rFonts w:cs="Arial"/>
                <w:szCs w:val="18"/>
                <w:lang w:val="en-GB"/>
              </w:rPr>
              <w:t>AN</w:t>
            </w:r>
          </w:p>
        </w:tc>
        <w:tc>
          <w:tcPr>
            <w:tcW w:w="1748" w:type="dxa"/>
            <w:shd w:val="clear" w:color="auto" w:fill="FFFFFF"/>
          </w:tcPr>
          <w:p w:rsidR="00E90320" w:rsidRPr="00F30837" w:rsidRDefault="001F3A02" w:rsidP="0033193F">
            <w:pPr>
              <w:pStyle w:val="CETBodytext"/>
              <w:ind w:right="-1"/>
              <w:rPr>
                <w:rFonts w:cs="Arial"/>
                <w:szCs w:val="18"/>
                <w:lang w:val="en-GB"/>
              </w:rPr>
            </w:pPr>
            <w:r w:rsidRPr="00F30837">
              <w:rPr>
                <w:rFonts w:cs="Arial"/>
                <w:szCs w:val="18"/>
                <w:lang w:val="en-GB"/>
              </w:rPr>
              <w:t>223</w:t>
            </w:r>
          </w:p>
        </w:tc>
        <w:tc>
          <w:tcPr>
            <w:tcW w:w="1748" w:type="dxa"/>
            <w:shd w:val="clear" w:color="auto" w:fill="FFFFFF"/>
          </w:tcPr>
          <w:p w:rsidR="00E90320" w:rsidRPr="00F30837" w:rsidRDefault="001F3A02" w:rsidP="0033193F">
            <w:pPr>
              <w:pStyle w:val="CETBodytext"/>
              <w:ind w:right="-1"/>
              <w:rPr>
                <w:rFonts w:cs="Arial"/>
                <w:szCs w:val="18"/>
                <w:lang w:val="en-GB"/>
              </w:rPr>
            </w:pPr>
            <w:r w:rsidRPr="00F30837">
              <w:rPr>
                <w:rFonts w:cs="Arial"/>
                <w:szCs w:val="18"/>
                <w:lang w:val="en-GB"/>
              </w:rPr>
              <w:t>8</w:t>
            </w:r>
          </w:p>
        </w:tc>
        <w:tc>
          <w:tcPr>
            <w:tcW w:w="1749" w:type="dxa"/>
            <w:shd w:val="clear" w:color="auto" w:fill="FFFFFF"/>
          </w:tcPr>
          <w:p w:rsidR="00E90320" w:rsidRPr="00F30837" w:rsidRDefault="001F3A02" w:rsidP="0033193F">
            <w:pPr>
              <w:pStyle w:val="CETBodytext"/>
              <w:ind w:right="-1"/>
              <w:rPr>
                <w:rFonts w:cs="Arial"/>
                <w:szCs w:val="18"/>
                <w:lang w:val="en-GB"/>
              </w:rPr>
            </w:pPr>
            <w:r w:rsidRPr="00F30837">
              <w:rPr>
                <w:rFonts w:cs="Arial"/>
                <w:szCs w:val="18"/>
                <w:lang w:val="en-GB"/>
              </w:rPr>
              <w:t>11</w:t>
            </w:r>
          </w:p>
        </w:tc>
        <w:tc>
          <w:tcPr>
            <w:tcW w:w="2552" w:type="dxa"/>
            <w:shd w:val="clear" w:color="auto" w:fill="FFFFFF"/>
          </w:tcPr>
          <w:p w:rsidR="00E90320" w:rsidRPr="00F30837" w:rsidRDefault="001F3A02" w:rsidP="0033193F">
            <w:pPr>
              <w:pStyle w:val="CETBodytext"/>
              <w:ind w:right="-1"/>
              <w:rPr>
                <w:rFonts w:cs="Arial"/>
                <w:szCs w:val="18"/>
                <w:lang w:val="en-GB"/>
              </w:rPr>
            </w:pPr>
            <w:r w:rsidRPr="00F30837">
              <w:rPr>
                <w:rFonts w:cs="Arial"/>
                <w:szCs w:val="18"/>
                <w:lang w:val="en-GB"/>
              </w:rPr>
              <w:t>2927</w:t>
            </w:r>
          </w:p>
        </w:tc>
      </w:tr>
      <w:tr w:rsidR="00F30837" w:rsidRPr="00F30837" w:rsidTr="001F3A02">
        <w:tc>
          <w:tcPr>
            <w:tcW w:w="1134" w:type="dxa"/>
            <w:shd w:val="clear" w:color="auto" w:fill="FFFFFF"/>
          </w:tcPr>
          <w:p w:rsidR="003C1889" w:rsidRPr="00F30837" w:rsidRDefault="003C1889" w:rsidP="0033193F">
            <w:pPr>
              <w:pStyle w:val="CETBodytext"/>
              <w:ind w:right="-1"/>
              <w:rPr>
                <w:rFonts w:cs="Arial"/>
                <w:szCs w:val="18"/>
                <w:lang w:val="en-GB"/>
              </w:rPr>
            </w:pPr>
            <w:r w:rsidRPr="00F30837">
              <w:rPr>
                <w:rFonts w:cs="Arial"/>
                <w:szCs w:val="18"/>
                <w:lang w:val="en-GB"/>
              </w:rPr>
              <w:t>AC</w:t>
            </w:r>
          </w:p>
        </w:tc>
        <w:tc>
          <w:tcPr>
            <w:tcW w:w="1748" w:type="dxa"/>
            <w:shd w:val="clear" w:color="auto" w:fill="FFFFFF"/>
          </w:tcPr>
          <w:p w:rsidR="003C1889" w:rsidRPr="00F30837" w:rsidRDefault="001F3A02" w:rsidP="0033193F">
            <w:pPr>
              <w:pStyle w:val="CETBodytext"/>
              <w:ind w:right="-1"/>
              <w:rPr>
                <w:rFonts w:cs="Arial"/>
                <w:szCs w:val="18"/>
                <w:lang w:val="en-GB"/>
              </w:rPr>
            </w:pPr>
            <w:r w:rsidRPr="00F30837">
              <w:rPr>
                <w:rFonts w:cs="Arial"/>
                <w:szCs w:val="18"/>
                <w:lang w:val="en-GB"/>
              </w:rPr>
              <w:t>227</w:t>
            </w:r>
          </w:p>
        </w:tc>
        <w:tc>
          <w:tcPr>
            <w:tcW w:w="1748" w:type="dxa"/>
            <w:shd w:val="clear" w:color="auto" w:fill="FFFFFF"/>
          </w:tcPr>
          <w:p w:rsidR="003C1889" w:rsidRPr="00F30837" w:rsidRDefault="001F3A02" w:rsidP="0033193F">
            <w:pPr>
              <w:pStyle w:val="CETBodytext"/>
              <w:ind w:right="-1"/>
              <w:rPr>
                <w:rFonts w:cs="Arial"/>
                <w:szCs w:val="18"/>
                <w:lang w:val="en-GB"/>
              </w:rPr>
            </w:pPr>
            <w:r w:rsidRPr="00F30837">
              <w:rPr>
                <w:rFonts w:cs="Arial"/>
                <w:szCs w:val="18"/>
                <w:lang w:val="en-GB"/>
              </w:rPr>
              <w:t>6</w:t>
            </w:r>
          </w:p>
        </w:tc>
        <w:tc>
          <w:tcPr>
            <w:tcW w:w="1749" w:type="dxa"/>
            <w:shd w:val="clear" w:color="auto" w:fill="FFFFFF"/>
          </w:tcPr>
          <w:p w:rsidR="003C1889" w:rsidRPr="00F30837" w:rsidRDefault="001F3A02" w:rsidP="0033193F">
            <w:pPr>
              <w:pStyle w:val="CETBodytext"/>
              <w:ind w:right="-1"/>
              <w:rPr>
                <w:rFonts w:cs="Arial"/>
                <w:szCs w:val="18"/>
                <w:lang w:val="en-GB"/>
              </w:rPr>
            </w:pPr>
            <w:r w:rsidRPr="00F30837">
              <w:rPr>
                <w:rFonts w:cs="Arial"/>
                <w:szCs w:val="18"/>
                <w:lang w:val="en-GB"/>
              </w:rPr>
              <w:t>9</w:t>
            </w:r>
          </w:p>
        </w:tc>
        <w:tc>
          <w:tcPr>
            <w:tcW w:w="2552" w:type="dxa"/>
            <w:shd w:val="clear" w:color="auto" w:fill="FFFFFF"/>
          </w:tcPr>
          <w:p w:rsidR="003C1889" w:rsidRPr="00F30837" w:rsidRDefault="001F3A02" w:rsidP="0033193F">
            <w:pPr>
              <w:pStyle w:val="CETBodytext"/>
              <w:ind w:right="-1"/>
              <w:rPr>
                <w:rFonts w:cs="Arial"/>
                <w:szCs w:val="18"/>
                <w:lang w:val="en-GB"/>
              </w:rPr>
            </w:pPr>
            <w:r w:rsidRPr="00F30837">
              <w:rPr>
                <w:rFonts w:cs="Arial"/>
                <w:szCs w:val="18"/>
                <w:lang w:val="en-GB"/>
              </w:rPr>
              <w:t>3122</w:t>
            </w:r>
          </w:p>
        </w:tc>
      </w:tr>
    </w:tbl>
    <w:p w:rsidR="007A55DB" w:rsidRPr="00F30837" w:rsidRDefault="007A55DB" w:rsidP="007A55DB">
      <w:pPr>
        <w:pStyle w:val="CETBodytext"/>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3"/>
      </w:tblGrid>
      <w:tr w:rsidR="00F30837" w:rsidRPr="00F30837" w:rsidTr="00DB29C7">
        <w:tc>
          <w:tcPr>
            <w:tcW w:w="4388" w:type="dxa"/>
          </w:tcPr>
          <w:p w:rsidR="007A55DB" w:rsidRPr="00F30837" w:rsidRDefault="00D00CF0" w:rsidP="007A55DB">
            <w:pPr>
              <w:pStyle w:val="CETBodytext"/>
              <w:jc w:val="left"/>
              <w:rPr>
                <w:lang w:val="en-GB"/>
              </w:rPr>
            </w:pPr>
            <w:r w:rsidRPr="00F30837">
              <w:rPr>
                <w:noProof/>
                <w:lang w:val="it-IT" w:eastAsia="it-IT"/>
              </w:rPr>
              <w:drawing>
                <wp:inline distT="0" distB="0" distL="0" distR="0">
                  <wp:extent cx="2706032" cy="17640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6032" cy="1764000"/>
                          </a:xfrm>
                          <a:prstGeom prst="rect">
                            <a:avLst/>
                          </a:prstGeom>
                          <a:noFill/>
                          <a:ln>
                            <a:noFill/>
                          </a:ln>
                        </pic:spPr>
                      </pic:pic>
                    </a:graphicData>
                  </a:graphic>
                </wp:inline>
              </w:drawing>
            </w:r>
          </w:p>
        </w:tc>
        <w:tc>
          <w:tcPr>
            <w:tcW w:w="4389" w:type="dxa"/>
          </w:tcPr>
          <w:p w:rsidR="007A55DB" w:rsidRPr="00F30837" w:rsidRDefault="00D00CF0" w:rsidP="007A55DB">
            <w:pPr>
              <w:pStyle w:val="CETBodytext"/>
              <w:jc w:val="left"/>
              <w:rPr>
                <w:lang w:val="en-GB"/>
              </w:rPr>
            </w:pPr>
            <w:r w:rsidRPr="00F30837">
              <w:rPr>
                <w:noProof/>
                <w:lang w:val="it-IT" w:eastAsia="it-IT"/>
              </w:rPr>
              <w:drawing>
                <wp:inline distT="0" distB="0" distL="0" distR="0">
                  <wp:extent cx="2703897" cy="1764000"/>
                  <wp:effectExtent l="0" t="0" r="1270"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3897" cy="1764000"/>
                          </a:xfrm>
                          <a:prstGeom prst="rect">
                            <a:avLst/>
                          </a:prstGeom>
                          <a:noFill/>
                          <a:ln>
                            <a:noFill/>
                          </a:ln>
                        </pic:spPr>
                      </pic:pic>
                    </a:graphicData>
                  </a:graphic>
                </wp:inline>
              </w:drawing>
            </w:r>
          </w:p>
        </w:tc>
      </w:tr>
    </w:tbl>
    <w:p w:rsidR="00D00CF0" w:rsidRPr="00F30837" w:rsidRDefault="007A55DB" w:rsidP="00607DBC">
      <w:pPr>
        <w:pStyle w:val="CETCaption"/>
        <w:spacing w:before="0" w:after="0"/>
      </w:pPr>
      <w:r w:rsidRPr="00F30837">
        <w:t xml:space="preserve">Figure 1: </w:t>
      </w:r>
      <w:r w:rsidR="001777E3" w:rsidRPr="00F30837">
        <w:t>XRD patterns (a) and TPR profiles (b) of fresh catalysts</w:t>
      </w:r>
      <w:r w:rsidR="00BB1037" w:rsidRPr="00F30837">
        <w:t xml:space="preserve"> (square: CeO</w:t>
      </w:r>
      <w:r w:rsidR="00BB1037" w:rsidRPr="00F30837">
        <w:rPr>
          <w:vertAlign w:val="subscript"/>
        </w:rPr>
        <w:t>2</w:t>
      </w:r>
      <w:r w:rsidR="00BB1037" w:rsidRPr="00F30837">
        <w:t>, asterisk: NiO)</w:t>
      </w:r>
      <w:r w:rsidR="001777E3" w:rsidRPr="00F30837">
        <w:t>.</w:t>
      </w:r>
    </w:p>
    <w:p w:rsidR="00DB29C7" w:rsidRPr="00F30837" w:rsidRDefault="00DB29C7" w:rsidP="00607DBC">
      <w:pPr>
        <w:pStyle w:val="CETCaption"/>
        <w:spacing w:before="0" w:after="0"/>
      </w:pPr>
    </w:p>
    <w:p w:rsidR="00317137" w:rsidRPr="00F30837" w:rsidRDefault="001777E3" w:rsidP="00380658">
      <w:pPr>
        <w:pStyle w:val="CETBodytext"/>
        <w:rPr>
          <w:lang w:val="en-GB"/>
        </w:rPr>
      </w:pPr>
      <w:r w:rsidRPr="00F30837">
        <w:rPr>
          <w:lang w:val="en-GB"/>
        </w:rPr>
        <w:lastRenderedPageBreak/>
        <w:t xml:space="preserve">Diffractograms of calcined catalysts are shown in Figure 1 (a). </w:t>
      </w:r>
      <w:r w:rsidR="002C7975" w:rsidRPr="00F30837">
        <w:rPr>
          <w:lang w:val="en-GB"/>
        </w:rPr>
        <w:t>T</w:t>
      </w:r>
      <w:r w:rsidRPr="00F30837">
        <w:rPr>
          <w:lang w:val="en-GB"/>
        </w:rPr>
        <w:t xml:space="preserve">he </w:t>
      </w:r>
      <w:r w:rsidR="002C7975" w:rsidRPr="00F30837">
        <w:rPr>
          <w:lang w:val="en-GB"/>
        </w:rPr>
        <w:t xml:space="preserve">patterns of the </w:t>
      </w:r>
      <w:r w:rsidRPr="00F30837">
        <w:rPr>
          <w:lang w:val="en-GB"/>
        </w:rPr>
        <w:t xml:space="preserve">catalysts </w:t>
      </w:r>
      <w:r w:rsidR="002C7975" w:rsidRPr="00F30837">
        <w:rPr>
          <w:lang w:val="en-GB"/>
        </w:rPr>
        <w:t>N, AN and AC exhibited diffraction peaks at 2</w:t>
      </w:r>
      <w:r w:rsidR="002C7975" w:rsidRPr="00F30837">
        <w:rPr>
          <w:rFonts w:cs="Arial"/>
          <w:lang w:val="en-GB"/>
        </w:rPr>
        <w:t>Ѳ</w:t>
      </w:r>
      <w:r w:rsidR="002C7975" w:rsidRPr="00F30837">
        <w:rPr>
          <w:lang w:val="en-GB"/>
        </w:rPr>
        <w:t xml:space="preserve"> </w:t>
      </w:r>
      <w:r w:rsidR="00851621" w:rsidRPr="00F30837">
        <w:rPr>
          <w:lang w:val="en-GB"/>
        </w:rPr>
        <w:t>of 28.8°, 33.1°, 47.5°, 56.3°, 59.1°, 69.4° and</w:t>
      </w:r>
      <w:r w:rsidR="002C7975" w:rsidRPr="00F30837">
        <w:rPr>
          <w:lang w:val="en-GB"/>
        </w:rPr>
        <w:t xml:space="preserve"> 76.7°</w:t>
      </w:r>
      <w:r w:rsidR="00851621" w:rsidRPr="00F30837">
        <w:rPr>
          <w:lang w:val="en-GB"/>
        </w:rPr>
        <w:t xml:space="preserve">, </w:t>
      </w:r>
      <w:r w:rsidR="002C7975" w:rsidRPr="00F30837">
        <w:rPr>
          <w:lang w:val="en-GB"/>
        </w:rPr>
        <w:t>that can be assigned to cubic CeO</w:t>
      </w:r>
      <w:r w:rsidR="002C7975" w:rsidRPr="00F30837">
        <w:rPr>
          <w:vertAlign w:val="subscript"/>
          <w:lang w:val="en-GB"/>
        </w:rPr>
        <w:t>2</w:t>
      </w:r>
      <w:r w:rsidR="00B127C4" w:rsidRPr="00F30837">
        <w:rPr>
          <w:lang w:val="en-GB"/>
        </w:rPr>
        <w:t xml:space="preserve"> (</w:t>
      </w:r>
      <w:r w:rsidR="00646A37" w:rsidRPr="00F30837">
        <w:t xml:space="preserve">Hossain Tofazzel </w:t>
      </w:r>
      <w:r w:rsidR="00B127C4" w:rsidRPr="00F30837">
        <w:t>et al., 2018)</w:t>
      </w:r>
      <w:r w:rsidR="002C7975" w:rsidRPr="00F30837">
        <w:rPr>
          <w:lang w:val="en-GB"/>
        </w:rPr>
        <w:t xml:space="preserve">. </w:t>
      </w:r>
      <w:r w:rsidR="00825E6C" w:rsidRPr="00F30837">
        <w:rPr>
          <w:lang w:val="en-GB"/>
        </w:rPr>
        <w:t xml:space="preserve">In addition, the </w:t>
      </w:r>
      <w:r w:rsidR="001D243B" w:rsidRPr="00F30837">
        <w:rPr>
          <w:lang w:val="en-GB"/>
        </w:rPr>
        <w:t>peaks of NiO can be observed at 2</w:t>
      </w:r>
      <w:r w:rsidR="001D243B" w:rsidRPr="00F30837">
        <w:rPr>
          <w:rFonts w:cs="Arial"/>
          <w:lang w:val="en-GB"/>
        </w:rPr>
        <w:t>Ѳ</w:t>
      </w:r>
      <w:r w:rsidR="001D243B" w:rsidRPr="00F30837">
        <w:rPr>
          <w:lang w:val="en-GB"/>
        </w:rPr>
        <w:t xml:space="preserve"> values of 37.2 and 43.2°. </w:t>
      </w:r>
      <w:r w:rsidR="002C7975" w:rsidRPr="00F30837">
        <w:rPr>
          <w:lang w:val="en-GB"/>
        </w:rPr>
        <w:t xml:space="preserve">The absence </w:t>
      </w:r>
      <w:r w:rsidR="001D243B" w:rsidRPr="00F30837">
        <w:rPr>
          <w:lang w:val="en-GB"/>
        </w:rPr>
        <w:t xml:space="preserve">of </w:t>
      </w:r>
      <w:r w:rsidR="002C7975" w:rsidRPr="00F30837">
        <w:rPr>
          <w:lang w:val="en-GB"/>
        </w:rPr>
        <w:t xml:space="preserve">diffraction peaks related to </w:t>
      </w:r>
      <w:r w:rsidR="001D243B" w:rsidRPr="00F30837">
        <w:rPr>
          <w:lang w:val="en-GB"/>
        </w:rPr>
        <w:t>platinum</w:t>
      </w:r>
      <w:r w:rsidR="002C7975" w:rsidRPr="00F30837">
        <w:rPr>
          <w:lang w:val="en-GB"/>
        </w:rPr>
        <w:t xml:space="preserve"> species implied that such species were highly dispersed on the surface of ceria supports or that their sizes were too tiny to be detected.</w:t>
      </w:r>
      <w:r w:rsidR="00380658" w:rsidRPr="00F30837">
        <w:rPr>
          <w:lang w:val="en-GB"/>
        </w:rPr>
        <w:t xml:space="preserve"> </w:t>
      </w:r>
    </w:p>
    <w:p w:rsidR="001777E3" w:rsidRPr="00F30837" w:rsidRDefault="00380658" w:rsidP="00380658">
      <w:pPr>
        <w:pStyle w:val="CETBodytext"/>
        <w:rPr>
          <w:lang w:val="en-GB"/>
        </w:rPr>
      </w:pPr>
      <w:r w:rsidRPr="00F30837">
        <w:rPr>
          <w:lang w:val="en-GB"/>
        </w:rPr>
        <w:t>The XRD spectra of all the samples also have a wide hump in the range of 2</w:t>
      </w:r>
      <w:r w:rsidRPr="00F30837">
        <w:rPr>
          <w:rFonts w:cs="Arial"/>
          <w:lang w:val="en-GB"/>
        </w:rPr>
        <w:t>Ѳ</w:t>
      </w:r>
      <w:r w:rsidRPr="00F30837">
        <w:rPr>
          <w:lang w:val="en-GB"/>
        </w:rPr>
        <w:t xml:space="preserve"> from 20 to 40°, typical </w:t>
      </w:r>
      <w:r w:rsidR="00650D1D" w:rsidRPr="00F30837">
        <w:rPr>
          <w:lang w:val="en-GB"/>
        </w:rPr>
        <w:t xml:space="preserve">pf </w:t>
      </w:r>
      <w:r w:rsidRPr="00F30837">
        <w:rPr>
          <w:lang w:val="en-GB"/>
        </w:rPr>
        <w:t>amorphous silica</w:t>
      </w:r>
      <w:r w:rsidR="00646A37" w:rsidRPr="00F30837">
        <w:rPr>
          <w:lang w:val="en-GB"/>
        </w:rPr>
        <w:t xml:space="preserve"> </w:t>
      </w:r>
      <w:r w:rsidR="00650D1D" w:rsidRPr="00F30837">
        <w:rPr>
          <w:lang w:val="en-GB"/>
        </w:rPr>
        <w:t>phase</w:t>
      </w:r>
      <w:r w:rsidR="00646A37" w:rsidRPr="00F30837">
        <w:rPr>
          <w:lang w:val="en-GB"/>
        </w:rPr>
        <w:t>(Feng</w:t>
      </w:r>
      <w:r w:rsidR="001D243B" w:rsidRPr="00F30837">
        <w:rPr>
          <w:lang w:val="en-GB"/>
        </w:rPr>
        <w:t xml:space="preserve"> et al., 2017)</w:t>
      </w:r>
      <w:r w:rsidRPr="00F30837">
        <w:rPr>
          <w:lang w:val="en-GB"/>
        </w:rPr>
        <w:t xml:space="preserve">. Despite the similar XRD patterns observed for the three catalysts, </w:t>
      </w:r>
      <w:r w:rsidR="006E3BFC" w:rsidRPr="00F30837">
        <w:rPr>
          <w:lang w:val="en-GB"/>
        </w:rPr>
        <w:t xml:space="preserve">in the case of </w:t>
      </w:r>
      <w:r w:rsidRPr="00F30837">
        <w:rPr>
          <w:lang w:val="en-GB"/>
        </w:rPr>
        <w:t xml:space="preserve">the </w:t>
      </w:r>
      <w:r w:rsidR="006E3BFC" w:rsidRPr="00F30837">
        <w:rPr>
          <w:lang w:val="en-GB"/>
        </w:rPr>
        <w:t xml:space="preserve">AC </w:t>
      </w:r>
      <w:r w:rsidRPr="00F30837">
        <w:rPr>
          <w:lang w:val="en-GB"/>
        </w:rPr>
        <w:t>sample</w:t>
      </w:r>
      <w:r w:rsidR="006E3BFC" w:rsidRPr="00F30837">
        <w:rPr>
          <w:lang w:val="en-GB"/>
        </w:rPr>
        <w:t>,</w:t>
      </w:r>
      <w:r w:rsidRPr="00F30837">
        <w:rPr>
          <w:lang w:val="en-GB"/>
        </w:rPr>
        <w:t xml:space="preserve"> broader and less high </w:t>
      </w:r>
      <w:r w:rsidR="00FF2B2F" w:rsidRPr="00F30837">
        <w:rPr>
          <w:lang w:val="en-GB"/>
        </w:rPr>
        <w:t xml:space="preserve">peaks </w:t>
      </w:r>
      <w:r w:rsidRPr="00F30837">
        <w:rPr>
          <w:lang w:val="en-GB"/>
        </w:rPr>
        <w:t>than those observed on the other two samples</w:t>
      </w:r>
      <w:r w:rsidR="00FF2B2F" w:rsidRPr="00F30837">
        <w:rPr>
          <w:lang w:val="en-GB"/>
        </w:rPr>
        <w:t xml:space="preserve"> were detected, </w:t>
      </w:r>
      <w:r w:rsidRPr="00F30837">
        <w:rPr>
          <w:lang w:val="en-GB"/>
        </w:rPr>
        <w:t>which prove</w:t>
      </w:r>
      <w:r w:rsidR="006E3BFC" w:rsidRPr="00F30837">
        <w:rPr>
          <w:lang w:val="en-GB"/>
        </w:rPr>
        <w:t>s that the employment of acetyl</w:t>
      </w:r>
      <w:r w:rsidRPr="00F30837">
        <w:rPr>
          <w:lang w:val="en-GB"/>
        </w:rPr>
        <w:t>acetonate as precursor can assure a better ceria dispersion</w:t>
      </w:r>
      <w:r w:rsidR="00FF2B2F" w:rsidRPr="00F30837">
        <w:rPr>
          <w:lang w:val="en-GB"/>
        </w:rPr>
        <w:t xml:space="preserve"> (as also attested by the results of average crystallite sizes reported in Table 1).</w:t>
      </w:r>
    </w:p>
    <w:p w:rsidR="00FF2B2F" w:rsidRPr="00F30837" w:rsidRDefault="00FF2B2F" w:rsidP="00380658">
      <w:pPr>
        <w:pStyle w:val="CETBodytext"/>
        <w:rPr>
          <w:lang w:val="en-GB"/>
        </w:rPr>
      </w:pPr>
      <w:r w:rsidRPr="00F30837">
        <w:rPr>
          <w:lang w:val="en-GB"/>
        </w:rPr>
        <w:t>H</w:t>
      </w:r>
      <w:r w:rsidRPr="00F30837">
        <w:rPr>
          <w:vertAlign w:val="subscript"/>
          <w:lang w:val="en-GB"/>
        </w:rPr>
        <w:t>2</w:t>
      </w:r>
      <w:r w:rsidRPr="00F30837">
        <w:rPr>
          <w:lang w:val="en-GB"/>
        </w:rPr>
        <w:t xml:space="preserve">-TPR profiles of the calcined catalysts are reported in Figure 1 (b). The samples prepared from nitrates (N and AN) present two reduction signals above 200 and 450°C. In the case of the catalyst prepared from the organic salt, three reduction peaks were observed, demonstrating different degrees of interaction of the support with the active species. </w:t>
      </w:r>
      <w:r w:rsidR="00213F9D" w:rsidRPr="00F30837">
        <w:rPr>
          <w:lang w:val="en-GB"/>
        </w:rPr>
        <w:t>The broad peaks observed at low temperatures are related to the reduction of PtO</w:t>
      </w:r>
      <w:r w:rsidR="00213F9D" w:rsidRPr="00F30837">
        <w:rPr>
          <w:vertAlign w:val="subscript"/>
          <w:lang w:val="en-GB"/>
        </w:rPr>
        <w:t>x</w:t>
      </w:r>
      <w:r w:rsidR="00213F9D" w:rsidRPr="00F30837">
        <w:rPr>
          <w:lang w:val="en-GB"/>
        </w:rPr>
        <w:t xml:space="preserve"> species</w:t>
      </w:r>
      <w:r w:rsidR="00646A37" w:rsidRPr="00F30837">
        <w:rPr>
          <w:lang w:val="en-GB"/>
        </w:rPr>
        <w:t xml:space="preserve"> (</w:t>
      </w:r>
      <w:r w:rsidR="00F23168" w:rsidRPr="00F30837">
        <w:rPr>
          <w:lang w:val="en-GB"/>
        </w:rPr>
        <w:t>Franco et al., 2018</w:t>
      </w:r>
      <w:r w:rsidR="00986CF4" w:rsidRPr="00F30837">
        <w:rPr>
          <w:lang w:val="en-GB"/>
        </w:rPr>
        <w:t>)</w:t>
      </w:r>
      <w:r w:rsidR="00213F9D" w:rsidRPr="00F30837">
        <w:rPr>
          <w:lang w:val="en-GB"/>
        </w:rPr>
        <w:t>. However, the interactions of platinum with nickel resulted in the formation of more reducible Ni-containing phases: the quite high H</w:t>
      </w:r>
      <w:r w:rsidR="00213F9D" w:rsidRPr="00F30837">
        <w:rPr>
          <w:vertAlign w:val="subscript"/>
          <w:lang w:val="en-GB"/>
        </w:rPr>
        <w:t>2</w:t>
      </w:r>
      <w:r w:rsidR="00213F9D" w:rsidRPr="00F30837">
        <w:rPr>
          <w:lang w:val="en-GB"/>
        </w:rPr>
        <w:t xml:space="preserve"> uptake recorded below 400°C demonstrates that Pt presence enhances NiO reduction due to the occurrence of spillover phenomena</w:t>
      </w:r>
      <w:r w:rsidR="00646A37" w:rsidRPr="00F30837">
        <w:rPr>
          <w:lang w:val="en-GB"/>
        </w:rPr>
        <w:t xml:space="preserve"> (Palma</w:t>
      </w:r>
      <w:r w:rsidR="00986CF4" w:rsidRPr="00F30837">
        <w:rPr>
          <w:lang w:val="en-GB"/>
        </w:rPr>
        <w:t xml:space="preserve"> et al., 2017)</w:t>
      </w:r>
      <w:r w:rsidR="002E60B6" w:rsidRPr="00F30837">
        <w:rPr>
          <w:lang w:val="en-GB"/>
        </w:rPr>
        <w:t xml:space="preserve">: hydrogen diffuses from the just reduced metal particles towards the adjacent </w:t>
      </w:r>
      <w:r w:rsidR="00597B7E" w:rsidRPr="00F30837">
        <w:rPr>
          <w:lang w:val="en-GB"/>
        </w:rPr>
        <w:t>support, thus favouring its reduction</w:t>
      </w:r>
      <w:r w:rsidR="00213F9D" w:rsidRPr="00F30837">
        <w:rPr>
          <w:lang w:val="en-GB"/>
        </w:rPr>
        <w:t xml:space="preserve">. </w:t>
      </w:r>
      <w:r w:rsidR="00597B7E" w:rsidRPr="00F30837">
        <w:rPr>
          <w:lang w:val="en-GB"/>
        </w:rPr>
        <w:t xml:space="preserve">In fact, the </w:t>
      </w:r>
      <w:r w:rsidR="00213F9D" w:rsidRPr="00F30837">
        <w:rPr>
          <w:lang w:val="en-GB"/>
        </w:rPr>
        <w:t xml:space="preserve">addition of Pt and Ni metals promotes </w:t>
      </w:r>
      <w:r w:rsidR="00CE35CF" w:rsidRPr="00F30837">
        <w:rPr>
          <w:lang w:val="en-GB"/>
        </w:rPr>
        <w:t xml:space="preserve">an earlier </w:t>
      </w:r>
      <w:r w:rsidR="00213F9D" w:rsidRPr="00F30837">
        <w:rPr>
          <w:lang w:val="en-GB"/>
        </w:rPr>
        <w:t>Ce</w:t>
      </w:r>
      <w:r w:rsidR="00213F9D" w:rsidRPr="00F30837">
        <w:rPr>
          <w:vertAlign w:val="superscript"/>
          <w:lang w:val="en-GB"/>
        </w:rPr>
        <w:t>4+</w:t>
      </w:r>
      <w:r w:rsidR="00213F9D" w:rsidRPr="00F30837">
        <w:rPr>
          <w:lang w:val="en-GB"/>
        </w:rPr>
        <w:t xml:space="preserve"> reduction, due to the enhanced </w:t>
      </w:r>
      <w:r w:rsidR="00492D15" w:rsidRPr="00F30837">
        <w:rPr>
          <w:lang w:val="en-GB"/>
        </w:rPr>
        <w:t>mobility and diffusion of bulk oxygen</w:t>
      </w:r>
      <w:r w:rsidR="00646A37" w:rsidRPr="00F30837">
        <w:rPr>
          <w:lang w:val="en-GB"/>
        </w:rPr>
        <w:t xml:space="preserve"> (Palma</w:t>
      </w:r>
      <w:r w:rsidR="00CE35CF" w:rsidRPr="00F30837">
        <w:rPr>
          <w:lang w:val="en-GB"/>
        </w:rPr>
        <w:t xml:space="preserve"> et al., 2018</w:t>
      </w:r>
      <w:r w:rsidR="006E2D82" w:rsidRPr="00F30837">
        <w:rPr>
          <w:lang w:val="en-GB"/>
        </w:rPr>
        <w:t>a</w:t>
      </w:r>
      <w:r w:rsidR="00CE35CF" w:rsidRPr="00F30837">
        <w:rPr>
          <w:lang w:val="en-GB"/>
        </w:rPr>
        <w:t>)</w:t>
      </w:r>
      <w:r w:rsidR="00213F9D" w:rsidRPr="00F30837">
        <w:rPr>
          <w:lang w:val="en-GB"/>
        </w:rPr>
        <w:t xml:space="preserve">. As a result, the total consumption is considerably higher than the theoretical one (2015 </w:t>
      </w:r>
      <w:r w:rsidR="00213F9D" w:rsidRPr="00F30837">
        <w:rPr>
          <w:rFonts w:cs="Arial"/>
          <w:lang w:val="en-GB"/>
        </w:rPr>
        <w:t>µ</w:t>
      </w:r>
      <w:r w:rsidR="00213F9D" w:rsidRPr="00F30837">
        <w:rPr>
          <w:lang w:val="en-GB"/>
        </w:rPr>
        <w:t>mol</w:t>
      </w:r>
      <w:r w:rsidR="00213F9D" w:rsidRPr="00F30837">
        <w:rPr>
          <w:vertAlign w:val="subscript"/>
          <w:lang w:val="en-GB"/>
        </w:rPr>
        <w:t>H2</w:t>
      </w:r>
      <w:r w:rsidR="00213F9D" w:rsidRPr="00F30837">
        <w:rPr>
          <w:rFonts w:cs="Arial"/>
          <w:lang w:val="en-GB"/>
        </w:rPr>
        <w:t>·</w:t>
      </w:r>
      <w:r w:rsidR="00213F9D" w:rsidRPr="00F30837">
        <w:rPr>
          <w:lang w:val="en-GB"/>
        </w:rPr>
        <w:t>g</w:t>
      </w:r>
      <w:r w:rsidR="00213F9D" w:rsidRPr="00F30837">
        <w:rPr>
          <w:vertAlign w:val="subscript"/>
          <w:lang w:val="en-GB"/>
        </w:rPr>
        <w:t>cat</w:t>
      </w:r>
      <w:r w:rsidR="00213F9D" w:rsidRPr="00F30837">
        <w:rPr>
          <w:vertAlign w:val="superscript"/>
          <w:lang w:val="en-GB"/>
        </w:rPr>
        <w:t>-1</w:t>
      </w:r>
      <w:r w:rsidR="00213F9D" w:rsidRPr="00F30837">
        <w:rPr>
          <w:lang w:val="en-GB"/>
        </w:rPr>
        <w:t xml:space="preserve">), calculated </w:t>
      </w:r>
      <w:r w:rsidR="006652BA" w:rsidRPr="00F30837">
        <w:rPr>
          <w:lang w:val="en-GB"/>
        </w:rPr>
        <w:t>based on</w:t>
      </w:r>
      <w:r w:rsidR="00213F9D" w:rsidRPr="00F30837">
        <w:rPr>
          <w:lang w:val="en-GB"/>
        </w:rPr>
        <w:t xml:space="preserve"> Ni as well as Pt loadings. </w:t>
      </w:r>
      <w:r w:rsidR="00492D15" w:rsidRPr="00F30837">
        <w:rPr>
          <w:lang w:val="en-GB"/>
        </w:rPr>
        <w:t xml:space="preserve">However, the experimental uptake increases in the order AC&gt;AN&gt;N: the choice of cerium </w:t>
      </w:r>
      <w:r w:rsidR="002E60B6" w:rsidRPr="00F30837">
        <w:rPr>
          <w:lang w:val="en-GB"/>
        </w:rPr>
        <w:t>acetylacetonate, in fa</w:t>
      </w:r>
      <w:r w:rsidR="006652BA" w:rsidRPr="00F30837">
        <w:rPr>
          <w:lang w:val="en-GB"/>
        </w:rPr>
        <w:t>c</w:t>
      </w:r>
      <w:r w:rsidR="002E60B6" w:rsidRPr="00F30837">
        <w:rPr>
          <w:lang w:val="en-GB"/>
        </w:rPr>
        <w:t>t, assured</w:t>
      </w:r>
      <w:r w:rsidR="00492D15" w:rsidRPr="00F30837">
        <w:rPr>
          <w:lang w:val="en-GB"/>
        </w:rPr>
        <w:t xml:space="preserve"> </w:t>
      </w:r>
      <w:r w:rsidR="002E60B6" w:rsidRPr="00F30837">
        <w:rPr>
          <w:lang w:val="en-GB"/>
        </w:rPr>
        <w:t>the highest</w:t>
      </w:r>
      <w:r w:rsidR="00492D15" w:rsidRPr="00F30837">
        <w:rPr>
          <w:lang w:val="en-GB"/>
        </w:rPr>
        <w:t xml:space="preserve"> reducibility to the final formulation</w:t>
      </w:r>
      <w:r w:rsidR="002E60B6" w:rsidRPr="00F30837">
        <w:rPr>
          <w:lang w:val="en-GB"/>
        </w:rPr>
        <w:t xml:space="preserve"> (with an experimental uptake of 3122 </w:t>
      </w:r>
      <w:r w:rsidR="002E60B6" w:rsidRPr="00F30837">
        <w:rPr>
          <w:rFonts w:cs="Arial"/>
          <w:szCs w:val="18"/>
          <w:lang w:val="en-GB"/>
        </w:rPr>
        <w:t>µmol</w:t>
      </w:r>
      <w:r w:rsidR="002E60B6" w:rsidRPr="00F30837">
        <w:rPr>
          <w:rFonts w:cs="Arial"/>
          <w:szCs w:val="18"/>
          <w:vertAlign w:val="subscript"/>
          <w:lang w:val="en-GB"/>
        </w:rPr>
        <w:t>H2</w:t>
      </w:r>
      <w:r w:rsidR="002E60B6" w:rsidRPr="00F30837">
        <w:rPr>
          <w:rFonts w:cs="Arial"/>
          <w:szCs w:val="18"/>
          <w:lang w:val="en-GB"/>
        </w:rPr>
        <w:t>·g</w:t>
      </w:r>
      <w:r w:rsidR="002E60B6" w:rsidRPr="00F30837">
        <w:rPr>
          <w:rFonts w:cs="Arial"/>
          <w:szCs w:val="18"/>
          <w:vertAlign w:val="subscript"/>
          <w:lang w:val="en-GB"/>
        </w:rPr>
        <w:t>cat</w:t>
      </w:r>
      <w:r w:rsidR="002E60B6" w:rsidRPr="00F30837">
        <w:rPr>
          <w:rFonts w:cs="Arial"/>
          <w:szCs w:val="18"/>
          <w:vertAlign w:val="superscript"/>
          <w:lang w:val="en-GB"/>
        </w:rPr>
        <w:t>-1</w:t>
      </w:r>
      <w:r w:rsidR="002E60B6" w:rsidRPr="00F30837">
        <w:rPr>
          <w:rFonts w:cs="Arial"/>
          <w:szCs w:val="18"/>
          <w:lang w:val="en-GB"/>
        </w:rPr>
        <w:t>)</w:t>
      </w:r>
      <w:r w:rsidR="00492D15" w:rsidRPr="00F30837">
        <w:rPr>
          <w:lang w:val="en-GB"/>
        </w:rPr>
        <w:t xml:space="preserve">, which is expected to enhance </w:t>
      </w:r>
      <w:r w:rsidR="002E60B6" w:rsidRPr="00F30837">
        <w:rPr>
          <w:lang w:val="en-GB"/>
        </w:rPr>
        <w:t xml:space="preserve">both </w:t>
      </w:r>
      <w:r w:rsidR="00492D15" w:rsidRPr="00F30837">
        <w:rPr>
          <w:lang w:val="en-GB"/>
        </w:rPr>
        <w:t>catalyst activity and stability.</w:t>
      </w:r>
    </w:p>
    <w:p w:rsidR="00825E6C" w:rsidRPr="00F30837" w:rsidRDefault="00825E6C" w:rsidP="00380658">
      <w:pPr>
        <w:pStyle w:val="CETheadingx"/>
      </w:pPr>
      <w:r w:rsidRPr="00F30837">
        <w:t>Catalysts performances for oxidative steam reforming of ethanol</w:t>
      </w:r>
    </w:p>
    <w:p w:rsidR="00B73049" w:rsidRPr="00F30837" w:rsidRDefault="00B73049" w:rsidP="00380658">
      <w:pPr>
        <w:pStyle w:val="CETBodytext"/>
        <w:rPr>
          <w:lang w:val="en-GB"/>
        </w:rPr>
      </w:pPr>
      <w:r w:rsidRPr="00F30837">
        <w:rPr>
          <w:lang w:val="en-GB"/>
        </w:rPr>
        <w:t>The endurance performances of Pt-Ni/CeO</w:t>
      </w:r>
      <w:r w:rsidRPr="00F30837">
        <w:rPr>
          <w:vertAlign w:val="subscript"/>
          <w:lang w:val="en-GB"/>
        </w:rPr>
        <w:t>2</w:t>
      </w:r>
      <w:r w:rsidRPr="00F30837">
        <w:rPr>
          <w:lang w:val="en-GB"/>
        </w:rPr>
        <w:t>-SiO</w:t>
      </w:r>
      <w:r w:rsidRPr="00F30837">
        <w:rPr>
          <w:vertAlign w:val="subscript"/>
          <w:lang w:val="en-GB"/>
        </w:rPr>
        <w:t>2</w:t>
      </w:r>
      <w:r w:rsidRPr="00F30837">
        <w:rPr>
          <w:lang w:val="en-GB"/>
        </w:rPr>
        <w:t xml:space="preserve"> catalysts prepared from different ceria salt precursors were inv</w:t>
      </w:r>
      <w:r w:rsidR="006652BA" w:rsidRPr="00F30837">
        <w:rPr>
          <w:lang w:val="en-GB"/>
        </w:rPr>
        <w:t>estigated at 500°C under a steam</w:t>
      </w:r>
      <w:r w:rsidRPr="00F30837">
        <w:rPr>
          <w:lang w:val="en-GB"/>
        </w:rPr>
        <w:t xml:space="preserve"> to ethanol ratio (S/E) of 4 and oxygen to ethanol ratio (O/E) of 0.5. The results are compared in Figure 2 in terms of ethanol conversion (a) and hydrogen yield (b)</w:t>
      </w:r>
      <w:r w:rsidR="00F5055C" w:rsidRPr="00F30837">
        <w:rPr>
          <w:lang w:val="en-GB"/>
        </w:rPr>
        <w:t xml:space="preserve"> as a function of time-on-stream. The stability test was performed for almost 100 h in the three cases.</w:t>
      </w:r>
    </w:p>
    <w:p w:rsidR="00B73049" w:rsidRPr="00F30837" w:rsidRDefault="00B73049" w:rsidP="00380658">
      <w:pPr>
        <w:pStyle w:val="CETBodytext"/>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F30837" w:rsidRPr="00F30837" w:rsidTr="00F5055C">
        <w:tc>
          <w:tcPr>
            <w:tcW w:w="4388" w:type="dxa"/>
          </w:tcPr>
          <w:p w:rsidR="00B73049" w:rsidRPr="00F30837" w:rsidRDefault="00DB29C7" w:rsidP="00380658">
            <w:pPr>
              <w:pStyle w:val="CETBodytext"/>
              <w:rPr>
                <w:lang w:val="en-GB"/>
              </w:rPr>
            </w:pPr>
            <w:r w:rsidRPr="00F30837">
              <w:rPr>
                <w:noProof/>
                <w:lang w:val="it-IT" w:eastAsia="it-IT"/>
              </w:rPr>
              <w:drawing>
                <wp:inline distT="0" distB="0" distL="0" distR="0">
                  <wp:extent cx="2703897" cy="17640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3897" cy="1764000"/>
                          </a:xfrm>
                          <a:prstGeom prst="rect">
                            <a:avLst/>
                          </a:prstGeom>
                          <a:noFill/>
                          <a:ln>
                            <a:noFill/>
                          </a:ln>
                        </pic:spPr>
                      </pic:pic>
                    </a:graphicData>
                  </a:graphic>
                </wp:inline>
              </w:drawing>
            </w:r>
          </w:p>
        </w:tc>
        <w:tc>
          <w:tcPr>
            <w:tcW w:w="4389" w:type="dxa"/>
          </w:tcPr>
          <w:p w:rsidR="00B73049" w:rsidRPr="00F30837" w:rsidRDefault="003321BD" w:rsidP="00380658">
            <w:pPr>
              <w:pStyle w:val="CETBodytext"/>
              <w:rPr>
                <w:lang w:val="en-GB"/>
              </w:rPr>
            </w:pPr>
            <w:r w:rsidRPr="00F30837">
              <w:rPr>
                <w:noProof/>
                <w:lang w:val="it-IT" w:eastAsia="it-IT"/>
              </w:rPr>
              <w:drawing>
                <wp:inline distT="0" distB="0" distL="0" distR="0">
                  <wp:extent cx="2703897" cy="17640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3897" cy="1764000"/>
                          </a:xfrm>
                          <a:prstGeom prst="rect">
                            <a:avLst/>
                          </a:prstGeom>
                          <a:noFill/>
                          <a:ln>
                            <a:noFill/>
                          </a:ln>
                        </pic:spPr>
                      </pic:pic>
                    </a:graphicData>
                  </a:graphic>
                </wp:inline>
              </w:drawing>
            </w:r>
          </w:p>
        </w:tc>
      </w:tr>
    </w:tbl>
    <w:p w:rsidR="00B73049" w:rsidRPr="00F30837" w:rsidRDefault="00B73049" w:rsidP="00B73049">
      <w:pPr>
        <w:pStyle w:val="CETCaption"/>
        <w:spacing w:before="0" w:after="0"/>
      </w:pPr>
      <w:r w:rsidRPr="00F30837">
        <w:t>Figure 2: Ethanol conversion (a) and H</w:t>
      </w:r>
      <w:r w:rsidRPr="00F30837">
        <w:rPr>
          <w:vertAlign w:val="subscript"/>
        </w:rPr>
        <w:t>2</w:t>
      </w:r>
      <w:r w:rsidRPr="00F30837">
        <w:t xml:space="preserve"> yield (b) during OESR stability tests over the Pt-Ni/CeO</w:t>
      </w:r>
      <w:r w:rsidRPr="00F30837">
        <w:rPr>
          <w:vertAlign w:val="subscript"/>
        </w:rPr>
        <w:t>2</w:t>
      </w:r>
      <w:r w:rsidRPr="00F30837">
        <w:t>-SiO</w:t>
      </w:r>
      <w:r w:rsidRPr="00F30837">
        <w:rPr>
          <w:vertAlign w:val="subscript"/>
        </w:rPr>
        <w:t xml:space="preserve">2 </w:t>
      </w:r>
      <w:r w:rsidRPr="00F30837">
        <w:t>catalysts; 500°C, S/E=4, O/E=0.5, WHSV=12.3 h</w:t>
      </w:r>
      <w:r w:rsidRPr="00F30837">
        <w:rPr>
          <w:vertAlign w:val="superscript"/>
        </w:rPr>
        <w:t>-1</w:t>
      </w:r>
      <w:r w:rsidRPr="00F30837">
        <w:t>.</w:t>
      </w:r>
    </w:p>
    <w:p w:rsidR="00B73049" w:rsidRPr="00F30837" w:rsidRDefault="00B73049" w:rsidP="00B73049">
      <w:pPr>
        <w:pStyle w:val="CETBodytext"/>
        <w:rPr>
          <w:lang w:val="en-GB"/>
        </w:rPr>
      </w:pPr>
    </w:p>
    <w:p w:rsidR="00214A8D" w:rsidRPr="00F30837" w:rsidRDefault="00F5055C" w:rsidP="00597B7E">
      <w:pPr>
        <w:pStyle w:val="CETBodytext"/>
        <w:rPr>
          <w:lang w:val="en-GB"/>
        </w:rPr>
      </w:pPr>
      <w:r w:rsidRPr="00F30837">
        <w:rPr>
          <w:lang w:val="en-GB"/>
        </w:rPr>
        <w:t>Due to the quite severe operative condition</w:t>
      </w:r>
      <w:r w:rsidR="006652BA" w:rsidRPr="00F30837">
        <w:rPr>
          <w:lang w:val="en-GB"/>
        </w:rPr>
        <w:t>s</w:t>
      </w:r>
      <w:r w:rsidRPr="00F30837">
        <w:rPr>
          <w:lang w:val="en-GB"/>
        </w:rPr>
        <w:t xml:space="preserve"> selected (the fixed contact time was of almost 150 ms</w:t>
      </w:r>
      <w:r w:rsidR="00597B7E" w:rsidRPr="00F30837">
        <w:rPr>
          <w:lang w:val="en-GB"/>
        </w:rPr>
        <w:t xml:space="preserve"> and the feeding conditions only slightly higher than the stoichiometric ones</w:t>
      </w:r>
      <w:r w:rsidRPr="00F30837">
        <w:rPr>
          <w:lang w:val="en-GB"/>
        </w:rPr>
        <w:t xml:space="preserve">), all the tested catalysts displayed initial complete ethanol conversion </w:t>
      </w:r>
      <w:r w:rsidR="00AE6C2B" w:rsidRPr="00F30837">
        <w:rPr>
          <w:lang w:val="en-GB"/>
        </w:rPr>
        <w:t xml:space="preserve">only </w:t>
      </w:r>
      <w:r w:rsidRPr="00F30837">
        <w:rPr>
          <w:lang w:val="en-GB"/>
        </w:rPr>
        <w:t xml:space="preserve">for at least two hours. In addition, the initial hydrogen yield was very close to the values predicted by </w:t>
      </w:r>
      <w:r w:rsidR="00597B7E" w:rsidRPr="00F30837">
        <w:rPr>
          <w:lang w:val="en-GB"/>
        </w:rPr>
        <w:t xml:space="preserve">thermodynamic </w:t>
      </w:r>
      <w:r w:rsidR="006652BA" w:rsidRPr="00F30837">
        <w:rPr>
          <w:lang w:val="en-GB"/>
        </w:rPr>
        <w:t>equilibrium</w:t>
      </w:r>
      <w:r w:rsidRPr="00F30837">
        <w:rPr>
          <w:lang w:val="en-GB"/>
        </w:rPr>
        <w:t xml:space="preserve"> (</w:t>
      </w:r>
      <w:r w:rsidR="00AE6C2B" w:rsidRPr="00F30837">
        <w:rPr>
          <w:lang w:val="en-GB"/>
        </w:rPr>
        <w:t>41.5</w:t>
      </w:r>
      <w:r w:rsidRPr="00F30837">
        <w:rPr>
          <w:lang w:val="en-GB"/>
        </w:rPr>
        <w:t>%).</w:t>
      </w:r>
      <w:r w:rsidR="00DB243B" w:rsidRPr="00F30837">
        <w:rPr>
          <w:lang w:val="en-GB"/>
        </w:rPr>
        <w:t xml:space="preserve"> However, </w:t>
      </w:r>
      <w:r w:rsidR="00597B7E" w:rsidRPr="00F30837">
        <w:rPr>
          <w:lang w:val="en-GB"/>
        </w:rPr>
        <w:t xml:space="preserve">for </w:t>
      </w:r>
      <w:r w:rsidR="00DB243B" w:rsidRPr="00F30837">
        <w:rPr>
          <w:lang w:val="en-GB"/>
        </w:rPr>
        <w:t>the Pt-Ni/CeO</w:t>
      </w:r>
      <w:r w:rsidR="00DB243B" w:rsidRPr="00F30837">
        <w:rPr>
          <w:vertAlign w:val="subscript"/>
          <w:lang w:val="en-GB"/>
        </w:rPr>
        <w:t>2</w:t>
      </w:r>
      <w:r w:rsidR="00DB243B" w:rsidRPr="00F30837">
        <w:rPr>
          <w:lang w:val="en-GB"/>
        </w:rPr>
        <w:t>-SiO</w:t>
      </w:r>
      <w:r w:rsidR="00DB243B" w:rsidRPr="00F30837">
        <w:rPr>
          <w:vertAlign w:val="subscript"/>
          <w:lang w:val="en-GB"/>
        </w:rPr>
        <w:t>2</w:t>
      </w:r>
      <w:r w:rsidR="00DB243B" w:rsidRPr="00F30837">
        <w:rPr>
          <w:lang w:val="en-GB"/>
        </w:rPr>
        <w:t xml:space="preserve"> catalysts, whatever the selected ceria salt precursor, </w:t>
      </w:r>
      <w:r w:rsidR="000827B3" w:rsidRPr="00F30837">
        <w:rPr>
          <w:lang w:val="en-GB"/>
        </w:rPr>
        <w:t>a partial catalyst deactivation with time-on-stream was observed. For example, after almost 20 hours, ethanol conversion over the samples N and AN was of almost 70% while hydrogen yield dropped below 20%. Despite the partial activity loss observed in Figure 2, after almost 80 hours of test, both X</w:t>
      </w:r>
      <w:r w:rsidR="000827B3" w:rsidRPr="00F30837">
        <w:rPr>
          <w:vertAlign w:val="subscript"/>
          <w:lang w:val="en-GB"/>
        </w:rPr>
        <w:t>C2H5OH</w:t>
      </w:r>
      <w:r w:rsidR="000827B3" w:rsidRPr="00F30837">
        <w:rPr>
          <w:lang w:val="en-GB"/>
        </w:rPr>
        <w:t xml:space="preserve"> and Y</w:t>
      </w:r>
      <w:r w:rsidR="000827B3" w:rsidRPr="00F30837">
        <w:rPr>
          <w:vertAlign w:val="subscript"/>
          <w:lang w:val="en-GB"/>
        </w:rPr>
        <w:t>H2</w:t>
      </w:r>
      <w:r w:rsidR="000827B3" w:rsidRPr="00F30837">
        <w:rPr>
          <w:lang w:val="en-GB"/>
        </w:rPr>
        <w:t xml:space="preserve"> profiles approached new plateau conditions, with no more variation in product gas distribution. </w:t>
      </w:r>
      <w:r w:rsidR="00AE7070" w:rsidRPr="00F30837">
        <w:rPr>
          <w:lang w:val="en-GB"/>
        </w:rPr>
        <w:t>This behaviour, previously discussed, was explained considering that, after certain hours of test, no more accumulation of carbonaceous deposits occurred, with carbon formation and gasification rates reaching the same value and leading to a net rate of coke accumulation equal to zero</w:t>
      </w:r>
      <w:r w:rsidR="006E2D82" w:rsidRPr="00F30837">
        <w:rPr>
          <w:lang w:val="en-GB"/>
        </w:rPr>
        <w:t xml:space="preserve"> </w:t>
      </w:r>
      <w:r w:rsidR="00597B7E" w:rsidRPr="00F30837">
        <w:rPr>
          <w:lang w:val="en-GB"/>
        </w:rPr>
        <w:t>(</w:t>
      </w:r>
      <w:r w:rsidR="006E2D82" w:rsidRPr="00F30837">
        <w:rPr>
          <w:lang w:val="en-GB"/>
        </w:rPr>
        <w:t>Palma V. et al., 2018b)</w:t>
      </w:r>
      <w:r w:rsidR="00AE7070" w:rsidRPr="00F30837">
        <w:rPr>
          <w:lang w:val="en-GB"/>
        </w:rPr>
        <w:t>.</w:t>
      </w:r>
    </w:p>
    <w:p w:rsidR="00214A8D" w:rsidRPr="00F30837" w:rsidRDefault="006E2D82" w:rsidP="00597B7E">
      <w:pPr>
        <w:pStyle w:val="CETBodytext"/>
        <w:rPr>
          <w:lang w:val="en-GB"/>
        </w:rPr>
      </w:pPr>
      <w:r w:rsidRPr="00F30837">
        <w:rPr>
          <w:lang w:val="en-GB"/>
        </w:rPr>
        <w:lastRenderedPageBreak/>
        <w:t>The performances recorded under plateau conditions were very close for the samples prepared by nitrate and ammonium nitrate, which displayed ethanol conversion of almost 60% after 100 hours of test, with hydrogen yield quite below 20%. Conversely, the Pt-Ni/CeO</w:t>
      </w:r>
      <w:r w:rsidRPr="00F30837">
        <w:rPr>
          <w:vertAlign w:val="subscript"/>
          <w:lang w:val="en-GB"/>
        </w:rPr>
        <w:t>2</w:t>
      </w:r>
      <w:r w:rsidRPr="00F30837">
        <w:rPr>
          <w:lang w:val="en-GB"/>
        </w:rPr>
        <w:t>-SiO</w:t>
      </w:r>
      <w:r w:rsidRPr="00F30837">
        <w:rPr>
          <w:vertAlign w:val="subscript"/>
          <w:lang w:val="en-GB"/>
        </w:rPr>
        <w:t>2</w:t>
      </w:r>
      <w:r w:rsidRPr="00F30837">
        <w:rPr>
          <w:lang w:val="en-GB"/>
        </w:rPr>
        <w:t xml:space="preserve"> catalyst prepared starting from the organic salt displayed higher activity for oxidative steam reforming of ethanol, with X</w:t>
      </w:r>
      <w:r w:rsidRPr="00F30837">
        <w:rPr>
          <w:vertAlign w:val="subscript"/>
          <w:lang w:val="en-GB"/>
        </w:rPr>
        <w:t>C2H5OH</w:t>
      </w:r>
      <w:r w:rsidRPr="00F30837">
        <w:rPr>
          <w:lang w:val="en-GB"/>
        </w:rPr>
        <w:t xml:space="preserve"> and Y</w:t>
      </w:r>
      <w:r w:rsidRPr="00F30837">
        <w:rPr>
          <w:vertAlign w:val="subscript"/>
          <w:lang w:val="en-GB"/>
        </w:rPr>
        <w:t>H2</w:t>
      </w:r>
      <w:r w:rsidR="00627F4B" w:rsidRPr="00F30837">
        <w:rPr>
          <w:lang w:val="en-GB"/>
        </w:rPr>
        <w:t xml:space="preserve"> attesting to 70% and 20%, respectively, at the end of the test. </w:t>
      </w:r>
    </w:p>
    <w:p w:rsidR="007F55A7" w:rsidRPr="00F30837" w:rsidRDefault="00B54C60" w:rsidP="007F55A7">
      <w:pPr>
        <w:pStyle w:val="CETBodytext"/>
        <w:spacing w:after="240"/>
        <w:rPr>
          <w:lang w:val="en-GB"/>
        </w:rPr>
      </w:pPr>
      <w:r w:rsidRPr="00F30837">
        <w:rPr>
          <w:lang w:val="en-GB"/>
        </w:rPr>
        <w:t xml:space="preserve">A comparison was also provided between the </w:t>
      </w:r>
      <w:r w:rsidR="007F55A7" w:rsidRPr="00F30837">
        <w:rPr>
          <w:lang w:val="en-GB"/>
        </w:rPr>
        <w:t>products yield at the beginning of the test and under plateau conditions (Table 2).</w:t>
      </w:r>
      <w:r w:rsidR="003B118E" w:rsidRPr="00F30837">
        <w:rPr>
          <w:lang w:val="en-GB"/>
        </w:rPr>
        <w:t xml:space="preserve"> In the first two hours of the tests, total ethanol conversion was recorded for all the investigated samples, with a hydrogen yield higher than 34</w:t>
      </w:r>
      <w:r w:rsidR="006652BA" w:rsidRPr="00F30837">
        <w:rPr>
          <w:lang w:val="en-GB"/>
        </w:rPr>
        <w:t xml:space="preserve"> </w:t>
      </w:r>
      <w:r w:rsidR="003B118E" w:rsidRPr="00F30837">
        <w:rPr>
          <w:lang w:val="en-GB"/>
        </w:rPr>
        <w:t xml:space="preserve">%. In addition, acetaldehyde was not detected among the products. However, during the time-on-stream test, a change in products selectivity was observed: </w:t>
      </w:r>
      <w:r w:rsidR="00146917" w:rsidRPr="00F30837">
        <w:rPr>
          <w:lang w:val="en-GB"/>
        </w:rPr>
        <w:t xml:space="preserve">lower </w:t>
      </w:r>
      <w:r w:rsidR="003B118E" w:rsidRPr="00F30837">
        <w:rPr>
          <w:lang w:val="en-GB"/>
        </w:rPr>
        <w:t xml:space="preserve">methane yield </w:t>
      </w:r>
      <w:r w:rsidR="00146917" w:rsidRPr="00F30837">
        <w:rPr>
          <w:lang w:val="en-GB"/>
        </w:rPr>
        <w:t>was recorded while acetaldehyde formation started being quite pronounced, especially for the samples N and AN. In contrast, the catalyst prepared from acetylacetonate, besides displaying the highest ethanol conversion and hydrogen yield, also assured reduced selectivity to by-products (i.e. C</w:t>
      </w:r>
      <w:r w:rsidR="00146917" w:rsidRPr="00F30837">
        <w:rPr>
          <w:vertAlign w:val="subscript"/>
          <w:lang w:val="en-GB"/>
        </w:rPr>
        <w:t>2</w:t>
      </w:r>
      <w:r w:rsidR="00146917" w:rsidRPr="00F30837">
        <w:rPr>
          <w:lang w:val="en-GB"/>
        </w:rPr>
        <w:t>H</w:t>
      </w:r>
      <w:r w:rsidR="00146917" w:rsidRPr="00F30837">
        <w:rPr>
          <w:vertAlign w:val="subscript"/>
          <w:lang w:val="en-GB"/>
        </w:rPr>
        <w:t>4</w:t>
      </w:r>
      <w:r w:rsidR="00146917" w:rsidRPr="00F30837">
        <w:rPr>
          <w:lang w:val="en-GB"/>
        </w:rPr>
        <w:t>O and coke).</w:t>
      </w:r>
    </w:p>
    <w:p w:rsidR="007F55A7" w:rsidRPr="00F30837" w:rsidRDefault="007F55A7" w:rsidP="007F55A7">
      <w:pPr>
        <w:pStyle w:val="CETTabletitle"/>
        <w:jc w:val="both"/>
      </w:pPr>
      <w:r w:rsidRPr="00F30837">
        <w:t>Table 2: Products yield at the beginning of the test as well us under plateau conditions recorded during the experiments reported in Figure 2.</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37"/>
        <w:gridCol w:w="1136"/>
        <w:gridCol w:w="1694"/>
        <w:gridCol w:w="1305"/>
        <w:gridCol w:w="1305"/>
        <w:gridCol w:w="1305"/>
        <w:gridCol w:w="1305"/>
      </w:tblGrid>
      <w:tr w:rsidR="00F30837" w:rsidRPr="00F30837" w:rsidTr="007F55A7">
        <w:tc>
          <w:tcPr>
            <w:tcW w:w="737" w:type="dxa"/>
            <w:tcBorders>
              <w:top w:val="single" w:sz="12" w:space="0" w:color="008000"/>
              <w:bottom w:val="single" w:sz="6" w:space="0" w:color="008000"/>
            </w:tcBorders>
            <w:shd w:val="clear" w:color="auto" w:fill="FFFFFF"/>
          </w:tcPr>
          <w:p w:rsidR="007F55A7" w:rsidRPr="00F30837" w:rsidRDefault="007F55A7" w:rsidP="004B4C98">
            <w:pPr>
              <w:pStyle w:val="CETBodytext"/>
              <w:rPr>
                <w:lang w:val="en-GB"/>
              </w:rPr>
            </w:pPr>
            <w:r w:rsidRPr="00F30837">
              <w:rPr>
                <w:lang w:val="en-GB"/>
              </w:rPr>
              <w:t xml:space="preserve">Sample </w:t>
            </w:r>
          </w:p>
        </w:tc>
        <w:tc>
          <w:tcPr>
            <w:tcW w:w="1136" w:type="dxa"/>
            <w:tcBorders>
              <w:top w:val="single" w:sz="12" w:space="0" w:color="008000"/>
              <w:bottom w:val="single" w:sz="6" w:space="0" w:color="008000"/>
            </w:tcBorders>
            <w:shd w:val="clear" w:color="auto" w:fill="FFFFFF"/>
          </w:tcPr>
          <w:p w:rsidR="007F55A7" w:rsidRPr="00F30837" w:rsidRDefault="007F55A7" w:rsidP="004B4C98">
            <w:pPr>
              <w:pStyle w:val="CETBodytext"/>
              <w:rPr>
                <w:lang w:val="en-GB"/>
              </w:rPr>
            </w:pPr>
            <w:r w:rsidRPr="00F30837">
              <w:rPr>
                <w:lang w:val="en-GB"/>
              </w:rPr>
              <w:t>X (%)</w:t>
            </w:r>
          </w:p>
        </w:tc>
        <w:tc>
          <w:tcPr>
            <w:tcW w:w="1694" w:type="dxa"/>
            <w:tcBorders>
              <w:top w:val="single" w:sz="12" w:space="0" w:color="008000"/>
              <w:bottom w:val="single" w:sz="6" w:space="0" w:color="008000"/>
            </w:tcBorders>
            <w:shd w:val="clear" w:color="auto" w:fill="FFFFFF"/>
          </w:tcPr>
          <w:p w:rsidR="007F55A7" w:rsidRPr="00F30837" w:rsidRDefault="007F55A7" w:rsidP="004B4C98">
            <w:pPr>
              <w:pStyle w:val="CETBodytext"/>
              <w:rPr>
                <w:lang w:val="en-GB"/>
              </w:rPr>
            </w:pPr>
            <w:r w:rsidRPr="00F30837">
              <w:rPr>
                <w:lang w:val="en-GB"/>
              </w:rPr>
              <w:t>Y</w:t>
            </w:r>
            <w:r w:rsidRPr="00F30837">
              <w:rPr>
                <w:vertAlign w:val="subscript"/>
                <w:lang w:val="en-GB"/>
              </w:rPr>
              <w:t>H2</w:t>
            </w:r>
            <w:r w:rsidRPr="00F30837">
              <w:rPr>
                <w:lang w:val="en-GB"/>
              </w:rPr>
              <w:t xml:space="preserve"> (%)</w:t>
            </w:r>
          </w:p>
        </w:tc>
        <w:tc>
          <w:tcPr>
            <w:tcW w:w="1305" w:type="dxa"/>
            <w:tcBorders>
              <w:top w:val="single" w:sz="12" w:space="0" w:color="008000"/>
              <w:bottom w:val="single" w:sz="6" w:space="0" w:color="008000"/>
            </w:tcBorders>
            <w:shd w:val="clear" w:color="auto" w:fill="FFFFFF"/>
          </w:tcPr>
          <w:p w:rsidR="007F55A7" w:rsidRPr="00F30837" w:rsidRDefault="007F55A7" w:rsidP="004B4C98">
            <w:pPr>
              <w:pStyle w:val="CETBodytext"/>
              <w:rPr>
                <w:lang w:val="en-GB"/>
              </w:rPr>
            </w:pPr>
            <w:r w:rsidRPr="00F30837">
              <w:rPr>
                <w:lang w:val="en-GB"/>
              </w:rPr>
              <w:t>Y</w:t>
            </w:r>
            <w:r w:rsidRPr="00F30837">
              <w:rPr>
                <w:vertAlign w:val="subscript"/>
                <w:lang w:val="en-GB"/>
              </w:rPr>
              <w:t>CH4</w:t>
            </w:r>
            <w:r w:rsidRPr="00F30837">
              <w:rPr>
                <w:lang w:val="en-GB"/>
              </w:rPr>
              <w:t xml:space="preserve"> (%)</w:t>
            </w:r>
          </w:p>
        </w:tc>
        <w:tc>
          <w:tcPr>
            <w:tcW w:w="1305" w:type="dxa"/>
            <w:tcBorders>
              <w:top w:val="single" w:sz="12" w:space="0" w:color="008000"/>
              <w:bottom w:val="single" w:sz="6" w:space="0" w:color="008000"/>
            </w:tcBorders>
            <w:shd w:val="clear" w:color="auto" w:fill="FFFFFF"/>
          </w:tcPr>
          <w:p w:rsidR="007F55A7" w:rsidRPr="00F30837" w:rsidRDefault="007F55A7" w:rsidP="004B4C98">
            <w:pPr>
              <w:pStyle w:val="CETBodytext"/>
              <w:rPr>
                <w:lang w:val="en-GB"/>
              </w:rPr>
            </w:pPr>
            <w:r w:rsidRPr="00F30837">
              <w:rPr>
                <w:lang w:val="en-GB"/>
              </w:rPr>
              <w:t>Y</w:t>
            </w:r>
            <w:r w:rsidRPr="00F30837">
              <w:rPr>
                <w:vertAlign w:val="subscript"/>
                <w:lang w:val="en-GB"/>
              </w:rPr>
              <w:t>CO</w:t>
            </w:r>
            <w:r w:rsidRPr="00F30837">
              <w:rPr>
                <w:lang w:val="en-GB"/>
              </w:rPr>
              <w:t xml:space="preserve"> (%)</w:t>
            </w:r>
          </w:p>
        </w:tc>
        <w:tc>
          <w:tcPr>
            <w:tcW w:w="1305" w:type="dxa"/>
            <w:tcBorders>
              <w:top w:val="single" w:sz="12" w:space="0" w:color="008000"/>
              <w:bottom w:val="single" w:sz="6" w:space="0" w:color="008000"/>
            </w:tcBorders>
            <w:shd w:val="clear" w:color="auto" w:fill="FFFFFF"/>
          </w:tcPr>
          <w:p w:rsidR="007F55A7" w:rsidRPr="00F30837" w:rsidRDefault="007F55A7" w:rsidP="004B4C98">
            <w:pPr>
              <w:pStyle w:val="CETBodytext"/>
              <w:rPr>
                <w:lang w:val="en-GB"/>
              </w:rPr>
            </w:pPr>
            <w:r w:rsidRPr="00F30837">
              <w:rPr>
                <w:lang w:val="en-GB"/>
              </w:rPr>
              <w:t>Y</w:t>
            </w:r>
            <w:r w:rsidRPr="00F30837">
              <w:rPr>
                <w:vertAlign w:val="subscript"/>
                <w:lang w:val="en-GB"/>
              </w:rPr>
              <w:t>CO2</w:t>
            </w:r>
            <w:r w:rsidRPr="00F30837">
              <w:rPr>
                <w:lang w:val="en-GB"/>
              </w:rPr>
              <w:t xml:space="preserve"> (%)</w:t>
            </w:r>
          </w:p>
        </w:tc>
        <w:tc>
          <w:tcPr>
            <w:tcW w:w="1305" w:type="dxa"/>
            <w:tcBorders>
              <w:top w:val="single" w:sz="12" w:space="0" w:color="008000"/>
              <w:bottom w:val="single" w:sz="6" w:space="0" w:color="008000"/>
            </w:tcBorders>
            <w:shd w:val="clear" w:color="auto" w:fill="FFFFFF"/>
          </w:tcPr>
          <w:p w:rsidR="007F55A7" w:rsidRPr="00F30837" w:rsidRDefault="007F55A7" w:rsidP="004B4C98">
            <w:pPr>
              <w:pStyle w:val="CETBodytext"/>
              <w:rPr>
                <w:lang w:val="en-GB"/>
              </w:rPr>
            </w:pPr>
            <w:r w:rsidRPr="00F30837">
              <w:rPr>
                <w:lang w:val="en-GB"/>
              </w:rPr>
              <w:t>Y</w:t>
            </w:r>
            <w:r w:rsidRPr="00F30837">
              <w:rPr>
                <w:vertAlign w:val="subscript"/>
                <w:lang w:val="en-GB"/>
              </w:rPr>
              <w:t>C2H4O</w:t>
            </w:r>
            <w:r w:rsidRPr="00F30837">
              <w:rPr>
                <w:lang w:val="en-GB"/>
              </w:rPr>
              <w:t xml:space="preserve"> (%)</w:t>
            </w:r>
          </w:p>
        </w:tc>
      </w:tr>
      <w:tr w:rsidR="00F30837" w:rsidRPr="00F30837" w:rsidTr="002637FC">
        <w:tc>
          <w:tcPr>
            <w:tcW w:w="8787" w:type="dxa"/>
            <w:gridSpan w:val="7"/>
            <w:shd w:val="clear" w:color="auto" w:fill="FFFFFF"/>
          </w:tcPr>
          <w:p w:rsidR="007F55A7" w:rsidRPr="00F30837" w:rsidRDefault="007F55A7" w:rsidP="004B4C98">
            <w:pPr>
              <w:pStyle w:val="CETBodytext"/>
              <w:rPr>
                <w:lang w:val="en-GB"/>
              </w:rPr>
            </w:pPr>
            <w:r w:rsidRPr="00F30837">
              <w:rPr>
                <w:lang w:val="en-GB"/>
              </w:rPr>
              <w:t>Products yield at the beginning of the test (mean values in the first 2 h)</w:t>
            </w:r>
          </w:p>
        </w:tc>
      </w:tr>
      <w:tr w:rsidR="00F30837" w:rsidRPr="00F30837" w:rsidTr="007F55A7">
        <w:tc>
          <w:tcPr>
            <w:tcW w:w="737" w:type="dxa"/>
            <w:shd w:val="clear" w:color="auto" w:fill="FFFFFF"/>
          </w:tcPr>
          <w:p w:rsidR="007F55A7" w:rsidRPr="00F30837" w:rsidRDefault="007F55A7" w:rsidP="004B4C98">
            <w:pPr>
              <w:pStyle w:val="CETBodytext"/>
              <w:rPr>
                <w:lang w:val="en-GB"/>
              </w:rPr>
            </w:pPr>
            <w:r w:rsidRPr="00F30837">
              <w:rPr>
                <w:lang w:val="en-GB"/>
              </w:rPr>
              <w:t>N</w:t>
            </w:r>
          </w:p>
        </w:tc>
        <w:tc>
          <w:tcPr>
            <w:tcW w:w="1136" w:type="dxa"/>
            <w:shd w:val="clear" w:color="auto" w:fill="FFFFFF"/>
          </w:tcPr>
          <w:p w:rsidR="007F55A7" w:rsidRPr="00F30837" w:rsidRDefault="003B118E" w:rsidP="004B4C98">
            <w:pPr>
              <w:pStyle w:val="CETBodytext"/>
              <w:rPr>
                <w:lang w:val="en-GB"/>
              </w:rPr>
            </w:pPr>
            <w:r w:rsidRPr="00F30837">
              <w:rPr>
                <w:lang w:val="en-GB"/>
              </w:rPr>
              <w:t>100</w:t>
            </w:r>
          </w:p>
        </w:tc>
        <w:tc>
          <w:tcPr>
            <w:tcW w:w="1694" w:type="dxa"/>
            <w:shd w:val="clear" w:color="auto" w:fill="FFFFFF"/>
          </w:tcPr>
          <w:p w:rsidR="007F55A7" w:rsidRPr="00F30837" w:rsidRDefault="003B118E" w:rsidP="004B4C98">
            <w:pPr>
              <w:pStyle w:val="CETBodytext"/>
              <w:rPr>
                <w:lang w:val="en-GB"/>
              </w:rPr>
            </w:pPr>
            <w:r w:rsidRPr="00F30837">
              <w:rPr>
                <w:lang w:val="en-GB"/>
              </w:rPr>
              <w:t>34.2</w:t>
            </w:r>
          </w:p>
        </w:tc>
        <w:tc>
          <w:tcPr>
            <w:tcW w:w="1305" w:type="dxa"/>
            <w:shd w:val="clear" w:color="auto" w:fill="FFFFFF"/>
          </w:tcPr>
          <w:p w:rsidR="007F55A7" w:rsidRPr="00F30837" w:rsidRDefault="003B118E" w:rsidP="004B4C98">
            <w:pPr>
              <w:pStyle w:val="CETBodytext"/>
              <w:rPr>
                <w:lang w:val="en-GB"/>
              </w:rPr>
            </w:pPr>
            <w:r w:rsidRPr="00F30837">
              <w:rPr>
                <w:lang w:val="en-GB"/>
              </w:rPr>
              <w:t>33.1</w:t>
            </w:r>
          </w:p>
        </w:tc>
        <w:tc>
          <w:tcPr>
            <w:tcW w:w="1305" w:type="dxa"/>
            <w:shd w:val="clear" w:color="auto" w:fill="FFFFFF"/>
          </w:tcPr>
          <w:p w:rsidR="007F55A7" w:rsidRPr="00F30837" w:rsidRDefault="003B118E" w:rsidP="004B4C98">
            <w:pPr>
              <w:pStyle w:val="CETBodytext"/>
              <w:rPr>
                <w:lang w:val="en-GB"/>
              </w:rPr>
            </w:pPr>
            <w:r w:rsidRPr="00F30837">
              <w:rPr>
                <w:lang w:val="en-GB"/>
              </w:rPr>
              <w:t>12.3</w:t>
            </w:r>
          </w:p>
        </w:tc>
        <w:tc>
          <w:tcPr>
            <w:tcW w:w="1305" w:type="dxa"/>
            <w:shd w:val="clear" w:color="auto" w:fill="FFFFFF"/>
          </w:tcPr>
          <w:p w:rsidR="007F55A7" w:rsidRPr="00F30837" w:rsidRDefault="003B118E" w:rsidP="004B4C98">
            <w:pPr>
              <w:pStyle w:val="CETBodytext"/>
              <w:rPr>
                <w:lang w:val="en-GB"/>
              </w:rPr>
            </w:pPr>
            <w:r w:rsidRPr="00F30837">
              <w:rPr>
                <w:lang w:val="en-GB"/>
              </w:rPr>
              <w:t>50.9</w:t>
            </w:r>
          </w:p>
        </w:tc>
        <w:tc>
          <w:tcPr>
            <w:tcW w:w="1305" w:type="dxa"/>
            <w:shd w:val="clear" w:color="auto" w:fill="FFFFFF"/>
          </w:tcPr>
          <w:p w:rsidR="007F55A7" w:rsidRPr="00F30837" w:rsidRDefault="003B118E" w:rsidP="004B4C98">
            <w:pPr>
              <w:pStyle w:val="CETBodytext"/>
              <w:rPr>
                <w:lang w:val="en-GB"/>
              </w:rPr>
            </w:pPr>
            <w:r w:rsidRPr="00F30837">
              <w:rPr>
                <w:lang w:val="en-GB"/>
              </w:rPr>
              <w:t>-</w:t>
            </w:r>
          </w:p>
        </w:tc>
      </w:tr>
      <w:tr w:rsidR="00F30837" w:rsidRPr="00F30837" w:rsidTr="007F55A7">
        <w:tc>
          <w:tcPr>
            <w:tcW w:w="737" w:type="dxa"/>
            <w:shd w:val="clear" w:color="auto" w:fill="FFFFFF"/>
          </w:tcPr>
          <w:p w:rsidR="007F55A7" w:rsidRPr="00F30837" w:rsidRDefault="007F55A7" w:rsidP="004B4C98">
            <w:pPr>
              <w:pStyle w:val="CETBodytext"/>
              <w:ind w:right="-1"/>
              <w:rPr>
                <w:rFonts w:cs="Arial"/>
                <w:szCs w:val="18"/>
                <w:lang w:val="en-GB"/>
              </w:rPr>
            </w:pPr>
            <w:r w:rsidRPr="00F30837">
              <w:rPr>
                <w:rFonts w:cs="Arial"/>
                <w:szCs w:val="18"/>
                <w:lang w:val="en-GB"/>
              </w:rPr>
              <w:t>AN</w:t>
            </w:r>
          </w:p>
        </w:tc>
        <w:tc>
          <w:tcPr>
            <w:tcW w:w="1136" w:type="dxa"/>
            <w:shd w:val="clear" w:color="auto" w:fill="FFFFFF"/>
          </w:tcPr>
          <w:p w:rsidR="007F55A7" w:rsidRPr="00F30837" w:rsidRDefault="003B118E" w:rsidP="004B4C98">
            <w:pPr>
              <w:pStyle w:val="CETBodytext"/>
              <w:ind w:right="-1"/>
              <w:rPr>
                <w:rFonts w:cs="Arial"/>
                <w:szCs w:val="18"/>
                <w:lang w:val="en-GB"/>
              </w:rPr>
            </w:pPr>
            <w:r w:rsidRPr="00F30837">
              <w:rPr>
                <w:rFonts w:cs="Arial"/>
                <w:szCs w:val="18"/>
                <w:lang w:val="en-GB"/>
              </w:rPr>
              <w:t>100</w:t>
            </w:r>
          </w:p>
        </w:tc>
        <w:tc>
          <w:tcPr>
            <w:tcW w:w="1694" w:type="dxa"/>
            <w:shd w:val="clear" w:color="auto" w:fill="FFFFFF"/>
          </w:tcPr>
          <w:p w:rsidR="007F55A7" w:rsidRPr="00F30837" w:rsidRDefault="003B118E" w:rsidP="004B4C98">
            <w:pPr>
              <w:pStyle w:val="CETBodytext"/>
              <w:ind w:right="-1"/>
              <w:rPr>
                <w:rFonts w:cs="Arial"/>
                <w:szCs w:val="18"/>
                <w:lang w:val="en-GB"/>
              </w:rPr>
            </w:pPr>
            <w:r w:rsidRPr="00F30837">
              <w:rPr>
                <w:rFonts w:cs="Arial"/>
                <w:szCs w:val="18"/>
                <w:lang w:val="en-GB"/>
              </w:rPr>
              <w:t>34.4</w:t>
            </w:r>
          </w:p>
        </w:tc>
        <w:tc>
          <w:tcPr>
            <w:tcW w:w="1305" w:type="dxa"/>
            <w:shd w:val="clear" w:color="auto" w:fill="FFFFFF"/>
          </w:tcPr>
          <w:p w:rsidR="007F55A7" w:rsidRPr="00F30837" w:rsidRDefault="003B118E" w:rsidP="004B4C98">
            <w:pPr>
              <w:pStyle w:val="CETBodytext"/>
              <w:ind w:right="-1"/>
              <w:rPr>
                <w:rFonts w:cs="Arial"/>
                <w:szCs w:val="18"/>
                <w:lang w:val="en-GB"/>
              </w:rPr>
            </w:pPr>
            <w:r w:rsidRPr="00F30837">
              <w:rPr>
                <w:rFonts w:cs="Arial"/>
                <w:szCs w:val="18"/>
                <w:lang w:val="en-GB"/>
              </w:rPr>
              <w:t>32.7</w:t>
            </w:r>
          </w:p>
        </w:tc>
        <w:tc>
          <w:tcPr>
            <w:tcW w:w="1305" w:type="dxa"/>
            <w:shd w:val="clear" w:color="auto" w:fill="FFFFFF"/>
          </w:tcPr>
          <w:p w:rsidR="007F55A7" w:rsidRPr="00F30837" w:rsidRDefault="003B118E" w:rsidP="004B4C98">
            <w:pPr>
              <w:pStyle w:val="CETBodytext"/>
              <w:ind w:right="-1"/>
              <w:rPr>
                <w:rFonts w:cs="Arial"/>
                <w:szCs w:val="18"/>
                <w:lang w:val="en-GB"/>
              </w:rPr>
            </w:pPr>
            <w:r w:rsidRPr="00F30837">
              <w:rPr>
                <w:rFonts w:cs="Arial"/>
                <w:szCs w:val="18"/>
                <w:lang w:val="en-GB"/>
              </w:rPr>
              <w:t>11.9</w:t>
            </w:r>
          </w:p>
        </w:tc>
        <w:tc>
          <w:tcPr>
            <w:tcW w:w="1305" w:type="dxa"/>
            <w:shd w:val="clear" w:color="auto" w:fill="FFFFFF"/>
          </w:tcPr>
          <w:p w:rsidR="007F55A7" w:rsidRPr="00F30837" w:rsidRDefault="003B118E" w:rsidP="004B4C98">
            <w:pPr>
              <w:pStyle w:val="CETBodytext"/>
              <w:ind w:right="-1"/>
              <w:rPr>
                <w:rFonts w:cs="Arial"/>
                <w:szCs w:val="18"/>
                <w:lang w:val="en-GB"/>
              </w:rPr>
            </w:pPr>
            <w:r w:rsidRPr="00F30837">
              <w:rPr>
                <w:rFonts w:cs="Arial"/>
                <w:szCs w:val="18"/>
                <w:lang w:val="en-GB"/>
              </w:rPr>
              <w:t>51.7</w:t>
            </w:r>
          </w:p>
        </w:tc>
        <w:tc>
          <w:tcPr>
            <w:tcW w:w="1305" w:type="dxa"/>
            <w:shd w:val="clear" w:color="auto" w:fill="FFFFFF"/>
          </w:tcPr>
          <w:p w:rsidR="007F55A7" w:rsidRPr="00F30837" w:rsidRDefault="003B118E" w:rsidP="004B4C98">
            <w:pPr>
              <w:pStyle w:val="CETBodytext"/>
              <w:ind w:right="-1"/>
              <w:rPr>
                <w:rFonts w:cs="Arial"/>
                <w:szCs w:val="18"/>
                <w:lang w:val="en-GB"/>
              </w:rPr>
            </w:pPr>
            <w:r w:rsidRPr="00F30837">
              <w:rPr>
                <w:rFonts w:cs="Arial"/>
                <w:szCs w:val="18"/>
                <w:lang w:val="en-GB"/>
              </w:rPr>
              <w:t>-</w:t>
            </w:r>
          </w:p>
        </w:tc>
      </w:tr>
      <w:tr w:rsidR="00F30837" w:rsidRPr="00F30837" w:rsidTr="007F55A7">
        <w:tc>
          <w:tcPr>
            <w:tcW w:w="737" w:type="dxa"/>
            <w:shd w:val="clear" w:color="auto" w:fill="FFFFFF"/>
          </w:tcPr>
          <w:p w:rsidR="007F55A7" w:rsidRPr="00F30837" w:rsidRDefault="007F55A7" w:rsidP="004B4C98">
            <w:pPr>
              <w:pStyle w:val="CETBodytext"/>
              <w:ind w:right="-1"/>
              <w:rPr>
                <w:rFonts w:cs="Arial"/>
                <w:szCs w:val="18"/>
                <w:lang w:val="en-GB"/>
              </w:rPr>
            </w:pPr>
            <w:r w:rsidRPr="00F30837">
              <w:rPr>
                <w:rFonts w:cs="Arial"/>
                <w:szCs w:val="18"/>
                <w:lang w:val="en-GB"/>
              </w:rPr>
              <w:t>AC</w:t>
            </w:r>
          </w:p>
        </w:tc>
        <w:tc>
          <w:tcPr>
            <w:tcW w:w="1136" w:type="dxa"/>
            <w:shd w:val="clear" w:color="auto" w:fill="FFFFFF"/>
          </w:tcPr>
          <w:p w:rsidR="007F55A7" w:rsidRPr="00F30837" w:rsidRDefault="003B118E" w:rsidP="004B4C98">
            <w:pPr>
              <w:pStyle w:val="CETBodytext"/>
              <w:ind w:right="-1"/>
              <w:rPr>
                <w:rFonts w:cs="Arial"/>
                <w:szCs w:val="18"/>
                <w:lang w:val="en-GB"/>
              </w:rPr>
            </w:pPr>
            <w:r w:rsidRPr="00F30837">
              <w:rPr>
                <w:rFonts w:cs="Arial"/>
                <w:szCs w:val="18"/>
                <w:lang w:val="en-GB"/>
              </w:rPr>
              <w:t>100</w:t>
            </w:r>
          </w:p>
        </w:tc>
        <w:tc>
          <w:tcPr>
            <w:tcW w:w="1694" w:type="dxa"/>
            <w:shd w:val="clear" w:color="auto" w:fill="FFFFFF"/>
          </w:tcPr>
          <w:p w:rsidR="007F55A7" w:rsidRPr="00F30837" w:rsidRDefault="003B118E" w:rsidP="003B118E">
            <w:pPr>
              <w:pStyle w:val="CETBodytext"/>
              <w:ind w:right="-1"/>
              <w:rPr>
                <w:rFonts w:cs="Arial"/>
                <w:szCs w:val="18"/>
                <w:lang w:val="en-GB"/>
              </w:rPr>
            </w:pPr>
            <w:r w:rsidRPr="00F30837">
              <w:rPr>
                <w:rFonts w:cs="Arial"/>
                <w:szCs w:val="18"/>
                <w:lang w:val="en-GB"/>
              </w:rPr>
              <w:t>35.3</w:t>
            </w:r>
          </w:p>
        </w:tc>
        <w:tc>
          <w:tcPr>
            <w:tcW w:w="1305" w:type="dxa"/>
            <w:shd w:val="clear" w:color="auto" w:fill="FFFFFF"/>
          </w:tcPr>
          <w:p w:rsidR="007F55A7" w:rsidRPr="00F30837" w:rsidRDefault="003B118E" w:rsidP="004B4C98">
            <w:pPr>
              <w:pStyle w:val="CETBodytext"/>
              <w:ind w:right="-1"/>
              <w:rPr>
                <w:rFonts w:cs="Arial"/>
                <w:szCs w:val="18"/>
                <w:lang w:val="en-GB"/>
              </w:rPr>
            </w:pPr>
            <w:r w:rsidRPr="00F30837">
              <w:rPr>
                <w:rFonts w:cs="Arial"/>
                <w:szCs w:val="18"/>
                <w:lang w:val="en-GB"/>
              </w:rPr>
              <w:t>31.2</w:t>
            </w:r>
          </w:p>
        </w:tc>
        <w:tc>
          <w:tcPr>
            <w:tcW w:w="1305" w:type="dxa"/>
            <w:shd w:val="clear" w:color="auto" w:fill="FFFFFF"/>
          </w:tcPr>
          <w:p w:rsidR="007F55A7" w:rsidRPr="00F30837" w:rsidRDefault="003B118E" w:rsidP="004B4C98">
            <w:pPr>
              <w:pStyle w:val="CETBodytext"/>
              <w:ind w:right="-1"/>
              <w:rPr>
                <w:rFonts w:cs="Arial"/>
                <w:szCs w:val="18"/>
                <w:lang w:val="en-GB"/>
              </w:rPr>
            </w:pPr>
            <w:r w:rsidRPr="00F30837">
              <w:rPr>
                <w:rFonts w:cs="Arial"/>
                <w:szCs w:val="18"/>
                <w:lang w:val="en-GB"/>
              </w:rPr>
              <w:t>12.6</w:t>
            </w:r>
          </w:p>
        </w:tc>
        <w:tc>
          <w:tcPr>
            <w:tcW w:w="1305" w:type="dxa"/>
            <w:shd w:val="clear" w:color="auto" w:fill="FFFFFF"/>
          </w:tcPr>
          <w:p w:rsidR="007F55A7" w:rsidRPr="00F30837" w:rsidRDefault="003B118E" w:rsidP="004B4C98">
            <w:pPr>
              <w:pStyle w:val="CETBodytext"/>
              <w:ind w:right="-1"/>
              <w:rPr>
                <w:rFonts w:cs="Arial"/>
                <w:szCs w:val="18"/>
                <w:lang w:val="en-GB"/>
              </w:rPr>
            </w:pPr>
            <w:r w:rsidRPr="00F30837">
              <w:rPr>
                <w:rFonts w:cs="Arial"/>
                <w:szCs w:val="18"/>
                <w:lang w:val="en-GB"/>
              </w:rPr>
              <w:t>53.1</w:t>
            </w:r>
          </w:p>
        </w:tc>
        <w:tc>
          <w:tcPr>
            <w:tcW w:w="1305" w:type="dxa"/>
            <w:shd w:val="clear" w:color="auto" w:fill="FFFFFF"/>
          </w:tcPr>
          <w:p w:rsidR="007F55A7" w:rsidRPr="00F30837" w:rsidRDefault="003B118E" w:rsidP="004B4C98">
            <w:pPr>
              <w:pStyle w:val="CETBodytext"/>
              <w:ind w:right="-1"/>
              <w:rPr>
                <w:rFonts w:cs="Arial"/>
                <w:szCs w:val="18"/>
                <w:lang w:val="en-GB"/>
              </w:rPr>
            </w:pPr>
            <w:r w:rsidRPr="00F30837">
              <w:rPr>
                <w:rFonts w:cs="Arial"/>
                <w:szCs w:val="18"/>
                <w:lang w:val="en-GB"/>
              </w:rPr>
              <w:t>-</w:t>
            </w:r>
          </w:p>
        </w:tc>
      </w:tr>
      <w:tr w:rsidR="00F30837" w:rsidRPr="00F30837" w:rsidTr="00FC547E">
        <w:tc>
          <w:tcPr>
            <w:tcW w:w="8787" w:type="dxa"/>
            <w:gridSpan w:val="7"/>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Products yield at the end of the test (mean values in the last 20 h)</w:t>
            </w:r>
          </w:p>
        </w:tc>
      </w:tr>
      <w:tr w:rsidR="00F30837" w:rsidRPr="00F30837" w:rsidTr="007F55A7">
        <w:tc>
          <w:tcPr>
            <w:tcW w:w="737"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N</w:t>
            </w:r>
          </w:p>
        </w:tc>
        <w:tc>
          <w:tcPr>
            <w:tcW w:w="1136"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59.3</w:t>
            </w:r>
          </w:p>
        </w:tc>
        <w:tc>
          <w:tcPr>
            <w:tcW w:w="1694" w:type="dxa"/>
            <w:shd w:val="clear" w:color="auto" w:fill="FFFFFF"/>
          </w:tcPr>
          <w:p w:rsidR="003B118E" w:rsidRPr="00F30837" w:rsidRDefault="003B118E" w:rsidP="003B118E">
            <w:pPr>
              <w:pStyle w:val="CETBodytext"/>
              <w:ind w:right="-1"/>
              <w:rPr>
                <w:rFonts w:cs="Arial"/>
                <w:szCs w:val="18"/>
                <w:lang w:val="en-GB"/>
              </w:rPr>
            </w:pPr>
            <w:r w:rsidRPr="00F30837">
              <w:rPr>
                <w:rFonts w:cs="Arial"/>
                <w:szCs w:val="18"/>
                <w:lang w:val="en-GB"/>
              </w:rPr>
              <w:t>13.1</w:t>
            </w:r>
          </w:p>
        </w:tc>
        <w:tc>
          <w:tcPr>
            <w:tcW w:w="1305"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10.9</w:t>
            </w:r>
          </w:p>
        </w:tc>
        <w:tc>
          <w:tcPr>
            <w:tcW w:w="1305"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25.6</w:t>
            </w:r>
          </w:p>
        </w:tc>
        <w:tc>
          <w:tcPr>
            <w:tcW w:w="1305"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5.6</w:t>
            </w:r>
          </w:p>
        </w:tc>
        <w:tc>
          <w:tcPr>
            <w:tcW w:w="1305"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18.9</w:t>
            </w:r>
          </w:p>
        </w:tc>
      </w:tr>
      <w:tr w:rsidR="00F30837" w:rsidRPr="00F30837" w:rsidTr="007F55A7">
        <w:tc>
          <w:tcPr>
            <w:tcW w:w="737"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AN</w:t>
            </w:r>
          </w:p>
        </w:tc>
        <w:tc>
          <w:tcPr>
            <w:tcW w:w="1136"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60.1</w:t>
            </w:r>
          </w:p>
        </w:tc>
        <w:tc>
          <w:tcPr>
            <w:tcW w:w="1694" w:type="dxa"/>
            <w:shd w:val="clear" w:color="auto" w:fill="FFFFFF"/>
          </w:tcPr>
          <w:p w:rsidR="003B118E" w:rsidRPr="00F30837" w:rsidRDefault="003B118E" w:rsidP="003B118E">
            <w:pPr>
              <w:pStyle w:val="CETBodytext"/>
              <w:ind w:right="-1"/>
              <w:rPr>
                <w:rFonts w:cs="Arial"/>
                <w:szCs w:val="18"/>
                <w:lang w:val="en-GB"/>
              </w:rPr>
            </w:pPr>
            <w:r w:rsidRPr="00F30837">
              <w:rPr>
                <w:rFonts w:cs="Arial"/>
                <w:szCs w:val="18"/>
                <w:lang w:val="en-GB"/>
              </w:rPr>
              <w:t>15.4</w:t>
            </w:r>
          </w:p>
        </w:tc>
        <w:tc>
          <w:tcPr>
            <w:tcW w:w="1305"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5.5</w:t>
            </w:r>
          </w:p>
        </w:tc>
        <w:tc>
          <w:tcPr>
            <w:tcW w:w="1305"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31.5</w:t>
            </w:r>
          </w:p>
        </w:tc>
        <w:tc>
          <w:tcPr>
            <w:tcW w:w="1305"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4.5</w:t>
            </w:r>
          </w:p>
        </w:tc>
        <w:tc>
          <w:tcPr>
            <w:tcW w:w="1305"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18.1</w:t>
            </w:r>
          </w:p>
        </w:tc>
      </w:tr>
      <w:tr w:rsidR="00F30837" w:rsidRPr="00F30837" w:rsidTr="007F55A7">
        <w:tc>
          <w:tcPr>
            <w:tcW w:w="737"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AC</w:t>
            </w:r>
          </w:p>
        </w:tc>
        <w:tc>
          <w:tcPr>
            <w:tcW w:w="1136"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73.3</w:t>
            </w:r>
          </w:p>
        </w:tc>
        <w:tc>
          <w:tcPr>
            <w:tcW w:w="1694" w:type="dxa"/>
            <w:shd w:val="clear" w:color="auto" w:fill="FFFFFF"/>
          </w:tcPr>
          <w:p w:rsidR="003B118E" w:rsidRPr="00F30837" w:rsidRDefault="003B118E" w:rsidP="003B118E">
            <w:pPr>
              <w:pStyle w:val="CETBodytext"/>
              <w:ind w:right="-1"/>
              <w:rPr>
                <w:rFonts w:cs="Arial"/>
                <w:szCs w:val="18"/>
                <w:lang w:val="en-GB"/>
              </w:rPr>
            </w:pPr>
            <w:r w:rsidRPr="00F30837">
              <w:rPr>
                <w:rFonts w:cs="Arial"/>
                <w:szCs w:val="18"/>
                <w:lang w:val="en-GB"/>
              </w:rPr>
              <w:t>19.4</w:t>
            </w:r>
          </w:p>
        </w:tc>
        <w:tc>
          <w:tcPr>
            <w:tcW w:w="1305"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12.2</w:t>
            </w:r>
          </w:p>
        </w:tc>
        <w:tc>
          <w:tcPr>
            <w:tcW w:w="1305"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30.1</w:t>
            </w:r>
          </w:p>
        </w:tc>
        <w:tc>
          <w:tcPr>
            <w:tcW w:w="1305"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19.1</w:t>
            </w:r>
          </w:p>
        </w:tc>
        <w:tc>
          <w:tcPr>
            <w:tcW w:w="1305" w:type="dxa"/>
            <w:shd w:val="clear" w:color="auto" w:fill="FFFFFF"/>
          </w:tcPr>
          <w:p w:rsidR="003B118E" w:rsidRPr="00F30837" w:rsidRDefault="003B118E" w:rsidP="004B4C98">
            <w:pPr>
              <w:pStyle w:val="CETBodytext"/>
              <w:ind w:right="-1"/>
              <w:rPr>
                <w:rFonts w:cs="Arial"/>
                <w:szCs w:val="18"/>
                <w:lang w:val="en-GB"/>
              </w:rPr>
            </w:pPr>
            <w:r w:rsidRPr="00F30837">
              <w:rPr>
                <w:rFonts w:cs="Arial"/>
                <w:szCs w:val="18"/>
                <w:lang w:val="en-GB"/>
              </w:rPr>
              <w:t>11.1</w:t>
            </w:r>
          </w:p>
        </w:tc>
      </w:tr>
    </w:tbl>
    <w:p w:rsidR="00B54C60" w:rsidRPr="00F30837" w:rsidRDefault="00B54C60" w:rsidP="00597B7E">
      <w:pPr>
        <w:pStyle w:val="CETBodytext"/>
        <w:rPr>
          <w:lang w:val="en-GB"/>
        </w:rPr>
      </w:pPr>
    </w:p>
    <w:p w:rsidR="00597B7E" w:rsidRPr="00F30837" w:rsidRDefault="00146917" w:rsidP="00597B7E">
      <w:pPr>
        <w:pStyle w:val="CETBodytext"/>
        <w:rPr>
          <w:rFonts w:cs="Arial"/>
          <w:lang w:val="en-GB"/>
        </w:rPr>
      </w:pPr>
      <w:r w:rsidRPr="00F30837">
        <w:rPr>
          <w:lang w:val="en-GB"/>
        </w:rPr>
        <w:t>In this regard, a</w:t>
      </w:r>
      <w:r w:rsidR="002E60B6" w:rsidRPr="00F30837">
        <w:rPr>
          <w:lang w:val="en-GB"/>
        </w:rPr>
        <w:t>fter stability measurements, the three samples were characterized by specific area measurements as well as thermo-gravimetric analysis; S</w:t>
      </w:r>
      <w:r w:rsidR="002E60B6" w:rsidRPr="00F30837">
        <w:rPr>
          <w:vertAlign w:val="subscript"/>
          <w:lang w:val="en-GB"/>
        </w:rPr>
        <w:t>BET</w:t>
      </w:r>
      <w:r w:rsidR="002E60B6" w:rsidRPr="00F30837">
        <w:rPr>
          <w:lang w:val="en-GB"/>
        </w:rPr>
        <w:t xml:space="preserve"> as well as CFR, estimated according to Eq.</w:t>
      </w:r>
      <w:r w:rsidR="006652BA" w:rsidRPr="00F30837">
        <w:rPr>
          <w:lang w:val="en-GB"/>
        </w:rPr>
        <w:t>4</w:t>
      </w:r>
      <w:r w:rsidR="002E60B6" w:rsidRPr="00F30837">
        <w:rPr>
          <w:lang w:val="en-GB"/>
        </w:rPr>
        <w:t xml:space="preserve">, are reported in Table </w:t>
      </w:r>
      <w:r w:rsidR="007F55A7" w:rsidRPr="00F30837">
        <w:rPr>
          <w:lang w:val="en-GB"/>
        </w:rPr>
        <w:t>3</w:t>
      </w:r>
      <w:r w:rsidR="002E60B6" w:rsidRPr="00F30837">
        <w:rPr>
          <w:lang w:val="en-GB"/>
        </w:rPr>
        <w:t>.</w:t>
      </w:r>
      <w:r w:rsidR="00597B7E" w:rsidRPr="00F30837">
        <w:rPr>
          <w:lang w:val="en-GB"/>
        </w:rPr>
        <w:t xml:space="preserve"> For all the tested samples, a surface area reduction was observed, ascribable to </w:t>
      </w:r>
      <w:r w:rsidR="007F55A7" w:rsidRPr="00F30837">
        <w:rPr>
          <w:lang w:val="en-GB"/>
        </w:rPr>
        <w:t>the occlusion of catalysts meso-</w:t>
      </w:r>
      <w:r w:rsidR="00597B7E" w:rsidRPr="00F30837">
        <w:rPr>
          <w:lang w:val="en-GB"/>
        </w:rPr>
        <w:t xml:space="preserve">pores by carbonaceous deposits. </w:t>
      </w:r>
      <w:r w:rsidR="00597B7E" w:rsidRPr="00F30837">
        <w:rPr>
          <w:rFonts w:cs="Arial"/>
          <w:lang w:val="en-GB"/>
        </w:rPr>
        <w:t>Conversely, the sample prepared from cerium acetylacetonate underwent a variation of specific surface area of only 9</w:t>
      </w:r>
      <w:r w:rsidR="006652BA" w:rsidRPr="00F30837">
        <w:rPr>
          <w:rFonts w:cs="Arial"/>
          <w:lang w:val="en-GB"/>
        </w:rPr>
        <w:t xml:space="preserve"> </w:t>
      </w:r>
      <w:r w:rsidR="00597B7E" w:rsidRPr="00F30837">
        <w:rPr>
          <w:rFonts w:cs="Arial"/>
          <w:lang w:val="en-GB"/>
        </w:rPr>
        <w:t>% and the recorded value of carbon formation rate was almost 1 half that measured over the catalysts synthetized from nitrates.</w:t>
      </w:r>
    </w:p>
    <w:p w:rsidR="00627F4B" w:rsidRPr="00F30837" w:rsidRDefault="00627F4B" w:rsidP="00627F4B">
      <w:pPr>
        <w:pStyle w:val="CETTabletitle"/>
        <w:jc w:val="both"/>
      </w:pPr>
      <w:r w:rsidRPr="00F30837">
        <w:t xml:space="preserve">Table </w:t>
      </w:r>
      <w:r w:rsidR="007F55A7" w:rsidRPr="00F30837">
        <w:t>3</w:t>
      </w:r>
      <w:r w:rsidRPr="00F30837">
        <w:t>: Carbon formation rates measured after the stability tests in Figure 3.</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47"/>
        <w:gridCol w:w="3206"/>
        <w:gridCol w:w="4534"/>
      </w:tblGrid>
      <w:tr w:rsidR="00F30837" w:rsidRPr="00F30837" w:rsidTr="00627F4B">
        <w:tc>
          <w:tcPr>
            <w:tcW w:w="1047" w:type="dxa"/>
            <w:tcBorders>
              <w:top w:val="single" w:sz="12" w:space="0" w:color="008000"/>
              <w:bottom w:val="single" w:sz="6" w:space="0" w:color="008000"/>
            </w:tcBorders>
            <w:shd w:val="clear" w:color="auto" w:fill="FFFFFF"/>
          </w:tcPr>
          <w:p w:rsidR="00627F4B" w:rsidRPr="00F30837" w:rsidRDefault="00627F4B" w:rsidP="00280733">
            <w:pPr>
              <w:pStyle w:val="CETBodytext"/>
              <w:rPr>
                <w:lang w:val="en-GB"/>
              </w:rPr>
            </w:pPr>
            <w:r w:rsidRPr="00F30837">
              <w:rPr>
                <w:lang w:val="en-GB"/>
              </w:rPr>
              <w:t xml:space="preserve">Sample </w:t>
            </w:r>
          </w:p>
        </w:tc>
        <w:tc>
          <w:tcPr>
            <w:tcW w:w="3206" w:type="dxa"/>
            <w:tcBorders>
              <w:top w:val="single" w:sz="12" w:space="0" w:color="008000"/>
              <w:bottom w:val="single" w:sz="6" w:space="0" w:color="008000"/>
            </w:tcBorders>
            <w:shd w:val="clear" w:color="auto" w:fill="FFFFFF"/>
          </w:tcPr>
          <w:p w:rsidR="00627F4B" w:rsidRPr="00F30837" w:rsidRDefault="00627F4B" w:rsidP="00280733">
            <w:pPr>
              <w:pStyle w:val="CETBodytext"/>
              <w:rPr>
                <w:lang w:val="en-GB"/>
              </w:rPr>
            </w:pPr>
            <w:r w:rsidRPr="00F30837">
              <w:rPr>
                <w:lang w:val="en-GB"/>
              </w:rPr>
              <w:t>S</w:t>
            </w:r>
            <w:r w:rsidRPr="00F30837">
              <w:rPr>
                <w:vertAlign w:val="subscript"/>
                <w:lang w:val="en-GB"/>
              </w:rPr>
              <w:t xml:space="preserve">BET </w:t>
            </w:r>
            <w:r w:rsidRPr="00F30837">
              <w:rPr>
                <w:lang w:val="en-GB"/>
              </w:rPr>
              <w:t>(m</w:t>
            </w:r>
            <w:r w:rsidRPr="00F30837">
              <w:rPr>
                <w:vertAlign w:val="superscript"/>
                <w:lang w:val="en-GB"/>
              </w:rPr>
              <w:t>2</w:t>
            </w:r>
            <w:r w:rsidRPr="00F30837">
              <w:rPr>
                <w:rFonts w:cs="Arial"/>
                <w:lang w:val="en-GB"/>
              </w:rPr>
              <w:t>·</w:t>
            </w:r>
            <w:r w:rsidRPr="00F30837">
              <w:rPr>
                <w:lang w:val="en-GB"/>
              </w:rPr>
              <w:t>g</w:t>
            </w:r>
            <w:r w:rsidRPr="00F30837">
              <w:rPr>
                <w:vertAlign w:val="superscript"/>
                <w:lang w:val="en-GB"/>
              </w:rPr>
              <w:t>-1</w:t>
            </w:r>
            <w:r w:rsidRPr="00F30837">
              <w:rPr>
                <w:lang w:val="en-GB"/>
              </w:rPr>
              <w:t>)</w:t>
            </w:r>
          </w:p>
        </w:tc>
        <w:tc>
          <w:tcPr>
            <w:tcW w:w="4534" w:type="dxa"/>
            <w:tcBorders>
              <w:top w:val="single" w:sz="12" w:space="0" w:color="008000"/>
              <w:bottom w:val="single" w:sz="6" w:space="0" w:color="008000"/>
            </w:tcBorders>
            <w:shd w:val="clear" w:color="auto" w:fill="FFFFFF"/>
          </w:tcPr>
          <w:p w:rsidR="00627F4B" w:rsidRPr="00F30837" w:rsidRDefault="00627F4B" w:rsidP="00280733">
            <w:pPr>
              <w:pStyle w:val="CETBodytext"/>
              <w:rPr>
                <w:lang w:val="en-GB"/>
              </w:rPr>
            </w:pPr>
            <w:r w:rsidRPr="00F30837">
              <w:rPr>
                <w:lang w:val="en-GB"/>
              </w:rPr>
              <w:t>Carbon Formation rates (g</w:t>
            </w:r>
            <w:r w:rsidRPr="00F30837">
              <w:rPr>
                <w:vertAlign w:val="subscript"/>
                <w:lang w:val="en-GB"/>
              </w:rPr>
              <w:t>coke</w:t>
            </w:r>
            <w:r w:rsidRPr="00F30837">
              <w:rPr>
                <w:rFonts w:cs="Arial"/>
                <w:lang w:val="en-GB"/>
              </w:rPr>
              <w:t>·</w:t>
            </w:r>
            <w:r w:rsidRPr="00F30837">
              <w:rPr>
                <w:lang w:val="en-GB"/>
              </w:rPr>
              <w:t>g</w:t>
            </w:r>
            <w:r w:rsidRPr="00F30837">
              <w:rPr>
                <w:vertAlign w:val="subscript"/>
                <w:lang w:val="en-GB"/>
              </w:rPr>
              <w:t>catalyst</w:t>
            </w:r>
            <w:r w:rsidRPr="00F30837">
              <w:rPr>
                <w:vertAlign w:val="superscript"/>
                <w:lang w:val="en-GB"/>
              </w:rPr>
              <w:t>-1</w:t>
            </w:r>
            <w:r w:rsidRPr="00F30837">
              <w:rPr>
                <w:rFonts w:cs="Arial"/>
                <w:lang w:val="en-GB"/>
              </w:rPr>
              <w:t>·g</w:t>
            </w:r>
            <w:r w:rsidRPr="00F30837">
              <w:rPr>
                <w:rFonts w:cs="Arial"/>
                <w:vertAlign w:val="subscript"/>
                <w:lang w:val="en-GB"/>
              </w:rPr>
              <w:t>carbon,fed</w:t>
            </w:r>
            <w:r w:rsidRPr="00F30837">
              <w:rPr>
                <w:rFonts w:cs="Arial"/>
                <w:vertAlign w:val="superscript"/>
                <w:lang w:val="en-GB"/>
              </w:rPr>
              <w:t>-1</w:t>
            </w:r>
            <w:r w:rsidRPr="00F30837">
              <w:rPr>
                <w:rFonts w:cs="Arial"/>
                <w:lang w:val="en-GB"/>
              </w:rPr>
              <w:t>·h</w:t>
            </w:r>
            <w:r w:rsidRPr="00F30837">
              <w:rPr>
                <w:rFonts w:cs="Arial"/>
                <w:vertAlign w:val="superscript"/>
                <w:lang w:val="en-GB"/>
              </w:rPr>
              <w:t>-1</w:t>
            </w:r>
            <w:r w:rsidRPr="00F30837">
              <w:rPr>
                <w:rFonts w:cs="Arial"/>
                <w:lang w:val="en-GB"/>
              </w:rPr>
              <w:t>)</w:t>
            </w:r>
          </w:p>
        </w:tc>
      </w:tr>
      <w:tr w:rsidR="00F30837" w:rsidRPr="00F30837" w:rsidTr="00627F4B">
        <w:tc>
          <w:tcPr>
            <w:tcW w:w="1047" w:type="dxa"/>
            <w:shd w:val="clear" w:color="auto" w:fill="FFFFFF"/>
          </w:tcPr>
          <w:p w:rsidR="00627F4B" w:rsidRPr="00F30837" w:rsidRDefault="00627F4B" w:rsidP="00280733">
            <w:pPr>
              <w:pStyle w:val="CETBodytext"/>
              <w:rPr>
                <w:lang w:val="en-GB"/>
              </w:rPr>
            </w:pPr>
            <w:r w:rsidRPr="00F30837">
              <w:rPr>
                <w:lang w:val="en-GB"/>
              </w:rPr>
              <w:t>N</w:t>
            </w:r>
          </w:p>
        </w:tc>
        <w:tc>
          <w:tcPr>
            <w:tcW w:w="3206" w:type="dxa"/>
            <w:shd w:val="clear" w:color="auto" w:fill="FFFFFF"/>
          </w:tcPr>
          <w:p w:rsidR="00627F4B" w:rsidRPr="00F30837" w:rsidRDefault="00A34144" w:rsidP="00280733">
            <w:pPr>
              <w:pStyle w:val="CETBodytext"/>
              <w:rPr>
                <w:lang w:val="en-GB"/>
              </w:rPr>
            </w:pPr>
            <w:r w:rsidRPr="00F30837">
              <w:rPr>
                <w:lang w:val="en-GB"/>
              </w:rPr>
              <w:t>169</w:t>
            </w:r>
          </w:p>
        </w:tc>
        <w:tc>
          <w:tcPr>
            <w:tcW w:w="4534" w:type="dxa"/>
            <w:shd w:val="clear" w:color="auto" w:fill="FFFFFF"/>
          </w:tcPr>
          <w:p w:rsidR="00627F4B" w:rsidRPr="00F30837" w:rsidRDefault="00A34144" w:rsidP="00280733">
            <w:pPr>
              <w:pStyle w:val="CETBodytext"/>
              <w:rPr>
                <w:lang w:val="en-GB"/>
              </w:rPr>
            </w:pPr>
            <w:r w:rsidRPr="00F30837">
              <w:rPr>
                <w:lang w:val="en-GB"/>
              </w:rPr>
              <w:t>3</w:t>
            </w:r>
            <w:r w:rsidRPr="00F30837">
              <w:rPr>
                <w:rFonts w:cs="Arial"/>
                <w:lang w:val="en-GB"/>
              </w:rPr>
              <w:t>·</w:t>
            </w:r>
            <w:r w:rsidRPr="00F30837">
              <w:rPr>
                <w:lang w:val="en-GB"/>
              </w:rPr>
              <w:t>10</w:t>
            </w:r>
            <w:r w:rsidRPr="00F30837">
              <w:rPr>
                <w:vertAlign w:val="superscript"/>
                <w:lang w:val="en-GB"/>
              </w:rPr>
              <w:t>-6</w:t>
            </w:r>
          </w:p>
        </w:tc>
      </w:tr>
      <w:tr w:rsidR="00F30837" w:rsidRPr="00F30837" w:rsidTr="00627F4B">
        <w:tc>
          <w:tcPr>
            <w:tcW w:w="1047" w:type="dxa"/>
            <w:shd w:val="clear" w:color="auto" w:fill="FFFFFF"/>
          </w:tcPr>
          <w:p w:rsidR="00627F4B" w:rsidRPr="00F30837" w:rsidRDefault="00627F4B" w:rsidP="00280733">
            <w:pPr>
              <w:pStyle w:val="CETBodytext"/>
              <w:ind w:right="-1"/>
              <w:rPr>
                <w:rFonts w:cs="Arial"/>
                <w:szCs w:val="18"/>
                <w:lang w:val="en-GB"/>
              </w:rPr>
            </w:pPr>
            <w:r w:rsidRPr="00F30837">
              <w:rPr>
                <w:rFonts w:cs="Arial"/>
                <w:szCs w:val="18"/>
                <w:lang w:val="en-GB"/>
              </w:rPr>
              <w:t>AN</w:t>
            </w:r>
          </w:p>
        </w:tc>
        <w:tc>
          <w:tcPr>
            <w:tcW w:w="3206" w:type="dxa"/>
            <w:shd w:val="clear" w:color="auto" w:fill="FFFFFF"/>
          </w:tcPr>
          <w:p w:rsidR="00627F4B" w:rsidRPr="00F30837" w:rsidRDefault="00A34144" w:rsidP="00280733">
            <w:pPr>
              <w:pStyle w:val="CETBodytext"/>
              <w:ind w:right="-1"/>
              <w:rPr>
                <w:rFonts w:cs="Arial"/>
                <w:szCs w:val="18"/>
                <w:lang w:val="en-GB"/>
              </w:rPr>
            </w:pPr>
            <w:r w:rsidRPr="00F30837">
              <w:rPr>
                <w:rFonts w:cs="Arial"/>
                <w:szCs w:val="18"/>
                <w:lang w:val="en-GB"/>
              </w:rPr>
              <w:t>175</w:t>
            </w:r>
          </w:p>
        </w:tc>
        <w:tc>
          <w:tcPr>
            <w:tcW w:w="4534" w:type="dxa"/>
            <w:shd w:val="clear" w:color="auto" w:fill="FFFFFF"/>
          </w:tcPr>
          <w:p w:rsidR="00627F4B" w:rsidRPr="00F30837" w:rsidRDefault="00A34144" w:rsidP="00280733">
            <w:pPr>
              <w:pStyle w:val="CETBodytext"/>
              <w:ind w:right="-1"/>
              <w:rPr>
                <w:rFonts w:cs="Arial"/>
                <w:szCs w:val="18"/>
                <w:lang w:val="en-GB"/>
              </w:rPr>
            </w:pPr>
            <w:r w:rsidRPr="00F30837">
              <w:rPr>
                <w:rFonts w:cs="Arial"/>
                <w:szCs w:val="18"/>
                <w:lang w:val="en-GB"/>
              </w:rPr>
              <w:t>2.9·10</w:t>
            </w:r>
            <w:r w:rsidRPr="00F30837">
              <w:rPr>
                <w:rFonts w:cs="Arial"/>
                <w:szCs w:val="18"/>
                <w:vertAlign w:val="superscript"/>
                <w:lang w:val="en-GB"/>
              </w:rPr>
              <w:t>-6</w:t>
            </w:r>
          </w:p>
        </w:tc>
      </w:tr>
      <w:tr w:rsidR="00F30837" w:rsidRPr="00F30837" w:rsidTr="00627F4B">
        <w:tc>
          <w:tcPr>
            <w:tcW w:w="1047" w:type="dxa"/>
            <w:shd w:val="clear" w:color="auto" w:fill="FFFFFF"/>
          </w:tcPr>
          <w:p w:rsidR="00627F4B" w:rsidRPr="00F30837" w:rsidRDefault="00627F4B" w:rsidP="00280733">
            <w:pPr>
              <w:pStyle w:val="CETBodytext"/>
              <w:ind w:right="-1"/>
              <w:rPr>
                <w:rFonts w:cs="Arial"/>
                <w:szCs w:val="18"/>
                <w:lang w:val="en-GB"/>
              </w:rPr>
            </w:pPr>
            <w:r w:rsidRPr="00F30837">
              <w:rPr>
                <w:rFonts w:cs="Arial"/>
                <w:szCs w:val="18"/>
                <w:lang w:val="en-GB"/>
              </w:rPr>
              <w:t>AC</w:t>
            </w:r>
          </w:p>
        </w:tc>
        <w:tc>
          <w:tcPr>
            <w:tcW w:w="3206" w:type="dxa"/>
            <w:shd w:val="clear" w:color="auto" w:fill="FFFFFF"/>
          </w:tcPr>
          <w:p w:rsidR="00627F4B" w:rsidRPr="00F30837" w:rsidRDefault="00A34144" w:rsidP="00280733">
            <w:pPr>
              <w:pStyle w:val="CETBodytext"/>
              <w:ind w:right="-1"/>
              <w:rPr>
                <w:rFonts w:cs="Arial"/>
                <w:szCs w:val="18"/>
                <w:lang w:val="en-GB"/>
              </w:rPr>
            </w:pPr>
            <w:r w:rsidRPr="00F30837">
              <w:rPr>
                <w:rFonts w:cs="Arial"/>
                <w:szCs w:val="18"/>
                <w:lang w:val="en-GB"/>
              </w:rPr>
              <w:t>206</w:t>
            </w:r>
          </w:p>
        </w:tc>
        <w:tc>
          <w:tcPr>
            <w:tcW w:w="4534" w:type="dxa"/>
            <w:shd w:val="clear" w:color="auto" w:fill="FFFFFF"/>
          </w:tcPr>
          <w:p w:rsidR="00627F4B" w:rsidRPr="00F30837" w:rsidRDefault="00A34144" w:rsidP="00280733">
            <w:pPr>
              <w:pStyle w:val="CETBodytext"/>
              <w:ind w:right="-1"/>
              <w:rPr>
                <w:rFonts w:cs="Arial"/>
                <w:szCs w:val="18"/>
                <w:lang w:val="en-GB"/>
              </w:rPr>
            </w:pPr>
            <w:r w:rsidRPr="00F30837">
              <w:rPr>
                <w:rFonts w:cs="Arial"/>
                <w:szCs w:val="18"/>
                <w:lang w:val="en-GB"/>
              </w:rPr>
              <w:t>1.4·10</w:t>
            </w:r>
            <w:r w:rsidRPr="00F30837">
              <w:rPr>
                <w:rFonts w:cs="Arial"/>
                <w:szCs w:val="18"/>
                <w:vertAlign w:val="superscript"/>
                <w:lang w:val="en-GB"/>
              </w:rPr>
              <w:t>-6</w:t>
            </w:r>
          </w:p>
        </w:tc>
      </w:tr>
    </w:tbl>
    <w:p w:rsidR="00597B7E" w:rsidRPr="00F30837" w:rsidRDefault="00597B7E" w:rsidP="006E2D82">
      <w:pPr>
        <w:pStyle w:val="CETBodytext"/>
        <w:rPr>
          <w:rFonts w:cs="Arial"/>
          <w:lang w:val="en-GB"/>
        </w:rPr>
      </w:pPr>
    </w:p>
    <w:p w:rsidR="00627F4B" w:rsidRPr="00F30837" w:rsidRDefault="00904973" w:rsidP="006E2D82">
      <w:pPr>
        <w:pStyle w:val="CETBodytext"/>
        <w:rPr>
          <w:rFonts w:cs="Arial"/>
          <w:lang w:val="en-GB"/>
        </w:rPr>
      </w:pPr>
      <w:r w:rsidRPr="00F30837">
        <w:rPr>
          <w:rFonts w:cs="Arial"/>
          <w:lang w:val="en-GB"/>
        </w:rPr>
        <w:t>These results confirmed that the highe</w:t>
      </w:r>
      <w:r w:rsidR="00AE6C2B" w:rsidRPr="00F30837">
        <w:rPr>
          <w:rFonts w:cs="Arial"/>
          <w:lang w:val="en-GB"/>
        </w:rPr>
        <w:t>r performances of the AC catalyst</w:t>
      </w:r>
      <w:r w:rsidRPr="00F30837">
        <w:rPr>
          <w:rFonts w:cs="Arial"/>
          <w:lang w:val="en-GB"/>
        </w:rPr>
        <w:t xml:space="preserve"> are related to its reduced coke accumulation tendency. The better activity and stability of the catalyst prepared from acetylacetonate is ascribable to the chemical structure of the salt, markedly different from that of the nitrates. During the preparation of the CeO</w:t>
      </w:r>
      <w:r w:rsidRPr="00F30837">
        <w:rPr>
          <w:rFonts w:cs="Arial"/>
          <w:vertAlign w:val="subscript"/>
          <w:lang w:val="en-GB"/>
        </w:rPr>
        <w:t>2</w:t>
      </w:r>
      <w:r w:rsidRPr="00F30837">
        <w:rPr>
          <w:rFonts w:cs="Arial"/>
          <w:lang w:val="en-GB"/>
        </w:rPr>
        <w:t>-SiO</w:t>
      </w:r>
      <w:r w:rsidRPr="00F30837">
        <w:rPr>
          <w:rFonts w:cs="Arial"/>
          <w:vertAlign w:val="subscript"/>
          <w:lang w:val="en-GB"/>
        </w:rPr>
        <w:t>2</w:t>
      </w:r>
      <w:r w:rsidRPr="00F30837">
        <w:rPr>
          <w:rFonts w:cs="Arial"/>
          <w:lang w:val="en-GB"/>
        </w:rPr>
        <w:t xml:space="preserve"> support, in fact, the organic group of the salt assures a templanting effect, improving the dispersion of CeO</w:t>
      </w:r>
      <w:r w:rsidRPr="00F30837">
        <w:rPr>
          <w:rFonts w:cs="Arial"/>
          <w:vertAlign w:val="subscript"/>
          <w:lang w:val="en-GB"/>
        </w:rPr>
        <w:t>2</w:t>
      </w:r>
      <w:r w:rsidRPr="00F30837">
        <w:rPr>
          <w:rFonts w:cs="Arial"/>
          <w:lang w:val="en-GB"/>
        </w:rPr>
        <w:t xml:space="preserve"> particles (as also attested by the results of XRD analysis reported in Table 1). </w:t>
      </w:r>
      <w:r w:rsidR="0018061C" w:rsidRPr="00F30837">
        <w:rPr>
          <w:rFonts w:cs="Arial"/>
          <w:lang w:val="en-GB"/>
        </w:rPr>
        <w:t xml:space="preserve">In </w:t>
      </w:r>
      <w:r w:rsidR="006652BA" w:rsidRPr="00F30837">
        <w:rPr>
          <w:rFonts w:cs="Arial"/>
          <w:lang w:val="en-GB"/>
        </w:rPr>
        <w:t>particular</w:t>
      </w:r>
      <w:r w:rsidR="0018061C" w:rsidRPr="00F30837">
        <w:rPr>
          <w:rFonts w:cs="Arial"/>
          <w:lang w:val="en-GB"/>
        </w:rPr>
        <w:t>, the organic group of the salt is able to assure a proper stereochemical position</w:t>
      </w:r>
      <w:r w:rsidR="006652BA" w:rsidRPr="00F30837">
        <w:rPr>
          <w:rFonts w:cs="Arial"/>
          <w:lang w:val="en-GB"/>
        </w:rPr>
        <w:t xml:space="preserve"> to cerium ions</w:t>
      </w:r>
      <w:r w:rsidR="0018061C" w:rsidRPr="00F30837">
        <w:rPr>
          <w:rFonts w:cs="Arial"/>
          <w:lang w:val="en-GB"/>
        </w:rPr>
        <w:t>, which prevents CeO</w:t>
      </w:r>
      <w:r w:rsidR="0018061C" w:rsidRPr="00F30837">
        <w:rPr>
          <w:rFonts w:cs="Arial"/>
          <w:vertAlign w:val="subscript"/>
          <w:lang w:val="en-GB"/>
        </w:rPr>
        <w:t>2</w:t>
      </w:r>
      <w:r w:rsidR="0018061C" w:rsidRPr="00F30837">
        <w:rPr>
          <w:rFonts w:cs="Arial"/>
          <w:lang w:val="en-GB"/>
        </w:rPr>
        <w:t xml:space="preserve"> sintering and assures higher catalytic performances to the final catalyst compared </w:t>
      </w:r>
      <w:r w:rsidR="006652BA" w:rsidRPr="00F30837">
        <w:rPr>
          <w:rFonts w:cs="Arial"/>
          <w:lang w:val="en-GB"/>
        </w:rPr>
        <w:t>to</w:t>
      </w:r>
      <w:r w:rsidR="0018061C" w:rsidRPr="00F30837">
        <w:rPr>
          <w:rFonts w:cs="Arial"/>
          <w:lang w:val="en-GB"/>
        </w:rPr>
        <w:t xml:space="preserve"> the samples prepared from other precursors. </w:t>
      </w:r>
      <w:r w:rsidRPr="00F30837">
        <w:rPr>
          <w:rFonts w:cs="Arial"/>
          <w:lang w:val="en-GB"/>
        </w:rPr>
        <w:t xml:space="preserve">Also other authors (Bensalem et al., 1995) found that the employment of acetylacetonate as salt precursor </w:t>
      </w:r>
      <w:r w:rsidR="002E60B6" w:rsidRPr="00F30837">
        <w:rPr>
          <w:rFonts w:cs="Arial"/>
          <w:lang w:val="en-GB"/>
        </w:rPr>
        <w:t>for the preparation of CeO</w:t>
      </w:r>
      <w:r w:rsidR="002E60B6" w:rsidRPr="00F30837">
        <w:rPr>
          <w:rFonts w:cs="Arial"/>
          <w:vertAlign w:val="subscript"/>
          <w:lang w:val="en-GB"/>
        </w:rPr>
        <w:t>2</w:t>
      </w:r>
      <w:r w:rsidR="002E60B6" w:rsidRPr="00F30837">
        <w:rPr>
          <w:rFonts w:cs="Arial"/>
          <w:lang w:val="en-GB"/>
        </w:rPr>
        <w:t>-SiO</w:t>
      </w:r>
      <w:r w:rsidR="002E60B6" w:rsidRPr="00F30837">
        <w:rPr>
          <w:rFonts w:cs="Arial"/>
          <w:vertAlign w:val="subscript"/>
          <w:lang w:val="en-GB"/>
        </w:rPr>
        <w:t>2</w:t>
      </w:r>
      <w:r w:rsidR="002E60B6" w:rsidRPr="00F30837">
        <w:rPr>
          <w:rFonts w:cs="Arial"/>
          <w:lang w:val="en-GB"/>
        </w:rPr>
        <w:t xml:space="preserve"> mixed oxides l</w:t>
      </w:r>
      <w:r w:rsidRPr="00F30837">
        <w:rPr>
          <w:rFonts w:cs="Arial"/>
          <w:lang w:val="en-GB"/>
        </w:rPr>
        <w:t>ead</w:t>
      </w:r>
      <w:r w:rsidR="006652BA" w:rsidRPr="00F30837">
        <w:rPr>
          <w:rFonts w:cs="Arial"/>
          <w:lang w:val="en-GB"/>
        </w:rPr>
        <w:t>s</w:t>
      </w:r>
      <w:r w:rsidRPr="00F30837">
        <w:rPr>
          <w:rFonts w:cs="Arial"/>
          <w:lang w:val="en-GB"/>
        </w:rPr>
        <w:t xml:space="preserve"> to lower dimension</w:t>
      </w:r>
      <w:r w:rsidR="006652BA" w:rsidRPr="00F30837">
        <w:rPr>
          <w:rFonts w:cs="Arial"/>
          <w:lang w:val="en-GB"/>
        </w:rPr>
        <w:t>s</w:t>
      </w:r>
      <w:r w:rsidRPr="00F30837">
        <w:rPr>
          <w:rFonts w:cs="Arial"/>
          <w:lang w:val="en-GB"/>
        </w:rPr>
        <w:t xml:space="preserve"> of </w:t>
      </w:r>
      <w:r w:rsidR="002E60B6" w:rsidRPr="00F30837">
        <w:rPr>
          <w:rFonts w:cs="Arial"/>
          <w:lang w:val="en-GB"/>
        </w:rPr>
        <w:t>ceria</w:t>
      </w:r>
      <w:r w:rsidRPr="00F30837">
        <w:rPr>
          <w:rFonts w:cs="Arial"/>
          <w:lang w:val="en-GB"/>
        </w:rPr>
        <w:t xml:space="preserve"> particles compared to nitrates. As a consequence</w:t>
      </w:r>
      <w:r w:rsidR="002E60B6" w:rsidRPr="00F30837">
        <w:rPr>
          <w:rFonts w:cs="Arial"/>
          <w:lang w:val="en-GB"/>
        </w:rPr>
        <w:t xml:space="preserve"> of the improved active species dispersion</w:t>
      </w:r>
      <w:r w:rsidRPr="00F30837">
        <w:rPr>
          <w:rFonts w:cs="Arial"/>
          <w:lang w:val="en-GB"/>
        </w:rPr>
        <w:t xml:space="preserve">, the </w:t>
      </w:r>
      <w:r w:rsidR="002E60B6" w:rsidRPr="00F30837">
        <w:rPr>
          <w:rFonts w:cs="Arial"/>
          <w:lang w:val="en-GB"/>
        </w:rPr>
        <w:t>c</w:t>
      </w:r>
      <w:r w:rsidRPr="00F30837">
        <w:rPr>
          <w:rFonts w:cs="Arial"/>
          <w:lang w:val="en-GB"/>
        </w:rPr>
        <w:t xml:space="preserve">atalyst </w:t>
      </w:r>
      <w:r w:rsidR="002E60B6" w:rsidRPr="00F30837">
        <w:rPr>
          <w:rFonts w:cs="Arial"/>
          <w:lang w:val="en-GB"/>
        </w:rPr>
        <w:t xml:space="preserve">AC </w:t>
      </w:r>
      <w:r w:rsidRPr="00F30837">
        <w:rPr>
          <w:rFonts w:cs="Arial"/>
          <w:lang w:val="en-GB"/>
        </w:rPr>
        <w:t xml:space="preserve">displayed </w:t>
      </w:r>
      <w:r w:rsidR="006652BA" w:rsidRPr="00F30837">
        <w:rPr>
          <w:rFonts w:cs="Arial"/>
          <w:lang w:val="en-GB"/>
        </w:rPr>
        <w:t>better</w:t>
      </w:r>
      <w:r w:rsidRPr="00F30837">
        <w:rPr>
          <w:rFonts w:cs="Arial"/>
          <w:lang w:val="en-GB"/>
        </w:rPr>
        <w:t xml:space="preserve"> activity towards both reforming and carbon gasification reactions</w:t>
      </w:r>
      <w:r w:rsidR="002E60B6" w:rsidRPr="00F30837">
        <w:rPr>
          <w:rFonts w:cs="Arial"/>
          <w:lang w:val="en-GB"/>
        </w:rPr>
        <w:t xml:space="preserve"> with respect to the </w:t>
      </w:r>
      <w:r w:rsidR="006652BA" w:rsidRPr="00F30837">
        <w:rPr>
          <w:rFonts w:cs="Arial"/>
          <w:lang w:val="en-GB"/>
        </w:rPr>
        <w:t xml:space="preserve">N as well as AN </w:t>
      </w:r>
      <w:r w:rsidR="002E60B6" w:rsidRPr="00F30837">
        <w:rPr>
          <w:rFonts w:cs="Arial"/>
          <w:lang w:val="en-GB"/>
        </w:rPr>
        <w:t>samples</w:t>
      </w:r>
      <w:r w:rsidRPr="00F30837">
        <w:rPr>
          <w:rFonts w:cs="Arial"/>
          <w:lang w:val="en-GB"/>
        </w:rPr>
        <w:t xml:space="preserve">. </w:t>
      </w:r>
    </w:p>
    <w:bookmarkEnd w:id="1"/>
    <w:p w:rsidR="002E60B6" w:rsidRDefault="002E60B6" w:rsidP="002E60B6">
      <w:pPr>
        <w:pStyle w:val="CETHeading1"/>
      </w:pPr>
      <w:r>
        <w:t xml:space="preserve">Conclusions </w:t>
      </w:r>
    </w:p>
    <w:p w:rsidR="002E60B6" w:rsidRDefault="00845479" w:rsidP="006E2D82">
      <w:pPr>
        <w:pStyle w:val="CETBodytext"/>
        <w:rPr>
          <w:lang w:val="en-GB"/>
        </w:rPr>
      </w:pPr>
      <w:r>
        <w:rPr>
          <w:lang w:val="en-GB"/>
        </w:rPr>
        <w:t>In the present work, oxidative steam reforming of ethanol has been investigated over Pt-Ni/CeO</w:t>
      </w:r>
      <w:r w:rsidRPr="00845479">
        <w:rPr>
          <w:vertAlign w:val="subscript"/>
          <w:lang w:val="en-GB"/>
        </w:rPr>
        <w:t>2</w:t>
      </w:r>
      <w:r>
        <w:rPr>
          <w:lang w:val="en-GB"/>
        </w:rPr>
        <w:t>-SiO</w:t>
      </w:r>
      <w:r w:rsidRPr="00845479">
        <w:rPr>
          <w:vertAlign w:val="subscript"/>
          <w:lang w:val="en-GB"/>
        </w:rPr>
        <w:t>2</w:t>
      </w:r>
      <w:r>
        <w:rPr>
          <w:lang w:val="en-GB"/>
        </w:rPr>
        <w:t xml:space="preserve"> catalysts prepared by wet impregnation from different ceria salt precursors (nitrate, ammonium nitrate, acetylacetonate). The activity and stability of the samples was studied at 500°C under a </w:t>
      </w:r>
      <w:r w:rsidR="00F73F1F">
        <w:rPr>
          <w:lang w:val="en-GB"/>
        </w:rPr>
        <w:t>H</w:t>
      </w:r>
      <w:r w:rsidR="00F73F1F" w:rsidRPr="00F73F1F">
        <w:rPr>
          <w:vertAlign w:val="subscript"/>
          <w:lang w:val="en-GB"/>
        </w:rPr>
        <w:t>2</w:t>
      </w:r>
      <w:r w:rsidR="00F73F1F">
        <w:rPr>
          <w:lang w:val="en-GB"/>
        </w:rPr>
        <w:t>O</w:t>
      </w:r>
      <w:r>
        <w:rPr>
          <w:lang w:val="en-GB"/>
        </w:rPr>
        <w:t>/</w:t>
      </w:r>
      <w:r w:rsidR="00F73F1F">
        <w:rPr>
          <w:lang w:val="en-GB"/>
        </w:rPr>
        <w:t>C</w:t>
      </w:r>
      <w:r w:rsidR="00F73F1F" w:rsidRPr="00F73F1F">
        <w:rPr>
          <w:vertAlign w:val="subscript"/>
          <w:lang w:val="en-GB"/>
        </w:rPr>
        <w:t>2</w:t>
      </w:r>
      <w:r w:rsidR="00F73F1F">
        <w:rPr>
          <w:lang w:val="en-GB"/>
        </w:rPr>
        <w:t>H</w:t>
      </w:r>
      <w:r w:rsidR="00F73F1F" w:rsidRPr="00F73F1F">
        <w:rPr>
          <w:vertAlign w:val="subscript"/>
          <w:lang w:val="en-GB"/>
        </w:rPr>
        <w:t>5</w:t>
      </w:r>
      <w:r w:rsidR="00F73F1F">
        <w:rPr>
          <w:lang w:val="en-GB"/>
        </w:rPr>
        <w:t>OH</w:t>
      </w:r>
      <w:r>
        <w:rPr>
          <w:lang w:val="en-GB"/>
        </w:rPr>
        <w:t xml:space="preserve"> ratio of 4</w:t>
      </w:r>
      <w:r w:rsidR="006652BA">
        <w:rPr>
          <w:lang w:val="en-GB"/>
        </w:rPr>
        <w:t xml:space="preserve"> and</w:t>
      </w:r>
      <w:r>
        <w:rPr>
          <w:lang w:val="en-GB"/>
        </w:rPr>
        <w:t xml:space="preserve"> </w:t>
      </w:r>
      <w:r w:rsidR="00F73F1F">
        <w:rPr>
          <w:lang w:val="en-GB"/>
        </w:rPr>
        <w:t>O</w:t>
      </w:r>
      <w:r w:rsidR="00F73F1F" w:rsidRPr="00F73F1F">
        <w:rPr>
          <w:vertAlign w:val="subscript"/>
          <w:lang w:val="en-GB"/>
        </w:rPr>
        <w:t>2</w:t>
      </w:r>
      <w:r w:rsidR="00F73F1F">
        <w:rPr>
          <w:lang w:val="en-GB"/>
        </w:rPr>
        <w:t>/C</w:t>
      </w:r>
      <w:r w:rsidR="00F73F1F" w:rsidRPr="00F73F1F">
        <w:rPr>
          <w:vertAlign w:val="subscript"/>
          <w:lang w:val="en-GB"/>
        </w:rPr>
        <w:t>2</w:t>
      </w:r>
      <w:r w:rsidR="00F73F1F">
        <w:rPr>
          <w:lang w:val="en-GB"/>
        </w:rPr>
        <w:t>H</w:t>
      </w:r>
      <w:r w:rsidR="00F73F1F" w:rsidRPr="00F73F1F">
        <w:rPr>
          <w:vertAlign w:val="subscript"/>
          <w:lang w:val="en-GB"/>
        </w:rPr>
        <w:t>5</w:t>
      </w:r>
      <w:r w:rsidR="00F73F1F">
        <w:rPr>
          <w:lang w:val="en-GB"/>
        </w:rPr>
        <w:t>OH</w:t>
      </w:r>
      <w:r>
        <w:rPr>
          <w:lang w:val="en-GB"/>
        </w:rPr>
        <w:t xml:space="preserve"> ratio of 0.5. A quite high space velocity was selected (WHSV=12.3 h</w:t>
      </w:r>
      <w:r w:rsidRPr="00A74B8F">
        <w:rPr>
          <w:vertAlign w:val="superscript"/>
          <w:lang w:val="en-GB"/>
        </w:rPr>
        <w:t>-1</w:t>
      </w:r>
      <w:r>
        <w:rPr>
          <w:lang w:val="en-GB"/>
        </w:rPr>
        <w:t xml:space="preserve">) in order to evaluate the catalyst behaviour </w:t>
      </w:r>
      <w:r>
        <w:rPr>
          <w:lang w:val="en-GB"/>
        </w:rPr>
        <w:lastRenderedPageBreak/>
        <w:t xml:space="preserve">under more stressful conditions. The results of catalyst characterization revealed </w:t>
      </w:r>
      <w:r w:rsidR="00A74B8F">
        <w:rPr>
          <w:lang w:val="en-GB"/>
        </w:rPr>
        <w:t>the good active species dispersion and the high reducibility of the sample prepared from the organic precursor. During time-on-stream tests, all the samples displayed a partial deactivation; however, after almost 80 h, a new stationary condition was recorded, corresponding to a net rate of carbon formation equal to zero. However, the catalyst prepared from acetylacetonate was attested to higher values in terms of both ethanol conversion and hydrogen yield. The results of spent catalyst characterization proved the lower extent of carbon deposition on the latter sample: the choice of acetylacetonate as salt precursor assures a templanting effect, promoting ceria dispersion and improving catalyst activity towards both reforming and carbon gasification reactions.</w:t>
      </w:r>
    </w:p>
    <w:p w:rsidR="004628D2" w:rsidRPr="002C7F23" w:rsidRDefault="00600535" w:rsidP="00045591">
      <w:pPr>
        <w:pStyle w:val="CETReference"/>
      </w:pPr>
      <w:r w:rsidRPr="002C7F23">
        <w:t>References</w:t>
      </w:r>
    </w:p>
    <w:p w:rsidR="00DF0C30" w:rsidRDefault="00DF0C30" w:rsidP="002C7F23">
      <w:pPr>
        <w:pStyle w:val="CETReferencetext"/>
      </w:pPr>
      <w:r w:rsidRPr="00DF0C30">
        <w:t>Baruah</w:t>
      </w:r>
      <w:r>
        <w:t xml:space="preserve"> R.</w:t>
      </w:r>
      <w:r w:rsidRPr="00DF0C30">
        <w:t>, Dixit</w:t>
      </w:r>
      <w:r>
        <w:t xml:space="preserve"> M.</w:t>
      </w:r>
      <w:r w:rsidRPr="00DF0C30">
        <w:t>, Basarkar</w:t>
      </w:r>
      <w:r>
        <w:t xml:space="preserve"> P.</w:t>
      </w:r>
      <w:r w:rsidRPr="00DF0C30">
        <w:t>, Parikh</w:t>
      </w:r>
      <w:r>
        <w:t xml:space="preserve"> D.</w:t>
      </w:r>
      <w:r w:rsidRPr="00DF0C30">
        <w:t xml:space="preserve">, Bhargav </w:t>
      </w:r>
      <w:r>
        <w:t xml:space="preserve">A., 2015, </w:t>
      </w:r>
      <w:r w:rsidRPr="00DF0C30">
        <w:t>Advances in ethanol autothermal reforming</w:t>
      </w:r>
      <w:r>
        <w:t xml:space="preserve">, </w:t>
      </w:r>
      <w:r w:rsidRPr="00DF0C30">
        <w:t>Renewable an</w:t>
      </w:r>
      <w:r>
        <w:t xml:space="preserve">d Sustainable Energy Reviews 51, </w:t>
      </w:r>
      <w:r w:rsidRPr="00DF0C30">
        <w:t>1345–1353</w:t>
      </w:r>
      <w:r>
        <w:t>.</w:t>
      </w:r>
    </w:p>
    <w:p w:rsidR="00646A37" w:rsidRDefault="00646A37" w:rsidP="00646A37">
      <w:pPr>
        <w:pStyle w:val="CETReferencetext"/>
      </w:pPr>
      <w:r>
        <w:t>Bensalem A., Bozon-Verduraz F., Delamar M., Bugli G., 1995, Preparation and characterization of highly dispersed silica-supported ceria, Applied Catalysis A: General, 121, 81-93.</w:t>
      </w:r>
    </w:p>
    <w:p w:rsidR="00646A37" w:rsidRDefault="00646A37" w:rsidP="00646A37">
      <w:pPr>
        <w:pStyle w:val="CETReferencetext"/>
      </w:pPr>
      <w:r w:rsidRPr="00A4096D">
        <w:t>Da Costa-Serra J.F., Chica A., 2018, Catal</w:t>
      </w:r>
      <w:r>
        <w:t xml:space="preserve">ysts based on Co-Birnessite and </w:t>
      </w:r>
      <w:r w:rsidRPr="00A4096D">
        <w:t>Co-Todoroki</w:t>
      </w:r>
      <w:r>
        <w:t xml:space="preserve">te for the efficient production </w:t>
      </w:r>
      <w:r w:rsidRPr="00A4096D">
        <w:t>of hydrogen by ethanol steam reforming</w:t>
      </w:r>
      <w:r>
        <w:t>, International Journal of Hydrogen Energy, 43, 1659-65.</w:t>
      </w:r>
    </w:p>
    <w:p w:rsidR="00646A37" w:rsidRDefault="00646A37" w:rsidP="00646A37">
      <w:pPr>
        <w:pStyle w:val="CETReferencetext"/>
      </w:pPr>
      <w:r w:rsidRPr="006A273B">
        <w:t xml:space="preserve">Di Michele A., Dell’Angelo A., Tripoldi A., Bahadori E., Sanchez F., Dimitratos N., Rossetti I., Ramis G., </w:t>
      </w:r>
      <w:r w:rsidR="00600744">
        <w:t xml:space="preserve">2019, </w:t>
      </w:r>
      <w:r w:rsidRPr="006A273B">
        <w:t>Steam reforming of ethanol over Ni/MgAl</w:t>
      </w:r>
      <w:r w:rsidRPr="00A74B8F">
        <w:rPr>
          <w:vertAlign w:val="subscript"/>
        </w:rPr>
        <w:t>2</w:t>
      </w:r>
      <w:r w:rsidRPr="006A273B">
        <w:t>O</w:t>
      </w:r>
      <w:r w:rsidRPr="00A74B8F">
        <w:rPr>
          <w:vertAlign w:val="subscript"/>
        </w:rPr>
        <w:t>4</w:t>
      </w:r>
      <w:r w:rsidRPr="006A273B">
        <w:t xml:space="preserve"> catalysts, International Journal of Hydrogen Energy</w:t>
      </w:r>
      <w:r w:rsidR="007D3FC5">
        <w:t>, 44, 952-964</w:t>
      </w:r>
      <w:r w:rsidRPr="006B4888">
        <w:t>.</w:t>
      </w:r>
    </w:p>
    <w:p w:rsidR="00646A37" w:rsidRDefault="00646A37" w:rsidP="00646A37">
      <w:pPr>
        <w:pStyle w:val="CETReferencetext"/>
      </w:pPr>
      <w:r w:rsidRPr="001D243B">
        <w:t>Feng Q. , Wang L.</w:t>
      </w:r>
      <w:r>
        <w:t xml:space="preserve"> , Su L., Xu S., 2017, Preparation of TiO</w:t>
      </w:r>
      <w:r w:rsidRPr="001D243B">
        <w:rPr>
          <w:vertAlign w:val="subscript"/>
        </w:rPr>
        <w:t>2</w:t>
      </w:r>
      <w:r>
        <w:t>@SiO</w:t>
      </w:r>
      <w:r w:rsidRPr="001D243B">
        <w:rPr>
          <w:vertAlign w:val="subscript"/>
        </w:rPr>
        <w:t>2</w:t>
      </w:r>
      <w:r>
        <w:t xml:space="preserve"> with a Hollow Olive-shaped Cable by Electrospinning, Chemical Engineering Transactions, 60 (2017) 109-114.</w:t>
      </w:r>
    </w:p>
    <w:p w:rsidR="001D029D" w:rsidRPr="001D029D" w:rsidRDefault="001D029D" w:rsidP="00646A37">
      <w:pPr>
        <w:pStyle w:val="CETReferencetext"/>
      </w:pPr>
      <w:r w:rsidRPr="001D029D">
        <w:t xml:space="preserve">Franco P., Martino M., Palma V., Scarpellini A., De Marco I., </w:t>
      </w:r>
      <w:r>
        <w:t xml:space="preserve">2018, </w:t>
      </w:r>
      <w:r w:rsidRPr="001D029D">
        <w:t>Pt on SAS-CeO</w:t>
      </w:r>
      <w:r w:rsidRPr="001D029D">
        <w:rPr>
          <w:vertAlign w:val="subscript"/>
        </w:rPr>
        <w:t>2</w:t>
      </w:r>
      <w:r>
        <w:t xml:space="preserve"> </w:t>
      </w:r>
      <w:r w:rsidRPr="001D029D">
        <w:t>nanopowder as catalyst for theCO-WGS reaction</w:t>
      </w:r>
      <w:r>
        <w:t>, 43, 19965-19975.</w:t>
      </w:r>
    </w:p>
    <w:p w:rsidR="00646A37" w:rsidRDefault="00646A37" w:rsidP="00646A37">
      <w:pPr>
        <w:pStyle w:val="CETReferencetext"/>
      </w:pPr>
      <w:r>
        <w:t>Hossain Tofazzel S.T., Azeeva E., Zhang K., Zell E.T., Bernard D.T., Balaz S., Wang R., 2018, A comparative study of CO oxidation over Cu-O-Ce solid solutions and CuO/CeO</w:t>
      </w:r>
      <w:r w:rsidRPr="00BB1037">
        <w:rPr>
          <w:vertAlign w:val="subscript"/>
        </w:rPr>
        <w:t>2</w:t>
      </w:r>
      <w:r>
        <w:t xml:space="preserve"> nanorods catalysts, Applied Surface Science, 455, 132-143.</w:t>
      </w:r>
    </w:p>
    <w:p w:rsidR="00646A37" w:rsidRDefault="00646A37" w:rsidP="00646A37">
      <w:pPr>
        <w:pStyle w:val="CETReferencetext"/>
      </w:pPr>
      <w:r w:rsidRPr="002C7F23">
        <w:t xml:space="preserve">Montero C., Valle B., Bilbao J., Gayubo A.G., </w:t>
      </w:r>
      <w:r>
        <w:t xml:space="preserve">2014, </w:t>
      </w:r>
      <w:r w:rsidRPr="002C7F23">
        <w:t>Analysis of Ni/La</w:t>
      </w:r>
      <w:r w:rsidRPr="002C7F23">
        <w:rPr>
          <w:vertAlign w:val="subscript"/>
        </w:rPr>
        <w:t>2</w:t>
      </w:r>
      <w:r w:rsidRPr="002C7F23">
        <w:t>O</w:t>
      </w:r>
      <w:r w:rsidRPr="002C7F23">
        <w:rPr>
          <w:vertAlign w:val="subscript"/>
        </w:rPr>
        <w:t>3</w:t>
      </w:r>
      <w:r w:rsidRPr="002C7F23">
        <w:t>–</w:t>
      </w:r>
      <w:r w:rsidRPr="002C7F23">
        <w:rPr>
          <w:lang w:val="it-IT"/>
        </w:rPr>
        <w:t>α</w:t>
      </w:r>
      <w:r w:rsidRPr="002C7F23">
        <w:t>Al</w:t>
      </w:r>
      <w:r w:rsidRPr="002C7F23">
        <w:rPr>
          <w:vertAlign w:val="subscript"/>
        </w:rPr>
        <w:t>2</w:t>
      </w:r>
      <w:r w:rsidRPr="002C7F23">
        <w:t>O</w:t>
      </w:r>
      <w:r w:rsidRPr="002C7F23">
        <w:rPr>
          <w:vertAlign w:val="subscript"/>
        </w:rPr>
        <w:t>3</w:t>
      </w:r>
      <w:r>
        <w:t xml:space="preserve"> Catalyst Deactivation by Coke </w:t>
      </w:r>
      <w:r w:rsidRPr="002C7F23">
        <w:t>Deposition in the Ethanol Steam Reforming</w:t>
      </w:r>
      <w:r>
        <w:t>, Chemical Engineering Transactions, 37, 481-486.</w:t>
      </w:r>
    </w:p>
    <w:p w:rsidR="00646A37" w:rsidRDefault="00646A37" w:rsidP="002C7F23">
      <w:pPr>
        <w:pStyle w:val="CETReferencetext"/>
      </w:pPr>
      <w:r w:rsidRPr="000B1464">
        <w:t>Palma V., Ruocco C., Ricca A., 2015, Bimetallic Pt and Ni Based Fo</w:t>
      </w:r>
      <w:r>
        <w:t xml:space="preserve">am Catalysts for Low-Temperature </w:t>
      </w:r>
      <w:r w:rsidRPr="000B1464">
        <w:t>Ethanol Steam Reforming Intensification</w:t>
      </w:r>
      <w:r>
        <w:t>, 43, 559-564.</w:t>
      </w:r>
    </w:p>
    <w:p w:rsidR="00646A37" w:rsidRDefault="00646A37" w:rsidP="00646A37">
      <w:pPr>
        <w:pStyle w:val="CETReferencetext"/>
      </w:pPr>
      <w:r w:rsidRPr="003A78BF">
        <w:t>Palma V., Ruocco C., Meloni E., Ricca A., 2016, Activity and stability of novel silica-based catalysts for hydrogen production via oxidative steam reforming of ethanol</w:t>
      </w:r>
      <w:r>
        <w:t>, Chemical Engineering Transactions, 52, 67-72.</w:t>
      </w:r>
    </w:p>
    <w:p w:rsidR="00646A37" w:rsidRDefault="00646A37" w:rsidP="00646A37">
      <w:pPr>
        <w:pStyle w:val="CETReferencetext"/>
      </w:pPr>
      <w:r w:rsidRPr="00986CF4">
        <w:t>Palma V., Ruocco C., Meloni E., Ricca A., 2017, 166, Highly active and stable Pt-Ni/CeO</w:t>
      </w:r>
      <w:r w:rsidRPr="00986CF4">
        <w:rPr>
          <w:vertAlign w:val="subscript"/>
        </w:rPr>
        <w:t>2</w:t>
      </w:r>
      <w:r w:rsidRPr="00986CF4">
        <w:t>-SiO</w:t>
      </w:r>
      <w:r w:rsidRPr="00986CF4">
        <w:rPr>
          <w:vertAlign w:val="subscript"/>
        </w:rPr>
        <w:t>2</w:t>
      </w:r>
      <w:r>
        <w:t xml:space="preserve"> </w:t>
      </w:r>
      <w:r w:rsidRPr="00986CF4">
        <w:t>catalysts for ethanol</w:t>
      </w:r>
      <w:r>
        <w:t xml:space="preserve"> </w:t>
      </w:r>
      <w:r w:rsidRPr="00986CF4">
        <w:t>reforming</w:t>
      </w:r>
      <w:r>
        <w:t xml:space="preserve">, Journal of Cleaner Production, 166, </w:t>
      </w:r>
      <w:r w:rsidRPr="00986CF4">
        <w:t>263-272</w:t>
      </w:r>
      <w:r>
        <w:t>.</w:t>
      </w:r>
    </w:p>
    <w:p w:rsidR="00646A37" w:rsidRDefault="00646A37" w:rsidP="00646A37">
      <w:pPr>
        <w:pStyle w:val="CETReferencetext"/>
      </w:pPr>
      <w:r>
        <w:t xml:space="preserve">Palma V., Martino M., 2018a, </w:t>
      </w:r>
      <w:r w:rsidRPr="00CE35CF">
        <w:t>Aluminum Foam based Catalysts for the CO-WGS Reaction</w:t>
      </w:r>
      <w:r>
        <w:t>, Chemical Engineering Transactions, 70, 1225-1230.</w:t>
      </w:r>
    </w:p>
    <w:p w:rsidR="00646A37" w:rsidRDefault="00646A37" w:rsidP="00646A37">
      <w:pPr>
        <w:pStyle w:val="CETReferencetext"/>
      </w:pPr>
      <w:r w:rsidRPr="006E2D82">
        <w:t xml:space="preserve">Palma V., Ruocco C., Ricca A., </w:t>
      </w:r>
      <w:r>
        <w:t xml:space="preserve">2018b, </w:t>
      </w:r>
      <w:r w:rsidRPr="006E2D82">
        <w:t>Oxidative steam reforming of ethano</w:t>
      </w:r>
      <w:r>
        <w:t>l in a fluidized bed over CeO</w:t>
      </w:r>
      <w:r w:rsidRPr="006E2D82">
        <w:rPr>
          <w:vertAlign w:val="subscript"/>
        </w:rPr>
        <w:t>2</w:t>
      </w:r>
      <w:r>
        <w:t>-</w:t>
      </w:r>
      <w:r w:rsidRPr="006E2D82">
        <w:t>SiO</w:t>
      </w:r>
      <w:r w:rsidRPr="006E2D82">
        <w:rPr>
          <w:vertAlign w:val="subscript"/>
        </w:rPr>
        <w:t>2</w:t>
      </w:r>
      <w:r w:rsidRPr="006E2D82">
        <w:t xml:space="preserve"> supported catalysts: effect of catalytic formulation</w:t>
      </w:r>
      <w:r w:rsidR="00F23168">
        <w:t xml:space="preserve">, Renewable energy, 125, </w:t>
      </w:r>
      <w:r>
        <w:t>356-364.</w:t>
      </w:r>
    </w:p>
    <w:p w:rsidR="00646A37" w:rsidRDefault="00646A37" w:rsidP="00646A37">
      <w:pPr>
        <w:pStyle w:val="CETReferencetext"/>
      </w:pPr>
      <w:r w:rsidRPr="006A273B">
        <w:t>Rodrigues</w:t>
      </w:r>
      <w:r>
        <w:t xml:space="preserve"> S.T., de Moura A., Silva F., Candido E., da Silva A., de Oliveira D., Quiroz J., </w:t>
      </w:r>
      <w:r w:rsidRPr="006A273B">
        <w:t>Camargo</w:t>
      </w:r>
      <w:r>
        <w:t xml:space="preserve"> P., </w:t>
      </w:r>
      <w:r w:rsidRPr="006A273B">
        <w:t>Bergamaschi</w:t>
      </w:r>
      <w:r>
        <w:t xml:space="preserve"> V., Ferreira J., Linardi M., Fonseca F., 2019, </w:t>
      </w:r>
      <w:r w:rsidRPr="006A273B">
        <w:t>Ni supported Ce</w:t>
      </w:r>
      <w:r w:rsidRPr="006A273B">
        <w:rPr>
          <w:vertAlign w:val="subscript"/>
        </w:rPr>
        <w:t>0.9</w:t>
      </w:r>
      <w:r w:rsidRPr="006A273B">
        <w:t>Sm</w:t>
      </w:r>
      <w:r w:rsidRPr="006A273B">
        <w:rPr>
          <w:vertAlign w:val="subscript"/>
        </w:rPr>
        <w:t>0.1</w:t>
      </w:r>
      <w:r w:rsidRPr="006A273B">
        <w:t>O</w:t>
      </w:r>
      <w:r w:rsidRPr="006A273B">
        <w:rPr>
          <w:vertAlign w:val="subscript"/>
        </w:rPr>
        <w:t>2-δ</w:t>
      </w:r>
      <w:r w:rsidRPr="006A273B">
        <w:t xml:space="preserve"> nanowires: An efficient catalyst for ethanol steam reforming for hydrogen production</w:t>
      </w:r>
      <w:r>
        <w:t>, Fuel, 237, 1244-53.</w:t>
      </w:r>
    </w:p>
    <w:p w:rsidR="00646A37" w:rsidRDefault="00646A37" w:rsidP="00646A37">
      <w:pPr>
        <w:pStyle w:val="CETReferencetext"/>
      </w:pPr>
      <w:r>
        <w:t>Skřínský J.</w:t>
      </w:r>
      <w:r w:rsidRPr="00DB243B">
        <w:t xml:space="preserve">, </w:t>
      </w:r>
      <w:r>
        <w:t>Ochodek T., 2018, Influence of Initial Temperature on Explosion Severity Parameters of Methanol/Air Hybrid Mixture Measured in 1-m</w:t>
      </w:r>
      <w:r w:rsidRPr="00DB243B">
        <w:rPr>
          <w:vertAlign w:val="superscript"/>
        </w:rPr>
        <w:t>3</w:t>
      </w:r>
      <w:r>
        <w:t xml:space="preserve"> Vessel, Chemical Engineering Transactions, 67, 175-180.</w:t>
      </w:r>
    </w:p>
    <w:p w:rsidR="000A499D" w:rsidRDefault="000A499D" w:rsidP="002C7F23">
      <w:pPr>
        <w:pStyle w:val="CETReferencetext"/>
      </w:pPr>
      <w:r w:rsidRPr="00366E34">
        <w:t>Viviente, J.L., Meléndez, J.</w:t>
      </w:r>
      <w:r w:rsidR="00366E34" w:rsidRPr="00366E34">
        <w:t xml:space="preserve">, Pacheco Tanaka D.A, Gallucci, F., Spallina, V., Manzolini, G., Foresti, S., Palma V., Ruocco, C., Roses, L., </w:t>
      </w:r>
      <w:r w:rsidR="00366E34">
        <w:t xml:space="preserve">2017, </w:t>
      </w:r>
      <w:r w:rsidR="00366E34" w:rsidRPr="00366E34">
        <w:t>Advanced m-CHP fuel cell system based on a novel bio-ethanol fluidized bed membrane reformer</w:t>
      </w:r>
      <w:r w:rsidR="00366E34">
        <w:t>, International Journal of Hydrogen Energy, 42, 13970-13987.</w:t>
      </w:r>
    </w:p>
    <w:sectPr w:rsidR="000A499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7E2" w:rsidRDefault="00B577E2" w:rsidP="004F5E36">
      <w:r>
        <w:separator/>
      </w:r>
    </w:p>
  </w:endnote>
  <w:endnote w:type="continuationSeparator" w:id="0">
    <w:p w:rsidR="00B577E2" w:rsidRDefault="00B577E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7E2" w:rsidRDefault="00B577E2" w:rsidP="004F5E36">
      <w:r>
        <w:separator/>
      </w:r>
    </w:p>
  </w:footnote>
  <w:footnote w:type="continuationSeparator" w:id="0">
    <w:p w:rsidR="00B577E2" w:rsidRDefault="00B577E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5591"/>
    <w:rsid w:val="00047D7F"/>
    <w:rsid w:val="00051566"/>
    <w:rsid w:val="000626A4"/>
    <w:rsid w:val="00062A9A"/>
    <w:rsid w:val="00065058"/>
    <w:rsid w:val="00073519"/>
    <w:rsid w:val="000827B3"/>
    <w:rsid w:val="00086C39"/>
    <w:rsid w:val="00095B8E"/>
    <w:rsid w:val="000A03B2"/>
    <w:rsid w:val="000A3B79"/>
    <w:rsid w:val="000A499D"/>
    <w:rsid w:val="000B1464"/>
    <w:rsid w:val="000C4D97"/>
    <w:rsid w:val="000D34BE"/>
    <w:rsid w:val="000D5109"/>
    <w:rsid w:val="000E102F"/>
    <w:rsid w:val="000E36F1"/>
    <w:rsid w:val="000E3A73"/>
    <w:rsid w:val="000E414A"/>
    <w:rsid w:val="000F021D"/>
    <w:rsid w:val="000F093C"/>
    <w:rsid w:val="000F16BD"/>
    <w:rsid w:val="000F787B"/>
    <w:rsid w:val="0012091F"/>
    <w:rsid w:val="00126BC2"/>
    <w:rsid w:val="001308B6"/>
    <w:rsid w:val="0013121F"/>
    <w:rsid w:val="00131FAB"/>
    <w:rsid w:val="00131FE6"/>
    <w:rsid w:val="0013263F"/>
    <w:rsid w:val="00134DE4"/>
    <w:rsid w:val="0014034D"/>
    <w:rsid w:val="00146917"/>
    <w:rsid w:val="00150E59"/>
    <w:rsid w:val="00152DE3"/>
    <w:rsid w:val="00162642"/>
    <w:rsid w:val="00164CF9"/>
    <w:rsid w:val="001777E3"/>
    <w:rsid w:val="0018061C"/>
    <w:rsid w:val="00184AD6"/>
    <w:rsid w:val="001B0349"/>
    <w:rsid w:val="001B41FD"/>
    <w:rsid w:val="001B65C1"/>
    <w:rsid w:val="001C684B"/>
    <w:rsid w:val="001D029D"/>
    <w:rsid w:val="001D243B"/>
    <w:rsid w:val="001D53FC"/>
    <w:rsid w:val="001E286D"/>
    <w:rsid w:val="001F3A02"/>
    <w:rsid w:val="001F42A5"/>
    <w:rsid w:val="001F7B9D"/>
    <w:rsid w:val="00210F66"/>
    <w:rsid w:val="00213F9D"/>
    <w:rsid w:val="00214A8D"/>
    <w:rsid w:val="002224B4"/>
    <w:rsid w:val="002447EF"/>
    <w:rsid w:val="00251550"/>
    <w:rsid w:val="00252C1A"/>
    <w:rsid w:val="00263B05"/>
    <w:rsid w:val="0027221A"/>
    <w:rsid w:val="00275B61"/>
    <w:rsid w:val="00282656"/>
    <w:rsid w:val="00296B83"/>
    <w:rsid w:val="002A5305"/>
    <w:rsid w:val="002B144C"/>
    <w:rsid w:val="002B78CE"/>
    <w:rsid w:val="002C2FB6"/>
    <w:rsid w:val="002C7975"/>
    <w:rsid w:val="002C7F23"/>
    <w:rsid w:val="002D2F57"/>
    <w:rsid w:val="002D5BCD"/>
    <w:rsid w:val="002E60B6"/>
    <w:rsid w:val="003009B7"/>
    <w:rsid w:val="00300E56"/>
    <w:rsid w:val="00300FF2"/>
    <w:rsid w:val="0030469C"/>
    <w:rsid w:val="00317137"/>
    <w:rsid w:val="00321CA6"/>
    <w:rsid w:val="003321BD"/>
    <w:rsid w:val="00334C09"/>
    <w:rsid w:val="003365E3"/>
    <w:rsid w:val="00366E34"/>
    <w:rsid w:val="00367AF5"/>
    <w:rsid w:val="003723D4"/>
    <w:rsid w:val="00380658"/>
    <w:rsid w:val="00384CC8"/>
    <w:rsid w:val="003871FD"/>
    <w:rsid w:val="003A1E30"/>
    <w:rsid w:val="003A78BF"/>
    <w:rsid w:val="003A7D1C"/>
    <w:rsid w:val="003B118E"/>
    <w:rsid w:val="003B304B"/>
    <w:rsid w:val="003B3146"/>
    <w:rsid w:val="003B60F3"/>
    <w:rsid w:val="003C1889"/>
    <w:rsid w:val="003E06E9"/>
    <w:rsid w:val="003F015E"/>
    <w:rsid w:val="00400414"/>
    <w:rsid w:val="0041446B"/>
    <w:rsid w:val="00424AB1"/>
    <w:rsid w:val="0044329C"/>
    <w:rsid w:val="004577FE"/>
    <w:rsid w:val="00457B9C"/>
    <w:rsid w:val="0046164A"/>
    <w:rsid w:val="004628D2"/>
    <w:rsid w:val="00462DCD"/>
    <w:rsid w:val="004648AD"/>
    <w:rsid w:val="004703A9"/>
    <w:rsid w:val="004760DE"/>
    <w:rsid w:val="00492D15"/>
    <w:rsid w:val="004A004E"/>
    <w:rsid w:val="004A24CF"/>
    <w:rsid w:val="004B6721"/>
    <w:rsid w:val="004C0715"/>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97B7E"/>
    <w:rsid w:val="005A22A5"/>
    <w:rsid w:val="005B2110"/>
    <w:rsid w:val="005B61E6"/>
    <w:rsid w:val="005C77E1"/>
    <w:rsid w:val="005D6A2F"/>
    <w:rsid w:val="005E1A82"/>
    <w:rsid w:val="005E794C"/>
    <w:rsid w:val="005F0A28"/>
    <w:rsid w:val="005F0E5E"/>
    <w:rsid w:val="00600535"/>
    <w:rsid w:val="00600744"/>
    <w:rsid w:val="00607DBC"/>
    <w:rsid w:val="00610CD6"/>
    <w:rsid w:val="00620DEE"/>
    <w:rsid w:val="00621F92"/>
    <w:rsid w:val="00625639"/>
    <w:rsid w:val="006261AA"/>
    <w:rsid w:val="00627F4B"/>
    <w:rsid w:val="00631B33"/>
    <w:rsid w:val="0064184D"/>
    <w:rsid w:val="006422CC"/>
    <w:rsid w:val="00646A37"/>
    <w:rsid w:val="00650D1D"/>
    <w:rsid w:val="00660E3E"/>
    <w:rsid w:val="00662E74"/>
    <w:rsid w:val="006652BA"/>
    <w:rsid w:val="00672D20"/>
    <w:rsid w:val="00680C23"/>
    <w:rsid w:val="00693766"/>
    <w:rsid w:val="006A273B"/>
    <w:rsid w:val="006A3281"/>
    <w:rsid w:val="006B4888"/>
    <w:rsid w:val="006C2E45"/>
    <w:rsid w:val="006C359C"/>
    <w:rsid w:val="006C5579"/>
    <w:rsid w:val="006E2D82"/>
    <w:rsid w:val="006E3BFC"/>
    <w:rsid w:val="006E4245"/>
    <w:rsid w:val="006E737D"/>
    <w:rsid w:val="0070195D"/>
    <w:rsid w:val="00720A24"/>
    <w:rsid w:val="00732386"/>
    <w:rsid w:val="007447F3"/>
    <w:rsid w:val="0075499F"/>
    <w:rsid w:val="007661C8"/>
    <w:rsid w:val="0077098D"/>
    <w:rsid w:val="007931FA"/>
    <w:rsid w:val="007A55DB"/>
    <w:rsid w:val="007A7BBA"/>
    <w:rsid w:val="007B0C50"/>
    <w:rsid w:val="007C1A43"/>
    <w:rsid w:val="007D3FC5"/>
    <w:rsid w:val="007E1DC6"/>
    <w:rsid w:val="007E2F96"/>
    <w:rsid w:val="007E6E29"/>
    <w:rsid w:val="007E7492"/>
    <w:rsid w:val="007F2643"/>
    <w:rsid w:val="007F55A7"/>
    <w:rsid w:val="00813288"/>
    <w:rsid w:val="008168FC"/>
    <w:rsid w:val="00822251"/>
    <w:rsid w:val="00825E6C"/>
    <w:rsid w:val="00827279"/>
    <w:rsid w:val="00830996"/>
    <w:rsid w:val="008345F1"/>
    <w:rsid w:val="00845479"/>
    <w:rsid w:val="00851621"/>
    <w:rsid w:val="00865B07"/>
    <w:rsid w:val="008667EA"/>
    <w:rsid w:val="00873684"/>
    <w:rsid w:val="0087637F"/>
    <w:rsid w:val="00881343"/>
    <w:rsid w:val="008904B9"/>
    <w:rsid w:val="00892AD5"/>
    <w:rsid w:val="008A1512"/>
    <w:rsid w:val="008A758C"/>
    <w:rsid w:val="008C78C1"/>
    <w:rsid w:val="008D32B9"/>
    <w:rsid w:val="008D433B"/>
    <w:rsid w:val="008E566E"/>
    <w:rsid w:val="0090161A"/>
    <w:rsid w:val="00901EB6"/>
    <w:rsid w:val="0090293D"/>
    <w:rsid w:val="00904973"/>
    <w:rsid w:val="00904C62"/>
    <w:rsid w:val="00913F75"/>
    <w:rsid w:val="00924DAC"/>
    <w:rsid w:val="00927058"/>
    <w:rsid w:val="00934B3C"/>
    <w:rsid w:val="009450CE"/>
    <w:rsid w:val="00947179"/>
    <w:rsid w:val="0095164B"/>
    <w:rsid w:val="00954090"/>
    <w:rsid w:val="009573E7"/>
    <w:rsid w:val="009635B9"/>
    <w:rsid w:val="00963E05"/>
    <w:rsid w:val="00967D54"/>
    <w:rsid w:val="009820A1"/>
    <w:rsid w:val="00986CF4"/>
    <w:rsid w:val="00996483"/>
    <w:rsid w:val="00996F5A"/>
    <w:rsid w:val="009A0A3E"/>
    <w:rsid w:val="009B041A"/>
    <w:rsid w:val="009C7C86"/>
    <w:rsid w:val="009C7D47"/>
    <w:rsid w:val="009D2FF7"/>
    <w:rsid w:val="009E7884"/>
    <w:rsid w:val="009E788A"/>
    <w:rsid w:val="009F0E08"/>
    <w:rsid w:val="00A1763D"/>
    <w:rsid w:val="00A17CEC"/>
    <w:rsid w:val="00A27EF0"/>
    <w:rsid w:val="00A34144"/>
    <w:rsid w:val="00A4096D"/>
    <w:rsid w:val="00A50B20"/>
    <w:rsid w:val="00A51390"/>
    <w:rsid w:val="00A60D13"/>
    <w:rsid w:val="00A72745"/>
    <w:rsid w:val="00A74B8F"/>
    <w:rsid w:val="00A76EFC"/>
    <w:rsid w:val="00A91010"/>
    <w:rsid w:val="00A96E25"/>
    <w:rsid w:val="00A97F29"/>
    <w:rsid w:val="00AA702E"/>
    <w:rsid w:val="00AB0964"/>
    <w:rsid w:val="00AB5011"/>
    <w:rsid w:val="00AC05A7"/>
    <w:rsid w:val="00AC7368"/>
    <w:rsid w:val="00AD16B9"/>
    <w:rsid w:val="00AE377D"/>
    <w:rsid w:val="00AE6C2B"/>
    <w:rsid w:val="00AE7070"/>
    <w:rsid w:val="00B127C4"/>
    <w:rsid w:val="00B17FBD"/>
    <w:rsid w:val="00B315A6"/>
    <w:rsid w:val="00B31813"/>
    <w:rsid w:val="00B33365"/>
    <w:rsid w:val="00B34D5C"/>
    <w:rsid w:val="00B448F9"/>
    <w:rsid w:val="00B47CC6"/>
    <w:rsid w:val="00B54C60"/>
    <w:rsid w:val="00B577E2"/>
    <w:rsid w:val="00B57B36"/>
    <w:rsid w:val="00B73049"/>
    <w:rsid w:val="00B8686D"/>
    <w:rsid w:val="00BB1037"/>
    <w:rsid w:val="00BC30C9"/>
    <w:rsid w:val="00BE3E58"/>
    <w:rsid w:val="00BF4B7B"/>
    <w:rsid w:val="00C01616"/>
    <w:rsid w:val="00C0162B"/>
    <w:rsid w:val="00C20E3E"/>
    <w:rsid w:val="00C345B1"/>
    <w:rsid w:val="00C40142"/>
    <w:rsid w:val="00C57182"/>
    <w:rsid w:val="00C57863"/>
    <w:rsid w:val="00C655FD"/>
    <w:rsid w:val="00C86713"/>
    <w:rsid w:val="00C870A8"/>
    <w:rsid w:val="00C94434"/>
    <w:rsid w:val="00CA0D75"/>
    <w:rsid w:val="00CA1C95"/>
    <w:rsid w:val="00CA5A9C"/>
    <w:rsid w:val="00CD3517"/>
    <w:rsid w:val="00CD44FB"/>
    <w:rsid w:val="00CD5A00"/>
    <w:rsid w:val="00CD5FE2"/>
    <w:rsid w:val="00CE35CF"/>
    <w:rsid w:val="00CE7C68"/>
    <w:rsid w:val="00D00CF0"/>
    <w:rsid w:val="00D02B4C"/>
    <w:rsid w:val="00D040C4"/>
    <w:rsid w:val="00D57C84"/>
    <w:rsid w:val="00D6057D"/>
    <w:rsid w:val="00D80181"/>
    <w:rsid w:val="00D84576"/>
    <w:rsid w:val="00DA1399"/>
    <w:rsid w:val="00DA24C6"/>
    <w:rsid w:val="00DA4D7B"/>
    <w:rsid w:val="00DB243B"/>
    <w:rsid w:val="00DB29C7"/>
    <w:rsid w:val="00DB5181"/>
    <w:rsid w:val="00DE264A"/>
    <w:rsid w:val="00DF0C30"/>
    <w:rsid w:val="00E02D18"/>
    <w:rsid w:val="00E041E7"/>
    <w:rsid w:val="00E2077F"/>
    <w:rsid w:val="00E23CA1"/>
    <w:rsid w:val="00E242FC"/>
    <w:rsid w:val="00E26995"/>
    <w:rsid w:val="00E409A8"/>
    <w:rsid w:val="00E50C12"/>
    <w:rsid w:val="00E65B91"/>
    <w:rsid w:val="00E7209D"/>
    <w:rsid w:val="00E77223"/>
    <w:rsid w:val="00E8528B"/>
    <w:rsid w:val="00E85B94"/>
    <w:rsid w:val="00E90320"/>
    <w:rsid w:val="00E978D0"/>
    <w:rsid w:val="00EA4613"/>
    <w:rsid w:val="00EA7F91"/>
    <w:rsid w:val="00EB1523"/>
    <w:rsid w:val="00EC0E49"/>
    <w:rsid w:val="00ED5313"/>
    <w:rsid w:val="00EE0131"/>
    <w:rsid w:val="00EE2248"/>
    <w:rsid w:val="00F155B2"/>
    <w:rsid w:val="00F23168"/>
    <w:rsid w:val="00F30837"/>
    <w:rsid w:val="00F30C64"/>
    <w:rsid w:val="00F32CDB"/>
    <w:rsid w:val="00F5055C"/>
    <w:rsid w:val="00F63A70"/>
    <w:rsid w:val="00F6729A"/>
    <w:rsid w:val="00F73F1F"/>
    <w:rsid w:val="00FA21D0"/>
    <w:rsid w:val="00FA5F5F"/>
    <w:rsid w:val="00FB730C"/>
    <w:rsid w:val="00FC2695"/>
    <w:rsid w:val="00FC3E03"/>
    <w:rsid w:val="00FC3FC1"/>
    <w:rsid w:val="00FE2191"/>
    <w:rsid w:val="00FF2B2F"/>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DDCA5-EB3D-45EE-98A1-33F15EAE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3678</Words>
  <Characters>20967</Characters>
  <Application>Microsoft Office Word</Application>
  <DocSecurity>0</DocSecurity>
  <Lines>174</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Concetta Ruocco</cp:lastModifiedBy>
  <cp:revision>7</cp:revision>
  <cp:lastPrinted>2015-05-12T18:31:00Z</cp:lastPrinted>
  <dcterms:created xsi:type="dcterms:W3CDTF">2019-03-29T15:34:00Z</dcterms:created>
  <dcterms:modified xsi:type="dcterms:W3CDTF">2019-04-08T10:18:00Z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