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ru-RU" w:eastAsia="ru-RU"/>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 xml:space="preserve">CHEMICAL </w:t>
            </w:r>
            <w:r w:rsidRPr="001E78A2">
              <w:rPr>
                <w:rFonts w:cs="Arial"/>
                <w:b/>
                <w:bCs/>
                <w:i/>
                <w:iCs/>
                <w:noProof/>
                <w:color w:val="000066"/>
                <w:sz w:val="24"/>
                <w:szCs w:val="24"/>
                <w:lang w:eastAsia="it-IT"/>
              </w:rPr>
              <w:t>ENGINEERING</w:t>
            </w:r>
            <w:r w:rsidRPr="001E78A2">
              <w:rPr>
                <w:rFonts w:cs="Arial"/>
                <w:b/>
                <w:bCs/>
                <w:i/>
                <w:iCs/>
                <w:noProof/>
                <w:color w:val="666666"/>
                <w:sz w:val="24"/>
                <w:szCs w:val="24"/>
                <w:lang w:eastAsia="it-IT"/>
              </w:rPr>
              <w:t>TRANSACTIONS</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ru-RU" w:eastAsia="ru-RU"/>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bookmarkStart w:id="0" w:name="_GoBack"/>
            <w:bookmarkEnd w:id="0"/>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635B9" w:rsidRPr="00252C1A">
              <w:rPr>
                <w:rFonts w:ascii="Tahoma" w:hAnsi="Tahoma" w:cs="Tahoma"/>
                <w:sz w:val="14"/>
                <w:szCs w:val="14"/>
                <w:lang w:val="it-IT"/>
              </w:rPr>
              <w:t>Sauro Pierucci,</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082683" w:rsidP="00E978D0">
      <w:pPr>
        <w:pStyle w:val="CETTitle"/>
      </w:pPr>
      <w:r w:rsidRPr="00082683">
        <w:lastRenderedPageBreak/>
        <w:t>Novel Catalyst Synthesized by Hydrothermal Method for Fatty Acid Conversion into Hydrocarbons</w:t>
      </w:r>
    </w:p>
    <w:p w:rsidR="00E978D0" w:rsidRPr="00B57B36" w:rsidRDefault="00082683" w:rsidP="00AB5011">
      <w:pPr>
        <w:pStyle w:val="CETAuthors"/>
      </w:pPr>
      <w:r>
        <w:t>Antonina A. Stepacheva</w:t>
      </w:r>
      <w:r w:rsidR="00DB37BE" w:rsidRPr="00DB37BE">
        <w:rPr>
          <w:vertAlign w:val="superscript"/>
        </w:rPr>
        <w:t>a</w:t>
      </w:r>
      <w:r>
        <w:t xml:space="preserve">, </w:t>
      </w:r>
      <w:r w:rsidR="00DB37BE">
        <w:t xml:space="preserve">Mariia E. </w:t>
      </w:r>
      <w:r w:rsidR="00DB37BE" w:rsidRPr="001E78A2">
        <w:t>Markova</w:t>
      </w:r>
      <w:r w:rsidR="00DB37BE" w:rsidRPr="001E78A2">
        <w:rPr>
          <w:vertAlign w:val="superscript"/>
        </w:rPr>
        <w:t>b</w:t>
      </w:r>
      <w:r>
        <w:t xml:space="preserve">, Valentina G. </w:t>
      </w:r>
      <w:r w:rsidRPr="001E78A2">
        <w:t>Matveeva</w:t>
      </w:r>
      <w:r w:rsidR="00DB37BE" w:rsidRPr="001E78A2">
        <w:rPr>
          <w:vertAlign w:val="superscript"/>
        </w:rPr>
        <w:t>a</w:t>
      </w:r>
      <w:r>
        <w:t xml:space="preserve">, Mikhail G. </w:t>
      </w:r>
      <w:r w:rsidRPr="001E78A2">
        <w:t>Sulman</w:t>
      </w:r>
      <w:r w:rsidR="00DB37BE" w:rsidRPr="001E78A2">
        <w:rPr>
          <w:vertAlign w:val="superscript"/>
        </w:rPr>
        <w:t>a</w:t>
      </w:r>
      <w:r>
        <w:t xml:space="preserve">, Esther M. </w:t>
      </w:r>
      <w:r w:rsidRPr="001E78A2">
        <w:t>Sulman</w:t>
      </w:r>
      <w:r w:rsidR="00DB37BE" w:rsidRPr="001E78A2">
        <w:rPr>
          <w:vertAlign w:val="superscript"/>
        </w:rPr>
        <w:t>a</w:t>
      </w:r>
    </w:p>
    <w:p w:rsidR="00E978D0" w:rsidRDefault="00DB37BE" w:rsidP="00E978D0">
      <w:pPr>
        <w:pStyle w:val="CETAddress"/>
      </w:pPr>
      <w:r w:rsidRPr="001E78A2">
        <w:rPr>
          <w:vertAlign w:val="superscript"/>
        </w:rPr>
        <w:t>a</w:t>
      </w:r>
      <w:r w:rsidR="00082683" w:rsidRPr="001E78A2">
        <w:t>Tver</w:t>
      </w:r>
      <w:r w:rsidR="00082683">
        <w:t xml:space="preserve"> State Technical University, A. Nikitin str., 22, Tver, 170026, Russia</w:t>
      </w:r>
    </w:p>
    <w:p w:rsidR="00DB37BE" w:rsidRPr="00B57B36" w:rsidRDefault="00DB37BE" w:rsidP="00E978D0">
      <w:pPr>
        <w:pStyle w:val="CETAddress"/>
      </w:pPr>
      <w:r w:rsidRPr="001E78A2">
        <w:rPr>
          <w:vertAlign w:val="superscript"/>
        </w:rPr>
        <w:t>b</w:t>
      </w:r>
      <w:r w:rsidRPr="001E78A2">
        <w:t>Tver</w:t>
      </w:r>
      <w:r>
        <w:t xml:space="preserve"> State University, Zhelyabova str., 33, Tver, 170100, Russia</w:t>
      </w:r>
    </w:p>
    <w:p w:rsidR="00E978D0" w:rsidRPr="00B57B36" w:rsidRDefault="00082683" w:rsidP="00E978D0">
      <w:pPr>
        <w:pStyle w:val="CETemail"/>
      </w:pPr>
      <w:r w:rsidRPr="00082683">
        <w:t>a.a.stepacheva@mail.ru</w:t>
      </w:r>
    </w:p>
    <w:p w:rsidR="00600535" w:rsidRPr="00B57B36" w:rsidRDefault="004D41D4" w:rsidP="00600535">
      <w:pPr>
        <w:pStyle w:val="CETBodytext"/>
        <w:rPr>
          <w:lang w:val="en-GB"/>
        </w:rPr>
      </w:pPr>
      <w:bookmarkStart w:id="1" w:name="_Hlk495475023"/>
      <w:r w:rsidRPr="00B26809">
        <w:rPr>
          <w:color w:val="FF0000"/>
          <w:lang w:val="en-GB"/>
        </w:rPr>
        <w:t>Here</w:t>
      </w:r>
      <w:r w:rsidR="00B26809" w:rsidRPr="00B26809">
        <w:rPr>
          <w:color w:val="FF0000"/>
          <w:lang w:val="en-GB"/>
        </w:rPr>
        <w:t>,</w:t>
      </w:r>
      <w:r w:rsidRPr="00B26809">
        <w:rPr>
          <w:color w:val="FF0000"/>
          <w:lang w:val="en-GB"/>
        </w:rPr>
        <w:t xml:space="preserve"> </w:t>
      </w:r>
      <w:r w:rsidR="00B26809" w:rsidRPr="00B26809">
        <w:rPr>
          <w:color w:val="FF0000"/>
          <w:lang w:val="en-GB"/>
        </w:rPr>
        <w:t>the novel method for the conversion of fatty acids into hydrocarbon fuel without hydrogen consumption is</w:t>
      </w:r>
      <w:r w:rsidRPr="00B26809">
        <w:rPr>
          <w:color w:val="FF0000"/>
          <w:lang w:val="en-GB"/>
        </w:rPr>
        <w:t xml:space="preserve"> report</w:t>
      </w:r>
      <w:r w:rsidR="00B26809" w:rsidRPr="00B26809">
        <w:rPr>
          <w:color w:val="FF0000"/>
          <w:lang w:val="en-GB"/>
        </w:rPr>
        <w:t>ed</w:t>
      </w:r>
      <w:r>
        <w:rPr>
          <w:lang w:val="en-GB"/>
        </w:rPr>
        <w:t xml:space="preserve">. The deoxygenation of stearic acid as a model compound was performed in the medium of supercritical n-hexane in the presence of Ni-containing catalysts synthesized by </w:t>
      </w:r>
      <w:r w:rsidR="00B21343">
        <w:rPr>
          <w:lang w:val="en-GB"/>
        </w:rPr>
        <w:t xml:space="preserve">a </w:t>
      </w:r>
      <w:r w:rsidRPr="00B21343">
        <w:rPr>
          <w:noProof/>
          <w:lang w:val="en-GB"/>
        </w:rPr>
        <w:t>hydrothermal</w:t>
      </w:r>
      <w:r>
        <w:rPr>
          <w:lang w:val="en-GB"/>
        </w:rPr>
        <w:t xml:space="preserve"> deposition method. </w:t>
      </w:r>
      <w:r w:rsidR="00E62C57">
        <w:rPr>
          <w:lang w:val="en-GB"/>
        </w:rPr>
        <w:t xml:space="preserve">We studied the influence of the support as well as the metal loading on the yield of target products of stearic acid conversion into hydrocarbons. </w:t>
      </w:r>
      <w:r w:rsidR="00E62C57">
        <w:t xml:space="preserve">Ni was supported on the three different supports: anhydrous microporous silica, anhydrous alumina, and non-functionalized hypercrosslinked polystyrene. The hydrothermal synthesis of the catalysts leads to the changes in the porosity and structure of the supports </w:t>
      </w:r>
      <w:r w:rsidR="00B67F49">
        <w:t xml:space="preserve">increasing the </w:t>
      </w:r>
      <w:r w:rsidR="00B21343">
        <w:rPr>
          <w:noProof/>
        </w:rPr>
        <w:t>number</w:t>
      </w:r>
      <w:r w:rsidR="00B67F49">
        <w:t xml:space="preserve"> of mesopores. The active phase of the catalysts was found to be deposited on the internal surface of the supports as a thin layer of </w:t>
      </w:r>
      <w:r w:rsidR="00B67F49">
        <w:rPr>
          <w:rFonts w:cs="Arial"/>
        </w:rPr>
        <w:t>γ</w:t>
      </w:r>
      <w:r w:rsidR="00B67F49">
        <w:t xml:space="preserve">-NiOOH. Ni/HPS catalyst was found to be the most active in the stearic acid deoxygenation process in supercritical n-hexane. The study of the influence of the metal loading on the conversion of the substrate and </w:t>
      </w:r>
      <w:r w:rsidR="00B21343">
        <w:t xml:space="preserve">the </w:t>
      </w:r>
      <w:r w:rsidR="00B67F49" w:rsidRPr="00B21343">
        <w:rPr>
          <w:noProof/>
        </w:rPr>
        <w:t>target</w:t>
      </w:r>
      <w:r w:rsidR="00B67F49">
        <w:t xml:space="preserve"> product yield showed that 10 wt. % of Ni is more favorable for the production of high yield of </w:t>
      </w:r>
      <w:r w:rsidR="00B67F49" w:rsidRPr="00B26809">
        <w:rPr>
          <w:color w:val="FF0000"/>
        </w:rPr>
        <w:t>C</w:t>
      </w:r>
      <w:r w:rsidR="00B67F49" w:rsidRPr="00B26809">
        <w:rPr>
          <w:color w:val="FF0000"/>
          <w:vertAlign w:val="subscript"/>
        </w:rPr>
        <w:t>16</w:t>
      </w:r>
      <w:r w:rsidR="00B67F49" w:rsidRPr="00B26809">
        <w:rPr>
          <w:color w:val="FF0000"/>
        </w:rPr>
        <w:t>-C</w:t>
      </w:r>
      <w:r w:rsidR="00B67F49" w:rsidRPr="00B26809">
        <w:rPr>
          <w:color w:val="FF0000"/>
          <w:vertAlign w:val="subscript"/>
        </w:rPr>
        <w:t>17</w:t>
      </w:r>
      <w:r w:rsidR="00B67F49">
        <w:t xml:space="preserve"> hydrocarbons.</w:t>
      </w:r>
    </w:p>
    <w:bookmarkEnd w:id="1"/>
    <w:p w:rsidR="00600535" w:rsidRPr="00B57B36" w:rsidRDefault="00600535" w:rsidP="00600535">
      <w:pPr>
        <w:pStyle w:val="CETHeading1"/>
        <w:rPr>
          <w:lang w:val="en-GB"/>
        </w:rPr>
      </w:pPr>
      <w:r w:rsidRPr="00B57B36">
        <w:rPr>
          <w:lang w:val="en-GB"/>
        </w:rPr>
        <w:t>Introduction</w:t>
      </w:r>
    </w:p>
    <w:p w:rsidR="00600535" w:rsidRDefault="00495322" w:rsidP="00600535">
      <w:pPr>
        <w:pStyle w:val="CETBodytext"/>
        <w:rPr>
          <w:lang w:val="en-GB"/>
        </w:rPr>
      </w:pPr>
      <w:r>
        <w:rPr>
          <w:lang w:val="en-GB"/>
        </w:rPr>
        <w:t xml:space="preserve">The limitation of </w:t>
      </w:r>
      <w:r w:rsidRPr="00B26809">
        <w:rPr>
          <w:noProof/>
          <w:color w:val="FF0000"/>
          <w:lang w:val="en-GB"/>
        </w:rPr>
        <w:t>fossil</w:t>
      </w:r>
      <w:r>
        <w:rPr>
          <w:lang w:val="en-GB"/>
        </w:rPr>
        <w:t xml:space="preserve"> energy sources leads to the growth of </w:t>
      </w:r>
      <w:r w:rsidRPr="00B26809">
        <w:rPr>
          <w:noProof/>
          <w:color w:val="FF0000"/>
          <w:lang w:val="en-GB"/>
        </w:rPr>
        <w:t>interest</w:t>
      </w:r>
      <w:r>
        <w:rPr>
          <w:lang w:val="en-GB"/>
        </w:rPr>
        <w:t xml:space="preserve"> </w:t>
      </w:r>
      <w:r w:rsidR="00B26809" w:rsidRPr="00B26809">
        <w:rPr>
          <w:noProof/>
          <w:color w:val="FF0000"/>
          <w:lang w:val="en-GB"/>
        </w:rPr>
        <w:t>in</w:t>
      </w:r>
      <w:r>
        <w:rPr>
          <w:lang w:val="en-GB"/>
        </w:rPr>
        <w:t xml:space="preserve"> </w:t>
      </w:r>
      <w:r w:rsidRPr="00B26809">
        <w:rPr>
          <w:noProof/>
          <w:color w:val="FF0000"/>
          <w:lang w:val="en-GB"/>
        </w:rPr>
        <w:t>renewable</w:t>
      </w:r>
      <w:r>
        <w:rPr>
          <w:lang w:val="en-GB"/>
        </w:rPr>
        <w:t xml:space="preserve"> fuels. Biomass is the most permissive resource for the production of energy</w:t>
      </w:r>
      <w:r w:rsidR="00B21343">
        <w:rPr>
          <w:lang w:val="en-GB"/>
        </w:rPr>
        <w:t xml:space="preserve"> (Meller et al., 2014)</w:t>
      </w:r>
      <w:r>
        <w:rPr>
          <w:lang w:val="en-GB"/>
        </w:rPr>
        <w:t xml:space="preserve">. Different compounds </w:t>
      </w:r>
      <w:r w:rsidR="00586EFC">
        <w:rPr>
          <w:lang w:val="en-GB"/>
        </w:rPr>
        <w:t>of plant biomass such as cellulose, lignin, hemicelluloses</w:t>
      </w:r>
      <w:r w:rsidR="00B21343">
        <w:rPr>
          <w:lang w:val="en-GB"/>
        </w:rPr>
        <w:t>,</w:t>
      </w:r>
      <w:r w:rsidR="00586EFC">
        <w:rPr>
          <w:lang w:val="en-GB"/>
        </w:rPr>
        <w:t xml:space="preserve"> </w:t>
      </w:r>
      <w:r w:rsidR="00586EFC" w:rsidRPr="00B21343">
        <w:rPr>
          <w:noProof/>
          <w:lang w:val="en-GB"/>
        </w:rPr>
        <w:t>and</w:t>
      </w:r>
      <w:r w:rsidR="00586EFC">
        <w:rPr>
          <w:lang w:val="en-GB"/>
        </w:rPr>
        <w:t xml:space="preserve"> vegetable oils have attracted </w:t>
      </w:r>
      <w:r w:rsidR="00586EFC" w:rsidRPr="00B21343">
        <w:rPr>
          <w:noProof/>
          <w:lang w:val="en-GB"/>
        </w:rPr>
        <w:t>great</w:t>
      </w:r>
      <w:r w:rsidR="00586EFC">
        <w:rPr>
          <w:lang w:val="en-GB"/>
        </w:rPr>
        <w:t xml:space="preserve"> attention of the researchers</w:t>
      </w:r>
      <w:r w:rsidR="00B21343">
        <w:rPr>
          <w:lang w:val="en-GB"/>
        </w:rPr>
        <w:t xml:space="preserve"> (</w:t>
      </w:r>
      <w:r w:rsidR="00B21343">
        <w:t>Niemantsverdriet et al., 2017</w:t>
      </w:r>
      <w:r w:rsidR="00B21343">
        <w:rPr>
          <w:lang w:val="en-GB"/>
        </w:rPr>
        <w:t>)</w:t>
      </w:r>
      <w:r w:rsidR="00586EFC">
        <w:rPr>
          <w:lang w:val="en-GB"/>
        </w:rPr>
        <w:t>. Nowadays triglycerides are one of the most available renewable feedstock for the production of biofuels</w:t>
      </w:r>
      <w:r w:rsidR="00CE57CF">
        <w:rPr>
          <w:lang w:val="en-GB"/>
        </w:rPr>
        <w:t xml:space="preserve"> </w:t>
      </w:r>
      <w:r w:rsidR="00B21343">
        <w:rPr>
          <w:lang w:val="en-GB"/>
        </w:rPr>
        <w:t>(</w:t>
      </w:r>
      <w:r w:rsidR="00335212">
        <w:rPr>
          <w:lang w:val="en-GB"/>
        </w:rPr>
        <w:t>Peralta-Ruiz et al., 2018</w:t>
      </w:r>
      <w:r w:rsidR="00B21343">
        <w:t>)</w:t>
      </w:r>
      <w:r w:rsidR="00586EFC">
        <w:rPr>
          <w:lang w:val="en-GB"/>
        </w:rPr>
        <w:t xml:space="preserve">. The transesterification of vegetable oils is one of the most commonly used ways for biodiesel production. However, its cost strongly depends on the cost of the feedstock. From this point of view, the use of </w:t>
      </w:r>
      <w:r w:rsidR="00586EFC" w:rsidRPr="00B21343">
        <w:rPr>
          <w:noProof/>
          <w:lang w:val="en-GB"/>
        </w:rPr>
        <w:t>non</w:t>
      </w:r>
      <w:r w:rsidR="00586EFC">
        <w:rPr>
          <w:lang w:val="en-GB"/>
        </w:rPr>
        <w:t>-</w:t>
      </w:r>
      <w:r w:rsidR="00586EFC" w:rsidRPr="00B21343">
        <w:rPr>
          <w:noProof/>
          <w:lang w:val="en-GB"/>
        </w:rPr>
        <w:t>edible</w:t>
      </w:r>
      <w:r w:rsidR="00586EFC">
        <w:rPr>
          <w:lang w:val="en-GB"/>
        </w:rPr>
        <w:t xml:space="preserve"> or waste oils is the most prospective. In spite of the numerous studies, the problems of the transesterification of such cheap oils are the largest challenge for chemical engineering. Such parameters as water and free fatty acid content in the feedstock</w:t>
      </w:r>
      <w:r w:rsidR="00B21343">
        <w:rPr>
          <w:lang w:val="en-GB"/>
        </w:rPr>
        <w:t>, as well as the presence of different contaminants,</w:t>
      </w:r>
      <w:r w:rsidR="00586EFC">
        <w:rPr>
          <w:lang w:val="en-GB"/>
        </w:rPr>
        <w:t xml:space="preserve"> strongly affect the final fuel as well as the conversion degree</w:t>
      </w:r>
      <w:r w:rsidR="00B21343">
        <w:rPr>
          <w:lang w:val="en-GB"/>
        </w:rPr>
        <w:t xml:space="preserve"> (Romero et al., 2016)</w:t>
      </w:r>
      <w:r w:rsidR="00586EFC">
        <w:rPr>
          <w:lang w:val="en-GB"/>
        </w:rPr>
        <w:t xml:space="preserve">. </w:t>
      </w:r>
    </w:p>
    <w:p w:rsidR="00F83077" w:rsidRDefault="00F83077" w:rsidP="00600535">
      <w:pPr>
        <w:pStyle w:val="CETBodytext"/>
        <w:rPr>
          <w:lang w:val="en-GB"/>
        </w:rPr>
      </w:pPr>
      <w:r>
        <w:rPr>
          <w:lang w:val="en-GB"/>
        </w:rPr>
        <w:t>One of the alternative</w:t>
      </w:r>
      <w:r w:rsidR="00B21343">
        <w:rPr>
          <w:lang w:val="en-GB"/>
        </w:rPr>
        <w:t>s</w:t>
      </w:r>
      <w:r>
        <w:rPr>
          <w:lang w:val="en-GB"/>
        </w:rPr>
        <w:t xml:space="preserve"> to transesterification is deoxygenation of vegetable oils and their components. This process allows solving the main problems of the classical transesterification resulting in the production of fuels with lower acidity, lower viscosity and higher cetane number (up to 99)</w:t>
      </w:r>
      <w:r w:rsidR="00B21343">
        <w:rPr>
          <w:lang w:val="en-GB"/>
        </w:rPr>
        <w:t xml:space="preserve"> (</w:t>
      </w:r>
      <w:r w:rsidR="00B21343" w:rsidRPr="00DB37BE">
        <w:t>de Sousa</w:t>
      </w:r>
      <w:r w:rsidR="00B21343">
        <w:t xml:space="preserve"> et al., 2016</w:t>
      </w:r>
      <w:r w:rsidR="00B21343">
        <w:rPr>
          <w:lang w:val="en-GB"/>
        </w:rPr>
        <w:t>)</w:t>
      </w:r>
      <w:r>
        <w:rPr>
          <w:lang w:val="en-GB"/>
        </w:rPr>
        <w:t>. The oxygen removal from the triglycerides through deoxygenation proceeds over conventional NiMo/Al</w:t>
      </w:r>
      <w:r w:rsidRPr="00B21343">
        <w:rPr>
          <w:vertAlign w:val="subscript"/>
          <w:lang w:val="en-GB"/>
        </w:rPr>
        <w:t>2</w:t>
      </w:r>
      <w:r>
        <w:rPr>
          <w:lang w:val="en-GB"/>
        </w:rPr>
        <w:t>O</w:t>
      </w:r>
      <w:r w:rsidRPr="00B21343">
        <w:rPr>
          <w:vertAlign w:val="subscript"/>
          <w:lang w:val="en-GB"/>
        </w:rPr>
        <w:t>3</w:t>
      </w:r>
      <w:r>
        <w:rPr>
          <w:lang w:val="en-GB"/>
        </w:rPr>
        <w:t>, CoMo/Al</w:t>
      </w:r>
      <w:r w:rsidRPr="00B21343">
        <w:rPr>
          <w:vertAlign w:val="subscript"/>
          <w:lang w:val="en-GB"/>
        </w:rPr>
        <w:t>2</w:t>
      </w:r>
      <w:r>
        <w:rPr>
          <w:lang w:val="en-GB"/>
        </w:rPr>
        <w:t>O</w:t>
      </w:r>
      <w:r w:rsidRPr="00B21343">
        <w:rPr>
          <w:vertAlign w:val="subscript"/>
          <w:lang w:val="en-GB"/>
        </w:rPr>
        <w:t>3</w:t>
      </w:r>
      <w:r>
        <w:rPr>
          <w:lang w:val="en-GB"/>
        </w:rPr>
        <w:t xml:space="preserve"> </w:t>
      </w:r>
      <w:r w:rsidR="00B21343">
        <w:rPr>
          <w:lang w:val="en-GB"/>
        </w:rPr>
        <w:t xml:space="preserve">(Zhang et al., 2018) </w:t>
      </w:r>
      <w:r>
        <w:rPr>
          <w:lang w:val="en-GB"/>
        </w:rPr>
        <w:t xml:space="preserve">or noble metal (Pt/C, Pd/C) </w:t>
      </w:r>
      <w:r w:rsidR="00335212">
        <w:rPr>
          <w:lang w:val="en-GB"/>
        </w:rPr>
        <w:t>(</w:t>
      </w:r>
      <w:r w:rsidR="00335212" w:rsidRPr="00DB37BE">
        <w:t>de Sousa</w:t>
      </w:r>
      <w:r w:rsidR="00335212">
        <w:t xml:space="preserve"> et al., 2016</w:t>
      </w:r>
      <w:r w:rsidR="00335212">
        <w:rPr>
          <w:lang w:val="en-GB"/>
        </w:rPr>
        <w:t xml:space="preserve">) </w:t>
      </w:r>
      <w:r>
        <w:rPr>
          <w:lang w:val="en-GB"/>
        </w:rPr>
        <w:t xml:space="preserve">catalysts. However, in order to obtain saturated oxygen-free compounds, the use of </w:t>
      </w:r>
      <w:r w:rsidR="00B21343">
        <w:rPr>
          <w:lang w:val="en-GB"/>
        </w:rPr>
        <w:t xml:space="preserve">a </w:t>
      </w:r>
      <w:r w:rsidRPr="00B21343">
        <w:rPr>
          <w:noProof/>
          <w:lang w:val="en-GB"/>
        </w:rPr>
        <w:t>sufficiently</w:t>
      </w:r>
      <w:r>
        <w:rPr>
          <w:lang w:val="en-GB"/>
        </w:rPr>
        <w:t xml:space="preserve"> high amount of hydrogen is required. The high hydrogen consumption leads to a sufficient increase in the deoxygenation cost making the resulted fuel </w:t>
      </w:r>
      <w:r w:rsidR="0087073A">
        <w:rPr>
          <w:lang w:val="en-GB"/>
        </w:rPr>
        <w:t>uncompetitive</w:t>
      </w:r>
      <w:r w:rsidR="00335212">
        <w:rPr>
          <w:lang w:val="en-GB"/>
        </w:rPr>
        <w:t xml:space="preserve"> (Hermida et al., 2015)</w:t>
      </w:r>
      <w:r w:rsidR="0087073A">
        <w:rPr>
          <w:lang w:val="en-GB"/>
        </w:rPr>
        <w:t xml:space="preserve">. </w:t>
      </w:r>
    </w:p>
    <w:p w:rsidR="0087073A" w:rsidRDefault="0087073A" w:rsidP="00600535">
      <w:pPr>
        <w:pStyle w:val="CETBodytext"/>
        <w:rPr>
          <w:lang w:val="en-GB"/>
        </w:rPr>
      </w:pPr>
      <w:r>
        <w:rPr>
          <w:lang w:val="en-GB"/>
        </w:rPr>
        <w:t xml:space="preserve">From this point of view, </w:t>
      </w:r>
      <w:r w:rsidR="00B26809" w:rsidRPr="00B26809">
        <w:rPr>
          <w:color w:val="FF0000"/>
          <w:lang w:val="en-GB"/>
        </w:rPr>
        <w:t xml:space="preserve">the </w:t>
      </w:r>
      <w:r w:rsidRPr="00B26809">
        <w:rPr>
          <w:noProof/>
          <w:color w:val="FF0000"/>
          <w:lang w:val="en-GB"/>
        </w:rPr>
        <w:t>decarboxylation</w:t>
      </w:r>
      <w:r>
        <w:rPr>
          <w:lang w:val="en-GB"/>
        </w:rPr>
        <w:t xml:space="preserve"> process consisting of removal of oxygen in the form of CO</w:t>
      </w:r>
      <w:r w:rsidRPr="00B21343">
        <w:rPr>
          <w:vertAlign w:val="subscript"/>
          <w:lang w:val="en-GB"/>
        </w:rPr>
        <w:t>2</w:t>
      </w:r>
      <w:r>
        <w:rPr>
          <w:lang w:val="en-GB"/>
        </w:rPr>
        <w:t xml:space="preserve"> is more </w:t>
      </w:r>
      <w:r w:rsidR="00B21343" w:rsidRPr="00B21343">
        <w:rPr>
          <w:noProof/>
          <w:lang w:val="en-GB"/>
        </w:rPr>
        <w:t>preferable</w:t>
      </w:r>
      <w:r w:rsidRPr="00B21343">
        <w:rPr>
          <w:noProof/>
          <w:lang w:val="en-GB"/>
        </w:rPr>
        <w:t xml:space="preserve"> than</w:t>
      </w:r>
      <w:r>
        <w:rPr>
          <w:lang w:val="en-GB"/>
        </w:rPr>
        <w:t xml:space="preserve"> deoxygenation. This way require</w:t>
      </w:r>
      <w:r w:rsidR="00827FE9">
        <w:rPr>
          <w:lang w:val="en-GB"/>
        </w:rPr>
        <w:t>s</w:t>
      </w:r>
      <w:r>
        <w:rPr>
          <w:lang w:val="en-GB"/>
        </w:rPr>
        <w:t xml:space="preserve"> the use of highly selective catalyst allowing producing </w:t>
      </w:r>
      <w:r w:rsidR="00B21343">
        <w:rPr>
          <w:lang w:val="en-GB"/>
        </w:rPr>
        <w:t xml:space="preserve">a </w:t>
      </w:r>
      <w:r w:rsidRPr="00B21343">
        <w:rPr>
          <w:noProof/>
          <w:lang w:val="en-GB"/>
        </w:rPr>
        <w:t>high</w:t>
      </w:r>
      <w:r>
        <w:rPr>
          <w:lang w:val="en-GB"/>
        </w:rPr>
        <w:t xml:space="preserve"> yield of </w:t>
      </w:r>
      <w:r w:rsidR="00B21343">
        <w:rPr>
          <w:lang w:val="en-GB"/>
        </w:rPr>
        <w:t xml:space="preserve">the </w:t>
      </w:r>
      <w:r w:rsidRPr="00B21343">
        <w:rPr>
          <w:noProof/>
          <w:lang w:val="en-GB"/>
        </w:rPr>
        <w:t>target</w:t>
      </w:r>
      <w:r>
        <w:rPr>
          <w:lang w:val="en-GB"/>
        </w:rPr>
        <w:t xml:space="preserve"> product. Typically, noble metal catalysts such as Pd/C</w:t>
      </w:r>
      <w:r w:rsidR="00335212">
        <w:rPr>
          <w:lang w:val="en-GB"/>
        </w:rPr>
        <w:t xml:space="preserve"> (Hollak et al., 2014)</w:t>
      </w:r>
      <w:r>
        <w:rPr>
          <w:lang w:val="en-GB"/>
        </w:rPr>
        <w:t>, Pt/C</w:t>
      </w:r>
      <w:r w:rsidR="00335212">
        <w:rPr>
          <w:lang w:val="en-GB"/>
        </w:rPr>
        <w:t xml:space="preserve"> (Kon </w:t>
      </w:r>
      <w:r w:rsidR="00335212">
        <w:rPr>
          <w:lang w:val="en-GB"/>
        </w:rPr>
        <w:lastRenderedPageBreak/>
        <w:t>et al., 2014)</w:t>
      </w:r>
      <w:r>
        <w:rPr>
          <w:lang w:val="en-GB"/>
        </w:rPr>
        <w:t>, Pt/zeolite</w:t>
      </w:r>
      <w:r w:rsidR="00335212">
        <w:rPr>
          <w:lang w:val="en-GB"/>
        </w:rPr>
        <w:t xml:space="preserve"> (</w:t>
      </w:r>
      <w:r w:rsidR="00335212" w:rsidRPr="00DB37BE">
        <w:t>Santillan-Jimenez</w:t>
      </w:r>
      <w:r w:rsidR="00335212">
        <w:t xml:space="preserve"> et al., 2014)</w:t>
      </w:r>
      <w:r>
        <w:rPr>
          <w:lang w:val="en-GB"/>
        </w:rPr>
        <w:t>, Pt/TiO</w:t>
      </w:r>
      <w:r w:rsidRPr="00B21343">
        <w:rPr>
          <w:vertAlign w:val="subscript"/>
          <w:lang w:val="en-GB"/>
        </w:rPr>
        <w:t>2</w:t>
      </w:r>
      <w:r>
        <w:rPr>
          <w:lang w:val="en-GB"/>
        </w:rPr>
        <w:t xml:space="preserve"> </w:t>
      </w:r>
      <w:r w:rsidR="00335212">
        <w:rPr>
          <w:lang w:val="en-GB"/>
        </w:rPr>
        <w:t>(Ma and Zhao, 2015)</w:t>
      </w:r>
      <w:r w:rsidR="00B26809" w:rsidRPr="00B26809">
        <w:rPr>
          <w:color w:val="FF0000"/>
          <w:lang w:val="en-GB"/>
        </w:rPr>
        <w:t>,</w:t>
      </w:r>
      <w:r w:rsidR="00335212" w:rsidRPr="00B26809">
        <w:rPr>
          <w:color w:val="FF0000"/>
          <w:lang w:val="en-GB"/>
        </w:rPr>
        <w:t xml:space="preserve"> </w:t>
      </w:r>
      <w:r w:rsidRPr="00B26809">
        <w:rPr>
          <w:noProof/>
          <w:color w:val="FF0000"/>
          <w:lang w:val="en-GB"/>
        </w:rPr>
        <w:t>etc</w:t>
      </w:r>
      <w:r w:rsidR="00B26809" w:rsidRPr="00B26809">
        <w:rPr>
          <w:noProof/>
          <w:color w:val="FF0000"/>
          <w:lang w:val="en-GB"/>
        </w:rPr>
        <w:t>.</w:t>
      </w:r>
      <w:r>
        <w:rPr>
          <w:lang w:val="en-GB"/>
        </w:rPr>
        <w:t xml:space="preserve"> are used for decarboxylation. </w:t>
      </w:r>
      <w:r w:rsidR="00E62C57">
        <w:rPr>
          <w:lang w:val="en-GB"/>
        </w:rPr>
        <w:t>Recently, we also reported Pd/HPS as an effective deox</w:t>
      </w:r>
      <w:r w:rsidR="00DB37BE">
        <w:rPr>
          <w:lang w:val="en-GB"/>
        </w:rPr>
        <w:t>y</w:t>
      </w:r>
      <w:r w:rsidR="00E62C57">
        <w:rPr>
          <w:lang w:val="en-GB"/>
        </w:rPr>
        <w:t>genation catalyst</w:t>
      </w:r>
      <w:r w:rsidR="00335212">
        <w:rPr>
          <w:lang w:val="en-GB"/>
        </w:rPr>
        <w:t xml:space="preserve"> (Stepacheva et al., 2016)</w:t>
      </w:r>
      <w:r w:rsidR="00E62C57">
        <w:rPr>
          <w:lang w:val="en-GB"/>
        </w:rPr>
        <w:t xml:space="preserve">. </w:t>
      </w:r>
      <w:r w:rsidR="00827FE9">
        <w:rPr>
          <w:lang w:val="en-GB"/>
        </w:rPr>
        <w:t>However, these catalysts often have high selectivity to the formation of alkenes. This leads to the need in the additional hydrogenation step. Moreover, t</w:t>
      </w:r>
      <w:r>
        <w:rPr>
          <w:lang w:val="en-GB"/>
        </w:rPr>
        <w:t xml:space="preserve">he </w:t>
      </w:r>
      <w:r w:rsidR="00827FE9">
        <w:rPr>
          <w:lang w:val="en-GB"/>
        </w:rPr>
        <w:t xml:space="preserve">decarboxylation </w:t>
      </w:r>
      <w:r>
        <w:rPr>
          <w:lang w:val="en-GB"/>
        </w:rPr>
        <w:t>process is carried out in either non-solvent medium or in the pr</w:t>
      </w:r>
      <w:r w:rsidR="00827FE9">
        <w:rPr>
          <w:lang w:val="en-GB"/>
        </w:rPr>
        <w:t>esence of C</w:t>
      </w:r>
      <w:r w:rsidR="00827FE9" w:rsidRPr="00B21343">
        <w:rPr>
          <w:vertAlign w:val="subscript"/>
          <w:lang w:val="en-GB"/>
        </w:rPr>
        <w:t>10</w:t>
      </w:r>
      <w:r w:rsidR="00827FE9">
        <w:rPr>
          <w:lang w:val="en-GB"/>
        </w:rPr>
        <w:t>-C</w:t>
      </w:r>
      <w:r w:rsidR="00827FE9" w:rsidRPr="00B21343">
        <w:rPr>
          <w:vertAlign w:val="subscript"/>
          <w:lang w:val="en-GB"/>
        </w:rPr>
        <w:t>12</w:t>
      </w:r>
      <w:r w:rsidR="00827FE9">
        <w:rPr>
          <w:lang w:val="en-GB"/>
        </w:rPr>
        <w:t xml:space="preserve"> hydrocarbons which have significantly high den</w:t>
      </w:r>
      <w:r w:rsidR="00E62C57">
        <w:rPr>
          <w:lang w:val="en-GB"/>
        </w:rPr>
        <w:t>s</w:t>
      </w:r>
      <w:r w:rsidR="00827FE9">
        <w:rPr>
          <w:lang w:val="en-GB"/>
        </w:rPr>
        <w:t xml:space="preserve">ity and, thus, require higher temperatures. </w:t>
      </w:r>
    </w:p>
    <w:p w:rsidR="00827FE9" w:rsidRDefault="00827FE9" w:rsidP="00600535">
      <w:pPr>
        <w:pStyle w:val="CETBodytext"/>
      </w:pPr>
      <w:r>
        <w:rPr>
          <w:lang w:val="en-GB"/>
        </w:rPr>
        <w:t xml:space="preserve">In order to make the decarboxylation process low-cost, the numerous researchers proposed the use of sub- and supercritical solvents. Such </w:t>
      </w:r>
      <w:r w:rsidR="00B21343">
        <w:rPr>
          <w:lang w:val="en-GB"/>
        </w:rPr>
        <w:t xml:space="preserve">an </w:t>
      </w:r>
      <w:r w:rsidRPr="00B21343">
        <w:rPr>
          <w:noProof/>
          <w:lang w:val="en-GB"/>
        </w:rPr>
        <w:t>approach</w:t>
      </w:r>
      <w:r>
        <w:rPr>
          <w:lang w:val="en-GB"/>
        </w:rPr>
        <w:t xml:space="preserve"> allows decreasing the process temperature (depending on the solvent used). Moreover, the supercritical conditions allow sufficiently decreasing the process time (several minutes vs. several hours). Besides, some solvents in sub- or supercritical conditions can be hydrogen donors, thus, allowing the additional </w:t>
      </w:r>
      <w:r w:rsidR="00E62C57" w:rsidRPr="00B21343">
        <w:rPr>
          <w:noProof/>
          <w:lang w:val="en-GB"/>
        </w:rPr>
        <w:t>upgrading</w:t>
      </w:r>
      <w:r>
        <w:rPr>
          <w:lang w:val="en-GB"/>
        </w:rPr>
        <w:t xml:space="preserve"> of the products</w:t>
      </w:r>
      <w:r w:rsidR="00E62C57">
        <w:rPr>
          <w:lang w:val="en-GB"/>
        </w:rPr>
        <w:t xml:space="preserve">. </w:t>
      </w:r>
      <w:r w:rsidR="00A248F8">
        <w:t>According to the literature, n-hexane is the most suitable solvent for supercritical deoxygenation</w:t>
      </w:r>
      <w:r w:rsidR="00B21343">
        <w:t xml:space="preserve"> (</w:t>
      </w:r>
      <w:r w:rsidR="00335212">
        <w:t>Kim et al., 2014</w:t>
      </w:r>
      <w:r w:rsidR="00B21343">
        <w:t>)</w:t>
      </w:r>
      <w:r w:rsidR="00A248F8">
        <w:t>, since it forms a homogeneous phase with oil at room temperature and provides both a high conversion of the feedstock and t</w:t>
      </w:r>
      <w:r w:rsidR="00B21343">
        <w:t>he yield of the target product (Fang et al., 2017)</w:t>
      </w:r>
      <w:r w:rsidR="00A248F8">
        <w:t xml:space="preserve">. Moreover, the use of supercritical n-hexane allows </w:t>
      </w:r>
      <w:r w:rsidR="00B21343">
        <w:t xml:space="preserve">the </w:t>
      </w:r>
      <w:r w:rsidR="00A248F8" w:rsidRPr="00B21343">
        <w:rPr>
          <w:noProof/>
        </w:rPr>
        <w:t>process</w:t>
      </w:r>
      <w:r w:rsidR="00A248F8">
        <w:t xml:space="preserve"> to be carried out in milder conditions.</w:t>
      </w:r>
    </w:p>
    <w:p w:rsidR="00A248F8" w:rsidRDefault="008B728E" w:rsidP="00600535">
      <w:pPr>
        <w:pStyle w:val="CETBodytext"/>
      </w:pPr>
      <w:r>
        <w:t>Another direction for the decrease in the process cost is the use of cheaper catalysts</w:t>
      </w:r>
      <w:r w:rsidR="00B21343">
        <w:t xml:space="preserve"> (</w:t>
      </w:r>
      <w:r w:rsidR="00B21343" w:rsidRPr="00CE57CF">
        <w:t>Kubička</w:t>
      </w:r>
      <w:r w:rsidR="00B21343">
        <w:t xml:space="preserve"> et al., 2014)</w:t>
      </w:r>
      <w:r>
        <w:t xml:space="preserve">. Some works are devoted to the application of Ni-containing catalysts which showed high activity and </w:t>
      </w:r>
      <w:r w:rsidRPr="00B21343">
        <w:rPr>
          <w:noProof/>
        </w:rPr>
        <w:t>selecti</w:t>
      </w:r>
      <w:r w:rsidR="00B21343">
        <w:rPr>
          <w:noProof/>
        </w:rPr>
        <w:t>v</w:t>
      </w:r>
      <w:r w:rsidRPr="00B21343">
        <w:rPr>
          <w:noProof/>
        </w:rPr>
        <w:t>ity</w:t>
      </w:r>
      <w:r>
        <w:t xml:space="preserve"> in the deoxygenation of oils </w:t>
      </w:r>
      <w:r w:rsidR="00B21343">
        <w:t xml:space="preserve">(Chen et al., 2015) </w:t>
      </w:r>
      <w:r>
        <w:t>and fats</w:t>
      </w:r>
      <w:r w:rsidR="00CE57CF">
        <w:t xml:space="preserve"> </w:t>
      </w:r>
      <w:r w:rsidR="00B21343">
        <w:t>(</w:t>
      </w:r>
      <w:r w:rsidR="00B21343" w:rsidRPr="00DB37BE">
        <w:t>Hachemi</w:t>
      </w:r>
      <w:r w:rsidR="00B21343">
        <w:t xml:space="preserve"> et al., 2016)</w:t>
      </w:r>
      <w:r>
        <w:t>. However, the existing methods of the catalyst preparation have numerous disadvantages such as active phase aggregation, non-uniform particle distribution, pore blockage</w:t>
      </w:r>
      <w:r w:rsidR="00B26809" w:rsidRPr="00B26809">
        <w:rPr>
          <w:color w:val="FF0000"/>
        </w:rPr>
        <w:t>,</w:t>
      </w:r>
      <w:r w:rsidRPr="00B26809">
        <w:rPr>
          <w:color w:val="FF0000"/>
        </w:rPr>
        <w:t xml:space="preserve"> </w:t>
      </w:r>
      <w:r w:rsidRPr="00B26809">
        <w:rPr>
          <w:noProof/>
          <w:color w:val="FF0000"/>
        </w:rPr>
        <w:t>etc</w:t>
      </w:r>
      <w:r w:rsidRPr="00B26809">
        <w:rPr>
          <w:color w:val="FF0000"/>
        </w:rPr>
        <w:t>.</w:t>
      </w:r>
      <w:r>
        <w:t xml:space="preserve"> </w:t>
      </w:r>
      <w:r w:rsidR="005C1EA2" w:rsidRPr="005C1EA2">
        <w:t xml:space="preserve">Last decades, the </w:t>
      </w:r>
      <w:r w:rsidR="005C1EA2">
        <w:t xml:space="preserve">hydrothermal </w:t>
      </w:r>
      <w:r w:rsidR="005C1EA2" w:rsidRPr="005C1EA2">
        <w:t xml:space="preserve">catalyst synthesis in the medium of the superheated water is of </w:t>
      </w:r>
      <w:r w:rsidR="005C1EA2" w:rsidRPr="00B21343">
        <w:rPr>
          <w:noProof/>
        </w:rPr>
        <w:t>great</w:t>
      </w:r>
      <w:r w:rsidR="005C1EA2">
        <w:t xml:space="preserve"> attention</w:t>
      </w:r>
      <w:r w:rsidR="00335212">
        <w:t xml:space="preserve"> (Zhang and Erkey, 2006)</w:t>
      </w:r>
      <w:r w:rsidR="005C1EA2" w:rsidRPr="005C1EA2">
        <w:t xml:space="preserve">. </w:t>
      </w:r>
      <w:r w:rsidR="005C1EA2">
        <w:t>B</w:t>
      </w:r>
      <w:r w:rsidR="005C1EA2" w:rsidRPr="005C1EA2">
        <w:t xml:space="preserve">ecause of its unique properties </w:t>
      </w:r>
      <w:r w:rsidR="005C1EA2">
        <w:t xml:space="preserve">subcritical water </w:t>
      </w:r>
      <w:r w:rsidR="005C1EA2" w:rsidRPr="005C1EA2">
        <w:t>allows the</w:t>
      </w:r>
      <w:r w:rsidR="005C1EA2">
        <w:t xml:space="preserve"> </w:t>
      </w:r>
      <w:r w:rsidR="005C1EA2" w:rsidRPr="005C1EA2">
        <w:t xml:space="preserve">formation of the metal nanocrystals without using surfactants and ligands preventing </w:t>
      </w:r>
      <w:r w:rsidR="00335212">
        <w:t>the nanoparticle agglomeration (</w:t>
      </w:r>
      <w:r w:rsidR="00335212" w:rsidRPr="00335212">
        <w:t>Morère</w:t>
      </w:r>
      <w:r w:rsidR="00335212">
        <w:t xml:space="preserve"> et al., 2011)</w:t>
      </w:r>
      <w:r w:rsidR="005C1EA2" w:rsidRPr="005C1EA2">
        <w:t>.</w:t>
      </w:r>
      <w:r w:rsidR="005C1EA2">
        <w:t xml:space="preserve"> </w:t>
      </w:r>
      <w:r w:rsidR="005C1EA2" w:rsidRPr="005C1EA2">
        <w:t xml:space="preserve">Such approaches allow controlling the metal particle size and morphology. The low surface tension of the near critical water also prevents the pore blockage and enhances the diffusion </w:t>
      </w:r>
      <w:r w:rsidR="005C1EA2">
        <w:t>of the metal precursor solution into the pores of the support.</w:t>
      </w:r>
    </w:p>
    <w:p w:rsidR="005C1EA2" w:rsidRPr="00827FE9" w:rsidRDefault="005C1EA2" w:rsidP="00600535">
      <w:pPr>
        <w:pStyle w:val="CETBodytext"/>
      </w:pPr>
      <w:r>
        <w:t>In the current work we synthesized Ni-containing catalysts on the inorganic (</w:t>
      </w:r>
      <w:r w:rsidRPr="00B21343">
        <w:rPr>
          <w:noProof/>
        </w:rPr>
        <w:t>sil</w:t>
      </w:r>
      <w:r w:rsidR="00B21343">
        <w:rPr>
          <w:noProof/>
        </w:rPr>
        <w:t>i</w:t>
      </w:r>
      <w:r w:rsidRPr="00B21343">
        <w:rPr>
          <w:noProof/>
        </w:rPr>
        <w:t>ca</w:t>
      </w:r>
      <w:r>
        <w:t xml:space="preserve">, alumina) and polymeric (hypercrosslinked polystyrene) supports by the hydrothermal method. The catalysts were studied in the stearic acid deoxygenation in the medium of supercritical n-hexane in order to obtain hydrocarbon fuel with </w:t>
      </w:r>
      <w:r w:rsidR="00B26809" w:rsidRPr="00B26809">
        <w:rPr>
          <w:color w:val="FF0000"/>
        </w:rPr>
        <w:t xml:space="preserve">a </w:t>
      </w:r>
      <w:r w:rsidRPr="00B26809">
        <w:rPr>
          <w:noProof/>
          <w:color w:val="FF0000"/>
        </w:rPr>
        <w:t>high</w:t>
      </w:r>
      <w:r>
        <w:t xml:space="preserve"> cetane number.</w:t>
      </w:r>
    </w:p>
    <w:p w:rsidR="00600535" w:rsidRPr="00B57B36" w:rsidRDefault="00495322" w:rsidP="00600535">
      <w:pPr>
        <w:pStyle w:val="CETHeading1"/>
        <w:tabs>
          <w:tab w:val="clear" w:pos="360"/>
          <w:tab w:val="right" w:pos="7100"/>
        </w:tabs>
        <w:jc w:val="both"/>
        <w:rPr>
          <w:lang w:val="en-GB"/>
        </w:rPr>
      </w:pPr>
      <w:r>
        <w:rPr>
          <w:lang w:val="en-GB"/>
        </w:rPr>
        <w:t>Experimental</w:t>
      </w:r>
    </w:p>
    <w:p w:rsidR="00600535" w:rsidRPr="00B57B36" w:rsidRDefault="00E62C57" w:rsidP="00FA5F5F">
      <w:pPr>
        <w:pStyle w:val="CETheadingx"/>
      </w:pPr>
      <w:r>
        <w:t xml:space="preserve">Catalyst </w:t>
      </w:r>
      <w:r w:rsidR="00CE57CF">
        <w:t>P</w:t>
      </w:r>
      <w:r>
        <w:t>reparation</w:t>
      </w:r>
    </w:p>
    <w:p w:rsidR="00600535" w:rsidRDefault="00082683" w:rsidP="00600535">
      <w:pPr>
        <w:pStyle w:val="CETBodytext"/>
        <w:rPr>
          <w:lang w:val="en-GB"/>
        </w:rPr>
      </w:pPr>
      <w:r w:rsidRPr="00082683">
        <w:rPr>
          <w:lang w:val="en-GB"/>
        </w:rPr>
        <w:t>The Ni-containing catalyst</w:t>
      </w:r>
      <w:r>
        <w:rPr>
          <w:lang w:val="en-GB"/>
        </w:rPr>
        <w:t>s</w:t>
      </w:r>
      <w:r w:rsidRPr="00082683">
        <w:rPr>
          <w:lang w:val="en-GB"/>
        </w:rPr>
        <w:t xml:space="preserve"> w</w:t>
      </w:r>
      <w:r>
        <w:rPr>
          <w:lang w:val="en-GB"/>
        </w:rPr>
        <w:t>ere</w:t>
      </w:r>
      <w:r w:rsidRPr="00082683">
        <w:rPr>
          <w:lang w:val="en-GB"/>
        </w:rPr>
        <w:t xml:space="preserve"> synthesized by the hydrothermal deposition of the metal precursors (nickel nitrate) in the pores of the </w:t>
      </w:r>
      <w:r w:rsidR="00E62C57">
        <w:rPr>
          <w:lang w:val="en-GB"/>
        </w:rPr>
        <w:t>support</w:t>
      </w:r>
      <w:r>
        <w:rPr>
          <w:lang w:val="en-GB"/>
        </w:rPr>
        <w:t xml:space="preserve"> in a laboratory set-up (Figure 1) according to the procedure described in our previous work (Stepacheva et al., 2018).</w:t>
      </w:r>
    </w:p>
    <w:p w:rsidR="00600535" w:rsidRPr="00B57B36" w:rsidRDefault="00600535" w:rsidP="00600535">
      <w:pPr>
        <w:pStyle w:val="CETBodytext"/>
        <w:rPr>
          <w:lang w:val="en-GB"/>
        </w:rPr>
      </w:pPr>
    </w:p>
    <w:p w:rsidR="00600535" w:rsidRPr="00B57B36" w:rsidRDefault="00082683" w:rsidP="00FA5F5F">
      <w:pPr>
        <w:pStyle w:val="CETBodytext"/>
        <w:jc w:val="left"/>
        <w:rPr>
          <w:lang w:val="en-GB"/>
        </w:rPr>
      </w:pPr>
      <w:r w:rsidRPr="00082683">
        <w:rPr>
          <w:noProof/>
          <w:lang w:val="ru-RU" w:eastAsia="ru-RU"/>
        </w:rPr>
        <w:drawing>
          <wp:inline distT="0" distB="0" distL="0" distR="0">
            <wp:extent cx="3700130" cy="2444689"/>
            <wp:effectExtent l="19050" t="0" r="0" b="0"/>
            <wp:docPr id="3" name="Рисунок 1"/>
            <wp:cNvGraphicFramePr/>
            <a:graphic xmlns:a="http://schemas.openxmlformats.org/drawingml/2006/main">
              <a:graphicData uri="http://schemas.openxmlformats.org/drawingml/2006/picture">
                <pic:pic xmlns:pic="http://schemas.openxmlformats.org/drawingml/2006/picture">
                  <pic:nvPicPr>
                    <pic:cNvPr id="23" name="Picture 2"/>
                    <pic:cNvPicPr>
                      <a:picLocks noChangeAspect="1" noChangeArrowheads="1"/>
                    </pic:cNvPicPr>
                  </pic:nvPicPr>
                  <pic:blipFill>
                    <a:blip r:embed="rId10">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701421" cy="2445542"/>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Lst>
                  </pic:spPr>
                </pic:pic>
              </a:graphicData>
            </a:graphic>
          </wp:inline>
        </w:drawing>
      </w:r>
    </w:p>
    <w:p w:rsidR="00600535" w:rsidRDefault="00600535" w:rsidP="00600535">
      <w:pPr>
        <w:pStyle w:val="CETCaption"/>
      </w:pPr>
      <w:r w:rsidRPr="00B57B36">
        <w:t xml:space="preserve">Figure 1: </w:t>
      </w:r>
      <w:r w:rsidR="00082683" w:rsidRPr="00082683">
        <w:t>Laborato</w:t>
      </w:r>
      <w:r w:rsidR="00082683">
        <w:t xml:space="preserve">ry setup for catalyst synthesis: </w:t>
      </w:r>
      <w:r w:rsidR="00082683" w:rsidRPr="00082683">
        <w:t>high-pressure reactor (1), heater (2), thermocouple (3), stirrer motor (4), control unit (5), nitrogen bottle (6), and manometer</w:t>
      </w:r>
      <w:r w:rsidR="00F41CC0">
        <w:t xml:space="preserve"> (7)</w:t>
      </w:r>
      <w:r w:rsidR="00082683" w:rsidRPr="00082683">
        <w:t>.</w:t>
      </w:r>
    </w:p>
    <w:p w:rsidR="00E62C57" w:rsidRDefault="00E62C57" w:rsidP="00E62C57">
      <w:pPr>
        <w:pStyle w:val="CETBodytext"/>
      </w:pPr>
      <w:r>
        <w:lastRenderedPageBreak/>
        <w:t>Ni-compounds were deposited on the three different supports: anhydrous microporous silica (SiO</w:t>
      </w:r>
      <w:r w:rsidRPr="00E62C57">
        <w:rPr>
          <w:vertAlign w:val="subscript"/>
        </w:rPr>
        <w:t>2</w:t>
      </w:r>
      <w:r>
        <w:t>, Reachim, Russia), anhydrous alumina (Al</w:t>
      </w:r>
      <w:r w:rsidRPr="00B21343">
        <w:rPr>
          <w:vertAlign w:val="subscript"/>
        </w:rPr>
        <w:t>2</w:t>
      </w:r>
      <w:r>
        <w:t>O</w:t>
      </w:r>
      <w:r w:rsidRPr="00B21343">
        <w:rPr>
          <w:vertAlign w:val="subscript"/>
        </w:rPr>
        <w:t>3</w:t>
      </w:r>
      <w:r>
        <w:t xml:space="preserve">, Kupavna reactive, Russia), and non-functionalized hypercrosslinked polystyrene (HPS, Purolight Inc., UK). All the supports were </w:t>
      </w:r>
      <w:r w:rsidRPr="00B21343">
        <w:rPr>
          <w:noProof/>
        </w:rPr>
        <w:t>preliminar</w:t>
      </w:r>
      <w:r w:rsidR="00B21343">
        <w:rPr>
          <w:noProof/>
        </w:rPr>
        <w:t>il</w:t>
      </w:r>
      <w:r w:rsidRPr="00B21343">
        <w:rPr>
          <w:noProof/>
        </w:rPr>
        <w:t>y</w:t>
      </w:r>
      <w:r>
        <w:t xml:space="preserve"> dried at 70 </w:t>
      </w:r>
      <w:r>
        <w:rPr>
          <w:rFonts w:cs="Arial"/>
        </w:rPr>
        <w:t>°</w:t>
      </w:r>
      <w:r>
        <w:t xml:space="preserve">C for </w:t>
      </w:r>
      <w:r w:rsidR="00B21343">
        <w:t>90 min</w:t>
      </w:r>
      <w:r>
        <w:t xml:space="preserve">. </w:t>
      </w:r>
      <w:r w:rsidR="00A248F8">
        <w:t xml:space="preserve">After the choice </w:t>
      </w:r>
      <w:r w:rsidR="00DB37BE">
        <w:t>-</w:t>
      </w:r>
      <w:r w:rsidR="00A248F8">
        <w:t>of the optimal support, the Ni loading was varied from 5 to 20 wt. %.</w:t>
      </w:r>
    </w:p>
    <w:p w:rsidR="00600535" w:rsidRPr="00B57B36" w:rsidRDefault="00A248F8" w:rsidP="00FA5F5F">
      <w:pPr>
        <w:pStyle w:val="CETheadingx"/>
      </w:pPr>
      <w:r>
        <w:t xml:space="preserve">Deoxygenation </w:t>
      </w:r>
      <w:r w:rsidR="00CE57CF">
        <w:t>P</w:t>
      </w:r>
      <w:r>
        <w:t>rocess</w:t>
      </w:r>
    </w:p>
    <w:p w:rsidR="005C1EA2" w:rsidRPr="005C1EA2" w:rsidRDefault="005C1EA2" w:rsidP="005C1EA2">
      <w:pPr>
        <w:pStyle w:val="CETBodytext"/>
      </w:pPr>
      <w:r w:rsidRPr="005C1EA2">
        <w:t xml:space="preserve">The process of stearic acid </w:t>
      </w:r>
      <w:r>
        <w:t>deoxygenation</w:t>
      </w:r>
      <w:r w:rsidRPr="005C1EA2">
        <w:t xml:space="preserve"> in the medium of supercritical n-hexane was performed in Parr Series 5000 Multiple Reactor System (Parr Instrument, USA) equipped with magnetic stirrer. In a typical experiment, 30 mL of 0.2 M solution of stearic acid (99.9</w:t>
      </w:r>
      <w:r w:rsidR="00B26809">
        <w:t> </w:t>
      </w:r>
      <w:r w:rsidRPr="005C1EA2">
        <w:t>%, ChimMedService, Russia) in n-hexane (ReaChim, Russia) with 0.05 g of the catalyst were placed into the reactor. Then the reactor was sealed and heated up to 250 °C in</w:t>
      </w:r>
      <w:r w:rsidR="00CE57CF">
        <w:t xml:space="preserve"> </w:t>
      </w:r>
      <w:r w:rsidR="00B21343">
        <w:t xml:space="preserve">a </w:t>
      </w:r>
      <w:r w:rsidRPr="00B21343">
        <w:rPr>
          <w:noProof/>
        </w:rPr>
        <w:t>nitrogen</w:t>
      </w:r>
      <w:r w:rsidRPr="005C1EA2">
        <w:t xml:space="preserve"> atmosphere (nitrogen partial pressure 3.0 MPa). The total pressure in the reactor after the heating was 6.8 MPa. In order to exclude the equilibrium shift, the process was performed varying time from 5 to 60 min with 5 min interval. </w:t>
      </w:r>
    </w:p>
    <w:p w:rsidR="005C1EA2" w:rsidRDefault="005C1EA2" w:rsidP="005C1EA2">
      <w:pPr>
        <w:pStyle w:val="CETBodytext"/>
        <w:rPr>
          <w:lang w:val="en-GB"/>
        </w:rPr>
      </w:pPr>
      <w:r w:rsidRPr="005C1EA2">
        <w:rPr>
          <w:lang w:val="en-GB"/>
        </w:rPr>
        <w:t xml:space="preserve">The reaction mixture samples obtained after the reaction were analyzed by GCMS using gaseous chromatograph GC-2010 and mass-spectrometer GCMS-QP2010S (SHIMADZU, Japan). The chromatographic column HP-1MS with 30 m length, 0.25 mm diameter and 0.25 µm film thickness </w:t>
      </w:r>
      <w:r w:rsidRPr="00B21343">
        <w:rPr>
          <w:noProof/>
          <w:lang w:val="en-GB"/>
        </w:rPr>
        <w:t>w</w:t>
      </w:r>
      <w:r w:rsidR="00B21343">
        <w:rPr>
          <w:noProof/>
          <w:lang w:val="en-GB"/>
        </w:rPr>
        <w:t>ere</w:t>
      </w:r>
      <w:r w:rsidRPr="005C1EA2">
        <w:rPr>
          <w:lang w:val="en-GB"/>
        </w:rPr>
        <w:t xml:space="preserve"> used for the analysis.</w:t>
      </w:r>
    </w:p>
    <w:p w:rsidR="00600535" w:rsidRPr="00B57B36" w:rsidRDefault="00CE57CF" w:rsidP="00600535">
      <w:pPr>
        <w:pStyle w:val="CETHeading1"/>
        <w:rPr>
          <w:lang w:val="en-GB"/>
        </w:rPr>
      </w:pPr>
      <w:r>
        <w:rPr>
          <w:lang w:val="en-GB"/>
        </w:rPr>
        <w:t>Results and Discussion</w:t>
      </w:r>
    </w:p>
    <w:p w:rsidR="00E27F91" w:rsidRDefault="00E27F91" w:rsidP="00E27F91">
      <w:pPr>
        <w:pStyle w:val="CETheadingx"/>
      </w:pPr>
      <w:r>
        <w:t>Support Influence</w:t>
      </w:r>
    </w:p>
    <w:p w:rsidR="001D5CD3" w:rsidRDefault="00B21343" w:rsidP="00E27F91">
      <w:pPr>
        <w:pStyle w:val="CETBodytext"/>
      </w:pPr>
      <w:r>
        <w:t xml:space="preserve">In order to evaluate the influence of the </w:t>
      </w:r>
      <w:r w:rsidRPr="00B21343">
        <w:rPr>
          <w:noProof/>
        </w:rPr>
        <w:t>support</w:t>
      </w:r>
      <w:r>
        <w:rPr>
          <w:noProof/>
        </w:rPr>
        <w:t>,</w:t>
      </w:r>
      <w:r>
        <w:t xml:space="preserve"> three types of porous materials were chosen: microporous silica, alumina, and HPS. The data on the support effect on the stearic acid deoxygenation in supercritical n-hexane are presented in Figure 2. It is well seen, that the HPS –based catalyst provides </w:t>
      </w:r>
      <w:r w:rsidR="00B26809" w:rsidRPr="00B26809">
        <w:rPr>
          <w:noProof/>
          <w:color w:val="FF0000"/>
        </w:rPr>
        <w:t>a</w:t>
      </w:r>
      <w:r w:rsidRPr="00B26809">
        <w:rPr>
          <w:noProof/>
          <w:color w:val="FF0000"/>
        </w:rPr>
        <w:t xml:space="preserve"> higher</w:t>
      </w:r>
      <w:r>
        <w:t xml:space="preserve"> rate of stearic acid conversion. The catalysts supported on silica and alumina showed practically equal rates of substrate consumption. It is interesting to note a slight decrease in the stearic acid conversion rate for the silica-based catalyst.</w:t>
      </w:r>
    </w:p>
    <w:p w:rsidR="00E27F91" w:rsidRDefault="00B21343" w:rsidP="00E27F91">
      <w:pPr>
        <w:pStyle w:val="CETBodytext"/>
      </w:pPr>
      <w:r>
        <w:object w:dxaOrig="6386" w:dyaOrig="5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25pt;height:256.75pt" o:ole="">
            <v:imagedata r:id="rId11" o:title=""/>
          </v:shape>
          <o:OLEObject Type="Embed" ProgID="SigmaPlotGraphicObject.10" ShapeID="_x0000_i1025" DrawAspect="Content" ObjectID="_1615811272" r:id="rId12"/>
        </w:object>
      </w:r>
    </w:p>
    <w:p w:rsidR="001D5CD3" w:rsidRDefault="001D5CD3" w:rsidP="001D5CD3">
      <w:pPr>
        <w:pStyle w:val="CETCaption"/>
      </w:pPr>
      <w:r w:rsidRPr="00B57B36">
        <w:t xml:space="preserve">Figure </w:t>
      </w:r>
      <w:r w:rsidR="00F54FB5">
        <w:t>2</w:t>
      </w:r>
      <w:r w:rsidRPr="00B57B36">
        <w:t xml:space="preserve">: </w:t>
      </w:r>
      <w:r>
        <w:t xml:space="preserve">Influence of </w:t>
      </w:r>
      <w:r w:rsidR="00A750F4">
        <w:t>the support</w:t>
      </w:r>
      <w:r>
        <w:t xml:space="preserve"> on the stearic acid </w:t>
      </w:r>
      <w:r w:rsidR="00B26809" w:rsidRPr="00B26809">
        <w:rPr>
          <w:color w:val="FF0000"/>
          <w:lang w:val="en-US"/>
        </w:rPr>
        <w:t>con</w:t>
      </w:r>
      <w:r w:rsidR="00B26809">
        <w:rPr>
          <w:color w:val="FF0000"/>
          <w:lang w:val="en-US"/>
        </w:rPr>
        <w:t>sumption</w:t>
      </w:r>
      <w:r w:rsidRPr="00082683">
        <w:t>.</w:t>
      </w:r>
    </w:p>
    <w:p w:rsidR="00B21343" w:rsidRDefault="00B21343" w:rsidP="00B21343">
      <w:pPr>
        <w:pStyle w:val="CETBodytext"/>
      </w:pPr>
      <w:r>
        <w:t xml:space="preserve">For </w:t>
      </w:r>
      <w:r>
        <w:rPr>
          <w:noProof/>
        </w:rPr>
        <w:t>a</w:t>
      </w:r>
      <w:r w:rsidRPr="00B21343">
        <w:rPr>
          <w:noProof/>
        </w:rPr>
        <w:t xml:space="preserve"> better</w:t>
      </w:r>
      <w:r>
        <w:t xml:space="preserve"> understanding of the obtained results, the physical-chemical analysis of the catalysts was performed (Table 1). It is seen that the hydrothermal synthesis of the catalysts leads to the decrease in the micropore surface area forming mesopores with the diameter above 10 nm. Such mesoporous materials are more preferable for the conversion of large molecules (e.g. stearic acid and triglycerides). HPS-based catalyst has the highest surface area which allows higher adsorption of the substrate molecules and, thus, higher conversion rate.</w:t>
      </w:r>
      <w:r w:rsidR="00B26809">
        <w:t xml:space="preserve"> </w:t>
      </w:r>
      <w:r w:rsidR="00B26809" w:rsidRPr="00B26809">
        <w:rPr>
          <w:color w:val="FF0000"/>
        </w:rPr>
        <w:t xml:space="preserve">Moreover, the </w:t>
      </w:r>
      <w:r w:rsidR="00B26809" w:rsidRPr="00B26809">
        <w:rPr>
          <w:noProof/>
          <w:color w:val="FF0000"/>
        </w:rPr>
        <w:t>hydrophobes</w:t>
      </w:r>
      <w:r w:rsidR="00B26809" w:rsidRPr="00B26809">
        <w:rPr>
          <w:color w:val="FF0000"/>
        </w:rPr>
        <w:t xml:space="preserve"> character of this support is more preferable for the reactions in </w:t>
      </w:r>
      <w:r w:rsidR="00B26809" w:rsidRPr="00B26809">
        <w:rPr>
          <w:color w:val="FF0000"/>
        </w:rPr>
        <w:lastRenderedPageBreak/>
        <w:t>the medium of non-polar solvents.</w:t>
      </w:r>
      <w:r>
        <w:t xml:space="preserve"> A sharp decrease in the total surface area for silica-based catalysts caused by the support recrystallization in the superheated water allows proposing the full saturation of the catalyst surface and the decrease in the reaction rate at the end of the deoxygenation.</w:t>
      </w:r>
    </w:p>
    <w:p w:rsidR="00B21343" w:rsidRPr="00B57B36" w:rsidRDefault="00B21343" w:rsidP="00B21343">
      <w:pPr>
        <w:pStyle w:val="CETTabletitle"/>
      </w:pPr>
      <w:r w:rsidRPr="00B57B36">
        <w:t xml:space="preserve">Table 1: </w:t>
      </w:r>
      <w:r>
        <w:t>Catalyst characterization results</w:t>
      </w:r>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1134"/>
        <w:gridCol w:w="1276"/>
        <w:gridCol w:w="1134"/>
        <w:gridCol w:w="1276"/>
        <w:gridCol w:w="992"/>
        <w:gridCol w:w="1276"/>
        <w:gridCol w:w="992"/>
      </w:tblGrid>
      <w:tr w:rsidR="00B21343" w:rsidRPr="00B57B36" w:rsidTr="00B21343">
        <w:tc>
          <w:tcPr>
            <w:tcW w:w="1134" w:type="dxa"/>
            <w:tcBorders>
              <w:top w:val="single" w:sz="12" w:space="0" w:color="008000"/>
              <w:bottom w:val="single" w:sz="6" w:space="0" w:color="008000"/>
            </w:tcBorders>
            <w:shd w:val="clear" w:color="auto" w:fill="FFFFFF"/>
          </w:tcPr>
          <w:p w:rsidR="00B21343" w:rsidRPr="00B57B36" w:rsidRDefault="00B21343" w:rsidP="00FA3C64">
            <w:pPr>
              <w:pStyle w:val="CETBodytext"/>
              <w:rPr>
                <w:lang w:val="en-GB"/>
              </w:rPr>
            </w:pPr>
            <w:r>
              <w:rPr>
                <w:lang w:val="en-GB"/>
              </w:rPr>
              <w:t>Catalyst</w:t>
            </w:r>
            <w:r w:rsidRPr="00B57B36">
              <w:rPr>
                <w:lang w:val="en-GB"/>
              </w:rPr>
              <w:t xml:space="preserve"> </w:t>
            </w:r>
          </w:p>
        </w:tc>
        <w:tc>
          <w:tcPr>
            <w:tcW w:w="1276" w:type="dxa"/>
            <w:tcBorders>
              <w:top w:val="single" w:sz="12" w:space="0" w:color="008000"/>
              <w:bottom w:val="single" w:sz="6" w:space="0" w:color="008000"/>
            </w:tcBorders>
            <w:shd w:val="clear" w:color="auto" w:fill="FFFFFF"/>
          </w:tcPr>
          <w:p w:rsidR="00B21343" w:rsidRPr="00B57B36" w:rsidRDefault="00B21343" w:rsidP="00B21343">
            <w:pPr>
              <w:pStyle w:val="CETBodytext"/>
              <w:jc w:val="left"/>
              <w:rPr>
                <w:lang w:val="en-GB"/>
              </w:rPr>
            </w:pPr>
            <w:r>
              <w:rPr>
                <w:lang w:val="en-GB"/>
              </w:rPr>
              <w:t>Surface area, m</w:t>
            </w:r>
            <w:r w:rsidRPr="00B21343">
              <w:rPr>
                <w:vertAlign w:val="superscript"/>
                <w:lang w:val="en-GB"/>
              </w:rPr>
              <w:t>2</w:t>
            </w:r>
            <w:r>
              <w:rPr>
                <w:lang w:val="en-GB"/>
              </w:rPr>
              <w:t>/g</w:t>
            </w:r>
          </w:p>
        </w:tc>
        <w:tc>
          <w:tcPr>
            <w:tcW w:w="1134" w:type="dxa"/>
            <w:tcBorders>
              <w:top w:val="single" w:sz="12" w:space="0" w:color="008000"/>
              <w:bottom w:val="single" w:sz="6" w:space="0" w:color="008000"/>
            </w:tcBorders>
            <w:shd w:val="clear" w:color="auto" w:fill="FFFFFF"/>
          </w:tcPr>
          <w:p w:rsidR="00B21343" w:rsidRPr="00B57B36" w:rsidRDefault="00B21343" w:rsidP="00B21343">
            <w:pPr>
              <w:pStyle w:val="CETBodytext"/>
              <w:jc w:val="left"/>
              <w:rPr>
                <w:lang w:val="en-GB"/>
              </w:rPr>
            </w:pPr>
            <w:r>
              <w:rPr>
                <w:noProof/>
                <w:lang w:val="en-GB"/>
              </w:rPr>
              <w:t>The s</w:t>
            </w:r>
            <w:r w:rsidRPr="00B21343">
              <w:rPr>
                <w:noProof/>
                <w:lang w:val="en-GB"/>
              </w:rPr>
              <w:t>urface</w:t>
            </w:r>
            <w:r>
              <w:rPr>
                <w:lang w:val="en-GB"/>
              </w:rPr>
              <w:t xml:space="preserve"> area of micropore, m</w:t>
            </w:r>
            <w:r w:rsidRPr="00B21343">
              <w:rPr>
                <w:vertAlign w:val="superscript"/>
                <w:lang w:val="en-GB"/>
              </w:rPr>
              <w:t>2</w:t>
            </w:r>
            <w:r>
              <w:rPr>
                <w:lang w:val="en-GB"/>
              </w:rPr>
              <w:t>/g</w:t>
            </w:r>
          </w:p>
        </w:tc>
        <w:tc>
          <w:tcPr>
            <w:tcW w:w="1276" w:type="dxa"/>
            <w:tcBorders>
              <w:top w:val="single" w:sz="12" w:space="0" w:color="008000"/>
              <w:bottom w:val="single" w:sz="6" w:space="0" w:color="008000"/>
            </w:tcBorders>
            <w:shd w:val="clear" w:color="auto" w:fill="FFFFFF"/>
          </w:tcPr>
          <w:p w:rsidR="00B21343" w:rsidRPr="00B57B36" w:rsidRDefault="00B21343" w:rsidP="00B21343">
            <w:pPr>
              <w:pStyle w:val="CETBodytext"/>
              <w:ind w:right="-1"/>
              <w:jc w:val="left"/>
              <w:rPr>
                <w:rFonts w:cs="Arial"/>
                <w:szCs w:val="18"/>
                <w:lang w:val="en-GB"/>
              </w:rPr>
            </w:pPr>
            <w:r>
              <w:rPr>
                <w:rFonts w:cs="Arial"/>
                <w:szCs w:val="18"/>
                <w:lang w:val="en-GB"/>
              </w:rPr>
              <w:t>Average pore diameter, nm</w:t>
            </w:r>
          </w:p>
        </w:tc>
        <w:tc>
          <w:tcPr>
            <w:tcW w:w="992" w:type="dxa"/>
            <w:tcBorders>
              <w:top w:val="single" w:sz="12" w:space="0" w:color="008000"/>
              <w:bottom w:val="single" w:sz="6" w:space="0" w:color="008000"/>
            </w:tcBorders>
            <w:shd w:val="clear" w:color="auto" w:fill="FFFFFF"/>
          </w:tcPr>
          <w:p w:rsidR="00B21343" w:rsidRPr="00B57B36" w:rsidRDefault="00B21343" w:rsidP="00FA3C64">
            <w:pPr>
              <w:pStyle w:val="CETBodytext"/>
              <w:ind w:right="-1"/>
              <w:rPr>
                <w:rFonts w:cs="Arial"/>
                <w:szCs w:val="18"/>
                <w:lang w:val="en-GB"/>
              </w:rPr>
            </w:pPr>
            <w:r>
              <w:rPr>
                <w:rFonts w:cs="Arial"/>
                <w:szCs w:val="18"/>
                <w:lang w:val="en-GB"/>
              </w:rPr>
              <w:t>Acidity, mmol/g</w:t>
            </w:r>
          </w:p>
        </w:tc>
        <w:tc>
          <w:tcPr>
            <w:tcW w:w="1276" w:type="dxa"/>
            <w:tcBorders>
              <w:top w:val="single" w:sz="12" w:space="0" w:color="008000"/>
              <w:bottom w:val="single" w:sz="6" w:space="0" w:color="008000"/>
            </w:tcBorders>
            <w:shd w:val="clear" w:color="auto" w:fill="FFFFFF"/>
          </w:tcPr>
          <w:p w:rsidR="00B21343" w:rsidRDefault="00B21343" w:rsidP="00B21343">
            <w:pPr>
              <w:pStyle w:val="CETBodytext"/>
              <w:ind w:right="-1"/>
              <w:jc w:val="left"/>
              <w:rPr>
                <w:rFonts w:cs="Arial"/>
                <w:szCs w:val="18"/>
                <w:lang w:val="en-GB"/>
              </w:rPr>
            </w:pPr>
            <w:r>
              <w:rPr>
                <w:rFonts w:cs="Arial"/>
                <w:szCs w:val="18"/>
                <w:lang w:val="en-GB"/>
              </w:rPr>
              <w:t>Metal concentration, wt. %</w:t>
            </w:r>
          </w:p>
        </w:tc>
        <w:tc>
          <w:tcPr>
            <w:tcW w:w="992" w:type="dxa"/>
            <w:tcBorders>
              <w:top w:val="single" w:sz="12" w:space="0" w:color="008000"/>
              <w:bottom w:val="single" w:sz="6" w:space="0" w:color="008000"/>
            </w:tcBorders>
            <w:shd w:val="clear" w:color="auto" w:fill="FFFFFF"/>
          </w:tcPr>
          <w:p w:rsidR="00B21343" w:rsidRDefault="00B21343" w:rsidP="00B21343">
            <w:pPr>
              <w:pStyle w:val="CETBodytext"/>
              <w:ind w:right="-1"/>
              <w:rPr>
                <w:rFonts w:cs="Arial"/>
                <w:szCs w:val="18"/>
                <w:lang w:val="en-GB"/>
              </w:rPr>
            </w:pPr>
            <w:r>
              <w:rPr>
                <w:rFonts w:cs="Arial"/>
                <w:szCs w:val="18"/>
                <w:lang w:val="en-GB"/>
              </w:rPr>
              <w:t>Metal compound</w:t>
            </w:r>
          </w:p>
        </w:tc>
      </w:tr>
      <w:tr w:rsidR="00B21343" w:rsidRPr="00B57B36" w:rsidTr="00B21343">
        <w:tc>
          <w:tcPr>
            <w:tcW w:w="1134" w:type="dxa"/>
            <w:shd w:val="clear" w:color="auto" w:fill="FFFFFF"/>
          </w:tcPr>
          <w:p w:rsidR="00B21343" w:rsidRPr="00B57B36" w:rsidRDefault="00B21343" w:rsidP="00FA3C64">
            <w:pPr>
              <w:pStyle w:val="CETBodytext"/>
              <w:rPr>
                <w:lang w:val="en-GB"/>
              </w:rPr>
            </w:pPr>
            <w:r>
              <w:rPr>
                <w:lang w:val="en-GB"/>
              </w:rPr>
              <w:t>SiO</w:t>
            </w:r>
            <w:r w:rsidRPr="00B21343">
              <w:rPr>
                <w:vertAlign w:val="subscript"/>
                <w:lang w:val="en-GB"/>
              </w:rPr>
              <w:t>2</w:t>
            </w:r>
          </w:p>
        </w:tc>
        <w:tc>
          <w:tcPr>
            <w:tcW w:w="1276" w:type="dxa"/>
            <w:shd w:val="clear" w:color="auto" w:fill="FFFFFF"/>
          </w:tcPr>
          <w:p w:rsidR="00B21343" w:rsidRPr="00B57B36" w:rsidRDefault="00B21343" w:rsidP="00FA3C64">
            <w:pPr>
              <w:pStyle w:val="CETBodytext"/>
              <w:rPr>
                <w:lang w:val="en-GB"/>
              </w:rPr>
            </w:pPr>
            <w:r>
              <w:rPr>
                <w:lang w:val="en-GB"/>
              </w:rPr>
              <w:t>390</w:t>
            </w:r>
          </w:p>
        </w:tc>
        <w:tc>
          <w:tcPr>
            <w:tcW w:w="1134" w:type="dxa"/>
            <w:shd w:val="clear" w:color="auto" w:fill="FFFFFF"/>
          </w:tcPr>
          <w:p w:rsidR="00B21343" w:rsidRPr="00B57B36" w:rsidRDefault="00B21343" w:rsidP="00FA3C64">
            <w:pPr>
              <w:pStyle w:val="CETBodytext"/>
              <w:rPr>
                <w:lang w:val="en-GB"/>
              </w:rPr>
            </w:pPr>
            <w:r>
              <w:rPr>
                <w:lang w:val="en-GB"/>
              </w:rPr>
              <w:t>121.0</w:t>
            </w:r>
          </w:p>
        </w:tc>
        <w:tc>
          <w:tcPr>
            <w:tcW w:w="1276"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5.0</w:t>
            </w:r>
          </w:p>
        </w:tc>
        <w:tc>
          <w:tcPr>
            <w:tcW w:w="992"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0.53</w:t>
            </w:r>
          </w:p>
        </w:tc>
        <w:tc>
          <w:tcPr>
            <w:tcW w:w="1276"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w:t>
            </w:r>
          </w:p>
        </w:tc>
        <w:tc>
          <w:tcPr>
            <w:tcW w:w="992"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w:t>
            </w:r>
          </w:p>
        </w:tc>
      </w:tr>
      <w:tr w:rsidR="00B21343" w:rsidRPr="00B57B36" w:rsidTr="00B21343">
        <w:tc>
          <w:tcPr>
            <w:tcW w:w="1134"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Ni/SiO</w:t>
            </w:r>
            <w:r w:rsidRPr="00B21343">
              <w:rPr>
                <w:rFonts w:cs="Arial"/>
                <w:szCs w:val="18"/>
                <w:vertAlign w:val="subscript"/>
                <w:lang w:val="en-GB"/>
              </w:rPr>
              <w:t>2</w:t>
            </w:r>
          </w:p>
        </w:tc>
        <w:tc>
          <w:tcPr>
            <w:tcW w:w="1276"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125</w:t>
            </w:r>
          </w:p>
        </w:tc>
        <w:tc>
          <w:tcPr>
            <w:tcW w:w="1134"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5.5</w:t>
            </w:r>
          </w:p>
        </w:tc>
        <w:tc>
          <w:tcPr>
            <w:tcW w:w="1276"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20-30</w:t>
            </w:r>
          </w:p>
        </w:tc>
        <w:tc>
          <w:tcPr>
            <w:tcW w:w="992"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0.45</w:t>
            </w:r>
          </w:p>
        </w:tc>
        <w:tc>
          <w:tcPr>
            <w:tcW w:w="1276"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5.8</w:t>
            </w:r>
          </w:p>
        </w:tc>
        <w:tc>
          <w:tcPr>
            <w:tcW w:w="992"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γ-NiOOH</w:t>
            </w:r>
          </w:p>
        </w:tc>
      </w:tr>
      <w:tr w:rsidR="00B21343" w:rsidRPr="00B57B36" w:rsidTr="00B21343">
        <w:tc>
          <w:tcPr>
            <w:tcW w:w="1134" w:type="dxa"/>
            <w:shd w:val="clear" w:color="auto" w:fill="FFFFFF"/>
          </w:tcPr>
          <w:p w:rsidR="00B21343" w:rsidRDefault="00B21343" w:rsidP="00FA3C64">
            <w:pPr>
              <w:pStyle w:val="CETBodytext"/>
              <w:ind w:right="-1"/>
              <w:rPr>
                <w:rFonts w:cs="Arial"/>
                <w:szCs w:val="18"/>
                <w:lang w:val="en-GB"/>
              </w:rPr>
            </w:pPr>
            <w:r>
              <w:rPr>
                <w:rFonts w:cs="Arial"/>
                <w:szCs w:val="18"/>
                <w:lang w:val="en-GB"/>
              </w:rPr>
              <w:t>Al</w:t>
            </w:r>
            <w:r w:rsidRPr="00B21343">
              <w:rPr>
                <w:rFonts w:cs="Arial"/>
                <w:szCs w:val="18"/>
                <w:vertAlign w:val="subscript"/>
                <w:lang w:val="en-GB"/>
              </w:rPr>
              <w:t>2</w:t>
            </w:r>
            <w:r>
              <w:rPr>
                <w:rFonts w:cs="Arial"/>
                <w:szCs w:val="18"/>
                <w:lang w:val="en-GB"/>
              </w:rPr>
              <w:t>O</w:t>
            </w:r>
            <w:r w:rsidRPr="00B21343">
              <w:rPr>
                <w:rFonts w:cs="Arial"/>
                <w:szCs w:val="18"/>
                <w:vertAlign w:val="subscript"/>
                <w:lang w:val="en-GB"/>
              </w:rPr>
              <w:t>3</w:t>
            </w:r>
          </w:p>
        </w:tc>
        <w:tc>
          <w:tcPr>
            <w:tcW w:w="1276" w:type="dxa"/>
            <w:shd w:val="clear" w:color="auto" w:fill="FFFFFF"/>
          </w:tcPr>
          <w:p w:rsidR="00B21343" w:rsidRPr="00B57B36" w:rsidRDefault="00B21343" w:rsidP="00B21343">
            <w:pPr>
              <w:pStyle w:val="CETBodytext"/>
              <w:ind w:right="-1"/>
              <w:rPr>
                <w:rFonts w:cs="Arial"/>
                <w:szCs w:val="18"/>
                <w:lang w:val="en-GB"/>
              </w:rPr>
            </w:pPr>
            <w:r>
              <w:rPr>
                <w:rFonts w:cs="Arial"/>
                <w:szCs w:val="18"/>
                <w:lang w:val="en-GB"/>
              </w:rPr>
              <w:t>420</w:t>
            </w:r>
          </w:p>
        </w:tc>
        <w:tc>
          <w:tcPr>
            <w:tcW w:w="1134"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95.0</w:t>
            </w:r>
          </w:p>
        </w:tc>
        <w:tc>
          <w:tcPr>
            <w:tcW w:w="1276"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8.5</w:t>
            </w:r>
          </w:p>
        </w:tc>
        <w:tc>
          <w:tcPr>
            <w:tcW w:w="992"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0.34</w:t>
            </w:r>
          </w:p>
        </w:tc>
        <w:tc>
          <w:tcPr>
            <w:tcW w:w="1276"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w:t>
            </w:r>
          </w:p>
        </w:tc>
        <w:tc>
          <w:tcPr>
            <w:tcW w:w="992"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w:t>
            </w:r>
          </w:p>
        </w:tc>
      </w:tr>
      <w:tr w:rsidR="00B21343" w:rsidRPr="00B57B36" w:rsidTr="00B21343">
        <w:tc>
          <w:tcPr>
            <w:tcW w:w="1134" w:type="dxa"/>
            <w:shd w:val="clear" w:color="auto" w:fill="FFFFFF"/>
          </w:tcPr>
          <w:p w:rsidR="00B21343" w:rsidRDefault="00B21343" w:rsidP="00FA3C64">
            <w:pPr>
              <w:pStyle w:val="CETBodytext"/>
              <w:ind w:right="-1"/>
              <w:rPr>
                <w:rFonts w:cs="Arial"/>
                <w:szCs w:val="18"/>
                <w:lang w:val="en-GB"/>
              </w:rPr>
            </w:pPr>
            <w:r>
              <w:rPr>
                <w:rFonts w:cs="Arial"/>
                <w:szCs w:val="18"/>
                <w:lang w:val="en-GB"/>
              </w:rPr>
              <w:t>Ni/Al</w:t>
            </w:r>
            <w:r w:rsidRPr="00B21343">
              <w:rPr>
                <w:rFonts w:cs="Arial"/>
                <w:szCs w:val="18"/>
                <w:vertAlign w:val="subscript"/>
                <w:lang w:val="en-GB"/>
              </w:rPr>
              <w:t>2</w:t>
            </w:r>
            <w:r>
              <w:rPr>
                <w:rFonts w:cs="Arial"/>
                <w:szCs w:val="18"/>
                <w:lang w:val="en-GB"/>
              </w:rPr>
              <w:t>O</w:t>
            </w:r>
            <w:r w:rsidRPr="00B21343">
              <w:rPr>
                <w:rFonts w:cs="Arial"/>
                <w:szCs w:val="18"/>
                <w:vertAlign w:val="subscript"/>
                <w:lang w:val="en-GB"/>
              </w:rPr>
              <w:t>3</w:t>
            </w:r>
          </w:p>
        </w:tc>
        <w:tc>
          <w:tcPr>
            <w:tcW w:w="1276" w:type="dxa"/>
            <w:shd w:val="clear" w:color="auto" w:fill="FFFFFF"/>
          </w:tcPr>
          <w:p w:rsidR="00B21343" w:rsidRPr="00B57B36" w:rsidRDefault="00B21343" w:rsidP="00B21343">
            <w:pPr>
              <w:pStyle w:val="CETBodytext"/>
              <w:ind w:right="-1"/>
              <w:rPr>
                <w:rFonts w:cs="Arial"/>
                <w:szCs w:val="18"/>
                <w:lang w:val="en-GB"/>
              </w:rPr>
            </w:pPr>
            <w:r>
              <w:rPr>
                <w:rFonts w:cs="Arial"/>
                <w:szCs w:val="18"/>
                <w:lang w:val="en-GB"/>
              </w:rPr>
              <w:t>240</w:t>
            </w:r>
          </w:p>
        </w:tc>
        <w:tc>
          <w:tcPr>
            <w:tcW w:w="1134"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10.0</w:t>
            </w:r>
          </w:p>
        </w:tc>
        <w:tc>
          <w:tcPr>
            <w:tcW w:w="1276"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15-20</w:t>
            </w:r>
          </w:p>
        </w:tc>
        <w:tc>
          <w:tcPr>
            <w:tcW w:w="992"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0.25</w:t>
            </w:r>
          </w:p>
        </w:tc>
        <w:tc>
          <w:tcPr>
            <w:tcW w:w="1276"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6.3</w:t>
            </w:r>
          </w:p>
        </w:tc>
        <w:tc>
          <w:tcPr>
            <w:tcW w:w="992"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γ-NiOOH</w:t>
            </w:r>
          </w:p>
        </w:tc>
      </w:tr>
      <w:tr w:rsidR="00B21343" w:rsidRPr="00B57B36" w:rsidTr="00B21343">
        <w:tc>
          <w:tcPr>
            <w:tcW w:w="1134" w:type="dxa"/>
            <w:shd w:val="clear" w:color="auto" w:fill="FFFFFF"/>
          </w:tcPr>
          <w:p w:rsidR="00B21343" w:rsidRDefault="00B21343" w:rsidP="00FA3C64">
            <w:pPr>
              <w:pStyle w:val="CETBodytext"/>
              <w:ind w:right="-1"/>
              <w:rPr>
                <w:rFonts w:cs="Arial"/>
                <w:szCs w:val="18"/>
                <w:lang w:val="en-GB"/>
              </w:rPr>
            </w:pPr>
            <w:r>
              <w:rPr>
                <w:rFonts w:cs="Arial"/>
                <w:szCs w:val="18"/>
                <w:lang w:val="en-GB"/>
              </w:rPr>
              <w:t>HPS</w:t>
            </w:r>
          </w:p>
        </w:tc>
        <w:tc>
          <w:tcPr>
            <w:tcW w:w="1276"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1370</w:t>
            </w:r>
          </w:p>
        </w:tc>
        <w:tc>
          <w:tcPr>
            <w:tcW w:w="1134"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900.0</w:t>
            </w:r>
          </w:p>
        </w:tc>
        <w:tc>
          <w:tcPr>
            <w:tcW w:w="1276"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4.5</w:t>
            </w:r>
          </w:p>
        </w:tc>
        <w:tc>
          <w:tcPr>
            <w:tcW w:w="992"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w:t>
            </w:r>
          </w:p>
        </w:tc>
        <w:tc>
          <w:tcPr>
            <w:tcW w:w="1276"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w:t>
            </w:r>
          </w:p>
        </w:tc>
        <w:tc>
          <w:tcPr>
            <w:tcW w:w="992"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w:t>
            </w:r>
          </w:p>
        </w:tc>
      </w:tr>
      <w:tr w:rsidR="00B21343" w:rsidRPr="00B57B36" w:rsidTr="00B21343">
        <w:tc>
          <w:tcPr>
            <w:tcW w:w="1134" w:type="dxa"/>
            <w:shd w:val="clear" w:color="auto" w:fill="FFFFFF"/>
          </w:tcPr>
          <w:p w:rsidR="00B21343" w:rsidRDefault="00B21343" w:rsidP="00FA3C64">
            <w:pPr>
              <w:pStyle w:val="CETBodytext"/>
              <w:ind w:right="-1"/>
              <w:rPr>
                <w:rFonts w:cs="Arial"/>
                <w:szCs w:val="18"/>
                <w:lang w:val="en-GB"/>
              </w:rPr>
            </w:pPr>
            <w:r>
              <w:rPr>
                <w:rFonts w:cs="Arial"/>
                <w:szCs w:val="18"/>
                <w:lang w:val="en-GB"/>
              </w:rPr>
              <w:t>Ni/HPS</w:t>
            </w:r>
          </w:p>
        </w:tc>
        <w:tc>
          <w:tcPr>
            <w:tcW w:w="1276"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1220</w:t>
            </w:r>
          </w:p>
        </w:tc>
        <w:tc>
          <w:tcPr>
            <w:tcW w:w="1134"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650.0</w:t>
            </w:r>
          </w:p>
        </w:tc>
        <w:tc>
          <w:tcPr>
            <w:tcW w:w="1276"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10-20</w:t>
            </w:r>
          </w:p>
        </w:tc>
        <w:tc>
          <w:tcPr>
            <w:tcW w:w="992"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w:t>
            </w:r>
          </w:p>
        </w:tc>
        <w:tc>
          <w:tcPr>
            <w:tcW w:w="1276"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6.1</w:t>
            </w:r>
          </w:p>
        </w:tc>
        <w:tc>
          <w:tcPr>
            <w:tcW w:w="992" w:type="dxa"/>
            <w:shd w:val="clear" w:color="auto" w:fill="FFFFFF"/>
          </w:tcPr>
          <w:p w:rsidR="00B21343" w:rsidRPr="00B57B36" w:rsidRDefault="00B21343" w:rsidP="00FA3C64">
            <w:pPr>
              <w:pStyle w:val="CETBodytext"/>
              <w:ind w:right="-1"/>
              <w:rPr>
                <w:rFonts w:cs="Arial"/>
                <w:szCs w:val="18"/>
                <w:lang w:val="en-GB"/>
              </w:rPr>
            </w:pPr>
            <w:r>
              <w:rPr>
                <w:rFonts w:cs="Arial"/>
                <w:szCs w:val="18"/>
                <w:lang w:val="en-GB"/>
              </w:rPr>
              <w:t>γ-NiOOH</w:t>
            </w:r>
          </w:p>
        </w:tc>
      </w:tr>
    </w:tbl>
    <w:p w:rsidR="00B21343" w:rsidRDefault="00B21343" w:rsidP="00B21343">
      <w:pPr>
        <w:pStyle w:val="CETBodytext"/>
      </w:pPr>
    </w:p>
    <w:p w:rsidR="00B21343" w:rsidRDefault="00B21343" w:rsidP="00B21343">
      <w:pPr>
        <w:pStyle w:val="CETBodytext"/>
      </w:pPr>
      <w:r>
        <w:rPr>
          <w:noProof/>
        </w:rPr>
        <w:t>The h</w:t>
      </w:r>
      <w:r w:rsidRPr="00B21343">
        <w:rPr>
          <w:noProof/>
        </w:rPr>
        <w:t>igh</w:t>
      </w:r>
      <w:r>
        <w:t xml:space="preserve"> acidity of the alumina and silica supports (Table 1) also leads to the acceleration of cracking reaction and the formation of </w:t>
      </w:r>
      <w:r w:rsidRPr="00B26809">
        <w:rPr>
          <w:color w:val="FF0000"/>
        </w:rPr>
        <w:t>C</w:t>
      </w:r>
      <w:r w:rsidRPr="00B26809">
        <w:rPr>
          <w:color w:val="FF0000"/>
          <w:vertAlign w:val="subscript"/>
        </w:rPr>
        <w:t>10</w:t>
      </w:r>
      <w:r w:rsidRPr="00B26809">
        <w:rPr>
          <w:color w:val="FF0000"/>
        </w:rPr>
        <w:t>-C</w:t>
      </w:r>
      <w:r w:rsidRPr="00B26809">
        <w:rPr>
          <w:color w:val="FF0000"/>
          <w:vertAlign w:val="subscript"/>
        </w:rPr>
        <w:t>16</w:t>
      </w:r>
      <w:r>
        <w:t xml:space="preserve"> hydrocarbons (see Figure 3). The highest selectivity to n-heptadecane (over 90 wt. %) was observed while using Ni/HPS catalyst. This catalyst also showed high stability in the deoxygenation process as it was shown recently (</w:t>
      </w:r>
      <w:r>
        <w:rPr>
          <w:lang w:val="en-GB"/>
        </w:rPr>
        <w:t xml:space="preserve">Stepacheva et al., 2018). Thus, Ni supported on HPS was chosen for </w:t>
      </w:r>
      <w:r w:rsidRPr="00B26809">
        <w:rPr>
          <w:noProof/>
          <w:color w:val="FF0000"/>
          <w:lang w:val="en-GB"/>
        </w:rPr>
        <w:t>further</w:t>
      </w:r>
      <w:r>
        <w:rPr>
          <w:lang w:val="en-GB"/>
        </w:rPr>
        <w:t xml:space="preserve"> investigation.</w:t>
      </w:r>
    </w:p>
    <w:p w:rsidR="001D5CD3" w:rsidRDefault="00B21343" w:rsidP="00E27F91">
      <w:pPr>
        <w:pStyle w:val="CETBodytext"/>
      </w:pPr>
      <w:r>
        <w:object w:dxaOrig="8835" w:dyaOrig="7620">
          <v:shape id="_x0000_i1026" type="#_x0000_t75" style="width:347.75pt;height:254.05pt" o:ole="">
            <v:imagedata r:id="rId13" o:title="" croptop="10214f"/>
          </v:shape>
          <o:OLEObject Type="Embed" ProgID="SigmaPlotGraphicObject.11" ShapeID="_x0000_i1026" DrawAspect="Content" ObjectID="_1615811273" r:id="rId14"/>
        </w:object>
      </w:r>
    </w:p>
    <w:p w:rsidR="00F54FB5" w:rsidRDefault="00F54FB5" w:rsidP="00F54FB5">
      <w:pPr>
        <w:pStyle w:val="CETCaption"/>
      </w:pPr>
      <w:r w:rsidRPr="00B57B36">
        <w:t xml:space="preserve">Figure </w:t>
      </w:r>
      <w:r>
        <w:t>3</w:t>
      </w:r>
      <w:r w:rsidRPr="00B57B36">
        <w:t xml:space="preserve">: </w:t>
      </w:r>
      <w:r>
        <w:t xml:space="preserve">Influence of the support on the </w:t>
      </w:r>
      <w:r w:rsidR="00B21343">
        <w:t xml:space="preserve">deoxygenation </w:t>
      </w:r>
      <w:r>
        <w:t>product distribution</w:t>
      </w:r>
      <w:r w:rsidRPr="00082683">
        <w:t>.</w:t>
      </w:r>
    </w:p>
    <w:p w:rsidR="00E27F91" w:rsidRPr="00B57B36" w:rsidRDefault="00E27F91" w:rsidP="00E27F91">
      <w:pPr>
        <w:pStyle w:val="CETheadingx"/>
      </w:pPr>
      <w:r>
        <w:t>Ni Loading Influence</w:t>
      </w:r>
    </w:p>
    <w:p w:rsidR="00E27F91" w:rsidRDefault="00B21343" w:rsidP="00B26809">
      <w:r>
        <w:t xml:space="preserve">In order to estimate the influence of Ni loading on the stearic acid deoxygenation in supercritical n-hexane, the experiments on the variation of Ni content in the catalyst from 5 wt. % to 20 wt. % were carried out. Figure 4 shows the stearic acid consumption curves depending on Ni loading. It is well seen that the increase in Ni content leads to </w:t>
      </w:r>
      <w:r>
        <w:rPr>
          <w:noProof/>
        </w:rPr>
        <w:t>an</w:t>
      </w:r>
      <w:r w:rsidRPr="00B21343">
        <w:rPr>
          <w:noProof/>
        </w:rPr>
        <w:t xml:space="preserve"> increase</w:t>
      </w:r>
      <w:r>
        <w:t xml:space="preserve"> in the deoxygenation rate. However, the relative reaction rate</w:t>
      </w:r>
      <w:r w:rsidR="00B26809">
        <w:t xml:space="preserve">s for </w:t>
      </w:r>
      <w:r w:rsidR="00B26809">
        <w:br/>
        <w:t xml:space="preserve">10 </w:t>
      </w:r>
      <w:r>
        <w:t xml:space="preserve">wt. % Ni/HPS and 15 wt. % Ni/HPS are close to each other. This may be due to the practically equal accessibility of the active sites in the catalysts. The 20 wt. % Ni/HPS showed the highest rate of stearic acid consumption allowing full substrate conversion at 30 min. However, the study of the influence of Ni content on </w:t>
      </w:r>
      <w:r w:rsidRPr="00B26809">
        <w:rPr>
          <w:noProof/>
        </w:rPr>
        <w:t>the n</w:t>
      </w:r>
      <w:r>
        <w:t xml:space="preserve">-heptadecane yield (Figure 5) showed that the concentration of Ni above 10 wt. % does not affect the target product yield. Thus, the increase in the Ni content is not preferable from the point of view of the process cost. </w:t>
      </w:r>
    </w:p>
    <w:p w:rsidR="00E27F91" w:rsidRPr="00B57B36" w:rsidRDefault="00B21343" w:rsidP="00E27F91">
      <w:pPr>
        <w:pStyle w:val="CETBodytext"/>
        <w:jc w:val="left"/>
        <w:rPr>
          <w:lang w:val="en-GB"/>
        </w:rPr>
      </w:pPr>
      <w:r>
        <w:object w:dxaOrig="8550" w:dyaOrig="6840">
          <v:shape id="_x0000_i1027" type="#_x0000_t75" style="width:317.9pt;height:254.7pt" o:ole="">
            <v:imagedata r:id="rId15" o:title=""/>
          </v:shape>
          <o:OLEObject Type="Embed" ProgID="SigmaPlotGraphicObject.11" ShapeID="_x0000_i1027" DrawAspect="Content" ObjectID="_1615811274" r:id="rId16"/>
        </w:object>
      </w:r>
    </w:p>
    <w:p w:rsidR="00E27F91" w:rsidRDefault="00E27F91" w:rsidP="00E27F91">
      <w:pPr>
        <w:pStyle w:val="CETCaption"/>
      </w:pPr>
      <w:r w:rsidRPr="00B57B36">
        <w:t xml:space="preserve">Figure </w:t>
      </w:r>
      <w:r w:rsidR="00F54FB5">
        <w:t>4</w:t>
      </w:r>
      <w:r w:rsidRPr="00B57B36">
        <w:t xml:space="preserve">: </w:t>
      </w:r>
      <w:r w:rsidR="001D5CD3">
        <w:t xml:space="preserve">Influence of Ni loading on </w:t>
      </w:r>
      <w:r w:rsidR="001D5CD3" w:rsidRPr="00B26809">
        <w:rPr>
          <w:noProof/>
        </w:rPr>
        <w:t>the stearic</w:t>
      </w:r>
      <w:r w:rsidR="001D5CD3">
        <w:t xml:space="preserve"> acid </w:t>
      </w:r>
      <w:r w:rsidR="00B26809" w:rsidRPr="00B26809">
        <w:rPr>
          <w:color w:val="FF0000"/>
          <w:lang w:val="en-US"/>
        </w:rPr>
        <w:t>con</w:t>
      </w:r>
      <w:r w:rsidR="00B26809">
        <w:rPr>
          <w:color w:val="FF0000"/>
          <w:lang w:val="en-US"/>
        </w:rPr>
        <w:t>sumption</w:t>
      </w:r>
      <w:r w:rsidRPr="00082683">
        <w:t>.</w:t>
      </w:r>
    </w:p>
    <w:p w:rsidR="00E27F91" w:rsidRPr="00B57B36" w:rsidRDefault="00B26809" w:rsidP="00E27F91">
      <w:pPr>
        <w:pStyle w:val="CETBodytext"/>
        <w:jc w:val="left"/>
        <w:rPr>
          <w:lang w:val="en-GB"/>
        </w:rPr>
      </w:pPr>
      <w:r>
        <w:object w:dxaOrig="8550" w:dyaOrig="6795">
          <v:shape id="_x0000_i1028" type="#_x0000_t75" style="width:295.45pt;height:234.35pt" o:ole="">
            <v:imagedata r:id="rId17" o:title=""/>
          </v:shape>
          <o:OLEObject Type="Embed" ProgID="SigmaPlotGraphicObject.11" ShapeID="_x0000_i1028" DrawAspect="Content" ObjectID="_1615811275" r:id="rId18"/>
        </w:object>
      </w:r>
    </w:p>
    <w:p w:rsidR="00E27F91" w:rsidRDefault="00E27F91" w:rsidP="00E27F91">
      <w:pPr>
        <w:pStyle w:val="CETCaption"/>
      </w:pPr>
      <w:r w:rsidRPr="00B57B36">
        <w:t xml:space="preserve">Figure </w:t>
      </w:r>
      <w:r w:rsidR="00F54FB5">
        <w:t>5</w:t>
      </w:r>
      <w:r w:rsidRPr="00B57B36">
        <w:t xml:space="preserve">: </w:t>
      </w:r>
      <w:r w:rsidR="001D5CD3">
        <w:t xml:space="preserve">Influence of Ni loading on the </w:t>
      </w:r>
      <w:r w:rsidR="00B21343">
        <w:t>n-</w:t>
      </w:r>
      <w:r w:rsidR="001D5CD3">
        <w:t>heptadecane yield</w:t>
      </w:r>
      <w:r w:rsidRPr="00082683">
        <w:t>.</w:t>
      </w:r>
    </w:p>
    <w:p w:rsidR="00CE57CF" w:rsidRDefault="00CE57CF" w:rsidP="00CE57CF">
      <w:pPr>
        <w:pStyle w:val="CETHeading1"/>
        <w:rPr>
          <w:lang w:val="en-GB"/>
        </w:rPr>
      </w:pPr>
      <w:r w:rsidRPr="00B57B36">
        <w:rPr>
          <w:lang w:val="en-GB"/>
        </w:rPr>
        <w:t>Conclusions</w:t>
      </w:r>
    </w:p>
    <w:p w:rsidR="00CE57CF" w:rsidRPr="00B57B36" w:rsidRDefault="00B21343" w:rsidP="00600535">
      <w:pPr>
        <w:pStyle w:val="CETBodytext"/>
        <w:rPr>
          <w:lang w:val="en-GB"/>
        </w:rPr>
      </w:pPr>
      <w:r>
        <w:rPr>
          <w:lang w:val="en-GB"/>
        </w:rPr>
        <w:t>In the current work, the study of the Ni-containing catalysts synthesized by the hydrothermal deposition on the stearic acid deoxygenation in the medium of supercritical n-hexane was performed. The influence of the catalyst support and Ni loading on the deoxygenation rate and product yield wa</w:t>
      </w:r>
      <w:r w:rsidR="00B26809">
        <w:rPr>
          <w:lang w:val="en-GB"/>
        </w:rPr>
        <w:t>s studied. It was shown that 10 </w:t>
      </w:r>
      <w:r>
        <w:rPr>
          <w:lang w:val="en-GB"/>
        </w:rPr>
        <w:t xml:space="preserve">wt. % Ni/HPS was found to be the most effective catalyst allowing obtaining over 90 wt. % of </w:t>
      </w:r>
      <w:r w:rsidR="00B26809">
        <w:rPr>
          <w:lang w:val="en-GB"/>
        </w:rPr>
        <w:br/>
      </w:r>
      <w:r>
        <w:rPr>
          <w:lang w:val="en-GB"/>
        </w:rPr>
        <w:t>n-heptadecane yield at full stearic acid conversion. The analysis of the synthesized catalysts showed that t</w:t>
      </w:r>
      <w:r>
        <w:t xml:space="preserve">he hydrothermal synthesis leads to the changes in the porosity and structure of the supports increasing the </w:t>
      </w:r>
      <w:r>
        <w:rPr>
          <w:noProof/>
        </w:rPr>
        <w:t>number</w:t>
      </w:r>
      <w:r>
        <w:t xml:space="preserve"> of mesopores. The active phase of the catalysts was found to be presented by a thin layer of </w:t>
      </w:r>
      <w:r>
        <w:rPr>
          <w:rFonts w:cs="Arial"/>
        </w:rPr>
        <w:t>γ</w:t>
      </w:r>
      <w:r>
        <w:t>-NiOOH.</w:t>
      </w:r>
    </w:p>
    <w:p w:rsidR="00600535" w:rsidRPr="00B57B36" w:rsidRDefault="00600535" w:rsidP="00600535">
      <w:pPr>
        <w:pStyle w:val="CETAcknowledgementstitle"/>
      </w:pPr>
      <w:r w:rsidRPr="00B57B36">
        <w:lastRenderedPageBreak/>
        <w:t>Acknowledgments</w:t>
      </w:r>
    </w:p>
    <w:p w:rsidR="00600535" w:rsidRDefault="00DB37BE" w:rsidP="00600535">
      <w:pPr>
        <w:pStyle w:val="CETBodytext"/>
        <w:rPr>
          <w:lang w:val="en-GB"/>
        </w:rPr>
      </w:pPr>
      <w:r>
        <w:rPr>
          <w:lang w:val="en-GB"/>
        </w:rPr>
        <w:t>The current work was financially supported by the Russian Science Foundation (grant 17-79-10089). The study of the Ni/SiO</w:t>
      </w:r>
      <w:r w:rsidRPr="00B21343">
        <w:rPr>
          <w:vertAlign w:val="subscript"/>
          <w:lang w:val="en-GB"/>
        </w:rPr>
        <w:t>2</w:t>
      </w:r>
      <w:r>
        <w:rPr>
          <w:lang w:val="en-GB"/>
        </w:rPr>
        <w:t xml:space="preserve"> and Ni/Al</w:t>
      </w:r>
      <w:r w:rsidRPr="00B21343">
        <w:rPr>
          <w:vertAlign w:val="subscript"/>
          <w:lang w:val="en-GB"/>
        </w:rPr>
        <w:t>2</w:t>
      </w:r>
      <w:r>
        <w:rPr>
          <w:lang w:val="en-GB"/>
        </w:rPr>
        <w:t>O</w:t>
      </w:r>
      <w:r w:rsidRPr="00B21343">
        <w:rPr>
          <w:vertAlign w:val="subscript"/>
          <w:lang w:val="en-GB"/>
        </w:rPr>
        <w:t>3</w:t>
      </w:r>
      <w:r>
        <w:rPr>
          <w:lang w:val="en-GB"/>
        </w:rPr>
        <w:t xml:space="preserve"> was founded by the Russian Foundation for Basic Research (grant</w:t>
      </w:r>
      <w:r w:rsidR="00B21343">
        <w:rPr>
          <w:lang w:val="en-GB"/>
        </w:rPr>
        <w:t>s</w:t>
      </w:r>
      <w:r>
        <w:rPr>
          <w:lang w:val="en-GB"/>
        </w:rPr>
        <w:t xml:space="preserve"> 19-08-</w:t>
      </w:r>
      <w:r w:rsidR="00B21343">
        <w:rPr>
          <w:lang w:val="en-GB"/>
        </w:rPr>
        <w:t>00318 and 18-29-06004</w:t>
      </w:r>
      <w:r>
        <w:rPr>
          <w:lang w:val="en-GB"/>
        </w:rPr>
        <w:t>)</w:t>
      </w:r>
      <w:r w:rsidR="00600535" w:rsidRPr="00B57B36">
        <w:rPr>
          <w:lang w:val="en-GB"/>
        </w:rPr>
        <w:t>.</w:t>
      </w:r>
      <w:r>
        <w:rPr>
          <w:lang w:val="en-GB"/>
        </w:rPr>
        <w:t xml:space="preserve"> The authors also thank Prof. Alexander I. Sidorov and Dr. Alexey V. Bykov (Tver State Technical University) for the </w:t>
      </w:r>
      <w:r w:rsidR="00E27F91">
        <w:rPr>
          <w:lang w:val="en-GB"/>
        </w:rPr>
        <w:t>help in the catalyst analysis.</w:t>
      </w:r>
    </w:p>
    <w:p w:rsidR="00600535" w:rsidRPr="00B57B36" w:rsidRDefault="00600535" w:rsidP="00600535">
      <w:pPr>
        <w:pStyle w:val="CETReference"/>
      </w:pPr>
      <w:r w:rsidRPr="00B57B36">
        <w:t>References</w:t>
      </w:r>
    </w:p>
    <w:p w:rsidR="00335212" w:rsidRDefault="00335212" w:rsidP="00B21343">
      <w:pPr>
        <w:pStyle w:val="CETReferencetext"/>
      </w:pPr>
      <w:r>
        <w:t xml:space="preserve">Chen H., Wang Q., Zhang X., Wang L., 2015, </w:t>
      </w:r>
      <w:r w:rsidRPr="00335212">
        <w:t>Effect of support on the NiMo phase and its catalytic hydrodeoxygenation of triglycerides</w:t>
      </w:r>
      <w:r>
        <w:t>, Fuel, 159, 430–435.</w:t>
      </w:r>
    </w:p>
    <w:p w:rsidR="00335212" w:rsidRDefault="00335212" w:rsidP="00B21343">
      <w:pPr>
        <w:pStyle w:val="CETReferencetext"/>
      </w:pPr>
      <w:r w:rsidRPr="00DB37BE">
        <w:t>de Sousa F.P., Cardoso C.C., Pasa V.M.D.</w:t>
      </w:r>
      <w:r>
        <w:t>, 2016,</w:t>
      </w:r>
      <w:r w:rsidRPr="00DB37BE">
        <w:t xml:space="preserve"> Producing hydrocarbons for green diesel and jet fuel formulation</w:t>
      </w:r>
      <w:r>
        <w:t xml:space="preserve"> from palm kernel fat over Pd/C,</w:t>
      </w:r>
      <w:r w:rsidRPr="00DB37BE">
        <w:t xml:space="preserve"> Fuel Processing Technology</w:t>
      </w:r>
      <w:r>
        <w:t>,</w:t>
      </w:r>
      <w:r w:rsidRPr="00DB37BE">
        <w:t xml:space="preserve"> 143</w:t>
      </w:r>
      <w:r>
        <w:t>,</w:t>
      </w:r>
      <w:r w:rsidRPr="00DB37BE">
        <w:t xml:space="preserve"> 35–42.</w:t>
      </w:r>
    </w:p>
    <w:p w:rsidR="00335212" w:rsidRDefault="00335212" w:rsidP="00B21343">
      <w:pPr>
        <w:pStyle w:val="CETReferencetext"/>
      </w:pPr>
      <w:r>
        <w:t xml:space="preserve">Fang X., Shi Y., Wu K., Liang J., Wu Y., Yang M. 2017, Upgrading of palmitic acid over MOF catalysts in the </w:t>
      </w:r>
      <w:r w:rsidRPr="00B21343">
        <w:rPr>
          <w:noProof/>
        </w:rPr>
        <w:t>supercritical</w:t>
      </w:r>
      <w:r>
        <w:t xml:space="preserve"> fluid of n-hexane, RSC Advances, 7, 40581-40590.</w:t>
      </w:r>
    </w:p>
    <w:p w:rsidR="00335212" w:rsidRDefault="00335212" w:rsidP="00B21343">
      <w:pPr>
        <w:pStyle w:val="CETReferencetext"/>
      </w:pPr>
      <w:r w:rsidRPr="00DB37BE">
        <w:t>Hachemi I., Jenistova K., Mäki-Arvela P., Kumar N., Eränen K., Hemming J</w:t>
      </w:r>
      <w:r>
        <w:t xml:space="preserve">., Murzin D., 2016, </w:t>
      </w:r>
      <w:r w:rsidRPr="00DB37BE">
        <w:t>Comparative study of sulfur-free nickel and palladium catalysts in hydrodeoxygenation of different fatty acids feedstock for production of biofuels</w:t>
      </w:r>
      <w:r>
        <w:t xml:space="preserve">, </w:t>
      </w:r>
      <w:r w:rsidRPr="00DB37BE">
        <w:t>Catalysis Science and Technology</w:t>
      </w:r>
      <w:r>
        <w:t>,</w:t>
      </w:r>
      <w:r w:rsidRPr="00DB37BE">
        <w:t xml:space="preserve"> 6</w:t>
      </w:r>
      <w:r>
        <w:t>,</w:t>
      </w:r>
      <w:r w:rsidRPr="00DB37BE">
        <w:t xml:space="preserve"> 1476-1487.</w:t>
      </w:r>
    </w:p>
    <w:p w:rsidR="00335212" w:rsidRDefault="00335212" w:rsidP="00335212">
      <w:pPr>
        <w:pStyle w:val="CETReferencetext"/>
      </w:pPr>
      <w:r w:rsidRPr="00E50F53">
        <w:t>Hermida</w:t>
      </w:r>
      <w:r w:rsidRPr="00335212">
        <w:t xml:space="preserve"> </w:t>
      </w:r>
      <w:r w:rsidRPr="00E50F53">
        <w:t>L., Abdullah</w:t>
      </w:r>
      <w:r w:rsidRPr="00335212">
        <w:t xml:space="preserve"> </w:t>
      </w:r>
      <w:r w:rsidRPr="00E50F53">
        <w:t>A.Z., Mohamed</w:t>
      </w:r>
      <w:r w:rsidRPr="00335212">
        <w:t xml:space="preserve"> </w:t>
      </w:r>
      <w:r w:rsidRPr="00E50F53">
        <w:t xml:space="preserve">A.R., </w:t>
      </w:r>
      <w:r>
        <w:t xml:space="preserve">2015, </w:t>
      </w:r>
      <w:r w:rsidRPr="00BB39E8">
        <w:t>Deoxygenation of fatty acid to produce diesel-like hydrocarbons: A review of process conditions, reaction kinetics</w:t>
      </w:r>
      <w:r w:rsidR="00B26809" w:rsidRPr="00B26809">
        <w:rPr>
          <w:color w:val="FF0000"/>
        </w:rPr>
        <w:t>,</w:t>
      </w:r>
      <w:r w:rsidRPr="00B26809">
        <w:rPr>
          <w:color w:val="FF0000"/>
        </w:rPr>
        <w:t xml:space="preserve"> </w:t>
      </w:r>
      <w:r w:rsidRPr="00B26809">
        <w:rPr>
          <w:noProof/>
          <w:color w:val="FF0000"/>
        </w:rPr>
        <w:t>and</w:t>
      </w:r>
      <w:r w:rsidRPr="00BB39E8">
        <w:t xml:space="preserve"> mechanism</w:t>
      </w:r>
      <w:r>
        <w:t xml:space="preserve">, </w:t>
      </w:r>
      <w:r w:rsidRPr="00335212">
        <w:t>Ren. Sust. Energy Reviews</w:t>
      </w:r>
      <w:r>
        <w:t xml:space="preserve">, </w:t>
      </w:r>
      <w:r w:rsidRPr="00335212">
        <w:t>42, 1223–</w:t>
      </w:r>
      <w:r w:rsidRPr="00E50F53">
        <w:t>1233.</w:t>
      </w:r>
    </w:p>
    <w:p w:rsidR="00335212" w:rsidRPr="00335212" w:rsidRDefault="00335212" w:rsidP="00335212">
      <w:pPr>
        <w:pStyle w:val="CETReferencetext"/>
        <w:rPr>
          <w:rFonts w:eastAsia="AdvP4DF60E"/>
        </w:rPr>
      </w:pPr>
      <w:r w:rsidRPr="00335212">
        <w:t>Hollak S.A.W., Ariens M.A., de Jong K.P., van Es D.S.</w:t>
      </w:r>
      <w:r w:rsidRPr="00335212">
        <w:rPr>
          <w:rFonts w:eastAsia="AdvP4DF60E"/>
        </w:rPr>
        <w:t xml:space="preserve">, </w:t>
      </w:r>
      <w:r>
        <w:rPr>
          <w:rFonts w:eastAsia="AdvP4DF60E"/>
        </w:rPr>
        <w:t xml:space="preserve">2014, </w:t>
      </w:r>
      <w:r w:rsidRPr="00335212">
        <w:rPr>
          <w:rFonts w:eastAsia="AdvP4DF60E"/>
        </w:rPr>
        <w:t>Hydrothermal Deoxygenation of Triglycerides over Pd/C aided by In Situ Hydrogen Production from Glycerol Reforming</w:t>
      </w:r>
      <w:r>
        <w:rPr>
          <w:rFonts w:eastAsia="AdvP4DF60E"/>
        </w:rPr>
        <w:t xml:space="preserve">, </w:t>
      </w:r>
      <w:r w:rsidRPr="00335212">
        <w:rPr>
          <w:rFonts w:eastAsia="AdvP4DF60E"/>
        </w:rPr>
        <w:t>ChemSusChem</w:t>
      </w:r>
      <w:r>
        <w:rPr>
          <w:rFonts w:eastAsia="AdvP4DF60E"/>
        </w:rPr>
        <w:t>,</w:t>
      </w:r>
      <w:r w:rsidRPr="00335212">
        <w:rPr>
          <w:rFonts w:eastAsia="AdvP4DF60E"/>
        </w:rPr>
        <w:t xml:space="preserve"> 7, 1057–1060.</w:t>
      </w:r>
    </w:p>
    <w:p w:rsidR="00335212" w:rsidRDefault="00335212" w:rsidP="00B21343">
      <w:pPr>
        <w:pStyle w:val="CETReferencetext"/>
      </w:pPr>
      <w:r>
        <w:t>Kim S.K., Lee H.S., Hong M.H., Lim J.S., Kim J., 2014, Low-temperature, selective catalytic deoxygenation of vegetable oil in supercritical fluid media, ChemSusChem, 7, 492-500.</w:t>
      </w:r>
    </w:p>
    <w:p w:rsidR="00335212" w:rsidRPr="00335212" w:rsidRDefault="00335212" w:rsidP="00335212">
      <w:pPr>
        <w:pStyle w:val="CETReferencetext"/>
      </w:pPr>
      <w:r w:rsidRPr="00335212">
        <w:t xml:space="preserve">Kon K., Onodera W., Takakusagia S., Shimizu K., </w:t>
      </w:r>
      <w:r>
        <w:t xml:space="preserve">2014, </w:t>
      </w:r>
      <w:r w:rsidRPr="00335212">
        <w:t>Hydrodeoxygenation of fatty acids an</w:t>
      </w:r>
      <w:r>
        <w:t>d triglycerides by Pt-loaded Nb</w:t>
      </w:r>
      <w:r w:rsidRPr="00335212">
        <w:rPr>
          <w:vertAlign w:val="subscript"/>
        </w:rPr>
        <w:t>2</w:t>
      </w:r>
      <w:r>
        <w:t>O</w:t>
      </w:r>
      <w:r w:rsidRPr="00335212">
        <w:rPr>
          <w:vertAlign w:val="subscript"/>
        </w:rPr>
        <w:t>5</w:t>
      </w:r>
      <w:r w:rsidRPr="00335212">
        <w:t xml:space="preserve"> catalysts</w:t>
      </w:r>
      <w:r>
        <w:t xml:space="preserve">, Catal. Sci. Technol., </w:t>
      </w:r>
      <w:r w:rsidRPr="00335212">
        <w:t>4, 3705–3712.</w:t>
      </w:r>
    </w:p>
    <w:p w:rsidR="00335212" w:rsidRDefault="00335212" w:rsidP="00CE57CF">
      <w:pPr>
        <w:pStyle w:val="CETReferencetext"/>
      </w:pPr>
      <w:r w:rsidRPr="00CE57CF">
        <w:t>Kubička D., Horáček J., Setnička M., Bulánek R., Zukal A., Kubičková I.</w:t>
      </w:r>
      <w:r>
        <w:t>,</w:t>
      </w:r>
      <w:r w:rsidRPr="00CE57CF">
        <w:t xml:space="preserve"> 2014</w:t>
      </w:r>
      <w:r>
        <w:t xml:space="preserve">, </w:t>
      </w:r>
      <w:r w:rsidRPr="00335212">
        <w:t>Effect of support-active phase interactions on the catalyst activity and selectivity in deoxygenation of triglycerides</w:t>
      </w:r>
      <w:r>
        <w:t>,</w:t>
      </w:r>
      <w:r w:rsidRPr="00CE57CF">
        <w:t xml:space="preserve"> Applied Catalysis B: Environmental</w:t>
      </w:r>
      <w:r>
        <w:t>,</w:t>
      </w:r>
      <w:r w:rsidRPr="00CE57CF">
        <w:t xml:space="preserve"> 145</w:t>
      </w:r>
      <w:r>
        <w:t xml:space="preserve">, </w:t>
      </w:r>
      <w:r w:rsidRPr="00CE57CF">
        <w:t>101–107.</w:t>
      </w:r>
    </w:p>
    <w:p w:rsidR="00335212" w:rsidRDefault="00335212" w:rsidP="00CE57CF">
      <w:pPr>
        <w:pStyle w:val="CETReferencetext"/>
      </w:pPr>
      <w:r>
        <w:t xml:space="preserve">Ma B., Zhao C., 2015, </w:t>
      </w:r>
      <w:r w:rsidRPr="00335212">
        <w:t>High-grade diesel production by hydrodeoxygenation of palm oil over a hierarchically structured Ni/HBEA catalyst</w:t>
      </w:r>
      <w:r>
        <w:t>, Green Chemistry, 17, 1692-1701.</w:t>
      </w:r>
    </w:p>
    <w:p w:rsidR="00335212" w:rsidRDefault="00335212" w:rsidP="00CE57CF">
      <w:pPr>
        <w:pStyle w:val="CETReferencetext"/>
      </w:pPr>
      <w:r w:rsidRPr="00DB37BE">
        <w:t>Meller E., Green U., Aizenshtat Z., Sasson Y.</w:t>
      </w:r>
      <w:r>
        <w:t>, 2014,</w:t>
      </w:r>
      <w:r w:rsidRPr="00DB37BE">
        <w:t xml:space="preserve"> Catalytic deoxygenation of castor oil over Pd/C for the production of </w:t>
      </w:r>
      <w:r w:rsidRPr="00B21343">
        <w:rPr>
          <w:noProof/>
        </w:rPr>
        <w:t>cost</w:t>
      </w:r>
      <w:r>
        <w:rPr>
          <w:noProof/>
        </w:rPr>
        <w:t>-</w:t>
      </w:r>
      <w:r w:rsidRPr="00B21343">
        <w:rPr>
          <w:noProof/>
        </w:rPr>
        <w:t>effective</w:t>
      </w:r>
      <w:r>
        <w:t xml:space="preserve"> biofuel, </w:t>
      </w:r>
      <w:r w:rsidRPr="00DB37BE">
        <w:t>Fu</w:t>
      </w:r>
      <w:r>
        <w:t xml:space="preserve">el, </w:t>
      </w:r>
      <w:r w:rsidRPr="00DB37BE">
        <w:t>133</w:t>
      </w:r>
      <w:r>
        <w:t>,</w:t>
      </w:r>
      <w:r w:rsidRPr="00DB37BE">
        <w:t xml:space="preserve"> 89-95.</w:t>
      </w:r>
    </w:p>
    <w:p w:rsidR="00335212" w:rsidRDefault="00335212" w:rsidP="00335212">
      <w:pPr>
        <w:pStyle w:val="CETReferencetext"/>
      </w:pPr>
      <w:r w:rsidRPr="00335212">
        <w:t xml:space="preserve">Morère J., Tenorio M.J., Torralvo M.J., Pando </w:t>
      </w:r>
      <w:r>
        <w:t>C., Renuncio J.A.R., Cabanas A.</w:t>
      </w:r>
      <w:r w:rsidRPr="00335212">
        <w:t>J.</w:t>
      </w:r>
      <w:r>
        <w:t xml:space="preserve">, </w:t>
      </w:r>
      <w:r w:rsidRPr="00335212">
        <w:t>2011</w:t>
      </w:r>
      <w:r>
        <w:t xml:space="preserve">, </w:t>
      </w:r>
      <w:r w:rsidRPr="00335212">
        <w:t>Deposition of Pd into mesoporous silica SBA-15 using supercritical carbon dioxide</w:t>
      </w:r>
      <w:r>
        <w:t>,</w:t>
      </w:r>
      <w:r w:rsidRPr="00335212">
        <w:t xml:space="preserve"> Supercritical Fluids</w:t>
      </w:r>
      <w:r>
        <w:t>,</w:t>
      </w:r>
      <w:r w:rsidRPr="00335212">
        <w:t xml:space="preserve"> 56</w:t>
      </w:r>
      <w:r>
        <w:t xml:space="preserve">, </w:t>
      </w:r>
      <w:r w:rsidRPr="00335212">
        <w:t>213</w:t>
      </w:r>
      <w:r>
        <w:t>-</w:t>
      </w:r>
      <w:r w:rsidRPr="00335212">
        <w:t>222</w:t>
      </w:r>
      <w:r>
        <w:t>.</w:t>
      </w:r>
    </w:p>
    <w:p w:rsidR="00335212" w:rsidRDefault="00335212" w:rsidP="00CE57CF">
      <w:pPr>
        <w:pStyle w:val="CETReferencetext"/>
      </w:pPr>
      <w:r>
        <w:t>Niemantsverdriet H., van Helden P., Hensen E., Lennon D., Holt K., Hutchings G., Bowker M.</w:t>
      </w:r>
      <w:r w:rsidRPr="00B21343">
        <w:rPr>
          <w:noProof/>
        </w:rPr>
        <w:t>,</w:t>
      </w:r>
      <w:r>
        <w:rPr>
          <w:noProof/>
        </w:rPr>
        <w:t xml:space="preserve"> </w:t>
      </w:r>
      <w:r w:rsidRPr="00B21343">
        <w:rPr>
          <w:noProof/>
        </w:rPr>
        <w:t>Catlow</w:t>
      </w:r>
      <w:r>
        <w:t xml:space="preserve"> R., Shozi M., Jewell L., Claeys M., Hayward J., Coville N., Fischer N., Roldan A.</w:t>
      </w:r>
      <w:r w:rsidRPr="00B21343">
        <w:rPr>
          <w:noProof/>
        </w:rPr>
        <w:t>,</w:t>
      </w:r>
      <w:r>
        <w:rPr>
          <w:noProof/>
        </w:rPr>
        <w:t xml:space="preserve"> </w:t>
      </w:r>
      <w:r w:rsidRPr="00B21343">
        <w:rPr>
          <w:noProof/>
        </w:rPr>
        <w:t>Redekop</w:t>
      </w:r>
      <w:r>
        <w:t xml:space="preserve"> E., Gambu T., </w:t>
      </w:r>
      <w:r w:rsidRPr="00B21343">
        <w:rPr>
          <w:noProof/>
        </w:rPr>
        <w:t>Deeplal</w:t>
      </w:r>
      <w:r>
        <w:t xml:space="preserve"> L.</w:t>
      </w:r>
      <w:r w:rsidRPr="00B21343">
        <w:rPr>
          <w:noProof/>
        </w:rPr>
        <w:t>,</w:t>
      </w:r>
      <w:r>
        <w:rPr>
          <w:noProof/>
        </w:rPr>
        <w:t xml:space="preserve"> </w:t>
      </w:r>
      <w:r w:rsidRPr="00B21343">
        <w:rPr>
          <w:noProof/>
        </w:rPr>
        <w:t>Mkhwanazi</w:t>
      </w:r>
      <w:r>
        <w:t xml:space="preserve"> T.P.O., Weststrate K.-J., Bahnemann D., Neurock M., Schulz H., Ma D., Kondrat S., Collier P., Gupta A.K., Corma A., Akomeah P., Iglesia E., van Steen E., de Leeuw N., Wolf M., van Heerden T., 2017, Catalysis for Fuels: General Discussion, Faraday Discussions, 197, 165 205.</w:t>
      </w:r>
    </w:p>
    <w:p w:rsidR="00335212" w:rsidRDefault="00335212" w:rsidP="00335212">
      <w:pPr>
        <w:pStyle w:val="CETReferencetext"/>
      </w:pPr>
      <w:r>
        <w:t>Peralta-</w:t>
      </w:r>
      <w:r w:rsidRPr="00B26809">
        <w:rPr>
          <w:noProof/>
          <w:color w:val="FF0000"/>
        </w:rPr>
        <w:t>Ruiz</w:t>
      </w:r>
      <w:r w:rsidRPr="00335212">
        <w:t xml:space="preserve"> </w:t>
      </w:r>
      <w:r>
        <w:t>Y., Obregon</w:t>
      </w:r>
      <w:r w:rsidRPr="00335212">
        <w:t xml:space="preserve"> </w:t>
      </w:r>
      <w:r>
        <w:t>L.G., González-Delgado</w:t>
      </w:r>
      <w:r w:rsidRPr="00335212">
        <w:t xml:space="preserve"> </w:t>
      </w:r>
      <w:r>
        <w:t xml:space="preserve">Á., 2018, Design of Biodiesel and Bioethanol Production Process from Microalgae Biomass Using Exergy Analysis Methodology, </w:t>
      </w:r>
      <w:r w:rsidRPr="00335212">
        <w:t xml:space="preserve">Chemical Engineering Transactions, </w:t>
      </w:r>
      <w:r>
        <w:t>70</w:t>
      </w:r>
      <w:r w:rsidRPr="00335212">
        <w:t xml:space="preserve">, </w:t>
      </w:r>
      <w:r>
        <w:t>1045</w:t>
      </w:r>
      <w:r w:rsidRPr="00335212">
        <w:t>-</w:t>
      </w:r>
      <w:r>
        <w:t>150.</w:t>
      </w:r>
    </w:p>
    <w:p w:rsidR="00335212" w:rsidRDefault="00335212" w:rsidP="00B21343">
      <w:pPr>
        <w:pStyle w:val="CETReferencetext"/>
        <w:rPr>
          <w:lang w:val="en-US"/>
        </w:rPr>
      </w:pPr>
      <w:r w:rsidRPr="004765CF">
        <w:rPr>
          <w:lang w:val="en-US"/>
        </w:rPr>
        <w:t>Romero</w:t>
      </w:r>
      <w:r w:rsidRPr="00335212">
        <w:rPr>
          <w:lang w:val="en-US"/>
        </w:rPr>
        <w:t xml:space="preserve"> </w:t>
      </w:r>
      <w:r w:rsidRPr="004765CF">
        <w:rPr>
          <w:lang w:val="en-US"/>
        </w:rPr>
        <w:t>M.J.A.</w:t>
      </w:r>
      <w:r>
        <w:rPr>
          <w:lang w:val="en-US"/>
        </w:rPr>
        <w:t xml:space="preserve">, </w:t>
      </w:r>
      <w:r w:rsidRPr="004765CF">
        <w:rPr>
          <w:lang w:val="en-US"/>
        </w:rPr>
        <w:t>Pizzi</w:t>
      </w:r>
      <w:r w:rsidRPr="00335212">
        <w:rPr>
          <w:lang w:val="en-US"/>
        </w:rPr>
        <w:t xml:space="preserve"> </w:t>
      </w:r>
      <w:r w:rsidRPr="004765CF">
        <w:rPr>
          <w:lang w:val="en-US"/>
        </w:rPr>
        <w:t>A.</w:t>
      </w:r>
      <w:r>
        <w:rPr>
          <w:lang w:val="en-US"/>
        </w:rPr>
        <w:t xml:space="preserve">, </w:t>
      </w:r>
      <w:r w:rsidRPr="004765CF">
        <w:rPr>
          <w:lang w:val="en-US"/>
        </w:rPr>
        <w:t>Toscano</w:t>
      </w:r>
      <w:r w:rsidRPr="00335212">
        <w:rPr>
          <w:lang w:val="en-US"/>
        </w:rPr>
        <w:t xml:space="preserve"> </w:t>
      </w:r>
      <w:r w:rsidRPr="004765CF">
        <w:rPr>
          <w:lang w:val="en-US"/>
        </w:rPr>
        <w:t>G.</w:t>
      </w:r>
      <w:r>
        <w:rPr>
          <w:lang w:val="en-US"/>
        </w:rPr>
        <w:t xml:space="preserve">, </w:t>
      </w:r>
      <w:r w:rsidRPr="004765CF">
        <w:rPr>
          <w:lang w:val="en-US"/>
        </w:rPr>
        <w:t>Busca</w:t>
      </w:r>
      <w:r w:rsidRPr="00335212">
        <w:rPr>
          <w:lang w:val="en-US"/>
        </w:rPr>
        <w:t xml:space="preserve"> </w:t>
      </w:r>
      <w:r w:rsidRPr="004765CF">
        <w:rPr>
          <w:lang w:val="en-US"/>
        </w:rPr>
        <w:t>G.</w:t>
      </w:r>
      <w:r>
        <w:rPr>
          <w:lang w:val="en-US"/>
        </w:rPr>
        <w:t xml:space="preserve">, </w:t>
      </w:r>
      <w:r w:rsidRPr="004765CF">
        <w:rPr>
          <w:lang w:val="en-US"/>
        </w:rPr>
        <w:t>Bosio</w:t>
      </w:r>
      <w:r w:rsidRPr="00335212">
        <w:rPr>
          <w:lang w:val="en-US"/>
        </w:rPr>
        <w:t xml:space="preserve"> </w:t>
      </w:r>
      <w:r w:rsidRPr="004765CF">
        <w:rPr>
          <w:lang w:val="en-US"/>
        </w:rPr>
        <w:t>B.</w:t>
      </w:r>
      <w:r>
        <w:rPr>
          <w:lang w:val="en-US"/>
        </w:rPr>
        <w:t xml:space="preserve">, </w:t>
      </w:r>
      <w:r w:rsidRPr="004765CF">
        <w:rPr>
          <w:lang w:val="en-US"/>
        </w:rPr>
        <w:t>Arato</w:t>
      </w:r>
      <w:r w:rsidRPr="00335212">
        <w:rPr>
          <w:lang w:val="en-US"/>
        </w:rPr>
        <w:t xml:space="preserve"> </w:t>
      </w:r>
      <w:r w:rsidRPr="004765CF">
        <w:rPr>
          <w:lang w:val="en-US"/>
        </w:rPr>
        <w:t>E.</w:t>
      </w:r>
      <w:r>
        <w:rPr>
          <w:lang w:val="en-US"/>
        </w:rPr>
        <w:t xml:space="preserve">, 2016, </w:t>
      </w:r>
      <w:r>
        <w:rPr>
          <w:rStyle w:val="extended-textfull"/>
        </w:rPr>
        <w:t xml:space="preserve">Deoxygenation of </w:t>
      </w:r>
      <w:r w:rsidRPr="00335212">
        <w:rPr>
          <w:rStyle w:val="extended-textfull"/>
          <w:bCs/>
        </w:rPr>
        <w:t>waste</w:t>
      </w:r>
      <w:r>
        <w:rPr>
          <w:rStyle w:val="extended-textfull"/>
        </w:rPr>
        <w:t xml:space="preserve"> cooking oil and non-edible oil for the production of liquid hydrocarbon biofuels, </w:t>
      </w:r>
      <w:r w:rsidRPr="00335212">
        <w:rPr>
          <w:lang w:val="en-US"/>
        </w:rPr>
        <w:t>Waste Management</w:t>
      </w:r>
      <w:r>
        <w:rPr>
          <w:lang w:val="en-US"/>
        </w:rPr>
        <w:t xml:space="preserve">, </w:t>
      </w:r>
      <w:r w:rsidRPr="00335212">
        <w:rPr>
          <w:lang w:val="en-US"/>
        </w:rPr>
        <w:t>47 (A),</w:t>
      </w:r>
      <w:r w:rsidRPr="004765CF">
        <w:rPr>
          <w:lang w:val="en-US"/>
        </w:rPr>
        <w:t xml:space="preserve"> 62-68</w:t>
      </w:r>
      <w:r>
        <w:rPr>
          <w:lang w:val="en-US"/>
        </w:rPr>
        <w:t xml:space="preserve">. </w:t>
      </w:r>
    </w:p>
    <w:p w:rsidR="00335212" w:rsidRPr="00335212" w:rsidRDefault="00335212" w:rsidP="00335212">
      <w:pPr>
        <w:pStyle w:val="CETReferencetext"/>
      </w:pPr>
      <w:r w:rsidRPr="00DB37BE">
        <w:t>Santillan-Jimenez E., Morgan T., Shoup J., Harman-Ware A.E., Crocker M.</w:t>
      </w:r>
      <w:r>
        <w:t>, 2014,</w:t>
      </w:r>
      <w:r w:rsidRPr="00DB37BE">
        <w:t xml:space="preserve"> Catalytic dehydrogenation of light alkanes on metals and metal oxides</w:t>
      </w:r>
      <w:r>
        <w:t>,</w:t>
      </w:r>
      <w:r w:rsidRPr="00DB37BE">
        <w:t xml:space="preserve"> Catalysis Today</w:t>
      </w:r>
      <w:r>
        <w:t>,</w:t>
      </w:r>
      <w:r w:rsidRPr="00DB37BE">
        <w:t xml:space="preserve"> 237</w:t>
      </w:r>
      <w:r>
        <w:t>,</w:t>
      </w:r>
      <w:r w:rsidRPr="00DB37BE">
        <w:t xml:space="preserve"> 136</w:t>
      </w:r>
      <w:r>
        <w:t>-</w:t>
      </w:r>
      <w:r w:rsidRPr="00DB37BE">
        <w:t>144.</w:t>
      </w:r>
    </w:p>
    <w:p w:rsidR="00335212" w:rsidRDefault="00335212" w:rsidP="00B21343">
      <w:pPr>
        <w:pStyle w:val="CETReferencetext"/>
      </w:pPr>
      <w:r w:rsidRPr="00B26809">
        <w:rPr>
          <w:noProof/>
        </w:rPr>
        <w:t>Stepacheva</w:t>
      </w:r>
      <w:r w:rsidRPr="00DB37BE">
        <w:t xml:space="preserve"> A.A., Markova M.E., Bykov A.V., Sidorov A.I., Sulman M.G., Matveeva V.G., Sulman E.M.</w:t>
      </w:r>
      <w:r>
        <w:t>,</w:t>
      </w:r>
      <w:r w:rsidRPr="00DB37BE">
        <w:t xml:space="preserve"> </w:t>
      </w:r>
      <w:r>
        <w:t xml:space="preserve">2018, </w:t>
      </w:r>
      <w:r w:rsidRPr="00DB37BE">
        <w:t>Ni Catalyst Synthesized by Hydrothermal Deposition on the Polymeric Matrix in Supercritical Deoxygenation of Fatty Acids</w:t>
      </w:r>
      <w:r>
        <w:t>,</w:t>
      </w:r>
      <w:r w:rsidRPr="00DB37BE">
        <w:t xml:space="preserve"> Reaction Kinetics, Mechanisms </w:t>
      </w:r>
      <w:r w:rsidRPr="00B21343">
        <w:rPr>
          <w:noProof/>
        </w:rPr>
        <w:t>and</w:t>
      </w:r>
      <w:r w:rsidRPr="00DB37BE">
        <w:t xml:space="preserve"> Catalysis</w:t>
      </w:r>
      <w:r>
        <w:t>,</w:t>
      </w:r>
      <w:r w:rsidRPr="00DB37BE">
        <w:t xml:space="preserve"> 125</w:t>
      </w:r>
      <w:r>
        <w:t>,</w:t>
      </w:r>
      <w:r w:rsidRPr="00DB37BE">
        <w:t xml:space="preserve"> 213–226.</w:t>
      </w:r>
    </w:p>
    <w:p w:rsidR="00335212" w:rsidRDefault="00335212" w:rsidP="00335212">
      <w:pPr>
        <w:pStyle w:val="CETReferencetext"/>
      </w:pPr>
      <w:r w:rsidRPr="00B26809">
        <w:rPr>
          <w:noProof/>
        </w:rPr>
        <w:t>Stepacheva</w:t>
      </w:r>
      <w:r w:rsidRPr="00335212">
        <w:t>, A.A., Matveeva, V.G., Sulman, E.M., Sapunov, V.N.</w:t>
      </w:r>
      <w:r>
        <w:t xml:space="preserve">, 2016, </w:t>
      </w:r>
      <w:r w:rsidRPr="00335212">
        <w:t xml:space="preserve">Fatty acid hydrotreatment using hypercrosslinked polystyrene-supported </w:t>
      </w:r>
      <w:r w:rsidR="00B26809" w:rsidRPr="00B26809">
        <w:rPr>
          <w:noProof/>
          <w:color w:val="FF0000"/>
        </w:rPr>
        <w:t>P</w:t>
      </w:r>
      <w:r w:rsidRPr="00B26809">
        <w:rPr>
          <w:noProof/>
          <w:color w:val="FF0000"/>
        </w:rPr>
        <w:t>d</w:t>
      </w:r>
      <w:r w:rsidRPr="00335212">
        <w:t xml:space="preserve"> catalysts to produce biofuels</w:t>
      </w:r>
      <w:r>
        <w:t>, Chemical Engineering Transactions, 52, 625-630.</w:t>
      </w:r>
    </w:p>
    <w:p w:rsidR="00335212" w:rsidRDefault="00335212" w:rsidP="006B4888">
      <w:pPr>
        <w:pStyle w:val="CETReferencetext"/>
      </w:pPr>
      <w:r w:rsidRPr="00335212">
        <w:t>Zhang Y., Erkey C.</w:t>
      </w:r>
      <w:r>
        <w:t xml:space="preserve">, </w:t>
      </w:r>
      <w:r w:rsidRPr="00335212">
        <w:t>2006</w:t>
      </w:r>
      <w:r>
        <w:t xml:space="preserve">, </w:t>
      </w:r>
      <w:r w:rsidRPr="00335212">
        <w:t>Preparation of supported metallic nanoparticles using supercritical fluids: a review</w:t>
      </w:r>
      <w:r>
        <w:t xml:space="preserve">, </w:t>
      </w:r>
      <w:r w:rsidRPr="00335212">
        <w:t>Journal of Supercritical Fluids</w:t>
      </w:r>
      <w:r>
        <w:t>,</w:t>
      </w:r>
      <w:r w:rsidRPr="00335212">
        <w:t xml:space="preserve"> 38</w:t>
      </w:r>
      <w:r>
        <w:t xml:space="preserve">, </w:t>
      </w:r>
      <w:r w:rsidRPr="00335212">
        <w:t>252</w:t>
      </w:r>
      <w:r>
        <w:t>-</w:t>
      </w:r>
      <w:r w:rsidRPr="00335212">
        <w:t>267</w:t>
      </w:r>
      <w:r>
        <w:t>.</w:t>
      </w:r>
    </w:p>
    <w:p w:rsidR="00335212" w:rsidRDefault="00335212" w:rsidP="00B21343">
      <w:pPr>
        <w:pStyle w:val="CETReferencetext"/>
      </w:pPr>
      <w:r w:rsidRPr="00DB37BE">
        <w:t xml:space="preserve">Zhang Z., Wang Q., Chen H., Zhang X. </w:t>
      </w:r>
      <w:r>
        <w:t xml:space="preserve">2018, </w:t>
      </w:r>
      <w:r w:rsidRPr="00DB37BE">
        <w:t>Hydroconversion of Waste Cooking Oil into Bio</w:t>
      </w:r>
      <w:r w:rsidRPr="00DB37BE">
        <w:rPr>
          <w:rFonts w:ascii="Cambria Math" w:hAnsi="Cambria Math" w:cs="Cambria Math"/>
        </w:rPr>
        <w:t>‐</w:t>
      </w:r>
      <w:r w:rsidRPr="00DB37BE">
        <w:rPr>
          <w:rFonts w:cs="Arial"/>
        </w:rPr>
        <w:t>Jet Fuel over a Hierarchical NiMo/USY@Al</w:t>
      </w:r>
      <w:r w:rsidRPr="00DB37BE">
        <w:rPr>
          <w:rFonts w:ascii="Cambria Math" w:hAnsi="Cambria Math" w:cs="Cambria Math"/>
        </w:rPr>
        <w:t>‐</w:t>
      </w:r>
      <w:r w:rsidRPr="00DB37BE">
        <w:rPr>
          <w:rFonts w:cs="Arial"/>
        </w:rPr>
        <w:t>SBA</w:t>
      </w:r>
      <w:r w:rsidRPr="00DB37BE">
        <w:rPr>
          <w:rFonts w:ascii="Cambria Math" w:hAnsi="Cambria Math" w:cs="Cambria Math"/>
        </w:rPr>
        <w:t>‐</w:t>
      </w:r>
      <w:r>
        <w:rPr>
          <w:rFonts w:cs="Arial"/>
        </w:rPr>
        <w:t>15 Zeolite,</w:t>
      </w:r>
      <w:r w:rsidRPr="00DB37BE">
        <w:rPr>
          <w:rFonts w:cs="Arial"/>
        </w:rPr>
        <w:t xml:space="preserve"> Chem. Eng. Technol</w:t>
      </w:r>
      <w:r>
        <w:rPr>
          <w:rFonts w:cs="Arial"/>
        </w:rPr>
        <w:t>,</w:t>
      </w:r>
      <w:r w:rsidRPr="00DB37BE">
        <w:rPr>
          <w:rFonts w:cs="Arial"/>
        </w:rPr>
        <w:t xml:space="preserve"> 41</w:t>
      </w:r>
      <w:r>
        <w:rPr>
          <w:rFonts w:cs="Arial"/>
        </w:rPr>
        <w:t>(</w:t>
      </w:r>
      <w:r w:rsidRPr="00DB37BE">
        <w:rPr>
          <w:rFonts w:cs="Arial"/>
        </w:rPr>
        <w:t>3</w:t>
      </w:r>
      <w:r>
        <w:rPr>
          <w:rFonts w:cs="Arial"/>
        </w:rPr>
        <w:t xml:space="preserve">), </w:t>
      </w:r>
      <w:r w:rsidRPr="00DB37BE">
        <w:rPr>
          <w:rFonts w:cs="Arial"/>
        </w:rPr>
        <w:t>590-597</w:t>
      </w:r>
      <w:r w:rsidRPr="00DB37BE">
        <w:t>.</w:t>
      </w:r>
    </w:p>
    <w:sectPr w:rsidR="0033521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624" w:rsidRDefault="00953624" w:rsidP="004F5E36">
      <w:r>
        <w:separator/>
      </w:r>
    </w:p>
  </w:endnote>
  <w:endnote w:type="continuationSeparator" w:id="1">
    <w:p w:rsidR="00953624" w:rsidRDefault="00953624"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dvP4DF60E">
    <w:altName w:val="Arial Unicode MS"/>
    <w:panose1 w:val="00000000000000000000"/>
    <w:charset w:val="81"/>
    <w:family w:val="auto"/>
    <w:notTrueType/>
    <w:pitch w:val="default"/>
    <w:sig w:usb0="00000001" w:usb1="09070000" w:usb2="00000010" w:usb3="00000000" w:csb0="000A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624" w:rsidRDefault="00953624" w:rsidP="004F5E36">
      <w:r>
        <w:separator/>
      </w:r>
    </w:p>
  </w:footnote>
  <w:footnote w:type="continuationSeparator" w:id="1">
    <w:p w:rsidR="00953624" w:rsidRDefault="00953624"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1001"/>
  <w:styleLockTheme/>
  <w:styleLockQFSet/>
  <w:defaultTabStop w:val="708"/>
  <w:hyphenationZone w:val="283"/>
  <w:clickAndTypeStyle w:val="CETBodytext"/>
  <w:characterSpacingControl w:val="doNotCompress"/>
  <w:hdrShapeDefaults>
    <o:shapedefaults v:ext="edit" spidmax="1126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7C0"/>
    <w:rsid w:val="000052FB"/>
    <w:rsid w:val="00010F40"/>
    <w:rsid w:val="000117CB"/>
    <w:rsid w:val="000206BD"/>
    <w:rsid w:val="0003148D"/>
    <w:rsid w:val="00047D7F"/>
    <w:rsid w:val="00051566"/>
    <w:rsid w:val="00062A9A"/>
    <w:rsid w:val="00065058"/>
    <w:rsid w:val="00082683"/>
    <w:rsid w:val="00086C39"/>
    <w:rsid w:val="000A03B2"/>
    <w:rsid w:val="000A3B79"/>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B0349"/>
    <w:rsid w:val="001B65C1"/>
    <w:rsid w:val="001C684B"/>
    <w:rsid w:val="001D53FC"/>
    <w:rsid w:val="001D5CD3"/>
    <w:rsid w:val="001E78A2"/>
    <w:rsid w:val="001F42A5"/>
    <w:rsid w:val="001F7B9D"/>
    <w:rsid w:val="002224B4"/>
    <w:rsid w:val="002447EF"/>
    <w:rsid w:val="00251550"/>
    <w:rsid w:val="00252C1A"/>
    <w:rsid w:val="00252CE3"/>
    <w:rsid w:val="00263B05"/>
    <w:rsid w:val="0027221A"/>
    <w:rsid w:val="00275B61"/>
    <w:rsid w:val="00282656"/>
    <w:rsid w:val="00296B83"/>
    <w:rsid w:val="002B78CE"/>
    <w:rsid w:val="002C2FB6"/>
    <w:rsid w:val="002D5BCD"/>
    <w:rsid w:val="003009B7"/>
    <w:rsid w:val="00300E56"/>
    <w:rsid w:val="0030469C"/>
    <w:rsid w:val="00321CA6"/>
    <w:rsid w:val="00334C09"/>
    <w:rsid w:val="00335212"/>
    <w:rsid w:val="003365E3"/>
    <w:rsid w:val="003723D4"/>
    <w:rsid w:val="00384CC8"/>
    <w:rsid w:val="003871FD"/>
    <w:rsid w:val="003A1E30"/>
    <w:rsid w:val="003A7D1C"/>
    <w:rsid w:val="003B304B"/>
    <w:rsid w:val="003B3146"/>
    <w:rsid w:val="003B60F3"/>
    <w:rsid w:val="003F015E"/>
    <w:rsid w:val="00400414"/>
    <w:rsid w:val="0041446B"/>
    <w:rsid w:val="0044329C"/>
    <w:rsid w:val="004577FE"/>
    <w:rsid w:val="00457B9C"/>
    <w:rsid w:val="0046164A"/>
    <w:rsid w:val="004628D2"/>
    <w:rsid w:val="00462DCD"/>
    <w:rsid w:val="004648AD"/>
    <w:rsid w:val="004703A9"/>
    <w:rsid w:val="004760DE"/>
    <w:rsid w:val="00495322"/>
    <w:rsid w:val="004A004E"/>
    <w:rsid w:val="004A24CF"/>
    <w:rsid w:val="004B6721"/>
    <w:rsid w:val="004C3D1D"/>
    <w:rsid w:val="004C7913"/>
    <w:rsid w:val="004D41D4"/>
    <w:rsid w:val="004E4DD6"/>
    <w:rsid w:val="004F5E36"/>
    <w:rsid w:val="00507B47"/>
    <w:rsid w:val="00507CC9"/>
    <w:rsid w:val="005119A5"/>
    <w:rsid w:val="005278B7"/>
    <w:rsid w:val="00532016"/>
    <w:rsid w:val="005346C8"/>
    <w:rsid w:val="00543E7D"/>
    <w:rsid w:val="00546B05"/>
    <w:rsid w:val="00547A68"/>
    <w:rsid w:val="005531C9"/>
    <w:rsid w:val="00586EFC"/>
    <w:rsid w:val="005B2110"/>
    <w:rsid w:val="005B61E6"/>
    <w:rsid w:val="005C1EA2"/>
    <w:rsid w:val="005C77E1"/>
    <w:rsid w:val="005D6A2F"/>
    <w:rsid w:val="005E15AA"/>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E737D"/>
    <w:rsid w:val="0070195D"/>
    <w:rsid w:val="00720A24"/>
    <w:rsid w:val="00732386"/>
    <w:rsid w:val="007447F3"/>
    <w:rsid w:val="0075499F"/>
    <w:rsid w:val="007661C8"/>
    <w:rsid w:val="0077098D"/>
    <w:rsid w:val="007931FA"/>
    <w:rsid w:val="007A7BBA"/>
    <w:rsid w:val="007B0C50"/>
    <w:rsid w:val="007C1A43"/>
    <w:rsid w:val="007E1DC6"/>
    <w:rsid w:val="00813288"/>
    <w:rsid w:val="008168FC"/>
    <w:rsid w:val="00827FE9"/>
    <w:rsid w:val="00830996"/>
    <w:rsid w:val="008345F1"/>
    <w:rsid w:val="00865B07"/>
    <w:rsid w:val="008667EA"/>
    <w:rsid w:val="0087073A"/>
    <w:rsid w:val="0087637F"/>
    <w:rsid w:val="008904B9"/>
    <w:rsid w:val="00892AD5"/>
    <w:rsid w:val="008A1512"/>
    <w:rsid w:val="008B728E"/>
    <w:rsid w:val="008C78C1"/>
    <w:rsid w:val="008D32B9"/>
    <w:rsid w:val="008D433B"/>
    <w:rsid w:val="008E566E"/>
    <w:rsid w:val="0090161A"/>
    <w:rsid w:val="00901EB6"/>
    <w:rsid w:val="00904C62"/>
    <w:rsid w:val="00924DAC"/>
    <w:rsid w:val="00927058"/>
    <w:rsid w:val="009450CE"/>
    <w:rsid w:val="00947179"/>
    <w:rsid w:val="0095164B"/>
    <w:rsid w:val="00953624"/>
    <w:rsid w:val="00954090"/>
    <w:rsid w:val="009573E7"/>
    <w:rsid w:val="009635B9"/>
    <w:rsid w:val="00963E05"/>
    <w:rsid w:val="00967D54"/>
    <w:rsid w:val="00996483"/>
    <w:rsid w:val="00996F5A"/>
    <w:rsid w:val="009A0A3E"/>
    <w:rsid w:val="009B041A"/>
    <w:rsid w:val="009C7C86"/>
    <w:rsid w:val="009D2FF7"/>
    <w:rsid w:val="009E7884"/>
    <w:rsid w:val="009E788A"/>
    <w:rsid w:val="009F0E08"/>
    <w:rsid w:val="00A1763D"/>
    <w:rsid w:val="00A17CEC"/>
    <w:rsid w:val="00A248F8"/>
    <w:rsid w:val="00A27EF0"/>
    <w:rsid w:val="00A50B20"/>
    <w:rsid w:val="00A51390"/>
    <w:rsid w:val="00A60D13"/>
    <w:rsid w:val="00A72745"/>
    <w:rsid w:val="00A750F4"/>
    <w:rsid w:val="00A76EFC"/>
    <w:rsid w:val="00A91010"/>
    <w:rsid w:val="00A97F29"/>
    <w:rsid w:val="00AA702E"/>
    <w:rsid w:val="00AB0964"/>
    <w:rsid w:val="00AB5011"/>
    <w:rsid w:val="00AC7368"/>
    <w:rsid w:val="00AD16B9"/>
    <w:rsid w:val="00AE377D"/>
    <w:rsid w:val="00B17FBD"/>
    <w:rsid w:val="00B21343"/>
    <w:rsid w:val="00B26809"/>
    <w:rsid w:val="00B315A6"/>
    <w:rsid w:val="00B31813"/>
    <w:rsid w:val="00B33365"/>
    <w:rsid w:val="00B57B36"/>
    <w:rsid w:val="00B67F49"/>
    <w:rsid w:val="00B8686D"/>
    <w:rsid w:val="00BC30C9"/>
    <w:rsid w:val="00BE3E58"/>
    <w:rsid w:val="00C01616"/>
    <w:rsid w:val="00C0162B"/>
    <w:rsid w:val="00C345B1"/>
    <w:rsid w:val="00C40142"/>
    <w:rsid w:val="00C44896"/>
    <w:rsid w:val="00C57182"/>
    <w:rsid w:val="00C57863"/>
    <w:rsid w:val="00C655FD"/>
    <w:rsid w:val="00C870A8"/>
    <w:rsid w:val="00C94434"/>
    <w:rsid w:val="00CA0D75"/>
    <w:rsid w:val="00CA1C95"/>
    <w:rsid w:val="00CA5A9C"/>
    <w:rsid w:val="00CD3517"/>
    <w:rsid w:val="00CD5A00"/>
    <w:rsid w:val="00CD5FE2"/>
    <w:rsid w:val="00CE57CF"/>
    <w:rsid w:val="00CE7C68"/>
    <w:rsid w:val="00D02B4C"/>
    <w:rsid w:val="00D040C4"/>
    <w:rsid w:val="00D068B4"/>
    <w:rsid w:val="00D57C84"/>
    <w:rsid w:val="00D6057D"/>
    <w:rsid w:val="00D84576"/>
    <w:rsid w:val="00DA1399"/>
    <w:rsid w:val="00DA24C6"/>
    <w:rsid w:val="00DA4D7B"/>
    <w:rsid w:val="00DB37BE"/>
    <w:rsid w:val="00DE264A"/>
    <w:rsid w:val="00E02D18"/>
    <w:rsid w:val="00E041E7"/>
    <w:rsid w:val="00E23CA1"/>
    <w:rsid w:val="00E26995"/>
    <w:rsid w:val="00E27F91"/>
    <w:rsid w:val="00E409A8"/>
    <w:rsid w:val="00E46FC5"/>
    <w:rsid w:val="00E50C12"/>
    <w:rsid w:val="00E62C57"/>
    <w:rsid w:val="00E65B91"/>
    <w:rsid w:val="00E7209D"/>
    <w:rsid w:val="00E77223"/>
    <w:rsid w:val="00E8528B"/>
    <w:rsid w:val="00E85B94"/>
    <w:rsid w:val="00E978D0"/>
    <w:rsid w:val="00EA4613"/>
    <w:rsid w:val="00EA7F91"/>
    <w:rsid w:val="00EB1523"/>
    <w:rsid w:val="00EC0E49"/>
    <w:rsid w:val="00EE0131"/>
    <w:rsid w:val="00F155B2"/>
    <w:rsid w:val="00F30C64"/>
    <w:rsid w:val="00F32CDB"/>
    <w:rsid w:val="00F41CC0"/>
    <w:rsid w:val="00F54FB5"/>
    <w:rsid w:val="00F63A70"/>
    <w:rsid w:val="00F83077"/>
    <w:rsid w:val="00FA21D0"/>
    <w:rsid w:val="00FA5F5F"/>
    <w:rsid w:val="00FB104C"/>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Текст выноски Знак"/>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Основной текст 2 Знак"/>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Основной текст 3 Знак"/>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Основной текст Знак"/>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Дата Знак"/>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Подпись Знак"/>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Электронная подпись Знак"/>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Приветствие Знак"/>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Прощание Знак"/>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Адрес HTML Знак"/>
    <w:basedOn w:val="a2"/>
    <w:link w:val="HTML"/>
    <w:uiPriority w:val="99"/>
    <w:semiHidden/>
    <w:rsid w:val="0003148D"/>
    <w:rPr>
      <w:i/>
      <w:iCs/>
    </w:rPr>
  </w:style>
  <w:style w:type="paragraph" w:styleId="28">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Шапка Знак"/>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rsid w:val="0003148D"/>
    <w:pPr>
      <w:spacing w:line="240" w:lineRule="auto"/>
    </w:pPr>
  </w:style>
  <w:style w:type="character" w:customStyle="1" w:styleId="afe">
    <w:name w:val="Заголовок записки Знак"/>
    <w:basedOn w:val="a2"/>
    <w:link w:val="afd"/>
    <w:uiPriority w:val="99"/>
    <w:semiHidden/>
    <w:rsid w:val="0003148D"/>
  </w:style>
  <w:style w:type="paragraph" w:styleId="aff">
    <w:name w:val="Document Map"/>
    <w:basedOn w:val="a1"/>
    <w:link w:val="aff0"/>
    <w:uiPriority w:val="99"/>
    <w:semiHidden/>
    <w:unhideWhenUsed/>
    <w:rsid w:val="0003148D"/>
    <w:pPr>
      <w:spacing w:line="240" w:lineRule="auto"/>
    </w:pPr>
    <w:rPr>
      <w:rFonts w:ascii="Tahoma" w:hAnsi="Tahoma" w:cs="Tahoma"/>
      <w:sz w:val="16"/>
      <w:szCs w:val="16"/>
    </w:rPr>
  </w:style>
  <w:style w:type="character" w:customStyle="1" w:styleId="aff0">
    <w:name w:val="Схема документа Знак"/>
    <w:basedOn w:val="a2"/>
    <w:link w:val="aff"/>
    <w:uiPriority w:val="99"/>
    <w:semiHidden/>
    <w:rsid w:val="0003148D"/>
    <w:rPr>
      <w:rFonts w:ascii="Tahoma" w:hAnsi="Tahoma" w:cs="Tahoma"/>
      <w:sz w:val="16"/>
      <w:szCs w:val="16"/>
    </w:rPr>
  </w:style>
  <w:style w:type="paragraph" w:styleId="aff1">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Стандартный HTML Знак"/>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Красная строка Знак"/>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Основной текст с отступом Знак"/>
    <w:basedOn w:val="a2"/>
    <w:link w:val="aff4"/>
    <w:uiPriority w:val="99"/>
    <w:semiHidden/>
    <w:rsid w:val="0003148D"/>
  </w:style>
  <w:style w:type="paragraph" w:styleId="29">
    <w:name w:val="Body Text First Indent 2"/>
    <w:basedOn w:val="aff4"/>
    <w:link w:val="2a"/>
    <w:uiPriority w:val="99"/>
    <w:semiHidden/>
    <w:unhideWhenUsed/>
    <w:rsid w:val="0003148D"/>
    <w:pPr>
      <w:spacing w:after="200"/>
      <w:ind w:left="360" w:firstLine="360"/>
    </w:pPr>
  </w:style>
  <w:style w:type="character" w:customStyle="1" w:styleId="2a">
    <w:name w:val="Красная строка 2 Знак"/>
    <w:basedOn w:val="aff5"/>
    <w:link w:val="29"/>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b">
    <w:name w:val="Body Text Indent 2"/>
    <w:basedOn w:val="a1"/>
    <w:link w:val="2c"/>
    <w:uiPriority w:val="99"/>
    <w:semiHidden/>
    <w:unhideWhenUsed/>
    <w:rsid w:val="0003148D"/>
    <w:pPr>
      <w:spacing w:after="120" w:line="480" w:lineRule="auto"/>
      <w:ind w:left="283"/>
    </w:pPr>
  </w:style>
  <w:style w:type="character" w:customStyle="1" w:styleId="2c">
    <w:name w:val="Основной текст с отступом 2 Знак"/>
    <w:basedOn w:val="a2"/>
    <w:link w:val="2b"/>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Основной текст с отступом 3 Знак"/>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Текст примечания Знак"/>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Тема примечания Знак"/>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d">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Текст макроса Знак"/>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Текст Знак"/>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Текст сноски Знак"/>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Текст концевой сноски Знак"/>
    <w:basedOn w:val="a2"/>
    <w:link w:val="afff2"/>
    <w:uiPriority w:val="99"/>
    <w:semiHidden/>
    <w:rsid w:val="0003148D"/>
    <w:rPr>
      <w:sz w:val="20"/>
      <w:szCs w:val="20"/>
    </w:rPr>
  </w:style>
  <w:style w:type="character" w:customStyle="1" w:styleId="11">
    <w:name w:val="Заголовок 1 Знак"/>
    <w:basedOn w:val="a2"/>
    <w:link w:val="10"/>
    <w:uiPriority w:val="9"/>
    <w:rsid w:val="004F5E36"/>
    <w:rPr>
      <w:rFonts w:ascii="Arial" w:eastAsia="Times New Roman" w:hAnsi="Arial" w:cs="Times New Roman"/>
      <w:b/>
      <w:sz w:val="20"/>
      <w:szCs w:val="20"/>
      <w:lang w:val="en-GB"/>
    </w:rPr>
  </w:style>
  <w:style w:type="character" w:customStyle="1" w:styleId="22">
    <w:name w:val="Заголовок 2 Знак"/>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Верхний колонтитул Знак"/>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Нижний колонтитул Знак"/>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ddmpubyr">
    <w:name w:val="ddmpubyr"/>
    <w:basedOn w:val="a2"/>
    <w:rsid w:val="00335212"/>
  </w:style>
  <w:style w:type="character" w:customStyle="1" w:styleId="extended-textfull">
    <w:name w:val="extended-text__full"/>
    <w:basedOn w:val="a2"/>
    <w:rsid w:val="00335212"/>
  </w:style>
  <w:style w:type="character" w:customStyle="1" w:styleId="title-text">
    <w:name w:val="title-text"/>
    <w:basedOn w:val="a2"/>
    <w:rsid w:val="00335212"/>
  </w:style>
</w:styles>
</file>

<file path=word/webSettings.xml><?xml version="1.0" encoding="utf-8"?>
<w:webSettings xmlns:r="http://schemas.openxmlformats.org/officeDocument/2006/relationships" xmlns:w="http://schemas.openxmlformats.org/wordprocessingml/2006/main">
  <w:divs>
    <w:div w:id="390464296">
      <w:bodyDiv w:val="1"/>
      <w:marLeft w:val="0"/>
      <w:marRight w:val="0"/>
      <w:marTop w:val="0"/>
      <w:marBottom w:val="0"/>
      <w:divBdr>
        <w:top w:val="none" w:sz="0" w:space="0" w:color="auto"/>
        <w:left w:val="none" w:sz="0" w:space="0" w:color="auto"/>
        <w:bottom w:val="none" w:sz="0" w:space="0" w:color="auto"/>
        <w:right w:val="none" w:sz="0" w:space="0" w:color="auto"/>
      </w:divBdr>
    </w:div>
    <w:div w:id="39323767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9930">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06524">
      <w:bodyDiv w:val="1"/>
      <w:marLeft w:val="0"/>
      <w:marRight w:val="0"/>
      <w:marTop w:val="0"/>
      <w:marBottom w:val="0"/>
      <w:divBdr>
        <w:top w:val="none" w:sz="0" w:space="0" w:color="auto"/>
        <w:left w:val="none" w:sz="0" w:space="0" w:color="auto"/>
        <w:bottom w:val="none" w:sz="0" w:space="0" w:color="auto"/>
        <w:right w:val="none" w:sz="0" w:space="0" w:color="auto"/>
      </w:divBdr>
    </w:div>
    <w:div w:id="1141800720">
      <w:bodyDiv w:val="1"/>
      <w:marLeft w:val="0"/>
      <w:marRight w:val="0"/>
      <w:marTop w:val="0"/>
      <w:marBottom w:val="0"/>
      <w:divBdr>
        <w:top w:val="none" w:sz="0" w:space="0" w:color="auto"/>
        <w:left w:val="none" w:sz="0" w:space="0" w:color="auto"/>
        <w:bottom w:val="none" w:sz="0" w:space="0" w:color="auto"/>
        <w:right w:val="none" w:sz="0" w:space="0" w:color="auto"/>
      </w:divBdr>
    </w:div>
    <w:div w:id="1335381881">
      <w:bodyDiv w:val="1"/>
      <w:marLeft w:val="0"/>
      <w:marRight w:val="0"/>
      <w:marTop w:val="0"/>
      <w:marBottom w:val="0"/>
      <w:divBdr>
        <w:top w:val="none" w:sz="0" w:space="0" w:color="auto"/>
        <w:left w:val="none" w:sz="0" w:space="0" w:color="auto"/>
        <w:bottom w:val="none" w:sz="0" w:space="0" w:color="auto"/>
        <w:right w:val="none" w:sz="0" w:space="0" w:color="auto"/>
      </w:divBdr>
    </w:div>
    <w:div w:id="1375883541">
      <w:bodyDiv w:val="1"/>
      <w:marLeft w:val="0"/>
      <w:marRight w:val="0"/>
      <w:marTop w:val="0"/>
      <w:marBottom w:val="0"/>
      <w:divBdr>
        <w:top w:val="none" w:sz="0" w:space="0" w:color="auto"/>
        <w:left w:val="none" w:sz="0" w:space="0" w:color="auto"/>
        <w:bottom w:val="none" w:sz="0" w:space="0" w:color="auto"/>
        <w:right w:val="none" w:sz="0" w:space="0" w:color="auto"/>
      </w:divBdr>
    </w:div>
    <w:div w:id="160592189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8762">
      <w:bodyDiv w:val="1"/>
      <w:marLeft w:val="0"/>
      <w:marRight w:val="0"/>
      <w:marTop w:val="0"/>
      <w:marBottom w:val="0"/>
      <w:divBdr>
        <w:top w:val="none" w:sz="0" w:space="0" w:color="auto"/>
        <w:left w:val="none" w:sz="0" w:space="0" w:color="auto"/>
        <w:bottom w:val="none" w:sz="0" w:space="0" w:color="auto"/>
        <w:right w:val="none" w:sz="0" w:space="0" w:color="auto"/>
      </w:divBdr>
      <w:divsChild>
        <w:div w:id="1763641120">
          <w:marLeft w:val="0"/>
          <w:marRight w:val="0"/>
          <w:marTop w:val="0"/>
          <w:marBottom w:val="0"/>
          <w:divBdr>
            <w:top w:val="none" w:sz="0" w:space="0" w:color="auto"/>
            <w:left w:val="none" w:sz="0" w:space="0" w:color="auto"/>
            <w:bottom w:val="none" w:sz="0" w:space="0" w:color="auto"/>
            <w:right w:val="none" w:sz="0" w:space="0" w:color="auto"/>
          </w:divBdr>
        </w:div>
      </w:divsChild>
    </w:div>
    <w:div w:id="1886864936">
      <w:bodyDiv w:val="1"/>
      <w:marLeft w:val="0"/>
      <w:marRight w:val="0"/>
      <w:marTop w:val="0"/>
      <w:marBottom w:val="0"/>
      <w:divBdr>
        <w:top w:val="none" w:sz="0" w:space="0" w:color="auto"/>
        <w:left w:val="none" w:sz="0" w:space="0" w:color="auto"/>
        <w:bottom w:val="none" w:sz="0" w:space="0" w:color="auto"/>
        <w:right w:val="none" w:sz="0" w:space="0" w:color="auto"/>
      </w:divBdr>
    </w:div>
    <w:div w:id="196479868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F0045-CEDC-47E3-84BB-572CB50A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2714</Words>
  <Characters>15471</Characters>
  <Application>Microsoft Office Word</Application>
  <DocSecurity>0</DocSecurity>
  <Lines>128</Lines>
  <Paragraphs>36</Paragraphs>
  <ScaleCrop>false</ScaleCrop>
  <HeadingPairs>
    <vt:vector size="6" baseType="variant">
      <vt:variant>
        <vt:lpstr>Название</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Antonina</cp:lastModifiedBy>
  <cp:revision>3</cp:revision>
  <cp:lastPrinted>2015-05-12T18:31:00Z</cp:lastPrinted>
  <dcterms:created xsi:type="dcterms:W3CDTF">2019-04-03T12:41:00Z</dcterms:created>
  <dcterms:modified xsi:type="dcterms:W3CDTF">2019-04-03T12:41:00Z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