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14:paraId="65A53760" w14:textId="77777777">
        <w:trPr>
          <w:trHeight w:val="852"/>
          <w:jc w:val="center"/>
        </w:trPr>
        <w:tc>
          <w:tcPr>
            <w:tcW w:w="6946" w:type="dxa"/>
            <w:vMerge w:val="restart"/>
            <w:tcBorders>
              <w:right w:val="single" w:sz="4" w:space="0" w:color="auto"/>
            </w:tcBorders>
          </w:tcPr>
          <w:p w14:paraId="3C3EC69D"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n-US"/>
              </w:rPr>
              <w:drawing>
                <wp:inline distT="0" distB="0" distL="0" distR="0" wp14:anchorId="61146453" wp14:editId="66599C0B">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F56497B" w14:textId="77777777"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3C4DC25C"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0E2612A0" w14:textId="77777777" w:rsidR="000A03B2" w:rsidRPr="00B57B36" w:rsidRDefault="000A03B2" w:rsidP="00CD5FE2">
            <w:pPr>
              <w:jc w:val="right"/>
            </w:pPr>
            <w:r w:rsidRPr="00B57B36">
              <w:rPr>
                <w:noProof/>
                <w:lang w:val="en-US"/>
              </w:rPr>
              <w:drawing>
                <wp:inline distT="0" distB="0" distL="0" distR="0" wp14:anchorId="16C42E50" wp14:editId="7F315E25">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579EBDDB" w14:textId="77777777">
        <w:trPr>
          <w:trHeight w:val="567"/>
          <w:jc w:val="center"/>
        </w:trPr>
        <w:tc>
          <w:tcPr>
            <w:tcW w:w="6946" w:type="dxa"/>
            <w:vMerge/>
            <w:tcBorders>
              <w:right w:val="single" w:sz="4" w:space="0" w:color="auto"/>
            </w:tcBorders>
          </w:tcPr>
          <w:p w14:paraId="0E4A4102"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51ACA91D"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67E0B0FF"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31F32352" w14:textId="77777777"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14:paraId="734FFAF4" w14:textId="77777777">
        <w:trPr>
          <w:trHeight w:val="68"/>
          <w:jc w:val="center"/>
        </w:trPr>
        <w:tc>
          <w:tcPr>
            <w:tcW w:w="8789" w:type="dxa"/>
            <w:gridSpan w:val="2"/>
          </w:tcPr>
          <w:p w14:paraId="7FE655D1" w14:textId="77777777"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14:paraId="42773C45" w14:textId="77777777"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5E5B6550" w14:textId="77777777" w:rsidR="000A03B2" w:rsidRPr="00B57B36" w:rsidRDefault="000A03B2" w:rsidP="000A03B2">
      <w:pPr>
        <w:pStyle w:val="CETAuthors"/>
        <w:sectPr w:rsidR="000A03B2" w:rsidRPr="00B57B36" w:rsidSect="00C64038">
          <w:type w:val="continuous"/>
          <w:pgSz w:w="11906" w:h="16838" w:code="9"/>
          <w:pgMar w:top="1701" w:right="1418" w:bottom="1701" w:left="1701" w:header="1701" w:footer="0" w:gutter="0"/>
          <w:cols w:space="708"/>
          <w:titlePg/>
          <w:docGrid w:linePitch="360"/>
        </w:sectPr>
      </w:pPr>
    </w:p>
    <w:p w14:paraId="734AA5DF" w14:textId="77777777" w:rsidR="00E978D0" w:rsidRPr="00B57B36" w:rsidRDefault="005E4E9A" w:rsidP="005E4E9A">
      <w:pPr>
        <w:pStyle w:val="CETTitle"/>
      </w:pPr>
      <w:r>
        <w:lastRenderedPageBreak/>
        <w:t>Numerical resolution of fluid dynamic problems using a saddle point variational formulation</w:t>
      </w:r>
    </w:p>
    <w:p w14:paraId="11CA46DD" w14:textId="77777777" w:rsidR="00E978D0" w:rsidRPr="00B57B36" w:rsidRDefault="005E4E9A" w:rsidP="00AB5011">
      <w:pPr>
        <w:pStyle w:val="CETAuthors"/>
      </w:pPr>
      <w:r>
        <w:t>Reginaldo Guirardello</w:t>
      </w:r>
      <w:r w:rsidR="00600535" w:rsidRPr="00B57B36">
        <w:rPr>
          <w:vertAlign w:val="superscript"/>
        </w:rPr>
        <w:t>a</w:t>
      </w:r>
    </w:p>
    <w:p w14:paraId="180D40AA" w14:textId="77777777" w:rsidR="00E978D0" w:rsidRPr="00B57B36" w:rsidRDefault="00E978D0" w:rsidP="00E978D0">
      <w:pPr>
        <w:pStyle w:val="CETAddress"/>
      </w:pPr>
      <w:r w:rsidRPr="00B57B36">
        <w:rPr>
          <w:vertAlign w:val="superscript"/>
        </w:rPr>
        <w:t>a</w:t>
      </w:r>
      <w:r w:rsidR="00B72575" w:rsidRPr="00B72575">
        <w:t>School of Chemical Engineering, Univ</w:t>
      </w:r>
      <w:r w:rsidR="00B72575">
        <w:t>ersity of Campinas</w:t>
      </w:r>
      <w:r w:rsidR="00B72575" w:rsidRPr="00B72575">
        <w:t>, Av. Albert Einstein 500, 13083-852, Campinas-SP, Brazil</w:t>
      </w:r>
      <w:r w:rsidRPr="00B57B36">
        <w:t xml:space="preserve"> </w:t>
      </w:r>
    </w:p>
    <w:p w14:paraId="4F766BF6" w14:textId="77777777" w:rsidR="00E2610F" w:rsidRDefault="00B72575" w:rsidP="00E2610F">
      <w:pPr>
        <w:pStyle w:val="CETemail"/>
      </w:pPr>
      <w:r>
        <w:t>guira</w:t>
      </w:r>
      <w:r w:rsidR="00600535" w:rsidRPr="00B57B36">
        <w:t>@</w:t>
      </w:r>
      <w:r>
        <w:t>feq.unicamp.br</w:t>
      </w:r>
      <w:bookmarkStart w:id="0" w:name="_Hlk495475023"/>
    </w:p>
    <w:p w14:paraId="0D188AAC" w14:textId="77777777" w:rsidR="00E2610F" w:rsidRPr="00E2610F" w:rsidRDefault="00E2610F" w:rsidP="00E2610F">
      <w:pPr>
        <w:pStyle w:val="CETBodytext"/>
        <w:rPr>
          <w:lang w:val="en-GB"/>
        </w:rPr>
      </w:pPr>
    </w:p>
    <w:p w14:paraId="018C94D9" w14:textId="1FC5F65E" w:rsidR="00E2610F" w:rsidRDefault="00E2610F" w:rsidP="00E2610F">
      <w:pPr>
        <w:pStyle w:val="CETBodytext"/>
        <w:rPr>
          <w:lang w:val="en-GB"/>
        </w:rPr>
      </w:pPr>
      <w:r w:rsidRPr="00D350D6">
        <w:rPr>
          <w:lang w:val="en-GB"/>
        </w:rPr>
        <w:t>Variational methods are useful for finding numerical solutions of differential equations, which are the corresponding Euler-Lagrange equations to the stationary condition of the functional. Usually the functional is a maximum or a minimum with respect to some function, but in some cases the functional is a saddle point. In this work a saddle point variational formulation is proposed to solve fluid dynamic problems, and the saddle point is found through an iterative method using the optimization so</w:t>
      </w:r>
      <w:r w:rsidR="004305C7">
        <w:rPr>
          <w:lang w:val="en-GB"/>
        </w:rPr>
        <w:t>ftware GAMS</w:t>
      </w:r>
      <w:r w:rsidR="003F0864">
        <w:rPr>
          <w:lang w:val="en-GB"/>
        </w:rPr>
        <w:t xml:space="preserve">. Two case studies are solved </w:t>
      </w:r>
      <w:r w:rsidR="003F0864" w:rsidRPr="00D350D6">
        <w:rPr>
          <w:lang w:val="en-GB"/>
        </w:rPr>
        <w:t>to show the applicability of the proposed method</w:t>
      </w:r>
      <w:r w:rsidR="003F0864">
        <w:rPr>
          <w:lang w:val="en-GB"/>
        </w:rPr>
        <w:t>, one for a single fluid in a two dimen</w:t>
      </w:r>
      <w:r w:rsidR="00BF7CA5">
        <w:rPr>
          <w:lang w:val="en-GB"/>
        </w:rPr>
        <w:t xml:space="preserve">sional laminar flow in a pipe </w:t>
      </w:r>
      <w:r w:rsidR="003F0864">
        <w:rPr>
          <w:lang w:val="en-GB"/>
        </w:rPr>
        <w:t>and another for a one dimensional turbulent</w:t>
      </w:r>
      <w:r w:rsidRPr="00D350D6">
        <w:rPr>
          <w:lang w:val="en-GB"/>
        </w:rPr>
        <w:t xml:space="preserve"> </w:t>
      </w:r>
      <w:r w:rsidR="003F0864">
        <w:rPr>
          <w:lang w:val="en-GB"/>
        </w:rPr>
        <w:t>flow for gas-liquid column</w:t>
      </w:r>
      <w:r w:rsidRPr="00D350D6">
        <w:rPr>
          <w:lang w:val="en-GB"/>
        </w:rPr>
        <w:t>.</w:t>
      </w:r>
    </w:p>
    <w:p w14:paraId="0936EA54" w14:textId="77777777" w:rsidR="00E56B05" w:rsidRDefault="00E56B05" w:rsidP="00E2610F">
      <w:pPr>
        <w:pStyle w:val="CETBodytext"/>
        <w:rPr>
          <w:lang w:val="en-GB"/>
        </w:rPr>
      </w:pPr>
    </w:p>
    <w:p w14:paraId="1AC8536A" w14:textId="77777777" w:rsidR="00E2610F" w:rsidRPr="00E56B05" w:rsidRDefault="00E2610F" w:rsidP="00E56B05">
      <w:pPr>
        <w:pStyle w:val="CETBodytext"/>
        <w:rPr>
          <w:lang w:val="en-GB"/>
        </w:rPr>
      </w:pPr>
      <w:r w:rsidRPr="00F46AC7">
        <w:rPr>
          <w:lang w:val="en-GB"/>
        </w:rPr>
        <w:t>Key Words: variational formulation, saddle point, fluid dynamics</w:t>
      </w:r>
      <w:r>
        <w:rPr>
          <w:lang w:val="en-GB"/>
        </w:rPr>
        <w:t>.</w:t>
      </w:r>
    </w:p>
    <w:bookmarkEnd w:id="0"/>
    <w:p w14:paraId="1234BFA6" w14:textId="77777777" w:rsidR="00600535" w:rsidRPr="00B57B36" w:rsidRDefault="00600535" w:rsidP="00600535">
      <w:pPr>
        <w:pStyle w:val="CETHeading1"/>
        <w:rPr>
          <w:lang w:val="en-GB"/>
        </w:rPr>
      </w:pPr>
      <w:r w:rsidRPr="00B57B36">
        <w:rPr>
          <w:lang w:val="en-GB"/>
        </w:rPr>
        <w:t>Introduction</w:t>
      </w:r>
    </w:p>
    <w:p w14:paraId="2D5BBC6A" w14:textId="49128BE6" w:rsidR="00BF7CA5" w:rsidRDefault="00BF7CA5" w:rsidP="00600535">
      <w:pPr>
        <w:pStyle w:val="CETBodytext"/>
        <w:rPr>
          <w:lang w:val="en-GB"/>
        </w:rPr>
      </w:pPr>
      <w:r>
        <w:rPr>
          <w:lang w:val="en-GB"/>
        </w:rPr>
        <w:t>Fluid dynamic problems are usually solved as a set of partial differential equations, given by the momentum balance and the continuity equation (Bird et al, 2002). There are many methods available, ranging from analytical solutions for simple problems to numerical methods for more complicated ones, and the finite volume methods is one with widespread use.</w:t>
      </w:r>
    </w:p>
    <w:p w14:paraId="30CA404D" w14:textId="5EA78693" w:rsidR="00BF7CA5" w:rsidRDefault="00BF7CA5" w:rsidP="00600535">
      <w:pPr>
        <w:pStyle w:val="CETBodytext"/>
        <w:rPr>
          <w:lang w:val="en-GB"/>
        </w:rPr>
      </w:pPr>
      <w:r>
        <w:rPr>
          <w:lang w:val="en-GB"/>
        </w:rPr>
        <w:t>Variational methods have been used only on a limited number of cases in fluid dynamic problems, mostly due to the lack of a corresponding variational formulation where the stationary condition corresponds to the original set of differential equations.</w:t>
      </w:r>
    </w:p>
    <w:p w14:paraId="6C6CD18B" w14:textId="5C1B82F4" w:rsidR="00C0163D" w:rsidRDefault="00BF7CA5" w:rsidP="00600535">
      <w:pPr>
        <w:pStyle w:val="CETBodytext"/>
        <w:rPr>
          <w:lang w:val="en-GB"/>
        </w:rPr>
      </w:pPr>
      <w:r>
        <w:rPr>
          <w:lang w:val="en-GB"/>
        </w:rPr>
        <w:t>In general, v</w:t>
      </w:r>
      <w:r w:rsidR="00392462" w:rsidRPr="00392462">
        <w:rPr>
          <w:lang w:val="en-GB"/>
        </w:rPr>
        <w:t xml:space="preserve">ariational methods are useful for finding numerical solutions of differential equations, which are the corresponding Euler-Lagrange equations to the stationary condition of the functional. Usually the functional is a maximum or a minimum with respect to some function, but in some cases the functional is a saddle point. In this work a saddle point variational formulation is proposed to solve fluid dynamic problems, and the saddle point is found through an iterative method using the optimization software </w:t>
      </w:r>
      <w:r>
        <w:rPr>
          <w:lang w:val="en-GB"/>
        </w:rPr>
        <w:t>GAMS. Two case studies are solved, one for a two dimensional laminar flow of a single fluid in a pipe and another for a one dimensional turbulent laminar flow in a gas-liquid column. The results of the first case are compared with an analytical solution, while the second case is compared with the finite volume method.</w:t>
      </w:r>
    </w:p>
    <w:p w14:paraId="25AFAD65" w14:textId="77777777" w:rsidR="00B80800" w:rsidRDefault="00492EC2" w:rsidP="00600535">
      <w:pPr>
        <w:pStyle w:val="CETHeading1"/>
        <w:tabs>
          <w:tab w:val="clear" w:pos="360"/>
          <w:tab w:val="right" w:pos="7100"/>
        </w:tabs>
        <w:jc w:val="both"/>
        <w:rPr>
          <w:lang w:val="en-GB"/>
        </w:rPr>
      </w:pPr>
      <w:r>
        <w:rPr>
          <w:lang w:val="en-GB"/>
        </w:rPr>
        <w:t>Methodology</w:t>
      </w:r>
    </w:p>
    <w:p w14:paraId="5F9BC4BF" w14:textId="77777777" w:rsidR="00E17E24" w:rsidRPr="00E17E24" w:rsidRDefault="00E17E24" w:rsidP="006A26FA">
      <w:pPr>
        <w:pStyle w:val="CETheadingx"/>
      </w:pPr>
      <w:r>
        <w:t>Variational Formulation</w:t>
      </w:r>
    </w:p>
    <w:p w14:paraId="75D7B10B" w14:textId="0633712F" w:rsidR="00D32720" w:rsidRDefault="000D0A29" w:rsidP="00D32720">
      <w:pPr>
        <w:pStyle w:val="CETHeading1"/>
        <w:numPr>
          <w:ilvl w:val="0"/>
          <w:numId w:val="0"/>
        </w:numPr>
        <w:spacing w:before="120"/>
        <w:rPr>
          <w:b w:val="0"/>
          <w:sz w:val="18"/>
          <w:lang w:val="en-GB"/>
        </w:rPr>
      </w:pPr>
      <w:r>
        <w:rPr>
          <w:b w:val="0"/>
          <w:sz w:val="18"/>
          <w:lang w:val="en-GB"/>
        </w:rPr>
        <w:t xml:space="preserve">The proposed method is described as follows. </w:t>
      </w:r>
      <w:r w:rsidR="00D32720">
        <w:rPr>
          <w:b w:val="0"/>
          <w:sz w:val="18"/>
          <w:lang w:val="en-GB"/>
        </w:rPr>
        <w:t>Consider a function given by:</w:t>
      </w:r>
    </w:p>
    <w:p w14:paraId="68964CE6" w14:textId="49D788B5" w:rsidR="00C10E98" w:rsidRDefault="00ED2F67" w:rsidP="00C10E98">
      <w:pPr>
        <w:pStyle w:val="CETBodytext"/>
        <w:spacing w:before="240" w:after="240"/>
        <w:ind w:left="567"/>
        <w:rPr>
          <w:lang w:val="en-GB"/>
        </w:rPr>
      </w:pPr>
      <m:oMathPara>
        <m:oMathParaPr>
          <m:jc m:val="left"/>
        </m:oMathParaPr>
        <m:oMath>
          <m:m>
            <m:mPr>
              <m:mcs>
                <m:mc>
                  <m:mcPr>
                    <m:count m:val="1"/>
                    <m:mcJc m:val="center"/>
                  </m:mcPr>
                </m:mc>
              </m:mcs>
              <m:ctrlPr>
                <w:rPr>
                  <w:rFonts w:ascii="Cambria Math" w:hAnsi="Cambria Math"/>
                  <w:i/>
                  <w:lang w:val="en-GB"/>
                </w:rPr>
              </m:ctrlPr>
            </m:mPr>
            <m:mr>
              <m:e>
                <m:r>
                  <w:rPr>
                    <w:rFonts w:ascii="Cambria Math" w:hAnsi="Cambria Math"/>
                    <w:lang w:val="en-GB"/>
                  </w:rPr>
                  <m:t>ϕ</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2</m:t>
                        </m:r>
                      </m:sub>
                    </m:sSub>
                  </m:e>
                </m:d>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2</m:t>
                    </m:r>
                  </m:sub>
                </m:sSub>
              </m:e>
            </m:mr>
            <m:mr>
              <m:e>
                <m:r>
                  <m:rPr>
                    <m:sty m:val="bi"/>
                  </m:rPr>
                  <w:rPr>
                    <w:rFonts w:ascii="Cambria Math" w:hAnsi="Cambria Math"/>
                    <w:lang w:val="en-GB"/>
                  </w:rPr>
                  <m:t>x</m:t>
                </m:r>
                <m:r>
                  <w:rPr>
                    <w:rFonts w:ascii="Cambria Math" w:hAnsi="Cambria Math"/>
                    <w:lang w:val="en-GB"/>
                  </w:rPr>
                  <m:t>∈X</m:t>
                </m:r>
              </m:e>
            </m:mr>
          </m:m>
          <m:r>
            <w:rPr>
              <w:rFonts w:ascii="Cambria Math" w:hAnsi="Cambria Math"/>
              <w:lang w:val="en-GB"/>
            </w:rPr>
            <m:t xml:space="preserve">                                                                                                                                                                     (1)</m:t>
          </m:r>
        </m:oMath>
      </m:oMathPara>
    </w:p>
    <w:p w14:paraId="6F5C79E9" w14:textId="77777777" w:rsidR="00D32720" w:rsidRDefault="00D32720" w:rsidP="00D32720">
      <w:pPr>
        <w:pStyle w:val="CETBodytext"/>
        <w:spacing w:before="240" w:after="240"/>
        <w:rPr>
          <w:lang w:val="en-GB"/>
        </w:rPr>
      </w:pPr>
      <w:r>
        <w:rPr>
          <w:lang w:val="en-GB"/>
        </w:rPr>
        <w:t xml:space="preserve">This function has a saddle point at </w:t>
      </w:r>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1</m:t>
            </m:r>
          </m:sub>
        </m:sSub>
        <m:r>
          <w:rPr>
            <w:rFonts w:ascii="Cambria Math" w:hAnsi="Cambria Math"/>
            <w:lang w:val="en-GB"/>
          </w:rPr>
          <m:t>=0</m:t>
        </m:r>
      </m:oMath>
      <w:r>
        <w:rPr>
          <w:lang w:val="en-GB"/>
        </w:rPr>
        <w:t xml:space="preserve"> and </w:t>
      </w:r>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2</m:t>
            </m:r>
          </m:sub>
        </m:sSub>
        <m:r>
          <w:rPr>
            <w:rFonts w:ascii="Cambria Math" w:hAnsi="Cambria Math"/>
            <w:lang w:val="en-GB"/>
          </w:rPr>
          <m:t>=0</m:t>
        </m:r>
      </m:oMath>
      <w:r>
        <w:rPr>
          <w:lang w:val="en-GB"/>
        </w:rPr>
        <w:t>. While there are many algorithms to find a minimum point, there are not many algorithms for finding a saddle point. Considering a transformation given by:</w:t>
      </w:r>
    </w:p>
    <w:p w14:paraId="0D936CB0" w14:textId="2DB3E19C" w:rsidR="00673E64" w:rsidRPr="00B90FC4" w:rsidRDefault="00ED2F67" w:rsidP="00925385">
      <w:pPr>
        <w:pStyle w:val="CETBodytext"/>
        <w:spacing w:before="240" w:after="240"/>
        <w:ind w:left="567"/>
        <w:rPr>
          <w:lang w:val="en-GB"/>
        </w:rPr>
      </w:pPr>
      <m:oMathPara>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1</m:t>
              </m:r>
            </m:sub>
          </m:sSub>
          <m:r>
            <w:rPr>
              <w:rFonts w:ascii="Cambria Math" w:hAnsi="Cambria Math"/>
              <w:lang w:val="en-GB"/>
            </w:rPr>
            <m:t>=</m:t>
          </m:r>
          <m:f>
            <m:fPr>
              <m:ctrlPr>
                <w:rPr>
                  <w:rFonts w:ascii="Cambria Math" w:hAnsi="Cambria Math"/>
                  <w:i/>
                  <w:lang w:val="en-GB"/>
                </w:rPr>
              </m:ctrlPr>
            </m:fPr>
            <m:num>
              <m:r>
                <w:rPr>
                  <w:rFonts w:ascii="Cambria Math" w:hAnsi="Cambria Math"/>
                  <w:lang w:val="en-GB"/>
                </w:rPr>
                <m:t>1</m:t>
              </m:r>
            </m:num>
            <m:den>
              <m:r>
                <w:rPr>
                  <w:rFonts w:ascii="Cambria Math" w:hAnsi="Cambria Math"/>
                  <w:lang w:val="en-GB"/>
                </w:rPr>
                <m:t>2</m:t>
              </m:r>
            </m:den>
          </m:f>
          <m:r>
            <w:rPr>
              <w:rFonts w:ascii="Cambria Math" w:hAnsi="Cambria Math"/>
              <w:lang w:val="en-GB"/>
            </w:rPr>
            <m:t>∙</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2</m:t>
                  </m:r>
                </m:sub>
              </m:sSub>
            </m:e>
          </m:d>
          <m:r>
            <w:rPr>
              <w:rFonts w:ascii="Cambria Math" w:hAnsi="Cambria Math"/>
              <w:lang w:val="en-GB"/>
            </w:rPr>
            <m:t xml:space="preserve">                                                                                                                                                                      (2)</m:t>
          </m:r>
        </m:oMath>
      </m:oMathPara>
    </w:p>
    <w:p w14:paraId="78C2C423" w14:textId="6864F168" w:rsidR="00B90FC4" w:rsidRDefault="00ED2F67" w:rsidP="00B56F4C">
      <w:pPr>
        <w:pStyle w:val="CETBodytext"/>
        <w:spacing w:before="240" w:after="240"/>
        <w:ind w:left="567"/>
        <w:rPr>
          <w:lang w:val="en-GB"/>
        </w:rPr>
      </w:pPr>
      <m:oMathPara>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2</m:t>
              </m:r>
            </m:sub>
          </m:sSub>
          <m:r>
            <w:rPr>
              <w:rFonts w:ascii="Cambria Math" w:hAnsi="Cambria Math"/>
              <w:lang w:val="en-GB"/>
            </w:rPr>
            <m:t>=</m:t>
          </m:r>
          <m:f>
            <m:fPr>
              <m:ctrlPr>
                <w:rPr>
                  <w:rFonts w:ascii="Cambria Math" w:hAnsi="Cambria Math"/>
                  <w:i/>
                  <w:lang w:val="en-GB"/>
                </w:rPr>
              </m:ctrlPr>
            </m:fPr>
            <m:num>
              <m:r>
                <w:rPr>
                  <w:rFonts w:ascii="Cambria Math" w:hAnsi="Cambria Math"/>
                  <w:lang w:val="en-GB"/>
                </w:rPr>
                <m:t>1</m:t>
              </m:r>
            </m:num>
            <m:den>
              <m:r>
                <w:rPr>
                  <w:rFonts w:ascii="Cambria Math" w:hAnsi="Cambria Math"/>
                  <w:lang w:val="en-GB"/>
                </w:rPr>
                <m:t>2</m:t>
              </m:r>
            </m:den>
          </m:f>
          <m:r>
            <w:rPr>
              <w:rFonts w:ascii="Cambria Math" w:hAnsi="Cambria Math"/>
              <w:lang w:val="en-GB"/>
            </w:rPr>
            <m:t>∙</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2</m:t>
                  </m:r>
                </m:sub>
              </m:sSub>
            </m:e>
          </m:d>
          <m:r>
            <w:rPr>
              <w:rFonts w:ascii="Cambria Math" w:hAnsi="Cambria Math"/>
              <w:lang w:val="en-GB"/>
            </w:rPr>
            <m:t xml:space="preserve">                                                                                                                                                                      (3)</m:t>
          </m:r>
        </m:oMath>
      </m:oMathPara>
    </w:p>
    <w:p w14:paraId="2E9ED9E5" w14:textId="2A2D1C91" w:rsidR="00D32720" w:rsidRDefault="00D75422" w:rsidP="00D32720">
      <w:pPr>
        <w:pStyle w:val="CETBodytext"/>
        <w:spacing w:before="240" w:after="240"/>
        <w:rPr>
          <w:lang w:val="en-GB"/>
        </w:rPr>
      </w:pPr>
      <w:r>
        <w:rPr>
          <w:lang w:val="en-GB"/>
        </w:rPr>
        <w:t>then this</w:t>
      </w:r>
      <w:r w:rsidR="00D32720">
        <w:rPr>
          <w:lang w:val="en-GB"/>
        </w:rPr>
        <w:t xml:space="preserve"> problem can be rewritten as:</w:t>
      </w:r>
    </w:p>
    <w:p w14:paraId="3985F5AF" w14:textId="715FC362" w:rsidR="00C55AF2" w:rsidRDefault="00ED2F67" w:rsidP="00C55AF2">
      <w:pPr>
        <w:pStyle w:val="CETBodytext"/>
        <w:spacing w:before="240" w:after="240"/>
        <w:ind w:left="567"/>
        <w:rPr>
          <w:lang w:val="en-GB"/>
        </w:rPr>
      </w:pPr>
      <m:oMathPara>
        <m:oMath>
          <m:m>
            <m:mPr>
              <m:mcs>
                <m:mc>
                  <m:mcPr>
                    <m:count m:val="1"/>
                    <m:mcJc m:val="center"/>
                  </m:mcPr>
                </m:mc>
              </m:mcs>
              <m:ctrlPr>
                <w:rPr>
                  <w:rFonts w:ascii="Cambria Math" w:hAnsi="Cambria Math"/>
                  <w:i/>
                  <w:lang w:val="en-GB"/>
                </w:rPr>
              </m:ctrlPr>
            </m:mPr>
            <m:mr>
              <m:e>
                <m:r>
                  <w:rPr>
                    <w:rFonts w:ascii="Cambria Math" w:hAnsi="Cambria Math"/>
                    <w:lang w:val="en-GB"/>
                  </w:rPr>
                  <m:t>φ</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2</m:t>
                        </m:r>
                      </m:sub>
                    </m:sSub>
                  </m:e>
                </m:d>
                <m:r>
                  <w:rPr>
                    <w:rFonts w:ascii="Cambria Math" w:hAnsi="Cambria Math"/>
                    <w:lang w:val="en-GB"/>
                  </w:rPr>
                  <m:t>=</m:t>
                </m:r>
                <m:f>
                  <m:fPr>
                    <m:ctrlPr>
                      <w:rPr>
                        <w:rFonts w:ascii="Cambria Math" w:hAnsi="Cambria Math"/>
                        <w:i/>
                        <w:lang w:val="en-GB"/>
                      </w:rPr>
                    </m:ctrlPr>
                  </m:fPr>
                  <m:num>
                    <m:r>
                      <w:rPr>
                        <w:rFonts w:ascii="Cambria Math" w:hAnsi="Cambria Math"/>
                        <w:lang w:val="en-GB"/>
                      </w:rPr>
                      <m:t>1</m:t>
                    </m:r>
                  </m:num>
                  <m:den>
                    <m:r>
                      <w:rPr>
                        <w:rFonts w:ascii="Cambria Math" w:hAnsi="Cambria Math"/>
                        <w:lang w:val="en-GB"/>
                      </w:rPr>
                      <m:t>4</m:t>
                    </m:r>
                  </m:den>
                </m:f>
                <m:r>
                  <w:rPr>
                    <w:rFonts w:ascii="Cambria Math" w:hAnsi="Cambria Math"/>
                    <w:lang w:val="en-GB"/>
                  </w:rPr>
                  <m:t>∙</m:t>
                </m:r>
                <m:d>
                  <m:dPr>
                    <m:ctrlPr>
                      <w:rPr>
                        <w:rFonts w:ascii="Cambria Math" w:hAnsi="Cambria Math"/>
                        <w:i/>
                        <w:lang w:val="en-GB"/>
                      </w:rPr>
                    </m:ctrlPr>
                  </m:dPr>
                  <m:e>
                    <m:sSubSup>
                      <m:sSubSupPr>
                        <m:ctrlPr>
                          <w:rPr>
                            <w:rFonts w:ascii="Cambria Math" w:hAnsi="Cambria Math"/>
                            <w:i/>
                            <w:lang w:val="en-GB"/>
                          </w:rPr>
                        </m:ctrlPr>
                      </m:sSubSupPr>
                      <m:e>
                        <m:r>
                          <w:rPr>
                            <w:rFonts w:ascii="Cambria Math" w:hAnsi="Cambria Math"/>
                            <w:lang w:val="en-GB"/>
                          </w:rPr>
                          <m:t>y</m:t>
                        </m:r>
                      </m:e>
                      <m:sub>
                        <m:r>
                          <w:rPr>
                            <w:rFonts w:ascii="Cambria Math" w:hAnsi="Cambria Math"/>
                            <w:lang w:val="en-GB"/>
                          </w:rPr>
                          <m:t>1</m:t>
                        </m:r>
                      </m:sub>
                      <m:sup>
                        <m:r>
                          <w:rPr>
                            <w:rFonts w:ascii="Cambria Math" w:hAnsi="Cambria Math"/>
                            <w:lang w:val="en-GB"/>
                          </w:rPr>
                          <m:t>2</m:t>
                        </m:r>
                      </m:sup>
                    </m:sSubSup>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y</m:t>
                        </m:r>
                      </m:e>
                      <m:sub>
                        <m:r>
                          <w:rPr>
                            <w:rFonts w:ascii="Cambria Math" w:hAnsi="Cambria Math"/>
                            <w:lang w:val="en-GB"/>
                          </w:rPr>
                          <m:t>2</m:t>
                        </m:r>
                      </m:sub>
                      <m:sup>
                        <m:r>
                          <w:rPr>
                            <w:rFonts w:ascii="Cambria Math" w:hAnsi="Cambria Math"/>
                            <w:lang w:val="en-GB"/>
                          </w:rPr>
                          <m:t>2</m:t>
                        </m:r>
                      </m:sup>
                    </m:sSubSup>
                  </m:e>
                </m:d>
              </m:e>
            </m:mr>
            <m:mr>
              <m:e>
                <m:r>
                  <m:rPr>
                    <m:sty m:val="bi"/>
                  </m:rPr>
                  <w:rPr>
                    <w:rFonts w:ascii="Cambria Math" w:hAnsi="Cambria Math"/>
                    <w:lang w:val="en-GB"/>
                  </w:rPr>
                  <m:t>x</m:t>
                </m:r>
                <m:r>
                  <w:rPr>
                    <w:rFonts w:ascii="Cambria Math" w:hAnsi="Cambria Math"/>
                    <w:lang w:val="en-GB"/>
                  </w:rPr>
                  <m:t>∈X</m:t>
                </m:r>
              </m:e>
            </m:mr>
          </m:m>
          <m:r>
            <w:rPr>
              <w:rFonts w:ascii="Cambria Math" w:hAnsi="Cambria Math"/>
              <w:lang w:val="en-GB"/>
            </w:rPr>
            <m:t xml:space="preserve">                                                                                                                                                        (4)</m:t>
          </m:r>
        </m:oMath>
      </m:oMathPara>
    </w:p>
    <w:p w14:paraId="408926B8" w14:textId="77777777" w:rsidR="00D32720" w:rsidRDefault="00D32720" w:rsidP="00D32720">
      <w:pPr>
        <w:pStyle w:val="CETBodytext"/>
        <w:spacing w:before="240" w:after="240"/>
        <w:rPr>
          <w:lang w:val="en-GB"/>
        </w:rPr>
      </w:pPr>
      <w:r>
        <w:rPr>
          <w:lang w:val="en-GB"/>
        </w:rPr>
        <w:t xml:space="preserve">Using an iterative procedure, fixing the value of </w:t>
      </w:r>
      <m:oMath>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2</m:t>
            </m:r>
          </m:sub>
        </m:sSub>
      </m:oMath>
      <w:r>
        <w:rPr>
          <w:lang w:val="en-GB"/>
        </w:rPr>
        <w:t xml:space="preserve">, then the stationary value of </w:t>
      </w:r>
      <m:oMath>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1</m:t>
            </m:r>
          </m:sub>
        </m:sSub>
      </m:oMath>
      <w:r>
        <w:rPr>
          <w:lang w:val="en-GB"/>
        </w:rPr>
        <w:t xml:space="preserve"> can be found my minimizing the function given by Eq. (4). By a similar procedure, the stationary value of </w:t>
      </w:r>
      <m:oMath>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2</m:t>
            </m:r>
          </m:sub>
        </m:sSub>
      </m:oMath>
      <w:r>
        <w:rPr>
          <w:lang w:val="en-GB"/>
        </w:rPr>
        <w:t xml:space="preserve"> can be found.</w:t>
      </w:r>
    </w:p>
    <w:p w14:paraId="689F4805" w14:textId="77777777" w:rsidR="00D32720" w:rsidRDefault="00D32720" w:rsidP="00D32720">
      <w:pPr>
        <w:pStyle w:val="CETBodytext"/>
        <w:spacing w:before="240" w:after="240"/>
        <w:rPr>
          <w:lang w:val="en-GB"/>
        </w:rPr>
      </w:pPr>
      <w:r>
        <w:rPr>
          <w:lang w:val="en-GB"/>
        </w:rPr>
        <w:t>Consider now a functional, given by:</w:t>
      </w:r>
    </w:p>
    <w:p w14:paraId="46ED98F5" w14:textId="2C4278F5" w:rsidR="00C4211B" w:rsidRDefault="00293C52" w:rsidP="00293C52">
      <w:pPr>
        <w:pStyle w:val="CETBodytext"/>
        <w:spacing w:before="240" w:after="240"/>
        <w:ind w:left="567"/>
        <w:rPr>
          <w:lang w:val="en-GB"/>
        </w:rPr>
      </w:pPr>
      <m:oMathPara>
        <m:oMath>
          <m:r>
            <w:rPr>
              <w:rFonts w:ascii="Cambria Math" w:hAnsi="Cambria Math"/>
              <w:lang w:val="en-GB"/>
            </w:rPr>
            <m:t>I=</m:t>
          </m:r>
          <m:nary>
            <m:naryPr>
              <m:chr m:val="∬"/>
              <m:limLoc m:val="undOvr"/>
              <m:subHide m:val="1"/>
              <m:supHide m:val="1"/>
              <m:ctrlPr>
                <w:rPr>
                  <w:rFonts w:ascii="Cambria Math" w:hAnsi="Cambria Math"/>
                  <w:i/>
                  <w:lang w:val="en-GB"/>
                </w:rPr>
              </m:ctrlPr>
            </m:naryPr>
            <m:sub/>
            <m:sup/>
            <m:e>
              <m:d>
                <m:dPr>
                  <m:begChr m:val="["/>
                  <m:endChr m:val="]"/>
                  <m:ctrlPr>
                    <w:rPr>
                      <w:rFonts w:ascii="Cambria Math" w:hAnsi="Cambria Math"/>
                      <w:i/>
                      <w:lang w:val="en-GB"/>
                    </w:rPr>
                  </m:ctrlPr>
                </m:dPr>
                <m:e>
                  <m:r>
                    <w:rPr>
                      <w:rFonts w:ascii="Cambria Math" w:hAnsi="Cambria Math"/>
                      <w:lang w:val="en-GB"/>
                    </w:rPr>
                    <m:t>α∙f</m:t>
                  </m:r>
                  <m:d>
                    <m:dPr>
                      <m:ctrlPr>
                        <w:rPr>
                          <w:rFonts w:ascii="Cambria Math" w:hAnsi="Cambria Math"/>
                          <w:i/>
                          <w:lang w:val="en-GB"/>
                        </w:rPr>
                      </m:ctrlPr>
                    </m:dPr>
                    <m:e>
                      <m:r>
                        <w:rPr>
                          <w:rFonts w:ascii="Cambria Math" w:hAnsi="Cambria Math"/>
                          <w:lang w:val="en-GB"/>
                        </w:rPr>
                        <m:t>u,v,</m:t>
                      </m:r>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x</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x</m:t>
                          </m:r>
                        </m:sub>
                      </m:sSub>
                    </m:e>
                  </m:d>
                  <m:r>
                    <w:rPr>
                      <w:rFonts w:ascii="Cambria Math" w:hAnsi="Cambria Math"/>
                      <w:lang w:val="en-GB"/>
                    </w:rPr>
                    <m:t>+β∙g</m:t>
                  </m:r>
                  <m:d>
                    <m:dPr>
                      <m:ctrlPr>
                        <w:rPr>
                          <w:rFonts w:ascii="Cambria Math" w:hAnsi="Cambria Math"/>
                          <w:i/>
                          <w:lang w:val="en-GB"/>
                        </w:rPr>
                      </m:ctrlPr>
                    </m:dPr>
                    <m:e>
                      <m:r>
                        <w:rPr>
                          <w:rFonts w:ascii="Cambria Math" w:hAnsi="Cambria Math"/>
                          <w:lang w:val="en-GB"/>
                        </w:rPr>
                        <m:t>u,v,</m:t>
                      </m:r>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x</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x</m:t>
                          </m:r>
                        </m:sub>
                      </m:sSub>
                    </m:e>
                  </m:d>
                </m:e>
              </m:d>
              <m:r>
                <w:rPr>
                  <w:rFonts w:ascii="Cambria Math" w:hAnsi="Cambria Math"/>
                  <w:lang w:val="en-GB"/>
                </w:rPr>
                <m:t>∙d</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1</m:t>
                  </m:r>
                </m:sub>
              </m:sSub>
              <m:r>
                <w:rPr>
                  <w:rFonts w:ascii="Cambria Math" w:hAnsi="Cambria Math"/>
                  <w:lang w:val="en-GB"/>
                </w:rPr>
                <m:t>∙d</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2</m:t>
                  </m:r>
                </m:sub>
              </m:sSub>
            </m:e>
          </m:nary>
          <m:r>
            <w:rPr>
              <w:rFonts w:ascii="Cambria Math" w:hAnsi="Cambria Math"/>
              <w:lang w:val="en-GB"/>
            </w:rPr>
            <m:t xml:space="preserve">                                                                                             (5)</m:t>
          </m:r>
        </m:oMath>
      </m:oMathPara>
    </w:p>
    <w:p w14:paraId="69B373D0" w14:textId="77777777" w:rsidR="00D32720" w:rsidRDefault="00D32720" w:rsidP="00D32720">
      <w:pPr>
        <w:pStyle w:val="CETBodytext"/>
        <w:spacing w:before="240" w:after="240"/>
        <w:ind w:left="567"/>
        <w:rPr>
          <w:lang w:val="en-GB"/>
        </w:rPr>
      </w:pPr>
      <w:r>
        <w:rPr>
          <w:lang w:val="en-GB"/>
        </w:rPr>
        <w:t>s.t.</w:t>
      </w:r>
    </w:p>
    <w:p w14:paraId="246EDD1D" w14:textId="77777777" w:rsidR="00D32720" w:rsidRDefault="00ED2F67" w:rsidP="00D32720">
      <w:pPr>
        <w:pStyle w:val="CETBodytext"/>
        <w:spacing w:before="240" w:after="240"/>
        <w:ind w:left="567"/>
        <w:rPr>
          <w:lang w:val="en-GB"/>
        </w:rPr>
      </w:pPr>
      <m:oMathPara>
        <m:oMathParaPr>
          <m:jc m:val="left"/>
        </m:oMathParaPr>
        <m:oMath>
          <m:f>
            <m:fPr>
              <m:ctrlPr>
                <w:rPr>
                  <w:rFonts w:ascii="Cambria Math" w:hAnsi="Cambria Math"/>
                  <w:i/>
                  <w:lang w:val="en-GB"/>
                </w:rPr>
              </m:ctrlPr>
            </m:fPr>
            <m:num>
              <m:r>
                <w:rPr>
                  <w:rFonts w:ascii="Cambria Math" w:hAnsi="Cambria Math"/>
                  <w:lang w:val="en-GB"/>
                </w:rPr>
                <m:t>∂α</m:t>
              </m:r>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1</m:t>
                  </m:r>
                </m:sub>
              </m:sSub>
            </m:den>
          </m:f>
          <m:r>
            <w:rPr>
              <w:rFonts w:ascii="Cambria Math" w:hAnsi="Cambria Math"/>
              <w:lang w:val="en-GB"/>
            </w:rPr>
            <m:t>+</m:t>
          </m:r>
          <m:f>
            <m:fPr>
              <m:ctrlPr>
                <w:rPr>
                  <w:rFonts w:ascii="Cambria Math" w:hAnsi="Cambria Math"/>
                  <w:i/>
                  <w:lang w:val="en-GB"/>
                </w:rPr>
              </m:ctrlPr>
            </m:fPr>
            <m:num>
              <m:r>
                <w:rPr>
                  <w:rFonts w:ascii="Cambria Math" w:hAnsi="Cambria Math"/>
                  <w:lang w:val="en-GB"/>
                </w:rPr>
                <m:t>∂β</m:t>
              </m:r>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2</m:t>
                  </m:r>
                </m:sub>
              </m:sSub>
            </m:den>
          </m:f>
          <m:r>
            <w:rPr>
              <w:rFonts w:ascii="Cambria Math" w:hAnsi="Cambria Math"/>
              <w:lang w:val="en-GB"/>
            </w:rPr>
            <m:t>=0                                                                                                                                                                             (6)</m:t>
          </m:r>
        </m:oMath>
      </m:oMathPara>
    </w:p>
    <w:p w14:paraId="4C256040" w14:textId="77777777" w:rsidR="00D32720" w:rsidRDefault="00ED2F67" w:rsidP="00D32720">
      <w:pPr>
        <w:pStyle w:val="CETBodytext"/>
        <w:spacing w:before="240" w:after="240"/>
        <w:ind w:left="567"/>
        <w:rPr>
          <w:lang w:val="en-GB"/>
        </w:rPr>
      </w:pPr>
      <m:oMathPara>
        <m:oMathParaPr>
          <m:jc m:val="left"/>
        </m:oMathParaPr>
        <m:oMath>
          <m:f>
            <m:fPr>
              <m:ctrlPr>
                <w:rPr>
                  <w:rFonts w:ascii="Cambria Math" w:hAnsi="Cambria Math"/>
                  <w:i/>
                  <w:lang w:val="en-GB"/>
                </w:rPr>
              </m:ctrlPr>
            </m:fPr>
            <m:num>
              <m:r>
                <w:rPr>
                  <w:rFonts w:ascii="Cambria Math" w:hAnsi="Cambria Math"/>
                  <w:lang w:val="en-GB"/>
                </w:rPr>
                <m:t>∂u</m:t>
              </m:r>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1</m:t>
                  </m:r>
                </m:sub>
              </m:sSub>
            </m:den>
          </m:f>
          <m:r>
            <w:rPr>
              <w:rFonts w:ascii="Cambria Math" w:hAnsi="Cambria Math"/>
              <w:lang w:val="en-GB"/>
            </w:rPr>
            <m:t>+</m:t>
          </m:r>
          <m:f>
            <m:fPr>
              <m:ctrlPr>
                <w:rPr>
                  <w:rFonts w:ascii="Cambria Math" w:hAnsi="Cambria Math"/>
                  <w:i/>
                  <w:lang w:val="en-GB"/>
                </w:rPr>
              </m:ctrlPr>
            </m:fPr>
            <m:num>
              <m:r>
                <w:rPr>
                  <w:rFonts w:ascii="Cambria Math" w:hAnsi="Cambria Math"/>
                  <w:lang w:val="en-GB"/>
                </w:rPr>
                <m:t>∂v</m:t>
              </m:r>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2</m:t>
                  </m:r>
                </m:sub>
              </m:sSub>
            </m:den>
          </m:f>
          <m:r>
            <w:rPr>
              <w:rFonts w:ascii="Cambria Math" w:hAnsi="Cambria Math"/>
              <w:lang w:val="en-GB"/>
            </w:rPr>
            <m:t>=0                                                                                                                                                                             (7)</m:t>
          </m:r>
        </m:oMath>
      </m:oMathPara>
    </w:p>
    <w:p w14:paraId="50EA525D" w14:textId="77777777" w:rsidR="00D32720" w:rsidRDefault="00D32720" w:rsidP="00D32720">
      <w:pPr>
        <w:pStyle w:val="CETBodytext"/>
        <w:spacing w:before="240" w:after="240"/>
        <w:rPr>
          <w:lang w:val="en-GB"/>
        </w:rPr>
      </w:pPr>
      <w:r>
        <w:rPr>
          <w:lang w:val="en-GB"/>
        </w:rPr>
        <w:t>This functional has stationary conditions given by:</w:t>
      </w:r>
    </w:p>
    <w:p w14:paraId="48668ED4" w14:textId="77777777" w:rsidR="00D32720" w:rsidRDefault="00D32720" w:rsidP="00D32720">
      <w:pPr>
        <w:pStyle w:val="CETBodytext"/>
        <w:spacing w:before="240" w:after="240"/>
        <w:ind w:left="567"/>
        <w:rPr>
          <w:lang w:val="en-GB"/>
        </w:rPr>
      </w:pPr>
      <m:oMathPara>
        <m:oMathParaPr>
          <m:jc m:val="left"/>
        </m:oMathParaPr>
        <m:oMath>
          <m:r>
            <w:rPr>
              <w:rFonts w:ascii="Cambria Math" w:hAnsi="Cambria Math"/>
              <w:lang w:val="en-GB"/>
            </w:rPr>
            <m:t>f</m:t>
          </m:r>
          <m:d>
            <m:dPr>
              <m:ctrlPr>
                <w:rPr>
                  <w:rFonts w:ascii="Cambria Math" w:hAnsi="Cambria Math"/>
                  <w:i/>
                  <w:lang w:val="en-GB"/>
                </w:rPr>
              </m:ctrlPr>
            </m:dPr>
            <m:e>
              <m:r>
                <w:rPr>
                  <w:rFonts w:ascii="Cambria Math" w:hAnsi="Cambria Math"/>
                  <w:lang w:val="en-GB"/>
                </w:rPr>
                <m:t>u,v,</m:t>
              </m:r>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x</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x</m:t>
                  </m:r>
                </m:sub>
              </m:sSub>
            </m:e>
          </m:d>
          <m:r>
            <w:rPr>
              <w:rFonts w:ascii="Cambria Math" w:hAnsi="Cambria Math"/>
              <w:lang w:val="en-GB"/>
            </w:rPr>
            <m:t>+</m:t>
          </m:r>
          <m:f>
            <m:fPr>
              <m:ctrlPr>
                <w:rPr>
                  <w:rFonts w:ascii="Cambria Math" w:hAnsi="Cambria Math"/>
                  <w:i/>
                  <w:lang w:val="en-GB"/>
                </w:rPr>
              </m:ctrlPr>
            </m:fPr>
            <m:num>
              <m:r>
                <w:rPr>
                  <w:rFonts w:ascii="Cambria Math" w:hAnsi="Cambria Math"/>
                  <w:lang w:val="en-GB"/>
                </w:rPr>
                <m:t>∂λ</m:t>
              </m:r>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1</m:t>
                  </m:r>
                </m:sub>
              </m:sSub>
            </m:den>
          </m:f>
          <m:r>
            <w:rPr>
              <w:rFonts w:ascii="Cambria Math" w:hAnsi="Cambria Math"/>
              <w:lang w:val="en-GB"/>
            </w:rPr>
            <m:t>=0                                                                                                                                                          (8)</m:t>
          </m:r>
        </m:oMath>
      </m:oMathPara>
    </w:p>
    <w:p w14:paraId="21823B13" w14:textId="21FA4DE2" w:rsidR="00D32720" w:rsidRDefault="00D32720" w:rsidP="00D32720">
      <w:pPr>
        <w:pStyle w:val="CETBodytext"/>
        <w:spacing w:before="240" w:after="240"/>
        <w:ind w:left="567"/>
        <w:rPr>
          <w:lang w:val="en-GB"/>
        </w:rPr>
      </w:pPr>
      <m:oMathPara>
        <m:oMathParaPr>
          <m:jc m:val="left"/>
        </m:oMathParaPr>
        <m:oMath>
          <m:r>
            <w:rPr>
              <w:rFonts w:ascii="Cambria Math" w:hAnsi="Cambria Math"/>
              <w:lang w:val="en-GB"/>
            </w:rPr>
            <m:t>g</m:t>
          </m:r>
          <m:d>
            <m:dPr>
              <m:ctrlPr>
                <w:rPr>
                  <w:rFonts w:ascii="Cambria Math" w:hAnsi="Cambria Math"/>
                  <w:i/>
                  <w:lang w:val="en-GB"/>
                </w:rPr>
              </m:ctrlPr>
            </m:dPr>
            <m:e>
              <m:r>
                <w:rPr>
                  <w:rFonts w:ascii="Cambria Math" w:hAnsi="Cambria Math"/>
                  <w:lang w:val="en-GB"/>
                </w:rPr>
                <m:t>u,v,</m:t>
              </m:r>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x</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x</m:t>
                  </m:r>
                </m:sub>
              </m:sSub>
            </m:e>
          </m:d>
          <m:r>
            <w:rPr>
              <w:rFonts w:ascii="Cambria Math" w:hAnsi="Cambria Math"/>
              <w:lang w:val="en-GB"/>
            </w:rPr>
            <m:t>+</m:t>
          </m:r>
          <m:f>
            <m:fPr>
              <m:ctrlPr>
                <w:rPr>
                  <w:rFonts w:ascii="Cambria Math" w:hAnsi="Cambria Math"/>
                  <w:i/>
                  <w:lang w:val="en-GB"/>
                </w:rPr>
              </m:ctrlPr>
            </m:fPr>
            <m:num>
              <m:r>
                <w:rPr>
                  <w:rFonts w:ascii="Cambria Math" w:hAnsi="Cambria Math"/>
                  <w:lang w:val="en-GB"/>
                </w:rPr>
                <m:t>∂λ</m:t>
              </m:r>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2</m:t>
                  </m:r>
                </m:sub>
              </m:sSub>
            </m:den>
          </m:f>
          <m:r>
            <w:rPr>
              <w:rFonts w:ascii="Cambria Math" w:hAnsi="Cambria Math"/>
              <w:lang w:val="en-GB"/>
            </w:rPr>
            <m:t>=0                                                                                                                                                         (9)</m:t>
          </m:r>
        </m:oMath>
      </m:oMathPara>
    </w:p>
    <w:p w14:paraId="1C211C80" w14:textId="77777777" w:rsidR="00D32720" w:rsidRDefault="00D32720" w:rsidP="00D32720">
      <w:pPr>
        <w:pStyle w:val="CETBodytext"/>
        <w:spacing w:before="240" w:after="240"/>
        <w:ind w:left="567"/>
        <w:rPr>
          <w:lang w:val="en-GB"/>
        </w:rPr>
      </w:pPr>
      <m:oMathPara>
        <m:oMathParaPr>
          <m:jc m:val="left"/>
        </m:oMathParaPr>
        <m:oMath>
          <m:r>
            <w:rPr>
              <w:rFonts w:ascii="Cambria Math" w:hAnsi="Cambria Math"/>
              <w:lang w:val="en-GB"/>
            </w:rPr>
            <m:t>α∙</m:t>
          </m:r>
          <m:d>
            <m:dPr>
              <m:begChr m:val="["/>
              <m:endChr m:val="]"/>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∂f</m:t>
                  </m:r>
                </m:num>
                <m:den>
                  <m:r>
                    <w:rPr>
                      <w:rFonts w:ascii="Cambria Math" w:hAnsi="Cambria Math"/>
                      <w:lang w:val="en-GB"/>
                    </w:rPr>
                    <m:t>∂u</m:t>
                  </m:r>
                </m:den>
              </m:f>
              <m:r>
                <w:rPr>
                  <w:rFonts w:ascii="Cambria Math" w:hAnsi="Cambria Math"/>
                  <w:lang w:val="en-GB"/>
                </w:rPr>
                <m:t>-</m:t>
              </m:r>
              <m:f>
                <m:fPr>
                  <m:ctrlPr>
                    <w:rPr>
                      <w:rFonts w:ascii="Cambria Math" w:hAnsi="Cambria Math"/>
                      <w:i/>
                      <w:lang w:val="en-GB"/>
                    </w:rPr>
                  </m:ctrlPr>
                </m:fPr>
                <m:num>
                  <m:r>
                    <w:rPr>
                      <w:rFonts w:ascii="Cambria Math" w:hAnsi="Cambria Math"/>
                      <w:lang w:val="en-GB"/>
                    </w:rPr>
                    <m:t>∂</m:t>
                  </m:r>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1</m:t>
                      </m:r>
                    </m:sub>
                  </m:sSub>
                </m:den>
              </m:f>
              <m:d>
                <m:dPr>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∂f</m:t>
                      </m:r>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u</m:t>
                          </m:r>
                        </m:e>
                        <m:sub>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1</m:t>
                              </m:r>
                            </m:sub>
                          </m:sSub>
                        </m:sub>
                      </m:sSub>
                    </m:den>
                  </m:f>
                </m:e>
              </m:d>
              <m:r>
                <w:rPr>
                  <w:rFonts w:ascii="Cambria Math" w:hAnsi="Cambria Math"/>
                  <w:lang w:val="en-GB"/>
                </w:rPr>
                <m:t>-</m:t>
              </m:r>
              <m:f>
                <m:fPr>
                  <m:ctrlPr>
                    <w:rPr>
                      <w:rFonts w:ascii="Cambria Math" w:hAnsi="Cambria Math"/>
                      <w:i/>
                      <w:lang w:val="en-GB"/>
                    </w:rPr>
                  </m:ctrlPr>
                </m:fPr>
                <m:num>
                  <m:r>
                    <w:rPr>
                      <w:rFonts w:ascii="Cambria Math" w:hAnsi="Cambria Math"/>
                      <w:lang w:val="en-GB"/>
                    </w:rPr>
                    <m:t>∂</m:t>
                  </m:r>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2</m:t>
                      </m:r>
                    </m:sub>
                  </m:sSub>
                </m:den>
              </m:f>
              <m:d>
                <m:dPr>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∂f</m:t>
                      </m:r>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u</m:t>
                          </m:r>
                        </m:e>
                        <m:sub>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2</m:t>
                              </m:r>
                            </m:sub>
                          </m:sSub>
                        </m:sub>
                      </m:sSub>
                    </m:den>
                  </m:f>
                </m:e>
              </m:d>
            </m:e>
          </m:d>
          <m:r>
            <w:rPr>
              <w:rFonts w:ascii="Cambria Math" w:hAnsi="Cambria Math"/>
              <w:lang w:val="en-GB"/>
            </w:rPr>
            <m:t>+β∙</m:t>
          </m:r>
          <m:d>
            <m:dPr>
              <m:begChr m:val="["/>
              <m:endChr m:val="]"/>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∂g</m:t>
                  </m:r>
                </m:num>
                <m:den>
                  <m:r>
                    <w:rPr>
                      <w:rFonts w:ascii="Cambria Math" w:hAnsi="Cambria Math"/>
                      <w:lang w:val="en-GB"/>
                    </w:rPr>
                    <m:t>∂u</m:t>
                  </m:r>
                </m:den>
              </m:f>
              <m:r>
                <w:rPr>
                  <w:rFonts w:ascii="Cambria Math" w:hAnsi="Cambria Math"/>
                  <w:lang w:val="en-GB"/>
                </w:rPr>
                <m:t>-</m:t>
              </m:r>
              <m:f>
                <m:fPr>
                  <m:ctrlPr>
                    <w:rPr>
                      <w:rFonts w:ascii="Cambria Math" w:hAnsi="Cambria Math"/>
                      <w:i/>
                      <w:lang w:val="en-GB"/>
                    </w:rPr>
                  </m:ctrlPr>
                </m:fPr>
                <m:num>
                  <m:r>
                    <w:rPr>
                      <w:rFonts w:ascii="Cambria Math" w:hAnsi="Cambria Math"/>
                      <w:lang w:val="en-GB"/>
                    </w:rPr>
                    <m:t>∂</m:t>
                  </m:r>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1</m:t>
                      </m:r>
                    </m:sub>
                  </m:sSub>
                </m:den>
              </m:f>
              <m:d>
                <m:dPr>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∂g</m:t>
                      </m:r>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u</m:t>
                          </m:r>
                        </m:e>
                        <m:sub>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1</m:t>
                              </m:r>
                            </m:sub>
                          </m:sSub>
                        </m:sub>
                      </m:sSub>
                    </m:den>
                  </m:f>
                </m:e>
              </m:d>
              <m:r>
                <w:rPr>
                  <w:rFonts w:ascii="Cambria Math" w:hAnsi="Cambria Math"/>
                  <w:lang w:val="en-GB"/>
                </w:rPr>
                <m:t>-</m:t>
              </m:r>
              <m:f>
                <m:fPr>
                  <m:ctrlPr>
                    <w:rPr>
                      <w:rFonts w:ascii="Cambria Math" w:hAnsi="Cambria Math"/>
                      <w:i/>
                      <w:lang w:val="en-GB"/>
                    </w:rPr>
                  </m:ctrlPr>
                </m:fPr>
                <m:num>
                  <m:r>
                    <w:rPr>
                      <w:rFonts w:ascii="Cambria Math" w:hAnsi="Cambria Math"/>
                      <w:lang w:val="en-GB"/>
                    </w:rPr>
                    <m:t>∂</m:t>
                  </m:r>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2</m:t>
                      </m:r>
                    </m:sub>
                  </m:sSub>
                </m:den>
              </m:f>
              <m:d>
                <m:dPr>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∂g</m:t>
                      </m:r>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u</m:t>
                          </m:r>
                        </m:e>
                        <m:sub>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2</m:t>
                              </m:r>
                            </m:sub>
                          </m:sSub>
                        </m:sub>
                      </m:sSub>
                    </m:den>
                  </m:f>
                </m:e>
              </m:d>
            </m:e>
          </m:d>
          <m:r>
            <w:rPr>
              <w:rFonts w:ascii="Cambria Math" w:hAnsi="Cambria Math"/>
              <w:lang w:val="en-GB"/>
            </w:rPr>
            <m:t>+</m:t>
          </m:r>
          <m:f>
            <m:fPr>
              <m:ctrlPr>
                <w:rPr>
                  <w:rFonts w:ascii="Cambria Math" w:hAnsi="Cambria Math"/>
                  <w:i/>
                  <w:lang w:val="en-GB"/>
                </w:rPr>
              </m:ctrlPr>
            </m:fPr>
            <m:num>
              <m:r>
                <w:rPr>
                  <w:rFonts w:ascii="Cambria Math" w:hAnsi="Cambria Math"/>
                  <w:lang w:val="en-GB"/>
                </w:rPr>
                <m:t>∂ξ</m:t>
              </m:r>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1</m:t>
                  </m:r>
                </m:sub>
              </m:sSub>
            </m:den>
          </m:f>
          <m:r>
            <w:rPr>
              <w:rFonts w:ascii="Cambria Math" w:hAnsi="Cambria Math"/>
              <w:lang w:val="en-GB"/>
            </w:rPr>
            <m:t>=0                                (10)</m:t>
          </m:r>
        </m:oMath>
      </m:oMathPara>
    </w:p>
    <w:p w14:paraId="3D4F10C0" w14:textId="77777777" w:rsidR="00D32720" w:rsidRDefault="00D32720" w:rsidP="00D32720">
      <w:pPr>
        <w:pStyle w:val="CETBodytext"/>
        <w:spacing w:before="240" w:after="240"/>
        <w:ind w:left="567"/>
        <w:rPr>
          <w:lang w:val="en-GB"/>
        </w:rPr>
      </w:pPr>
      <m:oMathPara>
        <m:oMathParaPr>
          <m:jc m:val="left"/>
        </m:oMathParaPr>
        <m:oMath>
          <m:r>
            <w:rPr>
              <w:rFonts w:ascii="Cambria Math" w:hAnsi="Cambria Math"/>
              <w:lang w:val="en-GB"/>
            </w:rPr>
            <m:t>α∙</m:t>
          </m:r>
          <m:d>
            <m:dPr>
              <m:begChr m:val="["/>
              <m:endChr m:val="]"/>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∂f</m:t>
                  </m:r>
                </m:num>
                <m:den>
                  <m:r>
                    <w:rPr>
                      <w:rFonts w:ascii="Cambria Math" w:hAnsi="Cambria Math"/>
                      <w:lang w:val="en-GB"/>
                    </w:rPr>
                    <m:t>∂v</m:t>
                  </m:r>
                </m:den>
              </m:f>
              <m:r>
                <w:rPr>
                  <w:rFonts w:ascii="Cambria Math" w:hAnsi="Cambria Math"/>
                  <w:lang w:val="en-GB"/>
                </w:rPr>
                <m:t>-</m:t>
              </m:r>
              <m:f>
                <m:fPr>
                  <m:ctrlPr>
                    <w:rPr>
                      <w:rFonts w:ascii="Cambria Math" w:hAnsi="Cambria Math"/>
                      <w:i/>
                      <w:lang w:val="en-GB"/>
                    </w:rPr>
                  </m:ctrlPr>
                </m:fPr>
                <m:num>
                  <m:r>
                    <w:rPr>
                      <w:rFonts w:ascii="Cambria Math" w:hAnsi="Cambria Math"/>
                      <w:lang w:val="en-GB"/>
                    </w:rPr>
                    <m:t>∂</m:t>
                  </m:r>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1</m:t>
                      </m:r>
                    </m:sub>
                  </m:sSub>
                </m:den>
              </m:f>
              <m:d>
                <m:dPr>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∂f</m:t>
                      </m:r>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v</m:t>
                          </m:r>
                        </m:e>
                        <m:sub>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1</m:t>
                              </m:r>
                            </m:sub>
                          </m:sSub>
                        </m:sub>
                      </m:sSub>
                    </m:den>
                  </m:f>
                </m:e>
              </m:d>
              <m:r>
                <w:rPr>
                  <w:rFonts w:ascii="Cambria Math" w:hAnsi="Cambria Math"/>
                  <w:lang w:val="en-GB"/>
                </w:rPr>
                <m:t>-</m:t>
              </m:r>
              <m:f>
                <m:fPr>
                  <m:ctrlPr>
                    <w:rPr>
                      <w:rFonts w:ascii="Cambria Math" w:hAnsi="Cambria Math"/>
                      <w:i/>
                      <w:lang w:val="en-GB"/>
                    </w:rPr>
                  </m:ctrlPr>
                </m:fPr>
                <m:num>
                  <m:r>
                    <w:rPr>
                      <w:rFonts w:ascii="Cambria Math" w:hAnsi="Cambria Math"/>
                      <w:lang w:val="en-GB"/>
                    </w:rPr>
                    <m:t>∂</m:t>
                  </m:r>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2</m:t>
                      </m:r>
                    </m:sub>
                  </m:sSub>
                </m:den>
              </m:f>
              <m:d>
                <m:dPr>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∂f</m:t>
                      </m:r>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v</m:t>
                          </m:r>
                        </m:e>
                        <m:sub>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2</m:t>
                              </m:r>
                            </m:sub>
                          </m:sSub>
                        </m:sub>
                      </m:sSub>
                    </m:den>
                  </m:f>
                </m:e>
              </m:d>
            </m:e>
          </m:d>
          <m:r>
            <w:rPr>
              <w:rFonts w:ascii="Cambria Math" w:hAnsi="Cambria Math"/>
              <w:lang w:val="en-GB"/>
            </w:rPr>
            <m:t>+β∙</m:t>
          </m:r>
          <m:d>
            <m:dPr>
              <m:begChr m:val="["/>
              <m:endChr m:val="]"/>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∂g</m:t>
                  </m:r>
                </m:num>
                <m:den>
                  <m:r>
                    <w:rPr>
                      <w:rFonts w:ascii="Cambria Math" w:hAnsi="Cambria Math"/>
                      <w:lang w:val="en-GB"/>
                    </w:rPr>
                    <m:t>∂v</m:t>
                  </m:r>
                </m:den>
              </m:f>
              <m:r>
                <w:rPr>
                  <w:rFonts w:ascii="Cambria Math" w:hAnsi="Cambria Math"/>
                  <w:lang w:val="en-GB"/>
                </w:rPr>
                <m:t>-</m:t>
              </m:r>
              <m:f>
                <m:fPr>
                  <m:ctrlPr>
                    <w:rPr>
                      <w:rFonts w:ascii="Cambria Math" w:hAnsi="Cambria Math"/>
                      <w:i/>
                      <w:lang w:val="en-GB"/>
                    </w:rPr>
                  </m:ctrlPr>
                </m:fPr>
                <m:num>
                  <m:r>
                    <w:rPr>
                      <w:rFonts w:ascii="Cambria Math" w:hAnsi="Cambria Math"/>
                      <w:lang w:val="en-GB"/>
                    </w:rPr>
                    <m:t>∂</m:t>
                  </m:r>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1</m:t>
                      </m:r>
                    </m:sub>
                  </m:sSub>
                </m:den>
              </m:f>
              <m:d>
                <m:dPr>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∂g</m:t>
                      </m:r>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v</m:t>
                          </m:r>
                        </m:e>
                        <m:sub>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1</m:t>
                              </m:r>
                            </m:sub>
                          </m:sSub>
                        </m:sub>
                      </m:sSub>
                    </m:den>
                  </m:f>
                </m:e>
              </m:d>
              <m:r>
                <w:rPr>
                  <w:rFonts w:ascii="Cambria Math" w:hAnsi="Cambria Math"/>
                  <w:lang w:val="en-GB"/>
                </w:rPr>
                <m:t>-</m:t>
              </m:r>
              <m:f>
                <m:fPr>
                  <m:ctrlPr>
                    <w:rPr>
                      <w:rFonts w:ascii="Cambria Math" w:hAnsi="Cambria Math"/>
                      <w:i/>
                      <w:lang w:val="en-GB"/>
                    </w:rPr>
                  </m:ctrlPr>
                </m:fPr>
                <m:num>
                  <m:r>
                    <w:rPr>
                      <w:rFonts w:ascii="Cambria Math" w:hAnsi="Cambria Math"/>
                      <w:lang w:val="en-GB"/>
                    </w:rPr>
                    <m:t>∂</m:t>
                  </m:r>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2</m:t>
                      </m:r>
                    </m:sub>
                  </m:sSub>
                </m:den>
              </m:f>
              <m:d>
                <m:dPr>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∂g</m:t>
                      </m:r>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v</m:t>
                          </m:r>
                        </m:e>
                        <m:sub>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2</m:t>
                              </m:r>
                            </m:sub>
                          </m:sSub>
                        </m:sub>
                      </m:sSub>
                    </m:den>
                  </m:f>
                </m:e>
              </m:d>
            </m:e>
          </m:d>
          <m:r>
            <w:rPr>
              <w:rFonts w:ascii="Cambria Math" w:hAnsi="Cambria Math"/>
              <w:lang w:val="en-GB"/>
            </w:rPr>
            <m:t>+</m:t>
          </m:r>
          <m:f>
            <m:fPr>
              <m:ctrlPr>
                <w:rPr>
                  <w:rFonts w:ascii="Cambria Math" w:hAnsi="Cambria Math"/>
                  <w:i/>
                  <w:lang w:val="en-GB"/>
                </w:rPr>
              </m:ctrlPr>
            </m:fPr>
            <m:num>
              <m:r>
                <w:rPr>
                  <w:rFonts w:ascii="Cambria Math" w:hAnsi="Cambria Math"/>
                  <w:lang w:val="en-GB"/>
                </w:rPr>
                <m:t>∂ξ</m:t>
              </m:r>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2</m:t>
                  </m:r>
                </m:sub>
              </m:sSub>
            </m:den>
          </m:f>
          <m:r>
            <w:rPr>
              <w:rFonts w:ascii="Cambria Math" w:hAnsi="Cambria Math"/>
              <w:lang w:val="en-GB"/>
            </w:rPr>
            <m:t>=0                                  (11)</m:t>
          </m:r>
        </m:oMath>
      </m:oMathPara>
    </w:p>
    <w:p w14:paraId="1D425CB6" w14:textId="7CF2CBF9" w:rsidR="00D32720" w:rsidRDefault="00D32720" w:rsidP="00D32720">
      <w:pPr>
        <w:pStyle w:val="CETBodytext"/>
        <w:spacing w:before="240" w:after="240"/>
        <w:rPr>
          <w:lang w:val="en-GB"/>
        </w:rPr>
      </w:pPr>
      <w:r>
        <w:rPr>
          <w:lang w:val="en-GB"/>
        </w:rPr>
        <w:t>Also, consider that the boundary conditions for this problem are chosen so that the set of equations (8)</w:t>
      </w:r>
      <w:r>
        <w:rPr>
          <w:lang w:val="en-GB"/>
        </w:rPr>
        <w:sym w:font="Symbol" w:char="F02D"/>
      </w:r>
      <w:r w:rsidR="000F42B7">
        <w:rPr>
          <w:lang w:val="en-GB"/>
        </w:rPr>
        <w:t>(11) has</w:t>
      </w:r>
      <w:r>
        <w:rPr>
          <w:lang w:val="en-GB"/>
        </w:rPr>
        <w:t xml:space="preserve"> the solution </w:t>
      </w:r>
      <m:oMath>
        <m:r>
          <w:rPr>
            <w:rFonts w:ascii="Cambria Math" w:hAnsi="Cambria Math"/>
            <w:lang w:val="en-GB"/>
          </w:rPr>
          <m:t>α(</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2</m:t>
            </m:r>
          </m:sub>
        </m:sSub>
        <m:r>
          <w:rPr>
            <w:rFonts w:ascii="Cambria Math" w:hAnsi="Cambria Math"/>
            <w:lang w:val="en-GB"/>
          </w:rPr>
          <m:t>)=0</m:t>
        </m:r>
      </m:oMath>
      <w:r>
        <w:rPr>
          <w:lang w:val="en-GB"/>
        </w:rPr>
        <w:t xml:space="preserve"> and </w:t>
      </w:r>
      <m:oMath>
        <m:r>
          <w:rPr>
            <w:rFonts w:ascii="Cambria Math" w:hAnsi="Cambria Math"/>
            <w:lang w:val="en-GB"/>
          </w:rPr>
          <m:t>β(</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2</m:t>
            </m:r>
          </m:sub>
        </m:sSub>
        <m:r>
          <w:rPr>
            <w:rFonts w:ascii="Cambria Math" w:hAnsi="Cambria Math"/>
            <w:lang w:val="en-GB"/>
          </w:rPr>
          <m:t>)=0</m:t>
        </m:r>
      </m:oMath>
      <w:r>
        <w:rPr>
          <w:lang w:val="en-GB"/>
        </w:rPr>
        <w:t xml:space="preserve">, while </w:t>
      </w:r>
      <m:oMath>
        <m:r>
          <w:rPr>
            <w:rFonts w:ascii="Cambria Math" w:hAnsi="Cambria Math"/>
            <w:lang w:val="en-GB"/>
          </w:rPr>
          <m:t>u(</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2</m:t>
            </m:r>
          </m:sub>
        </m:sSub>
        <m:r>
          <w:rPr>
            <w:rFonts w:ascii="Cambria Math" w:hAnsi="Cambria Math"/>
            <w:lang w:val="en-GB"/>
          </w:rPr>
          <m:t>)</m:t>
        </m:r>
      </m:oMath>
      <w:r>
        <w:rPr>
          <w:lang w:val="en-GB"/>
        </w:rPr>
        <w:t xml:space="preserve"> and </w:t>
      </w:r>
      <m:oMath>
        <m:r>
          <w:rPr>
            <w:rFonts w:ascii="Cambria Math" w:hAnsi="Cambria Math"/>
            <w:lang w:val="en-GB"/>
          </w:rPr>
          <m:t>v(</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2</m:t>
            </m:r>
          </m:sub>
        </m:sSub>
        <m:r>
          <w:rPr>
            <w:rFonts w:ascii="Cambria Math" w:hAnsi="Cambria Math"/>
            <w:lang w:val="en-GB"/>
          </w:rPr>
          <m:t>)</m:t>
        </m:r>
      </m:oMath>
      <w:r>
        <w:rPr>
          <w:lang w:val="en-GB"/>
        </w:rPr>
        <w:t xml:space="preserve"> have nontrivial solutions.</w:t>
      </w:r>
    </w:p>
    <w:p w14:paraId="15EB661F" w14:textId="77777777" w:rsidR="00D32720" w:rsidRDefault="00D32720" w:rsidP="00D32720">
      <w:pPr>
        <w:pStyle w:val="CETBodytext"/>
        <w:spacing w:before="240" w:after="240"/>
        <w:rPr>
          <w:lang w:val="en-GB"/>
        </w:rPr>
      </w:pPr>
      <w:r>
        <w:rPr>
          <w:lang w:val="en-GB"/>
        </w:rPr>
        <w:t>Now, consider the following change of variables:</w:t>
      </w:r>
    </w:p>
    <w:p w14:paraId="02B968FD" w14:textId="77777777" w:rsidR="00D32720" w:rsidRPr="001A0786" w:rsidRDefault="00D32720" w:rsidP="00D32720">
      <w:pPr>
        <w:pStyle w:val="CETBodytext"/>
        <w:spacing w:before="240" w:after="240"/>
        <w:ind w:left="567"/>
        <w:rPr>
          <w:lang w:val="en-GB"/>
        </w:rPr>
      </w:pPr>
      <m:oMathPara>
        <m:oMathParaPr>
          <m:jc m:val="left"/>
        </m:oMathParaPr>
        <m:oMath>
          <m:r>
            <w:rPr>
              <w:rFonts w:ascii="Cambria Math" w:hAnsi="Cambria Math"/>
              <w:lang w:val="en-GB"/>
            </w:rPr>
            <m:t>α=</m:t>
          </m:r>
          <m:f>
            <m:fPr>
              <m:ctrlPr>
                <w:rPr>
                  <w:rFonts w:ascii="Cambria Math" w:hAnsi="Cambria Math"/>
                  <w:i/>
                  <w:lang w:val="en-GB"/>
                </w:rPr>
              </m:ctrlPr>
            </m:fPr>
            <m:num>
              <m:r>
                <w:rPr>
                  <w:rFonts w:ascii="Cambria Math" w:hAnsi="Cambria Math"/>
                  <w:lang w:val="en-GB"/>
                </w:rPr>
                <m:t>1</m:t>
              </m:r>
            </m:num>
            <m:den>
              <m:r>
                <w:rPr>
                  <w:rFonts w:ascii="Cambria Math" w:hAnsi="Cambria Math"/>
                  <w:lang w:val="en-GB"/>
                </w:rPr>
                <m:t>2</m:t>
              </m:r>
            </m:den>
          </m:f>
          <m:r>
            <w:rPr>
              <w:rFonts w:ascii="Cambria Math" w:hAnsi="Cambria Math"/>
              <w:lang w:val="en-GB"/>
            </w:rPr>
            <m:t>∙</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2</m:t>
                  </m:r>
                </m:sub>
              </m:sSub>
            </m:e>
          </m:d>
          <m:r>
            <w:rPr>
              <w:rFonts w:ascii="Cambria Math" w:hAnsi="Cambria Math"/>
              <w:lang w:val="en-GB"/>
            </w:rPr>
            <m:t xml:space="preserve">                                                                                                                                                                     (12)</m:t>
          </m:r>
        </m:oMath>
      </m:oMathPara>
    </w:p>
    <w:p w14:paraId="1DFD6E74" w14:textId="77777777" w:rsidR="00D32720" w:rsidRDefault="00D32720" w:rsidP="00D32720">
      <w:pPr>
        <w:pStyle w:val="CETBodytext"/>
        <w:spacing w:before="240" w:after="240"/>
        <w:ind w:left="567"/>
        <w:rPr>
          <w:lang w:val="en-GB"/>
        </w:rPr>
      </w:pPr>
      <m:oMathPara>
        <m:oMath>
          <m:r>
            <w:rPr>
              <w:rFonts w:ascii="Cambria Math" w:hAnsi="Cambria Math"/>
              <w:lang w:val="en-GB"/>
            </w:rPr>
            <m:t>β=</m:t>
          </m:r>
          <m:f>
            <m:fPr>
              <m:ctrlPr>
                <w:rPr>
                  <w:rFonts w:ascii="Cambria Math" w:hAnsi="Cambria Math"/>
                  <w:i/>
                  <w:lang w:val="en-GB"/>
                </w:rPr>
              </m:ctrlPr>
            </m:fPr>
            <m:num>
              <m:r>
                <w:rPr>
                  <w:rFonts w:ascii="Cambria Math" w:hAnsi="Cambria Math"/>
                  <w:lang w:val="en-GB"/>
                </w:rPr>
                <m:t>1</m:t>
              </m:r>
            </m:num>
            <m:den>
              <m:r>
                <w:rPr>
                  <w:rFonts w:ascii="Cambria Math" w:hAnsi="Cambria Math"/>
                  <w:lang w:val="en-GB"/>
                </w:rPr>
                <m:t>2</m:t>
              </m:r>
            </m:den>
          </m:f>
          <m:r>
            <w:rPr>
              <w:rFonts w:ascii="Cambria Math" w:hAnsi="Cambria Math"/>
              <w:lang w:val="en-GB"/>
            </w:rPr>
            <m:t>∙</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2</m:t>
                  </m:r>
                </m:sub>
              </m:sSub>
            </m:e>
          </m:d>
          <m:r>
            <w:rPr>
              <w:rFonts w:ascii="Cambria Math" w:hAnsi="Cambria Math"/>
              <w:lang w:val="en-GB"/>
            </w:rPr>
            <m:t xml:space="preserve">                                                                                                                                                                     (13)</m:t>
          </m:r>
        </m:oMath>
      </m:oMathPara>
    </w:p>
    <w:p w14:paraId="1E8328FE" w14:textId="77777777" w:rsidR="00D32720" w:rsidRDefault="00D32720" w:rsidP="00D32720">
      <w:pPr>
        <w:pStyle w:val="CETBodytext"/>
        <w:spacing w:before="240" w:after="240"/>
        <w:ind w:left="567"/>
        <w:rPr>
          <w:lang w:val="en-GB"/>
        </w:rPr>
      </w:pPr>
      <m:oMathPara>
        <m:oMath>
          <m:r>
            <w:rPr>
              <w:rFonts w:ascii="Cambria Math" w:hAnsi="Cambria Math"/>
              <w:lang w:val="en-GB"/>
            </w:rPr>
            <m:t>u=</m:t>
          </m:r>
          <m:f>
            <m:fPr>
              <m:ctrlPr>
                <w:rPr>
                  <w:rFonts w:ascii="Cambria Math" w:hAnsi="Cambria Math"/>
                  <w:i/>
                  <w:lang w:val="en-GB"/>
                </w:rPr>
              </m:ctrlPr>
            </m:fPr>
            <m:num>
              <m:r>
                <w:rPr>
                  <w:rFonts w:ascii="Cambria Math" w:hAnsi="Cambria Math"/>
                  <w:lang w:val="en-GB"/>
                </w:rPr>
                <m:t>1</m:t>
              </m:r>
            </m:num>
            <m:den>
              <m:r>
                <w:rPr>
                  <w:rFonts w:ascii="Cambria Math" w:hAnsi="Cambria Math"/>
                  <w:lang w:val="en-GB"/>
                </w:rPr>
                <m:t>2</m:t>
              </m:r>
            </m:den>
          </m:f>
          <m:r>
            <w:rPr>
              <w:rFonts w:ascii="Cambria Math" w:hAnsi="Cambria Math"/>
              <w:lang w:val="en-GB"/>
            </w:rPr>
            <m:t>∙</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2</m:t>
                  </m:r>
                </m:sub>
              </m:sSub>
            </m:e>
          </m:d>
          <m:r>
            <w:rPr>
              <w:rFonts w:ascii="Cambria Math" w:hAnsi="Cambria Math"/>
              <w:lang w:val="en-GB"/>
            </w:rPr>
            <m:t xml:space="preserve">                                                                                                                                                                     (14)</m:t>
          </m:r>
        </m:oMath>
      </m:oMathPara>
    </w:p>
    <w:p w14:paraId="28C86261" w14:textId="77777777" w:rsidR="00D32720" w:rsidRDefault="00D32720" w:rsidP="00D32720">
      <w:pPr>
        <w:pStyle w:val="CETBodytext"/>
        <w:spacing w:before="240" w:after="240"/>
        <w:ind w:left="567"/>
        <w:rPr>
          <w:lang w:val="en-GB"/>
        </w:rPr>
      </w:pPr>
      <m:oMathPara>
        <m:oMath>
          <m:r>
            <w:rPr>
              <w:rFonts w:ascii="Cambria Math" w:hAnsi="Cambria Math"/>
              <w:lang w:val="en-GB"/>
            </w:rPr>
            <m:t>v=</m:t>
          </m:r>
          <m:f>
            <m:fPr>
              <m:ctrlPr>
                <w:rPr>
                  <w:rFonts w:ascii="Cambria Math" w:hAnsi="Cambria Math"/>
                  <w:i/>
                  <w:lang w:val="en-GB"/>
                </w:rPr>
              </m:ctrlPr>
            </m:fPr>
            <m:num>
              <m:r>
                <w:rPr>
                  <w:rFonts w:ascii="Cambria Math" w:hAnsi="Cambria Math"/>
                  <w:lang w:val="en-GB"/>
                </w:rPr>
                <m:t>1</m:t>
              </m:r>
            </m:num>
            <m:den>
              <m:r>
                <w:rPr>
                  <w:rFonts w:ascii="Cambria Math" w:hAnsi="Cambria Math"/>
                  <w:lang w:val="en-GB"/>
                </w:rPr>
                <m:t>2</m:t>
              </m:r>
            </m:den>
          </m:f>
          <m:r>
            <w:rPr>
              <w:rFonts w:ascii="Cambria Math" w:hAnsi="Cambria Math"/>
              <w:lang w:val="en-GB"/>
            </w:rPr>
            <m:t>∙</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2</m:t>
                  </m:r>
                </m:sub>
              </m:sSub>
            </m:e>
          </m:d>
          <m:r>
            <w:rPr>
              <w:rFonts w:ascii="Cambria Math" w:hAnsi="Cambria Math"/>
              <w:lang w:val="en-GB"/>
            </w:rPr>
            <m:t xml:space="preserve">                                                                                                                                                                      (15)</m:t>
          </m:r>
        </m:oMath>
      </m:oMathPara>
    </w:p>
    <w:p w14:paraId="2A72EF5E" w14:textId="77777777" w:rsidR="00D32720" w:rsidRDefault="00D32720" w:rsidP="00D32720">
      <w:pPr>
        <w:pStyle w:val="CETBodytext"/>
        <w:spacing w:before="240" w:after="240"/>
        <w:rPr>
          <w:lang w:val="en-GB"/>
        </w:rPr>
      </w:pPr>
      <w:r>
        <w:rPr>
          <w:lang w:val="en-GB"/>
        </w:rPr>
        <w:lastRenderedPageBreak/>
        <w:t>Using Equations (6) and (7), it is possible to show that:</w:t>
      </w:r>
    </w:p>
    <w:p w14:paraId="1655B19B" w14:textId="77777777" w:rsidR="00D32720" w:rsidRDefault="00ED2F67" w:rsidP="00D32720">
      <w:pPr>
        <w:pStyle w:val="CETBodytext"/>
        <w:spacing w:before="240" w:after="240"/>
        <w:ind w:left="567"/>
        <w:rPr>
          <w:lang w:val="en-GB"/>
        </w:rPr>
      </w:pPr>
      <m:oMathPara>
        <m:oMathParaPr>
          <m:jc m:val="left"/>
        </m:oMathParaPr>
        <m:oMath>
          <m:f>
            <m:fPr>
              <m:ctrlPr>
                <w:rPr>
                  <w:rFonts w:ascii="Cambria Math" w:hAnsi="Cambria Math"/>
                  <w:i/>
                  <w:lang w:val="en-GB"/>
                </w:rPr>
              </m:ctrlPr>
            </m:fPr>
            <m:num>
              <m:r>
                <w:rPr>
                  <w:rFonts w:ascii="Cambria Math" w:hAnsi="Cambria Math"/>
                  <w:lang w:val="en-GB"/>
                </w:rPr>
                <m:t>∂</m:t>
              </m:r>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1</m:t>
                  </m:r>
                </m:sub>
              </m:sSub>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1</m:t>
                  </m:r>
                </m:sub>
              </m:sSub>
            </m:den>
          </m:f>
          <m:r>
            <w:rPr>
              <w:rFonts w:ascii="Cambria Math" w:hAnsi="Cambria Math"/>
              <w:lang w:val="en-GB"/>
            </w:rPr>
            <m:t>+</m:t>
          </m:r>
          <m:f>
            <m:fPr>
              <m:ctrlPr>
                <w:rPr>
                  <w:rFonts w:ascii="Cambria Math" w:hAnsi="Cambria Math"/>
                  <w:i/>
                  <w:lang w:val="en-GB"/>
                </w:rPr>
              </m:ctrlPr>
            </m:fPr>
            <m:num>
              <m:r>
                <w:rPr>
                  <w:rFonts w:ascii="Cambria Math" w:hAnsi="Cambria Math"/>
                  <w:lang w:val="en-GB"/>
                </w:rPr>
                <m:t>∂</m:t>
              </m:r>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1</m:t>
                  </m:r>
                </m:sub>
              </m:sSub>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2</m:t>
                  </m:r>
                </m:sub>
              </m:sSub>
            </m:den>
          </m:f>
          <m:r>
            <w:rPr>
              <w:rFonts w:ascii="Cambria Math" w:hAnsi="Cambria Math"/>
              <w:lang w:val="en-GB"/>
            </w:rPr>
            <m:t>=0                                                                                                                                                                          (16)</m:t>
          </m:r>
        </m:oMath>
      </m:oMathPara>
    </w:p>
    <w:p w14:paraId="708B5395" w14:textId="77777777" w:rsidR="00D32720" w:rsidRDefault="00ED2F67" w:rsidP="00D32720">
      <w:pPr>
        <w:pStyle w:val="CETBodytext"/>
        <w:spacing w:before="240" w:after="240"/>
        <w:ind w:left="567"/>
        <w:rPr>
          <w:lang w:val="en-GB"/>
        </w:rPr>
      </w:pPr>
      <m:oMathPara>
        <m:oMathParaPr>
          <m:jc m:val="left"/>
        </m:oMathParaPr>
        <m:oMath>
          <m:f>
            <m:fPr>
              <m:ctrlPr>
                <w:rPr>
                  <w:rFonts w:ascii="Cambria Math" w:hAnsi="Cambria Math"/>
                  <w:i/>
                  <w:lang w:val="en-GB"/>
                </w:rPr>
              </m:ctrlPr>
            </m:fPr>
            <m:num>
              <m:r>
                <w:rPr>
                  <w:rFonts w:ascii="Cambria Math" w:hAnsi="Cambria Math"/>
                  <w:lang w:val="en-GB"/>
                </w:rPr>
                <m:t>∂</m:t>
              </m:r>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2</m:t>
                  </m:r>
                </m:sub>
              </m:sSub>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1</m:t>
                  </m:r>
                </m:sub>
              </m:sSub>
            </m:den>
          </m:f>
          <m:r>
            <w:rPr>
              <w:rFonts w:ascii="Cambria Math" w:hAnsi="Cambria Math"/>
              <w:lang w:val="en-GB"/>
            </w:rPr>
            <m:t>+</m:t>
          </m:r>
          <m:f>
            <m:fPr>
              <m:ctrlPr>
                <w:rPr>
                  <w:rFonts w:ascii="Cambria Math" w:hAnsi="Cambria Math"/>
                  <w:i/>
                  <w:lang w:val="en-GB"/>
                </w:rPr>
              </m:ctrlPr>
            </m:fPr>
            <m:num>
              <m:r>
                <w:rPr>
                  <w:rFonts w:ascii="Cambria Math" w:hAnsi="Cambria Math"/>
                  <w:lang w:val="en-GB"/>
                </w:rPr>
                <m:t>∂</m:t>
              </m:r>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2</m:t>
                  </m:r>
                </m:sub>
              </m:sSub>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2</m:t>
                  </m:r>
                </m:sub>
              </m:sSub>
            </m:den>
          </m:f>
          <m:r>
            <w:rPr>
              <w:rFonts w:ascii="Cambria Math" w:hAnsi="Cambria Math"/>
              <w:lang w:val="en-GB"/>
            </w:rPr>
            <m:t>=0                                                                                                                                                                          (17)</m:t>
          </m:r>
        </m:oMath>
      </m:oMathPara>
    </w:p>
    <w:p w14:paraId="2C1277E3" w14:textId="77777777" w:rsidR="00D32720" w:rsidRDefault="00D32720" w:rsidP="00D32720">
      <w:pPr>
        <w:pStyle w:val="CETBodytext"/>
        <w:spacing w:before="240" w:after="240"/>
        <w:rPr>
          <w:lang w:val="en-GB"/>
        </w:rPr>
      </w:pPr>
      <w:r>
        <w:rPr>
          <w:lang w:val="en-GB"/>
        </w:rPr>
        <w:t xml:space="preserve">The functional given by Eq. (5) has a saddle point and it is known that in the stationary condition </w:t>
      </w:r>
      <m:oMath>
        <m:r>
          <w:rPr>
            <w:rFonts w:ascii="Cambria Math" w:hAnsi="Cambria Math"/>
            <w:lang w:val="en-GB"/>
          </w:rPr>
          <m:t>α(</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2</m:t>
            </m:r>
          </m:sub>
        </m:sSub>
        <m:r>
          <w:rPr>
            <w:rFonts w:ascii="Cambria Math" w:hAnsi="Cambria Math"/>
            <w:lang w:val="en-GB"/>
          </w:rPr>
          <m:t>)=0</m:t>
        </m:r>
      </m:oMath>
      <w:r>
        <w:rPr>
          <w:lang w:val="en-GB"/>
        </w:rPr>
        <w:t xml:space="preserve"> and </w:t>
      </w:r>
      <m:oMath>
        <m:r>
          <w:rPr>
            <w:rFonts w:ascii="Cambria Math" w:hAnsi="Cambria Math"/>
            <w:lang w:val="en-GB"/>
          </w:rPr>
          <m:t>β(</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2</m:t>
            </m:r>
          </m:sub>
        </m:sSub>
        <m:r>
          <w:rPr>
            <w:rFonts w:ascii="Cambria Math" w:hAnsi="Cambria Math"/>
            <w:lang w:val="en-GB"/>
          </w:rPr>
          <m:t>)=0</m:t>
        </m:r>
      </m:oMath>
      <w:r>
        <w:rPr>
          <w:lang w:val="en-GB"/>
        </w:rPr>
        <w:t>. By applying Equations (12)</w:t>
      </w:r>
      <w:r>
        <w:rPr>
          <w:lang w:val="en-GB"/>
        </w:rPr>
        <w:sym w:font="Symbol" w:char="F02D"/>
      </w:r>
      <w:r>
        <w:rPr>
          <w:lang w:val="en-GB"/>
        </w:rPr>
        <w:t>(15) in Equation (5):</w:t>
      </w:r>
    </w:p>
    <w:p w14:paraId="5B8E0393" w14:textId="77777777" w:rsidR="00D32720" w:rsidRDefault="00D32720" w:rsidP="00D32720">
      <w:pPr>
        <w:pStyle w:val="CETBodytext"/>
        <w:spacing w:before="240" w:after="240"/>
        <w:ind w:left="567"/>
        <w:rPr>
          <w:lang w:val="en-GB"/>
        </w:rPr>
      </w:pPr>
      <m:oMathPara>
        <m:oMathParaPr>
          <m:jc m:val="left"/>
        </m:oMathParaPr>
        <m:oMath>
          <m:r>
            <w:rPr>
              <w:rFonts w:ascii="Cambria Math" w:hAnsi="Cambria Math"/>
              <w:lang w:val="en-GB"/>
            </w:rPr>
            <m:t>I=</m:t>
          </m:r>
          <m:f>
            <m:fPr>
              <m:ctrlPr>
                <w:rPr>
                  <w:rFonts w:ascii="Cambria Math" w:hAnsi="Cambria Math"/>
                  <w:i/>
                  <w:lang w:val="en-GB"/>
                </w:rPr>
              </m:ctrlPr>
            </m:fPr>
            <m:num>
              <m:r>
                <w:rPr>
                  <w:rFonts w:ascii="Cambria Math" w:hAnsi="Cambria Math"/>
                  <w:lang w:val="en-GB"/>
                </w:rPr>
                <m:t>1</m:t>
              </m:r>
            </m:num>
            <m:den>
              <m:r>
                <w:rPr>
                  <w:rFonts w:ascii="Cambria Math" w:hAnsi="Cambria Math"/>
                  <w:lang w:val="en-GB"/>
                </w:rPr>
                <m:t>2</m:t>
              </m:r>
            </m:den>
          </m:f>
          <m:r>
            <w:rPr>
              <w:rFonts w:ascii="Cambria Math" w:hAnsi="Cambria Math"/>
              <w:lang w:val="en-GB"/>
            </w:rPr>
            <m:t>∙</m:t>
          </m:r>
          <m:nary>
            <m:naryPr>
              <m:chr m:val="∬"/>
              <m:limLoc m:val="undOvr"/>
              <m:subHide m:val="1"/>
              <m:supHide m:val="1"/>
              <m:ctrlPr>
                <w:rPr>
                  <w:rFonts w:ascii="Cambria Math" w:hAnsi="Cambria Math"/>
                  <w:i/>
                  <w:lang w:val="en-GB"/>
                </w:rPr>
              </m:ctrlPr>
            </m:naryPr>
            <m:sub/>
            <m:sup/>
            <m:e>
              <m:d>
                <m:dPr>
                  <m:begChr m:val="["/>
                  <m:endChr m:val=""/>
                  <m:ctrlPr>
                    <w:rPr>
                      <w:rFonts w:ascii="Cambria Math" w:hAnsi="Cambria Math"/>
                      <w:i/>
                      <w:lang w:val="en-GB"/>
                    </w:rPr>
                  </m:ctrlPr>
                </m:dPr>
                <m:e>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2</m:t>
                          </m:r>
                        </m:sub>
                      </m:sSub>
                    </m:e>
                  </m:d>
                  <m:r>
                    <w:rPr>
                      <w:rFonts w:ascii="Cambria Math" w:hAnsi="Cambria Math"/>
                      <w:lang w:val="en-GB"/>
                    </w:rPr>
                    <m:t>∙f</m:t>
                  </m:r>
                  <m:d>
                    <m:dPr>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1</m:t>
                          </m:r>
                        </m:num>
                        <m:den>
                          <m:r>
                            <w:rPr>
                              <w:rFonts w:ascii="Cambria Math" w:hAnsi="Cambria Math"/>
                              <w:lang w:val="en-GB"/>
                            </w:rPr>
                            <m:t>2</m:t>
                          </m:r>
                        </m:den>
                      </m:f>
                      <m:r>
                        <w:rPr>
                          <w:rFonts w:ascii="Cambria Math" w:hAnsi="Cambria Math"/>
                          <w:lang w:val="en-GB"/>
                        </w:rPr>
                        <m:t>∙</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2</m:t>
                              </m:r>
                            </m:sub>
                          </m:sSub>
                        </m:e>
                      </m:d>
                      <m:r>
                        <w:rPr>
                          <w:rFonts w:ascii="Cambria Math" w:hAnsi="Cambria Math"/>
                          <w:lang w:val="en-GB"/>
                        </w:rPr>
                        <m:t>,</m:t>
                      </m:r>
                      <m:f>
                        <m:fPr>
                          <m:ctrlPr>
                            <w:rPr>
                              <w:rFonts w:ascii="Cambria Math" w:hAnsi="Cambria Math"/>
                              <w:i/>
                              <w:lang w:val="en-GB"/>
                            </w:rPr>
                          </m:ctrlPr>
                        </m:fPr>
                        <m:num>
                          <m:r>
                            <w:rPr>
                              <w:rFonts w:ascii="Cambria Math" w:hAnsi="Cambria Math"/>
                              <w:lang w:val="en-GB"/>
                            </w:rPr>
                            <m:t>1</m:t>
                          </m:r>
                        </m:num>
                        <m:den>
                          <m:r>
                            <w:rPr>
                              <w:rFonts w:ascii="Cambria Math" w:hAnsi="Cambria Math"/>
                              <w:lang w:val="en-GB"/>
                            </w:rPr>
                            <m:t>2</m:t>
                          </m:r>
                        </m:den>
                      </m:f>
                      <m:r>
                        <w:rPr>
                          <w:rFonts w:ascii="Cambria Math" w:hAnsi="Cambria Math"/>
                          <w:lang w:val="en-GB"/>
                        </w:rPr>
                        <m:t>∙</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2</m:t>
                              </m:r>
                            </m:sub>
                          </m:sSub>
                        </m:e>
                      </m:d>
                      <m:r>
                        <w:rPr>
                          <w:rFonts w:ascii="Cambria Math" w:hAnsi="Cambria Math"/>
                          <w:lang w:val="en-GB"/>
                        </w:rPr>
                        <m:t>,</m:t>
                      </m:r>
                      <m:f>
                        <m:fPr>
                          <m:ctrlPr>
                            <w:rPr>
                              <w:rFonts w:ascii="Cambria Math" w:hAnsi="Cambria Math"/>
                              <w:i/>
                              <w:lang w:val="en-GB"/>
                            </w:rPr>
                          </m:ctrlPr>
                        </m:fPr>
                        <m:num>
                          <m:r>
                            <w:rPr>
                              <w:rFonts w:ascii="Cambria Math" w:hAnsi="Cambria Math"/>
                              <w:lang w:val="en-GB"/>
                            </w:rPr>
                            <m:t>1</m:t>
                          </m:r>
                        </m:num>
                        <m:den>
                          <m:r>
                            <w:rPr>
                              <w:rFonts w:ascii="Cambria Math" w:hAnsi="Cambria Math"/>
                              <w:lang w:val="en-GB"/>
                            </w:rPr>
                            <m:t>2</m:t>
                          </m:r>
                        </m:den>
                      </m:f>
                      <m:r>
                        <w:rPr>
                          <w:rFonts w:ascii="Cambria Math" w:hAnsi="Cambria Math"/>
                          <w:lang w:val="en-GB"/>
                        </w:rPr>
                        <m:t>∙</m:t>
                      </m:r>
                      <m:sSub>
                        <m:sSubPr>
                          <m:ctrlPr>
                            <w:rPr>
                              <w:rFonts w:ascii="Cambria Math" w:hAnsi="Cambria Math"/>
                              <w:i/>
                              <w:lang w:val="en-GB"/>
                            </w:rPr>
                          </m:ctrlPr>
                        </m:sSubPr>
                        <m:e>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2</m:t>
                                  </m:r>
                                </m:sub>
                              </m:sSub>
                            </m:e>
                          </m:d>
                        </m:e>
                        <m:sub>
                          <m:r>
                            <w:rPr>
                              <w:rFonts w:ascii="Cambria Math" w:hAnsi="Cambria Math"/>
                              <w:lang w:val="en-GB"/>
                            </w:rPr>
                            <m:t>x</m:t>
                          </m:r>
                        </m:sub>
                      </m:sSub>
                      <m:r>
                        <w:rPr>
                          <w:rFonts w:ascii="Cambria Math" w:hAnsi="Cambria Math"/>
                          <w:lang w:val="en-GB"/>
                        </w:rPr>
                        <m:t>,</m:t>
                      </m:r>
                      <m:f>
                        <m:fPr>
                          <m:ctrlPr>
                            <w:rPr>
                              <w:rFonts w:ascii="Cambria Math" w:hAnsi="Cambria Math"/>
                              <w:i/>
                              <w:lang w:val="en-GB"/>
                            </w:rPr>
                          </m:ctrlPr>
                        </m:fPr>
                        <m:num>
                          <m:r>
                            <w:rPr>
                              <w:rFonts w:ascii="Cambria Math" w:hAnsi="Cambria Math"/>
                              <w:lang w:val="en-GB"/>
                            </w:rPr>
                            <m:t>1</m:t>
                          </m:r>
                        </m:num>
                        <m:den>
                          <m:r>
                            <w:rPr>
                              <w:rFonts w:ascii="Cambria Math" w:hAnsi="Cambria Math"/>
                              <w:lang w:val="en-GB"/>
                            </w:rPr>
                            <m:t>2</m:t>
                          </m:r>
                        </m:den>
                      </m:f>
                      <m:r>
                        <w:rPr>
                          <w:rFonts w:ascii="Cambria Math" w:hAnsi="Cambria Math"/>
                          <w:lang w:val="en-GB"/>
                        </w:rPr>
                        <m:t>∙</m:t>
                      </m:r>
                      <m:sSub>
                        <m:sSubPr>
                          <m:ctrlPr>
                            <w:rPr>
                              <w:rFonts w:ascii="Cambria Math" w:hAnsi="Cambria Math"/>
                              <w:i/>
                              <w:lang w:val="en-GB"/>
                            </w:rPr>
                          </m:ctrlPr>
                        </m:sSubPr>
                        <m:e>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2</m:t>
                                  </m:r>
                                </m:sub>
                              </m:sSub>
                            </m:e>
                          </m:d>
                        </m:e>
                        <m:sub>
                          <m:r>
                            <w:rPr>
                              <w:rFonts w:ascii="Cambria Math" w:hAnsi="Cambria Math"/>
                              <w:lang w:val="en-GB"/>
                            </w:rPr>
                            <m:t>x</m:t>
                          </m:r>
                        </m:sub>
                      </m:sSub>
                    </m:e>
                  </m:d>
                </m:e>
              </m:d>
            </m:e>
          </m:nary>
        </m:oMath>
      </m:oMathPara>
    </w:p>
    <w:p w14:paraId="722BFC82" w14:textId="77777777" w:rsidR="00D32720" w:rsidRDefault="00ED2F67" w:rsidP="00D32720">
      <w:pPr>
        <w:pStyle w:val="CETBodytext"/>
        <w:spacing w:before="240" w:after="240"/>
        <w:ind w:left="567"/>
        <w:rPr>
          <w:lang w:val="en-GB"/>
        </w:rPr>
      </w:pPr>
      <m:oMathPara>
        <m:oMathParaPr>
          <m:jc m:val="left"/>
        </m:oMathParaPr>
        <m:oMath>
          <m:d>
            <m:dPr>
              <m:begChr m:val=""/>
              <m:endChr m:val="]"/>
              <m:ctrlPr>
                <w:rPr>
                  <w:rFonts w:ascii="Cambria Math" w:hAnsi="Cambria Math"/>
                  <w:i/>
                  <w:lang w:val="en-GB"/>
                </w:rPr>
              </m:ctrlPr>
            </m:dPr>
            <m:e>
              <m:r>
                <w:rPr>
                  <w:rFonts w:ascii="Cambria Math" w:hAnsi="Cambria Math"/>
                  <w:lang w:val="en-GB"/>
                </w:rPr>
                <m:t xml:space="preserve">        +</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2</m:t>
                      </m:r>
                    </m:sub>
                  </m:sSub>
                </m:e>
              </m:d>
              <m:r>
                <w:rPr>
                  <w:rFonts w:ascii="Cambria Math" w:hAnsi="Cambria Math"/>
                  <w:lang w:val="en-GB"/>
                </w:rPr>
                <m:t>∙g</m:t>
              </m:r>
              <m:d>
                <m:dPr>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1</m:t>
                      </m:r>
                    </m:num>
                    <m:den>
                      <m:r>
                        <w:rPr>
                          <w:rFonts w:ascii="Cambria Math" w:hAnsi="Cambria Math"/>
                          <w:lang w:val="en-GB"/>
                        </w:rPr>
                        <m:t>2</m:t>
                      </m:r>
                    </m:den>
                  </m:f>
                  <m:r>
                    <w:rPr>
                      <w:rFonts w:ascii="Cambria Math" w:hAnsi="Cambria Math"/>
                      <w:lang w:val="en-GB"/>
                    </w:rPr>
                    <m:t>∙</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2</m:t>
                          </m:r>
                        </m:sub>
                      </m:sSub>
                    </m:e>
                  </m:d>
                  <m:r>
                    <w:rPr>
                      <w:rFonts w:ascii="Cambria Math" w:hAnsi="Cambria Math"/>
                      <w:lang w:val="en-GB"/>
                    </w:rPr>
                    <m:t>,</m:t>
                  </m:r>
                  <m:f>
                    <m:fPr>
                      <m:ctrlPr>
                        <w:rPr>
                          <w:rFonts w:ascii="Cambria Math" w:hAnsi="Cambria Math"/>
                          <w:i/>
                          <w:lang w:val="en-GB"/>
                        </w:rPr>
                      </m:ctrlPr>
                    </m:fPr>
                    <m:num>
                      <m:r>
                        <w:rPr>
                          <w:rFonts w:ascii="Cambria Math" w:hAnsi="Cambria Math"/>
                          <w:lang w:val="en-GB"/>
                        </w:rPr>
                        <m:t>1</m:t>
                      </m:r>
                    </m:num>
                    <m:den>
                      <m:r>
                        <w:rPr>
                          <w:rFonts w:ascii="Cambria Math" w:hAnsi="Cambria Math"/>
                          <w:lang w:val="en-GB"/>
                        </w:rPr>
                        <m:t>2</m:t>
                      </m:r>
                    </m:den>
                  </m:f>
                  <m:r>
                    <w:rPr>
                      <w:rFonts w:ascii="Cambria Math" w:hAnsi="Cambria Math"/>
                      <w:lang w:val="en-GB"/>
                    </w:rPr>
                    <m:t>∙</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2</m:t>
                          </m:r>
                        </m:sub>
                      </m:sSub>
                    </m:e>
                  </m:d>
                  <m:r>
                    <w:rPr>
                      <w:rFonts w:ascii="Cambria Math" w:hAnsi="Cambria Math"/>
                      <w:lang w:val="en-GB"/>
                    </w:rPr>
                    <m:t>,</m:t>
                  </m:r>
                  <m:f>
                    <m:fPr>
                      <m:ctrlPr>
                        <w:rPr>
                          <w:rFonts w:ascii="Cambria Math" w:hAnsi="Cambria Math"/>
                          <w:i/>
                          <w:lang w:val="en-GB"/>
                        </w:rPr>
                      </m:ctrlPr>
                    </m:fPr>
                    <m:num>
                      <m:r>
                        <w:rPr>
                          <w:rFonts w:ascii="Cambria Math" w:hAnsi="Cambria Math"/>
                          <w:lang w:val="en-GB"/>
                        </w:rPr>
                        <m:t>1</m:t>
                      </m:r>
                    </m:num>
                    <m:den>
                      <m:r>
                        <w:rPr>
                          <w:rFonts w:ascii="Cambria Math" w:hAnsi="Cambria Math"/>
                          <w:lang w:val="en-GB"/>
                        </w:rPr>
                        <m:t>2</m:t>
                      </m:r>
                    </m:den>
                  </m:f>
                  <m:r>
                    <w:rPr>
                      <w:rFonts w:ascii="Cambria Math" w:hAnsi="Cambria Math"/>
                      <w:lang w:val="en-GB"/>
                    </w:rPr>
                    <m:t>∙</m:t>
                  </m:r>
                  <m:sSub>
                    <m:sSubPr>
                      <m:ctrlPr>
                        <w:rPr>
                          <w:rFonts w:ascii="Cambria Math" w:hAnsi="Cambria Math"/>
                          <w:i/>
                          <w:lang w:val="en-GB"/>
                        </w:rPr>
                      </m:ctrlPr>
                    </m:sSubPr>
                    <m:e>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2</m:t>
                              </m:r>
                            </m:sub>
                          </m:sSub>
                        </m:e>
                      </m:d>
                    </m:e>
                    <m:sub>
                      <m:r>
                        <w:rPr>
                          <w:rFonts w:ascii="Cambria Math" w:hAnsi="Cambria Math"/>
                          <w:lang w:val="en-GB"/>
                        </w:rPr>
                        <m:t>x</m:t>
                      </m:r>
                    </m:sub>
                  </m:sSub>
                  <m:r>
                    <w:rPr>
                      <w:rFonts w:ascii="Cambria Math" w:hAnsi="Cambria Math"/>
                      <w:lang w:val="en-GB"/>
                    </w:rPr>
                    <m:t>,</m:t>
                  </m:r>
                  <m:f>
                    <m:fPr>
                      <m:ctrlPr>
                        <w:rPr>
                          <w:rFonts w:ascii="Cambria Math" w:hAnsi="Cambria Math"/>
                          <w:i/>
                          <w:lang w:val="en-GB"/>
                        </w:rPr>
                      </m:ctrlPr>
                    </m:fPr>
                    <m:num>
                      <m:r>
                        <w:rPr>
                          <w:rFonts w:ascii="Cambria Math" w:hAnsi="Cambria Math"/>
                          <w:lang w:val="en-GB"/>
                        </w:rPr>
                        <m:t>1</m:t>
                      </m:r>
                    </m:num>
                    <m:den>
                      <m:r>
                        <w:rPr>
                          <w:rFonts w:ascii="Cambria Math" w:hAnsi="Cambria Math"/>
                          <w:lang w:val="en-GB"/>
                        </w:rPr>
                        <m:t>2</m:t>
                      </m:r>
                    </m:den>
                  </m:f>
                  <m:r>
                    <w:rPr>
                      <w:rFonts w:ascii="Cambria Math" w:hAnsi="Cambria Math"/>
                      <w:lang w:val="en-GB"/>
                    </w:rPr>
                    <m:t>∙</m:t>
                  </m:r>
                  <m:sSub>
                    <m:sSubPr>
                      <m:ctrlPr>
                        <w:rPr>
                          <w:rFonts w:ascii="Cambria Math" w:hAnsi="Cambria Math"/>
                          <w:i/>
                          <w:lang w:val="en-GB"/>
                        </w:rPr>
                      </m:ctrlPr>
                    </m:sSubPr>
                    <m:e>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2</m:t>
                              </m:r>
                            </m:sub>
                          </m:sSub>
                        </m:e>
                      </m:d>
                    </m:e>
                    <m:sub>
                      <m:r>
                        <w:rPr>
                          <w:rFonts w:ascii="Cambria Math" w:hAnsi="Cambria Math"/>
                          <w:lang w:val="en-GB"/>
                        </w:rPr>
                        <m:t>x</m:t>
                      </m:r>
                    </m:sub>
                  </m:sSub>
                </m:e>
              </m:d>
            </m:e>
          </m:d>
          <m:r>
            <w:rPr>
              <w:rFonts w:ascii="Cambria Math" w:hAnsi="Cambria Math"/>
              <w:lang w:val="en-GB"/>
            </w:rPr>
            <m:t>∙d</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1</m:t>
              </m:r>
            </m:sub>
          </m:sSub>
          <m:r>
            <w:rPr>
              <w:rFonts w:ascii="Cambria Math" w:hAnsi="Cambria Math"/>
              <w:lang w:val="en-GB"/>
            </w:rPr>
            <m:t>∙d</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2</m:t>
              </m:r>
            </m:sub>
          </m:sSub>
          <m:r>
            <w:rPr>
              <w:rFonts w:ascii="Cambria Math" w:hAnsi="Cambria Math"/>
              <w:lang w:val="en-GB"/>
            </w:rPr>
            <m:t xml:space="preserve">                              (18)</m:t>
          </m:r>
        </m:oMath>
      </m:oMathPara>
    </w:p>
    <w:p w14:paraId="1C830CD4" w14:textId="77777777" w:rsidR="00D32720" w:rsidRPr="00C65755" w:rsidRDefault="00D32720" w:rsidP="00D32720">
      <w:pPr>
        <w:pStyle w:val="CETBodytext"/>
        <w:spacing w:before="240" w:after="240"/>
        <w:rPr>
          <w:lang w:val="en-GB"/>
        </w:rPr>
      </w:pPr>
      <w:r>
        <w:rPr>
          <w:lang w:val="en-GB"/>
        </w:rPr>
        <w:t>then an iterative procedure can be used to find the stationary condition of the saddle point:</w:t>
      </w:r>
    </w:p>
    <w:p w14:paraId="6A8FCF65" w14:textId="77777777" w:rsidR="00D32720" w:rsidRDefault="00D32720" w:rsidP="00D32720">
      <w:pPr>
        <w:pStyle w:val="CETBodytext"/>
      </w:pPr>
      <w:r>
        <w:sym w:font="Symbol" w:char="F0B7"/>
      </w:r>
      <w:r>
        <w:t xml:space="preserve"> set the values of </w:t>
      </w:r>
      <m:oMath>
        <m:sSub>
          <m:sSubPr>
            <m:ctrlPr>
              <w:rPr>
                <w:rFonts w:ascii="Cambria Math" w:hAnsi="Cambria Math"/>
                <w:i/>
              </w:rPr>
            </m:ctrlPr>
          </m:sSubPr>
          <m:e>
            <m:r>
              <w:rPr>
                <w:rFonts w:ascii="Cambria Math" w:hAnsi="Cambria Math"/>
              </w:rPr>
              <m:t>u</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v</m:t>
            </m:r>
          </m:e>
          <m:sub>
            <m:r>
              <w:rPr>
                <w:rFonts w:ascii="Cambria Math" w:hAnsi="Cambria Math"/>
              </w:rPr>
              <m:t>2</m:t>
            </m:r>
          </m:sub>
        </m:sSub>
      </m:oMath>
      <w:r>
        <w:t xml:space="preserve"> at an initial given profile </w:t>
      </w:r>
      <m:oMath>
        <m:sSubSup>
          <m:sSubSupPr>
            <m:ctrlPr>
              <w:rPr>
                <w:rFonts w:ascii="Cambria Math" w:hAnsi="Cambria Math"/>
                <w:i/>
              </w:rPr>
            </m:ctrlPr>
          </m:sSubSupPr>
          <m:e>
            <m:r>
              <w:rPr>
                <w:rFonts w:ascii="Cambria Math" w:hAnsi="Cambria Math"/>
              </w:rPr>
              <m:t>u</m:t>
            </m:r>
          </m:e>
          <m:sub>
            <m:r>
              <w:rPr>
                <w:rFonts w:ascii="Cambria Math" w:hAnsi="Cambria Math"/>
              </w:rPr>
              <m:t>2</m:t>
            </m:r>
          </m:sub>
          <m:sup>
            <m:r>
              <w:rPr>
                <w:rFonts w:ascii="Cambria Math" w:hAnsi="Cambria Math"/>
              </w:rPr>
              <m:t>(0)</m:t>
            </m:r>
          </m:sup>
        </m:sSubSup>
      </m:oMath>
      <w:r>
        <w:t xml:space="preserve"> and </w:t>
      </w:r>
      <m:oMath>
        <m:sSubSup>
          <m:sSubSupPr>
            <m:ctrlPr>
              <w:rPr>
                <w:rFonts w:ascii="Cambria Math" w:hAnsi="Cambria Math"/>
                <w:i/>
              </w:rPr>
            </m:ctrlPr>
          </m:sSubSupPr>
          <m:e>
            <m:r>
              <w:rPr>
                <w:rFonts w:ascii="Cambria Math" w:hAnsi="Cambria Math"/>
              </w:rPr>
              <m:t>v</m:t>
            </m:r>
          </m:e>
          <m:sub>
            <m:r>
              <w:rPr>
                <w:rFonts w:ascii="Cambria Math" w:hAnsi="Cambria Math"/>
              </w:rPr>
              <m:t>2</m:t>
            </m:r>
          </m:sub>
          <m:sup>
            <m:r>
              <w:rPr>
                <w:rFonts w:ascii="Cambria Math" w:hAnsi="Cambria Math"/>
              </w:rPr>
              <m:t>(0)</m:t>
            </m:r>
          </m:sup>
        </m:sSubSup>
      </m:oMath>
      <w:r>
        <w:t>;</w:t>
      </w:r>
    </w:p>
    <w:p w14:paraId="2A14403E" w14:textId="77777777" w:rsidR="00D32720" w:rsidRDefault="00D32720" w:rsidP="00D32720">
      <w:pPr>
        <w:pStyle w:val="CETBodytext"/>
      </w:pPr>
      <w:r>
        <w:sym w:font="Symbol" w:char="F0B7"/>
      </w:r>
      <w:r>
        <w:t xml:space="preserve"> keep </w:t>
      </w:r>
      <m:oMath>
        <m:sSubSup>
          <m:sSubSupPr>
            <m:ctrlPr>
              <w:rPr>
                <w:rFonts w:ascii="Cambria Math" w:hAnsi="Cambria Math"/>
                <w:i/>
              </w:rPr>
            </m:ctrlPr>
          </m:sSubSupPr>
          <m:e>
            <m:r>
              <w:rPr>
                <w:rFonts w:ascii="Cambria Math" w:hAnsi="Cambria Math"/>
              </w:rPr>
              <m:t>u</m:t>
            </m:r>
          </m:e>
          <m:sub>
            <m:r>
              <w:rPr>
                <w:rFonts w:ascii="Cambria Math" w:hAnsi="Cambria Math"/>
              </w:rPr>
              <m:t>2</m:t>
            </m:r>
          </m:sub>
          <m:sup>
            <m:r>
              <w:rPr>
                <w:rFonts w:ascii="Cambria Math" w:hAnsi="Cambria Math"/>
              </w:rPr>
              <m:t>(n)</m:t>
            </m:r>
          </m:sup>
        </m:sSubSup>
      </m:oMath>
      <w:r>
        <w:t xml:space="preserve"> and </w:t>
      </w:r>
      <m:oMath>
        <m:sSubSup>
          <m:sSubSupPr>
            <m:ctrlPr>
              <w:rPr>
                <w:rFonts w:ascii="Cambria Math" w:hAnsi="Cambria Math"/>
                <w:i/>
              </w:rPr>
            </m:ctrlPr>
          </m:sSubSupPr>
          <m:e>
            <m:r>
              <w:rPr>
                <w:rFonts w:ascii="Cambria Math" w:hAnsi="Cambria Math"/>
              </w:rPr>
              <m:t>v</m:t>
            </m:r>
          </m:e>
          <m:sub>
            <m:r>
              <w:rPr>
                <w:rFonts w:ascii="Cambria Math" w:hAnsi="Cambria Math"/>
              </w:rPr>
              <m:t>2</m:t>
            </m:r>
          </m:sub>
          <m:sup>
            <m:r>
              <w:rPr>
                <w:rFonts w:ascii="Cambria Math" w:hAnsi="Cambria Math"/>
              </w:rPr>
              <m:t>(n)</m:t>
            </m:r>
          </m:sup>
        </m:sSubSup>
      </m:oMath>
      <w:r>
        <w:t xml:space="preserve"> fixed, then minimize the functional in Equation (18) with respect to </w:t>
      </w:r>
      <m:oMath>
        <m:sSub>
          <m:sSubPr>
            <m:ctrlPr>
              <w:rPr>
                <w:rFonts w:ascii="Cambria Math" w:hAnsi="Cambria Math"/>
                <w:i/>
              </w:rPr>
            </m:ctrlPr>
          </m:sSubPr>
          <m:e>
            <m:r>
              <w:rPr>
                <w:rFonts w:ascii="Cambria Math" w:hAnsi="Cambria Math"/>
              </w:rPr>
              <m:t>u</m:t>
            </m:r>
          </m:e>
          <m:sub>
            <m:r>
              <w:rPr>
                <w:rFonts w:ascii="Cambria Math" w:hAnsi="Cambria Math"/>
              </w:rPr>
              <m:t>1</m:t>
            </m:r>
          </m:sub>
        </m:sSub>
      </m:oMath>
      <w:r>
        <w:t xml:space="preserve"> and </w:t>
      </w:r>
      <m:oMath>
        <m:sSub>
          <m:sSubPr>
            <m:ctrlPr>
              <w:rPr>
                <w:rFonts w:ascii="Cambria Math" w:hAnsi="Cambria Math"/>
                <w:i/>
              </w:rPr>
            </m:ctrlPr>
          </m:sSubPr>
          <m:e>
            <m:r>
              <w:rPr>
                <w:rFonts w:ascii="Cambria Math" w:hAnsi="Cambria Math"/>
              </w:rPr>
              <m:t>v</m:t>
            </m:r>
          </m:e>
          <m:sub>
            <m:r>
              <w:rPr>
                <w:rFonts w:ascii="Cambria Math" w:hAnsi="Cambria Math"/>
              </w:rPr>
              <m:t>1</m:t>
            </m:r>
          </m:sub>
        </m:sSub>
      </m:oMath>
      <w:r>
        <w:t xml:space="preserve">, satisfying the restriction given by Equation (16), to get </w:t>
      </w:r>
      <m:oMath>
        <m:sSubSup>
          <m:sSubSupPr>
            <m:ctrlPr>
              <w:rPr>
                <w:rFonts w:ascii="Cambria Math" w:hAnsi="Cambria Math"/>
                <w:i/>
              </w:rPr>
            </m:ctrlPr>
          </m:sSubSupPr>
          <m:e>
            <m:r>
              <w:rPr>
                <w:rFonts w:ascii="Cambria Math" w:hAnsi="Cambria Math"/>
              </w:rPr>
              <m:t>u</m:t>
            </m:r>
          </m:e>
          <m:sub>
            <m:r>
              <w:rPr>
                <w:rFonts w:ascii="Cambria Math" w:hAnsi="Cambria Math"/>
              </w:rPr>
              <m:t>1</m:t>
            </m:r>
          </m:sub>
          <m:sup>
            <m:r>
              <w:rPr>
                <w:rFonts w:ascii="Cambria Math" w:hAnsi="Cambria Math"/>
              </w:rPr>
              <m:t>(n)</m:t>
            </m:r>
          </m:sup>
        </m:sSubSup>
      </m:oMath>
      <w:r>
        <w:t xml:space="preserve"> and </w:t>
      </w:r>
      <m:oMath>
        <m:sSubSup>
          <m:sSubSupPr>
            <m:ctrlPr>
              <w:rPr>
                <w:rFonts w:ascii="Cambria Math" w:hAnsi="Cambria Math"/>
                <w:i/>
              </w:rPr>
            </m:ctrlPr>
          </m:sSubSupPr>
          <m:e>
            <m:r>
              <w:rPr>
                <w:rFonts w:ascii="Cambria Math" w:hAnsi="Cambria Math"/>
              </w:rPr>
              <m:t>v</m:t>
            </m:r>
          </m:e>
          <m:sub>
            <m:r>
              <w:rPr>
                <w:rFonts w:ascii="Cambria Math" w:hAnsi="Cambria Math"/>
              </w:rPr>
              <m:t>1</m:t>
            </m:r>
          </m:sub>
          <m:sup>
            <m:r>
              <w:rPr>
                <w:rFonts w:ascii="Cambria Math" w:hAnsi="Cambria Math"/>
              </w:rPr>
              <m:t>(n)</m:t>
            </m:r>
          </m:sup>
        </m:sSubSup>
      </m:oMath>
      <w:r>
        <w:t>;</w:t>
      </w:r>
    </w:p>
    <w:p w14:paraId="65F1493D" w14:textId="77777777" w:rsidR="00D32720" w:rsidRDefault="00D32720" w:rsidP="00D32720">
      <w:pPr>
        <w:pStyle w:val="CETBodytext"/>
      </w:pPr>
      <w:r>
        <w:sym w:font="Symbol" w:char="F0B7"/>
      </w:r>
      <w:r w:rsidRPr="00F3799D">
        <w:t xml:space="preserve"> make</w:t>
      </w:r>
      <w:r w:rsidRPr="004C64B6">
        <w:rPr>
          <w:lang w:val="pt-BR"/>
        </w:rPr>
        <w:t xml:space="preserve"> </w:t>
      </w:r>
      <m:oMath>
        <m:sSubSup>
          <m:sSubSupPr>
            <m:ctrlPr>
              <w:rPr>
                <w:rFonts w:ascii="Cambria Math" w:hAnsi="Cambria Math"/>
                <w:i/>
                <w:lang w:val="pt-BR"/>
              </w:rPr>
            </m:ctrlPr>
          </m:sSubSupPr>
          <m:e>
            <m:r>
              <w:rPr>
                <w:rFonts w:ascii="Cambria Math" w:hAnsi="Cambria Math"/>
                <w:lang w:val="pt-BR"/>
              </w:rPr>
              <m:t>u</m:t>
            </m:r>
          </m:e>
          <m:sub>
            <m:r>
              <w:rPr>
                <w:rFonts w:ascii="Cambria Math" w:hAnsi="Cambria Math"/>
                <w:lang w:val="pt-BR"/>
              </w:rPr>
              <m:t>2</m:t>
            </m:r>
          </m:sub>
          <m:sup>
            <m:r>
              <w:rPr>
                <w:rFonts w:ascii="Cambria Math" w:hAnsi="Cambria Math"/>
                <w:lang w:val="pt-BR"/>
              </w:rPr>
              <m:t>(n+1)</m:t>
            </m:r>
          </m:sup>
        </m:sSubSup>
        <m:r>
          <w:rPr>
            <w:rFonts w:ascii="Cambria Math" w:hAnsi="Cambria Math"/>
            <w:lang w:val="pt-BR"/>
          </w:rPr>
          <m:t>=</m:t>
        </m:r>
        <m:sSubSup>
          <m:sSubSupPr>
            <m:ctrlPr>
              <w:rPr>
                <w:rFonts w:ascii="Cambria Math" w:hAnsi="Cambria Math"/>
                <w:i/>
                <w:lang w:val="pt-BR"/>
              </w:rPr>
            </m:ctrlPr>
          </m:sSubSupPr>
          <m:e>
            <m:r>
              <w:rPr>
                <w:rFonts w:ascii="Cambria Math" w:hAnsi="Cambria Math"/>
                <w:lang w:val="pt-BR"/>
              </w:rPr>
              <m:t>u</m:t>
            </m:r>
          </m:e>
          <m:sub>
            <m:r>
              <w:rPr>
                <w:rFonts w:ascii="Cambria Math" w:hAnsi="Cambria Math"/>
                <w:lang w:val="pt-BR"/>
              </w:rPr>
              <m:t>1</m:t>
            </m:r>
          </m:sub>
          <m:sup>
            <m:r>
              <w:rPr>
                <w:rFonts w:ascii="Cambria Math" w:hAnsi="Cambria Math"/>
                <w:lang w:val="pt-BR"/>
              </w:rPr>
              <m:t>(n)</m:t>
            </m:r>
          </m:sup>
        </m:sSubSup>
      </m:oMath>
      <w:r w:rsidRPr="004C64B6">
        <w:rPr>
          <w:lang w:val="pt-BR"/>
        </w:rPr>
        <w:t xml:space="preserve"> and </w:t>
      </w:r>
      <m:oMath>
        <m:sSubSup>
          <m:sSubSupPr>
            <m:ctrlPr>
              <w:rPr>
                <w:rFonts w:ascii="Cambria Math" w:hAnsi="Cambria Math"/>
                <w:i/>
                <w:lang w:val="pt-BR"/>
              </w:rPr>
            </m:ctrlPr>
          </m:sSubSupPr>
          <m:e>
            <m:r>
              <w:rPr>
                <w:rFonts w:ascii="Cambria Math" w:hAnsi="Cambria Math"/>
                <w:lang w:val="pt-BR"/>
              </w:rPr>
              <m:t>v</m:t>
            </m:r>
          </m:e>
          <m:sub>
            <m:r>
              <w:rPr>
                <w:rFonts w:ascii="Cambria Math" w:hAnsi="Cambria Math"/>
                <w:lang w:val="pt-BR"/>
              </w:rPr>
              <m:t>2</m:t>
            </m:r>
          </m:sub>
          <m:sup>
            <m:r>
              <w:rPr>
                <w:rFonts w:ascii="Cambria Math" w:hAnsi="Cambria Math"/>
                <w:lang w:val="pt-BR"/>
              </w:rPr>
              <m:t>(n+1)</m:t>
            </m:r>
          </m:sup>
        </m:sSubSup>
        <m:r>
          <w:rPr>
            <w:rFonts w:ascii="Cambria Math" w:hAnsi="Cambria Math"/>
            <w:lang w:val="pt-BR"/>
          </w:rPr>
          <m:t>=</m:t>
        </m:r>
        <m:sSubSup>
          <m:sSubSupPr>
            <m:ctrlPr>
              <w:rPr>
                <w:rFonts w:ascii="Cambria Math" w:hAnsi="Cambria Math"/>
                <w:i/>
                <w:lang w:val="pt-BR"/>
              </w:rPr>
            </m:ctrlPr>
          </m:sSubSupPr>
          <m:e>
            <m:r>
              <w:rPr>
                <w:rFonts w:ascii="Cambria Math" w:hAnsi="Cambria Math"/>
                <w:lang w:val="pt-BR"/>
              </w:rPr>
              <m:t>v</m:t>
            </m:r>
          </m:e>
          <m:sub>
            <m:r>
              <w:rPr>
                <w:rFonts w:ascii="Cambria Math" w:hAnsi="Cambria Math"/>
                <w:lang w:val="pt-BR"/>
              </w:rPr>
              <m:t>1</m:t>
            </m:r>
          </m:sub>
          <m:sup>
            <m:r>
              <w:rPr>
                <w:rFonts w:ascii="Cambria Math" w:hAnsi="Cambria Math"/>
                <w:lang w:val="pt-BR"/>
              </w:rPr>
              <m:t>(n)</m:t>
            </m:r>
          </m:sup>
        </m:sSubSup>
      </m:oMath>
      <w:r w:rsidRPr="004C64B6">
        <w:rPr>
          <w:lang w:val="pt-BR"/>
        </w:rPr>
        <w:t>;</w:t>
      </w:r>
    </w:p>
    <w:p w14:paraId="74938445" w14:textId="77777777" w:rsidR="00D32720" w:rsidRPr="004C64B6" w:rsidRDefault="00D32720" w:rsidP="00D32720">
      <w:pPr>
        <w:pStyle w:val="CETBodytext"/>
      </w:pPr>
      <w:r>
        <w:sym w:font="Symbol" w:char="F0B7"/>
      </w:r>
      <w:r w:rsidRPr="00F3799D">
        <w:t xml:space="preserve"> repeat until</w:t>
      </w:r>
      <w:r>
        <w:rPr>
          <w:lang w:val="pt-BR"/>
        </w:rPr>
        <w:t xml:space="preserve"> </w:t>
      </w:r>
      <m:oMath>
        <m:d>
          <m:dPr>
            <m:begChr m:val="|"/>
            <m:endChr m:val="|"/>
            <m:ctrlPr>
              <w:rPr>
                <w:rFonts w:ascii="Cambria Math" w:hAnsi="Cambria Math"/>
                <w:i/>
                <w:lang w:val="pt-BR"/>
              </w:rPr>
            </m:ctrlPr>
          </m:dPr>
          <m:e>
            <m:sSubSup>
              <m:sSubSupPr>
                <m:ctrlPr>
                  <w:rPr>
                    <w:rFonts w:ascii="Cambria Math" w:hAnsi="Cambria Math"/>
                    <w:i/>
                    <w:lang w:val="pt-BR"/>
                  </w:rPr>
                </m:ctrlPr>
              </m:sSubSupPr>
              <m:e>
                <m:r>
                  <w:rPr>
                    <w:rFonts w:ascii="Cambria Math" w:hAnsi="Cambria Math"/>
                    <w:lang w:val="pt-BR"/>
                  </w:rPr>
                  <m:t>u</m:t>
                </m:r>
              </m:e>
              <m:sub>
                <m:r>
                  <w:rPr>
                    <w:rFonts w:ascii="Cambria Math" w:hAnsi="Cambria Math"/>
                    <w:lang w:val="pt-BR"/>
                  </w:rPr>
                  <m:t>1</m:t>
                </m:r>
              </m:sub>
              <m:sup>
                <m:r>
                  <w:rPr>
                    <w:rFonts w:ascii="Cambria Math" w:hAnsi="Cambria Math"/>
                    <w:lang w:val="pt-BR"/>
                  </w:rPr>
                  <m:t>(n+1)</m:t>
                </m:r>
              </m:sup>
            </m:sSubSup>
            <m:r>
              <w:rPr>
                <w:rFonts w:ascii="Cambria Math" w:hAnsi="Cambria Math"/>
                <w:lang w:val="pt-BR"/>
              </w:rPr>
              <m:t>-</m:t>
            </m:r>
            <m:sSubSup>
              <m:sSubSupPr>
                <m:ctrlPr>
                  <w:rPr>
                    <w:rFonts w:ascii="Cambria Math" w:hAnsi="Cambria Math"/>
                    <w:i/>
                    <w:lang w:val="pt-BR"/>
                  </w:rPr>
                </m:ctrlPr>
              </m:sSubSupPr>
              <m:e>
                <m:r>
                  <w:rPr>
                    <w:rFonts w:ascii="Cambria Math" w:hAnsi="Cambria Math"/>
                    <w:lang w:val="pt-BR"/>
                  </w:rPr>
                  <m:t>u</m:t>
                </m:r>
              </m:e>
              <m:sub>
                <m:r>
                  <w:rPr>
                    <w:rFonts w:ascii="Cambria Math" w:hAnsi="Cambria Math"/>
                    <w:lang w:val="pt-BR"/>
                  </w:rPr>
                  <m:t>1</m:t>
                </m:r>
              </m:sub>
              <m:sup>
                <m:r>
                  <w:rPr>
                    <w:rFonts w:ascii="Cambria Math" w:hAnsi="Cambria Math"/>
                    <w:lang w:val="pt-BR"/>
                  </w:rPr>
                  <m:t>(n)</m:t>
                </m:r>
              </m:sup>
            </m:sSubSup>
          </m:e>
        </m:d>
        <m:r>
          <w:rPr>
            <w:rFonts w:ascii="Cambria Math" w:hAnsi="Cambria Math"/>
            <w:lang w:val="pt-BR"/>
          </w:rPr>
          <m:t>≤ε</m:t>
        </m:r>
      </m:oMath>
      <w:r>
        <w:rPr>
          <w:lang w:val="pt-BR"/>
        </w:rPr>
        <w:t xml:space="preserve"> and </w:t>
      </w:r>
      <m:oMath>
        <m:d>
          <m:dPr>
            <m:begChr m:val="|"/>
            <m:endChr m:val="|"/>
            <m:ctrlPr>
              <w:rPr>
                <w:rFonts w:ascii="Cambria Math" w:hAnsi="Cambria Math"/>
                <w:i/>
                <w:lang w:val="pt-BR"/>
              </w:rPr>
            </m:ctrlPr>
          </m:dPr>
          <m:e>
            <m:sSubSup>
              <m:sSubSupPr>
                <m:ctrlPr>
                  <w:rPr>
                    <w:rFonts w:ascii="Cambria Math" w:hAnsi="Cambria Math"/>
                    <w:i/>
                    <w:lang w:val="pt-BR"/>
                  </w:rPr>
                </m:ctrlPr>
              </m:sSubSupPr>
              <m:e>
                <m:r>
                  <w:rPr>
                    <w:rFonts w:ascii="Cambria Math" w:hAnsi="Cambria Math"/>
                    <w:lang w:val="pt-BR"/>
                  </w:rPr>
                  <m:t>v</m:t>
                </m:r>
              </m:e>
              <m:sub>
                <m:r>
                  <w:rPr>
                    <w:rFonts w:ascii="Cambria Math" w:hAnsi="Cambria Math"/>
                    <w:lang w:val="pt-BR"/>
                  </w:rPr>
                  <m:t>1</m:t>
                </m:r>
              </m:sub>
              <m:sup>
                <m:r>
                  <w:rPr>
                    <w:rFonts w:ascii="Cambria Math" w:hAnsi="Cambria Math"/>
                    <w:lang w:val="pt-BR"/>
                  </w:rPr>
                  <m:t>(n+1)</m:t>
                </m:r>
              </m:sup>
            </m:sSubSup>
            <m:r>
              <w:rPr>
                <w:rFonts w:ascii="Cambria Math" w:hAnsi="Cambria Math"/>
                <w:lang w:val="pt-BR"/>
              </w:rPr>
              <m:t>-</m:t>
            </m:r>
            <m:sSubSup>
              <m:sSubSupPr>
                <m:ctrlPr>
                  <w:rPr>
                    <w:rFonts w:ascii="Cambria Math" w:hAnsi="Cambria Math"/>
                    <w:i/>
                    <w:lang w:val="pt-BR"/>
                  </w:rPr>
                </m:ctrlPr>
              </m:sSubSupPr>
              <m:e>
                <m:r>
                  <w:rPr>
                    <w:rFonts w:ascii="Cambria Math" w:hAnsi="Cambria Math"/>
                    <w:lang w:val="pt-BR"/>
                  </w:rPr>
                  <m:t>v</m:t>
                </m:r>
              </m:e>
              <m:sub>
                <m:r>
                  <w:rPr>
                    <w:rFonts w:ascii="Cambria Math" w:hAnsi="Cambria Math"/>
                    <w:lang w:val="pt-BR"/>
                  </w:rPr>
                  <m:t>1</m:t>
                </m:r>
              </m:sub>
              <m:sup>
                <m:r>
                  <w:rPr>
                    <w:rFonts w:ascii="Cambria Math" w:hAnsi="Cambria Math"/>
                    <w:lang w:val="pt-BR"/>
                  </w:rPr>
                  <m:t>(n)</m:t>
                </m:r>
              </m:sup>
            </m:sSubSup>
          </m:e>
        </m:d>
        <m:r>
          <w:rPr>
            <w:rFonts w:ascii="Cambria Math" w:hAnsi="Cambria Math"/>
            <w:lang w:val="pt-BR"/>
          </w:rPr>
          <m:t>≤ε</m:t>
        </m:r>
      </m:oMath>
      <w:r>
        <w:rPr>
          <w:lang w:val="pt-BR"/>
        </w:rPr>
        <w:t>.</w:t>
      </w:r>
    </w:p>
    <w:p w14:paraId="5A464679" w14:textId="452FDE4F" w:rsidR="00D32720" w:rsidRDefault="00D32720" w:rsidP="00D32720">
      <w:pPr>
        <w:pStyle w:val="CETBodytext"/>
        <w:spacing w:before="240"/>
      </w:pPr>
      <w:r>
        <w:t xml:space="preserve">In this iterative procedure, the values of </w:t>
      </w:r>
      <m:oMath>
        <m:sSub>
          <m:sSubPr>
            <m:ctrlPr>
              <w:rPr>
                <w:rFonts w:ascii="Cambria Math" w:hAnsi="Cambria Math"/>
                <w:i/>
              </w:rPr>
            </m:ctrlPr>
          </m:sSubPr>
          <m:e>
            <m:r>
              <w:rPr>
                <w:rFonts w:ascii="Cambria Math" w:hAnsi="Cambria Math"/>
              </w:rPr>
              <m:t>u</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v</m:t>
            </m:r>
          </m:e>
          <m:sub>
            <m:r>
              <w:rPr>
                <w:rFonts w:ascii="Cambria Math" w:hAnsi="Cambria Math"/>
              </w:rPr>
              <m:t>2</m:t>
            </m:r>
          </m:sub>
        </m:sSub>
      </m:oMath>
      <w:r>
        <w:t xml:space="preserve"> are updated using the knowledge that in the stationary point </w:t>
      </w:r>
      <m:oMath>
        <m:r>
          <w:rPr>
            <w:rFonts w:ascii="Cambria Math" w:hAnsi="Cambria Math"/>
          </w:rPr>
          <m:t>α=0</m:t>
        </m:r>
      </m:oMath>
      <w:r>
        <w:t xml:space="preserve"> and </w:t>
      </w:r>
      <m:oMath>
        <m:r>
          <w:rPr>
            <w:rFonts w:ascii="Cambria Math" w:hAnsi="Cambria Math"/>
          </w:rPr>
          <m:t>β=0</m:t>
        </m:r>
      </m:oMath>
      <w:r>
        <w:t xml:space="preserve">, which implies that </w:t>
      </w:r>
      <m:oMath>
        <m:sSub>
          <m:sSubPr>
            <m:ctrlPr>
              <w:rPr>
                <w:rFonts w:ascii="Cambria Math" w:hAnsi="Cambria Math"/>
                <w:i/>
              </w:rPr>
            </m:ctrlPr>
          </m:sSubPr>
          <m:e>
            <m:r>
              <w:rPr>
                <w:rFonts w:ascii="Cambria Math" w:hAnsi="Cambria Math"/>
              </w:rPr>
              <m:t>u</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1</m:t>
            </m:r>
          </m:sub>
        </m:sSub>
      </m:oMath>
      <w:r>
        <w:t xml:space="preserve"> and </w:t>
      </w:r>
      <m:oMath>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m:t>
            </m:r>
          </m:sub>
        </m:sSub>
      </m:oMath>
      <w:r>
        <w:t>.</w:t>
      </w:r>
      <w:r w:rsidR="00041118">
        <w:t xml:space="preserve"> In order to have good convergence, a relaxation factor </w:t>
      </w:r>
      <m:oMath>
        <m:r>
          <w:rPr>
            <w:rFonts w:ascii="Cambria Math" w:hAnsi="Cambria Math"/>
          </w:rPr>
          <m:t>ω</m:t>
        </m:r>
      </m:oMath>
      <w:r w:rsidR="00041118">
        <w:t xml:space="preserve"> can be used as follow:</w:t>
      </w:r>
    </w:p>
    <w:p w14:paraId="62D43210" w14:textId="09C0FD33" w:rsidR="00F73D45" w:rsidRPr="00F73D45" w:rsidRDefault="00ED2F67" w:rsidP="00F73D45">
      <w:pPr>
        <w:pStyle w:val="CETBodytext"/>
        <w:spacing w:before="240" w:after="240"/>
        <w:ind w:left="567"/>
        <w:rPr>
          <w:lang w:val="en-GB"/>
        </w:rPr>
      </w:pPr>
      <m:oMathPara>
        <m:oMathParaPr>
          <m:jc m:val="left"/>
        </m:oMathParaPr>
        <m:oMath>
          <m:sSubSup>
            <m:sSubSupPr>
              <m:ctrlPr>
                <w:rPr>
                  <w:rFonts w:ascii="Cambria Math" w:hAnsi="Cambria Math"/>
                  <w:i/>
                  <w:lang w:val="en-GB"/>
                </w:rPr>
              </m:ctrlPr>
            </m:sSubSupPr>
            <m:e>
              <m:r>
                <w:rPr>
                  <w:rFonts w:ascii="Cambria Math" w:hAnsi="Cambria Math"/>
                  <w:lang w:val="en-GB"/>
                </w:rPr>
                <m:t>u</m:t>
              </m:r>
            </m:e>
            <m:sub>
              <m:r>
                <w:rPr>
                  <w:rFonts w:ascii="Cambria Math" w:hAnsi="Cambria Math"/>
                  <w:lang w:val="en-GB"/>
                </w:rPr>
                <m:t>2</m:t>
              </m:r>
            </m:sub>
            <m:sup>
              <m:r>
                <w:rPr>
                  <w:rFonts w:ascii="Cambria Math" w:hAnsi="Cambria Math"/>
                  <w:lang w:val="en-GB"/>
                </w:rPr>
                <m:t>(n+1)</m:t>
              </m:r>
            </m:sup>
          </m:sSubSup>
          <m:r>
            <w:rPr>
              <w:rFonts w:ascii="Cambria Math" w:hAnsi="Cambria Math"/>
              <w:lang w:val="en-GB"/>
            </w:rPr>
            <m:t>=</m:t>
          </m:r>
          <m:d>
            <m:dPr>
              <m:ctrlPr>
                <w:rPr>
                  <w:rFonts w:ascii="Cambria Math" w:hAnsi="Cambria Math"/>
                  <w:i/>
                  <w:lang w:val="en-GB"/>
                </w:rPr>
              </m:ctrlPr>
            </m:dPr>
            <m:e>
              <m:r>
                <w:rPr>
                  <w:rFonts w:ascii="Cambria Math" w:hAnsi="Cambria Math"/>
                  <w:lang w:val="en-GB"/>
                </w:rPr>
                <m:t>1-ω</m:t>
              </m:r>
            </m:e>
          </m:d>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u</m:t>
              </m:r>
            </m:e>
            <m:sub>
              <m:r>
                <w:rPr>
                  <w:rFonts w:ascii="Cambria Math" w:hAnsi="Cambria Math"/>
                  <w:lang w:val="en-GB"/>
                </w:rPr>
                <m:t>2</m:t>
              </m:r>
            </m:sub>
            <m:sup>
              <m:r>
                <w:rPr>
                  <w:rFonts w:ascii="Cambria Math" w:hAnsi="Cambria Math"/>
                  <w:lang w:val="en-GB"/>
                </w:rPr>
                <m:t>(n)</m:t>
              </m:r>
            </m:sup>
          </m:sSubSup>
          <m:r>
            <w:rPr>
              <w:rFonts w:ascii="Cambria Math" w:hAnsi="Cambria Math"/>
              <w:lang w:val="en-GB"/>
            </w:rPr>
            <m:t>+ω∙</m:t>
          </m:r>
          <m:sSubSup>
            <m:sSubSupPr>
              <m:ctrlPr>
                <w:rPr>
                  <w:rFonts w:ascii="Cambria Math" w:hAnsi="Cambria Math"/>
                  <w:i/>
                  <w:lang w:val="en-GB"/>
                </w:rPr>
              </m:ctrlPr>
            </m:sSubSupPr>
            <m:e>
              <m:r>
                <w:rPr>
                  <w:rFonts w:ascii="Cambria Math" w:hAnsi="Cambria Math"/>
                  <w:lang w:val="en-GB"/>
                </w:rPr>
                <m:t>u</m:t>
              </m:r>
            </m:e>
            <m:sub>
              <m:r>
                <w:rPr>
                  <w:rFonts w:ascii="Cambria Math" w:hAnsi="Cambria Math"/>
                  <w:lang w:val="en-GB"/>
                </w:rPr>
                <m:t>1</m:t>
              </m:r>
            </m:sub>
            <m:sup>
              <m:r>
                <w:rPr>
                  <w:rFonts w:ascii="Cambria Math" w:hAnsi="Cambria Math"/>
                  <w:lang w:val="en-GB"/>
                </w:rPr>
                <m:t>(n)</m:t>
              </m:r>
            </m:sup>
          </m:sSubSup>
          <m:r>
            <w:rPr>
              <w:rFonts w:ascii="Cambria Math" w:hAnsi="Cambria Math"/>
              <w:lang w:val="en-GB"/>
            </w:rPr>
            <m:t xml:space="preserve">                                                                                                                                      (19)</m:t>
          </m:r>
        </m:oMath>
      </m:oMathPara>
    </w:p>
    <w:p w14:paraId="3119C085" w14:textId="51A8D34F" w:rsidR="006A6C5A" w:rsidRPr="00F73D45" w:rsidRDefault="00ED2F67" w:rsidP="006A6C5A">
      <w:pPr>
        <w:pStyle w:val="CETBodytext"/>
        <w:spacing w:before="240" w:after="240"/>
        <w:ind w:left="567"/>
        <w:rPr>
          <w:lang w:val="en-GB"/>
        </w:rPr>
      </w:pPr>
      <m:oMathPara>
        <m:oMathParaPr>
          <m:jc m:val="left"/>
        </m:oMathParaPr>
        <m:oMath>
          <m:sSubSup>
            <m:sSubSupPr>
              <m:ctrlPr>
                <w:rPr>
                  <w:rFonts w:ascii="Cambria Math" w:hAnsi="Cambria Math"/>
                  <w:i/>
                  <w:lang w:val="en-GB"/>
                </w:rPr>
              </m:ctrlPr>
            </m:sSubSupPr>
            <m:e>
              <m:r>
                <w:rPr>
                  <w:rFonts w:ascii="Cambria Math" w:hAnsi="Cambria Math"/>
                  <w:lang w:val="en-GB"/>
                </w:rPr>
                <m:t>v</m:t>
              </m:r>
            </m:e>
            <m:sub>
              <m:r>
                <w:rPr>
                  <w:rFonts w:ascii="Cambria Math" w:hAnsi="Cambria Math"/>
                  <w:lang w:val="en-GB"/>
                </w:rPr>
                <m:t>2</m:t>
              </m:r>
            </m:sub>
            <m:sup>
              <m:r>
                <w:rPr>
                  <w:rFonts w:ascii="Cambria Math" w:hAnsi="Cambria Math"/>
                  <w:lang w:val="en-GB"/>
                </w:rPr>
                <m:t>(n+1)</m:t>
              </m:r>
            </m:sup>
          </m:sSubSup>
          <m:r>
            <w:rPr>
              <w:rFonts w:ascii="Cambria Math" w:hAnsi="Cambria Math"/>
              <w:lang w:val="en-GB"/>
            </w:rPr>
            <m:t>=</m:t>
          </m:r>
          <m:d>
            <m:dPr>
              <m:ctrlPr>
                <w:rPr>
                  <w:rFonts w:ascii="Cambria Math" w:hAnsi="Cambria Math"/>
                  <w:i/>
                  <w:lang w:val="en-GB"/>
                </w:rPr>
              </m:ctrlPr>
            </m:dPr>
            <m:e>
              <m:r>
                <w:rPr>
                  <w:rFonts w:ascii="Cambria Math" w:hAnsi="Cambria Math"/>
                  <w:lang w:val="en-GB"/>
                </w:rPr>
                <m:t>1-ω</m:t>
              </m:r>
            </m:e>
          </m:d>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v</m:t>
              </m:r>
            </m:e>
            <m:sub>
              <m:r>
                <w:rPr>
                  <w:rFonts w:ascii="Cambria Math" w:hAnsi="Cambria Math"/>
                  <w:lang w:val="en-GB"/>
                </w:rPr>
                <m:t>2</m:t>
              </m:r>
            </m:sub>
            <m:sup>
              <m:r>
                <w:rPr>
                  <w:rFonts w:ascii="Cambria Math" w:hAnsi="Cambria Math"/>
                  <w:lang w:val="en-GB"/>
                </w:rPr>
                <m:t>(n)</m:t>
              </m:r>
            </m:sup>
          </m:sSubSup>
          <m:r>
            <w:rPr>
              <w:rFonts w:ascii="Cambria Math" w:hAnsi="Cambria Math"/>
              <w:lang w:val="en-GB"/>
            </w:rPr>
            <m:t>+ω∙</m:t>
          </m:r>
          <m:sSubSup>
            <m:sSubSupPr>
              <m:ctrlPr>
                <w:rPr>
                  <w:rFonts w:ascii="Cambria Math" w:hAnsi="Cambria Math"/>
                  <w:i/>
                  <w:lang w:val="en-GB"/>
                </w:rPr>
              </m:ctrlPr>
            </m:sSubSupPr>
            <m:e>
              <m:r>
                <w:rPr>
                  <w:rFonts w:ascii="Cambria Math" w:hAnsi="Cambria Math"/>
                  <w:lang w:val="en-GB"/>
                </w:rPr>
                <m:t>v</m:t>
              </m:r>
            </m:e>
            <m:sub>
              <m:r>
                <w:rPr>
                  <w:rFonts w:ascii="Cambria Math" w:hAnsi="Cambria Math"/>
                  <w:lang w:val="en-GB"/>
                </w:rPr>
                <m:t>1</m:t>
              </m:r>
            </m:sub>
            <m:sup>
              <m:r>
                <w:rPr>
                  <w:rFonts w:ascii="Cambria Math" w:hAnsi="Cambria Math"/>
                  <w:lang w:val="en-GB"/>
                </w:rPr>
                <m:t>(n)</m:t>
              </m:r>
            </m:sup>
          </m:sSubSup>
          <m:r>
            <w:rPr>
              <w:rFonts w:ascii="Cambria Math" w:hAnsi="Cambria Math"/>
              <w:lang w:val="en-GB"/>
            </w:rPr>
            <m:t xml:space="preserve">                                                                                                                                      (20)</m:t>
          </m:r>
        </m:oMath>
      </m:oMathPara>
    </w:p>
    <w:p w14:paraId="736B928C" w14:textId="24596A18" w:rsidR="00F10132" w:rsidRDefault="00D32720" w:rsidP="002239DD">
      <w:pPr>
        <w:pStyle w:val="CETBodytext"/>
        <w:spacing w:before="240"/>
      </w:pPr>
      <w:r>
        <w:t>Finding the stationary value of Equation (18), satisfying restrictions (16) and (17), is equivalent to solving the set of differential equations given by (7)</w:t>
      </w:r>
      <w:r>
        <w:sym w:font="Symbol" w:char="F02D"/>
      </w:r>
      <w:r>
        <w:t>(9).</w:t>
      </w:r>
    </w:p>
    <w:p w14:paraId="1D867E77" w14:textId="18CD6DC3" w:rsidR="00F10132" w:rsidRPr="00476DCD" w:rsidRDefault="00F079EC" w:rsidP="006A26FA">
      <w:pPr>
        <w:pStyle w:val="CETheadingx"/>
      </w:pPr>
      <w:r>
        <w:t>Mathematical Model</w:t>
      </w:r>
    </w:p>
    <w:p w14:paraId="3BCC4F80" w14:textId="6D27F2DA" w:rsidR="00E34574" w:rsidRDefault="001F09C9" w:rsidP="00626859">
      <w:pPr>
        <w:pStyle w:val="CETBodytext"/>
      </w:pPr>
      <w:r>
        <w:t>General mass and momentum balance equations for single fluids can be found in Bird et al (2002), while for two phase</w:t>
      </w:r>
      <w:r w:rsidR="00E34574">
        <w:t>s</w:t>
      </w:r>
      <w:r>
        <w:t xml:space="preserve"> flow can be found in</w:t>
      </w:r>
      <w:r w:rsidR="00192859">
        <w:t xml:space="preserve"> Torvik and Svendsen (1990)</w:t>
      </w:r>
      <w:r w:rsidR="00E7103E">
        <w:t xml:space="preserve">, </w:t>
      </w:r>
      <w:r w:rsidR="0094694F">
        <w:t xml:space="preserve">and </w:t>
      </w:r>
      <w:r w:rsidR="00E7103E">
        <w:t>Grienberger and Hofmann (1992)</w:t>
      </w:r>
      <w:r w:rsidR="0094694F">
        <w:t>.</w:t>
      </w:r>
    </w:p>
    <w:p w14:paraId="7F4D87F9" w14:textId="309C7DDF" w:rsidR="00153EFC" w:rsidRDefault="002862E9" w:rsidP="00626859">
      <w:pPr>
        <w:pStyle w:val="CETBodytext"/>
      </w:pPr>
      <w:r>
        <w:t>The fluid dynamic</w:t>
      </w:r>
      <w:r w:rsidR="00282C54" w:rsidRPr="00476DCD">
        <w:t xml:space="preserve"> model considers a general heterogeneous system with two phases, which could be gas-solid, liquid-solid, gas-liquid, or liquid-liquid (immiscible). These two phases here are designated by </w:t>
      </w:r>
      <m:oMath>
        <m:r>
          <w:rPr>
            <w:rFonts w:ascii="Cambria Math" w:hAnsi="Cambria Math"/>
          </w:rPr>
          <m:t>i=1,2</m:t>
        </m:r>
      </m:oMath>
      <w:r w:rsidR="00282C54" w:rsidRPr="00476DCD">
        <w:rPr>
          <w:rFonts w:eastAsiaTheme="minorEastAsia"/>
        </w:rPr>
        <w:t>.</w:t>
      </w:r>
      <w:r w:rsidR="00282C54" w:rsidRPr="00476DCD">
        <w:t xml:space="preserve"> The equations for the steady state isothermal two phase flow in cylindrical coordinates with axi-symmetry (</w:t>
      </w:r>
      <w:r w:rsidR="00282C54" w:rsidRPr="00476DCD">
        <w:rPr>
          <w:i/>
        </w:rPr>
        <w:t>r</w:t>
      </w:r>
      <w:r w:rsidR="00282C54" w:rsidRPr="00476DCD">
        <w:t xml:space="preserve">, </w:t>
      </w:r>
      <w:r w:rsidR="00282C54" w:rsidRPr="00476DCD">
        <w:rPr>
          <w:i/>
        </w:rPr>
        <w:t>z</w:t>
      </w:r>
      <w:r w:rsidR="00282C54" w:rsidRPr="00476DCD">
        <w:t>) are given by</w:t>
      </w:r>
      <w:r w:rsidR="00CA45F7">
        <w:t>:</w:t>
      </w:r>
    </w:p>
    <w:p w14:paraId="5B507150" w14:textId="77777777" w:rsidR="00153EFC" w:rsidRDefault="00153EFC" w:rsidP="00626859">
      <w:pPr>
        <w:pStyle w:val="CETBodytext"/>
      </w:pPr>
    </w:p>
    <w:p w14:paraId="02682362" w14:textId="77777777" w:rsidR="00282C54" w:rsidRPr="00476DCD" w:rsidRDefault="00282C54" w:rsidP="002F2CE9">
      <w:pPr>
        <w:pStyle w:val="CETBodytext"/>
        <w:tabs>
          <w:tab w:val="left" w:pos="1276"/>
        </w:tabs>
      </w:pPr>
      <w:r w:rsidRPr="00476DCD">
        <w:t>- Volumetric fraction balance:</w:t>
      </w:r>
    </w:p>
    <w:p w14:paraId="7022216B" w14:textId="04CDFBD9" w:rsidR="00282C54" w:rsidRPr="00B1220A" w:rsidRDefault="00ED2F67" w:rsidP="002F2CE9">
      <w:pPr>
        <w:pStyle w:val="CETEquation"/>
        <w:ind w:left="567"/>
        <w:rPr>
          <w:rFonts w:eastAsiaTheme="minorEastAsia"/>
        </w:rPr>
      </w:pPr>
      <m:oMathPara>
        <m:oMathParaPr>
          <m:jc m:val="left"/>
        </m:oMathParaPr>
        <m:oMath>
          <m:sSub>
            <m:sSubPr>
              <m:ctrlPr>
                <w:rPr>
                  <w:rFonts w:ascii="Cambria Math" w:eastAsiaTheme="minorEastAsia" w:hAnsi="Cambria Math"/>
                </w:rPr>
              </m:ctrlPr>
            </m:sSubPr>
            <m:e>
              <m:r>
                <w:rPr>
                  <w:rFonts w:ascii="Cambria Math" w:eastAsiaTheme="minorEastAsia" w:hAnsi="Cambria Math"/>
                </w:rPr>
                <m:t>ε</m:t>
              </m:r>
            </m:e>
            <m:sub>
              <m:r>
                <m:rPr>
                  <m:sty m:val="p"/>
                </m:rPr>
                <w:rPr>
                  <w:rFonts w:ascii="Cambria Math" w:eastAsiaTheme="minorEastAsia" w:hAnsi="Cambria Math"/>
                </w:rPr>
                <m:t>1</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ε</m:t>
              </m:r>
            </m:e>
            <m:sub>
              <m:r>
                <m:rPr>
                  <m:sty m:val="p"/>
                </m:rPr>
                <w:rPr>
                  <w:rFonts w:ascii="Cambria Math" w:eastAsiaTheme="minorEastAsia" w:hAnsi="Cambria Math"/>
                </w:rPr>
                <m:t>2</m:t>
              </m:r>
            </m:sub>
          </m:sSub>
          <m:r>
            <m:rPr>
              <m:sty m:val="p"/>
            </m:rPr>
            <w:rPr>
              <w:rFonts w:ascii="Cambria Math" w:eastAsiaTheme="minorEastAsia" w:hAnsi="Cambria Math"/>
            </w:rPr>
            <m:t>=1                                                                                                                                                                                (21)</m:t>
          </m:r>
        </m:oMath>
      </m:oMathPara>
    </w:p>
    <w:p w14:paraId="34FF3E87" w14:textId="77777777" w:rsidR="00C26429" w:rsidRDefault="00C26429" w:rsidP="00626859">
      <w:pPr>
        <w:pStyle w:val="CETBodytext"/>
      </w:pPr>
    </w:p>
    <w:p w14:paraId="6868F644" w14:textId="77777777" w:rsidR="00282C54" w:rsidRPr="00476DCD" w:rsidRDefault="00282C54" w:rsidP="00626859">
      <w:pPr>
        <w:pStyle w:val="CETBodytext"/>
      </w:pPr>
      <w:r w:rsidRPr="00476DCD">
        <w:t xml:space="preserve">- Mass balance for </w:t>
      </w:r>
      <m:oMath>
        <m:r>
          <w:rPr>
            <w:rFonts w:ascii="Cambria Math" w:hAnsi="Cambria Math"/>
          </w:rPr>
          <m:t>i=1,2</m:t>
        </m:r>
      </m:oMath>
      <w:r w:rsidRPr="00476DCD">
        <w:t>:</w:t>
      </w:r>
    </w:p>
    <w:p w14:paraId="1DBC6AF1" w14:textId="2A7315DC" w:rsidR="00282C54" w:rsidRPr="00121C5F" w:rsidRDefault="00ED2F67" w:rsidP="00121C5F">
      <w:pPr>
        <w:pStyle w:val="CETEquation"/>
        <w:ind w:left="567"/>
        <w:rPr>
          <w:rFonts w:eastAsiaTheme="minorEastAsia"/>
        </w:rPr>
      </w:pPr>
      <m:oMathPara>
        <m:oMathParaPr>
          <m:jc m:val="left"/>
        </m:oMathParaPr>
        <m:oMath>
          <m:f>
            <m:fPr>
              <m:ctrlPr>
                <w:rPr>
                  <w:rFonts w:ascii="Cambria Math" w:hAnsi="Cambria Math"/>
                </w:rPr>
              </m:ctrlPr>
            </m:fPr>
            <m:num>
              <m:r>
                <m:rPr>
                  <m:sty m:val="p"/>
                </m:rPr>
                <w:rPr>
                  <w:rFonts w:ascii="Cambria Math" w:hAnsi="Cambria Math"/>
                </w:rPr>
                <m:t>1</m:t>
              </m:r>
            </m:num>
            <m:den>
              <m:r>
                <w:rPr>
                  <w:rFonts w:ascii="Cambria Math" w:hAnsi="Cambria Math"/>
                </w:rPr>
                <m:t>r</m:t>
              </m:r>
            </m:den>
          </m:f>
          <m:r>
            <m:rPr>
              <m:sty m:val="p"/>
            </m:rPr>
            <w:rPr>
              <w:rFonts w:ascii="Cambria Math" w:hAnsi="Cambria Math"/>
            </w:rPr>
            <m:t>∙</m:t>
          </m:r>
          <m:f>
            <m:fPr>
              <m:ctrlPr>
                <w:rPr>
                  <w:rFonts w:ascii="Cambria Math" w:hAnsi="Cambria Math"/>
                </w:rPr>
              </m:ctrlPr>
            </m:fPr>
            <m:num>
              <m:r>
                <w:rPr>
                  <w:rFonts w:ascii="Cambria Math" w:hAnsi="Cambria Math"/>
                </w:rPr>
                <m:t>∂</m:t>
              </m:r>
            </m:num>
            <m:den>
              <m:r>
                <w:rPr>
                  <w:rFonts w:ascii="Cambria Math" w:hAnsi="Cambria Math"/>
                </w:rPr>
                <m:t>∂r</m:t>
              </m:r>
            </m:den>
          </m:f>
          <m:d>
            <m:dPr>
              <m:begChr m:val="["/>
              <m:endChr m:val="]"/>
              <m:ctrlPr>
                <w:rPr>
                  <w:rFonts w:ascii="Cambria Math" w:hAnsi="Cambria Math"/>
                </w:rPr>
              </m:ctrlPr>
            </m:dPr>
            <m:e>
              <m:r>
                <w:rPr>
                  <w:rFonts w:ascii="Cambria Math" w:hAnsi="Cambria Math"/>
                </w:rPr>
                <m:t>r</m:t>
              </m:r>
              <m:r>
                <m:rPr>
                  <m:sty m:val="p"/>
                </m:rP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ε</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ir</m:t>
                  </m:r>
                </m:sub>
              </m:sSub>
              <m:r>
                <m:rPr>
                  <m:sty m:val="p"/>
                </m:rPr>
                <w:rPr>
                  <w:rFonts w:ascii="Cambria Math" w:hAnsi="Cambria Math"/>
                </w:rPr>
                <m:t>-</m:t>
              </m:r>
              <m:sSub>
                <m:sSubPr>
                  <m:ctrlPr>
                    <w:rPr>
                      <w:rFonts w:ascii="Cambria Math" w:hAnsi="Cambria Math"/>
                    </w:rPr>
                  </m:ctrlPr>
                </m:sSubPr>
                <m:e>
                  <m:r>
                    <w:rPr>
                      <w:rFonts w:ascii="Cambria Math" w:hAnsi="Cambria Math"/>
                    </w:rPr>
                    <m:t>r</m:t>
                  </m:r>
                  <m:r>
                    <m:rPr>
                      <m:sty m:val="p"/>
                    </m:rPr>
                    <w:rPr>
                      <w:rFonts w:ascii="Cambria Math" w:hAnsi="Cambria Math"/>
                    </w:rPr>
                    <m:t>∙</m:t>
                  </m:r>
                  <m:r>
                    <w:rPr>
                      <w:rFonts w:ascii="Cambria Math" w:hAnsi="Cambria Math"/>
                    </w:rPr>
                    <m:t>D</m:t>
                  </m:r>
                </m:e>
                <m:sub>
                  <m:r>
                    <w:rPr>
                      <w:rFonts w:ascii="Cambria Math" w:hAnsi="Cambria Math"/>
                    </w:rPr>
                    <m:t>ij</m:t>
                  </m:r>
                </m:sub>
              </m:sSub>
              <m:r>
                <m:rPr>
                  <m:sty m:val="p"/>
                </m:rPr>
                <w:rPr>
                  <w:rFonts w:ascii="Cambria Math" w:hAnsi="Cambria Math"/>
                </w:rPr>
                <m:t>∙</m:t>
              </m:r>
              <m:f>
                <m:fPr>
                  <m:ctrlPr>
                    <w:rPr>
                      <w:rFonts w:ascii="Cambria Math" w:hAnsi="Cambria Math"/>
                    </w:rPr>
                  </m:ctrlPr>
                </m:fPr>
                <m:num>
                  <m:r>
                    <w:rPr>
                      <w:rFonts w:ascii="Cambria Math" w:hAnsi="Cambria Math"/>
                    </w:rPr>
                    <m:t>∂</m:t>
                  </m:r>
                </m:num>
                <m:den>
                  <m:r>
                    <w:rPr>
                      <w:rFonts w:ascii="Cambria Math" w:hAnsi="Cambria Math"/>
                    </w:rPr>
                    <m:t>∂r</m:t>
                  </m:r>
                </m:den>
              </m:f>
              <m:d>
                <m:dPr>
                  <m:ctrlPr>
                    <w:rPr>
                      <w:rFonts w:ascii="Cambria Math" w:hAnsi="Cambria Math"/>
                    </w:rPr>
                  </m:ctrlPr>
                </m:dPr>
                <m:e>
                  <m:sSub>
                    <m:sSubPr>
                      <m:ctrlPr>
                        <w:rPr>
                          <w:rFonts w:ascii="Cambria Math" w:hAnsi="Cambria Math"/>
                        </w:rPr>
                      </m:ctrlPr>
                    </m:sSubPr>
                    <m:e>
                      <m:r>
                        <w:rPr>
                          <w:rFonts w:ascii="Cambria Math" w:hAnsi="Cambria Math"/>
                        </w:rPr>
                        <m:t>ρ</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ε</m:t>
                      </m:r>
                    </m:e>
                    <m:sub>
                      <m:r>
                        <w:rPr>
                          <w:rFonts w:ascii="Cambria Math" w:hAnsi="Cambria Math"/>
                        </w:rPr>
                        <m:t>i</m:t>
                      </m:r>
                    </m:sub>
                  </m:sSub>
                </m:e>
              </m:d>
            </m:e>
          </m:d>
          <m:r>
            <m:rPr>
              <m:sty m:val="p"/>
            </m:rPr>
            <w:rPr>
              <w:rFonts w:ascii="Cambria Math" w:hAnsi="Cambria Math"/>
            </w:rPr>
            <m:t>+</m:t>
          </m:r>
          <m:f>
            <m:fPr>
              <m:ctrlPr>
                <w:rPr>
                  <w:rFonts w:ascii="Cambria Math" w:hAnsi="Cambria Math"/>
                </w:rPr>
              </m:ctrlPr>
            </m:fPr>
            <m:num>
              <m:r>
                <w:rPr>
                  <w:rFonts w:ascii="Cambria Math" w:hAnsi="Cambria Math"/>
                </w:rPr>
                <m:t>∂</m:t>
              </m:r>
            </m:num>
            <m:den>
              <m:r>
                <w:rPr>
                  <w:rFonts w:ascii="Cambria Math" w:hAnsi="Cambria Math"/>
                </w:rPr>
                <m:t>∂z</m:t>
              </m:r>
            </m:den>
          </m:f>
          <m:d>
            <m:dPr>
              <m:begChr m:val="["/>
              <m:endChr m:val="]"/>
              <m:ctrlPr>
                <w:rPr>
                  <w:rFonts w:ascii="Cambria Math" w:hAnsi="Cambria Math"/>
                </w:rPr>
              </m:ctrlPr>
            </m:dPr>
            <m:e>
              <m:sSub>
                <m:sSubPr>
                  <m:ctrlPr>
                    <w:rPr>
                      <w:rFonts w:ascii="Cambria Math" w:hAnsi="Cambria Math"/>
                    </w:rPr>
                  </m:ctrlPr>
                </m:sSubPr>
                <m:e>
                  <m:r>
                    <w:rPr>
                      <w:rFonts w:ascii="Cambria Math" w:hAnsi="Cambria Math"/>
                    </w:rPr>
                    <m:t>ρ</m:t>
                  </m:r>
                </m:e>
                <m:sub>
                  <m:r>
                    <w:rPr>
                      <w:rFonts w:ascii="Cambria Math" w:hAnsi="Cambria Math"/>
                    </w:rPr>
                    <m:t>i</m:t>
                  </m:r>
                </m:sub>
              </m:sSub>
              <m:sSub>
                <m:sSubPr>
                  <m:ctrlPr>
                    <w:rPr>
                      <w:rFonts w:ascii="Cambria Math" w:hAnsi="Cambria Math"/>
                    </w:rPr>
                  </m:ctrlPr>
                </m:sSubPr>
                <m:e>
                  <m:r>
                    <m:rPr>
                      <m:sty m:val="p"/>
                    </m:rPr>
                    <w:rPr>
                      <w:rFonts w:ascii="Cambria Math" w:hAnsi="Cambria Math"/>
                    </w:rPr>
                    <m:t>∙</m:t>
                  </m:r>
                  <m:sSub>
                    <m:sSubPr>
                      <m:ctrlPr>
                        <w:rPr>
                          <w:rFonts w:ascii="Cambria Math" w:hAnsi="Cambria Math"/>
                        </w:rPr>
                      </m:ctrlPr>
                    </m:sSubPr>
                    <m:e>
                      <m:r>
                        <w:rPr>
                          <w:rFonts w:ascii="Cambria Math" w:hAnsi="Cambria Math"/>
                        </w:rPr>
                        <m:t>ε</m:t>
                      </m:r>
                    </m:e>
                    <m:sub>
                      <m:r>
                        <w:rPr>
                          <w:rFonts w:ascii="Cambria Math" w:hAnsi="Cambria Math"/>
                        </w:rPr>
                        <m:t>i</m:t>
                      </m:r>
                    </m:sub>
                  </m:sSub>
                  <m:r>
                    <m:rPr>
                      <m:sty m:val="p"/>
                    </m:rPr>
                    <w:rPr>
                      <w:rFonts w:ascii="Cambria Math" w:hAnsi="Cambria Math"/>
                    </w:rPr>
                    <m:t>∙</m:t>
                  </m:r>
                  <m:r>
                    <w:rPr>
                      <w:rFonts w:ascii="Cambria Math" w:hAnsi="Cambria Math"/>
                    </w:rPr>
                    <m:t>v</m:t>
                  </m:r>
                </m:e>
                <m:sub>
                  <m:r>
                    <w:rPr>
                      <w:rFonts w:ascii="Cambria Math" w:hAnsi="Cambria Math"/>
                    </w:rPr>
                    <m:t>iz</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ij</m:t>
                  </m:r>
                </m:sub>
              </m:sSub>
              <m:r>
                <m:rPr>
                  <m:sty m:val="p"/>
                </m:rPr>
                <w:rPr>
                  <w:rFonts w:ascii="Cambria Math" w:hAnsi="Cambria Math"/>
                </w:rPr>
                <m:t>∙</m:t>
              </m:r>
              <m:f>
                <m:fPr>
                  <m:ctrlPr>
                    <w:rPr>
                      <w:rFonts w:ascii="Cambria Math" w:hAnsi="Cambria Math"/>
                    </w:rPr>
                  </m:ctrlPr>
                </m:fPr>
                <m:num>
                  <m:r>
                    <w:rPr>
                      <w:rFonts w:ascii="Cambria Math" w:hAnsi="Cambria Math"/>
                    </w:rPr>
                    <m:t>∂</m:t>
                  </m:r>
                </m:num>
                <m:den>
                  <m:r>
                    <w:rPr>
                      <w:rFonts w:ascii="Cambria Math" w:hAnsi="Cambria Math"/>
                    </w:rPr>
                    <m:t>∂z</m:t>
                  </m:r>
                </m:den>
              </m:f>
              <m:d>
                <m:dPr>
                  <m:ctrlPr>
                    <w:rPr>
                      <w:rFonts w:ascii="Cambria Math" w:hAnsi="Cambria Math"/>
                    </w:rPr>
                  </m:ctrlPr>
                </m:dPr>
                <m:e>
                  <m:sSub>
                    <m:sSubPr>
                      <m:ctrlPr>
                        <w:rPr>
                          <w:rFonts w:ascii="Cambria Math" w:hAnsi="Cambria Math"/>
                        </w:rPr>
                      </m:ctrlPr>
                    </m:sSubPr>
                    <m:e>
                      <m:r>
                        <w:rPr>
                          <w:rFonts w:ascii="Cambria Math" w:hAnsi="Cambria Math"/>
                        </w:rPr>
                        <m:t>ρ</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ε</m:t>
                      </m:r>
                    </m:e>
                    <m:sub>
                      <m:r>
                        <w:rPr>
                          <w:rFonts w:ascii="Cambria Math" w:hAnsi="Cambria Math"/>
                        </w:rPr>
                        <m:t>i</m:t>
                      </m:r>
                    </m:sub>
                  </m:sSub>
                </m:e>
              </m:d>
            </m:e>
          </m:d>
          <m:r>
            <m:rPr>
              <m:sty m:val="p"/>
            </m:rPr>
            <w:rPr>
              <w:rFonts w:ascii="Cambria Math" w:hAnsi="Cambria Math"/>
            </w:rPr>
            <m:t>=</m:t>
          </m:r>
          <m:sSub>
            <m:sSubPr>
              <m:ctrlPr>
                <w:rPr>
                  <w:rFonts w:ascii="Cambria Math" w:hAnsi="Cambria Math"/>
                </w:rPr>
              </m:ctrlPr>
            </m:sSubPr>
            <m:e>
              <m:r>
                <w:rPr>
                  <w:rFonts w:ascii="Cambria Math" w:hAnsi="Cambria Math"/>
                </w:rPr>
                <m:t>ξ</m:t>
              </m:r>
            </m:e>
            <m:sub>
              <m:r>
                <w:rPr>
                  <w:rFonts w:ascii="Cambria Math" w:hAnsi="Cambria Math"/>
                </w:rPr>
                <m:t>i</m:t>
              </m:r>
            </m:sub>
          </m:sSub>
          <m:r>
            <m:rPr>
              <m:sty m:val="p"/>
            </m:rPr>
            <w:rPr>
              <w:rFonts w:ascii="Cambria Math" w:hAnsi="Cambria Math"/>
            </w:rPr>
            <m:t xml:space="preserve">                                          (22)</m:t>
          </m:r>
        </m:oMath>
      </m:oMathPara>
    </w:p>
    <w:p w14:paraId="605F6A07" w14:textId="473E38DC" w:rsidR="00282C54" w:rsidRPr="00357108" w:rsidRDefault="00ED2F67" w:rsidP="00357108">
      <w:pPr>
        <w:pStyle w:val="CETEquation"/>
        <w:ind w:left="567"/>
        <w:rPr>
          <w:rFonts w:eastAsiaTheme="minorEastAsia"/>
        </w:rPr>
      </w:pPr>
      <m:oMathPara>
        <m:oMathParaPr>
          <m:jc m:val="left"/>
        </m:oMathParaPr>
        <m:oMath>
          <m:sSub>
            <m:sSubPr>
              <m:ctrlPr>
                <w:rPr>
                  <w:rFonts w:ascii="Cambria Math" w:eastAsiaTheme="minorEastAsia" w:hAnsi="Cambria Math"/>
                </w:rPr>
              </m:ctrlPr>
            </m:sSubPr>
            <m:e>
              <m:r>
                <w:rPr>
                  <w:rFonts w:ascii="Cambria Math" w:eastAsiaTheme="minorEastAsia" w:hAnsi="Cambria Math"/>
                </w:rPr>
                <m:t>ξ</m:t>
              </m:r>
            </m:e>
            <m:sub>
              <m:r>
                <m:rPr>
                  <m:sty m:val="p"/>
                </m:rPr>
                <w:rPr>
                  <w:rFonts w:ascii="Cambria Math" w:eastAsiaTheme="minorEastAsia" w:hAnsi="Cambria Math"/>
                </w:rPr>
                <m:t>1</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ξ</m:t>
              </m:r>
            </m:e>
            <m:sub>
              <m:r>
                <m:rPr>
                  <m:sty m:val="p"/>
                </m:rPr>
                <w:rPr>
                  <w:rFonts w:ascii="Cambria Math" w:eastAsiaTheme="minorEastAsia" w:hAnsi="Cambria Math"/>
                </w:rPr>
                <m:t>2</m:t>
              </m:r>
            </m:sub>
          </m:sSub>
          <m:r>
            <m:rPr>
              <m:sty m:val="p"/>
            </m:rPr>
            <w:rPr>
              <w:rFonts w:ascii="Cambria Math" w:eastAsiaTheme="minorEastAsia" w:hAnsi="Cambria Math"/>
            </w:rPr>
            <m:t>=0                                                                                                                                                                                (23)</m:t>
          </m:r>
        </m:oMath>
      </m:oMathPara>
    </w:p>
    <w:p w14:paraId="47737D83" w14:textId="77777777" w:rsidR="00282C54" w:rsidRDefault="00282C54" w:rsidP="00626859">
      <w:pPr>
        <w:pStyle w:val="CETBodytext"/>
        <w:rPr>
          <w:rFonts w:eastAsiaTheme="minorEastAsia"/>
        </w:rPr>
      </w:pPr>
      <w:r w:rsidRPr="00476DCD">
        <w:rPr>
          <w:rFonts w:eastAsiaTheme="minorEastAsia"/>
        </w:rPr>
        <w:t xml:space="preserve">If there is no mass transfer between the phases, then </w:t>
      </w:r>
      <m:oMath>
        <m:sSub>
          <m:sSubPr>
            <m:ctrlPr>
              <w:rPr>
                <w:rFonts w:ascii="Cambria Math" w:eastAsiaTheme="minorEastAsia" w:hAnsi="Cambria Math"/>
                <w:i/>
              </w:rPr>
            </m:ctrlPr>
          </m:sSubPr>
          <m:e>
            <m:r>
              <w:rPr>
                <w:rFonts w:ascii="Cambria Math" w:eastAsiaTheme="minorEastAsia" w:hAnsi="Cambria Math"/>
              </w:rPr>
              <m:t>ξ</m:t>
            </m:r>
          </m:e>
          <m:sub>
            <m:r>
              <w:rPr>
                <w:rFonts w:ascii="Cambria Math" w:eastAsiaTheme="minorEastAsia" w:hAnsi="Cambria Math"/>
              </w:rPr>
              <m:t>i</m:t>
            </m:r>
          </m:sub>
        </m:sSub>
        <m:r>
          <w:rPr>
            <w:rFonts w:ascii="Cambria Math" w:eastAsiaTheme="minorEastAsia" w:hAnsi="Cambria Math"/>
          </w:rPr>
          <m:t>=0</m:t>
        </m:r>
      </m:oMath>
      <w:r w:rsidRPr="00476DCD">
        <w:rPr>
          <w:rFonts w:eastAsiaTheme="minorEastAsia"/>
        </w:rPr>
        <w:t>.</w:t>
      </w:r>
    </w:p>
    <w:p w14:paraId="51DB862F" w14:textId="77777777" w:rsidR="00C26429" w:rsidRDefault="00C26429" w:rsidP="00626859">
      <w:pPr>
        <w:pStyle w:val="CETBodytext"/>
        <w:rPr>
          <w:rFonts w:eastAsiaTheme="minorEastAsia"/>
        </w:rPr>
      </w:pPr>
    </w:p>
    <w:p w14:paraId="34A2E4CE" w14:textId="07F1FD06" w:rsidR="00282C54" w:rsidRPr="00476DCD" w:rsidRDefault="00282C54" w:rsidP="008B6605">
      <w:pPr>
        <w:pStyle w:val="CETBodytext"/>
        <w:rPr>
          <w:rFonts w:eastAsiaTheme="minorEastAsia"/>
        </w:rPr>
      </w:pPr>
      <w:r w:rsidRPr="00476DCD">
        <w:rPr>
          <w:rFonts w:eastAsiaTheme="minorEastAsia"/>
        </w:rPr>
        <w:lastRenderedPageBreak/>
        <w:t xml:space="preserve">- Momentum balance for </w:t>
      </w:r>
      <m:oMath>
        <m:r>
          <w:rPr>
            <w:rFonts w:ascii="Cambria Math" w:hAnsi="Cambria Math"/>
          </w:rPr>
          <m:t>i=1,2</m:t>
        </m:r>
      </m:oMath>
      <w:r w:rsidRPr="00476DCD">
        <w:rPr>
          <w:rFonts w:eastAsiaTheme="minorEastAsia"/>
        </w:rPr>
        <w:t>:</w:t>
      </w:r>
    </w:p>
    <w:p w14:paraId="683080FC" w14:textId="77777777" w:rsidR="00282C54" w:rsidRPr="00476DCD" w:rsidRDefault="00ED2F67" w:rsidP="001D7C7F">
      <w:pPr>
        <w:pStyle w:val="CETEquation"/>
        <w:ind w:left="567"/>
        <w:rPr>
          <w:rFonts w:eastAsiaTheme="minorEastAsia"/>
        </w:rPr>
      </w:pPr>
      <m:oMathPara>
        <m:oMathParaPr>
          <m:jc m:val="left"/>
        </m:oMathParaPr>
        <m:oMath>
          <m:f>
            <m:fPr>
              <m:ctrlPr>
                <w:rPr>
                  <w:rFonts w:ascii="Cambria Math" w:hAnsi="Cambria Math"/>
                </w:rPr>
              </m:ctrlPr>
            </m:fPr>
            <m:num>
              <m:r>
                <m:rPr>
                  <m:sty m:val="p"/>
                </m:rPr>
                <w:rPr>
                  <w:rFonts w:ascii="Cambria Math" w:hAnsi="Cambria Math"/>
                </w:rPr>
                <m:t>1</m:t>
              </m:r>
            </m:num>
            <m:den>
              <m:r>
                <w:rPr>
                  <w:rFonts w:ascii="Cambria Math" w:hAnsi="Cambria Math"/>
                </w:rPr>
                <m:t>r</m:t>
              </m:r>
            </m:den>
          </m:f>
          <m:r>
            <m:rPr>
              <m:sty m:val="p"/>
            </m:rPr>
            <w:rPr>
              <w:rFonts w:ascii="Cambria Math" w:hAnsi="Cambria Math"/>
            </w:rPr>
            <m:t>∙</m:t>
          </m:r>
          <m:f>
            <m:fPr>
              <m:ctrlPr>
                <w:rPr>
                  <w:rFonts w:ascii="Cambria Math" w:hAnsi="Cambria Math"/>
                </w:rPr>
              </m:ctrlPr>
            </m:fPr>
            <m:num>
              <m:r>
                <w:rPr>
                  <w:rFonts w:ascii="Cambria Math" w:hAnsi="Cambria Math"/>
                </w:rPr>
                <m:t>∂</m:t>
              </m:r>
            </m:num>
            <m:den>
              <m:r>
                <w:rPr>
                  <w:rFonts w:ascii="Cambria Math" w:hAnsi="Cambria Math"/>
                </w:rPr>
                <m:t>∂r</m:t>
              </m:r>
            </m:den>
          </m:f>
          <m:d>
            <m:dPr>
              <m:ctrlPr>
                <w:rPr>
                  <w:rFonts w:ascii="Cambria Math" w:hAnsi="Cambria Math"/>
                </w:rPr>
              </m:ctrlPr>
            </m:dPr>
            <m:e>
              <m:sSub>
                <m:sSubPr>
                  <m:ctrlPr>
                    <w:rPr>
                      <w:rFonts w:ascii="Cambria Math" w:hAnsi="Cambria Math"/>
                    </w:rPr>
                  </m:ctrlPr>
                </m:sSubPr>
                <m:e>
                  <m:r>
                    <w:rPr>
                      <w:rFonts w:ascii="Cambria Math" w:hAnsi="Cambria Math"/>
                    </w:rPr>
                    <m:t>r</m:t>
                  </m:r>
                  <m:r>
                    <m:rPr>
                      <m:sty m:val="p"/>
                    </m:rPr>
                    <w:rPr>
                      <w:rFonts w:ascii="Cambria Math" w:hAnsi="Cambria Math"/>
                    </w:rPr>
                    <m:t>∙</m:t>
                  </m:r>
                  <m:r>
                    <w:rPr>
                      <w:rFonts w:ascii="Cambria Math" w:hAnsi="Cambria Math"/>
                    </w:rPr>
                    <m:t>ρ</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ε</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ir</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ir</m:t>
                  </m:r>
                </m:sub>
              </m:sSub>
            </m:e>
          </m:d>
          <m:r>
            <m:rPr>
              <m:sty m:val="p"/>
            </m:rPr>
            <w:rPr>
              <w:rFonts w:ascii="Cambria Math" w:hAnsi="Cambria Math"/>
            </w:rPr>
            <m:t>+</m:t>
          </m:r>
          <m:f>
            <m:fPr>
              <m:ctrlPr>
                <w:rPr>
                  <w:rFonts w:ascii="Cambria Math" w:hAnsi="Cambria Math"/>
                </w:rPr>
              </m:ctrlPr>
            </m:fPr>
            <m:num>
              <m:r>
                <w:rPr>
                  <w:rFonts w:ascii="Cambria Math" w:hAnsi="Cambria Math"/>
                </w:rPr>
                <m:t>∂</m:t>
              </m:r>
            </m:num>
            <m:den>
              <m:r>
                <w:rPr>
                  <w:rFonts w:ascii="Cambria Math" w:hAnsi="Cambria Math"/>
                </w:rPr>
                <m:t>∂z</m:t>
              </m:r>
            </m:den>
          </m:f>
          <m:d>
            <m:dPr>
              <m:ctrlPr>
                <w:rPr>
                  <w:rFonts w:ascii="Cambria Math" w:hAnsi="Cambria Math"/>
                </w:rPr>
              </m:ctrlPr>
            </m:dPr>
            <m:e>
              <m:sSub>
                <m:sSubPr>
                  <m:ctrlPr>
                    <w:rPr>
                      <w:rFonts w:ascii="Cambria Math" w:hAnsi="Cambria Math"/>
                    </w:rPr>
                  </m:ctrlPr>
                </m:sSubPr>
                <m:e>
                  <m:r>
                    <w:rPr>
                      <w:rFonts w:ascii="Cambria Math" w:hAnsi="Cambria Math"/>
                    </w:rPr>
                    <m:t>ρ</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ε</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iz</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ir</m:t>
                  </m:r>
                </m:sub>
              </m:sSub>
            </m:e>
          </m:d>
          <m:r>
            <m:rPr>
              <m:sty m:val="p"/>
            </m:rP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ε</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r</m:t>
              </m:r>
            </m:sub>
          </m:sSub>
          <m:r>
            <m:rPr>
              <m:sty m:val="p"/>
            </m:rPr>
            <w:rPr>
              <w:rFonts w:ascii="Cambria Math" w:hAnsi="Cambria Math"/>
            </w:rPr>
            <m:t>+</m:t>
          </m:r>
          <m:sSub>
            <m:sSubPr>
              <m:ctrlPr>
                <w:rPr>
                  <w:rFonts w:ascii="Cambria Math" w:hAnsi="Cambria Math"/>
                </w:rPr>
              </m:ctrlPr>
            </m:sSubPr>
            <m:e>
              <m:r>
                <w:rPr>
                  <w:rFonts w:ascii="Cambria Math" w:hAnsi="Cambria Math"/>
                </w:rPr>
                <m:t>ξ</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ir</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F</m:t>
              </m:r>
            </m:e>
            <m:sub>
              <m:r>
                <w:rPr>
                  <w:rFonts w:ascii="Cambria Math" w:eastAsiaTheme="minorEastAsia" w:hAnsi="Cambria Math"/>
                </w:rPr>
                <m:t>ijr</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L</m:t>
              </m:r>
            </m:e>
            <m:sub>
              <m:r>
                <w:rPr>
                  <w:rFonts w:ascii="Cambria Math" w:eastAsiaTheme="minorEastAsia" w:hAnsi="Cambria Math"/>
                </w:rPr>
                <m:t>ijr</m:t>
              </m:r>
            </m:sub>
          </m:sSub>
        </m:oMath>
      </m:oMathPara>
    </w:p>
    <w:p w14:paraId="27D12EB2" w14:textId="35F4022F" w:rsidR="00282C54" w:rsidRPr="00476DCD" w:rsidRDefault="00282C54" w:rsidP="00523B2A">
      <w:pPr>
        <w:pStyle w:val="CETEquation"/>
        <w:ind w:left="851"/>
        <w:rPr>
          <w:rFonts w:eastAsiaTheme="minorEastAsia"/>
        </w:rPr>
      </w:pPr>
      <m:oMathPara>
        <m:oMathParaPr>
          <m:jc m:val="left"/>
        </m:oMathParaPr>
        <m:oMath>
          <m:r>
            <m:rPr>
              <m:sty m:val="p"/>
            </m:rPr>
            <w:rPr>
              <w:rFonts w:ascii="Cambria Math" w:hAnsi="Cambria Math"/>
            </w:rPr>
            <m:t>-</m:t>
          </m:r>
          <m:sSub>
            <m:sSubPr>
              <m:ctrlPr>
                <w:rPr>
                  <w:rFonts w:ascii="Cambria Math" w:hAnsi="Cambria Math"/>
                </w:rPr>
              </m:ctrlPr>
            </m:sSubPr>
            <m:e>
              <m:r>
                <w:rPr>
                  <w:rFonts w:ascii="Cambria Math" w:hAnsi="Cambria Math"/>
                </w:rPr>
                <m:t>ε</m:t>
              </m:r>
            </m:e>
            <m:sub>
              <m:r>
                <w:rPr>
                  <w:rFonts w:ascii="Cambria Math" w:hAnsi="Cambria Math"/>
                </w:rPr>
                <m:t>i</m:t>
              </m:r>
            </m:sub>
          </m:sSub>
          <m:r>
            <m:rPr>
              <m:sty m:val="p"/>
            </m:rPr>
            <w:rPr>
              <w:rFonts w:ascii="Cambria Math" w:hAnsi="Cambria Math"/>
            </w:rPr>
            <m:t>∙</m:t>
          </m:r>
          <m:f>
            <m:fPr>
              <m:ctrlPr>
                <w:rPr>
                  <w:rFonts w:ascii="Cambria Math" w:hAnsi="Cambria Math"/>
                </w:rPr>
              </m:ctrlPr>
            </m:fPr>
            <m:num>
              <m:r>
                <w:rPr>
                  <w:rFonts w:ascii="Cambria Math" w:hAnsi="Cambria Math"/>
                </w:rPr>
                <m:t>∂p</m:t>
              </m:r>
            </m:num>
            <m:den>
              <m:r>
                <w:rPr>
                  <w:rFonts w:ascii="Cambria Math" w:hAnsi="Cambria Math"/>
                </w:rPr>
                <m:t>∂r</m:t>
              </m:r>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r</m:t>
              </m:r>
            </m:den>
          </m:f>
          <m:r>
            <m:rPr>
              <m:sty m:val="p"/>
            </m:rPr>
            <w:rPr>
              <w:rFonts w:ascii="Cambria Math" w:hAnsi="Cambria Math"/>
            </w:rPr>
            <m:t>∙</m:t>
          </m:r>
          <m:f>
            <m:fPr>
              <m:ctrlPr>
                <w:rPr>
                  <w:rFonts w:ascii="Cambria Math" w:hAnsi="Cambria Math"/>
                </w:rPr>
              </m:ctrlPr>
            </m:fPr>
            <m:num>
              <m:r>
                <w:rPr>
                  <w:rFonts w:ascii="Cambria Math" w:hAnsi="Cambria Math"/>
                </w:rPr>
                <m:t>∂</m:t>
              </m:r>
            </m:num>
            <m:den>
              <m:r>
                <w:rPr>
                  <w:rFonts w:ascii="Cambria Math" w:hAnsi="Cambria Math"/>
                </w:rPr>
                <m:t>∂r</m:t>
              </m:r>
            </m:den>
          </m:f>
          <m:d>
            <m:dPr>
              <m:begChr m:val="["/>
              <m:endChr m:val="]"/>
              <m:ctrlPr>
                <w:rPr>
                  <w:rFonts w:ascii="Cambria Math" w:hAnsi="Cambria Math"/>
                </w:rPr>
              </m:ctrlPr>
            </m:dPr>
            <m:e>
              <m:r>
                <w:rPr>
                  <w:rFonts w:ascii="Cambria Math" w:hAnsi="Cambria Math"/>
                </w:rPr>
                <m:t>r</m:t>
              </m:r>
              <m:r>
                <m:rPr>
                  <m:sty m:val="p"/>
                </m:rPr>
                <w:rPr>
                  <w:rFonts w:ascii="Cambria Math" w:hAnsi="Cambria Math"/>
                </w:rPr>
                <m:t>∙</m:t>
              </m:r>
              <m:sSub>
                <m:sSubPr>
                  <m:ctrlPr>
                    <w:rPr>
                      <w:rFonts w:ascii="Cambria Math" w:hAnsi="Cambria Math"/>
                    </w:rPr>
                  </m:ctrlPr>
                </m:sSubPr>
                <m:e>
                  <m:r>
                    <w:rPr>
                      <w:rFonts w:ascii="Cambria Math" w:hAnsi="Cambria Math"/>
                    </w:rPr>
                    <m:t>μ</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ε</m:t>
                  </m:r>
                </m:e>
                <m:sub>
                  <m:r>
                    <w:rPr>
                      <w:rFonts w:ascii="Cambria Math" w:hAnsi="Cambria Math"/>
                    </w:rPr>
                    <m:t>i</m:t>
                  </m:r>
                </m:sub>
              </m:sSub>
              <m:r>
                <m:rPr>
                  <m:sty m:val="p"/>
                </m:rPr>
                <w:rPr>
                  <w:rFonts w:ascii="Cambria Math" w:hAnsi="Cambria Math"/>
                </w:rPr>
                <m:t>∙2∙</m:t>
              </m:r>
              <m:f>
                <m:fPr>
                  <m:ctrlPr>
                    <w:rPr>
                      <w:rFonts w:ascii="Cambria Math" w:hAnsi="Cambria Math"/>
                    </w:rPr>
                  </m:ctrlPr>
                </m:fPr>
                <m:num>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ir</m:t>
                      </m:r>
                    </m:sub>
                  </m:sSub>
                </m:num>
                <m:den>
                  <m:r>
                    <w:rPr>
                      <w:rFonts w:ascii="Cambria Math" w:hAnsi="Cambria Math"/>
                    </w:rPr>
                    <m:t>∂r</m:t>
                  </m:r>
                </m:den>
              </m:f>
            </m:e>
          </m:d>
          <m:r>
            <m:rPr>
              <m:sty m:val="p"/>
            </m:rPr>
            <w:rPr>
              <w:rFonts w:ascii="Cambria Math" w:hAnsi="Cambria Math"/>
            </w:rPr>
            <m:t>-</m:t>
          </m:r>
          <m:sSub>
            <m:sSubPr>
              <m:ctrlPr>
                <w:rPr>
                  <w:rFonts w:ascii="Cambria Math" w:hAnsi="Cambria Math"/>
                </w:rPr>
              </m:ctrlPr>
            </m:sSubPr>
            <m:e>
              <m:r>
                <w:rPr>
                  <w:rFonts w:ascii="Cambria Math" w:hAnsi="Cambria Math"/>
                </w:rPr>
                <m:t>μ</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ε</m:t>
              </m:r>
            </m:e>
            <m:sub>
              <m:r>
                <w:rPr>
                  <w:rFonts w:ascii="Cambria Math" w:hAnsi="Cambria Math"/>
                </w:rPr>
                <m:t>i</m:t>
              </m:r>
            </m:sub>
          </m:sSub>
          <m:r>
            <m:rPr>
              <m:sty m:val="p"/>
            </m:rPr>
            <w:rPr>
              <w:rFonts w:ascii="Cambria Math" w:hAnsi="Cambria Math"/>
            </w:rPr>
            <m:t>∙2∙</m:t>
          </m:r>
          <m:f>
            <m:fPr>
              <m:ctrlPr>
                <w:rPr>
                  <w:rFonts w:ascii="Cambria Math" w:hAnsi="Cambria Math"/>
                </w:rPr>
              </m:ctrlPr>
            </m:fPr>
            <m:num>
              <m:sSub>
                <m:sSubPr>
                  <m:ctrlPr>
                    <w:rPr>
                      <w:rFonts w:ascii="Cambria Math" w:hAnsi="Cambria Math"/>
                    </w:rPr>
                  </m:ctrlPr>
                </m:sSubPr>
                <m:e>
                  <m:r>
                    <w:rPr>
                      <w:rFonts w:ascii="Cambria Math" w:hAnsi="Cambria Math"/>
                    </w:rPr>
                    <m:t>v</m:t>
                  </m:r>
                </m:e>
                <m:sub>
                  <m:r>
                    <w:rPr>
                      <w:rFonts w:ascii="Cambria Math" w:hAnsi="Cambria Math"/>
                    </w:rPr>
                    <m:t>ir</m:t>
                  </m:r>
                </m:sub>
              </m:sSub>
            </m:num>
            <m:den>
              <m:sSup>
                <m:sSupPr>
                  <m:ctrlPr>
                    <w:rPr>
                      <w:rFonts w:ascii="Cambria Math" w:hAnsi="Cambria Math"/>
                    </w:rPr>
                  </m:ctrlPr>
                </m:sSupPr>
                <m:e>
                  <m:r>
                    <w:rPr>
                      <w:rFonts w:ascii="Cambria Math" w:hAnsi="Cambria Math"/>
                    </w:rPr>
                    <m:t>r</m:t>
                  </m:r>
                </m:e>
                <m:sup>
                  <m:r>
                    <m:rPr>
                      <m:sty m:val="p"/>
                    </m:rPr>
                    <w:rPr>
                      <w:rFonts w:ascii="Cambria Math" w:hAnsi="Cambria Math"/>
                    </w:rPr>
                    <m:t>2</m:t>
                  </m:r>
                </m:sup>
              </m:sSup>
            </m:den>
          </m:f>
          <m:r>
            <m:rPr>
              <m:sty m:val="p"/>
            </m:rPr>
            <w:rPr>
              <w:rFonts w:ascii="Cambria Math" w:hAnsi="Cambria Math"/>
            </w:rPr>
            <m:t>+</m:t>
          </m:r>
          <m:f>
            <m:fPr>
              <m:ctrlPr>
                <w:rPr>
                  <w:rFonts w:ascii="Cambria Math" w:hAnsi="Cambria Math"/>
                </w:rPr>
              </m:ctrlPr>
            </m:fPr>
            <m:num>
              <m:r>
                <w:rPr>
                  <w:rFonts w:ascii="Cambria Math" w:hAnsi="Cambria Math"/>
                </w:rPr>
                <m:t>∂</m:t>
              </m:r>
            </m:num>
            <m:den>
              <m:r>
                <w:rPr>
                  <w:rFonts w:ascii="Cambria Math" w:hAnsi="Cambria Math"/>
                </w:rPr>
                <m:t>∂z</m:t>
              </m:r>
            </m:den>
          </m:f>
          <m:d>
            <m:dPr>
              <m:begChr m:val="["/>
              <m:endChr m:val="]"/>
              <m:ctrlPr>
                <w:rPr>
                  <w:rFonts w:ascii="Cambria Math" w:hAnsi="Cambria Math"/>
                </w:rPr>
              </m:ctrlPr>
            </m:dPr>
            <m:e>
              <m:sSub>
                <m:sSubPr>
                  <m:ctrlPr>
                    <w:rPr>
                      <w:rFonts w:ascii="Cambria Math" w:hAnsi="Cambria Math"/>
                    </w:rPr>
                  </m:ctrlPr>
                </m:sSubPr>
                <m:e>
                  <m:r>
                    <w:rPr>
                      <w:rFonts w:ascii="Cambria Math" w:hAnsi="Cambria Math"/>
                    </w:rPr>
                    <m:t>μ</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ε</m:t>
                  </m:r>
                </m:e>
                <m:sub>
                  <m:r>
                    <w:rPr>
                      <w:rFonts w:ascii="Cambria Math" w:hAnsi="Cambria Math"/>
                    </w:rPr>
                    <m:t>i</m:t>
                  </m:r>
                </m:sub>
              </m:sSub>
              <m:r>
                <m:rPr>
                  <m:sty m:val="p"/>
                </m:rPr>
                <w:rPr>
                  <w:rFonts w:ascii="Cambria Math" w:hAnsi="Cambria Math"/>
                </w:rPr>
                <m:t>∙</m:t>
              </m:r>
              <m:d>
                <m:dPr>
                  <m:ctrlPr>
                    <w:rPr>
                      <w:rFonts w:ascii="Cambria Math" w:hAnsi="Cambria Math"/>
                    </w:rPr>
                  </m:ctrlPr>
                </m:dPr>
                <m:e>
                  <m:f>
                    <m:fPr>
                      <m:ctrlPr>
                        <w:rPr>
                          <w:rFonts w:ascii="Cambria Math" w:hAnsi="Cambria Math"/>
                        </w:rPr>
                      </m:ctrlPr>
                    </m:fPr>
                    <m:num>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ir</m:t>
                          </m:r>
                        </m:sub>
                      </m:sSub>
                    </m:num>
                    <m:den>
                      <m:r>
                        <w:rPr>
                          <w:rFonts w:ascii="Cambria Math" w:hAnsi="Cambria Math"/>
                        </w:rPr>
                        <m:t>∂z</m:t>
                      </m:r>
                    </m:den>
                  </m:f>
                  <m:r>
                    <m:rPr>
                      <m:sty m:val="p"/>
                    </m:rPr>
                    <w:rPr>
                      <w:rFonts w:ascii="Cambria Math" w:hAnsi="Cambria Math"/>
                    </w:rPr>
                    <m:t>+</m:t>
                  </m:r>
                  <m:f>
                    <m:fPr>
                      <m:ctrlPr>
                        <w:rPr>
                          <w:rFonts w:ascii="Cambria Math" w:hAnsi="Cambria Math"/>
                        </w:rPr>
                      </m:ctrlPr>
                    </m:fPr>
                    <m:num>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iz</m:t>
                          </m:r>
                        </m:sub>
                      </m:sSub>
                    </m:num>
                    <m:den>
                      <m:r>
                        <w:rPr>
                          <w:rFonts w:ascii="Cambria Math" w:hAnsi="Cambria Math"/>
                        </w:rPr>
                        <m:t>∂r</m:t>
                      </m:r>
                    </m:den>
                  </m:f>
                </m:e>
              </m:d>
            </m:e>
          </m:d>
          <m:r>
            <m:rPr>
              <m:sty m:val="p"/>
            </m:rPr>
            <w:rPr>
              <w:rFonts w:ascii="Cambria Math" w:eastAsiaTheme="minorEastAsia" w:hAnsi="Cambria Math"/>
            </w:rPr>
            <m:t xml:space="preserve">                                     (24)</m:t>
          </m:r>
        </m:oMath>
      </m:oMathPara>
    </w:p>
    <w:p w14:paraId="1EF932C4" w14:textId="77777777" w:rsidR="00282C54" w:rsidRPr="00476DCD" w:rsidRDefault="00ED2F67" w:rsidP="008B6605">
      <w:pPr>
        <w:pStyle w:val="CETEquation"/>
        <w:ind w:left="567"/>
        <w:rPr>
          <w:rFonts w:eastAsiaTheme="minorEastAsia"/>
        </w:rPr>
      </w:pPr>
      <m:oMathPara>
        <m:oMathParaPr>
          <m:jc m:val="left"/>
        </m:oMathParaPr>
        <m:oMath>
          <m:f>
            <m:fPr>
              <m:ctrlPr>
                <w:rPr>
                  <w:rFonts w:ascii="Cambria Math" w:hAnsi="Cambria Math"/>
                </w:rPr>
              </m:ctrlPr>
            </m:fPr>
            <m:num>
              <m:r>
                <m:rPr>
                  <m:sty m:val="p"/>
                </m:rPr>
                <w:rPr>
                  <w:rFonts w:ascii="Cambria Math" w:hAnsi="Cambria Math"/>
                </w:rPr>
                <m:t>1</m:t>
              </m:r>
            </m:num>
            <m:den>
              <m:r>
                <w:rPr>
                  <w:rFonts w:ascii="Cambria Math" w:hAnsi="Cambria Math"/>
                </w:rPr>
                <m:t>r</m:t>
              </m:r>
            </m:den>
          </m:f>
          <m:r>
            <m:rPr>
              <m:sty m:val="p"/>
            </m:rPr>
            <w:rPr>
              <w:rFonts w:ascii="Cambria Math" w:hAnsi="Cambria Math"/>
            </w:rPr>
            <m:t>∙</m:t>
          </m:r>
          <m:f>
            <m:fPr>
              <m:ctrlPr>
                <w:rPr>
                  <w:rFonts w:ascii="Cambria Math" w:hAnsi="Cambria Math"/>
                </w:rPr>
              </m:ctrlPr>
            </m:fPr>
            <m:num>
              <m:r>
                <w:rPr>
                  <w:rFonts w:ascii="Cambria Math" w:hAnsi="Cambria Math"/>
                </w:rPr>
                <m:t>∂</m:t>
              </m:r>
            </m:num>
            <m:den>
              <m:r>
                <w:rPr>
                  <w:rFonts w:ascii="Cambria Math" w:hAnsi="Cambria Math"/>
                </w:rPr>
                <m:t>∂r</m:t>
              </m:r>
            </m:den>
          </m:f>
          <m:d>
            <m:dPr>
              <m:ctrlPr>
                <w:rPr>
                  <w:rFonts w:ascii="Cambria Math" w:hAnsi="Cambria Math"/>
                </w:rPr>
              </m:ctrlPr>
            </m:dPr>
            <m:e>
              <m:r>
                <w:rPr>
                  <w:rFonts w:ascii="Cambria Math" w:hAnsi="Cambria Math"/>
                </w:rPr>
                <m:t>r</m:t>
              </m:r>
              <m:r>
                <m:rPr>
                  <m:sty m:val="p"/>
                </m:rP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ε</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ir</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iz</m:t>
                  </m:r>
                </m:sub>
              </m:sSub>
            </m:e>
          </m:d>
          <m:r>
            <m:rPr>
              <m:sty m:val="p"/>
            </m:rPr>
            <w:rPr>
              <w:rFonts w:ascii="Cambria Math" w:hAnsi="Cambria Math"/>
            </w:rPr>
            <m:t>+</m:t>
          </m:r>
          <m:f>
            <m:fPr>
              <m:ctrlPr>
                <w:rPr>
                  <w:rFonts w:ascii="Cambria Math" w:hAnsi="Cambria Math"/>
                </w:rPr>
              </m:ctrlPr>
            </m:fPr>
            <m:num>
              <m:r>
                <w:rPr>
                  <w:rFonts w:ascii="Cambria Math" w:hAnsi="Cambria Math"/>
                </w:rPr>
                <m:t>∂</m:t>
              </m:r>
            </m:num>
            <m:den>
              <m:r>
                <w:rPr>
                  <w:rFonts w:ascii="Cambria Math" w:hAnsi="Cambria Math"/>
                </w:rPr>
                <m:t>∂z</m:t>
              </m:r>
            </m:den>
          </m:f>
          <m:d>
            <m:dPr>
              <m:ctrlPr>
                <w:rPr>
                  <w:rFonts w:ascii="Cambria Math" w:hAnsi="Cambria Math"/>
                </w:rPr>
              </m:ctrlPr>
            </m:dPr>
            <m:e>
              <m:sSub>
                <m:sSubPr>
                  <m:ctrlPr>
                    <w:rPr>
                      <w:rFonts w:ascii="Cambria Math" w:hAnsi="Cambria Math"/>
                    </w:rPr>
                  </m:ctrlPr>
                </m:sSubPr>
                <m:e>
                  <m:r>
                    <w:rPr>
                      <w:rFonts w:ascii="Cambria Math" w:hAnsi="Cambria Math"/>
                    </w:rPr>
                    <m:t>ρ</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ε</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iz</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iz</m:t>
                  </m:r>
                </m:sub>
              </m:sSub>
            </m:e>
          </m:d>
          <m:r>
            <m:rPr>
              <m:sty m:val="p"/>
            </m:rP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ε</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z</m:t>
              </m:r>
            </m:sub>
          </m:sSub>
          <m:r>
            <m:rPr>
              <m:sty m:val="p"/>
            </m:rPr>
            <w:rPr>
              <w:rFonts w:ascii="Cambria Math" w:hAnsi="Cambria Math"/>
            </w:rPr>
            <m:t>+</m:t>
          </m:r>
          <m:sSub>
            <m:sSubPr>
              <m:ctrlPr>
                <w:rPr>
                  <w:rFonts w:ascii="Cambria Math" w:hAnsi="Cambria Math"/>
                </w:rPr>
              </m:ctrlPr>
            </m:sSubPr>
            <m:e>
              <m:r>
                <w:rPr>
                  <w:rFonts w:ascii="Cambria Math" w:hAnsi="Cambria Math"/>
                </w:rPr>
                <m:t>ξ</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iz</m:t>
              </m:r>
            </m:sub>
          </m:sSub>
          <m:r>
            <m:rPr>
              <m:sty m:val="p"/>
            </m:rP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ijz</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ijz</m:t>
              </m:r>
            </m:sub>
          </m:sSub>
        </m:oMath>
      </m:oMathPara>
    </w:p>
    <w:p w14:paraId="591D4359" w14:textId="73225E50" w:rsidR="00282C54" w:rsidRPr="00476DCD" w:rsidRDefault="00282C54" w:rsidP="00596AD6">
      <w:pPr>
        <w:pStyle w:val="CETEquation"/>
        <w:ind w:left="851" w:hanging="851"/>
        <w:rPr>
          <w:rFonts w:eastAsiaTheme="minorEastAsia"/>
        </w:rPr>
      </w:pPr>
      <m:oMathPara>
        <m:oMathParaPr>
          <m:jc m:val="left"/>
        </m:oMathParaPr>
        <m:oMath>
          <m:r>
            <m:rPr>
              <m:sty m:val="p"/>
            </m:rPr>
            <w:rPr>
              <w:rFonts w:ascii="Cambria Math" w:hAnsi="Cambria Math"/>
            </w:rPr>
            <m:t>-</m:t>
          </m:r>
          <m:sSub>
            <m:sSubPr>
              <m:ctrlPr>
                <w:rPr>
                  <w:rFonts w:ascii="Cambria Math" w:hAnsi="Cambria Math"/>
                </w:rPr>
              </m:ctrlPr>
            </m:sSubPr>
            <m:e>
              <m:r>
                <w:rPr>
                  <w:rFonts w:ascii="Cambria Math" w:hAnsi="Cambria Math"/>
                </w:rPr>
                <m:t>ε</m:t>
              </m:r>
            </m:e>
            <m:sub>
              <m:r>
                <w:rPr>
                  <w:rFonts w:ascii="Cambria Math" w:hAnsi="Cambria Math"/>
                </w:rPr>
                <m:t>i</m:t>
              </m:r>
            </m:sub>
          </m:sSub>
          <m:r>
            <m:rPr>
              <m:sty m:val="p"/>
            </m:rPr>
            <w:rPr>
              <w:rFonts w:ascii="Cambria Math" w:hAnsi="Cambria Math"/>
            </w:rPr>
            <m:t>∙</m:t>
          </m:r>
          <m:f>
            <m:fPr>
              <m:ctrlPr>
                <w:rPr>
                  <w:rFonts w:ascii="Cambria Math" w:hAnsi="Cambria Math"/>
                </w:rPr>
              </m:ctrlPr>
            </m:fPr>
            <m:num>
              <m:r>
                <w:rPr>
                  <w:rFonts w:ascii="Cambria Math" w:hAnsi="Cambria Math"/>
                </w:rPr>
                <m:t>∂p</m:t>
              </m:r>
            </m:num>
            <m:den>
              <m:r>
                <w:rPr>
                  <w:rFonts w:ascii="Cambria Math" w:hAnsi="Cambria Math"/>
                </w:rPr>
                <m:t>∂z</m:t>
              </m:r>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r</m:t>
              </m:r>
            </m:den>
          </m:f>
          <m:r>
            <m:rPr>
              <m:sty m:val="p"/>
            </m:rPr>
            <w:rPr>
              <w:rFonts w:ascii="Cambria Math" w:hAnsi="Cambria Math"/>
            </w:rPr>
            <m:t>∙</m:t>
          </m:r>
          <m:f>
            <m:fPr>
              <m:ctrlPr>
                <w:rPr>
                  <w:rFonts w:ascii="Cambria Math" w:hAnsi="Cambria Math"/>
                </w:rPr>
              </m:ctrlPr>
            </m:fPr>
            <m:num>
              <m:r>
                <w:rPr>
                  <w:rFonts w:ascii="Cambria Math" w:hAnsi="Cambria Math"/>
                </w:rPr>
                <m:t>∂</m:t>
              </m:r>
            </m:num>
            <m:den>
              <m:r>
                <w:rPr>
                  <w:rFonts w:ascii="Cambria Math" w:hAnsi="Cambria Math"/>
                </w:rPr>
                <m:t>∂r</m:t>
              </m:r>
            </m:den>
          </m:f>
          <m:d>
            <m:dPr>
              <m:begChr m:val="["/>
              <m:endChr m:val="]"/>
              <m:ctrlPr>
                <w:rPr>
                  <w:rFonts w:ascii="Cambria Math" w:hAnsi="Cambria Math"/>
                </w:rPr>
              </m:ctrlPr>
            </m:dPr>
            <m:e>
              <m:r>
                <w:rPr>
                  <w:rFonts w:ascii="Cambria Math" w:hAnsi="Cambria Math"/>
                </w:rPr>
                <m:t>r</m:t>
              </m:r>
              <m:r>
                <m:rPr>
                  <m:sty m:val="p"/>
                </m:rPr>
                <w:rPr>
                  <w:rFonts w:ascii="Cambria Math" w:hAnsi="Cambria Math"/>
                </w:rPr>
                <m:t>∙</m:t>
              </m:r>
              <m:sSub>
                <m:sSubPr>
                  <m:ctrlPr>
                    <w:rPr>
                      <w:rFonts w:ascii="Cambria Math" w:hAnsi="Cambria Math"/>
                    </w:rPr>
                  </m:ctrlPr>
                </m:sSubPr>
                <m:e>
                  <m:r>
                    <w:rPr>
                      <w:rFonts w:ascii="Cambria Math" w:hAnsi="Cambria Math"/>
                    </w:rPr>
                    <m:t>μ</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ε</m:t>
                  </m:r>
                </m:e>
                <m:sub>
                  <m:r>
                    <w:rPr>
                      <w:rFonts w:ascii="Cambria Math" w:hAnsi="Cambria Math"/>
                    </w:rPr>
                    <m:t>i</m:t>
                  </m:r>
                </m:sub>
              </m:sSub>
              <m:r>
                <m:rPr>
                  <m:sty m:val="p"/>
                </m:rPr>
                <w:rPr>
                  <w:rFonts w:ascii="Cambria Math" w:hAnsi="Cambria Math"/>
                </w:rPr>
                <m:t>∙</m:t>
              </m:r>
              <m:d>
                <m:dPr>
                  <m:ctrlPr>
                    <w:rPr>
                      <w:rFonts w:ascii="Cambria Math" w:hAnsi="Cambria Math"/>
                    </w:rPr>
                  </m:ctrlPr>
                </m:dPr>
                <m:e>
                  <m:f>
                    <m:fPr>
                      <m:ctrlPr>
                        <w:rPr>
                          <w:rFonts w:ascii="Cambria Math" w:hAnsi="Cambria Math"/>
                        </w:rPr>
                      </m:ctrlPr>
                    </m:fPr>
                    <m:num>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ir</m:t>
                          </m:r>
                        </m:sub>
                      </m:sSub>
                    </m:num>
                    <m:den>
                      <m:r>
                        <w:rPr>
                          <w:rFonts w:ascii="Cambria Math" w:hAnsi="Cambria Math"/>
                        </w:rPr>
                        <m:t>∂z</m:t>
                      </m:r>
                    </m:den>
                  </m:f>
                  <m:r>
                    <m:rPr>
                      <m:sty m:val="p"/>
                    </m:rPr>
                    <w:rPr>
                      <w:rFonts w:ascii="Cambria Math" w:hAnsi="Cambria Math"/>
                    </w:rPr>
                    <m:t>+</m:t>
                  </m:r>
                  <m:f>
                    <m:fPr>
                      <m:ctrlPr>
                        <w:rPr>
                          <w:rFonts w:ascii="Cambria Math" w:hAnsi="Cambria Math"/>
                        </w:rPr>
                      </m:ctrlPr>
                    </m:fPr>
                    <m:num>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iz</m:t>
                          </m:r>
                        </m:sub>
                      </m:sSub>
                    </m:num>
                    <m:den>
                      <m:r>
                        <w:rPr>
                          <w:rFonts w:ascii="Cambria Math" w:hAnsi="Cambria Math"/>
                        </w:rPr>
                        <m:t>∂r</m:t>
                      </m:r>
                    </m:den>
                  </m:f>
                </m:e>
              </m:d>
            </m:e>
          </m:d>
          <m:r>
            <m:rPr>
              <m:sty m:val="p"/>
            </m:rPr>
            <w:rPr>
              <w:rFonts w:ascii="Cambria Math" w:hAnsi="Cambria Math"/>
            </w:rPr>
            <m:t>+</m:t>
          </m:r>
          <m:f>
            <m:fPr>
              <m:ctrlPr>
                <w:rPr>
                  <w:rFonts w:ascii="Cambria Math" w:hAnsi="Cambria Math"/>
                </w:rPr>
              </m:ctrlPr>
            </m:fPr>
            <m:num>
              <m:r>
                <w:rPr>
                  <w:rFonts w:ascii="Cambria Math" w:hAnsi="Cambria Math"/>
                </w:rPr>
                <m:t>∂</m:t>
              </m:r>
            </m:num>
            <m:den>
              <m:r>
                <w:rPr>
                  <w:rFonts w:ascii="Cambria Math" w:hAnsi="Cambria Math"/>
                </w:rPr>
                <m:t>∂z</m:t>
              </m:r>
            </m:den>
          </m:f>
          <m:d>
            <m:dPr>
              <m:begChr m:val="["/>
              <m:endChr m:val="]"/>
              <m:ctrlPr>
                <w:rPr>
                  <w:rFonts w:ascii="Cambria Math" w:hAnsi="Cambria Math"/>
                </w:rPr>
              </m:ctrlPr>
            </m:dPr>
            <m:e>
              <m:sSub>
                <m:sSubPr>
                  <m:ctrlPr>
                    <w:rPr>
                      <w:rFonts w:ascii="Cambria Math" w:hAnsi="Cambria Math"/>
                    </w:rPr>
                  </m:ctrlPr>
                </m:sSubPr>
                <m:e>
                  <m:r>
                    <w:rPr>
                      <w:rFonts w:ascii="Cambria Math" w:hAnsi="Cambria Math"/>
                    </w:rPr>
                    <m:t>μ</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ε</m:t>
                  </m:r>
                </m:e>
                <m:sub>
                  <m:r>
                    <w:rPr>
                      <w:rFonts w:ascii="Cambria Math" w:hAnsi="Cambria Math"/>
                    </w:rPr>
                    <m:t>i</m:t>
                  </m:r>
                </m:sub>
              </m:sSub>
              <m:r>
                <m:rPr>
                  <m:sty m:val="p"/>
                </m:rPr>
                <w:rPr>
                  <w:rFonts w:ascii="Cambria Math" w:hAnsi="Cambria Math"/>
                </w:rPr>
                <m:t>∙2∙</m:t>
              </m:r>
              <m:f>
                <m:fPr>
                  <m:ctrlPr>
                    <w:rPr>
                      <w:rFonts w:ascii="Cambria Math" w:hAnsi="Cambria Math"/>
                    </w:rPr>
                  </m:ctrlPr>
                </m:fPr>
                <m:num>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iz</m:t>
                      </m:r>
                    </m:sub>
                  </m:sSub>
                </m:num>
                <m:den>
                  <m:r>
                    <w:rPr>
                      <w:rFonts w:ascii="Cambria Math" w:hAnsi="Cambria Math"/>
                    </w:rPr>
                    <m:t>∂z</m:t>
                  </m:r>
                </m:den>
              </m:f>
            </m:e>
          </m:d>
          <m:r>
            <m:rPr>
              <m:sty m:val="p"/>
            </m:rPr>
            <w:rPr>
              <w:rFonts w:ascii="Cambria Math" w:hAnsi="Cambria Math"/>
            </w:rPr>
            <m:t xml:space="preserve">                                                                    (25)</m:t>
          </m:r>
        </m:oMath>
      </m:oMathPara>
    </w:p>
    <w:p w14:paraId="578D998E" w14:textId="77777777" w:rsidR="00365F51" w:rsidRDefault="00282C54" w:rsidP="00365F51">
      <w:pPr>
        <w:pStyle w:val="CETBodytext"/>
        <w:rPr>
          <w:rFonts w:eastAsiaTheme="minorEastAsia" w:cs="Arial"/>
        </w:rPr>
      </w:pPr>
      <w:r w:rsidRPr="00151F92">
        <w:rPr>
          <w:rFonts w:eastAsiaTheme="minorEastAsia" w:cs="Arial"/>
        </w:rPr>
        <w:t xml:space="preserve">For a vertical pipe, </w:t>
      </w:r>
      <m:oMath>
        <m:sSub>
          <m:sSubPr>
            <m:ctrlPr>
              <w:rPr>
                <w:rFonts w:ascii="Cambria Math" w:eastAsiaTheme="minorEastAsia" w:hAnsi="Cambria Math" w:cs="Arial"/>
                <w:i/>
              </w:rPr>
            </m:ctrlPr>
          </m:sSubPr>
          <m:e>
            <m:r>
              <w:rPr>
                <w:rFonts w:ascii="Cambria Math" w:eastAsiaTheme="minorEastAsia" w:hAnsi="Cambria Math" w:cs="Arial"/>
              </w:rPr>
              <m:t>g</m:t>
            </m:r>
          </m:e>
          <m:sub>
            <m:r>
              <w:rPr>
                <w:rFonts w:ascii="Cambria Math" w:eastAsiaTheme="minorEastAsia" w:hAnsi="Cambria Math" w:cs="Arial"/>
              </w:rPr>
              <m:t>z</m:t>
            </m:r>
          </m:sub>
        </m:sSub>
        <m:r>
          <w:rPr>
            <w:rFonts w:ascii="Cambria Math" w:eastAsiaTheme="minorEastAsia" w:hAnsi="Cambria Math" w:cs="Arial"/>
          </w:rPr>
          <m:t>=-g</m:t>
        </m:r>
      </m:oMath>
      <w:r w:rsidRPr="00151F92">
        <w:rPr>
          <w:rFonts w:eastAsiaTheme="minorEastAsia" w:cs="Arial"/>
        </w:rPr>
        <w:t xml:space="preserve">. For a horizontal pipe, both </w:t>
      </w:r>
      <m:oMath>
        <m:sSub>
          <m:sSubPr>
            <m:ctrlPr>
              <w:rPr>
                <w:rFonts w:ascii="Cambria Math" w:eastAsiaTheme="minorEastAsia" w:hAnsi="Cambria Math" w:cs="Arial"/>
                <w:i/>
              </w:rPr>
            </m:ctrlPr>
          </m:sSubPr>
          <m:e>
            <m:r>
              <w:rPr>
                <w:rFonts w:ascii="Cambria Math" w:eastAsiaTheme="minorEastAsia" w:hAnsi="Cambria Math" w:cs="Arial"/>
              </w:rPr>
              <m:t>g</m:t>
            </m:r>
          </m:e>
          <m:sub>
            <m:r>
              <w:rPr>
                <w:rFonts w:ascii="Cambria Math" w:eastAsiaTheme="minorEastAsia" w:hAnsi="Cambria Math" w:cs="Arial"/>
              </w:rPr>
              <m:t>z</m:t>
            </m:r>
          </m:sub>
        </m:sSub>
      </m:oMath>
      <w:r w:rsidRPr="00151F92">
        <w:rPr>
          <w:rFonts w:eastAsiaTheme="minorEastAsia" w:cs="Arial"/>
        </w:rPr>
        <w:t xml:space="preserve"> and </w:t>
      </w:r>
      <m:oMath>
        <m:sSub>
          <m:sSubPr>
            <m:ctrlPr>
              <w:rPr>
                <w:rFonts w:ascii="Cambria Math" w:eastAsiaTheme="minorEastAsia" w:hAnsi="Cambria Math" w:cs="Arial"/>
                <w:i/>
              </w:rPr>
            </m:ctrlPr>
          </m:sSubPr>
          <m:e>
            <m:r>
              <w:rPr>
                <w:rFonts w:ascii="Cambria Math" w:eastAsiaTheme="minorEastAsia" w:hAnsi="Cambria Math" w:cs="Arial"/>
              </w:rPr>
              <m:t>g</m:t>
            </m:r>
          </m:e>
          <m:sub>
            <m:r>
              <w:rPr>
                <w:rFonts w:ascii="Cambria Math" w:eastAsiaTheme="minorEastAsia" w:hAnsi="Cambria Math" w:cs="Arial"/>
              </w:rPr>
              <m:t>r</m:t>
            </m:r>
          </m:sub>
        </m:sSub>
      </m:oMath>
      <w:r w:rsidRPr="00151F92">
        <w:rPr>
          <w:rFonts w:eastAsiaTheme="minorEastAsia" w:cs="Arial"/>
        </w:rPr>
        <w:t xml:space="preserve"> may be neglected.</w:t>
      </w:r>
    </w:p>
    <w:p w14:paraId="415BC858" w14:textId="6E48D272" w:rsidR="00151F92" w:rsidRDefault="00151F92" w:rsidP="00365F51">
      <w:pPr>
        <w:pStyle w:val="CETBodytext"/>
        <w:rPr>
          <w:rFonts w:eastAsiaTheme="minorEastAsia" w:cs="Arial"/>
        </w:rPr>
      </w:pPr>
      <w:r w:rsidRPr="00151F92">
        <w:rPr>
          <w:rFonts w:eastAsiaTheme="minorEastAsia" w:cs="Arial"/>
        </w:rPr>
        <w:t xml:space="preserve">When the flow is in laminar regime, the velocity in the previous equations is the actual velocity, while the viscosity is just the viscosity for a Newtonian fluid, </w:t>
      </w:r>
      <m:oMath>
        <m:r>
          <w:rPr>
            <w:rFonts w:ascii="Cambria Math" w:eastAsiaTheme="minorEastAsia" w:hAnsi="Cambria Math" w:cs="Arial"/>
          </w:rPr>
          <m:t>μ</m:t>
        </m:r>
      </m:oMath>
      <w:r w:rsidRPr="00151F92">
        <w:rPr>
          <w:rFonts w:eastAsiaTheme="minorEastAsia" w:cs="Arial"/>
        </w:rPr>
        <w:t>. However, when the flow is in turbulent regime, the velocity is an average over time fluctuations, even when the model is for permanent flow, and the viscosity is an effective viscosity given by:</w:t>
      </w:r>
    </w:p>
    <w:p w14:paraId="381C716C" w14:textId="5AB82303" w:rsidR="00365F51" w:rsidRPr="00DA1836" w:rsidRDefault="00ED2F67" w:rsidP="00DA1836">
      <w:pPr>
        <w:pStyle w:val="CETBodytext"/>
        <w:spacing w:before="240" w:after="240"/>
        <w:ind w:left="567"/>
        <w:rPr>
          <w:lang w:val="en-GB"/>
        </w:rPr>
      </w:pPr>
      <m:oMathPara>
        <m:oMath>
          <m:sSup>
            <m:sSupPr>
              <m:ctrlPr>
                <w:rPr>
                  <w:rFonts w:ascii="Cambria Math" w:hAnsi="Cambria Math"/>
                  <w:i/>
                  <w:lang w:val="en-GB"/>
                </w:rPr>
              </m:ctrlPr>
            </m:sSupPr>
            <m:e>
              <m:r>
                <w:rPr>
                  <w:rFonts w:ascii="Cambria Math" w:hAnsi="Cambria Math"/>
                  <w:lang w:val="en-GB"/>
                </w:rPr>
                <m:t>μ</m:t>
              </m:r>
            </m:e>
            <m:sup>
              <m:r>
                <m:rPr>
                  <m:nor/>
                </m:rPr>
                <w:rPr>
                  <w:rFonts w:ascii="Cambria Math" w:hAnsi="Cambria Math"/>
                  <w:lang w:val="en-GB"/>
                </w:rPr>
                <m:t>eff</m:t>
              </m:r>
            </m:sup>
          </m:sSup>
          <m:r>
            <w:rPr>
              <w:rFonts w:ascii="Cambria Math" w:hAnsi="Cambria Math"/>
              <w:lang w:val="en-GB"/>
            </w:rPr>
            <m:t>=μ+</m:t>
          </m:r>
          <m:sSup>
            <m:sSupPr>
              <m:ctrlPr>
                <w:rPr>
                  <w:rFonts w:ascii="Cambria Math" w:hAnsi="Cambria Math"/>
                  <w:i/>
                  <w:lang w:val="en-GB"/>
                </w:rPr>
              </m:ctrlPr>
            </m:sSupPr>
            <m:e>
              <m:r>
                <w:rPr>
                  <w:rFonts w:ascii="Cambria Math" w:hAnsi="Cambria Math"/>
                  <w:lang w:val="en-GB"/>
                </w:rPr>
                <m:t>μ</m:t>
              </m:r>
            </m:e>
            <m:sup>
              <m:r>
                <w:rPr>
                  <w:rFonts w:ascii="Cambria Math" w:hAnsi="Cambria Math"/>
                  <w:lang w:val="en-GB"/>
                </w:rPr>
                <m:t>(t)</m:t>
              </m:r>
            </m:sup>
          </m:sSup>
          <m:r>
            <w:rPr>
              <w:rFonts w:ascii="Cambria Math" w:hAnsi="Cambria Math"/>
              <w:lang w:val="en-GB"/>
            </w:rPr>
            <m:t xml:space="preserve">                                                                                                                                                                           (26)</m:t>
          </m:r>
        </m:oMath>
      </m:oMathPara>
    </w:p>
    <w:p w14:paraId="19C6A55E" w14:textId="3C4F4111" w:rsidR="00151F92" w:rsidRDefault="00151F92" w:rsidP="00151F92">
      <w:pPr>
        <w:rPr>
          <w:rFonts w:eastAsiaTheme="minorEastAsia" w:cs="Arial"/>
        </w:rPr>
      </w:pPr>
      <w:r w:rsidRPr="00151F92">
        <w:rPr>
          <w:rFonts w:eastAsiaTheme="minorEastAsia" w:cs="Arial"/>
        </w:rPr>
        <w:tab/>
        <w:t xml:space="preserve">The turbulent viscosity, </w:t>
      </w:r>
      <m:oMath>
        <m:sSup>
          <m:sSupPr>
            <m:ctrlPr>
              <w:rPr>
                <w:rFonts w:ascii="Cambria Math" w:eastAsiaTheme="minorEastAsia" w:hAnsi="Cambria Math" w:cs="Arial"/>
                <w:i/>
              </w:rPr>
            </m:ctrlPr>
          </m:sSupPr>
          <m:e>
            <m:r>
              <w:rPr>
                <w:rFonts w:ascii="Cambria Math" w:eastAsiaTheme="minorEastAsia" w:hAnsi="Cambria Math" w:cs="Arial"/>
              </w:rPr>
              <m:t>μ</m:t>
            </m:r>
          </m:e>
          <m:sup>
            <m:r>
              <w:rPr>
                <w:rFonts w:ascii="Cambria Math" w:eastAsiaTheme="minorEastAsia" w:hAnsi="Cambria Math" w:cs="Arial"/>
              </w:rPr>
              <m:t>(t)</m:t>
            </m:r>
          </m:sup>
        </m:sSup>
      </m:oMath>
      <w:r w:rsidRPr="00151F92">
        <w:rPr>
          <w:rFonts w:eastAsiaTheme="minorEastAsia" w:cs="Arial"/>
        </w:rPr>
        <w:t xml:space="preserve">, can be calculated using different turbulence </w:t>
      </w:r>
      <w:r w:rsidR="0079061A">
        <w:rPr>
          <w:rFonts w:eastAsiaTheme="minorEastAsia" w:cs="Arial"/>
        </w:rPr>
        <w:t>models</w:t>
      </w:r>
      <w:r w:rsidR="00C945A4">
        <w:rPr>
          <w:rFonts w:eastAsiaTheme="minorEastAsia" w:cs="Arial"/>
        </w:rPr>
        <w:t>,</w:t>
      </w:r>
      <w:r w:rsidR="0079061A">
        <w:rPr>
          <w:rFonts w:eastAsiaTheme="minorEastAsia" w:cs="Arial"/>
        </w:rPr>
        <w:t xml:space="preserve"> such as </w:t>
      </w:r>
      <m:oMath>
        <m:r>
          <w:rPr>
            <w:rFonts w:ascii="Cambria Math" w:eastAsiaTheme="minorEastAsia" w:hAnsi="Cambria Math" w:cs="Arial"/>
          </w:rPr>
          <m:t>k-ε</m:t>
        </m:r>
      </m:oMath>
      <w:r w:rsidR="0079061A">
        <w:rPr>
          <w:rFonts w:eastAsiaTheme="minorEastAsia" w:cs="Arial"/>
        </w:rPr>
        <w:t xml:space="preserve"> (Hil</w:t>
      </w:r>
      <w:r w:rsidR="00C945A4">
        <w:rPr>
          <w:rFonts w:eastAsiaTheme="minorEastAsia" w:cs="Arial"/>
        </w:rPr>
        <w:t>l</w:t>
      </w:r>
      <w:r w:rsidR="00E7150C">
        <w:rPr>
          <w:rFonts w:eastAsiaTheme="minorEastAsia" w:cs="Arial"/>
        </w:rPr>
        <w:t>mer et al, 1994</w:t>
      </w:r>
      <w:r w:rsidRPr="00151F92">
        <w:rPr>
          <w:rFonts w:eastAsiaTheme="minorEastAsia" w:cs="Arial"/>
        </w:rPr>
        <w:t xml:space="preserve">). In this work, it is considered a zero order turbulence model </w:t>
      </w:r>
      <w:r w:rsidR="00E7150C">
        <w:rPr>
          <w:rFonts w:eastAsiaTheme="minorEastAsia" w:cs="Arial"/>
        </w:rPr>
        <w:t>(</w:t>
      </w:r>
      <w:r w:rsidR="00D6595A">
        <w:rPr>
          <w:rFonts w:eastAsiaTheme="minorEastAsia" w:cs="Arial"/>
        </w:rPr>
        <w:t xml:space="preserve">Menzel et al, 1990; Chen et al, 1995), </w:t>
      </w:r>
      <w:r w:rsidRPr="00151F92">
        <w:rPr>
          <w:rFonts w:eastAsiaTheme="minorEastAsia" w:cs="Arial"/>
        </w:rPr>
        <w:t xml:space="preserve">for the sake of simplicity, since in this case </w:t>
      </w:r>
      <m:oMath>
        <m:sSup>
          <m:sSupPr>
            <m:ctrlPr>
              <w:rPr>
                <w:rFonts w:ascii="Cambria Math" w:eastAsiaTheme="minorEastAsia" w:hAnsi="Cambria Math" w:cs="Arial"/>
                <w:i/>
              </w:rPr>
            </m:ctrlPr>
          </m:sSupPr>
          <m:e>
            <m:r>
              <w:rPr>
                <w:rFonts w:ascii="Cambria Math" w:eastAsiaTheme="minorEastAsia" w:hAnsi="Cambria Math" w:cs="Arial"/>
              </w:rPr>
              <m:t>μ</m:t>
            </m:r>
          </m:e>
          <m:sup>
            <m:r>
              <w:rPr>
                <w:rFonts w:ascii="Cambria Math" w:eastAsiaTheme="minorEastAsia" w:hAnsi="Cambria Math" w:cs="Arial"/>
              </w:rPr>
              <m:t>(t)</m:t>
            </m:r>
          </m:sup>
        </m:sSup>
      </m:oMath>
      <w:r w:rsidRPr="00151F92">
        <w:rPr>
          <w:rFonts w:eastAsiaTheme="minorEastAsia" w:cs="Arial"/>
        </w:rPr>
        <w:t xml:space="preserve"> is a function of local position and not on local velocity profiles. </w:t>
      </w:r>
      <w:r w:rsidR="00DB2DEB">
        <w:rPr>
          <w:rFonts w:eastAsiaTheme="minorEastAsia" w:cs="Arial"/>
        </w:rPr>
        <w:t>Howe</w:t>
      </w:r>
      <w:r w:rsidRPr="00151F92">
        <w:rPr>
          <w:rFonts w:eastAsiaTheme="minorEastAsia" w:cs="Arial"/>
        </w:rPr>
        <w:t>ver, in zero order models the turbulent viscosity de</w:t>
      </w:r>
      <w:r w:rsidR="009E292A">
        <w:rPr>
          <w:rFonts w:eastAsiaTheme="minorEastAsia" w:cs="Arial"/>
        </w:rPr>
        <w:t>pends on the wall shear stress.</w:t>
      </w:r>
    </w:p>
    <w:p w14:paraId="722A27FF" w14:textId="4FD612E1" w:rsidR="00151F92" w:rsidRPr="00047B55" w:rsidRDefault="00151F92" w:rsidP="00151F92">
      <w:pPr>
        <w:rPr>
          <w:rFonts w:eastAsiaTheme="minorEastAsia" w:cs="Arial"/>
        </w:rPr>
      </w:pPr>
      <w:r w:rsidRPr="00047B55">
        <w:rPr>
          <w:rFonts w:eastAsiaTheme="minorEastAsia" w:cs="Arial"/>
        </w:rPr>
        <w:t>The diffusivity of one phase into another (</w:t>
      </w:r>
      <m:oMath>
        <m:sSub>
          <m:sSubPr>
            <m:ctrlPr>
              <w:rPr>
                <w:rFonts w:ascii="Cambria Math" w:eastAsiaTheme="minorEastAsia" w:hAnsi="Cambria Math" w:cs="Arial"/>
                <w:i/>
              </w:rPr>
            </m:ctrlPr>
          </m:sSubPr>
          <m:e>
            <m:r>
              <w:rPr>
                <w:rFonts w:ascii="Cambria Math" w:eastAsiaTheme="minorEastAsia" w:hAnsi="Cambria Math" w:cs="Arial"/>
              </w:rPr>
              <m:t>D</m:t>
            </m:r>
          </m:e>
          <m:sub>
            <m:r>
              <w:rPr>
                <w:rFonts w:ascii="Cambria Math" w:eastAsiaTheme="minorEastAsia" w:hAnsi="Cambria Math" w:cs="Arial"/>
              </w:rPr>
              <m:t>ij</m:t>
            </m:r>
          </m:sub>
        </m:sSub>
      </m:oMath>
      <w:r w:rsidRPr="00047B55">
        <w:rPr>
          <w:rFonts w:eastAsiaTheme="minorEastAsia" w:cs="Arial"/>
        </w:rPr>
        <w:t>) affects the distribution of the volume fractions of the phases inside the reactor volume (</w:t>
      </w:r>
      <m:oMath>
        <m:sSub>
          <m:sSubPr>
            <m:ctrlPr>
              <w:rPr>
                <w:rFonts w:ascii="Cambria Math" w:eastAsiaTheme="minorEastAsia" w:hAnsi="Cambria Math" w:cs="Arial"/>
                <w:i/>
              </w:rPr>
            </m:ctrlPr>
          </m:sSubPr>
          <m:e>
            <m:r>
              <w:rPr>
                <w:rFonts w:ascii="Cambria Math" w:eastAsiaTheme="minorEastAsia" w:hAnsi="Cambria Math" w:cs="Arial"/>
              </w:rPr>
              <m:t>ε</m:t>
            </m:r>
          </m:e>
          <m:sub>
            <m:r>
              <w:rPr>
                <w:rFonts w:ascii="Cambria Math" w:eastAsiaTheme="minorEastAsia" w:hAnsi="Cambria Math" w:cs="Arial"/>
              </w:rPr>
              <m:t>i</m:t>
            </m:r>
          </m:sub>
        </m:sSub>
      </m:oMath>
      <w:r w:rsidRPr="00047B55">
        <w:rPr>
          <w:rFonts w:eastAsiaTheme="minorEastAsia" w:cs="Arial"/>
        </w:rPr>
        <w:t xml:space="preserve">), even if they are immiscible. It can be shown that </w:t>
      </w:r>
      <m:oMath>
        <m:sSub>
          <m:sSubPr>
            <m:ctrlPr>
              <w:rPr>
                <w:rFonts w:ascii="Cambria Math" w:eastAsiaTheme="minorEastAsia" w:hAnsi="Cambria Math" w:cs="Arial"/>
                <w:i/>
              </w:rPr>
            </m:ctrlPr>
          </m:sSubPr>
          <m:e>
            <m:r>
              <w:rPr>
                <w:rFonts w:ascii="Cambria Math" w:eastAsiaTheme="minorEastAsia" w:hAnsi="Cambria Math" w:cs="Arial"/>
              </w:rPr>
              <m:t>D</m:t>
            </m:r>
          </m:e>
          <m:sub>
            <m:r>
              <w:rPr>
                <w:rFonts w:ascii="Cambria Math" w:eastAsiaTheme="minorEastAsia" w:hAnsi="Cambria Math" w:cs="Arial"/>
              </w:rPr>
              <m:t>ji</m:t>
            </m:r>
          </m:sub>
        </m:sSub>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D</m:t>
            </m:r>
          </m:e>
          <m:sub>
            <m:r>
              <w:rPr>
                <w:rFonts w:ascii="Cambria Math" w:eastAsiaTheme="minorEastAsia" w:hAnsi="Cambria Math" w:cs="Arial"/>
              </w:rPr>
              <m:t>ij</m:t>
            </m:r>
          </m:sub>
        </m:sSub>
      </m:oMath>
      <w:r w:rsidRPr="00047B55">
        <w:rPr>
          <w:rFonts w:eastAsiaTheme="minorEastAsia" w:cs="Arial"/>
        </w:rPr>
        <w:t xml:space="preserve"> and that t</w:t>
      </w:r>
      <w:r w:rsidR="0004516F">
        <w:rPr>
          <w:rFonts w:eastAsiaTheme="minorEastAsia" w:cs="Arial"/>
        </w:rPr>
        <w:t>hese values may be variable</w:t>
      </w:r>
      <w:r w:rsidRPr="00047B55">
        <w:rPr>
          <w:rFonts w:eastAsiaTheme="minorEastAsia" w:cs="Arial"/>
        </w:rPr>
        <w:t>. It can also be shown that for turbulent flow the S</w:t>
      </w:r>
      <w:r w:rsidR="0004516F">
        <w:rPr>
          <w:rFonts w:eastAsiaTheme="minorEastAsia" w:cs="Arial"/>
        </w:rPr>
        <w:t>chmidt number is equal to 1</w:t>
      </w:r>
      <w:r w:rsidRPr="00047B55">
        <w:rPr>
          <w:rFonts w:eastAsiaTheme="minorEastAsia" w:cs="Arial"/>
        </w:rPr>
        <w:t>, so that:</w:t>
      </w:r>
    </w:p>
    <w:p w14:paraId="7F6BADD6" w14:textId="4F151B69" w:rsidR="0004516F" w:rsidRPr="007E4BA4" w:rsidRDefault="00ED2F67" w:rsidP="0062260D">
      <w:pPr>
        <w:spacing w:before="240" w:after="240"/>
        <w:ind w:left="567"/>
        <w:rPr>
          <w:rFonts w:ascii="Times New Roman" w:eastAsiaTheme="minorEastAsia" w:hAnsi="Times New Roman"/>
        </w:rPr>
      </w:pPr>
      <m:oMathPara>
        <m:oMath>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ij</m:t>
              </m:r>
            </m:sub>
            <m:sup>
              <m:r>
                <w:rPr>
                  <w:rFonts w:ascii="Cambria Math" w:eastAsiaTheme="minorEastAsia" w:hAnsi="Cambria Math"/>
                </w:rPr>
                <m:t>(t)</m:t>
              </m:r>
            </m:sup>
          </m:sSubSup>
          <m:r>
            <w:rPr>
              <w:rFonts w:ascii="Cambria Math" w:eastAsiaTheme="minorEastAsia" w:hAnsi="Cambria Math"/>
            </w:rPr>
            <m:t>=</m:t>
          </m:r>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μ</m:t>
                  </m:r>
                </m:e>
                <m:sub>
                  <m:r>
                    <w:rPr>
                      <w:rFonts w:ascii="Cambria Math" w:eastAsiaTheme="minorEastAsia" w:hAnsi="Cambria Math"/>
                    </w:rPr>
                    <m:t>i</m:t>
                  </m:r>
                </m:sub>
                <m:sup>
                  <m:r>
                    <w:rPr>
                      <w:rFonts w:ascii="Cambria Math" w:eastAsiaTheme="minorEastAsia" w:hAnsi="Cambria Math"/>
                    </w:rPr>
                    <m:t>(t)</m:t>
                  </m:r>
                </m:sup>
              </m:sSubSup>
            </m:num>
            <m:den>
              <m:sSub>
                <m:sSubPr>
                  <m:ctrlPr>
                    <w:rPr>
                      <w:rFonts w:ascii="Cambria Math" w:eastAsiaTheme="minorEastAsia" w:hAnsi="Cambria Math"/>
                      <w:i/>
                    </w:rPr>
                  </m:ctrlPr>
                </m:sSubPr>
                <m:e>
                  <m:r>
                    <w:rPr>
                      <w:rFonts w:ascii="Cambria Math" w:eastAsiaTheme="minorEastAsia" w:hAnsi="Cambria Math"/>
                    </w:rPr>
                    <m:t>ρ</m:t>
                  </m:r>
                </m:e>
                <m:sub>
                  <m:r>
                    <w:rPr>
                      <w:rFonts w:ascii="Cambria Math" w:eastAsiaTheme="minorEastAsia" w:hAnsi="Cambria Math"/>
                    </w:rPr>
                    <m:t>i</m:t>
                  </m:r>
                </m:sub>
              </m:sSub>
            </m:den>
          </m:f>
          <m:r>
            <w:rPr>
              <w:rFonts w:ascii="Cambria Math" w:eastAsiaTheme="minorEastAsia" w:hAnsi="Cambria Math"/>
            </w:rPr>
            <m:t>=</m:t>
          </m:r>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μ</m:t>
                  </m:r>
                </m:e>
                <m:sub>
                  <m:r>
                    <w:rPr>
                      <w:rFonts w:ascii="Cambria Math" w:eastAsiaTheme="minorEastAsia" w:hAnsi="Cambria Math"/>
                    </w:rPr>
                    <m:t>j</m:t>
                  </m:r>
                </m:sub>
                <m:sup>
                  <m:r>
                    <w:rPr>
                      <w:rFonts w:ascii="Cambria Math" w:eastAsiaTheme="minorEastAsia" w:hAnsi="Cambria Math"/>
                    </w:rPr>
                    <m:t>(t)</m:t>
                  </m:r>
                </m:sup>
              </m:sSubSup>
            </m:num>
            <m:den>
              <m:sSub>
                <m:sSubPr>
                  <m:ctrlPr>
                    <w:rPr>
                      <w:rFonts w:ascii="Cambria Math" w:eastAsiaTheme="minorEastAsia" w:hAnsi="Cambria Math"/>
                      <w:i/>
                    </w:rPr>
                  </m:ctrlPr>
                </m:sSubPr>
                <m:e>
                  <m:r>
                    <w:rPr>
                      <w:rFonts w:ascii="Cambria Math" w:eastAsiaTheme="minorEastAsia" w:hAnsi="Cambria Math"/>
                    </w:rPr>
                    <m:t>ρ</m:t>
                  </m:r>
                </m:e>
                <m:sub>
                  <m:r>
                    <w:rPr>
                      <w:rFonts w:ascii="Cambria Math" w:eastAsiaTheme="minorEastAsia" w:hAnsi="Cambria Math"/>
                    </w:rPr>
                    <m:t>j</m:t>
                  </m:r>
                </m:sub>
              </m:sSub>
            </m:den>
          </m:f>
          <m:r>
            <w:rPr>
              <w:rFonts w:ascii="Cambria Math" w:eastAsiaTheme="minorEastAsia" w:hAnsi="Cambria Math"/>
            </w:rPr>
            <m:t xml:space="preserve">                                                                                                                                                                    </m:t>
          </m:r>
          <m:r>
            <m:rPr>
              <m:sty m:val="p"/>
            </m:rPr>
            <w:rPr>
              <w:rFonts w:ascii="Cambria Math" w:eastAsiaTheme="minorEastAsia" w:hAnsi="Cambria Math"/>
            </w:rPr>
            <m:t>(27)</m:t>
          </m:r>
        </m:oMath>
      </m:oMathPara>
    </w:p>
    <w:p w14:paraId="1252B87B" w14:textId="0A87676E" w:rsidR="00151F92" w:rsidRPr="007E4BA4" w:rsidRDefault="00151F92" w:rsidP="00151F92">
      <w:pPr>
        <w:rPr>
          <w:rFonts w:eastAsiaTheme="minorEastAsia" w:cs="Arial"/>
        </w:rPr>
      </w:pPr>
      <w:r w:rsidRPr="007E4BA4">
        <w:rPr>
          <w:rFonts w:eastAsiaTheme="minorEastAsia" w:cs="Arial"/>
        </w:rPr>
        <w:t>The force between the phases can be described by:</w:t>
      </w:r>
    </w:p>
    <w:p w14:paraId="0A7BFEA9" w14:textId="0FA6E0FB" w:rsidR="00151F92" w:rsidRPr="00450972" w:rsidRDefault="00ED2F67" w:rsidP="00182ED2">
      <w:pPr>
        <w:spacing w:before="240" w:after="240"/>
        <w:ind w:left="567"/>
        <w:rPr>
          <w:rFonts w:ascii="Times New Roman" w:eastAsiaTheme="minorEastAsia" w:hAnsi="Times New Roman"/>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ijr</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D</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j</m:t>
              </m:r>
            </m:sub>
          </m:sSub>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jr</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ir</m:t>
                  </m:r>
                </m:sub>
              </m:sSub>
            </m:e>
          </m:d>
          <m:r>
            <w:rPr>
              <w:rFonts w:ascii="Cambria Math" w:eastAsiaTheme="minorEastAsia" w:hAnsi="Cambria Math"/>
            </w:rPr>
            <m:t xml:space="preserve">                                                                                                                                               </m:t>
          </m:r>
          <m:r>
            <m:rPr>
              <m:sty m:val="p"/>
            </m:rPr>
            <w:rPr>
              <w:rFonts w:ascii="Cambria Math" w:eastAsiaTheme="minorEastAsia" w:hAnsi="Cambria Math"/>
            </w:rPr>
            <m:t>(28)</m:t>
          </m:r>
        </m:oMath>
      </m:oMathPara>
    </w:p>
    <w:p w14:paraId="51E540CE" w14:textId="7BB61A3C" w:rsidR="00151F92" w:rsidRPr="000C373C" w:rsidRDefault="00ED2F67" w:rsidP="00182ED2">
      <w:pPr>
        <w:spacing w:before="240" w:after="240"/>
        <w:ind w:left="567"/>
        <w:rPr>
          <w:rFonts w:ascii="Times New Roman" w:eastAsiaTheme="minorEastAsia" w:hAnsi="Times New Roman"/>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ijz</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D</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j</m:t>
              </m:r>
            </m:sub>
          </m:sSub>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jz</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iz</m:t>
                  </m:r>
                </m:sub>
              </m:sSub>
            </m:e>
          </m:d>
          <m:r>
            <w:rPr>
              <w:rFonts w:ascii="Cambria Math" w:eastAsiaTheme="minorEastAsia" w:hAnsi="Cambria Math"/>
            </w:rPr>
            <m:t xml:space="preserve">                                                                                                                                               </m:t>
          </m:r>
          <m:r>
            <m:rPr>
              <m:sty m:val="p"/>
            </m:rPr>
            <w:rPr>
              <w:rFonts w:ascii="Cambria Math" w:eastAsiaTheme="minorEastAsia" w:hAnsi="Cambria Math"/>
            </w:rPr>
            <m:t>(29)</m:t>
          </m:r>
        </m:oMath>
      </m:oMathPara>
    </w:p>
    <w:p w14:paraId="164A5D3B" w14:textId="47DDDF3A" w:rsidR="00D96CBB" w:rsidRPr="004B3743" w:rsidRDefault="00151F92" w:rsidP="00151F92">
      <w:pPr>
        <w:rPr>
          <w:rFonts w:eastAsiaTheme="minorEastAsia" w:cs="Arial"/>
        </w:rPr>
      </w:pPr>
      <w:r w:rsidRPr="00D96CBB">
        <w:rPr>
          <w:rFonts w:eastAsiaTheme="minorEastAsia" w:cs="Arial"/>
        </w:rPr>
        <w:t xml:space="preserve">where it can be seen that </w:t>
      </w:r>
      <m:oMath>
        <m:sSub>
          <m:sSubPr>
            <m:ctrlPr>
              <w:rPr>
                <w:rFonts w:ascii="Cambria Math" w:eastAsiaTheme="minorEastAsia" w:hAnsi="Cambria Math" w:cs="Arial"/>
                <w:i/>
              </w:rPr>
            </m:ctrlPr>
          </m:sSubPr>
          <m:e>
            <m:r>
              <w:rPr>
                <w:rFonts w:ascii="Cambria Math" w:eastAsiaTheme="minorEastAsia" w:hAnsi="Cambria Math" w:cs="Arial"/>
              </w:rPr>
              <m:t>F</m:t>
            </m:r>
          </m:e>
          <m:sub>
            <m:r>
              <w:rPr>
                <w:rFonts w:ascii="Cambria Math" w:eastAsiaTheme="minorEastAsia" w:hAnsi="Cambria Math" w:cs="Arial"/>
              </w:rPr>
              <m:t>jir</m:t>
            </m:r>
          </m:sub>
        </m:sSub>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F</m:t>
            </m:r>
          </m:e>
          <m:sub>
            <m:r>
              <w:rPr>
                <w:rFonts w:ascii="Cambria Math" w:eastAsiaTheme="minorEastAsia" w:hAnsi="Cambria Math" w:cs="Arial"/>
              </w:rPr>
              <m:t>ijr</m:t>
            </m:r>
          </m:sub>
        </m:sSub>
      </m:oMath>
      <w:r w:rsidRPr="00D96CBB">
        <w:rPr>
          <w:rFonts w:eastAsiaTheme="minorEastAsia" w:cs="Arial"/>
        </w:rPr>
        <w:t xml:space="preserve"> and </w:t>
      </w:r>
      <m:oMath>
        <m:sSub>
          <m:sSubPr>
            <m:ctrlPr>
              <w:rPr>
                <w:rFonts w:ascii="Cambria Math" w:eastAsiaTheme="minorEastAsia" w:hAnsi="Cambria Math" w:cs="Arial"/>
                <w:i/>
              </w:rPr>
            </m:ctrlPr>
          </m:sSubPr>
          <m:e>
            <m:r>
              <w:rPr>
                <w:rFonts w:ascii="Cambria Math" w:eastAsiaTheme="minorEastAsia" w:hAnsi="Cambria Math" w:cs="Arial"/>
              </w:rPr>
              <m:t>F</m:t>
            </m:r>
          </m:e>
          <m:sub>
            <m:r>
              <w:rPr>
                <w:rFonts w:ascii="Cambria Math" w:eastAsiaTheme="minorEastAsia" w:hAnsi="Cambria Math" w:cs="Arial"/>
              </w:rPr>
              <m:t>jiz</m:t>
            </m:r>
          </m:sub>
        </m:sSub>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F</m:t>
            </m:r>
          </m:e>
          <m:sub>
            <m:r>
              <w:rPr>
                <w:rFonts w:ascii="Cambria Math" w:eastAsiaTheme="minorEastAsia" w:hAnsi="Cambria Math" w:cs="Arial"/>
              </w:rPr>
              <m:t>ijz</m:t>
            </m:r>
          </m:sub>
        </m:sSub>
      </m:oMath>
      <w:r w:rsidRPr="00D96CBB">
        <w:rPr>
          <w:rFonts w:eastAsiaTheme="minorEastAsia" w:cs="Arial"/>
        </w:rPr>
        <w:t xml:space="preserve">. The value of </w:t>
      </w:r>
      <m:oMath>
        <m:sSub>
          <m:sSubPr>
            <m:ctrlPr>
              <w:rPr>
                <w:rFonts w:ascii="Cambria Math" w:eastAsiaTheme="minorEastAsia" w:hAnsi="Cambria Math" w:cs="Arial"/>
                <w:i/>
              </w:rPr>
            </m:ctrlPr>
          </m:sSubPr>
          <m:e>
            <m:r>
              <w:rPr>
                <w:rFonts w:ascii="Cambria Math" w:eastAsiaTheme="minorEastAsia" w:hAnsi="Cambria Math" w:cs="Arial"/>
              </w:rPr>
              <m:t>C</m:t>
            </m:r>
          </m:e>
          <m:sub>
            <m:r>
              <w:rPr>
                <w:rFonts w:ascii="Cambria Math" w:eastAsiaTheme="minorEastAsia" w:hAnsi="Cambria Math" w:cs="Arial"/>
              </w:rPr>
              <m:t>D</m:t>
            </m:r>
          </m:sub>
        </m:sSub>
      </m:oMath>
      <w:r w:rsidRPr="00D96CBB">
        <w:rPr>
          <w:rFonts w:eastAsiaTheme="minorEastAsia" w:cs="Arial"/>
        </w:rPr>
        <w:t xml:space="preserve"> may be considered either a constant or a function of radial position only, and it can have different values for different systems.</w:t>
      </w:r>
    </w:p>
    <w:p w14:paraId="2CD54D40" w14:textId="054BD360" w:rsidR="002A783F" w:rsidRPr="005654F4" w:rsidRDefault="00C56473" w:rsidP="002A783F">
      <w:pPr>
        <w:rPr>
          <w:rFonts w:eastAsiaTheme="minorEastAsia" w:cs="Arial"/>
        </w:rPr>
      </w:pPr>
      <w:r>
        <w:rPr>
          <w:rFonts w:eastAsiaTheme="minorEastAsia" w:cs="Arial"/>
        </w:rPr>
        <w:tab/>
        <w:t>The transversal lift force</w:t>
      </w:r>
      <w:r w:rsidR="00151F92" w:rsidRPr="004B3743">
        <w:rPr>
          <w:rFonts w:eastAsiaTheme="minorEastAsia" w:cs="Arial"/>
        </w:rPr>
        <w:t xml:space="preserve"> is also known as the Magnus force. Here it is considered in the most general case, where both phases</w:t>
      </w:r>
      <w:r w:rsidR="007A66D0">
        <w:rPr>
          <w:rFonts w:eastAsiaTheme="minorEastAsia" w:cs="Arial"/>
        </w:rPr>
        <w:t xml:space="preserve"> can affect each other. </w:t>
      </w:r>
      <w:r w:rsidR="002A783F" w:rsidRPr="005654F4">
        <w:rPr>
          <w:rFonts w:eastAsiaTheme="minorEastAsia" w:cs="Arial"/>
        </w:rPr>
        <w:t xml:space="preserve">In the case considered in this work, where the velocities have only components on </w:t>
      </w:r>
      <m:oMath>
        <m:r>
          <w:rPr>
            <w:rFonts w:ascii="Cambria Math" w:eastAsiaTheme="minorEastAsia" w:hAnsi="Cambria Math" w:cs="Arial"/>
          </w:rPr>
          <m:t>r</m:t>
        </m:r>
      </m:oMath>
      <w:r w:rsidR="002A783F" w:rsidRPr="005654F4">
        <w:rPr>
          <w:rFonts w:eastAsiaTheme="minorEastAsia" w:cs="Arial"/>
        </w:rPr>
        <w:t xml:space="preserve"> and </w:t>
      </w:r>
      <m:oMath>
        <m:r>
          <w:rPr>
            <w:rFonts w:ascii="Cambria Math" w:eastAsiaTheme="minorEastAsia" w:hAnsi="Cambria Math" w:cs="Arial"/>
          </w:rPr>
          <m:t>z</m:t>
        </m:r>
      </m:oMath>
      <w:r w:rsidR="002A783F" w:rsidRPr="005654F4">
        <w:rPr>
          <w:rFonts w:eastAsiaTheme="minorEastAsia" w:cs="Arial"/>
        </w:rPr>
        <w:t xml:space="preserve"> directions, it results in:</w:t>
      </w:r>
    </w:p>
    <w:p w14:paraId="0E0165F9" w14:textId="31A0F5F8" w:rsidR="002A783F" w:rsidRPr="00662EA7" w:rsidRDefault="00ED2F67" w:rsidP="00E156ED">
      <w:pPr>
        <w:ind w:left="567"/>
        <w:rPr>
          <w:rFonts w:ascii="Times New Roman" w:eastAsiaTheme="minorEastAsia" w:hAnsi="Times New Roman"/>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ijr</m:t>
              </m:r>
            </m:sub>
          </m:sSub>
          <m:r>
            <w:rPr>
              <w:rFonts w:ascii="Cambria Math" w:eastAsiaTheme="minorEastAsia" w:hAnsi="Cambria Math"/>
            </w:rPr>
            <m:t>=+0.5∙</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j</m:t>
              </m:r>
            </m:sub>
          </m:sSub>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iz</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jz</m:t>
                  </m:r>
                </m:sub>
              </m:sSub>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ρ</m:t>
                  </m:r>
                </m:e>
                <m:sub>
                  <m:r>
                    <w:rPr>
                      <w:rFonts w:ascii="Cambria Math" w:eastAsiaTheme="minorEastAsia" w:hAnsi="Cambria Math"/>
                    </w:rPr>
                    <m:t>i</m:t>
                  </m:r>
                </m:sub>
              </m:sSub>
              <m:r>
                <w:rPr>
                  <w:rFonts w:ascii="Cambria Math" w:eastAsiaTheme="minorEastAsia" w:hAnsi="Cambria Math"/>
                </w:rPr>
                <m:t>∙</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ir</m:t>
                          </m:r>
                        </m:sub>
                      </m:sSub>
                    </m:num>
                    <m:den>
                      <m:r>
                        <w:rPr>
                          <w:rFonts w:ascii="Cambria Math" w:hAnsi="Cambria Math"/>
                        </w:rPr>
                        <m:t>∂z</m:t>
                      </m:r>
                    </m:den>
                  </m:f>
                  <m:r>
                    <w:rPr>
                      <w:rFonts w:ascii="Cambria Math" w:eastAsiaTheme="minorEastAsia" w:hAnsi="Cambria Math"/>
                    </w:rPr>
                    <m:t>-</m:t>
                  </m:r>
                  <m:f>
                    <m:fPr>
                      <m:ctrlPr>
                        <w:rPr>
                          <w:rFonts w:ascii="Cambria Math" w:eastAsiaTheme="minorEastAsia" w:hAnsi="Cambria Math"/>
                          <w:i/>
                        </w:rPr>
                      </m:ctrlPr>
                    </m:fPr>
                    <m:num>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iz</m:t>
                          </m:r>
                        </m:sub>
                      </m:sSub>
                    </m:num>
                    <m:den>
                      <m:r>
                        <w:rPr>
                          <w:rFonts w:ascii="Cambria Math" w:hAnsi="Cambria Math"/>
                        </w:rPr>
                        <m:t>∂r</m:t>
                      </m:r>
                    </m:den>
                  </m:f>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ρ</m:t>
                  </m:r>
                </m:e>
                <m:sub>
                  <m:r>
                    <w:rPr>
                      <w:rFonts w:ascii="Cambria Math" w:eastAsiaTheme="minorEastAsia" w:hAnsi="Cambria Math"/>
                    </w:rPr>
                    <m:t>j</m:t>
                  </m:r>
                </m:sub>
              </m:sSub>
              <m:r>
                <w:rPr>
                  <w:rFonts w:ascii="Cambria Math" w:eastAsiaTheme="minorEastAsia" w:hAnsi="Cambria Math"/>
                </w:rPr>
                <m:t>∙</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jr</m:t>
                          </m:r>
                        </m:sub>
                      </m:sSub>
                    </m:num>
                    <m:den>
                      <m:r>
                        <w:rPr>
                          <w:rFonts w:ascii="Cambria Math" w:hAnsi="Cambria Math"/>
                        </w:rPr>
                        <m:t>∂z</m:t>
                      </m:r>
                    </m:den>
                  </m:f>
                  <m:r>
                    <w:rPr>
                      <w:rFonts w:ascii="Cambria Math" w:eastAsiaTheme="minorEastAsia" w:hAnsi="Cambria Math"/>
                    </w:rPr>
                    <m:t>-</m:t>
                  </m:r>
                  <m:f>
                    <m:fPr>
                      <m:ctrlPr>
                        <w:rPr>
                          <w:rFonts w:ascii="Cambria Math" w:eastAsiaTheme="minorEastAsia" w:hAnsi="Cambria Math"/>
                          <w:i/>
                        </w:rPr>
                      </m:ctrlPr>
                    </m:fPr>
                    <m:num>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jz</m:t>
                          </m:r>
                        </m:sub>
                      </m:sSub>
                    </m:num>
                    <m:den>
                      <m:r>
                        <w:rPr>
                          <w:rFonts w:ascii="Cambria Math" w:hAnsi="Cambria Math"/>
                        </w:rPr>
                        <m:t>∂r</m:t>
                      </m:r>
                    </m:den>
                  </m:f>
                </m:e>
              </m:d>
            </m:e>
          </m:d>
          <m:r>
            <w:rPr>
              <w:rFonts w:ascii="Cambria Math" w:eastAsiaTheme="minorEastAsia" w:hAnsi="Cambria Math"/>
            </w:rPr>
            <m:t xml:space="preserve">                                                   </m:t>
          </m:r>
          <m:r>
            <m:rPr>
              <m:sty m:val="p"/>
            </m:rPr>
            <w:rPr>
              <w:rFonts w:ascii="Cambria Math" w:eastAsiaTheme="minorEastAsia" w:hAnsi="Cambria Math"/>
            </w:rPr>
            <m:t>(30)</m:t>
          </m:r>
        </m:oMath>
      </m:oMathPara>
    </w:p>
    <w:p w14:paraId="66B1AD23" w14:textId="3F3D22DA" w:rsidR="002A783F" w:rsidRPr="000D436E" w:rsidRDefault="00ED2F67" w:rsidP="006C7ECA">
      <w:pPr>
        <w:ind w:left="567"/>
        <w:rPr>
          <w:rFonts w:ascii="Times New Roman" w:eastAsiaTheme="minorEastAsia" w:hAnsi="Times New Roman"/>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ijz</m:t>
              </m:r>
            </m:sub>
          </m:sSub>
          <m:r>
            <w:rPr>
              <w:rFonts w:ascii="Cambria Math" w:eastAsiaTheme="minorEastAsia" w:hAnsi="Cambria Math"/>
            </w:rPr>
            <m:t>=-0.5∙</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L</m:t>
              </m:r>
            </m:sub>
          </m:sSub>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j</m:t>
              </m:r>
            </m:sub>
          </m:sSub>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ir</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jr</m:t>
                  </m:r>
                </m:sub>
              </m:sSub>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ρ</m:t>
                  </m:r>
                </m:e>
                <m:sub>
                  <m:r>
                    <w:rPr>
                      <w:rFonts w:ascii="Cambria Math" w:eastAsiaTheme="minorEastAsia" w:hAnsi="Cambria Math"/>
                    </w:rPr>
                    <m:t>i</m:t>
                  </m:r>
                </m:sub>
              </m:sSub>
              <m:r>
                <w:rPr>
                  <w:rFonts w:ascii="Cambria Math" w:eastAsiaTheme="minorEastAsia" w:hAnsi="Cambria Math"/>
                </w:rPr>
                <m:t>∙</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ir</m:t>
                          </m:r>
                        </m:sub>
                      </m:sSub>
                    </m:num>
                    <m:den>
                      <m:r>
                        <w:rPr>
                          <w:rFonts w:ascii="Cambria Math" w:hAnsi="Cambria Math"/>
                        </w:rPr>
                        <m:t>∂z</m:t>
                      </m:r>
                    </m:den>
                  </m:f>
                  <m:r>
                    <w:rPr>
                      <w:rFonts w:ascii="Cambria Math" w:eastAsiaTheme="minorEastAsia" w:hAnsi="Cambria Math"/>
                    </w:rPr>
                    <m:t>-</m:t>
                  </m:r>
                  <m:f>
                    <m:fPr>
                      <m:ctrlPr>
                        <w:rPr>
                          <w:rFonts w:ascii="Cambria Math" w:eastAsiaTheme="minorEastAsia" w:hAnsi="Cambria Math"/>
                          <w:i/>
                        </w:rPr>
                      </m:ctrlPr>
                    </m:fPr>
                    <m:num>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iz</m:t>
                          </m:r>
                        </m:sub>
                      </m:sSub>
                    </m:num>
                    <m:den>
                      <m:r>
                        <w:rPr>
                          <w:rFonts w:ascii="Cambria Math" w:hAnsi="Cambria Math"/>
                        </w:rPr>
                        <m:t>∂r</m:t>
                      </m:r>
                    </m:den>
                  </m:f>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ρ</m:t>
                  </m:r>
                </m:e>
                <m:sub>
                  <m:r>
                    <w:rPr>
                      <w:rFonts w:ascii="Cambria Math" w:eastAsiaTheme="minorEastAsia" w:hAnsi="Cambria Math"/>
                    </w:rPr>
                    <m:t>j</m:t>
                  </m:r>
                </m:sub>
              </m:sSub>
              <m:r>
                <w:rPr>
                  <w:rFonts w:ascii="Cambria Math" w:eastAsiaTheme="minorEastAsia" w:hAnsi="Cambria Math"/>
                </w:rPr>
                <m:t>∙</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jr</m:t>
                          </m:r>
                        </m:sub>
                      </m:sSub>
                    </m:num>
                    <m:den>
                      <m:r>
                        <w:rPr>
                          <w:rFonts w:ascii="Cambria Math" w:hAnsi="Cambria Math"/>
                        </w:rPr>
                        <m:t>∂z</m:t>
                      </m:r>
                    </m:den>
                  </m:f>
                  <m:r>
                    <w:rPr>
                      <w:rFonts w:ascii="Cambria Math" w:eastAsiaTheme="minorEastAsia" w:hAnsi="Cambria Math"/>
                    </w:rPr>
                    <m:t>-</m:t>
                  </m:r>
                  <m:f>
                    <m:fPr>
                      <m:ctrlPr>
                        <w:rPr>
                          <w:rFonts w:ascii="Cambria Math" w:eastAsiaTheme="minorEastAsia" w:hAnsi="Cambria Math"/>
                          <w:i/>
                        </w:rPr>
                      </m:ctrlPr>
                    </m:fPr>
                    <m:num>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jz</m:t>
                          </m:r>
                        </m:sub>
                      </m:sSub>
                    </m:num>
                    <m:den>
                      <m:r>
                        <w:rPr>
                          <w:rFonts w:ascii="Cambria Math" w:hAnsi="Cambria Math"/>
                        </w:rPr>
                        <m:t>∂r</m:t>
                      </m:r>
                    </m:den>
                  </m:f>
                </m:e>
              </m:d>
            </m:e>
          </m:d>
          <m:r>
            <w:rPr>
              <w:rFonts w:ascii="Cambria Math" w:eastAsiaTheme="minorEastAsia" w:hAnsi="Cambria Math"/>
            </w:rPr>
            <m:t xml:space="preserve">                                                   </m:t>
          </m:r>
          <m:r>
            <m:rPr>
              <m:sty m:val="p"/>
            </m:rPr>
            <w:rPr>
              <w:rFonts w:ascii="Cambria Math" w:eastAsiaTheme="minorEastAsia" w:hAnsi="Cambria Math"/>
            </w:rPr>
            <m:t>(31)</m:t>
          </m:r>
        </m:oMath>
      </m:oMathPara>
    </w:p>
    <w:p w14:paraId="715D1959" w14:textId="70C646CC" w:rsidR="00E05CAC" w:rsidRPr="004B3743" w:rsidRDefault="00F527E8" w:rsidP="00151F92">
      <w:pPr>
        <w:rPr>
          <w:rFonts w:eastAsiaTheme="minorEastAsia" w:cs="Arial"/>
        </w:rPr>
      </w:pPr>
      <w:r>
        <w:rPr>
          <w:rFonts w:eastAsiaTheme="minorEastAsia" w:cs="Arial"/>
        </w:rPr>
        <w:t>The boundary conditions fo</w:t>
      </w:r>
      <w:r w:rsidR="00E05CAC">
        <w:rPr>
          <w:rFonts w:eastAsiaTheme="minorEastAsia" w:cs="Arial"/>
        </w:rPr>
        <w:t>r this model are the usual ones, both for the velocities at the inlet, and for the centre and the walls.</w:t>
      </w:r>
    </w:p>
    <w:p w14:paraId="065C75F6" w14:textId="77777777" w:rsidR="000A634C" w:rsidRDefault="000A634C" w:rsidP="006A26FA">
      <w:pPr>
        <w:pStyle w:val="CETheadingx"/>
      </w:pPr>
      <w:r>
        <w:t>Numerical Implementation</w:t>
      </w:r>
    </w:p>
    <w:p w14:paraId="17900B7E" w14:textId="5ACB187C" w:rsidR="00F10132" w:rsidRDefault="000E411A" w:rsidP="00626859">
      <w:pPr>
        <w:pStyle w:val="CETBodytext"/>
      </w:pPr>
      <w:r>
        <w:t>The proposed method was implemented in GAMS, solved with the CONOPT3 solver.</w:t>
      </w:r>
      <w:r w:rsidR="00046A14">
        <w:t xml:space="preserve"> </w:t>
      </w:r>
      <w:r w:rsidR="00E92078">
        <w:t xml:space="preserve">For a </w:t>
      </w:r>
      <w:r w:rsidR="00AE2241">
        <w:t>single-phase</w:t>
      </w:r>
      <w:r w:rsidR="00886F49">
        <w:t xml:space="preserve"> </w:t>
      </w:r>
      <w:r w:rsidR="00E92078">
        <w:t xml:space="preserve">fluid, Equation (18) is used, while for two </w:t>
      </w:r>
      <w:r w:rsidR="00886F49">
        <w:t>phases fluid flows</w:t>
      </w:r>
      <w:r w:rsidR="00E92078">
        <w:t xml:space="preserve"> a more general </w:t>
      </w:r>
      <w:r w:rsidR="001327DD">
        <w:t>functional</w:t>
      </w:r>
      <w:r w:rsidR="00E92078">
        <w:t xml:space="preserve"> is used</w:t>
      </w:r>
      <w:r w:rsidR="008A5FE6">
        <w:t xml:space="preserve"> that results in the model described in Section 2.2</w:t>
      </w:r>
      <w:r w:rsidR="00E92078">
        <w:t xml:space="preserve">. </w:t>
      </w:r>
      <w:r w:rsidR="00046A14">
        <w:t>The derivatives were calculated using second order finite differences, while the integrals were calculated using the trapezoid</w:t>
      </w:r>
      <w:r w:rsidR="00720F87">
        <w:t>al</w:t>
      </w:r>
      <w:r w:rsidR="00046A14">
        <w:t xml:space="preserve"> rule</w:t>
      </w:r>
      <w:r w:rsidR="004A70A9">
        <w:t>,</w:t>
      </w:r>
      <w:r w:rsidR="00046A14">
        <w:t xml:space="preserve"> </w:t>
      </w:r>
      <w:r w:rsidR="00041C71">
        <w:t>which for cylindrical coordinates i</w:t>
      </w:r>
      <w:r w:rsidR="00046A14">
        <w:t>s</w:t>
      </w:r>
      <w:r w:rsidR="00720F87">
        <w:t xml:space="preserve"> given by</w:t>
      </w:r>
      <w:r w:rsidR="00046A14">
        <w:t>:</w:t>
      </w:r>
    </w:p>
    <w:p w14:paraId="01B18112" w14:textId="3EABF496" w:rsidR="00046A14" w:rsidRDefault="00ED2F67" w:rsidP="004A70A9">
      <w:pPr>
        <w:pStyle w:val="CETBodytext"/>
        <w:spacing w:before="240" w:after="240"/>
        <w:ind w:left="567"/>
      </w:pPr>
      <m:oMathPara>
        <m:oMath>
          <m:nary>
            <m:naryPr>
              <m:limLoc m:val="subSup"/>
              <m:ctrlPr>
                <w:rPr>
                  <w:rFonts w:ascii="Cambria Math" w:hAnsi="Cambria Math"/>
                  <w:i/>
                </w:rPr>
              </m:ctrlPr>
            </m:naryPr>
            <m:sub>
              <m:sSub>
                <m:sSubPr>
                  <m:ctrlPr>
                    <w:rPr>
                      <w:rFonts w:ascii="Cambria Math" w:hAnsi="Cambria Math"/>
                      <w:i/>
                    </w:rPr>
                  </m:ctrlPr>
                </m:sSubPr>
                <m:e>
                  <m:r>
                    <w:rPr>
                      <w:rFonts w:ascii="Cambria Math" w:hAnsi="Cambria Math"/>
                    </w:rPr>
                    <m:t>x</m:t>
                  </m:r>
                </m:e>
                <m:sub>
                  <m:r>
                    <w:rPr>
                      <w:rFonts w:ascii="Cambria Math" w:hAnsi="Cambria Math"/>
                    </w:rPr>
                    <m:t>i</m:t>
                  </m:r>
                </m:sub>
              </m:sSub>
            </m:sub>
            <m:sup>
              <m:sSub>
                <m:sSubPr>
                  <m:ctrlPr>
                    <w:rPr>
                      <w:rFonts w:ascii="Cambria Math" w:hAnsi="Cambria Math"/>
                      <w:i/>
                    </w:rPr>
                  </m:ctrlPr>
                </m:sSubPr>
                <m:e>
                  <m:r>
                    <w:rPr>
                      <w:rFonts w:ascii="Cambria Math" w:hAnsi="Cambria Math"/>
                    </w:rPr>
                    <m:t>x</m:t>
                  </m:r>
                </m:e>
                <m:sub>
                  <m:r>
                    <w:rPr>
                      <w:rFonts w:ascii="Cambria Math" w:hAnsi="Cambria Math"/>
                    </w:rPr>
                    <m:t>i+1</m:t>
                  </m:r>
                </m:sub>
              </m:sSub>
            </m:sup>
            <m:e>
              <m:r>
                <w:rPr>
                  <w:rFonts w:ascii="Cambria Math" w:hAnsi="Cambria Math"/>
                </w:rPr>
                <m:t>y∙x∙dx=</m:t>
              </m:r>
              <m:f>
                <m:fPr>
                  <m:ctrlPr>
                    <w:rPr>
                      <w:rFonts w:ascii="Cambria Math" w:hAnsi="Cambria Math"/>
                      <w:i/>
                    </w:rPr>
                  </m:ctrlPr>
                </m:fPr>
                <m:num>
                  <m:r>
                    <w:rPr>
                      <w:rFonts w:ascii="Cambria Math" w:hAnsi="Cambria Math"/>
                    </w:rPr>
                    <m:t>∆x</m:t>
                  </m:r>
                </m:num>
                <m:den>
                  <m:r>
                    <w:rPr>
                      <w:rFonts w:ascii="Cambria Math" w:hAnsi="Cambria Math"/>
                    </w:rPr>
                    <m:t>6</m:t>
                  </m:r>
                </m:den>
              </m:f>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d>
                <m:dPr>
                  <m:ctrlPr>
                    <w:rPr>
                      <w:rFonts w:ascii="Cambria Math" w:hAnsi="Cambria Math"/>
                      <w:i/>
                    </w:rPr>
                  </m:ctrlPr>
                </m:dPr>
                <m:e>
                  <m:r>
                    <w:rPr>
                      <w:rFonts w:ascii="Cambria Math" w:hAnsi="Cambria Math"/>
                    </w:rPr>
                    <m:t>2∙</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i+1</m:t>
                      </m:r>
                    </m:sub>
                  </m:sSub>
                </m:e>
              </m:d>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+2∙</m:t>
              </m:r>
              <m:sSub>
                <m:sSubPr>
                  <m:ctrlPr>
                    <w:rPr>
                      <w:rFonts w:ascii="Cambria Math" w:hAnsi="Cambria Math"/>
                      <w:i/>
                    </w:rPr>
                  </m:ctrlPr>
                </m:sSubPr>
                <m:e>
                  <m:r>
                    <w:rPr>
                      <w:rFonts w:ascii="Cambria Math" w:hAnsi="Cambria Math"/>
                    </w:rPr>
                    <m:t>x</m:t>
                  </m:r>
                </m:e>
                <m:sub>
                  <m:r>
                    <w:rPr>
                      <w:rFonts w:ascii="Cambria Math" w:hAnsi="Cambria Math"/>
                    </w:rPr>
                    <m:t>i+1</m:t>
                  </m:r>
                </m:sub>
              </m:sSub>
              <m:r>
                <w:rPr>
                  <w:rFonts w:ascii="Cambria Math" w:hAnsi="Cambria Math"/>
                </w:rPr>
                <m:t>)]</m:t>
              </m:r>
            </m:e>
          </m:nary>
          <m:r>
            <w:rPr>
              <w:rFonts w:ascii="Cambria Math" w:hAnsi="Cambria Math"/>
            </w:rPr>
            <m:t xml:space="preserve">                                                                           (32)</m:t>
          </m:r>
        </m:oMath>
      </m:oMathPara>
    </w:p>
    <w:p w14:paraId="2AAC6D3E" w14:textId="77777777" w:rsidR="007A457C" w:rsidRPr="00B57B36" w:rsidRDefault="007A457C" w:rsidP="007A457C">
      <w:pPr>
        <w:pStyle w:val="CETHeading1"/>
        <w:tabs>
          <w:tab w:val="clear" w:pos="360"/>
          <w:tab w:val="right" w:pos="7100"/>
        </w:tabs>
        <w:jc w:val="both"/>
        <w:rPr>
          <w:lang w:val="en-GB"/>
        </w:rPr>
      </w:pPr>
      <w:r>
        <w:rPr>
          <w:lang w:val="en-GB"/>
        </w:rPr>
        <w:lastRenderedPageBreak/>
        <w:t>Results and discussion</w:t>
      </w:r>
    </w:p>
    <w:p w14:paraId="66BC7EE3" w14:textId="0FB5CC63" w:rsidR="006E18D4" w:rsidRPr="006E18D4" w:rsidRDefault="006E18D4" w:rsidP="006E18D4">
      <w:pPr>
        <w:pStyle w:val="CETBodytext"/>
        <w:rPr>
          <w:lang w:val="en-GB"/>
        </w:rPr>
      </w:pPr>
      <w:r>
        <w:rPr>
          <w:lang w:val="en-GB"/>
        </w:rPr>
        <w:t>Two case studies were solved using the proposed method. The first case considers a two-dimensional laminar flow of a single fluid in a pipe and the results were compared with an analytical solution. The second case considers a one-dimensional turbulent laminar flow in a gas-liquid column and the results were compared with a numerical solution using the finite volume method.</w:t>
      </w:r>
    </w:p>
    <w:p w14:paraId="385D3ECE" w14:textId="60619D1D" w:rsidR="0036535F" w:rsidRDefault="006D645E" w:rsidP="006A26FA">
      <w:pPr>
        <w:pStyle w:val="CETheadingx"/>
      </w:pPr>
      <w:r>
        <w:t>Two dimensional laminar flow for a single fluid</w:t>
      </w:r>
    </w:p>
    <w:p w14:paraId="24310F7E" w14:textId="5E77713C" w:rsidR="00C574E6" w:rsidRDefault="00A52385" w:rsidP="006D645E">
      <w:pPr>
        <w:pStyle w:val="CETBodytext"/>
      </w:pPr>
      <w:r>
        <w:t>The laminar flow of a single fluid in a pipe was calculated using the proposed method</w:t>
      </w:r>
      <w:r w:rsidR="00B83B01">
        <w:t>. The equations were written in a dimensionless form, so that only two parameters were required</w:t>
      </w:r>
      <w:r w:rsidR="00E36564">
        <w:t xml:space="preserve"> to characterize the flow</w:t>
      </w:r>
      <w:r w:rsidR="00B83B01">
        <w:t xml:space="preserve">, the Reynolds number and the relation of length </w:t>
      </w:r>
      <w:r w:rsidR="007B0983">
        <w:t>to radius of the pipe (</w:t>
      </w:r>
      <m:oMath>
        <m:f>
          <m:fPr>
            <m:type m:val="lin"/>
            <m:ctrlPr>
              <w:rPr>
                <w:rFonts w:ascii="Cambria Math" w:hAnsi="Cambria Math"/>
                <w:i/>
              </w:rPr>
            </m:ctrlPr>
          </m:fPr>
          <m:num>
            <m:r>
              <w:rPr>
                <w:rFonts w:ascii="Cambria Math" w:hAnsi="Cambria Math"/>
              </w:rPr>
              <m:t>L</m:t>
            </m:r>
          </m:num>
          <m:den>
            <m:r>
              <w:rPr>
                <w:rFonts w:ascii="Cambria Math" w:hAnsi="Cambria Math"/>
              </w:rPr>
              <m:t>R</m:t>
            </m:r>
          </m:den>
        </m:f>
      </m:oMath>
      <w:r w:rsidR="00B83B01">
        <w:t>).</w:t>
      </w:r>
      <w:r w:rsidR="00337F5F">
        <w:t xml:space="preserve"> </w:t>
      </w:r>
      <w:r w:rsidR="00BF4F2F">
        <w:t>Table 1 shows the results for the axial velocity, using 50 intervals in the radial direction and 20 intervals in the axial direction, for different radial and axial positions.</w:t>
      </w:r>
      <w:r>
        <w:t xml:space="preserve"> In order to have good convergence, a relaxation factor </w:t>
      </w:r>
      <m:oMath>
        <m:r>
          <w:rPr>
            <w:rFonts w:ascii="Cambria Math" w:hAnsi="Cambria Math"/>
          </w:rPr>
          <m:t>ω=0.05</m:t>
        </m:r>
      </m:oMath>
      <w:r>
        <w:t xml:space="preserve"> was used.</w:t>
      </w:r>
      <w:r w:rsidR="00337F5F">
        <w:t xml:space="preserve"> A very low Reynolds number was used, so that a fully developed flow was achieved with a short pipe length. The results were compared with an analytical </w:t>
      </w:r>
      <w:r w:rsidR="00B50B2E">
        <w:t>solu</w:t>
      </w:r>
      <w:r w:rsidR="00337F5F">
        <w:t xml:space="preserve">tion presented </w:t>
      </w:r>
      <w:r w:rsidR="00E36564">
        <w:t xml:space="preserve">by </w:t>
      </w:r>
      <w:r w:rsidR="00337F5F">
        <w:t>Guirardello (2015), with good results.</w:t>
      </w:r>
      <w:r w:rsidR="00E36564">
        <w:t xml:space="preserve"> Also, the parabolic profile at a fully developed fl</w:t>
      </w:r>
      <w:r w:rsidR="00622839">
        <w:t xml:space="preserve">ow was achieved, with </w:t>
      </w:r>
      <w:r w:rsidR="00E36564">
        <w:t xml:space="preserve">differences </w:t>
      </w:r>
      <w:r w:rsidR="00622839">
        <w:t xml:space="preserve">between analytical and numerical solutions </w:t>
      </w:r>
      <w:r w:rsidR="00E36564">
        <w:t>due to the size</w:t>
      </w:r>
      <w:r w:rsidR="00622839">
        <w:t xml:space="preserve"> of the interval</w:t>
      </w:r>
      <w:r w:rsidR="002D131A">
        <w:t xml:space="preserve"> used</w:t>
      </w:r>
      <w:r w:rsidR="00622839">
        <w:t xml:space="preserve"> in the radial direction</w:t>
      </w:r>
      <w:r w:rsidR="00E36564">
        <w:t>.</w:t>
      </w:r>
    </w:p>
    <w:p w14:paraId="0E547EA5" w14:textId="2B4235B5" w:rsidR="00C574E6" w:rsidRPr="00971464" w:rsidRDefault="00C574E6" w:rsidP="00C574E6">
      <w:pPr>
        <w:spacing w:before="200" w:after="80"/>
        <w:rPr>
          <w:rFonts w:cs="Arial"/>
          <w:lang w:val="en-US"/>
        </w:rPr>
      </w:pPr>
      <w:r w:rsidRPr="00BF4F2F">
        <w:rPr>
          <w:rFonts w:cs="Arial"/>
          <w:i/>
          <w:lang w:val="en-US"/>
        </w:rPr>
        <w:t>T</w:t>
      </w:r>
      <w:r w:rsidR="006A5E57" w:rsidRPr="00BF4F2F">
        <w:rPr>
          <w:rFonts w:cs="Arial"/>
          <w:i/>
          <w:lang w:val="en-US"/>
        </w:rPr>
        <w:t>a</w:t>
      </w:r>
      <w:r w:rsidR="006A5E57">
        <w:rPr>
          <w:rFonts w:cs="Arial"/>
          <w:i/>
          <w:lang w:val="en-US"/>
        </w:rPr>
        <w:t>ble 1. Axial velocity</w:t>
      </w:r>
      <w:r w:rsidR="00D90104">
        <w:rPr>
          <w:rFonts w:cs="Arial"/>
          <w:i/>
          <w:lang w:val="en-US"/>
        </w:rPr>
        <w:t xml:space="preserve"> </w:t>
      </w:r>
      <m:oMath>
        <m:f>
          <m:fPr>
            <m:type m:val="lin"/>
            <m:ctrlPr>
              <w:rPr>
                <w:rFonts w:ascii="Cambria Math" w:hAnsi="Cambria Math" w:cs="Arial"/>
                <w:i/>
                <w:lang w:val="en-US"/>
              </w:rPr>
            </m:ctrlPr>
          </m:fPr>
          <m:num>
            <m:sSub>
              <m:sSubPr>
                <m:ctrlPr>
                  <w:rPr>
                    <w:rFonts w:ascii="Cambria Math" w:hAnsi="Cambria Math" w:cs="Arial"/>
                    <w:i/>
                    <w:lang w:val="en-US"/>
                  </w:rPr>
                </m:ctrlPr>
              </m:sSubPr>
              <m:e>
                <m:r>
                  <w:rPr>
                    <w:rFonts w:ascii="Cambria Math" w:hAnsi="Cambria Math" w:cs="Arial"/>
                    <w:lang w:val="en-US"/>
                  </w:rPr>
                  <m:t>v</m:t>
                </m:r>
              </m:e>
              <m:sub>
                <m:r>
                  <w:rPr>
                    <w:rFonts w:ascii="Cambria Math" w:hAnsi="Cambria Math" w:cs="Arial"/>
                    <w:lang w:val="en-US"/>
                  </w:rPr>
                  <m:t>z</m:t>
                </m:r>
              </m:sub>
            </m:sSub>
          </m:num>
          <m:den>
            <m:sSub>
              <m:sSubPr>
                <m:ctrlPr>
                  <w:rPr>
                    <w:rFonts w:ascii="Cambria Math" w:hAnsi="Cambria Math" w:cs="Arial"/>
                    <w:i/>
                    <w:lang w:val="en-US"/>
                  </w:rPr>
                </m:ctrlPr>
              </m:sSubPr>
              <m:e>
                <m:r>
                  <w:rPr>
                    <w:rFonts w:ascii="Cambria Math" w:hAnsi="Cambria Math" w:cs="Arial"/>
                    <w:lang w:val="en-US"/>
                  </w:rPr>
                  <m:t>v</m:t>
                </m:r>
              </m:e>
              <m:sub>
                <m:r>
                  <w:rPr>
                    <w:rFonts w:ascii="Cambria Math" w:hAnsi="Cambria Math" w:cs="Arial"/>
                    <w:lang w:val="en-US"/>
                  </w:rPr>
                  <m:t>0</m:t>
                </m:r>
              </m:sub>
            </m:sSub>
          </m:den>
        </m:f>
      </m:oMath>
      <w:r w:rsidR="00AB5420">
        <w:rPr>
          <w:rFonts w:cs="Arial"/>
          <w:i/>
          <w:lang w:val="en-US"/>
        </w:rPr>
        <w:t xml:space="preserve"> for Re=2 </w:t>
      </w:r>
      <w:r w:rsidR="00F05CEE">
        <w:rPr>
          <w:rFonts w:cs="Arial"/>
          <w:i/>
          <w:lang w:val="en-US"/>
        </w:rPr>
        <w:t>and L/R</w:t>
      </w:r>
      <w:r w:rsidR="00AB5420">
        <w:rPr>
          <w:rFonts w:cs="Arial"/>
          <w:i/>
          <w:lang w:val="en-US"/>
        </w:rPr>
        <w:t>=4</w:t>
      </w:r>
    </w:p>
    <w:tbl>
      <w:tblPr>
        <w:tblStyle w:val="LightShading-Accent3"/>
        <w:tblW w:w="9003" w:type="dxa"/>
        <w:tblLook w:val="04A0" w:firstRow="1" w:lastRow="0" w:firstColumn="1" w:lastColumn="0" w:noHBand="0" w:noVBand="1"/>
      </w:tblPr>
      <w:tblGrid>
        <w:gridCol w:w="1095"/>
        <w:gridCol w:w="1412"/>
        <w:gridCol w:w="1273"/>
        <w:gridCol w:w="1412"/>
        <w:gridCol w:w="1265"/>
        <w:gridCol w:w="1273"/>
        <w:gridCol w:w="1273"/>
      </w:tblGrid>
      <w:tr w:rsidR="00D357EB" w:rsidRPr="00E96D67" w14:paraId="1A9BEC40" w14:textId="77777777" w:rsidTr="007A0E4B">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95" w:type="dxa"/>
            <w:tcBorders>
              <w:top w:val="single" w:sz="12" w:space="0" w:color="76923C" w:themeColor="accent3" w:themeShade="BF"/>
            </w:tcBorders>
            <w:shd w:val="clear" w:color="auto" w:fill="auto"/>
          </w:tcPr>
          <w:p w14:paraId="5A8B2674" w14:textId="272DA0A9" w:rsidR="00D357EB" w:rsidRPr="00E96D67" w:rsidRDefault="00D357EB" w:rsidP="007A0E4B">
            <w:pPr>
              <w:jc w:val="center"/>
              <w:rPr>
                <w:rFonts w:cs="Arial"/>
                <w:b w:val="0"/>
                <w:color w:val="auto"/>
                <w:lang w:val="en-US"/>
              </w:rPr>
            </w:pPr>
            <w:r w:rsidRPr="00E96D67">
              <w:rPr>
                <w:rFonts w:cs="Arial"/>
                <w:b w:val="0"/>
                <w:color w:val="auto"/>
                <w:lang w:val="en-US"/>
              </w:rPr>
              <w:t>r/R</w:t>
            </w:r>
          </w:p>
        </w:tc>
        <w:tc>
          <w:tcPr>
            <w:tcW w:w="1412" w:type="dxa"/>
            <w:tcBorders>
              <w:top w:val="single" w:sz="12" w:space="0" w:color="76923C" w:themeColor="accent3" w:themeShade="BF"/>
            </w:tcBorders>
            <w:shd w:val="clear" w:color="auto" w:fill="auto"/>
          </w:tcPr>
          <w:p w14:paraId="274F17EB" w14:textId="6FE9D835" w:rsidR="00D357EB" w:rsidRPr="00E96D67" w:rsidRDefault="00D357EB" w:rsidP="007A0E4B">
            <w:pPr>
              <w:jc w:val="center"/>
              <w:cnfStyle w:val="100000000000" w:firstRow="1" w:lastRow="0" w:firstColumn="0" w:lastColumn="0" w:oddVBand="0" w:evenVBand="0" w:oddHBand="0" w:evenHBand="0" w:firstRowFirstColumn="0" w:firstRowLastColumn="0" w:lastRowFirstColumn="0" w:lastRowLastColumn="0"/>
              <w:rPr>
                <w:rFonts w:cs="Arial"/>
                <w:b w:val="0"/>
                <w:color w:val="auto"/>
                <w:lang w:val="en-US"/>
              </w:rPr>
            </w:pPr>
            <w:r w:rsidRPr="00E96D67">
              <w:rPr>
                <w:rFonts w:cs="Arial"/>
                <w:b w:val="0"/>
                <w:color w:val="auto"/>
                <w:lang w:val="en-US"/>
              </w:rPr>
              <w:t>z/L=0.00</w:t>
            </w:r>
          </w:p>
        </w:tc>
        <w:tc>
          <w:tcPr>
            <w:tcW w:w="1273" w:type="dxa"/>
            <w:tcBorders>
              <w:top w:val="single" w:sz="12" w:space="0" w:color="76923C" w:themeColor="accent3" w:themeShade="BF"/>
            </w:tcBorders>
            <w:shd w:val="clear" w:color="auto" w:fill="auto"/>
          </w:tcPr>
          <w:p w14:paraId="20555BCE" w14:textId="3F781384" w:rsidR="00D357EB" w:rsidRPr="00E96D67" w:rsidRDefault="00D357EB" w:rsidP="007A0E4B">
            <w:pPr>
              <w:jc w:val="center"/>
              <w:cnfStyle w:val="100000000000" w:firstRow="1" w:lastRow="0" w:firstColumn="0" w:lastColumn="0" w:oddVBand="0" w:evenVBand="0" w:oddHBand="0" w:evenHBand="0" w:firstRowFirstColumn="0" w:firstRowLastColumn="0" w:lastRowFirstColumn="0" w:lastRowLastColumn="0"/>
              <w:rPr>
                <w:rFonts w:cs="Arial"/>
                <w:b w:val="0"/>
                <w:color w:val="auto"/>
                <w:lang w:val="en-US"/>
              </w:rPr>
            </w:pPr>
            <w:r w:rsidRPr="00E96D67">
              <w:rPr>
                <w:rFonts w:cs="Arial"/>
                <w:b w:val="0"/>
                <w:color w:val="auto"/>
                <w:lang w:val="en-US"/>
              </w:rPr>
              <w:t>z/L=0.05</w:t>
            </w:r>
          </w:p>
        </w:tc>
        <w:tc>
          <w:tcPr>
            <w:tcW w:w="1412" w:type="dxa"/>
            <w:tcBorders>
              <w:top w:val="single" w:sz="12" w:space="0" w:color="76923C" w:themeColor="accent3" w:themeShade="BF"/>
            </w:tcBorders>
            <w:shd w:val="clear" w:color="auto" w:fill="auto"/>
          </w:tcPr>
          <w:p w14:paraId="05AFA19E" w14:textId="30B46996" w:rsidR="00D357EB" w:rsidRPr="00E96D67" w:rsidRDefault="00D357EB" w:rsidP="007A0E4B">
            <w:pPr>
              <w:jc w:val="center"/>
              <w:cnfStyle w:val="100000000000" w:firstRow="1" w:lastRow="0" w:firstColumn="0" w:lastColumn="0" w:oddVBand="0" w:evenVBand="0" w:oddHBand="0" w:evenHBand="0" w:firstRowFirstColumn="0" w:firstRowLastColumn="0" w:lastRowFirstColumn="0" w:lastRowLastColumn="0"/>
              <w:rPr>
                <w:rFonts w:cs="Arial"/>
                <w:b w:val="0"/>
                <w:color w:val="auto"/>
                <w:lang w:val="en-US"/>
              </w:rPr>
            </w:pPr>
            <w:r w:rsidRPr="00E96D67">
              <w:rPr>
                <w:rFonts w:cs="Arial"/>
                <w:b w:val="0"/>
                <w:color w:val="auto"/>
                <w:lang w:val="en-US"/>
              </w:rPr>
              <w:t>z/L=0.</w:t>
            </w:r>
            <w:r w:rsidR="001325BD" w:rsidRPr="00E96D67">
              <w:rPr>
                <w:rFonts w:cs="Arial"/>
                <w:b w:val="0"/>
                <w:color w:val="auto"/>
                <w:lang w:val="en-US"/>
              </w:rPr>
              <w:t>10</w:t>
            </w:r>
          </w:p>
        </w:tc>
        <w:tc>
          <w:tcPr>
            <w:tcW w:w="1265" w:type="dxa"/>
            <w:tcBorders>
              <w:top w:val="single" w:sz="12" w:space="0" w:color="76923C" w:themeColor="accent3" w:themeShade="BF"/>
            </w:tcBorders>
          </w:tcPr>
          <w:p w14:paraId="32C37C35" w14:textId="2459C7D5" w:rsidR="00D357EB" w:rsidRPr="00E96D67" w:rsidRDefault="00D357EB" w:rsidP="007A0E4B">
            <w:pPr>
              <w:jc w:val="center"/>
              <w:cnfStyle w:val="100000000000" w:firstRow="1" w:lastRow="0" w:firstColumn="0" w:lastColumn="0" w:oddVBand="0" w:evenVBand="0" w:oddHBand="0" w:evenHBand="0" w:firstRowFirstColumn="0" w:firstRowLastColumn="0" w:lastRowFirstColumn="0" w:lastRowLastColumn="0"/>
              <w:rPr>
                <w:rFonts w:cs="Arial"/>
                <w:b w:val="0"/>
                <w:lang w:val="en-US"/>
              </w:rPr>
            </w:pPr>
            <w:r w:rsidRPr="00E96D67">
              <w:rPr>
                <w:rFonts w:cs="Arial"/>
                <w:b w:val="0"/>
                <w:color w:val="auto"/>
                <w:lang w:val="en-US"/>
              </w:rPr>
              <w:t>z/L=0.25</w:t>
            </w:r>
          </w:p>
        </w:tc>
        <w:tc>
          <w:tcPr>
            <w:tcW w:w="1273" w:type="dxa"/>
            <w:tcBorders>
              <w:top w:val="single" w:sz="12" w:space="0" w:color="76923C" w:themeColor="accent3" w:themeShade="BF"/>
            </w:tcBorders>
          </w:tcPr>
          <w:p w14:paraId="666EC406" w14:textId="26804248" w:rsidR="00D357EB" w:rsidRPr="00E96D67" w:rsidRDefault="00D357EB" w:rsidP="007A0E4B">
            <w:pPr>
              <w:jc w:val="center"/>
              <w:cnfStyle w:val="100000000000" w:firstRow="1" w:lastRow="0" w:firstColumn="0" w:lastColumn="0" w:oddVBand="0" w:evenVBand="0" w:oddHBand="0" w:evenHBand="0" w:firstRowFirstColumn="0" w:firstRowLastColumn="0" w:lastRowFirstColumn="0" w:lastRowLastColumn="0"/>
              <w:rPr>
                <w:rFonts w:cs="Arial"/>
                <w:b w:val="0"/>
                <w:lang w:val="en-US"/>
              </w:rPr>
            </w:pPr>
            <w:r w:rsidRPr="00E96D67">
              <w:rPr>
                <w:rFonts w:cs="Arial"/>
                <w:b w:val="0"/>
                <w:color w:val="auto"/>
                <w:lang w:val="en-US"/>
              </w:rPr>
              <w:t>z/L=0.</w:t>
            </w:r>
            <w:r w:rsidR="00A15AC9" w:rsidRPr="00E96D67">
              <w:rPr>
                <w:rFonts w:cs="Arial"/>
                <w:b w:val="0"/>
                <w:color w:val="auto"/>
                <w:lang w:val="en-US"/>
              </w:rPr>
              <w:t>50</w:t>
            </w:r>
          </w:p>
        </w:tc>
        <w:tc>
          <w:tcPr>
            <w:tcW w:w="1273" w:type="dxa"/>
            <w:tcBorders>
              <w:top w:val="single" w:sz="12" w:space="0" w:color="76923C" w:themeColor="accent3" w:themeShade="BF"/>
            </w:tcBorders>
            <w:shd w:val="clear" w:color="auto" w:fill="auto"/>
          </w:tcPr>
          <w:p w14:paraId="3DD7CB38" w14:textId="4A5912F0" w:rsidR="00D357EB" w:rsidRPr="00E96D67" w:rsidRDefault="00D357EB" w:rsidP="007A0E4B">
            <w:pPr>
              <w:jc w:val="center"/>
              <w:cnfStyle w:val="100000000000" w:firstRow="1" w:lastRow="0" w:firstColumn="0" w:lastColumn="0" w:oddVBand="0" w:evenVBand="0" w:oddHBand="0" w:evenHBand="0" w:firstRowFirstColumn="0" w:firstRowLastColumn="0" w:lastRowFirstColumn="0" w:lastRowLastColumn="0"/>
              <w:rPr>
                <w:rFonts w:cs="Arial"/>
                <w:b w:val="0"/>
                <w:color w:val="auto"/>
                <w:lang w:val="en-US"/>
              </w:rPr>
            </w:pPr>
            <w:r w:rsidRPr="00E96D67">
              <w:rPr>
                <w:rFonts w:cs="Arial"/>
                <w:b w:val="0"/>
                <w:color w:val="auto"/>
                <w:lang w:val="en-US"/>
              </w:rPr>
              <w:t>z/L=1.00</w:t>
            </w:r>
          </w:p>
        </w:tc>
      </w:tr>
      <w:tr w:rsidR="00D357EB" w:rsidRPr="00971464" w14:paraId="57DE4EED" w14:textId="77777777" w:rsidTr="007A0E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95" w:type="dxa"/>
            <w:tcBorders>
              <w:top w:val="single" w:sz="8" w:space="0" w:color="9BBB59" w:themeColor="accent3"/>
              <w:bottom w:val="nil"/>
            </w:tcBorders>
            <w:shd w:val="clear" w:color="auto" w:fill="auto"/>
          </w:tcPr>
          <w:p w14:paraId="6AC322F9" w14:textId="2B271092" w:rsidR="00D357EB" w:rsidRPr="006511E7" w:rsidRDefault="00D357EB" w:rsidP="007A0E4B">
            <w:pPr>
              <w:jc w:val="center"/>
              <w:rPr>
                <w:rFonts w:cs="Arial"/>
                <w:b w:val="0"/>
                <w:lang w:val="en-US"/>
              </w:rPr>
            </w:pPr>
            <w:r>
              <w:rPr>
                <w:rFonts w:cs="Arial"/>
                <w:b w:val="0"/>
                <w:bCs w:val="0"/>
                <w:color w:val="000000"/>
                <w:lang w:val="en-US"/>
              </w:rPr>
              <w:t>0.00</w:t>
            </w:r>
          </w:p>
        </w:tc>
        <w:tc>
          <w:tcPr>
            <w:tcW w:w="1412" w:type="dxa"/>
            <w:tcBorders>
              <w:top w:val="single" w:sz="8" w:space="0" w:color="9BBB59" w:themeColor="accent3"/>
              <w:bottom w:val="nil"/>
            </w:tcBorders>
            <w:shd w:val="clear" w:color="auto" w:fill="auto"/>
          </w:tcPr>
          <w:p w14:paraId="5B218E7C" w14:textId="32E5E68B" w:rsidR="00D357EB" w:rsidRPr="00A52958" w:rsidRDefault="00D357EB" w:rsidP="007A0E4B">
            <w:pPr>
              <w:jc w:val="center"/>
              <w:cnfStyle w:val="000000100000" w:firstRow="0" w:lastRow="0" w:firstColumn="0" w:lastColumn="0" w:oddVBand="0" w:evenVBand="0" w:oddHBand="1" w:evenHBand="0" w:firstRowFirstColumn="0" w:firstRowLastColumn="0" w:lastRowFirstColumn="0" w:lastRowLastColumn="0"/>
              <w:rPr>
                <w:rFonts w:cs="Arial"/>
                <w:color w:val="auto"/>
                <w:lang w:val="en-US"/>
              </w:rPr>
            </w:pPr>
            <w:r w:rsidRPr="00A52958">
              <w:rPr>
                <w:rFonts w:cs="Arial"/>
                <w:color w:val="auto"/>
                <w:lang w:val="en-US"/>
              </w:rPr>
              <w:t>1.000000</w:t>
            </w:r>
          </w:p>
        </w:tc>
        <w:tc>
          <w:tcPr>
            <w:tcW w:w="1273" w:type="dxa"/>
            <w:tcBorders>
              <w:top w:val="single" w:sz="8" w:space="0" w:color="9BBB59" w:themeColor="accent3"/>
              <w:bottom w:val="nil"/>
            </w:tcBorders>
            <w:shd w:val="clear" w:color="auto" w:fill="auto"/>
          </w:tcPr>
          <w:p w14:paraId="316417B2" w14:textId="256D29D9" w:rsidR="00D357EB" w:rsidRPr="00971464" w:rsidRDefault="00D357EB" w:rsidP="007A0E4B">
            <w:pPr>
              <w:jc w:val="center"/>
              <w:cnfStyle w:val="000000100000" w:firstRow="0" w:lastRow="0" w:firstColumn="0" w:lastColumn="0" w:oddVBand="0" w:evenVBand="0" w:oddHBand="1" w:evenHBand="0" w:firstRowFirstColumn="0" w:firstRowLastColumn="0" w:lastRowFirstColumn="0" w:lastRowLastColumn="0"/>
              <w:rPr>
                <w:rFonts w:cs="Arial"/>
                <w:lang w:val="en-US"/>
              </w:rPr>
            </w:pPr>
            <w:r>
              <w:rPr>
                <w:rFonts w:cs="Arial"/>
                <w:color w:val="000000"/>
                <w:lang w:val="en-US"/>
              </w:rPr>
              <w:t>1.126244</w:t>
            </w:r>
          </w:p>
        </w:tc>
        <w:tc>
          <w:tcPr>
            <w:tcW w:w="1412" w:type="dxa"/>
            <w:tcBorders>
              <w:top w:val="single" w:sz="8" w:space="0" w:color="9BBB59" w:themeColor="accent3"/>
              <w:bottom w:val="nil"/>
            </w:tcBorders>
            <w:shd w:val="clear" w:color="auto" w:fill="auto"/>
          </w:tcPr>
          <w:p w14:paraId="67EDC9AC" w14:textId="32AFF7F4" w:rsidR="00D357EB" w:rsidRPr="00A52958" w:rsidRDefault="00D72447" w:rsidP="007A0E4B">
            <w:pPr>
              <w:jc w:val="center"/>
              <w:cnfStyle w:val="000000100000" w:firstRow="0" w:lastRow="0" w:firstColumn="0" w:lastColumn="0" w:oddVBand="0" w:evenVBand="0" w:oddHBand="1" w:evenHBand="0" w:firstRowFirstColumn="0" w:firstRowLastColumn="0" w:lastRowFirstColumn="0" w:lastRowLastColumn="0"/>
              <w:rPr>
                <w:rFonts w:cs="Arial"/>
                <w:lang w:val="en-US"/>
              </w:rPr>
            </w:pPr>
            <w:r>
              <w:rPr>
                <w:rFonts w:cs="Arial"/>
                <w:color w:val="000000"/>
                <w:lang w:val="en-US"/>
              </w:rPr>
              <w:t>1.40103</w:t>
            </w:r>
            <w:r w:rsidR="002910BA">
              <w:rPr>
                <w:rFonts w:cs="Arial"/>
                <w:color w:val="000000"/>
                <w:lang w:val="en-US"/>
              </w:rPr>
              <w:t>8</w:t>
            </w:r>
          </w:p>
        </w:tc>
        <w:tc>
          <w:tcPr>
            <w:tcW w:w="1265" w:type="dxa"/>
            <w:tcBorders>
              <w:top w:val="single" w:sz="8" w:space="0" w:color="9BBB59" w:themeColor="accent3"/>
              <w:bottom w:val="nil"/>
            </w:tcBorders>
            <w:shd w:val="clear" w:color="auto" w:fill="auto"/>
          </w:tcPr>
          <w:p w14:paraId="39610A0C" w14:textId="2354086D" w:rsidR="00D357EB" w:rsidRDefault="00D357EB" w:rsidP="007A0E4B">
            <w:pPr>
              <w:jc w:val="center"/>
              <w:cnfStyle w:val="000000100000" w:firstRow="0" w:lastRow="0" w:firstColumn="0" w:lastColumn="0" w:oddVBand="0" w:evenVBand="0" w:oddHBand="1" w:evenHBand="0" w:firstRowFirstColumn="0" w:firstRowLastColumn="0" w:lastRowFirstColumn="0" w:lastRowLastColumn="0"/>
              <w:rPr>
                <w:rFonts w:cs="Arial"/>
                <w:color w:val="000000"/>
                <w:lang w:val="en-US"/>
              </w:rPr>
            </w:pPr>
            <w:r>
              <w:rPr>
                <w:rFonts w:cs="Arial"/>
                <w:color w:val="000000"/>
                <w:lang w:val="en-US"/>
              </w:rPr>
              <w:t>1.927852</w:t>
            </w:r>
          </w:p>
        </w:tc>
        <w:tc>
          <w:tcPr>
            <w:tcW w:w="1273" w:type="dxa"/>
            <w:tcBorders>
              <w:top w:val="single" w:sz="8" w:space="0" w:color="9BBB59" w:themeColor="accent3"/>
              <w:bottom w:val="nil"/>
            </w:tcBorders>
            <w:shd w:val="clear" w:color="auto" w:fill="auto"/>
          </w:tcPr>
          <w:p w14:paraId="6C8B0F35" w14:textId="0D77AE2F" w:rsidR="00D357EB" w:rsidRPr="00A52958" w:rsidRDefault="00E70EAC" w:rsidP="007A0E4B">
            <w:pPr>
              <w:jc w:val="center"/>
              <w:cnfStyle w:val="000000100000" w:firstRow="0" w:lastRow="0" w:firstColumn="0" w:lastColumn="0" w:oddVBand="0" w:evenVBand="0" w:oddHBand="1" w:evenHBand="0" w:firstRowFirstColumn="0" w:firstRowLastColumn="0" w:lastRowFirstColumn="0" w:lastRowLastColumn="0"/>
              <w:rPr>
                <w:rFonts w:cs="Arial"/>
                <w:color w:val="000000"/>
                <w:lang w:val="en-US"/>
              </w:rPr>
            </w:pPr>
            <w:r>
              <w:rPr>
                <w:rFonts w:cs="Arial"/>
                <w:color w:val="000000"/>
                <w:lang w:val="en-US"/>
              </w:rPr>
              <w:t>2.000300</w:t>
            </w:r>
          </w:p>
        </w:tc>
        <w:tc>
          <w:tcPr>
            <w:tcW w:w="1273" w:type="dxa"/>
            <w:tcBorders>
              <w:top w:val="single" w:sz="8" w:space="0" w:color="9BBB59" w:themeColor="accent3"/>
              <w:bottom w:val="nil"/>
            </w:tcBorders>
            <w:shd w:val="clear" w:color="auto" w:fill="auto"/>
          </w:tcPr>
          <w:p w14:paraId="285ECCAA" w14:textId="0B8F1ACE" w:rsidR="00D357EB" w:rsidRPr="00971464" w:rsidRDefault="00C63B81" w:rsidP="007A0E4B">
            <w:pPr>
              <w:jc w:val="center"/>
              <w:cnfStyle w:val="000000100000" w:firstRow="0" w:lastRow="0" w:firstColumn="0" w:lastColumn="0" w:oddVBand="0" w:evenVBand="0" w:oddHBand="1" w:evenHBand="0" w:firstRowFirstColumn="0" w:firstRowLastColumn="0" w:lastRowFirstColumn="0" w:lastRowLastColumn="0"/>
              <w:rPr>
                <w:rFonts w:cs="Arial"/>
                <w:lang w:val="en-US"/>
              </w:rPr>
            </w:pPr>
            <w:r>
              <w:rPr>
                <w:rFonts w:cs="Arial"/>
                <w:color w:val="000000"/>
                <w:lang w:val="en-US"/>
              </w:rPr>
              <w:t>2.000106</w:t>
            </w:r>
          </w:p>
        </w:tc>
      </w:tr>
      <w:tr w:rsidR="00D357EB" w:rsidRPr="00971464" w14:paraId="425DFAD8" w14:textId="77777777" w:rsidTr="007A0E4B">
        <w:trPr>
          <w:trHeight w:val="284"/>
        </w:trPr>
        <w:tc>
          <w:tcPr>
            <w:cnfStyle w:val="001000000000" w:firstRow="0" w:lastRow="0" w:firstColumn="1" w:lastColumn="0" w:oddVBand="0" w:evenVBand="0" w:oddHBand="0" w:evenHBand="0" w:firstRowFirstColumn="0" w:firstRowLastColumn="0" w:lastRowFirstColumn="0" w:lastRowLastColumn="0"/>
            <w:tcW w:w="1095" w:type="dxa"/>
            <w:tcBorders>
              <w:top w:val="nil"/>
              <w:bottom w:val="nil"/>
            </w:tcBorders>
            <w:shd w:val="clear" w:color="auto" w:fill="auto"/>
          </w:tcPr>
          <w:p w14:paraId="0686CAA5" w14:textId="4611D4DA" w:rsidR="00D357EB" w:rsidRPr="006511E7" w:rsidRDefault="00D357EB" w:rsidP="007A0E4B">
            <w:pPr>
              <w:jc w:val="center"/>
              <w:rPr>
                <w:rFonts w:cs="Arial"/>
                <w:b w:val="0"/>
                <w:lang w:val="en-US"/>
              </w:rPr>
            </w:pPr>
            <w:r>
              <w:rPr>
                <w:rFonts w:cs="Arial"/>
                <w:b w:val="0"/>
                <w:bCs w:val="0"/>
                <w:color w:val="000000"/>
                <w:lang w:val="en-US"/>
              </w:rPr>
              <w:t>0.10</w:t>
            </w:r>
          </w:p>
        </w:tc>
        <w:tc>
          <w:tcPr>
            <w:tcW w:w="1412" w:type="dxa"/>
            <w:tcBorders>
              <w:top w:val="nil"/>
              <w:bottom w:val="nil"/>
            </w:tcBorders>
            <w:shd w:val="clear" w:color="auto" w:fill="auto"/>
          </w:tcPr>
          <w:p w14:paraId="7C18C8AC" w14:textId="34E7E59D" w:rsidR="00D357EB" w:rsidRPr="00971464" w:rsidRDefault="00D357EB" w:rsidP="007A0E4B">
            <w:pPr>
              <w:jc w:val="center"/>
              <w:cnfStyle w:val="000000000000" w:firstRow="0" w:lastRow="0" w:firstColumn="0" w:lastColumn="0" w:oddVBand="0" w:evenVBand="0" w:oddHBand="0" w:evenHBand="0" w:firstRowFirstColumn="0" w:firstRowLastColumn="0" w:lastRowFirstColumn="0" w:lastRowLastColumn="0"/>
              <w:rPr>
                <w:rFonts w:cs="Arial"/>
                <w:lang w:val="en-US"/>
              </w:rPr>
            </w:pPr>
            <w:r>
              <w:rPr>
                <w:rFonts w:cs="Arial"/>
                <w:color w:val="000000"/>
                <w:lang w:val="en-US"/>
              </w:rPr>
              <w:t>1.000000</w:t>
            </w:r>
          </w:p>
        </w:tc>
        <w:tc>
          <w:tcPr>
            <w:tcW w:w="1273" w:type="dxa"/>
            <w:tcBorders>
              <w:top w:val="nil"/>
              <w:bottom w:val="nil"/>
            </w:tcBorders>
            <w:shd w:val="clear" w:color="auto" w:fill="auto"/>
          </w:tcPr>
          <w:p w14:paraId="5DD7592E" w14:textId="2765DFAB" w:rsidR="00D357EB" w:rsidRPr="00971464" w:rsidRDefault="00D357EB" w:rsidP="007A0E4B">
            <w:pPr>
              <w:jc w:val="center"/>
              <w:cnfStyle w:val="000000000000" w:firstRow="0" w:lastRow="0" w:firstColumn="0" w:lastColumn="0" w:oddVBand="0" w:evenVBand="0" w:oddHBand="0" w:evenHBand="0" w:firstRowFirstColumn="0" w:firstRowLastColumn="0" w:lastRowFirstColumn="0" w:lastRowLastColumn="0"/>
              <w:rPr>
                <w:rFonts w:cs="Arial"/>
                <w:lang w:val="en-US"/>
              </w:rPr>
            </w:pPr>
            <w:r>
              <w:rPr>
                <w:rFonts w:cs="Arial"/>
                <w:color w:val="000000"/>
                <w:lang w:val="en-US"/>
              </w:rPr>
              <w:t>1.126709</w:t>
            </w:r>
          </w:p>
        </w:tc>
        <w:tc>
          <w:tcPr>
            <w:tcW w:w="1412" w:type="dxa"/>
            <w:tcBorders>
              <w:top w:val="nil"/>
              <w:bottom w:val="nil"/>
            </w:tcBorders>
            <w:shd w:val="clear" w:color="auto" w:fill="auto"/>
          </w:tcPr>
          <w:p w14:paraId="29852CBA" w14:textId="22A2C1FB" w:rsidR="00D357EB" w:rsidRPr="00A52958" w:rsidRDefault="00D72447" w:rsidP="007A0E4B">
            <w:pPr>
              <w:jc w:val="center"/>
              <w:cnfStyle w:val="000000000000" w:firstRow="0" w:lastRow="0" w:firstColumn="0" w:lastColumn="0" w:oddVBand="0" w:evenVBand="0" w:oddHBand="0" w:evenHBand="0" w:firstRowFirstColumn="0" w:firstRowLastColumn="0" w:lastRowFirstColumn="0" w:lastRowLastColumn="0"/>
              <w:rPr>
                <w:rFonts w:cs="Arial"/>
                <w:lang w:val="en-US"/>
              </w:rPr>
            </w:pPr>
            <w:r>
              <w:rPr>
                <w:rFonts w:cs="Arial"/>
                <w:color w:val="000000"/>
                <w:lang w:val="en-US"/>
              </w:rPr>
              <w:t>1.40018</w:t>
            </w:r>
            <w:r w:rsidR="00B62A8C">
              <w:rPr>
                <w:rFonts w:cs="Arial"/>
                <w:color w:val="000000"/>
                <w:lang w:val="en-US"/>
              </w:rPr>
              <w:t>2</w:t>
            </w:r>
          </w:p>
        </w:tc>
        <w:tc>
          <w:tcPr>
            <w:tcW w:w="1265" w:type="dxa"/>
            <w:tcBorders>
              <w:top w:val="nil"/>
              <w:bottom w:val="nil"/>
            </w:tcBorders>
          </w:tcPr>
          <w:p w14:paraId="42C8E7C5" w14:textId="69D41377" w:rsidR="00D357EB" w:rsidRPr="00A52958" w:rsidRDefault="00D357EB" w:rsidP="007A0E4B">
            <w:pPr>
              <w:jc w:val="center"/>
              <w:cnfStyle w:val="000000000000" w:firstRow="0" w:lastRow="0" w:firstColumn="0" w:lastColumn="0" w:oddVBand="0" w:evenVBand="0" w:oddHBand="0" w:evenHBand="0" w:firstRowFirstColumn="0" w:firstRowLastColumn="0" w:lastRowFirstColumn="0" w:lastRowLastColumn="0"/>
              <w:rPr>
                <w:rFonts w:cs="Arial"/>
                <w:color w:val="000000"/>
                <w:lang w:val="en-US"/>
              </w:rPr>
            </w:pPr>
            <w:r>
              <w:rPr>
                <w:rFonts w:cs="Arial"/>
                <w:color w:val="000000"/>
                <w:lang w:val="en-US"/>
              </w:rPr>
              <w:t>1.911969</w:t>
            </w:r>
          </w:p>
        </w:tc>
        <w:tc>
          <w:tcPr>
            <w:tcW w:w="1273" w:type="dxa"/>
            <w:tcBorders>
              <w:top w:val="nil"/>
              <w:bottom w:val="nil"/>
            </w:tcBorders>
          </w:tcPr>
          <w:p w14:paraId="1D1BA3CB" w14:textId="1E1FC321" w:rsidR="00D357EB" w:rsidRPr="00A52958" w:rsidRDefault="00B61CF2" w:rsidP="007A0E4B">
            <w:pPr>
              <w:jc w:val="center"/>
              <w:cnfStyle w:val="000000000000" w:firstRow="0" w:lastRow="0" w:firstColumn="0" w:lastColumn="0" w:oddVBand="0" w:evenVBand="0" w:oddHBand="0" w:evenHBand="0" w:firstRowFirstColumn="0" w:firstRowLastColumn="0" w:lastRowFirstColumn="0" w:lastRowLastColumn="0"/>
              <w:rPr>
                <w:rFonts w:cs="Arial"/>
                <w:color w:val="000000"/>
                <w:lang w:val="en-US"/>
              </w:rPr>
            </w:pPr>
            <w:r>
              <w:rPr>
                <w:rFonts w:cs="Arial"/>
                <w:color w:val="000000"/>
                <w:lang w:val="en-US"/>
              </w:rPr>
              <w:t>1.980294</w:t>
            </w:r>
          </w:p>
        </w:tc>
        <w:tc>
          <w:tcPr>
            <w:tcW w:w="1273" w:type="dxa"/>
            <w:tcBorders>
              <w:top w:val="nil"/>
              <w:bottom w:val="nil"/>
            </w:tcBorders>
            <w:shd w:val="clear" w:color="auto" w:fill="auto"/>
          </w:tcPr>
          <w:p w14:paraId="7511AE70" w14:textId="1EA1C3F8" w:rsidR="00D357EB" w:rsidRPr="00971464" w:rsidRDefault="002E5743" w:rsidP="007A0E4B">
            <w:pPr>
              <w:jc w:val="center"/>
              <w:cnfStyle w:val="000000000000" w:firstRow="0" w:lastRow="0" w:firstColumn="0" w:lastColumn="0" w:oddVBand="0" w:evenVBand="0" w:oddHBand="0" w:evenHBand="0" w:firstRowFirstColumn="0" w:firstRowLastColumn="0" w:lastRowFirstColumn="0" w:lastRowLastColumn="0"/>
              <w:rPr>
                <w:rFonts w:cs="Arial"/>
                <w:lang w:val="en-US"/>
              </w:rPr>
            </w:pPr>
            <w:r>
              <w:rPr>
                <w:rFonts w:cs="Arial"/>
                <w:color w:val="000000"/>
                <w:lang w:val="en-US"/>
              </w:rPr>
              <w:t>1.980112</w:t>
            </w:r>
          </w:p>
        </w:tc>
      </w:tr>
      <w:tr w:rsidR="00D357EB" w:rsidRPr="00971464" w14:paraId="042BC3E0" w14:textId="77777777" w:rsidTr="007A0E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95" w:type="dxa"/>
            <w:tcBorders>
              <w:top w:val="nil"/>
              <w:bottom w:val="nil"/>
            </w:tcBorders>
            <w:shd w:val="clear" w:color="auto" w:fill="auto"/>
          </w:tcPr>
          <w:p w14:paraId="5B3FCE1C" w14:textId="77777777" w:rsidR="00D357EB" w:rsidRPr="006511E7" w:rsidRDefault="00D357EB" w:rsidP="007A0E4B">
            <w:pPr>
              <w:jc w:val="center"/>
              <w:rPr>
                <w:rFonts w:cs="Arial"/>
                <w:b w:val="0"/>
                <w:lang w:val="en-US"/>
              </w:rPr>
            </w:pPr>
            <w:r>
              <w:rPr>
                <w:rFonts w:cs="Arial"/>
                <w:b w:val="0"/>
                <w:bCs w:val="0"/>
                <w:color w:val="000000"/>
                <w:lang w:val="en-US"/>
              </w:rPr>
              <w:t>0.20</w:t>
            </w:r>
          </w:p>
        </w:tc>
        <w:tc>
          <w:tcPr>
            <w:tcW w:w="1412" w:type="dxa"/>
            <w:tcBorders>
              <w:top w:val="nil"/>
              <w:bottom w:val="nil"/>
            </w:tcBorders>
            <w:shd w:val="clear" w:color="auto" w:fill="auto"/>
          </w:tcPr>
          <w:p w14:paraId="39D2EA1B" w14:textId="46ACCC64" w:rsidR="00D357EB" w:rsidRPr="00971464" w:rsidRDefault="00D357EB" w:rsidP="007A0E4B">
            <w:pPr>
              <w:jc w:val="center"/>
              <w:cnfStyle w:val="000000100000" w:firstRow="0" w:lastRow="0" w:firstColumn="0" w:lastColumn="0" w:oddVBand="0" w:evenVBand="0" w:oddHBand="1" w:evenHBand="0" w:firstRowFirstColumn="0" w:firstRowLastColumn="0" w:lastRowFirstColumn="0" w:lastRowLastColumn="0"/>
              <w:rPr>
                <w:rFonts w:cs="Arial"/>
                <w:lang w:val="en-US"/>
              </w:rPr>
            </w:pPr>
            <w:r>
              <w:rPr>
                <w:rFonts w:cs="Arial"/>
                <w:color w:val="000000"/>
                <w:lang w:val="en-US"/>
              </w:rPr>
              <w:t>1.000000</w:t>
            </w:r>
          </w:p>
        </w:tc>
        <w:tc>
          <w:tcPr>
            <w:tcW w:w="1273" w:type="dxa"/>
            <w:tcBorders>
              <w:top w:val="nil"/>
              <w:bottom w:val="nil"/>
            </w:tcBorders>
            <w:shd w:val="clear" w:color="auto" w:fill="auto"/>
          </w:tcPr>
          <w:p w14:paraId="6B6BD0CB" w14:textId="25B61F6F" w:rsidR="00D357EB" w:rsidRPr="00971464" w:rsidRDefault="00D357EB" w:rsidP="007A0E4B">
            <w:pPr>
              <w:jc w:val="center"/>
              <w:cnfStyle w:val="000000100000" w:firstRow="0" w:lastRow="0" w:firstColumn="0" w:lastColumn="0" w:oddVBand="0" w:evenVBand="0" w:oddHBand="1" w:evenHBand="0" w:firstRowFirstColumn="0" w:firstRowLastColumn="0" w:lastRowFirstColumn="0" w:lastRowLastColumn="0"/>
              <w:rPr>
                <w:rFonts w:cs="Arial"/>
                <w:lang w:val="en-US"/>
              </w:rPr>
            </w:pPr>
            <w:r>
              <w:rPr>
                <w:rFonts w:cs="Arial"/>
                <w:color w:val="000000"/>
                <w:lang w:val="en-US"/>
              </w:rPr>
              <w:t>1.128069</w:t>
            </w:r>
          </w:p>
        </w:tc>
        <w:tc>
          <w:tcPr>
            <w:tcW w:w="1412" w:type="dxa"/>
            <w:tcBorders>
              <w:top w:val="nil"/>
              <w:bottom w:val="nil"/>
            </w:tcBorders>
            <w:shd w:val="clear" w:color="auto" w:fill="auto"/>
          </w:tcPr>
          <w:p w14:paraId="2235E46C" w14:textId="67EB20AD" w:rsidR="00D357EB" w:rsidRPr="00A52958" w:rsidRDefault="00246B95" w:rsidP="007A0E4B">
            <w:pPr>
              <w:jc w:val="center"/>
              <w:cnfStyle w:val="000000100000" w:firstRow="0" w:lastRow="0" w:firstColumn="0" w:lastColumn="0" w:oddVBand="0" w:evenVBand="0" w:oddHBand="1" w:evenHBand="0" w:firstRowFirstColumn="0" w:firstRowLastColumn="0" w:lastRowFirstColumn="0" w:lastRowLastColumn="0"/>
              <w:rPr>
                <w:rFonts w:cs="Arial"/>
                <w:lang w:val="en-US"/>
              </w:rPr>
            </w:pPr>
            <w:r>
              <w:rPr>
                <w:rFonts w:cs="Arial"/>
                <w:color w:val="000000"/>
                <w:lang w:val="en-US"/>
              </w:rPr>
              <w:t>1.39713</w:t>
            </w:r>
            <w:r w:rsidR="001B77E7">
              <w:rPr>
                <w:rFonts w:cs="Arial"/>
                <w:color w:val="000000"/>
                <w:lang w:val="en-US"/>
              </w:rPr>
              <w:t>6</w:t>
            </w:r>
          </w:p>
        </w:tc>
        <w:tc>
          <w:tcPr>
            <w:tcW w:w="1265" w:type="dxa"/>
            <w:tcBorders>
              <w:top w:val="nil"/>
              <w:bottom w:val="nil"/>
            </w:tcBorders>
            <w:shd w:val="clear" w:color="auto" w:fill="auto"/>
          </w:tcPr>
          <w:p w14:paraId="5E874D97" w14:textId="07FB9C38" w:rsidR="00D357EB" w:rsidRPr="00A52958" w:rsidRDefault="00D357EB" w:rsidP="007A0E4B">
            <w:pPr>
              <w:jc w:val="center"/>
              <w:cnfStyle w:val="000000100000" w:firstRow="0" w:lastRow="0" w:firstColumn="0" w:lastColumn="0" w:oddVBand="0" w:evenVBand="0" w:oddHBand="1" w:evenHBand="0" w:firstRowFirstColumn="0" w:firstRowLastColumn="0" w:lastRowFirstColumn="0" w:lastRowLastColumn="0"/>
              <w:rPr>
                <w:rFonts w:cs="Arial"/>
                <w:color w:val="000000"/>
                <w:lang w:val="en-US"/>
              </w:rPr>
            </w:pPr>
            <w:r>
              <w:rPr>
                <w:rFonts w:cs="Arial"/>
                <w:color w:val="000000"/>
                <w:lang w:val="en-US"/>
              </w:rPr>
              <w:t>1.863589</w:t>
            </w:r>
          </w:p>
        </w:tc>
        <w:tc>
          <w:tcPr>
            <w:tcW w:w="1273" w:type="dxa"/>
            <w:tcBorders>
              <w:top w:val="nil"/>
              <w:bottom w:val="nil"/>
            </w:tcBorders>
            <w:shd w:val="clear" w:color="auto" w:fill="auto"/>
          </w:tcPr>
          <w:p w14:paraId="43154FD5" w14:textId="080434A6" w:rsidR="00D357EB" w:rsidRPr="00A52958" w:rsidRDefault="009C027F" w:rsidP="007A0E4B">
            <w:pPr>
              <w:jc w:val="center"/>
              <w:cnfStyle w:val="000000100000" w:firstRow="0" w:lastRow="0" w:firstColumn="0" w:lastColumn="0" w:oddVBand="0" w:evenVBand="0" w:oddHBand="1" w:evenHBand="0" w:firstRowFirstColumn="0" w:firstRowLastColumn="0" w:lastRowFirstColumn="0" w:lastRowLastColumn="0"/>
              <w:rPr>
                <w:rFonts w:cs="Arial"/>
                <w:color w:val="000000"/>
                <w:lang w:val="en-US"/>
              </w:rPr>
            </w:pPr>
            <w:r>
              <w:rPr>
                <w:rFonts w:cs="Arial"/>
                <w:color w:val="000000"/>
                <w:lang w:val="en-US"/>
              </w:rPr>
              <w:t>1.920278</w:t>
            </w:r>
          </w:p>
        </w:tc>
        <w:tc>
          <w:tcPr>
            <w:tcW w:w="1273" w:type="dxa"/>
            <w:tcBorders>
              <w:top w:val="nil"/>
              <w:bottom w:val="nil"/>
            </w:tcBorders>
            <w:shd w:val="clear" w:color="auto" w:fill="auto"/>
          </w:tcPr>
          <w:p w14:paraId="0888D3A3" w14:textId="775578D6" w:rsidR="00D357EB" w:rsidRPr="00971464" w:rsidRDefault="00831F89" w:rsidP="007A0E4B">
            <w:pPr>
              <w:jc w:val="center"/>
              <w:cnfStyle w:val="000000100000" w:firstRow="0" w:lastRow="0" w:firstColumn="0" w:lastColumn="0" w:oddVBand="0" w:evenVBand="0" w:oddHBand="1" w:evenHBand="0" w:firstRowFirstColumn="0" w:firstRowLastColumn="0" w:lastRowFirstColumn="0" w:lastRowLastColumn="0"/>
              <w:rPr>
                <w:rFonts w:cs="Arial"/>
                <w:lang w:val="en-US"/>
              </w:rPr>
            </w:pPr>
            <w:r>
              <w:rPr>
                <w:rFonts w:cs="Arial"/>
                <w:color w:val="000000"/>
                <w:lang w:val="en-US"/>
              </w:rPr>
              <w:t>1.920127</w:t>
            </w:r>
          </w:p>
        </w:tc>
      </w:tr>
      <w:tr w:rsidR="00D357EB" w:rsidRPr="00971464" w14:paraId="6C2C10A7" w14:textId="77777777" w:rsidTr="007A0E4B">
        <w:trPr>
          <w:trHeight w:val="284"/>
        </w:trPr>
        <w:tc>
          <w:tcPr>
            <w:cnfStyle w:val="001000000000" w:firstRow="0" w:lastRow="0" w:firstColumn="1" w:lastColumn="0" w:oddVBand="0" w:evenVBand="0" w:oddHBand="0" w:evenHBand="0" w:firstRowFirstColumn="0" w:firstRowLastColumn="0" w:lastRowFirstColumn="0" w:lastRowLastColumn="0"/>
            <w:tcW w:w="1095" w:type="dxa"/>
            <w:tcBorders>
              <w:top w:val="nil"/>
              <w:bottom w:val="nil"/>
            </w:tcBorders>
            <w:shd w:val="clear" w:color="auto" w:fill="auto"/>
          </w:tcPr>
          <w:p w14:paraId="1E060992" w14:textId="4E91A5C5" w:rsidR="00D357EB" w:rsidRPr="006511E7" w:rsidRDefault="00D357EB" w:rsidP="007A0E4B">
            <w:pPr>
              <w:jc w:val="center"/>
              <w:rPr>
                <w:rFonts w:cs="Arial"/>
                <w:b w:val="0"/>
                <w:lang w:val="en-US"/>
              </w:rPr>
            </w:pPr>
            <w:r>
              <w:rPr>
                <w:rFonts w:cs="Arial"/>
                <w:b w:val="0"/>
                <w:bCs w:val="0"/>
                <w:color w:val="000000"/>
                <w:lang w:val="en-US"/>
              </w:rPr>
              <w:t>0.30</w:t>
            </w:r>
          </w:p>
        </w:tc>
        <w:tc>
          <w:tcPr>
            <w:tcW w:w="1412" w:type="dxa"/>
            <w:tcBorders>
              <w:top w:val="nil"/>
              <w:bottom w:val="nil"/>
            </w:tcBorders>
            <w:shd w:val="clear" w:color="auto" w:fill="auto"/>
          </w:tcPr>
          <w:p w14:paraId="68A9EB6C" w14:textId="2A23413A" w:rsidR="00D357EB" w:rsidRPr="00971464" w:rsidRDefault="00D357EB" w:rsidP="007A0E4B">
            <w:pPr>
              <w:jc w:val="center"/>
              <w:cnfStyle w:val="000000000000" w:firstRow="0" w:lastRow="0" w:firstColumn="0" w:lastColumn="0" w:oddVBand="0" w:evenVBand="0" w:oddHBand="0" w:evenHBand="0" w:firstRowFirstColumn="0" w:firstRowLastColumn="0" w:lastRowFirstColumn="0" w:lastRowLastColumn="0"/>
              <w:rPr>
                <w:rFonts w:cs="Arial"/>
                <w:lang w:val="en-US"/>
              </w:rPr>
            </w:pPr>
            <w:r>
              <w:rPr>
                <w:rFonts w:cs="Arial"/>
                <w:color w:val="000000"/>
                <w:lang w:val="en-US"/>
              </w:rPr>
              <w:t>1.000000</w:t>
            </w:r>
          </w:p>
        </w:tc>
        <w:tc>
          <w:tcPr>
            <w:tcW w:w="1273" w:type="dxa"/>
            <w:tcBorders>
              <w:top w:val="nil"/>
              <w:bottom w:val="nil"/>
            </w:tcBorders>
            <w:shd w:val="clear" w:color="auto" w:fill="auto"/>
          </w:tcPr>
          <w:p w14:paraId="59B96FB7" w14:textId="6761DF91" w:rsidR="00D357EB" w:rsidRPr="00971464" w:rsidRDefault="00D357EB" w:rsidP="007A0E4B">
            <w:pPr>
              <w:jc w:val="center"/>
              <w:cnfStyle w:val="000000000000" w:firstRow="0" w:lastRow="0" w:firstColumn="0" w:lastColumn="0" w:oddVBand="0" w:evenVBand="0" w:oddHBand="0" w:evenHBand="0" w:firstRowFirstColumn="0" w:firstRowLastColumn="0" w:lastRowFirstColumn="0" w:lastRowLastColumn="0"/>
              <w:rPr>
                <w:rFonts w:cs="Arial"/>
                <w:lang w:val="en-US"/>
              </w:rPr>
            </w:pPr>
            <w:r>
              <w:rPr>
                <w:rFonts w:cs="Arial"/>
                <w:color w:val="000000"/>
                <w:lang w:val="en-US"/>
              </w:rPr>
              <w:t>1.130163</w:t>
            </w:r>
          </w:p>
        </w:tc>
        <w:tc>
          <w:tcPr>
            <w:tcW w:w="1412" w:type="dxa"/>
            <w:tcBorders>
              <w:top w:val="nil"/>
              <w:bottom w:val="nil"/>
            </w:tcBorders>
            <w:shd w:val="clear" w:color="auto" w:fill="auto"/>
          </w:tcPr>
          <w:p w14:paraId="39FFA562" w14:textId="4D1023BB" w:rsidR="00D357EB" w:rsidRPr="00A52958" w:rsidRDefault="00246B95" w:rsidP="007A0E4B">
            <w:pPr>
              <w:jc w:val="center"/>
              <w:cnfStyle w:val="000000000000" w:firstRow="0" w:lastRow="0" w:firstColumn="0" w:lastColumn="0" w:oddVBand="0" w:evenVBand="0" w:oddHBand="0" w:evenHBand="0" w:firstRowFirstColumn="0" w:firstRowLastColumn="0" w:lastRowFirstColumn="0" w:lastRowLastColumn="0"/>
              <w:rPr>
                <w:rFonts w:cs="Arial"/>
                <w:lang w:val="en-US"/>
              </w:rPr>
            </w:pPr>
            <w:r>
              <w:rPr>
                <w:rFonts w:cs="Arial"/>
                <w:color w:val="000000"/>
                <w:lang w:val="en-US"/>
              </w:rPr>
              <w:t>1.39026</w:t>
            </w:r>
            <w:r w:rsidR="001B77E7">
              <w:rPr>
                <w:rFonts w:cs="Arial"/>
                <w:color w:val="000000"/>
                <w:lang w:val="en-US"/>
              </w:rPr>
              <w:t>4</w:t>
            </w:r>
          </w:p>
        </w:tc>
        <w:tc>
          <w:tcPr>
            <w:tcW w:w="1265" w:type="dxa"/>
            <w:tcBorders>
              <w:top w:val="nil"/>
              <w:bottom w:val="nil"/>
            </w:tcBorders>
          </w:tcPr>
          <w:p w14:paraId="4CADE924" w14:textId="5AA4B79B" w:rsidR="00D357EB" w:rsidRPr="00A52958" w:rsidRDefault="00D357EB" w:rsidP="007A0E4B">
            <w:pPr>
              <w:jc w:val="center"/>
              <w:cnfStyle w:val="000000000000" w:firstRow="0" w:lastRow="0" w:firstColumn="0" w:lastColumn="0" w:oddVBand="0" w:evenVBand="0" w:oddHBand="0" w:evenHBand="0" w:firstRowFirstColumn="0" w:firstRowLastColumn="0" w:lastRowFirstColumn="0" w:lastRowLastColumn="0"/>
              <w:rPr>
                <w:rFonts w:cs="Arial"/>
                <w:color w:val="000000"/>
                <w:lang w:val="en-US"/>
              </w:rPr>
            </w:pPr>
            <w:r>
              <w:rPr>
                <w:rFonts w:cs="Arial"/>
                <w:color w:val="000000"/>
                <w:lang w:val="en-US"/>
              </w:rPr>
              <w:t>1.780616</w:t>
            </w:r>
          </w:p>
        </w:tc>
        <w:tc>
          <w:tcPr>
            <w:tcW w:w="1273" w:type="dxa"/>
            <w:tcBorders>
              <w:top w:val="nil"/>
              <w:bottom w:val="nil"/>
            </w:tcBorders>
          </w:tcPr>
          <w:p w14:paraId="759C856C" w14:textId="25448ED6" w:rsidR="00D357EB" w:rsidRPr="00A52958" w:rsidRDefault="00D357EB" w:rsidP="007A0E4B">
            <w:pPr>
              <w:jc w:val="center"/>
              <w:cnfStyle w:val="000000000000" w:firstRow="0" w:lastRow="0" w:firstColumn="0" w:lastColumn="0" w:oddVBand="0" w:evenVBand="0" w:oddHBand="0" w:evenHBand="0" w:firstRowFirstColumn="0" w:firstRowLastColumn="0" w:lastRowFirstColumn="0" w:lastRowLastColumn="0"/>
              <w:rPr>
                <w:rFonts w:cs="Arial"/>
                <w:color w:val="000000"/>
                <w:lang w:val="en-US"/>
              </w:rPr>
            </w:pPr>
            <w:r>
              <w:rPr>
                <w:rFonts w:cs="Arial"/>
                <w:color w:val="000000"/>
                <w:lang w:val="en-US"/>
              </w:rPr>
              <w:t>1.820</w:t>
            </w:r>
            <w:r w:rsidR="007327F1">
              <w:rPr>
                <w:rFonts w:cs="Arial"/>
                <w:color w:val="000000"/>
                <w:lang w:val="en-US"/>
              </w:rPr>
              <w:t>252</w:t>
            </w:r>
          </w:p>
        </w:tc>
        <w:tc>
          <w:tcPr>
            <w:tcW w:w="1273" w:type="dxa"/>
            <w:tcBorders>
              <w:top w:val="nil"/>
              <w:bottom w:val="nil"/>
            </w:tcBorders>
            <w:shd w:val="clear" w:color="auto" w:fill="auto"/>
          </w:tcPr>
          <w:p w14:paraId="1F787BA4" w14:textId="2B0FAE6A" w:rsidR="00D357EB" w:rsidRPr="00971464" w:rsidRDefault="00D11EEF" w:rsidP="007A0E4B">
            <w:pPr>
              <w:jc w:val="center"/>
              <w:cnfStyle w:val="000000000000" w:firstRow="0" w:lastRow="0" w:firstColumn="0" w:lastColumn="0" w:oddVBand="0" w:evenVBand="0" w:oddHBand="0" w:evenHBand="0" w:firstRowFirstColumn="0" w:firstRowLastColumn="0" w:lastRowFirstColumn="0" w:lastRowLastColumn="0"/>
              <w:rPr>
                <w:rFonts w:cs="Arial"/>
                <w:lang w:val="en-US"/>
              </w:rPr>
            </w:pPr>
            <w:r>
              <w:rPr>
                <w:rFonts w:cs="Arial"/>
                <w:color w:val="000000"/>
                <w:lang w:val="en-US"/>
              </w:rPr>
              <w:t>1.820150</w:t>
            </w:r>
          </w:p>
        </w:tc>
      </w:tr>
      <w:tr w:rsidR="00D357EB" w:rsidRPr="00971464" w14:paraId="174977E9" w14:textId="77777777" w:rsidTr="007A0E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95" w:type="dxa"/>
            <w:tcBorders>
              <w:top w:val="nil"/>
              <w:bottom w:val="nil"/>
            </w:tcBorders>
            <w:shd w:val="clear" w:color="auto" w:fill="auto"/>
          </w:tcPr>
          <w:p w14:paraId="7187BAD8" w14:textId="16870ECB" w:rsidR="00D357EB" w:rsidRPr="006511E7" w:rsidRDefault="00D357EB" w:rsidP="007A0E4B">
            <w:pPr>
              <w:jc w:val="center"/>
              <w:rPr>
                <w:rFonts w:cs="Arial"/>
                <w:b w:val="0"/>
                <w:lang w:val="en-US"/>
              </w:rPr>
            </w:pPr>
            <w:r>
              <w:rPr>
                <w:rFonts w:cs="Arial"/>
                <w:b w:val="0"/>
                <w:bCs w:val="0"/>
                <w:color w:val="000000"/>
                <w:lang w:val="en-US"/>
              </w:rPr>
              <w:t>0.40</w:t>
            </w:r>
          </w:p>
        </w:tc>
        <w:tc>
          <w:tcPr>
            <w:tcW w:w="1412" w:type="dxa"/>
            <w:tcBorders>
              <w:top w:val="nil"/>
              <w:bottom w:val="nil"/>
            </w:tcBorders>
            <w:shd w:val="clear" w:color="auto" w:fill="auto"/>
          </w:tcPr>
          <w:p w14:paraId="7F17EB1F" w14:textId="2AD3099B" w:rsidR="00D357EB" w:rsidRPr="00971464" w:rsidRDefault="00D357EB" w:rsidP="007A0E4B">
            <w:pPr>
              <w:jc w:val="center"/>
              <w:cnfStyle w:val="000000100000" w:firstRow="0" w:lastRow="0" w:firstColumn="0" w:lastColumn="0" w:oddVBand="0" w:evenVBand="0" w:oddHBand="1" w:evenHBand="0" w:firstRowFirstColumn="0" w:firstRowLastColumn="0" w:lastRowFirstColumn="0" w:lastRowLastColumn="0"/>
              <w:rPr>
                <w:rFonts w:cs="Arial"/>
                <w:lang w:val="en-US"/>
              </w:rPr>
            </w:pPr>
            <w:r>
              <w:rPr>
                <w:rFonts w:cs="Arial"/>
                <w:color w:val="000000"/>
                <w:lang w:val="en-US"/>
              </w:rPr>
              <w:t>1.000000</w:t>
            </w:r>
          </w:p>
        </w:tc>
        <w:tc>
          <w:tcPr>
            <w:tcW w:w="1273" w:type="dxa"/>
            <w:tcBorders>
              <w:top w:val="nil"/>
              <w:bottom w:val="nil"/>
            </w:tcBorders>
            <w:shd w:val="clear" w:color="auto" w:fill="auto"/>
          </w:tcPr>
          <w:p w14:paraId="53A411CD" w14:textId="72B71E3B" w:rsidR="00D357EB" w:rsidRPr="00971464" w:rsidRDefault="00D357EB" w:rsidP="007A0E4B">
            <w:pPr>
              <w:jc w:val="center"/>
              <w:cnfStyle w:val="000000100000" w:firstRow="0" w:lastRow="0" w:firstColumn="0" w:lastColumn="0" w:oddVBand="0" w:evenVBand="0" w:oddHBand="1" w:evenHBand="0" w:firstRowFirstColumn="0" w:firstRowLastColumn="0" w:lastRowFirstColumn="0" w:lastRowLastColumn="0"/>
              <w:rPr>
                <w:rFonts w:cs="Arial"/>
                <w:lang w:val="en-US"/>
              </w:rPr>
            </w:pPr>
            <w:r>
              <w:rPr>
                <w:rFonts w:cs="Arial"/>
                <w:color w:val="000000"/>
                <w:lang w:val="en-US"/>
              </w:rPr>
              <w:t>1.132552</w:t>
            </w:r>
          </w:p>
        </w:tc>
        <w:tc>
          <w:tcPr>
            <w:tcW w:w="1412" w:type="dxa"/>
            <w:tcBorders>
              <w:top w:val="nil"/>
              <w:bottom w:val="nil"/>
            </w:tcBorders>
            <w:shd w:val="clear" w:color="auto" w:fill="auto"/>
          </w:tcPr>
          <w:p w14:paraId="584BC3F5" w14:textId="35F3F985" w:rsidR="00D357EB" w:rsidRPr="00A52958" w:rsidRDefault="003B2CBB" w:rsidP="007A0E4B">
            <w:pPr>
              <w:jc w:val="center"/>
              <w:cnfStyle w:val="000000100000" w:firstRow="0" w:lastRow="0" w:firstColumn="0" w:lastColumn="0" w:oddVBand="0" w:evenVBand="0" w:oddHBand="1" w:evenHBand="0" w:firstRowFirstColumn="0" w:firstRowLastColumn="0" w:lastRowFirstColumn="0" w:lastRowLastColumn="0"/>
              <w:rPr>
                <w:rFonts w:cs="Arial"/>
                <w:lang w:val="en-US"/>
              </w:rPr>
            </w:pPr>
            <w:r>
              <w:rPr>
                <w:rFonts w:cs="Arial"/>
                <w:color w:val="000000"/>
                <w:lang w:val="en-US"/>
              </w:rPr>
              <w:t>1.37616</w:t>
            </w:r>
            <w:r w:rsidR="00FF76B6">
              <w:rPr>
                <w:rFonts w:cs="Arial"/>
                <w:color w:val="000000"/>
                <w:lang w:val="en-US"/>
              </w:rPr>
              <w:t>5</w:t>
            </w:r>
          </w:p>
        </w:tc>
        <w:tc>
          <w:tcPr>
            <w:tcW w:w="1265" w:type="dxa"/>
            <w:tcBorders>
              <w:top w:val="nil"/>
              <w:bottom w:val="nil"/>
            </w:tcBorders>
            <w:shd w:val="clear" w:color="auto" w:fill="auto"/>
          </w:tcPr>
          <w:p w14:paraId="19DCDA48" w14:textId="7C24960A" w:rsidR="00D357EB" w:rsidRPr="00A52958" w:rsidRDefault="00D357EB" w:rsidP="007A0E4B">
            <w:pPr>
              <w:jc w:val="center"/>
              <w:cnfStyle w:val="000000100000" w:firstRow="0" w:lastRow="0" w:firstColumn="0" w:lastColumn="0" w:oddVBand="0" w:evenVBand="0" w:oddHBand="1" w:evenHBand="0" w:firstRowFirstColumn="0" w:firstRowLastColumn="0" w:lastRowFirstColumn="0" w:lastRowLastColumn="0"/>
              <w:rPr>
                <w:rFonts w:cs="Arial"/>
                <w:color w:val="000000"/>
                <w:lang w:val="en-US"/>
              </w:rPr>
            </w:pPr>
            <w:r>
              <w:rPr>
                <w:rFonts w:cs="Arial"/>
                <w:color w:val="000000"/>
                <w:lang w:val="en-US"/>
              </w:rPr>
              <w:t>1.659878</w:t>
            </w:r>
          </w:p>
        </w:tc>
        <w:tc>
          <w:tcPr>
            <w:tcW w:w="1273" w:type="dxa"/>
            <w:tcBorders>
              <w:top w:val="nil"/>
              <w:bottom w:val="nil"/>
            </w:tcBorders>
            <w:shd w:val="clear" w:color="auto" w:fill="auto"/>
          </w:tcPr>
          <w:p w14:paraId="67829FFE" w14:textId="688FDDA9" w:rsidR="00D357EB" w:rsidRPr="00A52958" w:rsidRDefault="00AE0721" w:rsidP="007A0E4B">
            <w:pPr>
              <w:jc w:val="center"/>
              <w:cnfStyle w:val="000000100000" w:firstRow="0" w:lastRow="0" w:firstColumn="0" w:lastColumn="0" w:oddVBand="0" w:evenVBand="0" w:oddHBand="1" w:evenHBand="0" w:firstRowFirstColumn="0" w:firstRowLastColumn="0" w:lastRowFirstColumn="0" w:lastRowLastColumn="0"/>
              <w:rPr>
                <w:rFonts w:cs="Arial"/>
                <w:color w:val="000000"/>
                <w:lang w:val="en-US"/>
              </w:rPr>
            </w:pPr>
            <w:r>
              <w:rPr>
                <w:rFonts w:cs="Arial"/>
                <w:color w:val="000000"/>
                <w:lang w:val="en-US"/>
              </w:rPr>
              <w:t>1.680220</w:t>
            </w:r>
          </w:p>
        </w:tc>
        <w:tc>
          <w:tcPr>
            <w:tcW w:w="1273" w:type="dxa"/>
            <w:tcBorders>
              <w:top w:val="nil"/>
              <w:bottom w:val="nil"/>
            </w:tcBorders>
            <w:shd w:val="clear" w:color="auto" w:fill="auto"/>
          </w:tcPr>
          <w:p w14:paraId="6DA969B7" w14:textId="213D3893" w:rsidR="00D357EB" w:rsidRPr="00971464" w:rsidRDefault="00C839C6" w:rsidP="007A0E4B">
            <w:pPr>
              <w:jc w:val="center"/>
              <w:cnfStyle w:val="000000100000" w:firstRow="0" w:lastRow="0" w:firstColumn="0" w:lastColumn="0" w:oddVBand="0" w:evenVBand="0" w:oddHBand="1" w:evenHBand="0" w:firstRowFirstColumn="0" w:firstRowLastColumn="0" w:lastRowFirstColumn="0" w:lastRowLastColumn="0"/>
              <w:rPr>
                <w:rFonts w:cs="Arial"/>
                <w:lang w:val="en-US"/>
              </w:rPr>
            </w:pPr>
            <w:r>
              <w:rPr>
                <w:rFonts w:cs="Arial"/>
                <w:color w:val="000000"/>
                <w:lang w:val="en-US"/>
              </w:rPr>
              <w:t>1.680175</w:t>
            </w:r>
          </w:p>
        </w:tc>
      </w:tr>
      <w:tr w:rsidR="00D357EB" w:rsidRPr="00971464" w14:paraId="47682084" w14:textId="77777777" w:rsidTr="007A0E4B">
        <w:trPr>
          <w:trHeight w:val="284"/>
        </w:trPr>
        <w:tc>
          <w:tcPr>
            <w:cnfStyle w:val="001000000000" w:firstRow="0" w:lastRow="0" w:firstColumn="1" w:lastColumn="0" w:oddVBand="0" w:evenVBand="0" w:oddHBand="0" w:evenHBand="0" w:firstRowFirstColumn="0" w:firstRowLastColumn="0" w:lastRowFirstColumn="0" w:lastRowLastColumn="0"/>
            <w:tcW w:w="1095" w:type="dxa"/>
            <w:tcBorders>
              <w:top w:val="nil"/>
              <w:bottom w:val="nil"/>
            </w:tcBorders>
            <w:shd w:val="clear" w:color="auto" w:fill="auto"/>
          </w:tcPr>
          <w:p w14:paraId="7889E4CE" w14:textId="36860B38" w:rsidR="00D357EB" w:rsidRPr="006511E7" w:rsidRDefault="00D357EB" w:rsidP="007A0E4B">
            <w:pPr>
              <w:jc w:val="center"/>
              <w:rPr>
                <w:rFonts w:cs="Arial"/>
                <w:b w:val="0"/>
                <w:lang w:val="en-US"/>
              </w:rPr>
            </w:pPr>
            <w:r>
              <w:rPr>
                <w:rFonts w:cs="Arial"/>
                <w:b w:val="0"/>
                <w:bCs w:val="0"/>
                <w:color w:val="000000"/>
                <w:lang w:val="en-US"/>
              </w:rPr>
              <w:t>0.50</w:t>
            </w:r>
          </w:p>
        </w:tc>
        <w:tc>
          <w:tcPr>
            <w:tcW w:w="1412" w:type="dxa"/>
            <w:tcBorders>
              <w:top w:val="nil"/>
              <w:bottom w:val="nil"/>
            </w:tcBorders>
            <w:shd w:val="clear" w:color="auto" w:fill="auto"/>
          </w:tcPr>
          <w:p w14:paraId="5D1BB7C2" w14:textId="2CA2B5CC" w:rsidR="00D357EB" w:rsidRPr="00971464" w:rsidRDefault="00D357EB" w:rsidP="007A0E4B">
            <w:pPr>
              <w:jc w:val="center"/>
              <w:cnfStyle w:val="000000000000" w:firstRow="0" w:lastRow="0" w:firstColumn="0" w:lastColumn="0" w:oddVBand="0" w:evenVBand="0" w:oddHBand="0" w:evenHBand="0" w:firstRowFirstColumn="0" w:firstRowLastColumn="0" w:lastRowFirstColumn="0" w:lastRowLastColumn="0"/>
              <w:rPr>
                <w:rFonts w:cs="Arial"/>
                <w:lang w:val="en-US"/>
              </w:rPr>
            </w:pPr>
            <w:r>
              <w:rPr>
                <w:rFonts w:cs="Arial"/>
                <w:color w:val="000000"/>
                <w:lang w:val="en-US"/>
              </w:rPr>
              <w:t>1.000000</w:t>
            </w:r>
          </w:p>
        </w:tc>
        <w:tc>
          <w:tcPr>
            <w:tcW w:w="1273" w:type="dxa"/>
            <w:tcBorders>
              <w:top w:val="nil"/>
              <w:bottom w:val="nil"/>
            </w:tcBorders>
            <w:shd w:val="clear" w:color="auto" w:fill="auto"/>
          </w:tcPr>
          <w:p w14:paraId="0B65704F" w14:textId="0BA3C05B" w:rsidR="00D357EB" w:rsidRPr="00971464" w:rsidRDefault="00D357EB" w:rsidP="007A0E4B">
            <w:pPr>
              <w:jc w:val="center"/>
              <w:cnfStyle w:val="000000000000" w:firstRow="0" w:lastRow="0" w:firstColumn="0" w:lastColumn="0" w:oddVBand="0" w:evenVBand="0" w:oddHBand="0" w:evenHBand="0" w:firstRowFirstColumn="0" w:firstRowLastColumn="0" w:lastRowFirstColumn="0" w:lastRowLastColumn="0"/>
              <w:rPr>
                <w:rFonts w:cs="Arial"/>
                <w:lang w:val="en-US"/>
              </w:rPr>
            </w:pPr>
            <w:r>
              <w:rPr>
                <w:rFonts w:cs="Arial"/>
                <w:color w:val="000000"/>
                <w:lang w:val="en-US"/>
              </w:rPr>
              <w:t>1.134087</w:t>
            </w:r>
          </w:p>
        </w:tc>
        <w:tc>
          <w:tcPr>
            <w:tcW w:w="1412" w:type="dxa"/>
            <w:tcBorders>
              <w:top w:val="nil"/>
              <w:bottom w:val="nil"/>
            </w:tcBorders>
            <w:shd w:val="clear" w:color="auto" w:fill="auto"/>
          </w:tcPr>
          <w:p w14:paraId="4D925094" w14:textId="75F6B92C" w:rsidR="00D357EB" w:rsidRPr="00A52958" w:rsidRDefault="003B2CBB" w:rsidP="007A0E4B">
            <w:pPr>
              <w:jc w:val="center"/>
              <w:cnfStyle w:val="000000000000" w:firstRow="0" w:lastRow="0" w:firstColumn="0" w:lastColumn="0" w:oddVBand="0" w:evenVBand="0" w:oddHBand="0" w:evenHBand="0" w:firstRowFirstColumn="0" w:firstRowLastColumn="0" w:lastRowFirstColumn="0" w:lastRowLastColumn="0"/>
              <w:rPr>
                <w:rFonts w:cs="Arial"/>
                <w:lang w:val="en-US"/>
              </w:rPr>
            </w:pPr>
            <w:r>
              <w:rPr>
                <w:rFonts w:cs="Arial"/>
                <w:color w:val="000000"/>
                <w:lang w:val="en-US"/>
              </w:rPr>
              <w:t>1.34830</w:t>
            </w:r>
            <w:r w:rsidR="00845988">
              <w:rPr>
                <w:rFonts w:cs="Arial"/>
                <w:color w:val="000000"/>
                <w:lang w:val="en-US"/>
              </w:rPr>
              <w:t>4</w:t>
            </w:r>
          </w:p>
        </w:tc>
        <w:tc>
          <w:tcPr>
            <w:tcW w:w="1265" w:type="dxa"/>
            <w:tcBorders>
              <w:top w:val="nil"/>
              <w:bottom w:val="nil"/>
            </w:tcBorders>
          </w:tcPr>
          <w:p w14:paraId="7426C265" w14:textId="029BADBC" w:rsidR="00D357EB" w:rsidRPr="00A52958" w:rsidRDefault="00D357EB" w:rsidP="007A0E4B">
            <w:pPr>
              <w:jc w:val="center"/>
              <w:cnfStyle w:val="000000000000" w:firstRow="0" w:lastRow="0" w:firstColumn="0" w:lastColumn="0" w:oddVBand="0" w:evenVBand="0" w:oddHBand="0" w:evenHBand="0" w:firstRowFirstColumn="0" w:firstRowLastColumn="0" w:lastRowFirstColumn="0" w:lastRowLastColumn="0"/>
              <w:rPr>
                <w:rFonts w:cs="Arial"/>
                <w:color w:val="000000"/>
                <w:lang w:val="en-US"/>
              </w:rPr>
            </w:pPr>
            <w:r>
              <w:rPr>
                <w:rFonts w:cs="Arial"/>
                <w:color w:val="000000"/>
                <w:lang w:val="en-US"/>
              </w:rPr>
              <w:t>1.4977</w:t>
            </w:r>
            <w:r w:rsidR="00B94FD1">
              <w:rPr>
                <w:rFonts w:cs="Arial"/>
                <w:color w:val="000000"/>
                <w:lang w:val="en-US"/>
              </w:rPr>
              <w:t>09</w:t>
            </w:r>
          </w:p>
        </w:tc>
        <w:tc>
          <w:tcPr>
            <w:tcW w:w="1273" w:type="dxa"/>
            <w:tcBorders>
              <w:top w:val="nil"/>
              <w:bottom w:val="nil"/>
            </w:tcBorders>
          </w:tcPr>
          <w:p w14:paraId="62AB12C8" w14:textId="420E1A53" w:rsidR="00D357EB" w:rsidRPr="00A52958" w:rsidRDefault="00D357EB" w:rsidP="007A0E4B">
            <w:pPr>
              <w:jc w:val="center"/>
              <w:cnfStyle w:val="000000000000" w:firstRow="0" w:lastRow="0" w:firstColumn="0" w:lastColumn="0" w:oddVBand="0" w:evenVBand="0" w:oddHBand="0" w:evenHBand="0" w:firstRowFirstColumn="0" w:firstRowLastColumn="0" w:lastRowFirstColumn="0" w:lastRowLastColumn="0"/>
              <w:rPr>
                <w:rFonts w:cs="Arial"/>
                <w:color w:val="000000"/>
                <w:lang w:val="en-US"/>
              </w:rPr>
            </w:pPr>
            <w:r>
              <w:rPr>
                <w:rFonts w:cs="Arial"/>
                <w:color w:val="000000"/>
                <w:lang w:val="en-US"/>
              </w:rPr>
              <w:t>1.500</w:t>
            </w:r>
            <w:r w:rsidR="003C1E6A">
              <w:rPr>
                <w:rFonts w:cs="Arial"/>
                <w:color w:val="000000"/>
                <w:lang w:val="en-US"/>
              </w:rPr>
              <w:t>186</w:t>
            </w:r>
          </w:p>
        </w:tc>
        <w:tc>
          <w:tcPr>
            <w:tcW w:w="1273" w:type="dxa"/>
            <w:tcBorders>
              <w:top w:val="nil"/>
              <w:bottom w:val="nil"/>
            </w:tcBorders>
            <w:shd w:val="clear" w:color="auto" w:fill="auto"/>
          </w:tcPr>
          <w:p w14:paraId="012A1B5B" w14:textId="1C1E62B9" w:rsidR="00D357EB" w:rsidRPr="00971464" w:rsidRDefault="008D0EEA" w:rsidP="007A0E4B">
            <w:pPr>
              <w:jc w:val="center"/>
              <w:cnfStyle w:val="000000000000" w:firstRow="0" w:lastRow="0" w:firstColumn="0" w:lastColumn="0" w:oddVBand="0" w:evenVBand="0" w:oddHBand="0" w:evenHBand="0" w:firstRowFirstColumn="0" w:firstRowLastColumn="0" w:lastRowFirstColumn="0" w:lastRowLastColumn="0"/>
              <w:rPr>
                <w:rFonts w:cs="Arial"/>
                <w:lang w:val="en-US"/>
              </w:rPr>
            </w:pPr>
            <w:r>
              <w:rPr>
                <w:rFonts w:cs="Arial"/>
                <w:color w:val="000000"/>
                <w:lang w:val="en-US"/>
              </w:rPr>
              <w:t>1.500192</w:t>
            </w:r>
          </w:p>
        </w:tc>
      </w:tr>
      <w:tr w:rsidR="00D357EB" w:rsidRPr="00971464" w14:paraId="4E95EDE9" w14:textId="77777777" w:rsidTr="007A0E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95" w:type="dxa"/>
            <w:tcBorders>
              <w:top w:val="nil"/>
              <w:bottom w:val="nil"/>
            </w:tcBorders>
            <w:shd w:val="clear" w:color="auto" w:fill="auto"/>
          </w:tcPr>
          <w:p w14:paraId="00B4331D" w14:textId="10634805" w:rsidR="00D357EB" w:rsidRPr="006511E7" w:rsidRDefault="00D357EB" w:rsidP="007A0E4B">
            <w:pPr>
              <w:jc w:val="center"/>
              <w:rPr>
                <w:rFonts w:cs="Arial"/>
                <w:b w:val="0"/>
                <w:lang w:val="en-US"/>
              </w:rPr>
            </w:pPr>
            <w:r>
              <w:rPr>
                <w:rFonts w:cs="Arial"/>
                <w:b w:val="0"/>
                <w:bCs w:val="0"/>
                <w:color w:val="000000"/>
                <w:lang w:val="en-US"/>
              </w:rPr>
              <w:t>0.60</w:t>
            </w:r>
          </w:p>
        </w:tc>
        <w:tc>
          <w:tcPr>
            <w:tcW w:w="1412" w:type="dxa"/>
            <w:tcBorders>
              <w:top w:val="nil"/>
              <w:bottom w:val="nil"/>
            </w:tcBorders>
            <w:shd w:val="clear" w:color="auto" w:fill="auto"/>
          </w:tcPr>
          <w:p w14:paraId="1C197F3B" w14:textId="6DCC06FF" w:rsidR="00D357EB" w:rsidRPr="00971464" w:rsidRDefault="00D357EB" w:rsidP="007A0E4B">
            <w:pPr>
              <w:jc w:val="center"/>
              <w:cnfStyle w:val="000000100000" w:firstRow="0" w:lastRow="0" w:firstColumn="0" w:lastColumn="0" w:oddVBand="0" w:evenVBand="0" w:oddHBand="1" w:evenHBand="0" w:firstRowFirstColumn="0" w:firstRowLastColumn="0" w:lastRowFirstColumn="0" w:lastRowLastColumn="0"/>
              <w:rPr>
                <w:rFonts w:cs="Arial"/>
                <w:lang w:val="en-US"/>
              </w:rPr>
            </w:pPr>
            <w:r>
              <w:rPr>
                <w:rFonts w:cs="Arial"/>
                <w:color w:val="000000"/>
                <w:lang w:val="en-US"/>
              </w:rPr>
              <w:t>1.000000</w:t>
            </w:r>
          </w:p>
        </w:tc>
        <w:tc>
          <w:tcPr>
            <w:tcW w:w="1273" w:type="dxa"/>
            <w:tcBorders>
              <w:top w:val="nil"/>
              <w:bottom w:val="nil"/>
            </w:tcBorders>
            <w:shd w:val="clear" w:color="auto" w:fill="auto"/>
          </w:tcPr>
          <w:p w14:paraId="1932CDE8" w14:textId="4344C4E2" w:rsidR="00D357EB" w:rsidRPr="00971464" w:rsidRDefault="000B5870" w:rsidP="007A0E4B">
            <w:pPr>
              <w:jc w:val="center"/>
              <w:cnfStyle w:val="000000100000" w:firstRow="0" w:lastRow="0" w:firstColumn="0" w:lastColumn="0" w:oddVBand="0" w:evenVBand="0" w:oddHBand="1" w:evenHBand="0" w:firstRowFirstColumn="0" w:firstRowLastColumn="0" w:lastRowFirstColumn="0" w:lastRowLastColumn="0"/>
              <w:rPr>
                <w:rFonts w:cs="Arial"/>
                <w:lang w:val="en-US"/>
              </w:rPr>
            </w:pPr>
            <w:r>
              <w:rPr>
                <w:rFonts w:cs="Arial"/>
                <w:color w:val="000000"/>
                <w:lang w:val="en-US"/>
              </w:rPr>
              <w:t>1.131739</w:t>
            </w:r>
          </w:p>
        </w:tc>
        <w:tc>
          <w:tcPr>
            <w:tcW w:w="1412" w:type="dxa"/>
            <w:tcBorders>
              <w:top w:val="nil"/>
              <w:bottom w:val="nil"/>
            </w:tcBorders>
            <w:shd w:val="clear" w:color="auto" w:fill="auto"/>
          </w:tcPr>
          <w:p w14:paraId="4D120998" w14:textId="37B5942F" w:rsidR="00D357EB" w:rsidRPr="00A52958" w:rsidRDefault="003B2CBB" w:rsidP="007A0E4B">
            <w:pPr>
              <w:jc w:val="center"/>
              <w:cnfStyle w:val="000000100000" w:firstRow="0" w:lastRow="0" w:firstColumn="0" w:lastColumn="0" w:oddVBand="0" w:evenVBand="0" w:oddHBand="1" w:evenHBand="0" w:firstRowFirstColumn="0" w:firstRowLastColumn="0" w:lastRowFirstColumn="0" w:lastRowLastColumn="0"/>
              <w:rPr>
                <w:rFonts w:cs="Arial"/>
                <w:lang w:val="en-US"/>
              </w:rPr>
            </w:pPr>
            <w:r>
              <w:rPr>
                <w:rFonts w:cs="Arial"/>
                <w:color w:val="000000"/>
                <w:lang w:val="en-US"/>
              </w:rPr>
              <w:t>1.29414</w:t>
            </w:r>
            <w:r w:rsidR="00930802">
              <w:rPr>
                <w:rFonts w:cs="Arial"/>
                <w:color w:val="000000"/>
                <w:lang w:val="en-US"/>
              </w:rPr>
              <w:t>3</w:t>
            </w:r>
          </w:p>
        </w:tc>
        <w:tc>
          <w:tcPr>
            <w:tcW w:w="1265" w:type="dxa"/>
            <w:tcBorders>
              <w:top w:val="nil"/>
              <w:bottom w:val="nil"/>
            </w:tcBorders>
            <w:shd w:val="clear" w:color="auto" w:fill="auto"/>
          </w:tcPr>
          <w:p w14:paraId="2E1EDA52" w14:textId="24EB0A69" w:rsidR="00D357EB" w:rsidRPr="00A52958" w:rsidRDefault="00D357EB" w:rsidP="007A0E4B">
            <w:pPr>
              <w:jc w:val="center"/>
              <w:cnfStyle w:val="000000100000" w:firstRow="0" w:lastRow="0" w:firstColumn="0" w:lastColumn="0" w:oddVBand="0" w:evenVBand="0" w:oddHBand="1" w:evenHBand="0" w:firstRowFirstColumn="0" w:firstRowLastColumn="0" w:lastRowFirstColumn="0" w:lastRowLastColumn="0"/>
              <w:rPr>
                <w:rFonts w:cs="Arial"/>
                <w:color w:val="000000"/>
                <w:lang w:val="en-US"/>
              </w:rPr>
            </w:pPr>
            <w:r>
              <w:rPr>
                <w:rFonts w:cs="Arial"/>
                <w:color w:val="000000"/>
                <w:lang w:val="en-US"/>
              </w:rPr>
              <w:t>1.29083</w:t>
            </w:r>
            <w:r w:rsidR="00735B9A">
              <w:rPr>
                <w:rFonts w:cs="Arial"/>
                <w:color w:val="000000"/>
                <w:lang w:val="en-US"/>
              </w:rPr>
              <w:t>1</w:t>
            </w:r>
          </w:p>
        </w:tc>
        <w:tc>
          <w:tcPr>
            <w:tcW w:w="1273" w:type="dxa"/>
            <w:tcBorders>
              <w:top w:val="nil"/>
              <w:bottom w:val="nil"/>
            </w:tcBorders>
            <w:shd w:val="clear" w:color="auto" w:fill="auto"/>
          </w:tcPr>
          <w:p w14:paraId="09720EEC" w14:textId="35D42616" w:rsidR="00D357EB" w:rsidRPr="00A52958" w:rsidRDefault="000C5DF7" w:rsidP="007A0E4B">
            <w:pPr>
              <w:jc w:val="center"/>
              <w:cnfStyle w:val="000000100000" w:firstRow="0" w:lastRow="0" w:firstColumn="0" w:lastColumn="0" w:oddVBand="0" w:evenVBand="0" w:oddHBand="1" w:evenHBand="0" w:firstRowFirstColumn="0" w:firstRowLastColumn="0" w:lastRowFirstColumn="0" w:lastRowLastColumn="0"/>
              <w:rPr>
                <w:rFonts w:cs="Arial"/>
                <w:color w:val="000000"/>
                <w:lang w:val="en-US"/>
              </w:rPr>
            </w:pPr>
            <w:r>
              <w:rPr>
                <w:rFonts w:cs="Arial"/>
                <w:color w:val="000000"/>
                <w:lang w:val="en-US"/>
              </w:rPr>
              <w:t>1.280150</w:t>
            </w:r>
          </w:p>
        </w:tc>
        <w:tc>
          <w:tcPr>
            <w:tcW w:w="1273" w:type="dxa"/>
            <w:tcBorders>
              <w:top w:val="nil"/>
              <w:bottom w:val="nil"/>
            </w:tcBorders>
            <w:shd w:val="clear" w:color="auto" w:fill="auto"/>
          </w:tcPr>
          <w:p w14:paraId="4806F947" w14:textId="488D9A11" w:rsidR="00D357EB" w:rsidRPr="00971464" w:rsidRDefault="003946CE" w:rsidP="007A0E4B">
            <w:pPr>
              <w:jc w:val="center"/>
              <w:cnfStyle w:val="000000100000" w:firstRow="0" w:lastRow="0" w:firstColumn="0" w:lastColumn="0" w:oddVBand="0" w:evenVBand="0" w:oddHBand="1" w:evenHBand="0" w:firstRowFirstColumn="0" w:firstRowLastColumn="0" w:lastRowFirstColumn="0" w:lastRowLastColumn="0"/>
              <w:rPr>
                <w:rFonts w:cs="Arial"/>
                <w:lang w:val="en-US"/>
              </w:rPr>
            </w:pPr>
            <w:r>
              <w:rPr>
                <w:rFonts w:cs="Arial"/>
                <w:color w:val="000000"/>
                <w:lang w:val="en-US"/>
              </w:rPr>
              <w:t>1.280180</w:t>
            </w:r>
          </w:p>
        </w:tc>
      </w:tr>
      <w:tr w:rsidR="00D357EB" w:rsidRPr="00971464" w14:paraId="09AA1057" w14:textId="77777777" w:rsidTr="007A0E4B">
        <w:trPr>
          <w:trHeight w:val="284"/>
        </w:trPr>
        <w:tc>
          <w:tcPr>
            <w:cnfStyle w:val="001000000000" w:firstRow="0" w:lastRow="0" w:firstColumn="1" w:lastColumn="0" w:oddVBand="0" w:evenVBand="0" w:oddHBand="0" w:evenHBand="0" w:firstRowFirstColumn="0" w:firstRowLastColumn="0" w:lastRowFirstColumn="0" w:lastRowLastColumn="0"/>
            <w:tcW w:w="1095" w:type="dxa"/>
            <w:tcBorders>
              <w:top w:val="nil"/>
              <w:bottom w:val="nil"/>
            </w:tcBorders>
            <w:shd w:val="clear" w:color="auto" w:fill="auto"/>
          </w:tcPr>
          <w:p w14:paraId="68D4EAAB" w14:textId="52C61FC9" w:rsidR="00D357EB" w:rsidRPr="006511E7" w:rsidRDefault="00D357EB" w:rsidP="007A0E4B">
            <w:pPr>
              <w:jc w:val="center"/>
              <w:rPr>
                <w:rFonts w:cs="Arial"/>
                <w:b w:val="0"/>
                <w:lang w:val="en-US"/>
              </w:rPr>
            </w:pPr>
            <w:r>
              <w:rPr>
                <w:rFonts w:cs="Arial"/>
                <w:b w:val="0"/>
                <w:bCs w:val="0"/>
                <w:color w:val="000000"/>
                <w:lang w:val="en-US"/>
              </w:rPr>
              <w:t>0.70</w:t>
            </w:r>
          </w:p>
        </w:tc>
        <w:tc>
          <w:tcPr>
            <w:tcW w:w="1412" w:type="dxa"/>
            <w:tcBorders>
              <w:top w:val="nil"/>
              <w:bottom w:val="nil"/>
            </w:tcBorders>
            <w:shd w:val="clear" w:color="auto" w:fill="auto"/>
          </w:tcPr>
          <w:p w14:paraId="4B3B98F5" w14:textId="138038A1" w:rsidR="00D357EB" w:rsidRPr="00A52958" w:rsidRDefault="00D357EB" w:rsidP="007A0E4B">
            <w:pPr>
              <w:jc w:val="center"/>
              <w:cnfStyle w:val="000000000000" w:firstRow="0" w:lastRow="0" w:firstColumn="0" w:lastColumn="0" w:oddVBand="0" w:evenVBand="0" w:oddHBand="0" w:evenHBand="0" w:firstRowFirstColumn="0" w:firstRowLastColumn="0" w:lastRowFirstColumn="0" w:lastRowLastColumn="0"/>
              <w:rPr>
                <w:rFonts w:cs="Arial"/>
                <w:color w:val="auto"/>
                <w:lang w:val="en-US"/>
              </w:rPr>
            </w:pPr>
            <w:r w:rsidRPr="00A52958">
              <w:rPr>
                <w:rFonts w:cs="Arial"/>
                <w:color w:val="auto"/>
                <w:lang w:val="en-US"/>
              </w:rPr>
              <w:t>1.000000</w:t>
            </w:r>
          </w:p>
        </w:tc>
        <w:tc>
          <w:tcPr>
            <w:tcW w:w="1273" w:type="dxa"/>
            <w:tcBorders>
              <w:top w:val="nil"/>
              <w:bottom w:val="nil"/>
            </w:tcBorders>
            <w:shd w:val="clear" w:color="auto" w:fill="auto"/>
          </w:tcPr>
          <w:p w14:paraId="4867CBFD" w14:textId="434DFC6A" w:rsidR="00D357EB" w:rsidRPr="00971464" w:rsidRDefault="00D357EB" w:rsidP="007A0E4B">
            <w:pPr>
              <w:jc w:val="center"/>
              <w:cnfStyle w:val="000000000000" w:firstRow="0" w:lastRow="0" w:firstColumn="0" w:lastColumn="0" w:oddVBand="0" w:evenVBand="0" w:oddHBand="0" w:evenHBand="0" w:firstRowFirstColumn="0" w:firstRowLastColumn="0" w:lastRowFirstColumn="0" w:lastRowLastColumn="0"/>
              <w:rPr>
                <w:rFonts w:cs="Arial"/>
                <w:lang w:val="en-US"/>
              </w:rPr>
            </w:pPr>
            <w:r>
              <w:rPr>
                <w:rFonts w:cs="Arial"/>
                <w:color w:val="000000"/>
                <w:lang w:val="en-US"/>
              </w:rPr>
              <w:t>1.11722</w:t>
            </w:r>
            <w:r w:rsidR="00225A2C">
              <w:rPr>
                <w:rFonts w:cs="Arial"/>
                <w:color w:val="000000"/>
                <w:lang w:val="en-US"/>
              </w:rPr>
              <w:t>2</w:t>
            </w:r>
          </w:p>
        </w:tc>
        <w:tc>
          <w:tcPr>
            <w:tcW w:w="1412" w:type="dxa"/>
            <w:tcBorders>
              <w:top w:val="nil"/>
              <w:bottom w:val="nil"/>
            </w:tcBorders>
            <w:shd w:val="clear" w:color="auto" w:fill="auto"/>
          </w:tcPr>
          <w:p w14:paraId="510992B5" w14:textId="46953F80" w:rsidR="00D357EB" w:rsidRPr="00A52958" w:rsidRDefault="00D357EB" w:rsidP="007A0E4B">
            <w:pPr>
              <w:jc w:val="center"/>
              <w:cnfStyle w:val="000000000000" w:firstRow="0" w:lastRow="0" w:firstColumn="0" w:lastColumn="0" w:oddVBand="0" w:evenVBand="0" w:oddHBand="0" w:evenHBand="0" w:firstRowFirstColumn="0" w:firstRowLastColumn="0" w:lastRowFirstColumn="0" w:lastRowLastColumn="0"/>
              <w:rPr>
                <w:rFonts w:cs="Arial"/>
                <w:lang w:val="en-US"/>
              </w:rPr>
            </w:pPr>
            <w:r>
              <w:rPr>
                <w:rFonts w:cs="Arial"/>
                <w:color w:val="000000"/>
                <w:lang w:val="en-US"/>
              </w:rPr>
              <w:t>1.</w:t>
            </w:r>
            <w:r w:rsidR="003B2CBB">
              <w:rPr>
                <w:rFonts w:cs="Arial"/>
                <w:color w:val="000000"/>
                <w:lang w:val="en-US"/>
              </w:rPr>
              <w:t>18906</w:t>
            </w:r>
            <w:r w:rsidR="008D777E">
              <w:rPr>
                <w:rFonts w:cs="Arial"/>
                <w:color w:val="000000"/>
                <w:lang w:val="en-US"/>
              </w:rPr>
              <w:t>9</w:t>
            </w:r>
          </w:p>
        </w:tc>
        <w:tc>
          <w:tcPr>
            <w:tcW w:w="1265" w:type="dxa"/>
            <w:tcBorders>
              <w:top w:val="nil"/>
              <w:bottom w:val="nil"/>
            </w:tcBorders>
          </w:tcPr>
          <w:p w14:paraId="4F790C1F" w14:textId="5841A591" w:rsidR="00D357EB" w:rsidRPr="00A52958" w:rsidRDefault="00D357EB" w:rsidP="007A0E4B">
            <w:pPr>
              <w:jc w:val="center"/>
              <w:cnfStyle w:val="000000000000" w:firstRow="0" w:lastRow="0" w:firstColumn="0" w:lastColumn="0" w:oddVBand="0" w:evenVBand="0" w:oddHBand="0" w:evenHBand="0" w:firstRowFirstColumn="0" w:firstRowLastColumn="0" w:lastRowFirstColumn="0" w:lastRowLastColumn="0"/>
              <w:rPr>
                <w:rFonts w:cs="Arial"/>
                <w:color w:val="000000"/>
                <w:lang w:val="en-US"/>
              </w:rPr>
            </w:pPr>
            <w:r>
              <w:rPr>
                <w:rFonts w:cs="Arial"/>
                <w:color w:val="000000"/>
                <w:lang w:val="en-US"/>
              </w:rPr>
              <w:t>1.03720</w:t>
            </w:r>
            <w:r w:rsidR="00F50593">
              <w:rPr>
                <w:rFonts w:cs="Arial"/>
                <w:color w:val="000000"/>
                <w:lang w:val="en-US"/>
              </w:rPr>
              <w:t>1</w:t>
            </w:r>
          </w:p>
        </w:tc>
        <w:tc>
          <w:tcPr>
            <w:tcW w:w="1273" w:type="dxa"/>
            <w:tcBorders>
              <w:top w:val="nil"/>
              <w:bottom w:val="nil"/>
            </w:tcBorders>
          </w:tcPr>
          <w:p w14:paraId="2ECEB5F9" w14:textId="25F5207B" w:rsidR="00D357EB" w:rsidRPr="00A52958" w:rsidRDefault="00B5117C" w:rsidP="007A0E4B">
            <w:pPr>
              <w:jc w:val="center"/>
              <w:cnfStyle w:val="000000000000" w:firstRow="0" w:lastRow="0" w:firstColumn="0" w:lastColumn="0" w:oddVBand="0" w:evenVBand="0" w:oddHBand="0" w:evenHBand="0" w:firstRowFirstColumn="0" w:firstRowLastColumn="0" w:lastRowFirstColumn="0" w:lastRowLastColumn="0"/>
              <w:rPr>
                <w:rFonts w:cs="Arial"/>
                <w:color w:val="000000"/>
                <w:lang w:val="en-US"/>
              </w:rPr>
            </w:pPr>
            <w:r>
              <w:rPr>
                <w:rFonts w:cs="Arial"/>
                <w:color w:val="000000"/>
                <w:lang w:val="en-US"/>
              </w:rPr>
              <w:t>1.020104</w:t>
            </w:r>
          </w:p>
        </w:tc>
        <w:tc>
          <w:tcPr>
            <w:tcW w:w="1273" w:type="dxa"/>
            <w:tcBorders>
              <w:top w:val="nil"/>
              <w:bottom w:val="nil"/>
            </w:tcBorders>
            <w:shd w:val="clear" w:color="auto" w:fill="auto"/>
          </w:tcPr>
          <w:p w14:paraId="774E15DF" w14:textId="086F2A05" w:rsidR="00D357EB" w:rsidRPr="00971464" w:rsidRDefault="00020F07" w:rsidP="007A0E4B">
            <w:pPr>
              <w:jc w:val="center"/>
              <w:cnfStyle w:val="000000000000" w:firstRow="0" w:lastRow="0" w:firstColumn="0" w:lastColumn="0" w:oddVBand="0" w:evenVBand="0" w:oddHBand="0" w:evenHBand="0" w:firstRowFirstColumn="0" w:firstRowLastColumn="0" w:lastRowFirstColumn="0" w:lastRowLastColumn="0"/>
              <w:rPr>
                <w:rFonts w:cs="Arial"/>
                <w:lang w:val="en-US"/>
              </w:rPr>
            </w:pPr>
            <w:r>
              <w:rPr>
                <w:rFonts w:cs="Arial"/>
                <w:color w:val="000000"/>
                <w:lang w:val="en-US"/>
              </w:rPr>
              <w:t>1.020118</w:t>
            </w:r>
          </w:p>
        </w:tc>
      </w:tr>
      <w:tr w:rsidR="00D357EB" w:rsidRPr="00971464" w14:paraId="762FB7EC" w14:textId="77777777" w:rsidTr="007A0E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95" w:type="dxa"/>
            <w:tcBorders>
              <w:top w:val="nil"/>
              <w:bottom w:val="nil"/>
            </w:tcBorders>
            <w:shd w:val="clear" w:color="auto" w:fill="auto"/>
          </w:tcPr>
          <w:p w14:paraId="5C4184B0" w14:textId="3DCEDB4F" w:rsidR="00D357EB" w:rsidRPr="006511E7" w:rsidRDefault="00D357EB" w:rsidP="007A0E4B">
            <w:pPr>
              <w:jc w:val="center"/>
              <w:rPr>
                <w:rFonts w:cs="Arial"/>
                <w:b w:val="0"/>
                <w:lang w:val="en-US"/>
              </w:rPr>
            </w:pPr>
            <w:r>
              <w:rPr>
                <w:rFonts w:cs="Arial"/>
                <w:b w:val="0"/>
                <w:bCs w:val="0"/>
                <w:color w:val="000000"/>
                <w:lang w:val="en-US"/>
              </w:rPr>
              <w:t>0.80</w:t>
            </w:r>
          </w:p>
        </w:tc>
        <w:tc>
          <w:tcPr>
            <w:tcW w:w="1412" w:type="dxa"/>
            <w:tcBorders>
              <w:top w:val="nil"/>
              <w:bottom w:val="nil"/>
            </w:tcBorders>
            <w:shd w:val="clear" w:color="auto" w:fill="auto"/>
          </w:tcPr>
          <w:p w14:paraId="588C3EC9" w14:textId="170678AD" w:rsidR="00D357EB" w:rsidRPr="00971464" w:rsidRDefault="00D357EB" w:rsidP="007A0E4B">
            <w:pPr>
              <w:jc w:val="center"/>
              <w:cnfStyle w:val="000000100000" w:firstRow="0" w:lastRow="0" w:firstColumn="0" w:lastColumn="0" w:oddVBand="0" w:evenVBand="0" w:oddHBand="1" w:evenHBand="0" w:firstRowFirstColumn="0" w:firstRowLastColumn="0" w:lastRowFirstColumn="0" w:lastRowLastColumn="0"/>
              <w:rPr>
                <w:rFonts w:cs="Arial"/>
                <w:lang w:val="en-US"/>
              </w:rPr>
            </w:pPr>
            <w:r>
              <w:rPr>
                <w:rFonts w:cs="Arial"/>
                <w:color w:val="000000"/>
                <w:lang w:val="en-US"/>
              </w:rPr>
              <w:t>1.000000</w:t>
            </w:r>
          </w:p>
        </w:tc>
        <w:tc>
          <w:tcPr>
            <w:tcW w:w="1273" w:type="dxa"/>
            <w:tcBorders>
              <w:top w:val="nil"/>
              <w:bottom w:val="nil"/>
            </w:tcBorders>
            <w:shd w:val="clear" w:color="auto" w:fill="auto"/>
          </w:tcPr>
          <w:p w14:paraId="17517F9C" w14:textId="56A08697" w:rsidR="00D357EB" w:rsidRPr="00971464" w:rsidRDefault="000D0688" w:rsidP="007A0E4B">
            <w:pPr>
              <w:jc w:val="center"/>
              <w:cnfStyle w:val="000000100000" w:firstRow="0" w:lastRow="0" w:firstColumn="0" w:lastColumn="0" w:oddVBand="0" w:evenVBand="0" w:oddHBand="1" w:evenHBand="0" w:firstRowFirstColumn="0" w:firstRowLastColumn="0" w:lastRowFirstColumn="0" w:lastRowLastColumn="0"/>
              <w:rPr>
                <w:rFonts w:cs="Arial"/>
                <w:lang w:val="en-US"/>
              </w:rPr>
            </w:pPr>
            <w:r>
              <w:rPr>
                <w:rFonts w:cs="Arial"/>
                <w:color w:val="000000"/>
                <w:lang w:val="en-US"/>
              </w:rPr>
              <w:t>1.065997</w:t>
            </w:r>
          </w:p>
        </w:tc>
        <w:tc>
          <w:tcPr>
            <w:tcW w:w="1412" w:type="dxa"/>
            <w:tcBorders>
              <w:top w:val="nil"/>
              <w:bottom w:val="nil"/>
            </w:tcBorders>
            <w:shd w:val="clear" w:color="auto" w:fill="auto"/>
          </w:tcPr>
          <w:p w14:paraId="2C994E4D" w14:textId="1A141884" w:rsidR="00D357EB" w:rsidRPr="00A52958" w:rsidRDefault="00D357EB" w:rsidP="007A0E4B">
            <w:pPr>
              <w:jc w:val="center"/>
              <w:cnfStyle w:val="000000100000" w:firstRow="0" w:lastRow="0" w:firstColumn="0" w:lastColumn="0" w:oddVBand="0" w:evenVBand="0" w:oddHBand="1" w:evenHBand="0" w:firstRowFirstColumn="0" w:firstRowLastColumn="0" w:lastRowFirstColumn="0" w:lastRowLastColumn="0"/>
              <w:rPr>
                <w:rFonts w:cs="Arial"/>
                <w:lang w:val="en-US"/>
              </w:rPr>
            </w:pPr>
            <w:r>
              <w:rPr>
                <w:rFonts w:cs="Arial"/>
                <w:color w:val="000000"/>
                <w:lang w:val="en-US"/>
              </w:rPr>
              <w:t>0.</w:t>
            </w:r>
            <w:r w:rsidR="006F4F01">
              <w:rPr>
                <w:rFonts w:cs="Arial"/>
                <w:color w:val="000000"/>
                <w:lang w:val="en-US"/>
              </w:rPr>
              <w:t>983477</w:t>
            </w:r>
          </w:p>
        </w:tc>
        <w:tc>
          <w:tcPr>
            <w:tcW w:w="1265" w:type="dxa"/>
            <w:tcBorders>
              <w:top w:val="nil"/>
              <w:bottom w:val="nil"/>
            </w:tcBorders>
            <w:shd w:val="clear" w:color="auto" w:fill="auto"/>
          </w:tcPr>
          <w:p w14:paraId="3F94187B" w14:textId="3D64CED3" w:rsidR="00D357EB" w:rsidRPr="00A52958" w:rsidRDefault="00834781" w:rsidP="007A0E4B">
            <w:pPr>
              <w:jc w:val="center"/>
              <w:cnfStyle w:val="000000100000" w:firstRow="0" w:lastRow="0" w:firstColumn="0" w:lastColumn="0" w:oddVBand="0" w:evenVBand="0" w:oddHBand="1" w:evenHBand="0" w:firstRowFirstColumn="0" w:firstRowLastColumn="0" w:lastRowFirstColumn="0" w:lastRowLastColumn="0"/>
              <w:rPr>
                <w:rFonts w:cs="Arial"/>
                <w:color w:val="000000"/>
                <w:lang w:val="en-US"/>
              </w:rPr>
            </w:pPr>
            <w:r>
              <w:rPr>
                <w:rFonts w:cs="Arial"/>
                <w:color w:val="000000"/>
                <w:lang w:val="en-US"/>
              </w:rPr>
              <w:t>0.735303</w:t>
            </w:r>
          </w:p>
        </w:tc>
        <w:tc>
          <w:tcPr>
            <w:tcW w:w="1273" w:type="dxa"/>
            <w:tcBorders>
              <w:top w:val="nil"/>
              <w:bottom w:val="nil"/>
            </w:tcBorders>
            <w:shd w:val="clear" w:color="auto" w:fill="auto"/>
          </w:tcPr>
          <w:p w14:paraId="51F3FCE4" w14:textId="6DB757ED" w:rsidR="00D357EB" w:rsidRPr="00A52958" w:rsidRDefault="006132EB" w:rsidP="007A0E4B">
            <w:pPr>
              <w:jc w:val="center"/>
              <w:cnfStyle w:val="000000100000" w:firstRow="0" w:lastRow="0" w:firstColumn="0" w:lastColumn="0" w:oddVBand="0" w:evenVBand="0" w:oddHBand="1" w:evenHBand="0" w:firstRowFirstColumn="0" w:firstRowLastColumn="0" w:lastRowFirstColumn="0" w:lastRowLastColumn="0"/>
              <w:rPr>
                <w:rFonts w:cs="Arial"/>
                <w:color w:val="000000"/>
                <w:lang w:val="en-US"/>
              </w:rPr>
            </w:pPr>
            <w:r>
              <w:rPr>
                <w:rFonts w:cs="Arial"/>
                <w:color w:val="000000"/>
                <w:lang w:val="en-US"/>
              </w:rPr>
              <w:t>0.719987</w:t>
            </w:r>
          </w:p>
        </w:tc>
        <w:tc>
          <w:tcPr>
            <w:tcW w:w="1273" w:type="dxa"/>
            <w:tcBorders>
              <w:top w:val="nil"/>
              <w:bottom w:val="nil"/>
            </w:tcBorders>
            <w:shd w:val="clear" w:color="auto" w:fill="auto"/>
          </w:tcPr>
          <w:p w14:paraId="105DB685" w14:textId="070663C2" w:rsidR="00D357EB" w:rsidRPr="00971464" w:rsidRDefault="00E330B0" w:rsidP="007A0E4B">
            <w:pPr>
              <w:jc w:val="center"/>
              <w:cnfStyle w:val="000000100000" w:firstRow="0" w:lastRow="0" w:firstColumn="0" w:lastColumn="0" w:oddVBand="0" w:evenVBand="0" w:oddHBand="1" w:evenHBand="0" w:firstRowFirstColumn="0" w:firstRowLastColumn="0" w:lastRowFirstColumn="0" w:lastRowLastColumn="0"/>
              <w:rPr>
                <w:rFonts w:cs="Arial"/>
                <w:lang w:val="en-US"/>
              </w:rPr>
            </w:pPr>
            <w:r>
              <w:rPr>
                <w:rFonts w:cs="Arial"/>
                <w:color w:val="000000"/>
                <w:lang w:val="en-US"/>
              </w:rPr>
              <w:t>0.720019</w:t>
            </w:r>
          </w:p>
        </w:tc>
      </w:tr>
      <w:tr w:rsidR="00D357EB" w:rsidRPr="00971464" w14:paraId="75E6BA5E" w14:textId="77777777" w:rsidTr="007A0E4B">
        <w:trPr>
          <w:trHeight w:val="284"/>
        </w:trPr>
        <w:tc>
          <w:tcPr>
            <w:cnfStyle w:val="001000000000" w:firstRow="0" w:lastRow="0" w:firstColumn="1" w:lastColumn="0" w:oddVBand="0" w:evenVBand="0" w:oddHBand="0" w:evenHBand="0" w:firstRowFirstColumn="0" w:firstRowLastColumn="0" w:lastRowFirstColumn="0" w:lastRowLastColumn="0"/>
            <w:tcW w:w="1095" w:type="dxa"/>
            <w:tcBorders>
              <w:top w:val="nil"/>
              <w:bottom w:val="nil"/>
            </w:tcBorders>
            <w:shd w:val="clear" w:color="auto" w:fill="auto"/>
          </w:tcPr>
          <w:p w14:paraId="1FAFCE00" w14:textId="42B9B2A4" w:rsidR="00D357EB" w:rsidRPr="006511E7" w:rsidRDefault="00D357EB" w:rsidP="007A0E4B">
            <w:pPr>
              <w:jc w:val="center"/>
              <w:rPr>
                <w:rFonts w:cs="Arial"/>
                <w:b w:val="0"/>
                <w:lang w:val="en-US"/>
              </w:rPr>
            </w:pPr>
            <w:r>
              <w:rPr>
                <w:rFonts w:cs="Arial"/>
                <w:b w:val="0"/>
                <w:bCs w:val="0"/>
                <w:color w:val="000000"/>
                <w:lang w:val="en-US"/>
              </w:rPr>
              <w:t>0.90</w:t>
            </w:r>
          </w:p>
        </w:tc>
        <w:tc>
          <w:tcPr>
            <w:tcW w:w="1412" w:type="dxa"/>
            <w:tcBorders>
              <w:top w:val="nil"/>
              <w:bottom w:val="nil"/>
            </w:tcBorders>
            <w:shd w:val="clear" w:color="auto" w:fill="auto"/>
          </w:tcPr>
          <w:p w14:paraId="367E93D1" w14:textId="2D06AC9D" w:rsidR="00D357EB" w:rsidRPr="00971464" w:rsidRDefault="00D357EB" w:rsidP="007A0E4B">
            <w:pPr>
              <w:jc w:val="center"/>
              <w:cnfStyle w:val="000000000000" w:firstRow="0" w:lastRow="0" w:firstColumn="0" w:lastColumn="0" w:oddVBand="0" w:evenVBand="0" w:oddHBand="0" w:evenHBand="0" w:firstRowFirstColumn="0" w:firstRowLastColumn="0" w:lastRowFirstColumn="0" w:lastRowLastColumn="0"/>
              <w:rPr>
                <w:rFonts w:cs="Arial"/>
                <w:lang w:val="en-US"/>
              </w:rPr>
            </w:pPr>
            <w:r>
              <w:rPr>
                <w:rFonts w:cs="Arial"/>
                <w:color w:val="000000"/>
                <w:lang w:val="en-US"/>
              </w:rPr>
              <w:t>1.000000</w:t>
            </w:r>
          </w:p>
        </w:tc>
        <w:tc>
          <w:tcPr>
            <w:tcW w:w="1273" w:type="dxa"/>
            <w:tcBorders>
              <w:top w:val="nil"/>
              <w:bottom w:val="nil"/>
            </w:tcBorders>
            <w:shd w:val="clear" w:color="auto" w:fill="auto"/>
          </w:tcPr>
          <w:p w14:paraId="30F98D25" w14:textId="22889BDC" w:rsidR="00D357EB" w:rsidRPr="00971464" w:rsidRDefault="009778C8" w:rsidP="007A0E4B">
            <w:pPr>
              <w:jc w:val="center"/>
              <w:cnfStyle w:val="000000000000" w:firstRow="0" w:lastRow="0" w:firstColumn="0" w:lastColumn="0" w:oddVBand="0" w:evenVBand="0" w:oddHBand="0" w:evenHBand="0" w:firstRowFirstColumn="0" w:firstRowLastColumn="0" w:lastRowFirstColumn="0" w:lastRowLastColumn="0"/>
              <w:rPr>
                <w:rFonts w:cs="Arial"/>
                <w:lang w:val="en-US"/>
              </w:rPr>
            </w:pPr>
            <w:r>
              <w:rPr>
                <w:rFonts w:cs="Arial"/>
                <w:color w:val="000000"/>
                <w:lang w:val="en-US"/>
              </w:rPr>
              <w:t>0.893763</w:t>
            </w:r>
          </w:p>
        </w:tc>
        <w:tc>
          <w:tcPr>
            <w:tcW w:w="1412" w:type="dxa"/>
            <w:tcBorders>
              <w:top w:val="nil"/>
              <w:bottom w:val="nil"/>
            </w:tcBorders>
            <w:shd w:val="clear" w:color="auto" w:fill="auto"/>
          </w:tcPr>
          <w:p w14:paraId="70A8A492" w14:textId="37384978" w:rsidR="00D357EB" w:rsidRPr="00A52958" w:rsidRDefault="00F418E1" w:rsidP="007A0E4B">
            <w:pPr>
              <w:jc w:val="center"/>
              <w:cnfStyle w:val="000000000000" w:firstRow="0" w:lastRow="0" w:firstColumn="0" w:lastColumn="0" w:oddVBand="0" w:evenVBand="0" w:oddHBand="0" w:evenHBand="0" w:firstRowFirstColumn="0" w:firstRowLastColumn="0" w:lastRowFirstColumn="0" w:lastRowLastColumn="0"/>
              <w:rPr>
                <w:rFonts w:cs="Arial"/>
                <w:lang w:val="en-US"/>
              </w:rPr>
            </w:pPr>
            <w:r>
              <w:rPr>
                <w:rFonts w:cs="Arial"/>
                <w:color w:val="000000"/>
                <w:lang w:val="en-US"/>
              </w:rPr>
              <w:t>0.576895</w:t>
            </w:r>
          </w:p>
        </w:tc>
        <w:tc>
          <w:tcPr>
            <w:tcW w:w="1265" w:type="dxa"/>
            <w:tcBorders>
              <w:top w:val="nil"/>
              <w:bottom w:val="nil"/>
            </w:tcBorders>
          </w:tcPr>
          <w:p w14:paraId="44915651" w14:textId="149250C8" w:rsidR="00D357EB" w:rsidRPr="00A52958" w:rsidRDefault="00C0006B" w:rsidP="007A0E4B">
            <w:pPr>
              <w:jc w:val="center"/>
              <w:cnfStyle w:val="000000000000" w:firstRow="0" w:lastRow="0" w:firstColumn="0" w:lastColumn="0" w:oddVBand="0" w:evenVBand="0" w:oddHBand="0" w:evenHBand="0" w:firstRowFirstColumn="0" w:firstRowLastColumn="0" w:lastRowFirstColumn="0" w:lastRowLastColumn="0"/>
              <w:rPr>
                <w:rFonts w:cs="Arial"/>
                <w:color w:val="000000"/>
                <w:lang w:val="en-US"/>
              </w:rPr>
            </w:pPr>
            <w:r>
              <w:rPr>
                <w:rFonts w:cs="Arial"/>
                <w:color w:val="000000"/>
                <w:lang w:val="en-US"/>
              </w:rPr>
              <w:t>0.382547</w:t>
            </w:r>
          </w:p>
        </w:tc>
        <w:tc>
          <w:tcPr>
            <w:tcW w:w="1273" w:type="dxa"/>
            <w:tcBorders>
              <w:top w:val="nil"/>
              <w:bottom w:val="nil"/>
            </w:tcBorders>
          </w:tcPr>
          <w:p w14:paraId="71D1D46A" w14:textId="3245C184" w:rsidR="00D357EB" w:rsidRPr="00A52958" w:rsidRDefault="00173866" w:rsidP="007A0E4B">
            <w:pPr>
              <w:jc w:val="center"/>
              <w:cnfStyle w:val="000000000000" w:firstRow="0" w:lastRow="0" w:firstColumn="0" w:lastColumn="0" w:oddVBand="0" w:evenVBand="0" w:oddHBand="0" w:evenHBand="0" w:firstRowFirstColumn="0" w:firstRowLastColumn="0" w:lastRowFirstColumn="0" w:lastRowLastColumn="0"/>
              <w:rPr>
                <w:rFonts w:cs="Arial"/>
                <w:color w:val="000000"/>
                <w:lang w:val="en-US"/>
              </w:rPr>
            </w:pPr>
            <w:r>
              <w:rPr>
                <w:rFonts w:cs="Arial"/>
                <w:color w:val="000000"/>
                <w:lang w:val="en-US"/>
              </w:rPr>
              <w:t>0.380284</w:t>
            </w:r>
          </w:p>
        </w:tc>
        <w:tc>
          <w:tcPr>
            <w:tcW w:w="1273" w:type="dxa"/>
            <w:tcBorders>
              <w:top w:val="nil"/>
              <w:bottom w:val="nil"/>
            </w:tcBorders>
            <w:shd w:val="clear" w:color="auto" w:fill="auto"/>
          </w:tcPr>
          <w:p w14:paraId="10BE76F8" w14:textId="3B70300F" w:rsidR="00D357EB" w:rsidRPr="00971464" w:rsidRDefault="008075C3" w:rsidP="007A0E4B">
            <w:pPr>
              <w:jc w:val="center"/>
              <w:cnfStyle w:val="000000000000" w:firstRow="0" w:lastRow="0" w:firstColumn="0" w:lastColumn="0" w:oddVBand="0" w:evenVBand="0" w:oddHBand="0" w:evenHBand="0" w:firstRowFirstColumn="0" w:firstRowLastColumn="0" w:lastRowFirstColumn="0" w:lastRowLastColumn="0"/>
              <w:rPr>
                <w:rFonts w:cs="Arial"/>
                <w:lang w:val="en-US"/>
              </w:rPr>
            </w:pPr>
            <w:r>
              <w:rPr>
                <w:rFonts w:cs="Arial"/>
                <w:color w:val="000000"/>
                <w:lang w:val="en-US"/>
              </w:rPr>
              <w:t>0.380148</w:t>
            </w:r>
          </w:p>
        </w:tc>
      </w:tr>
      <w:tr w:rsidR="00D357EB" w:rsidRPr="00522131" w14:paraId="6379DF63" w14:textId="77777777" w:rsidTr="007A0E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95" w:type="dxa"/>
            <w:tcBorders>
              <w:top w:val="nil"/>
              <w:bottom w:val="single" w:sz="12" w:space="0" w:color="76923C" w:themeColor="accent3" w:themeShade="BF"/>
            </w:tcBorders>
            <w:shd w:val="clear" w:color="auto" w:fill="auto"/>
          </w:tcPr>
          <w:p w14:paraId="6E20ABC3" w14:textId="3E929AE0" w:rsidR="00D357EB" w:rsidRPr="00522131" w:rsidRDefault="00D357EB" w:rsidP="007A0E4B">
            <w:pPr>
              <w:jc w:val="center"/>
              <w:rPr>
                <w:rFonts w:cs="Arial"/>
                <w:b w:val="0"/>
                <w:color w:val="auto"/>
                <w:lang w:val="en-US"/>
              </w:rPr>
            </w:pPr>
            <w:r w:rsidRPr="00522131">
              <w:rPr>
                <w:rFonts w:cs="Arial"/>
                <w:b w:val="0"/>
                <w:color w:val="auto"/>
                <w:lang w:val="en-US"/>
              </w:rPr>
              <w:t>1.00</w:t>
            </w:r>
          </w:p>
        </w:tc>
        <w:tc>
          <w:tcPr>
            <w:tcW w:w="1412" w:type="dxa"/>
            <w:tcBorders>
              <w:top w:val="nil"/>
              <w:bottom w:val="single" w:sz="12" w:space="0" w:color="76923C" w:themeColor="accent3" w:themeShade="BF"/>
            </w:tcBorders>
            <w:shd w:val="clear" w:color="auto" w:fill="auto"/>
          </w:tcPr>
          <w:p w14:paraId="766A3A84" w14:textId="2B5EEA31" w:rsidR="00D357EB" w:rsidRPr="00522131" w:rsidRDefault="00D357EB" w:rsidP="007A0E4B">
            <w:pPr>
              <w:jc w:val="center"/>
              <w:cnfStyle w:val="000000100000" w:firstRow="0" w:lastRow="0" w:firstColumn="0" w:lastColumn="0" w:oddVBand="0" w:evenVBand="0" w:oddHBand="1" w:evenHBand="0" w:firstRowFirstColumn="0" w:firstRowLastColumn="0" w:lastRowFirstColumn="0" w:lastRowLastColumn="0"/>
              <w:rPr>
                <w:rFonts w:cs="Arial"/>
                <w:color w:val="auto"/>
                <w:lang w:val="en-US"/>
              </w:rPr>
            </w:pPr>
            <w:r>
              <w:rPr>
                <w:rFonts w:cs="Arial"/>
                <w:color w:val="auto"/>
                <w:lang w:val="en-US"/>
              </w:rPr>
              <w:t>1.000000</w:t>
            </w:r>
          </w:p>
        </w:tc>
        <w:tc>
          <w:tcPr>
            <w:tcW w:w="1273" w:type="dxa"/>
            <w:tcBorders>
              <w:top w:val="nil"/>
              <w:bottom w:val="single" w:sz="12" w:space="0" w:color="76923C" w:themeColor="accent3" w:themeShade="BF"/>
            </w:tcBorders>
            <w:shd w:val="clear" w:color="auto" w:fill="auto"/>
          </w:tcPr>
          <w:p w14:paraId="6453E2B2" w14:textId="03F9BA56" w:rsidR="00D357EB" w:rsidRPr="00522131" w:rsidRDefault="00D357EB" w:rsidP="007A0E4B">
            <w:pPr>
              <w:jc w:val="center"/>
              <w:cnfStyle w:val="000000100000" w:firstRow="0" w:lastRow="0" w:firstColumn="0" w:lastColumn="0" w:oddVBand="0" w:evenVBand="0" w:oddHBand="1" w:evenHBand="0" w:firstRowFirstColumn="0" w:firstRowLastColumn="0" w:lastRowFirstColumn="0" w:lastRowLastColumn="0"/>
              <w:rPr>
                <w:rFonts w:cs="Arial"/>
                <w:color w:val="auto"/>
                <w:lang w:val="en-US"/>
              </w:rPr>
            </w:pPr>
            <w:r>
              <w:rPr>
                <w:rFonts w:cs="Arial"/>
                <w:color w:val="auto"/>
                <w:lang w:val="en-US"/>
              </w:rPr>
              <w:t>0.000000</w:t>
            </w:r>
          </w:p>
        </w:tc>
        <w:tc>
          <w:tcPr>
            <w:tcW w:w="1412" w:type="dxa"/>
            <w:tcBorders>
              <w:top w:val="nil"/>
              <w:bottom w:val="single" w:sz="12" w:space="0" w:color="76923C" w:themeColor="accent3" w:themeShade="BF"/>
            </w:tcBorders>
            <w:shd w:val="clear" w:color="auto" w:fill="auto"/>
          </w:tcPr>
          <w:p w14:paraId="012CB38A" w14:textId="6DB9A571" w:rsidR="00D357EB" w:rsidRPr="00A52958" w:rsidRDefault="00D357EB" w:rsidP="007A0E4B">
            <w:pPr>
              <w:jc w:val="center"/>
              <w:cnfStyle w:val="000000100000" w:firstRow="0" w:lastRow="0" w:firstColumn="0" w:lastColumn="0" w:oddVBand="0" w:evenVBand="0" w:oddHBand="1" w:evenHBand="0" w:firstRowFirstColumn="0" w:firstRowLastColumn="0" w:lastRowFirstColumn="0" w:lastRowLastColumn="0"/>
              <w:rPr>
                <w:rFonts w:cs="Arial"/>
                <w:color w:val="auto"/>
                <w:lang w:val="en-US"/>
              </w:rPr>
            </w:pPr>
            <w:r>
              <w:rPr>
                <w:rFonts w:cs="Arial"/>
                <w:color w:val="auto"/>
                <w:lang w:val="en-US"/>
              </w:rPr>
              <w:t>0.000000</w:t>
            </w:r>
          </w:p>
        </w:tc>
        <w:tc>
          <w:tcPr>
            <w:tcW w:w="1265" w:type="dxa"/>
            <w:tcBorders>
              <w:top w:val="nil"/>
              <w:bottom w:val="single" w:sz="12" w:space="0" w:color="76923C" w:themeColor="accent3" w:themeShade="BF"/>
            </w:tcBorders>
            <w:shd w:val="clear" w:color="auto" w:fill="auto"/>
          </w:tcPr>
          <w:p w14:paraId="736AC75C" w14:textId="4BB573D6" w:rsidR="00D357EB" w:rsidRDefault="00D357EB" w:rsidP="007A0E4B">
            <w:pPr>
              <w:jc w:val="center"/>
              <w:cnfStyle w:val="000000100000" w:firstRow="0" w:lastRow="0" w:firstColumn="0" w:lastColumn="0" w:oddVBand="0" w:evenVBand="0" w:oddHBand="1" w:evenHBand="0" w:firstRowFirstColumn="0" w:firstRowLastColumn="0" w:lastRowFirstColumn="0" w:lastRowLastColumn="0"/>
              <w:rPr>
                <w:rFonts w:cs="Arial"/>
                <w:lang w:val="en-US"/>
              </w:rPr>
            </w:pPr>
            <w:r>
              <w:rPr>
                <w:rFonts w:cs="Arial"/>
                <w:color w:val="auto"/>
                <w:lang w:val="en-US"/>
              </w:rPr>
              <w:t>0.000000</w:t>
            </w:r>
          </w:p>
        </w:tc>
        <w:tc>
          <w:tcPr>
            <w:tcW w:w="1273" w:type="dxa"/>
            <w:tcBorders>
              <w:top w:val="nil"/>
              <w:bottom w:val="single" w:sz="12" w:space="0" w:color="76923C" w:themeColor="accent3" w:themeShade="BF"/>
            </w:tcBorders>
            <w:shd w:val="clear" w:color="auto" w:fill="auto"/>
          </w:tcPr>
          <w:p w14:paraId="2E5689D1" w14:textId="62CC43DC" w:rsidR="00D357EB" w:rsidRPr="00A52958" w:rsidRDefault="00D357EB" w:rsidP="007A0E4B">
            <w:pPr>
              <w:jc w:val="center"/>
              <w:cnfStyle w:val="000000100000" w:firstRow="0" w:lastRow="0" w:firstColumn="0" w:lastColumn="0" w:oddVBand="0" w:evenVBand="0" w:oddHBand="1" w:evenHBand="0" w:firstRowFirstColumn="0" w:firstRowLastColumn="0" w:lastRowFirstColumn="0" w:lastRowLastColumn="0"/>
              <w:rPr>
                <w:rFonts w:cs="Arial"/>
                <w:lang w:val="en-US"/>
              </w:rPr>
            </w:pPr>
            <w:r>
              <w:rPr>
                <w:rFonts w:cs="Arial"/>
                <w:color w:val="auto"/>
                <w:lang w:val="en-US"/>
              </w:rPr>
              <w:t>0.000000</w:t>
            </w:r>
          </w:p>
        </w:tc>
        <w:tc>
          <w:tcPr>
            <w:tcW w:w="1273" w:type="dxa"/>
            <w:tcBorders>
              <w:top w:val="nil"/>
              <w:bottom w:val="single" w:sz="12" w:space="0" w:color="76923C" w:themeColor="accent3" w:themeShade="BF"/>
            </w:tcBorders>
            <w:shd w:val="clear" w:color="auto" w:fill="auto"/>
          </w:tcPr>
          <w:p w14:paraId="2AF065B0" w14:textId="7976230E" w:rsidR="00D357EB" w:rsidRPr="00522131" w:rsidRDefault="00D357EB" w:rsidP="007A0E4B">
            <w:pPr>
              <w:jc w:val="center"/>
              <w:cnfStyle w:val="000000100000" w:firstRow="0" w:lastRow="0" w:firstColumn="0" w:lastColumn="0" w:oddVBand="0" w:evenVBand="0" w:oddHBand="1" w:evenHBand="0" w:firstRowFirstColumn="0" w:firstRowLastColumn="0" w:lastRowFirstColumn="0" w:lastRowLastColumn="0"/>
              <w:rPr>
                <w:rFonts w:cs="Arial"/>
                <w:color w:val="auto"/>
                <w:lang w:val="en-US"/>
              </w:rPr>
            </w:pPr>
            <w:r>
              <w:rPr>
                <w:rFonts w:cs="Arial"/>
                <w:color w:val="auto"/>
                <w:lang w:val="en-US"/>
              </w:rPr>
              <w:t>0.000000</w:t>
            </w:r>
          </w:p>
        </w:tc>
      </w:tr>
    </w:tbl>
    <w:p w14:paraId="4E846510" w14:textId="77777777" w:rsidR="00C574E6" w:rsidRDefault="00C574E6" w:rsidP="006D645E">
      <w:pPr>
        <w:pStyle w:val="CETBodytext"/>
      </w:pPr>
    </w:p>
    <w:p w14:paraId="6338EB29" w14:textId="2ED3B557" w:rsidR="006D645E" w:rsidRDefault="006D645E" w:rsidP="006A26FA">
      <w:pPr>
        <w:pStyle w:val="CETheadingx"/>
      </w:pPr>
      <w:r>
        <w:t xml:space="preserve">One dimensional </w:t>
      </w:r>
      <w:r w:rsidR="004441D2">
        <w:t>turbulent</w:t>
      </w:r>
      <w:r>
        <w:t xml:space="preserve"> flow for two fluids</w:t>
      </w:r>
    </w:p>
    <w:p w14:paraId="1F975B97" w14:textId="77777777" w:rsidR="007B50AB" w:rsidRDefault="00B57D1C" w:rsidP="006D645E">
      <w:pPr>
        <w:pStyle w:val="CETBodytext"/>
      </w:pPr>
      <w:r>
        <w:t>The turbulent flow of a gas-liquid bubble column was calculated with the proposed method.</w:t>
      </w:r>
      <w:r w:rsidR="00E662D0">
        <w:t xml:space="preserve"> The liquid and the gas phases are fed at the bottom of a vertical column.</w:t>
      </w:r>
      <w:r w:rsidR="003903FB">
        <w:t xml:space="preserve"> Since only a one-dimensional model was solved, in the radial direction, the length of the column was considered to be long enough for a fully developed flow.</w:t>
      </w:r>
    </w:p>
    <w:p w14:paraId="0E647C18" w14:textId="25CFC470" w:rsidR="00AB1F9B" w:rsidRDefault="00AB1F9B" w:rsidP="006D645E">
      <w:pPr>
        <w:pStyle w:val="CETBodytext"/>
      </w:pPr>
      <w:r>
        <w:t>Th</w:t>
      </w:r>
      <w:r w:rsidR="000765BA">
        <w:t>e column considered had</w:t>
      </w:r>
      <w:r>
        <w:t xml:space="preserve"> a radius of 30 cm. The liqui</w:t>
      </w:r>
      <w:r w:rsidR="000765BA">
        <w:t xml:space="preserve">d mass flow was </w:t>
      </w:r>
      <m:oMath>
        <m:r>
          <w:rPr>
            <w:rFonts w:ascii="Cambria Math" w:hAnsi="Cambria Math"/>
          </w:rPr>
          <m:t xml:space="preserve">400 </m:t>
        </m:r>
        <m:r>
          <m:rPr>
            <m:nor/>
          </m:rPr>
          <w:rPr>
            <w:rFonts w:ascii="Cambria Math" w:hAnsi="Cambria Math"/>
          </w:rPr>
          <m:t>g/s</m:t>
        </m:r>
      </m:oMath>
      <w:r w:rsidR="000765BA">
        <w:t xml:space="preserve">, with </w:t>
      </w:r>
      <w:r>
        <w:t xml:space="preserve">density </w:t>
      </w:r>
      <m:oMath>
        <m:sSub>
          <m:sSubPr>
            <m:ctrlPr>
              <w:rPr>
                <w:rFonts w:ascii="Cambria Math" w:hAnsi="Cambria Math"/>
                <w:i/>
              </w:rPr>
            </m:ctrlPr>
          </m:sSubPr>
          <m:e>
            <m:r>
              <w:rPr>
                <w:rFonts w:ascii="Cambria Math" w:hAnsi="Cambria Math"/>
              </w:rPr>
              <m:t>ρ</m:t>
            </m:r>
          </m:e>
          <m:sub>
            <m:r>
              <w:rPr>
                <w:rFonts w:ascii="Cambria Math" w:hAnsi="Cambria Math"/>
              </w:rPr>
              <m:t>l</m:t>
            </m:r>
          </m:sub>
        </m:sSub>
        <m:r>
          <w:rPr>
            <w:rFonts w:ascii="Cambria Math" w:hAnsi="Cambria Math"/>
          </w:rPr>
          <m:t xml:space="preserve">=0.70 </m:t>
        </m:r>
        <m:r>
          <m:rPr>
            <m:nor/>
          </m:rPr>
          <w:rPr>
            <w:rFonts w:ascii="Cambria Math" w:hAnsi="Cambria Math"/>
          </w:rPr>
          <m:t>g</m:t>
        </m:r>
        <m:r>
          <w:rPr>
            <w:rFonts w:ascii="Cambria Math" w:hAnsi="Cambria Math"/>
          </w:rPr>
          <m:t>/</m:t>
        </m:r>
        <m:sSup>
          <m:sSupPr>
            <m:ctrlPr>
              <w:rPr>
                <w:rFonts w:ascii="Cambria Math" w:hAnsi="Cambria Math"/>
                <w:i/>
              </w:rPr>
            </m:ctrlPr>
          </m:sSupPr>
          <m:e>
            <m:r>
              <m:rPr>
                <m:nor/>
              </m:rPr>
              <w:rPr>
                <w:rFonts w:ascii="Cambria Math" w:hAnsi="Cambria Math"/>
              </w:rPr>
              <m:t>cm</m:t>
            </m:r>
          </m:e>
          <m:sup>
            <m:r>
              <w:rPr>
                <w:rFonts w:ascii="Cambria Math" w:hAnsi="Cambria Math"/>
              </w:rPr>
              <m:t>3</m:t>
            </m:r>
          </m:sup>
        </m:sSup>
      </m:oMath>
      <w:r>
        <w:t xml:space="preserve"> and viscosity </w:t>
      </w:r>
      <m:oMath>
        <m:sSub>
          <m:sSubPr>
            <m:ctrlPr>
              <w:rPr>
                <w:rFonts w:ascii="Cambria Math" w:hAnsi="Cambria Math"/>
                <w:i/>
              </w:rPr>
            </m:ctrlPr>
          </m:sSubPr>
          <m:e>
            <m:r>
              <w:rPr>
                <w:rFonts w:ascii="Cambria Math" w:hAnsi="Cambria Math"/>
              </w:rPr>
              <m:t>μ</m:t>
            </m:r>
          </m:e>
          <m:sub>
            <m:r>
              <w:rPr>
                <w:rFonts w:ascii="Cambria Math" w:hAnsi="Cambria Math"/>
              </w:rPr>
              <m:t>l</m:t>
            </m:r>
          </m:sub>
        </m:sSub>
        <m:r>
          <w:rPr>
            <w:rFonts w:ascii="Cambria Math" w:hAnsi="Cambria Math"/>
          </w:rPr>
          <m:t xml:space="preserve">=0.0090 </m:t>
        </m:r>
        <m:r>
          <m:rPr>
            <m:nor/>
          </m:rPr>
          <w:rPr>
            <w:rFonts w:ascii="Cambria Math" w:hAnsi="Cambria Math"/>
          </w:rPr>
          <m:t>g</m:t>
        </m:r>
        <m:r>
          <w:rPr>
            <w:rFonts w:ascii="Cambria Math" w:hAnsi="Cambria Math"/>
          </w:rPr>
          <m:t>.</m:t>
        </m:r>
        <m:sSup>
          <m:sSupPr>
            <m:ctrlPr>
              <w:rPr>
                <w:rFonts w:ascii="Cambria Math" w:hAnsi="Cambria Math"/>
                <w:i/>
              </w:rPr>
            </m:ctrlPr>
          </m:sSupPr>
          <m:e>
            <m:r>
              <m:rPr>
                <m:nor/>
              </m:rPr>
              <w:rPr>
                <w:rFonts w:ascii="Cambria Math" w:hAnsi="Cambria Math"/>
              </w:rPr>
              <m:t>cm</m:t>
            </m:r>
          </m:e>
          <m:sup>
            <m:r>
              <w:rPr>
                <w:rFonts w:ascii="Cambria Math" w:hAnsi="Cambria Math"/>
              </w:rPr>
              <m:t>-1</m:t>
            </m:r>
          </m:sup>
        </m:sSup>
        <m:r>
          <w:rPr>
            <w:rFonts w:ascii="Cambria Math" w:hAnsi="Cambria Math"/>
          </w:rPr>
          <m:t>.</m:t>
        </m:r>
        <m:sSup>
          <m:sSupPr>
            <m:ctrlPr>
              <w:rPr>
                <w:rFonts w:ascii="Cambria Math" w:hAnsi="Cambria Math"/>
                <w:i/>
              </w:rPr>
            </m:ctrlPr>
          </m:sSupPr>
          <m:e>
            <m:r>
              <m:rPr>
                <m:nor/>
              </m:rPr>
              <w:rPr>
                <w:rFonts w:ascii="Cambria Math" w:hAnsi="Cambria Math"/>
              </w:rPr>
              <m:t>s</m:t>
            </m:r>
          </m:e>
          <m:sup>
            <m:r>
              <w:rPr>
                <w:rFonts w:ascii="Cambria Math" w:hAnsi="Cambria Math"/>
              </w:rPr>
              <m:t>-1</m:t>
            </m:r>
          </m:sup>
        </m:sSup>
      </m:oMath>
      <w:r w:rsidR="000765BA">
        <w:t xml:space="preserve">. The gas mass flow was </w:t>
      </w:r>
      <m:oMath>
        <m:r>
          <w:rPr>
            <w:rFonts w:ascii="Cambria Math" w:hAnsi="Cambria Math"/>
          </w:rPr>
          <m:t xml:space="preserve">10 </m:t>
        </m:r>
        <m:r>
          <m:rPr>
            <m:nor/>
          </m:rPr>
          <w:rPr>
            <w:rFonts w:ascii="Cambria Math" w:hAnsi="Cambria Math"/>
          </w:rPr>
          <m:t>g/s</m:t>
        </m:r>
      </m:oMath>
      <w:r w:rsidR="000765BA">
        <w:t xml:space="preserve">, with density </w:t>
      </w:r>
      <m:oMath>
        <m:sSub>
          <m:sSubPr>
            <m:ctrlPr>
              <w:rPr>
                <w:rFonts w:ascii="Cambria Math" w:hAnsi="Cambria Math"/>
                <w:i/>
              </w:rPr>
            </m:ctrlPr>
          </m:sSubPr>
          <m:e>
            <m:r>
              <w:rPr>
                <w:rFonts w:ascii="Cambria Math" w:hAnsi="Cambria Math"/>
              </w:rPr>
              <m:t>ρ</m:t>
            </m:r>
          </m:e>
          <m:sub>
            <m:r>
              <w:rPr>
                <w:rFonts w:ascii="Cambria Math" w:hAnsi="Cambria Math"/>
              </w:rPr>
              <m:t>g</m:t>
            </m:r>
          </m:sub>
        </m:sSub>
        <m:r>
          <w:rPr>
            <w:rFonts w:ascii="Cambria Math" w:hAnsi="Cambria Math"/>
          </w:rPr>
          <m:t xml:space="preserve">=0.0012 </m:t>
        </m:r>
        <m:r>
          <m:rPr>
            <m:nor/>
          </m:rPr>
          <w:rPr>
            <w:rFonts w:ascii="Cambria Math" w:hAnsi="Cambria Math"/>
          </w:rPr>
          <m:t>g</m:t>
        </m:r>
        <m:r>
          <w:rPr>
            <w:rFonts w:ascii="Cambria Math" w:hAnsi="Cambria Math"/>
          </w:rPr>
          <m:t>/</m:t>
        </m:r>
        <m:sSup>
          <m:sSupPr>
            <m:ctrlPr>
              <w:rPr>
                <w:rFonts w:ascii="Cambria Math" w:hAnsi="Cambria Math"/>
                <w:i/>
              </w:rPr>
            </m:ctrlPr>
          </m:sSupPr>
          <m:e>
            <m:r>
              <m:rPr>
                <m:nor/>
              </m:rPr>
              <w:rPr>
                <w:rFonts w:ascii="Cambria Math" w:hAnsi="Cambria Math"/>
              </w:rPr>
              <m:t>cm</m:t>
            </m:r>
          </m:e>
          <m:sup>
            <m:r>
              <w:rPr>
                <w:rFonts w:ascii="Cambria Math" w:hAnsi="Cambria Math"/>
              </w:rPr>
              <m:t>3</m:t>
            </m:r>
          </m:sup>
        </m:sSup>
      </m:oMath>
      <w:r w:rsidR="000765BA">
        <w:t xml:space="preserve"> and viscosity </w:t>
      </w:r>
      <m:oMath>
        <m:sSub>
          <m:sSubPr>
            <m:ctrlPr>
              <w:rPr>
                <w:rFonts w:ascii="Cambria Math" w:hAnsi="Cambria Math"/>
                <w:i/>
              </w:rPr>
            </m:ctrlPr>
          </m:sSubPr>
          <m:e>
            <m:r>
              <w:rPr>
                <w:rFonts w:ascii="Cambria Math" w:hAnsi="Cambria Math"/>
              </w:rPr>
              <m:t>μ</m:t>
            </m:r>
          </m:e>
          <m:sub>
            <m:r>
              <w:rPr>
                <w:rFonts w:ascii="Cambria Math" w:hAnsi="Cambria Math"/>
              </w:rPr>
              <m:t>g</m:t>
            </m:r>
          </m:sub>
        </m:sSub>
        <m:r>
          <w:rPr>
            <w:rFonts w:ascii="Cambria Math" w:hAnsi="Cambria Math"/>
          </w:rPr>
          <m:t xml:space="preserve">=0.0002 </m:t>
        </m:r>
        <m:r>
          <m:rPr>
            <m:nor/>
          </m:rPr>
          <w:rPr>
            <w:rFonts w:ascii="Cambria Math" w:hAnsi="Cambria Math"/>
          </w:rPr>
          <m:t>g</m:t>
        </m:r>
        <m:r>
          <w:rPr>
            <w:rFonts w:ascii="Cambria Math" w:hAnsi="Cambria Math"/>
          </w:rPr>
          <m:t>.</m:t>
        </m:r>
        <m:sSup>
          <m:sSupPr>
            <m:ctrlPr>
              <w:rPr>
                <w:rFonts w:ascii="Cambria Math" w:hAnsi="Cambria Math"/>
                <w:i/>
              </w:rPr>
            </m:ctrlPr>
          </m:sSupPr>
          <m:e>
            <m:r>
              <m:rPr>
                <m:nor/>
              </m:rPr>
              <w:rPr>
                <w:rFonts w:ascii="Cambria Math" w:hAnsi="Cambria Math"/>
              </w:rPr>
              <m:t>cm</m:t>
            </m:r>
          </m:e>
          <m:sup>
            <m:r>
              <w:rPr>
                <w:rFonts w:ascii="Cambria Math" w:hAnsi="Cambria Math"/>
              </w:rPr>
              <m:t>-1</m:t>
            </m:r>
          </m:sup>
        </m:sSup>
        <m:r>
          <w:rPr>
            <w:rFonts w:ascii="Cambria Math" w:hAnsi="Cambria Math"/>
          </w:rPr>
          <m:t>.</m:t>
        </m:r>
        <m:sSup>
          <m:sSupPr>
            <m:ctrlPr>
              <w:rPr>
                <w:rFonts w:ascii="Cambria Math" w:hAnsi="Cambria Math"/>
                <w:i/>
              </w:rPr>
            </m:ctrlPr>
          </m:sSupPr>
          <m:e>
            <m:r>
              <m:rPr>
                <m:nor/>
              </m:rPr>
              <w:rPr>
                <w:rFonts w:ascii="Cambria Math" w:hAnsi="Cambria Math"/>
              </w:rPr>
              <m:t>s</m:t>
            </m:r>
          </m:e>
          <m:sup>
            <m:r>
              <w:rPr>
                <w:rFonts w:ascii="Cambria Math" w:hAnsi="Cambria Math"/>
              </w:rPr>
              <m:t>-1</m:t>
            </m:r>
          </m:sup>
        </m:sSup>
      </m:oMath>
      <w:r w:rsidR="005E38B0">
        <w:t>.</w:t>
      </w:r>
      <w:r w:rsidR="00B62BA7">
        <w:t xml:space="preserve"> The turbulent viscosity </w:t>
      </w:r>
      <w:r w:rsidR="008F59BF">
        <w:t xml:space="preserve">and </w:t>
      </w:r>
      <w:r w:rsidR="000446F0">
        <w:t xml:space="preserve">mass </w:t>
      </w:r>
      <w:r w:rsidR="008F59BF">
        <w:t>diffusivity were</w:t>
      </w:r>
      <w:r w:rsidR="00B62BA7">
        <w:t xml:space="preserve"> calculated using a correlation proposed by Chen</w:t>
      </w:r>
      <w:r w:rsidR="008F59BF">
        <w:t xml:space="preserve"> et al</w:t>
      </w:r>
      <w:r w:rsidR="00B62BA7">
        <w:t xml:space="preserve"> (1995)</w:t>
      </w:r>
      <w:r w:rsidR="00D239D9">
        <w:t xml:space="preserve"> and Menzel et al (1990),</w:t>
      </w:r>
      <w:r w:rsidR="00B62BA7">
        <w:t xml:space="preserve"> with </w:t>
      </w:r>
      <m:oMath>
        <m:sSub>
          <m:sSubPr>
            <m:ctrlPr>
              <w:rPr>
                <w:rFonts w:ascii="Cambria Math" w:hAnsi="Cambria Math"/>
                <w:i/>
              </w:rPr>
            </m:ctrlPr>
          </m:sSubPr>
          <m:e>
            <m:r>
              <w:rPr>
                <w:rFonts w:ascii="Cambria Math" w:hAnsi="Cambria Math"/>
              </w:rPr>
              <m:t>k</m:t>
            </m:r>
          </m:e>
          <m:sub>
            <m:r>
              <w:rPr>
                <w:rFonts w:ascii="Cambria Math" w:hAnsi="Cambria Math"/>
              </w:rPr>
              <m:t>L</m:t>
            </m:r>
          </m:sub>
        </m:sSub>
        <m:r>
          <w:rPr>
            <w:rFonts w:ascii="Cambria Math" w:hAnsi="Cambria Math"/>
          </w:rPr>
          <m:t>=0.1</m:t>
        </m:r>
      </m:oMath>
      <w:r w:rsidR="00B62BA7">
        <w:t xml:space="preserve"> and</w:t>
      </w:r>
      <w:r w:rsidR="002408F1">
        <w:t xml:space="preserve"> </w:t>
      </w:r>
      <m:oMath>
        <m:f>
          <m:fPr>
            <m:type m:val="lin"/>
            <m:ctrlPr>
              <w:rPr>
                <w:rFonts w:ascii="Cambria Math" w:hAnsi="Cambria Math"/>
                <w:i/>
              </w:rPr>
            </m:ctrlPr>
          </m:fPr>
          <m:num>
            <m:sSubSup>
              <m:sSubSupPr>
                <m:ctrlPr>
                  <w:rPr>
                    <w:rFonts w:ascii="Cambria Math" w:hAnsi="Cambria Math"/>
                    <w:i/>
                  </w:rPr>
                </m:ctrlPr>
              </m:sSubSupPr>
              <m:e>
                <m:r>
                  <w:rPr>
                    <w:rFonts w:ascii="Cambria Math" w:hAnsi="Cambria Math"/>
                  </w:rPr>
                  <m:t>P</m:t>
                </m:r>
              </m:e>
              <m:sub>
                <m:r>
                  <w:rPr>
                    <w:rFonts w:ascii="Cambria Math" w:hAnsi="Cambria Math"/>
                  </w:rPr>
                  <m:t>w</m:t>
                </m:r>
              </m:sub>
              <m:sup>
                <m:r>
                  <w:rPr>
                    <w:rFonts w:ascii="Cambria Math" w:hAnsi="Cambria Math"/>
                  </w:rPr>
                  <m:t>'</m:t>
                </m:r>
              </m:sup>
            </m:sSubSup>
          </m:num>
          <m:den>
            <m:sSub>
              <m:sSubPr>
                <m:ctrlPr>
                  <w:rPr>
                    <w:rFonts w:ascii="Cambria Math" w:hAnsi="Cambria Math"/>
                    <w:i/>
                  </w:rPr>
                </m:ctrlPr>
              </m:sSubPr>
              <m:e>
                <m:r>
                  <w:rPr>
                    <w:rFonts w:ascii="Cambria Math" w:hAnsi="Cambria Math"/>
                  </w:rPr>
                  <m:t>ρ</m:t>
                </m:r>
              </m:e>
              <m:sub>
                <m:r>
                  <w:rPr>
                    <w:rFonts w:ascii="Cambria Math" w:hAnsi="Cambria Math"/>
                  </w:rPr>
                  <m:t>m</m:t>
                </m:r>
              </m:sub>
            </m:sSub>
            <m:r>
              <w:rPr>
                <w:rFonts w:ascii="Cambria Math" w:hAnsi="Cambria Math"/>
              </w:rPr>
              <m:t xml:space="preserve">=1000 </m:t>
            </m:r>
            <m:f>
              <m:fPr>
                <m:type m:val="lin"/>
                <m:ctrlPr>
                  <w:rPr>
                    <w:rFonts w:ascii="Cambria Math" w:hAnsi="Cambria Math"/>
                    <w:i/>
                  </w:rPr>
                </m:ctrlPr>
              </m:fPr>
              <m:num>
                <m:sSup>
                  <m:sSupPr>
                    <m:ctrlPr>
                      <w:rPr>
                        <w:rFonts w:ascii="Cambria Math" w:hAnsi="Cambria Math"/>
                        <w:i/>
                      </w:rPr>
                    </m:ctrlPr>
                  </m:sSupPr>
                  <m:e>
                    <m:r>
                      <m:rPr>
                        <m:nor/>
                      </m:rPr>
                      <w:rPr>
                        <w:rFonts w:ascii="Cambria Math" w:hAnsi="Cambria Math"/>
                      </w:rPr>
                      <m:t>cm</m:t>
                    </m:r>
                  </m:e>
                  <m:sup>
                    <m:r>
                      <w:rPr>
                        <w:rFonts w:ascii="Cambria Math" w:hAnsi="Cambria Math"/>
                      </w:rPr>
                      <m:t>2</m:t>
                    </m:r>
                  </m:sup>
                </m:sSup>
              </m:num>
              <m:den>
                <m:sSup>
                  <m:sSupPr>
                    <m:ctrlPr>
                      <w:rPr>
                        <w:rFonts w:ascii="Cambria Math" w:hAnsi="Cambria Math"/>
                        <w:i/>
                      </w:rPr>
                    </m:ctrlPr>
                  </m:sSupPr>
                  <m:e>
                    <m:r>
                      <m:rPr>
                        <m:nor/>
                      </m:rPr>
                      <w:rPr>
                        <w:rFonts w:ascii="Cambria Math" w:hAnsi="Cambria Math"/>
                      </w:rPr>
                      <m:t>s</m:t>
                    </m:r>
                  </m:e>
                  <m:sup>
                    <m:r>
                      <w:rPr>
                        <w:rFonts w:ascii="Cambria Math" w:hAnsi="Cambria Math"/>
                      </w:rPr>
                      <m:t>2</m:t>
                    </m:r>
                  </m:sup>
                </m:sSup>
              </m:den>
            </m:f>
          </m:den>
        </m:f>
      </m:oMath>
      <w:r w:rsidR="000446F0">
        <w:t xml:space="preserve">, considering an </w:t>
      </w:r>
      <w:r w:rsidR="00D239D9">
        <w:t>homogeneous flow</w:t>
      </w:r>
      <w:r w:rsidR="000446F0">
        <w:t xml:space="preserve"> for the </w:t>
      </w:r>
      <w:r w:rsidR="00D239D9">
        <w:t>gas bubbles</w:t>
      </w:r>
      <w:r w:rsidR="008F59BF">
        <w:t>.</w:t>
      </w:r>
      <w:r w:rsidR="00CE6B1B">
        <w:t xml:space="preserve"> The </w:t>
      </w:r>
      <w:r w:rsidR="000446F0">
        <w:t xml:space="preserve">drag </w:t>
      </w:r>
      <w:r w:rsidR="00CE6B1B">
        <w:t xml:space="preserve">force between phases was calculated using </w:t>
      </w:r>
      <m:oMath>
        <m:sSub>
          <m:sSubPr>
            <m:ctrlPr>
              <w:rPr>
                <w:rFonts w:ascii="Cambria Math" w:hAnsi="Cambria Math"/>
                <w:i/>
              </w:rPr>
            </m:ctrlPr>
          </m:sSubPr>
          <m:e>
            <m:r>
              <w:rPr>
                <w:rFonts w:ascii="Cambria Math" w:hAnsi="Cambria Math"/>
              </w:rPr>
              <m:t>C</m:t>
            </m:r>
          </m:e>
          <m:sub>
            <m:r>
              <w:rPr>
                <w:rFonts w:ascii="Cambria Math" w:hAnsi="Cambria Math"/>
              </w:rPr>
              <m:t>D</m:t>
            </m:r>
          </m:sub>
        </m:sSub>
        <m:r>
          <w:rPr>
            <w:rFonts w:ascii="Cambria Math" w:hAnsi="Cambria Math"/>
          </w:rPr>
          <m:t xml:space="preserve">=50 </m:t>
        </m:r>
        <m:r>
          <m:rPr>
            <m:nor/>
          </m:rPr>
          <w:rPr>
            <w:rFonts w:ascii="Cambria Math" w:hAnsi="Cambria Math"/>
          </w:rPr>
          <m:t>g</m:t>
        </m:r>
        <m:r>
          <w:rPr>
            <w:rFonts w:ascii="Cambria Math" w:hAnsi="Cambria Math"/>
          </w:rPr>
          <m:t>.</m:t>
        </m:r>
        <m:sSup>
          <m:sSupPr>
            <m:ctrlPr>
              <w:rPr>
                <w:rFonts w:ascii="Cambria Math" w:hAnsi="Cambria Math"/>
                <w:i/>
              </w:rPr>
            </m:ctrlPr>
          </m:sSupPr>
          <m:e>
            <m:r>
              <m:rPr>
                <m:nor/>
              </m:rPr>
              <w:rPr>
                <w:rFonts w:ascii="Cambria Math" w:hAnsi="Cambria Math"/>
              </w:rPr>
              <m:t>cm</m:t>
            </m:r>
          </m:e>
          <m:sup>
            <m:r>
              <w:rPr>
                <w:rFonts w:ascii="Cambria Math" w:hAnsi="Cambria Math"/>
              </w:rPr>
              <m:t>-3</m:t>
            </m:r>
          </m:sup>
        </m:sSup>
        <m:r>
          <w:rPr>
            <w:rFonts w:ascii="Cambria Math" w:hAnsi="Cambria Math"/>
          </w:rPr>
          <m:t>.</m:t>
        </m:r>
        <m:sSup>
          <m:sSupPr>
            <m:ctrlPr>
              <w:rPr>
                <w:rFonts w:ascii="Cambria Math" w:hAnsi="Cambria Math"/>
                <w:i/>
              </w:rPr>
            </m:ctrlPr>
          </m:sSupPr>
          <m:e>
            <m:r>
              <m:rPr>
                <m:nor/>
              </m:rPr>
              <w:rPr>
                <w:rFonts w:ascii="Cambria Math" w:hAnsi="Cambria Math"/>
              </w:rPr>
              <m:t>s</m:t>
            </m:r>
          </m:e>
          <m:sup>
            <m:r>
              <w:rPr>
                <w:rFonts w:ascii="Cambria Math" w:hAnsi="Cambria Math"/>
              </w:rPr>
              <m:t>-1</m:t>
            </m:r>
          </m:sup>
        </m:sSup>
      </m:oMath>
      <w:r w:rsidR="00CE6B1B">
        <w:t>.</w:t>
      </w:r>
      <w:r w:rsidR="00574622">
        <w:t xml:space="preserve"> The Magnus force was calculated considering </w:t>
      </w:r>
      <m:oMath>
        <m:sSub>
          <m:sSubPr>
            <m:ctrlPr>
              <w:rPr>
                <w:rFonts w:ascii="Cambria Math" w:hAnsi="Cambria Math"/>
                <w:i/>
              </w:rPr>
            </m:ctrlPr>
          </m:sSubPr>
          <m:e>
            <m:r>
              <w:rPr>
                <w:rFonts w:ascii="Cambria Math" w:hAnsi="Cambria Math"/>
              </w:rPr>
              <m:t>C</m:t>
            </m:r>
          </m:e>
          <m:sub>
            <m:r>
              <w:rPr>
                <w:rFonts w:ascii="Cambria Math" w:hAnsi="Cambria Math"/>
              </w:rPr>
              <m:t>L</m:t>
            </m:r>
          </m:sub>
        </m:sSub>
        <m:r>
          <w:rPr>
            <w:rFonts w:ascii="Cambria Math" w:hAnsi="Cambria Math"/>
          </w:rPr>
          <m:t>=-1</m:t>
        </m:r>
      </m:oMath>
      <w:r w:rsidR="00574622">
        <w:t>.</w:t>
      </w:r>
    </w:p>
    <w:p w14:paraId="494BA330" w14:textId="530662CC" w:rsidR="003C2796" w:rsidRDefault="002C7122" w:rsidP="00600535">
      <w:pPr>
        <w:pStyle w:val="CETBodytext"/>
      </w:pPr>
      <w:r>
        <w:t xml:space="preserve">This case study was solved with the variational method, using 20 intervals in the radial direction and a relaxation factor </w:t>
      </w:r>
      <m:oMath>
        <m:r>
          <w:rPr>
            <w:rFonts w:ascii="Cambria Math" w:hAnsi="Cambria Math"/>
          </w:rPr>
          <m:t>ω=0.50</m:t>
        </m:r>
      </m:oMath>
      <w:r w:rsidR="005E1266">
        <w:t xml:space="preserve"> for convergence, using GAMS and CONOPT3. It was also solve</w:t>
      </w:r>
      <w:r w:rsidR="00092E14">
        <w:t>d with the finite volume method</w:t>
      </w:r>
      <w:r w:rsidR="005E1266">
        <w:t>, using 20 intervals in the radial direction, using EXCEL.</w:t>
      </w:r>
    </w:p>
    <w:p w14:paraId="7E9A1991" w14:textId="6DE3DEA0" w:rsidR="003C2796" w:rsidRDefault="003C2796" w:rsidP="00600535">
      <w:pPr>
        <w:pStyle w:val="CETBodytext"/>
      </w:pPr>
      <w:r>
        <w:rPr>
          <w:lang w:val="en-GB"/>
        </w:rPr>
        <w:t>Nonlinear optimization problems usually are sensitive to initial estimates in some variables, so in order to compare the two methods, the liquid and gas hold-ups in the variational method were fixed using the same values of hold-ups found in the finite volume method.</w:t>
      </w:r>
    </w:p>
    <w:p w14:paraId="4698D0B8" w14:textId="16B97EB2" w:rsidR="004D7496" w:rsidRPr="00111043" w:rsidRDefault="00541AC8" w:rsidP="00600535">
      <w:pPr>
        <w:pStyle w:val="CETBodytext"/>
      </w:pPr>
      <w:r>
        <w:rPr>
          <w:lang w:val="en-GB"/>
        </w:rPr>
        <w:t>Results are presented in Table 2, where the 2</w:t>
      </w:r>
      <w:r w:rsidRPr="00541AC8">
        <w:rPr>
          <w:vertAlign w:val="superscript"/>
          <w:lang w:val="en-GB"/>
        </w:rPr>
        <w:t>nd</w:t>
      </w:r>
      <w:r>
        <w:rPr>
          <w:lang w:val="en-GB"/>
        </w:rPr>
        <w:t xml:space="preserve"> through 6</w:t>
      </w:r>
      <w:r w:rsidRPr="00541AC8">
        <w:rPr>
          <w:vertAlign w:val="superscript"/>
          <w:lang w:val="en-GB"/>
        </w:rPr>
        <w:t>th</w:t>
      </w:r>
      <w:r>
        <w:rPr>
          <w:lang w:val="en-GB"/>
        </w:rPr>
        <w:t xml:space="preserve"> columns refer to the numerical solution using the finite volume method, while the 7</w:t>
      </w:r>
      <w:r w:rsidRPr="00541AC8">
        <w:rPr>
          <w:vertAlign w:val="superscript"/>
          <w:lang w:val="en-GB"/>
        </w:rPr>
        <w:t>th</w:t>
      </w:r>
      <w:r>
        <w:rPr>
          <w:lang w:val="en-GB"/>
        </w:rPr>
        <w:t xml:space="preserve"> and 8</w:t>
      </w:r>
      <w:r w:rsidRPr="00541AC8">
        <w:rPr>
          <w:vertAlign w:val="superscript"/>
          <w:lang w:val="en-GB"/>
        </w:rPr>
        <w:t>th</w:t>
      </w:r>
      <w:r>
        <w:rPr>
          <w:lang w:val="en-GB"/>
        </w:rPr>
        <w:t xml:space="preserve"> columns refer to the numerical solution using the variational method.</w:t>
      </w:r>
      <w:r w:rsidR="00111043">
        <w:t xml:space="preserve"> </w:t>
      </w:r>
      <w:r w:rsidR="00B57D1C">
        <w:rPr>
          <w:lang w:val="en-GB"/>
        </w:rPr>
        <w:t>The recirculation pattern for the liquid phase is easily visible, were the liquid axial velocity is negative next to the column wal</w:t>
      </w:r>
      <w:r w:rsidR="00094C21">
        <w:rPr>
          <w:lang w:val="en-GB"/>
        </w:rPr>
        <w:t>l, indicating a descendent flow, and positive in the middle of the column.</w:t>
      </w:r>
      <w:r w:rsidR="00092E14">
        <w:rPr>
          <w:lang w:val="en-GB"/>
        </w:rPr>
        <w:t xml:space="preserve"> This recirculation pattern in the liquid phase is a phenomenon that is observed experimentally in two phase</w:t>
      </w:r>
      <w:r w:rsidR="00B0260E">
        <w:rPr>
          <w:lang w:val="en-GB"/>
        </w:rPr>
        <w:t>s</w:t>
      </w:r>
      <w:r w:rsidR="00092E14">
        <w:rPr>
          <w:lang w:val="en-GB"/>
        </w:rPr>
        <w:t xml:space="preserve"> flow (Chen et al, 1995; Menzel et al, 1990).</w:t>
      </w:r>
    </w:p>
    <w:p w14:paraId="40DB89F7" w14:textId="4E220C80" w:rsidR="00B4617B" w:rsidRPr="00106911" w:rsidRDefault="00B4617B" w:rsidP="00B4617B">
      <w:pPr>
        <w:pStyle w:val="CET-table-title"/>
      </w:pPr>
      <w:bookmarkStart w:id="1" w:name="_Ref390095074"/>
      <w:bookmarkStart w:id="2" w:name="_Toc404779856"/>
      <w:r w:rsidRPr="00D75460">
        <w:lastRenderedPageBreak/>
        <w:t>Table</w:t>
      </w:r>
      <w:bookmarkEnd w:id="1"/>
      <w:r w:rsidR="00F02DEA">
        <w:t xml:space="preserve"> 2</w:t>
      </w:r>
      <w:r>
        <w:t>:</w:t>
      </w:r>
      <w:r w:rsidRPr="00D75460">
        <w:t xml:space="preserve"> </w:t>
      </w:r>
      <w:r w:rsidRPr="00106911">
        <w:t xml:space="preserve">Comparison between </w:t>
      </w:r>
      <w:bookmarkEnd w:id="2"/>
      <w:r>
        <w:t>finite volume and variational methods (all units in CGS).</w:t>
      </w:r>
    </w:p>
    <w:tbl>
      <w:tblPr>
        <w:tblW w:w="8307" w:type="dxa"/>
        <w:tblInd w:w="55" w:type="dxa"/>
        <w:tblCellMar>
          <w:left w:w="70" w:type="dxa"/>
          <w:right w:w="70" w:type="dxa"/>
        </w:tblCellMar>
        <w:tblLook w:val="04A0" w:firstRow="1" w:lastRow="0" w:firstColumn="1" w:lastColumn="0" w:noHBand="0" w:noVBand="1"/>
      </w:tblPr>
      <w:tblGrid>
        <w:gridCol w:w="569"/>
        <w:gridCol w:w="936"/>
        <w:gridCol w:w="1180"/>
        <w:gridCol w:w="1180"/>
        <w:gridCol w:w="1180"/>
        <w:gridCol w:w="1180"/>
        <w:gridCol w:w="1041"/>
        <w:gridCol w:w="1041"/>
      </w:tblGrid>
      <w:tr w:rsidR="00B4617B" w:rsidRPr="007E5F3F" w14:paraId="7E1368C3" w14:textId="77777777" w:rsidTr="007A0E4B">
        <w:trPr>
          <w:trHeight w:val="284"/>
        </w:trPr>
        <w:tc>
          <w:tcPr>
            <w:tcW w:w="569" w:type="dxa"/>
            <w:tcBorders>
              <w:top w:val="single" w:sz="12" w:space="0" w:color="008000"/>
              <w:left w:val="nil"/>
              <w:bottom w:val="single" w:sz="4" w:space="0" w:color="008000"/>
              <w:right w:val="nil"/>
            </w:tcBorders>
            <w:shd w:val="clear" w:color="auto" w:fill="auto"/>
            <w:noWrap/>
            <w:hideMark/>
          </w:tcPr>
          <w:p w14:paraId="4148A558" w14:textId="77777777" w:rsidR="00B4617B" w:rsidRPr="007E5F3F" w:rsidRDefault="00B4617B" w:rsidP="00CF14EA">
            <w:pPr>
              <w:pStyle w:val="CETBodytext"/>
              <w:jc w:val="right"/>
              <w:rPr>
                <w:rFonts w:cs="Arial"/>
                <w:lang w:val="en-GB"/>
              </w:rPr>
            </w:pPr>
            <w:r>
              <w:rPr>
                <w:i/>
                <w:lang w:val="en-GB"/>
              </w:rPr>
              <w:t xml:space="preserve"> </w:t>
            </w:r>
            <m:oMath>
              <m:r>
                <w:rPr>
                  <w:rFonts w:ascii="Cambria Math" w:hAnsi="Cambria Math" w:cs="Arial"/>
                  <w:lang w:val="en-GB"/>
                </w:rPr>
                <m:t>r</m:t>
              </m:r>
            </m:oMath>
          </w:p>
        </w:tc>
        <w:tc>
          <w:tcPr>
            <w:tcW w:w="936" w:type="dxa"/>
            <w:tcBorders>
              <w:top w:val="single" w:sz="12" w:space="0" w:color="008000"/>
              <w:left w:val="nil"/>
              <w:bottom w:val="single" w:sz="4" w:space="0" w:color="008000"/>
              <w:right w:val="nil"/>
            </w:tcBorders>
            <w:shd w:val="clear" w:color="auto" w:fill="auto"/>
            <w:noWrap/>
            <w:hideMark/>
          </w:tcPr>
          <w:p w14:paraId="1AFBE7EE" w14:textId="77777777" w:rsidR="00B4617B" w:rsidRPr="007E5F3F" w:rsidRDefault="00B4617B" w:rsidP="00CF14EA">
            <w:pPr>
              <w:pStyle w:val="CETBodytext"/>
              <w:jc w:val="right"/>
              <w:rPr>
                <w:rFonts w:cs="Arial"/>
                <w:lang w:val="en-GB"/>
              </w:rPr>
            </w:pPr>
            <w:r>
              <w:rPr>
                <w:rFonts w:cs="Arial"/>
                <w:lang w:val="en-GB"/>
              </w:rPr>
              <w:t xml:space="preserve"> </w:t>
            </w:r>
            <m:oMath>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z,l</m:t>
                  </m:r>
                </m:sub>
              </m:sSub>
            </m:oMath>
          </w:p>
        </w:tc>
        <w:tc>
          <w:tcPr>
            <w:tcW w:w="1180" w:type="dxa"/>
            <w:tcBorders>
              <w:top w:val="single" w:sz="12" w:space="0" w:color="008000"/>
              <w:left w:val="nil"/>
              <w:bottom w:val="single" w:sz="4" w:space="0" w:color="008000"/>
              <w:right w:val="nil"/>
            </w:tcBorders>
            <w:shd w:val="clear" w:color="auto" w:fill="auto"/>
            <w:noWrap/>
            <w:hideMark/>
          </w:tcPr>
          <w:p w14:paraId="4CFD4976" w14:textId="77777777" w:rsidR="00B4617B" w:rsidRPr="007E5F3F" w:rsidRDefault="00B4617B" w:rsidP="00CF14EA">
            <w:pPr>
              <w:pStyle w:val="CETBodytext"/>
              <w:jc w:val="right"/>
              <w:rPr>
                <w:rFonts w:cs="Arial"/>
                <w:lang w:val="en-GB"/>
              </w:rPr>
            </w:pPr>
            <w:r>
              <w:rPr>
                <w:rFonts w:cs="Arial"/>
                <w:lang w:val="en-GB"/>
              </w:rPr>
              <w:t xml:space="preserve"> </w:t>
            </w:r>
            <m:oMath>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z,g</m:t>
                  </m:r>
                </m:sub>
              </m:sSub>
            </m:oMath>
          </w:p>
        </w:tc>
        <w:tc>
          <w:tcPr>
            <w:tcW w:w="1180" w:type="dxa"/>
            <w:tcBorders>
              <w:top w:val="single" w:sz="12" w:space="0" w:color="008000"/>
              <w:left w:val="nil"/>
              <w:bottom w:val="single" w:sz="4" w:space="0" w:color="008000"/>
              <w:right w:val="nil"/>
            </w:tcBorders>
            <w:shd w:val="clear" w:color="auto" w:fill="auto"/>
            <w:noWrap/>
            <w:hideMark/>
          </w:tcPr>
          <w:p w14:paraId="2BF80FF5" w14:textId="77777777" w:rsidR="00B4617B" w:rsidRPr="007E5F3F" w:rsidRDefault="00B4617B" w:rsidP="00CF14EA">
            <w:pPr>
              <w:pStyle w:val="CETBodytext"/>
              <w:jc w:val="right"/>
              <w:rPr>
                <w:rFonts w:cs="Arial"/>
                <w:lang w:val="en-GB"/>
              </w:rPr>
            </w:pPr>
            <w:r>
              <w:rPr>
                <w:rFonts w:cs="Arial"/>
                <w:lang w:val="en-GB"/>
              </w:rPr>
              <w:t xml:space="preserve"> </w:t>
            </w:r>
            <m:oMath>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r,l</m:t>
                  </m:r>
                </m:sub>
              </m:sSub>
            </m:oMath>
          </w:p>
        </w:tc>
        <w:tc>
          <w:tcPr>
            <w:tcW w:w="1180" w:type="dxa"/>
            <w:tcBorders>
              <w:top w:val="single" w:sz="12" w:space="0" w:color="008000"/>
              <w:left w:val="nil"/>
              <w:bottom w:val="single" w:sz="4" w:space="0" w:color="008000"/>
              <w:right w:val="nil"/>
            </w:tcBorders>
            <w:shd w:val="clear" w:color="auto" w:fill="auto"/>
            <w:noWrap/>
            <w:hideMark/>
          </w:tcPr>
          <w:p w14:paraId="6688E68B" w14:textId="77777777" w:rsidR="00B4617B" w:rsidRPr="007E5F3F" w:rsidRDefault="00B4617B" w:rsidP="00CF14EA">
            <w:pPr>
              <w:pStyle w:val="CETBodytext"/>
              <w:jc w:val="right"/>
              <w:rPr>
                <w:rFonts w:cs="Arial"/>
                <w:lang w:val="en-GB"/>
              </w:rPr>
            </w:pPr>
            <w:r>
              <w:rPr>
                <w:rFonts w:cs="Arial"/>
                <w:lang w:val="en-GB"/>
              </w:rPr>
              <w:t xml:space="preserve"> </w:t>
            </w:r>
            <m:oMath>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r,g</m:t>
                  </m:r>
                </m:sub>
              </m:sSub>
            </m:oMath>
          </w:p>
        </w:tc>
        <w:tc>
          <w:tcPr>
            <w:tcW w:w="1180" w:type="dxa"/>
            <w:tcBorders>
              <w:top w:val="single" w:sz="12" w:space="0" w:color="008000"/>
              <w:left w:val="nil"/>
              <w:bottom w:val="single" w:sz="4" w:space="0" w:color="008000"/>
              <w:right w:val="nil"/>
            </w:tcBorders>
            <w:shd w:val="clear" w:color="auto" w:fill="auto"/>
            <w:noWrap/>
            <w:hideMark/>
          </w:tcPr>
          <w:p w14:paraId="2D0159B5" w14:textId="77777777" w:rsidR="00B4617B" w:rsidRPr="007E5F3F" w:rsidRDefault="00B4617B" w:rsidP="00CF14EA">
            <w:pPr>
              <w:pStyle w:val="CETBodytext"/>
              <w:jc w:val="right"/>
              <w:rPr>
                <w:rFonts w:cs="Arial"/>
                <w:lang w:val="en-GB"/>
              </w:rPr>
            </w:pPr>
            <w:r>
              <w:rPr>
                <w:rFonts w:cs="Arial"/>
                <w:lang w:val="en-GB"/>
              </w:rPr>
              <w:t xml:space="preserve"> </w:t>
            </w:r>
            <m:oMath>
              <m:sSub>
                <m:sSubPr>
                  <m:ctrlPr>
                    <w:rPr>
                      <w:rFonts w:ascii="Cambria Math" w:hAnsi="Cambria Math" w:cs="Arial"/>
                      <w:i/>
                      <w:lang w:val="en-GB"/>
                    </w:rPr>
                  </m:ctrlPr>
                </m:sSubPr>
                <m:e>
                  <m:r>
                    <w:rPr>
                      <w:rFonts w:ascii="Cambria Math" w:hAnsi="Cambria Math" w:cs="Arial"/>
                      <w:lang w:val="en-GB"/>
                    </w:rPr>
                    <m:t>ε</m:t>
                  </m:r>
                </m:e>
                <m:sub>
                  <m:r>
                    <w:rPr>
                      <w:rFonts w:ascii="Cambria Math" w:hAnsi="Cambria Math" w:cs="Arial"/>
                      <w:lang w:val="en-GB"/>
                    </w:rPr>
                    <m:t>l</m:t>
                  </m:r>
                </m:sub>
              </m:sSub>
            </m:oMath>
          </w:p>
        </w:tc>
        <w:tc>
          <w:tcPr>
            <w:tcW w:w="1041" w:type="dxa"/>
            <w:tcBorders>
              <w:top w:val="single" w:sz="12" w:space="0" w:color="008000"/>
              <w:left w:val="nil"/>
              <w:bottom w:val="single" w:sz="4" w:space="0" w:color="008000"/>
              <w:right w:val="nil"/>
            </w:tcBorders>
          </w:tcPr>
          <w:p w14:paraId="27DB4E38" w14:textId="77777777" w:rsidR="00B4617B" w:rsidRPr="007E5F3F" w:rsidRDefault="00B4617B" w:rsidP="00CF14EA">
            <w:pPr>
              <w:pStyle w:val="CETBodytext"/>
              <w:jc w:val="right"/>
              <w:rPr>
                <w:rFonts w:cs="Arial"/>
                <w:lang w:val="en-GB"/>
              </w:rPr>
            </w:pPr>
            <w:r>
              <w:rPr>
                <w:rFonts w:cs="Arial"/>
                <w:lang w:val="en-GB"/>
              </w:rPr>
              <w:t xml:space="preserve"> </w:t>
            </w:r>
            <m:oMath>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z,l</m:t>
                  </m:r>
                </m:sub>
              </m:sSub>
            </m:oMath>
          </w:p>
        </w:tc>
        <w:tc>
          <w:tcPr>
            <w:tcW w:w="1041" w:type="dxa"/>
            <w:tcBorders>
              <w:top w:val="single" w:sz="12" w:space="0" w:color="008000"/>
              <w:left w:val="nil"/>
              <w:bottom w:val="single" w:sz="4" w:space="0" w:color="008000"/>
              <w:right w:val="nil"/>
            </w:tcBorders>
          </w:tcPr>
          <w:p w14:paraId="23548F8A" w14:textId="77777777" w:rsidR="00B4617B" w:rsidRPr="007E5F3F" w:rsidRDefault="00B4617B" w:rsidP="00CF14EA">
            <w:pPr>
              <w:pStyle w:val="CETBodytext"/>
              <w:jc w:val="right"/>
              <w:rPr>
                <w:rFonts w:cs="Arial"/>
                <w:lang w:val="en-GB"/>
              </w:rPr>
            </w:pPr>
            <w:r>
              <w:rPr>
                <w:rFonts w:cs="Arial"/>
                <w:lang w:val="en-GB"/>
              </w:rPr>
              <w:t xml:space="preserve"> </w:t>
            </w:r>
            <m:oMath>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z,g</m:t>
                  </m:r>
                </m:sub>
              </m:sSub>
            </m:oMath>
          </w:p>
        </w:tc>
      </w:tr>
      <w:tr w:rsidR="00B4617B" w:rsidRPr="006A4F51" w14:paraId="72CB378B" w14:textId="77777777" w:rsidTr="007A0E4B">
        <w:trPr>
          <w:trHeight w:val="284"/>
        </w:trPr>
        <w:tc>
          <w:tcPr>
            <w:tcW w:w="569" w:type="dxa"/>
            <w:tcBorders>
              <w:top w:val="nil"/>
              <w:left w:val="nil"/>
              <w:bottom w:val="nil"/>
              <w:right w:val="nil"/>
            </w:tcBorders>
            <w:shd w:val="clear" w:color="auto" w:fill="auto"/>
            <w:noWrap/>
            <w:hideMark/>
          </w:tcPr>
          <w:p w14:paraId="49A6F38E" w14:textId="77777777" w:rsidR="00B4617B" w:rsidRPr="006A4F51" w:rsidRDefault="00B4617B" w:rsidP="00CF14EA">
            <w:pPr>
              <w:pStyle w:val="CETBodytext"/>
              <w:jc w:val="right"/>
              <w:rPr>
                <w:lang w:val="en-GB"/>
              </w:rPr>
            </w:pPr>
            <w:r>
              <w:rPr>
                <w:lang w:val="en-GB"/>
              </w:rPr>
              <w:t>0.0</w:t>
            </w:r>
          </w:p>
        </w:tc>
        <w:tc>
          <w:tcPr>
            <w:tcW w:w="936" w:type="dxa"/>
            <w:tcBorders>
              <w:top w:val="nil"/>
              <w:left w:val="nil"/>
              <w:bottom w:val="nil"/>
              <w:right w:val="nil"/>
            </w:tcBorders>
            <w:shd w:val="clear" w:color="auto" w:fill="auto"/>
            <w:noWrap/>
            <w:hideMark/>
          </w:tcPr>
          <w:p w14:paraId="24DA6C06" w14:textId="77777777" w:rsidR="00B4617B" w:rsidRPr="006A4F51" w:rsidRDefault="00B4617B" w:rsidP="00CF14EA">
            <w:pPr>
              <w:pStyle w:val="CETBodytext"/>
              <w:jc w:val="right"/>
              <w:rPr>
                <w:lang w:val="en-GB"/>
              </w:rPr>
            </w:pPr>
            <w:r>
              <w:rPr>
                <w:lang w:val="en-GB"/>
              </w:rPr>
              <w:t>2.207</w:t>
            </w:r>
          </w:p>
        </w:tc>
        <w:tc>
          <w:tcPr>
            <w:tcW w:w="1180" w:type="dxa"/>
            <w:tcBorders>
              <w:top w:val="nil"/>
              <w:left w:val="nil"/>
              <w:bottom w:val="nil"/>
              <w:right w:val="nil"/>
            </w:tcBorders>
            <w:shd w:val="clear" w:color="auto" w:fill="auto"/>
            <w:noWrap/>
            <w:hideMark/>
          </w:tcPr>
          <w:p w14:paraId="6A6EE90F" w14:textId="77777777" w:rsidR="00B4617B" w:rsidRPr="006A4F51" w:rsidRDefault="00B4617B" w:rsidP="00CF14EA">
            <w:pPr>
              <w:pStyle w:val="CETBodytext"/>
              <w:jc w:val="right"/>
              <w:rPr>
                <w:lang w:val="en-GB"/>
              </w:rPr>
            </w:pPr>
            <w:r>
              <w:rPr>
                <w:lang w:val="en-GB"/>
              </w:rPr>
              <w:t>15.957</w:t>
            </w:r>
          </w:p>
        </w:tc>
        <w:tc>
          <w:tcPr>
            <w:tcW w:w="1180" w:type="dxa"/>
            <w:tcBorders>
              <w:top w:val="nil"/>
              <w:left w:val="nil"/>
              <w:bottom w:val="nil"/>
              <w:right w:val="nil"/>
            </w:tcBorders>
            <w:shd w:val="clear" w:color="auto" w:fill="auto"/>
            <w:noWrap/>
            <w:hideMark/>
          </w:tcPr>
          <w:p w14:paraId="3BEFDE35" w14:textId="77777777" w:rsidR="00B4617B" w:rsidRPr="006A4F51" w:rsidRDefault="00B4617B" w:rsidP="00CF14EA">
            <w:pPr>
              <w:pStyle w:val="CETBodytext"/>
              <w:jc w:val="right"/>
              <w:rPr>
                <w:lang w:val="en-GB"/>
              </w:rPr>
            </w:pPr>
            <w:r>
              <w:rPr>
                <w:lang w:val="en-GB"/>
              </w:rPr>
              <w:t>0.00000</w:t>
            </w:r>
          </w:p>
        </w:tc>
        <w:tc>
          <w:tcPr>
            <w:tcW w:w="1180" w:type="dxa"/>
            <w:tcBorders>
              <w:top w:val="nil"/>
              <w:left w:val="nil"/>
              <w:bottom w:val="nil"/>
              <w:right w:val="nil"/>
            </w:tcBorders>
            <w:shd w:val="clear" w:color="auto" w:fill="auto"/>
            <w:noWrap/>
            <w:hideMark/>
          </w:tcPr>
          <w:p w14:paraId="7C2C7775" w14:textId="77777777" w:rsidR="00B4617B" w:rsidRPr="006A4F51" w:rsidRDefault="00B4617B" w:rsidP="00CF14EA">
            <w:pPr>
              <w:pStyle w:val="CETBodytext"/>
              <w:jc w:val="right"/>
              <w:rPr>
                <w:lang w:val="en-GB"/>
              </w:rPr>
            </w:pPr>
            <w:r>
              <w:rPr>
                <w:lang w:val="en-GB"/>
              </w:rPr>
              <w:t>0.00000</w:t>
            </w:r>
          </w:p>
        </w:tc>
        <w:tc>
          <w:tcPr>
            <w:tcW w:w="1180" w:type="dxa"/>
            <w:tcBorders>
              <w:top w:val="nil"/>
              <w:left w:val="nil"/>
              <w:bottom w:val="nil"/>
              <w:right w:val="nil"/>
            </w:tcBorders>
            <w:shd w:val="clear" w:color="auto" w:fill="auto"/>
            <w:noWrap/>
            <w:hideMark/>
          </w:tcPr>
          <w:p w14:paraId="50EFCC66" w14:textId="77777777" w:rsidR="00B4617B" w:rsidRPr="006A4F51" w:rsidRDefault="00B4617B" w:rsidP="00CF14EA">
            <w:pPr>
              <w:pStyle w:val="CETBodytext"/>
              <w:jc w:val="right"/>
              <w:rPr>
                <w:lang w:val="en-GB"/>
              </w:rPr>
            </w:pPr>
            <w:r w:rsidRPr="006A4F51">
              <w:rPr>
                <w:lang w:val="en-GB"/>
              </w:rPr>
              <w:t>0</w:t>
            </w:r>
            <w:r>
              <w:rPr>
                <w:lang w:val="en-GB"/>
              </w:rPr>
              <w:t>.7783</w:t>
            </w:r>
          </w:p>
        </w:tc>
        <w:tc>
          <w:tcPr>
            <w:tcW w:w="1041" w:type="dxa"/>
            <w:tcBorders>
              <w:top w:val="nil"/>
              <w:left w:val="nil"/>
              <w:bottom w:val="nil"/>
              <w:right w:val="nil"/>
            </w:tcBorders>
          </w:tcPr>
          <w:p w14:paraId="1A813980" w14:textId="77777777" w:rsidR="00B4617B" w:rsidRPr="006A4F51" w:rsidRDefault="00B4617B" w:rsidP="00CF14EA">
            <w:pPr>
              <w:pStyle w:val="CETBodytext"/>
              <w:jc w:val="right"/>
              <w:rPr>
                <w:lang w:val="en-GB"/>
              </w:rPr>
            </w:pPr>
            <w:r>
              <w:rPr>
                <w:lang w:val="en-GB"/>
              </w:rPr>
              <w:t>2.427</w:t>
            </w:r>
          </w:p>
        </w:tc>
        <w:tc>
          <w:tcPr>
            <w:tcW w:w="1041" w:type="dxa"/>
            <w:tcBorders>
              <w:top w:val="nil"/>
              <w:left w:val="nil"/>
              <w:bottom w:val="nil"/>
              <w:right w:val="nil"/>
            </w:tcBorders>
          </w:tcPr>
          <w:p w14:paraId="6A87B22C" w14:textId="77777777" w:rsidR="00B4617B" w:rsidRPr="006A4F51" w:rsidRDefault="00B4617B" w:rsidP="00CF14EA">
            <w:pPr>
              <w:pStyle w:val="CETBodytext"/>
              <w:jc w:val="right"/>
              <w:rPr>
                <w:lang w:val="en-GB"/>
              </w:rPr>
            </w:pPr>
            <w:r>
              <w:rPr>
                <w:lang w:val="en-GB"/>
              </w:rPr>
              <w:t>16.177</w:t>
            </w:r>
          </w:p>
        </w:tc>
      </w:tr>
      <w:tr w:rsidR="00B4617B" w:rsidRPr="006A4F51" w14:paraId="2DE37AC3" w14:textId="77777777" w:rsidTr="007A0E4B">
        <w:trPr>
          <w:trHeight w:val="284"/>
        </w:trPr>
        <w:tc>
          <w:tcPr>
            <w:tcW w:w="569" w:type="dxa"/>
            <w:tcBorders>
              <w:top w:val="nil"/>
              <w:left w:val="nil"/>
              <w:bottom w:val="nil"/>
              <w:right w:val="nil"/>
            </w:tcBorders>
            <w:shd w:val="clear" w:color="auto" w:fill="auto"/>
            <w:noWrap/>
            <w:hideMark/>
          </w:tcPr>
          <w:p w14:paraId="791ECF78" w14:textId="77777777" w:rsidR="00B4617B" w:rsidRPr="006A4F51" w:rsidRDefault="00B4617B" w:rsidP="00CF14EA">
            <w:pPr>
              <w:pStyle w:val="CETBodytext"/>
              <w:jc w:val="right"/>
              <w:rPr>
                <w:lang w:val="en-GB"/>
              </w:rPr>
            </w:pPr>
            <w:r>
              <w:rPr>
                <w:lang w:val="en-GB"/>
              </w:rPr>
              <w:t>1.5</w:t>
            </w:r>
          </w:p>
        </w:tc>
        <w:tc>
          <w:tcPr>
            <w:tcW w:w="936" w:type="dxa"/>
            <w:tcBorders>
              <w:top w:val="nil"/>
              <w:left w:val="nil"/>
              <w:bottom w:val="nil"/>
              <w:right w:val="nil"/>
            </w:tcBorders>
            <w:shd w:val="clear" w:color="auto" w:fill="auto"/>
            <w:noWrap/>
            <w:hideMark/>
          </w:tcPr>
          <w:p w14:paraId="2E0A3817" w14:textId="77777777" w:rsidR="00B4617B" w:rsidRPr="006A4F51" w:rsidRDefault="00B4617B" w:rsidP="00CF14EA">
            <w:pPr>
              <w:pStyle w:val="CETBodytext"/>
              <w:jc w:val="right"/>
              <w:rPr>
                <w:lang w:val="en-GB"/>
              </w:rPr>
            </w:pPr>
            <w:r>
              <w:rPr>
                <w:lang w:val="en-GB"/>
              </w:rPr>
              <w:t>2.185</w:t>
            </w:r>
          </w:p>
        </w:tc>
        <w:tc>
          <w:tcPr>
            <w:tcW w:w="1180" w:type="dxa"/>
            <w:tcBorders>
              <w:top w:val="nil"/>
              <w:left w:val="nil"/>
              <w:bottom w:val="nil"/>
              <w:right w:val="nil"/>
            </w:tcBorders>
            <w:shd w:val="clear" w:color="auto" w:fill="auto"/>
            <w:noWrap/>
            <w:hideMark/>
          </w:tcPr>
          <w:p w14:paraId="591689D2" w14:textId="77777777" w:rsidR="00B4617B" w:rsidRPr="006A4F51" w:rsidRDefault="00B4617B" w:rsidP="00CF14EA">
            <w:pPr>
              <w:pStyle w:val="CETBodytext"/>
              <w:jc w:val="right"/>
              <w:rPr>
                <w:lang w:val="en-GB"/>
              </w:rPr>
            </w:pPr>
            <w:r>
              <w:rPr>
                <w:lang w:val="en-GB"/>
              </w:rPr>
              <w:t>15.935</w:t>
            </w:r>
          </w:p>
        </w:tc>
        <w:tc>
          <w:tcPr>
            <w:tcW w:w="1180" w:type="dxa"/>
            <w:tcBorders>
              <w:top w:val="nil"/>
              <w:left w:val="nil"/>
              <w:bottom w:val="nil"/>
              <w:right w:val="nil"/>
            </w:tcBorders>
            <w:shd w:val="clear" w:color="auto" w:fill="auto"/>
            <w:noWrap/>
            <w:hideMark/>
          </w:tcPr>
          <w:p w14:paraId="50B2115C" w14:textId="77777777" w:rsidR="00B4617B" w:rsidRPr="006A4F51" w:rsidRDefault="00B4617B" w:rsidP="00CF14EA">
            <w:pPr>
              <w:pStyle w:val="CETBodytext"/>
              <w:jc w:val="right"/>
              <w:rPr>
                <w:lang w:val="en-GB"/>
              </w:rPr>
            </w:pPr>
            <w:r>
              <w:rPr>
                <w:lang w:val="en-GB"/>
              </w:rPr>
              <w:t>0.00018</w:t>
            </w:r>
          </w:p>
        </w:tc>
        <w:tc>
          <w:tcPr>
            <w:tcW w:w="1180" w:type="dxa"/>
            <w:tcBorders>
              <w:top w:val="nil"/>
              <w:left w:val="nil"/>
              <w:bottom w:val="nil"/>
              <w:right w:val="nil"/>
            </w:tcBorders>
            <w:shd w:val="clear" w:color="auto" w:fill="auto"/>
            <w:noWrap/>
            <w:hideMark/>
          </w:tcPr>
          <w:p w14:paraId="5A50C89E" w14:textId="77777777" w:rsidR="00B4617B" w:rsidRPr="006A4F51" w:rsidRDefault="00B4617B" w:rsidP="00CF14EA">
            <w:pPr>
              <w:pStyle w:val="CETBodytext"/>
              <w:jc w:val="right"/>
              <w:rPr>
                <w:lang w:val="en-GB"/>
              </w:rPr>
            </w:pPr>
            <w:r>
              <w:rPr>
                <w:lang w:val="en-GB"/>
              </w:rPr>
              <w:t>-0.00062</w:t>
            </w:r>
          </w:p>
        </w:tc>
        <w:tc>
          <w:tcPr>
            <w:tcW w:w="1180" w:type="dxa"/>
            <w:tcBorders>
              <w:top w:val="nil"/>
              <w:left w:val="nil"/>
              <w:bottom w:val="nil"/>
              <w:right w:val="nil"/>
            </w:tcBorders>
            <w:shd w:val="clear" w:color="auto" w:fill="auto"/>
            <w:noWrap/>
            <w:hideMark/>
          </w:tcPr>
          <w:p w14:paraId="682D3933" w14:textId="77777777" w:rsidR="00B4617B" w:rsidRPr="006A4F51" w:rsidRDefault="00B4617B" w:rsidP="00CF14EA">
            <w:pPr>
              <w:pStyle w:val="CETBodytext"/>
              <w:jc w:val="right"/>
              <w:rPr>
                <w:lang w:val="en-GB"/>
              </w:rPr>
            </w:pPr>
            <w:r w:rsidRPr="006A4F51">
              <w:rPr>
                <w:lang w:val="en-GB"/>
              </w:rPr>
              <w:t>0</w:t>
            </w:r>
            <w:r>
              <w:rPr>
                <w:lang w:val="en-GB"/>
              </w:rPr>
              <w:t>.7783</w:t>
            </w:r>
          </w:p>
        </w:tc>
        <w:tc>
          <w:tcPr>
            <w:tcW w:w="1041" w:type="dxa"/>
            <w:tcBorders>
              <w:top w:val="nil"/>
              <w:left w:val="nil"/>
              <w:bottom w:val="nil"/>
              <w:right w:val="nil"/>
            </w:tcBorders>
          </w:tcPr>
          <w:p w14:paraId="29F857A2" w14:textId="77777777" w:rsidR="00B4617B" w:rsidRPr="006A4F51" w:rsidRDefault="00B4617B" w:rsidP="00CF14EA">
            <w:pPr>
              <w:pStyle w:val="CETBodytext"/>
              <w:jc w:val="right"/>
              <w:rPr>
                <w:lang w:val="en-GB"/>
              </w:rPr>
            </w:pPr>
            <w:r>
              <w:rPr>
                <w:lang w:val="en-GB"/>
              </w:rPr>
              <w:t>2.401</w:t>
            </w:r>
          </w:p>
        </w:tc>
        <w:tc>
          <w:tcPr>
            <w:tcW w:w="1041" w:type="dxa"/>
            <w:tcBorders>
              <w:top w:val="nil"/>
              <w:left w:val="nil"/>
              <w:bottom w:val="nil"/>
              <w:right w:val="nil"/>
            </w:tcBorders>
          </w:tcPr>
          <w:p w14:paraId="3746B03A" w14:textId="77777777" w:rsidR="00B4617B" w:rsidRPr="006A4F51" w:rsidRDefault="00B4617B" w:rsidP="00CF14EA">
            <w:pPr>
              <w:pStyle w:val="CETBodytext"/>
              <w:jc w:val="right"/>
              <w:rPr>
                <w:lang w:val="en-GB"/>
              </w:rPr>
            </w:pPr>
            <w:r>
              <w:rPr>
                <w:lang w:val="en-GB"/>
              </w:rPr>
              <w:t>16.150</w:t>
            </w:r>
          </w:p>
        </w:tc>
      </w:tr>
      <w:tr w:rsidR="00B4617B" w:rsidRPr="006A4F51" w14:paraId="37371792" w14:textId="77777777" w:rsidTr="007A0E4B">
        <w:trPr>
          <w:trHeight w:val="284"/>
        </w:trPr>
        <w:tc>
          <w:tcPr>
            <w:tcW w:w="569" w:type="dxa"/>
            <w:tcBorders>
              <w:top w:val="nil"/>
              <w:left w:val="nil"/>
              <w:bottom w:val="nil"/>
              <w:right w:val="nil"/>
            </w:tcBorders>
            <w:shd w:val="clear" w:color="auto" w:fill="auto"/>
            <w:noWrap/>
            <w:hideMark/>
          </w:tcPr>
          <w:p w14:paraId="0AE94E94" w14:textId="77777777" w:rsidR="00B4617B" w:rsidRPr="006A4F51" w:rsidRDefault="00B4617B" w:rsidP="00CF14EA">
            <w:pPr>
              <w:pStyle w:val="CETBodytext"/>
              <w:jc w:val="right"/>
              <w:rPr>
                <w:lang w:val="en-GB"/>
              </w:rPr>
            </w:pPr>
            <w:r>
              <w:rPr>
                <w:lang w:val="en-GB"/>
              </w:rPr>
              <w:t>3.0</w:t>
            </w:r>
          </w:p>
        </w:tc>
        <w:tc>
          <w:tcPr>
            <w:tcW w:w="936" w:type="dxa"/>
            <w:tcBorders>
              <w:top w:val="nil"/>
              <w:left w:val="nil"/>
              <w:bottom w:val="nil"/>
              <w:right w:val="nil"/>
            </w:tcBorders>
            <w:shd w:val="clear" w:color="auto" w:fill="auto"/>
            <w:noWrap/>
            <w:hideMark/>
          </w:tcPr>
          <w:p w14:paraId="33783F09" w14:textId="77777777" w:rsidR="00B4617B" w:rsidRPr="006A4F51" w:rsidRDefault="00B4617B" w:rsidP="00CF14EA">
            <w:pPr>
              <w:pStyle w:val="CETBodytext"/>
              <w:jc w:val="right"/>
              <w:rPr>
                <w:lang w:val="en-GB"/>
              </w:rPr>
            </w:pPr>
            <w:r>
              <w:rPr>
                <w:lang w:val="en-GB"/>
              </w:rPr>
              <w:t>2.120</w:t>
            </w:r>
          </w:p>
        </w:tc>
        <w:tc>
          <w:tcPr>
            <w:tcW w:w="1180" w:type="dxa"/>
            <w:tcBorders>
              <w:top w:val="nil"/>
              <w:left w:val="nil"/>
              <w:bottom w:val="nil"/>
              <w:right w:val="nil"/>
            </w:tcBorders>
            <w:shd w:val="clear" w:color="auto" w:fill="auto"/>
            <w:noWrap/>
            <w:hideMark/>
          </w:tcPr>
          <w:p w14:paraId="271709BF" w14:textId="77777777" w:rsidR="00B4617B" w:rsidRPr="006A4F51" w:rsidRDefault="00B4617B" w:rsidP="00CF14EA">
            <w:pPr>
              <w:pStyle w:val="CETBodytext"/>
              <w:jc w:val="right"/>
              <w:rPr>
                <w:lang w:val="en-GB"/>
              </w:rPr>
            </w:pPr>
            <w:r w:rsidRPr="006A4F51">
              <w:rPr>
                <w:lang w:val="en-GB"/>
              </w:rPr>
              <w:t>1</w:t>
            </w:r>
            <w:r>
              <w:rPr>
                <w:lang w:val="en-GB"/>
              </w:rPr>
              <w:t>5.869</w:t>
            </w:r>
          </w:p>
        </w:tc>
        <w:tc>
          <w:tcPr>
            <w:tcW w:w="1180" w:type="dxa"/>
            <w:tcBorders>
              <w:top w:val="nil"/>
              <w:left w:val="nil"/>
              <w:bottom w:val="nil"/>
              <w:right w:val="nil"/>
            </w:tcBorders>
            <w:shd w:val="clear" w:color="auto" w:fill="auto"/>
            <w:noWrap/>
            <w:hideMark/>
          </w:tcPr>
          <w:p w14:paraId="39DDB72F" w14:textId="77777777" w:rsidR="00B4617B" w:rsidRPr="006A4F51" w:rsidRDefault="00B4617B" w:rsidP="00CF14EA">
            <w:pPr>
              <w:pStyle w:val="CETBodytext"/>
              <w:jc w:val="right"/>
              <w:rPr>
                <w:lang w:val="en-GB"/>
              </w:rPr>
            </w:pPr>
            <w:r>
              <w:rPr>
                <w:lang w:val="en-GB"/>
              </w:rPr>
              <w:t>0.00035</w:t>
            </w:r>
          </w:p>
        </w:tc>
        <w:tc>
          <w:tcPr>
            <w:tcW w:w="1180" w:type="dxa"/>
            <w:tcBorders>
              <w:top w:val="nil"/>
              <w:left w:val="nil"/>
              <w:bottom w:val="nil"/>
              <w:right w:val="nil"/>
            </w:tcBorders>
            <w:shd w:val="clear" w:color="auto" w:fill="auto"/>
            <w:noWrap/>
            <w:hideMark/>
          </w:tcPr>
          <w:p w14:paraId="09C954E7" w14:textId="77777777" w:rsidR="00B4617B" w:rsidRPr="006A4F51" w:rsidRDefault="00B4617B" w:rsidP="00CF14EA">
            <w:pPr>
              <w:pStyle w:val="CETBodytext"/>
              <w:jc w:val="right"/>
              <w:rPr>
                <w:lang w:val="en-GB"/>
              </w:rPr>
            </w:pPr>
            <w:r>
              <w:rPr>
                <w:lang w:val="en-GB"/>
              </w:rPr>
              <w:t>-0.00122</w:t>
            </w:r>
          </w:p>
        </w:tc>
        <w:tc>
          <w:tcPr>
            <w:tcW w:w="1180" w:type="dxa"/>
            <w:tcBorders>
              <w:top w:val="nil"/>
              <w:left w:val="nil"/>
              <w:bottom w:val="nil"/>
              <w:right w:val="nil"/>
            </w:tcBorders>
            <w:shd w:val="clear" w:color="auto" w:fill="auto"/>
            <w:noWrap/>
            <w:hideMark/>
          </w:tcPr>
          <w:p w14:paraId="0BCAD8B2" w14:textId="77777777" w:rsidR="00B4617B" w:rsidRPr="006A4F51" w:rsidRDefault="00B4617B" w:rsidP="00CF14EA">
            <w:pPr>
              <w:pStyle w:val="CETBodytext"/>
              <w:jc w:val="right"/>
              <w:rPr>
                <w:lang w:val="en-GB"/>
              </w:rPr>
            </w:pPr>
            <w:r w:rsidRPr="006A4F51">
              <w:rPr>
                <w:lang w:val="en-GB"/>
              </w:rPr>
              <w:t>0</w:t>
            </w:r>
            <w:r>
              <w:rPr>
                <w:lang w:val="en-GB"/>
              </w:rPr>
              <w:t>.7783</w:t>
            </w:r>
          </w:p>
        </w:tc>
        <w:tc>
          <w:tcPr>
            <w:tcW w:w="1041" w:type="dxa"/>
            <w:tcBorders>
              <w:top w:val="nil"/>
              <w:left w:val="nil"/>
              <w:bottom w:val="nil"/>
              <w:right w:val="nil"/>
            </w:tcBorders>
          </w:tcPr>
          <w:p w14:paraId="7FE7CFAB" w14:textId="77777777" w:rsidR="00B4617B" w:rsidRPr="006A4F51" w:rsidRDefault="00B4617B" w:rsidP="00CF14EA">
            <w:pPr>
              <w:pStyle w:val="CETBodytext"/>
              <w:jc w:val="right"/>
              <w:rPr>
                <w:lang w:val="en-GB"/>
              </w:rPr>
            </w:pPr>
            <w:r>
              <w:rPr>
                <w:lang w:val="en-GB"/>
              </w:rPr>
              <w:t>2.320</w:t>
            </w:r>
          </w:p>
        </w:tc>
        <w:tc>
          <w:tcPr>
            <w:tcW w:w="1041" w:type="dxa"/>
            <w:tcBorders>
              <w:top w:val="nil"/>
              <w:left w:val="nil"/>
              <w:bottom w:val="nil"/>
              <w:right w:val="nil"/>
            </w:tcBorders>
          </w:tcPr>
          <w:p w14:paraId="7B16DD5C" w14:textId="77777777" w:rsidR="00B4617B" w:rsidRPr="006A4F51" w:rsidRDefault="00B4617B" w:rsidP="00CF14EA">
            <w:pPr>
              <w:pStyle w:val="CETBodytext"/>
              <w:jc w:val="right"/>
              <w:rPr>
                <w:lang w:val="en-GB"/>
              </w:rPr>
            </w:pPr>
            <w:r>
              <w:rPr>
                <w:lang w:val="en-GB"/>
              </w:rPr>
              <w:t>16.068</w:t>
            </w:r>
          </w:p>
        </w:tc>
      </w:tr>
      <w:tr w:rsidR="00B4617B" w:rsidRPr="006A4F51" w14:paraId="12F9185D" w14:textId="77777777" w:rsidTr="007A0E4B">
        <w:trPr>
          <w:trHeight w:val="284"/>
        </w:trPr>
        <w:tc>
          <w:tcPr>
            <w:tcW w:w="569" w:type="dxa"/>
            <w:tcBorders>
              <w:top w:val="nil"/>
              <w:left w:val="nil"/>
              <w:bottom w:val="nil"/>
              <w:right w:val="nil"/>
            </w:tcBorders>
            <w:shd w:val="clear" w:color="auto" w:fill="auto"/>
            <w:noWrap/>
            <w:hideMark/>
          </w:tcPr>
          <w:p w14:paraId="57900D56" w14:textId="77777777" w:rsidR="00B4617B" w:rsidRPr="006A4F51" w:rsidRDefault="00B4617B" w:rsidP="00CF14EA">
            <w:pPr>
              <w:pStyle w:val="CETBodytext"/>
              <w:jc w:val="right"/>
              <w:rPr>
                <w:lang w:val="en-GB"/>
              </w:rPr>
            </w:pPr>
            <w:r>
              <w:rPr>
                <w:lang w:val="en-GB"/>
              </w:rPr>
              <w:t>4.5</w:t>
            </w:r>
          </w:p>
        </w:tc>
        <w:tc>
          <w:tcPr>
            <w:tcW w:w="936" w:type="dxa"/>
            <w:tcBorders>
              <w:top w:val="nil"/>
              <w:left w:val="nil"/>
              <w:bottom w:val="nil"/>
              <w:right w:val="nil"/>
            </w:tcBorders>
            <w:shd w:val="clear" w:color="auto" w:fill="auto"/>
            <w:noWrap/>
            <w:hideMark/>
          </w:tcPr>
          <w:p w14:paraId="4C5C7927" w14:textId="77777777" w:rsidR="00B4617B" w:rsidRPr="006A4F51" w:rsidRDefault="00B4617B" w:rsidP="00CF14EA">
            <w:pPr>
              <w:pStyle w:val="CETBodytext"/>
              <w:jc w:val="right"/>
              <w:rPr>
                <w:lang w:val="en-GB"/>
              </w:rPr>
            </w:pPr>
            <w:r>
              <w:rPr>
                <w:lang w:val="en-GB"/>
              </w:rPr>
              <w:t>2.013</w:t>
            </w:r>
          </w:p>
        </w:tc>
        <w:tc>
          <w:tcPr>
            <w:tcW w:w="1180" w:type="dxa"/>
            <w:tcBorders>
              <w:top w:val="nil"/>
              <w:left w:val="nil"/>
              <w:bottom w:val="nil"/>
              <w:right w:val="nil"/>
            </w:tcBorders>
            <w:shd w:val="clear" w:color="auto" w:fill="auto"/>
            <w:noWrap/>
            <w:hideMark/>
          </w:tcPr>
          <w:p w14:paraId="12A0B000" w14:textId="77777777" w:rsidR="00B4617B" w:rsidRPr="006A4F51" w:rsidRDefault="00B4617B" w:rsidP="00CF14EA">
            <w:pPr>
              <w:pStyle w:val="CETBodytext"/>
              <w:jc w:val="right"/>
              <w:rPr>
                <w:lang w:val="en-GB"/>
              </w:rPr>
            </w:pPr>
            <w:r w:rsidRPr="006A4F51">
              <w:rPr>
                <w:lang w:val="en-GB"/>
              </w:rPr>
              <w:t>1</w:t>
            </w:r>
            <w:r>
              <w:rPr>
                <w:lang w:val="en-GB"/>
              </w:rPr>
              <w:t>5.762</w:t>
            </w:r>
          </w:p>
        </w:tc>
        <w:tc>
          <w:tcPr>
            <w:tcW w:w="1180" w:type="dxa"/>
            <w:tcBorders>
              <w:top w:val="nil"/>
              <w:left w:val="nil"/>
              <w:bottom w:val="nil"/>
              <w:right w:val="nil"/>
            </w:tcBorders>
            <w:shd w:val="clear" w:color="auto" w:fill="auto"/>
            <w:noWrap/>
            <w:hideMark/>
          </w:tcPr>
          <w:p w14:paraId="398CB9E1" w14:textId="77777777" w:rsidR="00B4617B" w:rsidRPr="006A4F51" w:rsidRDefault="00B4617B" w:rsidP="00CF14EA">
            <w:pPr>
              <w:pStyle w:val="CETBodytext"/>
              <w:jc w:val="right"/>
              <w:rPr>
                <w:lang w:val="en-GB"/>
              </w:rPr>
            </w:pPr>
            <w:r>
              <w:rPr>
                <w:lang w:val="en-GB"/>
              </w:rPr>
              <w:t>0.00050</w:t>
            </w:r>
          </w:p>
        </w:tc>
        <w:tc>
          <w:tcPr>
            <w:tcW w:w="1180" w:type="dxa"/>
            <w:tcBorders>
              <w:top w:val="nil"/>
              <w:left w:val="nil"/>
              <w:bottom w:val="nil"/>
              <w:right w:val="nil"/>
            </w:tcBorders>
            <w:shd w:val="clear" w:color="auto" w:fill="auto"/>
            <w:noWrap/>
            <w:hideMark/>
          </w:tcPr>
          <w:p w14:paraId="66C3CA52" w14:textId="77777777" w:rsidR="00B4617B" w:rsidRPr="006A4F51" w:rsidRDefault="00B4617B" w:rsidP="00CF14EA">
            <w:pPr>
              <w:pStyle w:val="CETBodytext"/>
              <w:jc w:val="right"/>
              <w:rPr>
                <w:lang w:val="en-GB"/>
              </w:rPr>
            </w:pPr>
            <w:r>
              <w:rPr>
                <w:lang w:val="en-GB"/>
              </w:rPr>
              <w:t>-0.00175</w:t>
            </w:r>
          </w:p>
        </w:tc>
        <w:tc>
          <w:tcPr>
            <w:tcW w:w="1180" w:type="dxa"/>
            <w:tcBorders>
              <w:top w:val="nil"/>
              <w:left w:val="nil"/>
              <w:bottom w:val="nil"/>
              <w:right w:val="nil"/>
            </w:tcBorders>
            <w:shd w:val="clear" w:color="auto" w:fill="auto"/>
            <w:noWrap/>
            <w:hideMark/>
          </w:tcPr>
          <w:p w14:paraId="0035A6FA" w14:textId="77777777" w:rsidR="00B4617B" w:rsidRPr="006A4F51" w:rsidRDefault="00B4617B" w:rsidP="00CF14EA">
            <w:pPr>
              <w:pStyle w:val="CETBodytext"/>
              <w:jc w:val="right"/>
              <w:rPr>
                <w:lang w:val="en-GB"/>
              </w:rPr>
            </w:pPr>
            <w:r w:rsidRPr="006A4F51">
              <w:rPr>
                <w:lang w:val="en-GB"/>
              </w:rPr>
              <w:t>0</w:t>
            </w:r>
            <w:r>
              <w:rPr>
                <w:lang w:val="en-GB"/>
              </w:rPr>
              <w:t>.7783</w:t>
            </w:r>
          </w:p>
        </w:tc>
        <w:tc>
          <w:tcPr>
            <w:tcW w:w="1041" w:type="dxa"/>
            <w:tcBorders>
              <w:top w:val="nil"/>
              <w:left w:val="nil"/>
              <w:bottom w:val="nil"/>
              <w:right w:val="nil"/>
            </w:tcBorders>
          </w:tcPr>
          <w:p w14:paraId="2553699D" w14:textId="77777777" w:rsidR="00B4617B" w:rsidRPr="006A4F51" w:rsidRDefault="00B4617B" w:rsidP="00CF14EA">
            <w:pPr>
              <w:pStyle w:val="CETBodytext"/>
              <w:jc w:val="right"/>
              <w:rPr>
                <w:lang w:val="en-GB"/>
              </w:rPr>
            </w:pPr>
            <w:r>
              <w:rPr>
                <w:lang w:val="en-GB"/>
              </w:rPr>
              <w:t>2.200</w:t>
            </w:r>
          </w:p>
        </w:tc>
        <w:tc>
          <w:tcPr>
            <w:tcW w:w="1041" w:type="dxa"/>
            <w:tcBorders>
              <w:top w:val="nil"/>
              <w:left w:val="nil"/>
              <w:bottom w:val="nil"/>
              <w:right w:val="nil"/>
            </w:tcBorders>
          </w:tcPr>
          <w:p w14:paraId="0C0766A2" w14:textId="77777777" w:rsidR="00B4617B" w:rsidRPr="006A4F51" w:rsidRDefault="00B4617B" w:rsidP="00CF14EA">
            <w:pPr>
              <w:pStyle w:val="CETBodytext"/>
              <w:jc w:val="right"/>
              <w:rPr>
                <w:lang w:val="en-GB"/>
              </w:rPr>
            </w:pPr>
            <w:r>
              <w:rPr>
                <w:lang w:val="en-GB"/>
              </w:rPr>
              <w:t>15.948</w:t>
            </w:r>
          </w:p>
        </w:tc>
      </w:tr>
      <w:tr w:rsidR="00B4617B" w:rsidRPr="006A4F51" w14:paraId="156343CA" w14:textId="77777777" w:rsidTr="007A0E4B">
        <w:trPr>
          <w:trHeight w:val="284"/>
        </w:trPr>
        <w:tc>
          <w:tcPr>
            <w:tcW w:w="569" w:type="dxa"/>
            <w:tcBorders>
              <w:top w:val="nil"/>
              <w:left w:val="nil"/>
              <w:bottom w:val="nil"/>
              <w:right w:val="nil"/>
            </w:tcBorders>
            <w:shd w:val="clear" w:color="auto" w:fill="auto"/>
            <w:noWrap/>
            <w:hideMark/>
          </w:tcPr>
          <w:p w14:paraId="79287482" w14:textId="77777777" w:rsidR="00B4617B" w:rsidRPr="006A4F51" w:rsidRDefault="00B4617B" w:rsidP="00CF14EA">
            <w:pPr>
              <w:pStyle w:val="CETBodytext"/>
              <w:jc w:val="right"/>
              <w:rPr>
                <w:lang w:val="en-GB"/>
              </w:rPr>
            </w:pPr>
            <w:r>
              <w:rPr>
                <w:lang w:val="en-GB"/>
              </w:rPr>
              <w:t>6.0</w:t>
            </w:r>
          </w:p>
        </w:tc>
        <w:tc>
          <w:tcPr>
            <w:tcW w:w="936" w:type="dxa"/>
            <w:tcBorders>
              <w:top w:val="nil"/>
              <w:left w:val="nil"/>
              <w:bottom w:val="nil"/>
              <w:right w:val="nil"/>
            </w:tcBorders>
            <w:shd w:val="clear" w:color="auto" w:fill="auto"/>
            <w:noWrap/>
            <w:hideMark/>
          </w:tcPr>
          <w:p w14:paraId="200A9F6E" w14:textId="77777777" w:rsidR="00B4617B" w:rsidRPr="006A4F51" w:rsidRDefault="00B4617B" w:rsidP="00CF14EA">
            <w:pPr>
              <w:pStyle w:val="CETBodytext"/>
              <w:jc w:val="right"/>
              <w:rPr>
                <w:lang w:val="en-GB"/>
              </w:rPr>
            </w:pPr>
            <w:r>
              <w:rPr>
                <w:lang w:val="en-GB"/>
              </w:rPr>
              <w:t>1.872</w:t>
            </w:r>
          </w:p>
        </w:tc>
        <w:tc>
          <w:tcPr>
            <w:tcW w:w="1180" w:type="dxa"/>
            <w:tcBorders>
              <w:top w:val="nil"/>
              <w:left w:val="nil"/>
              <w:bottom w:val="nil"/>
              <w:right w:val="nil"/>
            </w:tcBorders>
            <w:shd w:val="clear" w:color="auto" w:fill="auto"/>
            <w:noWrap/>
            <w:hideMark/>
          </w:tcPr>
          <w:p w14:paraId="529310B5" w14:textId="77777777" w:rsidR="00B4617B" w:rsidRPr="006A4F51" w:rsidRDefault="00B4617B" w:rsidP="00CF14EA">
            <w:pPr>
              <w:pStyle w:val="CETBodytext"/>
              <w:jc w:val="right"/>
              <w:rPr>
                <w:lang w:val="en-GB"/>
              </w:rPr>
            </w:pPr>
            <w:r w:rsidRPr="006A4F51">
              <w:rPr>
                <w:lang w:val="en-GB"/>
              </w:rPr>
              <w:t>1</w:t>
            </w:r>
            <w:r>
              <w:rPr>
                <w:lang w:val="en-GB"/>
              </w:rPr>
              <w:t>5.620</w:t>
            </w:r>
          </w:p>
        </w:tc>
        <w:tc>
          <w:tcPr>
            <w:tcW w:w="1180" w:type="dxa"/>
            <w:tcBorders>
              <w:top w:val="nil"/>
              <w:left w:val="nil"/>
              <w:bottom w:val="nil"/>
              <w:right w:val="nil"/>
            </w:tcBorders>
            <w:shd w:val="clear" w:color="auto" w:fill="auto"/>
            <w:noWrap/>
            <w:hideMark/>
          </w:tcPr>
          <w:p w14:paraId="6EF4D01C" w14:textId="77777777" w:rsidR="00B4617B" w:rsidRPr="006A4F51" w:rsidRDefault="00B4617B" w:rsidP="00CF14EA">
            <w:pPr>
              <w:pStyle w:val="CETBodytext"/>
              <w:jc w:val="right"/>
              <w:rPr>
                <w:lang w:val="en-GB"/>
              </w:rPr>
            </w:pPr>
            <w:r>
              <w:rPr>
                <w:lang w:val="en-GB"/>
              </w:rPr>
              <w:t>0.00063</w:t>
            </w:r>
          </w:p>
        </w:tc>
        <w:tc>
          <w:tcPr>
            <w:tcW w:w="1180" w:type="dxa"/>
            <w:tcBorders>
              <w:top w:val="nil"/>
              <w:left w:val="nil"/>
              <w:bottom w:val="nil"/>
              <w:right w:val="nil"/>
            </w:tcBorders>
            <w:shd w:val="clear" w:color="auto" w:fill="auto"/>
            <w:noWrap/>
            <w:hideMark/>
          </w:tcPr>
          <w:p w14:paraId="40E0B2A4" w14:textId="77777777" w:rsidR="00B4617B" w:rsidRPr="006A4F51" w:rsidRDefault="00B4617B" w:rsidP="00CF14EA">
            <w:pPr>
              <w:pStyle w:val="CETBodytext"/>
              <w:jc w:val="right"/>
              <w:rPr>
                <w:lang w:val="en-GB"/>
              </w:rPr>
            </w:pPr>
            <w:r>
              <w:rPr>
                <w:lang w:val="en-GB"/>
              </w:rPr>
              <w:t>-0.00220</w:t>
            </w:r>
          </w:p>
        </w:tc>
        <w:tc>
          <w:tcPr>
            <w:tcW w:w="1180" w:type="dxa"/>
            <w:tcBorders>
              <w:top w:val="nil"/>
              <w:left w:val="nil"/>
              <w:bottom w:val="nil"/>
              <w:right w:val="nil"/>
            </w:tcBorders>
            <w:shd w:val="clear" w:color="auto" w:fill="auto"/>
            <w:noWrap/>
            <w:hideMark/>
          </w:tcPr>
          <w:p w14:paraId="073209C9" w14:textId="77777777" w:rsidR="00B4617B" w:rsidRPr="006A4F51" w:rsidRDefault="00B4617B" w:rsidP="00CF14EA">
            <w:pPr>
              <w:pStyle w:val="CETBodytext"/>
              <w:jc w:val="right"/>
              <w:rPr>
                <w:lang w:val="en-GB"/>
              </w:rPr>
            </w:pPr>
            <w:r w:rsidRPr="006A4F51">
              <w:rPr>
                <w:lang w:val="en-GB"/>
              </w:rPr>
              <w:t>0</w:t>
            </w:r>
            <w:r>
              <w:rPr>
                <w:lang w:val="en-GB"/>
              </w:rPr>
              <w:t>.7784</w:t>
            </w:r>
          </w:p>
        </w:tc>
        <w:tc>
          <w:tcPr>
            <w:tcW w:w="1041" w:type="dxa"/>
            <w:tcBorders>
              <w:top w:val="nil"/>
              <w:left w:val="nil"/>
              <w:bottom w:val="nil"/>
              <w:right w:val="nil"/>
            </w:tcBorders>
          </w:tcPr>
          <w:p w14:paraId="25AE0D15" w14:textId="77777777" w:rsidR="00B4617B" w:rsidRPr="006A4F51" w:rsidRDefault="00B4617B" w:rsidP="00CF14EA">
            <w:pPr>
              <w:pStyle w:val="CETBodytext"/>
              <w:jc w:val="right"/>
              <w:rPr>
                <w:lang w:val="en-GB"/>
              </w:rPr>
            </w:pPr>
            <w:r>
              <w:rPr>
                <w:lang w:val="en-GB"/>
              </w:rPr>
              <w:t>2.048</w:t>
            </w:r>
          </w:p>
        </w:tc>
        <w:tc>
          <w:tcPr>
            <w:tcW w:w="1041" w:type="dxa"/>
            <w:tcBorders>
              <w:top w:val="nil"/>
              <w:left w:val="nil"/>
              <w:bottom w:val="nil"/>
              <w:right w:val="nil"/>
            </w:tcBorders>
          </w:tcPr>
          <w:p w14:paraId="2138A6C9" w14:textId="77777777" w:rsidR="00B4617B" w:rsidRPr="006A4F51" w:rsidRDefault="00B4617B" w:rsidP="00CF14EA">
            <w:pPr>
              <w:pStyle w:val="CETBodytext"/>
              <w:jc w:val="right"/>
              <w:rPr>
                <w:lang w:val="en-GB"/>
              </w:rPr>
            </w:pPr>
            <w:r>
              <w:rPr>
                <w:lang w:val="en-GB"/>
              </w:rPr>
              <w:t>15.795</w:t>
            </w:r>
          </w:p>
        </w:tc>
      </w:tr>
      <w:tr w:rsidR="00B4617B" w:rsidRPr="006A4F51" w14:paraId="1D79D452" w14:textId="77777777" w:rsidTr="007A0E4B">
        <w:trPr>
          <w:trHeight w:val="284"/>
        </w:trPr>
        <w:tc>
          <w:tcPr>
            <w:tcW w:w="569" w:type="dxa"/>
            <w:tcBorders>
              <w:top w:val="nil"/>
              <w:left w:val="nil"/>
              <w:bottom w:val="nil"/>
              <w:right w:val="nil"/>
            </w:tcBorders>
            <w:shd w:val="clear" w:color="auto" w:fill="auto"/>
            <w:noWrap/>
            <w:hideMark/>
          </w:tcPr>
          <w:p w14:paraId="1C2C5CE6" w14:textId="77777777" w:rsidR="00B4617B" w:rsidRPr="006A4F51" w:rsidRDefault="00B4617B" w:rsidP="00CF14EA">
            <w:pPr>
              <w:pStyle w:val="CETBodytext"/>
              <w:jc w:val="right"/>
              <w:rPr>
                <w:lang w:val="en-GB"/>
              </w:rPr>
            </w:pPr>
            <w:r>
              <w:rPr>
                <w:lang w:val="en-GB"/>
              </w:rPr>
              <w:t>7.</w:t>
            </w:r>
            <w:r w:rsidRPr="006A4F51">
              <w:rPr>
                <w:lang w:val="en-GB"/>
              </w:rPr>
              <w:t>5</w:t>
            </w:r>
          </w:p>
        </w:tc>
        <w:tc>
          <w:tcPr>
            <w:tcW w:w="936" w:type="dxa"/>
            <w:tcBorders>
              <w:top w:val="nil"/>
              <w:left w:val="nil"/>
              <w:bottom w:val="nil"/>
              <w:right w:val="nil"/>
            </w:tcBorders>
            <w:shd w:val="clear" w:color="auto" w:fill="auto"/>
            <w:noWrap/>
            <w:hideMark/>
          </w:tcPr>
          <w:p w14:paraId="6CF4A617" w14:textId="77777777" w:rsidR="00B4617B" w:rsidRPr="006A4F51" w:rsidRDefault="00B4617B" w:rsidP="00CF14EA">
            <w:pPr>
              <w:pStyle w:val="CETBodytext"/>
              <w:jc w:val="right"/>
              <w:rPr>
                <w:lang w:val="en-GB"/>
              </w:rPr>
            </w:pPr>
            <w:r>
              <w:rPr>
                <w:lang w:val="en-GB"/>
              </w:rPr>
              <w:t>1.703</w:t>
            </w:r>
          </w:p>
        </w:tc>
        <w:tc>
          <w:tcPr>
            <w:tcW w:w="1180" w:type="dxa"/>
            <w:tcBorders>
              <w:top w:val="nil"/>
              <w:left w:val="nil"/>
              <w:bottom w:val="nil"/>
              <w:right w:val="nil"/>
            </w:tcBorders>
            <w:shd w:val="clear" w:color="auto" w:fill="auto"/>
            <w:noWrap/>
            <w:hideMark/>
          </w:tcPr>
          <w:p w14:paraId="0094A596" w14:textId="77777777" w:rsidR="00B4617B" w:rsidRPr="006A4F51" w:rsidRDefault="00B4617B" w:rsidP="00CF14EA">
            <w:pPr>
              <w:pStyle w:val="CETBodytext"/>
              <w:jc w:val="right"/>
              <w:rPr>
                <w:lang w:val="en-GB"/>
              </w:rPr>
            </w:pPr>
            <w:r w:rsidRPr="006A4F51">
              <w:rPr>
                <w:lang w:val="en-GB"/>
              </w:rPr>
              <w:t>1</w:t>
            </w:r>
            <w:r>
              <w:rPr>
                <w:lang w:val="en-GB"/>
              </w:rPr>
              <w:t>5.450</w:t>
            </w:r>
          </w:p>
        </w:tc>
        <w:tc>
          <w:tcPr>
            <w:tcW w:w="1180" w:type="dxa"/>
            <w:tcBorders>
              <w:top w:val="nil"/>
              <w:left w:val="nil"/>
              <w:bottom w:val="nil"/>
              <w:right w:val="nil"/>
            </w:tcBorders>
            <w:shd w:val="clear" w:color="auto" w:fill="auto"/>
            <w:noWrap/>
            <w:hideMark/>
          </w:tcPr>
          <w:p w14:paraId="61A12E40" w14:textId="77777777" w:rsidR="00B4617B" w:rsidRPr="006A4F51" w:rsidRDefault="00B4617B" w:rsidP="00CF14EA">
            <w:pPr>
              <w:pStyle w:val="CETBodytext"/>
              <w:jc w:val="right"/>
              <w:rPr>
                <w:lang w:val="en-GB"/>
              </w:rPr>
            </w:pPr>
            <w:r>
              <w:rPr>
                <w:lang w:val="en-GB"/>
              </w:rPr>
              <w:t>0.00073</w:t>
            </w:r>
          </w:p>
        </w:tc>
        <w:tc>
          <w:tcPr>
            <w:tcW w:w="1180" w:type="dxa"/>
            <w:tcBorders>
              <w:top w:val="nil"/>
              <w:left w:val="nil"/>
              <w:bottom w:val="nil"/>
              <w:right w:val="nil"/>
            </w:tcBorders>
            <w:shd w:val="clear" w:color="auto" w:fill="auto"/>
            <w:noWrap/>
            <w:hideMark/>
          </w:tcPr>
          <w:p w14:paraId="7F784761" w14:textId="77777777" w:rsidR="00B4617B" w:rsidRPr="006A4F51" w:rsidRDefault="00B4617B" w:rsidP="00CF14EA">
            <w:pPr>
              <w:pStyle w:val="CETBodytext"/>
              <w:jc w:val="right"/>
              <w:rPr>
                <w:lang w:val="en-GB"/>
              </w:rPr>
            </w:pPr>
            <w:r>
              <w:rPr>
                <w:lang w:val="en-GB"/>
              </w:rPr>
              <w:t>-0.00255</w:t>
            </w:r>
          </w:p>
        </w:tc>
        <w:tc>
          <w:tcPr>
            <w:tcW w:w="1180" w:type="dxa"/>
            <w:tcBorders>
              <w:top w:val="nil"/>
              <w:left w:val="nil"/>
              <w:bottom w:val="nil"/>
              <w:right w:val="nil"/>
            </w:tcBorders>
            <w:shd w:val="clear" w:color="auto" w:fill="auto"/>
            <w:noWrap/>
            <w:hideMark/>
          </w:tcPr>
          <w:p w14:paraId="445762C1" w14:textId="77777777" w:rsidR="00B4617B" w:rsidRPr="006A4F51" w:rsidRDefault="00B4617B" w:rsidP="00CF14EA">
            <w:pPr>
              <w:pStyle w:val="CETBodytext"/>
              <w:jc w:val="right"/>
              <w:rPr>
                <w:lang w:val="en-GB"/>
              </w:rPr>
            </w:pPr>
            <w:r w:rsidRPr="006A4F51">
              <w:rPr>
                <w:lang w:val="en-GB"/>
              </w:rPr>
              <w:t>0</w:t>
            </w:r>
            <w:r>
              <w:rPr>
                <w:lang w:val="en-GB"/>
              </w:rPr>
              <w:t>.7784</w:t>
            </w:r>
          </w:p>
        </w:tc>
        <w:tc>
          <w:tcPr>
            <w:tcW w:w="1041" w:type="dxa"/>
            <w:tcBorders>
              <w:top w:val="nil"/>
              <w:left w:val="nil"/>
              <w:bottom w:val="nil"/>
              <w:right w:val="nil"/>
            </w:tcBorders>
          </w:tcPr>
          <w:p w14:paraId="67744C2B" w14:textId="77777777" w:rsidR="00B4617B" w:rsidRPr="006A4F51" w:rsidRDefault="00B4617B" w:rsidP="00CF14EA">
            <w:pPr>
              <w:pStyle w:val="CETBodytext"/>
              <w:jc w:val="right"/>
              <w:rPr>
                <w:lang w:val="en-GB"/>
              </w:rPr>
            </w:pPr>
            <w:r>
              <w:rPr>
                <w:lang w:val="en-GB"/>
              </w:rPr>
              <w:t>1.868</w:t>
            </w:r>
          </w:p>
        </w:tc>
        <w:tc>
          <w:tcPr>
            <w:tcW w:w="1041" w:type="dxa"/>
            <w:tcBorders>
              <w:top w:val="nil"/>
              <w:left w:val="nil"/>
              <w:bottom w:val="nil"/>
              <w:right w:val="nil"/>
            </w:tcBorders>
          </w:tcPr>
          <w:p w14:paraId="739B0774" w14:textId="77777777" w:rsidR="00B4617B" w:rsidRPr="006A4F51" w:rsidRDefault="00B4617B" w:rsidP="00CF14EA">
            <w:pPr>
              <w:pStyle w:val="CETBodytext"/>
              <w:jc w:val="right"/>
              <w:rPr>
                <w:lang w:val="en-GB"/>
              </w:rPr>
            </w:pPr>
            <w:r>
              <w:rPr>
                <w:lang w:val="en-GB"/>
              </w:rPr>
              <w:t>15.615</w:t>
            </w:r>
          </w:p>
        </w:tc>
      </w:tr>
      <w:tr w:rsidR="00B4617B" w:rsidRPr="006A4F51" w14:paraId="4AA04474" w14:textId="77777777" w:rsidTr="007A0E4B">
        <w:trPr>
          <w:trHeight w:val="284"/>
        </w:trPr>
        <w:tc>
          <w:tcPr>
            <w:tcW w:w="569" w:type="dxa"/>
            <w:tcBorders>
              <w:top w:val="nil"/>
              <w:left w:val="nil"/>
              <w:bottom w:val="nil"/>
              <w:right w:val="nil"/>
            </w:tcBorders>
            <w:shd w:val="clear" w:color="auto" w:fill="auto"/>
            <w:noWrap/>
            <w:hideMark/>
          </w:tcPr>
          <w:p w14:paraId="65D305E9" w14:textId="77777777" w:rsidR="00B4617B" w:rsidRPr="006A4F51" w:rsidRDefault="00B4617B" w:rsidP="00CF14EA">
            <w:pPr>
              <w:pStyle w:val="CETBodytext"/>
              <w:jc w:val="right"/>
              <w:rPr>
                <w:lang w:val="en-GB"/>
              </w:rPr>
            </w:pPr>
            <w:r>
              <w:rPr>
                <w:lang w:val="en-GB"/>
              </w:rPr>
              <w:t>9.0</w:t>
            </w:r>
          </w:p>
        </w:tc>
        <w:tc>
          <w:tcPr>
            <w:tcW w:w="936" w:type="dxa"/>
            <w:tcBorders>
              <w:top w:val="nil"/>
              <w:left w:val="nil"/>
              <w:bottom w:val="nil"/>
              <w:right w:val="nil"/>
            </w:tcBorders>
            <w:shd w:val="clear" w:color="auto" w:fill="auto"/>
            <w:noWrap/>
            <w:hideMark/>
          </w:tcPr>
          <w:p w14:paraId="6B96975B" w14:textId="77777777" w:rsidR="00B4617B" w:rsidRPr="006A4F51" w:rsidRDefault="00B4617B" w:rsidP="00CF14EA">
            <w:pPr>
              <w:pStyle w:val="CETBodytext"/>
              <w:jc w:val="right"/>
              <w:rPr>
                <w:lang w:val="en-GB"/>
              </w:rPr>
            </w:pPr>
            <w:r>
              <w:rPr>
                <w:lang w:val="en-GB"/>
              </w:rPr>
              <w:t>1.512</w:t>
            </w:r>
          </w:p>
        </w:tc>
        <w:tc>
          <w:tcPr>
            <w:tcW w:w="1180" w:type="dxa"/>
            <w:tcBorders>
              <w:top w:val="nil"/>
              <w:left w:val="nil"/>
              <w:bottom w:val="nil"/>
              <w:right w:val="nil"/>
            </w:tcBorders>
            <w:shd w:val="clear" w:color="auto" w:fill="auto"/>
            <w:noWrap/>
            <w:hideMark/>
          </w:tcPr>
          <w:p w14:paraId="0B39647D" w14:textId="77777777" w:rsidR="00B4617B" w:rsidRPr="006A4F51" w:rsidRDefault="00B4617B" w:rsidP="00CF14EA">
            <w:pPr>
              <w:pStyle w:val="CETBodytext"/>
              <w:jc w:val="right"/>
              <w:rPr>
                <w:lang w:val="en-GB"/>
              </w:rPr>
            </w:pPr>
            <w:r w:rsidRPr="006A4F51">
              <w:rPr>
                <w:lang w:val="en-GB"/>
              </w:rPr>
              <w:t>1</w:t>
            </w:r>
            <w:r>
              <w:rPr>
                <w:lang w:val="en-GB"/>
              </w:rPr>
              <w:t>5.258</w:t>
            </w:r>
          </w:p>
        </w:tc>
        <w:tc>
          <w:tcPr>
            <w:tcW w:w="1180" w:type="dxa"/>
            <w:tcBorders>
              <w:top w:val="nil"/>
              <w:left w:val="nil"/>
              <w:bottom w:val="nil"/>
              <w:right w:val="nil"/>
            </w:tcBorders>
            <w:shd w:val="clear" w:color="auto" w:fill="auto"/>
            <w:noWrap/>
            <w:hideMark/>
          </w:tcPr>
          <w:p w14:paraId="33D0CE93" w14:textId="77777777" w:rsidR="00B4617B" w:rsidRPr="006A4F51" w:rsidRDefault="00B4617B" w:rsidP="00CF14EA">
            <w:pPr>
              <w:pStyle w:val="CETBodytext"/>
              <w:jc w:val="right"/>
              <w:rPr>
                <w:lang w:val="en-GB"/>
              </w:rPr>
            </w:pPr>
            <w:r>
              <w:rPr>
                <w:lang w:val="en-GB"/>
              </w:rPr>
              <w:t>0.00080</w:t>
            </w:r>
          </w:p>
        </w:tc>
        <w:tc>
          <w:tcPr>
            <w:tcW w:w="1180" w:type="dxa"/>
            <w:tcBorders>
              <w:top w:val="nil"/>
              <w:left w:val="nil"/>
              <w:bottom w:val="nil"/>
              <w:right w:val="nil"/>
            </w:tcBorders>
            <w:shd w:val="clear" w:color="auto" w:fill="auto"/>
            <w:noWrap/>
            <w:hideMark/>
          </w:tcPr>
          <w:p w14:paraId="6C91BBF6" w14:textId="77777777" w:rsidR="00B4617B" w:rsidRPr="006A4F51" w:rsidRDefault="00B4617B" w:rsidP="00CF14EA">
            <w:pPr>
              <w:pStyle w:val="CETBodytext"/>
              <w:jc w:val="right"/>
              <w:rPr>
                <w:lang w:val="en-GB"/>
              </w:rPr>
            </w:pPr>
            <w:r>
              <w:rPr>
                <w:lang w:val="en-GB"/>
              </w:rPr>
              <w:t>-0.00280</w:t>
            </w:r>
          </w:p>
        </w:tc>
        <w:tc>
          <w:tcPr>
            <w:tcW w:w="1180" w:type="dxa"/>
            <w:tcBorders>
              <w:top w:val="nil"/>
              <w:left w:val="nil"/>
              <w:bottom w:val="nil"/>
              <w:right w:val="nil"/>
            </w:tcBorders>
            <w:shd w:val="clear" w:color="auto" w:fill="auto"/>
            <w:noWrap/>
            <w:hideMark/>
          </w:tcPr>
          <w:p w14:paraId="2DE4AF0D" w14:textId="77777777" w:rsidR="00B4617B" w:rsidRPr="006A4F51" w:rsidRDefault="00B4617B" w:rsidP="00CF14EA">
            <w:pPr>
              <w:pStyle w:val="CETBodytext"/>
              <w:jc w:val="right"/>
              <w:rPr>
                <w:lang w:val="en-GB"/>
              </w:rPr>
            </w:pPr>
            <w:r w:rsidRPr="006A4F51">
              <w:rPr>
                <w:lang w:val="en-GB"/>
              </w:rPr>
              <w:t>0</w:t>
            </w:r>
            <w:r>
              <w:rPr>
                <w:lang w:val="en-GB"/>
              </w:rPr>
              <w:t>.7785</w:t>
            </w:r>
          </w:p>
        </w:tc>
        <w:tc>
          <w:tcPr>
            <w:tcW w:w="1041" w:type="dxa"/>
            <w:tcBorders>
              <w:top w:val="nil"/>
              <w:left w:val="nil"/>
              <w:bottom w:val="nil"/>
              <w:right w:val="nil"/>
            </w:tcBorders>
          </w:tcPr>
          <w:p w14:paraId="391C41BE" w14:textId="77777777" w:rsidR="00B4617B" w:rsidRPr="006A4F51" w:rsidRDefault="00B4617B" w:rsidP="00CF14EA">
            <w:pPr>
              <w:pStyle w:val="CETBodytext"/>
              <w:jc w:val="right"/>
              <w:rPr>
                <w:lang w:val="en-GB"/>
              </w:rPr>
            </w:pPr>
            <w:r>
              <w:rPr>
                <w:lang w:val="en-GB"/>
              </w:rPr>
              <w:t>1.667</w:t>
            </w:r>
          </w:p>
        </w:tc>
        <w:tc>
          <w:tcPr>
            <w:tcW w:w="1041" w:type="dxa"/>
            <w:tcBorders>
              <w:top w:val="nil"/>
              <w:left w:val="nil"/>
              <w:bottom w:val="nil"/>
              <w:right w:val="nil"/>
            </w:tcBorders>
          </w:tcPr>
          <w:p w14:paraId="0C12DC76" w14:textId="77777777" w:rsidR="00B4617B" w:rsidRPr="006A4F51" w:rsidRDefault="00B4617B" w:rsidP="00CF14EA">
            <w:pPr>
              <w:pStyle w:val="CETBodytext"/>
              <w:jc w:val="right"/>
              <w:rPr>
                <w:lang w:val="en-GB"/>
              </w:rPr>
            </w:pPr>
            <w:r>
              <w:rPr>
                <w:lang w:val="en-GB"/>
              </w:rPr>
              <w:t>15.413</w:t>
            </w:r>
          </w:p>
        </w:tc>
      </w:tr>
      <w:tr w:rsidR="00B4617B" w:rsidRPr="006A4F51" w14:paraId="0B9330B6" w14:textId="77777777" w:rsidTr="007A0E4B">
        <w:trPr>
          <w:trHeight w:val="284"/>
        </w:trPr>
        <w:tc>
          <w:tcPr>
            <w:tcW w:w="569" w:type="dxa"/>
            <w:tcBorders>
              <w:top w:val="nil"/>
              <w:left w:val="nil"/>
              <w:bottom w:val="nil"/>
              <w:right w:val="nil"/>
            </w:tcBorders>
            <w:shd w:val="clear" w:color="auto" w:fill="auto"/>
            <w:noWrap/>
            <w:hideMark/>
          </w:tcPr>
          <w:p w14:paraId="016EE8B7" w14:textId="77777777" w:rsidR="00B4617B" w:rsidRPr="006A4F51" w:rsidRDefault="00B4617B" w:rsidP="00CF14EA">
            <w:pPr>
              <w:pStyle w:val="CETBodytext"/>
              <w:jc w:val="right"/>
              <w:rPr>
                <w:lang w:val="en-GB"/>
              </w:rPr>
            </w:pPr>
            <w:r>
              <w:rPr>
                <w:lang w:val="en-GB"/>
              </w:rPr>
              <w:t>10.5</w:t>
            </w:r>
          </w:p>
        </w:tc>
        <w:tc>
          <w:tcPr>
            <w:tcW w:w="936" w:type="dxa"/>
            <w:tcBorders>
              <w:top w:val="nil"/>
              <w:left w:val="nil"/>
              <w:bottom w:val="nil"/>
              <w:right w:val="nil"/>
            </w:tcBorders>
            <w:shd w:val="clear" w:color="auto" w:fill="auto"/>
            <w:noWrap/>
            <w:hideMark/>
          </w:tcPr>
          <w:p w14:paraId="16E26E67" w14:textId="77777777" w:rsidR="00B4617B" w:rsidRPr="006A4F51" w:rsidRDefault="00B4617B" w:rsidP="00CF14EA">
            <w:pPr>
              <w:pStyle w:val="CETBodytext"/>
              <w:jc w:val="right"/>
              <w:rPr>
                <w:lang w:val="en-GB"/>
              </w:rPr>
            </w:pPr>
            <w:r>
              <w:rPr>
                <w:lang w:val="en-GB"/>
              </w:rPr>
              <w:t>1.308</w:t>
            </w:r>
          </w:p>
        </w:tc>
        <w:tc>
          <w:tcPr>
            <w:tcW w:w="1180" w:type="dxa"/>
            <w:tcBorders>
              <w:top w:val="nil"/>
              <w:left w:val="nil"/>
              <w:bottom w:val="nil"/>
              <w:right w:val="nil"/>
            </w:tcBorders>
            <w:shd w:val="clear" w:color="auto" w:fill="auto"/>
            <w:noWrap/>
            <w:hideMark/>
          </w:tcPr>
          <w:p w14:paraId="07B2288F" w14:textId="77777777" w:rsidR="00B4617B" w:rsidRPr="006A4F51" w:rsidRDefault="00B4617B" w:rsidP="00CF14EA">
            <w:pPr>
              <w:pStyle w:val="CETBodytext"/>
              <w:jc w:val="right"/>
              <w:rPr>
                <w:lang w:val="en-GB"/>
              </w:rPr>
            </w:pPr>
            <w:r w:rsidRPr="006A4F51">
              <w:rPr>
                <w:lang w:val="en-GB"/>
              </w:rPr>
              <w:t>1</w:t>
            </w:r>
            <w:r>
              <w:rPr>
                <w:lang w:val="en-GB"/>
              </w:rPr>
              <w:t>5.053</w:t>
            </w:r>
          </w:p>
        </w:tc>
        <w:tc>
          <w:tcPr>
            <w:tcW w:w="1180" w:type="dxa"/>
            <w:tcBorders>
              <w:top w:val="nil"/>
              <w:left w:val="nil"/>
              <w:bottom w:val="nil"/>
              <w:right w:val="nil"/>
            </w:tcBorders>
            <w:shd w:val="clear" w:color="auto" w:fill="auto"/>
            <w:noWrap/>
            <w:hideMark/>
          </w:tcPr>
          <w:p w14:paraId="58CAAB56" w14:textId="77777777" w:rsidR="00B4617B" w:rsidRPr="006A4F51" w:rsidRDefault="00B4617B" w:rsidP="00CF14EA">
            <w:pPr>
              <w:pStyle w:val="CETBodytext"/>
              <w:jc w:val="right"/>
              <w:rPr>
                <w:lang w:val="en-GB"/>
              </w:rPr>
            </w:pPr>
            <w:r>
              <w:rPr>
                <w:lang w:val="en-GB"/>
              </w:rPr>
              <w:t>0.00084</w:t>
            </w:r>
          </w:p>
        </w:tc>
        <w:tc>
          <w:tcPr>
            <w:tcW w:w="1180" w:type="dxa"/>
            <w:tcBorders>
              <w:top w:val="nil"/>
              <w:left w:val="nil"/>
              <w:bottom w:val="nil"/>
              <w:right w:val="nil"/>
            </w:tcBorders>
            <w:shd w:val="clear" w:color="auto" w:fill="auto"/>
            <w:noWrap/>
            <w:hideMark/>
          </w:tcPr>
          <w:p w14:paraId="721BD8F8" w14:textId="77777777" w:rsidR="00B4617B" w:rsidRPr="006A4F51" w:rsidRDefault="00B4617B" w:rsidP="00CF14EA">
            <w:pPr>
              <w:pStyle w:val="CETBodytext"/>
              <w:jc w:val="right"/>
              <w:rPr>
                <w:lang w:val="en-GB"/>
              </w:rPr>
            </w:pPr>
            <w:r>
              <w:rPr>
                <w:lang w:val="en-GB"/>
              </w:rPr>
              <w:t>-0.00296</w:t>
            </w:r>
          </w:p>
        </w:tc>
        <w:tc>
          <w:tcPr>
            <w:tcW w:w="1180" w:type="dxa"/>
            <w:tcBorders>
              <w:top w:val="nil"/>
              <w:left w:val="nil"/>
              <w:bottom w:val="nil"/>
              <w:right w:val="nil"/>
            </w:tcBorders>
            <w:shd w:val="clear" w:color="auto" w:fill="auto"/>
            <w:noWrap/>
            <w:hideMark/>
          </w:tcPr>
          <w:p w14:paraId="315F98A2" w14:textId="77777777" w:rsidR="00B4617B" w:rsidRPr="006A4F51" w:rsidRDefault="00B4617B" w:rsidP="00CF14EA">
            <w:pPr>
              <w:pStyle w:val="CETBodytext"/>
              <w:jc w:val="right"/>
              <w:rPr>
                <w:lang w:val="en-GB"/>
              </w:rPr>
            </w:pPr>
            <w:r w:rsidRPr="006A4F51">
              <w:rPr>
                <w:lang w:val="en-GB"/>
              </w:rPr>
              <w:t>0</w:t>
            </w:r>
            <w:r>
              <w:rPr>
                <w:lang w:val="en-GB"/>
              </w:rPr>
              <w:t>.7785</w:t>
            </w:r>
          </w:p>
        </w:tc>
        <w:tc>
          <w:tcPr>
            <w:tcW w:w="1041" w:type="dxa"/>
            <w:tcBorders>
              <w:top w:val="nil"/>
              <w:left w:val="nil"/>
              <w:bottom w:val="nil"/>
              <w:right w:val="nil"/>
            </w:tcBorders>
          </w:tcPr>
          <w:p w14:paraId="3B6F401D" w14:textId="77777777" w:rsidR="00B4617B" w:rsidRPr="006A4F51" w:rsidRDefault="00B4617B" w:rsidP="00CF14EA">
            <w:pPr>
              <w:pStyle w:val="CETBodytext"/>
              <w:jc w:val="right"/>
              <w:rPr>
                <w:lang w:val="en-GB"/>
              </w:rPr>
            </w:pPr>
            <w:r>
              <w:rPr>
                <w:lang w:val="en-GB"/>
              </w:rPr>
              <w:t>1.452</w:t>
            </w:r>
          </w:p>
        </w:tc>
        <w:tc>
          <w:tcPr>
            <w:tcW w:w="1041" w:type="dxa"/>
            <w:tcBorders>
              <w:top w:val="nil"/>
              <w:left w:val="nil"/>
              <w:bottom w:val="nil"/>
              <w:right w:val="nil"/>
            </w:tcBorders>
          </w:tcPr>
          <w:p w14:paraId="35FB7A64" w14:textId="77777777" w:rsidR="00B4617B" w:rsidRPr="006A4F51" w:rsidRDefault="00B4617B" w:rsidP="00CF14EA">
            <w:pPr>
              <w:pStyle w:val="CETBodytext"/>
              <w:jc w:val="right"/>
              <w:rPr>
                <w:lang w:val="en-GB"/>
              </w:rPr>
            </w:pPr>
            <w:r>
              <w:rPr>
                <w:lang w:val="en-GB"/>
              </w:rPr>
              <w:t>15.197</w:t>
            </w:r>
          </w:p>
        </w:tc>
      </w:tr>
      <w:tr w:rsidR="00B4617B" w:rsidRPr="006A4F51" w14:paraId="2A990DAF" w14:textId="77777777" w:rsidTr="007A0E4B">
        <w:trPr>
          <w:trHeight w:val="284"/>
        </w:trPr>
        <w:tc>
          <w:tcPr>
            <w:tcW w:w="569" w:type="dxa"/>
            <w:tcBorders>
              <w:top w:val="nil"/>
              <w:left w:val="nil"/>
              <w:bottom w:val="nil"/>
              <w:right w:val="nil"/>
            </w:tcBorders>
            <w:shd w:val="clear" w:color="auto" w:fill="auto"/>
            <w:noWrap/>
            <w:hideMark/>
          </w:tcPr>
          <w:p w14:paraId="28C07C8D" w14:textId="77777777" w:rsidR="00B4617B" w:rsidRPr="006A4F51" w:rsidRDefault="00B4617B" w:rsidP="00CF14EA">
            <w:pPr>
              <w:pStyle w:val="CETBodytext"/>
              <w:jc w:val="right"/>
              <w:rPr>
                <w:lang w:val="en-GB"/>
              </w:rPr>
            </w:pPr>
            <w:r>
              <w:rPr>
                <w:lang w:val="en-GB"/>
              </w:rPr>
              <w:t>12.0</w:t>
            </w:r>
          </w:p>
        </w:tc>
        <w:tc>
          <w:tcPr>
            <w:tcW w:w="936" w:type="dxa"/>
            <w:tcBorders>
              <w:top w:val="nil"/>
              <w:left w:val="nil"/>
              <w:bottom w:val="nil"/>
              <w:right w:val="nil"/>
            </w:tcBorders>
            <w:shd w:val="clear" w:color="auto" w:fill="auto"/>
            <w:noWrap/>
            <w:hideMark/>
          </w:tcPr>
          <w:p w14:paraId="7B76FD2B" w14:textId="77777777" w:rsidR="00B4617B" w:rsidRPr="006A4F51" w:rsidRDefault="00B4617B" w:rsidP="00CF14EA">
            <w:pPr>
              <w:pStyle w:val="CETBodytext"/>
              <w:jc w:val="right"/>
              <w:rPr>
                <w:lang w:val="en-GB"/>
              </w:rPr>
            </w:pPr>
            <w:r>
              <w:rPr>
                <w:lang w:val="en-GB"/>
              </w:rPr>
              <w:t>1.095</w:t>
            </w:r>
          </w:p>
        </w:tc>
        <w:tc>
          <w:tcPr>
            <w:tcW w:w="1180" w:type="dxa"/>
            <w:tcBorders>
              <w:top w:val="nil"/>
              <w:left w:val="nil"/>
              <w:bottom w:val="nil"/>
              <w:right w:val="nil"/>
            </w:tcBorders>
            <w:shd w:val="clear" w:color="auto" w:fill="auto"/>
            <w:noWrap/>
            <w:hideMark/>
          </w:tcPr>
          <w:p w14:paraId="1EDB538F" w14:textId="77777777" w:rsidR="00B4617B" w:rsidRPr="006A4F51" w:rsidRDefault="00B4617B" w:rsidP="00CF14EA">
            <w:pPr>
              <w:pStyle w:val="CETBodytext"/>
              <w:jc w:val="right"/>
              <w:rPr>
                <w:lang w:val="en-GB"/>
              </w:rPr>
            </w:pPr>
            <w:r w:rsidRPr="006A4F51">
              <w:rPr>
                <w:lang w:val="en-GB"/>
              </w:rPr>
              <w:t>1</w:t>
            </w:r>
            <w:r>
              <w:rPr>
                <w:lang w:val="en-GB"/>
              </w:rPr>
              <w:t>4.839</w:t>
            </w:r>
          </w:p>
        </w:tc>
        <w:tc>
          <w:tcPr>
            <w:tcW w:w="1180" w:type="dxa"/>
            <w:tcBorders>
              <w:top w:val="nil"/>
              <w:left w:val="nil"/>
              <w:bottom w:val="nil"/>
              <w:right w:val="nil"/>
            </w:tcBorders>
            <w:shd w:val="clear" w:color="auto" w:fill="auto"/>
            <w:noWrap/>
            <w:hideMark/>
          </w:tcPr>
          <w:p w14:paraId="5F214F04" w14:textId="77777777" w:rsidR="00B4617B" w:rsidRPr="006A4F51" w:rsidRDefault="00B4617B" w:rsidP="00CF14EA">
            <w:pPr>
              <w:pStyle w:val="CETBodytext"/>
              <w:jc w:val="right"/>
              <w:rPr>
                <w:lang w:val="en-GB"/>
              </w:rPr>
            </w:pPr>
            <w:r>
              <w:rPr>
                <w:lang w:val="en-GB"/>
              </w:rPr>
              <w:t>0.00086</w:t>
            </w:r>
          </w:p>
        </w:tc>
        <w:tc>
          <w:tcPr>
            <w:tcW w:w="1180" w:type="dxa"/>
            <w:tcBorders>
              <w:top w:val="nil"/>
              <w:left w:val="nil"/>
              <w:bottom w:val="nil"/>
              <w:right w:val="nil"/>
            </w:tcBorders>
            <w:shd w:val="clear" w:color="auto" w:fill="auto"/>
            <w:noWrap/>
            <w:hideMark/>
          </w:tcPr>
          <w:p w14:paraId="1BE143E4" w14:textId="77777777" w:rsidR="00B4617B" w:rsidRPr="006A4F51" w:rsidRDefault="00B4617B" w:rsidP="00CF14EA">
            <w:pPr>
              <w:pStyle w:val="CETBodytext"/>
              <w:jc w:val="right"/>
              <w:rPr>
                <w:lang w:val="en-GB"/>
              </w:rPr>
            </w:pPr>
            <w:r>
              <w:rPr>
                <w:lang w:val="en-GB"/>
              </w:rPr>
              <w:t>-0.00302</w:t>
            </w:r>
          </w:p>
        </w:tc>
        <w:tc>
          <w:tcPr>
            <w:tcW w:w="1180" w:type="dxa"/>
            <w:tcBorders>
              <w:top w:val="nil"/>
              <w:left w:val="nil"/>
              <w:bottom w:val="nil"/>
              <w:right w:val="nil"/>
            </w:tcBorders>
            <w:shd w:val="clear" w:color="auto" w:fill="auto"/>
            <w:noWrap/>
            <w:hideMark/>
          </w:tcPr>
          <w:p w14:paraId="2BF649D6" w14:textId="77777777" w:rsidR="00B4617B" w:rsidRPr="006A4F51" w:rsidRDefault="00B4617B" w:rsidP="00CF14EA">
            <w:pPr>
              <w:pStyle w:val="CETBodytext"/>
              <w:jc w:val="right"/>
              <w:rPr>
                <w:lang w:val="en-GB"/>
              </w:rPr>
            </w:pPr>
            <w:r w:rsidRPr="006A4F51">
              <w:rPr>
                <w:lang w:val="en-GB"/>
              </w:rPr>
              <w:t>0</w:t>
            </w:r>
            <w:r>
              <w:rPr>
                <w:lang w:val="en-GB"/>
              </w:rPr>
              <w:t>.7786</w:t>
            </w:r>
          </w:p>
        </w:tc>
        <w:tc>
          <w:tcPr>
            <w:tcW w:w="1041" w:type="dxa"/>
            <w:tcBorders>
              <w:top w:val="nil"/>
              <w:left w:val="nil"/>
              <w:bottom w:val="nil"/>
              <w:right w:val="nil"/>
            </w:tcBorders>
          </w:tcPr>
          <w:p w14:paraId="227B5F93" w14:textId="77777777" w:rsidR="00B4617B" w:rsidRPr="006A4F51" w:rsidRDefault="00B4617B" w:rsidP="00CF14EA">
            <w:pPr>
              <w:pStyle w:val="CETBodytext"/>
              <w:jc w:val="right"/>
              <w:rPr>
                <w:lang w:val="en-GB"/>
              </w:rPr>
            </w:pPr>
            <w:r>
              <w:rPr>
                <w:lang w:val="en-GB"/>
              </w:rPr>
              <w:t>1.228</w:t>
            </w:r>
          </w:p>
        </w:tc>
        <w:tc>
          <w:tcPr>
            <w:tcW w:w="1041" w:type="dxa"/>
            <w:tcBorders>
              <w:top w:val="nil"/>
              <w:left w:val="nil"/>
              <w:bottom w:val="nil"/>
              <w:right w:val="nil"/>
            </w:tcBorders>
          </w:tcPr>
          <w:p w14:paraId="720E5328" w14:textId="77777777" w:rsidR="00B4617B" w:rsidRPr="006A4F51" w:rsidRDefault="00B4617B" w:rsidP="00CF14EA">
            <w:pPr>
              <w:pStyle w:val="CETBodytext"/>
              <w:jc w:val="right"/>
              <w:rPr>
                <w:lang w:val="en-GB"/>
              </w:rPr>
            </w:pPr>
            <w:r>
              <w:rPr>
                <w:lang w:val="en-GB"/>
              </w:rPr>
              <w:t>14.971</w:t>
            </w:r>
          </w:p>
        </w:tc>
      </w:tr>
      <w:tr w:rsidR="00B4617B" w:rsidRPr="006A4F51" w14:paraId="5D1282B4" w14:textId="77777777" w:rsidTr="007A0E4B">
        <w:trPr>
          <w:trHeight w:val="284"/>
        </w:trPr>
        <w:tc>
          <w:tcPr>
            <w:tcW w:w="569" w:type="dxa"/>
            <w:tcBorders>
              <w:top w:val="nil"/>
              <w:left w:val="nil"/>
              <w:right w:val="nil"/>
            </w:tcBorders>
            <w:shd w:val="clear" w:color="auto" w:fill="auto"/>
            <w:noWrap/>
            <w:hideMark/>
          </w:tcPr>
          <w:p w14:paraId="4CAEB8A2" w14:textId="77777777" w:rsidR="00B4617B" w:rsidRPr="006A4F51" w:rsidRDefault="00B4617B" w:rsidP="00CF14EA">
            <w:pPr>
              <w:pStyle w:val="CETBodytext"/>
              <w:jc w:val="right"/>
              <w:rPr>
                <w:lang w:val="en-GB"/>
              </w:rPr>
            </w:pPr>
            <w:r>
              <w:rPr>
                <w:lang w:val="en-GB"/>
              </w:rPr>
              <w:t>13.5</w:t>
            </w:r>
          </w:p>
        </w:tc>
        <w:tc>
          <w:tcPr>
            <w:tcW w:w="936" w:type="dxa"/>
            <w:tcBorders>
              <w:top w:val="nil"/>
              <w:left w:val="nil"/>
              <w:right w:val="nil"/>
            </w:tcBorders>
            <w:shd w:val="clear" w:color="auto" w:fill="auto"/>
            <w:noWrap/>
            <w:hideMark/>
          </w:tcPr>
          <w:p w14:paraId="65EDF252" w14:textId="77777777" w:rsidR="00B4617B" w:rsidRPr="006A4F51" w:rsidRDefault="00B4617B" w:rsidP="00CF14EA">
            <w:pPr>
              <w:pStyle w:val="CETBodytext"/>
              <w:jc w:val="right"/>
              <w:rPr>
                <w:lang w:val="en-GB"/>
              </w:rPr>
            </w:pPr>
            <w:r>
              <w:rPr>
                <w:lang w:val="en-GB"/>
              </w:rPr>
              <w:t>0.881</w:t>
            </w:r>
          </w:p>
        </w:tc>
        <w:tc>
          <w:tcPr>
            <w:tcW w:w="1180" w:type="dxa"/>
            <w:tcBorders>
              <w:top w:val="nil"/>
              <w:left w:val="nil"/>
              <w:right w:val="nil"/>
            </w:tcBorders>
            <w:shd w:val="clear" w:color="auto" w:fill="auto"/>
            <w:noWrap/>
            <w:hideMark/>
          </w:tcPr>
          <w:p w14:paraId="74761AF6" w14:textId="77777777" w:rsidR="00B4617B" w:rsidRPr="006A4F51" w:rsidRDefault="00B4617B" w:rsidP="00CF14EA">
            <w:pPr>
              <w:pStyle w:val="CETBodytext"/>
              <w:jc w:val="right"/>
              <w:rPr>
                <w:lang w:val="en-GB"/>
              </w:rPr>
            </w:pPr>
            <w:r w:rsidRPr="006A4F51">
              <w:rPr>
                <w:lang w:val="en-GB"/>
              </w:rPr>
              <w:t>1</w:t>
            </w:r>
            <w:r>
              <w:rPr>
                <w:lang w:val="en-GB"/>
              </w:rPr>
              <w:t>4.625</w:t>
            </w:r>
          </w:p>
        </w:tc>
        <w:tc>
          <w:tcPr>
            <w:tcW w:w="1180" w:type="dxa"/>
            <w:tcBorders>
              <w:top w:val="nil"/>
              <w:left w:val="nil"/>
              <w:right w:val="nil"/>
            </w:tcBorders>
            <w:shd w:val="clear" w:color="auto" w:fill="auto"/>
            <w:noWrap/>
            <w:hideMark/>
          </w:tcPr>
          <w:p w14:paraId="71F55423" w14:textId="77777777" w:rsidR="00B4617B" w:rsidRPr="006A4F51" w:rsidRDefault="00B4617B" w:rsidP="00CF14EA">
            <w:pPr>
              <w:pStyle w:val="CETBodytext"/>
              <w:jc w:val="right"/>
              <w:rPr>
                <w:lang w:val="en-GB"/>
              </w:rPr>
            </w:pPr>
            <w:r>
              <w:rPr>
                <w:lang w:val="en-GB"/>
              </w:rPr>
              <w:t>0.00085</w:t>
            </w:r>
          </w:p>
        </w:tc>
        <w:tc>
          <w:tcPr>
            <w:tcW w:w="1180" w:type="dxa"/>
            <w:tcBorders>
              <w:top w:val="nil"/>
              <w:left w:val="nil"/>
              <w:right w:val="nil"/>
            </w:tcBorders>
            <w:shd w:val="clear" w:color="auto" w:fill="auto"/>
            <w:noWrap/>
            <w:hideMark/>
          </w:tcPr>
          <w:p w14:paraId="6BA9BDD2" w14:textId="77777777" w:rsidR="00B4617B" w:rsidRPr="006A4F51" w:rsidRDefault="00B4617B" w:rsidP="00CF14EA">
            <w:pPr>
              <w:pStyle w:val="CETBodytext"/>
              <w:jc w:val="right"/>
              <w:rPr>
                <w:lang w:val="en-GB"/>
              </w:rPr>
            </w:pPr>
            <w:r>
              <w:rPr>
                <w:lang w:val="en-GB"/>
              </w:rPr>
              <w:t>-0.00300</w:t>
            </w:r>
          </w:p>
        </w:tc>
        <w:tc>
          <w:tcPr>
            <w:tcW w:w="1180" w:type="dxa"/>
            <w:tcBorders>
              <w:top w:val="nil"/>
              <w:left w:val="nil"/>
              <w:right w:val="nil"/>
            </w:tcBorders>
            <w:shd w:val="clear" w:color="auto" w:fill="auto"/>
            <w:noWrap/>
            <w:hideMark/>
          </w:tcPr>
          <w:p w14:paraId="69E40BE9" w14:textId="77777777" w:rsidR="00B4617B" w:rsidRPr="006A4F51" w:rsidRDefault="00B4617B" w:rsidP="00CF14EA">
            <w:pPr>
              <w:pStyle w:val="CETBodytext"/>
              <w:jc w:val="right"/>
              <w:rPr>
                <w:lang w:val="en-GB"/>
              </w:rPr>
            </w:pPr>
            <w:r w:rsidRPr="006A4F51">
              <w:rPr>
                <w:lang w:val="en-GB"/>
              </w:rPr>
              <w:t>0</w:t>
            </w:r>
            <w:r>
              <w:rPr>
                <w:lang w:val="en-GB"/>
              </w:rPr>
              <w:t>.7787</w:t>
            </w:r>
          </w:p>
        </w:tc>
        <w:tc>
          <w:tcPr>
            <w:tcW w:w="1041" w:type="dxa"/>
            <w:tcBorders>
              <w:top w:val="nil"/>
              <w:left w:val="nil"/>
              <w:right w:val="nil"/>
            </w:tcBorders>
          </w:tcPr>
          <w:p w14:paraId="6CA9D5C3" w14:textId="77777777" w:rsidR="00B4617B" w:rsidRPr="006A4F51" w:rsidRDefault="00B4617B" w:rsidP="00CF14EA">
            <w:pPr>
              <w:pStyle w:val="CETBodytext"/>
              <w:jc w:val="right"/>
              <w:rPr>
                <w:lang w:val="en-GB"/>
              </w:rPr>
            </w:pPr>
            <w:r>
              <w:rPr>
                <w:lang w:val="en-GB"/>
              </w:rPr>
              <w:t>1.000</w:t>
            </w:r>
          </w:p>
        </w:tc>
        <w:tc>
          <w:tcPr>
            <w:tcW w:w="1041" w:type="dxa"/>
            <w:tcBorders>
              <w:top w:val="nil"/>
              <w:left w:val="nil"/>
              <w:right w:val="nil"/>
            </w:tcBorders>
          </w:tcPr>
          <w:p w14:paraId="4A7A9E2A" w14:textId="77777777" w:rsidR="00B4617B" w:rsidRPr="006A4F51" w:rsidRDefault="00B4617B" w:rsidP="00CF14EA">
            <w:pPr>
              <w:pStyle w:val="CETBodytext"/>
              <w:jc w:val="right"/>
              <w:rPr>
                <w:lang w:val="en-GB"/>
              </w:rPr>
            </w:pPr>
            <w:r>
              <w:rPr>
                <w:lang w:val="en-GB"/>
              </w:rPr>
              <w:t>14.743</w:t>
            </w:r>
          </w:p>
        </w:tc>
      </w:tr>
      <w:tr w:rsidR="00B4617B" w:rsidRPr="006A4F51" w14:paraId="5705431E" w14:textId="77777777" w:rsidTr="007A0E4B">
        <w:trPr>
          <w:trHeight w:val="284"/>
        </w:trPr>
        <w:tc>
          <w:tcPr>
            <w:tcW w:w="569" w:type="dxa"/>
            <w:tcBorders>
              <w:top w:val="nil"/>
              <w:left w:val="nil"/>
              <w:bottom w:val="nil"/>
              <w:right w:val="nil"/>
            </w:tcBorders>
            <w:shd w:val="clear" w:color="auto" w:fill="auto"/>
            <w:noWrap/>
            <w:hideMark/>
          </w:tcPr>
          <w:p w14:paraId="2A2D1E3D" w14:textId="77777777" w:rsidR="00B4617B" w:rsidRPr="006A4F51" w:rsidRDefault="00B4617B" w:rsidP="00CF14EA">
            <w:pPr>
              <w:pStyle w:val="CETBodytext"/>
              <w:jc w:val="right"/>
              <w:rPr>
                <w:lang w:val="en-GB"/>
              </w:rPr>
            </w:pPr>
            <w:r w:rsidRPr="006A4F51">
              <w:rPr>
                <w:lang w:val="en-GB"/>
              </w:rPr>
              <w:t>1</w:t>
            </w:r>
            <w:r>
              <w:rPr>
                <w:lang w:val="en-GB"/>
              </w:rPr>
              <w:t>5.0</w:t>
            </w:r>
          </w:p>
        </w:tc>
        <w:tc>
          <w:tcPr>
            <w:tcW w:w="936" w:type="dxa"/>
            <w:tcBorders>
              <w:top w:val="nil"/>
              <w:left w:val="nil"/>
              <w:bottom w:val="nil"/>
              <w:right w:val="nil"/>
            </w:tcBorders>
            <w:shd w:val="clear" w:color="auto" w:fill="auto"/>
            <w:noWrap/>
            <w:hideMark/>
          </w:tcPr>
          <w:p w14:paraId="1FEDE4C0" w14:textId="77777777" w:rsidR="00B4617B" w:rsidRPr="006A4F51" w:rsidRDefault="00B4617B" w:rsidP="00CF14EA">
            <w:pPr>
              <w:pStyle w:val="CETBodytext"/>
              <w:jc w:val="right"/>
              <w:rPr>
                <w:lang w:val="en-GB"/>
              </w:rPr>
            </w:pPr>
            <w:r>
              <w:rPr>
                <w:lang w:val="en-GB"/>
              </w:rPr>
              <w:t>0.671</w:t>
            </w:r>
          </w:p>
        </w:tc>
        <w:tc>
          <w:tcPr>
            <w:tcW w:w="1180" w:type="dxa"/>
            <w:tcBorders>
              <w:top w:val="nil"/>
              <w:left w:val="nil"/>
              <w:bottom w:val="nil"/>
              <w:right w:val="nil"/>
            </w:tcBorders>
            <w:shd w:val="clear" w:color="auto" w:fill="auto"/>
            <w:noWrap/>
            <w:hideMark/>
          </w:tcPr>
          <w:p w14:paraId="046D6462" w14:textId="77777777" w:rsidR="00B4617B" w:rsidRPr="006A4F51" w:rsidRDefault="00B4617B" w:rsidP="00CF14EA">
            <w:pPr>
              <w:pStyle w:val="CETBodytext"/>
              <w:jc w:val="right"/>
              <w:rPr>
                <w:lang w:val="en-GB"/>
              </w:rPr>
            </w:pPr>
            <w:r w:rsidRPr="006A4F51">
              <w:rPr>
                <w:lang w:val="en-GB"/>
              </w:rPr>
              <w:t>1</w:t>
            </w:r>
            <w:r>
              <w:rPr>
                <w:lang w:val="en-GB"/>
              </w:rPr>
              <w:t>4.413</w:t>
            </w:r>
          </w:p>
        </w:tc>
        <w:tc>
          <w:tcPr>
            <w:tcW w:w="1180" w:type="dxa"/>
            <w:tcBorders>
              <w:top w:val="nil"/>
              <w:left w:val="nil"/>
              <w:bottom w:val="nil"/>
              <w:right w:val="nil"/>
            </w:tcBorders>
            <w:shd w:val="clear" w:color="auto" w:fill="auto"/>
            <w:noWrap/>
            <w:hideMark/>
          </w:tcPr>
          <w:p w14:paraId="73B0B3C7" w14:textId="77777777" w:rsidR="00B4617B" w:rsidRPr="006A4F51" w:rsidRDefault="00B4617B" w:rsidP="00CF14EA">
            <w:pPr>
              <w:pStyle w:val="CETBodytext"/>
              <w:jc w:val="right"/>
              <w:rPr>
                <w:lang w:val="en-GB"/>
              </w:rPr>
            </w:pPr>
            <w:r>
              <w:rPr>
                <w:lang w:val="en-GB"/>
              </w:rPr>
              <w:t>0.00083</w:t>
            </w:r>
          </w:p>
        </w:tc>
        <w:tc>
          <w:tcPr>
            <w:tcW w:w="1180" w:type="dxa"/>
            <w:tcBorders>
              <w:top w:val="nil"/>
              <w:left w:val="nil"/>
              <w:bottom w:val="nil"/>
              <w:right w:val="nil"/>
            </w:tcBorders>
            <w:shd w:val="clear" w:color="auto" w:fill="auto"/>
            <w:noWrap/>
            <w:hideMark/>
          </w:tcPr>
          <w:p w14:paraId="5CEDD1A0" w14:textId="77777777" w:rsidR="00B4617B" w:rsidRPr="006A4F51" w:rsidRDefault="00B4617B" w:rsidP="00CF14EA">
            <w:pPr>
              <w:pStyle w:val="CETBodytext"/>
              <w:jc w:val="right"/>
              <w:rPr>
                <w:lang w:val="en-GB"/>
              </w:rPr>
            </w:pPr>
            <w:r>
              <w:rPr>
                <w:lang w:val="en-GB"/>
              </w:rPr>
              <w:t>-0.00292</w:t>
            </w:r>
          </w:p>
        </w:tc>
        <w:tc>
          <w:tcPr>
            <w:tcW w:w="1180" w:type="dxa"/>
            <w:tcBorders>
              <w:top w:val="nil"/>
              <w:left w:val="nil"/>
              <w:bottom w:val="nil"/>
              <w:right w:val="nil"/>
            </w:tcBorders>
            <w:shd w:val="clear" w:color="auto" w:fill="auto"/>
            <w:noWrap/>
            <w:hideMark/>
          </w:tcPr>
          <w:p w14:paraId="2A8FDC8A" w14:textId="77777777" w:rsidR="00B4617B" w:rsidRPr="006A4F51" w:rsidRDefault="00B4617B" w:rsidP="00CF14EA">
            <w:pPr>
              <w:pStyle w:val="CETBodytext"/>
              <w:jc w:val="right"/>
              <w:rPr>
                <w:lang w:val="en-GB"/>
              </w:rPr>
            </w:pPr>
            <w:r w:rsidRPr="006A4F51">
              <w:rPr>
                <w:lang w:val="en-GB"/>
              </w:rPr>
              <w:t>0</w:t>
            </w:r>
            <w:r>
              <w:rPr>
                <w:lang w:val="en-GB"/>
              </w:rPr>
              <w:t>.</w:t>
            </w:r>
            <w:r w:rsidRPr="006A4F51">
              <w:rPr>
                <w:lang w:val="en-GB"/>
              </w:rPr>
              <w:t>7</w:t>
            </w:r>
            <w:r>
              <w:rPr>
                <w:lang w:val="en-GB"/>
              </w:rPr>
              <w:t>787</w:t>
            </w:r>
          </w:p>
        </w:tc>
        <w:tc>
          <w:tcPr>
            <w:tcW w:w="1041" w:type="dxa"/>
            <w:tcBorders>
              <w:top w:val="nil"/>
              <w:left w:val="nil"/>
              <w:bottom w:val="nil"/>
              <w:right w:val="nil"/>
            </w:tcBorders>
          </w:tcPr>
          <w:p w14:paraId="6C0C65CF" w14:textId="77777777" w:rsidR="00B4617B" w:rsidRPr="006A4F51" w:rsidRDefault="00B4617B" w:rsidP="00CF14EA">
            <w:pPr>
              <w:pStyle w:val="CETBodytext"/>
              <w:jc w:val="right"/>
              <w:rPr>
                <w:lang w:val="en-GB"/>
              </w:rPr>
            </w:pPr>
            <w:r>
              <w:rPr>
                <w:lang w:val="en-GB"/>
              </w:rPr>
              <w:t>0.775</w:t>
            </w:r>
          </w:p>
        </w:tc>
        <w:tc>
          <w:tcPr>
            <w:tcW w:w="1041" w:type="dxa"/>
            <w:tcBorders>
              <w:top w:val="nil"/>
              <w:left w:val="nil"/>
              <w:bottom w:val="nil"/>
              <w:right w:val="nil"/>
            </w:tcBorders>
          </w:tcPr>
          <w:p w14:paraId="32AAA193" w14:textId="77777777" w:rsidR="00B4617B" w:rsidRPr="006A4F51" w:rsidRDefault="00B4617B" w:rsidP="00CF14EA">
            <w:pPr>
              <w:pStyle w:val="CETBodytext"/>
              <w:jc w:val="right"/>
              <w:rPr>
                <w:lang w:val="en-GB"/>
              </w:rPr>
            </w:pPr>
            <w:r>
              <w:rPr>
                <w:lang w:val="en-GB"/>
              </w:rPr>
              <w:t>14.517</w:t>
            </w:r>
          </w:p>
        </w:tc>
      </w:tr>
      <w:tr w:rsidR="00B4617B" w:rsidRPr="006A4F51" w14:paraId="2B21C502" w14:textId="77777777" w:rsidTr="007A0E4B">
        <w:trPr>
          <w:trHeight w:val="284"/>
        </w:trPr>
        <w:tc>
          <w:tcPr>
            <w:tcW w:w="569" w:type="dxa"/>
            <w:tcBorders>
              <w:top w:val="nil"/>
              <w:left w:val="nil"/>
              <w:bottom w:val="nil"/>
              <w:right w:val="nil"/>
            </w:tcBorders>
            <w:shd w:val="clear" w:color="auto" w:fill="auto"/>
            <w:noWrap/>
            <w:hideMark/>
          </w:tcPr>
          <w:p w14:paraId="7FECB102" w14:textId="77777777" w:rsidR="00B4617B" w:rsidRPr="006A4F51" w:rsidRDefault="00B4617B" w:rsidP="00CF14EA">
            <w:pPr>
              <w:pStyle w:val="CETBodytext"/>
              <w:jc w:val="right"/>
              <w:rPr>
                <w:lang w:val="en-GB"/>
              </w:rPr>
            </w:pPr>
            <w:r w:rsidRPr="006A4F51">
              <w:rPr>
                <w:lang w:val="en-GB"/>
              </w:rPr>
              <w:t>1</w:t>
            </w:r>
            <w:r>
              <w:rPr>
                <w:lang w:val="en-GB"/>
              </w:rPr>
              <w:t>6.5</w:t>
            </w:r>
          </w:p>
        </w:tc>
        <w:tc>
          <w:tcPr>
            <w:tcW w:w="936" w:type="dxa"/>
            <w:tcBorders>
              <w:top w:val="nil"/>
              <w:left w:val="nil"/>
              <w:bottom w:val="nil"/>
              <w:right w:val="nil"/>
            </w:tcBorders>
            <w:shd w:val="clear" w:color="auto" w:fill="auto"/>
            <w:noWrap/>
            <w:hideMark/>
          </w:tcPr>
          <w:p w14:paraId="364F9522" w14:textId="77777777" w:rsidR="00B4617B" w:rsidRPr="006A4F51" w:rsidRDefault="00B4617B" w:rsidP="00CF14EA">
            <w:pPr>
              <w:pStyle w:val="CETBodytext"/>
              <w:jc w:val="right"/>
              <w:rPr>
                <w:lang w:val="en-GB"/>
              </w:rPr>
            </w:pPr>
            <w:r>
              <w:rPr>
                <w:lang w:val="en-GB"/>
              </w:rPr>
              <w:t>0.469</w:t>
            </w:r>
          </w:p>
        </w:tc>
        <w:tc>
          <w:tcPr>
            <w:tcW w:w="1180" w:type="dxa"/>
            <w:tcBorders>
              <w:top w:val="nil"/>
              <w:left w:val="nil"/>
              <w:bottom w:val="nil"/>
              <w:right w:val="nil"/>
            </w:tcBorders>
            <w:shd w:val="clear" w:color="auto" w:fill="auto"/>
            <w:noWrap/>
            <w:hideMark/>
          </w:tcPr>
          <w:p w14:paraId="2619197D" w14:textId="77777777" w:rsidR="00B4617B" w:rsidRPr="006A4F51" w:rsidRDefault="00B4617B" w:rsidP="00CF14EA">
            <w:pPr>
              <w:pStyle w:val="CETBodytext"/>
              <w:jc w:val="right"/>
              <w:rPr>
                <w:lang w:val="en-GB"/>
              </w:rPr>
            </w:pPr>
            <w:r w:rsidRPr="006A4F51">
              <w:rPr>
                <w:lang w:val="en-GB"/>
              </w:rPr>
              <w:t>1</w:t>
            </w:r>
            <w:r>
              <w:rPr>
                <w:lang w:val="en-GB"/>
              </w:rPr>
              <w:t>4.210</w:t>
            </w:r>
          </w:p>
        </w:tc>
        <w:tc>
          <w:tcPr>
            <w:tcW w:w="1180" w:type="dxa"/>
            <w:tcBorders>
              <w:top w:val="nil"/>
              <w:left w:val="nil"/>
              <w:bottom w:val="nil"/>
              <w:right w:val="nil"/>
            </w:tcBorders>
            <w:shd w:val="clear" w:color="auto" w:fill="auto"/>
            <w:noWrap/>
            <w:hideMark/>
          </w:tcPr>
          <w:p w14:paraId="2BF3859C" w14:textId="77777777" w:rsidR="00B4617B" w:rsidRPr="006A4F51" w:rsidRDefault="00B4617B" w:rsidP="00CF14EA">
            <w:pPr>
              <w:pStyle w:val="CETBodytext"/>
              <w:jc w:val="right"/>
              <w:rPr>
                <w:lang w:val="en-GB"/>
              </w:rPr>
            </w:pPr>
            <w:r>
              <w:rPr>
                <w:lang w:val="en-GB"/>
              </w:rPr>
              <w:t>0.00079</w:t>
            </w:r>
          </w:p>
        </w:tc>
        <w:tc>
          <w:tcPr>
            <w:tcW w:w="1180" w:type="dxa"/>
            <w:tcBorders>
              <w:top w:val="nil"/>
              <w:left w:val="nil"/>
              <w:bottom w:val="nil"/>
              <w:right w:val="nil"/>
            </w:tcBorders>
            <w:shd w:val="clear" w:color="auto" w:fill="auto"/>
            <w:noWrap/>
            <w:hideMark/>
          </w:tcPr>
          <w:p w14:paraId="38598A2A" w14:textId="77777777" w:rsidR="00B4617B" w:rsidRPr="006A4F51" w:rsidRDefault="00B4617B" w:rsidP="00CF14EA">
            <w:pPr>
              <w:pStyle w:val="CETBodytext"/>
              <w:jc w:val="right"/>
              <w:rPr>
                <w:lang w:val="en-GB"/>
              </w:rPr>
            </w:pPr>
            <w:r>
              <w:rPr>
                <w:lang w:val="en-GB"/>
              </w:rPr>
              <w:t>-0.00278</w:t>
            </w:r>
          </w:p>
        </w:tc>
        <w:tc>
          <w:tcPr>
            <w:tcW w:w="1180" w:type="dxa"/>
            <w:tcBorders>
              <w:top w:val="nil"/>
              <w:left w:val="nil"/>
              <w:bottom w:val="nil"/>
              <w:right w:val="nil"/>
            </w:tcBorders>
            <w:shd w:val="clear" w:color="auto" w:fill="auto"/>
            <w:noWrap/>
            <w:hideMark/>
          </w:tcPr>
          <w:p w14:paraId="5E163497" w14:textId="77777777" w:rsidR="00B4617B" w:rsidRPr="006A4F51" w:rsidRDefault="00B4617B" w:rsidP="00CF14EA">
            <w:pPr>
              <w:pStyle w:val="CETBodytext"/>
              <w:jc w:val="right"/>
              <w:rPr>
                <w:lang w:val="en-GB"/>
              </w:rPr>
            </w:pPr>
            <w:r w:rsidRPr="006A4F51">
              <w:rPr>
                <w:lang w:val="en-GB"/>
              </w:rPr>
              <w:t>0</w:t>
            </w:r>
            <w:r>
              <w:rPr>
                <w:lang w:val="en-GB"/>
              </w:rPr>
              <w:t>.</w:t>
            </w:r>
            <w:r w:rsidRPr="006A4F51">
              <w:rPr>
                <w:lang w:val="en-GB"/>
              </w:rPr>
              <w:t>7</w:t>
            </w:r>
            <w:r>
              <w:rPr>
                <w:lang w:val="en-GB"/>
              </w:rPr>
              <w:t>788</w:t>
            </w:r>
          </w:p>
        </w:tc>
        <w:tc>
          <w:tcPr>
            <w:tcW w:w="1041" w:type="dxa"/>
            <w:tcBorders>
              <w:top w:val="nil"/>
              <w:left w:val="nil"/>
              <w:bottom w:val="nil"/>
              <w:right w:val="nil"/>
            </w:tcBorders>
          </w:tcPr>
          <w:p w14:paraId="14EC5BB3" w14:textId="77777777" w:rsidR="00B4617B" w:rsidRPr="006A4F51" w:rsidRDefault="00B4617B" w:rsidP="00CF14EA">
            <w:pPr>
              <w:pStyle w:val="CETBodytext"/>
              <w:jc w:val="right"/>
              <w:rPr>
                <w:lang w:val="en-GB"/>
              </w:rPr>
            </w:pPr>
            <w:r>
              <w:rPr>
                <w:lang w:val="en-GB"/>
              </w:rPr>
              <w:t>0.556</w:t>
            </w:r>
          </w:p>
        </w:tc>
        <w:tc>
          <w:tcPr>
            <w:tcW w:w="1041" w:type="dxa"/>
            <w:tcBorders>
              <w:top w:val="nil"/>
              <w:left w:val="nil"/>
              <w:bottom w:val="nil"/>
              <w:right w:val="nil"/>
            </w:tcBorders>
          </w:tcPr>
          <w:p w14:paraId="4A86A982" w14:textId="77777777" w:rsidR="00B4617B" w:rsidRPr="006A4F51" w:rsidRDefault="00B4617B" w:rsidP="00CF14EA">
            <w:pPr>
              <w:pStyle w:val="CETBodytext"/>
              <w:jc w:val="right"/>
              <w:rPr>
                <w:lang w:val="en-GB"/>
              </w:rPr>
            </w:pPr>
            <w:r>
              <w:rPr>
                <w:lang w:val="en-GB"/>
              </w:rPr>
              <w:t>14.297</w:t>
            </w:r>
          </w:p>
        </w:tc>
      </w:tr>
      <w:tr w:rsidR="00B4617B" w:rsidRPr="006A4F51" w14:paraId="0BE5E464" w14:textId="77777777" w:rsidTr="007A0E4B">
        <w:trPr>
          <w:trHeight w:val="284"/>
        </w:trPr>
        <w:tc>
          <w:tcPr>
            <w:tcW w:w="569" w:type="dxa"/>
            <w:tcBorders>
              <w:top w:val="nil"/>
              <w:left w:val="nil"/>
              <w:bottom w:val="nil"/>
              <w:right w:val="nil"/>
            </w:tcBorders>
            <w:shd w:val="clear" w:color="auto" w:fill="auto"/>
            <w:noWrap/>
            <w:hideMark/>
          </w:tcPr>
          <w:p w14:paraId="498F9CF7" w14:textId="77777777" w:rsidR="00B4617B" w:rsidRPr="006A4F51" w:rsidRDefault="00B4617B" w:rsidP="00CF14EA">
            <w:pPr>
              <w:pStyle w:val="CETBodytext"/>
              <w:jc w:val="right"/>
              <w:rPr>
                <w:lang w:val="en-GB"/>
              </w:rPr>
            </w:pPr>
            <w:r w:rsidRPr="006A4F51">
              <w:rPr>
                <w:lang w:val="en-GB"/>
              </w:rPr>
              <w:t>1</w:t>
            </w:r>
            <w:r>
              <w:rPr>
                <w:lang w:val="en-GB"/>
              </w:rPr>
              <w:t>8.0</w:t>
            </w:r>
          </w:p>
        </w:tc>
        <w:tc>
          <w:tcPr>
            <w:tcW w:w="936" w:type="dxa"/>
            <w:tcBorders>
              <w:top w:val="nil"/>
              <w:left w:val="nil"/>
              <w:bottom w:val="nil"/>
              <w:right w:val="nil"/>
            </w:tcBorders>
            <w:shd w:val="clear" w:color="auto" w:fill="auto"/>
            <w:noWrap/>
            <w:hideMark/>
          </w:tcPr>
          <w:p w14:paraId="25859543" w14:textId="77777777" w:rsidR="00B4617B" w:rsidRPr="006A4F51" w:rsidRDefault="00B4617B" w:rsidP="00CF14EA">
            <w:pPr>
              <w:pStyle w:val="CETBodytext"/>
              <w:jc w:val="right"/>
              <w:rPr>
                <w:lang w:val="en-GB"/>
              </w:rPr>
            </w:pPr>
            <w:r>
              <w:rPr>
                <w:lang w:val="en-GB"/>
              </w:rPr>
              <w:t>0.278</w:t>
            </w:r>
          </w:p>
        </w:tc>
        <w:tc>
          <w:tcPr>
            <w:tcW w:w="1180" w:type="dxa"/>
            <w:tcBorders>
              <w:top w:val="nil"/>
              <w:left w:val="nil"/>
              <w:bottom w:val="nil"/>
              <w:right w:val="nil"/>
            </w:tcBorders>
            <w:shd w:val="clear" w:color="auto" w:fill="auto"/>
            <w:noWrap/>
            <w:hideMark/>
          </w:tcPr>
          <w:p w14:paraId="10BBE38A" w14:textId="77777777" w:rsidR="00B4617B" w:rsidRPr="006A4F51" w:rsidRDefault="00B4617B" w:rsidP="00CF14EA">
            <w:pPr>
              <w:pStyle w:val="CETBodytext"/>
              <w:jc w:val="right"/>
              <w:rPr>
                <w:lang w:val="en-GB"/>
              </w:rPr>
            </w:pPr>
            <w:r w:rsidRPr="006A4F51">
              <w:rPr>
                <w:lang w:val="en-GB"/>
              </w:rPr>
              <w:t>1</w:t>
            </w:r>
            <w:r>
              <w:rPr>
                <w:lang w:val="en-GB"/>
              </w:rPr>
              <w:t>4.019</w:t>
            </w:r>
          </w:p>
        </w:tc>
        <w:tc>
          <w:tcPr>
            <w:tcW w:w="1180" w:type="dxa"/>
            <w:tcBorders>
              <w:top w:val="nil"/>
              <w:left w:val="nil"/>
              <w:bottom w:val="nil"/>
              <w:right w:val="nil"/>
            </w:tcBorders>
            <w:shd w:val="clear" w:color="auto" w:fill="auto"/>
            <w:noWrap/>
            <w:hideMark/>
          </w:tcPr>
          <w:p w14:paraId="1314E174" w14:textId="77777777" w:rsidR="00B4617B" w:rsidRPr="006A4F51" w:rsidRDefault="00B4617B" w:rsidP="00CF14EA">
            <w:pPr>
              <w:pStyle w:val="CETBodytext"/>
              <w:jc w:val="right"/>
              <w:rPr>
                <w:lang w:val="en-GB"/>
              </w:rPr>
            </w:pPr>
            <w:r>
              <w:rPr>
                <w:lang w:val="en-GB"/>
              </w:rPr>
              <w:t>0.00074</w:t>
            </w:r>
          </w:p>
        </w:tc>
        <w:tc>
          <w:tcPr>
            <w:tcW w:w="1180" w:type="dxa"/>
            <w:tcBorders>
              <w:top w:val="nil"/>
              <w:left w:val="nil"/>
              <w:bottom w:val="nil"/>
              <w:right w:val="nil"/>
            </w:tcBorders>
            <w:shd w:val="clear" w:color="auto" w:fill="auto"/>
            <w:noWrap/>
            <w:hideMark/>
          </w:tcPr>
          <w:p w14:paraId="2319DB16" w14:textId="77777777" w:rsidR="00B4617B" w:rsidRPr="006A4F51" w:rsidRDefault="00B4617B" w:rsidP="00CF14EA">
            <w:pPr>
              <w:pStyle w:val="CETBodytext"/>
              <w:jc w:val="right"/>
              <w:rPr>
                <w:lang w:val="en-GB"/>
              </w:rPr>
            </w:pPr>
            <w:r>
              <w:rPr>
                <w:lang w:val="en-GB"/>
              </w:rPr>
              <w:t>-0.00260</w:t>
            </w:r>
          </w:p>
        </w:tc>
        <w:tc>
          <w:tcPr>
            <w:tcW w:w="1180" w:type="dxa"/>
            <w:tcBorders>
              <w:top w:val="nil"/>
              <w:left w:val="nil"/>
              <w:bottom w:val="nil"/>
              <w:right w:val="nil"/>
            </w:tcBorders>
            <w:shd w:val="clear" w:color="auto" w:fill="auto"/>
            <w:noWrap/>
            <w:hideMark/>
          </w:tcPr>
          <w:p w14:paraId="31F69A75" w14:textId="77777777" w:rsidR="00B4617B" w:rsidRPr="006A4F51" w:rsidRDefault="00B4617B" w:rsidP="00CF14EA">
            <w:pPr>
              <w:pStyle w:val="CETBodytext"/>
              <w:jc w:val="right"/>
              <w:rPr>
                <w:lang w:val="en-GB"/>
              </w:rPr>
            </w:pPr>
            <w:r w:rsidRPr="006A4F51">
              <w:rPr>
                <w:lang w:val="en-GB"/>
              </w:rPr>
              <w:t>0</w:t>
            </w:r>
            <w:r>
              <w:rPr>
                <w:lang w:val="en-GB"/>
              </w:rPr>
              <w:t>.</w:t>
            </w:r>
            <w:r w:rsidRPr="006A4F51">
              <w:rPr>
                <w:lang w:val="en-GB"/>
              </w:rPr>
              <w:t>7</w:t>
            </w:r>
            <w:r>
              <w:rPr>
                <w:lang w:val="en-GB"/>
              </w:rPr>
              <w:t>788</w:t>
            </w:r>
          </w:p>
        </w:tc>
        <w:tc>
          <w:tcPr>
            <w:tcW w:w="1041" w:type="dxa"/>
            <w:tcBorders>
              <w:top w:val="nil"/>
              <w:left w:val="nil"/>
              <w:bottom w:val="nil"/>
              <w:right w:val="nil"/>
            </w:tcBorders>
          </w:tcPr>
          <w:p w14:paraId="5C904E92" w14:textId="77777777" w:rsidR="00B4617B" w:rsidRPr="006A4F51" w:rsidRDefault="00B4617B" w:rsidP="00CF14EA">
            <w:pPr>
              <w:pStyle w:val="CETBodytext"/>
              <w:jc w:val="right"/>
              <w:rPr>
                <w:lang w:val="en-GB"/>
              </w:rPr>
            </w:pPr>
            <w:r>
              <w:rPr>
                <w:lang w:val="en-GB"/>
              </w:rPr>
              <w:t>0.346</w:t>
            </w:r>
          </w:p>
        </w:tc>
        <w:tc>
          <w:tcPr>
            <w:tcW w:w="1041" w:type="dxa"/>
            <w:tcBorders>
              <w:top w:val="nil"/>
              <w:left w:val="nil"/>
              <w:bottom w:val="nil"/>
              <w:right w:val="nil"/>
            </w:tcBorders>
          </w:tcPr>
          <w:p w14:paraId="27232F9A" w14:textId="77777777" w:rsidR="00B4617B" w:rsidRPr="006A4F51" w:rsidRDefault="00B4617B" w:rsidP="00CF14EA">
            <w:pPr>
              <w:pStyle w:val="CETBodytext"/>
              <w:jc w:val="right"/>
              <w:rPr>
                <w:lang w:val="en-GB"/>
              </w:rPr>
            </w:pPr>
            <w:r>
              <w:rPr>
                <w:lang w:val="en-GB"/>
              </w:rPr>
              <w:t>14.086</w:t>
            </w:r>
          </w:p>
        </w:tc>
      </w:tr>
      <w:tr w:rsidR="00B4617B" w:rsidRPr="006A4F51" w14:paraId="57DF56A3" w14:textId="77777777" w:rsidTr="007A0E4B">
        <w:trPr>
          <w:trHeight w:val="284"/>
        </w:trPr>
        <w:tc>
          <w:tcPr>
            <w:tcW w:w="569" w:type="dxa"/>
            <w:tcBorders>
              <w:top w:val="nil"/>
              <w:left w:val="nil"/>
              <w:bottom w:val="nil"/>
              <w:right w:val="nil"/>
            </w:tcBorders>
            <w:shd w:val="clear" w:color="auto" w:fill="auto"/>
            <w:noWrap/>
            <w:hideMark/>
          </w:tcPr>
          <w:p w14:paraId="0D7781B6" w14:textId="77777777" w:rsidR="00B4617B" w:rsidRPr="006A4F51" w:rsidRDefault="00B4617B" w:rsidP="00CF14EA">
            <w:pPr>
              <w:pStyle w:val="CETBodytext"/>
              <w:jc w:val="right"/>
              <w:rPr>
                <w:lang w:val="en-GB"/>
              </w:rPr>
            </w:pPr>
            <w:r w:rsidRPr="006A4F51">
              <w:rPr>
                <w:lang w:val="en-GB"/>
              </w:rPr>
              <w:t>1</w:t>
            </w:r>
            <w:r>
              <w:rPr>
                <w:lang w:val="en-GB"/>
              </w:rPr>
              <w:t>9.5</w:t>
            </w:r>
          </w:p>
        </w:tc>
        <w:tc>
          <w:tcPr>
            <w:tcW w:w="936" w:type="dxa"/>
            <w:tcBorders>
              <w:top w:val="nil"/>
              <w:left w:val="nil"/>
              <w:bottom w:val="nil"/>
              <w:right w:val="nil"/>
            </w:tcBorders>
            <w:shd w:val="clear" w:color="auto" w:fill="auto"/>
            <w:noWrap/>
            <w:hideMark/>
          </w:tcPr>
          <w:p w14:paraId="3CB7CB21" w14:textId="77777777" w:rsidR="00B4617B" w:rsidRPr="006A4F51" w:rsidRDefault="00B4617B" w:rsidP="00CF14EA">
            <w:pPr>
              <w:pStyle w:val="CETBodytext"/>
              <w:jc w:val="right"/>
              <w:rPr>
                <w:lang w:val="en-GB"/>
              </w:rPr>
            </w:pPr>
            <w:r>
              <w:rPr>
                <w:lang w:val="en-GB"/>
              </w:rPr>
              <w:t>0.103</w:t>
            </w:r>
          </w:p>
        </w:tc>
        <w:tc>
          <w:tcPr>
            <w:tcW w:w="1180" w:type="dxa"/>
            <w:tcBorders>
              <w:top w:val="nil"/>
              <w:left w:val="nil"/>
              <w:bottom w:val="nil"/>
              <w:right w:val="nil"/>
            </w:tcBorders>
            <w:shd w:val="clear" w:color="auto" w:fill="auto"/>
            <w:noWrap/>
            <w:hideMark/>
          </w:tcPr>
          <w:p w14:paraId="71F88AAD" w14:textId="77777777" w:rsidR="00B4617B" w:rsidRPr="006A4F51" w:rsidRDefault="00B4617B" w:rsidP="00CF14EA">
            <w:pPr>
              <w:pStyle w:val="CETBodytext"/>
              <w:jc w:val="right"/>
              <w:rPr>
                <w:lang w:val="en-GB"/>
              </w:rPr>
            </w:pPr>
            <w:r w:rsidRPr="006A4F51">
              <w:rPr>
                <w:lang w:val="en-GB"/>
              </w:rPr>
              <w:t>1</w:t>
            </w:r>
            <w:r>
              <w:rPr>
                <w:lang w:val="en-GB"/>
              </w:rPr>
              <w:t>3.842</w:t>
            </w:r>
          </w:p>
        </w:tc>
        <w:tc>
          <w:tcPr>
            <w:tcW w:w="1180" w:type="dxa"/>
            <w:tcBorders>
              <w:top w:val="nil"/>
              <w:left w:val="nil"/>
              <w:bottom w:val="nil"/>
              <w:right w:val="nil"/>
            </w:tcBorders>
            <w:shd w:val="clear" w:color="auto" w:fill="auto"/>
            <w:noWrap/>
            <w:hideMark/>
          </w:tcPr>
          <w:p w14:paraId="66ECF8F2" w14:textId="77777777" w:rsidR="00B4617B" w:rsidRPr="006A4F51" w:rsidRDefault="00B4617B" w:rsidP="00CF14EA">
            <w:pPr>
              <w:pStyle w:val="CETBodytext"/>
              <w:jc w:val="right"/>
              <w:rPr>
                <w:lang w:val="en-GB"/>
              </w:rPr>
            </w:pPr>
            <w:r>
              <w:rPr>
                <w:lang w:val="en-GB"/>
              </w:rPr>
              <w:t>0.00067</w:t>
            </w:r>
          </w:p>
        </w:tc>
        <w:tc>
          <w:tcPr>
            <w:tcW w:w="1180" w:type="dxa"/>
            <w:tcBorders>
              <w:top w:val="nil"/>
              <w:left w:val="nil"/>
              <w:bottom w:val="nil"/>
              <w:right w:val="nil"/>
            </w:tcBorders>
            <w:shd w:val="clear" w:color="auto" w:fill="auto"/>
            <w:noWrap/>
            <w:hideMark/>
          </w:tcPr>
          <w:p w14:paraId="2C173D8C" w14:textId="77777777" w:rsidR="00B4617B" w:rsidRPr="006A4F51" w:rsidRDefault="00B4617B" w:rsidP="00CF14EA">
            <w:pPr>
              <w:pStyle w:val="CETBodytext"/>
              <w:jc w:val="right"/>
              <w:rPr>
                <w:lang w:val="en-GB"/>
              </w:rPr>
            </w:pPr>
            <w:r>
              <w:rPr>
                <w:lang w:val="en-GB"/>
              </w:rPr>
              <w:t>-0.00236</w:t>
            </w:r>
          </w:p>
        </w:tc>
        <w:tc>
          <w:tcPr>
            <w:tcW w:w="1180" w:type="dxa"/>
            <w:tcBorders>
              <w:top w:val="nil"/>
              <w:left w:val="nil"/>
              <w:bottom w:val="nil"/>
              <w:right w:val="nil"/>
            </w:tcBorders>
            <w:shd w:val="clear" w:color="auto" w:fill="auto"/>
            <w:noWrap/>
            <w:hideMark/>
          </w:tcPr>
          <w:p w14:paraId="12A0F157" w14:textId="77777777" w:rsidR="00B4617B" w:rsidRPr="006A4F51" w:rsidRDefault="00B4617B" w:rsidP="00CF14EA">
            <w:pPr>
              <w:pStyle w:val="CETBodytext"/>
              <w:jc w:val="right"/>
              <w:rPr>
                <w:lang w:val="en-GB"/>
              </w:rPr>
            </w:pPr>
            <w:r w:rsidRPr="006A4F51">
              <w:rPr>
                <w:lang w:val="en-GB"/>
              </w:rPr>
              <w:t>0</w:t>
            </w:r>
            <w:r>
              <w:rPr>
                <w:lang w:val="en-GB"/>
              </w:rPr>
              <w:t>.</w:t>
            </w:r>
            <w:r w:rsidRPr="006A4F51">
              <w:rPr>
                <w:lang w:val="en-GB"/>
              </w:rPr>
              <w:t>7</w:t>
            </w:r>
            <w:r>
              <w:rPr>
                <w:lang w:val="en-GB"/>
              </w:rPr>
              <w:t>789</w:t>
            </w:r>
          </w:p>
        </w:tc>
        <w:tc>
          <w:tcPr>
            <w:tcW w:w="1041" w:type="dxa"/>
            <w:tcBorders>
              <w:top w:val="nil"/>
              <w:left w:val="nil"/>
              <w:bottom w:val="nil"/>
              <w:right w:val="nil"/>
            </w:tcBorders>
          </w:tcPr>
          <w:p w14:paraId="4357430A" w14:textId="77777777" w:rsidR="00B4617B" w:rsidRPr="006A4F51" w:rsidRDefault="00B4617B" w:rsidP="00CF14EA">
            <w:pPr>
              <w:pStyle w:val="CETBodytext"/>
              <w:jc w:val="right"/>
              <w:rPr>
                <w:lang w:val="en-GB"/>
              </w:rPr>
            </w:pPr>
            <w:r>
              <w:rPr>
                <w:lang w:val="en-GB"/>
              </w:rPr>
              <w:t>0.149</w:t>
            </w:r>
          </w:p>
        </w:tc>
        <w:tc>
          <w:tcPr>
            <w:tcW w:w="1041" w:type="dxa"/>
            <w:tcBorders>
              <w:top w:val="nil"/>
              <w:left w:val="nil"/>
              <w:bottom w:val="nil"/>
              <w:right w:val="nil"/>
            </w:tcBorders>
          </w:tcPr>
          <w:p w14:paraId="05B3A576" w14:textId="77777777" w:rsidR="00B4617B" w:rsidRPr="006A4F51" w:rsidRDefault="00B4617B" w:rsidP="00CF14EA">
            <w:pPr>
              <w:pStyle w:val="CETBodytext"/>
              <w:jc w:val="right"/>
              <w:rPr>
                <w:lang w:val="en-GB"/>
              </w:rPr>
            </w:pPr>
            <w:r>
              <w:rPr>
                <w:lang w:val="en-GB"/>
              </w:rPr>
              <w:t>13.888</w:t>
            </w:r>
          </w:p>
        </w:tc>
      </w:tr>
      <w:tr w:rsidR="00B4617B" w:rsidRPr="006A4F51" w14:paraId="08356B91" w14:textId="77777777" w:rsidTr="007A0E4B">
        <w:trPr>
          <w:trHeight w:val="284"/>
        </w:trPr>
        <w:tc>
          <w:tcPr>
            <w:tcW w:w="569" w:type="dxa"/>
            <w:tcBorders>
              <w:top w:val="nil"/>
              <w:left w:val="nil"/>
              <w:bottom w:val="nil"/>
              <w:right w:val="nil"/>
            </w:tcBorders>
            <w:shd w:val="clear" w:color="auto" w:fill="auto"/>
            <w:noWrap/>
            <w:hideMark/>
          </w:tcPr>
          <w:p w14:paraId="2E0BA2F4" w14:textId="77777777" w:rsidR="00B4617B" w:rsidRPr="006A4F51" w:rsidRDefault="00B4617B" w:rsidP="00CF14EA">
            <w:pPr>
              <w:pStyle w:val="CETBodytext"/>
              <w:jc w:val="right"/>
              <w:rPr>
                <w:lang w:val="en-GB"/>
              </w:rPr>
            </w:pPr>
            <w:r>
              <w:rPr>
                <w:lang w:val="en-GB"/>
              </w:rPr>
              <w:t>21.0</w:t>
            </w:r>
          </w:p>
        </w:tc>
        <w:tc>
          <w:tcPr>
            <w:tcW w:w="936" w:type="dxa"/>
            <w:tcBorders>
              <w:top w:val="nil"/>
              <w:left w:val="nil"/>
              <w:bottom w:val="nil"/>
              <w:right w:val="nil"/>
            </w:tcBorders>
            <w:shd w:val="clear" w:color="auto" w:fill="auto"/>
            <w:noWrap/>
            <w:hideMark/>
          </w:tcPr>
          <w:p w14:paraId="0F772829" w14:textId="77777777" w:rsidR="00B4617B" w:rsidRPr="006A4F51" w:rsidRDefault="00B4617B" w:rsidP="00CF14EA">
            <w:pPr>
              <w:pStyle w:val="CETBodytext"/>
              <w:jc w:val="right"/>
              <w:rPr>
                <w:lang w:val="en-GB"/>
              </w:rPr>
            </w:pPr>
            <w:r>
              <w:rPr>
                <w:lang w:val="en-GB"/>
              </w:rPr>
              <w:t>-0.055</w:t>
            </w:r>
          </w:p>
        </w:tc>
        <w:tc>
          <w:tcPr>
            <w:tcW w:w="1180" w:type="dxa"/>
            <w:tcBorders>
              <w:top w:val="nil"/>
              <w:left w:val="nil"/>
              <w:bottom w:val="nil"/>
              <w:right w:val="nil"/>
            </w:tcBorders>
            <w:shd w:val="clear" w:color="auto" w:fill="auto"/>
            <w:noWrap/>
            <w:hideMark/>
          </w:tcPr>
          <w:p w14:paraId="694C653D" w14:textId="77777777" w:rsidR="00B4617B" w:rsidRPr="006A4F51" w:rsidRDefault="00B4617B" w:rsidP="00CF14EA">
            <w:pPr>
              <w:pStyle w:val="CETBodytext"/>
              <w:jc w:val="right"/>
              <w:rPr>
                <w:lang w:val="en-GB"/>
              </w:rPr>
            </w:pPr>
            <w:r w:rsidRPr="006A4F51">
              <w:rPr>
                <w:lang w:val="en-GB"/>
              </w:rPr>
              <w:t>1</w:t>
            </w:r>
            <w:r>
              <w:rPr>
                <w:lang w:val="en-GB"/>
              </w:rPr>
              <w:t>3.683</w:t>
            </w:r>
          </w:p>
        </w:tc>
        <w:tc>
          <w:tcPr>
            <w:tcW w:w="1180" w:type="dxa"/>
            <w:tcBorders>
              <w:top w:val="nil"/>
              <w:left w:val="nil"/>
              <w:bottom w:val="nil"/>
              <w:right w:val="nil"/>
            </w:tcBorders>
            <w:shd w:val="clear" w:color="auto" w:fill="auto"/>
            <w:noWrap/>
            <w:hideMark/>
          </w:tcPr>
          <w:p w14:paraId="32D4C5C7" w14:textId="77777777" w:rsidR="00B4617B" w:rsidRPr="006A4F51" w:rsidRDefault="00B4617B" w:rsidP="00CF14EA">
            <w:pPr>
              <w:pStyle w:val="CETBodytext"/>
              <w:jc w:val="right"/>
              <w:rPr>
                <w:lang w:val="en-GB"/>
              </w:rPr>
            </w:pPr>
            <w:r>
              <w:rPr>
                <w:lang w:val="en-GB"/>
              </w:rPr>
              <w:t>0.00059</w:t>
            </w:r>
          </w:p>
        </w:tc>
        <w:tc>
          <w:tcPr>
            <w:tcW w:w="1180" w:type="dxa"/>
            <w:tcBorders>
              <w:top w:val="nil"/>
              <w:left w:val="nil"/>
              <w:bottom w:val="nil"/>
              <w:right w:val="nil"/>
            </w:tcBorders>
            <w:shd w:val="clear" w:color="auto" w:fill="auto"/>
            <w:noWrap/>
            <w:hideMark/>
          </w:tcPr>
          <w:p w14:paraId="27B43D5C" w14:textId="77777777" w:rsidR="00B4617B" w:rsidRPr="006A4F51" w:rsidRDefault="00B4617B" w:rsidP="00CF14EA">
            <w:pPr>
              <w:pStyle w:val="CETBodytext"/>
              <w:jc w:val="right"/>
              <w:rPr>
                <w:lang w:val="en-GB"/>
              </w:rPr>
            </w:pPr>
            <w:r>
              <w:rPr>
                <w:lang w:val="en-GB"/>
              </w:rPr>
              <w:t>-0.00208</w:t>
            </w:r>
          </w:p>
        </w:tc>
        <w:tc>
          <w:tcPr>
            <w:tcW w:w="1180" w:type="dxa"/>
            <w:tcBorders>
              <w:top w:val="nil"/>
              <w:left w:val="nil"/>
              <w:bottom w:val="nil"/>
              <w:right w:val="nil"/>
            </w:tcBorders>
            <w:shd w:val="clear" w:color="auto" w:fill="auto"/>
            <w:noWrap/>
            <w:hideMark/>
          </w:tcPr>
          <w:p w14:paraId="48A2B2A3" w14:textId="77777777" w:rsidR="00B4617B" w:rsidRPr="006A4F51" w:rsidRDefault="00B4617B" w:rsidP="00CF14EA">
            <w:pPr>
              <w:pStyle w:val="CETBodytext"/>
              <w:jc w:val="right"/>
              <w:rPr>
                <w:lang w:val="en-GB"/>
              </w:rPr>
            </w:pPr>
            <w:r w:rsidRPr="006A4F51">
              <w:rPr>
                <w:lang w:val="en-GB"/>
              </w:rPr>
              <w:t>0</w:t>
            </w:r>
            <w:r>
              <w:rPr>
                <w:lang w:val="en-GB"/>
              </w:rPr>
              <w:t>.</w:t>
            </w:r>
            <w:r w:rsidRPr="006A4F51">
              <w:rPr>
                <w:lang w:val="en-GB"/>
              </w:rPr>
              <w:t>7</w:t>
            </w:r>
            <w:r>
              <w:rPr>
                <w:lang w:val="en-GB"/>
              </w:rPr>
              <w:t>789</w:t>
            </w:r>
          </w:p>
        </w:tc>
        <w:tc>
          <w:tcPr>
            <w:tcW w:w="1041" w:type="dxa"/>
            <w:tcBorders>
              <w:top w:val="nil"/>
              <w:left w:val="nil"/>
              <w:bottom w:val="nil"/>
              <w:right w:val="nil"/>
            </w:tcBorders>
          </w:tcPr>
          <w:p w14:paraId="24ABE43E" w14:textId="77777777" w:rsidR="00B4617B" w:rsidRPr="006A4F51" w:rsidRDefault="00B4617B" w:rsidP="00CF14EA">
            <w:pPr>
              <w:pStyle w:val="CETBodytext"/>
              <w:jc w:val="right"/>
              <w:rPr>
                <w:lang w:val="en-GB"/>
              </w:rPr>
            </w:pPr>
            <w:r>
              <w:rPr>
                <w:lang w:val="en-GB"/>
              </w:rPr>
              <w:t>-0.034</w:t>
            </w:r>
          </w:p>
        </w:tc>
        <w:tc>
          <w:tcPr>
            <w:tcW w:w="1041" w:type="dxa"/>
            <w:tcBorders>
              <w:top w:val="nil"/>
              <w:left w:val="nil"/>
              <w:bottom w:val="nil"/>
              <w:right w:val="nil"/>
            </w:tcBorders>
          </w:tcPr>
          <w:p w14:paraId="715FEDDF" w14:textId="77777777" w:rsidR="00B4617B" w:rsidRPr="006A4F51" w:rsidRDefault="00B4617B" w:rsidP="00CF14EA">
            <w:pPr>
              <w:pStyle w:val="CETBodytext"/>
              <w:jc w:val="right"/>
              <w:rPr>
                <w:lang w:val="en-GB"/>
              </w:rPr>
            </w:pPr>
            <w:r>
              <w:rPr>
                <w:lang w:val="en-GB"/>
              </w:rPr>
              <w:t>13.704</w:t>
            </w:r>
          </w:p>
        </w:tc>
      </w:tr>
      <w:tr w:rsidR="00B4617B" w:rsidRPr="006A4F51" w14:paraId="289D8EB8" w14:textId="77777777" w:rsidTr="007A0E4B">
        <w:trPr>
          <w:trHeight w:val="284"/>
        </w:trPr>
        <w:tc>
          <w:tcPr>
            <w:tcW w:w="569" w:type="dxa"/>
            <w:tcBorders>
              <w:top w:val="nil"/>
              <w:left w:val="nil"/>
              <w:bottom w:val="nil"/>
              <w:right w:val="nil"/>
            </w:tcBorders>
            <w:shd w:val="clear" w:color="auto" w:fill="auto"/>
            <w:noWrap/>
            <w:hideMark/>
          </w:tcPr>
          <w:p w14:paraId="046C4E5B" w14:textId="77777777" w:rsidR="00B4617B" w:rsidRPr="006A4F51" w:rsidRDefault="00B4617B" w:rsidP="00CF14EA">
            <w:pPr>
              <w:pStyle w:val="CETBodytext"/>
              <w:jc w:val="right"/>
              <w:rPr>
                <w:lang w:val="en-GB"/>
              </w:rPr>
            </w:pPr>
            <w:r>
              <w:rPr>
                <w:lang w:val="en-GB"/>
              </w:rPr>
              <w:t>22.5</w:t>
            </w:r>
          </w:p>
        </w:tc>
        <w:tc>
          <w:tcPr>
            <w:tcW w:w="936" w:type="dxa"/>
            <w:tcBorders>
              <w:top w:val="nil"/>
              <w:left w:val="nil"/>
              <w:bottom w:val="nil"/>
              <w:right w:val="nil"/>
            </w:tcBorders>
            <w:shd w:val="clear" w:color="auto" w:fill="auto"/>
            <w:noWrap/>
            <w:hideMark/>
          </w:tcPr>
          <w:p w14:paraId="4A06A0C5" w14:textId="77777777" w:rsidR="00B4617B" w:rsidRPr="006A4F51" w:rsidRDefault="00B4617B" w:rsidP="00CF14EA">
            <w:pPr>
              <w:pStyle w:val="CETBodytext"/>
              <w:jc w:val="right"/>
              <w:rPr>
                <w:lang w:val="en-GB"/>
              </w:rPr>
            </w:pPr>
            <w:r>
              <w:rPr>
                <w:lang w:val="en-GB"/>
              </w:rPr>
              <w:t>-0.191</w:t>
            </w:r>
          </w:p>
        </w:tc>
        <w:tc>
          <w:tcPr>
            <w:tcW w:w="1180" w:type="dxa"/>
            <w:tcBorders>
              <w:top w:val="nil"/>
              <w:left w:val="nil"/>
              <w:bottom w:val="nil"/>
              <w:right w:val="nil"/>
            </w:tcBorders>
            <w:shd w:val="clear" w:color="auto" w:fill="auto"/>
            <w:noWrap/>
            <w:hideMark/>
          </w:tcPr>
          <w:p w14:paraId="7B5289BE" w14:textId="77777777" w:rsidR="00B4617B" w:rsidRPr="006A4F51" w:rsidRDefault="00B4617B" w:rsidP="00CF14EA">
            <w:pPr>
              <w:pStyle w:val="CETBodytext"/>
              <w:jc w:val="right"/>
              <w:rPr>
                <w:lang w:val="en-GB"/>
              </w:rPr>
            </w:pPr>
            <w:r w:rsidRPr="006A4F51">
              <w:rPr>
                <w:lang w:val="en-GB"/>
              </w:rPr>
              <w:t>1</w:t>
            </w:r>
            <w:r>
              <w:rPr>
                <w:lang w:val="en-GB"/>
              </w:rPr>
              <w:t>3.546</w:t>
            </w:r>
          </w:p>
        </w:tc>
        <w:tc>
          <w:tcPr>
            <w:tcW w:w="1180" w:type="dxa"/>
            <w:tcBorders>
              <w:top w:val="nil"/>
              <w:left w:val="nil"/>
              <w:bottom w:val="nil"/>
              <w:right w:val="nil"/>
            </w:tcBorders>
            <w:shd w:val="clear" w:color="auto" w:fill="auto"/>
            <w:noWrap/>
            <w:hideMark/>
          </w:tcPr>
          <w:p w14:paraId="287B389C" w14:textId="77777777" w:rsidR="00B4617B" w:rsidRPr="006A4F51" w:rsidRDefault="00B4617B" w:rsidP="00CF14EA">
            <w:pPr>
              <w:pStyle w:val="CETBodytext"/>
              <w:jc w:val="right"/>
              <w:rPr>
                <w:lang w:val="en-GB"/>
              </w:rPr>
            </w:pPr>
            <w:r>
              <w:rPr>
                <w:lang w:val="en-GB"/>
              </w:rPr>
              <w:t>0.00049</w:t>
            </w:r>
          </w:p>
        </w:tc>
        <w:tc>
          <w:tcPr>
            <w:tcW w:w="1180" w:type="dxa"/>
            <w:tcBorders>
              <w:top w:val="nil"/>
              <w:left w:val="nil"/>
              <w:bottom w:val="nil"/>
              <w:right w:val="nil"/>
            </w:tcBorders>
            <w:shd w:val="clear" w:color="auto" w:fill="auto"/>
            <w:noWrap/>
            <w:hideMark/>
          </w:tcPr>
          <w:p w14:paraId="1A377272" w14:textId="77777777" w:rsidR="00B4617B" w:rsidRPr="006A4F51" w:rsidRDefault="00B4617B" w:rsidP="00CF14EA">
            <w:pPr>
              <w:pStyle w:val="CETBodytext"/>
              <w:jc w:val="right"/>
              <w:rPr>
                <w:lang w:val="en-GB"/>
              </w:rPr>
            </w:pPr>
            <w:r>
              <w:rPr>
                <w:lang w:val="en-GB"/>
              </w:rPr>
              <w:t>-0.00174</w:t>
            </w:r>
          </w:p>
        </w:tc>
        <w:tc>
          <w:tcPr>
            <w:tcW w:w="1180" w:type="dxa"/>
            <w:tcBorders>
              <w:top w:val="nil"/>
              <w:left w:val="nil"/>
              <w:bottom w:val="nil"/>
              <w:right w:val="nil"/>
            </w:tcBorders>
            <w:shd w:val="clear" w:color="auto" w:fill="auto"/>
            <w:noWrap/>
            <w:hideMark/>
          </w:tcPr>
          <w:p w14:paraId="5C2E349D" w14:textId="77777777" w:rsidR="00B4617B" w:rsidRPr="006A4F51" w:rsidRDefault="00B4617B" w:rsidP="00CF14EA">
            <w:pPr>
              <w:pStyle w:val="CETBodytext"/>
              <w:jc w:val="right"/>
              <w:rPr>
                <w:lang w:val="en-GB"/>
              </w:rPr>
            </w:pPr>
            <w:r w:rsidRPr="006A4F51">
              <w:rPr>
                <w:lang w:val="en-GB"/>
              </w:rPr>
              <w:t>0</w:t>
            </w:r>
            <w:r>
              <w:rPr>
                <w:lang w:val="en-GB"/>
              </w:rPr>
              <w:t>.</w:t>
            </w:r>
            <w:r w:rsidRPr="006A4F51">
              <w:rPr>
                <w:lang w:val="en-GB"/>
              </w:rPr>
              <w:t>7</w:t>
            </w:r>
            <w:r>
              <w:rPr>
                <w:lang w:val="en-GB"/>
              </w:rPr>
              <w:t>789</w:t>
            </w:r>
          </w:p>
        </w:tc>
        <w:tc>
          <w:tcPr>
            <w:tcW w:w="1041" w:type="dxa"/>
            <w:tcBorders>
              <w:top w:val="nil"/>
              <w:left w:val="nil"/>
              <w:bottom w:val="nil"/>
              <w:right w:val="nil"/>
            </w:tcBorders>
          </w:tcPr>
          <w:p w14:paraId="73A54386" w14:textId="77777777" w:rsidR="00B4617B" w:rsidRPr="006A4F51" w:rsidRDefault="00B4617B" w:rsidP="00CF14EA">
            <w:pPr>
              <w:pStyle w:val="CETBodytext"/>
              <w:jc w:val="right"/>
              <w:rPr>
                <w:lang w:val="en-GB"/>
              </w:rPr>
            </w:pPr>
            <w:r>
              <w:rPr>
                <w:lang w:val="en-GB"/>
              </w:rPr>
              <w:t>-0.200</w:t>
            </w:r>
          </w:p>
        </w:tc>
        <w:tc>
          <w:tcPr>
            <w:tcW w:w="1041" w:type="dxa"/>
            <w:tcBorders>
              <w:top w:val="nil"/>
              <w:left w:val="nil"/>
              <w:bottom w:val="nil"/>
              <w:right w:val="nil"/>
            </w:tcBorders>
          </w:tcPr>
          <w:p w14:paraId="261C5960" w14:textId="77777777" w:rsidR="00B4617B" w:rsidRPr="006A4F51" w:rsidRDefault="00B4617B" w:rsidP="00CF14EA">
            <w:pPr>
              <w:pStyle w:val="CETBodytext"/>
              <w:jc w:val="right"/>
              <w:rPr>
                <w:lang w:val="en-GB"/>
              </w:rPr>
            </w:pPr>
            <w:r>
              <w:rPr>
                <w:lang w:val="en-GB"/>
              </w:rPr>
              <w:t>13.538</w:t>
            </w:r>
          </w:p>
        </w:tc>
      </w:tr>
      <w:tr w:rsidR="00B4617B" w:rsidRPr="006A4F51" w14:paraId="42583004" w14:textId="77777777" w:rsidTr="007A0E4B">
        <w:trPr>
          <w:trHeight w:val="284"/>
        </w:trPr>
        <w:tc>
          <w:tcPr>
            <w:tcW w:w="569" w:type="dxa"/>
            <w:tcBorders>
              <w:top w:val="nil"/>
              <w:left w:val="nil"/>
              <w:bottom w:val="nil"/>
              <w:right w:val="nil"/>
            </w:tcBorders>
            <w:shd w:val="clear" w:color="auto" w:fill="auto"/>
            <w:noWrap/>
            <w:hideMark/>
          </w:tcPr>
          <w:p w14:paraId="3F78F053" w14:textId="77777777" w:rsidR="00B4617B" w:rsidRPr="006A4F51" w:rsidRDefault="00B4617B" w:rsidP="00CF14EA">
            <w:pPr>
              <w:pStyle w:val="CETBodytext"/>
              <w:jc w:val="right"/>
              <w:rPr>
                <w:lang w:val="en-GB"/>
              </w:rPr>
            </w:pPr>
            <w:r>
              <w:rPr>
                <w:lang w:val="en-GB"/>
              </w:rPr>
              <w:t>24.0</w:t>
            </w:r>
          </w:p>
        </w:tc>
        <w:tc>
          <w:tcPr>
            <w:tcW w:w="936" w:type="dxa"/>
            <w:tcBorders>
              <w:top w:val="nil"/>
              <w:left w:val="nil"/>
              <w:bottom w:val="nil"/>
              <w:right w:val="nil"/>
            </w:tcBorders>
            <w:shd w:val="clear" w:color="auto" w:fill="auto"/>
            <w:noWrap/>
            <w:hideMark/>
          </w:tcPr>
          <w:p w14:paraId="1DA884EF" w14:textId="77777777" w:rsidR="00B4617B" w:rsidRPr="006A4F51" w:rsidRDefault="00B4617B" w:rsidP="00CF14EA">
            <w:pPr>
              <w:pStyle w:val="CETBodytext"/>
              <w:jc w:val="right"/>
              <w:rPr>
                <w:lang w:val="en-GB"/>
              </w:rPr>
            </w:pPr>
            <w:r>
              <w:rPr>
                <w:lang w:val="en-GB"/>
              </w:rPr>
              <w:t>-0.301</w:t>
            </w:r>
          </w:p>
        </w:tc>
        <w:tc>
          <w:tcPr>
            <w:tcW w:w="1180" w:type="dxa"/>
            <w:tcBorders>
              <w:top w:val="nil"/>
              <w:left w:val="nil"/>
              <w:bottom w:val="nil"/>
              <w:right w:val="nil"/>
            </w:tcBorders>
            <w:shd w:val="clear" w:color="auto" w:fill="auto"/>
            <w:noWrap/>
            <w:hideMark/>
          </w:tcPr>
          <w:p w14:paraId="65008410" w14:textId="77777777" w:rsidR="00B4617B" w:rsidRPr="006A4F51" w:rsidRDefault="00B4617B" w:rsidP="00CF14EA">
            <w:pPr>
              <w:pStyle w:val="CETBodytext"/>
              <w:jc w:val="right"/>
              <w:rPr>
                <w:lang w:val="en-GB"/>
              </w:rPr>
            </w:pPr>
            <w:r w:rsidRPr="006A4F51">
              <w:rPr>
                <w:lang w:val="en-GB"/>
              </w:rPr>
              <w:t>1</w:t>
            </w:r>
            <w:r>
              <w:rPr>
                <w:lang w:val="en-GB"/>
              </w:rPr>
              <w:t>3.436</w:t>
            </w:r>
          </w:p>
        </w:tc>
        <w:tc>
          <w:tcPr>
            <w:tcW w:w="1180" w:type="dxa"/>
            <w:tcBorders>
              <w:top w:val="nil"/>
              <w:left w:val="nil"/>
              <w:bottom w:val="nil"/>
              <w:right w:val="nil"/>
            </w:tcBorders>
            <w:shd w:val="clear" w:color="auto" w:fill="auto"/>
            <w:noWrap/>
            <w:hideMark/>
          </w:tcPr>
          <w:p w14:paraId="5FD73F57" w14:textId="77777777" w:rsidR="00B4617B" w:rsidRPr="006A4F51" w:rsidRDefault="00B4617B" w:rsidP="00CF14EA">
            <w:pPr>
              <w:pStyle w:val="CETBodytext"/>
              <w:jc w:val="right"/>
              <w:rPr>
                <w:lang w:val="en-GB"/>
              </w:rPr>
            </w:pPr>
            <w:r>
              <w:rPr>
                <w:lang w:val="en-GB"/>
              </w:rPr>
              <w:t>0.00037</w:t>
            </w:r>
          </w:p>
        </w:tc>
        <w:tc>
          <w:tcPr>
            <w:tcW w:w="1180" w:type="dxa"/>
            <w:tcBorders>
              <w:top w:val="nil"/>
              <w:left w:val="nil"/>
              <w:bottom w:val="nil"/>
              <w:right w:val="nil"/>
            </w:tcBorders>
            <w:shd w:val="clear" w:color="auto" w:fill="auto"/>
            <w:noWrap/>
            <w:hideMark/>
          </w:tcPr>
          <w:p w14:paraId="5FA5CB2A" w14:textId="77777777" w:rsidR="00B4617B" w:rsidRPr="006A4F51" w:rsidRDefault="00B4617B" w:rsidP="00CF14EA">
            <w:pPr>
              <w:pStyle w:val="CETBodytext"/>
              <w:jc w:val="right"/>
              <w:rPr>
                <w:lang w:val="en-GB"/>
              </w:rPr>
            </w:pPr>
            <w:r>
              <w:rPr>
                <w:lang w:val="en-GB"/>
              </w:rPr>
              <w:t>-0.00130</w:t>
            </w:r>
          </w:p>
        </w:tc>
        <w:tc>
          <w:tcPr>
            <w:tcW w:w="1180" w:type="dxa"/>
            <w:tcBorders>
              <w:top w:val="nil"/>
              <w:left w:val="nil"/>
              <w:bottom w:val="nil"/>
              <w:right w:val="nil"/>
            </w:tcBorders>
            <w:shd w:val="clear" w:color="auto" w:fill="auto"/>
            <w:noWrap/>
            <w:hideMark/>
          </w:tcPr>
          <w:p w14:paraId="766FECEF" w14:textId="77777777" w:rsidR="00B4617B" w:rsidRPr="006A4F51" w:rsidRDefault="00B4617B" w:rsidP="00CF14EA">
            <w:pPr>
              <w:pStyle w:val="CETBodytext"/>
              <w:jc w:val="right"/>
              <w:rPr>
                <w:lang w:val="en-GB"/>
              </w:rPr>
            </w:pPr>
            <w:r w:rsidRPr="006A4F51">
              <w:rPr>
                <w:lang w:val="en-GB"/>
              </w:rPr>
              <w:t>0</w:t>
            </w:r>
            <w:r>
              <w:rPr>
                <w:lang w:val="en-GB"/>
              </w:rPr>
              <w:t>.</w:t>
            </w:r>
            <w:r w:rsidRPr="006A4F51">
              <w:rPr>
                <w:lang w:val="en-GB"/>
              </w:rPr>
              <w:t>7</w:t>
            </w:r>
            <w:r>
              <w:rPr>
                <w:lang w:val="en-GB"/>
              </w:rPr>
              <w:t>790</w:t>
            </w:r>
          </w:p>
        </w:tc>
        <w:tc>
          <w:tcPr>
            <w:tcW w:w="1041" w:type="dxa"/>
            <w:tcBorders>
              <w:top w:val="nil"/>
              <w:left w:val="nil"/>
              <w:bottom w:val="nil"/>
              <w:right w:val="nil"/>
            </w:tcBorders>
          </w:tcPr>
          <w:p w14:paraId="3EE1957E" w14:textId="77777777" w:rsidR="00B4617B" w:rsidRPr="006A4F51" w:rsidRDefault="00B4617B" w:rsidP="00CF14EA">
            <w:pPr>
              <w:pStyle w:val="CETBodytext"/>
              <w:jc w:val="right"/>
              <w:rPr>
                <w:lang w:val="en-GB"/>
              </w:rPr>
            </w:pPr>
            <w:r>
              <w:rPr>
                <w:lang w:val="en-GB"/>
              </w:rPr>
              <w:t>-0.345</w:t>
            </w:r>
          </w:p>
        </w:tc>
        <w:tc>
          <w:tcPr>
            <w:tcW w:w="1041" w:type="dxa"/>
            <w:tcBorders>
              <w:top w:val="nil"/>
              <w:left w:val="nil"/>
              <w:bottom w:val="nil"/>
              <w:right w:val="nil"/>
            </w:tcBorders>
          </w:tcPr>
          <w:p w14:paraId="6F30E899" w14:textId="77777777" w:rsidR="00B4617B" w:rsidRPr="006A4F51" w:rsidRDefault="00B4617B" w:rsidP="00CF14EA">
            <w:pPr>
              <w:pStyle w:val="CETBodytext"/>
              <w:jc w:val="right"/>
              <w:rPr>
                <w:lang w:val="en-GB"/>
              </w:rPr>
            </w:pPr>
            <w:r>
              <w:rPr>
                <w:lang w:val="en-GB"/>
              </w:rPr>
              <w:t>13.392</w:t>
            </w:r>
          </w:p>
        </w:tc>
      </w:tr>
      <w:tr w:rsidR="00B4617B" w:rsidRPr="006A4F51" w14:paraId="78CCE7C1" w14:textId="77777777" w:rsidTr="007A0E4B">
        <w:trPr>
          <w:trHeight w:val="284"/>
        </w:trPr>
        <w:tc>
          <w:tcPr>
            <w:tcW w:w="569" w:type="dxa"/>
            <w:tcBorders>
              <w:top w:val="nil"/>
              <w:left w:val="nil"/>
              <w:bottom w:val="nil"/>
              <w:right w:val="nil"/>
            </w:tcBorders>
            <w:shd w:val="clear" w:color="auto" w:fill="auto"/>
            <w:noWrap/>
            <w:hideMark/>
          </w:tcPr>
          <w:p w14:paraId="4C36DBCD" w14:textId="77777777" w:rsidR="00B4617B" w:rsidRPr="006A4F51" w:rsidRDefault="00B4617B" w:rsidP="00CF14EA">
            <w:pPr>
              <w:pStyle w:val="CETBodytext"/>
              <w:jc w:val="right"/>
              <w:rPr>
                <w:lang w:val="en-GB"/>
              </w:rPr>
            </w:pPr>
            <w:r>
              <w:rPr>
                <w:lang w:val="en-GB"/>
              </w:rPr>
              <w:t>25.5</w:t>
            </w:r>
          </w:p>
        </w:tc>
        <w:tc>
          <w:tcPr>
            <w:tcW w:w="936" w:type="dxa"/>
            <w:tcBorders>
              <w:top w:val="nil"/>
              <w:left w:val="nil"/>
              <w:bottom w:val="nil"/>
              <w:right w:val="nil"/>
            </w:tcBorders>
            <w:shd w:val="clear" w:color="auto" w:fill="auto"/>
            <w:noWrap/>
            <w:hideMark/>
          </w:tcPr>
          <w:p w14:paraId="6F9B12D9" w14:textId="77777777" w:rsidR="00B4617B" w:rsidRPr="006A4F51" w:rsidRDefault="00B4617B" w:rsidP="00CF14EA">
            <w:pPr>
              <w:pStyle w:val="CETBodytext"/>
              <w:jc w:val="right"/>
              <w:rPr>
                <w:lang w:val="en-GB"/>
              </w:rPr>
            </w:pPr>
            <w:r>
              <w:rPr>
                <w:lang w:val="en-GB"/>
              </w:rPr>
              <w:t>-0.376</w:t>
            </w:r>
          </w:p>
        </w:tc>
        <w:tc>
          <w:tcPr>
            <w:tcW w:w="1180" w:type="dxa"/>
            <w:tcBorders>
              <w:top w:val="nil"/>
              <w:left w:val="nil"/>
              <w:bottom w:val="nil"/>
              <w:right w:val="nil"/>
            </w:tcBorders>
            <w:shd w:val="clear" w:color="auto" w:fill="auto"/>
            <w:noWrap/>
            <w:hideMark/>
          </w:tcPr>
          <w:p w14:paraId="2B2F04B2" w14:textId="77777777" w:rsidR="00B4617B" w:rsidRPr="006A4F51" w:rsidRDefault="00B4617B" w:rsidP="00CF14EA">
            <w:pPr>
              <w:pStyle w:val="CETBodytext"/>
              <w:jc w:val="right"/>
              <w:rPr>
                <w:lang w:val="en-GB"/>
              </w:rPr>
            </w:pPr>
            <w:r w:rsidRPr="006A4F51">
              <w:rPr>
                <w:lang w:val="en-GB"/>
              </w:rPr>
              <w:t>1</w:t>
            </w:r>
            <w:r>
              <w:rPr>
                <w:lang w:val="en-GB"/>
              </w:rPr>
              <w:t>3.361</w:t>
            </w:r>
          </w:p>
        </w:tc>
        <w:tc>
          <w:tcPr>
            <w:tcW w:w="1180" w:type="dxa"/>
            <w:tcBorders>
              <w:top w:val="nil"/>
              <w:left w:val="nil"/>
              <w:bottom w:val="nil"/>
              <w:right w:val="nil"/>
            </w:tcBorders>
            <w:shd w:val="clear" w:color="auto" w:fill="auto"/>
            <w:noWrap/>
            <w:hideMark/>
          </w:tcPr>
          <w:p w14:paraId="45D3EFDD" w14:textId="77777777" w:rsidR="00B4617B" w:rsidRPr="006A4F51" w:rsidRDefault="00B4617B" w:rsidP="00CF14EA">
            <w:pPr>
              <w:pStyle w:val="CETBodytext"/>
              <w:jc w:val="right"/>
              <w:rPr>
                <w:lang w:val="en-GB"/>
              </w:rPr>
            </w:pPr>
            <w:r>
              <w:rPr>
                <w:lang w:val="en-GB"/>
              </w:rPr>
              <w:t>0.00020</w:t>
            </w:r>
          </w:p>
        </w:tc>
        <w:tc>
          <w:tcPr>
            <w:tcW w:w="1180" w:type="dxa"/>
            <w:tcBorders>
              <w:top w:val="nil"/>
              <w:left w:val="nil"/>
              <w:bottom w:val="nil"/>
              <w:right w:val="nil"/>
            </w:tcBorders>
            <w:shd w:val="clear" w:color="auto" w:fill="auto"/>
            <w:noWrap/>
            <w:hideMark/>
          </w:tcPr>
          <w:p w14:paraId="6EA5CAE6" w14:textId="77777777" w:rsidR="00B4617B" w:rsidRPr="006A4F51" w:rsidRDefault="00B4617B" w:rsidP="00CF14EA">
            <w:pPr>
              <w:pStyle w:val="CETBodytext"/>
              <w:jc w:val="right"/>
              <w:rPr>
                <w:lang w:val="en-GB"/>
              </w:rPr>
            </w:pPr>
            <w:r>
              <w:rPr>
                <w:lang w:val="en-GB"/>
              </w:rPr>
              <w:t>-0.00069</w:t>
            </w:r>
          </w:p>
        </w:tc>
        <w:tc>
          <w:tcPr>
            <w:tcW w:w="1180" w:type="dxa"/>
            <w:tcBorders>
              <w:top w:val="nil"/>
              <w:left w:val="nil"/>
              <w:bottom w:val="nil"/>
              <w:right w:val="nil"/>
            </w:tcBorders>
            <w:shd w:val="clear" w:color="auto" w:fill="auto"/>
            <w:noWrap/>
            <w:hideMark/>
          </w:tcPr>
          <w:p w14:paraId="6965BCAF" w14:textId="77777777" w:rsidR="00B4617B" w:rsidRPr="006A4F51" w:rsidRDefault="00B4617B" w:rsidP="00CF14EA">
            <w:pPr>
              <w:pStyle w:val="CETBodytext"/>
              <w:jc w:val="right"/>
              <w:rPr>
                <w:lang w:val="en-GB"/>
              </w:rPr>
            </w:pPr>
            <w:r w:rsidRPr="006A4F51">
              <w:rPr>
                <w:lang w:val="en-GB"/>
              </w:rPr>
              <w:t>0</w:t>
            </w:r>
            <w:r>
              <w:rPr>
                <w:lang w:val="en-GB"/>
              </w:rPr>
              <w:t>.</w:t>
            </w:r>
            <w:r w:rsidRPr="006A4F51">
              <w:rPr>
                <w:lang w:val="en-GB"/>
              </w:rPr>
              <w:t>7</w:t>
            </w:r>
            <w:r>
              <w:rPr>
                <w:lang w:val="en-GB"/>
              </w:rPr>
              <w:t>790</w:t>
            </w:r>
          </w:p>
        </w:tc>
        <w:tc>
          <w:tcPr>
            <w:tcW w:w="1041" w:type="dxa"/>
            <w:tcBorders>
              <w:top w:val="nil"/>
              <w:left w:val="nil"/>
              <w:bottom w:val="nil"/>
              <w:right w:val="nil"/>
            </w:tcBorders>
          </w:tcPr>
          <w:p w14:paraId="7F046B66" w14:textId="77777777" w:rsidR="00B4617B" w:rsidRPr="006A4F51" w:rsidRDefault="00B4617B" w:rsidP="00CF14EA">
            <w:pPr>
              <w:pStyle w:val="CETBodytext"/>
              <w:jc w:val="right"/>
              <w:rPr>
                <w:lang w:val="en-GB"/>
              </w:rPr>
            </w:pPr>
            <w:r>
              <w:rPr>
                <w:lang w:val="en-GB"/>
              </w:rPr>
              <w:t>-0.466</w:t>
            </w:r>
          </w:p>
        </w:tc>
        <w:tc>
          <w:tcPr>
            <w:tcW w:w="1041" w:type="dxa"/>
            <w:tcBorders>
              <w:top w:val="nil"/>
              <w:left w:val="nil"/>
              <w:bottom w:val="nil"/>
              <w:right w:val="nil"/>
            </w:tcBorders>
          </w:tcPr>
          <w:p w14:paraId="6799227C" w14:textId="77777777" w:rsidR="00B4617B" w:rsidRPr="006A4F51" w:rsidRDefault="00B4617B" w:rsidP="00CF14EA">
            <w:pPr>
              <w:pStyle w:val="CETBodytext"/>
              <w:jc w:val="right"/>
              <w:rPr>
                <w:lang w:val="en-GB"/>
              </w:rPr>
            </w:pPr>
            <w:r>
              <w:rPr>
                <w:lang w:val="en-GB"/>
              </w:rPr>
              <w:t>13.271</w:t>
            </w:r>
          </w:p>
        </w:tc>
      </w:tr>
      <w:tr w:rsidR="00B4617B" w:rsidRPr="006A4F51" w14:paraId="4C55EA81" w14:textId="77777777" w:rsidTr="007A0E4B">
        <w:trPr>
          <w:trHeight w:val="284"/>
        </w:trPr>
        <w:tc>
          <w:tcPr>
            <w:tcW w:w="569" w:type="dxa"/>
            <w:tcBorders>
              <w:top w:val="nil"/>
              <w:left w:val="nil"/>
              <w:bottom w:val="nil"/>
              <w:right w:val="nil"/>
            </w:tcBorders>
            <w:shd w:val="clear" w:color="auto" w:fill="auto"/>
            <w:noWrap/>
            <w:hideMark/>
          </w:tcPr>
          <w:p w14:paraId="67E3C8DA" w14:textId="77777777" w:rsidR="00B4617B" w:rsidRPr="006A4F51" w:rsidRDefault="00B4617B" w:rsidP="00CF14EA">
            <w:pPr>
              <w:pStyle w:val="CETBodytext"/>
              <w:jc w:val="right"/>
              <w:rPr>
                <w:lang w:val="en-GB"/>
              </w:rPr>
            </w:pPr>
            <w:r>
              <w:rPr>
                <w:lang w:val="en-GB"/>
              </w:rPr>
              <w:t>27.0</w:t>
            </w:r>
          </w:p>
        </w:tc>
        <w:tc>
          <w:tcPr>
            <w:tcW w:w="936" w:type="dxa"/>
            <w:tcBorders>
              <w:top w:val="nil"/>
              <w:left w:val="nil"/>
              <w:bottom w:val="nil"/>
              <w:right w:val="nil"/>
            </w:tcBorders>
            <w:shd w:val="clear" w:color="auto" w:fill="auto"/>
            <w:noWrap/>
            <w:hideMark/>
          </w:tcPr>
          <w:p w14:paraId="289D4936" w14:textId="77777777" w:rsidR="00B4617B" w:rsidRPr="006A4F51" w:rsidRDefault="00B4617B" w:rsidP="00CF14EA">
            <w:pPr>
              <w:pStyle w:val="CETBodytext"/>
              <w:jc w:val="right"/>
              <w:rPr>
                <w:lang w:val="en-GB"/>
              </w:rPr>
            </w:pPr>
            <w:r>
              <w:rPr>
                <w:lang w:val="en-GB"/>
              </w:rPr>
              <w:t>-0.400</w:t>
            </w:r>
          </w:p>
        </w:tc>
        <w:tc>
          <w:tcPr>
            <w:tcW w:w="1180" w:type="dxa"/>
            <w:tcBorders>
              <w:top w:val="nil"/>
              <w:left w:val="nil"/>
              <w:bottom w:val="nil"/>
              <w:right w:val="nil"/>
            </w:tcBorders>
            <w:shd w:val="clear" w:color="auto" w:fill="auto"/>
            <w:noWrap/>
            <w:hideMark/>
          </w:tcPr>
          <w:p w14:paraId="350E5351" w14:textId="77777777" w:rsidR="00B4617B" w:rsidRPr="006A4F51" w:rsidRDefault="00B4617B" w:rsidP="00CF14EA">
            <w:pPr>
              <w:pStyle w:val="CETBodytext"/>
              <w:jc w:val="right"/>
              <w:rPr>
                <w:lang w:val="en-GB"/>
              </w:rPr>
            </w:pPr>
            <w:r w:rsidRPr="006A4F51">
              <w:rPr>
                <w:lang w:val="en-GB"/>
              </w:rPr>
              <w:t>1</w:t>
            </w:r>
            <w:r>
              <w:rPr>
                <w:lang w:val="en-GB"/>
              </w:rPr>
              <w:t>3.336</w:t>
            </w:r>
          </w:p>
        </w:tc>
        <w:tc>
          <w:tcPr>
            <w:tcW w:w="1180" w:type="dxa"/>
            <w:tcBorders>
              <w:top w:val="nil"/>
              <w:left w:val="nil"/>
              <w:bottom w:val="nil"/>
              <w:right w:val="nil"/>
            </w:tcBorders>
            <w:shd w:val="clear" w:color="auto" w:fill="auto"/>
            <w:noWrap/>
            <w:hideMark/>
          </w:tcPr>
          <w:p w14:paraId="019F14D5" w14:textId="77777777" w:rsidR="00B4617B" w:rsidRPr="006A4F51" w:rsidRDefault="00B4617B" w:rsidP="00CF14EA">
            <w:pPr>
              <w:pStyle w:val="CETBodytext"/>
              <w:jc w:val="right"/>
              <w:rPr>
                <w:lang w:val="en-GB"/>
              </w:rPr>
            </w:pPr>
            <w:r>
              <w:rPr>
                <w:lang w:val="en-GB"/>
              </w:rPr>
              <w:t>-0.00009</w:t>
            </w:r>
          </w:p>
        </w:tc>
        <w:tc>
          <w:tcPr>
            <w:tcW w:w="1180" w:type="dxa"/>
            <w:tcBorders>
              <w:top w:val="nil"/>
              <w:left w:val="nil"/>
              <w:bottom w:val="nil"/>
              <w:right w:val="nil"/>
            </w:tcBorders>
            <w:shd w:val="clear" w:color="auto" w:fill="auto"/>
            <w:noWrap/>
            <w:hideMark/>
          </w:tcPr>
          <w:p w14:paraId="4EEEF104" w14:textId="77777777" w:rsidR="00B4617B" w:rsidRPr="006A4F51" w:rsidRDefault="00B4617B" w:rsidP="00CF14EA">
            <w:pPr>
              <w:pStyle w:val="CETBodytext"/>
              <w:jc w:val="right"/>
              <w:rPr>
                <w:lang w:val="en-GB"/>
              </w:rPr>
            </w:pPr>
            <w:r>
              <w:rPr>
                <w:lang w:val="en-GB"/>
              </w:rPr>
              <w:t>0.00033</w:t>
            </w:r>
          </w:p>
        </w:tc>
        <w:tc>
          <w:tcPr>
            <w:tcW w:w="1180" w:type="dxa"/>
            <w:tcBorders>
              <w:top w:val="nil"/>
              <w:left w:val="nil"/>
              <w:bottom w:val="nil"/>
              <w:right w:val="nil"/>
            </w:tcBorders>
            <w:shd w:val="clear" w:color="auto" w:fill="auto"/>
            <w:noWrap/>
            <w:hideMark/>
          </w:tcPr>
          <w:p w14:paraId="3FA104CA" w14:textId="77777777" w:rsidR="00B4617B" w:rsidRPr="006A4F51" w:rsidRDefault="00B4617B" w:rsidP="00CF14EA">
            <w:pPr>
              <w:pStyle w:val="CETBodytext"/>
              <w:jc w:val="right"/>
              <w:rPr>
                <w:lang w:val="en-GB"/>
              </w:rPr>
            </w:pPr>
            <w:r w:rsidRPr="006A4F51">
              <w:rPr>
                <w:lang w:val="en-GB"/>
              </w:rPr>
              <w:t>0</w:t>
            </w:r>
            <w:r>
              <w:rPr>
                <w:lang w:val="en-GB"/>
              </w:rPr>
              <w:t>.</w:t>
            </w:r>
            <w:r w:rsidRPr="006A4F51">
              <w:rPr>
                <w:lang w:val="en-GB"/>
              </w:rPr>
              <w:t>7</w:t>
            </w:r>
            <w:r>
              <w:rPr>
                <w:lang w:val="en-GB"/>
              </w:rPr>
              <w:t>790</w:t>
            </w:r>
          </w:p>
        </w:tc>
        <w:tc>
          <w:tcPr>
            <w:tcW w:w="1041" w:type="dxa"/>
            <w:tcBorders>
              <w:top w:val="nil"/>
              <w:left w:val="nil"/>
              <w:bottom w:val="nil"/>
              <w:right w:val="nil"/>
            </w:tcBorders>
          </w:tcPr>
          <w:p w14:paraId="1F4192A0" w14:textId="77777777" w:rsidR="00B4617B" w:rsidRPr="006A4F51" w:rsidRDefault="00B4617B" w:rsidP="00CF14EA">
            <w:pPr>
              <w:pStyle w:val="CETBodytext"/>
              <w:jc w:val="right"/>
              <w:rPr>
                <w:lang w:val="en-GB"/>
              </w:rPr>
            </w:pPr>
            <w:r>
              <w:rPr>
                <w:lang w:val="en-GB"/>
              </w:rPr>
              <w:t>-0.558</w:t>
            </w:r>
          </w:p>
        </w:tc>
        <w:tc>
          <w:tcPr>
            <w:tcW w:w="1041" w:type="dxa"/>
            <w:tcBorders>
              <w:top w:val="nil"/>
              <w:left w:val="nil"/>
              <w:bottom w:val="nil"/>
              <w:right w:val="nil"/>
            </w:tcBorders>
          </w:tcPr>
          <w:p w14:paraId="31A2C46A" w14:textId="77777777" w:rsidR="00B4617B" w:rsidRPr="006A4F51" w:rsidRDefault="00B4617B" w:rsidP="00CF14EA">
            <w:pPr>
              <w:pStyle w:val="CETBodytext"/>
              <w:jc w:val="right"/>
              <w:rPr>
                <w:lang w:val="en-GB"/>
              </w:rPr>
            </w:pPr>
            <w:r>
              <w:rPr>
                <w:lang w:val="en-GB"/>
              </w:rPr>
              <w:t>13.179</w:t>
            </w:r>
          </w:p>
        </w:tc>
      </w:tr>
      <w:tr w:rsidR="00B4617B" w:rsidRPr="006A4F51" w14:paraId="75643B0C" w14:textId="77777777" w:rsidTr="007A0E4B">
        <w:trPr>
          <w:trHeight w:val="284"/>
        </w:trPr>
        <w:tc>
          <w:tcPr>
            <w:tcW w:w="569" w:type="dxa"/>
            <w:tcBorders>
              <w:top w:val="nil"/>
              <w:left w:val="nil"/>
              <w:bottom w:val="nil"/>
              <w:right w:val="nil"/>
            </w:tcBorders>
            <w:shd w:val="clear" w:color="auto" w:fill="auto"/>
            <w:noWrap/>
            <w:hideMark/>
          </w:tcPr>
          <w:p w14:paraId="17122218" w14:textId="77777777" w:rsidR="00B4617B" w:rsidRPr="006A4F51" w:rsidRDefault="00B4617B" w:rsidP="00CF14EA">
            <w:pPr>
              <w:pStyle w:val="CETBodytext"/>
              <w:jc w:val="right"/>
              <w:rPr>
                <w:lang w:val="en-GB"/>
              </w:rPr>
            </w:pPr>
            <w:r>
              <w:rPr>
                <w:lang w:val="en-GB"/>
              </w:rPr>
              <w:t>28.5</w:t>
            </w:r>
          </w:p>
        </w:tc>
        <w:tc>
          <w:tcPr>
            <w:tcW w:w="936" w:type="dxa"/>
            <w:tcBorders>
              <w:top w:val="nil"/>
              <w:left w:val="nil"/>
              <w:bottom w:val="nil"/>
              <w:right w:val="nil"/>
            </w:tcBorders>
            <w:shd w:val="clear" w:color="auto" w:fill="auto"/>
            <w:noWrap/>
            <w:hideMark/>
          </w:tcPr>
          <w:p w14:paraId="2DB2B448" w14:textId="77777777" w:rsidR="00B4617B" w:rsidRPr="006A4F51" w:rsidRDefault="00B4617B" w:rsidP="00CF14EA">
            <w:pPr>
              <w:pStyle w:val="CETBodytext"/>
              <w:jc w:val="right"/>
              <w:rPr>
                <w:lang w:val="en-GB"/>
              </w:rPr>
            </w:pPr>
            <w:r>
              <w:rPr>
                <w:lang w:val="en-GB"/>
              </w:rPr>
              <w:t>-0.332</w:t>
            </w:r>
          </w:p>
        </w:tc>
        <w:tc>
          <w:tcPr>
            <w:tcW w:w="1180" w:type="dxa"/>
            <w:tcBorders>
              <w:top w:val="nil"/>
              <w:left w:val="nil"/>
              <w:bottom w:val="nil"/>
              <w:right w:val="nil"/>
            </w:tcBorders>
            <w:shd w:val="clear" w:color="auto" w:fill="auto"/>
            <w:noWrap/>
            <w:hideMark/>
          </w:tcPr>
          <w:p w14:paraId="3BBB0586" w14:textId="77777777" w:rsidR="00B4617B" w:rsidRPr="006A4F51" w:rsidRDefault="00B4617B" w:rsidP="00CF14EA">
            <w:pPr>
              <w:pStyle w:val="CETBodytext"/>
              <w:jc w:val="right"/>
              <w:rPr>
                <w:lang w:val="en-GB"/>
              </w:rPr>
            </w:pPr>
            <w:r w:rsidRPr="006A4F51">
              <w:rPr>
                <w:lang w:val="en-GB"/>
              </w:rPr>
              <w:t>1</w:t>
            </w:r>
            <w:r>
              <w:rPr>
                <w:lang w:val="en-GB"/>
              </w:rPr>
              <w:t>3.407</w:t>
            </w:r>
          </w:p>
        </w:tc>
        <w:tc>
          <w:tcPr>
            <w:tcW w:w="1180" w:type="dxa"/>
            <w:tcBorders>
              <w:top w:val="nil"/>
              <w:left w:val="nil"/>
              <w:bottom w:val="nil"/>
              <w:right w:val="nil"/>
            </w:tcBorders>
            <w:shd w:val="clear" w:color="auto" w:fill="auto"/>
            <w:noWrap/>
            <w:hideMark/>
          </w:tcPr>
          <w:p w14:paraId="10CFB794" w14:textId="77777777" w:rsidR="00B4617B" w:rsidRPr="006A4F51" w:rsidRDefault="00B4617B" w:rsidP="00CF14EA">
            <w:pPr>
              <w:pStyle w:val="CETBodytext"/>
              <w:jc w:val="right"/>
              <w:rPr>
                <w:lang w:val="en-GB"/>
              </w:rPr>
            </w:pPr>
            <w:r>
              <w:rPr>
                <w:lang w:val="en-GB"/>
              </w:rPr>
              <w:t>-0.00079</w:t>
            </w:r>
          </w:p>
        </w:tc>
        <w:tc>
          <w:tcPr>
            <w:tcW w:w="1180" w:type="dxa"/>
            <w:tcBorders>
              <w:top w:val="nil"/>
              <w:left w:val="nil"/>
              <w:bottom w:val="nil"/>
              <w:right w:val="nil"/>
            </w:tcBorders>
            <w:shd w:val="clear" w:color="auto" w:fill="auto"/>
            <w:noWrap/>
            <w:hideMark/>
          </w:tcPr>
          <w:p w14:paraId="0BC270B3" w14:textId="77777777" w:rsidR="00B4617B" w:rsidRPr="006A4F51" w:rsidRDefault="00B4617B" w:rsidP="00CF14EA">
            <w:pPr>
              <w:pStyle w:val="CETBodytext"/>
              <w:jc w:val="right"/>
              <w:rPr>
                <w:lang w:val="en-GB"/>
              </w:rPr>
            </w:pPr>
            <w:r>
              <w:rPr>
                <w:lang w:val="en-GB"/>
              </w:rPr>
              <w:t>0.00278</w:t>
            </w:r>
          </w:p>
        </w:tc>
        <w:tc>
          <w:tcPr>
            <w:tcW w:w="1180" w:type="dxa"/>
            <w:tcBorders>
              <w:top w:val="nil"/>
              <w:left w:val="nil"/>
              <w:bottom w:val="nil"/>
              <w:right w:val="nil"/>
            </w:tcBorders>
            <w:shd w:val="clear" w:color="auto" w:fill="auto"/>
            <w:noWrap/>
            <w:hideMark/>
          </w:tcPr>
          <w:p w14:paraId="3D6A44E4" w14:textId="77777777" w:rsidR="00B4617B" w:rsidRPr="006A4F51" w:rsidRDefault="00B4617B" w:rsidP="00CF14EA">
            <w:pPr>
              <w:pStyle w:val="CETBodytext"/>
              <w:jc w:val="right"/>
              <w:rPr>
                <w:lang w:val="en-GB"/>
              </w:rPr>
            </w:pPr>
            <w:r w:rsidRPr="006A4F51">
              <w:rPr>
                <w:lang w:val="en-GB"/>
              </w:rPr>
              <w:t>0</w:t>
            </w:r>
            <w:r>
              <w:rPr>
                <w:lang w:val="en-GB"/>
              </w:rPr>
              <w:t>.</w:t>
            </w:r>
            <w:r w:rsidRPr="006A4F51">
              <w:rPr>
                <w:lang w:val="en-GB"/>
              </w:rPr>
              <w:t>7</w:t>
            </w:r>
            <w:r>
              <w:rPr>
                <w:lang w:val="en-GB"/>
              </w:rPr>
              <w:t>789</w:t>
            </w:r>
          </w:p>
        </w:tc>
        <w:tc>
          <w:tcPr>
            <w:tcW w:w="1041" w:type="dxa"/>
            <w:tcBorders>
              <w:top w:val="nil"/>
              <w:left w:val="nil"/>
              <w:bottom w:val="nil"/>
              <w:right w:val="nil"/>
            </w:tcBorders>
          </w:tcPr>
          <w:p w14:paraId="30E1ABB5" w14:textId="77777777" w:rsidR="00B4617B" w:rsidRPr="006A4F51" w:rsidRDefault="00B4617B" w:rsidP="00CF14EA">
            <w:pPr>
              <w:pStyle w:val="CETBodytext"/>
              <w:jc w:val="right"/>
              <w:rPr>
                <w:lang w:val="en-GB"/>
              </w:rPr>
            </w:pPr>
            <w:r>
              <w:rPr>
                <w:lang w:val="en-GB"/>
              </w:rPr>
              <w:t>-0.613</w:t>
            </w:r>
          </w:p>
        </w:tc>
        <w:tc>
          <w:tcPr>
            <w:tcW w:w="1041" w:type="dxa"/>
            <w:tcBorders>
              <w:top w:val="nil"/>
              <w:left w:val="nil"/>
              <w:bottom w:val="nil"/>
              <w:right w:val="nil"/>
            </w:tcBorders>
          </w:tcPr>
          <w:p w14:paraId="5C85002A" w14:textId="77777777" w:rsidR="00B4617B" w:rsidRPr="006A4F51" w:rsidRDefault="00B4617B" w:rsidP="00CF14EA">
            <w:pPr>
              <w:pStyle w:val="CETBodytext"/>
              <w:jc w:val="right"/>
              <w:rPr>
                <w:lang w:val="en-GB"/>
              </w:rPr>
            </w:pPr>
            <w:r>
              <w:rPr>
                <w:lang w:val="en-GB"/>
              </w:rPr>
              <w:t>13.136</w:t>
            </w:r>
          </w:p>
        </w:tc>
      </w:tr>
      <w:tr w:rsidR="00B4617B" w:rsidRPr="006A4F51" w14:paraId="477EFE1A" w14:textId="77777777" w:rsidTr="007A0E4B">
        <w:trPr>
          <w:trHeight w:val="284"/>
        </w:trPr>
        <w:tc>
          <w:tcPr>
            <w:tcW w:w="569" w:type="dxa"/>
            <w:tcBorders>
              <w:top w:val="nil"/>
              <w:left w:val="nil"/>
              <w:bottom w:val="single" w:sz="12" w:space="0" w:color="008000"/>
              <w:right w:val="nil"/>
            </w:tcBorders>
            <w:shd w:val="clear" w:color="auto" w:fill="auto"/>
            <w:noWrap/>
          </w:tcPr>
          <w:p w14:paraId="213A3BDD" w14:textId="77777777" w:rsidR="00B4617B" w:rsidRPr="006A4F51" w:rsidRDefault="00B4617B" w:rsidP="00CF14EA">
            <w:pPr>
              <w:pStyle w:val="CETBodytext"/>
              <w:jc w:val="right"/>
              <w:rPr>
                <w:lang w:val="en-GB"/>
              </w:rPr>
            </w:pPr>
            <w:r>
              <w:rPr>
                <w:lang w:val="en-GB"/>
              </w:rPr>
              <w:t>30.0</w:t>
            </w:r>
          </w:p>
        </w:tc>
        <w:tc>
          <w:tcPr>
            <w:tcW w:w="936" w:type="dxa"/>
            <w:tcBorders>
              <w:top w:val="nil"/>
              <w:left w:val="nil"/>
              <w:bottom w:val="single" w:sz="12" w:space="0" w:color="008000"/>
              <w:right w:val="nil"/>
            </w:tcBorders>
            <w:shd w:val="clear" w:color="auto" w:fill="auto"/>
            <w:noWrap/>
          </w:tcPr>
          <w:p w14:paraId="5217548B" w14:textId="77777777" w:rsidR="00B4617B" w:rsidRPr="006A4F51" w:rsidRDefault="00B4617B" w:rsidP="00CF14EA">
            <w:pPr>
              <w:pStyle w:val="CETBodytext"/>
              <w:jc w:val="right"/>
              <w:rPr>
                <w:lang w:val="en-GB"/>
              </w:rPr>
            </w:pPr>
            <w:r>
              <w:rPr>
                <w:lang w:val="en-GB"/>
              </w:rPr>
              <w:t>0.000</w:t>
            </w:r>
          </w:p>
        </w:tc>
        <w:tc>
          <w:tcPr>
            <w:tcW w:w="1180" w:type="dxa"/>
            <w:tcBorders>
              <w:top w:val="nil"/>
              <w:left w:val="nil"/>
              <w:bottom w:val="single" w:sz="12" w:space="0" w:color="008000"/>
              <w:right w:val="nil"/>
            </w:tcBorders>
            <w:shd w:val="clear" w:color="auto" w:fill="auto"/>
            <w:noWrap/>
          </w:tcPr>
          <w:p w14:paraId="6413285E" w14:textId="77777777" w:rsidR="00B4617B" w:rsidRPr="006A4F51" w:rsidRDefault="00B4617B" w:rsidP="00CF14EA">
            <w:pPr>
              <w:pStyle w:val="CETBodytext"/>
              <w:jc w:val="right"/>
              <w:rPr>
                <w:lang w:val="en-GB"/>
              </w:rPr>
            </w:pPr>
            <w:r>
              <w:rPr>
                <w:lang w:val="en-GB"/>
              </w:rPr>
              <w:t>0.000</w:t>
            </w:r>
          </w:p>
        </w:tc>
        <w:tc>
          <w:tcPr>
            <w:tcW w:w="1180" w:type="dxa"/>
            <w:tcBorders>
              <w:top w:val="nil"/>
              <w:left w:val="nil"/>
              <w:bottom w:val="single" w:sz="12" w:space="0" w:color="008000"/>
              <w:right w:val="nil"/>
            </w:tcBorders>
            <w:shd w:val="clear" w:color="auto" w:fill="auto"/>
            <w:noWrap/>
          </w:tcPr>
          <w:p w14:paraId="4E00901D" w14:textId="77777777" w:rsidR="00B4617B" w:rsidRPr="006A4F51" w:rsidRDefault="00B4617B" w:rsidP="00CF14EA">
            <w:pPr>
              <w:pStyle w:val="CETBodytext"/>
              <w:jc w:val="right"/>
              <w:rPr>
                <w:lang w:val="en-GB"/>
              </w:rPr>
            </w:pPr>
            <w:r>
              <w:rPr>
                <w:lang w:val="en-GB"/>
              </w:rPr>
              <w:t>0.00000</w:t>
            </w:r>
          </w:p>
        </w:tc>
        <w:tc>
          <w:tcPr>
            <w:tcW w:w="1180" w:type="dxa"/>
            <w:tcBorders>
              <w:top w:val="nil"/>
              <w:left w:val="nil"/>
              <w:bottom w:val="single" w:sz="12" w:space="0" w:color="008000"/>
              <w:right w:val="nil"/>
            </w:tcBorders>
            <w:shd w:val="clear" w:color="auto" w:fill="auto"/>
            <w:noWrap/>
          </w:tcPr>
          <w:p w14:paraId="06A58CF1" w14:textId="77777777" w:rsidR="00B4617B" w:rsidRPr="006A4F51" w:rsidRDefault="00B4617B" w:rsidP="00CF14EA">
            <w:pPr>
              <w:pStyle w:val="CETBodytext"/>
              <w:jc w:val="right"/>
              <w:rPr>
                <w:lang w:val="en-GB"/>
              </w:rPr>
            </w:pPr>
            <w:r>
              <w:rPr>
                <w:lang w:val="en-GB"/>
              </w:rPr>
              <w:t>0.00000</w:t>
            </w:r>
          </w:p>
        </w:tc>
        <w:tc>
          <w:tcPr>
            <w:tcW w:w="1180" w:type="dxa"/>
            <w:tcBorders>
              <w:top w:val="nil"/>
              <w:left w:val="nil"/>
              <w:bottom w:val="single" w:sz="12" w:space="0" w:color="008000"/>
              <w:right w:val="nil"/>
            </w:tcBorders>
            <w:shd w:val="clear" w:color="auto" w:fill="auto"/>
            <w:noWrap/>
          </w:tcPr>
          <w:p w14:paraId="181CBC51" w14:textId="77777777" w:rsidR="00B4617B" w:rsidRPr="006A4F51" w:rsidRDefault="00B4617B" w:rsidP="00CF14EA">
            <w:pPr>
              <w:pStyle w:val="CETBodytext"/>
              <w:jc w:val="right"/>
              <w:rPr>
                <w:lang w:val="en-GB"/>
              </w:rPr>
            </w:pPr>
            <w:r>
              <w:rPr>
                <w:lang w:val="en-GB"/>
              </w:rPr>
              <w:t>0.7788</w:t>
            </w:r>
          </w:p>
        </w:tc>
        <w:tc>
          <w:tcPr>
            <w:tcW w:w="1041" w:type="dxa"/>
            <w:tcBorders>
              <w:top w:val="nil"/>
              <w:left w:val="nil"/>
              <w:bottom w:val="single" w:sz="12" w:space="0" w:color="008000"/>
              <w:right w:val="nil"/>
            </w:tcBorders>
          </w:tcPr>
          <w:p w14:paraId="21711CD6" w14:textId="77777777" w:rsidR="00B4617B" w:rsidRPr="006A4F51" w:rsidRDefault="00B4617B" w:rsidP="00CF14EA">
            <w:pPr>
              <w:pStyle w:val="CETBodytext"/>
              <w:jc w:val="right"/>
              <w:rPr>
                <w:lang w:val="en-GB"/>
              </w:rPr>
            </w:pPr>
            <w:r>
              <w:rPr>
                <w:lang w:val="en-GB"/>
              </w:rPr>
              <w:t>0.000</w:t>
            </w:r>
          </w:p>
        </w:tc>
        <w:tc>
          <w:tcPr>
            <w:tcW w:w="1041" w:type="dxa"/>
            <w:tcBorders>
              <w:top w:val="nil"/>
              <w:left w:val="nil"/>
              <w:bottom w:val="single" w:sz="12" w:space="0" w:color="008000"/>
              <w:right w:val="nil"/>
            </w:tcBorders>
          </w:tcPr>
          <w:p w14:paraId="0B6BF412" w14:textId="77777777" w:rsidR="00B4617B" w:rsidRPr="006A4F51" w:rsidRDefault="00B4617B" w:rsidP="00CF14EA">
            <w:pPr>
              <w:pStyle w:val="CETBodytext"/>
              <w:jc w:val="right"/>
              <w:rPr>
                <w:lang w:val="en-GB"/>
              </w:rPr>
            </w:pPr>
            <w:r>
              <w:rPr>
                <w:lang w:val="en-GB"/>
              </w:rPr>
              <w:t>0.000</w:t>
            </w:r>
          </w:p>
        </w:tc>
      </w:tr>
    </w:tbl>
    <w:p w14:paraId="2BDBF693" w14:textId="77777777" w:rsidR="00B66217" w:rsidRPr="00B57B36" w:rsidRDefault="00B66217" w:rsidP="00B66217">
      <w:pPr>
        <w:pStyle w:val="CETHeading1"/>
        <w:tabs>
          <w:tab w:val="clear" w:pos="360"/>
          <w:tab w:val="right" w:pos="7100"/>
        </w:tabs>
        <w:jc w:val="both"/>
        <w:rPr>
          <w:lang w:val="en-GB"/>
        </w:rPr>
      </w:pPr>
      <w:r>
        <w:rPr>
          <w:lang w:val="en-GB"/>
        </w:rPr>
        <w:t>Conclusions</w:t>
      </w:r>
    </w:p>
    <w:p w14:paraId="229EF410" w14:textId="77777777" w:rsidR="004750BE" w:rsidRDefault="00092DBB" w:rsidP="00600535">
      <w:pPr>
        <w:pStyle w:val="CETBodytext"/>
        <w:rPr>
          <w:lang w:val="en-GB"/>
        </w:rPr>
      </w:pPr>
      <w:r>
        <w:rPr>
          <w:lang w:val="en-GB"/>
        </w:rPr>
        <w:t>The proposed method showed very good results, being able to give reliable and accurate results for two case studies, having goo</w:t>
      </w:r>
      <w:r w:rsidR="004750BE">
        <w:rPr>
          <w:lang w:val="en-GB"/>
        </w:rPr>
        <w:t>d agreement with other methods.</w:t>
      </w:r>
    </w:p>
    <w:p w14:paraId="0B5DA225" w14:textId="5A99D3B1" w:rsidR="004750BE" w:rsidRDefault="00092DBB" w:rsidP="00600535">
      <w:pPr>
        <w:pStyle w:val="CETBodytext"/>
        <w:rPr>
          <w:lang w:val="en-GB"/>
        </w:rPr>
      </w:pPr>
      <w:r>
        <w:rPr>
          <w:lang w:val="en-GB"/>
        </w:rPr>
        <w:t>One interesting feature of the variational method is that the pressure field does not need to be explicitly calculated, since it is the Lag</w:t>
      </w:r>
      <w:r w:rsidR="000F55E9">
        <w:rPr>
          <w:lang w:val="en-GB"/>
        </w:rPr>
        <w:t>rangian multiplier associated with</w:t>
      </w:r>
      <w:r>
        <w:rPr>
          <w:lang w:val="en-GB"/>
        </w:rPr>
        <w:t xml:space="preserve"> the continuity equatio</w:t>
      </w:r>
      <w:r w:rsidR="00100FDE">
        <w:rPr>
          <w:lang w:val="en-GB"/>
        </w:rPr>
        <w:t>n. The pressure can be foun</w:t>
      </w:r>
      <w:r>
        <w:rPr>
          <w:lang w:val="en-GB"/>
        </w:rPr>
        <w:t xml:space="preserve">d later, after </w:t>
      </w:r>
      <w:r w:rsidR="00100FDE">
        <w:rPr>
          <w:lang w:val="en-GB"/>
        </w:rPr>
        <w:t>the velocity profiles are calculated</w:t>
      </w:r>
      <w:r w:rsidR="004750BE">
        <w:rPr>
          <w:lang w:val="en-GB"/>
        </w:rPr>
        <w:t xml:space="preserve">, using GAMS and calling for the marginal </w:t>
      </w:r>
      <w:r w:rsidR="00ED2F67">
        <w:rPr>
          <w:lang w:val="en-GB"/>
        </w:rPr>
        <w:t xml:space="preserve">value </w:t>
      </w:r>
      <w:bookmarkStart w:id="3" w:name="_GoBack"/>
      <w:bookmarkEnd w:id="3"/>
      <w:r w:rsidR="004750BE">
        <w:rPr>
          <w:lang w:val="en-GB"/>
        </w:rPr>
        <w:t>of that restriction</w:t>
      </w:r>
      <w:r w:rsidR="004B766A" w:rsidRPr="004B766A">
        <w:rPr>
          <w:lang w:val="en-GB"/>
        </w:rPr>
        <w:t xml:space="preserve"> </w:t>
      </w:r>
      <w:r w:rsidR="004B766A">
        <w:rPr>
          <w:lang w:val="en-GB"/>
        </w:rPr>
        <w:t>after a ‘solve’</w:t>
      </w:r>
      <w:r w:rsidR="004750BE">
        <w:rPr>
          <w:lang w:val="en-GB"/>
        </w:rPr>
        <w:t>. In this work all physical properties were considered constant, but for a problem where physical properties change with pressure this variation can be easily computed af</w:t>
      </w:r>
      <w:r w:rsidR="003D3C60">
        <w:rPr>
          <w:lang w:val="en-GB"/>
        </w:rPr>
        <w:t>ter each loop of the iterative procedure.</w:t>
      </w:r>
    </w:p>
    <w:p w14:paraId="6AB4CAEE" w14:textId="27D7CD3A" w:rsidR="00B66217" w:rsidRDefault="00092DBB" w:rsidP="00600535">
      <w:pPr>
        <w:pStyle w:val="CETBodytext"/>
        <w:rPr>
          <w:lang w:val="en-GB"/>
        </w:rPr>
      </w:pPr>
      <w:r>
        <w:rPr>
          <w:lang w:val="en-GB"/>
        </w:rPr>
        <w:t>The numerical application of the variational method still needs some improvement, due to some numerical difficulties, related to terms with different orders of magnitude and with initial estimates in the optimization.</w:t>
      </w:r>
    </w:p>
    <w:p w14:paraId="34D9F0CA" w14:textId="77777777" w:rsidR="009F1D6A" w:rsidRDefault="009F1D6A" w:rsidP="009F1D6A">
      <w:pPr>
        <w:pStyle w:val="CETReference"/>
      </w:pPr>
      <w:r w:rsidRPr="00B57B36">
        <w:t>References</w:t>
      </w:r>
    </w:p>
    <w:p w14:paraId="1F2D176A" w14:textId="57C830DF" w:rsidR="00EB75E2" w:rsidRDefault="00EB75E2" w:rsidP="00EB75E2">
      <w:pPr>
        <w:pStyle w:val="CETReferencetext"/>
      </w:pPr>
      <w:r w:rsidRPr="008068FA">
        <w:t>Bird</w:t>
      </w:r>
      <w:r>
        <w:t xml:space="preserve"> R.B., </w:t>
      </w:r>
      <w:r w:rsidRPr="008068FA">
        <w:t>Stewart</w:t>
      </w:r>
      <w:r>
        <w:t xml:space="preserve"> W.E., </w:t>
      </w:r>
      <w:r w:rsidRPr="008068FA">
        <w:t>Lightfoot</w:t>
      </w:r>
      <w:r>
        <w:t xml:space="preserve"> E.N.,</w:t>
      </w:r>
      <w:r w:rsidRPr="008068FA">
        <w:t xml:space="preserve"> </w:t>
      </w:r>
      <w:r>
        <w:t xml:space="preserve">2002, </w:t>
      </w:r>
      <w:r w:rsidRPr="008068FA">
        <w:t>Transport Phenomena, John Wile</w:t>
      </w:r>
      <w:r>
        <w:t xml:space="preserve">y &amp; Sons Inc., 2nd Edition, </w:t>
      </w:r>
      <w:r w:rsidRPr="008068FA">
        <w:t>p. 846-848.</w:t>
      </w:r>
    </w:p>
    <w:p w14:paraId="2719D597" w14:textId="77777777" w:rsidR="00BF13C7" w:rsidRDefault="00BF13C7" w:rsidP="00BF13C7">
      <w:pPr>
        <w:pStyle w:val="CETReferencetext"/>
      </w:pPr>
      <w:r>
        <w:t>Chen Z., Zheng C., Feng. Y., 1995, Modeling of three-phase fluidized beds based on local bubble characteristics measurements, Chemical Engineering Science, 50, 231</w:t>
      </w:r>
      <w:r w:rsidRPr="006B4888">
        <w:t>–</w:t>
      </w:r>
      <w:r>
        <w:t>236.</w:t>
      </w:r>
    </w:p>
    <w:p w14:paraId="44DE23CA" w14:textId="6832922B" w:rsidR="00BF13C7" w:rsidRDefault="00BF13C7" w:rsidP="00BF13C7">
      <w:pPr>
        <w:pStyle w:val="CETReferencetext"/>
      </w:pPr>
      <w:r>
        <w:t>Grienberger J., Hofmann H., 1992, Investigations and modelling of bubble columns, Chemical Engineering Science, 47, 2215</w:t>
      </w:r>
      <w:r w:rsidRPr="006B4888">
        <w:t>–</w:t>
      </w:r>
      <w:r>
        <w:t>2220.</w:t>
      </w:r>
    </w:p>
    <w:p w14:paraId="5959B227" w14:textId="08761B95" w:rsidR="004628D2" w:rsidRDefault="00AE32E3" w:rsidP="00872A18">
      <w:pPr>
        <w:pStyle w:val="CETReferencetext"/>
      </w:pPr>
      <w:r>
        <w:t xml:space="preserve">Guirardello R., 2015, </w:t>
      </w:r>
      <w:r w:rsidR="00116317">
        <w:t xml:space="preserve">A variational formulation for steady two-dimensional laminar flow, Far East Journal of Applied Mathematics, </w:t>
      </w:r>
      <w:r w:rsidR="00616341">
        <w:t>93</w:t>
      </w:r>
      <w:r w:rsidR="00116317">
        <w:t>, 191</w:t>
      </w:r>
      <w:r w:rsidR="00610211" w:rsidRPr="006B4888">
        <w:t>–</w:t>
      </w:r>
      <w:r w:rsidR="00116317">
        <w:t>216.</w:t>
      </w:r>
    </w:p>
    <w:p w14:paraId="4CFEDB5E" w14:textId="77777777" w:rsidR="00BF13C7" w:rsidRDefault="00BF13C7" w:rsidP="00BF13C7">
      <w:pPr>
        <w:pStyle w:val="CETReferencetext"/>
      </w:pPr>
      <w:r>
        <w:t>Hillmer G., Weismantel L., Hofmann H. 1994, Investigations and modelling of slurry bubble columns, Chemical Engineering Science, 49, 837</w:t>
      </w:r>
      <w:r w:rsidRPr="006B4888">
        <w:t>–</w:t>
      </w:r>
      <w:r>
        <w:t>843.</w:t>
      </w:r>
    </w:p>
    <w:p w14:paraId="776085ED" w14:textId="4ADCA32B" w:rsidR="00BF13C7" w:rsidRDefault="00BF13C7" w:rsidP="00BF13C7">
      <w:pPr>
        <w:pStyle w:val="CETReferencetext"/>
      </w:pPr>
      <w:r>
        <w:t>Menzel T., Weide T., Staudacher O., Wein O., Onken U., 1990, Reynolds shear stress for modeling of bubble column reactors, Ind. Eng. Chem. Res., 29, 988</w:t>
      </w:r>
      <w:r w:rsidRPr="006B4888">
        <w:t>–</w:t>
      </w:r>
      <w:r>
        <w:t>994.</w:t>
      </w:r>
    </w:p>
    <w:p w14:paraId="5D29487B" w14:textId="2E74F82A" w:rsidR="00834CF0" w:rsidRDefault="00834CF0" w:rsidP="00872A18">
      <w:pPr>
        <w:pStyle w:val="CETReferencetext"/>
      </w:pPr>
      <w:r>
        <w:t xml:space="preserve">Torvik R., Svendsen H.F., 1990, </w:t>
      </w:r>
      <w:r w:rsidR="00BB307F">
        <w:t>Modelling of slurry reactors. A fundamental approach, Chemical Engineering Science, 45, 2325</w:t>
      </w:r>
      <w:r w:rsidR="00BB307F" w:rsidRPr="006B4888">
        <w:t>–</w:t>
      </w:r>
      <w:r w:rsidR="00BB307F">
        <w:t>2332.</w:t>
      </w:r>
    </w:p>
    <w:sectPr w:rsidR="00834CF0" w:rsidSect="00C64038">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241208" w14:textId="77777777" w:rsidR="002C7122" w:rsidRDefault="002C7122" w:rsidP="004F5E36">
      <w:r>
        <w:separator/>
      </w:r>
    </w:p>
  </w:endnote>
  <w:endnote w:type="continuationSeparator" w:id="0">
    <w:p w14:paraId="5FA308DE" w14:textId="77777777" w:rsidR="002C7122" w:rsidRDefault="002C712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dvP6960">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0C95B8" w14:textId="77777777" w:rsidR="002C7122" w:rsidRDefault="002C7122" w:rsidP="004F5E36">
      <w:r>
        <w:separator/>
      </w:r>
    </w:p>
  </w:footnote>
  <w:footnote w:type="continuationSeparator" w:id="0">
    <w:p w14:paraId="0ED9750C" w14:textId="77777777" w:rsidR="002C7122" w:rsidRDefault="002C7122" w:rsidP="004F5E3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438217E"/>
    <w:multiLevelType w:val="multilevel"/>
    <w:tmpl w:val="F822F95C"/>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50">
      <o:colormenu v:ext="edit" fillcolor="none"/>
    </o:shapedefaults>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DD5"/>
    <w:rsid w:val="00010F40"/>
    <w:rsid w:val="000117CB"/>
    <w:rsid w:val="00013DDB"/>
    <w:rsid w:val="00020F07"/>
    <w:rsid w:val="000230E9"/>
    <w:rsid w:val="000268EA"/>
    <w:rsid w:val="0003148D"/>
    <w:rsid w:val="0003524D"/>
    <w:rsid w:val="00041118"/>
    <w:rsid w:val="00041C71"/>
    <w:rsid w:val="000446F0"/>
    <w:rsid w:val="0004516F"/>
    <w:rsid w:val="00046A14"/>
    <w:rsid w:val="00047B55"/>
    <w:rsid w:val="00047D7F"/>
    <w:rsid w:val="00051566"/>
    <w:rsid w:val="00056F7C"/>
    <w:rsid w:val="00062A9A"/>
    <w:rsid w:val="00065058"/>
    <w:rsid w:val="000765BA"/>
    <w:rsid w:val="00086C39"/>
    <w:rsid w:val="00092DBB"/>
    <w:rsid w:val="00092E14"/>
    <w:rsid w:val="00094C21"/>
    <w:rsid w:val="000A03B2"/>
    <w:rsid w:val="000A13C2"/>
    <w:rsid w:val="000A3B79"/>
    <w:rsid w:val="000A634C"/>
    <w:rsid w:val="000B0DC6"/>
    <w:rsid w:val="000B5870"/>
    <w:rsid w:val="000C5DF7"/>
    <w:rsid w:val="000D0688"/>
    <w:rsid w:val="000D0A29"/>
    <w:rsid w:val="000D2E37"/>
    <w:rsid w:val="000D34BE"/>
    <w:rsid w:val="000E102F"/>
    <w:rsid w:val="000E36F1"/>
    <w:rsid w:val="000E3A73"/>
    <w:rsid w:val="000E411A"/>
    <w:rsid w:val="000E414A"/>
    <w:rsid w:val="000F093C"/>
    <w:rsid w:val="000F16BD"/>
    <w:rsid w:val="000F42B7"/>
    <w:rsid w:val="000F55E9"/>
    <w:rsid w:val="000F787B"/>
    <w:rsid w:val="00100FDE"/>
    <w:rsid w:val="0010595B"/>
    <w:rsid w:val="00111043"/>
    <w:rsid w:val="0011210A"/>
    <w:rsid w:val="00116317"/>
    <w:rsid w:val="0012091F"/>
    <w:rsid w:val="00121C5F"/>
    <w:rsid w:val="00126BC2"/>
    <w:rsid w:val="001308B6"/>
    <w:rsid w:val="0013121F"/>
    <w:rsid w:val="00131FAB"/>
    <w:rsid w:val="00131FE6"/>
    <w:rsid w:val="001324DD"/>
    <w:rsid w:val="001325BD"/>
    <w:rsid w:val="0013263F"/>
    <w:rsid w:val="001327DD"/>
    <w:rsid w:val="00134DE4"/>
    <w:rsid w:val="0014034D"/>
    <w:rsid w:val="00145826"/>
    <w:rsid w:val="00145BD0"/>
    <w:rsid w:val="00150E59"/>
    <w:rsid w:val="00151F92"/>
    <w:rsid w:val="00152DE3"/>
    <w:rsid w:val="00153EFC"/>
    <w:rsid w:val="00162642"/>
    <w:rsid w:val="00164CF9"/>
    <w:rsid w:val="00173866"/>
    <w:rsid w:val="00182ED2"/>
    <w:rsid w:val="00184AD6"/>
    <w:rsid w:val="001923AD"/>
    <w:rsid w:val="00192859"/>
    <w:rsid w:val="001B0349"/>
    <w:rsid w:val="001B65C1"/>
    <w:rsid w:val="001B77E7"/>
    <w:rsid w:val="001B7FDF"/>
    <w:rsid w:val="001C684B"/>
    <w:rsid w:val="001D53FC"/>
    <w:rsid w:val="001D7C7F"/>
    <w:rsid w:val="001E31E7"/>
    <w:rsid w:val="001F09C9"/>
    <w:rsid w:val="001F42A5"/>
    <w:rsid w:val="001F711A"/>
    <w:rsid w:val="001F7B9D"/>
    <w:rsid w:val="00203DF9"/>
    <w:rsid w:val="00204D94"/>
    <w:rsid w:val="0021052E"/>
    <w:rsid w:val="00216938"/>
    <w:rsid w:val="002224B4"/>
    <w:rsid w:val="002239DD"/>
    <w:rsid w:val="00225A2C"/>
    <w:rsid w:val="002408F1"/>
    <w:rsid w:val="002447EF"/>
    <w:rsid w:val="00246B95"/>
    <w:rsid w:val="00251550"/>
    <w:rsid w:val="00252C1A"/>
    <w:rsid w:val="002542C2"/>
    <w:rsid w:val="00263B05"/>
    <w:rsid w:val="00271677"/>
    <w:rsid w:val="0027221A"/>
    <w:rsid w:val="00275B61"/>
    <w:rsid w:val="00282656"/>
    <w:rsid w:val="00282C54"/>
    <w:rsid w:val="002862E9"/>
    <w:rsid w:val="002910BA"/>
    <w:rsid w:val="00292F3E"/>
    <w:rsid w:val="00293C52"/>
    <w:rsid w:val="00296B83"/>
    <w:rsid w:val="002A6914"/>
    <w:rsid w:val="002A783F"/>
    <w:rsid w:val="002B78CE"/>
    <w:rsid w:val="002C2FB6"/>
    <w:rsid w:val="002C7122"/>
    <w:rsid w:val="002D131A"/>
    <w:rsid w:val="002D5842"/>
    <w:rsid w:val="002D5BCD"/>
    <w:rsid w:val="002E5743"/>
    <w:rsid w:val="002F2CE9"/>
    <w:rsid w:val="0030076A"/>
    <w:rsid w:val="003009B7"/>
    <w:rsid w:val="00300E56"/>
    <w:rsid w:val="0030469C"/>
    <w:rsid w:val="00321CA6"/>
    <w:rsid w:val="003268AB"/>
    <w:rsid w:val="00334C09"/>
    <w:rsid w:val="003365E3"/>
    <w:rsid w:val="00337F5F"/>
    <w:rsid w:val="003446B9"/>
    <w:rsid w:val="0035433A"/>
    <w:rsid w:val="00357108"/>
    <w:rsid w:val="00364A4B"/>
    <w:rsid w:val="0036535F"/>
    <w:rsid w:val="00365F51"/>
    <w:rsid w:val="003723D4"/>
    <w:rsid w:val="00383605"/>
    <w:rsid w:val="00384CC8"/>
    <w:rsid w:val="003871FD"/>
    <w:rsid w:val="003903FB"/>
    <w:rsid w:val="00392462"/>
    <w:rsid w:val="003946CE"/>
    <w:rsid w:val="003A1E30"/>
    <w:rsid w:val="003A7D1C"/>
    <w:rsid w:val="003B2CBB"/>
    <w:rsid w:val="003B304B"/>
    <w:rsid w:val="003B3146"/>
    <w:rsid w:val="003B4C77"/>
    <w:rsid w:val="003B60F3"/>
    <w:rsid w:val="003C1E6A"/>
    <w:rsid w:val="003C2796"/>
    <w:rsid w:val="003C47F3"/>
    <w:rsid w:val="003D3933"/>
    <w:rsid w:val="003D3C60"/>
    <w:rsid w:val="003E637C"/>
    <w:rsid w:val="003F015E"/>
    <w:rsid w:val="003F0864"/>
    <w:rsid w:val="003F29D0"/>
    <w:rsid w:val="00400414"/>
    <w:rsid w:val="00412E68"/>
    <w:rsid w:val="0041446B"/>
    <w:rsid w:val="004305C7"/>
    <w:rsid w:val="00433ECA"/>
    <w:rsid w:val="004377D7"/>
    <w:rsid w:val="0044329C"/>
    <w:rsid w:val="004441D2"/>
    <w:rsid w:val="004500AB"/>
    <w:rsid w:val="0045334F"/>
    <w:rsid w:val="004549A5"/>
    <w:rsid w:val="004550D7"/>
    <w:rsid w:val="004577FE"/>
    <w:rsid w:val="00457B9C"/>
    <w:rsid w:val="0046164A"/>
    <w:rsid w:val="004628D2"/>
    <w:rsid w:val="00462DCD"/>
    <w:rsid w:val="004648AD"/>
    <w:rsid w:val="004703A9"/>
    <w:rsid w:val="004739EE"/>
    <w:rsid w:val="004750BE"/>
    <w:rsid w:val="004760DE"/>
    <w:rsid w:val="00476DCD"/>
    <w:rsid w:val="004838F2"/>
    <w:rsid w:val="0049021A"/>
    <w:rsid w:val="00492EC2"/>
    <w:rsid w:val="004A004E"/>
    <w:rsid w:val="004A24CF"/>
    <w:rsid w:val="004A583F"/>
    <w:rsid w:val="004A70A9"/>
    <w:rsid w:val="004B3743"/>
    <w:rsid w:val="004B6721"/>
    <w:rsid w:val="004B766A"/>
    <w:rsid w:val="004C3D1D"/>
    <w:rsid w:val="004C7913"/>
    <w:rsid w:val="004D7496"/>
    <w:rsid w:val="004E1901"/>
    <w:rsid w:val="004E3621"/>
    <w:rsid w:val="004E4DD6"/>
    <w:rsid w:val="004F5E36"/>
    <w:rsid w:val="004F6A2F"/>
    <w:rsid w:val="0050019D"/>
    <w:rsid w:val="00507B47"/>
    <w:rsid w:val="00507CC9"/>
    <w:rsid w:val="005119A5"/>
    <w:rsid w:val="0052099A"/>
    <w:rsid w:val="00520B40"/>
    <w:rsid w:val="00522131"/>
    <w:rsid w:val="00523B2A"/>
    <w:rsid w:val="005278B7"/>
    <w:rsid w:val="00532016"/>
    <w:rsid w:val="005334A3"/>
    <w:rsid w:val="005346C8"/>
    <w:rsid w:val="00541AC8"/>
    <w:rsid w:val="0054312F"/>
    <w:rsid w:val="00543E7D"/>
    <w:rsid w:val="0054654E"/>
    <w:rsid w:val="00546B05"/>
    <w:rsid w:val="00547A68"/>
    <w:rsid w:val="005531C9"/>
    <w:rsid w:val="005654F4"/>
    <w:rsid w:val="00574622"/>
    <w:rsid w:val="00587180"/>
    <w:rsid w:val="00596AD6"/>
    <w:rsid w:val="005A143D"/>
    <w:rsid w:val="005B2110"/>
    <w:rsid w:val="005B61E6"/>
    <w:rsid w:val="005C01A1"/>
    <w:rsid w:val="005C7187"/>
    <w:rsid w:val="005C77E1"/>
    <w:rsid w:val="005D6A2F"/>
    <w:rsid w:val="005E1266"/>
    <w:rsid w:val="005E1A82"/>
    <w:rsid w:val="005E38B0"/>
    <w:rsid w:val="005E4E9A"/>
    <w:rsid w:val="005E794C"/>
    <w:rsid w:val="005F0A28"/>
    <w:rsid w:val="005F0E5E"/>
    <w:rsid w:val="005F244C"/>
    <w:rsid w:val="005F7557"/>
    <w:rsid w:val="00600535"/>
    <w:rsid w:val="00610211"/>
    <w:rsid w:val="00610CD6"/>
    <w:rsid w:val="006132EB"/>
    <w:rsid w:val="00616341"/>
    <w:rsid w:val="00620DEE"/>
    <w:rsid w:val="00621F92"/>
    <w:rsid w:val="0062260D"/>
    <w:rsid w:val="00622839"/>
    <w:rsid w:val="00625639"/>
    <w:rsid w:val="00626859"/>
    <w:rsid w:val="00631B33"/>
    <w:rsid w:val="0064184D"/>
    <w:rsid w:val="006422CC"/>
    <w:rsid w:val="00660E3E"/>
    <w:rsid w:val="00662E74"/>
    <w:rsid w:val="00672082"/>
    <w:rsid w:val="00673E64"/>
    <w:rsid w:val="00680C23"/>
    <w:rsid w:val="0068786E"/>
    <w:rsid w:val="006907A7"/>
    <w:rsid w:val="00693766"/>
    <w:rsid w:val="006A26FA"/>
    <w:rsid w:val="006A3281"/>
    <w:rsid w:val="006A4047"/>
    <w:rsid w:val="006A5E57"/>
    <w:rsid w:val="006A6C5A"/>
    <w:rsid w:val="006B19FC"/>
    <w:rsid w:val="006B4888"/>
    <w:rsid w:val="006C112D"/>
    <w:rsid w:val="006C2E45"/>
    <w:rsid w:val="006C359C"/>
    <w:rsid w:val="006C5579"/>
    <w:rsid w:val="006C7ECA"/>
    <w:rsid w:val="006D042F"/>
    <w:rsid w:val="006D645E"/>
    <w:rsid w:val="006E18D4"/>
    <w:rsid w:val="006E737D"/>
    <w:rsid w:val="006F3D5C"/>
    <w:rsid w:val="006F4F01"/>
    <w:rsid w:val="006F5DD1"/>
    <w:rsid w:val="0070195D"/>
    <w:rsid w:val="00720A24"/>
    <w:rsid w:val="00720F87"/>
    <w:rsid w:val="00732386"/>
    <w:rsid w:val="007327F1"/>
    <w:rsid w:val="00735B9A"/>
    <w:rsid w:val="007447F3"/>
    <w:rsid w:val="0075499F"/>
    <w:rsid w:val="00756295"/>
    <w:rsid w:val="007661C8"/>
    <w:rsid w:val="0077098D"/>
    <w:rsid w:val="00774958"/>
    <w:rsid w:val="00774D5F"/>
    <w:rsid w:val="00783E0D"/>
    <w:rsid w:val="0079061A"/>
    <w:rsid w:val="007931FA"/>
    <w:rsid w:val="007979C9"/>
    <w:rsid w:val="007A0E4B"/>
    <w:rsid w:val="007A457C"/>
    <w:rsid w:val="007A66D0"/>
    <w:rsid w:val="007A7BBA"/>
    <w:rsid w:val="007B0983"/>
    <w:rsid w:val="007B0C50"/>
    <w:rsid w:val="007B50AB"/>
    <w:rsid w:val="007C1A43"/>
    <w:rsid w:val="007E1DC6"/>
    <w:rsid w:val="007E4BA4"/>
    <w:rsid w:val="00800C7C"/>
    <w:rsid w:val="008068FA"/>
    <w:rsid w:val="008075C3"/>
    <w:rsid w:val="00813288"/>
    <w:rsid w:val="008168FC"/>
    <w:rsid w:val="00817522"/>
    <w:rsid w:val="00820793"/>
    <w:rsid w:val="00830996"/>
    <w:rsid w:val="00831F89"/>
    <w:rsid w:val="008345F1"/>
    <w:rsid w:val="00834781"/>
    <w:rsid w:val="00834CF0"/>
    <w:rsid w:val="0083694F"/>
    <w:rsid w:val="00845988"/>
    <w:rsid w:val="008641D2"/>
    <w:rsid w:val="00865B07"/>
    <w:rsid w:val="008667EA"/>
    <w:rsid w:val="00872A18"/>
    <w:rsid w:val="008732E5"/>
    <w:rsid w:val="008742C2"/>
    <w:rsid w:val="0087637F"/>
    <w:rsid w:val="00886F49"/>
    <w:rsid w:val="008904B9"/>
    <w:rsid w:val="00892AD5"/>
    <w:rsid w:val="008A1512"/>
    <w:rsid w:val="008A5034"/>
    <w:rsid w:val="008A5FE6"/>
    <w:rsid w:val="008A61DF"/>
    <w:rsid w:val="008B6605"/>
    <w:rsid w:val="008C77C0"/>
    <w:rsid w:val="008C78C1"/>
    <w:rsid w:val="008D0EEA"/>
    <w:rsid w:val="008D32B9"/>
    <w:rsid w:val="008D433B"/>
    <w:rsid w:val="008D777E"/>
    <w:rsid w:val="008E566E"/>
    <w:rsid w:val="008F59BF"/>
    <w:rsid w:val="0090161A"/>
    <w:rsid w:val="00901EB6"/>
    <w:rsid w:val="00904C62"/>
    <w:rsid w:val="00911A32"/>
    <w:rsid w:val="00924DAC"/>
    <w:rsid w:val="00925385"/>
    <w:rsid w:val="00927058"/>
    <w:rsid w:val="00930802"/>
    <w:rsid w:val="009450CE"/>
    <w:rsid w:val="0094694F"/>
    <w:rsid w:val="00947179"/>
    <w:rsid w:val="0095164B"/>
    <w:rsid w:val="00952016"/>
    <w:rsid w:val="00954090"/>
    <w:rsid w:val="009573E7"/>
    <w:rsid w:val="009635B9"/>
    <w:rsid w:val="00963E05"/>
    <w:rsid w:val="00967D54"/>
    <w:rsid w:val="009778C8"/>
    <w:rsid w:val="0098140F"/>
    <w:rsid w:val="00992E27"/>
    <w:rsid w:val="00996483"/>
    <w:rsid w:val="00996F5A"/>
    <w:rsid w:val="009A0A3E"/>
    <w:rsid w:val="009A1992"/>
    <w:rsid w:val="009B041A"/>
    <w:rsid w:val="009B543D"/>
    <w:rsid w:val="009C027F"/>
    <w:rsid w:val="009C7C86"/>
    <w:rsid w:val="009D2FF7"/>
    <w:rsid w:val="009E292A"/>
    <w:rsid w:val="009E7884"/>
    <w:rsid w:val="009E788A"/>
    <w:rsid w:val="009F0E08"/>
    <w:rsid w:val="009F1D6A"/>
    <w:rsid w:val="00A15AC9"/>
    <w:rsid w:val="00A1763D"/>
    <w:rsid w:val="00A17CEC"/>
    <w:rsid w:val="00A21AA7"/>
    <w:rsid w:val="00A251C7"/>
    <w:rsid w:val="00A27EF0"/>
    <w:rsid w:val="00A50B20"/>
    <w:rsid w:val="00A51390"/>
    <w:rsid w:val="00A52385"/>
    <w:rsid w:val="00A52958"/>
    <w:rsid w:val="00A60D13"/>
    <w:rsid w:val="00A6445A"/>
    <w:rsid w:val="00A72745"/>
    <w:rsid w:val="00A74CCB"/>
    <w:rsid w:val="00A76EFC"/>
    <w:rsid w:val="00A8407F"/>
    <w:rsid w:val="00A91010"/>
    <w:rsid w:val="00A97F29"/>
    <w:rsid w:val="00AA6F5D"/>
    <w:rsid w:val="00AA702E"/>
    <w:rsid w:val="00AA7057"/>
    <w:rsid w:val="00AB0964"/>
    <w:rsid w:val="00AB1F9B"/>
    <w:rsid w:val="00AB2B5F"/>
    <w:rsid w:val="00AB5011"/>
    <w:rsid w:val="00AB5420"/>
    <w:rsid w:val="00AC7368"/>
    <w:rsid w:val="00AC7900"/>
    <w:rsid w:val="00AD0288"/>
    <w:rsid w:val="00AD16B9"/>
    <w:rsid w:val="00AD1F4E"/>
    <w:rsid w:val="00AE0721"/>
    <w:rsid w:val="00AE2241"/>
    <w:rsid w:val="00AE3131"/>
    <w:rsid w:val="00AE32E3"/>
    <w:rsid w:val="00AE377D"/>
    <w:rsid w:val="00AF4CE3"/>
    <w:rsid w:val="00AF7133"/>
    <w:rsid w:val="00B0260E"/>
    <w:rsid w:val="00B1220A"/>
    <w:rsid w:val="00B17FBD"/>
    <w:rsid w:val="00B23AF6"/>
    <w:rsid w:val="00B315A6"/>
    <w:rsid w:val="00B31813"/>
    <w:rsid w:val="00B33365"/>
    <w:rsid w:val="00B45C8A"/>
    <w:rsid w:val="00B4617B"/>
    <w:rsid w:val="00B467CC"/>
    <w:rsid w:val="00B50B2E"/>
    <w:rsid w:val="00B5117C"/>
    <w:rsid w:val="00B540E8"/>
    <w:rsid w:val="00B56F4C"/>
    <w:rsid w:val="00B57B36"/>
    <w:rsid w:val="00B57D1C"/>
    <w:rsid w:val="00B61CF2"/>
    <w:rsid w:val="00B625DE"/>
    <w:rsid w:val="00B62A8C"/>
    <w:rsid w:val="00B62BA7"/>
    <w:rsid w:val="00B66217"/>
    <w:rsid w:val="00B72575"/>
    <w:rsid w:val="00B80800"/>
    <w:rsid w:val="00B83B01"/>
    <w:rsid w:val="00B8686D"/>
    <w:rsid w:val="00B90FC4"/>
    <w:rsid w:val="00B94FD1"/>
    <w:rsid w:val="00BA7FE3"/>
    <w:rsid w:val="00BB1CDD"/>
    <w:rsid w:val="00BB307F"/>
    <w:rsid w:val="00BC0B69"/>
    <w:rsid w:val="00BC30C9"/>
    <w:rsid w:val="00BE246C"/>
    <w:rsid w:val="00BE3E58"/>
    <w:rsid w:val="00BF13C7"/>
    <w:rsid w:val="00BF4F2F"/>
    <w:rsid w:val="00BF7CA5"/>
    <w:rsid w:val="00C0006B"/>
    <w:rsid w:val="00C01616"/>
    <w:rsid w:val="00C0162B"/>
    <w:rsid w:val="00C0163D"/>
    <w:rsid w:val="00C10E98"/>
    <w:rsid w:val="00C26429"/>
    <w:rsid w:val="00C345B1"/>
    <w:rsid w:val="00C40142"/>
    <w:rsid w:val="00C41F60"/>
    <w:rsid w:val="00C4211B"/>
    <w:rsid w:val="00C55AF2"/>
    <w:rsid w:val="00C56473"/>
    <w:rsid w:val="00C57182"/>
    <w:rsid w:val="00C574E6"/>
    <w:rsid w:val="00C57863"/>
    <w:rsid w:val="00C63B81"/>
    <w:rsid w:val="00C64038"/>
    <w:rsid w:val="00C655FD"/>
    <w:rsid w:val="00C839C6"/>
    <w:rsid w:val="00C870A8"/>
    <w:rsid w:val="00C94434"/>
    <w:rsid w:val="00C945A4"/>
    <w:rsid w:val="00CA0D75"/>
    <w:rsid w:val="00CA195D"/>
    <w:rsid w:val="00CA1C95"/>
    <w:rsid w:val="00CA45F7"/>
    <w:rsid w:val="00CA5A9C"/>
    <w:rsid w:val="00CD3517"/>
    <w:rsid w:val="00CD5A00"/>
    <w:rsid w:val="00CD5FE2"/>
    <w:rsid w:val="00CE6B1B"/>
    <w:rsid w:val="00CE7C68"/>
    <w:rsid w:val="00CF14EA"/>
    <w:rsid w:val="00CF44CC"/>
    <w:rsid w:val="00CF680B"/>
    <w:rsid w:val="00D02B4C"/>
    <w:rsid w:val="00D040C4"/>
    <w:rsid w:val="00D04653"/>
    <w:rsid w:val="00D11EEF"/>
    <w:rsid w:val="00D239D9"/>
    <w:rsid w:val="00D32720"/>
    <w:rsid w:val="00D343DA"/>
    <w:rsid w:val="00D357EB"/>
    <w:rsid w:val="00D57C84"/>
    <w:rsid w:val="00D6057D"/>
    <w:rsid w:val="00D62094"/>
    <w:rsid w:val="00D6595A"/>
    <w:rsid w:val="00D72447"/>
    <w:rsid w:val="00D75422"/>
    <w:rsid w:val="00D84576"/>
    <w:rsid w:val="00D90104"/>
    <w:rsid w:val="00D93445"/>
    <w:rsid w:val="00D94FEF"/>
    <w:rsid w:val="00D96CBB"/>
    <w:rsid w:val="00DA1399"/>
    <w:rsid w:val="00DA1836"/>
    <w:rsid w:val="00DA24C6"/>
    <w:rsid w:val="00DA4D7B"/>
    <w:rsid w:val="00DB2DEB"/>
    <w:rsid w:val="00DB75D1"/>
    <w:rsid w:val="00DE264A"/>
    <w:rsid w:val="00E02C13"/>
    <w:rsid w:val="00E02D18"/>
    <w:rsid w:val="00E041E7"/>
    <w:rsid w:val="00E05CAC"/>
    <w:rsid w:val="00E156ED"/>
    <w:rsid w:val="00E17E24"/>
    <w:rsid w:val="00E23CA1"/>
    <w:rsid w:val="00E25309"/>
    <w:rsid w:val="00E2610F"/>
    <w:rsid w:val="00E26995"/>
    <w:rsid w:val="00E330B0"/>
    <w:rsid w:val="00E34574"/>
    <w:rsid w:val="00E36564"/>
    <w:rsid w:val="00E409A8"/>
    <w:rsid w:val="00E46FE2"/>
    <w:rsid w:val="00E50C12"/>
    <w:rsid w:val="00E55FE7"/>
    <w:rsid w:val="00E56B05"/>
    <w:rsid w:val="00E65B91"/>
    <w:rsid w:val="00E662D0"/>
    <w:rsid w:val="00E70EAC"/>
    <w:rsid w:val="00E7103E"/>
    <w:rsid w:val="00E7150C"/>
    <w:rsid w:val="00E7209D"/>
    <w:rsid w:val="00E77223"/>
    <w:rsid w:val="00E8528B"/>
    <w:rsid w:val="00E85B94"/>
    <w:rsid w:val="00E86E7D"/>
    <w:rsid w:val="00E92078"/>
    <w:rsid w:val="00E96D67"/>
    <w:rsid w:val="00E978D0"/>
    <w:rsid w:val="00EA3588"/>
    <w:rsid w:val="00EA4613"/>
    <w:rsid w:val="00EA7F91"/>
    <w:rsid w:val="00EB1523"/>
    <w:rsid w:val="00EB75E2"/>
    <w:rsid w:val="00EC0E49"/>
    <w:rsid w:val="00ED2F67"/>
    <w:rsid w:val="00EE0131"/>
    <w:rsid w:val="00F02DEA"/>
    <w:rsid w:val="00F03147"/>
    <w:rsid w:val="00F05CEE"/>
    <w:rsid w:val="00F079EC"/>
    <w:rsid w:val="00F10132"/>
    <w:rsid w:val="00F155B2"/>
    <w:rsid w:val="00F30C64"/>
    <w:rsid w:val="00F32CDB"/>
    <w:rsid w:val="00F418E1"/>
    <w:rsid w:val="00F50593"/>
    <w:rsid w:val="00F527E8"/>
    <w:rsid w:val="00F63A70"/>
    <w:rsid w:val="00F73D45"/>
    <w:rsid w:val="00F8218D"/>
    <w:rsid w:val="00F9508D"/>
    <w:rsid w:val="00FA21D0"/>
    <w:rsid w:val="00FA5F5F"/>
    <w:rsid w:val="00FB540B"/>
    <w:rsid w:val="00FB730C"/>
    <w:rsid w:val="00FC2695"/>
    <w:rsid w:val="00FC3E03"/>
    <w:rsid w:val="00FC3FC1"/>
    <w:rsid w:val="00FD623C"/>
    <w:rsid w:val="00FD75A7"/>
    <w:rsid w:val="00FF3E47"/>
    <w:rsid w:val="00FF76B6"/>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o:shapedefaults>
    <o:shapelayout v:ext="edit">
      <o:idmap v:ext="edit" data="1"/>
    </o:shapelayout>
  </w:shapeDefaults>
  <w:decimalSymbol w:val=","/>
  <w:listSeparator w:val=";"/>
  <w14:docId w14:val="1922F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6A26FA"/>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6A26F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customStyle="1" w:styleId="CET-table-title">
    <w:name w:val="CET-table-title"/>
    <w:rsid w:val="00B4617B"/>
    <w:pPr>
      <w:keepNext/>
      <w:spacing w:before="240" w:after="80" w:line="240" w:lineRule="exact"/>
    </w:pPr>
    <w:rPr>
      <w:rFonts w:ascii="Arial" w:eastAsia="Times New Roman" w:hAnsi="Arial" w:cs="Times New Roman"/>
      <w:i/>
      <w:sz w:val="18"/>
      <w:szCs w:val="20"/>
      <w:lang w:val="en-US"/>
    </w:rPr>
  </w:style>
  <w:style w:type="table" w:styleId="LightShading-Accent3">
    <w:name w:val="Light Shading Accent 3"/>
    <w:basedOn w:val="TableNormal"/>
    <w:uiPriority w:val="60"/>
    <w:rsid w:val="00C574E6"/>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PlaceholderText">
    <w:name w:val="Placeholder Text"/>
    <w:basedOn w:val="DefaultParagraphFont"/>
    <w:uiPriority w:val="99"/>
    <w:semiHidden/>
    <w:rsid w:val="00D90104"/>
    <w:rPr>
      <w:color w:val="808080"/>
    </w:rPr>
  </w:style>
  <w:style w:type="paragraph" w:styleId="ListParagraph">
    <w:name w:val="List Paragraph"/>
    <w:basedOn w:val="Normal"/>
    <w:uiPriority w:val="34"/>
    <w:qFormat/>
    <w:rsid w:val="00151F92"/>
    <w:pPr>
      <w:tabs>
        <w:tab w:val="clear" w:pos="7100"/>
      </w:tabs>
      <w:spacing w:after="200" w:line="360" w:lineRule="auto"/>
      <w:ind w:left="720"/>
      <w:contextualSpacing/>
      <w:jc w:val="left"/>
    </w:pPr>
    <w:rPr>
      <w:rFonts w:asciiTheme="minorHAnsi" w:eastAsiaTheme="minorHAnsi" w:hAnsiTheme="minorHAnsi" w:cstheme="minorBidi"/>
      <w:sz w:val="22"/>
      <w:szCs w:val="22"/>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73DB1-563E-F94A-A538-4A2F355DB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3398</Words>
  <Characters>19370</Characters>
  <Application>Microsoft Macintosh Word</Application>
  <DocSecurity>0</DocSecurity>
  <Lines>161</Lines>
  <Paragraphs>45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Reginaldo Guirardello</cp:lastModifiedBy>
  <cp:revision>34</cp:revision>
  <cp:lastPrinted>2019-01-30T13:33:00Z</cp:lastPrinted>
  <dcterms:created xsi:type="dcterms:W3CDTF">2019-01-30T13:33:00Z</dcterms:created>
  <dcterms:modified xsi:type="dcterms:W3CDTF">2019-04-11T19:09:00Z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