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35" w:rsidRDefault="00213EB8" w:rsidP="009D0435">
      <w:pPr>
        <w:pStyle w:val="CETTitle"/>
        <w:rPr>
          <w:color w:val="000000" w:themeColor="text1"/>
        </w:rPr>
      </w:pPr>
      <w:r w:rsidRPr="00C4600B">
        <w:rPr>
          <w:color w:val="000000" w:themeColor="text1"/>
        </w:rPr>
        <w:t xml:space="preserve">Simulation and feasibility evaluation of a </w:t>
      </w:r>
      <w:r w:rsidR="00C431D4" w:rsidRPr="00C4600B">
        <w:rPr>
          <w:color w:val="000000" w:themeColor="text1"/>
        </w:rPr>
        <w:t>typical</w:t>
      </w:r>
      <w:r w:rsidR="001B4507">
        <w:rPr>
          <w:color w:val="000000" w:themeColor="text1"/>
        </w:rPr>
        <w:t xml:space="preserve"> </w:t>
      </w:r>
      <w:r w:rsidRPr="00C4600B">
        <w:rPr>
          <w:color w:val="000000" w:themeColor="text1"/>
        </w:rPr>
        <w:t>Levulinic Acid (LA) plant using biomass as substrate.</w:t>
      </w:r>
    </w:p>
    <w:p w:rsidR="00213EB8" w:rsidRPr="00C431D4" w:rsidRDefault="00213EB8" w:rsidP="009D0435">
      <w:pPr>
        <w:pStyle w:val="CETAuthors"/>
        <w:rPr>
          <w:vertAlign w:val="superscript"/>
          <w:lang w:val="pt-BR"/>
        </w:rPr>
      </w:pPr>
      <w:r w:rsidRPr="00C431D4">
        <w:rPr>
          <w:lang w:val="pt-BR"/>
        </w:rPr>
        <w:t>Júlio C. C. Miranda</w:t>
      </w:r>
      <w:r w:rsidRPr="00C431D4">
        <w:rPr>
          <w:vertAlign w:val="superscript"/>
          <w:lang w:val="pt-BR"/>
        </w:rPr>
        <w:t>*a</w:t>
      </w:r>
      <w:r w:rsidRPr="00C431D4">
        <w:rPr>
          <w:lang w:val="pt-BR"/>
        </w:rPr>
        <w:t xml:space="preserve"> , Gustavo H. S. F. Ponce</w:t>
      </w:r>
      <w:r w:rsidRPr="00C431D4">
        <w:rPr>
          <w:vertAlign w:val="superscript"/>
          <w:lang w:val="pt-BR"/>
        </w:rPr>
        <w:t>b</w:t>
      </w:r>
      <w:r w:rsidRPr="00C431D4">
        <w:rPr>
          <w:lang w:val="pt-BR"/>
        </w:rPr>
        <w:t>, João M. Neto</w:t>
      </w:r>
      <w:r w:rsidRPr="00C431D4">
        <w:rPr>
          <w:vertAlign w:val="superscript"/>
          <w:lang w:val="pt-BR"/>
        </w:rPr>
        <w:t>c</w:t>
      </w:r>
      <w:r w:rsidRPr="00C431D4">
        <w:rPr>
          <w:lang w:val="pt-BR"/>
        </w:rPr>
        <w:t xml:space="preserve">, Viktor O. C. Concha </w:t>
      </w:r>
      <w:r w:rsidRPr="00C431D4">
        <w:rPr>
          <w:vertAlign w:val="superscript"/>
          <w:lang w:val="pt-BR"/>
        </w:rPr>
        <w:t>d</w:t>
      </w:r>
      <w:bookmarkStart w:id="0" w:name="_GoBack"/>
      <w:bookmarkEnd w:id="0"/>
    </w:p>
    <w:p w:rsidR="00213EB8" w:rsidRPr="00C4600B" w:rsidRDefault="00213EB8" w:rsidP="00213EB8">
      <w:pPr>
        <w:pStyle w:val="CETAddress"/>
        <w:rPr>
          <w:rFonts w:cs="Arial"/>
          <w:color w:val="000000" w:themeColor="text1"/>
          <w:szCs w:val="16"/>
          <w:lang w:val="en-US"/>
        </w:rPr>
      </w:pPr>
      <w:r w:rsidRPr="00C4600B">
        <w:rPr>
          <w:rFonts w:cs="Arial"/>
          <w:color w:val="000000" w:themeColor="text1"/>
          <w:szCs w:val="16"/>
          <w:vertAlign w:val="superscript"/>
          <w:lang w:val="en-US"/>
        </w:rPr>
        <w:t>a</w:t>
      </w:r>
      <w:r w:rsidR="001F42E2" w:rsidRPr="00C431D4">
        <w:rPr>
          <w:rFonts w:cs="Arial"/>
          <w:color w:val="000000" w:themeColor="text1"/>
          <w:szCs w:val="16"/>
          <w:lang w:val="en-US"/>
        </w:rPr>
        <w:t>School</w:t>
      </w:r>
      <w:r w:rsidR="001F42E2">
        <w:rPr>
          <w:rFonts w:cs="Arial"/>
          <w:color w:val="000000" w:themeColor="text1"/>
          <w:szCs w:val="16"/>
          <w:lang w:val="en-US"/>
        </w:rPr>
        <w:t>of Engineering</w:t>
      </w:r>
      <w:r w:rsidRPr="00C4600B">
        <w:rPr>
          <w:rFonts w:cs="Arial"/>
          <w:color w:val="000000" w:themeColor="text1"/>
          <w:szCs w:val="16"/>
        </w:rPr>
        <w:t xml:space="preserve">, Federal University of Mato Grosso, Cuiabá-MT, Brazil, </w:t>
      </w:r>
      <w:r w:rsidRPr="00C4600B">
        <w:rPr>
          <w:rFonts w:cs="Arial"/>
          <w:color w:val="000000" w:themeColor="text1"/>
          <w:szCs w:val="16"/>
          <w:lang w:val="en-US"/>
        </w:rPr>
        <w:t>.</w:t>
      </w:r>
      <w:r w:rsidRPr="00C4600B">
        <w:rPr>
          <w:rFonts w:cs="Arial"/>
          <w:color w:val="000000" w:themeColor="text1"/>
          <w:szCs w:val="16"/>
          <w:vertAlign w:val="superscript"/>
          <w:lang w:val="en-US"/>
        </w:rPr>
        <w:t>b</w:t>
      </w:r>
      <w:r w:rsidRPr="00C4600B">
        <w:rPr>
          <w:rFonts w:cs="Arial"/>
          <w:color w:val="000000" w:themeColor="text1"/>
          <w:szCs w:val="16"/>
        </w:rPr>
        <w:t>Department of Environment and Health, Federal Institute of Santa Catarina</w:t>
      </w:r>
      <w:r w:rsidRPr="00C4600B">
        <w:rPr>
          <w:rFonts w:cs="Arial"/>
          <w:color w:val="000000" w:themeColor="text1"/>
          <w:szCs w:val="16"/>
          <w:lang w:val="en-US"/>
        </w:rPr>
        <w:t xml:space="preserve">, </w:t>
      </w:r>
      <w:r w:rsidRPr="00C4600B">
        <w:rPr>
          <w:rFonts w:cs="Arial"/>
          <w:color w:val="000000" w:themeColor="text1"/>
          <w:szCs w:val="16"/>
          <w:lang w:eastAsia="pt-BR"/>
        </w:rPr>
        <w:t>88506-400</w:t>
      </w:r>
      <w:r w:rsidRPr="00C4600B">
        <w:rPr>
          <w:rFonts w:cs="Arial"/>
          <w:color w:val="000000" w:themeColor="text1"/>
          <w:szCs w:val="16"/>
          <w:lang w:val="en-US"/>
        </w:rPr>
        <w:t>, Lages-SC, Brazil.</w:t>
      </w:r>
      <w:r w:rsidRPr="00C4600B">
        <w:rPr>
          <w:rFonts w:cs="Arial"/>
          <w:color w:val="000000" w:themeColor="text1"/>
          <w:szCs w:val="16"/>
          <w:vertAlign w:val="superscript"/>
          <w:lang w:val="en-US"/>
        </w:rPr>
        <w:t>c</w:t>
      </w:r>
      <w:r w:rsidRPr="00C4600B">
        <w:rPr>
          <w:rFonts w:cs="Arial"/>
          <w:color w:val="000000" w:themeColor="text1"/>
          <w:szCs w:val="16"/>
          <w:lang w:val="en-US"/>
        </w:rPr>
        <w:t>Engineering Department, Federal University of Lavras, University City - Mailbox 3037, 37200-000 - Lavras-MG, Brazil.</w:t>
      </w:r>
      <w:r w:rsidRPr="00C4600B">
        <w:rPr>
          <w:rFonts w:cs="Arial"/>
          <w:color w:val="000000" w:themeColor="text1"/>
          <w:szCs w:val="16"/>
          <w:vertAlign w:val="superscript"/>
          <w:lang w:val="en-US"/>
        </w:rPr>
        <w:t>d</w:t>
      </w:r>
      <w:r w:rsidRPr="00C4600B">
        <w:rPr>
          <w:rFonts w:cs="Arial"/>
          <w:color w:val="000000" w:themeColor="text1"/>
          <w:szCs w:val="16"/>
          <w:lang w:val="en-US"/>
        </w:rPr>
        <w:t xml:space="preserve">Department of Chemical Engineering, Federal University of São Paulo, </w:t>
      </w:r>
      <w:r w:rsidRPr="00C4600B">
        <w:rPr>
          <w:rStyle w:val="st"/>
          <w:rFonts w:cs="Arial"/>
          <w:color w:val="000000" w:themeColor="text1"/>
          <w:szCs w:val="16"/>
        </w:rPr>
        <w:t>09972-270</w:t>
      </w:r>
      <w:r w:rsidRPr="00C4600B">
        <w:rPr>
          <w:rFonts w:cs="Arial"/>
          <w:color w:val="000000" w:themeColor="text1"/>
          <w:szCs w:val="16"/>
          <w:lang w:val="en-US"/>
        </w:rPr>
        <w:t>, Diadema-SP, Brazil.</w:t>
      </w:r>
      <w:r w:rsidR="00A77A3B">
        <w:rPr>
          <w:rFonts w:cs="Arial"/>
          <w:color w:val="000000" w:themeColor="text1"/>
          <w:szCs w:val="16"/>
          <w:lang w:val="en-US"/>
        </w:rPr>
        <w:t>julioccmiranda@gmail.com</w:t>
      </w:r>
    </w:p>
    <w:p w:rsidR="00CB0851" w:rsidRPr="00C4600B" w:rsidRDefault="00CB0851" w:rsidP="00CB0851">
      <w:pPr>
        <w:pStyle w:val="Paragrafoelenco"/>
        <w:spacing w:after="200"/>
        <w:ind w:left="0"/>
        <w:rPr>
          <w:rFonts w:ascii="Arial" w:hAnsi="Arial"/>
          <w:noProof/>
          <w:color w:val="000000" w:themeColor="text1"/>
          <w:sz w:val="16"/>
          <w:lang w:val="en-US"/>
        </w:rPr>
      </w:pPr>
    </w:p>
    <w:p w:rsidR="001D6A41" w:rsidRPr="00213EB8" w:rsidRDefault="001B4507" w:rsidP="00CB0851">
      <w:pPr>
        <w:pStyle w:val="Paragrafoelenco"/>
        <w:spacing w:after="200"/>
        <w:ind w:left="0"/>
        <w:rPr>
          <w:rFonts w:ascii="Arial" w:eastAsia="SimSun" w:hAnsi="Arial" w:cs="Arial"/>
          <w:color w:val="000000" w:themeColor="text1"/>
          <w:sz w:val="18"/>
          <w:szCs w:val="18"/>
          <w:lang w:val="en-US"/>
        </w:rPr>
      </w:pPr>
      <w:r w:rsidRPr="001B4507">
        <w:rPr>
          <w:rFonts w:ascii="Arial" w:eastAsia="SimSun" w:hAnsi="Arial" w:cs="Arial"/>
          <w:color w:val="000000" w:themeColor="text1"/>
          <w:sz w:val="18"/>
          <w:szCs w:val="18"/>
          <w:lang w:val="en-US"/>
        </w:rPr>
        <w:t xml:space="preserve">Several problems has been worried the world population when it comes to sustainability subject. The imminent depletion of fossil fuels and the lack of alternatives to replace compounds produced by oil also add to this account . Countries that have their economy based on agribusiness (like Brazil) have a slight advantage in this scenario since naturally much of biomass is lost in the environment until the final </w:t>
      </w:r>
      <w:r w:rsidR="00350400">
        <w:rPr>
          <w:rFonts w:ascii="Arial" w:eastAsia="SimSun" w:hAnsi="Arial" w:cs="Arial"/>
          <w:color w:val="000000" w:themeColor="text1"/>
          <w:sz w:val="18"/>
          <w:szCs w:val="18"/>
          <w:lang w:val="en-US"/>
        </w:rPr>
        <w:t>product exportation takes place</w:t>
      </w:r>
      <w:r w:rsidRPr="001B4507">
        <w:rPr>
          <w:rFonts w:ascii="Arial" w:eastAsia="SimSun" w:hAnsi="Arial" w:cs="Arial"/>
          <w:color w:val="000000" w:themeColor="text1"/>
          <w:sz w:val="18"/>
          <w:szCs w:val="18"/>
          <w:lang w:val="en-US"/>
        </w:rPr>
        <w:t>. It means that such biomass can be used in the production of several alternative fuels and other b</w:t>
      </w:r>
      <w:r w:rsidR="00350400">
        <w:rPr>
          <w:rFonts w:ascii="Arial" w:eastAsia="SimSun" w:hAnsi="Arial" w:cs="Arial"/>
          <w:color w:val="000000" w:themeColor="text1"/>
          <w:sz w:val="18"/>
          <w:szCs w:val="18"/>
          <w:lang w:val="en-US"/>
        </w:rPr>
        <w:t>asic chemicals</w:t>
      </w:r>
      <w:r w:rsidRPr="001B4507">
        <w:rPr>
          <w:rFonts w:ascii="Arial" w:eastAsia="SimSun" w:hAnsi="Arial" w:cs="Arial"/>
          <w:color w:val="000000" w:themeColor="text1"/>
          <w:sz w:val="18"/>
          <w:szCs w:val="18"/>
          <w:lang w:val="en-US"/>
        </w:rPr>
        <w:t xml:space="preserve"> such as second-generation bioethanol and levulinic acid</w:t>
      </w:r>
      <w:r w:rsidR="00284B8E">
        <w:rPr>
          <w:rFonts w:ascii="Arial" w:eastAsia="SimSun" w:hAnsi="Arial" w:cs="Arial"/>
          <w:color w:val="000000" w:themeColor="text1"/>
          <w:sz w:val="18"/>
          <w:szCs w:val="18"/>
          <w:lang w:val="en-US"/>
        </w:rPr>
        <w:t>,</w:t>
      </w:r>
      <w:r w:rsidR="00350400">
        <w:rPr>
          <w:rFonts w:ascii="Arial" w:eastAsia="SimSun" w:hAnsi="Arial" w:cs="Arial"/>
          <w:color w:val="000000" w:themeColor="text1"/>
          <w:sz w:val="18"/>
          <w:szCs w:val="18"/>
          <w:lang w:val="en-US"/>
        </w:rPr>
        <w:t xml:space="preserve"> diminishing the reliance on oil</w:t>
      </w:r>
      <w:r w:rsidRPr="001B4507">
        <w:rPr>
          <w:rFonts w:ascii="Arial" w:eastAsia="SimSun" w:hAnsi="Arial" w:cs="Arial"/>
          <w:color w:val="000000" w:themeColor="text1"/>
          <w:sz w:val="18"/>
          <w:szCs w:val="18"/>
          <w:lang w:val="en-US"/>
        </w:rPr>
        <w:t>. This last one  is a promising building block molecule an organic compound, intermediate in the synthesis of various chemical compounds for additives of fluids, fragrances, oils, plastics among others. Thus, in the present work, a complete simulation of levulinic acid production process from t</w:t>
      </w:r>
      <w:r>
        <w:rPr>
          <w:rFonts w:ascii="Arial" w:eastAsia="SimSun" w:hAnsi="Arial" w:cs="Arial"/>
          <w:color w:val="000000" w:themeColor="text1"/>
          <w:sz w:val="18"/>
          <w:szCs w:val="18"/>
          <w:lang w:val="en-US"/>
        </w:rPr>
        <w:t>he acid hydrolysis of biomass (</w:t>
      </w:r>
      <w:r w:rsidRPr="001B4507">
        <w:rPr>
          <w:rFonts w:ascii="Arial" w:eastAsia="SimSun" w:hAnsi="Arial" w:cs="Arial"/>
          <w:color w:val="000000" w:themeColor="text1"/>
          <w:sz w:val="18"/>
          <w:szCs w:val="18"/>
          <w:lang w:val="en-US"/>
        </w:rPr>
        <w:t>it was used sugarcane bagasses as an example) was conducted to produce 8 kilotons of levulinic acid per year (with high concentration of the final product (99,6 wt</w:t>
      </w:r>
      <w:r w:rsidR="00284B8E">
        <w:rPr>
          <w:rFonts w:ascii="Arial" w:eastAsia="SimSun" w:hAnsi="Arial" w:cs="Arial"/>
          <w:color w:val="000000" w:themeColor="text1"/>
          <w:sz w:val="18"/>
          <w:szCs w:val="18"/>
          <w:lang w:val="en-US"/>
        </w:rPr>
        <w:t xml:space="preserve"> </w:t>
      </w:r>
      <w:r w:rsidRPr="001B4507">
        <w:rPr>
          <w:rFonts w:ascii="Arial" w:eastAsia="SimSun" w:hAnsi="Arial" w:cs="Arial"/>
          <w:color w:val="000000" w:themeColor="text1"/>
          <w:sz w:val="18"/>
          <w:szCs w:val="18"/>
          <w:lang w:val="en-US"/>
        </w:rPr>
        <w:t>%)). Specifically, a generic large scale levulinic acid plant was performed using ASPEN PLUS</w:t>
      </w:r>
      <w:r w:rsidRPr="00284B8E">
        <w:rPr>
          <w:rFonts w:ascii="Arial" w:eastAsia="SimSun" w:hAnsi="Arial" w:cs="Arial"/>
          <w:color w:val="000000" w:themeColor="text1"/>
          <w:sz w:val="18"/>
          <w:szCs w:val="18"/>
          <w:vertAlign w:val="superscript"/>
          <w:lang w:val="en-US"/>
        </w:rPr>
        <w:t>®</w:t>
      </w:r>
      <w:r w:rsidR="00284B8E">
        <w:rPr>
          <w:rFonts w:ascii="Arial" w:eastAsia="SimSun" w:hAnsi="Arial" w:cs="Arial"/>
          <w:color w:val="000000" w:themeColor="text1"/>
          <w:sz w:val="18"/>
          <w:szCs w:val="18"/>
          <w:lang w:val="en-US"/>
        </w:rPr>
        <w:t xml:space="preserve"> V.7.3.</w:t>
      </w:r>
      <w:r w:rsidRPr="001B4507">
        <w:rPr>
          <w:rFonts w:ascii="Arial" w:eastAsia="SimSun" w:hAnsi="Arial" w:cs="Arial"/>
          <w:color w:val="000000" w:themeColor="text1"/>
          <w:sz w:val="18"/>
          <w:szCs w:val="18"/>
          <w:lang w:val="en-US"/>
        </w:rPr>
        <w:t xml:space="preserve"> The main goal was to evaluate feasibility of the overall process using a typical production value based on actual plants (more specifically the Case</w:t>
      </w:r>
      <w:r w:rsidR="00284B8E">
        <w:rPr>
          <w:rFonts w:ascii="Arial" w:eastAsia="SimSun" w:hAnsi="Arial" w:cs="Arial"/>
          <w:color w:val="000000" w:themeColor="text1"/>
          <w:sz w:val="18"/>
          <w:szCs w:val="18"/>
          <w:lang w:val="en-US"/>
        </w:rPr>
        <w:t xml:space="preserve">rta plant, located in Italy). </w:t>
      </w:r>
      <w:r w:rsidRPr="001B4507">
        <w:rPr>
          <w:rFonts w:ascii="Arial" w:eastAsia="SimSun" w:hAnsi="Arial" w:cs="Arial"/>
          <w:color w:val="000000" w:themeColor="text1"/>
          <w:sz w:val="18"/>
          <w:szCs w:val="18"/>
          <w:lang w:val="en-US"/>
        </w:rPr>
        <w:t>Despite of similarity of another works presented in open literature, a detailed discussion from th</w:t>
      </w:r>
      <w:r>
        <w:rPr>
          <w:rFonts w:ascii="Arial" w:eastAsia="SimSun" w:hAnsi="Arial" w:cs="Arial"/>
          <w:color w:val="000000" w:themeColor="text1"/>
          <w:sz w:val="18"/>
          <w:szCs w:val="18"/>
          <w:lang w:val="en-US"/>
        </w:rPr>
        <w:t xml:space="preserve">e data obtained was carried out. </w:t>
      </w:r>
      <w:r w:rsidRPr="001B4507">
        <w:rPr>
          <w:rFonts w:ascii="Arial" w:eastAsia="SimSun" w:hAnsi="Arial" w:cs="Arial"/>
          <w:color w:val="000000" w:themeColor="text1"/>
          <w:sz w:val="18"/>
          <w:szCs w:val="18"/>
          <w:lang w:val="en-US"/>
        </w:rPr>
        <w:t>Furthermore, a formic acid separation from water was fulfilled using activated charcoal adsorption  become the whole process more sustainable in the near future.</w:t>
      </w:r>
    </w:p>
    <w:p w:rsidR="007A4C1B" w:rsidRPr="00671F4E" w:rsidRDefault="005A2211" w:rsidP="005A2211">
      <w:pPr>
        <w:pStyle w:val="CETHeading1"/>
        <w:tabs>
          <w:tab w:val="clear" w:pos="360"/>
        </w:tabs>
        <w:rPr>
          <w:lang w:val="en-GB"/>
        </w:rPr>
      </w:pPr>
      <w:r>
        <w:rPr>
          <w:lang w:val="en-GB"/>
        </w:rPr>
        <w:t>Introduction</w:t>
      </w:r>
    </w:p>
    <w:p w:rsidR="00CB00A4" w:rsidRDefault="00CB00A4" w:rsidP="005A2211">
      <w:pPr>
        <w:pStyle w:val="CETBodytext"/>
        <w:rPr>
          <w:color w:val="FF0000"/>
        </w:rPr>
      </w:pPr>
      <w:r>
        <w:t xml:space="preserve">The dependence of the global economy on the utilization of fossil fuels has </w:t>
      </w:r>
      <w:r w:rsidR="007551D4">
        <w:t>increased rapidly in the last 4</w:t>
      </w:r>
      <w:r>
        <w:t xml:space="preserve"> decades, accounting for 80,9% of the total energy production in 2006 </w:t>
      </w:r>
      <w:r w:rsidR="009A6F2A" w:rsidRPr="00CC3AB0">
        <w:rPr>
          <w:color w:val="000000" w:themeColor="text1"/>
        </w:rPr>
        <w:t>(Koh and Ghazoul, 2008).</w:t>
      </w:r>
      <w:r w:rsidR="001B4507">
        <w:t xml:space="preserve"> </w:t>
      </w:r>
      <w:r w:rsidR="007551D4">
        <w:t xml:space="preserve">The fossil resources </w:t>
      </w:r>
      <w:r w:rsidR="000A7A0E">
        <w:t xml:space="preserve">have </w:t>
      </w:r>
      <w:r w:rsidR="007551D4">
        <w:t>been</w:t>
      </w:r>
      <w:r w:rsidR="009A6F2A">
        <w:t xml:space="preserve"> consumed to fulfill the population energy needs that includes</w:t>
      </w:r>
      <w:r w:rsidR="00CC3AB0">
        <w:t xml:space="preserve"> mostly</w:t>
      </w:r>
      <w:r w:rsidR="007551D4">
        <w:t xml:space="preserve"> transportation fuels and</w:t>
      </w:r>
      <w:r w:rsidR="009A6F2A">
        <w:t xml:space="preserve"> modern products</w:t>
      </w:r>
      <w:r w:rsidR="007551D4">
        <w:t xml:space="preserve"> manufacturing such as</w:t>
      </w:r>
      <w:r w:rsidR="009A6F2A">
        <w:t xml:space="preserve"> textiles, lubricants, fertilizers and polymers.</w:t>
      </w:r>
      <w:r w:rsidR="007551D4">
        <w:t xml:space="preserve"> In general, it is not difficult to </w:t>
      </w:r>
      <w:r w:rsidR="000A7A0E">
        <w:t xml:space="preserve">say that a major </w:t>
      </w:r>
      <w:r w:rsidR="007551D4">
        <w:t xml:space="preserve">part </w:t>
      </w:r>
      <w:r w:rsidR="000A7A0E">
        <w:t xml:space="preserve">world’s </w:t>
      </w:r>
      <w:r w:rsidR="007551D4">
        <w:t>progress was based in a fossil fuel platform</w:t>
      </w:r>
      <w:r w:rsidR="0095355A">
        <w:t>.</w:t>
      </w:r>
      <w:r w:rsidR="00BB57A9">
        <w:t xml:space="preserve"> However, these mineral resources</w:t>
      </w:r>
      <w:r w:rsidR="00350400">
        <w:t xml:space="preserve"> </w:t>
      </w:r>
      <w:r w:rsidR="00BB57A9">
        <w:t>have many disa</w:t>
      </w:r>
      <w:r w:rsidR="000A7A0E">
        <w:t>d</w:t>
      </w:r>
      <w:r w:rsidR="00BB57A9">
        <w:t>vantages, such as</w:t>
      </w:r>
      <w:r w:rsidR="00CC3AB0">
        <w:t>:</w:t>
      </w:r>
      <w:r w:rsidR="00BB57A9">
        <w:t xml:space="preserve"> limited reserves, environmental </w:t>
      </w:r>
      <w:r w:rsidR="000A7A0E">
        <w:t xml:space="preserve">damages </w:t>
      </w:r>
      <w:r w:rsidR="00BB57A9">
        <w:t xml:space="preserve">and direct </w:t>
      </w:r>
      <w:r w:rsidR="0038019F">
        <w:t>responsibility for global warmin</w:t>
      </w:r>
      <w:r w:rsidR="00BB57A9">
        <w:t>g</w:t>
      </w:r>
      <w:r w:rsidR="00350400">
        <w:t xml:space="preserve"> </w:t>
      </w:r>
      <w:r w:rsidR="0095355A" w:rsidRPr="00CC3AB0">
        <w:rPr>
          <w:color w:val="000000" w:themeColor="text1"/>
        </w:rPr>
        <w:t>(Nhien et al. 2016)</w:t>
      </w:r>
      <w:r w:rsidR="00BB57A9" w:rsidRPr="00CC3AB0">
        <w:rPr>
          <w:color w:val="000000" w:themeColor="text1"/>
        </w:rPr>
        <w:t>.</w:t>
      </w:r>
      <w:r w:rsidR="0038019F">
        <w:t xml:space="preserve"> In fact</w:t>
      </w:r>
      <w:r w:rsidR="00BB57A9">
        <w:t>, one of the greatest challenges that industry</w:t>
      </w:r>
      <w:r w:rsidR="0038019F">
        <w:t xml:space="preserve"> faces in 21</w:t>
      </w:r>
      <w:r w:rsidR="0038019F" w:rsidRPr="0038019F">
        <w:rPr>
          <w:vertAlign w:val="superscript"/>
        </w:rPr>
        <w:t>st</w:t>
      </w:r>
      <w:r w:rsidR="00CC3AB0">
        <w:t>century is the transition</w:t>
      </w:r>
      <w:r w:rsidR="00350400">
        <w:t xml:space="preserve"> </w:t>
      </w:r>
      <w:r w:rsidR="0038019F">
        <w:t xml:space="preserve">from a </w:t>
      </w:r>
      <w:r w:rsidR="000A7A0E">
        <w:t>“</w:t>
      </w:r>
      <w:r w:rsidR="0038019F">
        <w:t>fossil fuels economy</w:t>
      </w:r>
      <w:r w:rsidR="000A7A0E">
        <w:t>”</w:t>
      </w:r>
      <w:r w:rsidR="0038019F">
        <w:t xml:space="preserve"> to one based on renewable resources with various econo</w:t>
      </w:r>
      <w:r w:rsidR="006C5E6F">
        <w:t>mic</w:t>
      </w:r>
      <w:r w:rsidR="0038019F">
        <w:t xml:space="preserve"> and environment</w:t>
      </w:r>
      <w:r w:rsidR="000A7A0E">
        <w:t>al</w:t>
      </w:r>
      <w:r w:rsidR="0038019F">
        <w:t xml:space="preserve"> benefits</w:t>
      </w:r>
      <w:r w:rsidR="006C5E6F">
        <w:t>: 1</w:t>
      </w:r>
      <w:r w:rsidR="007551D4">
        <w:t xml:space="preserve">) reduction </w:t>
      </w:r>
      <w:r w:rsidR="000A7A0E">
        <w:t xml:space="preserve">of </w:t>
      </w:r>
      <w:r w:rsidR="007551D4">
        <w:t>the carbon f</w:t>
      </w:r>
      <w:r w:rsidR="00661ECC">
        <w:t>ootprint of chemicals and vehicle</w:t>
      </w:r>
      <w:r w:rsidR="007551D4">
        <w:t xml:space="preserve"> fuels; 2) a more profitable agricultural economy; and 3) the </w:t>
      </w:r>
      <w:r w:rsidR="0095355A">
        <w:t xml:space="preserve">substitution of existing products by alternatives that are safer and have reduced environmental </w:t>
      </w:r>
      <w:r w:rsidR="00E73FCF">
        <w:t>carbon footprint</w:t>
      </w:r>
      <w:r w:rsidR="000866C2">
        <w:t xml:space="preserve"> </w:t>
      </w:r>
      <w:r w:rsidR="000866C2" w:rsidRPr="00C4600B">
        <w:rPr>
          <w:color w:val="000000" w:themeColor="text1"/>
        </w:rPr>
        <w:t>(</w:t>
      </w:r>
      <w:r w:rsidR="00661ECC" w:rsidRPr="00C4600B">
        <w:rPr>
          <w:color w:val="000000" w:themeColor="text1"/>
        </w:rPr>
        <w:t>Sheldon, 2011; Isikgor, 2015</w:t>
      </w:r>
      <w:r w:rsidR="006C5E6F" w:rsidRPr="00C4600B">
        <w:rPr>
          <w:color w:val="000000" w:themeColor="text1"/>
        </w:rPr>
        <w:t>; Titirici</w:t>
      </w:r>
      <w:r w:rsidR="00E73FCF">
        <w:rPr>
          <w:color w:val="000000" w:themeColor="text1"/>
        </w:rPr>
        <w:t xml:space="preserve"> </w:t>
      </w:r>
      <w:r w:rsidR="006C5E6F" w:rsidRPr="00C4600B">
        <w:rPr>
          <w:color w:val="000000" w:themeColor="text1"/>
        </w:rPr>
        <w:t>&amp;</w:t>
      </w:r>
      <w:r w:rsidR="00E73FCF">
        <w:rPr>
          <w:color w:val="000000" w:themeColor="text1"/>
        </w:rPr>
        <w:t xml:space="preserve"> </w:t>
      </w:r>
      <w:r w:rsidR="006C5E6F" w:rsidRPr="00C4600B">
        <w:rPr>
          <w:color w:val="000000" w:themeColor="text1"/>
        </w:rPr>
        <w:t>Pileidis, 2016</w:t>
      </w:r>
      <w:r w:rsidR="00661ECC" w:rsidRPr="00C4600B">
        <w:rPr>
          <w:color w:val="000000" w:themeColor="text1"/>
        </w:rPr>
        <w:t>).</w:t>
      </w:r>
    </w:p>
    <w:p w:rsidR="007551D4" w:rsidRDefault="00350400" w:rsidP="00661ECC">
      <w:pPr>
        <w:pStyle w:val="CETBodytext"/>
        <w:rPr>
          <w:color w:val="000000" w:themeColor="text1"/>
        </w:rPr>
      </w:pPr>
      <w:r>
        <w:rPr>
          <w:color w:val="000000" w:themeColor="text1"/>
        </w:rPr>
        <w:t>In this sense</w:t>
      </w:r>
      <w:r w:rsidR="00661ECC" w:rsidRPr="00661ECC">
        <w:rPr>
          <w:color w:val="000000" w:themeColor="text1"/>
        </w:rPr>
        <w:t>, biofuels</w:t>
      </w:r>
      <w:r w:rsidR="00661ECC">
        <w:rPr>
          <w:color w:val="000000" w:themeColor="text1"/>
        </w:rPr>
        <w:t xml:space="preserve"> and other compounds from biomass</w:t>
      </w:r>
      <w:r w:rsidR="00CB0851">
        <w:rPr>
          <w:color w:val="000000" w:themeColor="text1"/>
        </w:rPr>
        <w:t xml:space="preserve"> (</w:t>
      </w:r>
      <w:r w:rsidR="00CB0851" w:rsidRPr="00CB0851">
        <w:rPr>
          <w:color w:val="000000" w:themeColor="text1"/>
        </w:rPr>
        <w:t>which consists of all forms of organic matter available in</w:t>
      </w:r>
      <w:r w:rsidR="00CB0851">
        <w:rPr>
          <w:color w:val="000000" w:themeColor="text1"/>
        </w:rPr>
        <w:t xml:space="preserve"> nature</w:t>
      </w:r>
      <w:r w:rsidR="00CB0851" w:rsidRPr="00CB0851">
        <w:rPr>
          <w:color w:val="000000" w:themeColor="text1"/>
        </w:rPr>
        <w:t>)</w:t>
      </w:r>
      <w:r w:rsidR="00661ECC" w:rsidRPr="00661ECC">
        <w:rPr>
          <w:color w:val="000000" w:themeColor="text1"/>
        </w:rPr>
        <w:t xml:space="preserve"> have been presented as </w:t>
      </w:r>
      <w:r w:rsidR="00661ECC">
        <w:rPr>
          <w:color w:val="000000" w:themeColor="text1"/>
        </w:rPr>
        <w:t>key</w:t>
      </w:r>
      <w:r w:rsidR="000A7A0E">
        <w:rPr>
          <w:color w:val="000000" w:themeColor="text1"/>
        </w:rPr>
        <w:t xml:space="preserve"> factors</w:t>
      </w:r>
      <w:r w:rsidR="00661ECC">
        <w:rPr>
          <w:color w:val="000000" w:themeColor="text1"/>
        </w:rPr>
        <w:t xml:space="preserve"> to reduce the reliance on oil</w:t>
      </w:r>
      <w:r w:rsidR="00661ECC" w:rsidRPr="00661ECC">
        <w:rPr>
          <w:color w:val="000000" w:themeColor="text1"/>
        </w:rPr>
        <w:t>. They are considered as a renewable and infinite resource</w:t>
      </w:r>
      <w:r w:rsidR="000C0580">
        <w:rPr>
          <w:color w:val="000000" w:themeColor="text1"/>
        </w:rPr>
        <w:t>s</w:t>
      </w:r>
      <w:r w:rsidR="00661ECC" w:rsidRPr="00661ECC">
        <w:rPr>
          <w:color w:val="000000" w:themeColor="text1"/>
        </w:rPr>
        <w:t>, sinc</w:t>
      </w:r>
      <w:r w:rsidR="00661ECC">
        <w:rPr>
          <w:color w:val="000000" w:themeColor="text1"/>
        </w:rPr>
        <w:t xml:space="preserve">e </w:t>
      </w:r>
      <w:r w:rsidR="000C0580">
        <w:rPr>
          <w:color w:val="000000" w:themeColor="text1"/>
        </w:rPr>
        <w:t xml:space="preserve">their </w:t>
      </w:r>
      <w:r w:rsidR="00661ECC">
        <w:rPr>
          <w:color w:val="000000" w:themeColor="text1"/>
        </w:rPr>
        <w:t>production</w:t>
      </w:r>
      <w:r w:rsidR="00661ECC" w:rsidRPr="00661ECC">
        <w:rPr>
          <w:color w:val="000000" w:themeColor="text1"/>
        </w:rPr>
        <w:t xml:space="preserve"> usually </w:t>
      </w:r>
      <w:r w:rsidR="000A7A0E" w:rsidRPr="00661ECC">
        <w:rPr>
          <w:color w:val="000000" w:themeColor="text1"/>
        </w:rPr>
        <w:t>com</w:t>
      </w:r>
      <w:r w:rsidR="000A7A0E">
        <w:rPr>
          <w:color w:val="000000" w:themeColor="text1"/>
        </w:rPr>
        <w:t>es</w:t>
      </w:r>
      <w:r w:rsidR="00E73FCF">
        <w:rPr>
          <w:color w:val="000000" w:themeColor="text1"/>
        </w:rPr>
        <w:t xml:space="preserve"> </w:t>
      </w:r>
      <w:r w:rsidR="00661ECC" w:rsidRPr="00661ECC">
        <w:rPr>
          <w:color w:val="000000" w:themeColor="text1"/>
        </w:rPr>
        <w:t xml:space="preserve">from agricultural crops. In addition, the substitution of petroleum derivatives </w:t>
      </w:r>
      <w:r w:rsidR="000A7A0E">
        <w:rPr>
          <w:color w:val="000000" w:themeColor="text1"/>
        </w:rPr>
        <w:t>c</w:t>
      </w:r>
      <w:r w:rsidR="000A7A0E" w:rsidRPr="00661ECC">
        <w:rPr>
          <w:color w:val="000000" w:themeColor="text1"/>
        </w:rPr>
        <w:t xml:space="preserve">ould </w:t>
      </w:r>
      <w:r w:rsidR="00661ECC" w:rsidRPr="00661ECC">
        <w:rPr>
          <w:color w:val="000000" w:themeColor="text1"/>
        </w:rPr>
        <w:t>reduce greenhouse g</w:t>
      </w:r>
      <w:r w:rsidR="00661ECC">
        <w:rPr>
          <w:color w:val="000000" w:themeColor="text1"/>
        </w:rPr>
        <w:t>as emissions</w:t>
      </w:r>
      <w:r w:rsidR="00E73FCF">
        <w:rPr>
          <w:color w:val="000000" w:themeColor="text1"/>
        </w:rPr>
        <w:t xml:space="preserve"> </w:t>
      </w:r>
      <w:r w:rsidR="00CB0851" w:rsidRPr="001664C7">
        <w:rPr>
          <w:color w:val="000000" w:themeColor="text1"/>
        </w:rPr>
        <w:t>since b</w:t>
      </w:r>
      <w:r w:rsidR="00661ECC" w:rsidRPr="001664C7">
        <w:rPr>
          <w:color w:val="000000" w:themeColor="text1"/>
        </w:rPr>
        <w:t>iomass</w:t>
      </w:r>
      <w:r w:rsidR="00661ECC" w:rsidRPr="00661ECC">
        <w:rPr>
          <w:color w:val="000000" w:themeColor="text1"/>
        </w:rPr>
        <w:t xml:space="preserve"> is originated </w:t>
      </w:r>
      <w:r w:rsidR="000A7A0E">
        <w:rPr>
          <w:color w:val="000000" w:themeColor="text1"/>
        </w:rPr>
        <w:t>as part of</w:t>
      </w:r>
      <w:r w:rsidR="00E73FCF">
        <w:rPr>
          <w:color w:val="000000" w:themeColor="text1"/>
        </w:rPr>
        <w:t xml:space="preserve"> </w:t>
      </w:r>
      <w:r w:rsidR="00661ECC" w:rsidRPr="00661ECC">
        <w:rPr>
          <w:color w:val="000000" w:themeColor="text1"/>
        </w:rPr>
        <w:t>the photosynthesis</w:t>
      </w:r>
      <w:r w:rsidR="00E73FCF">
        <w:rPr>
          <w:color w:val="000000" w:themeColor="text1"/>
        </w:rPr>
        <w:t xml:space="preserve"> </w:t>
      </w:r>
      <w:r w:rsidR="000A7A0E" w:rsidRPr="00661ECC">
        <w:rPr>
          <w:color w:val="000000" w:themeColor="text1"/>
        </w:rPr>
        <w:t>process</w:t>
      </w:r>
      <w:r w:rsidR="00661ECC" w:rsidRPr="00661ECC">
        <w:rPr>
          <w:color w:val="000000" w:themeColor="text1"/>
        </w:rPr>
        <w:t>, in which the energy of the sun is captured and transformed into sugars</w:t>
      </w:r>
      <w:r w:rsidR="00E73FCF">
        <w:rPr>
          <w:color w:val="000000" w:themeColor="text1"/>
        </w:rPr>
        <w:t xml:space="preserve"> </w:t>
      </w:r>
      <w:r w:rsidR="00CB0851" w:rsidRPr="006C5E6F">
        <w:rPr>
          <w:color w:val="000000" w:themeColor="text1"/>
        </w:rPr>
        <w:t>(Pereira &amp; Ortega, 2010)</w:t>
      </w:r>
      <w:r w:rsidR="00661ECC" w:rsidRPr="006C5E6F">
        <w:rPr>
          <w:color w:val="000000" w:themeColor="text1"/>
        </w:rPr>
        <w:t>.</w:t>
      </w:r>
      <w:r w:rsidR="00327566" w:rsidRPr="00661ECC">
        <w:rPr>
          <w:color w:val="000000" w:themeColor="text1"/>
        </w:rPr>
        <w:t>Th</w:t>
      </w:r>
      <w:r w:rsidR="00327566">
        <w:rPr>
          <w:color w:val="000000" w:themeColor="text1"/>
        </w:rPr>
        <w:t xml:space="preserve">ese </w:t>
      </w:r>
      <w:r w:rsidR="006C5E6F">
        <w:rPr>
          <w:color w:val="000000" w:themeColor="text1"/>
        </w:rPr>
        <w:t>sugar</w:t>
      </w:r>
      <w:r w:rsidR="000C0580">
        <w:rPr>
          <w:color w:val="000000" w:themeColor="text1"/>
        </w:rPr>
        <w:t>s</w:t>
      </w:r>
      <w:r w:rsidR="00661ECC" w:rsidRPr="00661ECC">
        <w:rPr>
          <w:color w:val="000000" w:themeColor="text1"/>
        </w:rPr>
        <w:t xml:space="preserve"> can be burned to produce energy. In most cases </w:t>
      </w:r>
      <w:r w:rsidR="000C0580" w:rsidRPr="00661ECC">
        <w:rPr>
          <w:color w:val="000000" w:themeColor="text1"/>
        </w:rPr>
        <w:t>th</w:t>
      </w:r>
      <w:r w:rsidR="000C0580">
        <w:rPr>
          <w:color w:val="000000" w:themeColor="text1"/>
        </w:rPr>
        <w:t>ese</w:t>
      </w:r>
      <w:r w:rsidR="00E73FCF">
        <w:rPr>
          <w:color w:val="000000" w:themeColor="text1"/>
        </w:rPr>
        <w:t xml:space="preserve"> </w:t>
      </w:r>
      <w:r w:rsidR="00661ECC" w:rsidRPr="00661ECC">
        <w:rPr>
          <w:color w:val="000000" w:themeColor="text1"/>
        </w:rPr>
        <w:t xml:space="preserve">alternative </w:t>
      </w:r>
      <w:r w:rsidR="00661ECC" w:rsidRPr="00661ECC">
        <w:rPr>
          <w:color w:val="000000" w:themeColor="text1"/>
        </w:rPr>
        <w:lastRenderedPageBreak/>
        <w:t>source</w:t>
      </w:r>
      <w:r w:rsidR="000C0580">
        <w:rPr>
          <w:color w:val="000000" w:themeColor="text1"/>
        </w:rPr>
        <w:t>s</w:t>
      </w:r>
      <w:r w:rsidR="00E73FCF">
        <w:rPr>
          <w:color w:val="000000" w:themeColor="text1"/>
        </w:rPr>
        <w:t xml:space="preserve"> </w:t>
      </w:r>
      <w:r w:rsidR="000C0580">
        <w:rPr>
          <w:color w:val="000000" w:themeColor="text1"/>
        </w:rPr>
        <w:t>are said to be</w:t>
      </w:r>
      <w:r w:rsidR="00E73FCF">
        <w:rPr>
          <w:color w:val="000000" w:themeColor="text1"/>
        </w:rPr>
        <w:t xml:space="preserve"> </w:t>
      </w:r>
      <w:r w:rsidR="00661ECC" w:rsidRPr="00661ECC">
        <w:rPr>
          <w:color w:val="000000" w:themeColor="text1"/>
        </w:rPr>
        <w:t>renewable because the CO</w:t>
      </w:r>
      <w:r w:rsidR="00661ECC" w:rsidRPr="00661ECC">
        <w:rPr>
          <w:color w:val="000000" w:themeColor="text1"/>
          <w:vertAlign w:val="subscript"/>
        </w:rPr>
        <w:t>2</w:t>
      </w:r>
      <w:r w:rsidR="00661ECC" w:rsidRPr="00661ECC">
        <w:rPr>
          <w:color w:val="000000" w:themeColor="text1"/>
        </w:rPr>
        <w:t xml:space="preserve"> emitted to the atmosphere is recaptured by the crop t</w:t>
      </w:r>
      <w:r w:rsidR="00CB0851">
        <w:rPr>
          <w:color w:val="000000" w:themeColor="text1"/>
        </w:rPr>
        <w:t>hat will grow in the next cycle</w:t>
      </w:r>
      <w:r w:rsidR="00661ECC" w:rsidRPr="00661ECC">
        <w:rPr>
          <w:color w:val="000000" w:themeColor="text1"/>
        </w:rPr>
        <w:t>.</w:t>
      </w:r>
    </w:p>
    <w:p w:rsidR="00CB0851" w:rsidRPr="00C4600B" w:rsidRDefault="00CB0851" w:rsidP="005A2211">
      <w:pPr>
        <w:pStyle w:val="CETBodytext"/>
        <w:rPr>
          <w:color w:val="000000" w:themeColor="text1"/>
        </w:rPr>
      </w:pPr>
      <w:r w:rsidRPr="00CB0851">
        <w:rPr>
          <w:color w:val="000000" w:themeColor="text1"/>
        </w:rPr>
        <w:t>Therefore, in the present study</w:t>
      </w:r>
      <w:r w:rsidR="006C5E6F">
        <w:rPr>
          <w:color w:val="000000" w:themeColor="text1"/>
        </w:rPr>
        <w:t>,</w:t>
      </w:r>
      <w:r w:rsidRPr="00CB0851">
        <w:rPr>
          <w:color w:val="000000" w:themeColor="text1"/>
        </w:rPr>
        <w:t xml:space="preserve"> the compound </w:t>
      </w:r>
      <w:r w:rsidRPr="00810145">
        <w:rPr>
          <w:b/>
          <w:color w:val="000000" w:themeColor="text1"/>
        </w:rPr>
        <w:t>L</w:t>
      </w:r>
      <w:r w:rsidRPr="00CB0851">
        <w:rPr>
          <w:color w:val="000000" w:themeColor="text1"/>
        </w:rPr>
        <w:t>evulinic</w:t>
      </w:r>
      <w:r w:rsidRPr="00810145">
        <w:rPr>
          <w:b/>
          <w:color w:val="000000" w:themeColor="text1"/>
        </w:rPr>
        <w:t>A</w:t>
      </w:r>
      <w:r w:rsidRPr="00CB0851">
        <w:rPr>
          <w:color w:val="000000" w:themeColor="text1"/>
        </w:rPr>
        <w:t>cid (</w:t>
      </w:r>
      <w:r w:rsidR="00810145">
        <w:rPr>
          <w:color w:val="000000" w:themeColor="text1"/>
        </w:rPr>
        <w:t xml:space="preserve">LA </w:t>
      </w:r>
      <w:r w:rsidRPr="00CB0851">
        <w:rPr>
          <w:color w:val="000000" w:themeColor="text1"/>
        </w:rPr>
        <w:t xml:space="preserve">also known as 4-oxypentanoic acid or γ-ketovaleric acid) is highlighted. This acid was classified by the US Department of Energy as one of the 12 most promising building-block molecules in nature. Such molecule is considered an organic compound intermediate in the synthesis of various chemical compounds </w:t>
      </w:r>
      <w:r w:rsidR="000C0580">
        <w:rPr>
          <w:color w:val="000000" w:themeColor="text1"/>
        </w:rPr>
        <w:t>as</w:t>
      </w:r>
      <w:r w:rsidR="00E73FCF">
        <w:rPr>
          <w:color w:val="000000" w:themeColor="text1"/>
        </w:rPr>
        <w:t xml:space="preserve"> </w:t>
      </w:r>
      <w:r w:rsidRPr="00CB0851">
        <w:rPr>
          <w:color w:val="000000" w:themeColor="text1"/>
        </w:rPr>
        <w:t xml:space="preserve">additives </w:t>
      </w:r>
      <w:r w:rsidR="000C0580">
        <w:rPr>
          <w:color w:val="000000" w:themeColor="text1"/>
        </w:rPr>
        <w:t>for</w:t>
      </w:r>
      <w:r w:rsidR="00E73FCF">
        <w:rPr>
          <w:color w:val="000000" w:themeColor="text1"/>
        </w:rPr>
        <w:t xml:space="preserve"> </w:t>
      </w:r>
      <w:r w:rsidRPr="00CB0851">
        <w:rPr>
          <w:color w:val="000000" w:themeColor="text1"/>
        </w:rPr>
        <w:t xml:space="preserve">fluids, fragrances, oils, plastics </w:t>
      </w:r>
      <w:r>
        <w:rPr>
          <w:color w:val="000000" w:themeColor="text1"/>
        </w:rPr>
        <w:t>and pharmaceutical compounds such as methyl</w:t>
      </w:r>
      <w:r w:rsidR="00E73FCF">
        <w:rPr>
          <w:color w:val="000000" w:themeColor="text1"/>
        </w:rPr>
        <w:t xml:space="preserve"> </w:t>
      </w:r>
      <w:r>
        <w:rPr>
          <w:color w:val="000000" w:themeColor="text1"/>
        </w:rPr>
        <w:t>tetrahydrofuran (MTHF)</w:t>
      </w:r>
      <w:r w:rsidRPr="00CB0851">
        <w:rPr>
          <w:color w:val="000000" w:themeColor="text1"/>
        </w:rPr>
        <w:t xml:space="preserve">. This </w:t>
      </w:r>
      <w:r w:rsidR="000C0580">
        <w:rPr>
          <w:color w:val="000000" w:themeColor="text1"/>
        </w:rPr>
        <w:t>occurs</w:t>
      </w:r>
      <w:r w:rsidRPr="00CB0851">
        <w:rPr>
          <w:color w:val="000000" w:themeColor="text1"/>
        </w:rPr>
        <w:t xml:space="preserve"> because levulinic acid contains ketones and carboxylic acid groups. These two functional groups </w:t>
      </w:r>
      <w:r w:rsidR="000C0580" w:rsidRPr="00CB0851">
        <w:rPr>
          <w:color w:val="000000" w:themeColor="text1"/>
        </w:rPr>
        <w:t>are</w:t>
      </w:r>
      <w:r w:rsidR="000C0580">
        <w:rPr>
          <w:color w:val="000000" w:themeColor="text1"/>
        </w:rPr>
        <w:t xml:space="preserve"> particularly</w:t>
      </w:r>
      <w:r w:rsidRPr="00CB0851">
        <w:rPr>
          <w:color w:val="000000" w:themeColor="text1"/>
        </w:rPr>
        <w:t xml:space="preserve"> important </w:t>
      </w:r>
      <w:r w:rsidR="000C0580" w:rsidRPr="00CB0851">
        <w:rPr>
          <w:color w:val="000000" w:themeColor="text1"/>
        </w:rPr>
        <w:t>to produce</w:t>
      </w:r>
      <w:r w:rsidR="00E73FCF">
        <w:rPr>
          <w:color w:val="000000" w:themeColor="text1"/>
        </w:rPr>
        <w:t xml:space="preserve"> </w:t>
      </w:r>
      <w:r w:rsidRPr="00CB0851">
        <w:rPr>
          <w:color w:val="000000" w:themeColor="text1"/>
        </w:rPr>
        <w:t xml:space="preserve">a large number of chemical compounds, such as gamma-valerolactan (GVL), acrylic acid, 2-methylhydrofuran among others </w:t>
      </w:r>
      <w:r w:rsidRPr="00C4600B">
        <w:rPr>
          <w:color w:val="000000" w:themeColor="text1"/>
        </w:rPr>
        <w:t>(Isikgor and Becer, 20</w:t>
      </w:r>
      <w:r w:rsidR="006C5E6F" w:rsidRPr="00C4600B">
        <w:rPr>
          <w:color w:val="000000" w:themeColor="text1"/>
        </w:rPr>
        <w:t>15; Serrano-Ruiz et al.</w:t>
      </w:r>
      <w:r w:rsidRPr="00C4600B">
        <w:rPr>
          <w:color w:val="000000" w:themeColor="text1"/>
        </w:rPr>
        <w:t>, 2011; Lange et al., 2009).</w:t>
      </w:r>
    </w:p>
    <w:p w:rsidR="008A73F8" w:rsidRPr="006C5E6F" w:rsidRDefault="00533B6C" w:rsidP="008A73F8">
      <w:pPr>
        <w:pStyle w:val="CETBodytext"/>
        <w:rPr>
          <w:color w:val="000000" w:themeColor="text1"/>
        </w:rPr>
      </w:pPr>
      <w:r>
        <w:rPr>
          <w:color w:val="000000" w:themeColor="text1"/>
        </w:rPr>
        <w:t>A</w:t>
      </w:r>
      <w:r w:rsidRPr="001C6C36">
        <w:rPr>
          <w:color w:val="000000" w:themeColor="text1"/>
        </w:rPr>
        <w:t>s mentioned above</w:t>
      </w:r>
      <w:r>
        <w:rPr>
          <w:color w:val="000000" w:themeColor="text1"/>
        </w:rPr>
        <w:t>,</w:t>
      </w:r>
      <w:r w:rsidRPr="001C6C36">
        <w:rPr>
          <w:color w:val="000000" w:themeColor="text1"/>
        </w:rPr>
        <w:t xml:space="preserve"> </w:t>
      </w:r>
      <w:r w:rsidR="00E2492D">
        <w:rPr>
          <w:color w:val="000000" w:themeColor="text1"/>
        </w:rPr>
        <w:t>l</w:t>
      </w:r>
      <w:r>
        <w:rPr>
          <w:color w:val="000000" w:themeColor="text1"/>
        </w:rPr>
        <w:t>evulinic acid</w:t>
      </w:r>
      <w:r w:rsidR="001C6C36" w:rsidRPr="001C6C36">
        <w:rPr>
          <w:color w:val="000000" w:themeColor="text1"/>
        </w:rPr>
        <w:t xml:space="preserve"> can be obtained from Biomass</w:t>
      </w:r>
      <w:r w:rsidR="00BA2CFC">
        <w:rPr>
          <w:color w:val="000000" w:themeColor="text1"/>
        </w:rPr>
        <w:t xml:space="preserve"> </w:t>
      </w:r>
      <w:r w:rsidR="001C6C36" w:rsidRPr="001C6C36">
        <w:rPr>
          <w:color w:val="000000" w:themeColor="text1"/>
        </w:rPr>
        <w:t>which has almost no c</w:t>
      </w:r>
      <w:r w:rsidR="000C0580">
        <w:rPr>
          <w:color w:val="000000" w:themeColor="text1"/>
        </w:rPr>
        <w:t>osts</w:t>
      </w:r>
      <w:r w:rsidR="001C6C36" w:rsidRPr="001C6C36">
        <w:rPr>
          <w:color w:val="000000" w:themeColor="text1"/>
        </w:rPr>
        <w:t xml:space="preserve">. </w:t>
      </w:r>
      <w:r w:rsidR="002E19DE">
        <w:rPr>
          <w:color w:val="000000" w:themeColor="text1"/>
        </w:rPr>
        <w:t>Considering that</w:t>
      </w:r>
      <w:r>
        <w:rPr>
          <w:color w:val="000000" w:themeColor="text1"/>
        </w:rPr>
        <w:t xml:space="preserve"> </w:t>
      </w:r>
      <w:r w:rsidR="001C6C36" w:rsidRPr="001C6C36">
        <w:rPr>
          <w:color w:val="000000" w:themeColor="text1"/>
        </w:rPr>
        <w:t xml:space="preserve">the largest biomass sources available contain lignocellulosic material (cellulose present in the leaves and trunk of the plants) whose hydrolysis (breaking) is hampered in detriment of the </w:t>
      </w:r>
      <w:r w:rsidR="001C6C36" w:rsidRPr="001C6C36">
        <w:rPr>
          <w:color w:val="000000" w:themeColor="text1"/>
          <w:lang w:val="pt-BR"/>
        </w:rPr>
        <w:t>β</w:t>
      </w:r>
      <w:r w:rsidR="001C6C36" w:rsidRPr="001C6C36">
        <w:rPr>
          <w:color w:val="000000" w:themeColor="text1"/>
        </w:rPr>
        <w:t>-1,4 bonds present, there is still a great difficulty to produce biofuels on a large scale through li</w:t>
      </w:r>
      <w:r w:rsidR="00E2492D">
        <w:rPr>
          <w:color w:val="000000" w:themeColor="text1"/>
        </w:rPr>
        <w:t>gnocellulosic biomass. Biofuels</w:t>
      </w:r>
      <w:r w:rsidR="001C6C36" w:rsidRPr="001C6C36">
        <w:rPr>
          <w:color w:val="000000" w:themeColor="text1"/>
        </w:rPr>
        <w:t xml:space="preserve"> </w:t>
      </w:r>
      <w:r w:rsidR="00E2492D">
        <w:rPr>
          <w:color w:val="000000" w:themeColor="text1"/>
        </w:rPr>
        <w:t>(</w:t>
      </w:r>
      <w:r w:rsidR="001C6C36" w:rsidRPr="001C6C36">
        <w:rPr>
          <w:color w:val="000000" w:themeColor="text1"/>
        </w:rPr>
        <w:t xml:space="preserve">among other compounds produced via </w:t>
      </w:r>
      <w:r w:rsidR="00E2492D">
        <w:rPr>
          <w:color w:val="000000" w:themeColor="text1"/>
        </w:rPr>
        <w:t>the fermentation route)</w:t>
      </w:r>
      <w:r w:rsidR="001C6C36" w:rsidRPr="001C6C36">
        <w:rPr>
          <w:color w:val="000000" w:themeColor="text1"/>
        </w:rPr>
        <w:t xml:space="preserve"> have serious difficulties related to temperature and </w:t>
      </w:r>
      <w:r w:rsidR="00BA2CFC" w:rsidRPr="001C6C36">
        <w:rPr>
          <w:color w:val="000000" w:themeColor="text1"/>
        </w:rPr>
        <w:t xml:space="preserve">enzymes </w:t>
      </w:r>
      <w:r w:rsidR="001C6C36" w:rsidRPr="001C6C36">
        <w:rPr>
          <w:color w:val="000000" w:themeColor="text1"/>
        </w:rPr>
        <w:t>consumption. Levulinic acid, on the other hand, has the advantage of having purely chemical production routes, which, in turn, does not involve the use of microorganisms</w:t>
      </w:r>
      <w:r w:rsidR="002E19DE">
        <w:rPr>
          <w:color w:val="000000" w:themeColor="text1"/>
        </w:rPr>
        <w:t xml:space="preserve"> or </w:t>
      </w:r>
      <w:r w:rsidR="001C6C36" w:rsidRPr="001C6C36">
        <w:rPr>
          <w:color w:val="000000" w:themeColor="text1"/>
        </w:rPr>
        <w:t>present any limitations regarding temperature.</w:t>
      </w:r>
      <w:r w:rsidR="00E2492D">
        <w:rPr>
          <w:color w:val="000000" w:themeColor="text1"/>
        </w:rPr>
        <w:t xml:space="preserve"> </w:t>
      </w:r>
      <w:r w:rsidR="008A73F8" w:rsidRPr="00887F3C">
        <w:rPr>
          <w:color w:val="000000" w:themeColor="text1"/>
        </w:rPr>
        <w:t xml:space="preserve">Addressing more specifically the inherent conversion of biomass to levulinic acid, the first step is the hydrolysis of </w:t>
      </w:r>
      <w:r w:rsidR="006C5E6F">
        <w:rPr>
          <w:color w:val="000000" w:themeColor="text1"/>
        </w:rPr>
        <w:t>cellulose into glucose monomers</w:t>
      </w:r>
      <w:r w:rsidR="008A73F8" w:rsidRPr="00887F3C">
        <w:rPr>
          <w:color w:val="000000" w:themeColor="text1"/>
        </w:rPr>
        <w:t xml:space="preserve"> fol</w:t>
      </w:r>
      <w:r w:rsidR="006C5E6F">
        <w:rPr>
          <w:color w:val="000000" w:themeColor="text1"/>
        </w:rPr>
        <w:t>l</w:t>
      </w:r>
      <w:r w:rsidR="008A73F8" w:rsidRPr="00887F3C">
        <w:rPr>
          <w:color w:val="000000" w:themeColor="text1"/>
        </w:rPr>
        <w:t>owed by dehydration of glucose to hydroxy-methyl-furfural (HMF). Under acid conditions, the hydrothermal process allows</w:t>
      </w:r>
      <w:r w:rsidR="002E19DE">
        <w:rPr>
          <w:color w:val="000000" w:themeColor="text1"/>
        </w:rPr>
        <w:t xml:space="preserve"> the</w:t>
      </w:r>
      <w:r w:rsidR="008A73F8" w:rsidRPr="00887F3C">
        <w:rPr>
          <w:color w:val="000000" w:themeColor="text1"/>
        </w:rPr>
        <w:t xml:space="preserve"> effective conversion of d-glucose</w:t>
      </w:r>
      <w:r w:rsidR="006C5E6F">
        <w:rPr>
          <w:color w:val="000000" w:themeColor="text1"/>
        </w:rPr>
        <w:t xml:space="preserve"> into</w:t>
      </w:r>
      <w:r w:rsidR="008A73F8" w:rsidRPr="00887F3C">
        <w:rPr>
          <w:color w:val="000000" w:themeColor="text1"/>
        </w:rPr>
        <w:t xml:space="preserve"> HMF. Levulinic Acid is</w:t>
      </w:r>
      <w:r w:rsidR="00E2492D">
        <w:rPr>
          <w:color w:val="000000" w:themeColor="text1"/>
        </w:rPr>
        <w:t xml:space="preserve"> </w:t>
      </w:r>
      <w:r w:rsidR="008A73F8" w:rsidRPr="00887F3C">
        <w:rPr>
          <w:color w:val="000000" w:themeColor="text1"/>
        </w:rPr>
        <w:t>produced through the hydrolysis of HMF under acid conditions</w:t>
      </w:r>
      <w:r w:rsidR="00E2492D">
        <w:rPr>
          <w:color w:val="000000" w:themeColor="text1"/>
        </w:rPr>
        <w:t xml:space="preserve"> also</w:t>
      </w:r>
      <w:r w:rsidR="008A73F8" w:rsidRPr="00887F3C">
        <w:rPr>
          <w:color w:val="000000" w:themeColor="text1"/>
        </w:rPr>
        <w:t>. In the acid-catalyzed conversion of hexo</w:t>
      </w:r>
      <w:r w:rsidR="00DB1907">
        <w:rPr>
          <w:color w:val="000000" w:themeColor="text1"/>
        </w:rPr>
        <w:t xml:space="preserve">se sugars into levulinic acid, </w:t>
      </w:r>
      <w:r w:rsidR="00DB1907" w:rsidRPr="00DB1907">
        <w:rPr>
          <w:b/>
          <w:color w:val="000000" w:themeColor="text1"/>
        </w:rPr>
        <w:t>F</w:t>
      </w:r>
      <w:r w:rsidR="00DB1907">
        <w:rPr>
          <w:color w:val="000000" w:themeColor="text1"/>
        </w:rPr>
        <w:t>omic</w:t>
      </w:r>
      <w:r w:rsidR="00DB1907" w:rsidRPr="00DB1907">
        <w:rPr>
          <w:b/>
          <w:color w:val="000000" w:themeColor="text1"/>
        </w:rPr>
        <w:t>A</w:t>
      </w:r>
      <w:r w:rsidR="008A73F8" w:rsidRPr="00887F3C">
        <w:rPr>
          <w:color w:val="000000" w:themeColor="text1"/>
        </w:rPr>
        <w:t>cid</w:t>
      </w:r>
      <w:r w:rsidR="00DB1907">
        <w:rPr>
          <w:color w:val="000000" w:themeColor="text1"/>
        </w:rPr>
        <w:t xml:space="preserve"> (FA)</w:t>
      </w:r>
      <w:r w:rsidR="008A73F8" w:rsidRPr="00887F3C">
        <w:rPr>
          <w:color w:val="000000" w:themeColor="text1"/>
        </w:rPr>
        <w:t xml:space="preserve"> is coproduced as a low-value chemical used in the production of formaldehyde, rubber, plasticizers, pharmaceuticals, and textiles</w:t>
      </w:r>
      <w:r w:rsidR="008A73F8" w:rsidRPr="006C5E6F">
        <w:rPr>
          <w:color w:val="000000" w:themeColor="text1"/>
        </w:rPr>
        <w:t>(Lewkowski, 2001;  Titirici</w:t>
      </w:r>
      <w:r w:rsidR="00E2492D">
        <w:rPr>
          <w:color w:val="000000" w:themeColor="text1"/>
        </w:rPr>
        <w:t xml:space="preserve"> </w:t>
      </w:r>
      <w:r w:rsidR="008A73F8" w:rsidRPr="006C5E6F">
        <w:rPr>
          <w:color w:val="000000" w:themeColor="text1"/>
        </w:rPr>
        <w:t>&amp;</w:t>
      </w:r>
      <w:r w:rsidR="00E2492D">
        <w:rPr>
          <w:color w:val="000000" w:themeColor="text1"/>
        </w:rPr>
        <w:t xml:space="preserve"> </w:t>
      </w:r>
      <w:r w:rsidR="008A73F8" w:rsidRPr="006C5E6F">
        <w:rPr>
          <w:color w:val="000000" w:themeColor="text1"/>
        </w:rPr>
        <w:t>Pileidis, 2016).</w:t>
      </w:r>
    </w:p>
    <w:p w:rsidR="008D7DAD" w:rsidRDefault="00AB3AEF" w:rsidP="005A2211">
      <w:pPr>
        <w:pStyle w:val="CETBodytext"/>
        <w:rPr>
          <w:color w:val="000000" w:themeColor="text1"/>
        </w:rPr>
      </w:pPr>
      <w:r w:rsidRPr="00AB3AEF">
        <w:rPr>
          <w:color w:val="000000" w:themeColor="text1"/>
        </w:rPr>
        <w:t>The demand for levulinic acid has increased in recent years</w:t>
      </w:r>
      <w:r w:rsidR="002E19DE">
        <w:rPr>
          <w:color w:val="000000" w:themeColor="text1"/>
        </w:rPr>
        <w:t>, being</w:t>
      </w:r>
      <w:r w:rsidR="00E2492D">
        <w:rPr>
          <w:color w:val="000000" w:themeColor="text1"/>
        </w:rPr>
        <w:t xml:space="preserve"> </w:t>
      </w:r>
      <w:r w:rsidR="006E197D">
        <w:rPr>
          <w:color w:val="000000" w:themeColor="text1"/>
        </w:rPr>
        <w:t>the annual demand around 3</w:t>
      </w:r>
      <w:r w:rsidR="00E2492D">
        <w:rPr>
          <w:color w:val="000000" w:themeColor="text1"/>
        </w:rPr>
        <w:t xml:space="preserve"> </w:t>
      </w:r>
      <w:r w:rsidR="006E197D">
        <w:rPr>
          <w:color w:val="000000" w:themeColor="text1"/>
        </w:rPr>
        <w:t>kilo</w:t>
      </w:r>
      <w:r w:rsidRPr="00AB3AEF">
        <w:rPr>
          <w:color w:val="000000" w:themeColor="text1"/>
        </w:rPr>
        <w:t>tons. Only the MTHF (</w:t>
      </w:r>
      <w:r w:rsidR="002C0DB6">
        <w:rPr>
          <w:color w:val="000000" w:themeColor="text1"/>
        </w:rPr>
        <w:t>methyltetrahydrofuran) derivative may face</w:t>
      </w:r>
      <w:r w:rsidRPr="00AB3AEF">
        <w:rPr>
          <w:color w:val="000000" w:themeColor="text1"/>
        </w:rPr>
        <w:t xml:space="preserve"> a demand</w:t>
      </w:r>
      <w:r w:rsidR="002C0DB6">
        <w:rPr>
          <w:color w:val="000000" w:themeColor="text1"/>
        </w:rPr>
        <w:t xml:space="preserve"> for levulinic acid</w:t>
      </w:r>
      <w:r w:rsidRPr="00AB3AEF">
        <w:rPr>
          <w:color w:val="000000" w:themeColor="text1"/>
        </w:rPr>
        <w:t xml:space="preserve"> of 20 k</w:t>
      </w:r>
      <w:r w:rsidR="002C0DB6">
        <w:rPr>
          <w:color w:val="000000" w:themeColor="text1"/>
        </w:rPr>
        <w:t>ilo</w:t>
      </w:r>
      <w:r w:rsidRPr="00AB3AEF">
        <w:rPr>
          <w:color w:val="000000" w:themeColor="text1"/>
        </w:rPr>
        <w:t>ton</w:t>
      </w:r>
      <w:r w:rsidR="002C0DB6">
        <w:rPr>
          <w:color w:val="000000" w:themeColor="text1"/>
        </w:rPr>
        <w:t>s</w:t>
      </w:r>
      <w:r w:rsidRPr="00AB3AEF">
        <w:rPr>
          <w:color w:val="000000" w:themeColor="text1"/>
        </w:rPr>
        <w:t xml:space="preserve"> by 2020 </w:t>
      </w:r>
      <w:r w:rsidRPr="006E197D">
        <w:rPr>
          <w:color w:val="000000" w:themeColor="text1"/>
        </w:rPr>
        <w:t>(Grand View Research, 2014).</w:t>
      </w:r>
      <w:r w:rsidRPr="00AB3AEF">
        <w:rPr>
          <w:color w:val="000000" w:themeColor="text1"/>
        </w:rPr>
        <w:t xml:space="preserve"> However, </w:t>
      </w:r>
      <w:r w:rsidR="005273F2">
        <w:rPr>
          <w:color w:val="000000" w:themeColor="text1"/>
        </w:rPr>
        <w:t xml:space="preserve">on the industrial scale, levulinic acid is available in insufficient quantities and produced by a process </w:t>
      </w:r>
      <w:r w:rsidR="002E19DE">
        <w:rPr>
          <w:color w:val="000000" w:themeColor="text1"/>
        </w:rPr>
        <w:t>with difficulties to</w:t>
      </w:r>
      <w:r w:rsidR="005273F2">
        <w:rPr>
          <w:color w:val="000000" w:themeColor="text1"/>
        </w:rPr>
        <w:t xml:space="preserve"> meet</w:t>
      </w:r>
      <w:r w:rsidR="00E2492D">
        <w:rPr>
          <w:color w:val="000000" w:themeColor="text1"/>
        </w:rPr>
        <w:t xml:space="preserve"> </w:t>
      </w:r>
      <w:r w:rsidR="005273F2">
        <w:rPr>
          <w:color w:val="000000" w:themeColor="text1"/>
        </w:rPr>
        <w:t>environmental standar</w:t>
      </w:r>
      <w:r w:rsidR="002E19DE">
        <w:rPr>
          <w:color w:val="000000" w:themeColor="text1"/>
        </w:rPr>
        <w:t>d</w:t>
      </w:r>
      <w:r w:rsidR="005273F2">
        <w:rPr>
          <w:color w:val="000000" w:themeColor="text1"/>
        </w:rPr>
        <w:t xml:space="preserve">s </w:t>
      </w:r>
      <w:r w:rsidR="005273F2" w:rsidRPr="006E197D">
        <w:rPr>
          <w:color w:val="000000" w:themeColor="text1"/>
        </w:rPr>
        <w:t>(Titirici</w:t>
      </w:r>
      <w:r w:rsidR="00E2492D">
        <w:rPr>
          <w:color w:val="000000" w:themeColor="text1"/>
        </w:rPr>
        <w:t xml:space="preserve"> </w:t>
      </w:r>
      <w:r w:rsidR="005273F2" w:rsidRPr="006E197D">
        <w:rPr>
          <w:color w:val="000000" w:themeColor="text1"/>
        </w:rPr>
        <w:t>&amp;</w:t>
      </w:r>
      <w:r w:rsidR="00E2492D">
        <w:rPr>
          <w:color w:val="000000" w:themeColor="text1"/>
        </w:rPr>
        <w:t xml:space="preserve"> </w:t>
      </w:r>
      <w:r w:rsidR="005273F2" w:rsidRPr="006E197D">
        <w:rPr>
          <w:color w:val="000000" w:themeColor="text1"/>
        </w:rPr>
        <w:t>Pileidis, 2016).</w:t>
      </w:r>
      <w:r w:rsidR="00E2492D">
        <w:rPr>
          <w:color w:val="000000" w:themeColor="text1"/>
        </w:rPr>
        <w:t xml:space="preserve"> </w:t>
      </w:r>
      <w:r w:rsidR="008D7DAD" w:rsidRPr="008D7DAD">
        <w:rPr>
          <w:color w:val="000000" w:themeColor="text1"/>
        </w:rPr>
        <w:t>In addition, their high price still makes their competitiveness unviable towards to oil-based intermediaries as there are still few industries.</w:t>
      </w:r>
    </w:p>
    <w:p w:rsidR="002C0DB6" w:rsidRDefault="00810145" w:rsidP="005A2211">
      <w:pPr>
        <w:pStyle w:val="CETBodytext"/>
        <w:rPr>
          <w:color w:val="000000" w:themeColor="text1"/>
        </w:rPr>
      </w:pPr>
      <w:r>
        <w:rPr>
          <w:color w:val="000000" w:themeColor="text1"/>
        </w:rPr>
        <w:t xml:space="preserve">Based on </w:t>
      </w:r>
      <w:r w:rsidR="002E19DE">
        <w:rPr>
          <w:color w:val="000000" w:themeColor="text1"/>
        </w:rPr>
        <w:t xml:space="preserve">this </w:t>
      </w:r>
      <w:r>
        <w:rPr>
          <w:color w:val="000000" w:themeColor="text1"/>
        </w:rPr>
        <w:t>information</w:t>
      </w:r>
      <w:r w:rsidR="008A73F8">
        <w:rPr>
          <w:color w:val="000000" w:themeColor="text1"/>
        </w:rPr>
        <w:t xml:space="preserve"> t</w:t>
      </w:r>
      <w:r w:rsidR="00EC66C8" w:rsidRPr="00F73BAD">
        <w:rPr>
          <w:color w:val="000000" w:themeColor="text1"/>
        </w:rPr>
        <w:t>he main goal of this work was to evaluate</w:t>
      </w:r>
      <w:r w:rsidR="00887F3C">
        <w:rPr>
          <w:color w:val="000000" w:themeColor="text1"/>
        </w:rPr>
        <w:t xml:space="preserve"> the feasibility, </w:t>
      </w:r>
      <w:r w:rsidR="00887F3C" w:rsidRPr="00887F3C">
        <w:rPr>
          <w:color w:val="000000" w:themeColor="text1"/>
        </w:rPr>
        <w:t>bottlenecks</w:t>
      </w:r>
      <w:r w:rsidR="00887F3C">
        <w:rPr>
          <w:color w:val="000000" w:themeColor="text1"/>
        </w:rPr>
        <w:t xml:space="preserve"> and some </w:t>
      </w:r>
      <w:r w:rsidR="006E197D">
        <w:rPr>
          <w:color w:val="000000" w:themeColor="text1"/>
        </w:rPr>
        <w:t xml:space="preserve">process </w:t>
      </w:r>
      <w:r w:rsidR="00887F3C">
        <w:rPr>
          <w:color w:val="000000" w:themeColor="text1"/>
        </w:rPr>
        <w:t>altern</w:t>
      </w:r>
      <w:r w:rsidR="006E197D">
        <w:rPr>
          <w:color w:val="000000" w:themeColor="text1"/>
        </w:rPr>
        <w:t>atives for a LA production in industrial scale of</w:t>
      </w:r>
      <w:r w:rsidR="00887F3C">
        <w:rPr>
          <w:color w:val="000000" w:themeColor="text1"/>
        </w:rPr>
        <w:t xml:space="preserve"> 8 k</w:t>
      </w:r>
      <w:r w:rsidR="006E197D">
        <w:rPr>
          <w:color w:val="000000" w:themeColor="text1"/>
        </w:rPr>
        <w:t>ilo</w:t>
      </w:r>
      <w:r w:rsidR="00887F3C">
        <w:rPr>
          <w:color w:val="000000" w:themeColor="text1"/>
        </w:rPr>
        <w:t>ton</w:t>
      </w:r>
      <w:r w:rsidR="006E197D">
        <w:rPr>
          <w:color w:val="000000" w:themeColor="text1"/>
        </w:rPr>
        <w:t>s</w:t>
      </w:r>
      <w:r w:rsidR="00887F3C">
        <w:rPr>
          <w:color w:val="000000" w:themeColor="text1"/>
        </w:rPr>
        <w:t>/year</w:t>
      </w:r>
      <w:r w:rsidR="00EC66C8" w:rsidRPr="00F73BAD">
        <w:rPr>
          <w:color w:val="000000" w:themeColor="text1"/>
        </w:rPr>
        <w:t>. For this reason, process simulations were carried out employing ASPEN PLUS</w:t>
      </w:r>
      <w:r w:rsidR="00EC66C8" w:rsidRPr="00F73BAD">
        <w:rPr>
          <w:color w:val="000000" w:themeColor="text1"/>
          <w:vertAlign w:val="superscript"/>
        </w:rPr>
        <w:t>®</w:t>
      </w:r>
      <w:r w:rsidR="00887F3C">
        <w:rPr>
          <w:color w:val="000000" w:themeColor="text1"/>
        </w:rPr>
        <w:t xml:space="preserve"> V.7.3 software</w:t>
      </w:r>
      <w:r w:rsidR="00887F3C" w:rsidRPr="006E197D">
        <w:rPr>
          <w:color w:val="000000" w:themeColor="text1"/>
        </w:rPr>
        <w:t>. Analysis of energy consumption in distillation columns,</w:t>
      </w:r>
      <w:r w:rsidR="008D7DAD">
        <w:rPr>
          <w:color w:val="000000" w:themeColor="text1"/>
        </w:rPr>
        <w:t xml:space="preserve"> </w:t>
      </w:r>
      <w:r w:rsidR="002E19DE" w:rsidRPr="006E197D">
        <w:rPr>
          <w:color w:val="000000" w:themeColor="text1"/>
        </w:rPr>
        <w:t>sust</w:t>
      </w:r>
      <w:r w:rsidR="002E19DE">
        <w:rPr>
          <w:color w:val="000000" w:themeColor="text1"/>
        </w:rPr>
        <w:t>ai</w:t>
      </w:r>
      <w:r w:rsidR="002E19DE" w:rsidRPr="006E197D">
        <w:rPr>
          <w:color w:val="000000" w:themeColor="text1"/>
        </w:rPr>
        <w:t xml:space="preserve">nability </w:t>
      </w:r>
      <w:r w:rsidR="00887F3C" w:rsidRPr="006E197D">
        <w:rPr>
          <w:color w:val="000000" w:themeColor="text1"/>
        </w:rPr>
        <w:t>and catalyst consumption</w:t>
      </w:r>
      <w:r w:rsidRPr="006E197D">
        <w:rPr>
          <w:color w:val="000000" w:themeColor="text1"/>
        </w:rPr>
        <w:t xml:space="preserve"> (H</w:t>
      </w:r>
      <w:r w:rsidRPr="006E197D">
        <w:rPr>
          <w:color w:val="000000" w:themeColor="text1"/>
          <w:vertAlign w:val="subscript"/>
        </w:rPr>
        <w:t>2</w:t>
      </w:r>
      <w:r w:rsidRPr="006E197D">
        <w:rPr>
          <w:color w:val="000000" w:themeColor="text1"/>
        </w:rPr>
        <w:t>SO</w:t>
      </w:r>
      <w:r w:rsidRPr="006E197D">
        <w:rPr>
          <w:color w:val="000000" w:themeColor="text1"/>
          <w:vertAlign w:val="subscript"/>
        </w:rPr>
        <w:t>4</w:t>
      </w:r>
      <w:r w:rsidRPr="006E197D">
        <w:rPr>
          <w:color w:val="000000" w:themeColor="text1"/>
        </w:rPr>
        <w:t>)</w:t>
      </w:r>
      <w:r w:rsidR="00887F3C" w:rsidRPr="006E197D">
        <w:rPr>
          <w:color w:val="000000" w:themeColor="text1"/>
        </w:rPr>
        <w:t xml:space="preserve"> were</w:t>
      </w:r>
      <w:r w:rsidR="00EC66C8" w:rsidRPr="006E197D">
        <w:rPr>
          <w:color w:val="000000" w:themeColor="text1"/>
        </w:rPr>
        <w:t xml:space="preserve"> performed</w:t>
      </w:r>
      <w:r w:rsidR="008D7DAD">
        <w:rPr>
          <w:color w:val="000000" w:themeColor="text1"/>
        </w:rPr>
        <w:t xml:space="preserve"> </w:t>
      </w:r>
      <w:r w:rsidR="002E19DE">
        <w:rPr>
          <w:color w:val="000000" w:themeColor="text1"/>
        </w:rPr>
        <w:t xml:space="preserve">aiming to </w:t>
      </w:r>
      <w:r w:rsidR="00887F3C" w:rsidRPr="006E197D">
        <w:rPr>
          <w:color w:val="000000" w:themeColor="text1"/>
        </w:rPr>
        <w:t>produce LA above 99% purity</w:t>
      </w:r>
      <w:r w:rsidR="00EC66C8" w:rsidRPr="006E197D">
        <w:rPr>
          <w:color w:val="000000" w:themeColor="text1"/>
        </w:rPr>
        <w:t>.</w:t>
      </w:r>
      <w:r w:rsidR="008D7DAD">
        <w:rPr>
          <w:color w:val="000000" w:themeColor="text1"/>
        </w:rPr>
        <w:t xml:space="preserve"> </w:t>
      </w:r>
      <w:r w:rsidR="006E197D" w:rsidRPr="006E197D">
        <w:rPr>
          <w:color w:val="000000" w:themeColor="text1"/>
        </w:rPr>
        <w:t>As a secondary objective formic acid was produced at high concentrations</w:t>
      </w:r>
      <w:r w:rsidR="006E197D">
        <w:rPr>
          <w:color w:val="000000" w:themeColor="text1"/>
        </w:rPr>
        <w:t xml:space="preserve"> (about 95 wt</w:t>
      </w:r>
      <w:r w:rsidR="008D7DAD">
        <w:rPr>
          <w:color w:val="000000" w:themeColor="text1"/>
        </w:rPr>
        <w:t xml:space="preserve"> </w:t>
      </w:r>
      <w:r w:rsidR="006E197D">
        <w:rPr>
          <w:color w:val="000000" w:themeColor="text1"/>
        </w:rPr>
        <w:t>%)</w:t>
      </w:r>
      <w:r w:rsidR="008D7DAD">
        <w:rPr>
          <w:color w:val="000000" w:themeColor="text1"/>
        </w:rPr>
        <w:t xml:space="preserve"> </w:t>
      </w:r>
      <w:r w:rsidR="002E19DE">
        <w:rPr>
          <w:color w:val="000000" w:themeColor="text1"/>
        </w:rPr>
        <w:t>considering</w:t>
      </w:r>
      <w:r w:rsidR="006E197D" w:rsidRPr="006E197D">
        <w:rPr>
          <w:color w:val="000000" w:themeColor="text1"/>
        </w:rPr>
        <w:t xml:space="preserve"> a</w:t>
      </w:r>
      <w:r w:rsidR="002E19DE">
        <w:rPr>
          <w:color w:val="000000" w:themeColor="text1"/>
        </w:rPr>
        <w:t xml:space="preserve"> possible</w:t>
      </w:r>
      <w:r w:rsidR="008D7DAD">
        <w:rPr>
          <w:color w:val="000000" w:themeColor="text1"/>
        </w:rPr>
        <w:t xml:space="preserve"> </w:t>
      </w:r>
      <w:r w:rsidR="002E19DE">
        <w:rPr>
          <w:color w:val="000000" w:themeColor="text1"/>
        </w:rPr>
        <w:t>increase in</w:t>
      </w:r>
      <w:r w:rsidR="006E197D" w:rsidRPr="006E197D">
        <w:rPr>
          <w:color w:val="000000" w:themeColor="text1"/>
        </w:rPr>
        <w:t xml:space="preserve"> the plant</w:t>
      </w:r>
      <w:r w:rsidR="002E19DE">
        <w:rPr>
          <w:color w:val="000000" w:themeColor="text1"/>
        </w:rPr>
        <w:t xml:space="preserve"> profitability</w:t>
      </w:r>
      <w:r w:rsidR="006E197D">
        <w:rPr>
          <w:color w:val="000000" w:themeColor="text1"/>
        </w:rPr>
        <w:t>.</w:t>
      </w:r>
      <w:r w:rsidR="008D7DAD">
        <w:rPr>
          <w:color w:val="000000" w:themeColor="text1"/>
        </w:rPr>
        <w:t xml:space="preserve"> </w:t>
      </w:r>
      <w:r w:rsidR="0020286B" w:rsidRPr="0020286B">
        <w:rPr>
          <w:color w:val="000000" w:themeColor="text1"/>
        </w:rPr>
        <w:t>Generally speaking this study is relevant because there is a lack of knowledge about the great potential of the use of levulinic acid</w:t>
      </w:r>
      <w:r w:rsidR="004B5097" w:rsidRPr="004B5097">
        <w:rPr>
          <w:color w:val="000000" w:themeColor="text1"/>
        </w:rPr>
        <w:t xml:space="preserve"> as well as studies directed to its production in large scale. The conceptual idea of this work is to show some structural results based on what is currently presented by industry worldwide.</w:t>
      </w:r>
    </w:p>
    <w:p w:rsidR="00B739C2" w:rsidRPr="00B739C2" w:rsidRDefault="00B739C2" w:rsidP="00B739C2">
      <w:pPr>
        <w:pStyle w:val="CETHeading1"/>
        <w:rPr>
          <w:rFonts w:eastAsia="SimSun" w:cs="Arial"/>
          <w:bCs/>
          <w:iCs/>
          <w:color w:val="000000" w:themeColor="text1"/>
          <w:sz w:val="18"/>
          <w:szCs w:val="18"/>
          <w:lang w:eastAsia="pt-BR"/>
        </w:rPr>
      </w:pPr>
      <w:r w:rsidRPr="00B739C2">
        <w:rPr>
          <w:color w:val="000000" w:themeColor="text1"/>
        </w:rPr>
        <w:t xml:space="preserve">Description of Simulation of a Levulinic Acid (LA) </w:t>
      </w:r>
      <w:r w:rsidR="00B77053">
        <w:rPr>
          <w:color w:val="000000" w:themeColor="text1"/>
        </w:rPr>
        <w:t>c</w:t>
      </w:r>
      <w:r w:rsidRPr="00B739C2">
        <w:rPr>
          <w:color w:val="000000" w:themeColor="text1"/>
        </w:rPr>
        <w:t>om</w:t>
      </w:r>
      <w:r w:rsidR="00B77053">
        <w:rPr>
          <w:color w:val="000000" w:themeColor="text1"/>
        </w:rPr>
        <w:t>m</w:t>
      </w:r>
      <w:r w:rsidRPr="00B739C2">
        <w:rPr>
          <w:color w:val="000000" w:themeColor="text1"/>
        </w:rPr>
        <w:t>ercial scale</w:t>
      </w:r>
      <w:r w:rsidR="00B77053" w:rsidRPr="00B739C2">
        <w:rPr>
          <w:color w:val="000000" w:themeColor="text1"/>
        </w:rPr>
        <w:t>plant</w:t>
      </w:r>
      <w:r w:rsidRPr="00B739C2">
        <w:rPr>
          <w:color w:val="000000" w:themeColor="text1"/>
        </w:rPr>
        <w:t xml:space="preserve"> using ASPEN PLUS</w:t>
      </w:r>
      <w:r w:rsidRPr="0020286B">
        <w:rPr>
          <w:color w:val="000000" w:themeColor="text1"/>
          <w:vertAlign w:val="superscript"/>
        </w:rPr>
        <w:t>®</w:t>
      </w:r>
      <w:r w:rsidRPr="00B739C2">
        <w:rPr>
          <w:color w:val="000000" w:themeColor="text1"/>
        </w:rPr>
        <w:t xml:space="preserve"> V.7.3 software</w:t>
      </w:r>
    </w:p>
    <w:p w:rsidR="00B739C2" w:rsidRPr="00B739C2" w:rsidRDefault="00B739C2" w:rsidP="00B739C2">
      <w:pPr>
        <w:pStyle w:val="CETBodytext"/>
        <w:rPr>
          <w:szCs w:val="18"/>
        </w:rPr>
      </w:pPr>
      <w:r w:rsidRPr="00B739C2">
        <w:rPr>
          <w:szCs w:val="18"/>
        </w:rPr>
        <w:t>T</w:t>
      </w:r>
      <w:r w:rsidR="0020286B">
        <w:rPr>
          <w:szCs w:val="18"/>
        </w:rPr>
        <w:t>he material and energy balances</w:t>
      </w:r>
      <w:r w:rsidRPr="00B739C2">
        <w:rPr>
          <w:szCs w:val="18"/>
        </w:rPr>
        <w:t xml:space="preserve"> as well as flow rate information of LA </w:t>
      </w:r>
      <w:r w:rsidR="005E5DFD">
        <w:rPr>
          <w:szCs w:val="18"/>
        </w:rPr>
        <w:t xml:space="preserve">production </w:t>
      </w:r>
      <w:r w:rsidRPr="00B739C2">
        <w:rPr>
          <w:szCs w:val="18"/>
        </w:rPr>
        <w:t xml:space="preserve">process </w:t>
      </w:r>
      <w:r w:rsidR="003A2D3B">
        <w:rPr>
          <w:szCs w:val="18"/>
        </w:rPr>
        <w:t>were</w:t>
      </w:r>
      <w:r w:rsidR="0020286B">
        <w:rPr>
          <w:szCs w:val="18"/>
        </w:rPr>
        <w:t xml:space="preserve"> </w:t>
      </w:r>
      <w:r w:rsidRPr="00B739C2">
        <w:rPr>
          <w:szCs w:val="18"/>
        </w:rPr>
        <w:t>generated using Aspen Plus process simulation software packages. The overall flowsheet of LA process is shown in Figure 1 (the picture was divided in</w:t>
      </w:r>
      <w:r w:rsidR="00BA2CFC">
        <w:rPr>
          <w:szCs w:val="18"/>
        </w:rPr>
        <w:t>to</w:t>
      </w:r>
      <w:r w:rsidRPr="00B739C2">
        <w:rPr>
          <w:szCs w:val="18"/>
        </w:rPr>
        <w:t xml:space="preserve"> two</w:t>
      </w:r>
      <w:r w:rsidR="00BA2CFC">
        <w:rPr>
          <w:szCs w:val="18"/>
        </w:rPr>
        <w:t xml:space="preserve"> parts</w:t>
      </w:r>
      <w:r w:rsidRPr="00B739C2">
        <w:rPr>
          <w:szCs w:val="18"/>
        </w:rPr>
        <w:t xml:space="preserve"> to improve the understanding of the process) an</w:t>
      </w:r>
      <w:r w:rsidR="00B77053">
        <w:rPr>
          <w:szCs w:val="18"/>
        </w:rPr>
        <w:t>d</w:t>
      </w:r>
      <w:r w:rsidRPr="00B739C2">
        <w:rPr>
          <w:szCs w:val="18"/>
        </w:rPr>
        <w:t xml:space="preserve"> was based on Gaudereto et al. (2017) assumptions and simulations.</w:t>
      </w:r>
    </w:p>
    <w:p w:rsidR="00DB1907" w:rsidRDefault="00B739C2" w:rsidP="009A1400">
      <w:pPr>
        <w:pStyle w:val="CETBodytext"/>
        <w:rPr>
          <w:szCs w:val="18"/>
        </w:rPr>
      </w:pPr>
      <w:r w:rsidRPr="00B739C2">
        <w:rPr>
          <w:szCs w:val="18"/>
        </w:rPr>
        <w:t xml:space="preserve">Basically, the simulation </w:t>
      </w:r>
      <w:r w:rsidR="00BA2CFC">
        <w:rPr>
          <w:szCs w:val="18"/>
        </w:rPr>
        <w:t>has</w:t>
      </w:r>
      <w:r w:rsidR="00F7575A">
        <w:rPr>
          <w:szCs w:val="18"/>
        </w:rPr>
        <w:t xml:space="preserve"> </w:t>
      </w:r>
      <w:r w:rsidR="00B77053">
        <w:rPr>
          <w:szCs w:val="18"/>
        </w:rPr>
        <w:t xml:space="preserve">a </w:t>
      </w:r>
      <w:r w:rsidRPr="00B739C2">
        <w:rPr>
          <w:szCs w:val="18"/>
        </w:rPr>
        <w:t>sugarcane bagasse</w:t>
      </w:r>
      <w:r w:rsidR="00B77053">
        <w:rPr>
          <w:szCs w:val="18"/>
        </w:rPr>
        <w:t xml:space="preserve"> feed</w:t>
      </w:r>
      <w:r w:rsidRPr="00B739C2">
        <w:rPr>
          <w:szCs w:val="18"/>
        </w:rPr>
        <w:t xml:space="preserve"> (</w:t>
      </w:r>
      <w:r w:rsidR="00BA2CFC" w:rsidRPr="00B739C2">
        <w:rPr>
          <w:szCs w:val="18"/>
        </w:rPr>
        <w:t>secondary biomass</w:t>
      </w:r>
      <w:r w:rsidR="00F7575A">
        <w:rPr>
          <w:szCs w:val="18"/>
        </w:rPr>
        <w:t xml:space="preserve"> </w:t>
      </w:r>
      <w:r w:rsidR="00BA2CFC">
        <w:rPr>
          <w:szCs w:val="18"/>
        </w:rPr>
        <w:t xml:space="preserve">of </w:t>
      </w:r>
      <w:r w:rsidR="00BA2CFC" w:rsidRPr="00B739C2">
        <w:rPr>
          <w:szCs w:val="18"/>
        </w:rPr>
        <w:t>sugar extraction</w:t>
      </w:r>
      <w:r w:rsidR="00F7575A">
        <w:rPr>
          <w:szCs w:val="18"/>
        </w:rPr>
        <w:t xml:space="preserve"> </w:t>
      </w:r>
      <w:r w:rsidR="00BA2CFC">
        <w:rPr>
          <w:szCs w:val="18"/>
        </w:rPr>
        <w:t>from</w:t>
      </w:r>
      <w:r w:rsidR="00F7575A">
        <w:rPr>
          <w:szCs w:val="18"/>
        </w:rPr>
        <w:t xml:space="preserve"> </w:t>
      </w:r>
      <w:r w:rsidRPr="00B739C2">
        <w:rPr>
          <w:szCs w:val="18"/>
        </w:rPr>
        <w:t xml:space="preserve">sugarcane) as </w:t>
      </w:r>
      <w:r w:rsidR="00B77053">
        <w:rPr>
          <w:szCs w:val="18"/>
        </w:rPr>
        <w:t>its</w:t>
      </w:r>
      <w:r w:rsidR="00F7575A">
        <w:rPr>
          <w:szCs w:val="18"/>
        </w:rPr>
        <w:t xml:space="preserve"> </w:t>
      </w:r>
      <w:r w:rsidRPr="00B739C2">
        <w:rPr>
          <w:szCs w:val="18"/>
        </w:rPr>
        <w:t xml:space="preserve">raw material, and water which was heated and pressurized </w:t>
      </w:r>
      <w:r w:rsidR="00BA2CFC">
        <w:rPr>
          <w:szCs w:val="18"/>
        </w:rPr>
        <w:t>to</w:t>
      </w:r>
      <w:r w:rsidRPr="00B739C2">
        <w:rPr>
          <w:szCs w:val="18"/>
        </w:rPr>
        <w:t xml:space="preserve">150 ºC and 8,6 bar to then be introduced into a </w:t>
      </w:r>
      <w:r w:rsidR="006A7B8C">
        <w:rPr>
          <w:szCs w:val="18"/>
        </w:rPr>
        <w:t>CSTR</w:t>
      </w:r>
      <w:r w:rsidR="00F7575A">
        <w:rPr>
          <w:szCs w:val="18"/>
        </w:rPr>
        <w:t xml:space="preserve"> </w:t>
      </w:r>
      <w:r w:rsidRPr="00B739C2">
        <w:rPr>
          <w:szCs w:val="18"/>
        </w:rPr>
        <w:t xml:space="preserve">reactor where the </w:t>
      </w:r>
      <w:r w:rsidR="00BA2CFC">
        <w:rPr>
          <w:szCs w:val="18"/>
        </w:rPr>
        <w:t>reactio</w:t>
      </w:r>
      <w:r w:rsidRPr="00B739C2">
        <w:rPr>
          <w:szCs w:val="18"/>
        </w:rPr>
        <w:t>ns effectively take place. In was added the catalyst</w:t>
      </w:r>
      <w:r w:rsidR="00F7575A">
        <w:rPr>
          <w:szCs w:val="18"/>
        </w:rPr>
        <w:t xml:space="preserve"> in </w:t>
      </w:r>
      <w:r w:rsidR="00F7575A" w:rsidRPr="00B739C2">
        <w:rPr>
          <w:szCs w:val="18"/>
        </w:rPr>
        <w:t xml:space="preserve">the </w:t>
      </w:r>
      <w:r w:rsidR="00F7575A">
        <w:rPr>
          <w:szCs w:val="18"/>
        </w:rPr>
        <w:t xml:space="preserve">CSTR </w:t>
      </w:r>
      <w:r w:rsidR="00F7575A" w:rsidRPr="00B739C2">
        <w:rPr>
          <w:szCs w:val="18"/>
        </w:rPr>
        <w:t>reactor</w:t>
      </w:r>
      <w:r w:rsidRPr="00B739C2">
        <w:rPr>
          <w:szCs w:val="18"/>
        </w:rPr>
        <w:t xml:space="preserve"> w</w:t>
      </w:r>
      <w:r w:rsidR="006A7B8C">
        <w:rPr>
          <w:szCs w:val="18"/>
        </w:rPr>
        <w:t>h</w:t>
      </w:r>
      <w:r w:rsidRPr="00B739C2">
        <w:rPr>
          <w:szCs w:val="18"/>
        </w:rPr>
        <w:t>ich consisted in sulfuric acid (H</w:t>
      </w:r>
      <w:r w:rsidRPr="00DB1907">
        <w:rPr>
          <w:szCs w:val="18"/>
          <w:vertAlign w:val="subscript"/>
        </w:rPr>
        <w:t>2</w:t>
      </w:r>
      <w:r w:rsidRPr="00B739C2">
        <w:rPr>
          <w:szCs w:val="18"/>
        </w:rPr>
        <w:t>SO</w:t>
      </w:r>
      <w:r w:rsidRPr="00DB1907">
        <w:rPr>
          <w:szCs w:val="18"/>
          <w:vertAlign w:val="subscript"/>
        </w:rPr>
        <w:t>4</w:t>
      </w:r>
      <w:r w:rsidRPr="00B739C2">
        <w:rPr>
          <w:szCs w:val="18"/>
        </w:rPr>
        <w:t xml:space="preserve">) at the same pressure and temperature </w:t>
      </w:r>
      <w:r w:rsidR="006A7B8C">
        <w:rPr>
          <w:szCs w:val="18"/>
        </w:rPr>
        <w:t>of water stream</w:t>
      </w:r>
      <w:r w:rsidRPr="00B739C2">
        <w:rPr>
          <w:szCs w:val="18"/>
        </w:rPr>
        <w:t xml:space="preserve">. The </w:t>
      </w:r>
      <w:r w:rsidR="00F7575A">
        <w:rPr>
          <w:szCs w:val="18"/>
        </w:rPr>
        <w:t>purpose</w:t>
      </w:r>
      <w:r w:rsidRPr="00B739C2">
        <w:rPr>
          <w:szCs w:val="18"/>
        </w:rPr>
        <w:t xml:space="preserve"> of the acid </w:t>
      </w:r>
      <w:r w:rsidR="00F7575A">
        <w:rPr>
          <w:szCs w:val="18"/>
        </w:rPr>
        <w:t>is t</w:t>
      </w:r>
      <w:r w:rsidRPr="00B739C2">
        <w:rPr>
          <w:szCs w:val="18"/>
        </w:rPr>
        <w:t>o hydrolyze polysaccharides in sugar monomers in order to convert the monosaccharides to levulinic acid</w:t>
      </w:r>
      <w:r w:rsidR="00F7575A">
        <w:rPr>
          <w:szCs w:val="18"/>
        </w:rPr>
        <w:t xml:space="preserve"> </w:t>
      </w:r>
      <w:r w:rsidR="00F7575A" w:rsidRPr="00B739C2">
        <w:rPr>
          <w:szCs w:val="18"/>
        </w:rPr>
        <w:t>subsequently</w:t>
      </w:r>
      <w:r w:rsidRPr="00B739C2">
        <w:rPr>
          <w:szCs w:val="18"/>
        </w:rPr>
        <w:t xml:space="preserve">. </w:t>
      </w:r>
      <w:r w:rsidR="006A7B8C">
        <w:rPr>
          <w:szCs w:val="18"/>
        </w:rPr>
        <w:t>C</w:t>
      </w:r>
      <w:r w:rsidRPr="00B739C2">
        <w:rPr>
          <w:szCs w:val="18"/>
        </w:rPr>
        <w:t>ellulose</w:t>
      </w:r>
      <w:r w:rsidR="00F7575A">
        <w:rPr>
          <w:szCs w:val="18"/>
        </w:rPr>
        <w:t xml:space="preserve"> </w:t>
      </w:r>
      <w:r w:rsidR="00F7575A" w:rsidRPr="00B739C2">
        <w:rPr>
          <w:szCs w:val="18"/>
        </w:rPr>
        <w:t>conversion</w:t>
      </w:r>
      <w:r w:rsidR="00F7575A">
        <w:rPr>
          <w:szCs w:val="18"/>
        </w:rPr>
        <w:t xml:space="preserve"> </w:t>
      </w:r>
      <w:r w:rsidR="00F7575A" w:rsidRPr="00B739C2">
        <w:rPr>
          <w:szCs w:val="18"/>
        </w:rPr>
        <w:t>in the reactor</w:t>
      </w:r>
      <w:r w:rsidR="00F7575A">
        <w:rPr>
          <w:szCs w:val="18"/>
        </w:rPr>
        <w:t xml:space="preserve"> </w:t>
      </w:r>
      <w:r w:rsidR="0093443E">
        <w:rPr>
          <w:szCs w:val="18"/>
        </w:rPr>
        <w:t>was</w:t>
      </w:r>
      <w:r w:rsidRPr="00B739C2">
        <w:rPr>
          <w:szCs w:val="18"/>
        </w:rPr>
        <w:t xml:space="preserve"> obtained</w:t>
      </w:r>
      <w:r w:rsidR="006A7B8C">
        <w:rPr>
          <w:szCs w:val="18"/>
        </w:rPr>
        <w:t xml:space="preserve"> with</w:t>
      </w:r>
      <w:r w:rsidRPr="00B739C2">
        <w:rPr>
          <w:szCs w:val="18"/>
        </w:rPr>
        <w:t xml:space="preserve"> 98 mol %, </w:t>
      </w:r>
      <w:r w:rsidR="00BA2CFC">
        <w:rPr>
          <w:szCs w:val="18"/>
        </w:rPr>
        <w:t>and</w:t>
      </w:r>
      <w:r w:rsidR="00F7575A">
        <w:rPr>
          <w:szCs w:val="18"/>
        </w:rPr>
        <w:t xml:space="preserve"> </w:t>
      </w:r>
      <w:r w:rsidRPr="00B739C2">
        <w:rPr>
          <w:szCs w:val="18"/>
        </w:rPr>
        <w:t xml:space="preserve">the yields of levulinic acid (LA) and formic acid (FA) </w:t>
      </w:r>
      <w:r w:rsidR="0093443E">
        <w:rPr>
          <w:szCs w:val="18"/>
        </w:rPr>
        <w:t>were</w:t>
      </w:r>
      <w:r w:rsidR="00F7575A">
        <w:rPr>
          <w:szCs w:val="18"/>
        </w:rPr>
        <w:t xml:space="preserve"> </w:t>
      </w:r>
      <w:r w:rsidRPr="00B739C2">
        <w:rPr>
          <w:szCs w:val="18"/>
        </w:rPr>
        <w:t>0.56</w:t>
      </w:r>
      <w:r w:rsidR="003A2D3B">
        <w:rPr>
          <w:szCs w:val="18"/>
        </w:rPr>
        <w:t xml:space="preserve"> and</w:t>
      </w:r>
      <w:r w:rsidR="00F7575A">
        <w:rPr>
          <w:szCs w:val="18"/>
        </w:rPr>
        <w:t xml:space="preserve"> </w:t>
      </w:r>
      <w:r w:rsidRPr="00B739C2">
        <w:rPr>
          <w:szCs w:val="18"/>
        </w:rPr>
        <w:t>0.54 mol/(mol cel</w:t>
      </w:r>
      <w:r w:rsidR="003A2D3B">
        <w:rPr>
          <w:szCs w:val="18"/>
        </w:rPr>
        <w:t>l</w:t>
      </w:r>
      <w:r w:rsidRPr="00B739C2">
        <w:rPr>
          <w:szCs w:val="18"/>
        </w:rPr>
        <w:t>ulose), respectively. In this study, to simplify the convergence, the sugarcane bagasse was approximate having only cellulose. Furthermore, another important specification was towards the sulfuric acid</w:t>
      </w:r>
      <w:r w:rsidR="00F7575A">
        <w:rPr>
          <w:szCs w:val="18"/>
        </w:rPr>
        <w:t>, which was</w:t>
      </w:r>
      <w:r w:rsidRPr="00B739C2">
        <w:rPr>
          <w:szCs w:val="18"/>
        </w:rPr>
        <w:t xml:space="preserve"> conducted and diluted along the process to present a concentration no higher than 50 wt %. </w:t>
      </w:r>
    </w:p>
    <w:p w:rsidR="001918F0" w:rsidRPr="001918F0" w:rsidRDefault="001918F0" w:rsidP="009A1400">
      <w:pPr>
        <w:pStyle w:val="CETBodytext"/>
        <w:rPr>
          <w:szCs w:val="18"/>
        </w:rPr>
      </w:pPr>
      <w:r w:rsidRPr="001918F0">
        <w:rPr>
          <w:szCs w:val="18"/>
        </w:rPr>
        <w:t xml:space="preserve">After </w:t>
      </w:r>
      <w:r w:rsidR="00DD31BC" w:rsidRPr="001918F0">
        <w:rPr>
          <w:szCs w:val="18"/>
        </w:rPr>
        <w:t>leav</w:t>
      </w:r>
      <w:r w:rsidR="00DD31BC">
        <w:rPr>
          <w:szCs w:val="18"/>
        </w:rPr>
        <w:t>ing</w:t>
      </w:r>
      <w:r w:rsidR="00822D73">
        <w:rPr>
          <w:szCs w:val="18"/>
        </w:rPr>
        <w:t xml:space="preserve"> </w:t>
      </w:r>
      <w:r w:rsidRPr="001918F0">
        <w:rPr>
          <w:szCs w:val="18"/>
        </w:rPr>
        <w:t>the reactor</w:t>
      </w:r>
      <w:r w:rsidR="00045C83">
        <w:rPr>
          <w:szCs w:val="18"/>
        </w:rPr>
        <w:t>,</w:t>
      </w:r>
      <w:r w:rsidRPr="001918F0">
        <w:rPr>
          <w:szCs w:val="18"/>
        </w:rPr>
        <w:t xml:space="preserve"> the mixture flow </w:t>
      </w:r>
      <w:r w:rsidR="00045C83">
        <w:rPr>
          <w:szCs w:val="18"/>
        </w:rPr>
        <w:t>which carries</w:t>
      </w:r>
      <w:r w:rsidR="00DD31BC">
        <w:rPr>
          <w:szCs w:val="18"/>
        </w:rPr>
        <w:t xml:space="preserve"> the</w:t>
      </w:r>
      <w:r w:rsidR="00BE79FA">
        <w:rPr>
          <w:szCs w:val="18"/>
        </w:rPr>
        <w:t xml:space="preserve"> </w:t>
      </w:r>
      <w:r w:rsidRPr="001918F0">
        <w:rPr>
          <w:szCs w:val="18"/>
        </w:rPr>
        <w:t xml:space="preserve">levulinic acid </w:t>
      </w:r>
      <w:r w:rsidR="00DD31BC">
        <w:rPr>
          <w:szCs w:val="18"/>
        </w:rPr>
        <w:t>was</w:t>
      </w:r>
      <w:r w:rsidRPr="001918F0">
        <w:rPr>
          <w:szCs w:val="18"/>
        </w:rPr>
        <w:t xml:space="preserve"> intended to be separated and concentrated as much as possible. </w:t>
      </w:r>
      <w:r w:rsidR="00834A20">
        <w:rPr>
          <w:szCs w:val="18"/>
        </w:rPr>
        <w:t>T</w:t>
      </w:r>
      <w:r w:rsidR="00834A20" w:rsidRPr="001918F0">
        <w:rPr>
          <w:szCs w:val="18"/>
        </w:rPr>
        <w:t xml:space="preserve">he first step </w:t>
      </w:r>
      <w:r w:rsidR="00834A20">
        <w:rPr>
          <w:szCs w:val="18"/>
        </w:rPr>
        <w:t>t</w:t>
      </w:r>
      <w:r w:rsidRPr="001918F0">
        <w:rPr>
          <w:szCs w:val="18"/>
        </w:rPr>
        <w:t xml:space="preserve">o perform </w:t>
      </w:r>
      <w:r w:rsidR="0093443E">
        <w:rPr>
          <w:szCs w:val="18"/>
        </w:rPr>
        <w:t>this operation</w:t>
      </w:r>
      <w:r w:rsidRPr="001918F0">
        <w:rPr>
          <w:szCs w:val="18"/>
        </w:rPr>
        <w:t xml:space="preserve"> was removing the solids present in </w:t>
      </w:r>
      <w:r w:rsidRPr="001918F0">
        <w:rPr>
          <w:szCs w:val="18"/>
        </w:rPr>
        <w:lastRenderedPageBreak/>
        <w:t xml:space="preserve">this </w:t>
      </w:r>
      <w:r w:rsidR="00DD31BC">
        <w:rPr>
          <w:szCs w:val="18"/>
        </w:rPr>
        <w:t>stream</w:t>
      </w:r>
      <w:r w:rsidRPr="001918F0">
        <w:rPr>
          <w:szCs w:val="18"/>
        </w:rPr>
        <w:t>, which</w:t>
      </w:r>
      <w:r w:rsidR="00DD31BC">
        <w:rPr>
          <w:szCs w:val="18"/>
        </w:rPr>
        <w:t xml:space="preserve"> were</w:t>
      </w:r>
      <w:r w:rsidR="00BE79FA">
        <w:rPr>
          <w:szCs w:val="18"/>
        </w:rPr>
        <w:t>,</w:t>
      </w:r>
      <w:r w:rsidRPr="001918F0">
        <w:rPr>
          <w:szCs w:val="18"/>
        </w:rPr>
        <w:t xml:space="preserve"> in this case</w:t>
      </w:r>
      <w:r w:rsidR="00045C83">
        <w:rPr>
          <w:szCs w:val="18"/>
        </w:rPr>
        <w:t>,</w:t>
      </w:r>
      <w:r w:rsidR="00BE79FA">
        <w:rPr>
          <w:szCs w:val="18"/>
        </w:rPr>
        <w:t xml:space="preserve"> </w:t>
      </w:r>
      <w:r w:rsidR="00DD31BC" w:rsidRPr="001918F0">
        <w:rPr>
          <w:szCs w:val="18"/>
        </w:rPr>
        <w:t>unreacted</w:t>
      </w:r>
      <w:r w:rsidR="00BE79FA">
        <w:rPr>
          <w:szCs w:val="18"/>
        </w:rPr>
        <w:t xml:space="preserve"> </w:t>
      </w:r>
      <w:r w:rsidRPr="001918F0">
        <w:rPr>
          <w:szCs w:val="18"/>
        </w:rPr>
        <w:t xml:space="preserve">cellulose and HMF. For this </w:t>
      </w:r>
      <w:r w:rsidR="00DD31BC" w:rsidRPr="001918F0">
        <w:rPr>
          <w:szCs w:val="18"/>
        </w:rPr>
        <w:t>reason,</w:t>
      </w:r>
      <w:r w:rsidRPr="001918F0">
        <w:rPr>
          <w:szCs w:val="18"/>
        </w:rPr>
        <w:t xml:space="preserve"> a filter</w:t>
      </w:r>
      <w:r w:rsidR="00BE79FA">
        <w:rPr>
          <w:szCs w:val="18"/>
        </w:rPr>
        <w:t xml:space="preserve"> </w:t>
      </w:r>
      <w:r w:rsidR="00045C83" w:rsidRPr="001918F0">
        <w:rPr>
          <w:szCs w:val="18"/>
        </w:rPr>
        <w:t xml:space="preserve">(B1) </w:t>
      </w:r>
      <w:r w:rsidRPr="001918F0">
        <w:rPr>
          <w:szCs w:val="18"/>
        </w:rPr>
        <w:t xml:space="preserve">was used to perform this initial separation and then the LA concentration process was carried out by a series of distillation columns. </w:t>
      </w:r>
      <w:r w:rsidR="00BE79FA" w:rsidRPr="00BE79FA">
        <w:rPr>
          <w:szCs w:val="18"/>
        </w:rPr>
        <w:t xml:space="preserve">The first distillation column (B2) was used to separate sulfuric acid from the main flow entering in the column. </w:t>
      </w:r>
      <w:r w:rsidRPr="001918F0">
        <w:rPr>
          <w:szCs w:val="18"/>
        </w:rPr>
        <w:t xml:space="preserve">The </w:t>
      </w:r>
      <w:r w:rsidR="00045C83">
        <w:rPr>
          <w:szCs w:val="18"/>
        </w:rPr>
        <w:t>stream</w:t>
      </w:r>
      <w:r w:rsidR="00BE79FA">
        <w:rPr>
          <w:szCs w:val="18"/>
        </w:rPr>
        <w:t xml:space="preserve"> </w:t>
      </w:r>
      <w:r w:rsidR="00045C83">
        <w:rPr>
          <w:szCs w:val="18"/>
        </w:rPr>
        <w:t>containing</w:t>
      </w:r>
      <w:r w:rsidRPr="001918F0">
        <w:rPr>
          <w:szCs w:val="18"/>
        </w:rPr>
        <w:t xml:space="preserve"> mostly acid </w:t>
      </w:r>
      <w:r w:rsidR="00045C83">
        <w:rPr>
          <w:szCs w:val="18"/>
        </w:rPr>
        <w:t>was then</w:t>
      </w:r>
      <w:r w:rsidR="0093429E">
        <w:rPr>
          <w:szCs w:val="18"/>
        </w:rPr>
        <w:t xml:space="preserve"> directed</w:t>
      </w:r>
      <w:r w:rsidR="00BE79FA">
        <w:rPr>
          <w:szCs w:val="18"/>
        </w:rPr>
        <w:t xml:space="preserve"> </w:t>
      </w:r>
      <w:r w:rsidRPr="001918F0">
        <w:rPr>
          <w:szCs w:val="18"/>
        </w:rPr>
        <w:t xml:space="preserve">back </w:t>
      </w:r>
      <w:r w:rsidR="0093429E">
        <w:rPr>
          <w:szCs w:val="18"/>
        </w:rPr>
        <w:t>to</w:t>
      </w:r>
      <w:r w:rsidR="00BE79FA">
        <w:rPr>
          <w:szCs w:val="18"/>
        </w:rPr>
        <w:t xml:space="preserve"> </w:t>
      </w:r>
      <w:r w:rsidRPr="001918F0">
        <w:rPr>
          <w:szCs w:val="18"/>
        </w:rPr>
        <w:t xml:space="preserve">the beginning of the process after been cooled in </w:t>
      </w:r>
      <w:r w:rsidR="00BE79FA">
        <w:rPr>
          <w:szCs w:val="18"/>
        </w:rPr>
        <w:t>the</w:t>
      </w:r>
      <w:r w:rsidRPr="001918F0">
        <w:rPr>
          <w:szCs w:val="18"/>
        </w:rPr>
        <w:t xml:space="preserve"> mixer</w:t>
      </w:r>
      <w:r w:rsidR="00BE79FA">
        <w:rPr>
          <w:szCs w:val="18"/>
        </w:rPr>
        <w:t xml:space="preserve"> (</w:t>
      </w:r>
      <w:r w:rsidR="00BE79FA" w:rsidRPr="001918F0">
        <w:rPr>
          <w:szCs w:val="18"/>
        </w:rPr>
        <w:t>B5</w:t>
      </w:r>
      <w:r w:rsidR="00BE79FA">
        <w:rPr>
          <w:szCs w:val="18"/>
        </w:rPr>
        <w:t>)</w:t>
      </w:r>
      <w:r w:rsidRPr="001918F0">
        <w:rPr>
          <w:szCs w:val="18"/>
        </w:rPr>
        <w:t xml:space="preserve">. </w:t>
      </w:r>
      <w:r w:rsidR="00EA2B56" w:rsidRPr="00EA2B56">
        <w:rPr>
          <w:szCs w:val="18"/>
        </w:rPr>
        <w:t>In the second distillation column (B12) occurred the separation between levulinic acid and water which leaves the top of this column in stream 33. This water carries a significant amount of formic acid and</w:t>
      </w:r>
      <w:r w:rsidR="00834A20">
        <w:rPr>
          <w:szCs w:val="18"/>
        </w:rPr>
        <w:t xml:space="preserve"> </w:t>
      </w:r>
      <w:r w:rsidR="00EA2B56" w:rsidRPr="00EA2B56">
        <w:rPr>
          <w:szCs w:val="18"/>
        </w:rPr>
        <w:t>for this reason an alternative process using adsorption by activated charcoal was performed to recover it (formic acid from water).</w:t>
      </w:r>
      <w:r w:rsidR="00EA2B56">
        <w:rPr>
          <w:szCs w:val="18"/>
        </w:rPr>
        <w:t xml:space="preserve"> </w:t>
      </w:r>
      <w:r w:rsidR="00EA2B56" w:rsidRPr="00EA2B56">
        <w:rPr>
          <w:szCs w:val="18"/>
        </w:rPr>
        <w:t>The third distillation column (B14) acts concentrating the final mixture to a commercial purity level (99.6 % m/m) presenting a mass flow of 919.65 kg/h of such product in LEV-ACID stream.</w:t>
      </w:r>
      <w:r w:rsidR="00EA2B56">
        <w:rPr>
          <w:szCs w:val="18"/>
        </w:rPr>
        <w:t xml:space="preserve"> </w:t>
      </w:r>
      <w:r w:rsidRPr="001918F0">
        <w:rPr>
          <w:szCs w:val="18"/>
        </w:rPr>
        <w:t xml:space="preserve">On the other hand, the top product of the third column was </w:t>
      </w:r>
      <w:r w:rsidR="007B078E" w:rsidRPr="001918F0">
        <w:rPr>
          <w:szCs w:val="18"/>
        </w:rPr>
        <w:t>sen</w:t>
      </w:r>
      <w:r w:rsidR="007B078E">
        <w:rPr>
          <w:szCs w:val="18"/>
        </w:rPr>
        <w:t>t</w:t>
      </w:r>
      <w:r w:rsidR="00EA2B56">
        <w:rPr>
          <w:szCs w:val="18"/>
        </w:rPr>
        <w:t xml:space="preserve"> </w:t>
      </w:r>
      <w:r w:rsidRPr="001918F0">
        <w:rPr>
          <w:szCs w:val="18"/>
        </w:rPr>
        <w:t>back to the beginning of the process since a significant amount of levulinic acid is still there.</w:t>
      </w:r>
    </w:p>
    <w:p w:rsidR="001918F0" w:rsidRDefault="001918F0" w:rsidP="001918F0">
      <w:pPr>
        <w:pStyle w:val="CETBodytext"/>
        <w:rPr>
          <w:szCs w:val="18"/>
        </w:rPr>
      </w:pPr>
      <w:r w:rsidRPr="001918F0">
        <w:rPr>
          <w:szCs w:val="18"/>
        </w:rPr>
        <w:t xml:space="preserve">It </w:t>
      </w:r>
      <w:r w:rsidR="0093429E" w:rsidRPr="001918F0">
        <w:rPr>
          <w:szCs w:val="18"/>
        </w:rPr>
        <w:t>must</w:t>
      </w:r>
      <w:r w:rsidRPr="001918F0">
        <w:rPr>
          <w:szCs w:val="18"/>
        </w:rPr>
        <w:t xml:space="preserve"> be highlig</w:t>
      </w:r>
      <w:r w:rsidR="00EA2B56">
        <w:rPr>
          <w:szCs w:val="18"/>
        </w:rPr>
        <w:t>hted that pretty much nothing was</w:t>
      </w:r>
      <w:r w:rsidRPr="001918F0">
        <w:rPr>
          <w:szCs w:val="18"/>
        </w:rPr>
        <w:t xml:space="preserve"> </w:t>
      </w:r>
      <w:r w:rsidR="007B078E" w:rsidRPr="001918F0">
        <w:rPr>
          <w:szCs w:val="18"/>
        </w:rPr>
        <w:t>dispos</w:t>
      </w:r>
      <w:r w:rsidR="007B078E">
        <w:rPr>
          <w:szCs w:val="18"/>
        </w:rPr>
        <w:t>ed</w:t>
      </w:r>
      <w:r w:rsidR="00EA2B56">
        <w:rPr>
          <w:szCs w:val="18"/>
        </w:rPr>
        <w:t xml:space="preserve"> </w:t>
      </w:r>
      <w:r w:rsidR="007B078E">
        <w:rPr>
          <w:szCs w:val="18"/>
        </w:rPr>
        <w:t>along the</w:t>
      </w:r>
      <w:r w:rsidRPr="001918F0">
        <w:rPr>
          <w:szCs w:val="18"/>
        </w:rPr>
        <w:t xml:space="preserve"> process. Another important data was that the cel</w:t>
      </w:r>
      <w:r w:rsidR="0093429E">
        <w:rPr>
          <w:szCs w:val="18"/>
        </w:rPr>
        <w:t>l</w:t>
      </w:r>
      <w:r w:rsidRPr="001918F0">
        <w:rPr>
          <w:szCs w:val="18"/>
        </w:rPr>
        <w:t xml:space="preserve">ulose feed mass flow and the </w:t>
      </w:r>
      <w:r w:rsidRPr="001918F0">
        <w:rPr>
          <w:i/>
          <w:szCs w:val="18"/>
        </w:rPr>
        <w:t>make-up</w:t>
      </w:r>
      <w:r w:rsidRPr="001918F0">
        <w:rPr>
          <w:szCs w:val="18"/>
        </w:rPr>
        <w:t xml:space="preserve"> sulfuric acid feed flow was, respectively:  2425 Kg/h and 16 kg/h.</w:t>
      </w:r>
    </w:p>
    <w:p w:rsidR="008435AA" w:rsidRDefault="00303AA1" w:rsidP="00AA580D">
      <w:pPr>
        <w:pStyle w:val="CETBodytext"/>
        <w:jc w:val="left"/>
        <w:rPr>
          <w:color w:val="FF0000"/>
          <w:lang w:val="pt-BR"/>
        </w:rPr>
      </w:pPr>
      <w:r>
        <w:rPr>
          <w:noProof/>
          <w:color w:val="FF0000"/>
          <w:lang w:val="pt-BR"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81.9pt;margin-top:88.9pt;width:25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" fillcolor="black [3213]"/>
        </w:pict>
      </w:r>
      <w:r>
        <w:rPr>
          <w:noProof/>
          <w:color w:val="FF0000"/>
          <w:lang w:val="pt-BR" w:eastAsia="pt-BR"/>
        </w:rPr>
        <w:pict>
          <v:shape id="AutoShape 4" o:spid="_x0000_s1028" type="#_x0000_t13" style="position:absolute;margin-left:.45pt;margin-top:268.05pt;width:25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" fillcolor="black [3213]"/>
        </w:pict>
      </w:r>
      <w:r>
        <w:rPr>
          <w:noProof/>
          <w:color w:val="FF0000"/>
          <w:lang w:val="pt-BR"/>
        </w:rPr>
        <w:pict>
          <v:shapetype id="_x0000_t202" coordsize="21600,21600" o:spt="202" path="m,l,21600r21600,l21600,xe">
            <v:stroke joinstyle="miter"/>
            <v:path gradientshapeok="t" o:connecttype="rect"/>
          </v:shapetype>
          <v:shape id="Text Box 2" o:spid="_x0000_s1027" type="#_x0000_t202" style="position:absolute;margin-left:379.7pt;margin-top:49.55pt;width:86.75pt;height:70.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" fillcolor="white [3212]" stroked="f">
            <v:textbox>
              <w:txbxContent>
                <w:p w:rsidR="00D948FB" w:rsidRDefault="00D948FB">
                  <w:pPr>
                    <w:rPr>
                      <w:lang w:val="pt-BR"/>
                    </w:rPr>
                  </w:pPr>
                </w:p>
              </w:txbxContent>
            </v:textbox>
          </v:shape>
        </w:pict>
      </w:r>
      <w:r w:rsidR="00D95A09">
        <w:rPr>
          <w:noProof/>
          <w:color w:val="FF0000"/>
          <w:lang w:val="it-IT" w:eastAsia="it-IT"/>
        </w:rPr>
        <w:drawing>
          <wp:inline distT="0" distB="0" distL="0" distR="0">
            <wp:extent cx="4882134" cy="2500767"/>
            <wp:effectExtent l="19050" t="0" r="0" b="0"/>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882134" cy="2500767"/>
                    </a:xfrm>
                    <a:prstGeom prst="rect">
                      <a:avLst/>
                    </a:prstGeom>
                    <a:noFill/>
                    <a:ln w="9525">
                      <a:noFill/>
                      <a:miter lim="800000"/>
                      <a:headEnd/>
                      <a:tailEnd/>
                    </a:ln>
                  </pic:spPr>
                </pic:pic>
              </a:graphicData>
            </a:graphic>
          </wp:inline>
        </w:drawing>
      </w:r>
      <w:r w:rsidR="00D95A09">
        <w:rPr>
          <w:noProof/>
          <w:color w:val="FF0000"/>
          <w:lang w:val="it-IT" w:eastAsia="it-IT"/>
        </w:rPr>
        <w:drawing>
          <wp:inline distT="0" distB="0" distL="0" distR="0">
            <wp:extent cx="5536702" cy="2370124"/>
            <wp:effectExtent l="0" t="0" r="6985" b="0"/>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578896" cy="2388186"/>
                    </a:xfrm>
                    <a:prstGeom prst="rect">
                      <a:avLst/>
                    </a:prstGeom>
                    <a:noFill/>
                    <a:ln w="9525">
                      <a:noFill/>
                      <a:miter lim="800000"/>
                      <a:headEnd/>
                      <a:tailEnd/>
                    </a:ln>
                  </pic:spPr>
                </pic:pic>
              </a:graphicData>
            </a:graphic>
          </wp:inline>
        </w:drawing>
      </w:r>
    </w:p>
    <w:p w:rsidR="00834A20" w:rsidRPr="003B2364" w:rsidRDefault="00EC66C8" w:rsidP="0021423D">
      <w:pPr>
        <w:pStyle w:val="CETCaption"/>
      </w:pPr>
      <w:r>
        <w:t>Figure 1:</w:t>
      </w:r>
      <w:r w:rsidR="00EA2B56">
        <w:t xml:space="preserve"> </w:t>
      </w:r>
      <w:r>
        <w:t>Schematic</w:t>
      </w:r>
      <w:r w:rsidR="00EA2B56">
        <w:t xml:space="preserve"> </w:t>
      </w:r>
      <w:r w:rsidR="00A90448">
        <w:t>f</w:t>
      </w:r>
      <w:r w:rsidR="00F641FA" w:rsidRPr="007A7B2F">
        <w:t>lowsheet of</w:t>
      </w:r>
      <w:r w:rsidR="00F641FA">
        <w:t xml:space="preserve"> continuous</w:t>
      </w:r>
      <w:r w:rsidR="00EA2B56">
        <w:t xml:space="preserve"> </w:t>
      </w:r>
      <w:r w:rsidR="00514F6D">
        <w:t>levulinic acid manufacturing process</w:t>
      </w:r>
      <w:r w:rsidR="003B2364">
        <w:t>. Biomass, H</w:t>
      </w:r>
      <w:r w:rsidR="003B2364" w:rsidRPr="003B2364">
        <w:rPr>
          <w:vertAlign w:val="subscript"/>
        </w:rPr>
        <w:t>2</w:t>
      </w:r>
      <w:r w:rsidR="003B2364">
        <w:t>SO</w:t>
      </w:r>
      <w:r w:rsidR="003B2364" w:rsidRPr="003B2364">
        <w:rPr>
          <w:vertAlign w:val="subscript"/>
        </w:rPr>
        <w:t>4</w:t>
      </w:r>
      <w:r w:rsidR="003B2364">
        <w:t>, H</w:t>
      </w:r>
      <w:r w:rsidR="003B2364" w:rsidRPr="003B2364">
        <w:rPr>
          <w:vertAlign w:val="subscript"/>
        </w:rPr>
        <w:t>2</w:t>
      </w:r>
      <w:r w:rsidR="003B2364">
        <w:t>O streams are the raw materials and LEV-ACID and FOR-ACID are the streams products</w:t>
      </w:r>
      <w:r w:rsidR="00EA2B56">
        <w:t>.</w:t>
      </w:r>
      <w:r w:rsidR="003B2364">
        <w:t xml:space="preserve"> </w:t>
      </w:r>
      <w:r w:rsidR="00834A20" w:rsidRPr="00834A20">
        <w:t>At the top of the figure are the reactor and the recycle streams that return to the beginning of the process</w:t>
      </w:r>
      <w:r w:rsidR="00834A20">
        <w:t xml:space="preserve"> been B10 the reactor block</w:t>
      </w:r>
      <w:r w:rsidR="00834A20" w:rsidRPr="00834A20">
        <w:t>. In the lower part the steps of separating and obtaining the final product are presented.</w:t>
      </w:r>
      <w:r w:rsidR="00834A20">
        <w:t xml:space="preserve"> B12, B11 and B14 are the distillation columns.</w:t>
      </w:r>
    </w:p>
    <w:p w:rsidR="005212AC" w:rsidRDefault="005212AC" w:rsidP="000F73E0">
      <w:pPr>
        <w:pStyle w:val="CETBodytext"/>
        <w:tabs>
          <w:tab w:val="clear" w:pos="7100"/>
          <w:tab w:val="left" w:pos="3825"/>
        </w:tabs>
        <w:rPr>
          <w:b/>
          <w:szCs w:val="18"/>
        </w:rPr>
      </w:pPr>
    </w:p>
    <w:p w:rsidR="005F68F1" w:rsidRDefault="00514F6D" w:rsidP="001664C7">
      <w:pPr>
        <w:pStyle w:val="CETBodytext"/>
        <w:tabs>
          <w:tab w:val="clear" w:pos="7100"/>
          <w:tab w:val="left" w:pos="3825"/>
        </w:tabs>
        <w:rPr>
          <w:b/>
          <w:szCs w:val="18"/>
        </w:rPr>
      </w:pPr>
      <w:r>
        <w:rPr>
          <w:b/>
          <w:szCs w:val="18"/>
        </w:rPr>
        <w:t xml:space="preserve">2.1 </w:t>
      </w:r>
      <w:r w:rsidR="001918F0" w:rsidRPr="001918F0">
        <w:rPr>
          <w:b/>
          <w:szCs w:val="18"/>
        </w:rPr>
        <w:t>Kinetics and Thermodynamic approach</w:t>
      </w:r>
    </w:p>
    <w:p w:rsidR="00EA2B56" w:rsidRPr="001664C7" w:rsidRDefault="00EA2B56" w:rsidP="001664C7">
      <w:pPr>
        <w:pStyle w:val="CETBodytext"/>
        <w:tabs>
          <w:tab w:val="clear" w:pos="7100"/>
          <w:tab w:val="left" w:pos="3825"/>
        </w:tabs>
        <w:rPr>
          <w:b/>
          <w:szCs w:val="18"/>
        </w:rPr>
      </w:pPr>
    </w:p>
    <w:p w:rsidR="00992C20" w:rsidRDefault="0093429E" w:rsidP="00992C20">
      <w:pPr>
        <w:pStyle w:val="CETBodytext"/>
        <w:rPr>
          <w:color w:val="000000" w:themeColor="text1"/>
          <w:szCs w:val="18"/>
        </w:rPr>
      </w:pPr>
      <w:r>
        <w:rPr>
          <w:color w:val="000000" w:themeColor="text1"/>
          <w:szCs w:val="18"/>
        </w:rPr>
        <w:lastRenderedPageBreak/>
        <w:t>Regarding</w:t>
      </w:r>
      <w:r w:rsidR="00B40C68" w:rsidRPr="00B40C68">
        <w:rPr>
          <w:color w:val="000000" w:themeColor="text1"/>
          <w:szCs w:val="18"/>
        </w:rPr>
        <w:t xml:space="preserve"> kinetics and process reactions, according to Gaudereto et al. (2017), these were modeled as classical variations of the pseudo-first-order Ahrrenius equations (Climent et al., 2012). In addition, some important considerations/simplifications involving the reactions deserve to be highlighted: a) All glucose that is formed is produced by the glucans decomposition b) Due to its high decomposition rate, the concentration of HMF in the medium is always very low. What can be taken as true within the context of this work (Girisuta et al., 2006) c) The only parallel and undesired reaction occurs to form humins (Girisuta et al., 2013).</w:t>
      </w:r>
    </w:p>
    <w:p w:rsidR="00B40C68" w:rsidRDefault="00B40C68" w:rsidP="00992C20">
      <w:pPr>
        <w:pStyle w:val="CETBodytext"/>
        <w:rPr>
          <w:color w:val="000000" w:themeColor="text1"/>
          <w:szCs w:val="18"/>
        </w:rPr>
      </w:pPr>
      <w:r w:rsidRPr="00B40C68">
        <w:rPr>
          <w:color w:val="000000" w:themeColor="text1"/>
          <w:szCs w:val="18"/>
        </w:rPr>
        <w:t xml:space="preserve">Regarding to the thermodynamics models, activity coefficient on the liquid phase was calculated by NRTL (Non-Random Two-Liquid) model. The non-idealities of the </w:t>
      </w:r>
      <w:r w:rsidR="0093429E" w:rsidRPr="00B40C68">
        <w:rPr>
          <w:color w:val="000000" w:themeColor="text1"/>
          <w:szCs w:val="18"/>
        </w:rPr>
        <w:t>vapor</w:t>
      </w:r>
      <w:r w:rsidRPr="00B40C68">
        <w:rPr>
          <w:color w:val="000000" w:themeColor="text1"/>
          <w:szCs w:val="18"/>
        </w:rPr>
        <w:t xml:space="preserve"> phase were neglected assuming the activity coefficient is prevailing in such scenario.</w:t>
      </w:r>
    </w:p>
    <w:p w:rsidR="00D45890" w:rsidRPr="000029E5" w:rsidRDefault="00BA1753" w:rsidP="00007743">
      <w:pPr>
        <w:pStyle w:val="CETHeading1"/>
        <w:tabs>
          <w:tab w:val="clear" w:pos="360"/>
          <w:tab w:val="right" w:pos="7100"/>
        </w:tabs>
        <w:jc w:val="both"/>
        <w:rPr>
          <w:lang w:val="en-GB"/>
        </w:rPr>
      </w:pPr>
      <w:r w:rsidRPr="00372A5A">
        <w:rPr>
          <w:lang w:val="en-GB"/>
        </w:rPr>
        <w:t>Results and Discussion</w:t>
      </w:r>
    </w:p>
    <w:p w:rsidR="00204804" w:rsidRDefault="0058485A" w:rsidP="00CA5CB3">
      <w:pPr>
        <w:autoSpaceDE w:val="0"/>
        <w:autoSpaceDN w:val="0"/>
        <w:adjustRightInd w:val="0"/>
        <w:spacing w:line="240" w:lineRule="auto"/>
        <w:rPr>
          <w:rFonts w:ascii="Arial" w:eastAsiaTheme="minorHAnsi" w:hAnsi="Arial" w:cs="Arial"/>
          <w:color w:val="000000" w:themeColor="text1"/>
          <w:sz w:val="18"/>
          <w:szCs w:val="18"/>
          <w:lang w:val="en-US"/>
        </w:rPr>
      </w:pPr>
      <w:r w:rsidRPr="0058485A">
        <w:rPr>
          <w:rFonts w:ascii="Arial" w:eastAsiaTheme="minorHAnsi" w:hAnsi="Arial" w:cs="Arial"/>
          <w:color w:val="000000" w:themeColor="text1"/>
          <w:sz w:val="18"/>
          <w:szCs w:val="18"/>
          <w:lang w:val="en-US"/>
        </w:rPr>
        <w:t>Simulations were carried out considering the already existing production processes (among them pilot plants and commercial scale plants).</w:t>
      </w:r>
      <w:r w:rsidR="00204804" w:rsidRPr="00204804">
        <w:rPr>
          <w:rFonts w:ascii="Arial" w:eastAsiaTheme="minorHAnsi" w:hAnsi="Arial" w:cs="Arial"/>
          <w:color w:val="000000" w:themeColor="text1"/>
          <w:sz w:val="18"/>
          <w:szCs w:val="18"/>
          <w:lang w:val="en-US"/>
        </w:rPr>
        <w:t xml:space="preserve">In this way part of the simulation was based on Biofine technology, </w:t>
      </w:r>
      <w:r w:rsidRPr="0058485A">
        <w:rPr>
          <w:rFonts w:ascii="Arial" w:eastAsiaTheme="minorHAnsi" w:hAnsi="Arial" w:cs="Arial"/>
          <w:color w:val="000000" w:themeColor="text1"/>
          <w:sz w:val="18"/>
          <w:szCs w:val="18"/>
          <w:lang w:val="en-US"/>
        </w:rPr>
        <w:t>sulfuric acid mixed with biomass feeding them into two reactors operated in series at 210–220°C and 190–200°C, respectively (Fitzpatrick, 1997).</w:t>
      </w:r>
      <w:r w:rsidR="00204804" w:rsidRPr="00204804">
        <w:rPr>
          <w:rFonts w:ascii="Arial" w:eastAsiaTheme="minorHAnsi" w:hAnsi="Arial" w:cs="Arial"/>
          <w:color w:val="000000" w:themeColor="text1"/>
          <w:sz w:val="18"/>
          <w:szCs w:val="18"/>
          <w:lang w:val="en-US"/>
        </w:rPr>
        <w:t xml:space="preserve"> The amount LA produced in</w:t>
      </w:r>
      <w:r w:rsidR="00124B3A">
        <w:rPr>
          <w:rFonts w:ascii="Arial" w:eastAsiaTheme="minorHAnsi" w:hAnsi="Arial" w:cs="Arial"/>
          <w:color w:val="000000" w:themeColor="text1"/>
          <w:sz w:val="18"/>
          <w:szCs w:val="18"/>
          <w:lang w:val="en-US"/>
        </w:rPr>
        <w:t xml:space="preserve"> the simulation developed in this work</w:t>
      </w:r>
      <w:r w:rsidR="00204804" w:rsidRPr="00204804">
        <w:rPr>
          <w:rFonts w:ascii="Arial" w:eastAsiaTheme="minorHAnsi" w:hAnsi="Arial" w:cs="Arial"/>
          <w:color w:val="000000" w:themeColor="text1"/>
          <w:sz w:val="18"/>
          <w:szCs w:val="18"/>
          <w:lang w:val="en-US"/>
        </w:rPr>
        <w:t xml:space="preserve"> was based on GFBiochemicals</w:t>
      </w:r>
      <w:r w:rsidR="00B76575">
        <w:rPr>
          <w:rFonts w:ascii="Arial" w:eastAsiaTheme="minorHAnsi" w:hAnsi="Arial" w:cs="Arial"/>
          <w:color w:val="000000" w:themeColor="text1"/>
          <w:sz w:val="18"/>
          <w:szCs w:val="18"/>
          <w:lang w:val="en-US"/>
        </w:rPr>
        <w:t xml:space="preserve"> </w:t>
      </w:r>
      <w:r w:rsidR="007B078E" w:rsidRPr="00204804">
        <w:rPr>
          <w:rFonts w:ascii="Arial" w:eastAsiaTheme="minorHAnsi" w:hAnsi="Arial" w:cs="Arial"/>
          <w:color w:val="000000" w:themeColor="text1"/>
          <w:sz w:val="18"/>
          <w:szCs w:val="18"/>
          <w:lang w:val="en-US"/>
        </w:rPr>
        <w:t>production capacity</w:t>
      </w:r>
      <w:r w:rsidR="00204804" w:rsidRPr="00204804">
        <w:rPr>
          <w:rFonts w:ascii="Arial" w:eastAsiaTheme="minorHAnsi" w:hAnsi="Arial" w:cs="Arial"/>
          <w:color w:val="000000" w:themeColor="text1"/>
          <w:sz w:val="18"/>
          <w:szCs w:val="18"/>
          <w:lang w:val="en-US"/>
        </w:rPr>
        <w:t xml:space="preserve"> recent</w:t>
      </w:r>
      <w:r w:rsidR="007B078E">
        <w:rPr>
          <w:rFonts w:ascii="Arial" w:eastAsiaTheme="minorHAnsi" w:hAnsi="Arial" w:cs="Arial"/>
          <w:color w:val="000000" w:themeColor="text1"/>
          <w:sz w:val="18"/>
          <w:szCs w:val="18"/>
          <w:lang w:val="en-US"/>
        </w:rPr>
        <w:t>ly reported</w:t>
      </w:r>
      <w:r w:rsidR="00204804" w:rsidRPr="00204804">
        <w:rPr>
          <w:rFonts w:ascii="Arial" w:eastAsiaTheme="minorHAnsi" w:hAnsi="Arial" w:cs="Arial"/>
          <w:color w:val="000000" w:themeColor="text1"/>
          <w:sz w:val="18"/>
          <w:szCs w:val="18"/>
          <w:lang w:val="en-US"/>
        </w:rPr>
        <w:t>.</w:t>
      </w:r>
      <w:r w:rsidR="00B76575">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The</w:t>
      </w:r>
      <w:r w:rsidR="00B76575">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company started LA production in 2009 in a pilot plant facility with</w:t>
      </w:r>
      <w:r w:rsidR="00AD77AD">
        <w:rPr>
          <w:rFonts w:ascii="Arial" w:eastAsiaTheme="minorHAnsi" w:hAnsi="Arial" w:cs="Arial"/>
          <w:color w:val="000000" w:themeColor="text1"/>
          <w:sz w:val="18"/>
          <w:szCs w:val="18"/>
          <w:lang w:val="en-US"/>
        </w:rPr>
        <w:t xml:space="preserve"> a</w:t>
      </w:r>
      <w:r>
        <w:rPr>
          <w:rFonts w:ascii="Arial" w:eastAsiaTheme="minorHAnsi" w:hAnsi="Arial" w:cs="Arial"/>
          <w:color w:val="000000" w:themeColor="text1"/>
          <w:sz w:val="18"/>
          <w:szCs w:val="18"/>
          <w:lang w:val="en-US"/>
        </w:rPr>
        <w:t xml:space="preserve"> </w:t>
      </w:r>
      <w:r w:rsidR="00D948FB">
        <w:rPr>
          <w:rFonts w:ascii="Arial" w:eastAsiaTheme="minorHAnsi" w:hAnsi="Arial" w:cs="Arial"/>
          <w:color w:val="000000" w:themeColor="text1"/>
          <w:sz w:val="18"/>
          <w:szCs w:val="18"/>
          <w:lang w:val="en-US"/>
        </w:rPr>
        <w:t>production</w:t>
      </w:r>
      <w:r>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 xml:space="preserve">capacity of 2000 metric tons per </w:t>
      </w:r>
      <w:r>
        <w:rPr>
          <w:rFonts w:ascii="Arial" w:eastAsiaTheme="minorHAnsi" w:hAnsi="Arial" w:cs="Arial"/>
          <w:color w:val="000000" w:themeColor="text1"/>
          <w:sz w:val="18"/>
          <w:szCs w:val="18"/>
          <w:lang w:val="en-US"/>
        </w:rPr>
        <w:t>year in Caserta, Italy. In 2015</w:t>
      </w:r>
      <w:r w:rsidR="00204804" w:rsidRPr="00204804">
        <w:rPr>
          <w:rFonts w:ascii="Arial" w:eastAsiaTheme="minorHAnsi" w:hAnsi="Arial" w:cs="Arial"/>
          <w:color w:val="000000" w:themeColor="text1"/>
          <w:sz w:val="18"/>
          <w:szCs w:val="18"/>
          <w:lang w:val="en-US"/>
        </w:rPr>
        <w:t xml:space="preserve"> GFBiochemicals announced the</w:t>
      </w:r>
      <w:r>
        <w:rPr>
          <w:rFonts w:ascii="Arial" w:eastAsiaTheme="minorHAnsi" w:hAnsi="Arial" w:cs="Arial"/>
          <w:color w:val="000000" w:themeColor="text1"/>
          <w:sz w:val="18"/>
          <w:szCs w:val="18"/>
          <w:lang w:val="en-US"/>
        </w:rPr>
        <w:t xml:space="preserve"> </w:t>
      </w:r>
      <w:r w:rsidR="00D948FB">
        <w:rPr>
          <w:rFonts w:ascii="Arial" w:eastAsiaTheme="minorHAnsi" w:hAnsi="Arial" w:cs="Arial"/>
          <w:color w:val="000000" w:themeColor="text1"/>
          <w:sz w:val="18"/>
          <w:szCs w:val="18"/>
          <w:lang w:val="en-US"/>
        </w:rPr>
        <w:t>start up of a</w:t>
      </w:r>
      <w:r w:rsidR="00204804" w:rsidRPr="00204804">
        <w:rPr>
          <w:rFonts w:ascii="Arial" w:eastAsiaTheme="minorHAnsi" w:hAnsi="Arial" w:cs="Arial"/>
          <w:color w:val="000000" w:themeColor="text1"/>
          <w:sz w:val="18"/>
          <w:szCs w:val="18"/>
          <w:lang w:val="en-US"/>
        </w:rPr>
        <w:t xml:space="preserve"> commercial scale production</w:t>
      </w:r>
      <w:r w:rsidR="00D948FB">
        <w:rPr>
          <w:rFonts w:ascii="Arial" w:eastAsiaTheme="minorHAnsi" w:hAnsi="Arial" w:cs="Arial"/>
          <w:color w:val="000000" w:themeColor="text1"/>
          <w:sz w:val="18"/>
          <w:szCs w:val="18"/>
          <w:lang w:val="en-US"/>
        </w:rPr>
        <w:t xml:space="preserve"> plant, </w:t>
      </w:r>
      <w:r w:rsidR="00204804" w:rsidRPr="00204804">
        <w:rPr>
          <w:rFonts w:ascii="Arial" w:eastAsiaTheme="minorHAnsi" w:hAnsi="Arial" w:cs="Arial"/>
          <w:color w:val="000000" w:themeColor="text1"/>
          <w:sz w:val="18"/>
          <w:szCs w:val="18"/>
          <w:lang w:val="en-US"/>
        </w:rPr>
        <w:t>objecti</w:t>
      </w:r>
      <w:r w:rsidR="007B078E">
        <w:rPr>
          <w:rFonts w:ascii="Arial" w:eastAsiaTheme="minorHAnsi" w:hAnsi="Arial" w:cs="Arial"/>
          <w:color w:val="000000" w:themeColor="text1"/>
          <w:sz w:val="18"/>
          <w:szCs w:val="18"/>
          <w:lang w:val="en-US"/>
        </w:rPr>
        <w:t>fying</w:t>
      </w:r>
      <w:r w:rsidR="00204804" w:rsidRPr="00204804">
        <w:rPr>
          <w:rFonts w:ascii="Arial" w:eastAsiaTheme="minorHAnsi" w:hAnsi="Arial" w:cs="Arial"/>
          <w:color w:val="000000" w:themeColor="text1"/>
          <w:sz w:val="18"/>
          <w:szCs w:val="18"/>
          <w:lang w:val="en-US"/>
        </w:rPr>
        <w:t xml:space="preserve"> to produce up to </w:t>
      </w:r>
      <w:r w:rsidR="0093443E" w:rsidRPr="00204804">
        <w:rPr>
          <w:rFonts w:ascii="Arial" w:eastAsiaTheme="minorHAnsi" w:hAnsi="Arial" w:cs="Arial"/>
          <w:color w:val="000000" w:themeColor="text1"/>
          <w:sz w:val="18"/>
          <w:szCs w:val="18"/>
          <w:lang w:val="en-US"/>
        </w:rPr>
        <w:t>8,000 kilotons</w:t>
      </w:r>
      <w:r w:rsidR="00204804" w:rsidRPr="00204804">
        <w:rPr>
          <w:rFonts w:ascii="Arial" w:eastAsiaTheme="minorHAnsi" w:hAnsi="Arial" w:cs="Arial"/>
          <w:color w:val="000000" w:themeColor="text1"/>
          <w:sz w:val="18"/>
          <w:szCs w:val="18"/>
          <w:lang w:val="en-US"/>
        </w:rPr>
        <w:t xml:space="preserve"> of LA per year by 2017 (Titirici</w:t>
      </w:r>
      <w:r>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&amp;</w:t>
      </w:r>
      <w:r>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 xml:space="preserve">Pileidis, 2016). </w:t>
      </w:r>
      <w:r w:rsidRPr="0058485A">
        <w:rPr>
          <w:rFonts w:ascii="Arial" w:eastAsiaTheme="minorHAnsi" w:hAnsi="Arial" w:cs="Arial"/>
          <w:color w:val="000000" w:themeColor="text1"/>
          <w:sz w:val="18"/>
          <w:szCs w:val="18"/>
          <w:lang w:val="en-US"/>
        </w:rPr>
        <w:t>The operation temperature and sulfuric acid concentration were based on Gaudereto et al. (2017) work where several sensitivity analyses were performed through simulation.</w:t>
      </w:r>
      <w:r>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 xml:space="preserve">The authors concluded that the reactor should operate at low temperatures (150ºC) to reduce the formation of humins and in high concentrations of sulfuric acid to favor the production of glucose and HMF. The lower temperature of 150 ºC is part of Chang et al. </w:t>
      </w:r>
      <w:r w:rsidR="00AD77AD">
        <w:rPr>
          <w:rFonts w:ascii="Arial" w:eastAsiaTheme="minorHAnsi" w:hAnsi="Arial" w:cs="Arial"/>
          <w:color w:val="000000" w:themeColor="text1"/>
          <w:sz w:val="18"/>
          <w:szCs w:val="18"/>
          <w:lang w:val="en-US"/>
        </w:rPr>
        <w:t>(</w:t>
      </w:r>
      <w:r w:rsidR="00204804" w:rsidRPr="00204804">
        <w:rPr>
          <w:rFonts w:ascii="Arial" w:eastAsiaTheme="minorHAnsi" w:hAnsi="Arial" w:cs="Arial"/>
          <w:color w:val="000000" w:themeColor="text1"/>
          <w:sz w:val="18"/>
          <w:szCs w:val="18"/>
          <w:lang w:val="en-US"/>
        </w:rPr>
        <w:t xml:space="preserve">2007) study </w:t>
      </w:r>
      <w:r w:rsidR="00D948FB">
        <w:rPr>
          <w:rFonts w:ascii="Arial" w:eastAsiaTheme="minorHAnsi" w:hAnsi="Arial" w:cs="Arial"/>
          <w:color w:val="000000" w:themeColor="text1"/>
          <w:sz w:val="18"/>
          <w:szCs w:val="18"/>
          <w:lang w:val="en-US"/>
        </w:rPr>
        <w:t>which</w:t>
      </w:r>
      <w:r w:rsidR="00617D9E">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stated that temperatures between 150°C and 230°C can increase the conversion</w:t>
      </w:r>
      <w:r w:rsidR="00D948FB">
        <w:rPr>
          <w:rFonts w:ascii="Arial" w:eastAsiaTheme="minorHAnsi" w:hAnsi="Arial" w:cs="Arial"/>
          <w:color w:val="000000" w:themeColor="text1"/>
          <w:sz w:val="18"/>
          <w:szCs w:val="18"/>
          <w:lang w:val="en-US"/>
        </w:rPr>
        <w:t xml:space="preserve"> of </w:t>
      </w:r>
      <w:r w:rsidR="00D948FB" w:rsidRPr="00204804">
        <w:rPr>
          <w:rFonts w:ascii="Arial" w:eastAsiaTheme="minorHAnsi" w:hAnsi="Arial" w:cs="Arial"/>
          <w:color w:val="000000" w:themeColor="text1"/>
          <w:sz w:val="18"/>
          <w:szCs w:val="18"/>
          <w:lang w:val="en-US"/>
        </w:rPr>
        <w:t>lignocellulosic materials</w:t>
      </w:r>
      <w:r w:rsidR="00617D9E">
        <w:rPr>
          <w:rFonts w:ascii="Arial" w:eastAsiaTheme="minorHAnsi" w:hAnsi="Arial" w:cs="Arial"/>
          <w:color w:val="000000" w:themeColor="text1"/>
          <w:sz w:val="18"/>
          <w:szCs w:val="18"/>
          <w:lang w:val="en-US"/>
        </w:rPr>
        <w:t xml:space="preserve"> </w:t>
      </w:r>
      <w:r w:rsidR="00D948FB" w:rsidRPr="00204804">
        <w:rPr>
          <w:rFonts w:ascii="Arial" w:eastAsiaTheme="minorHAnsi" w:hAnsi="Arial" w:cs="Arial"/>
          <w:color w:val="000000" w:themeColor="text1"/>
          <w:sz w:val="18"/>
          <w:szCs w:val="18"/>
          <w:lang w:val="en-US"/>
        </w:rPr>
        <w:t>to</w:t>
      </w:r>
      <w:r w:rsidR="00617D9E">
        <w:rPr>
          <w:rFonts w:ascii="Arial" w:eastAsiaTheme="minorHAnsi" w:hAnsi="Arial" w:cs="Arial"/>
          <w:color w:val="000000" w:themeColor="text1"/>
          <w:sz w:val="18"/>
          <w:szCs w:val="18"/>
          <w:lang w:val="en-US"/>
        </w:rPr>
        <w:t xml:space="preserve"> </w:t>
      </w:r>
      <w:r w:rsidR="00204804" w:rsidRPr="00204804">
        <w:rPr>
          <w:rFonts w:ascii="Arial" w:eastAsiaTheme="minorHAnsi" w:hAnsi="Arial" w:cs="Arial"/>
          <w:color w:val="000000" w:themeColor="text1"/>
          <w:sz w:val="18"/>
          <w:szCs w:val="18"/>
          <w:lang w:val="en-US"/>
        </w:rPr>
        <w:t xml:space="preserve">levulinic acid. </w:t>
      </w:r>
      <w:r w:rsidR="00617D9E" w:rsidRPr="00617D9E">
        <w:rPr>
          <w:rFonts w:ascii="Arial" w:eastAsiaTheme="minorHAnsi" w:hAnsi="Arial" w:cs="Arial"/>
          <w:color w:val="000000" w:themeColor="text1"/>
          <w:sz w:val="18"/>
          <w:szCs w:val="18"/>
          <w:lang w:val="en-US"/>
        </w:rPr>
        <w:t xml:space="preserve">High concentrations of sulfuric acid also positively influence conversions to levulinic acid, however, care must be taken. </w:t>
      </w:r>
      <w:r w:rsidR="00204804" w:rsidRPr="00204804">
        <w:rPr>
          <w:rFonts w:ascii="Arial" w:eastAsiaTheme="minorHAnsi" w:hAnsi="Arial" w:cs="Arial"/>
          <w:color w:val="000000" w:themeColor="text1"/>
          <w:sz w:val="18"/>
          <w:szCs w:val="18"/>
          <w:lang w:val="en-US"/>
        </w:rPr>
        <w:t>Although these hydrolysis reaction</w:t>
      </w:r>
      <w:r w:rsidR="00D948FB">
        <w:rPr>
          <w:rFonts w:ascii="Arial" w:eastAsiaTheme="minorHAnsi" w:hAnsi="Arial" w:cs="Arial"/>
          <w:color w:val="000000" w:themeColor="text1"/>
          <w:sz w:val="18"/>
          <w:szCs w:val="18"/>
          <w:lang w:val="en-US"/>
        </w:rPr>
        <w:t>s</w:t>
      </w:r>
      <w:r w:rsidR="00204804" w:rsidRPr="00204804">
        <w:rPr>
          <w:rFonts w:ascii="Arial" w:eastAsiaTheme="minorHAnsi" w:hAnsi="Arial" w:cs="Arial"/>
          <w:color w:val="000000" w:themeColor="text1"/>
          <w:sz w:val="18"/>
          <w:szCs w:val="18"/>
          <w:lang w:val="en-US"/>
        </w:rPr>
        <w:t xml:space="preserve"> are effective in higher concentration,</w:t>
      </w:r>
      <w:r w:rsidR="007B078E">
        <w:rPr>
          <w:rFonts w:ascii="Arial" w:eastAsiaTheme="minorHAnsi" w:hAnsi="Arial" w:cs="Arial"/>
          <w:color w:val="000000" w:themeColor="text1"/>
          <w:sz w:val="18"/>
          <w:szCs w:val="18"/>
          <w:lang w:val="en-US"/>
        </w:rPr>
        <w:t xml:space="preserve"> the</w:t>
      </w:r>
      <w:r w:rsidR="00204804" w:rsidRPr="00204804">
        <w:rPr>
          <w:rFonts w:ascii="Arial" w:eastAsiaTheme="minorHAnsi" w:hAnsi="Arial" w:cs="Arial"/>
          <w:color w:val="000000" w:themeColor="text1"/>
          <w:sz w:val="18"/>
          <w:szCs w:val="18"/>
          <w:lang w:val="en-US"/>
        </w:rPr>
        <w:t xml:space="preserve"> mineral acid is harsh and corrosive</w:t>
      </w:r>
      <w:r w:rsidR="007B078E">
        <w:rPr>
          <w:rFonts w:ascii="Arial" w:eastAsiaTheme="minorHAnsi" w:hAnsi="Arial" w:cs="Arial"/>
          <w:color w:val="000000" w:themeColor="text1"/>
          <w:sz w:val="18"/>
          <w:szCs w:val="18"/>
          <w:lang w:val="en-US"/>
        </w:rPr>
        <w:t>,</w:t>
      </w:r>
      <w:r w:rsidR="00204804" w:rsidRPr="00204804">
        <w:rPr>
          <w:rFonts w:ascii="Arial" w:eastAsiaTheme="minorHAnsi" w:hAnsi="Arial" w:cs="Arial"/>
          <w:color w:val="000000" w:themeColor="text1"/>
          <w:sz w:val="18"/>
          <w:szCs w:val="18"/>
          <w:lang w:val="en-US"/>
        </w:rPr>
        <w:t xml:space="preserve"> promoting</w:t>
      </w:r>
      <w:r w:rsidR="00617D9E">
        <w:rPr>
          <w:rFonts w:ascii="Arial" w:eastAsiaTheme="minorHAnsi" w:hAnsi="Arial" w:cs="Arial"/>
          <w:color w:val="000000" w:themeColor="text1"/>
          <w:sz w:val="18"/>
          <w:szCs w:val="18"/>
          <w:lang w:val="en-US"/>
        </w:rPr>
        <w:t xml:space="preserve"> </w:t>
      </w:r>
      <w:r w:rsidR="00D948FB" w:rsidRPr="00204804">
        <w:rPr>
          <w:rFonts w:ascii="Arial" w:eastAsiaTheme="minorHAnsi" w:hAnsi="Arial" w:cs="Arial"/>
          <w:color w:val="000000" w:themeColor="text1"/>
          <w:sz w:val="18"/>
          <w:szCs w:val="18"/>
          <w:lang w:val="en-US"/>
        </w:rPr>
        <w:t>equipment</w:t>
      </w:r>
      <w:r w:rsidR="00204804" w:rsidRPr="00204804">
        <w:rPr>
          <w:rFonts w:ascii="Arial" w:eastAsiaTheme="minorHAnsi" w:hAnsi="Arial" w:cs="Arial"/>
          <w:color w:val="000000" w:themeColor="text1"/>
          <w:sz w:val="18"/>
          <w:szCs w:val="18"/>
          <w:lang w:val="en-US"/>
        </w:rPr>
        <w:t xml:space="preserve"> degradation. In this regard, a concentration </w:t>
      </w:r>
      <w:r w:rsidR="00D948FB" w:rsidRPr="00204804">
        <w:rPr>
          <w:rFonts w:ascii="Arial" w:eastAsiaTheme="minorHAnsi" w:hAnsi="Arial" w:cs="Arial"/>
          <w:color w:val="000000" w:themeColor="text1"/>
          <w:sz w:val="18"/>
          <w:szCs w:val="18"/>
          <w:lang w:val="en-US"/>
        </w:rPr>
        <w:t>near</w:t>
      </w:r>
      <w:r w:rsidR="00204804" w:rsidRPr="00204804">
        <w:rPr>
          <w:rFonts w:ascii="Arial" w:eastAsiaTheme="minorHAnsi" w:hAnsi="Arial" w:cs="Arial"/>
          <w:color w:val="000000" w:themeColor="text1"/>
          <w:sz w:val="18"/>
          <w:szCs w:val="18"/>
          <w:lang w:val="en-US"/>
        </w:rPr>
        <w:t xml:space="preserve"> 50 wt% could provide a good conversion into LA not requiring</w:t>
      </w:r>
      <w:r w:rsidR="00617D9E">
        <w:rPr>
          <w:rFonts w:ascii="Arial" w:eastAsiaTheme="minorHAnsi" w:hAnsi="Arial" w:cs="Arial"/>
          <w:color w:val="000000" w:themeColor="text1"/>
          <w:sz w:val="18"/>
          <w:szCs w:val="18"/>
          <w:lang w:val="en-US"/>
        </w:rPr>
        <w:t xml:space="preserve"> </w:t>
      </w:r>
      <w:r w:rsidR="00D948FB" w:rsidRPr="00204804">
        <w:rPr>
          <w:rFonts w:ascii="Arial" w:eastAsiaTheme="minorHAnsi" w:hAnsi="Arial" w:cs="Arial"/>
          <w:color w:val="000000" w:themeColor="text1"/>
          <w:sz w:val="18"/>
          <w:szCs w:val="18"/>
          <w:lang w:val="en-US"/>
        </w:rPr>
        <w:t>corrosion</w:t>
      </w:r>
      <w:r w:rsidR="00D948FB">
        <w:rPr>
          <w:rFonts w:ascii="Arial" w:eastAsiaTheme="minorHAnsi" w:hAnsi="Arial" w:cs="Arial"/>
          <w:color w:val="000000" w:themeColor="text1"/>
          <w:sz w:val="18"/>
          <w:szCs w:val="18"/>
          <w:lang w:val="en-US"/>
        </w:rPr>
        <w:t>-resistant</w:t>
      </w:r>
      <w:r w:rsidR="00204804" w:rsidRPr="00204804">
        <w:rPr>
          <w:rFonts w:ascii="Arial" w:eastAsiaTheme="minorHAnsi" w:hAnsi="Arial" w:cs="Arial"/>
          <w:color w:val="000000" w:themeColor="text1"/>
          <w:sz w:val="18"/>
          <w:szCs w:val="18"/>
          <w:lang w:val="en-US"/>
        </w:rPr>
        <w:t xml:space="preserve"> and therefore more expensive</w:t>
      </w:r>
      <w:r w:rsidR="00AD77AD">
        <w:rPr>
          <w:rFonts w:ascii="Arial" w:eastAsiaTheme="minorHAnsi" w:hAnsi="Arial" w:cs="Arial"/>
          <w:color w:val="000000" w:themeColor="text1"/>
          <w:sz w:val="18"/>
          <w:szCs w:val="18"/>
          <w:lang w:val="en-US"/>
        </w:rPr>
        <w:t xml:space="preserve"> pipeline</w:t>
      </w:r>
      <w:r w:rsidR="00204804" w:rsidRPr="00204804">
        <w:rPr>
          <w:rFonts w:ascii="Arial" w:eastAsiaTheme="minorHAnsi" w:hAnsi="Arial" w:cs="Arial"/>
          <w:color w:val="000000" w:themeColor="text1"/>
          <w:sz w:val="18"/>
          <w:szCs w:val="18"/>
          <w:lang w:val="en-US"/>
        </w:rPr>
        <w:t xml:space="preserve"> (Gaudereto et al., 2017).</w:t>
      </w:r>
    </w:p>
    <w:p w:rsidR="005A4DF2" w:rsidRDefault="005A4DF2" w:rsidP="00CA5CB3">
      <w:pPr>
        <w:autoSpaceDE w:val="0"/>
        <w:autoSpaceDN w:val="0"/>
        <w:adjustRightInd w:val="0"/>
        <w:spacing w:line="240" w:lineRule="auto"/>
        <w:rPr>
          <w:rFonts w:ascii="Arial" w:eastAsiaTheme="minorHAnsi" w:hAnsi="Arial" w:cs="Arial"/>
          <w:color w:val="000000" w:themeColor="text1"/>
          <w:sz w:val="18"/>
          <w:szCs w:val="18"/>
          <w:lang w:val="en-US"/>
        </w:rPr>
      </w:pPr>
      <w:r w:rsidRPr="005A4DF2">
        <w:rPr>
          <w:rFonts w:ascii="Arial" w:eastAsiaTheme="minorHAnsi" w:hAnsi="Arial" w:cs="Arial"/>
          <w:color w:val="000000" w:themeColor="text1"/>
          <w:sz w:val="18"/>
          <w:szCs w:val="18"/>
          <w:lang w:val="en-US"/>
        </w:rPr>
        <w:t xml:space="preserve">The simulation </w:t>
      </w:r>
      <w:r w:rsidR="00734771">
        <w:rPr>
          <w:rFonts w:ascii="Arial" w:eastAsiaTheme="minorHAnsi" w:hAnsi="Arial" w:cs="Arial"/>
          <w:color w:val="000000" w:themeColor="text1"/>
          <w:sz w:val="18"/>
          <w:szCs w:val="18"/>
          <w:lang w:val="en-US"/>
        </w:rPr>
        <w:t xml:space="preserve">considers </w:t>
      </w:r>
      <w:r w:rsidRPr="005A4DF2">
        <w:rPr>
          <w:rFonts w:ascii="Arial" w:eastAsiaTheme="minorHAnsi" w:hAnsi="Arial" w:cs="Arial"/>
          <w:color w:val="000000" w:themeColor="text1"/>
          <w:sz w:val="18"/>
          <w:szCs w:val="18"/>
          <w:lang w:val="en-US"/>
        </w:rPr>
        <w:t>the use of sugarcane bagasse. Brazil is one of the largest producers of sugarcane in the world</w:t>
      </w:r>
      <w:r w:rsidR="00734771">
        <w:rPr>
          <w:rFonts w:ascii="Arial" w:eastAsiaTheme="minorHAnsi" w:hAnsi="Arial" w:cs="Arial"/>
          <w:color w:val="000000" w:themeColor="text1"/>
          <w:sz w:val="18"/>
          <w:szCs w:val="18"/>
          <w:lang w:val="en-US"/>
        </w:rPr>
        <w:t>.</w:t>
      </w:r>
      <w:r w:rsidR="00617D9E">
        <w:rPr>
          <w:rFonts w:ascii="Arial" w:eastAsiaTheme="minorHAnsi" w:hAnsi="Arial" w:cs="Arial"/>
          <w:color w:val="000000" w:themeColor="text1"/>
          <w:sz w:val="18"/>
          <w:szCs w:val="18"/>
          <w:lang w:val="en-US"/>
        </w:rPr>
        <w:t xml:space="preserve"> </w:t>
      </w:r>
      <w:r w:rsidR="00617D9E" w:rsidRPr="00617D9E">
        <w:rPr>
          <w:rFonts w:ascii="Arial" w:eastAsiaTheme="minorHAnsi" w:hAnsi="Arial" w:cs="Arial"/>
          <w:color w:val="000000" w:themeColor="text1"/>
          <w:sz w:val="18"/>
          <w:szCs w:val="18"/>
          <w:lang w:val="en-US"/>
        </w:rPr>
        <w:t>The bagasse, which remains after sugar extraction, is abundant and is currently used as a heat source for aquatubular boilers. However, several studies have focused on a more noble use for this biomass source as the second-generation ethanol and the production of levulinic acid.</w:t>
      </w:r>
    </w:p>
    <w:p w:rsidR="001C7AC3" w:rsidRPr="00204804" w:rsidRDefault="001C7AC3" w:rsidP="001C7AC3">
      <w:pPr>
        <w:pStyle w:val="CET-table-title"/>
        <w:spacing w:line="264" w:lineRule="auto"/>
        <w:jc w:val="both"/>
        <w:rPr>
          <w:rFonts w:ascii="Times New Roman" w:hAnsi="Times New Roman"/>
          <w:b/>
          <w:sz w:val="24"/>
          <w:szCs w:val="24"/>
        </w:rPr>
      </w:pPr>
      <w:r w:rsidRPr="00204804">
        <w:rPr>
          <w:szCs w:val="18"/>
        </w:rPr>
        <w:t xml:space="preserve">Table 1: </w:t>
      </w:r>
      <w:r w:rsidR="00204804" w:rsidRPr="00204804">
        <w:rPr>
          <w:szCs w:val="18"/>
        </w:rPr>
        <w:t>Results of mass flow and mass fraction of the main c</w:t>
      </w:r>
      <w:r w:rsidR="009330CD">
        <w:rPr>
          <w:szCs w:val="18"/>
        </w:rPr>
        <w:t>urrents and products of process</w:t>
      </w:r>
    </w:p>
    <w:tbl>
      <w:tblPr>
        <w:tblW w:w="8495" w:type="dxa"/>
        <w:tblInd w:w="60" w:type="dxa"/>
        <w:tblCellMar>
          <w:left w:w="70" w:type="dxa"/>
          <w:right w:w="70" w:type="dxa"/>
        </w:tblCellMar>
        <w:tblLook w:val="04A0" w:firstRow="1" w:lastRow="0" w:firstColumn="1" w:lastColumn="0" w:noHBand="0" w:noVBand="1"/>
      </w:tblPr>
      <w:tblGrid>
        <w:gridCol w:w="1660"/>
        <w:gridCol w:w="977"/>
        <w:gridCol w:w="977"/>
        <w:gridCol w:w="976"/>
        <w:gridCol w:w="976"/>
        <w:gridCol w:w="976"/>
        <w:gridCol w:w="976"/>
        <w:gridCol w:w="977"/>
      </w:tblGrid>
      <w:tr w:rsidR="001C7AC3" w:rsidRPr="00045E57" w:rsidTr="00D948FB">
        <w:trPr>
          <w:trHeight w:val="227"/>
        </w:trPr>
        <w:tc>
          <w:tcPr>
            <w:tcW w:w="1660"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left"/>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Streams</w:t>
            </w:r>
          </w:p>
        </w:tc>
        <w:tc>
          <w:tcPr>
            <w:tcW w:w="977"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3</w:t>
            </w:r>
          </w:p>
        </w:tc>
        <w:tc>
          <w:tcPr>
            <w:tcW w:w="977"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4</w:t>
            </w:r>
          </w:p>
        </w:tc>
        <w:tc>
          <w:tcPr>
            <w:tcW w:w="976"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31</w:t>
            </w:r>
          </w:p>
        </w:tc>
        <w:tc>
          <w:tcPr>
            <w:tcW w:w="976"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33</w:t>
            </w:r>
          </w:p>
        </w:tc>
        <w:tc>
          <w:tcPr>
            <w:tcW w:w="976"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5</w:t>
            </w:r>
          </w:p>
        </w:tc>
        <w:tc>
          <w:tcPr>
            <w:tcW w:w="976"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LEV-ACD</w:t>
            </w:r>
          </w:p>
        </w:tc>
        <w:tc>
          <w:tcPr>
            <w:tcW w:w="977" w:type="dxa"/>
            <w:tcBorders>
              <w:top w:val="single" w:sz="12" w:space="0" w:color="00B050"/>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bCs/>
                <w:color w:val="000000"/>
                <w:sz w:val="18"/>
                <w:szCs w:val="18"/>
                <w:lang w:val="pt-BR" w:eastAsia="pt-BR"/>
              </w:rPr>
            </w:pPr>
            <w:r w:rsidRPr="00045E57">
              <w:rPr>
                <w:rFonts w:ascii="Arial" w:hAnsi="Arial" w:cs="Arial"/>
                <w:b/>
                <w:bCs/>
                <w:color w:val="000000"/>
                <w:sz w:val="18"/>
                <w:szCs w:val="18"/>
                <w:lang w:val="pt-BR" w:eastAsia="pt-BR"/>
              </w:rPr>
              <w:t>FOR-ACD</w:t>
            </w:r>
          </w:p>
        </w:tc>
      </w:tr>
      <w:tr w:rsidR="001C7AC3" w:rsidRPr="00045E57" w:rsidTr="00D948FB">
        <w:trPr>
          <w:trHeight w:val="118"/>
        </w:trPr>
        <w:tc>
          <w:tcPr>
            <w:tcW w:w="1660"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Temperature</w:t>
            </w:r>
            <w:r w:rsidRPr="00A63C78">
              <w:rPr>
                <w:rFonts w:ascii="Arial" w:hAnsi="Arial" w:cs="Arial"/>
                <w:color w:val="000000"/>
                <w:sz w:val="18"/>
                <w:szCs w:val="18"/>
                <w:lang w:val="pt-BR" w:eastAsia="pt-BR"/>
              </w:rPr>
              <w:t>º</w:t>
            </w:r>
            <w:r w:rsidRPr="00045E57">
              <w:rPr>
                <w:rFonts w:ascii="Arial" w:hAnsi="Arial" w:cs="Arial"/>
                <w:color w:val="000000"/>
                <w:sz w:val="18"/>
                <w:szCs w:val="18"/>
                <w:lang w:val="pt-BR" w:eastAsia="pt-BR"/>
              </w:rPr>
              <w:t>C</w:t>
            </w:r>
          </w:p>
        </w:tc>
        <w:tc>
          <w:tcPr>
            <w:tcW w:w="977"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99</w:t>
            </w:r>
          </w:p>
        </w:tc>
        <w:tc>
          <w:tcPr>
            <w:tcW w:w="977"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274</w:t>
            </w:r>
          </w:p>
        </w:tc>
        <w:tc>
          <w:tcPr>
            <w:tcW w:w="976"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255</w:t>
            </w:r>
          </w:p>
        </w:tc>
        <w:tc>
          <w:tcPr>
            <w:tcW w:w="976"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99</w:t>
            </w:r>
          </w:p>
        </w:tc>
        <w:tc>
          <w:tcPr>
            <w:tcW w:w="976"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235</w:t>
            </w:r>
          </w:p>
        </w:tc>
        <w:tc>
          <w:tcPr>
            <w:tcW w:w="976"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25</w:t>
            </w:r>
          </w:p>
        </w:tc>
        <w:tc>
          <w:tcPr>
            <w:tcW w:w="977" w:type="dxa"/>
            <w:tcBorders>
              <w:top w:val="single" w:sz="12" w:space="0" w:color="00B050"/>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25</w:t>
            </w:r>
          </w:p>
        </w:tc>
      </w:tr>
      <w:tr w:rsidR="001C7AC3" w:rsidRPr="00045E57" w:rsidTr="00D948FB">
        <w:trPr>
          <w:trHeight w:val="137"/>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Pressure bar</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w:t>
            </w:r>
          </w:p>
        </w:tc>
      </w:tr>
      <w:tr w:rsidR="001C7AC3" w:rsidRPr="00045E57" w:rsidTr="00D948FB">
        <w:trPr>
          <w:trHeight w:val="114"/>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b/>
                <w:color w:val="000000"/>
                <w:sz w:val="18"/>
                <w:szCs w:val="18"/>
                <w:lang w:val="pt-BR" w:eastAsia="pt-BR"/>
              </w:rPr>
            </w:pPr>
            <w:r w:rsidRPr="00045E57">
              <w:rPr>
                <w:rFonts w:ascii="Arial" w:hAnsi="Arial" w:cs="Arial"/>
                <w:b/>
                <w:color w:val="000000"/>
                <w:sz w:val="18"/>
                <w:szCs w:val="18"/>
                <w:lang w:val="pt-BR" w:eastAsia="pt-BR"/>
              </w:rPr>
              <w:t>Mass Flow kg/hr</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47343.</w:t>
            </w:r>
            <w:r w:rsidRPr="00045E57">
              <w:rPr>
                <w:rFonts w:ascii="Arial" w:hAnsi="Arial" w:cs="Arial"/>
                <w:color w:val="000000"/>
                <w:sz w:val="18"/>
                <w:szCs w:val="18"/>
                <w:lang w:val="pt-BR" w:eastAsia="pt-BR"/>
              </w:rPr>
              <w:t>9</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2538.</w:t>
            </w:r>
            <w:r w:rsidRPr="00045E57">
              <w:rPr>
                <w:rFonts w:ascii="Arial" w:hAnsi="Arial" w:cs="Arial"/>
                <w:color w:val="000000"/>
                <w:sz w:val="18"/>
                <w:szCs w:val="18"/>
                <w:lang w:val="pt-BR" w:eastAsia="pt-BR"/>
              </w:rPr>
              <w:t>5</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960</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46383.</w:t>
            </w:r>
            <w:r w:rsidRPr="00045E57">
              <w:rPr>
                <w:rFonts w:ascii="Arial" w:hAnsi="Arial" w:cs="Arial"/>
                <w:color w:val="000000"/>
                <w:sz w:val="18"/>
                <w:szCs w:val="18"/>
                <w:lang w:val="pt-BR" w:eastAsia="pt-BR"/>
              </w:rPr>
              <w:t>9</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40.</w:t>
            </w:r>
            <w:r w:rsidRPr="00045E57">
              <w:rPr>
                <w:rFonts w:ascii="Arial" w:hAnsi="Arial" w:cs="Arial"/>
                <w:color w:val="000000"/>
                <w:sz w:val="18"/>
                <w:szCs w:val="18"/>
                <w:lang w:val="pt-BR" w:eastAsia="pt-BR"/>
              </w:rPr>
              <w:t>35</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919.</w:t>
            </w:r>
            <w:r w:rsidRPr="00045E57">
              <w:rPr>
                <w:rFonts w:ascii="Arial" w:hAnsi="Arial" w:cs="Arial"/>
                <w:color w:val="000000"/>
                <w:sz w:val="18"/>
                <w:szCs w:val="18"/>
                <w:lang w:val="pt-BR" w:eastAsia="pt-BR"/>
              </w:rPr>
              <w:t>65</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383.</w:t>
            </w:r>
            <w:r w:rsidRPr="00045E57">
              <w:rPr>
                <w:rFonts w:ascii="Arial" w:hAnsi="Arial" w:cs="Arial"/>
                <w:color w:val="000000"/>
                <w:sz w:val="18"/>
                <w:szCs w:val="18"/>
                <w:lang w:val="pt-BR" w:eastAsia="pt-BR"/>
              </w:rPr>
              <w:t>03</w:t>
            </w:r>
          </w:p>
        </w:tc>
      </w:tr>
      <w:tr w:rsidR="001C7AC3" w:rsidRPr="00045E57" w:rsidTr="00D948FB">
        <w:trPr>
          <w:trHeight w:val="245"/>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H</w:t>
            </w:r>
            <w:r w:rsidRPr="00045E57">
              <w:rPr>
                <w:rFonts w:ascii="Arial" w:hAnsi="Arial" w:cs="Arial"/>
                <w:color w:val="000000"/>
                <w:sz w:val="18"/>
                <w:szCs w:val="18"/>
                <w:vertAlign w:val="subscript"/>
                <w:lang w:val="pt-BR" w:eastAsia="pt-BR"/>
              </w:rPr>
              <w:t>2</w:t>
            </w:r>
            <w:r w:rsidRPr="00045E57">
              <w:rPr>
                <w:rFonts w:ascii="Arial" w:hAnsi="Arial" w:cs="Arial"/>
                <w:color w:val="000000"/>
                <w:sz w:val="18"/>
                <w:szCs w:val="18"/>
                <w:lang w:val="pt-BR" w:eastAsia="pt-BR"/>
              </w:rPr>
              <w:t>O</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45985.</w:t>
            </w:r>
            <w:r w:rsidRPr="00045E57">
              <w:rPr>
                <w:rFonts w:ascii="Arial" w:hAnsi="Arial" w:cs="Arial"/>
                <w:color w:val="000000"/>
                <w:sz w:val="18"/>
                <w:szCs w:val="18"/>
                <w:lang w:val="pt-BR" w:eastAsia="pt-BR"/>
              </w:rPr>
              <w:t>44</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50E-13</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021</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45985.</w:t>
            </w:r>
            <w:r w:rsidRPr="00045E57">
              <w:rPr>
                <w:rFonts w:ascii="Arial" w:hAnsi="Arial" w:cs="Arial"/>
                <w:color w:val="000000"/>
                <w:sz w:val="18"/>
                <w:szCs w:val="18"/>
                <w:lang w:val="pt-BR" w:eastAsia="pt-BR"/>
              </w:rPr>
              <w:t>4</w:t>
            </w:r>
            <w:r>
              <w:rPr>
                <w:rFonts w:ascii="Arial" w:hAnsi="Arial" w:cs="Arial"/>
                <w:color w:val="000000"/>
                <w:sz w:val="18"/>
                <w:szCs w:val="18"/>
                <w:lang w:val="pt-BR" w:eastAsia="pt-BR"/>
              </w:rPr>
              <w:t>0</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021</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w:t>
            </w:r>
            <w:r w:rsidRPr="00045E57">
              <w:rPr>
                <w:rFonts w:ascii="Arial" w:hAnsi="Arial" w:cs="Arial"/>
                <w:color w:val="000000"/>
                <w:sz w:val="18"/>
                <w:szCs w:val="18"/>
                <w:lang w:val="pt-BR" w:eastAsia="pt-BR"/>
              </w:rPr>
              <w:t>50E-20</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19.</w:t>
            </w:r>
            <w:r w:rsidRPr="00045E57">
              <w:rPr>
                <w:rFonts w:ascii="Arial" w:hAnsi="Arial" w:cs="Arial"/>
                <w:color w:val="000000"/>
                <w:sz w:val="18"/>
                <w:szCs w:val="18"/>
                <w:lang w:val="pt-BR" w:eastAsia="pt-BR"/>
              </w:rPr>
              <w:t>57</w:t>
            </w:r>
          </w:p>
        </w:tc>
      </w:tr>
      <w:tr w:rsidR="001C7AC3" w:rsidRPr="00045E57" w:rsidTr="00D948FB">
        <w:trPr>
          <w:trHeight w:val="136"/>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H</w:t>
            </w:r>
            <w:r w:rsidRPr="00045E57">
              <w:rPr>
                <w:rFonts w:ascii="Arial" w:hAnsi="Arial" w:cs="Arial"/>
                <w:color w:val="000000"/>
                <w:sz w:val="18"/>
                <w:szCs w:val="18"/>
                <w:vertAlign w:val="subscript"/>
                <w:lang w:val="pt-BR" w:eastAsia="pt-BR"/>
              </w:rPr>
              <w:t>2</w:t>
            </w:r>
            <w:r w:rsidRPr="00045E57">
              <w:rPr>
                <w:rFonts w:ascii="Arial" w:hAnsi="Arial" w:cs="Arial"/>
                <w:color w:val="000000"/>
                <w:sz w:val="18"/>
                <w:szCs w:val="18"/>
                <w:lang w:val="pt-BR" w:eastAsia="pt-BR"/>
              </w:rPr>
              <w:t>SO</w:t>
            </w:r>
            <w:r w:rsidRPr="00045E57">
              <w:rPr>
                <w:rFonts w:ascii="Arial" w:hAnsi="Arial" w:cs="Arial"/>
                <w:color w:val="000000"/>
                <w:sz w:val="18"/>
                <w:szCs w:val="18"/>
                <w:vertAlign w:val="subscript"/>
                <w:lang w:val="pt-BR" w:eastAsia="pt-BR"/>
              </w:rPr>
              <w:t>4</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60</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2505</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60</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00017</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0012</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60</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000171</w:t>
            </w:r>
          </w:p>
        </w:tc>
      </w:tr>
      <w:tr w:rsidR="001C7AC3" w:rsidRPr="00045E57" w:rsidTr="00D948FB">
        <w:trPr>
          <w:trHeight w:val="224"/>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LEV.ACID</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952.</w:t>
            </w:r>
            <w:r w:rsidRPr="00045E57">
              <w:rPr>
                <w:rFonts w:ascii="Arial" w:hAnsi="Arial" w:cs="Arial"/>
                <w:color w:val="000000"/>
                <w:sz w:val="18"/>
                <w:szCs w:val="18"/>
                <w:lang w:val="pt-BR" w:eastAsia="pt-BR"/>
              </w:rPr>
              <w:t>06</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987</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942.</w:t>
            </w:r>
            <w:r w:rsidRPr="00045E57">
              <w:rPr>
                <w:rFonts w:ascii="Arial" w:hAnsi="Arial" w:cs="Arial"/>
                <w:color w:val="000000"/>
                <w:sz w:val="18"/>
                <w:szCs w:val="18"/>
                <w:lang w:val="pt-BR" w:eastAsia="pt-BR"/>
              </w:rPr>
              <w:t>90</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w:t>
            </w:r>
            <w:r w:rsidRPr="00045E57">
              <w:rPr>
                <w:rFonts w:ascii="Arial" w:hAnsi="Arial" w:cs="Arial"/>
                <w:color w:val="000000"/>
                <w:sz w:val="18"/>
                <w:szCs w:val="18"/>
                <w:lang w:val="pt-BR" w:eastAsia="pt-BR"/>
              </w:rPr>
              <w:t>168029</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26.</w:t>
            </w:r>
            <w:r w:rsidRPr="00045E57">
              <w:rPr>
                <w:rFonts w:ascii="Arial" w:hAnsi="Arial" w:cs="Arial"/>
                <w:color w:val="000000"/>
                <w:sz w:val="18"/>
                <w:szCs w:val="18"/>
                <w:lang w:val="pt-BR" w:eastAsia="pt-BR"/>
              </w:rPr>
              <w:t>8</w:t>
            </w:r>
            <w:r w:rsidRPr="00A63C78">
              <w:rPr>
                <w:rFonts w:ascii="Arial" w:hAnsi="Arial" w:cs="Arial"/>
                <w:color w:val="000000"/>
                <w:sz w:val="18"/>
                <w:szCs w:val="18"/>
                <w:lang w:val="pt-BR" w:eastAsia="pt-BR"/>
              </w:rPr>
              <w:t>5</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916.</w:t>
            </w:r>
            <w:r w:rsidRPr="00045E57">
              <w:rPr>
                <w:rFonts w:ascii="Arial" w:hAnsi="Arial" w:cs="Arial"/>
                <w:color w:val="000000"/>
                <w:sz w:val="18"/>
                <w:szCs w:val="18"/>
                <w:lang w:val="pt-BR" w:eastAsia="pt-BR"/>
              </w:rPr>
              <w:t>05</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0</w:t>
            </w:r>
          </w:p>
        </w:tc>
      </w:tr>
      <w:tr w:rsidR="001C7AC3" w:rsidRPr="00045E57" w:rsidTr="00D948FB">
        <w:trPr>
          <w:trHeight w:val="128"/>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FOR.ACID</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367.</w:t>
            </w:r>
            <w:r w:rsidRPr="00045E57">
              <w:rPr>
                <w:rFonts w:ascii="Arial" w:hAnsi="Arial" w:cs="Arial"/>
                <w:color w:val="000000"/>
                <w:sz w:val="18"/>
                <w:szCs w:val="18"/>
                <w:lang w:val="pt-BR" w:eastAsia="pt-BR"/>
              </w:rPr>
              <w:t>09</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40E-13</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00058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367.</w:t>
            </w:r>
            <w:r w:rsidRPr="00045E57">
              <w:rPr>
                <w:rFonts w:ascii="Arial" w:hAnsi="Arial" w:cs="Arial"/>
                <w:color w:val="000000"/>
                <w:sz w:val="18"/>
                <w:szCs w:val="18"/>
                <w:lang w:val="pt-BR" w:eastAsia="pt-BR"/>
              </w:rPr>
              <w:t>09</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00058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w:t>
            </w:r>
            <w:r w:rsidRPr="00045E57">
              <w:rPr>
                <w:rFonts w:ascii="Arial" w:hAnsi="Arial" w:cs="Arial"/>
                <w:color w:val="000000"/>
                <w:sz w:val="18"/>
                <w:szCs w:val="18"/>
                <w:lang w:val="pt-BR" w:eastAsia="pt-BR"/>
              </w:rPr>
              <w:t>60E-18</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363.</w:t>
            </w:r>
            <w:r w:rsidRPr="00045E57">
              <w:rPr>
                <w:rFonts w:ascii="Arial" w:hAnsi="Arial" w:cs="Arial"/>
                <w:color w:val="000000"/>
                <w:sz w:val="18"/>
                <w:szCs w:val="18"/>
                <w:lang w:val="pt-BR" w:eastAsia="pt-BR"/>
              </w:rPr>
              <w:t>45</w:t>
            </w:r>
          </w:p>
        </w:tc>
      </w:tr>
      <w:tr w:rsidR="001C7AC3" w:rsidRPr="00A63C78" w:rsidTr="00D948FB">
        <w:trPr>
          <w:trHeight w:val="177"/>
        </w:trPr>
        <w:tc>
          <w:tcPr>
            <w:tcW w:w="8495" w:type="dxa"/>
            <w:gridSpan w:val="8"/>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b/>
                <w:color w:val="000000"/>
                <w:sz w:val="18"/>
                <w:szCs w:val="18"/>
                <w:lang w:val="pt-BR" w:eastAsia="pt-BR"/>
              </w:rPr>
            </w:pPr>
            <w:r w:rsidRPr="00045E57">
              <w:rPr>
                <w:rFonts w:ascii="Arial" w:hAnsi="Arial" w:cs="Arial"/>
                <w:b/>
                <w:color w:val="000000"/>
                <w:sz w:val="18"/>
                <w:szCs w:val="18"/>
                <w:lang w:val="pt-BR" w:eastAsia="pt-BR"/>
              </w:rPr>
              <w:t>Mass Frac</w:t>
            </w:r>
          </w:p>
        </w:tc>
      </w:tr>
      <w:tr w:rsidR="001C7AC3" w:rsidRPr="00045E57" w:rsidTr="00D948FB">
        <w:trPr>
          <w:trHeight w:val="148"/>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H</w:t>
            </w:r>
            <w:r w:rsidRPr="00045E57">
              <w:rPr>
                <w:rFonts w:ascii="Arial" w:hAnsi="Arial" w:cs="Arial"/>
                <w:color w:val="000000"/>
                <w:sz w:val="18"/>
                <w:szCs w:val="18"/>
                <w:vertAlign w:val="subscript"/>
                <w:lang w:val="pt-BR" w:eastAsia="pt-BR"/>
              </w:rPr>
              <w:t>2</w:t>
            </w:r>
            <w:r w:rsidRPr="00045E57">
              <w:rPr>
                <w:rFonts w:ascii="Arial" w:hAnsi="Arial" w:cs="Arial"/>
                <w:color w:val="000000"/>
                <w:sz w:val="18"/>
                <w:szCs w:val="18"/>
                <w:lang w:val="pt-BR" w:eastAsia="pt-BR"/>
              </w:rPr>
              <w:t>O</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97</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5.</w:t>
            </w:r>
            <w:r w:rsidRPr="00045E57">
              <w:rPr>
                <w:rFonts w:ascii="Arial" w:hAnsi="Arial" w:cs="Arial"/>
                <w:color w:val="000000"/>
                <w:sz w:val="18"/>
                <w:szCs w:val="18"/>
                <w:lang w:val="pt-BR" w:eastAsia="pt-BR"/>
              </w:rPr>
              <w:t>91E-17</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w:t>
            </w:r>
            <w:r w:rsidRPr="00045E57">
              <w:rPr>
                <w:rFonts w:ascii="Arial" w:hAnsi="Arial" w:cs="Arial"/>
                <w:color w:val="000000"/>
                <w:sz w:val="18"/>
                <w:szCs w:val="18"/>
                <w:lang w:val="pt-BR" w:eastAsia="pt-BR"/>
              </w:rPr>
              <w:t>20E-05</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99</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00052</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4.</w:t>
            </w:r>
            <w:r w:rsidRPr="00045E57">
              <w:rPr>
                <w:rFonts w:ascii="Arial" w:hAnsi="Arial" w:cs="Arial"/>
                <w:color w:val="000000"/>
                <w:sz w:val="18"/>
                <w:szCs w:val="18"/>
                <w:lang w:val="pt-BR" w:eastAsia="pt-BR"/>
              </w:rPr>
              <w:t>90E-23</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051</w:t>
            </w:r>
          </w:p>
        </w:tc>
      </w:tr>
      <w:tr w:rsidR="001C7AC3" w:rsidRPr="00045E57" w:rsidTr="00D948FB">
        <w:trPr>
          <w:trHeight w:val="222"/>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H</w:t>
            </w:r>
            <w:r w:rsidRPr="00045E57">
              <w:rPr>
                <w:rFonts w:ascii="Arial" w:hAnsi="Arial" w:cs="Arial"/>
                <w:color w:val="000000"/>
                <w:sz w:val="18"/>
                <w:szCs w:val="18"/>
                <w:vertAlign w:val="subscript"/>
                <w:lang w:val="pt-BR" w:eastAsia="pt-BR"/>
              </w:rPr>
              <w:t>2</w:t>
            </w:r>
            <w:r w:rsidRPr="00045E57">
              <w:rPr>
                <w:rFonts w:ascii="Arial" w:hAnsi="Arial" w:cs="Arial"/>
                <w:color w:val="000000"/>
                <w:sz w:val="18"/>
                <w:szCs w:val="18"/>
                <w:lang w:val="pt-BR" w:eastAsia="pt-BR"/>
              </w:rPr>
              <w:t>SO</w:t>
            </w:r>
            <w:r w:rsidRPr="00045E57">
              <w:rPr>
                <w:rFonts w:ascii="Arial" w:hAnsi="Arial" w:cs="Arial"/>
                <w:color w:val="000000"/>
                <w:sz w:val="18"/>
                <w:szCs w:val="18"/>
                <w:vertAlign w:val="subscript"/>
                <w:lang w:val="pt-BR" w:eastAsia="pt-BR"/>
              </w:rPr>
              <w:t>4</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w:t>
            </w:r>
            <w:r w:rsidRPr="00045E57">
              <w:rPr>
                <w:rFonts w:ascii="Arial" w:hAnsi="Arial" w:cs="Arial"/>
                <w:color w:val="000000"/>
                <w:sz w:val="18"/>
                <w:szCs w:val="18"/>
                <w:lang w:val="pt-BR" w:eastAsia="pt-BR"/>
              </w:rPr>
              <w:t>38E-05</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98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0016</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w:t>
            </w:r>
            <w:r w:rsidRPr="00045E57">
              <w:rPr>
                <w:rFonts w:ascii="Arial" w:hAnsi="Arial" w:cs="Arial"/>
                <w:color w:val="000000"/>
                <w:sz w:val="18"/>
                <w:szCs w:val="18"/>
                <w:lang w:val="pt-BR" w:eastAsia="pt-BR"/>
              </w:rPr>
              <w:t>69E-09</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3.</w:t>
            </w:r>
            <w:r w:rsidRPr="00045E57">
              <w:rPr>
                <w:rFonts w:ascii="Arial" w:hAnsi="Arial" w:cs="Arial"/>
                <w:color w:val="000000"/>
                <w:sz w:val="18"/>
                <w:szCs w:val="18"/>
                <w:lang w:val="pt-BR" w:eastAsia="pt-BR"/>
              </w:rPr>
              <w:t>08E-05</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color w:val="000000"/>
                <w:sz w:val="18"/>
                <w:szCs w:val="18"/>
                <w:lang w:val="pt-BR" w:eastAsia="pt-BR"/>
              </w:rPr>
            </w:pPr>
            <w:r w:rsidRPr="00340A75">
              <w:rPr>
                <w:rFonts w:ascii="Arial" w:hAnsi="Arial" w:cs="Arial"/>
                <w:b/>
                <w:color w:val="000000"/>
                <w:sz w:val="18"/>
                <w:szCs w:val="18"/>
                <w:lang w:val="pt-BR" w:eastAsia="pt-BR"/>
              </w:rPr>
              <w:t>0.</w:t>
            </w:r>
            <w:r w:rsidRPr="00045E57">
              <w:rPr>
                <w:rFonts w:ascii="Arial" w:hAnsi="Arial" w:cs="Arial"/>
                <w:b/>
                <w:color w:val="000000"/>
                <w:sz w:val="18"/>
                <w:szCs w:val="18"/>
                <w:lang w:val="pt-BR" w:eastAsia="pt-BR"/>
              </w:rPr>
              <w:t>0017</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color w:val="000000"/>
                <w:sz w:val="18"/>
                <w:szCs w:val="18"/>
                <w:lang w:val="pt-BR" w:eastAsia="pt-BR"/>
              </w:rPr>
            </w:pPr>
            <w:r w:rsidRPr="0051745F">
              <w:rPr>
                <w:rFonts w:ascii="Arial" w:hAnsi="Arial" w:cs="Arial"/>
                <w:b/>
                <w:color w:val="000000"/>
                <w:sz w:val="18"/>
                <w:szCs w:val="18"/>
                <w:lang w:val="pt-BR" w:eastAsia="pt-BR"/>
              </w:rPr>
              <w:t>4.</w:t>
            </w:r>
            <w:r w:rsidRPr="00045E57">
              <w:rPr>
                <w:rFonts w:ascii="Arial" w:hAnsi="Arial" w:cs="Arial"/>
                <w:b/>
                <w:color w:val="000000"/>
                <w:sz w:val="18"/>
                <w:szCs w:val="18"/>
                <w:lang w:val="pt-BR" w:eastAsia="pt-BR"/>
              </w:rPr>
              <w:t>47E-07</w:t>
            </w:r>
          </w:p>
        </w:tc>
      </w:tr>
      <w:tr w:rsidR="001C7AC3" w:rsidRPr="00045E57" w:rsidTr="00D948FB">
        <w:trPr>
          <w:trHeight w:val="140"/>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LEV.ACID</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02</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00078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98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00019</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665378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color w:val="000000"/>
                <w:sz w:val="18"/>
                <w:szCs w:val="18"/>
                <w:lang w:val="pt-BR" w:eastAsia="pt-BR"/>
              </w:rPr>
            </w:pPr>
            <w:r w:rsidRPr="00F37934">
              <w:rPr>
                <w:rFonts w:ascii="Arial" w:hAnsi="Arial" w:cs="Arial"/>
                <w:b/>
                <w:color w:val="000000"/>
                <w:sz w:val="18"/>
                <w:szCs w:val="18"/>
                <w:lang w:val="pt-BR" w:eastAsia="pt-BR"/>
              </w:rPr>
              <w:t>0.</w:t>
            </w:r>
            <w:r w:rsidRPr="00045E57">
              <w:rPr>
                <w:rFonts w:ascii="Arial" w:hAnsi="Arial" w:cs="Arial"/>
                <w:b/>
                <w:color w:val="000000"/>
                <w:sz w:val="18"/>
                <w:szCs w:val="18"/>
                <w:lang w:val="pt-BR" w:eastAsia="pt-BR"/>
              </w:rPr>
              <w:t>99</w:t>
            </w:r>
            <w:r w:rsidRPr="00F37934">
              <w:rPr>
                <w:rFonts w:ascii="Arial" w:hAnsi="Arial" w:cs="Arial"/>
                <w:b/>
                <w:color w:val="000000"/>
                <w:sz w:val="18"/>
                <w:szCs w:val="18"/>
                <w:lang w:val="pt-BR" w:eastAsia="pt-BR"/>
              </w:rPr>
              <w:t>6</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0</w:t>
            </w:r>
          </w:p>
        </w:tc>
      </w:tr>
      <w:tr w:rsidR="001C7AC3" w:rsidRPr="00045E57" w:rsidTr="00D948FB">
        <w:trPr>
          <w:trHeight w:val="71"/>
        </w:trPr>
        <w:tc>
          <w:tcPr>
            <w:tcW w:w="1660"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HMF</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7.</w:t>
            </w:r>
            <w:r w:rsidRPr="00045E57">
              <w:rPr>
                <w:rFonts w:ascii="Arial" w:hAnsi="Arial" w:cs="Arial"/>
                <w:color w:val="000000"/>
                <w:sz w:val="18"/>
                <w:szCs w:val="18"/>
                <w:lang w:val="pt-BR" w:eastAsia="pt-BR"/>
              </w:rPr>
              <w:t>48E-06</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96E-06</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00036</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1.</w:t>
            </w:r>
            <w:r w:rsidRPr="00045E57">
              <w:rPr>
                <w:rFonts w:ascii="Arial" w:hAnsi="Arial" w:cs="Arial"/>
                <w:color w:val="000000"/>
                <w:sz w:val="18"/>
                <w:szCs w:val="18"/>
                <w:lang w:val="pt-BR" w:eastAsia="pt-BR"/>
              </w:rPr>
              <w:t>34E-08</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000164</w:t>
            </w:r>
          </w:p>
        </w:tc>
        <w:tc>
          <w:tcPr>
            <w:tcW w:w="976"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00037</w:t>
            </w:r>
          </w:p>
        </w:tc>
        <w:tc>
          <w:tcPr>
            <w:tcW w:w="977" w:type="dxa"/>
            <w:tcBorders>
              <w:top w:val="nil"/>
              <w:left w:val="nil"/>
              <w:bottom w:val="nil"/>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0</w:t>
            </w:r>
          </w:p>
        </w:tc>
      </w:tr>
      <w:tr w:rsidR="001C7AC3" w:rsidRPr="00045E57" w:rsidTr="00D948FB">
        <w:trPr>
          <w:trHeight w:val="160"/>
        </w:trPr>
        <w:tc>
          <w:tcPr>
            <w:tcW w:w="1660"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left"/>
              <w:rPr>
                <w:rFonts w:ascii="Arial" w:hAnsi="Arial" w:cs="Arial"/>
                <w:color w:val="000000"/>
                <w:sz w:val="18"/>
                <w:szCs w:val="18"/>
                <w:lang w:val="pt-BR" w:eastAsia="pt-BR"/>
              </w:rPr>
            </w:pPr>
            <w:r w:rsidRPr="00045E57">
              <w:rPr>
                <w:rFonts w:ascii="Arial" w:hAnsi="Arial" w:cs="Arial"/>
                <w:color w:val="000000"/>
                <w:sz w:val="18"/>
                <w:szCs w:val="18"/>
                <w:lang w:val="pt-BR" w:eastAsia="pt-BR"/>
              </w:rPr>
              <w:t>FOR.ACID</w:t>
            </w:r>
          </w:p>
        </w:tc>
        <w:tc>
          <w:tcPr>
            <w:tcW w:w="977"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007</w:t>
            </w:r>
            <w:r>
              <w:rPr>
                <w:rFonts w:ascii="Arial" w:hAnsi="Arial" w:cs="Arial"/>
                <w:color w:val="000000"/>
                <w:sz w:val="18"/>
                <w:szCs w:val="18"/>
                <w:lang w:val="pt-BR" w:eastAsia="pt-BR"/>
              </w:rPr>
              <w:t>7</w:t>
            </w:r>
          </w:p>
        </w:tc>
        <w:tc>
          <w:tcPr>
            <w:tcW w:w="977"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5.</w:t>
            </w:r>
            <w:r w:rsidRPr="00045E57">
              <w:rPr>
                <w:rFonts w:ascii="Arial" w:hAnsi="Arial" w:cs="Arial"/>
                <w:color w:val="000000"/>
                <w:sz w:val="18"/>
                <w:szCs w:val="18"/>
                <w:lang w:val="pt-BR" w:eastAsia="pt-BR"/>
              </w:rPr>
              <w:t>50E-17</w:t>
            </w:r>
          </w:p>
        </w:tc>
        <w:tc>
          <w:tcPr>
            <w:tcW w:w="976"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6.</w:t>
            </w:r>
            <w:r w:rsidRPr="00045E57">
              <w:rPr>
                <w:rFonts w:ascii="Arial" w:hAnsi="Arial" w:cs="Arial"/>
                <w:color w:val="000000"/>
                <w:sz w:val="18"/>
                <w:szCs w:val="18"/>
                <w:lang w:val="pt-BR" w:eastAsia="pt-BR"/>
              </w:rPr>
              <w:t>12E-07</w:t>
            </w:r>
          </w:p>
        </w:tc>
        <w:tc>
          <w:tcPr>
            <w:tcW w:w="976"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0.</w:t>
            </w:r>
            <w:r w:rsidRPr="00045E57">
              <w:rPr>
                <w:rFonts w:ascii="Arial" w:hAnsi="Arial" w:cs="Arial"/>
                <w:color w:val="000000"/>
                <w:sz w:val="18"/>
                <w:szCs w:val="18"/>
                <w:lang w:val="pt-BR" w:eastAsia="pt-BR"/>
              </w:rPr>
              <w:t>007914</w:t>
            </w:r>
          </w:p>
        </w:tc>
        <w:tc>
          <w:tcPr>
            <w:tcW w:w="976"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045E57">
              <w:rPr>
                <w:rFonts w:ascii="Arial" w:hAnsi="Arial" w:cs="Arial"/>
                <w:color w:val="000000"/>
                <w:sz w:val="18"/>
                <w:szCs w:val="18"/>
                <w:lang w:val="pt-BR" w:eastAsia="pt-BR"/>
              </w:rPr>
              <w:t>1,46E-05</w:t>
            </w:r>
          </w:p>
        </w:tc>
        <w:tc>
          <w:tcPr>
            <w:tcW w:w="976"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color w:val="000000"/>
                <w:sz w:val="18"/>
                <w:szCs w:val="18"/>
                <w:lang w:val="pt-BR" w:eastAsia="pt-BR"/>
              </w:rPr>
            </w:pPr>
            <w:r w:rsidRPr="00A63C78">
              <w:rPr>
                <w:rFonts w:ascii="Arial" w:hAnsi="Arial" w:cs="Arial"/>
                <w:color w:val="000000"/>
                <w:sz w:val="18"/>
                <w:szCs w:val="18"/>
                <w:lang w:val="pt-BR" w:eastAsia="pt-BR"/>
              </w:rPr>
              <w:t>2.</w:t>
            </w:r>
            <w:r w:rsidRPr="00045E57">
              <w:rPr>
                <w:rFonts w:ascii="Arial" w:hAnsi="Arial" w:cs="Arial"/>
                <w:color w:val="000000"/>
                <w:sz w:val="18"/>
                <w:szCs w:val="18"/>
                <w:lang w:val="pt-BR" w:eastAsia="pt-BR"/>
              </w:rPr>
              <w:t>83E-21</w:t>
            </w:r>
          </w:p>
        </w:tc>
        <w:tc>
          <w:tcPr>
            <w:tcW w:w="977" w:type="dxa"/>
            <w:tcBorders>
              <w:top w:val="nil"/>
              <w:left w:val="nil"/>
              <w:bottom w:val="single" w:sz="12" w:space="0" w:color="00B050"/>
              <w:right w:val="nil"/>
            </w:tcBorders>
            <w:shd w:val="clear" w:color="auto" w:fill="auto"/>
            <w:noWrap/>
            <w:vAlign w:val="bottom"/>
            <w:hideMark/>
          </w:tcPr>
          <w:p w:rsidR="001C7AC3" w:rsidRPr="00045E57" w:rsidRDefault="001C7AC3" w:rsidP="00D948FB">
            <w:pPr>
              <w:spacing w:line="240" w:lineRule="auto"/>
              <w:jc w:val="center"/>
              <w:rPr>
                <w:rFonts w:ascii="Arial" w:hAnsi="Arial" w:cs="Arial"/>
                <w:b/>
                <w:color w:val="000000"/>
                <w:sz w:val="18"/>
                <w:szCs w:val="18"/>
                <w:lang w:val="pt-BR" w:eastAsia="pt-BR"/>
              </w:rPr>
            </w:pPr>
            <w:r w:rsidRPr="00F37934">
              <w:rPr>
                <w:rFonts w:ascii="Arial" w:hAnsi="Arial" w:cs="Arial"/>
                <w:b/>
                <w:color w:val="000000"/>
                <w:sz w:val="18"/>
                <w:szCs w:val="18"/>
                <w:lang w:val="pt-BR" w:eastAsia="pt-BR"/>
              </w:rPr>
              <w:t>0.</w:t>
            </w:r>
            <w:r w:rsidRPr="00045E57">
              <w:rPr>
                <w:rFonts w:ascii="Arial" w:hAnsi="Arial" w:cs="Arial"/>
                <w:b/>
                <w:color w:val="000000"/>
                <w:sz w:val="18"/>
                <w:szCs w:val="18"/>
                <w:lang w:val="pt-BR" w:eastAsia="pt-BR"/>
              </w:rPr>
              <w:t>948</w:t>
            </w:r>
          </w:p>
        </w:tc>
      </w:tr>
    </w:tbl>
    <w:p w:rsidR="0059510A" w:rsidRPr="009330CD" w:rsidRDefault="0059510A" w:rsidP="0059510A">
      <w:pPr>
        <w:pStyle w:val="CET-table-title"/>
        <w:spacing w:line="264" w:lineRule="auto"/>
        <w:jc w:val="both"/>
        <w:rPr>
          <w:rFonts w:ascii="Times New Roman" w:hAnsi="Times New Roman"/>
          <w:b/>
          <w:sz w:val="24"/>
          <w:szCs w:val="24"/>
        </w:rPr>
      </w:pPr>
      <w:r w:rsidRPr="009330CD">
        <w:rPr>
          <w:szCs w:val="18"/>
        </w:rPr>
        <w:t xml:space="preserve">Table 2: </w:t>
      </w:r>
      <w:r w:rsidR="009330CD" w:rsidRPr="009330CD">
        <w:rPr>
          <w:szCs w:val="18"/>
        </w:rPr>
        <w:t>Results of the main energy consumption blocks (in kW) of the simulation.</w:t>
      </w:r>
    </w:p>
    <w:tbl>
      <w:tblPr>
        <w:tblW w:w="8515" w:type="dxa"/>
        <w:tblInd w:w="60" w:type="dxa"/>
        <w:tblBorders>
          <w:top w:val="single" w:sz="12" w:space="0" w:color="00B050"/>
          <w:bottom w:val="single" w:sz="12" w:space="0" w:color="00B050"/>
        </w:tblBorders>
        <w:tblCellMar>
          <w:left w:w="70" w:type="dxa"/>
          <w:right w:w="70" w:type="dxa"/>
        </w:tblCellMar>
        <w:tblLook w:val="04A0" w:firstRow="1" w:lastRow="0" w:firstColumn="1" w:lastColumn="0" w:noHBand="0" w:noVBand="1"/>
      </w:tblPr>
      <w:tblGrid>
        <w:gridCol w:w="645"/>
        <w:gridCol w:w="1062"/>
        <w:gridCol w:w="997"/>
        <w:gridCol w:w="824"/>
        <w:gridCol w:w="1099"/>
        <w:gridCol w:w="1194"/>
        <w:gridCol w:w="650"/>
        <w:gridCol w:w="910"/>
        <w:gridCol w:w="1134"/>
      </w:tblGrid>
      <w:tr w:rsidR="0059510A" w:rsidRPr="00BC5516" w:rsidTr="00B2745B">
        <w:trPr>
          <w:trHeight w:val="276"/>
        </w:trPr>
        <w:tc>
          <w:tcPr>
            <w:tcW w:w="2704" w:type="dxa"/>
            <w:gridSpan w:val="3"/>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Heat</w:t>
            </w:r>
            <w:r w:rsidR="001F63B1">
              <w:rPr>
                <w:rFonts w:ascii="Arial" w:hAnsi="Arial" w:cs="Arial"/>
                <w:b/>
                <w:bCs/>
                <w:color w:val="000000"/>
                <w:sz w:val="18"/>
                <w:szCs w:val="18"/>
                <w:lang w:val="pt-BR" w:eastAsia="pt-BR"/>
              </w:rPr>
              <w:t xml:space="preserve"> </w:t>
            </w:r>
            <w:r w:rsidRPr="00BC5516">
              <w:rPr>
                <w:rFonts w:ascii="Arial" w:hAnsi="Arial" w:cs="Arial"/>
                <w:b/>
                <w:bCs/>
                <w:color w:val="000000"/>
                <w:sz w:val="18"/>
                <w:szCs w:val="18"/>
                <w:lang w:val="pt-BR" w:eastAsia="pt-BR"/>
              </w:rPr>
              <w:t>Exchangers</w:t>
            </w:r>
            <w:r w:rsidR="001F63B1">
              <w:rPr>
                <w:rFonts w:ascii="Arial" w:hAnsi="Arial" w:cs="Arial"/>
                <w:b/>
                <w:bCs/>
                <w:color w:val="000000"/>
                <w:sz w:val="18"/>
                <w:szCs w:val="18"/>
                <w:lang w:val="pt-BR" w:eastAsia="pt-BR"/>
              </w:rPr>
              <w:t xml:space="preserve"> </w:t>
            </w:r>
            <w:r w:rsidRPr="00BC5516">
              <w:rPr>
                <w:rFonts w:ascii="Arial" w:hAnsi="Arial" w:cs="Arial"/>
                <w:b/>
                <w:bCs/>
                <w:color w:val="000000"/>
                <w:sz w:val="18"/>
                <w:szCs w:val="18"/>
                <w:lang w:val="pt-BR" w:eastAsia="pt-BR"/>
              </w:rPr>
              <w:t>utilities</w:t>
            </w:r>
          </w:p>
        </w:tc>
        <w:tc>
          <w:tcPr>
            <w:tcW w:w="3117" w:type="dxa"/>
            <w:gridSpan w:val="3"/>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Distillation</w:t>
            </w:r>
            <w:r w:rsidR="001F63B1">
              <w:rPr>
                <w:rFonts w:ascii="Arial" w:hAnsi="Arial" w:cs="Arial"/>
                <w:b/>
                <w:bCs/>
                <w:color w:val="000000"/>
                <w:sz w:val="18"/>
                <w:szCs w:val="18"/>
                <w:lang w:val="pt-BR" w:eastAsia="pt-BR"/>
              </w:rPr>
              <w:t xml:space="preserve"> </w:t>
            </w:r>
            <w:r w:rsidRPr="00BC5516">
              <w:rPr>
                <w:rFonts w:ascii="Arial" w:hAnsi="Arial" w:cs="Arial"/>
                <w:b/>
                <w:bCs/>
                <w:color w:val="000000"/>
                <w:sz w:val="18"/>
                <w:szCs w:val="18"/>
                <w:lang w:val="pt-BR" w:eastAsia="pt-BR"/>
              </w:rPr>
              <w:t>Columns</w:t>
            </w:r>
            <w:r w:rsidR="001F63B1">
              <w:rPr>
                <w:rFonts w:ascii="Arial" w:hAnsi="Arial" w:cs="Arial"/>
                <w:b/>
                <w:bCs/>
                <w:color w:val="000000"/>
                <w:sz w:val="18"/>
                <w:szCs w:val="18"/>
                <w:lang w:val="pt-BR" w:eastAsia="pt-BR"/>
              </w:rPr>
              <w:t xml:space="preserve"> </w:t>
            </w:r>
            <w:r w:rsidRPr="00BC5516">
              <w:rPr>
                <w:rFonts w:ascii="Arial" w:hAnsi="Arial" w:cs="Arial"/>
                <w:b/>
                <w:bCs/>
                <w:color w:val="000000"/>
                <w:sz w:val="18"/>
                <w:szCs w:val="18"/>
                <w:lang w:val="pt-BR" w:eastAsia="pt-BR"/>
              </w:rPr>
              <w:t>utilities</w:t>
            </w:r>
          </w:p>
        </w:tc>
        <w:tc>
          <w:tcPr>
            <w:tcW w:w="2694" w:type="dxa"/>
            <w:gridSpan w:val="3"/>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Reactor</w:t>
            </w:r>
            <w:r w:rsidR="001F63B1">
              <w:rPr>
                <w:rFonts w:ascii="Arial" w:hAnsi="Arial" w:cs="Arial"/>
                <w:b/>
                <w:bCs/>
                <w:color w:val="000000"/>
                <w:sz w:val="18"/>
                <w:szCs w:val="18"/>
                <w:lang w:val="pt-BR" w:eastAsia="pt-BR"/>
              </w:rPr>
              <w:t xml:space="preserve"> </w:t>
            </w:r>
            <w:r w:rsidRPr="00BC5516">
              <w:rPr>
                <w:rFonts w:ascii="Arial" w:hAnsi="Arial" w:cs="Arial"/>
                <w:b/>
                <w:bCs/>
                <w:color w:val="000000"/>
                <w:sz w:val="18"/>
                <w:szCs w:val="18"/>
                <w:lang w:val="pt-BR" w:eastAsia="pt-BR"/>
              </w:rPr>
              <w:t>utilities</w:t>
            </w:r>
          </w:p>
        </w:tc>
      </w:tr>
      <w:tr w:rsidR="0059510A" w:rsidRPr="00BC5516" w:rsidTr="0059510A">
        <w:trPr>
          <w:trHeight w:val="300"/>
        </w:trPr>
        <w:tc>
          <w:tcPr>
            <w:tcW w:w="645"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Block</w:t>
            </w:r>
          </w:p>
        </w:tc>
        <w:tc>
          <w:tcPr>
            <w:tcW w:w="1062"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Hot (kW)</w:t>
            </w:r>
          </w:p>
        </w:tc>
        <w:tc>
          <w:tcPr>
            <w:tcW w:w="997"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Cold (kW)</w:t>
            </w:r>
          </w:p>
        </w:tc>
        <w:tc>
          <w:tcPr>
            <w:tcW w:w="824"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Block</w:t>
            </w:r>
          </w:p>
        </w:tc>
        <w:tc>
          <w:tcPr>
            <w:tcW w:w="1099"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Hot (kW)</w:t>
            </w:r>
          </w:p>
        </w:tc>
        <w:tc>
          <w:tcPr>
            <w:tcW w:w="1194"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Cold (kW)</w:t>
            </w:r>
          </w:p>
        </w:tc>
        <w:tc>
          <w:tcPr>
            <w:tcW w:w="650"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Block</w:t>
            </w:r>
          </w:p>
        </w:tc>
        <w:tc>
          <w:tcPr>
            <w:tcW w:w="910"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Hot (kW)</w:t>
            </w:r>
          </w:p>
        </w:tc>
        <w:tc>
          <w:tcPr>
            <w:tcW w:w="1134" w:type="dxa"/>
            <w:tcBorders>
              <w:top w:val="single" w:sz="12" w:space="0" w:color="00B050"/>
              <w:bottom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Cold (kW)</w:t>
            </w:r>
          </w:p>
        </w:tc>
      </w:tr>
      <w:tr w:rsidR="0059510A" w:rsidRPr="00BC5516" w:rsidTr="0059510A">
        <w:trPr>
          <w:trHeight w:val="300"/>
        </w:trPr>
        <w:tc>
          <w:tcPr>
            <w:tcW w:w="645"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B8</w:t>
            </w:r>
          </w:p>
        </w:tc>
        <w:tc>
          <w:tcPr>
            <w:tcW w:w="1062"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sidRPr="00BC5516">
              <w:rPr>
                <w:rFonts w:ascii="Arial" w:hAnsi="Arial" w:cs="Arial"/>
                <w:color w:val="000000"/>
                <w:sz w:val="18"/>
                <w:szCs w:val="18"/>
                <w:lang w:val="pt-BR" w:eastAsia="pt-BR"/>
              </w:rPr>
              <w:t>7218</w:t>
            </w:r>
          </w:p>
        </w:tc>
        <w:tc>
          <w:tcPr>
            <w:tcW w:w="997"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824"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B2</w:t>
            </w:r>
          </w:p>
        </w:tc>
        <w:tc>
          <w:tcPr>
            <w:tcW w:w="1099"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32669.</w:t>
            </w:r>
            <w:r w:rsidRPr="00BC5516">
              <w:rPr>
                <w:rFonts w:ascii="Arial" w:hAnsi="Arial" w:cs="Arial"/>
                <w:color w:val="000000"/>
                <w:sz w:val="18"/>
                <w:szCs w:val="18"/>
                <w:lang w:val="pt-BR" w:eastAsia="pt-BR"/>
              </w:rPr>
              <w:t>8</w:t>
            </w:r>
          </w:p>
        </w:tc>
        <w:tc>
          <w:tcPr>
            <w:tcW w:w="1194"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-35669.</w:t>
            </w:r>
            <w:r w:rsidRPr="00BC5516">
              <w:rPr>
                <w:rFonts w:ascii="Arial" w:hAnsi="Arial" w:cs="Arial"/>
                <w:color w:val="000000"/>
                <w:sz w:val="18"/>
                <w:szCs w:val="18"/>
                <w:lang w:val="pt-BR" w:eastAsia="pt-BR"/>
              </w:rPr>
              <w:t>4</w:t>
            </w:r>
          </w:p>
        </w:tc>
        <w:tc>
          <w:tcPr>
            <w:tcW w:w="650"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b/>
                <w:color w:val="000000"/>
                <w:sz w:val="18"/>
                <w:szCs w:val="18"/>
                <w:lang w:val="pt-BR" w:eastAsia="pt-BR"/>
              </w:rPr>
            </w:pPr>
            <w:r w:rsidRPr="00BC5516">
              <w:rPr>
                <w:rFonts w:ascii="Arial" w:hAnsi="Arial" w:cs="Arial"/>
                <w:b/>
                <w:color w:val="000000"/>
                <w:sz w:val="18"/>
                <w:szCs w:val="18"/>
                <w:lang w:val="pt-BR" w:eastAsia="pt-BR"/>
              </w:rPr>
              <w:t>B10</w:t>
            </w:r>
          </w:p>
        </w:tc>
        <w:tc>
          <w:tcPr>
            <w:tcW w:w="910"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2585.</w:t>
            </w:r>
            <w:r w:rsidRPr="00BC5516">
              <w:rPr>
                <w:rFonts w:ascii="Arial" w:hAnsi="Arial" w:cs="Arial"/>
                <w:color w:val="000000"/>
                <w:sz w:val="18"/>
                <w:szCs w:val="18"/>
                <w:lang w:val="pt-BR" w:eastAsia="pt-BR"/>
              </w:rPr>
              <w:t>6</w:t>
            </w:r>
          </w:p>
        </w:tc>
        <w:tc>
          <w:tcPr>
            <w:tcW w:w="1134" w:type="dxa"/>
            <w:tcBorders>
              <w:top w:val="single" w:sz="12" w:space="0" w:color="00B050"/>
            </w:tcBorders>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r>
      <w:tr w:rsidR="0059510A" w:rsidRPr="00BC5516" w:rsidTr="0059510A">
        <w:trPr>
          <w:trHeight w:val="300"/>
        </w:trPr>
        <w:tc>
          <w:tcPr>
            <w:tcW w:w="645" w:type="dxa"/>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B9</w:t>
            </w:r>
          </w:p>
        </w:tc>
        <w:tc>
          <w:tcPr>
            <w:tcW w:w="1062"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482.</w:t>
            </w:r>
            <w:r w:rsidRPr="00BC5516">
              <w:rPr>
                <w:rFonts w:ascii="Arial" w:hAnsi="Arial" w:cs="Arial"/>
                <w:color w:val="000000"/>
                <w:sz w:val="18"/>
                <w:szCs w:val="18"/>
                <w:lang w:val="pt-BR" w:eastAsia="pt-BR"/>
              </w:rPr>
              <w:t>7</w:t>
            </w:r>
          </w:p>
        </w:tc>
        <w:tc>
          <w:tcPr>
            <w:tcW w:w="997"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824" w:type="dxa"/>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B11</w:t>
            </w:r>
          </w:p>
        </w:tc>
        <w:tc>
          <w:tcPr>
            <w:tcW w:w="1099"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32013.</w:t>
            </w:r>
            <w:r w:rsidRPr="00BC5516">
              <w:rPr>
                <w:rFonts w:ascii="Arial" w:hAnsi="Arial" w:cs="Arial"/>
                <w:color w:val="000000"/>
                <w:sz w:val="18"/>
                <w:szCs w:val="18"/>
                <w:lang w:val="pt-BR" w:eastAsia="pt-BR"/>
              </w:rPr>
              <w:t>8</w:t>
            </w:r>
          </w:p>
        </w:tc>
        <w:tc>
          <w:tcPr>
            <w:tcW w:w="119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-31921.</w:t>
            </w:r>
            <w:r w:rsidRPr="00BC5516">
              <w:rPr>
                <w:rFonts w:ascii="Arial" w:hAnsi="Arial" w:cs="Arial"/>
                <w:color w:val="000000"/>
                <w:sz w:val="18"/>
                <w:szCs w:val="18"/>
                <w:lang w:val="pt-BR" w:eastAsia="pt-BR"/>
              </w:rPr>
              <w:t>3</w:t>
            </w:r>
          </w:p>
        </w:tc>
        <w:tc>
          <w:tcPr>
            <w:tcW w:w="650" w:type="dxa"/>
            <w:shd w:val="clear" w:color="auto" w:fill="auto"/>
            <w:noWrap/>
            <w:vAlign w:val="bottom"/>
            <w:hideMark/>
          </w:tcPr>
          <w:p w:rsidR="0059510A" w:rsidRPr="00BC5516" w:rsidRDefault="0059510A" w:rsidP="00D948FB">
            <w:pPr>
              <w:spacing w:line="240" w:lineRule="auto"/>
              <w:jc w:val="center"/>
              <w:rPr>
                <w:rFonts w:ascii="Arial" w:hAnsi="Arial" w:cs="Arial"/>
                <w:b/>
                <w:color w:val="000000"/>
                <w:sz w:val="18"/>
                <w:szCs w:val="18"/>
                <w:lang w:val="pt-BR" w:eastAsia="pt-BR"/>
              </w:rPr>
            </w:pPr>
            <w:r w:rsidRPr="00BC5516">
              <w:rPr>
                <w:rFonts w:ascii="Arial" w:hAnsi="Arial" w:cs="Arial"/>
                <w:b/>
                <w:color w:val="000000"/>
                <w:sz w:val="18"/>
                <w:szCs w:val="18"/>
                <w:lang w:val="pt-BR" w:eastAsia="pt-BR"/>
              </w:rPr>
              <w:t>B3</w:t>
            </w:r>
          </w:p>
        </w:tc>
        <w:tc>
          <w:tcPr>
            <w:tcW w:w="910"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113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-3173.</w:t>
            </w:r>
            <w:r w:rsidRPr="00BC5516">
              <w:rPr>
                <w:rFonts w:ascii="Arial" w:hAnsi="Arial" w:cs="Arial"/>
                <w:color w:val="000000"/>
                <w:sz w:val="18"/>
                <w:szCs w:val="18"/>
                <w:lang w:val="pt-BR" w:eastAsia="pt-BR"/>
              </w:rPr>
              <w:t>4</w:t>
            </w:r>
          </w:p>
        </w:tc>
      </w:tr>
      <w:tr w:rsidR="0059510A" w:rsidRPr="00BC5516" w:rsidTr="0059510A">
        <w:trPr>
          <w:trHeight w:val="300"/>
        </w:trPr>
        <w:tc>
          <w:tcPr>
            <w:tcW w:w="645" w:type="dxa"/>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B23</w:t>
            </w:r>
          </w:p>
        </w:tc>
        <w:tc>
          <w:tcPr>
            <w:tcW w:w="1062"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997"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-178.</w:t>
            </w:r>
            <w:r w:rsidRPr="00BC5516">
              <w:rPr>
                <w:rFonts w:ascii="Arial" w:hAnsi="Arial" w:cs="Arial"/>
                <w:color w:val="000000"/>
                <w:sz w:val="18"/>
                <w:szCs w:val="18"/>
                <w:lang w:val="pt-BR" w:eastAsia="pt-BR"/>
              </w:rPr>
              <w:t>5</w:t>
            </w:r>
          </w:p>
        </w:tc>
        <w:tc>
          <w:tcPr>
            <w:tcW w:w="824" w:type="dxa"/>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B14</w:t>
            </w:r>
          </w:p>
        </w:tc>
        <w:tc>
          <w:tcPr>
            <w:tcW w:w="1099"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-65.</w:t>
            </w:r>
            <w:r w:rsidRPr="00BC5516">
              <w:rPr>
                <w:rFonts w:ascii="Arial" w:hAnsi="Arial" w:cs="Arial"/>
                <w:color w:val="000000"/>
                <w:sz w:val="18"/>
                <w:szCs w:val="18"/>
                <w:lang w:val="pt-BR" w:eastAsia="pt-BR"/>
              </w:rPr>
              <w:t>1</w:t>
            </w:r>
          </w:p>
        </w:tc>
        <w:tc>
          <w:tcPr>
            <w:tcW w:w="119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65.</w:t>
            </w:r>
            <w:r w:rsidRPr="00BC5516">
              <w:rPr>
                <w:rFonts w:ascii="Arial" w:hAnsi="Arial" w:cs="Arial"/>
                <w:color w:val="000000"/>
                <w:sz w:val="18"/>
                <w:szCs w:val="18"/>
                <w:lang w:val="pt-BR" w:eastAsia="pt-BR"/>
              </w:rPr>
              <w:t>2</w:t>
            </w:r>
          </w:p>
        </w:tc>
        <w:tc>
          <w:tcPr>
            <w:tcW w:w="650" w:type="dxa"/>
            <w:shd w:val="clear" w:color="auto" w:fill="auto"/>
            <w:noWrap/>
            <w:vAlign w:val="bottom"/>
            <w:hideMark/>
          </w:tcPr>
          <w:p w:rsidR="0059510A" w:rsidRPr="00BC5516" w:rsidRDefault="0059510A" w:rsidP="00D948FB">
            <w:pPr>
              <w:spacing w:line="240" w:lineRule="auto"/>
              <w:jc w:val="center"/>
              <w:rPr>
                <w:rFonts w:ascii="Arial" w:hAnsi="Arial" w:cs="Arial"/>
                <w:b/>
                <w:color w:val="000000"/>
                <w:sz w:val="18"/>
                <w:szCs w:val="18"/>
                <w:lang w:val="pt-BR" w:eastAsia="pt-BR"/>
              </w:rPr>
            </w:pPr>
            <w:r w:rsidRPr="00BC5516">
              <w:rPr>
                <w:rFonts w:ascii="Arial" w:hAnsi="Arial" w:cs="Arial"/>
                <w:b/>
                <w:color w:val="000000"/>
                <w:sz w:val="18"/>
                <w:szCs w:val="18"/>
                <w:lang w:val="pt-BR" w:eastAsia="pt-BR"/>
              </w:rPr>
              <w:t>B17</w:t>
            </w:r>
          </w:p>
        </w:tc>
        <w:tc>
          <w:tcPr>
            <w:tcW w:w="910"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113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-837.</w:t>
            </w:r>
            <w:r w:rsidRPr="00BC5516">
              <w:rPr>
                <w:rFonts w:ascii="Arial" w:hAnsi="Arial" w:cs="Arial"/>
                <w:color w:val="000000"/>
                <w:sz w:val="18"/>
                <w:szCs w:val="18"/>
                <w:lang w:val="pt-BR" w:eastAsia="pt-BR"/>
              </w:rPr>
              <w:t>4</w:t>
            </w:r>
          </w:p>
        </w:tc>
      </w:tr>
      <w:tr w:rsidR="0059510A" w:rsidRPr="00BC5516" w:rsidTr="0059510A">
        <w:trPr>
          <w:trHeight w:val="300"/>
        </w:trPr>
        <w:tc>
          <w:tcPr>
            <w:tcW w:w="645" w:type="dxa"/>
            <w:shd w:val="clear" w:color="auto" w:fill="auto"/>
            <w:noWrap/>
            <w:vAlign w:val="bottom"/>
            <w:hideMark/>
          </w:tcPr>
          <w:p w:rsidR="0059510A" w:rsidRPr="00BC5516" w:rsidRDefault="0059510A" w:rsidP="00D948FB">
            <w:pPr>
              <w:spacing w:line="240" w:lineRule="auto"/>
              <w:jc w:val="center"/>
              <w:rPr>
                <w:rFonts w:ascii="Arial" w:hAnsi="Arial" w:cs="Arial"/>
                <w:b/>
                <w:bCs/>
                <w:color w:val="000000"/>
                <w:sz w:val="18"/>
                <w:szCs w:val="18"/>
                <w:lang w:val="pt-BR" w:eastAsia="pt-BR"/>
              </w:rPr>
            </w:pPr>
            <w:r w:rsidRPr="00BC5516">
              <w:rPr>
                <w:rFonts w:ascii="Arial" w:hAnsi="Arial" w:cs="Arial"/>
                <w:b/>
                <w:bCs/>
                <w:color w:val="000000"/>
                <w:sz w:val="18"/>
                <w:szCs w:val="18"/>
                <w:lang w:val="pt-BR" w:eastAsia="pt-BR"/>
              </w:rPr>
              <w:t>B24</w:t>
            </w:r>
          </w:p>
        </w:tc>
        <w:tc>
          <w:tcPr>
            <w:tcW w:w="1062"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997"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r>
              <w:rPr>
                <w:rFonts w:ascii="Arial" w:hAnsi="Arial" w:cs="Arial"/>
                <w:color w:val="000000"/>
                <w:sz w:val="18"/>
                <w:szCs w:val="18"/>
                <w:lang w:val="pt-BR" w:eastAsia="pt-BR"/>
              </w:rPr>
              <w:t>-131.</w:t>
            </w:r>
            <w:r w:rsidRPr="00BC5516">
              <w:rPr>
                <w:rFonts w:ascii="Arial" w:hAnsi="Arial" w:cs="Arial"/>
                <w:color w:val="000000"/>
                <w:sz w:val="18"/>
                <w:szCs w:val="18"/>
                <w:lang w:val="pt-BR" w:eastAsia="pt-BR"/>
              </w:rPr>
              <w:t>5</w:t>
            </w:r>
          </w:p>
        </w:tc>
        <w:tc>
          <w:tcPr>
            <w:tcW w:w="82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1099"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119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650"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910"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c>
          <w:tcPr>
            <w:tcW w:w="1134" w:type="dxa"/>
            <w:shd w:val="clear" w:color="auto" w:fill="auto"/>
            <w:noWrap/>
            <w:vAlign w:val="bottom"/>
            <w:hideMark/>
          </w:tcPr>
          <w:p w:rsidR="0059510A" w:rsidRPr="00BC5516" w:rsidRDefault="0059510A" w:rsidP="00D948FB">
            <w:pPr>
              <w:spacing w:line="240" w:lineRule="auto"/>
              <w:jc w:val="center"/>
              <w:rPr>
                <w:rFonts w:ascii="Arial" w:hAnsi="Arial" w:cs="Arial"/>
                <w:color w:val="000000"/>
                <w:sz w:val="18"/>
                <w:szCs w:val="18"/>
                <w:lang w:val="pt-BR" w:eastAsia="pt-BR"/>
              </w:rPr>
            </w:pPr>
          </w:p>
        </w:tc>
      </w:tr>
    </w:tbl>
    <w:p w:rsidR="00617D9E" w:rsidRDefault="00617D9E" w:rsidP="003E533E">
      <w:pPr>
        <w:pStyle w:val="CETBodytext"/>
        <w:rPr>
          <w:lang w:val="en-GB"/>
        </w:rPr>
      </w:pPr>
    </w:p>
    <w:p w:rsidR="005212AC" w:rsidRPr="00142C73" w:rsidRDefault="00617D9E" w:rsidP="003E533E">
      <w:pPr>
        <w:pStyle w:val="CETBodytext"/>
      </w:pPr>
      <w:r w:rsidRPr="00617D9E">
        <w:t>Table 1 shows the main results of process simulation. The streams were presented in terms of mass flow and mass fraction. Through them can be verified that the final concentrations of levulinic acid and formic acid are both marketable.</w:t>
      </w:r>
      <w:r w:rsidR="005212AC" w:rsidRPr="005212AC">
        <w:t xml:space="preserve"> </w:t>
      </w:r>
      <w:r w:rsidR="00142C73" w:rsidRPr="00142C73">
        <w:t>Here</w:t>
      </w:r>
      <w:r w:rsidR="00B40F90">
        <w:t>,</w:t>
      </w:r>
      <w:r w:rsidR="00A60C34">
        <w:t xml:space="preserve"> </w:t>
      </w:r>
      <w:r w:rsidR="00142C73">
        <w:t>it is important to stress out</w:t>
      </w:r>
      <w:r w:rsidR="005212AC" w:rsidRPr="00142C73">
        <w:t xml:space="preserve"> the high concentration</w:t>
      </w:r>
      <w:r w:rsidR="00A60C34">
        <w:t xml:space="preserve"> </w:t>
      </w:r>
      <w:r w:rsidR="005A57A9" w:rsidRPr="00142C73">
        <w:t>achieved</w:t>
      </w:r>
      <w:r w:rsidR="00A60C34">
        <w:t xml:space="preserve"> </w:t>
      </w:r>
      <w:r w:rsidR="005A57A9">
        <w:t>for</w:t>
      </w:r>
      <w:r w:rsidR="00A60C34">
        <w:t xml:space="preserve"> </w:t>
      </w:r>
      <w:r w:rsidR="005212AC" w:rsidRPr="00142C73">
        <w:t>levulinic acid (99.6 wt%).</w:t>
      </w:r>
    </w:p>
    <w:p w:rsidR="00A16E7B" w:rsidRDefault="00490AED" w:rsidP="003E533E">
      <w:pPr>
        <w:pStyle w:val="CETBodytext"/>
      </w:pPr>
      <w:r w:rsidRPr="00490AED">
        <w:t>Table 2 shows the</w:t>
      </w:r>
      <w:r w:rsidR="00A60C34">
        <w:t xml:space="preserve"> </w:t>
      </w:r>
      <w:r w:rsidR="00B40F90" w:rsidRPr="00490AED">
        <w:t>plant</w:t>
      </w:r>
      <w:r w:rsidRPr="00490AED">
        <w:t xml:space="preserve"> energy consumption data divided into hot and cold utilities. These data are</w:t>
      </w:r>
      <w:r w:rsidR="00B40F90">
        <w:t xml:space="preserve"> also</w:t>
      </w:r>
      <w:r w:rsidR="00A60C34">
        <w:t xml:space="preserve"> </w:t>
      </w:r>
      <w:r w:rsidR="00B40F90">
        <w:t>discriminated as</w:t>
      </w:r>
      <w:r w:rsidRPr="00490AED">
        <w:t xml:space="preserve">: heat exchangers, distillation columns and process reactors. From this table </w:t>
      </w:r>
      <w:r w:rsidR="005A57A9" w:rsidRPr="00490AED">
        <w:t>i</w:t>
      </w:r>
      <w:r w:rsidR="005A57A9">
        <w:t xml:space="preserve">t can be </w:t>
      </w:r>
      <w:r w:rsidRPr="00490AED">
        <w:t>noticed that there is a</w:t>
      </w:r>
      <w:r w:rsidR="00A60C34">
        <w:t xml:space="preserve"> </w:t>
      </w:r>
      <w:r w:rsidRPr="00490AED">
        <w:t>potential for energy integration between heat exchangers</w:t>
      </w:r>
      <w:r w:rsidR="00B40F90">
        <w:t>.</w:t>
      </w:r>
      <w:r w:rsidR="00A60C34">
        <w:t xml:space="preserve"> </w:t>
      </w:r>
      <w:r w:rsidR="00B40F90">
        <w:t>H</w:t>
      </w:r>
      <w:r w:rsidRPr="00490AED">
        <w:t xml:space="preserve">owever, </w:t>
      </w:r>
      <w:r w:rsidR="00B40F90">
        <w:t>the energy</w:t>
      </w:r>
      <w:r w:rsidR="00A60C34">
        <w:t xml:space="preserve"> </w:t>
      </w:r>
      <w:r w:rsidRPr="00490AED">
        <w:t xml:space="preserve">integration would not meet even part of all the process energy requirement. </w:t>
      </w:r>
      <w:r w:rsidR="00A60C34" w:rsidRPr="00A60C34">
        <w:t xml:space="preserve">Considering this context, the energy integration was left aside for now. Still in Table 2, it can be observed that the distillation columns (B2 and B11) present most of the energy consumption of the whole process both in hot and cold utilities. </w:t>
      </w:r>
      <w:r w:rsidR="00A16E7B" w:rsidRPr="00A16E7B">
        <w:t>The unit of energy expenditures of each column are comparative to the bioethanol production industry. According to Ponce et al. (2015), simulations designed to produce 700,000 l/day of hydrous ethanol with a minimum top concentration of 92.6 wt% ethanol from an initial ethanol-water mixture of 8 wt% ethanol consumes in average 40 kW on the column reboiler. Despite the differences in the amount produced, relative volatility and the difference between the initial</w:t>
      </w:r>
      <w:r w:rsidR="00A16E7B">
        <w:t xml:space="preserve"> concentrations (in the present</w:t>
      </w:r>
      <w:r w:rsidR="00A16E7B" w:rsidRPr="00A16E7B">
        <w:t xml:space="preserve"> work the levulinic acid h</w:t>
      </w:r>
      <w:r w:rsidR="00A16E7B">
        <w:t>as 2 wt% when it is enter in</w:t>
      </w:r>
      <w:r w:rsidR="00A16E7B" w:rsidRPr="00A16E7B">
        <w:t xml:space="preserve"> the first column), the</w:t>
      </w:r>
      <w:r w:rsidR="00A16E7B">
        <w:t xml:space="preserve"> energy expenditure</w:t>
      </w:r>
      <w:r w:rsidR="00A16E7B" w:rsidRPr="00A16E7B">
        <w:t xml:space="preserve"> data corroborates mainly because the amount of water separated in both processes were similar. </w:t>
      </w:r>
    </w:p>
    <w:p w:rsidR="00AA649B" w:rsidRPr="00142C73" w:rsidRDefault="00A077AB" w:rsidP="003E533E">
      <w:pPr>
        <w:pStyle w:val="CETBodytext"/>
      </w:pPr>
      <w:r w:rsidRPr="00A077AB">
        <w:t xml:space="preserve">Back in Table 1 it can be noticed a large amount of water circulating in the separation process (streams 3 and 33). These water streams correspond to the largest mass flow rate in the process. Likewise, these streams are the main consumer of hot and cold utilities in the distillation columns due to the successive evaporations and condensations. Water can be seen as a major contributor to energy consumption because, besides being present in high amounts inside the process, its separation from the compounds of interest is mandatory. In addition to this, water has a high heat capacity so its separation always demands a high amounts of energy. </w:t>
      </w:r>
      <w:r w:rsidR="00142C73" w:rsidRPr="00142C73">
        <w:t>Thus, it would be interesting in future works to search alternatives to distillation in order to separate the levulinic acid from the aqueous solution by using less energy.</w:t>
      </w:r>
    </w:p>
    <w:p w:rsidR="008B66C2" w:rsidRDefault="00BD1890" w:rsidP="00DB713F">
      <w:pPr>
        <w:pStyle w:val="CETBodytext"/>
      </w:pPr>
      <w:r w:rsidRPr="001664C7">
        <w:t>Regarding</w:t>
      </w:r>
      <w:r w:rsidR="001664C7" w:rsidRPr="001664C7">
        <w:t xml:space="preserve"> the catalyst (H</w:t>
      </w:r>
      <w:r w:rsidR="001664C7" w:rsidRPr="001664C7">
        <w:rPr>
          <w:vertAlign w:val="subscript"/>
        </w:rPr>
        <w:t>2</w:t>
      </w:r>
      <w:r w:rsidR="001664C7" w:rsidRPr="001664C7">
        <w:t>SO</w:t>
      </w:r>
      <w:r w:rsidR="001664C7" w:rsidRPr="001664C7">
        <w:rPr>
          <w:vertAlign w:val="subscript"/>
        </w:rPr>
        <w:t>4</w:t>
      </w:r>
      <w:r w:rsidR="001664C7" w:rsidRPr="001664C7">
        <w:t xml:space="preserve">), </w:t>
      </w:r>
      <w:r>
        <w:t xml:space="preserve">its </w:t>
      </w:r>
      <w:r w:rsidR="001664C7" w:rsidRPr="001664C7">
        <w:t>insertion</w:t>
      </w:r>
      <w:r>
        <w:t xml:space="preserve"> at low quantities</w:t>
      </w:r>
      <w:r w:rsidR="001664C7" w:rsidRPr="001664C7">
        <w:t xml:space="preserve"> is necessary to the process and it is provided </w:t>
      </w:r>
      <w:r>
        <w:t>by</w:t>
      </w:r>
      <w:r w:rsidR="00A077AB">
        <w:t xml:space="preserve"> </w:t>
      </w:r>
      <w:r w:rsidR="001664C7" w:rsidRPr="001664C7">
        <w:t xml:space="preserve">a </w:t>
      </w:r>
      <w:r w:rsidR="00DF5C76" w:rsidRPr="001664C7">
        <w:rPr>
          <w:i/>
        </w:rPr>
        <w:t>makeup</w:t>
      </w:r>
      <w:r w:rsidR="001664C7">
        <w:t xml:space="preserve"> stream (approximately 16 kg/</w:t>
      </w:r>
      <w:r w:rsidR="001664C7" w:rsidRPr="001664C7">
        <w:t>hr). Most</w:t>
      </w:r>
      <w:r>
        <w:t xml:space="preserve"> of the losses</w:t>
      </w:r>
      <w:r w:rsidR="001664C7" w:rsidRPr="001664C7">
        <w:t xml:space="preserve"> of </w:t>
      </w:r>
      <w:r w:rsidRPr="001664C7">
        <w:t>H</w:t>
      </w:r>
      <w:r w:rsidRPr="001664C7">
        <w:rPr>
          <w:vertAlign w:val="subscript"/>
        </w:rPr>
        <w:t>2</w:t>
      </w:r>
      <w:r w:rsidRPr="001664C7">
        <w:t>SO</w:t>
      </w:r>
      <w:r w:rsidRPr="001664C7">
        <w:rPr>
          <w:vertAlign w:val="subscript"/>
        </w:rPr>
        <w:t>4</w:t>
      </w:r>
      <w:r w:rsidR="00A077AB">
        <w:rPr>
          <w:vertAlign w:val="subscript"/>
        </w:rPr>
        <w:t xml:space="preserve"> </w:t>
      </w:r>
      <w:r>
        <w:t xml:space="preserve">are located </w:t>
      </w:r>
      <w:r w:rsidR="001664C7" w:rsidRPr="001664C7">
        <w:t>in the product</w:t>
      </w:r>
      <w:r>
        <w:t xml:space="preserve"> streams</w:t>
      </w:r>
      <w:r w:rsidR="001664C7" w:rsidRPr="001664C7">
        <w:t xml:space="preserve"> (LA and FA) and in the filter after the reactor, however, this amount is low compared to the amount of LA and FA produced (916 and 363 kg/hr, respectively). Despite of the filter stream residue</w:t>
      </w:r>
      <w:r w:rsidR="00A63A7F">
        <w:t xml:space="preserve"> </w:t>
      </w:r>
      <w:r w:rsidR="00FE4C5E">
        <w:t>(</w:t>
      </w:r>
      <w:r w:rsidR="001664C7" w:rsidRPr="001664C7">
        <w:t xml:space="preserve">which is intended to retain solid compounds </w:t>
      </w:r>
      <w:r>
        <w:t>that</w:t>
      </w:r>
      <w:r w:rsidR="001664C7" w:rsidRPr="001664C7">
        <w:t xml:space="preserve"> could</w:t>
      </w:r>
      <w:r w:rsidR="00A077AB">
        <w:t xml:space="preserve"> </w:t>
      </w:r>
      <w:r w:rsidR="00A63A7F" w:rsidRPr="001664C7">
        <w:t>eventually</w:t>
      </w:r>
      <w:r w:rsidR="001664C7" w:rsidRPr="001664C7">
        <w:t xml:space="preserve"> enter the distillation columns</w:t>
      </w:r>
      <w:r w:rsidR="00FE4C5E">
        <w:t>)</w:t>
      </w:r>
      <w:r w:rsidR="001664C7" w:rsidRPr="001664C7">
        <w:t xml:space="preserve"> the process does not generate any waste. Process efforts were intensified </w:t>
      </w:r>
      <w:r w:rsidR="00A63A7F">
        <w:t>around</w:t>
      </w:r>
      <w:r w:rsidR="001664C7" w:rsidRPr="001664C7">
        <w:t xml:space="preserve"> the</w:t>
      </w:r>
      <w:r w:rsidR="00A077AB">
        <w:t xml:space="preserve"> </w:t>
      </w:r>
      <w:r w:rsidR="00A63A7F" w:rsidRPr="001664C7">
        <w:t>catalyst</w:t>
      </w:r>
      <w:r w:rsidR="00FE4C5E">
        <w:t xml:space="preserve"> recycle stream </w:t>
      </w:r>
      <w:r w:rsidR="001664C7" w:rsidRPr="001664C7">
        <w:t>(H</w:t>
      </w:r>
      <w:r w:rsidR="001664C7" w:rsidRPr="001664C7">
        <w:rPr>
          <w:vertAlign w:val="subscript"/>
        </w:rPr>
        <w:t>2</w:t>
      </w:r>
      <w:r w:rsidR="001664C7" w:rsidRPr="001664C7">
        <w:t>SO</w:t>
      </w:r>
      <w:r w:rsidR="001664C7" w:rsidRPr="001664C7">
        <w:rPr>
          <w:vertAlign w:val="subscript"/>
        </w:rPr>
        <w:t>4</w:t>
      </w:r>
      <w:r w:rsidR="001664C7" w:rsidRPr="001664C7">
        <w:t>) and water (H</w:t>
      </w:r>
      <w:r w:rsidR="001664C7" w:rsidRPr="001664C7">
        <w:rPr>
          <w:vertAlign w:val="subscript"/>
        </w:rPr>
        <w:t>2</w:t>
      </w:r>
      <w:r w:rsidR="001664C7" w:rsidRPr="001664C7">
        <w:t>O)</w:t>
      </w:r>
      <w:r w:rsidR="00FE4C5E">
        <w:t xml:space="preserve"> stream</w:t>
      </w:r>
      <w:r w:rsidR="001664C7" w:rsidRPr="001664C7">
        <w:t xml:space="preserve"> in order</w:t>
      </w:r>
      <w:r w:rsidR="00A63A7F">
        <w:t xml:space="preserve"> to avoid</w:t>
      </w:r>
      <w:r w:rsidR="001664C7" w:rsidRPr="001664C7">
        <w:t xml:space="preserve"> water and sulfuric acid </w:t>
      </w:r>
      <w:r w:rsidR="00A63A7F">
        <w:t>losses or improper disposal</w:t>
      </w:r>
      <w:r w:rsidR="001664C7" w:rsidRPr="001664C7">
        <w:t xml:space="preserve">. </w:t>
      </w:r>
      <w:r w:rsidR="00FE4C5E">
        <w:t>A</w:t>
      </w:r>
      <w:r w:rsidR="00FE4C5E" w:rsidRPr="00FE4C5E">
        <w:t xml:space="preserve"> major concern of the simulation was</w:t>
      </w:r>
      <w:r w:rsidR="001664C7" w:rsidRPr="001664C7">
        <w:t xml:space="preserve"> </w:t>
      </w:r>
      <w:r w:rsidR="00DF5C76" w:rsidRPr="001664C7">
        <w:t>cause</w:t>
      </w:r>
      <w:r w:rsidR="001664C7" w:rsidRPr="001664C7">
        <w:t xml:space="preserve"> minimal environmental impact. </w:t>
      </w:r>
      <w:r w:rsidR="008B66C2" w:rsidRPr="008B66C2">
        <w:t xml:space="preserve">Based on </w:t>
      </w:r>
      <w:r w:rsidR="00F77CF7">
        <w:t>the simulation results presented</w:t>
      </w:r>
      <w:r w:rsidR="008B66C2" w:rsidRPr="008B66C2">
        <w:t>, it can be said that the production process of levulinic acid has great chances of being highly sustainable on a large scale. This inference also takes into consideration the raw material used which, in turn, does not fail to add a positive sense to the simulation in the face of new global environmental trends.</w:t>
      </w:r>
    </w:p>
    <w:p w:rsidR="001664C7" w:rsidRDefault="001664C7" w:rsidP="00DB713F">
      <w:pPr>
        <w:pStyle w:val="CETBodytext"/>
      </w:pPr>
      <w:r w:rsidRPr="001664C7">
        <w:t>One of the great innovations of the proposed simulation is the recovery of the top stream of column B11 with subsequent separation and concentration of formic acid at elevated</w:t>
      </w:r>
      <w:r w:rsidR="00FE4C5E">
        <w:t xml:space="preserve"> </w:t>
      </w:r>
      <w:r w:rsidR="00D37094" w:rsidRPr="001664C7">
        <w:t>purity</w:t>
      </w:r>
      <w:r w:rsidRPr="001664C7">
        <w:t xml:space="preserve"> levels. In this</w:t>
      </w:r>
      <w:r w:rsidR="00F77CF7">
        <w:t xml:space="preserve"> present</w:t>
      </w:r>
      <w:r w:rsidRPr="001664C7">
        <w:t xml:space="preserve"> work the formic acid was recovered by adsorption with activated </w:t>
      </w:r>
      <w:r w:rsidR="00D37094">
        <w:t>charcoal</w:t>
      </w:r>
      <w:r w:rsidR="001F42E2">
        <w:t>,</w:t>
      </w:r>
      <w:r w:rsidR="00D37094">
        <w:t xml:space="preserve"> which </w:t>
      </w:r>
      <w:r w:rsidRPr="001664C7">
        <w:t>is a compound often used in the</w:t>
      </w:r>
      <w:r w:rsidR="001F42E2">
        <w:t xml:space="preserve"> water</w:t>
      </w:r>
      <w:r w:rsidRPr="001664C7">
        <w:t xml:space="preserve"> treatment</w:t>
      </w:r>
      <w:r w:rsidR="001F42E2">
        <w:t xml:space="preserve"> process</w:t>
      </w:r>
      <w:r w:rsidRPr="001664C7">
        <w:t>, has low market value, and can be reused a few times before being discarded. Furthermore, a</w:t>
      </w:r>
      <w:r w:rsidR="00F77CF7">
        <w:t>ccording to the simulation data</w:t>
      </w:r>
      <w:r w:rsidRPr="001664C7">
        <w:t xml:space="preserve"> the adsorption unit operation is exothermic and releases ap</w:t>
      </w:r>
      <w:r w:rsidR="00F77CF7">
        <w:t>proximately 3 kW of energy, therefore</w:t>
      </w:r>
      <w:r w:rsidRPr="001664C7">
        <w:t xml:space="preserve">, hot utilities would not be needed at this stage of the process. The separation of formic acid is important </w:t>
      </w:r>
      <w:r w:rsidR="00DF5C76" w:rsidRPr="001664C7">
        <w:t>despite</w:t>
      </w:r>
      <w:r w:rsidRPr="001664C7">
        <w:t xml:space="preserve"> its low market price, since it is used in the production of formaldehyde, rubber, plasticizers, pharmaceuticals, and textiles (Lewkowski, 2001). The main idea here is</w:t>
      </w:r>
      <w:r w:rsidR="00DF5C76">
        <w:t xml:space="preserve"> to</w:t>
      </w:r>
      <w:r w:rsidRPr="001664C7">
        <w:t xml:space="preserve"> bring a higher profit</w:t>
      </w:r>
      <w:r w:rsidR="00F77CF7">
        <w:t xml:space="preserve"> </w:t>
      </w:r>
      <w:r w:rsidR="00DF5C76" w:rsidRPr="001664C7">
        <w:t>margin</w:t>
      </w:r>
      <w:r w:rsidR="00F77CF7">
        <w:t xml:space="preserve"> </w:t>
      </w:r>
      <w:r w:rsidR="00DF5C76">
        <w:t>to</w:t>
      </w:r>
      <w:r w:rsidR="00F77CF7">
        <w:t xml:space="preserve"> </w:t>
      </w:r>
      <w:r w:rsidRPr="001664C7">
        <w:t>the overall plant.</w:t>
      </w:r>
    </w:p>
    <w:p w:rsidR="00AD201D" w:rsidRPr="00AD201D" w:rsidRDefault="00E15066" w:rsidP="000E414A">
      <w:pPr>
        <w:pStyle w:val="CETHeading1"/>
        <w:tabs>
          <w:tab w:val="clear" w:pos="360"/>
        </w:tabs>
      </w:pPr>
      <w:r>
        <w:t>C</w:t>
      </w:r>
      <w:r w:rsidR="008307ED" w:rsidRPr="00B6776C">
        <w:t>onclusion</w:t>
      </w:r>
    </w:p>
    <w:p w:rsidR="0039706C" w:rsidRDefault="00991855" w:rsidP="00C431D4">
      <w:pPr>
        <w:pStyle w:val="CETBodytext"/>
      </w:pPr>
      <w:r w:rsidRPr="00991855">
        <w:rPr>
          <w:color w:val="000000" w:themeColor="text1"/>
        </w:rPr>
        <w:t>In this work it was evaluated the operation</w:t>
      </w:r>
      <w:r w:rsidR="00D37094">
        <w:rPr>
          <w:color w:val="000000" w:themeColor="text1"/>
        </w:rPr>
        <w:t>al</w:t>
      </w:r>
      <w:r w:rsidRPr="00991855">
        <w:rPr>
          <w:color w:val="000000" w:themeColor="text1"/>
        </w:rPr>
        <w:t xml:space="preserve"> feasibility </w:t>
      </w:r>
      <w:r w:rsidR="00D37094">
        <w:rPr>
          <w:color w:val="000000" w:themeColor="text1"/>
        </w:rPr>
        <w:t>of</w:t>
      </w:r>
      <w:r w:rsidR="00F77CF7">
        <w:rPr>
          <w:color w:val="000000" w:themeColor="text1"/>
        </w:rPr>
        <w:t xml:space="preserve"> </w:t>
      </w:r>
      <w:r w:rsidRPr="00991855">
        <w:rPr>
          <w:color w:val="000000" w:themeColor="text1"/>
        </w:rPr>
        <w:t>a large scale</w:t>
      </w:r>
      <w:r w:rsidR="00F77CF7">
        <w:rPr>
          <w:color w:val="000000" w:themeColor="text1"/>
        </w:rPr>
        <w:t xml:space="preserve"> </w:t>
      </w:r>
      <w:r w:rsidR="00D37094" w:rsidRPr="00991855">
        <w:rPr>
          <w:color w:val="000000" w:themeColor="text1"/>
        </w:rPr>
        <w:t>levulinic acid</w:t>
      </w:r>
      <w:r w:rsidR="00D37094">
        <w:rPr>
          <w:color w:val="000000" w:themeColor="text1"/>
        </w:rPr>
        <w:t xml:space="preserve"> production</w:t>
      </w:r>
      <w:r w:rsidR="00F77CF7">
        <w:rPr>
          <w:color w:val="000000" w:themeColor="text1"/>
        </w:rPr>
        <w:t xml:space="preserve"> </w:t>
      </w:r>
      <w:r w:rsidR="00D37094">
        <w:rPr>
          <w:color w:val="000000" w:themeColor="text1"/>
        </w:rPr>
        <w:t>plant</w:t>
      </w:r>
      <w:r w:rsidRPr="00991855">
        <w:rPr>
          <w:color w:val="000000" w:themeColor="text1"/>
        </w:rPr>
        <w:t xml:space="preserve">. </w:t>
      </w:r>
      <w:r w:rsidR="00D37094">
        <w:rPr>
          <w:color w:val="000000" w:themeColor="text1"/>
        </w:rPr>
        <w:t>Considering the</w:t>
      </w:r>
      <w:r w:rsidR="00DF5C76" w:rsidRPr="00991855">
        <w:rPr>
          <w:color w:val="000000" w:themeColor="text1"/>
        </w:rPr>
        <w:t xml:space="preserve"> lack</w:t>
      </w:r>
      <w:r w:rsidRPr="00991855">
        <w:rPr>
          <w:color w:val="000000" w:themeColor="text1"/>
        </w:rPr>
        <w:t xml:space="preserve"> of knowledge about the great potential </w:t>
      </w:r>
      <w:r w:rsidR="00D37094">
        <w:rPr>
          <w:color w:val="000000" w:themeColor="text1"/>
        </w:rPr>
        <w:t xml:space="preserve">of </w:t>
      </w:r>
      <w:r w:rsidRPr="00991855">
        <w:rPr>
          <w:color w:val="000000" w:themeColor="text1"/>
        </w:rPr>
        <w:t>levulinic</w:t>
      </w:r>
      <w:r w:rsidR="00F77CF7">
        <w:rPr>
          <w:color w:val="000000" w:themeColor="text1"/>
        </w:rPr>
        <w:t xml:space="preserve"> </w:t>
      </w:r>
      <w:r w:rsidRPr="00991855">
        <w:rPr>
          <w:color w:val="000000" w:themeColor="text1"/>
        </w:rPr>
        <w:t>acid</w:t>
      </w:r>
      <w:r w:rsidR="001F42E2">
        <w:rPr>
          <w:color w:val="000000" w:themeColor="text1"/>
        </w:rPr>
        <w:t xml:space="preserve"> uses</w:t>
      </w:r>
      <w:r w:rsidR="00D37094">
        <w:rPr>
          <w:color w:val="000000" w:themeColor="text1"/>
        </w:rPr>
        <w:t>,</w:t>
      </w:r>
      <w:r w:rsidR="00F77CF7">
        <w:rPr>
          <w:color w:val="000000" w:themeColor="text1"/>
        </w:rPr>
        <w:t xml:space="preserve"> </w:t>
      </w:r>
      <w:r w:rsidRPr="00991855">
        <w:rPr>
          <w:color w:val="000000" w:themeColor="text1"/>
        </w:rPr>
        <w:t>one of the objectives of this work was carr</w:t>
      </w:r>
      <w:r w:rsidR="001F42E2">
        <w:rPr>
          <w:color w:val="000000" w:themeColor="text1"/>
        </w:rPr>
        <w:t>ying</w:t>
      </w:r>
      <w:r w:rsidRPr="00991855">
        <w:rPr>
          <w:color w:val="000000" w:themeColor="text1"/>
        </w:rPr>
        <w:t xml:space="preserve"> out a plant simulation to produce a 8 kiloton/year of levulinic acid. </w:t>
      </w:r>
      <w:r w:rsidR="00D37094">
        <w:t>To make it possible</w:t>
      </w:r>
      <w:r w:rsidR="0039706C" w:rsidRPr="0039706C">
        <w:t>, data from the open literature about simulations and</w:t>
      </w:r>
      <w:r w:rsidR="00F77CF7">
        <w:t xml:space="preserve"> pilot plants were used</w:t>
      </w:r>
      <w:r w:rsidR="0039706C" w:rsidRPr="0039706C">
        <w:t xml:space="preserve">. The process </w:t>
      </w:r>
      <w:r w:rsidR="00D37094">
        <w:t>seems to be</w:t>
      </w:r>
      <w:r w:rsidR="00F77CF7">
        <w:t xml:space="preserve"> </w:t>
      </w:r>
      <w:r w:rsidR="00D37094" w:rsidRPr="0039706C">
        <w:t>viab</w:t>
      </w:r>
      <w:r w:rsidR="00D37094">
        <w:t>le</w:t>
      </w:r>
      <w:r w:rsidR="00F77CF7">
        <w:t xml:space="preserve"> </w:t>
      </w:r>
      <w:r w:rsidR="0039706C" w:rsidRPr="0039706C">
        <w:t xml:space="preserve">and </w:t>
      </w:r>
      <w:r w:rsidR="00D37094" w:rsidRPr="0039706C">
        <w:t>sustainab</w:t>
      </w:r>
      <w:r w:rsidR="00D37094">
        <w:t>le</w:t>
      </w:r>
      <w:r w:rsidR="0039706C" w:rsidRPr="0039706C">
        <w:t>, generating</w:t>
      </w:r>
      <w:r w:rsidR="00D37094">
        <w:t xml:space="preserve"> small amounts of </w:t>
      </w:r>
      <w:r w:rsidR="0039706C" w:rsidRPr="0039706C">
        <w:t>residue</w:t>
      </w:r>
      <w:r w:rsidR="00D37094">
        <w:t>s and</w:t>
      </w:r>
      <w:r w:rsidR="00F77CF7">
        <w:t xml:space="preserve"> </w:t>
      </w:r>
      <w:r w:rsidR="0039706C" w:rsidRPr="0039706C">
        <w:t>requiring low amounts of catalyst</w:t>
      </w:r>
      <w:r w:rsidR="00D37094">
        <w:t xml:space="preserve"> when</w:t>
      </w:r>
      <w:r w:rsidR="0039706C" w:rsidRPr="0039706C">
        <w:t xml:space="preserve"> compared to the quantity of product</w:t>
      </w:r>
      <w:r w:rsidR="00D37094">
        <w:t>s generated</w:t>
      </w:r>
      <w:r w:rsidR="0039706C" w:rsidRPr="0039706C">
        <w:t xml:space="preserve">. In addition, it is being used an </w:t>
      </w:r>
      <w:r w:rsidR="00D37094">
        <w:t>i</w:t>
      </w:r>
      <w:r w:rsidR="00D37094" w:rsidRPr="0039706C">
        <w:t xml:space="preserve">nexpensive </w:t>
      </w:r>
      <w:r w:rsidR="0039706C" w:rsidRPr="0039706C">
        <w:t xml:space="preserve">raw material. </w:t>
      </w:r>
    </w:p>
    <w:p w:rsidR="00DF5C76" w:rsidRDefault="0039706C" w:rsidP="00992C20">
      <w:pPr>
        <w:pStyle w:val="CETReference"/>
        <w:spacing w:after="0"/>
        <w:jc w:val="both"/>
        <w:rPr>
          <w:b w:val="0"/>
          <w:color w:val="000000" w:themeColor="text1"/>
        </w:rPr>
      </w:pPr>
      <w:r w:rsidRPr="0039706C">
        <w:rPr>
          <w:b w:val="0"/>
          <w:color w:val="000000" w:themeColor="text1"/>
        </w:rPr>
        <w:t>In terms of innovation, the work brought as an alternative the rec</w:t>
      </w:r>
      <w:r w:rsidR="00F77CF7">
        <w:rPr>
          <w:b w:val="0"/>
          <w:color w:val="000000" w:themeColor="text1"/>
        </w:rPr>
        <w:t xml:space="preserve">overy of formic acid which may </w:t>
      </w:r>
      <w:r w:rsidR="00D37094" w:rsidRPr="0039706C">
        <w:rPr>
          <w:b w:val="0"/>
          <w:color w:val="000000" w:themeColor="text1"/>
        </w:rPr>
        <w:t>i</w:t>
      </w:r>
      <w:r w:rsidR="00D37094">
        <w:rPr>
          <w:b w:val="0"/>
          <w:color w:val="000000" w:themeColor="text1"/>
        </w:rPr>
        <w:t>mprove</w:t>
      </w:r>
      <w:r w:rsidR="00D37094" w:rsidRPr="0039706C">
        <w:rPr>
          <w:b w:val="0"/>
          <w:color w:val="000000" w:themeColor="text1"/>
        </w:rPr>
        <w:t xml:space="preserve"> the process</w:t>
      </w:r>
      <w:r w:rsidRPr="0039706C">
        <w:rPr>
          <w:b w:val="0"/>
          <w:color w:val="000000" w:themeColor="text1"/>
        </w:rPr>
        <w:t xml:space="preserve"> profit margin </w:t>
      </w:r>
      <w:r w:rsidR="00D37094">
        <w:rPr>
          <w:b w:val="0"/>
          <w:color w:val="000000" w:themeColor="text1"/>
        </w:rPr>
        <w:t>and</w:t>
      </w:r>
      <w:r w:rsidR="00F77CF7">
        <w:rPr>
          <w:b w:val="0"/>
          <w:color w:val="000000" w:themeColor="text1"/>
        </w:rPr>
        <w:t xml:space="preserve"> </w:t>
      </w:r>
      <w:r w:rsidRPr="0039706C">
        <w:rPr>
          <w:b w:val="0"/>
          <w:color w:val="000000" w:themeColor="text1"/>
        </w:rPr>
        <w:t>reduc</w:t>
      </w:r>
      <w:r w:rsidR="00D37094">
        <w:rPr>
          <w:b w:val="0"/>
          <w:color w:val="000000" w:themeColor="text1"/>
        </w:rPr>
        <w:t>e</w:t>
      </w:r>
      <w:r w:rsidRPr="0039706C">
        <w:rPr>
          <w:b w:val="0"/>
          <w:color w:val="000000" w:themeColor="text1"/>
        </w:rPr>
        <w:t xml:space="preserve"> the environmental impact</w:t>
      </w:r>
      <w:r w:rsidR="00F77CF7">
        <w:rPr>
          <w:b w:val="0"/>
          <w:color w:val="000000" w:themeColor="text1"/>
        </w:rPr>
        <w:t xml:space="preserve"> </w:t>
      </w:r>
      <w:r w:rsidR="00F77CF7" w:rsidRPr="0039706C">
        <w:rPr>
          <w:b w:val="0"/>
          <w:color w:val="000000" w:themeColor="text1"/>
        </w:rPr>
        <w:t xml:space="preserve">in the long </w:t>
      </w:r>
      <w:r w:rsidR="00F77CF7">
        <w:rPr>
          <w:b w:val="0"/>
          <w:color w:val="000000" w:themeColor="text1"/>
        </w:rPr>
        <w:t>term</w:t>
      </w:r>
      <w:r w:rsidRPr="0039706C">
        <w:rPr>
          <w:b w:val="0"/>
          <w:color w:val="000000" w:themeColor="text1"/>
        </w:rPr>
        <w:t xml:space="preserve">. </w:t>
      </w:r>
      <w:r w:rsidR="00F77CF7" w:rsidRPr="00F77CF7">
        <w:rPr>
          <w:b w:val="0"/>
          <w:color w:val="000000" w:themeColor="text1"/>
        </w:rPr>
        <w:t>The most worrying observation about the simulation relays on the high energy demand required by the separation steps.</w:t>
      </w:r>
      <w:r w:rsidRPr="0039706C">
        <w:rPr>
          <w:b w:val="0"/>
          <w:color w:val="000000" w:themeColor="text1"/>
        </w:rPr>
        <w:t xml:space="preserve"> In fact, separations </w:t>
      </w:r>
      <w:r w:rsidRPr="0039706C">
        <w:rPr>
          <w:b w:val="0"/>
          <w:color w:val="000000" w:themeColor="text1"/>
        </w:rPr>
        <w:lastRenderedPageBreak/>
        <w:t>of dilute aqueous solutions present this problem, future studies aiming alternatives to the presented process will be widely tested and brought in future works.</w:t>
      </w:r>
    </w:p>
    <w:p w:rsidR="00F77CF7" w:rsidRPr="00F77CF7" w:rsidRDefault="00F77CF7" w:rsidP="00F77CF7">
      <w:pPr>
        <w:pStyle w:val="CETReference-text"/>
        <w:rPr>
          <w:lang w:val="en-US"/>
        </w:rPr>
      </w:pPr>
    </w:p>
    <w:p w:rsidR="00992C20" w:rsidRPr="00992C20" w:rsidRDefault="00992C20" w:rsidP="00992C20">
      <w:pPr>
        <w:pStyle w:val="CETReference-text"/>
        <w:rPr>
          <w:lang w:val="en-US"/>
        </w:rPr>
      </w:pPr>
    </w:p>
    <w:p w:rsidR="008435AA" w:rsidRPr="009A1400" w:rsidRDefault="009C44BE">
      <w:pPr>
        <w:pStyle w:val="CETReference"/>
        <w:spacing w:after="120"/>
      </w:pPr>
      <w:r w:rsidRPr="009A1400">
        <w:t>Acknowledgments</w:t>
      </w:r>
    </w:p>
    <w:p w:rsidR="00F57B53" w:rsidRDefault="009C44BE" w:rsidP="009C44BE">
      <w:pPr>
        <w:pStyle w:val="CETBodytext"/>
      </w:pPr>
      <w:r w:rsidRPr="00695B24">
        <w:t>The authors</w:t>
      </w:r>
      <w:r w:rsidR="00A877F6">
        <w:t xml:space="preserve"> are grateful to </w:t>
      </w:r>
      <w:r w:rsidR="00A877F6" w:rsidRPr="00C4600B">
        <w:rPr>
          <w:rFonts w:cs="Arial"/>
          <w:color w:val="000000" w:themeColor="text1"/>
          <w:szCs w:val="16"/>
        </w:rPr>
        <w:t>Federal University of Mato Grosso</w:t>
      </w:r>
      <w:r w:rsidR="00A877F6">
        <w:rPr>
          <w:rFonts w:cs="Arial"/>
          <w:color w:val="000000" w:themeColor="text1"/>
          <w:szCs w:val="16"/>
        </w:rPr>
        <w:t xml:space="preserve"> and Federal Institute of Santa Catarina for the financial support and time disposal</w:t>
      </w:r>
      <w:r w:rsidR="009A1400">
        <w:rPr>
          <w:rFonts w:cs="Arial"/>
          <w:color w:val="000000" w:themeColor="text1"/>
          <w:szCs w:val="16"/>
        </w:rPr>
        <w:t xml:space="preserve"> in order to develop this work</w:t>
      </w:r>
      <w:r w:rsidR="00A17E80">
        <w:t>.</w:t>
      </w:r>
    </w:p>
    <w:p w:rsidR="009A1400" w:rsidRPr="00A17E80" w:rsidRDefault="009A1400" w:rsidP="009C44BE">
      <w:pPr>
        <w:pStyle w:val="CETBodytext"/>
      </w:pPr>
    </w:p>
    <w:p w:rsidR="009A1400" w:rsidRDefault="008307ED" w:rsidP="009A1400">
      <w:pPr>
        <w:pStyle w:val="CETReference"/>
        <w:spacing w:after="120"/>
      </w:pPr>
      <w:r w:rsidRPr="00347EB5">
        <w:t>References</w:t>
      </w:r>
    </w:p>
    <w:p w:rsidR="009A1400" w:rsidRPr="002577BF" w:rsidRDefault="00AC5E0F" w:rsidP="006F169D">
      <w:pPr>
        <w:pStyle w:val="Titolo1"/>
        <w:spacing w:before="0"/>
        <w:ind w:left="284" w:hanging="284"/>
        <w:rPr>
          <w:rFonts w:ascii="Arial" w:hAnsi="Arial" w:cs="Arial"/>
          <w:b w:val="0"/>
          <w:color w:val="000000" w:themeColor="text1"/>
          <w:sz w:val="18"/>
          <w:szCs w:val="18"/>
        </w:rPr>
      </w:pPr>
      <w:r w:rsidRPr="002577BF">
        <w:rPr>
          <w:rFonts w:ascii="Arial" w:hAnsi="Arial" w:cs="Arial"/>
          <w:b w:val="0"/>
          <w:color w:val="000000" w:themeColor="text1"/>
          <w:sz w:val="18"/>
          <w:szCs w:val="18"/>
        </w:rPr>
        <w:t>Chang C., Cen P., Ma</w:t>
      </w:r>
      <w:r w:rsidR="009A1400" w:rsidRPr="002577BF">
        <w:rPr>
          <w:rFonts w:ascii="Arial" w:hAnsi="Arial" w:cs="Arial"/>
          <w:b w:val="0"/>
          <w:color w:val="000000" w:themeColor="text1"/>
          <w:sz w:val="18"/>
          <w:szCs w:val="18"/>
        </w:rPr>
        <w:t xml:space="preserve"> X.,</w:t>
      </w:r>
      <w:r w:rsidR="002577BF" w:rsidRPr="002577BF">
        <w:rPr>
          <w:rFonts w:ascii="Arial" w:hAnsi="Arial" w:cs="Arial"/>
          <w:b w:val="0"/>
          <w:color w:val="000000" w:themeColor="text1"/>
          <w:sz w:val="18"/>
          <w:szCs w:val="18"/>
        </w:rPr>
        <w:t xml:space="preserve"> 2007, </w:t>
      </w:r>
      <w:r w:rsidR="002577BF" w:rsidRPr="002577BF">
        <w:rPr>
          <w:rStyle w:val="title-text"/>
          <w:rFonts w:ascii="Arial" w:hAnsi="Arial" w:cs="Arial"/>
          <w:b w:val="0"/>
          <w:color w:val="000000" w:themeColor="text1"/>
          <w:sz w:val="18"/>
          <w:szCs w:val="18"/>
        </w:rPr>
        <w:t xml:space="preserve">Levulinic acid production from wheat straw, </w:t>
      </w:r>
      <w:r w:rsidR="009A1400" w:rsidRPr="002577BF">
        <w:rPr>
          <w:rFonts w:ascii="Arial" w:hAnsi="Arial" w:cs="Arial"/>
          <w:b w:val="0"/>
          <w:color w:val="000000" w:themeColor="text1"/>
          <w:sz w:val="18"/>
          <w:szCs w:val="18"/>
        </w:rPr>
        <w:t>Biosource Technology, 98, 1448-1453.</w:t>
      </w:r>
    </w:p>
    <w:p w:rsidR="009A1400" w:rsidRPr="00C431D4" w:rsidRDefault="009A1400" w:rsidP="006F169D">
      <w:pPr>
        <w:ind w:left="284" w:hanging="284"/>
        <w:rPr>
          <w:rFonts w:ascii="Arial" w:hAnsi="Arial" w:cs="Arial"/>
          <w:sz w:val="18"/>
          <w:szCs w:val="18"/>
        </w:rPr>
      </w:pPr>
      <w:r w:rsidRPr="00C431D4">
        <w:rPr>
          <w:rFonts w:ascii="Arial" w:hAnsi="Arial" w:cs="Arial"/>
          <w:sz w:val="18"/>
          <w:szCs w:val="18"/>
        </w:rPr>
        <w:t>Climent M.J., Corma A., Iborra S.,</w:t>
      </w:r>
      <w:r w:rsidR="00AA580D" w:rsidRPr="00C431D4">
        <w:rPr>
          <w:rFonts w:ascii="Arial" w:hAnsi="Arial" w:cs="Arial"/>
          <w:sz w:val="18"/>
          <w:szCs w:val="18"/>
        </w:rPr>
        <w:t xml:space="preserve"> 2011,</w:t>
      </w:r>
      <w:r w:rsidRPr="00C431D4">
        <w:rPr>
          <w:rFonts w:ascii="Arial" w:hAnsi="Arial" w:cs="Arial"/>
          <w:sz w:val="18"/>
          <w:szCs w:val="18"/>
        </w:rPr>
        <w:t xml:space="preserve"> Converting carbohydrates to bulk chemicals and fine chemicals over hete</w:t>
      </w:r>
      <w:r w:rsidR="006F169D">
        <w:rPr>
          <w:rFonts w:ascii="Arial" w:hAnsi="Arial" w:cs="Arial"/>
          <w:sz w:val="18"/>
          <w:szCs w:val="18"/>
        </w:rPr>
        <w:t>rogeneous catalysts, Green Chemistry</w:t>
      </w:r>
      <w:r w:rsidR="00AC5E0F" w:rsidRPr="00C431D4">
        <w:rPr>
          <w:rFonts w:ascii="Arial" w:hAnsi="Arial" w:cs="Arial"/>
          <w:sz w:val="18"/>
          <w:szCs w:val="18"/>
        </w:rPr>
        <w:t>, 13,</w:t>
      </w:r>
      <w:r w:rsidRPr="00C431D4">
        <w:rPr>
          <w:rFonts w:ascii="Arial" w:hAnsi="Arial" w:cs="Arial"/>
          <w:sz w:val="18"/>
          <w:szCs w:val="18"/>
        </w:rPr>
        <w:t xml:space="preserve"> 520– 540.</w:t>
      </w:r>
    </w:p>
    <w:p w:rsidR="00F55904" w:rsidRPr="00F55904" w:rsidRDefault="009A1400" w:rsidP="006F169D">
      <w:pPr>
        <w:pStyle w:val="western"/>
        <w:spacing w:before="0" w:beforeAutospacing="0" w:line="264" w:lineRule="auto"/>
        <w:ind w:left="284" w:hanging="284"/>
        <w:jc w:val="both"/>
        <w:rPr>
          <w:rFonts w:ascii="Arial" w:hAnsi="Arial" w:cs="Arial"/>
          <w:b w:val="0"/>
          <w:bCs w:val="0"/>
          <w:color w:val="000000" w:themeColor="text1"/>
          <w:sz w:val="18"/>
          <w:szCs w:val="18"/>
          <w:lang w:val="en-US"/>
        </w:rPr>
      </w:pPr>
      <w:r w:rsidRPr="00F55904">
        <w:rPr>
          <w:rFonts w:ascii="Arial" w:hAnsi="Arial" w:cs="Arial"/>
          <w:b w:val="0"/>
          <w:bCs w:val="0"/>
          <w:color w:val="000000" w:themeColor="text1"/>
          <w:sz w:val="18"/>
          <w:szCs w:val="18"/>
          <w:lang w:val="en-US"/>
        </w:rPr>
        <w:t>Isikgor</w:t>
      </w:r>
      <w:r w:rsidR="00F77CF7" w:rsidRPr="00F55904">
        <w:rPr>
          <w:rFonts w:ascii="Arial" w:hAnsi="Arial" w:cs="Arial"/>
          <w:b w:val="0"/>
          <w:bCs w:val="0"/>
          <w:color w:val="000000" w:themeColor="text1"/>
          <w:sz w:val="18"/>
          <w:szCs w:val="18"/>
          <w:lang w:val="en-US"/>
        </w:rPr>
        <w:t xml:space="preserve"> </w:t>
      </w:r>
      <w:r w:rsidR="002F07ED" w:rsidRPr="00F55904">
        <w:rPr>
          <w:rFonts w:ascii="Arial" w:hAnsi="Arial" w:cs="Arial"/>
          <w:b w:val="0"/>
          <w:bCs w:val="0"/>
          <w:color w:val="000000" w:themeColor="text1"/>
          <w:sz w:val="18"/>
          <w:szCs w:val="18"/>
          <w:lang w:val="en-US"/>
        </w:rPr>
        <w:t>F.</w:t>
      </w:r>
      <w:r w:rsidR="00AC5E0F" w:rsidRPr="00F55904">
        <w:rPr>
          <w:rFonts w:ascii="Arial" w:hAnsi="Arial" w:cs="Arial"/>
          <w:b w:val="0"/>
          <w:bCs w:val="0"/>
          <w:color w:val="000000" w:themeColor="text1"/>
          <w:sz w:val="18"/>
          <w:szCs w:val="18"/>
          <w:lang w:val="en-US"/>
        </w:rPr>
        <w:t>H.</w:t>
      </w:r>
      <w:r w:rsidRPr="00F55904">
        <w:rPr>
          <w:rFonts w:ascii="Arial" w:hAnsi="Arial" w:cs="Arial"/>
          <w:b w:val="0"/>
          <w:bCs w:val="0"/>
          <w:color w:val="000000" w:themeColor="text1"/>
          <w:sz w:val="18"/>
          <w:szCs w:val="18"/>
          <w:lang w:val="en-US"/>
        </w:rPr>
        <w:t>, Becer</w:t>
      </w:r>
      <w:r w:rsidR="00F77CF7" w:rsidRPr="00F55904">
        <w:rPr>
          <w:rFonts w:ascii="Arial" w:hAnsi="Arial" w:cs="Arial"/>
          <w:b w:val="0"/>
          <w:bCs w:val="0"/>
          <w:color w:val="000000" w:themeColor="text1"/>
          <w:sz w:val="18"/>
          <w:szCs w:val="18"/>
          <w:lang w:val="en-US"/>
        </w:rPr>
        <w:t xml:space="preserve"> </w:t>
      </w:r>
      <w:r w:rsidR="002F07ED" w:rsidRPr="00F55904">
        <w:rPr>
          <w:rFonts w:ascii="Arial" w:hAnsi="Arial" w:cs="Arial"/>
          <w:b w:val="0"/>
          <w:bCs w:val="0"/>
          <w:color w:val="000000" w:themeColor="text1"/>
          <w:sz w:val="18"/>
          <w:szCs w:val="18"/>
          <w:lang w:val="en-US"/>
        </w:rPr>
        <w:t>C.</w:t>
      </w:r>
      <w:r w:rsidR="00AC5E0F" w:rsidRPr="00F55904">
        <w:rPr>
          <w:rFonts w:ascii="Arial" w:hAnsi="Arial" w:cs="Arial"/>
          <w:b w:val="0"/>
          <w:bCs w:val="0"/>
          <w:color w:val="000000" w:themeColor="text1"/>
          <w:sz w:val="18"/>
          <w:szCs w:val="18"/>
          <w:lang w:val="en-US"/>
        </w:rPr>
        <w:t>R.</w:t>
      </w:r>
      <w:r w:rsidR="00F55904" w:rsidRPr="00F55904">
        <w:rPr>
          <w:rFonts w:ascii="Arial" w:hAnsi="Arial" w:cs="Arial"/>
          <w:b w:val="0"/>
          <w:color w:val="000000" w:themeColor="text1"/>
          <w:sz w:val="18"/>
          <w:szCs w:val="18"/>
          <w:lang w:val="en-US"/>
        </w:rPr>
        <w:t xml:space="preserve">, </w:t>
      </w:r>
      <w:r w:rsidR="00F55904" w:rsidRPr="00F55904">
        <w:rPr>
          <w:rFonts w:ascii="Arial" w:hAnsi="Arial" w:cs="Arial"/>
          <w:b w:val="0"/>
          <w:bCs w:val="0"/>
          <w:color w:val="000000" w:themeColor="text1"/>
          <w:sz w:val="18"/>
          <w:szCs w:val="18"/>
          <w:lang w:val="en-US"/>
        </w:rPr>
        <w:t xml:space="preserve">2015, </w:t>
      </w:r>
      <w:r w:rsidR="00F55904" w:rsidRPr="00F55904">
        <w:rPr>
          <w:rFonts w:ascii="Arial" w:hAnsi="Arial" w:cs="Arial"/>
          <w:b w:val="0"/>
          <w:color w:val="000000" w:themeColor="text1"/>
          <w:sz w:val="18"/>
          <w:szCs w:val="18"/>
          <w:lang w:val="en-US"/>
        </w:rPr>
        <w:t>Lignocellulosic biomass: a sustainable platform for the production of bio-based chemicals and polymers</w:t>
      </w:r>
      <w:r w:rsidR="006F169D">
        <w:rPr>
          <w:rFonts w:ascii="Arial" w:hAnsi="Arial" w:cs="Arial"/>
          <w:b w:val="0"/>
          <w:color w:val="000000" w:themeColor="text1"/>
          <w:sz w:val="18"/>
          <w:szCs w:val="18"/>
          <w:lang w:val="en-US"/>
        </w:rPr>
        <w:t>,</w:t>
      </w:r>
      <w:r w:rsidR="006F169D">
        <w:rPr>
          <w:rFonts w:ascii="Arial" w:hAnsi="Arial" w:cs="Arial"/>
          <w:b w:val="0"/>
          <w:bCs w:val="0"/>
          <w:color w:val="000000" w:themeColor="text1"/>
          <w:sz w:val="18"/>
          <w:szCs w:val="18"/>
          <w:lang w:val="en-US"/>
        </w:rPr>
        <w:t xml:space="preserve"> Polymer Chemistry</w:t>
      </w:r>
      <w:r w:rsidR="00F55904" w:rsidRPr="00F55904">
        <w:rPr>
          <w:rFonts w:ascii="Arial" w:hAnsi="Arial" w:cs="Arial"/>
          <w:b w:val="0"/>
          <w:bCs w:val="0"/>
          <w:color w:val="000000" w:themeColor="text1"/>
          <w:sz w:val="18"/>
          <w:szCs w:val="18"/>
          <w:lang w:val="en-US"/>
        </w:rPr>
        <w:t>, 6, 4497–4559.</w:t>
      </w:r>
      <w:r w:rsidR="00F55904">
        <w:rPr>
          <w:rFonts w:ascii="Arial" w:hAnsi="Arial" w:cs="Arial"/>
          <w:b w:val="0"/>
          <w:bCs w:val="0"/>
          <w:color w:val="000000" w:themeColor="text1"/>
          <w:sz w:val="18"/>
          <w:szCs w:val="18"/>
          <w:lang w:val="en-US"/>
        </w:rPr>
        <w:t xml:space="preserve"> </w:t>
      </w:r>
    </w:p>
    <w:p w:rsidR="009A1400" w:rsidRPr="00C431D4" w:rsidRDefault="002F07ED" w:rsidP="006F169D">
      <w:pPr>
        <w:autoSpaceDE w:val="0"/>
        <w:autoSpaceDN w:val="0"/>
        <w:adjustRightInd w:val="0"/>
        <w:ind w:left="284" w:hanging="284"/>
        <w:rPr>
          <w:rFonts w:ascii="Arial" w:eastAsiaTheme="minorHAnsi" w:hAnsi="Arial" w:cs="Arial"/>
          <w:sz w:val="18"/>
          <w:szCs w:val="18"/>
          <w:lang w:val="en-US"/>
        </w:rPr>
      </w:pPr>
      <w:r w:rsidRPr="00C431D4">
        <w:rPr>
          <w:rFonts w:ascii="Arial" w:eastAsiaTheme="minorHAnsi" w:hAnsi="Arial" w:cs="Arial"/>
          <w:sz w:val="18"/>
          <w:szCs w:val="18"/>
          <w:lang w:val="en-US"/>
        </w:rPr>
        <w:t>Fitzpatrick S.</w:t>
      </w:r>
      <w:r w:rsidR="009A1400" w:rsidRPr="00C431D4">
        <w:rPr>
          <w:rFonts w:ascii="Arial" w:eastAsiaTheme="minorHAnsi" w:hAnsi="Arial" w:cs="Arial"/>
          <w:sz w:val="18"/>
          <w:szCs w:val="18"/>
          <w:lang w:val="en-US"/>
        </w:rPr>
        <w:t>W.</w:t>
      </w:r>
      <w:r w:rsidR="00AC5E0F" w:rsidRPr="00C431D4">
        <w:rPr>
          <w:rFonts w:ascii="Arial" w:eastAsiaTheme="minorHAnsi" w:hAnsi="Arial" w:cs="Arial"/>
          <w:sz w:val="18"/>
          <w:szCs w:val="18"/>
          <w:lang w:val="en-US"/>
        </w:rPr>
        <w:t>, 1997,</w:t>
      </w:r>
      <w:r w:rsidR="009A1400" w:rsidRPr="00C431D4">
        <w:rPr>
          <w:rFonts w:ascii="Arial" w:eastAsiaTheme="minorHAnsi" w:hAnsi="Arial" w:cs="Arial"/>
          <w:sz w:val="18"/>
          <w:szCs w:val="18"/>
          <w:lang w:val="en-US"/>
        </w:rPr>
        <w:t xml:space="preserve"> Production of levulinic acid from carbohydrate</w:t>
      </w:r>
      <w:r w:rsidR="00AC5E0F" w:rsidRPr="00C431D4">
        <w:rPr>
          <w:rFonts w:ascii="Arial" w:eastAsiaTheme="minorHAnsi" w:hAnsi="Arial" w:cs="Arial"/>
          <w:sz w:val="18"/>
          <w:szCs w:val="18"/>
          <w:lang w:val="en-US"/>
        </w:rPr>
        <w:t xml:space="preserve">-containing materials. US. </w:t>
      </w:r>
      <w:r w:rsidR="009A1400" w:rsidRPr="00C431D4">
        <w:rPr>
          <w:rFonts w:ascii="Arial" w:eastAsiaTheme="minorHAnsi" w:hAnsi="Arial" w:cs="Arial"/>
          <w:sz w:val="18"/>
          <w:szCs w:val="18"/>
          <w:lang w:val="en-US"/>
        </w:rPr>
        <w:t>5:608,105.</w:t>
      </w:r>
    </w:p>
    <w:p w:rsidR="009A1400" w:rsidRPr="00C431D4" w:rsidRDefault="002F07ED" w:rsidP="006F169D">
      <w:pPr>
        <w:ind w:left="284" w:hanging="284"/>
        <w:rPr>
          <w:rFonts w:ascii="Arial" w:hAnsi="Arial" w:cs="Arial"/>
          <w:sz w:val="18"/>
          <w:szCs w:val="18"/>
          <w:lang w:val="en-US" w:eastAsia="pt-BR"/>
        </w:rPr>
      </w:pPr>
      <w:r w:rsidRPr="00C431D4">
        <w:rPr>
          <w:rFonts w:ascii="Arial" w:hAnsi="Arial" w:cs="Arial"/>
          <w:sz w:val="18"/>
          <w:szCs w:val="18"/>
          <w:lang w:val="en-US" w:eastAsia="pt-BR"/>
        </w:rPr>
        <w:t>Gaudereto, H.S., Cabral, l.</w:t>
      </w:r>
      <w:r w:rsidR="00AC5E0F" w:rsidRPr="00C431D4">
        <w:rPr>
          <w:rFonts w:ascii="Arial" w:hAnsi="Arial" w:cs="Arial"/>
          <w:sz w:val="18"/>
          <w:szCs w:val="18"/>
          <w:lang w:val="en-US" w:eastAsia="pt-BR"/>
        </w:rPr>
        <w:t>G.,</w:t>
      </w:r>
      <w:r w:rsidR="006F169D">
        <w:rPr>
          <w:rFonts w:ascii="Arial" w:hAnsi="Arial" w:cs="Arial"/>
          <w:sz w:val="18"/>
          <w:szCs w:val="18"/>
          <w:lang w:val="en-US" w:eastAsia="pt-BR"/>
        </w:rPr>
        <w:t xml:space="preserve"> Rodrigues, F.</w:t>
      </w:r>
      <w:r w:rsidR="00D16370" w:rsidRPr="00C431D4">
        <w:rPr>
          <w:rFonts w:ascii="Arial" w:hAnsi="Arial" w:cs="Arial"/>
          <w:sz w:val="18"/>
          <w:szCs w:val="18"/>
          <w:lang w:val="en-US" w:eastAsia="pt-BR"/>
        </w:rPr>
        <w:t>A.</w:t>
      </w:r>
      <w:r w:rsidR="00AC5E0F" w:rsidRPr="00C431D4">
        <w:rPr>
          <w:rFonts w:ascii="Arial" w:hAnsi="Arial" w:cs="Arial"/>
          <w:sz w:val="18"/>
          <w:szCs w:val="18"/>
          <w:lang w:val="en-US" w:eastAsia="pt-BR"/>
        </w:rPr>
        <w:t>, 2017,</w:t>
      </w:r>
      <w:r w:rsidR="006F169D">
        <w:rPr>
          <w:rFonts w:ascii="Arial" w:hAnsi="Arial" w:cs="Arial"/>
          <w:sz w:val="18"/>
          <w:szCs w:val="18"/>
          <w:lang w:val="en-US" w:eastAsia="pt-BR"/>
        </w:rPr>
        <w:t xml:space="preserve"> </w:t>
      </w:r>
      <w:r w:rsidR="009A1400" w:rsidRPr="00C431D4">
        <w:rPr>
          <w:rFonts w:ascii="Arial" w:hAnsi="Arial" w:cs="Arial"/>
          <w:sz w:val="18"/>
          <w:szCs w:val="18"/>
          <w:lang w:val="en-US" w:eastAsia="pt-BR"/>
        </w:rPr>
        <w:t>Production of levunic acid from sugarcane bagasse: kinetic study, simulation and e</w:t>
      </w:r>
      <w:r w:rsidR="00AC5E0F" w:rsidRPr="00C431D4">
        <w:rPr>
          <w:rFonts w:ascii="Arial" w:hAnsi="Arial" w:cs="Arial"/>
          <w:sz w:val="18"/>
          <w:szCs w:val="18"/>
          <w:lang w:val="en-US" w:eastAsia="pt-BR"/>
        </w:rPr>
        <w:t>conomic viability. ENGEVISTA, 19, 1,</w:t>
      </w:r>
      <w:r w:rsidR="006F169D">
        <w:rPr>
          <w:rFonts w:ascii="Arial" w:hAnsi="Arial" w:cs="Arial"/>
          <w:sz w:val="18"/>
          <w:szCs w:val="18"/>
          <w:lang w:val="en-US" w:eastAsia="pt-BR"/>
        </w:rPr>
        <w:t xml:space="preserve"> </w:t>
      </w:r>
      <w:r w:rsidR="009A1400" w:rsidRPr="00C431D4">
        <w:rPr>
          <w:rFonts w:ascii="Arial" w:hAnsi="Arial" w:cs="Arial"/>
          <w:sz w:val="18"/>
          <w:szCs w:val="18"/>
          <w:lang w:val="en-US" w:eastAsia="pt-BR"/>
        </w:rPr>
        <w:t>236-255.</w:t>
      </w:r>
    </w:p>
    <w:p w:rsidR="00AC5E0F" w:rsidRPr="00C431D4" w:rsidRDefault="00AC5E0F" w:rsidP="006F169D">
      <w:pPr>
        <w:ind w:left="284" w:hanging="284"/>
        <w:rPr>
          <w:rFonts w:ascii="Arial" w:hAnsi="Arial" w:cs="Arial"/>
          <w:sz w:val="18"/>
          <w:szCs w:val="18"/>
        </w:rPr>
      </w:pPr>
      <w:r w:rsidRPr="00C431D4">
        <w:rPr>
          <w:rFonts w:ascii="Arial" w:hAnsi="Arial" w:cs="Arial"/>
          <w:sz w:val="18"/>
          <w:szCs w:val="18"/>
        </w:rPr>
        <w:t xml:space="preserve">Girisuta B., </w:t>
      </w:r>
      <w:r w:rsidR="002F07ED" w:rsidRPr="00C431D4">
        <w:rPr>
          <w:rFonts w:ascii="Arial" w:hAnsi="Arial" w:cs="Arial"/>
          <w:sz w:val="18"/>
          <w:szCs w:val="18"/>
        </w:rPr>
        <w:t>Janssen L.P.</w:t>
      </w:r>
      <w:r w:rsidR="006F169D">
        <w:rPr>
          <w:rFonts w:ascii="Arial" w:hAnsi="Arial" w:cs="Arial"/>
          <w:sz w:val="18"/>
          <w:szCs w:val="18"/>
        </w:rPr>
        <w:t>B.</w:t>
      </w:r>
      <w:r w:rsidRPr="00C431D4">
        <w:rPr>
          <w:rFonts w:ascii="Arial" w:hAnsi="Arial" w:cs="Arial"/>
          <w:sz w:val="18"/>
          <w:szCs w:val="18"/>
        </w:rPr>
        <w:t>M., Heeres H. J. A</w:t>
      </w:r>
      <w:r w:rsidR="007E0849">
        <w:rPr>
          <w:rFonts w:ascii="Arial" w:hAnsi="Arial" w:cs="Arial"/>
          <w:sz w:val="18"/>
          <w:szCs w:val="18"/>
        </w:rPr>
        <w:t>.</w:t>
      </w:r>
      <w:r w:rsidRPr="00C431D4">
        <w:rPr>
          <w:rFonts w:ascii="Arial" w:hAnsi="Arial" w:cs="Arial"/>
          <w:sz w:val="18"/>
          <w:szCs w:val="18"/>
        </w:rPr>
        <w:t>, 2006, Kinetic Study on the Conversi</w:t>
      </w:r>
      <w:r w:rsidR="006F169D">
        <w:rPr>
          <w:rFonts w:ascii="Arial" w:hAnsi="Arial" w:cs="Arial"/>
          <w:sz w:val="18"/>
          <w:szCs w:val="18"/>
        </w:rPr>
        <w:t>on of Glucose to Levulinic Acid,</w:t>
      </w:r>
      <w:r w:rsidRPr="00C431D4">
        <w:rPr>
          <w:rFonts w:ascii="Arial" w:hAnsi="Arial" w:cs="Arial"/>
          <w:sz w:val="18"/>
          <w:szCs w:val="18"/>
        </w:rPr>
        <w:t xml:space="preserve"> Green Chemicals, 84, 339-349.</w:t>
      </w:r>
    </w:p>
    <w:p w:rsidR="009A1400" w:rsidRPr="00C431D4" w:rsidRDefault="00AC5E0F" w:rsidP="006F169D">
      <w:pPr>
        <w:ind w:left="284" w:hanging="284"/>
        <w:rPr>
          <w:rFonts w:ascii="Arial" w:hAnsi="Arial" w:cs="Arial"/>
          <w:sz w:val="18"/>
          <w:szCs w:val="18"/>
        </w:rPr>
      </w:pPr>
      <w:r w:rsidRPr="00C431D4">
        <w:rPr>
          <w:rFonts w:ascii="Arial" w:hAnsi="Arial" w:cs="Arial"/>
          <w:sz w:val="18"/>
          <w:szCs w:val="18"/>
        </w:rPr>
        <w:t>Girisuta B., Dussan K</w:t>
      </w:r>
      <w:r w:rsidR="009A1400" w:rsidRPr="00C431D4">
        <w:rPr>
          <w:rFonts w:ascii="Arial" w:hAnsi="Arial" w:cs="Arial"/>
          <w:sz w:val="18"/>
          <w:szCs w:val="18"/>
        </w:rPr>
        <w:t>., Haverty D., Leahy J.J., Hayes M.H.B.,</w:t>
      </w:r>
      <w:r w:rsidRPr="00C431D4">
        <w:rPr>
          <w:rFonts w:ascii="Arial" w:hAnsi="Arial" w:cs="Arial"/>
          <w:sz w:val="18"/>
          <w:szCs w:val="18"/>
        </w:rPr>
        <w:t xml:space="preserve"> 2013,</w:t>
      </w:r>
      <w:r w:rsidR="009A1400" w:rsidRPr="00C431D4">
        <w:rPr>
          <w:rFonts w:ascii="Arial" w:hAnsi="Arial" w:cs="Arial"/>
          <w:sz w:val="18"/>
          <w:szCs w:val="18"/>
        </w:rPr>
        <w:t xml:space="preserve"> A kinetic study of acid catalysed hydrolysis of sugar cane bagasse to levulinic acid, Ch</w:t>
      </w:r>
      <w:r w:rsidRPr="00C431D4">
        <w:rPr>
          <w:rFonts w:ascii="Arial" w:hAnsi="Arial" w:cs="Arial"/>
          <w:sz w:val="18"/>
          <w:szCs w:val="18"/>
        </w:rPr>
        <w:t>emical Engineering Journal, 17,</w:t>
      </w:r>
      <w:r w:rsidR="009A1400" w:rsidRPr="00C431D4">
        <w:rPr>
          <w:rFonts w:ascii="Arial" w:hAnsi="Arial" w:cs="Arial"/>
          <w:sz w:val="18"/>
          <w:szCs w:val="18"/>
        </w:rPr>
        <w:t xml:space="preserve"> 61-70.</w:t>
      </w:r>
    </w:p>
    <w:p w:rsidR="009A1400" w:rsidRDefault="00AC5E0F" w:rsidP="006F169D">
      <w:pPr>
        <w:pStyle w:val="CETBodytext"/>
        <w:ind w:left="284" w:hanging="284"/>
        <w:rPr>
          <w:rFonts w:cs="Arial"/>
          <w:szCs w:val="18"/>
          <w:lang w:val="pt-BR"/>
        </w:rPr>
      </w:pPr>
      <w:r w:rsidRPr="00C431D4">
        <w:rPr>
          <w:rFonts w:cs="Arial"/>
          <w:szCs w:val="18"/>
        </w:rPr>
        <w:t>Grand View Research, 2014,</w:t>
      </w:r>
      <w:r w:rsidR="006F169D">
        <w:rPr>
          <w:rFonts w:cs="Arial"/>
          <w:szCs w:val="18"/>
        </w:rPr>
        <w:t xml:space="preserve"> </w:t>
      </w:r>
      <w:r w:rsidR="009A1400" w:rsidRPr="00C431D4">
        <w:rPr>
          <w:rFonts w:cs="Arial"/>
          <w:szCs w:val="18"/>
        </w:rPr>
        <w:t xml:space="preserve">Levulinic Acid Market Analysis and Segment Forecasts to 2020. </w:t>
      </w:r>
      <w:r w:rsidR="009A1400" w:rsidRPr="00C431D4">
        <w:rPr>
          <w:rFonts w:cs="Arial"/>
          <w:szCs w:val="18"/>
          <w:lang w:val="pt-BR"/>
        </w:rPr>
        <w:t>ISBN 978-1-68038-068-2.</w:t>
      </w:r>
    </w:p>
    <w:p w:rsidR="00CD04D6" w:rsidRPr="00CD04D6" w:rsidRDefault="00CD04D6" w:rsidP="006F169D">
      <w:pPr>
        <w:pStyle w:val="CETBodytext"/>
        <w:ind w:left="284" w:hanging="284"/>
        <w:rPr>
          <w:rFonts w:cs="Arial"/>
          <w:szCs w:val="18"/>
        </w:rPr>
      </w:pPr>
      <w:r w:rsidRPr="00C431D4">
        <w:rPr>
          <w:rFonts w:cs="Arial"/>
          <w:szCs w:val="18"/>
        </w:rPr>
        <w:t>Koh L.P., Ghazoul J., 2008, Biofuels, biodiversity and people understanding the con</w:t>
      </w:r>
      <w:r w:rsidR="006F169D">
        <w:rPr>
          <w:rFonts w:cs="Arial"/>
          <w:szCs w:val="18"/>
        </w:rPr>
        <w:t>flits and finding opportunities,</w:t>
      </w:r>
      <w:r w:rsidRPr="00C431D4">
        <w:rPr>
          <w:rFonts w:cs="Arial"/>
          <w:szCs w:val="18"/>
        </w:rPr>
        <w:t xml:space="preserve"> Bioconserv</w:t>
      </w:r>
      <w:r w:rsidR="006F169D">
        <w:rPr>
          <w:rFonts w:cs="Arial"/>
          <w:szCs w:val="18"/>
        </w:rPr>
        <w:t>ation</w:t>
      </w:r>
      <w:r w:rsidRPr="00C431D4">
        <w:rPr>
          <w:rFonts w:cs="Arial"/>
          <w:szCs w:val="18"/>
        </w:rPr>
        <w:t>, 141, 2450-2460.</w:t>
      </w:r>
    </w:p>
    <w:p w:rsidR="00CD04D6" w:rsidRPr="00CD04D6" w:rsidRDefault="00CD04D6" w:rsidP="006F169D">
      <w:pPr>
        <w:ind w:left="284" w:hanging="284"/>
        <w:rPr>
          <w:rFonts w:ascii="Arial" w:hAnsi="Arial" w:cs="Arial"/>
          <w:color w:val="000000" w:themeColor="text1"/>
          <w:sz w:val="18"/>
          <w:szCs w:val="18"/>
          <w:lang w:val="en-US" w:eastAsia="pt-BR"/>
        </w:rPr>
      </w:pPr>
      <w:r w:rsidRPr="00CD04D6">
        <w:rPr>
          <w:rFonts w:ascii="Arial" w:hAnsi="Arial" w:cs="Arial"/>
          <w:color w:val="000000" w:themeColor="text1"/>
          <w:sz w:val="18"/>
          <w:szCs w:val="18"/>
          <w:lang w:val="en-US" w:eastAsia="pt-BR"/>
        </w:rPr>
        <w:t>Lewkowski J.,</w:t>
      </w:r>
      <w:r w:rsidR="006F169D">
        <w:rPr>
          <w:rFonts w:ascii="Arial" w:hAnsi="Arial" w:cs="Arial"/>
          <w:color w:val="000000" w:themeColor="text1"/>
          <w:sz w:val="18"/>
          <w:szCs w:val="18"/>
          <w:lang w:val="en-US" w:eastAsia="pt-BR"/>
        </w:rPr>
        <w:t xml:space="preserve"> </w:t>
      </w:r>
      <w:r w:rsidRPr="00CD04D6">
        <w:rPr>
          <w:rFonts w:ascii="Arial" w:hAnsi="Arial" w:cs="Arial"/>
          <w:color w:val="000000" w:themeColor="text1"/>
          <w:sz w:val="18"/>
          <w:szCs w:val="18"/>
          <w:lang w:val="en-US" w:eastAsia="pt-BR"/>
        </w:rPr>
        <w:t>2001, Synthesis, chemistry and applications of 5-hydroxymethyl-furfural and its derivatives, Arkivoc,1, 17–54.</w:t>
      </w:r>
    </w:p>
    <w:p w:rsidR="009A1400" w:rsidRPr="002577BF" w:rsidRDefault="009A1400" w:rsidP="006F169D">
      <w:pPr>
        <w:pStyle w:val="Titolo2"/>
        <w:shd w:val="clear" w:color="auto" w:fill="FFFFFF"/>
        <w:spacing w:before="0"/>
        <w:ind w:left="284" w:hanging="284"/>
        <w:rPr>
          <w:rFonts w:ascii="Open Sans" w:hAnsi="Open Sans" w:cs="Open Sans"/>
          <w:b w:val="0"/>
          <w:color w:val="000000" w:themeColor="text1"/>
        </w:rPr>
      </w:pPr>
      <w:r w:rsidRPr="002577BF">
        <w:rPr>
          <w:rFonts w:ascii="Arial" w:hAnsi="Arial" w:cs="Arial"/>
          <w:b w:val="0"/>
          <w:bCs w:val="0"/>
          <w:color w:val="000000" w:themeColor="text1"/>
          <w:sz w:val="18"/>
          <w:szCs w:val="18"/>
          <w:lang w:val="en-US"/>
        </w:rPr>
        <w:t>Lange</w:t>
      </w:r>
      <w:r w:rsidR="002F07ED" w:rsidRPr="002577BF">
        <w:rPr>
          <w:rFonts w:ascii="Arial" w:hAnsi="Arial" w:cs="Arial"/>
          <w:b w:val="0"/>
          <w:bCs w:val="0"/>
          <w:color w:val="000000" w:themeColor="text1"/>
          <w:sz w:val="18"/>
          <w:szCs w:val="18"/>
          <w:lang w:val="en-US"/>
        </w:rPr>
        <w:t xml:space="preserve"> J.P., Van de Graaf  </w:t>
      </w:r>
      <w:r w:rsidR="002F07ED" w:rsidRPr="002577BF">
        <w:rPr>
          <w:rFonts w:ascii="Arial" w:hAnsi="Arial" w:cs="Arial"/>
          <w:b w:val="0"/>
          <w:bCs w:val="0"/>
          <w:color w:val="000000" w:themeColor="text1"/>
          <w:sz w:val="18"/>
          <w:szCs w:val="18"/>
        </w:rPr>
        <w:t xml:space="preserve">W.D., </w:t>
      </w:r>
      <w:r w:rsidRPr="002577BF">
        <w:rPr>
          <w:rFonts w:ascii="Arial" w:hAnsi="Arial" w:cs="Arial"/>
          <w:b w:val="0"/>
          <w:bCs w:val="0"/>
          <w:color w:val="000000" w:themeColor="text1"/>
          <w:sz w:val="18"/>
          <w:szCs w:val="18"/>
        </w:rPr>
        <w:t>Haan</w:t>
      </w:r>
      <w:r w:rsidR="002F07ED" w:rsidRPr="002577BF">
        <w:rPr>
          <w:rFonts w:ascii="Arial" w:hAnsi="Arial" w:cs="Arial"/>
          <w:b w:val="0"/>
          <w:bCs w:val="0"/>
          <w:color w:val="000000" w:themeColor="text1"/>
          <w:sz w:val="18"/>
          <w:szCs w:val="18"/>
        </w:rPr>
        <w:t xml:space="preserve"> R.J.</w:t>
      </w:r>
      <w:r w:rsidRPr="002577BF">
        <w:rPr>
          <w:rFonts w:ascii="Arial" w:hAnsi="Arial" w:cs="Arial"/>
          <w:b w:val="0"/>
          <w:bCs w:val="0"/>
          <w:color w:val="000000" w:themeColor="text1"/>
          <w:sz w:val="18"/>
          <w:szCs w:val="18"/>
        </w:rPr>
        <w:t>,</w:t>
      </w:r>
      <w:r w:rsidR="00410734">
        <w:rPr>
          <w:rFonts w:ascii="Arial" w:hAnsi="Arial" w:cs="Arial"/>
          <w:b w:val="0"/>
          <w:bCs w:val="0"/>
          <w:color w:val="000000" w:themeColor="text1"/>
          <w:sz w:val="18"/>
          <w:szCs w:val="18"/>
        </w:rPr>
        <w:t xml:space="preserve"> </w:t>
      </w:r>
      <w:r w:rsidR="002577BF">
        <w:rPr>
          <w:rFonts w:ascii="Arial" w:hAnsi="Arial" w:cs="Arial"/>
          <w:b w:val="0"/>
          <w:bCs w:val="0"/>
          <w:color w:val="000000" w:themeColor="text1"/>
          <w:sz w:val="18"/>
          <w:szCs w:val="18"/>
        </w:rPr>
        <w:t>2009,</w:t>
      </w:r>
      <w:r w:rsidR="002577BF" w:rsidRPr="002577BF">
        <w:rPr>
          <w:rFonts w:ascii="Arial" w:hAnsi="Arial" w:cs="Arial"/>
          <w:b w:val="0"/>
          <w:bCs w:val="0"/>
          <w:color w:val="000000" w:themeColor="text1"/>
          <w:sz w:val="18"/>
          <w:szCs w:val="18"/>
        </w:rPr>
        <w:t xml:space="preserve"> </w:t>
      </w:r>
      <w:r w:rsidR="002577BF" w:rsidRPr="002577BF">
        <w:rPr>
          <w:rFonts w:ascii="Arial" w:hAnsi="Arial" w:cs="Arial"/>
          <w:b w:val="0"/>
          <w:color w:val="000000" w:themeColor="text1"/>
          <w:sz w:val="18"/>
          <w:szCs w:val="18"/>
        </w:rPr>
        <w:t>Conversion of Furfuryl Alcohol into Ethyl Levulinate using Solid Acid Catalysts</w:t>
      </w:r>
      <w:r w:rsidR="002F07ED" w:rsidRPr="002577BF">
        <w:rPr>
          <w:rFonts w:ascii="Arial" w:hAnsi="Arial" w:cs="Arial"/>
          <w:b w:val="0"/>
          <w:bCs w:val="0"/>
          <w:color w:val="000000" w:themeColor="text1"/>
          <w:sz w:val="18"/>
          <w:szCs w:val="18"/>
        </w:rPr>
        <w:t>,</w:t>
      </w:r>
      <w:r w:rsidR="00410734">
        <w:rPr>
          <w:rFonts w:ascii="Arial" w:hAnsi="Arial" w:cs="Arial"/>
          <w:b w:val="0"/>
          <w:bCs w:val="0"/>
          <w:color w:val="000000" w:themeColor="text1"/>
          <w:sz w:val="18"/>
          <w:szCs w:val="18"/>
        </w:rPr>
        <w:t xml:space="preserve"> </w:t>
      </w:r>
      <w:r w:rsidRPr="002577BF">
        <w:rPr>
          <w:rFonts w:ascii="Arial" w:hAnsi="Arial" w:cs="Arial"/>
          <w:b w:val="0"/>
          <w:bCs w:val="0"/>
          <w:color w:val="000000" w:themeColor="text1"/>
          <w:sz w:val="18"/>
          <w:szCs w:val="18"/>
        </w:rPr>
        <w:t>Chem</w:t>
      </w:r>
      <w:r w:rsidR="00410734">
        <w:rPr>
          <w:rFonts w:ascii="Arial" w:hAnsi="Arial" w:cs="Arial"/>
          <w:b w:val="0"/>
          <w:bCs w:val="0"/>
          <w:color w:val="000000" w:themeColor="text1"/>
          <w:sz w:val="18"/>
          <w:szCs w:val="18"/>
        </w:rPr>
        <w:t>istry &amp;</w:t>
      </w:r>
      <w:r w:rsidR="002F07ED" w:rsidRPr="002577BF">
        <w:rPr>
          <w:rFonts w:ascii="Arial" w:hAnsi="Arial" w:cs="Arial"/>
          <w:b w:val="0"/>
          <w:bCs w:val="0"/>
          <w:color w:val="000000" w:themeColor="text1"/>
          <w:sz w:val="18"/>
          <w:szCs w:val="18"/>
        </w:rPr>
        <w:t xml:space="preserve"> </w:t>
      </w:r>
      <w:r w:rsidR="00410734">
        <w:rPr>
          <w:rFonts w:ascii="Arial" w:hAnsi="Arial" w:cs="Arial"/>
          <w:b w:val="0"/>
          <w:bCs w:val="0"/>
          <w:color w:val="000000" w:themeColor="text1"/>
          <w:sz w:val="18"/>
          <w:szCs w:val="18"/>
        </w:rPr>
        <w:t>S</w:t>
      </w:r>
      <w:r w:rsidR="00410734" w:rsidRPr="00410734">
        <w:rPr>
          <w:rFonts w:ascii="Arial" w:hAnsi="Arial" w:cs="Arial"/>
          <w:b w:val="0"/>
          <w:bCs w:val="0"/>
          <w:color w:val="000000" w:themeColor="text1"/>
          <w:sz w:val="18"/>
          <w:szCs w:val="18"/>
        </w:rPr>
        <w:t>ustainability</w:t>
      </w:r>
      <w:r w:rsidR="002F07ED" w:rsidRPr="002577BF">
        <w:rPr>
          <w:rFonts w:ascii="Arial" w:hAnsi="Arial" w:cs="Arial"/>
          <w:b w:val="0"/>
          <w:bCs w:val="0"/>
          <w:color w:val="000000" w:themeColor="text1"/>
          <w:sz w:val="18"/>
          <w:szCs w:val="18"/>
          <w:lang w:val="en-US"/>
        </w:rPr>
        <w:t>,</w:t>
      </w:r>
      <w:r w:rsidRPr="002577BF">
        <w:rPr>
          <w:rFonts w:ascii="Arial" w:hAnsi="Arial" w:cs="Arial"/>
          <w:b w:val="0"/>
          <w:bCs w:val="0"/>
          <w:color w:val="000000" w:themeColor="text1"/>
          <w:sz w:val="18"/>
          <w:szCs w:val="18"/>
          <w:lang w:val="en-US"/>
        </w:rPr>
        <w:t xml:space="preserve"> 2, 437 –441.</w:t>
      </w:r>
    </w:p>
    <w:p w:rsidR="009A1400" w:rsidRPr="00C431D4" w:rsidRDefault="002F07ED" w:rsidP="006F169D">
      <w:pPr>
        <w:autoSpaceDE w:val="0"/>
        <w:autoSpaceDN w:val="0"/>
        <w:adjustRightInd w:val="0"/>
        <w:ind w:left="284" w:hanging="284"/>
        <w:rPr>
          <w:rFonts w:ascii="Arial" w:eastAsiaTheme="minorHAnsi" w:hAnsi="Arial" w:cs="Arial"/>
          <w:sz w:val="18"/>
          <w:szCs w:val="18"/>
          <w:lang w:val="en-US"/>
        </w:rPr>
      </w:pPr>
      <w:r w:rsidRPr="00C431D4">
        <w:rPr>
          <w:rFonts w:ascii="Arial" w:hAnsi="Arial" w:cs="Arial"/>
          <w:bCs/>
          <w:iCs/>
          <w:sz w:val="18"/>
          <w:szCs w:val="18"/>
        </w:rPr>
        <w:t>Nhien L.C., Long N.V.D., Lee</w:t>
      </w:r>
      <w:r w:rsidR="009A1400" w:rsidRPr="00C431D4">
        <w:rPr>
          <w:rFonts w:ascii="Arial" w:hAnsi="Arial" w:cs="Arial"/>
          <w:bCs/>
          <w:iCs/>
          <w:sz w:val="18"/>
          <w:szCs w:val="18"/>
        </w:rPr>
        <w:t xml:space="preserve"> M.</w:t>
      </w:r>
      <w:r w:rsidRPr="00C431D4">
        <w:rPr>
          <w:rFonts w:ascii="Arial" w:hAnsi="Arial" w:cs="Arial"/>
          <w:bCs/>
          <w:iCs/>
          <w:sz w:val="18"/>
          <w:szCs w:val="18"/>
        </w:rPr>
        <w:t>,</w:t>
      </w:r>
      <w:r w:rsidR="009A1400" w:rsidRPr="00C431D4">
        <w:rPr>
          <w:rFonts w:ascii="Arial" w:hAnsi="Arial" w:cs="Arial"/>
          <w:bCs/>
          <w:iCs/>
          <w:sz w:val="18"/>
          <w:szCs w:val="18"/>
        </w:rPr>
        <w:t xml:space="preserve"> 2016</w:t>
      </w:r>
      <w:r w:rsidRPr="00C431D4">
        <w:rPr>
          <w:rFonts w:ascii="Arial" w:hAnsi="Arial" w:cs="Arial"/>
          <w:bCs/>
          <w:iCs/>
          <w:sz w:val="18"/>
          <w:szCs w:val="18"/>
        </w:rPr>
        <w:t xml:space="preserve">, </w:t>
      </w:r>
      <w:r w:rsidR="009A1400" w:rsidRPr="00C431D4">
        <w:rPr>
          <w:rFonts w:ascii="Arial" w:hAnsi="Arial" w:cs="Arial"/>
          <w:bCs/>
          <w:sz w:val="18"/>
          <w:szCs w:val="18"/>
        </w:rPr>
        <w:t>Design and optimization of the levulinic acid (LA) recovery process from lignocellulos</w:t>
      </w:r>
      <w:r w:rsidRPr="00C431D4">
        <w:rPr>
          <w:rFonts w:ascii="Arial" w:hAnsi="Arial" w:cs="Arial"/>
          <w:bCs/>
          <w:sz w:val="18"/>
          <w:szCs w:val="18"/>
        </w:rPr>
        <w:t>ic biomass,</w:t>
      </w:r>
      <w:r w:rsidR="007E0849">
        <w:rPr>
          <w:rFonts w:ascii="Arial" w:hAnsi="Arial" w:cs="Arial"/>
          <w:bCs/>
          <w:sz w:val="18"/>
          <w:szCs w:val="18"/>
        </w:rPr>
        <w:t xml:space="preserve"> </w:t>
      </w:r>
      <w:r w:rsidR="009A1400" w:rsidRPr="00C431D4">
        <w:rPr>
          <w:rFonts w:ascii="Arial" w:hAnsi="Arial" w:cs="Arial"/>
          <w:sz w:val="18"/>
          <w:szCs w:val="18"/>
        </w:rPr>
        <w:t>Chemical Engineering Research and Design, 107, 126–136.</w:t>
      </w:r>
    </w:p>
    <w:p w:rsidR="009A1400" w:rsidRPr="00C431D4" w:rsidRDefault="002F07ED" w:rsidP="006F169D">
      <w:pPr>
        <w:ind w:left="284" w:hanging="284"/>
        <w:rPr>
          <w:rFonts w:ascii="Arial" w:hAnsi="Arial" w:cs="Arial"/>
          <w:sz w:val="18"/>
          <w:szCs w:val="18"/>
          <w:lang w:val="en-US"/>
        </w:rPr>
      </w:pPr>
      <w:r w:rsidRPr="00C431D4">
        <w:rPr>
          <w:rFonts w:ascii="Arial" w:hAnsi="Arial" w:cs="Arial"/>
          <w:sz w:val="18"/>
          <w:szCs w:val="18"/>
          <w:lang w:val="en-US"/>
        </w:rPr>
        <w:t>Pereira C.L.F., Ortega</w:t>
      </w:r>
      <w:r w:rsidR="009A1400" w:rsidRPr="00C431D4">
        <w:rPr>
          <w:rFonts w:ascii="Arial" w:hAnsi="Arial" w:cs="Arial"/>
          <w:sz w:val="18"/>
          <w:szCs w:val="18"/>
          <w:lang w:val="en-US"/>
        </w:rPr>
        <w:t xml:space="preserve"> E.,</w:t>
      </w:r>
      <w:r w:rsidRPr="00C431D4">
        <w:rPr>
          <w:rFonts w:ascii="Arial" w:hAnsi="Arial" w:cs="Arial"/>
          <w:sz w:val="18"/>
          <w:szCs w:val="18"/>
          <w:lang w:val="en-US"/>
        </w:rPr>
        <w:t xml:space="preserve"> 2010,</w:t>
      </w:r>
      <w:r w:rsidR="009A1400" w:rsidRPr="00C431D4">
        <w:rPr>
          <w:rFonts w:ascii="Arial" w:hAnsi="Arial" w:cs="Arial"/>
          <w:sz w:val="18"/>
          <w:szCs w:val="18"/>
          <w:lang w:val="en-US"/>
        </w:rPr>
        <w:t xml:space="preserve"> Sustainability assesment of large-scale ethanol production from sugarcane</w:t>
      </w:r>
      <w:r w:rsidRPr="00C431D4">
        <w:rPr>
          <w:rFonts w:ascii="Arial" w:hAnsi="Arial" w:cs="Arial"/>
          <w:sz w:val="18"/>
          <w:szCs w:val="18"/>
          <w:lang w:val="en-US"/>
        </w:rPr>
        <w:t>,</w:t>
      </w:r>
      <w:r w:rsidR="009A1400" w:rsidRPr="00C431D4">
        <w:rPr>
          <w:rFonts w:ascii="Arial" w:hAnsi="Arial" w:cs="Arial"/>
          <w:sz w:val="18"/>
          <w:szCs w:val="18"/>
          <w:lang w:val="en-US"/>
        </w:rPr>
        <w:t xml:space="preserve"> Journal of Cleaner Production</w:t>
      </w:r>
      <w:r w:rsidR="009A1400" w:rsidRPr="00C431D4">
        <w:rPr>
          <w:rFonts w:ascii="Arial" w:hAnsi="Arial" w:cs="Arial"/>
          <w:b/>
          <w:sz w:val="18"/>
          <w:szCs w:val="18"/>
          <w:lang w:val="en-US"/>
        </w:rPr>
        <w:t>,</w:t>
      </w:r>
      <w:r w:rsidRPr="00C431D4">
        <w:rPr>
          <w:rFonts w:ascii="Arial" w:hAnsi="Arial" w:cs="Arial"/>
          <w:sz w:val="18"/>
          <w:szCs w:val="18"/>
          <w:lang w:val="en-US"/>
        </w:rPr>
        <w:t xml:space="preserve"> 18, 77-82</w:t>
      </w:r>
      <w:r w:rsidR="009A1400" w:rsidRPr="00C431D4">
        <w:rPr>
          <w:rFonts w:ascii="Arial" w:hAnsi="Arial" w:cs="Arial"/>
          <w:sz w:val="18"/>
          <w:szCs w:val="18"/>
          <w:lang w:val="en-US"/>
        </w:rPr>
        <w:t>.</w:t>
      </w:r>
      <w:r w:rsidR="009A1400" w:rsidRPr="00C431D4">
        <w:rPr>
          <w:rFonts w:ascii="Arial" w:hAnsi="Arial" w:cs="Arial"/>
          <w:sz w:val="18"/>
          <w:szCs w:val="18"/>
          <w:lang w:val="en-US"/>
        </w:rPr>
        <w:tab/>
      </w:r>
    </w:p>
    <w:p w:rsidR="009A1400" w:rsidRDefault="002F07ED" w:rsidP="006F169D">
      <w:pPr>
        <w:pStyle w:val="western"/>
        <w:spacing w:before="0" w:beforeAutospacing="0" w:line="264" w:lineRule="auto"/>
        <w:ind w:left="284" w:hanging="284"/>
        <w:jc w:val="both"/>
        <w:rPr>
          <w:rFonts w:ascii="Arial" w:hAnsi="Arial" w:cs="Arial"/>
          <w:b w:val="0"/>
          <w:sz w:val="18"/>
          <w:szCs w:val="18"/>
          <w:lang w:val="en-US"/>
        </w:rPr>
      </w:pPr>
      <w:r w:rsidRPr="00C431D4">
        <w:rPr>
          <w:rFonts w:ascii="Arial" w:hAnsi="Arial" w:cs="Arial"/>
          <w:b w:val="0"/>
          <w:bCs w:val="0"/>
          <w:sz w:val="18"/>
          <w:szCs w:val="18"/>
          <w:lang w:val="en-US"/>
        </w:rPr>
        <w:t>Ponce G.H.S.F., Alves</w:t>
      </w:r>
      <w:r w:rsidR="003C5B57" w:rsidRPr="00C431D4">
        <w:rPr>
          <w:rFonts w:ascii="Arial" w:hAnsi="Arial" w:cs="Arial"/>
          <w:b w:val="0"/>
          <w:bCs w:val="0"/>
          <w:sz w:val="18"/>
          <w:szCs w:val="18"/>
          <w:lang w:val="en-US"/>
        </w:rPr>
        <w:t xml:space="preserve"> M., Miranda, J.C.</w:t>
      </w:r>
      <w:r w:rsidR="009A1400" w:rsidRPr="00C431D4">
        <w:rPr>
          <w:rFonts w:ascii="Arial" w:hAnsi="Arial" w:cs="Arial"/>
          <w:b w:val="0"/>
          <w:bCs w:val="0"/>
          <w:sz w:val="18"/>
          <w:szCs w:val="18"/>
          <w:lang w:val="en-US"/>
        </w:rPr>
        <w:t>C., Ma</w:t>
      </w:r>
      <w:r w:rsidR="003C5B57" w:rsidRPr="00C431D4">
        <w:rPr>
          <w:rFonts w:ascii="Arial" w:hAnsi="Arial" w:cs="Arial"/>
          <w:b w:val="0"/>
          <w:bCs w:val="0"/>
          <w:sz w:val="18"/>
          <w:szCs w:val="18"/>
          <w:lang w:val="en-US"/>
        </w:rPr>
        <w:t>ciel Filho, R., Wolf Maciel, M.R., 2015,</w:t>
      </w:r>
      <w:r w:rsidR="009A1400" w:rsidRPr="00C431D4">
        <w:rPr>
          <w:rFonts w:ascii="Arial" w:hAnsi="Arial" w:cs="Arial"/>
          <w:b w:val="0"/>
          <w:bCs w:val="0"/>
          <w:sz w:val="18"/>
          <w:szCs w:val="18"/>
          <w:lang w:val="en-US"/>
        </w:rPr>
        <w:t xml:space="preserve"> Using an internally heat-integrated distillation column for ethanol–water s</w:t>
      </w:r>
      <w:r w:rsidR="003C5B57" w:rsidRPr="00C431D4">
        <w:rPr>
          <w:rFonts w:ascii="Arial" w:hAnsi="Arial" w:cs="Arial"/>
          <w:b w:val="0"/>
          <w:bCs w:val="0"/>
          <w:sz w:val="18"/>
          <w:szCs w:val="18"/>
          <w:lang w:val="en-US"/>
        </w:rPr>
        <w:t>eparation for fuel applications,</w:t>
      </w:r>
      <w:r w:rsidR="00410734">
        <w:rPr>
          <w:rFonts w:ascii="Arial" w:hAnsi="Arial" w:cs="Arial"/>
          <w:b w:val="0"/>
          <w:bCs w:val="0"/>
          <w:sz w:val="18"/>
          <w:szCs w:val="18"/>
          <w:lang w:val="en-US"/>
        </w:rPr>
        <w:t xml:space="preserve"> </w:t>
      </w:r>
      <w:r w:rsidR="009A1400" w:rsidRPr="00C431D4">
        <w:rPr>
          <w:rFonts w:ascii="Arial" w:hAnsi="Arial" w:cs="Arial"/>
          <w:b w:val="0"/>
          <w:sz w:val="18"/>
          <w:szCs w:val="18"/>
          <w:lang w:val="en-US"/>
        </w:rPr>
        <w:t>Chemical Eng</w:t>
      </w:r>
      <w:r w:rsidR="003C5B57" w:rsidRPr="00C431D4">
        <w:rPr>
          <w:rFonts w:ascii="Arial" w:hAnsi="Arial" w:cs="Arial"/>
          <w:b w:val="0"/>
          <w:sz w:val="18"/>
          <w:szCs w:val="18"/>
          <w:lang w:val="en-US"/>
        </w:rPr>
        <w:t>ineering Research and Design,</w:t>
      </w:r>
      <w:r w:rsidR="009A1400" w:rsidRPr="00C431D4">
        <w:rPr>
          <w:rFonts w:ascii="Arial" w:hAnsi="Arial" w:cs="Arial"/>
          <w:b w:val="0"/>
          <w:sz w:val="18"/>
          <w:szCs w:val="18"/>
          <w:lang w:val="en-US"/>
        </w:rPr>
        <w:t xml:space="preserve"> 5, 55–63.</w:t>
      </w:r>
    </w:p>
    <w:p w:rsidR="00CD04D6" w:rsidRPr="00CD04D6" w:rsidRDefault="00CD04D6" w:rsidP="006F169D">
      <w:pPr>
        <w:ind w:left="284" w:hanging="284"/>
        <w:rPr>
          <w:rFonts w:ascii="Arial" w:hAnsi="Arial" w:cs="Arial"/>
          <w:color w:val="000000" w:themeColor="text1"/>
          <w:sz w:val="18"/>
          <w:szCs w:val="18"/>
          <w:lang w:val="en-US" w:eastAsia="pt-BR"/>
        </w:rPr>
      </w:pPr>
      <w:r w:rsidRPr="00F55904">
        <w:rPr>
          <w:rFonts w:ascii="Arial" w:hAnsi="Arial" w:cs="Arial"/>
          <w:color w:val="000000" w:themeColor="text1"/>
          <w:sz w:val="18"/>
          <w:szCs w:val="18"/>
          <w:lang w:val="en-US" w:eastAsia="pt-BR"/>
        </w:rPr>
        <w:t>Serrano-Ruiz</w:t>
      </w:r>
      <w:r w:rsidRPr="002577BF">
        <w:rPr>
          <w:rFonts w:ascii="Arial" w:hAnsi="Arial" w:cs="Arial"/>
          <w:color w:val="000000" w:themeColor="text1"/>
          <w:sz w:val="18"/>
          <w:szCs w:val="18"/>
          <w:lang w:val="en-US" w:eastAsia="pt-BR"/>
        </w:rPr>
        <w:t xml:space="preserve"> J.C., </w:t>
      </w:r>
      <w:r w:rsidRPr="00F55904">
        <w:rPr>
          <w:rFonts w:ascii="Arial" w:hAnsi="Arial" w:cs="Arial"/>
          <w:color w:val="000000" w:themeColor="text1"/>
          <w:sz w:val="18"/>
          <w:szCs w:val="18"/>
          <w:lang w:val="en-US" w:eastAsia="pt-BR"/>
        </w:rPr>
        <w:t>Dumesic</w:t>
      </w:r>
      <w:r w:rsidRPr="002577BF">
        <w:rPr>
          <w:rFonts w:ascii="Arial" w:hAnsi="Arial" w:cs="Arial"/>
          <w:color w:val="000000" w:themeColor="text1"/>
          <w:sz w:val="18"/>
          <w:szCs w:val="18"/>
          <w:lang w:val="en-US" w:eastAsia="pt-BR"/>
        </w:rPr>
        <w:t xml:space="preserve"> J.</w:t>
      </w:r>
      <w:r w:rsidRPr="00F55904">
        <w:rPr>
          <w:rFonts w:ascii="Arial" w:hAnsi="Arial" w:cs="Arial"/>
          <w:color w:val="000000" w:themeColor="text1"/>
          <w:sz w:val="18"/>
          <w:szCs w:val="18"/>
          <w:lang w:val="en-US" w:eastAsia="pt-BR"/>
        </w:rPr>
        <w:t>A.,</w:t>
      </w:r>
      <w:r w:rsidRPr="002577BF">
        <w:rPr>
          <w:rFonts w:ascii="Arial" w:hAnsi="Arial" w:cs="Arial"/>
          <w:color w:val="000000" w:themeColor="text1"/>
          <w:sz w:val="18"/>
          <w:szCs w:val="18"/>
          <w:lang w:val="en-US" w:eastAsia="pt-BR"/>
        </w:rPr>
        <w:t xml:space="preserve"> 2011, </w:t>
      </w:r>
      <w:bookmarkStart w:id="1" w:name="C0EE00436G"/>
      <w:r w:rsidRPr="00F55904">
        <w:rPr>
          <w:rFonts w:ascii="Arial" w:hAnsi="Arial" w:cs="Arial"/>
          <w:color w:val="000000" w:themeColor="text1"/>
          <w:sz w:val="18"/>
          <w:szCs w:val="18"/>
          <w:lang w:val="pt-BR" w:eastAsia="pt-BR"/>
        </w:rPr>
        <w:fldChar w:fldCharType="begin"/>
      </w:r>
      <w:r w:rsidRPr="00F55904">
        <w:rPr>
          <w:rFonts w:ascii="Arial" w:hAnsi="Arial" w:cs="Arial"/>
          <w:color w:val="000000" w:themeColor="text1"/>
          <w:sz w:val="18"/>
          <w:szCs w:val="18"/>
          <w:lang w:val="en-US" w:eastAsia="pt-BR"/>
        </w:rPr>
        <w:instrText xml:space="preserve"> HYPERLINK "http://pubs.rsc.org/en/Content/ArticleLanding/2011/EE/C0EE00436G" </w:instrText>
      </w:r>
      <w:r w:rsidRPr="00F55904">
        <w:rPr>
          <w:rFonts w:ascii="Arial" w:hAnsi="Arial" w:cs="Arial"/>
          <w:color w:val="000000" w:themeColor="text1"/>
          <w:sz w:val="18"/>
          <w:szCs w:val="18"/>
          <w:lang w:val="pt-BR" w:eastAsia="pt-BR"/>
        </w:rPr>
        <w:fldChar w:fldCharType="separate"/>
      </w:r>
      <w:r w:rsidRPr="002577BF">
        <w:rPr>
          <w:rFonts w:ascii="Arial" w:hAnsi="Arial" w:cs="Arial"/>
          <w:bCs/>
          <w:color w:val="000000" w:themeColor="text1"/>
          <w:sz w:val="18"/>
          <w:szCs w:val="18"/>
          <w:lang w:val="en-US" w:eastAsia="pt-BR"/>
        </w:rPr>
        <w:t>Catalytic routes for the conversion of biomass into liquid hydrocarbon transportation fuels</w:t>
      </w:r>
      <w:r w:rsidRPr="00F55904">
        <w:rPr>
          <w:rFonts w:ascii="Arial" w:hAnsi="Arial" w:cs="Arial"/>
          <w:color w:val="000000" w:themeColor="text1"/>
          <w:sz w:val="18"/>
          <w:szCs w:val="18"/>
          <w:lang w:val="pt-BR" w:eastAsia="pt-BR"/>
        </w:rPr>
        <w:fldChar w:fldCharType="end"/>
      </w:r>
      <w:bookmarkEnd w:id="1"/>
      <w:r w:rsidRPr="002577BF">
        <w:rPr>
          <w:rFonts w:ascii="Arial" w:hAnsi="Arial" w:cs="Arial"/>
          <w:color w:val="000000" w:themeColor="text1"/>
          <w:sz w:val="18"/>
          <w:szCs w:val="18"/>
          <w:lang w:val="en-US" w:eastAsia="pt-BR"/>
        </w:rPr>
        <w:t xml:space="preserve">, </w:t>
      </w:r>
      <w:r w:rsidRPr="00F55904">
        <w:rPr>
          <w:rFonts w:ascii="Arial" w:hAnsi="Arial" w:cs="Arial"/>
          <w:color w:val="000000" w:themeColor="text1"/>
          <w:sz w:val="18"/>
          <w:szCs w:val="18"/>
          <w:lang w:val="en-US" w:eastAsia="pt-BR"/>
        </w:rPr>
        <w:t> </w:t>
      </w:r>
      <w:r w:rsidR="00410734">
        <w:rPr>
          <w:rFonts w:ascii="Arial" w:hAnsi="Arial" w:cs="Arial"/>
          <w:iCs/>
          <w:color w:val="000000" w:themeColor="text1"/>
          <w:sz w:val="18"/>
          <w:szCs w:val="18"/>
          <w:lang w:val="en-US" w:eastAsia="pt-BR"/>
        </w:rPr>
        <w:t>Energy Environment Science</w:t>
      </w:r>
      <w:r w:rsidR="00410734">
        <w:rPr>
          <w:rFonts w:ascii="Arial" w:hAnsi="Arial" w:cs="Arial"/>
          <w:color w:val="000000" w:themeColor="text1"/>
          <w:sz w:val="18"/>
          <w:szCs w:val="18"/>
          <w:lang w:val="en-US" w:eastAsia="pt-BR"/>
        </w:rPr>
        <w:t>,</w:t>
      </w:r>
      <w:r w:rsidRPr="00F55904">
        <w:rPr>
          <w:rFonts w:ascii="Arial" w:hAnsi="Arial" w:cs="Arial"/>
          <w:color w:val="000000" w:themeColor="text1"/>
          <w:sz w:val="18"/>
          <w:szCs w:val="18"/>
          <w:lang w:val="en-US" w:eastAsia="pt-BR"/>
        </w:rPr>
        <w:t> </w:t>
      </w:r>
      <w:r w:rsidRPr="002577BF">
        <w:rPr>
          <w:rFonts w:ascii="Arial" w:hAnsi="Arial" w:cs="Arial"/>
          <w:bCs/>
          <w:color w:val="000000" w:themeColor="text1"/>
          <w:sz w:val="18"/>
          <w:szCs w:val="18"/>
          <w:lang w:val="en-US" w:eastAsia="pt-BR"/>
        </w:rPr>
        <w:t>4</w:t>
      </w:r>
      <w:r w:rsidRPr="00F55904">
        <w:rPr>
          <w:rFonts w:ascii="Arial" w:hAnsi="Arial" w:cs="Arial"/>
          <w:color w:val="000000" w:themeColor="text1"/>
          <w:sz w:val="18"/>
          <w:szCs w:val="18"/>
          <w:lang w:val="en-US" w:eastAsia="pt-BR"/>
        </w:rPr>
        <w:t>, 83-99</w:t>
      </w:r>
      <w:r w:rsidRPr="002577BF">
        <w:rPr>
          <w:rFonts w:ascii="Arial" w:hAnsi="Arial" w:cs="Arial"/>
          <w:color w:val="000000" w:themeColor="text1"/>
          <w:sz w:val="18"/>
          <w:szCs w:val="18"/>
          <w:lang w:val="en-US" w:eastAsia="pt-BR"/>
        </w:rPr>
        <w:t>.</w:t>
      </w:r>
    </w:p>
    <w:p w:rsidR="009A1400" w:rsidRPr="00CD04D6" w:rsidRDefault="009A1400" w:rsidP="006F169D">
      <w:pPr>
        <w:pStyle w:val="CETBodytext"/>
        <w:ind w:left="284" w:hanging="284"/>
        <w:rPr>
          <w:rFonts w:cs="Arial"/>
          <w:color w:val="000000" w:themeColor="text1"/>
          <w:szCs w:val="18"/>
        </w:rPr>
      </w:pPr>
      <w:r w:rsidRPr="00CD04D6">
        <w:rPr>
          <w:rFonts w:cs="Arial"/>
          <w:color w:val="000000" w:themeColor="text1"/>
          <w:szCs w:val="18"/>
        </w:rPr>
        <w:t>Sheldon</w:t>
      </w:r>
      <w:r w:rsidR="00410734">
        <w:rPr>
          <w:rFonts w:cs="Arial"/>
          <w:color w:val="000000" w:themeColor="text1"/>
          <w:szCs w:val="18"/>
        </w:rPr>
        <w:t xml:space="preserve"> R.</w:t>
      </w:r>
      <w:r w:rsidR="003C5B57" w:rsidRPr="00CD04D6">
        <w:rPr>
          <w:rFonts w:cs="Arial"/>
          <w:color w:val="000000" w:themeColor="text1"/>
          <w:szCs w:val="18"/>
        </w:rPr>
        <w:t>A.</w:t>
      </w:r>
      <w:r w:rsidRPr="00CD04D6">
        <w:rPr>
          <w:rFonts w:cs="Arial"/>
          <w:color w:val="000000" w:themeColor="text1"/>
          <w:szCs w:val="18"/>
        </w:rPr>
        <w:t>,</w:t>
      </w:r>
      <w:r w:rsidR="00D16370" w:rsidRPr="00CD04D6">
        <w:rPr>
          <w:rFonts w:cs="Arial"/>
          <w:color w:val="000000" w:themeColor="text1"/>
          <w:szCs w:val="18"/>
        </w:rPr>
        <w:t xml:space="preserve"> 2011,</w:t>
      </w:r>
      <w:r w:rsidR="00CD04D6" w:rsidRPr="00CD04D6">
        <w:rPr>
          <w:rFonts w:cs="Arial"/>
          <w:color w:val="000000" w:themeColor="text1"/>
          <w:szCs w:val="18"/>
        </w:rPr>
        <w:t xml:space="preserve"> </w:t>
      </w:r>
      <w:hyperlink r:id="rId10" w:history="1">
        <w:r w:rsidR="00CD04D6" w:rsidRPr="00CD04D6">
          <w:rPr>
            <w:rStyle w:val="js-article-title"/>
            <w:rFonts w:cs="Arial"/>
            <w:color w:val="000000" w:themeColor="text1"/>
            <w:szCs w:val="18"/>
          </w:rPr>
          <w:t>Utilisation of biomass for sustainable fuels and chemicals: Molecules, methods and metrics</w:t>
        </w:r>
      </w:hyperlink>
      <w:r w:rsidR="00CD04D6" w:rsidRPr="00CD04D6">
        <w:rPr>
          <w:rFonts w:cs="Arial"/>
          <w:color w:val="000000" w:themeColor="text1"/>
          <w:szCs w:val="18"/>
        </w:rPr>
        <w:t>,</w:t>
      </w:r>
      <w:r w:rsidR="00410734">
        <w:rPr>
          <w:rFonts w:cs="Arial"/>
          <w:color w:val="000000" w:themeColor="text1"/>
          <w:szCs w:val="18"/>
        </w:rPr>
        <w:t xml:space="preserve"> Catalisys</w:t>
      </w:r>
      <w:r w:rsidR="00D16370" w:rsidRPr="00CD04D6">
        <w:rPr>
          <w:rFonts w:cs="Arial"/>
          <w:color w:val="000000" w:themeColor="text1"/>
          <w:szCs w:val="18"/>
        </w:rPr>
        <w:t xml:space="preserve"> Today</w:t>
      </w:r>
      <w:r w:rsidRPr="00CD04D6">
        <w:rPr>
          <w:rFonts w:cs="Arial"/>
          <w:color w:val="000000" w:themeColor="text1"/>
          <w:szCs w:val="18"/>
        </w:rPr>
        <w:t>, 167, 3-13</w:t>
      </w:r>
      <w:r w:rsidR="00D16370" w:rsidRPr="00CD04D6">
        <w:rPr>
          <w:rFonts w:cs="Arial"/>
          <w:color w:val="000000" w:themeColor="text1"/>
          <w:szCs w:val="18"/>
        </w:rPr>
        <w:t>.</w:t>
      </w:r>
    </w:p>
    <w:p w:rsidR="009A1400" w:rsidRPr="00C431D4" w:rsidRDefault="003C5B57" w:rsidP="006F169D">
      <w:pPr>
        <w:ind w:left="284" w:hanging="284"/>
        <w:rPr>
          <w:rFonts w:ascii="Arial" w:hAnsi="Arial" w:cs="Arial"/>
          <w:bCs/>
          <w:sz w:val="18"/>
          <w:szCs w:val="18"/>
          <w:lang w:val="en-US"/>
        </w:rPr>
      </w:pPr>
      <w:r w:rsidRPr="00C431D4">
        <w:rPr>
          <w:rFonts w:ascii="Arial" w:hAnsi="Arial" w:cs="Arial"/>
          <w:sz w:val="18"/>
          <w:szCs w:val="18"/>
          <w:lang w:val="en-US" w:eastAsia="pt-BR"/>
        </w:rPr>
        <w:t>Titirici M.M., Pileidis F.</w:t>
      </w:r>
      <w:r w:rsidR="009A1400" w:rsidRPr="00C431D4">
        <w:rPr>
          <w:rFonts w:ascii="Arial" w:hAnsi="Arial" w:cs="Arial"/>
          <w:sz w:val="18"/>
          <w:szCs w:val="18"/>
          <w:lang w:val="en-US" w:eastAsia="pt-BR"/>
        </w:rPr>
        <w:t>D., 2016, Levulinic Acid Biorefineries: New Challenges for E</w:t>
      </w:r>
      <w:r w:rsidRPr="00C431D4">
        <w:rPr>
          <w:rFonts w:ascii="Arial" w:hAnsi="Arial" w:cs="Arial"/>
          <w:sz w:val="18"/>
          <w:szCs w:val="18"/>
          <w:lang w:val="en-US" w:eastAsia="pt-BR"/>
        </w:rPr>
        <w:t>fficient Utilization of Biomass,</w:t>
      </w:r>
      <w:r w:rsidR="007E0849">
        <w:rPr>
          <w:rFonts w:ascii="Arial" w:hAnsi="Arial" w:cs="Arial"/>
          <w:sz w:val="18"/>
          <w:szCs w:val="18"/>
          <w:lang w:val="en-US" w:eastAsia="pt-BR"/>
        </w:rPr>
        <w:t xml:space="preserve"> </w:t>
      </w:r>
      <w:r w:rsidR="009A1400" w:rsidRPr="00410734">
        <w:rPr>
          <w:rFonts w:ascii="Arial" w:hAnsi="Arial" w:cs="Arial"/>
          <w:iCs/>
          <w:sz w:val="18"/>
          <w:szCs w:val="18"/>
          <w:lang w:val="en-US" w:eastAsia="pt-BR"/>
        </w:rPr>
        <w:t>Chem</w:t>
      </w:r>
      <w:r w:rsidR="00410734">
        <w:rPr>
          <w:rFonts w:ascii="Arial" w:hAnsi="Arial" w:cs="Arial"/>
          <w:iCs/>
          <w:sz w:val="18"/>
          <w:szCs w:val="18"/>
          <w:lang w:val="en-US" w:eastAsia="pt-BR"/>
        </w:rPr>
        <w:t>istry &amp; Sustainability</w:t>
      </w:r>
      <w:r w:rsidR="009A1400" w:rsidRPr="00C431D4">
        <w:rPr>
          <w:rFonts w:ascii="Arial" w:hAnsi="Arial" w:cs="Arial"/>
          <w:i/>
          <w:iCs/>
          <w:sz w:val="18"/>
          <w:szCs w:val="18"/>
          <w:lang w:val="en-US" w:eastAsia="pt-BR"/>
        </w:rPr>
        <w:t xml:space="preserve"> </w:t>
      </w:r>
      <w:r w:rsidR="009A1400" w:rsidRPr="00410734">
        <w:rPr>
          <w:rFonts w:ascii="Arial" w:hAnsi="Arial" w:cs="Arial"/>
          <w:iCs/>
          <w:sz w:val="18"/>
          <w:szCs w:val="18"/>
          <w:lang w:val="en-US" w:eastAsia="pt-BR"/>
        </w:rPr>
        <w:t xml:space="preserve">Review. </w:t>
      </w:r>
      <w:r w:rsidR="009A1400" w:rsidRPr="00C431D4">
        <w:rPr>
          <w:rFonts w:ascii="Arial" w:hAnsi="Arial" w:cs="Arial"/>
          <w:sz w:val="18"/>
          <w:szCs w:val="18"/>
          <w:lang w:val="en-US" w:eastAsia="pt-BR"/>
        </w:rPr>
        <w:t>DOI: 10.1002/cssc.201501405</w:t>
      </w:r>
      <w:r w:rsidR="006F169D">
        <w:rPr>
          <w:rFonts w:ascii="Arial" w:hAnsi="Arial" w:cs="Arial"/>
          <w:sz w:val="18"/>
          <w:szCs w:val="18"/>
          <w:lang w:val="en-US" w:eastAsia="pt-BR"/>
        </w:rPr>
        <w:t>.</w:t>
      </w:r>
    </w:p>
    <w:p w:rsidR="00661ECC" w:rsidRPr="009A6F2A" w:rsidRDefault="00661ECC" w:rsidP="009A1400">
      <w:pPr>
        <w:pStyle w:val="CETBodytext"/>
        <w:ind w:left="284" w:hanging="284"/>
        <w:rPr>
          <w:color w:val="FF0000"/>
        </w:rPr>
      </w:pPr>
    </w:p>
    <w:sectPr w:rsidR="00661ECC" w:rsidRPr="009A6F2A" w:rsidSect="009E788A">
      <w:headerReference w:type="first" r:id="rId11"/>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A1" w:rsidRDefault="00303AA1" w:rsidP="000E414A">
      <w:pPr>
        <w:spacing w:line="240" w:lineRule="auto"/>
      </w:pPr>
      <w:r>
        <w:separator/>
      </w:r>
    </w:p>
  </w:endnote>
  <w:endnote w:type="continuationSeparator" w:id="0">
    <w:p w:rsidR="00303AA1" w:rsidRDefault="00303AA1"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A1" w:rsidRDefault="00303AA1" w:rsidP="000E414A">
      <w:pPr>
        <w:spacing w:line="240" w:lineRule="auto"/>
      </w:pPr>
      <w:r>
        <w:separator/>
      </w:r>
    </w:p>
  </w:footnote>
  <w:footnote w:type="continuationSeparator" w:id="0">
    <w:p w:rsidR="00303AA1" w:rsidRDefault="00303AA1" w:rsidP="000E41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1E0" w:firstRow="1" w:lastRow="1" w:firstColumn="1" w:lastColumn="1" w:noHBand="0" w:noVBand="0"/>
    </w:tblPr>
    <w:tblGrid>
      <w:gridCol w:w="7054"/>
      <w:gridCol w:w="1843"/>
    </w:tblGrid>
    <w:tr w:rsidR="00D948FB" w:rsidTr="00F30C64">
      <w:trPr>
        <w:trHeight w:val="852"/>
      </w:trPr>
      <w:tc>
        <w:tcPr>
          <w:tcW w:w="7054" w:type="dxa"/>
          <w:vMerge w:val="restart"/>
          <w:tcBorders>
            <w:right w:val="single" w:sz="4" w:space="0" w:color="auto"/>
          </w:tcBorders>
        </w:tcPr>
        <w:p w:rsidR="00D948FB" w:rsidRDefault="00D948FB">
          <w:pPr>
            <w:ind w:right="-74"/>
            <w:jc w:val="left"/>
            <w:rPr>
              <w:rFonts w:ascii="Arial" w:hAnsi="Arial" w:cs="Arial"/>
              <w:b/>
              <w:bCs/>
              <w:i/>
              <w:iCs/>
              <w:color w:val="000066"/>
              <w:sz w:val="12"/>
              <w:szCs w:val="12"/>
              <w:lang w:eastAsia="it-IT"/>
            </w:rPr>
          </w:pPr>
          <w:r>
            <w:rPr>
              <w:rFonts w:ascii="AdvP6960" w:hAnsi="AdvP6960" w:cs="AdvP6960"/>
              <w:noProof/>
              <w:color w:val="241F20"/>
              <w:sz w:val="18"/>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E414A">
            <w:rPr>
              <w:rFonts w:ascii="Arial" w:hAnsi="Arial" w:cs="Arial"/>
              <w:b/>
              <w:bCs/>
              <w:i/>
              <w:iCs/>
              <w:color w:val="000066"/>
              <w:sz w:val="24"/>
              <w:szCs w:val="24"/>
              <w:lang w:eastAsia="it-IT"/>
            </w:rPr>
            <w:t>CHEMICAL ENGINEERING</w:t>
          </w:r>
          <w:r w:rsidRPr="000E414A">
            <w:rPr>
              <w:rFonts w:ascii="Arial" w:hAnsi="Arial" w:cs="Arial"/>
              <w:b/>
              <w:bCs/>
              <w:i/>
              <w:iCs/>
              <w:color w:val="666666"/>
              <w:sz w:val="24"/>
              <w:szCs w:val="24"/>
              <w:lang w:eastAsia="it-IT"/>
            </w:rPr>
            <w:t>TRANSACTIONS</w:t>
          </w:r>
          <w:r w:rsidRPr="00C0335A">
            <w:rPr>
              <w:rFonts w:ascii="Arial" w:hAnsi="Arial" w:cs="Arial"/>
              <w:b/>
              <w:bCs/>
              <w:i/>
              <w:iCs/>
              <w:color w:val="000066"/>
              <w:sz w:val="27"/>
              <w:szCs w:val="27"/>
              <w:lang w:eastAsia="it-IT"/>
            </w:rPr>
            <w:br/>
          </w:r>
        </w:p>
        <w:p w:rsidR="00D948FB" w:rsidRPr="0030469C" w:rsidRDefault="00D948FB" w:rsidP="00BB15E6">
          <w:pPr>
            <w:ind w:right="-74"/>
            <w:rPr>
              <w:rFonts w:ascii="Arial" w:hAnsi="Arial" w:cs="Arial"/>
              <w:b/>
              <w:bCs/>
              <w:i/>
              <w:iCs/>
              <w:color w:val="000066"/>
              <w:lang w:eastAsia="it-IT"/>
            </w:rPr>
          </w:pPr>
          <w:r>
            <w:rPr>
              <w:rFonts w:ascii="Arial" w:hAnsi="Arial" w:cs="Arial"/>
              <w:b/>
              <w:bCs/>
              <w:i/>
              <w:iCs/>
              <w:color w:val="000066"/>
              <w:lang w:eastAsia="it-IT"/>
            </w:rPr>
            <w:t>VOL. 76, 2019</w:t>
          </w:r>
        </w:p>
      </w:tc>
      <w:tc>
        <w:tcPr>
          <w:tcW w:w="1843" w:type="dxa"/>
          <w:tcBorders>
            <w:left w:val="single" w:sz="4" w:space="0" w:color="auto"/>
            <w:bottom w:val="nil"/>
            <w:right w:val="single" w:sz="4" w:space="0" w:color="auto"/>
          </w:tcBorders>
        </w:tcPr>
        <w:p w:rsidR="00D948FB" w:rsidRDefault="00D948FB" w:rsidP="0030469C">
          <w:pPr>
            <w:spacing w:line="140" w:lineRule="atLeast"/>
            <w:jc w:val="right"/>
            <w:rPr>
              <w:rFonts w:ascii="Arial" w:hAnsi="Arial" w:cs="Arial"/>
              <w:sz w:val="14"/>
              <w:szCs w:val="14"/>
            </w:rPr>
          </w:pPr>
          <w:r w:rsidRPr="00C0335A">
            <w:rPr>
              <w:rFonts w:ascii="Arial" w:hAnsi="Arial" w:cs="Arial"/>
              <w:sz w:val="14"/>
              <w:szCs w:val="14"/>
            </w:rPr>
            <w:t>A publication of</w:t>
          </w:r>
        </w:p>
        <w:p w:rsidR="00D948FB" w:rsidRDefault="00D948FB" w:rsidP="0030469C">
          <w:pPr>
            <w:ind w:left="155"/>
            <w:jc w:val="right"/>
          </w:pPr>
          <w:r>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D948FB" w:rsidRPr="00BB15E6" w:rsidTr="00F30C64">
      <w:trPr>
        <w:trHeight w:val="567"/>
      </w:trPr>
      <w:tc>
        <w:tcPr>
          <w:tcW w:w="7054" w:type="dxa"/>
          <w:vMerge/>
          <w:tcBorders>
            <w:right w:val="single" w:sz="4" w:space="0" w:color="auto"/>
          </w:tcBorders>
        </w:tcPr>
        <w:p w:rsidR="00D948FB" w:rsidRDefault="00D948FB" w:rsidP="005B634C"/>
      </w:tc>
      <w:tc>
        <w:tcPr>
          <w:tcW w:w="1843" w:type="dxa"/>
          <w:tcBorders>
            <w:left w:val="single" w:sz="4" w:space="0" w:color="auto"/>
            <w:bottom w:val="nil"/>
            <w:right w:val="single" w:sz="4" w:space="0" w:color="auto"/>
          </w:tcBorders>
        </w:tcPr>
        <w:p w:rsidR="00D948FB" w:rsidRPr="00B57B36" w:rsidRDefault="00D948FB" w:rsidP="00AA580D">
          <w:pPr>
            <w:spacing w:line="140" w:lineRule="atLeast"/>
            <w:jc w:val="right"/>
            <w:rPr>
              <w:rFonts w:cs="Arial"/>
              <w:sz w:val="14"/>
              <w:szCs w:val="14"/>
            </w:rPr>
          </w:pPr>
          <w:r w:rsidRPr="00B57B36">
            <w:rPr>
              <w:rFonts w:cs="Arial"/>
              <w:sz w:val="14"/>
              <w:szCs w:val="14"/>
            </w:rPr>
            <w:t>The Italian Association</w:t>
          </w:r>
        </w:p>
        <w:p w:rsidR="00D948FB" w:rsidRPr="00B57B36" w:rsidRDefault="00D948FB" w:rsidP="00AA580D">
          <w:pPr>
            <w:spacing w:line="140" w:lineRule="atLeast"/>
            <w:jc w:val="right"/>
            <w:rPr>
              <w:rFonts w:cs="Arial"/>
              <w:sz w:val="14"/>
              <w:szCs w:val="14"/>
            </w:rPr>
          </w:pPr>
          <w:r w:rsidRPr="00B57B36">
            <w:rPr>
              <w:rFonts w:cs="Arial"/>
              <w:sz w:val="14"/>
              <w:szCs w:val="14"/>
            </w:rPr>
            <w:t>of Chemical Engineering</w:t>
          </w:r>
        </w:p>
        <w:p w:rsidR="00D948FB" w:rsidRPr="00996483" w:rsidRDefault="00D948FB" w:rsidP="00AA580D">
          <w:pPr>
            <w:spacing w:line="140" w:lineRule="atLeast"/>
            <w:ind w:left="-145"/>
            <w:jc w:val="right"/>
            <w:rPr>
              <w:rFonts w:ascii="Arial" w:hAnsi="Arial" w:cs="Arial"/>
              <w:sz w:val="14"/>
              <w:szCs w:val="14"/>
              <w:lang w:val="en-US"/>
            </w:rPr>
          </w:pPr>
          <w:r w:rsidRPr="00B57B36">
            <w:rPr>
              <w:rFonts w:cs="Arial"/>
              <w:sz w:val="14"/>
              <w:szCs w:val="14"/>
            </w:rPr>
            <w:t xml:space="preserve">Online at </w:t>
          </w:r>
          <w:r>
            <w:rPr>
              <w:rFonts w:cs="Arial"/>
              <w:sz w:val="14"/>
              <w:szCs w:val="14"/>
            </w:rPr>
            <w:t>www.cetjournal.it</w:t>
          </w:r>
        </w:p>
      </w:tc>
    </w:tr>
    <w:tr w:rsidR="00D948FB" w:rsidRPr="00BB15E6" w:rsidTr="005B634C">
      <w:trPr>
        <w:trHeight w:val="68"/>
      </w:trPr>
      <w:tc>
        <w:tcPr>
          <w:tcW w:w="8897" w:type="dxa"/>
          <w:gridSpan w:val="2"/>
        </w:tcPr>
        <w:p w:rsidR="00D948FB" w:rsidRPr="00252C1A" w:rsidRDefault="00D948FB" w:rsidP="00AA580D">
          <w:pPr>
            <w:ind w:left="-107"/>
            <w:jc w:val="left"/>
            <w:rPr>
              <w:lang w:val="it-IT"/>
            </w:rPr>
          </w:pPr>
          <w:r w:rsidRPr="00252C1A">
            <w:rPr>
              <w:rFonts w:ascii="Tahoma" w:hAnsi="Tahoma" w:cs="Tahoma"/>
              <w:iCs/>
              <w:color w:val="333333"/>
              <w:sz w:val="14"/>
              <w:szCs w:val="14"/>
              <w:lang w:val="it-IT" w:eastAsia="it-IT"/>
            </w:rPr>
            <w:t>Guest Editors:</w:t>
          </w:r>
          <w:r w:rsidRPr="00252C1A">
            <w:rPr>
              <w:rFonts w:ascii="Tahoma" w:hAnsi="Tahoma" w:cs="Tahoma"/>
              <w:sz w:val="14"/>
              <w:szCs w:val="14"/>
              <w:lang w:val="it-IT"/>
            </w:rPr>
            <w:t>Sauro Pierucci,</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rsidR="00D948FB" w:rsidRDefault="00D948FB" w:rsidP="00AA580D">
          <w:pPr>
            <w:spacing w:line="140" w:lineRule="atLeast"/>
            <w:ind w:right="-108"/>
            <w:jc w:val="left"/>
            <w:rPr>
              <w:lang w:val="en-US"/>
            </w:rPr>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AIDIC ServiziS.r.l.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D948FB" w:rsidRPr="00BB15E6" w:rsidRDefault="00D948FB" w:rsidP="00AA580D">
    <w:pP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414A"/>
    <w:rsid w:val="000027C0"/>
    <w:rsid w:val="000029E5"/>
    <w:rsid w:val="00007743"/>
    <w:rsid w:val="00013942"/>
    <w:rsid w:val="0002686A"/>
    <w:rsid w:val="0003148D"/>
    <w:rsid w:val="0004053D"/>
    <w:rsid w:val="00045C83"/>
    <w:rsid w:val="00045E57"/>
    <w:rsid w:val="00050189"/>
    <w:rsid w:val="00062A9A"/>
    <w:rsid w:val="00063B10"/>
    <w:rsid w:val="00064517"/>
    <w:rsid w:val="00065636"/>
    <w:rsid w:val="00065761"/>
    <w:rsid w:val="0006580C"/>
    <w:rsid w:val="00075305"/>
    <w:rsid w:val="00076FA3"/>
    <w:rsid w:val="00077DE4"/>
    <w:rsid w:val="00085014"/>
    <w:rsid w:val="00085BC7"/>
    <w:rsid w:val="000866C2"/>
    <w:rsid w:val="00086E71"/>
    <w:rsid w:val="00087EE0"/>
    <w:rsid w:val="00096447"/>
    <w:rsid w:val="000A3B5A"/>
    <w:rsid w:val="000A7A0E"/>
    <w:rsid w:val="000C0580"/>
    <w:rsid w:val="000C6545"/>
    <w:rsid w:val="000C7025"/>
    <w:rsid w:val="000D34BE"/>
    <w:rsid w:val="000D530C"/>
    <w:rsid w:val="000E414A"/>
    <w:rsid w:val="000F498B"/>
    <w:rsid w:val="000F52C1"/>
    <w:rsid w:val="000F73E0"/>
    <w:rsid w:val="00110E5D"/>
    <w:rsid w:val="00121346"/>
    <w:rsid w:val="00124B3A"/>
    <w:rsid w:val="00132899"/>
    <w:rsid w:val="00132E67"/>
    <w:rsid w:val="00136797"/>
    <w:rsid w:val="00136DBB"/>
    <w:rsid w:val="00142C73"/>
    <w:rsid w:val="001503AC"/>
    <w:rsid w:val="00161231"/>
    <w:rsid w:val="001616A4"/>
    <w:rsid w:val="001664C7"/>
    <w:rsid w:val="001918F0"/>
    <w:rsid w:val="001B025A"/>
    <w:rsid w:val="001B4507"/>
    <w:rsid w:val="001B538F"/>
    <w:rsid w:val="001C2417"/>
    <w:rsid w:val="001C3EC6"/>
    <w:rsid w:val="001C4281"/>
    <w:rsid w:val="001C6C36"/>
    <w:rsid w:val="001C7AC3"/>
    <w:rsid w:val="001D1003"/>
    <w:rsid w:val="001D169E"/>
    <w:rsid w:val="001D1D7C"/>
    <w:rsid w:val="001D53FC"/>
    <w:rsid w:val="001D6A41"/>
    <w:rsid w:val="001F09FB"/>
    <w:rsid w:val="001F42E2"/>
    <w:rsid w:val="001F63B1"/>
    <w:rsid w:val="001F757F"/>
    <w:rsid w:val="00201458"/>
    <w:rsid w:val="00201752"/>
    <w:rsid w:val="0020286B"/>
    <w:rsid w:val="00204804"/>
    <w:rsid w:val="00205D0F"/>
    <w:rsid w:val="00213EB8"/>
    <w:rsid w:val="0021423D"/>
    <w:rsid w:val="002151A2"/>
    <w:rsid w:val="00215398"/>
    <w:rsid w:val="0021581C"/>
    <w:rsid w:val="002214A5"/>
    <w:rsid w:val="0022253D"/>
    <w:rsid w:val="00232DFB"/>
    <w:rsid w:val="002337B7"/>
    <w:rsid w:val="002341E1"/>
    <w:rsid w:val="0023505F"/>
    <w:rsid w:val="00235F89"/>
    <w:rsid w:val="00241946"/>
    <w:rsid w:val="00250EBE"/>
    <w:rsid w:val="00251550"/>
    <w:rsid w:val="00252DC6"/>
    <w:rsid w:val="0025318D"/>
    <w:rsid w:val="002567AA"/>
    <w:rsid w:val="002577BF"/>
    <w:rsid w:val="00265D94"/>
    <w:rsid w:val="0027606C"/>
    <w:rsid w:val="0027626E"/>
    <w:rsid w:val="002810E0"/>
    <w:rsid w:val="002817A4"/>
    <w:rsid w:val="00284266"/>
    <w:rsid w:val="00284B8E"/>
    <w:rsid w:val="002905D1"/>
    <w:rsid w:val="00296ED8"/>
    <w:rsid w:val="002A0D09"/>
    <w:rsid w:val="002A5BD5"/>
    <w:rsid w:val="002B0182"/>
    <w:rsid w:val="002B5AA9"/>
    <w:rsid w:val="002B79CD"/>
    <w:rsid w:val="002C0DB6"/>
    <w:rsid w:val="002D203F"/>
    <w:rsid w:val="002D5329"/>
    <w:rsid w:val="002E009D"/>
    <w:rsid w:val="002E19DE"/>
    <w:rsid w:val="002E59AA"/>
    <w:rsid w:val="002F07ED"/>
    <w:rsid w:val="002F1C15"/>
    <w:rsid w:val="002F42DC"/>
    <w:rsid w:val="00303AA1"/>
    <w:rsid w:val="0030469C"/>
    <w:rsid w:val="003078A6"/>
    <w:rsid w:val="00311A01"/>
    <w:rsid w:val="0032206F"/>
    <w:rsid w:val="00327566"/>
    <w:rsid w:val="00340366"/>
    <w:rsid w:val="00340A75"/>
    <w:rsid w:val="00343B3E"/>
    <w:rsid w:val="0034644F"/>
    <w:rsid w:val="003465EB"/>
    <w:rsid w:val="00350400"/>
    <w:rsid w:val="00353384"/>
    <w:rsid w:val="00354DAD"/>
    <w:rsid w:val="00362CAD"/>
    <w:rsid w:val="00362E3A"/>
    <w:rsid w:val="00364715"/>
    <w:rsid w:val="00364F06"/>
    <w:rsid w:val="00366930"/>
    <w:rsid w:val="003718BD"/>
    <w:rsid w:val="0038019F"/>
    <w:rsid w:val="00380967"/>
    <w:rsid w:val="003853B4"/>
    <w:rsid w:val="0039706C"/>
    <w:rsid w:val="003976EA"/>
    <w:rsid w:val="003A23DE"/>
    <w:rsid w:val="003A2D3B"/>
    <w:rsid w:val="003A3493"/>
    <w:rsid w:val="003A34AD"/>
    <w:rsid w:val="003B13BE"/>
    <w:rsid w:val="003B2364"/>
    <w:rsid w:val="003C5B57"/>
    <w:rsid w:val="003D045D"/>
    <w:rsid w:val="003D4A42"/>
    <w:rsid w:val="003E533E"/>
    <w:rsid w:val="00402451"/>
    <w:rsid w:val="004029B1"/>
    <w:rsid w:val="00410734"/>
    <w:rsid w:val="004411B7"/>
    <w:rsid w:val="00442871"/>
    <w:rsid w:val="00444A9A"/>
    <w:rsid w:val="00447A65"/>
    <w:rsid w:val="00454BAD"/>
    <w:rsid w:val="00460712"/>
    <w:rsid w:val="00466403"/>
    <w:rsid w:val="00467D85"/>
    <w:rsid w:val="004718C3"/>
    <w:rsid w:val="00472B8A"/>
    <w:rsid w:val="00482DFA"/>
    <w:rsid w:val="004859D2"/>
    <w:rsid w:val="004906BD"/>
    <w:rsid w:val="00490AED"/>
    <w:rsid w:val="00493070"/>
    <w:rsid w:val="00495AAE"/>
    <w:rsid w:val="004A1FEF"/>
    <w:rsid w:val="004A46EF"/>
    <w:rsid w:val="004A63D1"/>
    <w:rsid w:val="004B08F1"/>
    <w:rsid w:val="004B18F4"/>
    <w:rsid w:val="004B1B53"/>
    <w:rsid w:val="004B5097"/>
    <w:rsid w:val="004C060F"/>
    <w:rsid w:val="004D5C82"/>
    <w:rsid w:val="004D610C"/>
    <w:rsid w:val="004D664A"/>
    <w:rsid w:val="004E2009"/>
    <w:rsid w:val="004E25D4"/>
    <w:rsid w:val="004E29E7"/>
    <w:rsid w:val="004E5993"/>
    <w:rsid w:val="004E7511"/>
    <w:rsid w:val="004F0C87"/>
    <w:rsid w:val="004F0DDC"/>
    <w:rsid w:val="004F5AB1"/>
    <w:rsid w:val="005119A5"/>
    <w:rsid w:val="0051295D"/>
    <w:rsid w:val="00514A7A"/>
    <w:rsid w:val="00514F6D"/>
    <w:rsid w:val="00514FC8"/>
    <w:rsid w:val="0051745F"/>
    <w:rsid w:val="005201DE"/>
    <w:rsid w:val="005212AC"/>
    <w:rsid w:val="00521E62"/>
    <w:rsid w:val="0052334B"/>
    <w:rsid w:val="005273F2"/>
    <w:rsid w:val="00530223"/>
    <w:rsid w:val="005324B8"/>
    <w:rsid w:val="00533B6C"/>
    <w:rsid w:val="0053432C"/>
    <w:rsid w:val="0054377F"/>
    <w:rsid w:val="00544709"/>
    <w:rsid w:val="005522DC"/>
    <w:rsid w:val="00555275"/>
    <w:rsid w:val="00556544"/>
    <w:rsid w:val="005649EF"/>
    <w:rsid w:val="0057111C"/>
    <w:rsid w:val="00571326"/>
    <w:rsid w:val="00571EFA"/>
    <w:rsid w:val="005737F2"/>
    <w:rsid w:val="00573F0F"/>
    <w:rsid w:val="00577F02"/>
    <w:rsid w:val="0058485A"/>
    <w:rsid w:val="00584B13"/>
    <w:rsid w:val="0059210A"/>
    <w:rsid w:val="00592E54"/>
    <w:rsid w:val="00594595"/>
    <w:rsid w:val="0059510A"/>
    <w:rsid w:val="005A2211"/>
    <w:rsid w:val="005A4DF2"/>
    <w:rsid w:val="005A57A9"/>
    <w:rsid w:val="005B0C90"/>
    <w:rsid w:val="005B1B42"/>
    <w:rsid w:val="005B1C9C"/>
    <w:rsid w:val="005B4EDC"/>
    <w:rsid w:val="005B50D5"/>
    <w:rsid w:val="005B634C"/>
    <w:rsid w:val="005C0261"/>
    <w:rsid w:val="005C0AE8"/>
    <w:rsid w:val="005C0B3F"/>
    <w:rsid w:val="005C75B5"/>
    <w:rsid w:val="005D444F"/>
    <w:rsid w:val="005D7139"/>
    <w:rsid w:val="005D759E"/>
    <w:rsid w:val="005E0D08"/>
    <w:rsid w:val="005E5DFD"/>
    <w:rsid w:val="005F0A28"/>
    <w:rsid w:val="005F68F1"/>
    <w:rsid w:val="00617D9E"/>
    <w:rsid w:val="00617EDA"/>
    <w:rsid w:val="00620C1E"/>
    <w:rsid w:val="006210F5"/>
    <w:rsid w:val="00625639"/>
    <w:rsid w:val="00625731"/>
    <w:rsid w:val="006324D1"/>
    <w:rsid w:val="0064184D"/>
    <w:rsid w:val="00647C4A"/>
    <w:rsid w:val="00647DCF"/>
    <w:rsid w:val="00661ECC"/>
    <w:rsid w:val="00663919"/>
    <w:rsid w:val="00671F4E"/>
    <w:rsid w:val="006743CD"/>
    <w:rsid w:val="006836A7"/>
    <w:rsid w:val="00684FF8"/>
    <w:rsid w:val="006861B5"/>
    <w:rsid w:val="00694280"/>
    <w:rsid w:val="00694852"/>
    <w:rsid w:val="00695B24"/>
    <w:rsid w:val="006A14DE"/>
    <w:rsid w:val="006A462A"/>
    <w:rsid w:val="006A70AE"/>
    <w:rsid w:val="006A7B8C"/>
    <w:rsid w:val="006B0377"/>
    <w:rsid w:val="006B06B4"/>
    <w:rsid w:val="006B1002"/>
    <w:rsid w:val="006B1A58"/>
    <w:rsid w:val="006B457E"/>
    <w:rsid w:val="006B47DE"/>
    <w:rsid w:val="006B62D5"/>
    <w:rsid w:val="006C2BC6"/>
    <w:rsid w:val="006C481D"/>
    <w:rsid w:val="006C5579"/>
    <w:rsid w:val="006C5E6F"/>
    <w:rsid w:val="006D3520"/>
    <w:rsid w:val="006D537A"/>
    <w:rsid w:val="006D634F"/>
    <w:rsid w:val="006E197D"/>
    <w:rsid w:val="006E1AB9"/>
    <w:rsid w:val="006E50C3"/>
    <w:rsid w:val="006E64E7"/>
    <w:rsid w:val="006F169D"/>
    <w:rsid w:val="006F39DB"/>
    <w:rsid w:val="0070063A"/>
    <w:rsid w:val="00705FF9"/>
    <w:rsid w:val="0070668A"/>
    <w:rsid w:val="00706731"/>
    <w:rsid w:val="0070742D"/>
    <w:rsid w:val="00710897"/>
    <w:rsid w:val="007149AC"/>
    <w:rsid w:val="00717F36"/>
    <w:rsid w:val="00724614"/>
    <w:rsid w:val="00726A55"/>
    <w:rsid w:val="0073248A"/>
    <w:rsid w:val="00734771"/>
    <w:rsid w:val="0073561F"/>
    <w:rsid w:val="00742810"/>
    <w:rsid w:val="00743C20"/>
    <w:rsid w:val="007447F3"/>
    <w:rsid w:val="00745D01"/>
    <w:rsid w:val="00747A2C"/>
    <w:rsid w:val="00750C77"/>
    <w:rsid w:val="007551D4"/>
    <w:rsid w:val="007552C7"/>
    <w:rsid w:val="007611B4"/>
    <w:rsid w:val="007631A1"/>
    <w:rsid w:val="00767446"/>
    <w:rsid w:val="0077289C"/>
    <w:rsid w:val="00775A5F"/>
    <w:rsid w:val="0079016C"/>
    <w:rsid w:val="00794AA5"/>
    <w:rsid w:val="007A0B7C"/>
    <w:rsid w:val="007A4B2F"/>
    <w:rsid w:val="007A4C1B"/>
    <w:rsid w:val="007B078E"/>
    <w:rsid w:val="007B637A"/>
    <w:rsid w:val="007C1D96"/>
    <w:rsid w:val="007D03F5"/>
    <w:rsid w:val="007D10CB"/>
    <w:rsid w:val="007D1A33"/>
    <w:rsid w:val="007D3272"/>
    <w:rsid w:val="007D5374"/>
    <w:rsid w:val="007E0150"/>
    <w:rsid w:val="007E0849"/>
    <w:rsid w:val="007E3B73"/>
    <w:rsid w:val="007E7363"/>
    <w:rsid w:val="007F6B09"/>
    <w:rsid w:val="0080566E"/>
    <w:rsid w:val="0080583A"/>
    <w:rsid w:val="00810145"/>
    <w:rsid w:val="00813227"/>
    <w:rsid w:val="00813288"/>
    <w:rsid w:val="00813924"/>
    <w:rsid w:val="008168AA"/>
    <w:rsid w:val="00816CF9"/>
    <w:rsid w:val="00817362"/>
    <w:rsid w:val="00821D5C"/>
    <w:rsid w:val="00822D73"/>
    <w:rsid w:val="008307ED"/>
    <w:rsid w:val="00830A56"/>
    <w:rsid w:val="008348CA"/>
    <w:rsid w:val="00834A20"/>
    <w:rsid w:val="00834AA7"/>
    <w:rsid w:val="008352EF"/>
    <w:rsid w:val="00835750"/>
    <w:rsid w:val="0084164A"/>
    <w:rsid w:val="008435AA"/>
    <w:rsid w:val="00852376"/>
    <w:rsid w:val="008560A0"/>
    <w:rsid w:val="00856E50"/>
    <w:rsid w:val="008578A3"/>
    <w:rsid w:val="00860636"/>
    <w:rsid w:val="00860FCA"/>
    <w:rsid w:val="00876CA8"/>
    <w:rsid w:val="00883243"/>
    <w:rsid w:val="008849F7"/>
    <w:rsid w:val="00887F3C"/>
    <w:rsid w:val="0089279C"/>
    <w:rsid w:val="008A1512"/>
    <w:rsid w:val="008A28B8"/>
    <w:rsid w:val="008A73F8"/>
    <w:rsid w:val="008B66C2"/>
    <w:rsid w:val="008C0C1F"/>
    <w:rsid w:val="008C125F"/>
    <w:rsid w:val="008C3F0C"/>
    <w:rsid w:val="008D25AE"/>
    <w:rsid w:val="008D7A3B"/>
    <w:rsid w:val="008D7DAD"/>
    <w:rsid w:val="008E08E6"/>
    <w:rsid w:val="008E4D3B"/>
    <w:rsid w:val="008E566E"/>
    <w:rsid w:val="008E588B"/>
    <w:rsid w:val="008E679B"/>
    <w:rsid w:val="008E7A54"/>
    <w:rsid w:val="008F2E6A"/>
    <w:rsid w:val="008F52DA"/>
    <w:rsid w:val="008F7ADD"/>
    <w:rsid w:val="00915C01"/>
    <w:rsid w:val="00915F0A"/>
    <w:rsid w:val="009212DA"/>
    <w:rsid w:val="00924310"/>
    <w:rsid w:val="009265A8"/>
    <w:rsid w:val="009310F7"/>
    <w:rsid w:val="009321FF"/>
    <w:rsid w:val="009330CD"/>
    <w:rsid w:val="0093429E"/>
    <w:rsid w:val="0093443E"/>
    <w:rsid w:val="00936BBA"/>
    <w:rsid w:val="009453A1"/>
    <w:rsid w:val="00945CA8"/>
    <w:rsid w:val="0095331D"/>
    <w:rsid w:val="0095355A"/>
    <w:rsid w:val="00961ACA"/>
    <w:rsid w:val="00973E32"/>
    <w:rsid w:val="00975110"/>
    <w:rsid w:val="00975D78"/>
    <w:rsid w:val="00977491"/>
    <w:rsid w:val="00977EFB"/>
    <w:rsid w:val="009802D0"/>
    <w:rsid w:val="00987EBB"/>
    <w:rsid w:val="00990F97"/>
    <w:rsid w:val="00991855"/>
    <w:rsid w:val="009919C7"/>
    <w:rsid w:val="00991AF8"/>
    <w:rsid w:val="00992C20"/>
    <w:rsid w:val="00995575"/>
    <w:rsid w:val="00996483"/>
    <w:rsid w:val="009A1400"/>
    <w:rsid w:val="009A2585"/>
    <w:rsid w:val="009A43AD"/>
    <w:rsid w:val="009A6F2A"/>
    <w:rsid w:val="009B3B40"/>
    <w:rsid w:val="009C0C56"/>
    <w:rsid w:val="009C44BE"/>
    <w:rsid w:val="009C668F"/>
    <w:rsid w:val="009C788F"/>
    <w:rsid w:val="009C7CA5"/>
    <w:rsid w:val="009D0435"/>
    <w:rsid w:val="009D2E37"/>
    <w:rsid w:val="009D3F5D"/>
    <w:rsid w:val="009D4671"/>
    <w:rsid w:val="009D4F74"/>
    <w:rsid w:val="009E10B4"/>
    <w:rsid w:val="009E222D"/>
    <w:rsid w:val="009E788A"/>
    <w:rsid w:val="009F0DE5"/>
    <w:rsid w:val="009F114F"/>
    <w:rsid w:val="009F4A75"/>
    <w:rsid w:val="00A077AB"/>
    <w:rsid w:val="00A16E7B"/>
    <w:rsid w:val="00A1763D"/>
    <w:rsid w:val="00A17E80"/>
    <w:rsid w:val="00A21FC1"/>
    <w:rsid w:val="00A24994"/>
    <w:rsid w:val="00A25CB3"/>
    <w:rsid w:val="00A3475E"/>
    <w:rsid w:val="00A42D63"/>
    <w:rsid w:val="00A46233"/>
    <w:rsid w:val="00A46A61"/>
    <w:rsid w:val="00A57FED"/>
    <w:rsid w:val="00A60C34"/>
    <w:rsid w:val="00A63A7F"/>
    <w:rsid w:val="00A63C78"/>
    <w:rsid w:val="00A65E14"/>
    <w:rsid w:val="00A673B8"/>
    <w:rsid w:val="00A7161E"/>
    <w:rsid w:val="00A77A3B"/>
    <w:rsid w:val="00A77FEA"/>
    <w:rsid w:val="00A84F27"/>
    <w:rsid w:val="00A86635"/>
    <w:rsid w:val="00A877F6"/>
    <w:rsid w:val="00A90448"/>
    <w:rsid w:val="00A936A1"/>
    <w:rsid w:val="00A956BF"/>
    <w:rsid w:val="00AA16CF"/>
    <w:rsid w:val="00AA3A1F"/>
    <w:rsid w:val="00AA4CE4"/>
    <w:rsid w:val="00AA580D"/>
    <w:rsid w:val="00AA649B"/>
    <w:rsid w:val="00AA771C"/>
    <w:rsid w:val="00AB0964"/>
    <w:rsid w:val="00AB3AEF"/>
    <w:rsid w:val="00AB5A97"/>
    <w:rsid w:val="00AC35BC"/>
    <w:rsid w:val="00AC5E0F"/>
    <w:rsid w:val="00AD0730"/>
    <w:rsid w:val="00AD201D"/>
    <w:rsid w:val="00AD5022"/>
    <w:rsid w:val="00AD57B9"/>
    <w:rsid w:val="00AD77AD"/>
    <w:rsid w:val="00AE6B05"/>
    <w:rsid w:val="00AF4533"/>
    <w:rsid w:val="00AF5767"/>
    <w:rsid w:val="00B1132C"/>
    <w:rsid w:val="00B11678"/>
    <w:rsid w:val="00B2655A"/>
    <w:rsid w:val="00B2745B"/>
    <w:rsid w:val="00B3457B"/>
    <w:rsid w:val="00B40C68"/>
    <w:rsid w:val="00B40F90"/>
    <w:rsid w:val="00B41362"/>
    <w:rsid w:val="00B41FF1"/>
    <w:rsid w:val="00B5061C"/>
    <w:rsid w:val="00B50B0A"/>
    <w:rsid w:val="00B57ED5"/>
    <w:rsid w:val="00B654A7"/>
    <w:rsid w:val="00B6776C"/>
    <w:rsid w:val="00B739C2"/>
    <w:rsid w:val="00B76575"/>
    <w:rsid w:val="00B77053"/>
    <w:rsid w:val="00B83A13"/>
    <w:rsid w:val="00B92A3A"/>
    <w:rsid w:val="00BA1281"/>
    <w:rsid w:val="00BA1753"/>
    <w:rsid w:val="00BA2CFC"/>
    <w:rsid w:val="00BA4BAE"/>
    <w:rsid w:val="00BA7056"/>
    <w:rsid w:val="00BB0934"/>
    <w:rsid w:val="00BB15E6"/>
    <w:rsid w:val="00BB4F6F"/>
    <w:rsid w:val="00BB57A9"/>
    <w:rsid w:val="00BC15CE"/>
    <w:rsid w:val="00BC1A04"/>
    <w:rsid w:val="00BC30C9"/>
    <w:rsid w:val="00BC52B3"/>
    <w:rsid w:val="00BC5516"/>
    <w:rsid w:val="00BC6355"/>
    <w:rsid w:val="00BD1890"/>
    <w:rsid w:val="00BD246D"/>
    <w:rsid w:val="00BD2EBE"/>
    <w:rsid w:val="00BD49CE"/>
    <w:rsid w:val="00BD7003"/>
    <w:rsid w:val="00BE0F39"/>
    <w:rsid w:val="00BE79FA"/>
    <w:rsid w:val="00BF1067"/>
    <w:rsid w:val="00BF2F9F"/>
    <w:rsid w:val="00BF3044"/>
    <w:rsid w:val="00BF3B7B"/>
    <w:rsid w:val="00C010DA"/>
    <w:rsid w:val="00C01616"/>
    <w:rsid w:val="00C0162B"/>
    <w:rsid w:val="00C10056"/>
    <w:rsid w:val="00C115E0"/>
    <w:rsid w:val="00C16705"/>
    <w:rsid w:val="00C27FDA"/>
    <w:rsid w:val="00C31DEA"/>
    <w:rsid w:val="00C345B1"/>
    <w:rsid w:val="00C37218"/>
    <w:rsid w:val="00C42086"/>
    <w:rsid w:val="00C421F0"/>
    <w:rsid w:val="00C431D4"/>
    <w:rsid w:val="00C4600B"/>
    <w:rsid w:val="00C60025"/>
    <w:rsid w:val="00C6082E"/>
    <w:rsid w:val="00C70722"/>
    <w:rsid w:val="00C724CA"/>
    <w:rsid w:val="00C8296D"/>
    <w:rsid w:val="00C85C90"/>
    <w:rsid w:val="00C92AF0"/>
    <w:rsid w:val="00C94383"/>
    <w:rsid w:val="00C943EE"/>
    <w:rsid w:val="00C94434"/>
    <w:rsid w:val="00C94C42"/>
    <w:rsid w:val="00C94EC5"/>
    <w:rsid w:val="00CA5CB3"/>
    <w:rsid w:val="00CB00A4"/>
    <w:rsid w:val="00CB0851"/>
    <w:rsid w:val="00CB4BE2"/>
    <w:rsid w:val="00CB5636"/>
    <w:rsid w:val="00CC3AB0"/>
    <w:rsid w:val="00CD04D6"/>
    <w:rsid w:val="00CD0687"/>
    <w:rsid w:val="00CE318F"/>
    <w:rsid w:val="00CF1674"/>
    <w:rsid w:val="00CF4109"/>
    <w:rsid w:val="00CF7D20"/>
    <w:rsid w:val="00CF7FE3"/>
    <w:rsid w:val="00D01AC1"/>
    <w:rsid w:val="00D021CE"/>
    <w:rsid w:val="00D039DE"/>
    <w:rsid w:val="00D16370"/>
    <w:rsid w:val="00D241AD"/>
    <w:rsid w:val="00D35A2B"/>
    <w:rsid w:val="00D37094"/>
    <w:rsid w:val="00D4068B"/>
    <w:rsid w:val="00D4428A"/>
    <w:rsid w:val="00D45851"/>
    <w:rsid w:val="00D4587A"/>
    <w:rsid w:val="00D45890"/>
    <w:rsid w:val="00D71C91"/>
    <w:rsid w:val="00D77441"/>
    <w:rsid w:val="00D82F78"/>
    <w:rsid w:val="00D84576"/>
    <w:rsid w:val="00D87BEB"/>
    <w:rsid w:val="00D948FB"/>
    <w:rsid w:val="00D9552F"/>
    <w:rsid w:val="00D95A09"/>
    <w:rsid w:val="00DA31B6"/>
    <w:rsid w:val="00DB1907"/>
    <w:rsid w:val="00DB713F"/>
    <w:rsid w:val="00DD16D1"/>
    <w:rsid w:val="00DD31BC"/>
    <w:rsid w:val="00DD595D"/>
    <w:rsid w:val="00DD636F"/>
    <w:rsid w:val="00DE58E5"/>
    <w:rsid w:val="00DF0DEB"/>
    <w:rsid w:val="00DF5C76"/>
    <w:rsid w:val="00DF760C"/>
    <w:rsid w:val="00E003E6"/>
    <w:rsid w:val="00E01549"/>
    <w:rsid w:val="00E041E7"/>
    <w:rsid w:val="00E15066"/>
    <w:rsid w:val="00E15F90"/>
    <w:rsid w:val="00E22655"/>
    <w:rsid w:val="00E23CA1"/>
    <w:rsid w:val="00E2492D"/>
    <w:rsid w:val="00E31CC1"/>
    <w:rsid w:val="00E409A8"/>
    <w:rsid w:val="00E461BB"/>
    <w:rsid w:val="00E57BDD"/>
    <w:rsid w:val="00E6714D"/>
    <w:rsid w:val="00E73FCF"/>
    <w:rsid w:val="00E74ABF"/>
    <w:rsid w:val="00E92BD0"/>
    <w:rsid w:val="00E93B72"/>
    <w:rsid w:val="00EA2B56"/>
    <w:rsid w:val="00EA484A"/>
    <w:rsid w:val="00EA646B"/>
    <w:rsid w:val="00EA7E4A"/>
    <w:rsid w:val="00EB3BDB"/>
    <w:rsid w:val="00EB3C5C"/>
    <w:rsid w:val="00EC5AD0"/>
    <w:rsid w:val="00EC66C8"/>
    <w:rsid w:val="00EC7457"/>
    <w:rsid w:val="00ED0055"/>
    <w:rsid w:val="00ED0609"/>
    <w:rsid w:val="00ED285E"/>
    <w:rsid w:val="00ED5335"/>
    <w:rsid w:val="00EF0186"/>
    <w:rsid w:val="00EF0C20"/>
    <w:rsid w:val="00EF2793"/>
    <w:rsid w:val="00EF5450"/>
    <w:rsid w:val="00EF6DF7"/>
    <w:rsid w:val="00F01D22"/>
    <w:rsid w:val="00F17755"/>
    <w:rsid w:val="00F205C7"/>
    <w:rsid w:val="00F25196"/>
    <w:rsid w:val="00F30C64"/>
    <w:rsid w:val="00F31B6B"/>
    <w:rsid w:val="00F32E9C"/>
    <w:rsid w:val="00F334C1"/>
    <w:rsid w:val="00F37934"/>
    <w:rsid w:val="00F45693"/>
    <w:rsid w:val="00F55904"/>
    <w:rsid w:val="00F56B2A"/>
    <w:rsid w:val="00F57B53"/>
    <w:rsid w:val="00F60A75"/>
    <w:rsid w:val="00F619B0"/>
    <w:rsid w:val="00F641FA"/>
    <w:rsid w:val="00F66709"/>
    <w:rsid w:val="00F676D1"/>
    <w:rsid w:val="00F73BAD"/>
    <w:rsid w:val="00F7575A"/>
    <w:rsid w:val="00F77CF7"/>
    <w:rsid w:val="00F85FFD"/>
    <w:rsid w:val="00F93195"/>
    <w:rsid w:val="00F9571A"/>
    <w:rsid w:val="00FA0878"/>
    <w:rsid w:val="00FA08A3"/>
    <w:rsid w:val="00FB27E3"/>
    <w:rsid w:val="00FB3BD6"/>
    <w:rsid w:val="00FB6EE0"/>
    <w:rsid w:val="00FC412A"/>
    <w:rsid w:val="00FC7627"/>
    <w:rsid w:val="00FE3544"/>
    <w:rsid w:val="00FE4C5E"/>
    <w:rsid w:val="00FF519F"/>
    <w:rsid w:val="00FF7A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5CD9D8-703C-40DB-9A7E-3937F161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211"/>
    <w:pPr>
      <w:spacing w:after="0" w:line="264" w:lineRule="auto"/>
      <w:jc w:val="both"/>
    </w:pPr>
    <w:rPr>
      <w:rFonts w:ascii="Times New Roman" w:eastAsia="Times New Roma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customStyle="1" w:styleId="st">
    <w:name w:val="st"/>
    <w:basedOn w:val="Carpredefinitoparagrafo"/>
    <w:rsid w:val="005A2211"/>
  </w:style>
  <w:style w:type="paragraph" w:styleId="Paragrafoelenco">
    <w:name w:val="List Paragraph"/>
    <w:basedOn w:val="Normale"/>
    <w:uiPriority w:val="34"/>
    <w:qFormat/>
    <w:rsid w:val="005A2211"/>
    <w:pPr>
      <w:ind w:left="720"/>
      <w:contextualSpacing/>
    </w:pPr>
  </w:style>
  <w:style w:type="table" w:styleId="Grigliatabella">
    <w:name w:val="Table Grid"/>
    <w:basedOn w:val="Tabellanormale"/>
    <w:uiPriority w:val="59"/>
    <w:rsid w:val="00BE0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Carpredefinitoparagrafo"/>
    <w:rsid w:val="00742810"/>
  </w:style>
  <w:style w:type="character" w:customStyle="1" w:styleId="hps">
    <w:name w:val="hps"/>
    <w:basedOn w:val="Carpredefinitoparagrafo"/>
    <w:rsid w:val="00742810"/>
  </w:style>
  <w:style w:type="character" w:styleId="Rimandocommento">
    <w:name w:val="annotation reference"/>
    <w:basedOn w:val="Carpredefinitoparagrafo"/>
    <w:uiPriority w:val="99"/>
    <w:semiHidden/>
    <w:unhideWhenUsed/>
    <w:rsid w:val="00EA7E4A"/>
    <w:rPr>
      <w:sz w:val="16"/>
      <w:szCs w:val="16"/>
    </w:rPr>
  </w:style>
  <w:style w:type="paragraph" w:customStyle="1" w:styleId="western">
    <w:name w:val="western"/>
    <w:basedOn w:val="Normale"/>
    <w:rsid w:val="001C6C36"/>
    <w:pPr>
      <w:spacing w:before="100" w:beforeAutospacing="1" w:line="240" w:lineRule="auto"/>
      <w:jc w:val="center"/>
    </w:pPr>
    <w:rPr>
      <w:b/>
      <w:bCs/>
      <w:sz w:val="36"/>
      <w:szCs w:val="36"/>
      <w:lang w:val="pt-BR" w:eastAsia="pt-BR"/>
    </w:rPr>
  </w:style>
  <w:style w:type="paragraph" w:customStyle="1" w:styleId="CETReferencetext">
    <w:name w:val="CET Reference text"/>
    <w:qFormat/>
    <w:rsid w:val="00AC5E0F"/>
    <w:pPr>
      <w:spacing w:after="0" w:line="264" w:lineRule="auto"/>
      <w:ind w:left="284" w:hanging="284"/>
      <w:jc w:val="both"/>
    </w:pPr>
    <w:rPr>
      <w:rFonts w:ascii="Arial" w:eastAsia="Times New Roman" w:hAnsi="Arial" w:cs="Times New Roman"/>
      <w:sz w:val="18"/>
      <w:szCs w:val="20"/>
      <w:lang w:val="en-GB"/>
    </w:rPr>
  </w:style>
  <w:style w:type="character" w:styleId="Enfasigrassetto">
    <w:name w:val="Strong"/>
    <w:basedOn w:val="Carpredefinitoparagrafo"/>
    <w:uiPriority w:val="22"/>
    <w:qFormat/>
    <w:rsid w:val="00F55904"/>
    <w:rPr>
      <w:b/>
      <w:bCs/>
    </w:rPr>
  </w:style>
  <w:style w:type="character" w:styleId="Enfasicorsivo">
    <w:name w:val="Emphasis"/>
    <w:basedOn w:val="Carpredefinitoparagrafo"/>
    <w:uiPriority w:val="20"/>
    <w:qFormat/>
    <w:rsid w:val="00F55904"/>
    <w:rPr>
      <w:i/>
      <w:iCs/>
    </w:rPr>
  </w:style>
  <w:style w:type="character" w:customStyle="1" w:styleId="title-text">
    <w:name w:val="title-text"/>
    <w:basedOn w:val="Carpredefinitoparagrafo"/>
    <w:rsid w:val="002577BF"/>
  </w:style>
  <w:style w:type="character" w:customStyle="1" w:styleId="js-article-title">
    <w:name w:val="js-article-title"/>
    <w:basedOn w:val="Carpredefinitoparagrafo"/>
    <w:rsid w:val="00CD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4918">
      <w:bodyDiv w:val="1"/>
      <w:marLeft w:val="0"/>
      <w:marRight w:val="0"/>
      <w:marTop w:val="0"/>
      <w:marBottom w:val="0"/>
      <w:divBdr>
        <w:top w:val="none" w:sz="0" w:space="0" w:color="auto"/>
        <w:left w:val="none" w:sz="0" w:space="0" w:color="auto"/>
        <w:bottom w:val="none" w:sz="0" w:space="0" w:color="auto"/>
        <w:right w:val="none" w:sz="0" w:space="0" w:color="auto"/>
      </w:divBdr>
    </w:div>
    <w:div w:id="357044225">
      <w:bodyDiv w:val="1"/>
      <w:marLeft w:val="0"/>
      <w:marRight w:val="0"/>
      <w:marTop w:val="0"/>
      <w:marBottom w:val="0"/>
      <w:divBdr>
        <w:top w:val="none" w:sz="0" w:space="0" w:color="auto"/>
        <w:left w:val="none" w:sz="0" w:space="0" w:color="auto"/>
        <w:bottom w:val="none" w:sz="0" w:space="0" w:color="auto"/>
        <w:right w:val="none" w:sz="0" w:space="0" w:color="auto"/>
      </w:divBdr>
    </w:div>
    <w:div w:id="405998867">
      <w:bodyDiv w:val="1"/>
      <w:marLeft w:val="0"/>
      <w:marRight w:val="0"/>
      <w:marTop w:val="0"/>
      <w:marBottom w:val="0"/>
      <w:divBdr>
        <w:top w:val="none" w:sz="0" w:space="0" w:color="auto"/>
        <w:left w:val="none" w:sz="0" w:space="0" w:color="auto"/>
        <w:bottom w:val="none" w:sz="0" w:space="0" w:color="auto"/>
        <w:right w:val="none" w:sz="0" w:space="0" w:color="auto"/>
      </w:divBdr>
    </w:div>
    <w:div w:id="418404396">
      <w:bodyDiv w:val="1"/>
      <w:marLeft w:val="0"/>
      <w:marRight w:val="0"/>
      <w:marTop w:val="0"/>
      <w:marBottom w:val="0"/>
      <w:divBdr>
        <w:top w:val="none" w:sz="0" w:space="0" w:color="auto"/>
        <w:left w:val="none" w:sz="0" w:space="0" w:color="auto"/>
        <w:bottom w:val="none" w:sz="0" w:space="0" w:color="auto"/>
        <w:right w:val="none" w:sz="0" w:space="0" w:color="auto"/>
      </w:divBdr>
    </w:div>
    <w:div w:id="425731143">
      <w:bodyDiv w:val="1"/>
      <w:marLeft w:val="0"/>
      <w:marRight w:val="0"/>
      <w:marTop w:val="0"/>
      <w:marBottom w:val="0"/>
      <w:divBdr>
        <w:top w:val="none" w:sz="0" w:space="0" w:color="auto"/>
        <w:left w:val="none" w:sz="0" w:space="0" w:color="auto"/>
        <w:bottom w:val="none" w:sz="0" w:space="0" w:color="auto"/>
        <w:right w:val="none" w:sz="0" w:space="0" w:color="auto"/>
      </w:divBdr>
      <w:divsChild>
        <w:div w:id="719210505">
          <w:marLeft w:val="0"/>
          <w:marRight w:val="0"/>
          <w:marTop w:val="0"/>
          <w:marBottom w:val="0"/>
          <w:divBdr>
            <w:top w:val="none" w:sz="0" w:space="0" w:color="auto"/>
            <w:left w:val="none" w:sz="0" w:space="0" w:color="auto"/>
            <w:bottom w:val="none" w:sz="0" w:space="0" w:color="auto"/>
            <w:right w:val="none" w:sz="0" w:space="0" w:color="auto"/>
          </w:divBdr>
          <w:divsChild>
            <w:div w:id="158616008">
              <w:marLeft w:val="0"/>
              <w:marRight w:val="0"/>
              <w:marTop w:val="0"/>
              <w:marBottom w:val="0"/>
              <w:divBdr>
                <w:top w:val="none" w:sz="0" w:space="0" w:color="auto"/>
                <w:left w:val="none" w:sz="0" w:space="0" w:color="auto"/>
                <w:bottom w:val="none" w:sz="0" w:space="0" w:color="auto"/>
                <w:right w:val="none" w:sz="0" w:space="0" w:color="auto"/>
              </w:divBdr>
              <w:divsChild>
                <w:div w:id="27604265">
                  <w:marLeft w:val="0"/>
                  <w:marRight w:val="0"/>
                  <w:marTop w:val="0"/>
                  <w:marBottom w:val="0"/>
                  <w:divBdr>
                    <w:top w:val="none" w:sz="0" w:space="0" w:color="auto"/>
                    <w:left w:val="none" w:sz="0" w:space="0" w:color="auto"/>
                    <w:bottom w:val="none" w:sz="0" w:space="0" w:color="auto"/>
                    <w:right w:val="none" w:sz="0" w:space="0" w:color="auto"/>
                  </w:divBdr>
                  <w:divsChild>
                    <w:div w:id="1737626041">
                      <w:marLeft w:val="0"/>
                      <w:marRight w:val="0"/>
                      <w:marTop w:val="0"/>
                      <w:marBottom w:val="0"/>
                      <w:divBdr>
                        <w:top w:val="none" w:sz="0" w:space="0" w:color="auto"/>
                        <w:left w:val="none" w:sz="0" w:space="0" w:color="auto"/>
                        <w:bottom w:val="none" w:sz="0" w:space="0" w:color="auto"/>
                        <w:right w:val="none" w:sz="0" w:space="0" w:color="auto"/>
                      </w:divBdr>
                      <w:divsChild>
                        <w:div w:id="130632101">
                          <w:marLeft w:val="0"/>
                          <w:marRight w:val="0"/>
                          <w:marTop w:val="0"/>
                          <w:marBottom w:val="0"/>
                          <w:divBdr>
                            <w:top w:val="none" w:sz="0" w:space="0" w:color="auto"/>
                            <w:left w:val="none" w:sz="0" w:space="0" w:color="auto"/>
                            <w:bottom w:val="none" w:sz="0" w:space="0" w:color="auto"/>
                            <w:right w:val="none" w:sz="0" w:space="0" w:color="auto"/>
                          </w:divBdr>
                          <w:divsChild>
                            <w:div w:id="873925222">
                              <w:marLeft w:val="0"/>
                              <w:marRight w:val="0"/>
                              <w:marTop w:val="0"/>
                              <w:marBottom w:val="0"/>
                              <w:divBdr>
                                <w:top w:val="none" w:sz="0" w:space="0" w:color="auto"/>
                                <w:left w:val="none" w:sz="0" w:space="0" w:color="auto"/>
                                <w:bottom w:val="none" w:sz="0" w:space="0" w:color="auto"/>
                                <w:right w:val="none" w:sz="0" w:space="0" w:color="auto"/>
                              </w:divBdr>
                              <w:divsChild>
                                <w:div w:id="419300200">
                                  <w:marLeft w:val="0"/>
                                  <w:marRight w:val="0"/>
                                  <w:marTop w:val="0"/>
                                  <w:marBottom w:val="0"/>
                                  <w:divBdr>
                                    <w:top w:val="none" w:sz="0" w:space="0" w:color="auto"/>
                                    <w:left w:val="none" w:sz="0" w:space="0" w:color="auto"/>
                                    <w:bottom w:val="none" w:sz="0" w:space="0" w:color="auto"/>
                                    <w:right w:val="none" w:sz="0" w:space="0" w:color="auto"/>
                                  </w:divBdr>
                                  <w:divsChild>
                                    <w:div w:id="10537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45806">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775174160">
      <w:bodyDiv w:val="1"/>
      <w:marLeft w:val="0"/>
      <w:marRight w:val="0"/>
      <w:marTop w:val="0"/>
      <w:marBottom w:val="0"/>
      <w:divBdr>
        <w:top w:val="none" w:sz="0" w:space="0" w:color="auto"/>
        <w:left w:val="none" w:sz="0" w:space="0" w:color="auto"/>
        <w:bottom w:val="none" w:sz="0" w:space="0" w:color="auto"/>
        <w:right w:val="none" w:sz="0" w:space="0" w:color="auto"/>
      </w:divBdr>
    </w:div>
    <w:div w:id="825584888">
      <w:bodyDiv w:val="1"/>
      <w:marLeft w:val="0"/>
      <w:marRight w:val="0"/>
      <w:marTop w:val="0"/>
      <w:marBottom w:val="0"/>
      <w:divBdr>
        <w:top w:val="none" w:sz="0" w:space="0" w:color="auto"/>
        <w:left w:val="none" w:sz="0" w:space="0" w:color="auto"/>
        <w:bottom w:val="none" w:sz="0" w:space="0" w:color="auto"/>
        <w:right w:val="none" w:sz="0" w:space="0" w:color="auto"/>
      </w:divBdr>
    </w:div>
    <w:div w:id="1221787907">
      <w:bodyDiv w:val="1"/>
      <w:marLeft w:val="0"/>
      <w:marRight w:val="0"/>
      <w:marTop w:val="0"/>
      <w:marBottom w:val="0"/>
      <w:divBdr>
        <w:top w:val="none" w:sz="0" w:space="0" w:color="auto"/>
        <w:left w:val="none" w:sz="0" w:space="0" w:color="auto"/>
        <w:bottom w:val="none" w:sz="0" w:space="0" w:color="auto"/>
        <w:right w:val="none" w:sz="0" w:space="0" w:color="auto"/>
      </w:divBdr>
      <w:divsChild>
        <w:div w:id="413556888">
          <w:marLeft w:val="0"/>
          <w:marRight w:val="0"/>
          <w:marTop w:val="50"/>
          <w:marBottom w:val="50"/>
          <w:divBdr>
            <w:top w:val="none" w:sz="0" w:space="0" w:color="auto"/>
            <w:left w:val="none" w:sz="0" w:space="0" w:color="auto"/>
            <w:bottom w:val="none" w:sz="0" w:space="0" w:color="auto"/>
            <w:right w:val="none" w:sz="0" w:space="0" w:color="auto"/>
          </w:divBdr>
        </w:div>
      </w:divsChild>
    </w:div>
    <w:div w:id="1278755618">
      <w:bodyDiv w:val="1"/>
      <w:marLeft w:val="0"/>
      <w:marRight w:val="0"/>
      <w:marTop w:val="0"/>
      <w:marBottom w:val="0"/>
      <w:divBdr>
        <w:top w:val="none" w:sz="0" w:space="0" w:color="auto"/>
        <w:left w:val="none" w:sz="0" w:space="0" w:color="auto"/>
        <w:bottom w:val="none" w:sz="0" w:space="0" w:color="auto"/>
        <w:right w:val="none" w:sz="0" w:space="0" w:color="auto"/>
      </w:divBdr>
    </w:div>
    <w:div w:id="1333071875">
      <w:bodyDiv w:val="1"/>
      <w:marLeft w:val="0"/>
      <w:marRight w:val="0"/>
      <w:marTop w:val="0"/>
      <w:marBottom w:val="0"/>
      <w:divBdr>
        <w:top w:val="none" w:sz="0" w:space="0" w:color="auto"/>
        <w:left w:val="none" w:sz="0" w:space="0" w:color="auto"/>
        <w:bottom w:val="none" w:sz="0" w:space="0" w:color="auto"/>
        <w:right w:val="none" w:sz="0" w:space="0" w:color="auto"/>
      </w:divBdr>
      <w:divsChild>
        <w:div w:id="1360471044">
          <w:marLeft w:val="0"/>
          <w:marRight w:val="0"/>
          <w:marTop w:val="0"/>
          <w:marBottom w:val="0"/>
          <w:divBdr>
            <w:top w:val="none" w:sz="0" w:space="0" w:color="auto"/>
            <w:left w:val="none" w:sz="0" w:space="0" w:color="auto"/>
            <w:bottom w:val="none" w:sz="0" w:space="0" w:color="auto"/>
            <w:right w:val="none" w:sz="0" w:space="0" w:color="auto"/>
          </w:divBdr>
          <w:divsChild>
            <w:div w:id="1074162734">
              <w:marLeft w:val="0"/>
              <w:marRight w:val="0"/>
              <w:marTop w:val="0"/>
              <w:marBottom w:val="0"/>
              <w:divBdr>
                <w:top w:val="none" w:sz="0" w:space="0" w:color="auto"/>
                <w:left w:val="none" w:sz="0" w:space="0" w:color="auto"/>
                <w:bottom w:val="none" w:sz="0" w:space="0" w:color="auto"/>
                <w:right w:val="none" w:sz="0" w:space="0" w:color="auto"/>
              </w:divBdr>
              <w:divsChild>
                <w:div w:id="391345382">
                  <w:marLeft w:val="0"/>
                  <w:marRight w:val="0"/>
                  <w:marTop w:val="0"/>
                  <w:marBottom w:val="0"/>
                  <w:divBdr>
                    <w:top w:val="none" w:sz="0" w:space="0" w:color="auto"/>
                    <w:left w:val="none" w:sz="0" w:space="0" w:color="auto"/>
                    <w:bottom w:val="none" w:sz="0" w:space="0" w:color="auto"/>
                    <w:right w:val="none" w:sz="0" w:space="0" w:color="auto"/>
                  </w:divBdr>
                  <w:divsChild>
                    <w:div w:id="1375736677">
                      <w:marLeft w:val="0"/>
                      <w:marRight w:val="0"/>
                      <w:marTop w:val="0"/>
                      <w:marBottom w:val="0"/>
                      <w:divBdr>
                        <w:top w:val="none" w:sz="0" w:space="0" w:color="auto"/>
                        <w:left w:val="none" w:sz="0" w:space="0" w:color="auto"/>
                        <w:bottom w:val="none" w:sz="0" w:space="0" w:color="auto"/>
                        <w:right w:val="none" w:sz="0" w:space="0" w:color="auto"/>
                      </w:divBdr>
                      <w:divsChild>
                        <w:div w:id="1927879557">
                          <w:marLeft w:val="0"/>
                          <w:marRight w:val="0"/>
                          <w:marTop w:val="0"/>
                          <w:marBottom w:val="0"/>
                          <w:divBdr>
                            <w:top w:val="none" w:sz="0" w:space="0" w:color="auto"/>
                            <w:left w:val="none" w:sz="0" w:space="0" w:color="auto"/>
                            <w:bottom w:val="none" w:sz="0" w:space="0" w:color="auto"/>
                            <w:right w:val="none" w:sz="0" w:space="0" w:color="auto"/>
                          </w:divBdr>
                          <w:divsChild>
                            <w:div w:id="409960236">
                              <w:marLeft w:val="0"/>
                              <w:marRight w:val="0"/>
                              <w:marTop w:val="0"/>
                              <w:marBottom w:val="0"/>
                              <w:divBdr>
                                <w:top w:val="none" w:sz="0" w:space="0" w:color="auto"/>
                                <w:left w:val="none" w:sz="0" w:space="0" w:color="auto"/>
                                <w:bottom w:val="none" w:sz="0" w:space="0" w:color="auto"/>
                                <w:right w:val="none" w:sz="0" w:space="0" w:color="auto"/>
                              </w:divBdr>
                              <w:divsChild>
                                <w:div w:id="1773359083">
                                  <w:marLeft w:val="0"/>
                                  <w:marRight w:val="0"/>
                                  <w:marTop w:val="0"/>
                                  <w:marBottom w:val="0"/>
                                  <w:divBdr>
                                    <w:top w:val="none" w:sz="0" w:space="0" w:color="auto"/>
                                    <w:left w:val="none" w:sz="0" w:space="0" w:color="auto"/>
                                    <w:bottom w:val="none" w:sz="0" w:space="0" w:color="auto"/>
                                    <w:right w:val="none" w:sz="0" w:space="0" w:color="auto"/>
                                  </w:divBdr>
                                  <w:divsChild>
                                    <w:div w:id="5609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564403">
      <w:bodyDiv w:val="1"/>
      <w:marLeft w:val="0"/>
      <w:marRight w:val="0"/>
      <w:marTop w:val="0"/>
      <w:marBottom w:val="0"/>
      <w:divBdr>
        <w:top w:val="none" w:sz="0" w:space="0" w:color="auto"/>
        <w:left w:val="none" w:sz="0" w:space="0" w:color="auto"/>
        <w:bottom w:val="none" w:sz="0" w:space="0" w:color="auto"/>
        <w:right w:val="none" w:sz="0" w:space="0" w:color="auto"/>
      </w:divBdr>
    </w:div>
    <w:div w:id="1409958520">
      <w:bodyDiv w:val="1"/>
      <w:marLeft w:val="0"/>
      <w:marRight w:val="0"/>
      <w:marTop w:val="0"/>
      <w:marBottom w:val="0"/>
      <w:divBdr>
        <w:top w:val="none" w:sz="0" w:space="0" w:color="auto"/>
        <w:left w:val="none" w:sz="0" w:space="0" w:color="auto"/>
        <w:bottom w:val="none" w:sz="0" w:space="0" w:color="auto"/>
        <w:right w:val="none" w:sz="0" w:space="0" w:color="auto"/>
      </w:divBdr>
    </w:div>
    <w:div w:id="1426271541">
      <w:bodyDiv w:val="1"/>
      <w:marLeft w:val="0"/>
      <w:marRight w:val="0"/>
      <w:marTop w:val="0"/>
      <w:marBottom w:val="0"/>
      <w:divBdr>
        <w:top w:val="none" w:sz="0" w:space="0" w:color="auto"/>
        <w:left w:val="none" w:sz="0" w:space="0" w:color="auto"/>
        <w:bottom w:val="none" w:sz="0" w:space="0" w:color="auto"/>
        <w:right w:val="none" w:sz="0" w:space="0" w:color="auto"/>
      </w:divBdr>
    </w:div>
    <w:div w:id="1595556184">
      <w:bodyDiv w:val="1"/>
      <w:marLeft w:val="0"/>
      <w:marRight w:val="0"/>
      <w:marTop w:val="0"/>
      <w:marBottom w:val="0"/>
      <w:divBdr>
        <w:top w:val="none" w:sz="0" w:space="0" w:color="auto"/>
        <w:left w:val="none" w:sz="0" w:space="0" w:color="auto"/>
        <w:bottom w:val="none" w:sz="0" w:space="0" w:color="auto"/>
        <w:right w:val="none" w:sz="0" w:space="0" w:color="auto"/>
      </w:divBdr>
    </w:div>
    <w:div w:id="1870290917">
      <w:bodyDiv w:val="1"/>
      <w:marLeft w:val="0"/>
      <w:marRight w:val="0"/>
      <w:marTop w:val="0"/>
      <w:marBottom w:val="0"/>
      <w:divBdr>
        <w:top w:val="none" w:sz="0" w:space="0" w:color="auto"/>
        <w:left w:val="none" w:sz="0" w:space="0" w:color="auto"/>
        <w:bottom w:val="none" w:sz="0" w:space="0" w:color="auto"/>
        <w:right w:val="none" w:sz="0" w:space="0" w:color="auto"/>
      </w:divBdr>
      <w:divsChild>
        <w:div w:id="2070226271">
          <w:marLeft w:val="0"/>
          <w:marRight w:val="0"/>
          <w:marTop w:val="0"/>
          <w:marBottom w:val="0"/>
          <w:divBdr>
            <w:top w:val="none" w:sz="0" w:space="0" w:color="auto"/>
            <w:left w:val="none" w:sz="0" w:space="0" w:color="auto"/>
            <w:bottom w:val="none" w:sz="0" w:space="0" w:color="auto"/>
            <w:right w:val="none" w:sz="0" w:space="0" w:color="auto"/>
          </w:divBdr>
          <w:divsChild>
            <w:div w:id="1774401236">
              <w:marLeft w:val="0"/>
              <w:marRight w:val="0"/>
              <w:marTop w:val="0"/>
              <w:marBottom w:val="0"/>
              <w:divBdr>
                <w:top w:val="none" w:sz="0" w:space="0" w:color="auto"/>
                <w:left w:val="none" w:sz="0" w:space="0" w:color="auto"/>
                <w:bottom w:val="none" w:sz="0" w:space="0" w:color="auto"/>
                <w:right w:val="none" w:sz="0" w:space="0" w:color="auto"/>
              </w:divBdr>
              <w:divsChild>
                <w:div w:id="1837840157">
                  <w:marLeft w:val="0"/>
                  <w:marRight w:val="0"/>
                  <w:marTop w:val="0"/>
                  <w:marBottom w:val="0"/>
                  <w:divBdr>
                    <w:top w:val="none" w:sz="0" w:space="0" w:color="auto"/>
                    <w:left w:val="none" w:sz="0" w:space="0" w:color="auto"/>
                    <w:bottom w:val="none" w:sz="0" w:space="0" w:color="auto"/>
                    <w:right w:val="none" w:sz="0" w:space="0" w:color="auto"/>
                  </w:divBdr>
                  <w:divsChild>
                    <w:div w:id="1801338313">
                      <w:marLeft w:val="0"/>
                      <w:marRight w:val="0"/>
                      <w:marTop w:val="0"/>
                      <w:marBottom w:val="0"/>
                      <w:divBdr>
                        <w:top w:val="none" w:sz="0" w:space="0" w:color="auto"/>
                        <w:left w:val="none" w:sz="0" w:space="0" w:color="auto"/>
                        <w:bottom w:val="none" w:sz="0" w:space="0" w:color="auto"/>
                        <w:right w:val="none" w:sz="0" w:space="0" w:color="auto"/>
                      </w:divBdr>
                      <w:divsChild>
                        <w:div w:id="444540930">
                          <w:marLeft w:val="0"/>
                          <w:marRight w:val="0"/>
                          <w:marTop w:val="0"/>
                          <w:marBottom w:val="0"/>
                          <w:divBdr>
                            <w:top w:val="none" w:sz="0" w:space="0" w:color="auto"/>
                            <w:left w:val="none" w:sz="0" w:space="0" w:color="auto"/>
                            <w:bottom w:val="none" w:sz="0" w:space="0" w:color="auto"/>
                            <w:right w:val="none" w:sz="0" w:space="0" w:color="auto"/>
                          </w:divBdr>
                          <w:divsChild>
                            <w:div w:id="20709673">
                              <w:marLeft w:val="0"/>
                              <w:marRight w:val="177"/>
                              <w:marTop w:val="106"/>
                              <w:marBottom w:val="0"/>
                              <w:divBdr>
                                <w:top w:val="none" w:sz="0" w:space="0" w:color="auto"/>
                                <w:left w:val="none" w:sz="0" w:space="0" w:color="auto"/>
                                <w:bottom w:val="none" w:sz="0" w:space="0" w:color="auto"/>
                                <w:right w:val="none" w:sz="0" w:space="0" w:color="auto"/>
                              </w:divBdr>
                              <w:divsChild>
                                <w:div w:id="8272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7842">
          <w:marLeft w:val="0"/>
          <w:marRight w:val="0"/>
          <w:marTop w:val="0"/>
          <w:marBottom w:val="0"/>
          <w:divBdr>
            <w:top w:val="none" w:sz="0" w:space="0" w:color="auto"/>
            <w:left w:val="none" w:sz="0" w:space="0" w:color="auto"/>
            <w:bottom w:val="none" w:sz="0" w:space="0" w:color="auto"/>
            <w:right w:val="none" w:sz="0" w:space="0" w:color="auto"/>
          </w:divBdr>
          <w:divsChild>
            <w:div w:id="2091731082">
              <w:marLeft w:val="0"/>
              <w:marRight w:val="0"/>
              <w:marTop w:val="0"/>
              <w:marBottom w:val="0"/>
              <w:divBdr>
                <w:top w:val="none" w:sz="0" w:space="0" w:color="auto"/>
                <w:left w:val="none" w:sz="0" w:space="0" w:color="auto"/>
                <w:bottom w:val="none" w:sz="0" w:space="0" w:color="auto"/>
                <w:right w:val="none" w:sz="0" w:space="0" w:color="auto"/>
              </w:divBdr>
              <w:divsChild>
                <w:div w:id="781921236">
                  <w:marLeft w:val="0"/>
                  <w:marRight w:val="0"/>
                  <w:marTop w:val="0"/>
                  <w:marBottom w:val="0"/>
                  <w:divBdr>
                    <w:top w:val="none" w:sz="0" w:space="0" w:color="auto"/>
                    <w:left w:val="none" w:sz="0" w:space="0" w:color="auto"/>
                    <w:bottom w:val="none" w:sz="0" w:space="0" w:color="auto"/>
                    <w:right w:val="none" w:sz="0" w:space="0" w:color="auto"/>
                  </w:divBdr>
                  <w:divsChild>
                    <w:div w:id="306014190">
                      <w:marLeft w:val="0"/>
                      <w:marRight w:val="0"/>
                      <w:marTop w:val="0"/>
                      <w:marBottom w:val="0"/>
                      <w:divBdr>
                        <w:top w:val="none" w:sz="0" w:space="0" w:color="auto"/>
                        <w:left w:val="none" w:sz="0" w:space="0" w:color="auto"/>
                        <w:bottom w:val="none" w:sz="0" w:space="0" w:color="auto"/>
                        <w:right w:val="none" w:sz="0" w:space="0" w:color="auto"/>
                      </w:divBdr>
                      <w:divsChild>
                        <w:div w:id="11503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663926">
      <w:bodyDiv w:val="1"/>
      <w:marLeft w:val="0"/>
      <w:marRight w:val="0"/>
      <w:marTop w:val="0"/>
      <w:marBottom w:val="0"/>
      <w:divBdr>
        <w:top w:val="none" w:sz="0" w:space="0" w:color="auto"/>
        <w:left w:val="none" w:sz="0" w:space="0" w:color="auto"/>
        <w:bottom w:val="none" w:sz="0" w:space="0" w:color="auto"/>
        <w:right w:val="none" w:sz="0" w:space="0" w:color="auto"/>
      </w:divBdr>
    </w:div>
    <w:div w:id="2109227301">
      <w:bodyDiv w:val="1"/>
      <w:marLeft w:val="0"/>
      <w:marRight w:val="0"/>
      <w:marTop w:val="0"/>
      <w:marBottom w:val="0"/>
      <w:divBdr>
        <w:top w:val="none" w:sz="0" w:space="0" w:color="auto"/>
        <w:left w:val="none" w:sz="0" w:space="0" w:color="auto"/>
        <w:bottom w:val="none" w:sz="0" w:space="0" w:color="auto"/>
        <w:right w:val="none" w:sz="0" w:space="0" w:color="auto"/>
      </w:divBdr>
      <w:divsChild>
        <w:div w:id="1951887347">
          <w:marLeft w:val="0"/>
          <w:marRight w:val="0"/>
          <w:marTop w:val="0"/>
          <w:marBottom w:val="0"/>
          <w:divBdr>
            <w:top w:val="none" w:sz="0" w:space="0" w:color="auto"/>
            <w:left w:val="none" w:sz="0" w:space="0" w:color="auto"/>
            <w:bottom w:val="none" w:sz="0" w:space="0" w:color="auto"/>
            <w:right w:val="none" w:sz="0" w:space="0" w:color="auto"/>
          </w:divBdr>
        </w:div>
        <w:div w:id="1818641285">
          <w:marLeft w:val="0"/>
          <w:marRight w:val="0"/>
          <w:marTop w:val="0"/>
          <w:marBottom w:val="0"/>
          <w:divBdr>
            <w:top w:val="none" w:sz="0" w:space="0" w:color="auto"/>
            <w:left w:val="none" w:sz="0" w:space="0" w:color="auto"/>
            <w:bottom w:val="none" w:sz="0" w:space="0" w:color="auto"/>
            <w:right w:val="none" w:sz="0" w:space="0" w:color="auto"/>
          </w:divBdr>
        </w:div>
        <w:div w:id="1845777837">
          <w:marLeft w:val="0"/>
          <w:marRight w:val="0"/>
          <w:marTop w:val="0"/>
          <w:marBottom w:val="0"/>
          <w:divBdr>
            <w:top w:val="none" w:sz="0" w:space="0" w:color="auto"/>
            <w:left w:val="none" w:sz="0" w:space="0" w:color="auto"/>
            <w:bottom w:val="none" w:sz="0" w:space="0" w:color="auto"/>
            <w:right w:val="none" w:sz="0" w:space="0" w:color="auto"/>
          </w:divBdr>
        </w:div>
      </w:divsChild>
    </w:div>
    <w:div w:id="2136093818">
      <w:bodyDiv w:val="1"/>
      <w:marLeft w:val="0"/>
      <w:marRight w:val="0"/>
      <w:marTop w:val="0"/>
      <w:marBottom w:val="0"/>
      <w:divBdr>
        <w:top w:val="none" w:sz="0" w:space="0" w:color="auto"/>
        <w:left w:val="none" w:sz="0" w:space="0" w:color="auto"/>
        <w:bottom w:val="none" w:sz="0" w:space="0" w:color="auto"/>
        <w:right w:val="none" w:sz="0" w:space="0" w:color="auto"/>
      </w:divBdr>
      <w:divsChild>
        <w:div w:id="1844322473">
          <w:marLeft w:val="0"/>
          <w:marRight w:val="0"/>
          <w:marTop w:val="0"/>
          <w:marBottom w:val="0"/>
          <w:divBdr>
            <w:top w:val="none" w:sz="0" w:space="0" w:color="auto"/>
            <w:left w:val="none" w:sz="0" w:space="0" w:color="auto"/>
            <w:bottom w:val="none" w:sz="0" w:space="0" w:color="auto"/>
            <w:right w:val="none" w:sz="0" w:space="0" w:color="auto"/>
          </w:divBdr>
          <w:divsChild>
            <w:div w:id="1519924894">
              <w:marLeft w:val="0"/>
              <w:marRight w:val="0"/>
              <w:marTop w:val="0"/>
              <w:marBottom w:val="0"/>
              <w:divBdr>
                <w:top w:val="none" w:sz="0" w:space="0" w:color="auto"/>
                <w:left w:val="none" w:sz="0" w:space="0" w:color="auto"/>
                <w:bottom w:val="none" w:sz="0" w:space="0" w:color="auto"/>
                <w:right w:val="none" w:sz="0" w:space="0" w:color="auto"/>
              </w:divBdr>
              <w:divsChild>
                <w:div w:id="1855220252">
                  <w:marLeft w:val="0"/>
                  <w:marRight w:val="0"/>
                  <w:marTop w:val="0"/>
                  <w:marBottom w:val="0"/>
                  <w:divBdr>
                    <w:top w:val="none" w:sz="0" w:space="0" w:color="auto"/>
                    <w:left w:val="none" w:sz="0" w:space="0" w:color="auto"/>
                    <w:bottom w:val="none" w:sz="0" w:space="0" w:color="auto"/>
                    <w:right w:val="none" w:sz="0" w:space="0" w:color="auto"/>
                  </w:divBdr>
                  <w:divsChild>
                    <w:div w:id="1210142391">
                      <w:marLeft w:val="0"/>
                      <w:marRight w:val="0"/>
                      <w:marTop w:val="0"/>
                      <w:marBottom w:val="0"/>
                      <w:divBdr>
                        <w:top w:val="none" w:sz="0" w:space="0" w:color="auto"/>
                        <w:left w:val="none" w:sz="0" w:space="0" w:color="auto"/>
                        <w:bottom w:val="none" w:sz="0" w:space="0" w:color="auto"/>
                        <w:right w:val="none" w:sz="0" w:space="0" w:color="auto"/>
                      </w:divBdr>
                      <w:divsChild>
                        <w:div w:id="230970776">
                          <w:marLeft w:val="0"/>
                          <w:marRight w:val="0"/>
                          <w:marTop w:val="0"/>
                          <w:marBottom w:val="0"/>
                          <w:divBdr>
                            <w:top w:val="none" w:sz="0" w:space="0" w:color="auto"/>
                            <w:left w:val="none" w:sz="0" w:space="0" w:color="auto"/>
                            <w:bottom w:val="none" w:sz="0" w:space="0" w:color="auto"/>
                            <w:right w:val="none" w:sz="0" w:space="0" w:color="auto"/>
                          </w:divBdr>
                          <w:divsChild>
                            <w:div w:id="29649801">
                              <w:marLeft w:val="0"/>
                              <w:marRight w:val="0"/>
                              <w:marTop w:val="0"/>
                              <w:marBottom w:val="0"/>
                              <w:divBdr>
                                <w:top w:val="none" w:sz="0" w:space="0" w:color="auto"/>
                                <w:left w:val="none" w:sz="0" w:space="0" w:color="auto"/>
                                <w:bottom w:val="none" w:sz="0" w:space="0" w:color="auto"/>
                                <w:right w:val="none" w:sz="0" w:space="0" w:color="auto"/>
                              </w:divBdr>
                              <w:divsChild>
                                <w:div w:id="335425833">
                                  <w:marLeft w:val="0"/>
                                  <w:marRight w:val="0"/>
                                  <w:marTop w:val="0"/>
                                  <w:marBottom w:val="0"/>
                                  <w:divBdr>
                                    <w:top w:val="none" w:sz="0" w:space="0" w:color="auto"/>
                                    <w:left w:val="none" w:sz="0" w:space="0" w:color="auto"/>
                                    <w:bottom w:val="none" w:sz="0" w:space="0" w:color="auto"/>
                                    <w:right w:val="none" w:sz="0" w:space="0" w:color="auto"/>
                                  </w:divBdr>
                                  <w:divsChild>
                                    <w:div w:id="9180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direct.com/science/article/pii/S0920586110008102"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619B-32A4-4914-9EA4-6CDE27D8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Pages>
  <Words>3700</Words>
  <Characters>21096</Characters>
  <Application>Microsoft Office Word</Application>
  <DocSecurity>0</DocSecurity>
  <Lines>175</Lines>
  <Paragraphs>49</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16</cp:revision>
  <cp:lastPrinted>2014-10-10T13:47:00Z</cp:lastPrinted>
  <dcterms:created xsi:type="dcterms:W3CDTF">2019-01-31T18:43:00Z</dcterms:created>
  <dcterms:modified xsi:type="dcterms:W3CDTF">2019-05-12T13:21:00Z</dcterms:modified>
</cp:coreProperties>
</file>