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ZA" w:eastAsia="en-ZA"/>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n-ZA" w:eastAsia="en-ZA"/>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D82B8D" w:rsidRDefault="00D82B8D" w:rsidP="00D82B8D">
      <w:pPr>
        <w:pStyle w:val="CETTitle"/>
      </w:pPr>
      <w:r w:rsidRPr="00D82B8D">
        <w:t>CaCO</w:t>
      </w:r>
      <w:r w:rsidRPr="00D82B8D">
        <w:rPr>
          <w:vertAlign w:val="subscript"/>
        </w:rPr>
        <w:t>3</w:t>
      </w:r>
      <w:r w:rsidRPr="00D82B8D">
        <w:t xml:space="preserve"> Supplementation of Low-Carbon Wastewaters for the Cultivation </w:t>
      </w:r>
      <w:r>
        <w:t>o</w:t>
      </w:r>
      <w:r w:rsidRPr="00D82B8D">
        <w:t xml:space="preserve">f Microalgae: A Study with </w:t>
      </w:r>
      <w:proofErr w:type="spellStart"/>
      <w:r w:rsidRPr="00165C52">
        <w:rPr>
          <w:i/>
        </w:rPr>
        <w:t>Desmodesmus</w:t>
      </w:r>
      <w:proofErr w:type="spellEnd"/>
      <w:r w:rsidRPr="00165C52">
        <w:rPr>
          <w:i/>
        </w:rPr>
        <w:t xml:space="preserve"> </w:t>
      </w:r>
      <w:proofErr w:type="spellStart"/>
      <w:r w:rsidR="0084648F">
        <w:rPr>
          <w:i/>
        </w:rPr>
        <w:t>m</w:t>
      </w:r>
      <w:r w:rsidRPr="00165C52">
        <w:rPr>
          <w:i/>
        </w:rPr>
        <w:t>ultivariabilis</w:t>
      </w:r>
      <w:proofErr w:type="spellEnd"/>
    </w:p>
    <w:p w:rsidR="00E978D0" w:rsidRDefault="00D82B8D" w:rsidP="00AB5011">
      <w:pPr>
        <w:pStyle w:val="CETAuthors"/>
      </w:pPr>
      <w:r>
        <w:t>Frederick V. Lubbe</w:t>
      </w:r>
      <w:r w:rsidR="00600535" w:rsidRPr="00B57B36">
        <w:t xml:space="preserve">, </w:t>
      </w:r>
      <w:r>
        <w:t>Hendrik</w:t>
      </w:r>
      <w:r w:rsidR="00600535" w:rsidRPr="00B57B36">
        <w:t xml:space="preserve"> </w:t>
      </w:r>
      <w:r>
        <w:t>G</w:t>
      </w:r>
      <w:r w:rsidR="00600535" w:rsidRPr="00B57B36">
        <w:t xml:space="preserve">. </w:t>
      </w:r>
      <w:r>
        <w:t>Brink</w:t>
      </w:r>
      <w:r w:rsidR="00600535" w:rsidRPr="00B57B36">
        <w:t>*</w:t>
      </w:r>
    </w:p>
    <w:p w:rsidR="00392FD9" w:rsidRPr="007A6B02" w:rsidRDefault="00392FD9" w:rsidP="007A6B02">
      <w:pPr>
        <w:pStyle w:val="CETAddress"/>
      </w:pPr>
      <w:r w:rsidRPr="007A6B02">
        <w:t>Water Utilization and Environmental Engineering Division, Department of Chemical Engineering, University of Pretoria,</w:t>
      </w:r>
    </w:p>
    <w:p w:rsidR="00392FD9" w:rsidRPr="007A6B02" w:rsidRDefault="00392FD9" w:rsidP="007A6B02">
      <w:pPr>
        <w:pStyle w:val="CETAddress"/>
      </w:pPr>
      <w:r w:rsidRPr="007A6B02">
        <w:t>Pretoria 0002, South Africa</w:t>
      </w:r>
    </w:p>
    <w:p w:rsidR="00392FD9" w:rsidRDefault="00052AC7" w:rsidP="007A6B02">
      <w:pPr>
        <w:pStyle w:val="CETemail"/>
      </w:pPr>
      <w:hyperlink r:id="rId10" w:history="1">
        <w:r w:rsidR="002F5D9B" w:rsidRPr="00FD7C9A">
          <w:rPr>
            <w:rStyle w:val="Hyperlink"/>
          </w:rPr>
          <w:t>deon.brink@up.ac.za</w:t>
        </w:r>
      </w:hyperlink>
    </w:p>
    <w:p w:rsidR="002F5D9B" w:rsidRDefault="002F5D9B" w:rsidP="002F5D9B">
      <w:pPr>
        <w:pStyle w:val="CETBodytext"/>
        <w:rPr>
          <w:lang w:val="en-GB"/>
        </w:rPr>
      </w:pPr>
    </w:p>
    <w:p w:rsidR="004D1975" w:rsidRPr="0082084D" w:rsidRDefault="00CA7B42" w:rsidP="004D1975">
      <w:pPr>
        <w:pStyle w:val="CETBodytext"/>
      </w:pPr>
      <w:r>
        <w:rPr>
          <w:lang w:val="en-GB"/>
        </w:rPr>
        <w:t>Microalgal biomass cultivated in wast</w:t>
      </w:r>
      <w:r w:rsidR="00C71C59">
        <w:rPr>
          <w:lang w:val="en-GB"/>
        </w:rPr>
        <w:t xml:space="preserve">ewater has the </w:t>
      </w:r>
      <w:r w:rsidR="00165C52">
        <w:rPr>
          <w:lang w:val="en-GB"/>
        </w:rPr>
        <w:t>potential</w:t>
      </w:r>
      <w:r w:rsidR="00C71C59">
        <w:rPr>
          <w:lang w:val="en-GB"/>
        </w:rPr>
        <w:t xml:space="preserve"> </w:t>
      </w:r>
      <w:r w:rsidR="00165C52">
        <w:rPr>
          <w:lang w:val="en-GB"/>
        </w:rPr>
        <w:t>for</w:t>
      </w:r>
      <w:r w:rsidR="00C71C59">
        <w:rPr>
          <w:lang w:val="en-GB"/>
        </w:rPr>
        <w:t xml:space="preserve"> refin</w:t>
      </w:r>
      <w:r w:rsidR="00165C52">
        <w:rPr>
          <w:lang w:val="en-GB"/>
        </w:rPr>
        <w:t>ing</w:t>
      </w:r>
      <w:r w:rsidR="00C71C59">
        <w:rPr>
          <w:lang w:val="en-GB"/>
        </w:rPr>
        <w:t xml:space="preserve"> to energy products such as biodiesel and biohydrogen with the additional benefit of also </w:t>
      </w:r>
      <w:r w:rsidR="00165C52">
        <w:rPr>
          <w:lang w:val="en-GB"/>
        </w:rPr>
        <w:t>treating</w:t>
      </w:r>
      <w:r w:rsidR="00C71C59">
        <w:rPr>
          <w:lang w:val="en-GB"/>
        </w:rPr>
        <w:t xml:space="preserve"> the wastewater. As many species of microalgae can employ both Heterotrophic and Autotrophic modes of </w:t>
      </w:r>
      <w:r w:rsidR="004D1975">
        <w:rPr>
          <w:lang w:val="en-GB"/>
        </w:rPr>
        <w:t>carbon synthesis, low-carbon wa</w:t>
      </w:r>
      <w:r w:rsidR="00C71C59">
        <w:rPr>
          <w:lang w:val="en-GB"/>
        </w:rPr>
        <w:t xml:space="preserve">ters benefit from the addition of inorganic carbon to the water. </w:t>
      </w:r>
      <w:r w:rsidR="00FA5078">
        <w:rPr>
          <w:lang w:val="en-GB"/>
        </w:rPr>
        <w:t>Capital and operational costs are a deterrent to using CO</w:t>
      </w:r>
      <w:r w:rsidR="00FA5078" w:rsidRPr="00FA5078">
        <w:rPr>
          <w:vertAlign w:val="subscript"/>
          <w:lang w:val="en-GB"/>
        </w:rPr>
        <w:t>2</w:t>
      </w:r>
      <w:r w:rsidR="00FA5078">
        <w:rPr>
          <w:lang w:val="en-GB"/>
        </w:rPr>
        <w:t xml:space="preserve"> and other alternatives may be more attractive. NaHCO</w:t>
      </w:r>
      <w:r w:rsidR="00FA5078" w:rsidRPr="00FA5078">
        <w:rPr>
          <w:vertAlign w:val="subscript"/>
          <w:lang w:val="en-GB"/>
        </w:rPr>
        <w:t>3</w:t>
      </w:r>
      <w:r w:rsidR="00FA5078">
        <w:rPr>
          <w:lang w:val="en-GB"/>
        </w:rPr>
        <w:t xml:space="preserve"> is a popular alternative but as a result of its solubility and alkalinity quickly raises the pH of the water which inhibits algal </w:t>
      </w:r>
      <w:r w:rsidR="00B9353B">
        <w:rPr>
          <w:lang w:val="en-GB"/>
        </w:rPr>
        <w:t>growth</w:t>
      </w:r>
      <w:r w:rsidR="00FA5078">
        <w:rPr>
          <w:lang w:val="en-GB"/>
        </w:rPr>
        <w:t xml:space="preserve"> due the </w:t>
      </w:r>
      <w:r w:rsidR="00B9353B">
        <w:rPr>
          <w:lang w:val="en-GB"/>
        </w:rPr>
        <w:t>presence of free ammonia</w:t>
      </w:r>
      <w:r w:rsidR="004D1975">
        <w:rPr>
          <w:lang w:val="en-GB"/>
        </w:rPr>
        <w:t xml:space="preserve"> at high pH</w:t>
      </w:r>
      <w:r w:rsidR="00165C52">
        <w:rPr>
          <w:lang w:val="en-GB"/>
        </w:rPr>
        <w:t xml:space="preserve"> values</w:t>
      </w:r>
      <w:r w:rsidR="00B9353B">
        <w:rPr>
          <w:lang w:val="en-GB"/>
        </w:rPr>
        <w:t>.</w:t>
      </w:r>
      <w:r w:rsidR="004D1975">
        <w:rPr>
          <w:lang w:val="en-GB"/>
        </w:rPr>
        <w:t xml:space="preserve"> </w:t>
      </w:r>
      <w:r w:rsidR="00B9353B">
        <w:rPr>
          <w:lang w:val="en-GB"/>
        </w:rPr>
        <w:t xml:space="preserve">In this experiment, </w:t>
      </w:r>
      <w:r w:rsidR="00FA5078">
        <w:rPr>
          <w:lang w:val="en-GB"/>
        </w:rPr>
        <w:t xml:space="preserve">the growth of a South African strain of </w:t>
      </w:r>
      <w:proofErr w:type="spellStart"/>
      <w:r w:rsidR="00FA5078" w:rsidRPr="00165C52">
        <w:rPr>
          <w:i/>
          <w:lang w:val="en-GB"/>
        </w:rPr>
        <w:t>Desmodesmus</w:t>
      </w:r>
      <w:proofErr w:type="spellEnd"/>
      <w:r w:rsidR="00FA5078" w:rsidRPr="00165C52">
        <w:rPr>
          <w:i/>
          <w:lang w:val="en-GB"/>
        </w:rPr>
        <w:t xml:space="preserve"> </w:t>
      </w:r>
      <w:proofErr w:type="spellStart"/>
      <w:r w:rsidR="004D1975" w:rsidRPr="00165C52">
        <w:rPr>
          <w:i/>
          <w:lang w:val="en-GB"/>
        </w:rPr>
        <w:t>m</w:t>
      </w:r>
      <w:r w:rsidR="00FA5078" w:rsidRPr="00165C52">
        <w:rPr>
          <w:i/>
          <w:lang w:val="en-GB"/>
        </w:rPr>
        <w:t>ultivariabilis</w:t>
      </w:r>
      <w:proofErr w:type="spellEnd"/>
      <w:r w:rsidR="00FA5078">
        <w:rPr>
          <w:lang w:val="en-GB"/>
        </w:rPr>
        <w:t xml:space="preserve"> was studied in the presence of solid calcium carbonate.</w:t>
      </w:r>
      <w:r w:rsidR="00B9353B">
        <w:rPr>
          <w:lang w:val="en-GB"/>
        </w:rPr>
        <w:t xml:space="preserve"> Calcium carbonate was chosen for its low solubility, which would potentially allow for its dissolution </w:t>
      </w:r>
      <w:r w:rsidR="004D1975">
        <w:rPr>
          <w:lang w:val="en-GB"/>
        </w:rPr>
        <w:t xml:space="preserve">to </w:t>
      </w:r>
      <w:r w:rsidR="00B9353B">
        <w:rPr>
          <w:lang w:val="en-GB"/>
        </w:rPr>
        <w:t xml:space="preserve">be driven by the inorganic carbon uptake in the media. </w:t>
      </w:r>
      <w:r w:rsidR="004D1975">
        <w:rPr>
          <w:lang w:val="en-GB"/>
        </w:rPr>
        <w:t>T</w:t>
      </w:r>
      <w:r w:rsidR="00B9353B">
        <w:rPr>
          <w:lang w:val="en-GB"/>
        </w:rPr>
        <w:t>he performance</w:t>
      </w:r>
      <w:r w:rsidR="004D1975">
        <w:rPr>
          <w:lang w:val="en-GB"/>
        </w:rPr>
        <w:t xml:space="preserve"> was compared to that of aerated wastewater and wastewater with solid CaSO</w:t>
      </w:r>
      <w:r w:rsidR="004D1975" w:rsidRPr="004D1975">
        <w:rPr>
          <w:vertAlign w:val="subscript"/>
          <w:lang w:val="en-GB"/>
        </w:rPr>
        <w:t>4</w:t>
      </w:r>
      <w:r w:rsidR="004D1975">
        <w:rPr>
          <w:lang w:val="en-GB"/>
        </w:rPr>
        <w:t xml:space="preserve"> as a </w:t>
      </w:r>
      <w:r w:rsidR="00165C52">
        <w:rPr>
          <w:lang w:val="en-GB"/>
        </w:rPr>
        <w:t>non-carbon</w:t>
      </w:r>
      <w:r w:rsidR="004D1975">
        <w:rPr>
          <w:lang w:val="en-GB"/>
        </w:rPr>
        <w:t xml:space="preserve">-containing substitute. It was found that there were significant differences in the growth and metabolism of all three experiments. Growth in the presence of solid calcium carbonate and calcium sulphate showed a preference for attached growth in the vicinity of solids, while suspended growth was preferred when just air was supplied. </w:t>
      </w:r>
      <w:r w:rsidR="0082084D">
        <w:rPr>
          <w:lang w:val="en-GB"/>
        </w:rPr>
        <w:t>Furthermore, the experiment with air showed the highest growth rate, nitrogen uptake and a biomass yield that was more than an order of magnitude higher than with CaCO</w:t>
      </w:r>
      <w:r w:rsidR="0082084D" w:rsidRPr="0082084D">
        <w:rPr>
          <w:vertAlign w:val="subscript"/>
          <w:lang w:val="en-GB"/>
        </w:rPr>
        <w:t>3</w:t>
      </w:r>
      <w:r w:rsidR="0082084D">
        <w:rPr>
          <w:lang w:val="en-GB"/>
        </w:rPr>
        <w:t xml:space="preserve">. </w:t>
      </w:r>
      <w:r w:rsidR="00CA1BDC">
        <w:rPr>
          <w:lang w:val="en-GB"/>
        </w:rPr>
        <w:t xml:space="preserve">The experiment with </w:t>
      </w:r>
      <w:r w:rsidR="00CA1BDC" w:rsidRPr="00CA1BDC">
        <w:rPr>
          <w:lang w:val="en-GB"/>
        </w:rPr>
        <w:t>CaSO</w:t>
      </w:r>
      <w:r w:rsidR="00CA1BDC" w:rsidRPr="00CA1BDC">
        <w:rPr>
          <w:vertAlign w:val="subscript"/>
          <w:lang w:val="en-GB"/>
        </w:rPr>
        <w:t>4</w:t>
      </w:r>
      <w:r w:rsidR="00CA1BDC">
        <w:rPr>
          <w:lang w:val="en-GB"/>
        </w:rPr>
        <w:t xml:space="preserve"> showed low yields and growth rates, possibility indicating and inhibitory effect of the CaSO</w:t>
      </w:r>
      <w:r w:rsidR="00CA1BDC" w:rsidRPr="00CA1BDC">
        <w:rPr>
          <w:strike/>
          <w:vertAlign w:val="subscript"/>
          <w:lang w:val="en-GB"/>
        </w:rPr>
        <w:t>4</w:t>
      </w:r>
      <w:r w:rsidR="00CA1BDC">
        <w:rPr>
          <w:lang w:val="en-GB"/>
        </w:rPr>
        <w:t xml:space="preserve">. </w:t>
      </w:r>
      <w:r w:rsidR="0082084D" w:rsidRPr="00CA1BDC">
        <w:rPr>
          <w:lang w:val="en-GB"/>
        </w:rPr>
        <w:t>In</w:t>
      </w:r>
      <w:r w:rsidR="0082084D">
        <w:rPr>
          <w:lang w:val="en-GB"/>
        </w:rPr>
        <w:t xml:space="preserve"> the presence of CaCO</w:t>
      </w:r>
      <w:r w:rsidR="0082084D" w:rsidRPr="0082084D">
        <w:rPr>
          <w:vertAlign w:val="subscript"/>
          <w:lang w:val="en-GB"/>
        </w:rPr>
        <w:t>3,</w:t>
      </w:r>
      <w:r w:rsidR="0082084D">
        <w:rPr>
          <w:lang w:val="en-GB"/>
        </w:rPr>
        <w:t xml:space="preserve"> a very high yield of extracellular organic metabolites was observed. The </w:t>
      </w:r>
      <w:r w:rsidR="00CA1BDC">
        <w:rPr>
          <w:lang w:val="en-GB"/>
        </w:rPr>
        <w:t>presence of these metabolites, as well as the stability of the pH and low growth, is</w:t>
      </w:r>
      <w:r w:rsidR="0082084D">
        <w:rPr>
          <w:lang w:val="en-GB"/>
        </w:rPr>
        <w:t xml:space="preserve"> a possible indication that the organism was controlling the pH as a defence mechanism. Despite not being a favourable substrate for growing </w:t>
      </w:r>
      <w:r w:rsidR="00CA1BDC" w:rsidRPr="00165C52">
        <w:rPr>
          <w:i/>
          <w:lang w:val="en-GB"/>
        </w:rPr>
        <w:t>D</w:t>
      </w:r>
      <w:r w:rsidR="0084648F">
        <w:rPr>
          <w:i/>
          <w:lang w:val="en-GB"/>
        </w:rPr>
        <w:t>.</w:t>
      </w:r>
      <w:r w:rsidR="00CA1BDC" w:rsidRPr="00165C52">
        <w:rPr>
          <w:i/>
          <w:lang w:val="en-GB"/>
        </w:rPr>
        <w:t xml:space="preserve"> </w:t>
      </w:r>
      <w:proofErr w:type="spellStart"/>
      <w:r w:rsidR="00CA1BDC" w:rsidRPr="00165C52">
        <w:rPr>
          <w:i/>
          <w:lang w:val="en-GB"/>
        </w:rPr>
        <w:t>multivariabilis</w:t>
      </w:r>
      <w:proofErr w:type="spellEnd"/>
      <w:r w:rsidR="0082084D">
        <w:rPr>
          <w:lang w:val="en-GB"/>
        </w:rPr>
        <w:t>, the high yield of extracellular m</w:t>
      </w:r>
      <w:r w:rsidR="00CA1BDC">
        <w:rPr>
          <w:lang w:val="en-GB"/>
        </w:rPr>
        <w:t>etabolites may have a commercial potential, and the nature and use these metabolites deserve further investigation.</w:t>
      </w:r>
    </w:p>
    <w:p w:rsidR="007A6B02" w:rsidRPr="003563B7" w:rsidRDefault="004D1975" w:rsidP="007A6B02">
      <w:pPr>
        <w:pStyle w:val="CETHeading1"/>
      </w:pPr>
      <w:r>
        <w:t>I</w:t>
      </w:r>
      <w:r w:rsidR="007A6B02">
        <w:t>ntroduction</w:t>
      </w:r>
    </w:p>
    <w:p w:rsidR="003A16CE" w:rsidRDefault="007A6B02" w:rsidP="003E43F4">
      <w:pPr>
        <w:pStyle w:val="CETBodytext"/>
      </w:pPr>
      <w:r w:rsidRPr="00012484">
        <w:t>Cultivation of microalgae in wastewater</w:t>
      </w:r>
      <w:r w:rsidR="00032F18">
        <w:t xml:space="preserve"> (WW)</w:t>
      </w:r>
      <w:r w:rsidRPr="00012484">
        <w:t xml:space="preserve"> is attracting a wide variety of interest due to the dual benefits of water treatment and the generation of valuable biomass that can be valorized into a variety of energy products, such as biodiesel and </w:t>
      </w:r>
      <w:r w:rsidR="00FB0847" w:rsidRPr="00012484">
        <w:t xml:space="preserve">biohydrogen </w:t>
      </w:r>
      <w:r w:rsidR="00FB0847" w:rsidRPr="003E43F4">
        <w:t>(</w:t>
      </w:r>
      <w:r w:rsidR="003E43F4" w:rsidRPr="003E43F4">
        <w:t>Wang et al., 2010)</w:t>
      </w:r>
      <w:r w:rsidRPr="00012484">
        <w:t xml:space="preserve">. As many different varieties of microalgae can employ both autotrophic and heterotrophic methods of carbon synthesis, they benefit from the introduction of inorganic carbon, especially in low-carbon </w:t>
      </w:r>
      <w:r w:rsidR="00032F18">
        <w:t>WW</w:t>
      </w:r>
      <w:r w:rsidRPr="00012484">
        <w:t xml:space="preserve"> </w:t>
      </w:r>
      <w:r w:rsidR="003E43F4">
        <w:t>(</w:t>
      </w:r>
      <w:proofErr w:type="spellStart"/>
      <w:r w:rsidR="003E43F4" w:rsidRPr="003E43F4">
        <w:t>Kandimalla</w:t>
      </w:r>
      <w:proofErr w:type="spellEnd"/>
      <w:r w:rsidR="003E43F4" w:rsidRPr="003E43F4">
        <w:t xml:space="preserve"> et al., 2016)</w:t>
      </w:r>
      <w:r w:rsidRPr="00012484">
        <w:t>. Microalgae can absorb inorganic carbon in the dissolved CO</w:t>
      </w:r>
      <w:r w:rsidRPr="00040DA7">
        <w:rPr>
          <w:vertAlign w:val="subscript"/>
        </w:rPr>
        <w:t>2</w:t>
      </w:r>
      <w:r w:rsidRPr="00012484">
        <w:t xml:space="preserve"> as well as the HCO</w:t>
      </w:r>
      <w:r w:rsidRPr="00451C53">
        <w:rPr>
          <w:vertAlign w:val="subscript"/>
        </w:rPr>
        <w:t>3</w:t>
      </w:r>
      <w:r w:rsidRPr="00451C53">
        <w:rPr>
          <w:vertAlign w:val="superscript"/>
        </w:rPr>
        <w:t>-</w:t>
      </w:r>
      <w:r w:rsidRPr="00012484">
        <w:t xml:space="preserve"> forms</w:t>
      </w:r>
      <w:r w:rsidR="003E43F4">
        <w:t xml:space="preserve"> </w:t>
      </w:r>
      <w:r w:rsidR="003E43F4" w:rsidRPr="003E43F4">
        <w:t>(Thomas et al., 2016)</w:t>
      </w:r>
      <w:r w:rsidRPr="00012484">
        <w:t>. Introduction of CO</w:t>
      </w:r>
      <w:r w:rsidRPr="00040DA7">
        <w:rPr>
          <w:vertAlign w:val="subscript"/>
        </w:rPr>
        <w:t>2</w:t>
      </w:r>
      <w:r w:rsidRPr="00012484">
        <w:t xml:space="preserve"> as an inorganic carbon substrate through bubbling is well-attested in literature, with different forms of photobioreactor</w:t>
      </w:r>
      <w:r w:rsidR="00FB0847">
        <w:t>s</w:t>
      </w:r>
      <w:r w:rsidRPr="00012484">
        <w:t xml:space="preserve"> available that vary in the method</w:t>
      </w:r>
      <w:r w:rsidR="00FB0847">
        <w:t>s</w:t>
      </w:r>
      <w:r w:rsidRPr="00012484">
        <w:t xml:space="preserve"> of CO</w:t>
      </w:r>
      <w:r w:rsidRPr="00040DA7">
        <w:rPr>
          <w:vertAlign w:val="subscript"/>
        </w:rPr>
        <w:t>2</w:t>
      </w:r>
      <w:r w:rsidRPr="00012484">
        <w:t xml:space="preserve"> introduction </w:t>
      </w:r>
      <w:r w:rsidR="003E43F4">
        <w:t>(Razzak et al., 2013)</w:t>
      </w:r>
      <w:r w:rsidRPr="00012484">
        <w:t xml:space="preserve">. In industry however, gas transportation and handling </w:t>
      </w:r>
      <w:proofErr w:type="gramStart"/>
      <w:r w:rsidRPr="00012484">
        <w:t>requires</w:t>
      </w:r>
      <w:proofErr w:type="gramEnd"/>
      <w:r w:rsidRPr="00012484">
        <w:t xml:space="preserve"> significant energy investment</w:t>
      </w:r>
      <w:r w:rsidR="003E43F4">
        <w:t xml:space="preserve"> </w:t>
      </w:r>
      <w:r w:rsidR="003E43F4" w:rsidRPr="003E43F4">
        <w:t>(</w:t>
      </w:r>
      <w:proofErr w:type="spellStart"/>
      <w:r w:rsidR="003E43F4" w:rsidRPr="003E43F4">
        <w:t>Moheimani</w:t>
      </w:r>
      <w:proofErr w:type="spellEnd"/>
      <w:r w:rsidR="003E43F4" w:rsidRPr="003E43F4">
        <w:t>, 2016)</w:t>
      </w:r>
      <w:r w:rsidRPr="00012484">
        <w:t xml:space="preserve">. </w:t>
      </w:r>
      <w:r w:rsidR="00FB0847" w:rsidRPr="00FB0847">
        <w:t>NaHCO</w:t>
      </w:r>
      <w:r w:rsidR="00FB0847" w:rsidRPr="00FB0847">
        <w:rPr>
          <w:vertAlign w:val="subscript"/>
        </w:rPr>
        <w:t>3</w:t>
      </w:r>
      <w:r w:rsidR="00FB0847">
        <w:t xml:space="preserve"> has been studied in literature as a</w:t>
      </w:r>
      <w:r w:rsidRPr="00FB0847">
        <w:t>n</w:t>
      </w:r>
      <w:r w:rsidR="00FB0847">
        <w:t xml:space="preserve"> alternative</w:t>
      </w:r>
      <w:r w:rsidRPr="00012484">
        <w:t xml:space="preserve"> form of inorganic </w:t>
      </w:r>
      <w:r w:rsidR="003E43F4">
        <w:t>c</w:t>
      </w:r>
      <w:r w:rsidRPr="00012484">
        <w:t>arbon substrate. NaHCO</w:t>
      </w:r>
      <w:r w:rsidRPr="00451C53">
        <w:rPr>
          <w:vertAlign w:val="subscript"/>
        </w:rPr>
        <w:t>3</w:t>
      </w:r>
      <w:r w:rsidRPr="00012484">
        <w:t xml:space="preserve"> is readily soluble and chemically and biologically available inside the solution. The major problem with NaHCO</w:t>
      </w:r>
      <w:r w:rsidRPr="00451C53">
        <w:rPr>
          <w:vertAlign w:val="subscript"/>
        </w:rPr>
        <w:t>3</w:t>
      </w:r>
      <w:r w:rsidRPr="00012484">
        <w:t xml:space="preserve"> is that while it supports strong initial growth, the rapid uptake of inorganic carbon from HCO</w:t>
      </w:r>
      <w:r w:rsidRPr="00451C53">
        <w:rPr>
          <w:vertAlign w:val="subscript"/>
        </w:rPr>
        <w:t>3</w:t>
      </w:r>
      <w:r w:rsidRPr="00451C53">
        <w:rPr>
          <w:vertAlign w:val="superscript"/>
        </w:rPr>
        <w:t>-</w:t>
      </w:r>
      <w:r w:rsidRPr="00012484">
        <w:t xml:space="preserve"> leads to a rapid increase in the </w:t>
      </w:r>
      <w:r w:rsidRPr="00012484">
        <w:lastRenderedPageBreak/>
        <w:t>pH</w:t>
      </w:r>
      <w:r w:rsidR="003E43F4">
        <w:t xml:space="preserve"> </w:t>
      </w:r>
      <w:r w:rsidR="003E43F4" w:rsidRPr="003E43F4">
        <w:t>(</w:t>
      </w:r>
      <w:proofErr w:type="spellStart"/>
      <w:r w:rsidR="003E43F4" w:rsidRPr="003E43F4">
        <w:t>Ebrahimian</w:t>
      </w:r>
      <w:proofErr w:type="spellEnd"/>
      <w:r w:rsidR="003E43F4">
        <w:t xml:space="preserve"> et al.</w:t>
      </w:r>
      <w:r w:rsidR="003E43F4" w:rsidRPr="003E43F4">
        <w:t>, 2014)</w:t>
      </w:r>
      <w:r w:rsidRPr="00012484">
        <w:t>. This is accompanied by the conversion of NH</w:t>
      </w:r>
      <w:r w:rsidRPr="00451C53">
        <w:rPr>
          <w:vertAlign w:val="subscript"/>
        </w:rPr>
        <w:t>4</w:t>
      </w:r>
      <w:r w:rsidRPr="00451C53">
        <w:rPr>
          <w:vertAlign w:val="superscript"/>
        </w:rPr>
        <w:t>+</w:t>
      </w:r>
      <w:r w:rsidRPr="00012484">
        <w:t xml:space="preserve"> to NH</w:t>
      </w:r>
      <w:r w:rsidRPr="00451C53">
        <w:rPr>
          <w:vertAlign w:val="subscript"/>
        </w:rPr>
        <w:t>3</w:t>
      </w:r>
      <w:r w:rsidRPr="00012484">
        <w:t xml:space="preserve">, which is toxic to some microalgae and leads to cell death and a </w:t>
      </w:r>
      <w:proofErr w:type="gramStart"/>
      <w:r w:rsidRPr="00012484">
        <w:t>drop in</w:t>
      </w:r>
      <w:proofErr w:type="gramEnd"/>
      <w:r w:rsidRPr="00012484">
        <w:t xml:space="preserve"> cell concentration</w:t>
      </w:r>
      <w:r w:rsidR="003E43F4">
        <w:t xml:space="preserve"> </w:t>
      </w:r>
      <w:r w:rsidR="003E43F4" w:rsidRPr="003E43F4">
        <w:t>(Vasconcelos Fernandes et al., 2015)</w:t>
      </w:r>
      <w:r w:rsidRPr="00012484">
        <w:t>.</w:t>
      </w:r>
      <w:r w:rsidR="0055672F" w:rsidRPr="00012484">
        <w:t xml:space="preserve"> </w:t>
      </w:r>
      <w:r w:rsidRPr="00012484">
        <w:t>The potential advantage of using CaCO</w:t>
      </w:r>
      <w:r w:rsidRPr="00040DA7">
        <w:rPr>
          <w:vertAlign w:val="subscript"/>
        </w:rPr>
        <w:t>3</w:t>
      </w:r>
      <w:r w:rsidRPr="00012484">
        <w:t xml:space="preserve">, which has a very low solubility in water </w:t>
      </w:r>
      <w:r w:rsidR="00451C53">
        <w:t>(</w:t>
      </w:r>
      <w:proofErr w:type="spellStart"/>
      <w:r w:rsidR="00451C53">
        <w:rPr>
          <w:noProof/>
        </w:rPr>
        <w:t>K</w:t>
      </w:r>
      <w:r w:rsidR="00451C53" w:rsidRPr="00FB0847">
        <w:rPr>
          <w:noProof/>
          <w:vertAlign w:val="subscript"/>
        </w:rPr>
        <w:t>sp</w:t>
      </w:r>
      <w:proofErr w:type="spellEnd"/>
      <w:r w:rsidR="00451C53">
        <w:rPr>
          <w:noProof/>
        </w:rPr>
        <w:t xml:space="preserve"> = 3.3 x 10</w:t>
      </w:r>
      <w:r w:rsidR="00451C53" w:rsidRPr="00451C53">
        <w:rPr>
          <w:noProof/>
          <w:vertAlign w:val="superscript"/>
        </w:rPr>
        <w:t>-9</w:t>
      </w:r>
      <w:r w:rsidR="003E43F4">
        <w:rPr>
          <w:noProof/>
          <w:vertAlign w:val="superscript"/>
        </w:rPr>
        <w:t xml:space="preserve"> </w:t>
      </w:r>
      <w:r w:rsidR="00FB0847">
        <w:rPr>
          <w:noProof/>
        </w:rPr>
        <w:t xml:space="preserve"> as reported by the </w:t>
      </w:r>
      <w:r w:rsidR="003E43F4" w:rsidRPr="003E43F4">
        <w:t>American Water Works Association, 2011)</w:t>
      </w:r>
      <w:r w:rsidRPr="00012484">
        <w:t xml:space="preserve"> is that the slow release into the </w:t>
      </w:r>
      <w:r w:rsidR="00FB0847">
        <w:t>aqueous medium</w:t>
      </w:r>
      <w:r w:rsidRPr="00012484">
        <w:t xml:space="preserve"> can be driven by the biological uptake while the remainder of the substrate remains in a chemically inactive solid form. In this study, blocks of solid Calcium Carbonate are tested as an alternative carbon source to augment the growth of the microalgae in </w:t>
      </w:r>
      <w:r w:rsidR="00032F18">
        <w:t>WW</w:t>
      </w:r>
      <w:r w:rsidRPr="00012484">
        <w:t xml:space="preserve"> in the presence of atmospheric air.</w:t>
      </w:r>
      <w:r w:rsidR="001A651B">
        <w:t xml:space="preserve"> </w:t>
      </w:r>
      <w:r w:rsidR="00795EBF">
        <w:t xml:space="preserve">As part of the search for a local, novel, potentially high-yielding strain in terms of the </w:t>
      </w:r>
      <w:r w:rsidR="00362ECE">
        <w:t xml:space="preserve">South African </w:t>
      </w:r>
      <w:proofErr w:type="spellStart"/>
      <w:r w:rsidR="00795EBF">
        <w:t>Bioeconomy</w:t>
      </w:r>
      <w:proofErr w:type="spellEnd"/>
      <w:r w:rsidR="00795EBF">
        <w:t xml:space="preserve"> Strategy (</w:t>
      </w:r>
      <w:r w:rsidR="0010565A">
        <w:t xml:space="preserve">Department of Science and Technology (South Africa), </w:t>
      </w:r>
      <w:r w:rsidR="00795EBF">
        <w:t xml:space="preserve">2013), </w:t>
      </w:r>
      <w:r w:rsidR="00795EBF" w:rsidRPr="00504D6F">
        <w:rPr>
          <w:i/>
        </w:rPr>
        <w:t xml:space="preserve">D. </w:t>
      </w:r>
      <w:proofErr w:type="spellStart"/>
      <w:r w:rsidR="00795EBF" w:rsidRPr="00504D6F">
        <w:rPr>
          <w:i/>
        </w:rPr>
        <w:t>multivariabilis</w:t>
      </w:r>
      <w:proofErr w:type="spellEnd"/>
      <w:r w:rsidR="00795EBF">
        <w:t xml:space="preserve"> was selected from the various strains sampled due to the scant availability of literature for this specific strain in relation to biofuel production and domestic wastewater treatment.</w:t>
      </w:r>
    </w:p>
    <w:p w:rsidR="00012484" w:rsidRPr="00012484" w:rsidRDefault="00012484" w:rsidP="00012484">
      <w:pPr>
        <w:pStyle w:val="CETHeading1"/>
      </w:pPr>
      <w:r w:rsidRPr="00012484">
        <w:t>Materials and methods</w:t>
      </w:r>
    </w:p>
    <w:p w:rsidR="00012484" w:rsidRPr="00012484" w:rsidRDefault="00012484" w:rsidP="00012484">
      <w:pPr>
        <w:pStyle w:val="CETheadingx"/>
      </w:pPr>
      <w:r w:rsidRPr="00012484">
        <w:t>Algal culture identification and preparation</w:t>
      </w:r>
    </w:p>
    <w:p w:rsidR="00012484" w:rsidRPr="00012484" w:rsidRDefault="00FA54B4" w:rsidP="00012484">
      <w:pPr>
        <w:pStyle w:val="CETBodytext"/>
      </w:pPr>
      <w:r>
        <w:t>The culture</w:t>
      </w:r>
      <w:r w:rsidR="00012484" w:rsidRPr="00012484">
        <w:t xml:space="preserve"> used </w:t>
      </w:r>
      <w:r w:rsidR="00FC4E0A">
        <w:t>consisted of</w:t>
      </w:r>
      <w:r w:rsidR="00012484" w:rsidRPr="00012484">
        <w:t xml:space="preserve"> purified strains of microalgae isolated from samples collected from the </w:t>
      </w:r>
      <w:proofErr w:type="spellStart"/>
      <w:r w:rsidR="00012484" w:rsidRPr="00012484">
        <w:t>Hartebeespoort</w:t>
      </w:r>
      <w:proofErr w:type="spellEnd"/>
      <w:r w:rsidR="00012484" w:rsidRPr="00012484">
        <w:t xml:space="preserve"> dam, a reservoir in the North</w:t>
      </w:r>
      <w:r w:rsidR="002515C9">
        <w:t xml:space="preserve"> </w:t>
      </w:r>
      <w:bookmarkStart w:id="0" w:name="_GoBack"/>
      <w:bookmarkEnd w:id="0"/>
      <w:r w:rsidR="002515C9">
        <w:t>W</w:t>
      </w:r>
      <w:r w:rsidR="00012484" w:rsidRPr="00012484">
        <w:t>est Province, South Africa</w:t>
      </w:r>
      <w:r w:rsidR="003E43F4">
        <w:t xml:space="preserve"> </w:t>
      </w:r>
      <w:r w:rsidR="003E43F4" w:rsidRPr="003E43F4">
        <w:t>(Birungi &amp; Chirwa, 2017)</w:t>
      </w:r>
      <w:r w:rsidR="00012484" w:rsidRPr="00012484">
        <w:t xml:space="preserve">. Purification was performed by using the Streak Plating technique. Verification of sample identity as </w:t>
      </w:r>
      <w:r w:rsidR="0084648F">
        <w:rPr>
          <w:i/>
        </w:rPr>
        <w:t>D.</w:t>
      </w:r>
      <w:r w:rsidR="00012484" w:rsidRPr="00FB0847">
        <w:rPr>
          <w:i/>
        </w:rPr>
        <w:t xml:space="preserve"> </w:t>
      </w:r>
      <w:proofErr w:type="spellStart"/>
      <w:r w:rsidR="00012484" w:rsidRPr="00FB0847">
        <w:rPr>
          <w:i/>
        </w:rPr>
        <w:t>multivariabilis</w:t>
      </w:r>
      <w:proofErr w:type="spellEnd"/>
      <w:r w:rsidR="00012484" w:rsidRPr="00012484">
        <w:t xml:space="preserve"> was performed by 18s rRNA and ITS sequencing</w:t>
      </w:r>
      <w:r w:rsidR="003E43F4">
        <w:t xml:space="preserve"> </w:t>
      </w:r>
      <w:r w:rsidR="003E43F4" w:rsidRPr="003E43F4">
        <w:t>(</w:t>
      </w:r>
      <w:proofErr w:type="spellStart"/>
      <w:r w:rsidR="003E43F4" w:rsidRPr="003E43F4">
        <w:t>Roestorff</w:t>
      </w:r>
      <w:proofErr w:type="spellEnd"/>
      <w:r w:rsidR="003E43F4" w:rsidRPr="003E43F4">
        <w:t xml:space="preserve"> &amp; Chirwa, 2018)</w:t>
      </w:r>
      <w:r w:rsidR="00012484" w:rsidRPr="00012484">
        <w:t>. Algal starter cultures were cultivated in a Triple Nitrogen, Bold Basal Medium with Vitamins (3N-BBM+V) to a cell density of 200-450 mg/l before inoculation</w:t>
      </w:r>
      <w:r w:rsidR="003E43F4">
        <w:t xml:space="preserve"> </w:t>
      </w:r>
      <w:r w:rsidR="003E43F4" w:rsidRPr="003E43F4">
        <w:t>(</w:t>
      </w:r>
      <w:proofErr w:type="spellStart"/>
      <w:r w:rsidR="003E43F4" w:rsidRPr="003E43F4">
        <w:t>Roestorff</w:t>
      </w:r>
      <w:proofErr w:type="spellEnd"/>
      <w:r w:rsidR="003E43F4" w:rsidRPr="003E43F4">
        <w:t xml:space="preserve"> &amp; Chirwa, 2018)</w:t>
      </w:r>
      <w:r w:rsidR="00012484" w:rsidRPr="00012484">
        <w:t>.</w:t>
      </w:r>
    </w:p>
    <w:p w:rsidR="00012484" w:rsidRDefault="00012484" w:rsidP="00012484">
      <w:pPr>
        <w:pStyle w:val="CETheadingx"/>
      </w:pPr>
      <w:r w:rsidRPr="00012484">
        <w:t>Culture media</w:t>
      </w:r>
    </w:p>
    <w:p w:rsidR="00012484" w:rsidRDefault="00032F18" w:rsidP="00012484">
      <w:pPr>
        <w:pStyle w:val="CETBodytext"/>
      </w:pPr>
      <w:r>
        <w:t>WW</w:t>
      </w:r>
      <w:r w:rsidR="00012484">
        <w:t xml:space="preserve"> media was obtained from the feed to a small activated sludge </w:t>
      </w:r>
      <w:r>
        <w:t>WW</w:t>
      </w:r>
      <w:r w:rsidR="00012484">
        <w:t xml:space="preserve"> treatment works on a private housing estate. The </w:t>
      </w:r>
      <w:r>
        <w:t>WW</w:t>
      </w:r>
      <w:r w:rsidR="00012484">
        <w:t xml:space="preserve"> underwent primary sedimentation and flow reduction (by means of a septic tank and </w:t>
      </w:r>
      <w:r w:rsidR="005C1166">
        <w:t>French</w:t>
      </w:r>
      <w:r w:rsidR="00012484">
        <w:t xml:space="preserve"> drain system) prior to entering the head of the works.</w:t>
      </w:r>
    </w:p>
    <w:p w:rsidR="00012484" w:rsidRDefault="00012484" w:rsidP="00012484">
      <w:pPr>
        <w:pStyle w:val="CETBodytext"/>
      </w:pPr>
      <w:r>
        <w:t xml:space="preserve">The media was </w:t>
      </w:r>
      <w:r w:rsidR="005C1166">
        <w:t>autoclaved at</w:t>
      </w:r>
      <w:r>
        <w:t xml:space="preserve"> 121 </w:t>
      </w:r>
      <w:r>
        <w:rPr>
          <w:rFonts w:ascii="Calibri" w:hAnsi="Calibri"/>
        </w:rPr>
        <w:t>°</w:t>
      </w:r>
      <w:r>
        <w:t xml:space="preserve">C and 2 </w:t>
      </w:r>
      <w:proofErr w:type="gramStart"/>
      <w:r>
        <w:t>bar</w:t>
      </w:r>
      <w:proofErr w:type="gramEnd"/>
      <w:r>
        <w:t xml:space="preserve"> for 20 minutes and stored at </w:t>
      </w:r>
      <w:smartTag w:uri="urn:schemas-microsoft-com:office:smarttags" w:element="metricconverter">
        <w:smartTagPr>
          <w:attr w:name="ProductID" w:val="4 °C"/>
        </w:smartTagPr>
        <w:r>
          <w:t>4 °C</w:t>
        </w:r>
      </w:smartTag>
      <w:r>
        <w:t xml:space="preserve"> to slow the rate of bio-degradation. Chemical Oxygen Demand (COD) analysis (</w:t>
      </w:r>
      <w:r w:rsidR="00836811">
        <w:t>Lovibond 2420720</w:t>
      </w:r>
      <w:r>
        <w:t>), Total Carbon (TC) and Total Organic Carbon (TOC) analysis (</w:t>
      </w:r>
      <w:r w:rsidR="00836811">
        <w:t>Shimadzu TOC-</w:t>
      </w:r>
      <w:proofErr w:type="spellStart"/>
      <w:r w:rsidR="00836811">
        <w:t>Vwp</w:t>
      </w:r>
      <w:proofErr w:type="spellEnd"/>
      <w:r>
        <w:t>), Total Nitrogen analysis (</w:t>
      </w:r>
      <w:proofErr w:type="spellStart"/>
      <w:r w:rsidR="00836811">
        <w:t>Spectroquant</w:t>
      </w:r>
      <w:proofErr w:type="spellEnd"/>
      <w:r w:rsidR="00836811">
        <w:t xml:space="preserve"> 14763/14537 kit with </w:t>
      </w:r>
      <w:proofErr w:type="spellStart"/>
      <w:r w:rsidR="00836811">
        <w:t>Spectroquant</w:t>
      </w:r>
      <w:proofErr w:type="spellEnd"/>
      <w:r w:rsidR="00836811">
        <w:t xml:space="preserve"> Nova 60</w:t>
      </w:r>
      <w:r>
        <w:t>), and PO</w:t>
      </w:r>
      <w:r>
        <w:rPr>
          <w:vertAlign w:val="subscript"/>
        </w:rPr>
        <w:t>4</w:t>
      </w:r>
      <w:r w:rsidR="005C1166">
        <w:rPr>
          <w:vertAlign w:val="superscript"/>
        </w:rPr>
        <w:t>3-</w:t>
      </w:r>
      <w:r>
        <w:t xml:space="preserve"> analysis (</w:t>
      </w:r>
      <w:r w:rsidR="00836811">
        <w:t>Hanna Instruments HI 93717</w:t>
      </w:r>
      <w:r>
        <w:t>) was performed to characterize the effluent prior to usage.</w:t>
      </w:r>
    </w:p>
    <w:p w:rsidR="00012484" w:rsidRDefault="00012484" w:rsidP="00012484">
      <w:pPr>
        <w:pStyle w:val="CETheadingx"/>
      </w:pPr>
      <w:r>
        <w:t>Experimental Setup.</w:t>
      </w:r>
    </w:p>
    <w:p w:rsidR="00012484" w:rsidRDefault="00012484" w:rsidP="00012484">
      <w:pPr>
        <w:pStyle w:val="CETBodytext"/>
      </w:pPr>
      <w:r>
        <w:t>Algal cultures were all cultivated in 500 ml culture flasks. Flasks were equipped with specially designed airlock</w:t>
      </w:r>
      <w:r w:rsidR="005C1166">
        <w:t>s</w:t>
      </w:r>
      <w:r>
        <w:t xml:space="preserve"> equipped with a filter which allowed the throughput of air but reduced contact with airborne contaminants</w:t>
      </w:r>
      <w:r w:rsidR="00A500F6">
        <w:t xml:space="preserve">. </w:t>
      </w:r>
      <w:r>
        <w:t>All equipment, media and reagents were autoclaved</w:t>
      </w:r>
      <w:r w:rsidR="005C1166">
        <w:t xml:space="preserve"> at</w:t>
      </w:r>
      <w:r>
        <w:t xml:space="preserve"> 121 </w:t>
      </w:r>
      <w:r>
        <w:rPr>
          <w:rFonts w:ascii="Calibri" w:hAnsi="Calibri"/>
        </w:rPr>
        <w:t>°</w:t>
      </w:r>
      <w:r>
        <w:t xml:space="preserve">C and 2 </w:t>
      </w:r>
      <w:proofErr w:type="gramStart"/>
      <w:r>
        <w:t>bar</w:t>
      </w:r>
      <w:proofErr w:type="gramEnd"/>
      <w:r>
        <w:t xml:space="preserve"> for 20 minutes prior to use. Flasks were mounted on </w:t>
      </w:r>
      <w:proofErr w:type="spellStart"/>
      <w:r w:rsidR="00461CE5">
        <w:t>Velp</w:t>
      </w:r>
      <w:proofErr w:type="spellEnd"/>
      <w:r w:rsidR="00461CE5">
        <w:t xml:space="preserve"> Am4</w:t>
      </w:r>
      <w:r>
        <w:t xml:space="preserve"> </w:t>
      </w:r>
      <w:r w:rsidR="005C1166">
        <w:t>magnetic</w:t>
      </w:r>
      <w:r w:rsidR="00461CE5">
        <w:t xml:space="preserve"> stirrer</w:t>
      </w:r>
      <w:r w:rsidR="005C1166">
        <w:t>s</w:t>
      </w:r>
      <w:r>
        <w:t xml:space="preserve"> with stirrer setting at 6.</w:t>
      </w:r>
    </w:p>
    <w:p w:rsidR="00012484" w:rsidRDefault="00012484" w:rsidP="00012484">
      <w:pPr>
        <w:pStyle w:val="CETBodytext"/>
      </w:pPr>
      <w:r>
        <w:t xml:space="preserve">A set of experiments as well as three sets of control experiments were performed. In Experiment 1, 5.0 g of Calcium Carbonate </w:t>
      </w:r>
      <w:r w:rsidR="003E43F4">
        <w:t xml:space="preserve">chunks </w:t>
      </w:r>
      <w:r>
        <w:t xml:space="preserve">(obtained from commercially available chalk) were suspended in nylon mesh bags inside the media. In the first control experiment (Experiment 2), 5.0 g of Calcium Sulfate chunks were suspended in nylon mesh bags. In the second control experiment, Experiment 3, air </w:t>
      </w:r>
      <w:r w:rsidR="004D1975">
        <w:t>with</w:t>
      </w:r>
      <w:r w:rsidR="005C1166">
        <w:t xml:space="preserve"> a background CO</w:t>
      </w:r>
      <w:r w:rsidR="005C1166">
        <w:rPr>
          <w:vertAlign w:val="subscript"/>
        </w:rPr>
        <w:t>2</w:t>
      </w:r>
      <w:r w:rsidR="005C1166">
        <w:t xml:space="preserve"> concentration of</w:t>
      </w:r>
      <w:r w:rsidR="004D1975">
        <w:t xml:space="preserve"> 410 ppm </w:t>
      </w:r>
      <w:r>
        <w:t>was bubbled through the flask</w:t>
      </w:r>
      <w:r w:rsidR="00461CE5">
        <w:t>s</w:t>
      </w:r>
      <w:r>
        <w:t xml:space="preserve"> at an average rate of 0.12 Vessel Volumes per Minute (VVM). The blank control experiment (Experiment 4) used uninoculated </w:t>
      </w:r>
      <w:r w:rsidR="00032F18">
        <w:t>WW</w:t>
      </w:r>
      <w:r>
        <w:t xml:space="preserve"> media </w:t>
      </w:r>
      <w:r w:rsidR="005C1166">
        <w:t>with</w:t>
      </w:r>
      <w:r>
        <w:t xml:space="preserve"> 5.0 g of Calcium Carbonate suspended in nylon mesh bags</w:t>
      </w:r>
      <w:r w:rsidR="00461CE5">
        <w:t xml:space="preserve"> inside the culture flasks.</w:t>
      </w:r>
    </w:p>
    <w:p w:rsidR="00012484" w:rsidRDefault="00012484" w:rsidP="00012484">
      <w:pPr>
        <w:pStyle w:val="CETBodytext"/>
      </w:pPr>
      <w:r>
        <w:t>The algae was cultivated at 25-28</w:t>
      </w:r>
      <w:r w:rsidR="00040DA7">
        <w:t xml:space="preserve"> </w:t>
      </w:r>
      <w:r>
        <w:t xml:space="preserve">°C at the required lighting conditions (Osram L 36W/77 </w:t>
      </w:r>
      <w:proofErr w:type="spellStart"/>
      <w:r>
        <w:t>Floura</w:t>
      </w:r>
      <w:proofErr w:type="spellEnd"/>
      <w:r>
        <w:t xml:space="preserve"> x 2) </w:t>
      </w:r>
      <w:r w:rsidR="00530D24">
        <w:fldChar w:fldCharType="begin" w:fldLock="1"/>
      </w:r>
      <w:r w:rsidR="005E203D">
        <w:instrText>ADDIN CSL_CITATION {"citationItems":[{"id":"ITEM-1","itemData":{"DOI":"10.3303/CET1864077","author":[{"dropping-particle":"","family":"Roestorff","given":"Maria M","non-dropping-particle":"","parse-names":false,"suffix":""},{"dropping-particle":"","family":"Chirwa","given":"Evans M N","non-dropping-particle":"","parse-names":false,"suffix":""}],"id":"ITEM-1","issue":"VI","issued":{"date-parts":[["2018"]]},"page":"457-462","title":"Bacterial Cr ( VI ) Reduction with Internal Carbon Recirculation Using Freshwater Algae as Primary Producers","type":"article-journal","volume":"64"},"uris":["http://www.mendeley.com/documents/?uuid=6ad1354c-93c2-46cc-95ff-e9f38e0b0ee3"]}],"mendeley":{"formattedCitation":"(Roestorff &amp; Chirwa, 2018)","plainTextFormattedCitation":"(Roestorff &amp; Chirwa, 2018)","previouslyFormattedCitation":"(Roestorff &amp; Chirwa, 2018)"},"properties":{"noteIndex":0},"schema":"https://github.com/citation-style-language/schema/raw/master/csl-citation.json"}</w:instrText>
      </w:r>
      <w:r w:rsidR="00530D24">
        <w:fldChar w:fldCharType="separate"/>
      </w:r>
      <w:r>
        <w:rPr>
          <w:noProof/>
        </w:rPr>
        <w:t>(Roestorff &amp; Chirwa, 2018)</w:t>
      </w:r>
      <w:r w:rsidR="00530D24">
        <w:fldChar w:fldCharType="end"/>
      </w:r>
      <w:r>
        <w:t xml:space="preserve">. The light/dark cycle was adjusted to replicate peak summer lighting conditions in Pretoria, South Africa (14 h light/10 h dark). </w:t>
      </w:r>
    </w:p>
    <w:p w:rsidR="00012484" w:rsidRDefault="00012484" w:rsidP="00012484">
      <w:pPr>
        <w:pStyle w:val="CETheadingx"/>
      </w:pPr>
      <w:r>
        <w:t>Sampling and analysis</w:t>
      </w:r>
    </w:p>
    <w:p w:rsidR="00012484" w:rsidRPr="003563B7" w:rsidRDefault="00012484" w:rsidP="003563B7">
      <w:pPr>
        <w:pStyle w:val="CETBodytext"/>
      </w:pPr>
      <w:r w:rsidRPr="003563B7">
        <w:t xml:space="preserve">Sampling of the media was conducted on a daily basis. Samples were harvested in 10 ml centrifuge </w:t>
      </w:r>
      <w:r w:rsidR="004060E1" w:rsidRPr="003563B7">
        <w:t>tubes and</w:t>
      </w:r>
      <w:r w:rsidRPr="003563B7">
        <w:t xml:space="preserve"> were analyzed for TOC as well as </w:t>
      </w:r>
      <w:r w:rsidRPr="001A651B">
        <w:t xml:space="preserve">biomass concentration. </w:t>
      </w:r>
      <w:r w:rsidR="00191696" w:rsidRPr="001A651B">
        <w:t>As only the liquid portion of the media was sampled while monitoring growth, the mass of the attached growth was only assessed at the termination of the experiment for Experiments 1 and 2.</w:t>
      </w:r>
      <w:r w:rsidR="00191696">
        <w:t xml:space="preserve"> </w:t>
      </w:r>
      <w:r w:rsidRPr="003563B7">
        <w:t xml:space="preserve">Biomass was separated by centrifuging at 6500 rpm </w:t>
      </w:r>
      <w:r w:rsidR="00031422">
        <w:t>for</w:t>
      </w:r>
      <w:r w:rsidRPr="003563B7">
        <w:t xml:space="preserve"> 10 min (</w:t>
      </w:r>
      <w:r w:rsidR="00461CE5">
        <w:t>Hettich Universal 320R Centrifuge</w:t>
      </w:r>
      <w:r w:rsidRPr="003563B7">
        <w:t>), repeating with the supernatant until all cells were removed. The biomass was dried at 50</w:t>
      </w:r>
      <w:r w:rsidR="00040DA7">
        <w:t xml:space="preserve"> </w:t>
      </w:r>
      <w:r w:rsidRPr="003563B7">
        <w:t>°C for 24 h before being weighed (</w:t>
      </w:r>
      <w:r w:rsidR="00191696">
        <w:t>Mettler-Toled</w:t>
      </w:r>
      <w:r w:rsidR="00461CE5">
        <w:t>o XS205 Dual Range</w:t>
      </w:r>
      <w:r w:rsidRPr="003563B7">
        <w:t>).</w:t>
      </w:r>
      <w:r w:rsidR="004060E1">
        <w:t xml:space="preserve"> </w:t>
      </w:r>
      <w:r w:rsidRPr="003563B7">
        <w:t>Samples were filtered using W</w:t>
      </w:r>
      <w:r w:rsidR="001A651B">
        <w:t>h</w:t>
      </w:r>
      <w:r w:rsidRPr="003563B7">
        <w:t>atman No. 1 filter paper and diluted to a ratio of 1:30 with de-ionized, distilled water prior to TOC analysis.</w:t>
      </w:r>
    </w:p>
    <w:p w:rsidR="001A651B" w:rsidRDefault="00012484" w:rsidP="00012484">
      <w:pPr>
        <w:pStyle w:val="CETBodytext"/>
      </w:pPr>
      <w:r>
        <w:t xml:space="preserve">The absorption spectra of the samples were measured at 680 nm, 660 nm and 600 nm using UV-Visible light spectroscopy (WPA, Light wave II, </w:t>
      </w:r>
      <w:proofErr w:type="spellStart"/>
      <w:r>
        <w:t>Labotech</w:t>
      </w:r>
      <w:proofErr w:type="spellEnd"/>
      <w:r>
        <w:t xml:space="preserve">, South Africa). The experiments were conducted until the growth </w:t>
      </w:r>
      <w:r w:rsidR="004060E1">
        <w:t>rate decreased</w:t>
      </w:r>
      <w:r>
        <w:t xml:space="preserve"> and cultures </w:t>
      </w:r>
      <w:r w:rsidR="004060E1">
        <w:t xml:space="preserve">exhibited characteristics of </w:t>
      </w:r>
      <w:r>
        <w:t>maintenance growth</w:t>
      </w:r>
      <w:r w:rsidR="004060E1">
        <w:t>, i.e. metabolically active yet non-</w:t>
      </w:r>
      <w:r w:rsidR="004060E1">
        <w:lastRenderedPageBreak/>
        <w:t>reproducing</w:t>
      </w:r>
      <w:r>
        <w:t xml:space="preserve">. This was </w:t>
      </w:r>
      <w:r w:rsidR="004060E1">
        <w:t xml:space="preserve">approximately on </w:t>
      </w:r>
      <w:r>
        <w:t>day 5 for Experiment 3 and day 14 for Experiments 1, 2 and 4.</w:t>
      </w:r>
      <w:r w:rsidR="00191696">
        <w:t xml:space="preserve"> </w:t>
      </w:r>
      <w:r w:rsidR="00191696" w:rsidRPr="001A651B">
        <w:t>As the cells forming the attached growth in Experiments 1 and 2 were not strongly bonded to the nylon mesh bags, agitating the</w:t>
      </w:r>
      <w:r w:rsidR="001A651B">
        <w:t xml:space="preserve"> flasks</w:t>
      </w:r>
      <w:r w:rsidR="00191696" w:rsidRPr="001A651B">
        <w:t xml:space="preserve"> </w:t>
      </w:r>
      <w:r w:rsidR="001A651B" w:rsidRPr="001A651B">
        <w:t xml:space="preserve">by hand </w:t>
      </w:r>
      <w:r w:rsidR="00191696" w:rsidRPr="001A651B">
        <w:t xml:space="preserve">for </w:t>
      </w:r>
      <w:r w:rsidR="001A651B" w:rsidRPr="001A651B">
        <w:t>no longer</w:t>
      </w:r>
      <w:r w:rsidR="004060E1">
        <w:t xml:space="preserve"> than</w:t>
      </w:r>
      <w:r w:rsidR="001A651B" w:rsidRPr="001A651B">
        <w:t xml:space="preserve"> </w:t>
      </w:r>
      <w:r w:rsidR="001A651B">
        <w:t>1</w:t>
      </w:r>
      <w:r w:rsidR="001A651B" w:rsidRPr="001A651B">
        <w:t>0</w:t>
      </w:r>
      <w:r w:rsidR="00191696" w:rsidRPr="001A651B">
        <w:t xml:space="preserve"> seconds was sufficient to detach all</w:t>
      </w:r>
      <w:r w:rsidR="00362ECE">
        <w:t xml:space="preserve"> of</w:t>
      </w:r>
      <w:r w:rsidR="00191696" w:rsidRPr="001A651B">
        <w:t xml:space="preserve"> the attached cells and harvest them together with </w:t>
      </w:r>
      <w:r w:rsidR="001A651B" w:rsidRPr="001A651B">
        <w:t>any</w:t>
      </w:r>
      <w:r w:rsidR="00191696" w:rsidRPr="001A651B">
        <w:t xml:space="preserve"> suspended growth</w:t>
      </w:r>
      <w:r w:rsidR="001A651B" w:rsidRPr="001A651B">
        <w:t>.</w:t>
      </w:r>
      <w:r w:rsidR="001A651B">
        <w:t xml:space="preserve"> </w:t>
      </w:r>
    </w:p>
    <w:p w:rsidR="00461CE5" w:rsidRDefault="00012484" w:rsidP="00012484">
      <w:pPr>
        <w:pStyle w:val="CETBodytext"/>
        <w:rPr>
          <w:rFonts w:cs="Arial"/>
          <w:szCs w:val="18"/>
        </w:rPr>
      </w:pPr>
      <w:r>
        <w:t xml:space="preserve">At the </w:t>
      </w:r>
      <w:r w:rsidR="00031422">
        <w:t>termination</w:t>
      </w:r>
      <w:r>
        <w:t xml:space="preserve"> of each experiment, the</w:t>
      </w:r>
      <w:r>
        <w:rPr>
          <w:rFonts w:cs="Arial"/>
          <w:szCs w:val="18"/>
        </w:rPr>
        <w:t xml:space="preserve"> attached growth and mixed liquor were </w:t>
      </w:r>
      <w:r w:rsidR="007568FD">
        <w:rPr>
          <w:rFonts w:cs="Arial"/>
          <w:szCs w:val="18"/>
        </w:rPr>
        <w:t>harvested,</w:t>
      </w:r>
      <w:r>
        <w:rPr>
          <w:rFonts w:cs="Arial"/>
          <w:szCs w:val="18"/>
        </w:rPr>
        <w:t xml:space="preserve"> and the cellular material separated by means of centrifuging at 6500 RPM for 10 min in 50 ml tubes. The resulting supernatant </w:t>
      </w:r>
      <w:r w:rsidR="007568FD">
        <w:rPr>
          <w:rFonts w:cs="Arial"/>
          <w:szCs w:val="18"/>
        </w:rPr>
        <w:t xml:space="preserve">from the experiments </w:t>
      </w:r>
      <w:r>
        <w:rPr>
          <w:rFonts w:cs="Arial"/>
          <w:szCs w:val="18"/>
        </w:rPr>
        <w:t>w</w:t>
      </w:r>
      <w:r w:rsidR="007568FD">
        <w:rPr>
          <w:rFonts w:cs="Arial"/>
          <w:szCs w:val="18"/>
        </w:rPr>
        <w:t>ere</w:t>
      </w:r>
      <w:r>
        <w:rPr>
          <w:rFonts w:cs="Arial"/>
          <w:szCs w:val="18"/>
        </w:rPr>
        <w:t xml:space="preserve"> </w:t>
      </w:r>
      <w:r w:rsidR="00461CE5">
        <w:rPr>
          <w:rFonts w:cs="Arial"/>
          <w:szCs w:val="18"/>
        </w:rPr>
        <w:t xml:space="preserve">repeatedly </w:t>
      </w:r>
      <w:r>
        <w:rPr>
          <w:rFonts w:cs="Arial"/>
          <w:szCs w:val="18"/>
        </w:rPr>
        <w:t>centrifuged until it was completely cell free. The cell-free media was analyzed for TOC, COD, Total N, pH and PO</w:t>
      </w:r>
      <w:r>
        <w:rPr>
          <w:rFonts w:cs="Arial"/>
          <w:szCs w:val="18"/>
          <w:vertAlign w:val="subscript"/>
        </w:rPr>
        <w:t>4</w:t>
      </w:r>
      <w:r w:rsidR="00031422">
        <w:rPr>
          <w:rFonts w:cs="Arial"/>
          <w:szCs w:val="18"/>
          <w:vertAlign w:val="superscript"/>
        </w:rPr>
        <w:t>3</w:t>
      </w:r>
      <w:r>
        <w:rPr>
          <w:rFonts w:cs="Arial"/>
          <w:szCs w:val="18"/>
          <w:vertAlign w:val="superscript"/>
        </w:rPr>
        <w:t>-</w:t>
      </w:r>
      <w:r>
        <w:rPr>
          <w:rFonts w:cs="Arial"/>
          <w:szCs w:val="18"/>
        </w:rPr>
        <w:t xml:space="preserve"> concentration. The mass of solid CaCO</w:t>
      </w:r>
      <w:r>
        <w:rPr>
          <w:rFonts w:cs="Arial"/>
          <w:szCs w:val="18"/>
          <w:vertAlign w:val="subscript"/>
        </w:rPr>
        <w:t>3</w:t>
      </w:r>
      <w:r>
        <w:rPr>
          <w:rFonts w:cs="Arial"/>
          <w:szCs w:val="18"/>
        </w:rPr>
        <w:t xml:space="preserve"> and CaSO</w:t>
      </w:r>
      <w:r>
        <w:rPr>
          <w:rFonts w:cs="Arial"/>
          <w:szCs w:val="18"/>
          <w:vertAlign w:val="subscript"/>
        </w:rPr>
        <w:t>4</w:t>
      </w:r>
      <w:r>
        <w:rPr>
          <w:rFonts w:cs="Arial"/>
          <w:szCs w:val="18"/>
        </w:rPr>
        <w:t xml:space="preserve"> remaining was weighed after drying for 24 h at 70 </w:t>
      </w:r>
      <w:r>
        <w:rPr>
          <w:rFonts w:ascii="Calibri" w:hAnsi="Calibri" w:cs="Arial"/>
          <w:szCs w:val="18"/>
        </w:rPr>
        <w:t>°</w:t>
      </w:r>
      <w:r>
        <w:rPr>
          <w:rFonts w:cs="Arial"/>
          <w:szCs w:val="18"/>
        </w:rPr>
        <w:t>C. The cellular mass produced from Experiment 1 was treated with 2M sul</w:t>
      </w:r>
      <w:r w:rsidR="00295967">
        <w:rPr>
          <w:rFonts w:cs="Arial"/>
          <w:szCs w:val="18"/>
        </w:rPr>
        <w:t>f</w:t>
      </w:r>
      <w:r>
        <w:rPr>
          <w:rFonts w:cs="Arial"/>
          <w:szCs w:val="18"/>
        </w:rPr>
        <w:t>uric acid to remove any undissolved CaCO</w:t>
      </w:r>
      <w:r>
        <w:rPr>
          <w:rFonts w:cs="Arial"/>
          <w:szCs w:val="18"/>
          <w:vertAlign w:val="subscript"/>
        </w:rPr>
        <w:t>3</w:t>
      </w:r>
      <w:r>
        <w:rPr>
          <w:rFonts w:cs="Arial"/>
          <w:szCs w:val="18"/>
        </w:rPr>
        <w:t xml:space="preserve">, </w:t>
      </w:r>
      <w:r w:rsidR="00461CE5">
        <w:rPr>
          <w:rFonts w:cs="Arial"/>
          <w:szCs w:val="18"/>
        </w:rPr>
        <w:t>oven-</w:t>
      </w:r>
      <w:r>
        <w:rPr>
          <w:rFonts w:cs="Arial"/>
          <w:szCs w:val="18"/>
        </w:rPr>
        <w:t>dried for 24 h at 50</w:t>
      </w:r>
      <w:r w:rsidR="00040DA7">
        <w:rPr>
          <w:rFonts w:cs="Arial"/>
          <w:szCs w:val="18"/>
        </w:rPr>
        <w:t xml:space="preserve"> </w:t>
      </w:r>
      <w:r>
        <w:rPr>
          <w:rFonts w:ascii="Calibri" w:hAnsi="Calibri" w:cs="Arial"/>
          <w:szCs w:val="18"/>
        </w:rPr>
        <w:t>°</w:t>
      </w:r>
      <w:r>
        <w:rPr>
          <w:rFonts w:cs="Arial"/>
          <w:szCs w:val="18"/>
        </w:rPr>
        <w:t xml:space="preserve">C and weighed. Transesterification was performed on the algal mass of Experiment 1 according to </w:t>
      </w:r>
      <w:r w:rsidR="00530D24">
        <w:rPr>
          <w:rFonts w:cs="Arial"/>
          <w:szCs w:val="18"/>
        </w:rPr>
        <w:fldChar w:fldCharType="begin" w:fldLock="1"/>
      </w:r>
      <w:r w:rsidR="005E203D">
        <w:rPr>
          <w:rFonts w:cs="Arial"/>
          <w:szCs w:val="18"/>
        </w:rPr>
        <w:instrText>ADDIN CSL_CITATION {"citationItems":[{"id":"ITEM-1","itemData":{"DOI":"10.1016/j.jfca.2003.12.007","ISBN":"6046577888","ISSN":"08891575","abstract":"A direct method for preparation of fatty acid methyl ester (FAME) via transesterification of fatty acids from fish oil and cod liver oil using methanolic sulfuric acid and chloroform as co-solvents was optimized. The synthesized FAME were subsequently analysed by gas chromatography (GC) to identify and quantify the individual fatty acid in the oils. Temperature and heating times had a significant effect on the total fatty acid (TFA) recovery. In general, temperatures of 90°C and 100°C and reaction times of 90 and 30 min, respectively, resulted in maximum recovery of TFA from the oils. TFA recoveries of more than 95% suggest that this method is suitable for quantitative analysis of individual fatty acids. In comparison, a conventional method which involved a separate extraction procedure using chloroform and methanol before FAME synthesis yielded approximately 30% lower TFA recovery from the oils. It can be concluded that the direct FAME synthesis technique is superior to the current conventional method, not only because of its simplicity, speed and economical use of solvents, but also its precision. © 2004 Elsevier Inc. All rights reserved.","author":[{"dropping-particle":"","family":"Indarti","given":"Eti","non-dropping-particle":"","parse-names":false,"suffix":""},{"dropping-particle":"","family":"Majid","given":"Mohamed Isa Abdul","non-dropping-particle":"","parse-names":false,"suffix":""},{"dropping-particle":"","family":"Hashim","given":"Roshada","non-dropping-particle":"","parse-names":false,"suffix":""},{"dropping-particle":"","family":"Chong","given":"Alexander","non-dropping-particle":"","parse-names":false,"suffix":""}],"container-title":"Journal of Food Composition and Analysis","id":"ITEM-1","issue":"2-3","issued":{"date-parts":[["2005"]]},"page":"161-170","title":"Direct FAME synthesis for rapid total lipid analysis from fish oil and cod liver oil","type":"article-journal","volume":"18"},"uris":["http://www.mendeley.com/documents/?uuid=872d373b-5dc2-44c3-9ca4-97cacb54c747"]}],"mendeley":{"formattedCitation":"(2005)","manualFormatting":"Indarti et al., (2005)","plainTextFormattedCitation":"(2005)","previouslyFormattedCitation":"(2005)"},"properties":{"noteIndex":0},"schema":"https://github.com/citation-style-language/schema/raw/master/csl-citation.json"}</w:instrText>
      </w:r>
      <w:r w:rsidR="00530D24">
        <w:rPr>
          <w:rFonts w:cs="Arial"/>
          <w:szCs w:val="18"/>
        </w:rPr>
        <w:fldChar w:fldCharType="separate"/>
      </w:r>
      <w:r>
        <w:rPr>
          <w:rFonts w:cs="Arial"/>
          <w:noProof/>
          <w:szCs w:val="18"/>
        </w:rPr>
        <w:t>Indarti et al., (2005)</w:t>
      </w:r>
      <w:r w:rsidR="00530D24">
        <w:rPr>
          <w:rFonts w:cs="Arial"/>
          <w:szCs w:val="18"/>
        </w:rPr>
        <w:fldChar w:fldCharType="end"/>
      </w:r>
      <w:r>
        <w:rPr>
          <w:rFonts w:cs="Arial"/>
          <w:szCs w:val="18"/>
        </w:rPr>
        <w:t xml:space="preserve"> and a qualitative indication of the FAME constituents was obtained via GCMS</w:t>
      </w:r>
      <w:r w:rsidR="00461CE5">
        <w:rPr>
          <w:rFonts w:cs="Arial"/>
          <w:szCs w:val="18"/>
        </w:rPr>
        <w:t xml:space="preserve"> (Perkin-Elmer Clarus 600)</w:t>
      </w:r>
      <w:r>
        <w:rPr>
          <w:rFonts w:cs="Arial"/>
          <w:szCs w:val="18"/>
        </w:rPr>
        <w:t xml:space="preserve">, using the analysis method described in </w:t>
      </w:r>
      <w:r w:rsidR="00530D24">
        <w:rPr>
          <w:rFonts w:cs="Arial"/>
          <w:szCs w:val="18"/>
        </w:rPr>
        <w:fldChar w:fldCharType="begin" w:fldLock="1"/>
      </w:r>
      <w:r w:rsidR="00FF6A92">
        <w:rPr>
          <w:rFonts w:cs="Arial"/>
          <w:szCs w:val="18"/>
        </w:rPr>
        <w:instrText>ADDIN CSL_CITATION {"citationItems":[{"id":"ITEM-1","itemData":{"author":[{"dropping-particle":"","family":"Li","given":"Y","non-dropping-particle":"","parse-names":false,"suffix":""}],"id":"ITEM-1","issue":"June","issued":{"date-parts":[["2012"]]},"publisher":"University of Minnesota, Minneapolis, MN, USA","title":"Cultivation of algae on highly concentrated municiple wastewater as an energy crop for biodiesel production","type":"thesis"},"uris":["http://www.mendeley.com/documents/?uuid=c2c3c5b9-4d5a-4b6c-b50d-bbf2dd065075"]}],"mendeley":{"formattedCitation":"(Li, 2012)","plainTextFormattedCitation":"(Li, 2012)","previouslyFormattedCitation":"(Li, 2012)"},"properties":{"noteIndex":0},"schema":"https://github.com/citation-style-language/schema/raw/master/csl-citation.json"}</w:instrText>
      </w:r>
      <w:r w:rsidR="00530D24">
        <w:rPr>
          <w:rFonts w:cs="Arial"/>
          <w:szCs w:val="18"/>
        </w:rPr>
        <w:fldChar w:fldCharType="separate"/>
      </w:r>
      <w:r>
        <w:rPr>
          <w:rFonts w:cs="Arial"/>
          <w:noProof/>
          <w:szCs w:val="18"/>
        </w:rPr>
        <w:t>(Li, 2012)</w:t>
      </w:r>
      <w:r w:rsidR="00530D24">
        <w:rPr>
          <w:rFonts w:cs="Arial"/>
          <w:szCs w:val="18"/>
        </w:rPr>
        <w:fldChar w:fldCharType="end"/>
      </w:r>
      <w:r>
        <w:rPr>
          <w:rFonts w:cs="Arial"/>
          <w:szCs w:val="18"/>
        </w:rPr>
        <w:t xml:space="preserve"> . Total carbon dioxide utilization was calculated by means </w:t>
      </w:r>
      <w:r w:rsidR="007568FD">
        <w:rPr>
          <w:rFonts w:cs="Arial"/>
          <w:szCs w:val="18"/>
        </w:rPr>
        <w:t>a carbon</w:t>
      </w:r>
      <w:r>
        <w:rPr>
          <w:rFonts w:cs="Arial"/>
          <w:szCs w:val="18"/>
        </w:rPr>
        <w:t xml:space="preserve"> balance. Carbon content of the algal biomass was determined using a Total Carbon SSM module (Shimadzu </w:t>
      </w:r>
      <w:r w:rsidR="00461CE5">
        <w:rPr>
          <w:rFonts w:cs="Arial"/>
          <w:szCs w:val="18"/>
        </w:rPr>
        <w:t>SSM-5000A</w:t>
      </w:r>
      <w:r>
        <w:rPr>
          <w:rFonts w:cs="Arial"/>
          <w:szCs w:val="18"/>
        </w:rPr>
        <w:t>)</w:t>
      </w:r>
    </w:p>
    <w:p w:rsidR="00012484" w:rsidRDefault="00012484" w:rsidP="003563B7">
      <w:pPr>
        <w:pStyle w:val="CETHeading1"/>
      </w:pPr>
      <w:r>
        <w:t>Results</w:t>
      </w:r>
    </w:p>
    <w:p w:rsidR="00012484" w:rsidRPr="00012484" w:rsidRDefault="00012484" w:rsidP="003563B7">
      <w:pPr>
        <w:pStyle w:val="CETheadingx"/>
      </w:pPr>
      <w:r w:rsidRPr="00012484">
        <w:t>Definition of metrics</w:t>
      </w:r>
    </w:p>
    <w:p w:rsidR="00862856" w:rsidRDefault="00F03D7D" w:rsidP="003563B7">
      <w:pPr>
        <w:pStyle w:val="CETBodytext"/>
      </w:pPr>
      <w:r>
        <w:t xml:space="preserve">The starting media parameters, experimental outputs and metrics are provided in Table 2. </w:t>
      </w:r>
      <w:r w:rsidR="00012484" w:rsidRPr="003563B7">
        <w:t>For the purpose of evaluating the performance</w:t>
      </w:r>
      <w:r w:rsidR="004B3A33">
        <w:t xml:space="preserve"> and to enable comparison of the experiments</w:t>
      </w:r>
      <w:r w:rsidR="00012484" w:rsidRPr="003563B7">
        <w:t xml:space="preserve">, the following metrics </w:t>
      </w:r>
      <w:r w:rsidR="00C05D35">
        <w:t xml:space="preserve">and parameters </w:t>
      </w:r>
      <w:r w:rsidR="00012484" w:rsidRPr="003563B7">
        <w:t>are defined</w:t>
      </w:r>
      <w:r w:rsidR="004B3A33">
        <w:t xml:space="preserve"> (Table 1)</w:t>
      </w:r>
      <w:r w:rsidR="00012484" w:rsidRPr="003563B7">
        <w:t>:</w:t>
      </w:r>
    </w:p>
    <w:p w:rsidR="00862856" w:rsidRDefault="00461CE5" w:rsidP="00510220">
      <w:pPr>
        <w:pStyle w:val="CETTabletitle"/>
      </w:pPr>
      <w:r>
        <w:t>T</w:t>
      </w:r>
      <w:r w:rsidR="004B3A33">
        <w:t>able 1: Definition of growth metrics and parameters for performance evaluation</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1"/>
        <w:gridCol w:w="991"/>
        <w:gridCol w:w="717"/>
        <w:gridCol w:w="5518"/>
      </w:tblGrid>
      <w:tr w:rsidR="00B82D9E" w:rsidRPr="00B57B36" w:rsidTr="00B82D9E">
        <w:tc>
          <w:tcPr>
            <w:tcW w:w="888" w:type="pct"/>
            <w:tcBorders>
              <w:top w:val="single" w:sz="12" w:space="0" w:color="008000"/>
              <w:bottom w:val="single" w:sz="6" w:space="0" w:color="008000"/>
            </w:tcBorders>
            <w:shd w:val="clear" w:color="auto" w:fill="FFFFFF"/>
          </w:tcPr>
          <w:p w:rsidR="001967EF" w:rsidRPr="00705FBD" w:rsidRDefault="001967EF" w:rsidP="00862856">
            <w:r>
              <w:t>Description</w:t>
            </w:r>
          </w:p>
        </w:tc>
        <w:tc>
          <w:tcPr>
            <w:tcW w:w="564" w:type="pct"/>
            <w:tcBorders>
              <w:top w:val="single" w:sz="12" w:space="0" w:color="008000"/>
              <w:bottom w:val="single" w:sz="6" w:space="0" w:color="008000"/>
            </w:tcBorders>
            <w:shd w:val="clear" w:color="auto" w:fill="FFFFFF"/>
          </w:tcPr>
          <w:p w:rsidR="001967EF" w:rsidRPr="00705FBD" w:rsidRDefault="001967EF" w:rsidP="00862856">
            <w:r>
              <w:t>Parameter</w:t>
            </w:r>
          </w:p>
        </w:tc>
        <w:tc>
          <w:tcPr>
            <w:tcW w:w="408" w:type="pct"/>
            <w:tcBorders>
              <w:top w:val="single" w:sz="12" w:space="0" w:color="008000"/>
              <w:bottom w:val="single" w:sz="6" w:space="0" w:color="008000"/>
            </w:tcBorders>
            <w:shd w:val="clear" w:color="auto" w:fill="FFFFFF"/>
          </w:tcPr>
          <w:p w:rsidR="001967EF" w:rsidRDefault="001967EF" w:rsidP="00862856">
            <w:r>
              <w:t>Unit</w:t>
            </w:r>
          </w:p>
        </w:tc>
        <w:tc>
          <w:tcPr>
            <w:tcW w:w="3140" w:type="pct"/>
            <w:tcBorders>
              <w:top w:val="single" w:sz="12" w:space="0" w:color="008000"/>
              <w:bottom w:val="single" w:sz="6" w:space="0" w:color="008000"/>
            </w:tcBorders>
            <w:shd w:val="clear" w:color="auto" w:fill="FFFFFF"/>
          </w:tcPr>
          <w:p w:rsidR="001967EF" w:rsidRPr="00705FBD" w:rsidRDefault="001967EF" w:rsidP="00862856">
            <w:r>
              <w:t>Equation</w:t>
            </w:r>
            <w:r w:rsidR="00B82D9E">
              <w:t>/Definition</w:t>
            </w:r>
          </w:p>
        </w:tc>
      </w:tr>
      <w:tr w:rsidR="00B82D9E" w:rsidRPr="00B57B36" w:rsidTr="00B82D9E">
        <w:tc>
          <w:tcPr>
            <w:tcW w:w="888" w:type="pct"/>
            <w:tcBorders>
              <w:bottom w:val="single" w:sz="12" w:space="0" w:color="008000"/>
            </w:tcBorders>
            <w:shd w:val="clear" w:color="auto" w:fill="FFFFFF"/>
          </w:tcPr>
          <w:p w:rsidR="001967EF" w:rsidRPr="00B57B36" w:rsidRDefault="001967EF" w:rsidP="009001C2">
            <w:pPr>
              <w:pStyle w:val="CETEquation"/>
            </w:pPr>
            <w:r w:rsidRPr="003563B7">
              <w:t>Effective growth rate</w:t>
            </w:r>
          </w:p>
        </w:tc>
        <w:tc>
          <w:tcPr>
            <w:tcW w:w="564" w:type="pct"/>
            <w:tcBorders>
              <w:bottom w:val="single" w:sz="12" w:space="0" w:color="008000"/>
            </w:tcBorders>
            <w:shd w:val="clear" w:color="auto" w:fill="FFFFFF"/>
          </w:tcPr>
          <w:p w:rsidR="001967EF" w:rsidRPr="00B82D9E" w:rsidRDefault="00052AC7" w:rsidP="009001C2">
            <w:pPr>
              <w:pStyle w:val="CETEquation"/>
            </w:pPr>
            <m:oMathPara>
              <m:oMathParaPr>
                <m:jc m:val="left"/>
              </m:oMathParaPr>
              <m:oMath>
                <m:sSub>
                  <m:sSubPr>
                    <m:ctrlPr>
                      <w:rPr>
                        <w:rFonts w:ascii="Cambria Math" w:hAnsi="Cambria Math"/>
                      </w:rPr>
                    </m:ctrlPr>
                  </m:sSubPr>
                  <m:e>
                    <m:bar>
                      <m:barPr>
                        <m:pos m:val="top"/>
                        <m:ctrlPr>
                          <w:rPr>
                            <w:rFonts w:ascii="Cambria Math" w:hAnsi="Cambria Math"/>
                          </w:rPr>
                        </m:ctrlPr>
                      </m:barPr>
                      <m:e>
                        <m:r>
                          <w:rPr>
                            <w:rFonts w:ascii="Cambria Math" w:hAnsi="Cambria Math"/>
                          </w:rPr>
                          <m:t>r</m:t>
                        </m:r>
                      </m:e>
                    </m:bar>
                  </m:e>
                  <m:sub>
                    <m:r>
                      <w:rPr>
                        <w:rFonts w:ascii="Cambria Math" w:hAnsi="Cambria Math"/>
                      </w:rPr>
                      <m:t>EFF</m:t>
                    </m:r>
                  </m:sub>
                </m:sSub>
              </m:oMath>
            </m:oMathPara>
          </w:p>
        </w:tc>
        <w:tc>
          <w:tcPr>
            <w:tcW w:w="408" w:type="pct"/>
            <w:tcBorders>
              <w:bottom w:val="single" w:sz="12" w:space="0" w:color="008000"/>
            </w:tcBorders>
            <w:shd w:val="clear" w:color="auto" w:fill="FFFFFF"/>
          </w:tcPr>
          <w:p w:rsidR="001967EF" w:rsidRDefault="001967EF" w:rsidP="009001C2">
            <w:pPr>
              <w:pStyle w:val="CETEquation"/>
            </w:pPr>
            <w:r>
              <w:t>mg/d</w:t>
            </w:r>
          </w:p>
        </w:tc>
        <w:tc>
          <w:tcPr>
            <w:tcW w:w="3140" w:type="pct"/>
            <w:tcBorders>
              <w:bottom w:val="single" w:sz="12" w:space="0" w:color="008000"/>
            </w:tcBorders>
            <w:shd w:val="clear" w:color="auto" w:fill="FFFFFF"/>
          </w:tcPr>
          <w:tbl>
            <w:tblPr>
              <w:tblW w:w="5000" w:type="pct"/>
              <w:tblLook w:val="04A0" w:firstRow="1" w:lastRow="0" w:firstColumn="1" w:lastColumn="0" w:noHBand="0" w:noVBand="1"/>
            </w:tblPr>
            <w:tblGrid>
              <w:gridCol w:w="4869"/>
              <w:gridCol w:w="649"/>
            </w:tblGrid>
            <w:tr w:rsidR="001967EF" w:rsidRPr="00B57B36" w:rsidTr="00862856">
              <w:tc>
                <w:tcPr>
                  <w:tcW w:w="8188" w:type="dxa"/>
                  <w:shd w:val="clear" w:color="auto" w:fill="auto"/>
                  <w:vAlign w:val="center"/>
                </w:tcPr>
                <w:p w:rsidR="001967EF" w:rsidRPr="00862856" w:rsidRDefault="00052AC7" w:rsidP="009001C2">
                  <w:pPr>
                    <w:pStyle w:val="CETEquation"/>
                  </w:pPr>
                  <m:oMathPara>
                    <m:oMathParaPr>
                      <m:jc m:val="left"/>
                    </m:oMathParaPr>
                    <m:oMath>
                      <m:sSub>
                        <m:sSubPr>
                          <m:ctrlPr>
                            <w:rPr>
                              <w:rFonts w:ascii="Cambria Math" w:hAnsi="Cambria Math"/>
                            </w:rPr>
                          </m:ctrlPr>
                        </m:sSubPr>
                        <m:e>
                          <m:bar>
                            <m:barPr>
                              <m:pos m:val="top"/>
                              <m:ctrlPr>
                                <w:rPr>
                                  <w:rFonts w:ascii="Cambria Math" w:hAnsi="Cambria Math"/>
                                </w:rPr>
                              </m:ctrlPr>
                            </m:barPr>
                            <m:e>
                              <m:r>
                                <w:rPr>
                                  <w:rFonts w:ascii="Cambria Math" w:hAnsi="Cambria Math"/>
                                </w:rPr>
                                <m:t>r</m:t>
                              </m:r>
                            </m:e>
                          </m:bar>
                        </m:e>
                        <m:sub>
                          <m:r>
                            <w:rPr>
                              <w:rFonts w:ascii="Cambria Math" w:hAnsi="Cambria Math"/>
                            </w:rPr>
                            <m:t>EFF</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f</m:t>
                              </m:r>
                            </m:sub>
                          </m:sSub>
                        </m:num>
                        <m:den>
                          <m:r>
                            <w:rPr>
                              <w:rFonts w:ascii="Cambria Math" w:hAnsi="Cambria Math"/>
                            </w:rPr>
                            <m:t>T</m:t>
                          </m:r>
                        </m:den>
                      </m:f>
                    </m:oMath>
                  </m:oMathPara>
                </w:p>
              </w:tc>
              <w:tc>
                <w:tcPr>
                  <w:tcW w:w="815" w:type="dxa"/>
                  <w:shd w:val="clear" w:color="auto" w:fill="auto"/>
                  <w:vAlign w:val="center"/>
                </w:tcPr>
                <w:p w:rsidR="001967EF" w:rsidRPr="00B57B36" w:rsidRDefault="001967EF" w:rsidP="009001C2">
                  <w:pPr>
                    <w:pStyle w:val="CETEquation"/>
                  </w:pPr>
                  <w:r w:rsidRPr="00B57B36">
                    <w:t>(1)</w:t>
                  </w:r>
                </w:p>
              </w:tc>
            </w:tr>
          </w:tbl>
          <w:p w:rsidR="001967EF" w:rsidRPr="00705FBD" w:rsidRDefault="001967EF" w:rsidP="009001C2">
            <w:pPr>
              <w:pStyle w:val="CETEquation"/>
            </w:pPr>
          </w:p>
        </w:tc>
      </w:tr>
      <w:tr w:rsidR="00B82D9E" w:rsidRPr="00B57B36" w:rsidTr="00B82D9E">
        <w:tc>
          <w:tcPr>
            <w:tcW w:w="888" w:type="pct"/>
            <w:tcBorders>
              <w:top w:val="single" w:sz="12" w:space="0" w:color="008000"/>
              <w:bottom w:val="single" w:sz="12" w:space="0" w:color="008000"/>
            </w:tcBorders>
            <w:shd w:val="clear" w:color="auto" w:fill="FFFFFF"/>
          </w:tcPr>
          <w:p w:rsidR="001967EF" w:rsidRPr="00B57B36" w:rsidRDefault="001967EF" w:rsidP="009001C2">
            <w:pPr>
              <w:pStyle w:val="CETEquation"/>
              <w:rPr>
                <w:rFonts w:cs="Arial"/>
                <w:szCs w:val="18"/>
              </w:rPr>
            </w:pPr>
            <w:r w:rsidRPr="003563B7">
              <w:t>Specific Biomass Yield, time adjusted</w:t>
            </w:r>
          </w:p>
        </w:tc>
        <w:tc>
          <w:tcPr>
            <w:tcW w:w="564" w:type="pct"/>
            <w:tcBorders>
              <w:top w:val="single" w:sz="12" w:space="0" w:color="008000"/>
              <w:bottom w:val="single" w:sz="12" w:space="0" w:color="008000"/>
            </w:tcBorders>
            <w:shd w:val="clear" w:color="auto" w:fill="FFFFFF"/>
          </w:tcPr>
          <w:p w:rsidR="001967EF" w:rsidRPr="00B82D9E" w:rsidRDefault="00052AC7" w:rsidP="009001C2">
            <w:pPr>
              <w:pStyle w:val="CETEquation"/>
              <w:rPr>
                <w:rFonts w:cs="Arial"/>
                <w:i/>
                <w:szCs w:val="18"/>
              </w:rPr>
            </w:pPr>
            <m:oMathPara>
              <m:oMathParaPr>
                <m:jc m:val="left"/>
              </m:oMathParaPr>
              <m:oMath>
                <m:bar>
                  <m:barPr>
                    <m:pos m:val="top"/>
                    <m:ctrlPr>
                      <w:rPr>
                        <w:rFonts w:ascii="Cambria Math" w:hAnsi="Cambria Math"/>
                        <w:i/>
                      </w:rPr>
                    </m:ctrlPr>
                  </m:barPr>
                  <m:e>
                    <m:sSub>
                      <m:sSubPr>
                        <m:ctrlPr>
                          <w:rPr>
                            <w:rFonts w:ascii="Cambria Math" w:hAnsi="Cambria Math"/>
                            <w:i/>
                          </w:rPr>
                        </m:ctrlPr>
                      </m:sSubPr>
                      <m:e>
                        <m:r>
                          <w:rPr>
                            <w:rFonts w:ascii="Cambria Math" w:hAnsi="Cambria Math"/>
                          </w:rPr>
                          <m:t>Y</m:t>
                        </m:r>
                      </m:e>
                      <m:sub>
                        <m:r>
                          <w:rPr>
                            <w:rFonts w:ascii="Cambria Math" w:hAnsi="Cambria Math"/>
                          </w:rPr>
                          <m:t>BM</m:t>
                        </m:r>
                      </m:sub>
                    </m:sSub>
                  </m:e>
                </m:bar>
              </m:oMath>
            </m:oMathPara>
          </w:p>
        </w:tc>
        <w:tc>
          <w:tcPr>
            <w:tcW w:w="408" w:type="pct"/>
            <w:tcBorders>
              <w:top w:val="single" w:sz="12" w:space="0" w:color="008000"/>
              <w:bottom w:val="single" w:sz="12" w:space="0" w:color="008000"/>
            </w:tcBorders>
            <w:shd w:val="clear" w:color="auto" w:fill="FFFFFF"/>
          </w:tcPr>
          <w:p w:rsidR="001967EF" w:rsidRDefault="001967EF" w:rsidP="009001C2">
            <w:pPr>
              <w:pStyle w:val="CETEquation"/>
              <w:rPr>
                <w:rFonts w:ascii="Tahoma" w:hAnsi="Tahoma" w:cs="Tahoma"/>
              </w:rPr>
            </w:pPr>
            <w:r>
              <w:rPr>
                <w:rFonts w:ascii="Tahoma" w:hAnsi="Tahoma" w:cs="Tahoma"/>
              </w:rPr>
              <w:t>1/d</w:t>
            </w:r>
          </w:p>
        </w:tc>
        <w:tc>
          <w:tcPr>
            <w:tcW w:w="3140" w:type="pct"/>
            <w:tcBorders>
              <w:top w:val="single" w:sz="12" w:space="0" w:color="008000"/>
              <w:bottom w:val="single" w:sz="12" w:space="0" w:color="008000"/>
            </w:tcBorders>
            <w:shd w:val="clear" w:color="auto" w:fill="FFFFFF"/>
          </w:tcPr>
          <w:tbl>
            <w:tblPr>
              <w:tblW w:w="5000" w:type="pct"/>
              <w:tblLook w:val="04A0" w:firstRow="1" w:lastRow="0" w:firstColumn="1" w:lastColumn="0" w:noHBand="0" w:noVBand="1"/>
            </w:tblPr>
            <w:tblGrid>
              <w:gridCol w:w="4879"/>
              <w:gridCol w:w="639"/>
            </w:tblGrid>
            <w:tr w:rsidR="001967EF" w:rsidRPr="00B57B36" w:rsidTr="00862856">
              <w:tc>
                <w:tcPr>
                  <w:tcW w:w="8188" w:type="dxa"/>
                  <w:shd w:val="clear" w:color="auto" w:fill="auto"/>
                  <w:vAlign w:val="center"/>
                </w:tcPr>
                <w:p w:rsidR="001967EF" w:rsidRPr="00862856" w:rsidRDefault="00052AC7" w:rsidP="009001C2">
                  <w:pPr>
                    <w:pStyle w:val="CETEquation"/>
                  </w:pPr>
                  <m:oMathPara>
                    <m:oMathParaPr>
                      <m:jc m:val="left"/>
                    </m:oMathParaPr>
                    <m:oMath>
                      <m:bar>
                        <m:barPr>
                          <m:pos m:val="top"/>
                          <m:ctrlPr>
                            <w:rPr>
                              <w:rFonts w:ascii="Cambria Math" w:hAnsi="Cambria Math"/>
                            </w:rPr>
                          </m:ctrlPr>
                        </m:barPr>
                        <m:e>
                          <m:sSub>
                            <m:sSubPr>
                              <m:ctrlPr>
                                <w:rPr>
                                  <w:rFonts w:ascii="Cambria Math" w:hAnsi="Cambria Math"/>
                                </w:rPr>
                              </m:ctrlPr>
                            </m:sSubPr>
                            <m:e>
                              <m:r>
                                <m:rPr>
                                  <m:sty m:val="p"/>
                                </m:rPr>
                                <w:rPr>
                                  <w:rFonts w:ascii="Cambria Math" w:hAnsi="Cambria Math"/>
                                </w:rPr>
                                <m:t>Y</m:t>
                              </m:r>
                            </m:e>
                            <m:sub>
                              <m:r>
                                <w:rPr>
                                  <w:rFonts w:ascii="Cambria Math" w:hAnsi="Cambria Math"/>
                                </w:rPr>
                                <m:t>BM</m:t>
                              </m:r>
                            </m:sub>
                          </m:sSub>
                        </m:e>
                      </m:ba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0</m:t>
                              </m:r>
                            </m:sub>
                          </m:sSub>
                        </m:num>
                        <m:den>
                          <m:sSub>
                            <m:sSubPr>
                              <m:ctrlPr>
                                <w:rPr>
                                  <w:rFonts w:ascii="Cambria Math" w:hAnsi="Cambria Math"/>
                                </w:rPr>
                              </m:ctrlPr>
                            </m:sSubPr>
                            <m:e>
                              <m:r>
                                <w:rPr>
                                  <w:rFonts w:ascii="Cambria Math" w:hAnsi="Cambria Math"/>
                                </w:rPr>
                                <m:t>M</m:t>
                              </m:r>
                            </m:e>
                            <m:sub>
                              <m:r>
                                <m:rPr>
                                  <m:sty m:val="p"/>
                                </m:rPr>
                                <w:rPr>
                                  <w:rFonts w:ascii="Cambria Math" w:hAnsi="Cambria Math"/>
                                </w:rPr>
                                <m:t>0</m:t>
                              </m:r>
                            </m:sub>
                          </m:sSub>
                          <m:r>
                            <m:rPr>
                              <m:sty m:val="p"/>
                            </m:rPr>
                            <w:rPr>
                              <w:rFonts w:ascii="Cambria Math" w:hAnsi="Cambria Math"/>
                            </w:rPr>
                            <m:t>∙</m:t>
                          </m:r>
                          <m:r>
                            <w:rPr>
                              <w:rFonts w:ascii="Cambria Math" w:hAnsi="Cambria Math"/>
                            </w:rPr>
                            <m:t>T</m:t>
                          </m:r>
                        </m:den>
                      </m:f>
                    </m:oMath>
                  </m:oMathPara>
                </w:p>
              </w:tc>
              <w:tc>
                <w:tcPr>
                  <w:tcW w:w="815" w:type="dxa"/>
                  <w:shd w:val="clear" w:color="auto" w:fill="auto"/>
                  <w:vAlign w:val="center"/>
                </w:tcPr>
                <w:p w:rsidR="001967EF" w:rsidRPr="00B57B36" w:rsidRDefault="001967EF" w:rsidP="009001C2">
                  <w:pPr>
                    <w:pStyle w:val="CETEquation"/>
                  </w:pPr>
                  <w:r w:rsidRPr="00B57B36">
                    <w:t>(</w:t>
                  </w:r>
                  <w:r>
                    <w:t>2</w:t>
                  </w:r>
                  <w:r w:rsidRPr="00B57B36">
                    <w:t>)</w:t>
                  </w:r>
                </w:p>
              </w:tc>
            </w:tr>
          </w:tbl>
          <w:p w:rsidR="001967EF" w:rsidRPr="00B57B36" w:rsidRDefault="001967EF" w:rsidP="009001C2">
            <w:pPr>
              <w:pStyle w:val="CETEquation"/>
              <w:rPr>
                <w:szCs w:val="18"/>
              </w:rPr>
            </w:pPr>
          </w:p>
        </w:tc>
      </w:tr>
      <w:tr w:rsidR="00B82D9E" w:rsidRPr="00B57B36" w:rsidTr="00B82D9E">
        <w:tc>
          <w:tcPr>
            <w:tcW w:w="888" w:type="pct"/>
            <w:tcBorders>
              <w:top w:val="single" w:sz="12" w:space="0" w:color="008000"/>
              <w:bottom w:val="single" w:sz="12" w:space="0" w:color="008000"/>
            </w:tcBorders>
            <w:shd w:val="clear" w:color="auto" w:fill="FFFFFF"/>
          </w:tcPr>
          <w:p w:rsidR="001967EF" w:rsidRPr="003563B7" w:rsidRDefault="001967EF" w:rsidP="009001C2">
            <w:pPr>
              <w:pStyle w:val="CETEquation"/>
            </w:pPr>
            <w:r w:rsidRPr="003563B7">
              <w:t>Biomass Yield, time adjusted</w:t>
            </w:r>
          </w:p>
        </w:tc>
        <w:tc>
          <w:tcPr>
            <w:tcW w:w="564" w:type="pct"/>
            <w:tcBorders>
              <w:top w:val="single" w:sz="12" w:space="0" w:color="008000"/>
              <w:bottom w:val="single" w:sz="12" w:space="0" w:color="008000"/>
            </w:tcBorders>
            <w:shd w:val="clear" w:color="auto" w:fill="FFFFFF"/>
          </w:tcPr>
          <w:p w:rsidR="001967EF" w:rsidRPr="00B82D9E" w:rsidRDefault="00052AC7" w:rsidP="009001C2">
            <w:pPr>
              <w:pStyle w:val="CETEquation"/>
              <w:rPr>
                <w:rFonts w:cs="Arial"/>
                <w:i/>
              </w:rPr>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BM</m:t>
                    </m:r>
                  </m:sub>
                </m:sSub>
              </m:oMath>
            </m:oMathPara>
          </w:p>
        </w:tc>
        <w:tc>
          <w:tcPr>
            <w:tcW w:w="408" w:type="pct"/>
            <w:tcBorders>
              <w:top w:val="single" w:sz="12" w:space="0" w:color="008000"/>
              <w:bottom w:val="single" w:sz="12" w:space="0" w:color="008000"/>
            </w:tcBorders>
            <w:shd w:val="clear" w:color="auto" w:fill="FFFFFF"/>
          </w:tcPr>
          <w:p w:rsidR="001967EF" w:rsidRDefault="001967EF" w:rsidP="009001C2">
            <w:pPr>
              <w:pStyle w:val="CETEquation"/>
              <w:rPr>
                <w:rFonts w:ascii="Tahoma" w:hAnsi="Tahoma" w:cs="Tahoma"/>
              </w:rPr>
            </w:pPr>
            <w:r>
              <w:rPr>
                <w:rFonts w:ascii="Tahoma" w:hAnsi="Tahoma" w:cs="Tahoma"/>
              </w:rPr>
              <w:t>1/d</w:t>
            </w:r>
          </w:p>
        </w:tc>
        <w:tc>
          <w:tcPr>
            <w:tcW w:w="3140" w:type="pct"/>
            <w:tcBorders>
              <w:top w:val="single" w:sz="12" w:space="0" w:color="008000"/>
              <w:bottom w:val="single" w:sz="12" w:space="0" w:color="008000"/>
            </w:tcBorders>
            <w:shd w:val="clear" w:color="auto" w:fill="FFFFFF"/>
          </w:tcPr>
          <w:tbl>
            <w:tblPr>
              <w:tblW w:w="5000" w:type="pct"/>
              <w:tblLook w:val="04A0" w:firstRow="1" w:lastRow="0" w:firstColumn="1" w:lastColumn="0" w:noHBand="0" w:noVBand="1"/>
            </w:tblPr>
            <w:tblGrid>
              <w:gridCol w:w="4879"/>
              <w:gridCol w:w="639"/>
            </w:tblGrid>
            <w:tr w:rsidR="001967EF" w:rsidRPr="00B57B36" w:rsidTr="00862856">
              <w:tc>
                <w:tcPr>
                  <w:tcW w:w="8188" w:type="dxa"/>
                  <w:shd w:val="clear" w:color="auto" w:fill="auto"/>
                  <w:vAlign w:val="center"/>
                </w:tcPr>
                <w:p w:rsidR="001967EF" w:rsidRPr="00862856" w:rsidRDefault="00052AC7" w:rsidP="009001C2">
                  <w:pPr>
                    <w:pStyle w:val="CETEquation"/>
                  </w:pPr>
                  <m:oMathPara>
                    <m:oMathParaPr>
                      <m:jc m:val="left"/>
                    </m:oMathParaPr>
                    <m:oMath>
                      <m:sSub>
                        <m:sSubPr>
                          <m:ctrlPr>
                            <w:rPr>
                              <w:rFonts w:ascii="Cambria Math" w:hAnsi="Cambria Math"/>
                            </w:rPr>
                          </m:ctrlPr>
                        </m:sSubPr>
                        <m:e>
                          <m:r>
                            <m:rPr>
                              <m:sty m:val="p"/>
                            </m:rPr>
                            <w:rPr>
                              <w:rFonts w:ascii="Cambria Math" w:hAnsi="Cambria Math"/>
                            </w:rPr>
                            <m:t>Y</m:t>
                          </m:r>
                        </m:e>
                        <m:sub>
                          <m:r>
                            <w:rPr>
                              <w:rFonts w:ascii="Cambria Math" w:hAnsi="Cambria Math"/>
                            </w:rPr>
                            <m:t>BM</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0</m:t>
                              </m:r>
                            </m:sub>
                          </m:sSub>
                        </m:num>
                        <m:den>
                          <m:r>
                            <w:rPr>
                              <w:rFonts w:ascii="Cambria Math" w:hAnsi="Cambria Math"/>
                            </w:rPr>
                            <m:t>T</m:t>
                          </m:r>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0</m:t>
                              </m:r>
                            </m:sub>
                            <m:sup>
                              <m:r>
                                <w:rPr>
                                  <w:rFonts w:ascii="Cambria Math" w:hAnsi="Cambria Math"/>
                                </w:rPr>
                                <m:t>T</m:t>
                              </m:r>
                            </m:sup>
                            <m:e>
                              <m:sSub>
                                <m:sSubPr>
                                  <m:ctrlPr>
                                    <w:rPr>
                                      <w:rFonts w:ascii="Cambria Math" w:hAnsi="Cambria Math"/>
                                    </w:rPr>
                                  </m:ctrlPr>
                                </m:sSubPr>
                                <m:e>
                                  <m:r>
                                    <w:rPr>
                                      <w:rFonts w:ascii="Cambria Math" w:hAnsi="Cambria Math"/>
                                    </w:rPr>
                                    <m:t>S</m:t>
                                  </m:r>
                                </m:e>
                                <m:sub>
                                  <m:r>
                                    <w:rPr>
                                      <w:rFonts w:ascii="Cambria Math" w:hAnsi="Cambria Math"/>
                                    </w:rPr>
                                    <m:t>I</m:t>
                                  </m:r>
                                </m:sub>
                              </m:sSub>
                            </m:e>
                          </m:nary>
                        </m:den>
                      </m:f>
                    </m:oMath>
                  </m:oMathPara>
                </w:p>
              </w:tc>
              <w:tc>
                <w:tcPr>
                  <w:tcW w:w="815" w:type="dxa"/>
                  <w:shd w:val="clear" w:color="auto" w:fill="auto"/>
                  <w:vAlign w:val="center"/>
                </w:tcPr>
                <w:p w:rsidR="001967EF" w:rsidRPr="00B57B36" w:rsidRDefault="001967EF" w:rsidP="009001C2">
                  <w:pPr>
                    <w:pStyle w:val="CETEquation"/>
                  </w:pPr>
                  <w:r w:rsidRPr="00B57B36">
                    <w:t>(</w:t>
                  </w:r>
                  <w:r>
                    <w:t>4</w:t>
                  </w:r>
                  <w:r w:rsidRPr="00B57B36">
                    <w:t>)</w:t>
                  </w:r>
                </w:p>
              </w:tc>
            </w:tr>
          </w:tbl>
          <w:p w:rsidR="001967EF" w:rsidRDefault="001967EF" w:rsidP="009001C2">
            <w:pPr>
              <w:pStyle w:val="CETEquation"/>
            </w:pPr>
          </w:p>
        </w:tc>
      </w:tr>
      <w:tr w:rsidR="00B82D9E" w:rsidRPr="00B57B36" w:rsidTr="00B82D9E">
        <w:tc>
          <w:tcPr>
            <w:tcW w:w="888" w:type="pct"/>
            <w:tcBorders>
              <w:top w:val="single" w:sz="12" w:space="0" w:color="008000"/>
              <w:bottom w:val="single" w:sz="12" w:space="0" w:color="008000"/>
            </w:tcBorders>
            <w:shd w:val="clear" w:color="auto" w:fill="FFFFFF"/>
          </w:tcPr>
          <w:p w:rsidR="001967EF" w:rsidRPr="003563B7" w:rsidRDefault="001967EF" w:rsidP="009001C2">
            <w:pPr>
              <w:pStyle w:val="CETEquation"/>
            </w:pPr>
            <w:r w:rsidRPr="003563B7">
              <w:t xml:space="preserve">Organics Yield, time adjusted  </w:t>
            </w:r>
          </w:p>
        </w:tc>
        <w:tc>
          <w:tcPr>
            <w:tcW w:w="564" w:type="pct"/>
            <w:tcBorders>
              <w:top w:val="single" w:sz="12" w:space="0" w:color="008000"/>
              <w:bottom w:val="single" w:sz="12" w:space="0" w:color="008000"/>
            </w:tcBorders>
            <w:shd w:val="clear" w:color="auto" w:fill="FFFFFF"/>
          </w:tcPr>
          <w:p w:rsidR="001967EF" w:rsidRPr="00B82D9E" w:rsidRDefault="00052AC7" w:rsidP="009001C2">
            <w:pPr>
              <w:pStyle w:val="CETEquation"/>
              <w:rPr>
                <w:rFonts w:cs="Arial"/>
                <w:i/>
              </w:rPr>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C</m:t>
                    </m:r>
                  </m:sub>
                </m:sSub>
              </m:oMath>
            </m:oMathPara>
          </w:p>
        </w:tc>
        <w:tc>
          <w:tcPr>
            <w:tcW w:w="408" w:type="pct"/>
            <w:tcBorders>
              <w:top w:val="single" w:sz="12" w:space="0" w:color="008000"/>
              <w:bottom w:val="single" w:sz="12" w:space="0" w:color="008000"/>
            </w:tcBorders>
            <w:shd w:val="clear" w:color="auto" w:fill="FFFFFF"/>
          </w:tcPr>
          <w:p w:rsidR="001967EF" w:rsidRDefault="001967EF" w:rsidP="009001C2">
            <w:pPr>
              <w:pStyle w:val="CETEquation"/>
            </w:pPr>
            <w:r>
              <w:t>1/d</w:t>
            </w:r>
          </w:p>
        </w:tc>
        <w:tc>
          <w:tcPr>
            <w:tcW w:w="3140" w:type="pct"/>
            <w:tcBorders>
              <w:top w:val="single" w:sz="12" w:space="0" w:color="008000"/>
              <w:bottom w:val="single" w:sz="12" w:space="0" w:color="008000"/>
            </w:tcBorders>
            <w:shd w:val="clear" w:color="auto" w:fill="FFFFFF"/>
          </w:tcPr>
          <w:tbl>
            <w:tblPr>
              <w:tblW w:w="5000" w:type="pct"/>
              <w:tblLook w:val="04A0" w:firstRow="1" w:lastRow="0" w:firstColumn="1" w:lastColumn="0" w:noHBand="0" w:noVBand="1"/>
            </w:tblPr>
            <w:tblGrid>
              <w:gridCol w:w="4891"/>
              <w:gridCol w:w="627"/>
            </w:tblGrid>
            <w:tr w:rsidR="001967EF" w:rsidRPr="00B57B36" w:rsidTr="00862856">
              <w:tc>
                <w:tcPr>
                  <w:tcW w:w="8188" w:type="dxa"/>
                  <w:shd w:val="clear" w:color="auto" w:fill="auto"/>
                  <w:vAlign w:val="center"/>
                </w:tcPr>
                <w:p w:rsidR="001967EF" w:rsidRPr="00862856" w:rsidRDefault="00052AC7" w:rsidP="009001C2">
                  <w:pPr>
                    <w:pStyle w:val="CETEquation"/>
                  </w:pPr>
                  <m:oMathPara>
                    <m:oMathParaPr>
                      <m:jc m:val="left"/>
                    </m:oMathParaPr>
                    <m:oMath>
                      <m:sSub>
                        <m:sSubPr>
                          <m:ctrlPr>
                            <w:rPr>
                              <w:rFonts w:ascii="Cambria Math" w:hAnsi="Cambria Math"/>
                            </w:rPr>
                          </m:ctrlPr>
                        </m:sSubPr>
                        <m:e>
                          <m:r>
                            <m:rPr>
                              <m:sty m:val="p"/>
                            </m:rPr>
                            <w:rPr>
                              <w:rFonts w:ascii="Cambria Math" w:hAnsi="Cambria Math"/>
                            </w:rPr>
                            <m:t>Y</m:t>
                          </m:r>
                        </m:e>
                        <m:sub>
                          <m:r>
                            <w:rPr>
                              <w:rFonts w:ascii="Cambria Math" w:hAnsi="Cambria Math"/>
                            </w:rPr>
                            <m:t>C</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E</m:t>
                              </m:r>
                              <m:r>
                                <m:rPr>
                                  <m:sty m:val="p"/>
                                </m:rPr>
                                <w:rPr>
                                  <w:rFonts w:ascii="Cambria Math" w:hAnsi="Cambria Math"/>
                                </w:rPr>
                                <m:t>,</m:t>
                              </m:r>
                              <m:r>
                                <w:rPr>
                                  <w:rFonts w:ascii="Cambria Math" w:hAnsi="Cambria Math"/>
                                </w:rPr>
                                <m:t>f</m:t>
                              </m:r>
                            </m:sub>
                          </m:sSub>
                          <m:sSub>
                            <m:sSubPr>
                              <m:ctrlPr>
                                <w:rPr>
                                  <w:rFonts w:ascii="Cambria Math" w:hAnsi="Cambria Math"/>
                                </w:rPr>
                              </m:ctrlPr>
                            </m:sSubPr>
                            <m:e>
                              <m:r>
                                <w:rPr>
                                  <w:rFonts w:ascii="Cambria Math" w:hAnsi="Cambria Math"/>
                                </w:rPr>
                                <m:t>V</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E</m:t>
                              </m:r>
                              <m:r>
                                <m:rPr>
                                  <m:sty m:val="p"/>
                                </m:rPr>
                                <w:rPr>
                                  <w:rFonts w:ascii="Cambria Math" w:hAnsi="Cambria Math"/>
                                </w:rPr>
                                <m:t>,0</m:t>
                              </m:r>
                            </m:sub>
                          </m:sSub>
                          <m:sSub>
                            <m:sSubPr>
                              <m:ctrlPr>
                                <w:rPr>
                                  <w:rFonts w:ascii="Cambria Math" w:hAnsi="Cambria Math"/>
                                </w:rPr>
                              </m:ctrlPr>
                            </m:sSubPr>
                            <m:e>
                              <m:r>
                                <w:rPr>
                                  <w:rFonts w:ascii="Cambria Math" w:hAnsi="Cambria Math"/>
                                </w:rPr>
                                <m:t>V</m:t>
                              </m:r>
                            </m:e>
                            <m:sub>
                              <m:r>
                                <m:rPr>
                                  <m:sty m:val="p"/>
                                </m:rPr>
                                <w:rPr>
                                  <w:rFonts w:ascii="Cambria Math" w:hAnsi="Cambria Math"/>
                                </w:rPr>
                                <m:t>0</m:t>
                              </m:r>
                            </m:sub>
                          </m:sSub>
                        </m:num>
                        <m:den>
                          <m:r>
                            <w:rPr>
                              <w:rFonts w:ascii="Cambria Math" w:hAnsi="Cambria Math"/>
                            </w:rPr>
                            <m:t>T</m:t>
                          </m:r>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0</m:t>
                              </m:r>
                            </m:sub>
                            <m:sup>
                              <m:r>
                                <w:rPr>
                                  <w:rFonts w:ascii="Cambria Math" w:hAnsi="Cambria Math"/>
                                </w:rPr>
                                <m:t>T</m:t>
                              </m:r>
                            </m:sup>
                            <m:e>
                              <m:sSub>
                                <m:sSubPr>
                                  <m:ctrlPr>
                                    <w:rPr>
                                      <w:rFonts w:ascii="Cambria Math" w:hAnsi="Cambria Math"/>
                                    </w:rPr>
                                  </m:ctrlPr>
                                </m:sSubPr>
                                <m:e>
                                  <m:r>
                                    <w:rPr>
                                      <w:rFonts w:ascii="Cambria Math" w:hAnsi="Cambria Math"/>
                                    </w:rPr>
                                    <m:t>S</m:t>
                                  </m:r>
                                </m:e>
                                <m:sub>
                                  <m:r>
                                    <w:rPr>
                                      <w:rFonts w:ascii="Cambria Math" w:hAnsi="Cambria Math"/>
                                    </w:rPr>
                                    <m:t>t</m:t>
                                  </m:r>
                                </m:sub>
                              </m:sSub>
                            </m:e>
                          </m:nary>
                        </m:den>
                      </m:f>
                    </m:oMath>
                  </m:oMathPara>
                </w:p>
              </w:tc>
              <w:tc>
                <w:tcPr>
                  <w:tcW w:w="815" w:type="dxa"/>
                  <w:shd w:val="clear" w:color="auto" w:fill="auto"/>
                  <w:vAlign w:val="center"/>
                </w:tcPr>
                <w:p w:rsidR="001967EF" w:rsidRPr="00B57B36" w:rsidRDefault="001967EF" w:rsidP="009001C2">
                  <w:pPr>
                    <w:pStyle w:val="CETEquation"/>
                  </w:pPr>
                  <w:r w:rsidRPr="00B57B36">
                    <w:t>(</w:t>
                  </w:r>
                  <w:r>
                    <w:t>5</w:t>
                  </w:r>
                  <w:r w:rsidRPr="00B57B36">
                    <w:t>)</w:t>
                  </w:r>
                </w:p>
              </w:tc>
            </w:tr>
          </w:tbl>
          <w:p w:rsidR="001967EF" w:rsidRDefault="001967EF" w:rsidP="009001C2">
            <w:pPr>
              <w:pStyle w:val="CETEquation"/>
            </w:pPr>
          </w:p>
        </w:tc>
      </w:tr>
      <w:tr w:rsidR="00B82D9E" w:rsidRPr="00B57B36" w:rsidTr="00B82D9E">
        <w:tc>
          <w:tcPr>
            <w:tcW w:w="888" w:type="pct"/>
            <w:tcBorders>
              <w:top w:val="single" w:sz="12" w:space="0" w:color="008000"/>
              <w:bottom w:val="single" w:sz="12" w:space="0" w:color="008000"/>
            </w:tcBorders>
            <w:shd w:val="clear" w:color="auto" w:fill="FFFFFF"/>
          </w:tcPr>
          <w:p w:rsidR="001967EF" w:rsidRPr="003563B7" w:rsidRDefault="001967EF" w:rsidP="009001C2">
            <w:pPr>
              <w:pStyle w:val="CETEquation"/>
            </w:pPr>
            <w:r>
              <w:t>Parameters</w:t>
            </w:r>
          </w:p>
        </w:tc>
        <w:tc>
          <w:tcPr>
            <w:tcW w:w="564" w:type="pct"/>
            <w:tcBorders>
              <w:top w:val="single" w:sz="12" w:space="0" w:color="008000"/>
              <w:bottom w:val="single" w:sz="12" w:space="0" w:color="008000"/>
            </w:tcBorders>
            <w:shd w:val="clear" w:color="auto" w:fill="FFFFFF"/>
          </w:tcPr>
          <w:p w:rsidR="001967EF" w:rsidRPr="00B82D9E" w:rsidRDefault="001967EF" w:rsidP="009001C2">
            <w:pPr>
              <w:pStyle w:val="CETEquation"/>
              <w:rPr>
                <w:i/>
              </w:rPr>
            </w:pPr>
            <w:r w:rsidRPr="00B82D9E">
              <w:rPr>
                <w:i/>
              </w:rPr>
              <w:t>M</w:t>
            </w:r>
            <w:r w:rsidRPr="00B82D9E">
              <w:rPr>
                <w:i/>
                <w:vertAlign w:val="subscript"/>
              </w:rPr>
              <w:t>f</w:t>
            </w:r>
            <w:r w:rsidRPr="00B82D9E">
              <w:rPr>
                <w:i/>
              </w:rPr>
              <w:t xml:space="preserve">; </w:t>
            </w:r>
          </w:p>
        </w:tc>
        <w:tc>
          <w:tcPr>
            <w:tcW w:w="408" w:type="pct"/>
            <w:tcBorders>
              <w:top w:val="single" w:sz="12" w:space="0" w:color="008000"/>
              <w:bottom w:val="single" w:sz="12" w:space="0" w:color="008000"/>
            </w:tcBorders>
            <w:shd w:val="clear" w:color="auto" w:fill="FFFFFF"/>
          </w:tcPr>
          <w:p w:rsidR="001967EF" w:rsidRPr="003563B7" w:rsidRDefault="001967EF" w:rsidP="009001C2">
            <w:pPr>
              <w:pStyle w:val="CETEquation"/>
            </w:pPr>
            <w:r>
              <w:t>mg</w:t>
            </w:r>
          </w:p>
        </w:tc>
        <w:tc>
          <w:tcPr>
            <w:tcW w:w="3140" w:type="pct"/>
            <w:tcBorders>
              <w:top w:val="single" w:sz="12" w:space="0" w:color="008000"/>
              <w:bottom w:val="single" w:sz="12" w:space="0" w:color="008000"/>
            </w:tcBorders>
            <w:shd w:val="clear" w:color="auto" w:fill="FFFFFF"/>
          </w:tcPr>
          <w:p w:rsidR="001967EF" w:rsidRDefault="00B82D9E" w:rsidP="009001C2">
            <w:pPr>
              <w:pStyle w:val="CETEquation"/>
              <w:rPr>
                <w:rFonts w:cs="Arial"/>
              </w:rPr>
            </w:pPr>
            <w:r>
              <w:t>T</w:t>
            </w:r>
            <w:r w:rsidR="001967EF" w:rsidRPr="003563B7">
              <w:t>otal mass of cells produced in the experiment</w:t>
            </w:r>
          </w:p>
        </w:tc>
      </w:tr>
      <w:tr w:rsidR="00B82D9E" w:rsidRPr="00B57B36" w:rsidTr="00B82D9E">
        <w:tc>
          <w:tcPr>
            <w:tcW w:w="888" w:type="pct"/>
            <w:tcBorders>
              <w:top w:val="single" w:sz="12" w:space="0" w:color="008000"/>
              <w:bottom w:val="single" w:sz="12" w:space="0" w:color="008000"/>
            </w:tcBorders>
            <w:shd w:val="clear" w:color="auto" w:fill="FFFFFF"/>
          </w:tcPr>
          <w:p w:rsidR="001967EF" w:rsidRPr="003563B7" w:rsidRDefault="001967EF" w:rsidP="009001C2">
            <w:pPr>
              <w:pStyle w:val="CETEquation"/>
            </w:pPr>
          </w:p>
        </w:tc>
        <w:tc>
          <w:tcPr>
            <w:tcW w:w="564" w:type="pct"/>
            <w:tcBorders>
              <w:top w:val="single" w:sz="12" w:space="0" w:color="008000"/>
              <w:bottom w:val="single" w:sz="12" w:space="0" w:color="008000"/>
            </w:tcBorders>
            <w:shd w:val="clear" w:color="auto" w:fill="FFFFFF"/>
          </w:tcPr>
          <w:p w:rsidR="001967EF" w:rsidRPr="00B82D9E" w:rsidRDefault="001967EF" w:rsidP="009001C2">
            <w:pPr>
              <w:pStyle w:val="CETEquation"/>
              <w:rPr>
                <w:rFonts w:cs="Arial"/>
                <w:i/>
              </w:rPr>
            </w:pPr>
            <w:r w:rsidRPr="00B82D9E">
              <w:rPr>
                <w:i/>
              </w:rPr>
              <w:t>M</w:t>
            </w:r>
            <w:r w:rsidRPr="00B82D9E">
              <w:rPr>
                <w:i/>
                <w:vertAlign w:val="subscript"/>
              </w:rPr>
              <w:t>0</w:t>
            </w:r>
            <w:r w:rsidRPr="00B82D9E">
              <w:rPr>
                <w:i/>
              </w:rPr>
              <w:t>;</w:t>
            </w:r>
          </w:p>
        </w:tc>
        <w:tc>
          <w:tcPr>
            <w:tcW w:w="408" w:type="pct"/>
            <w:tcBorders>
              <w:top w:val="single" w:sz="12" w:space="0" w:color="008000"/>
              <w:bottom w:val="single" w:sz="12" w:space="0" w:color="008000"/>
            </w:tcBorders>
            <w:shd w:val="clear" w:color="auto" w:fill="FFFFFF"/>
          </w:tcPr>
          <w:p w:rsidR="001967EF" w:rsidRPr="003563B7" w:rsidRDefault="00B82D9E" w:rsidP="009001C2">
            <w:pPr>
              <w:pStyle w:val="CETEquation"/>
            </w:pPr>
            <w:r>
              <w:t>m</w:t>
            </w:r>
            <w:r w:rsidR="001967EF">
              <w:t>g</w:t>
            </w:r>
          </w:p>
        </w:tc>
        <w:tc>
          <w:tcPr>
            <w:tcW w:w="3140" w:type="pct"/>
            <w:tcBorders>
              <w:top w:val="single" w:sz="12" w:space="0" w:color="008000"/>
              <w:bottom w:val="single" w:sz="12" w:space="0" w:color="008000"/>
            </w:tcBorders>
            <w:shd w:val="clear" w:color="auto" w:fill="FFFFFF"/>
          </w:tcPr>
          <w:p w:rsidR="001967EF" w:rsidRDefault="00B82D9E" w:rsidP="009001C2">
            <w:pPr>
              <w:pStyle w:val="CETEquation"/>
              <w:rPr>
                <w:rFonts w:cs="Arial"/>
              </w:rPr>
            </w:pPr>
            <w:r>
              <w:t>I</w:t>
            </w:r>
            <w:r w:rsidR="001967EF" w:rsidRPr="003563B7">
              <w:t>nitial mass of cells inoculated</w:t>
            </w:r>
          </w:p>
        </w:tc>
      </w:tr>
      <w:tr w:rsidR="00B82D9E" w:rsidRPr="00B57B36" w:rsidTr="00B82D9E">
        <w:tc>
          <w:tcPr>
            <w:tcW w:w="888" w:type="pct"/>
            <w:tcBorders>
              <w:top w:val="single" w:sz="12" w:space="0" w:color="008000"/>
              <w:bottom w:val="single" w:sz="12" w:space="0" w:color="008000"/>
            </w:tcBorders>
            <w:shd w:val="clear" w:color="auto" w:fill="FFFFFF"/>
          </w:tcPr>
          <w:p w:rsidR="001967EF" w:rsidRPr="003563B7" w:rsidRDefault="001967EF" w:rsidP="009001C2">
            <w:pPr>
              <w:pStyle w:val="CETEquation"/>
            </w:pPr>
          </w:p>
        </w:tc>
        <w:tc>
          <w:tcPr>
            <w:tcW w:w="564" w:type="pct"/>
            <w:tcBorders>
              <w:top w:val="single" w:sz="12" w:space="0" w:color="008000"/>
              <w:bottom w:val="single" w:sz="12" w:space="0" w:color="008000"/>
            </w:tcBorders>
            <w:shd w:val="clear" w:color="auto" w:fill="FFFFFF"/>
          </w:tcPr>
          <w:p w:rsidR="001967EF" w:rsidRPr="00B82D9E" w:rsidRDefault="00052AC7" w:rsidP="009001C2">
            <w:pPr>
              <w:pStyle w:val="CETEquation"/>
              <w:rPr>
                <w:rFonts w:cs="Arial"/>
                <w:i/>
              </w:rPr>
            </w:pPr>
            <m:oMath>
              <m:sSub>
                <m:sSubPr>
                  <m:ctrlPr>
                    <w:rPr>
                      <w:rFonts w:ascii="Cambria Math" w:hAnsi="Cambria Math"/>
                      <w:i/>
                    </w:rPr>
                  </m:ctrlPr>
                </m:sSubPr>
                <m:e>
                  <m:r>
                    <w:rPr>
                      <w:rFonts w:ascii="Cambria Math" w:hAnsi="Cambria Math"/>
                    </w:rPr>
                    <m:t>C</m:t>
                  </m:r>
                </m:e>
                <m:sub>
                  <m:r>
                    <w:rPr>
                      <w:rFonts w:ascii="Cambria Math" w:hAnsi="Cambria Math"/>
                    </w:rPr>
                    <m:t>E,f</m:t>
                  </m:r>
                </m:sub>
              </m:sSub>
            </m:oMath>
            <w:r w:rsidR="001967EF" w:rsidRPr="00B82D9E">
              <w:rPr>
                <w:i/>
              </w:rPr>
              <w:t xml:space="preserve">; </w:t>
            </w:r>
            <m:oMath>
              <m:sSub>
                <m:sSubPr>
                  <m:ctrlPr>
                    <w:rPr>
                      <w:rFonts w:ascii="Cambria Math" w:hAnsi="Cambria Math"/>
                      <w:i/>
                    </w:rPr>
                  </m:ctrlPr>
                </m:sSubPr>
                <m:e>
                  <m:r>
                    <w:rPr>
                      <w:rFonts w:ascii="Cambria Math" w:hAnsi="Cambria Math"/>
                    </w:rPr>
                    <m:t>C</m:t>
                  </m:r>
                </m:e>
                <m:sub>
                  <m:r>
                    <w:rPr>
                      <w:rFonts w:ascii="Cambria Math" w:hAnsi="Cambria Math"/>
                    </w:rPr>
                    <m:t>E,0</m:t>
                  </m:r>
                </m:sub>
              </m:sSub>
            </m:oMath>
            <w:r w:rsidR="001967EF" w:rsidRPr="00B82D9E">
              <w:rPr>
                <w:i/>
              </w:rPr>
              <w:t xml:space="preserve"> </w:t>
            </w:r>
          </w:p>
        </w:tc>
        <w:tc>
          <w:tcPr>
            <w:tcW w:w="408" w:type="pct"/>
            <w:tcBorders>
              <w:top w:val="single" w:sz="12" w:space="0" w:color="008000"/>
              <w:bottom w:val="single" w:sz="12" w:space="0" w:color="008000"/>
            </w:tcBorders>
            <w:shd w:val="clear" w:color="auto" w:fill="FFFFFF"/>
          </w:tcPr>
          <w:p w:rsidR="001967EF" w:rsidRPr="003563B7" w:rsidRDefault="001967EF" w:rsidP="009001C2">
            <w:pPr>
              <w:pStyle w:val="CETEquation"/>
            </w:pPr>
            <w:r>
              <w:t>mg/l</w:t>
            </w:r>
          </w:p>
        </w:tc>
        <w:tc>
          <w:tcPr>
            <w:tcW w:w="3140" w:type="pct"/>
            <w:tcBorders>
              <w:top w:val="single" w:sz="12" w:space="0" w:color="008000"/>
              <w:bottom w:val="single" w:sz="12" w:space="0" w:color="008000"/>
            </w:tcBorders>
            <w:shd w:val="clear" w:color="auto" w:fill="FFFFFF"/>
          </w:tcPr>
          <w:p w:rsidR="001967EF" w:rsidRDefault="00B82D9E" w:rsidP="009001C2">
            <w:pPr>
              <w:pStyle w:val="CETEquation"/>
              <w:rPr>
                <w:rFonts w:cs="Arial"/>
              </w:rPr>
            </w:pPr>
            <w:r>
              <w:t>F</w:t>
            </w:r>
            <w:r w:rsidR="001967EF" w:rsidRPr="003563B7">
              <w:t>inal and initial concentration</w:t>
            </w:r>
            <w:r>
              <w:t>s</w:t>
            </w:r>
            <w:r w:rsidR="001967EF" w:rsidRPr="003563B7">
              <w:t xml:space="preserve"> of organics in the media</w:t>
            </w:r>
            <w:r>
              <w:t>,</w:t>
            </w:r>
            <w:r w:rsidR="001967EF">
              <w:t xml:space="preserve"> respectively</w:t>
            </w:r>
          </w:p>
        </w:tc>
      </w:tr>
      <w:tr w:rsidR="00B82D9E" w:rsidRPr="00B57B36" w:rsidTr="00B82D9E">
        <w:tc>
          <w:tcPr>
            <w:tcW w:w="888" w:type="pct"/>
            <w:tcBorders>
              <w:top w:val="single" w:sz="12" w:space="0" w:color="008000"/>
              <w:bottom w:val="single" w:sz="12" w:space="0" w:color="008000"/>
            </w:tcBorders>
            <w:shd w:val="clear" w:color="auto" w:fill="FFFFFF"/>
          </w:tcPr>
          <w:p w:rsidR="001967EF" w:rsidRPr="003563B7" w:rsidRDefault="001967EF" w:rsidP="009001C2">
            <w:pPr>
              <w:pStyle w:val="CETEquation"/>
            </w:pPr>
          </w:p>
        </w:tc>
        <w:tc>
          <w:tcPr>
            <w:tcW w:w="564" w:type="pct"/>
            <w:tcBorders>
              <w:top w:val="single" w:sz="12" w:space="0" w:color="008000"/>
              <w:bottom w:val="single" w:sz="12" w:space="0" w:color="008000"/>
            </w:tcBorders>
            <w:shd w:val="clear" w:color="auto" w:fill="FFFFFF"/>
          </w:tcPr>
          <w:p w:rsidR="001967EF" w:rsidRPr="00B82D9E" w:rsidRDefault="001967EF" w:rsidP="009001C2">
            <w:pPr>
              <w:pStyle w:val="CETEquation"/>
              <w:rPr>
                <w:rFonts w:cs="Arial"/>
                <w:i/>
              </w:rPr>
            </w:pPr>
            <w:r w:rsidRPr="00B82D9E">
              <w:rPr>
                <w:i/>
              </w:rPr>
              <w:t>T</w:t>
            </w:r>
          </w:p>
        </w:tc>
        <w:tc>
          <w:tcPr>
            <w:tcW w:w="408" w:type="pct"/>
            <w:tcBorders>
              <w:top w:val="single" w:sz="12" w:space="0" w:color="008000"/>
              <w:bottom w:val="single" w:sz="12" w:space="0" w:color="008000"/>
            </w:tcBorders>
            <w:shd w:val="clear" w:color="auto" w:fill="FFFFFF"/>
          </w:tcPr>
          <w:p w:rsidR="001967EF" w:rsidRDefault="001967EF" w:rsidP="009001C2">
            <w:pPr>
              <w:pStyle w:val="CETEquation"/>
              <w:rPr>
                <w:rFonts w:cs="Arial"/>
              </w:rPr>
            </w:pPr>
            <w:r>
              <w:rPr>
                <w:rFonts w:cs="Arial"/>
              </w:rPr>
              <w:t>d</w:t>
            </w:r>
          </w:p>
        </w:tc>
        <w:tc>
          <w:tcPr>
            <w:tcW w:w="3140" w:type="pct"/>
            <w:tcBorders>
              <w:top w:val="single" w:sz="12" w:space="0" w:color="008000"/>
              <w:bottom w:val="single" w:sz="12" w:space="0" w:color="008000"/>
            </w:tcBorders>
            <w:shd w:val="clear" w:color="auto" w:fill="FFFFFF"/>
          </w:tcPr>
          <w:p w:rsidR="001967EF" w:rsidRDefault="001967EF" w:rsidP="009001C2">
            <w:pPr>
              <w:pStyle w:val="CETEquation"/>
              <w:rPr>
                <w:rFonts w:cs="Arial"/>
              </w:rPr>
            </w:pPr>
            <w:r>
              <w:rPr>
                <w:rFonts w:cs="Arial"/>
              </w:rPr>
              <w:t>Duration of the experiment</w:t>
            </w:r>
          </w:p>
        </w:tc>
      </w:tr>
      <w:tr w:rsidR="00B82D9E" w:rsidRPr="00B57B36" w:rsidTr="00B82D9E">
        <w:tc>
          <w:tcPr>
            <w:tcW w:w="888" w:type="pct"/>
            <w:tcBorders>
              <w:top w:val="single" w:sz="12" w:space="0" w:color="008000"/>
              <w:bottom w:val="single" w:sz="12" w:space="0" w:color="008000"/>
            </w:tcBorders>
            <w:shd w:val="clear" w:color="auto" w:fill="FFFFFF"/>
          </w:tcPr>
          <w:p w:rsidR="001967EF" w:rsidRPr="003563B7" w:rsidRDefault="001967EF" w:rsidP="009001C2">
            <w:pPr>
              <w:pStyle w:val="CETEquation"/>
            </w:pPr>
          </w:p>
        </w:tc>
        <w:tc>
          <w:tcPr>
            <w:tcW w:w="564" w:type="pct"/>
            <w:tcBorders>
              <w:top w:val="single" w:sz="12" w:space="0" w:color="008000"/>
              <w:bottom w:val="single" w:sz="12" w:space="0" w:color="008000"/>
            </w:tcBorders>
            <w:shd w:val="clear" w:color="auto" w:fill="FFFFFF"/>
          </w:tcPr>
          <w:p w:rsidR="001967EF" w:rsidRPr="00B82D9E" w:rsidRDefault="001967EF" w:rsidP="009001C2">
            <w:pPr>
              <w:pStyle w:val="CETEquation"/>
              <w:rPr>
                <w:rFonts w:cs="Arial"/>
                <w:i/>
              </w:rPr>
            </w:pPr>
            <w:r w:rsidRPr="00B82D9E">
              <w:rPr>
                <w:i/>
              </w:rPr>
              <w:t>S</w:t>
            </w:r>
            <w:r w:rsidRPr="00B82D9E">
              <w:rPr>
                <w:i/>
                <w:vertAlign w:val="subscript"/>
              </w:rPr>
              <w:t>t</w:t>
            </w:r>
          </w:p>
        </w:tc>
        <w:tc>
          <w:tcPr>
            <w:tcW w:w="408" w:type="pct"/>
            <w:tcBorders>
              <w:top w:val="single" w:sz="12" w:space="0" w:color="008000"/>
              <w:bottom w:val="single" w:sz="12" w:space="0" w:color="008000"/>
            </w:tcBorders>
            <w:shd w:val="clear" w:color="auto" w:fill="FFFFFF"/>
          </w:tcPr>
          <w:p w:rsidR="001967EF" w:rsidRDefault="00B82D9E" w:rsidP="009001C2">
            <w:pPr>
              <w:pStyle w:val="CETEquation"/>
            </w:pPr>
            <w:r>
              <w:t>m</w:t>
            </w:r>
            <w:r w:rsidR="001967EF">
              <w:t>g</w:t>
            </w:r>
          </w:p>
        </w:tc>
        <w:tc>
          <w:tcPr>
            <w:tcW w:w="3140" w:type="pct"/>
            <w:tcBorders>
              <w:top w:val="single" w:sz="12" w:space="0" w:color="008000"/>
              <w:bottom w:val="single" w:sz="12" w:space="0" w:color="008000"/>
            </w:tcBorders>
            <w:shd w:val="clear" w:color="auto" w:fill="FFFFFF"/>
          </w:tcPr>
          <w:p w:rsidR="001967EF" w:rsidRDefault="001967EF" w:rsidP="009001C2">
            <w:pPr>
              <w:pStyle w:val="CETEquation"/>
              <w:rPr>
                <w:rFonts w:cs="Arial"/>
              </w:rPr>
            </w:pPr>
            <w:r>
              <w:t>T</w:t>
            </w:r>
            <w:r w:rsidRPr="003563B7">
              <w:t xml:space="preserve">he inorganic substrate utilized </w:t>
            </w:r>
            <w:r>
              <w:t>at time, t (Calcium Carbonate and Carbon Dioxide)</w:t>
            </w:r>
          </w:p>
        </w:tc>
      </w:tr>
    </w:tbl>
    <w:p w:rsidR="00012484" w:rsidRDefault="00012484" w:rsidP="003563B7">
      <w:pPr>
        <w:pStyle w:val="CETheadingx"/>
      </w:pPr>
      <w:r>
        <w:t>Algal growth &amp; Substrate depletion</w:t>
      </w:r>
    </w:p>
    <w:p w:rsidR="00012484" w:rsidRPr="003563B7" w:rsidRDefault="00012484" w:rsidP="003563B7">
      <w:pPr>
        <w:pStyle w:val="CETBodytext"/>
      </w:pPr>
      <w:r w:rsidRPr="003563B7">
        <w:t xml:space="preserve">The most notable difference between the first two experiments and the third experiment was the preference for attached growth </w:t>
      </w:r>
      <w:r w:rsidR="001A651B">
        <w:t xml:space="preserve">on the nylon mesh bags </w:t>
      </w:r>
      <w:r w:rsidRPr="003563B7">
        <w:t>in the first two experiments. Only the first iteration of Experiment 1 showed some suspended growth (Figure 1). In Experiment 3 the microalgae were fully suspended in solution</w:t>
      </w:r>
      <w:r w:rsidR="00A500F6">
        <w:t xml:space="preserve"> (Figure 2)</w:t>
      </w:r>
      <w:r w:rsidRPr="003563B7">
        <w:t>.</w:t>
      </w:r>
    </w:p>
    <w:p w:rsidR="00012484" w:rsidRPr="003563B7" w:rsidRDefault="00012484" w:rsidP="003563B7">
      <w:pPr>
        <w:pStyle w:val="CETBodytext"/>
      </w:pPr>
      <w:r w:rsidRPr="003563B7">
        <w:lastRenderedPageBreak/>
        <w:t xml:space="preserve">Within 1-2 days of initiating Experiment 1 and 2 the </w:t>
      </w:r>
      <w:r w:rsidR="00032F18">
        <w:t>WW</w:t>
      </w:r>
      <w:r w:rsidRPr="003563B7">
        <w:t xml:space="preserve"> media started to clear and on day 6 the growth rate of the cultures started increasing. The increase in turbidity of the blank control experiment (Experiment 4) can be attributed to the agitation resulting in the disintegration and suspension of the solid CaCO</w:t>
      </w:r>
      <w:r w:rsidRPr="00040DA7">
        <w:rPr>
          <w:vertAlign w:val="subscript"/>
        </w:rPr>
        <w:t>3</w:t>
      </w:r>
      <w:r w:rsidRPr="003563B7">
        <w:t xml:space="preserve">. The process was also driven by the decrease in pH of the solution due to infection that occurred with an </w:t>
      </w:r>
      <w:r w:rsidR="001F7840" w:rsidRPr="003563B7">
        <w:t>opportunistic phosphate-depleting atmospheric bacterium</w:t>
      </w:r>
      <w:r w:rsidRPr="003563B7">
        <w:t xml:space="preserve"> (possibly Serratia marcescens), which became apparent around days 4 – 6. </w:t>
      </w:r>
    </w:p>
    <w:p w:rsidR="00012484" w:rsidRDefault="00012484" w:rsidP="003563B7">
      <w:pPr>
        <w:pStyle w:val="CETBodytext"/>
      </w:pPr>
      <w:r w:rsidRPr="003563B7">
        <w:t>Due to the mixed liquor in Experiments 1 and 2 not being representative of overall cellular content, growth curves could not be conclusively determined via UV-VIS spectroscopy, and the effective growth rate (</w:t>
      </w:r>
      <m:oMath>
        <m:bar>
          <m:barPr>
            <m:pos m:val="top"/>
            <m:ctrlPr>
              <w:rPr>
                <w:rFonts w:ascii="Cambria Math" w:hAnsi="Cambria Math"/>
              </w:rPr>
            </m:ctrlPr>
          </m:barPr>
          <m:e>
            <m:r>
              <w:rPr>
                <w:rFonts w:ascii="Cambria Math" w:hAnsi="Cambria Math"/>
              </w:rPr>
              <m:t>r</m:t>
            </m:r>
          </m:e>
        </m:bar>
      </m:oMath>
      <w:r w:rsidRPr="0084648F">
        <w:rPr>
          <w:vertAlign w:val="subscript"/>
        </w:rPr>
        <w:t>Eff</w:t>
      </w:r>
      <w:r w:rsidRPr="003563B7">
        <w:t xml:space="preserve">) was calculated instead. </w:t>
      </w:r>
      <w:r w:rsidR="001410E9">
        <w:t xml:space="preserve">The effective growth rate provides and overall estimate of the rate of growth where other data is unavailable, allowing comparison between the experiments. </w:t>
      </w:r>
      <w:r w:rsidRPr="003563B7">
        <w:t xml:space="preserve">The algae </w:t>
      </w:r>
      <w:r w:rsidR="0084648F">
        <w:rPr>
          <w:i/>
        </w:rPr>
        <w:t>D.</w:t>
      </w:r>
      <w:r w:rsidRPr="0084648F">
        <w:rPr>
          <w:i/>
        </w:rPr>
        <w:t xml:space="preserve"> </w:t>
      </w:r>
      <w:proofErr w:type="spellStart"/>
      <w:r w:rsidRPr="0084648F">
        <w:rPr>
          <w:i/>
        </w:rPr>
        <w:t>multivariabilis</w:t>
      </w:r>
      <w:proofErr w:type="spellEnd"/>
      <w:r w:rsidRPr="003563B7">
        <w:t xml:space="preserve"> displays an effective growth rate nearly 5.5 times higher in Experiment 3 than in Experiment 1 and 8 times higher than in Experiment 2 (Figure </w:t>
      </w:r>
      <w:r w:rsidR="00473E91">
        <w:t>3</w:t>
      </w:r>
      <w:r w:rsidRPr="003563B7">
        <w:t xml:space="preserve">). </w:t>
      </w:r>
      <w:r w:rsidR="00795EBC">
        <w:t>The specific biomass yield compares the mass of cells produced to the original mass inocula</w:t>
      </w:r>
      <w:r w:rsidR="00F03D7D">
        <w:t>ted, therefore</w:t>
      </w:r>
      <w:r w:rsidR="00795EBC">
        <w:t xml:space="preserve"> </w:t>
      </w:r>
      <w:r w:rsidR="00F03D7D">
        <w:t>factoring for differences in starting biomass concentration.</w:t>
      </w:r>
      <w:r w:rsidR="00795EBC" w:rsidRPr="003563B7">
        <w:t xml:space="preserve"> </w:t>
      </w:r>
      <w:r w:rsidRPr="003563B7">
        <w:t xml:space="preserve">The specific biomass yield, adjusted for experimental run length, was 2.5 and </w:t>
      </w:r>
      <w:r w:rsidR="001F7840" w:rsidRPr="003563B7">
        <w:t>3.6 times</w:t>
      </w:r>
      <w:r w:rsidRPr="003563B7">
        <w:t xml:space="preserve"> higher in Experiment 3 than in Experiment 1</w:t>
      </w:r>
      <w:r w:rsidR="00F03D7D">
        <w:t xml:space="preserve"> and 2 respectively (Figure 3)</w:t>
      </w:r>
      <w:r w:rsidR="00795EBC">
        <w:t xml:space="preserve">. </w:t>
      </w:r>
      <w:r w:rsidRPr="003563B7">
        <w:t xml:space="preserve">A similar trend can be seen for Nitrogen utilization </w:t>
      </w:r>
      <w:r w:rsidR="00F03D7D">
        <w:t>(Figure 4</w:t>
      </w:r>
      <w:r w:rsidRPr="003563B7">
        <w:t>). Nitrogen utilization dis</w:t>
      </w:r>
      <w:r w:rsidR="00F03D7D">
        <w:t>plays a similar pattern, while P</w:t>
      </w:r>
      <w:r w:rsidRPr="003563B7">
        <w:t>hosphate usage seems to be consta</w:t>
      </w:r>
      <w:r w:rsidR="00F03D7D">
        <w:t>nt for all experiments (Figure 4</w:t>
      </w:r>
      <w:r w:rsidRPr="003563B7">
        <w:t>).</w:t>
      </w:r>
      <w:r w:rsidR="00F03D7D">
        <w:t xml:space="preserve"> </w:t>
      </w:r>
      <w:r w:rsidRPr="003563B7">
        <w:t xml:space="preserve">The qualitative GC analysis indicated that the major FAME constituent after transesterification of biomass produced in Experiment 1 was </w:t>
      </w:r>
      <w:r w:rsidR="001F7840">
        <w:t>M</w:t>
      </w:r>
      <w:r w:rsidRPr="003563B7">
        <w:t xml:space="preserve">ethyl </w:t>
      </w:r>
      <w:proofErr w:type="spellStart"/>
      <w:r w:rsidR="001F7840">
        <w:t>D</w:t>
      </w:r>
      <w:r w:rsidRPr="003563B7">
        <w:t>odecanoate</w:t>
      </w:r>
      <w:proofErr w:type="spellEnd"/>
      <w:r w:rsidRPr="003563B7">
        <w:t>. The other biomass was not evaluated.</w:t>
      </w:r>
    </w:p>
    <w:p w:rsidR="003E43F4" w:rsidRPr="003563B7" w:rsidRDefault="003E43F4" w:rsidP="003E43F4">
      <w:pPr>
        <w:pStyle w:val="CETTabletitle"/>
      </w:pPr>
      <w:r w:rsidRPr="00B57B36">
        <w:t xml:space="preserve">Table </w:t>
      </w:r>
      <w:r>
        <w:t>2</w:t>
      </w:r>
      <w:r w:rsidRPr="00B57B36">
        <w:t xml:space="preserve">: </w:t>
      </w:r>
      <w:r>
        <w:t>C</w:t>
      </w:r>
      <w:r w:rsidRPr="00012484">
        <w:t>haracteri</w:t>
      </w:r>
      <w:r>
        <w:t>zation</w:t>
      </w:r>
      <w:r w:rsidRPr="00012484">
        <w:t xml:space="preserve"> of </w:t>
      </w:r>
      <w:r w:rsidR="00032F18">
        <w:t>WW</w:t>
      </w:r>
      <w:r w:rsidRPr="00012484">
        <w:t xml:space="preserve"> media</w:t>
      </w:r>
    </w:p>
    <w:tbl>
      <w:tblPr>
        <w:tblpPr w:leftFromText="180" w:rightFromText="180" w:vertAnchor="text" w:horzAnchor="margin" w:tblpY="31"/>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53"/>
        <w:gridCol w:w="1281"/>
        <w:gridCol w:w="1561"/>
        <w:gridCol w:w="1726"/>
        <w:gridCol w:w="1251"/>
        <w:gridCol w:w="1415"/>
      </w:tblGrid>
      <w:tr w:rsidR="003E43F4" w:rsidRPr="00B57B36" w:rsidTr="0084648F">
        <w:tc>
          <w:tcPr>
            <w:tcW w:w="884" w:type="pct"/>
            <w:tcBorders>
              <w:top w:val="single" w:sz="12" w:space="0" w:color="008000"/>
              <w:bottom w:val="single" w:sz="6" w:space="0" w:color="008000"/>
            </w:tcBorders>
            <w:shd w:val="clear" w:color="auto" w:fill="FFFFFF"/>
          </w:tcPr>
          <w:p w:rsidR="003E43F4" w:rsidRPr="004E10E0" w:rsidRDefault="003E43F4" w:rsidP="003E43F4">
            <w:pPr>
              <w:pStyle w:val="CETBodytext"/>
              <w:rPr>
                <w:lang w:val="en-GB"/>
              </w:rPr>
            </w:pPr>
            <w:r w:rsidRPr="004E10E0">
              <w:rPr>
                <w:lang w:val="en-GB"/>
              </w:rPr>
              <w:t>Experiment</w:t>
            </w:r>
          </w:p>
        </w:tc>
        <w:tc>
          <w:tcPr>
            <w:tcW w:w="729" w:type="pct"/>
            <w:tcBorders>
              <w:top w:val="single" w:sz="12" w:space="0" w:color="008000"/>
              <w:bottom w:val="single" w:sz="6" w:space="0" w:color="008000"/>
            </w:tcBorders>
            <w:shd w:val="clear" w:color="auto" w:fill="FFFFFF"/>
          </w:tcPr>
          <w:p w:rsidR="003E43F4" w:rsidRPr="004E10E0" w:rsidRDefault="003E43F4" w:rsidP="003E43F4">
            <w:pPr>
              <w:pStyle w:val="CETBodytext"/>
              <w:rPr>
                <w:lang w:val="en-GB"/>
              </w:rPr>
            </w:pPr>
          </w:p>
        </w:tc>
        <w:tc>
          <w:tcPr>
            <w:tcW w:w="888" w:type="pct"/>
            <w:tcBorders>
              <w:top w:val="single" w:sz="12" w:space="0" w:color="008000"/>
              <w:bottom w:val="single" w:sz="6" w:space="0" w:color="008000"/>
            </w:tcBorders>
            <w:shd w:val="clear" w:color="auto" w:fill="FFFFFF"/>
          </w:tcPr>
          <w:p w:rsidR="003E43F4" w:rsidRPr="004E10E0" w:rsidRDefault="003E43F4" w:rsidP="003E43F4">
            <w:pPr>
              <w:pStyle w:val="CETBodytext"/>
              <w:rPr>
                <w:lang w:val="en-GB"/>
              </w:rPr>
            </w:pPr>
            <w:r w:rsidRPr="004E10E0">
              <w:rPr>
                <w:lang w:val="en-GB"/>
              </w:rPr>
              <w:t>1</w:t>
            </w:r>
          </w:p>
        </w:tc>
        <w:tc>
          <w:tcPr>
            <w:tcW w:w="982" w:type="pct"/>
            <w:tcBorders>
              <w:top w:val="single" w:sz="12" w:space="0" w:color="008000"/>
              <w:bottom w:val="single" w:sz="6" w:space="0" w:color="008000"/>
            </w:tcBorders>
            <w:shd w:val="clear" w:color="auto" w:fill="FFFFFF"/>
          </w:tcPr>
          <w:p w:rsidR="003E43F4" w:rsidRPr="004E10E0" w:rsidRDefault="003E43F4" w:rsidP="003E43F4">
            <w:pPr>
              <w:pStyle w:val="CETBodytext"/>
              <w:rPr>
                <w:lang w:val="en-GB"/>
              </w:rPr>
            </w:pPr>
            <w:r w:rsidRPr="004E10E0">
              <w:rPr>
                <w:lang w:val="en-GB"/>
              </w:rPr>
              <w:t>2</w:t>
            </w:r>
          </w:p>
        </w:tc>
        <w:tc>
          <w:tcPr>
            <w:tcW w:w="712" w:type="pct"/>
            <w:tcBorders>
              <w:top w:val="single" w:sz="12" w:space="0" w:color="008000"/>
              <w:bottom w:val="single" w:sz="6" w:space="0" w:color="008000"/>
            </w:tcBorders>
            <w:shd w:val="clear" w:color="auto" w:fill="FFFFFF"/>
          </w:tcPr>
          <w:p w:rsidR="003E43F4" w:rsidRPr="004E10E0" w:rsidRDefault="003E43F4" w:rsidP="003E43F4">
            <w:pPr>
              <w:pStyle w:val="CETBodytext"/>
              <w:rPr>
                <w:lang w:val="en-GB"/>
              </w:rPr>
            </w:pPr>
            <w:r w:rsidRPr="004E10E0">
              <w:rPr>
                <w:lang w:val="en-GB"/>
              </w:rPr>
              <w:t>3</w:t>
            </w:r>
          </w:p>
        </w:tc>
        <w:tc>
          <w:tcPr>
            <w:tcW w:w="805" w:type="pct"/>
            <w:tcBorders>
              <w:top w:val="single" w:sz="12" w:space="0" w:color="008000"/>
              <w:bottom w:val="single" w:sz="6" w:space="0" w:color="008000"/>
            </w:tcBorders>
            <w:shd w:val="clear" w:color="auto" w:fill="FFFFFF"/>
          </w:tcPr>
          <w:p w:rsidR="003E43F4" w:rsidRPr="004E10E0" w:rsidRDefault="003E43F4" w:rsidP="003E43F4">
            <w:pPr>
              <w:pStyle w:val="CETBodytext"/>
              <w:rPr>
                <w:lang w:val="en-GB"/>
              </w:rPr>
            </w:pPr>
            <w:r w:rsidRPr="004E10E0">
              <w:rPr>
                <w:lang w:val="en-GB"/>
              </w:rPr>
              <w:t>4</w:t>
            </w:r>
          </w:p>
        </w:tc>
      </w:tr>
      <w:tr w:rsidR="003E43F4" w:rsidRPr="00B57B36" w:rsidTr="0084648F">
        <w:trPr>
          <w:trHeight w:val="51"/>
        </w:trPr>
        <w:tc>
          <w:tcPr>
            <w:tcW w:w="1613" w:type="pct"/>
            <w:gridSpan w:val="2"/>
            <w:tcBorders>
              <w:top w:val="single" w:sz="6" w:space="0" w:color="008000"/>
              <w:left w:val="nil"/>
              <w:bottom w:val="single" w:sz="12" w:space="0" w:color="008000"/>
              <w:right w:val="nil"/>
            </w:tcBorders>
            <w:shd w:val="clear" w:color="auto" w:fill="FFFFFF"/>
          </w:tcPr>
          <w:p w:rsidR="003E43F4" w:rsidRDefault="003E43F4" w:rsidP="003E43F4">
            <w:pPr>
              <w:pStyle w:val="CETBodytext"/>
            </w:pPr>
            <w:r>
              <w:t xml:space="preserve">Experiment Description </w:t>
            </w:r>
          </w:p>
        </w:tc>
        <w:tc>
          <w:tcPr>
            <w:tcW w:w="888" w:type="pct"/>
            <w:tcBorders>
              <w:top w:val="single" w:sz="6" w:space="0" w:color="008000"/>
              <w:left w:val="nil"/>
              <w:bottom w:val="single" w:sz="12" w:space="0" w:color="008000"/>
              <w:right w:val="nil"/>
            </w:tcBorders>
            <w:shd w:val="clear" w:color="auto" w:fill="FFFFFF"/>
          </w:tcPr>
          <w:p w:rsidR="003E43F4" w:rsidRPr="00705FBD" w:rsidRDefault="003E43F4" w:rsidP="00032F18">
            <w:pPr>
              <w:pStyle w:val="CETBodytext"/>
            </w:pPr>
            <w:r>
              <w:t>W</w:t>
            </w:r>
            <w:r w:rsidR="00032F18">
              <w:t>W</w:t>
            </w:r>
            <w:r>
              <w:t xml:space="preserve"> +</w:t>
            </w:r>
            <w:r w:rsidR="00032F18">
              <w:t xml:space="preserve"> </w:t>
            </w:r>
            <w:r w:rsidRPr="00705FBD">
              <w:t>CaCO</w:t>
            </w:r>
            <w:r w:rsidRPr="00676BFC">
              <w:rPr>
                <w:vertAlign w:val="subscript"/>
              </w:rPr>
              <w:t>3</w:t>
            </w:r>
            <w:r w:rsidRPr="00705FBD">
              <w:t xml:space="preserve"> </w:t>
            </w:r>
          </w:p>
        </w:tc>
        <w:tc>
          <w:tcPr>
            <w:tcW w:w="982" w:type="pct"/>
            <w:tcBorders>
              <w:top w:val="single" w:sz="6" w:space="0" w:color="008000"/>
              <w:left w:val="nil"/>
              <w:bottom w:val="single" w:sz="12" w:space="0" w:color="008000"/>
              <w:right w:val="nil"/>
            </w:tcBorders>
            <w:shd w:val="clear" w:color="auto" w:fill="FFFFFF"/>
          </w:tcPr>
          <w:p w:rsidR="003E43F4" w:rsidRPr="00705FBD" w:rsidRDefault="00032F18" w:rsidP="00032F18">
            <w:pPr>
              <w:pStyle w:val="CETBodytext"/>
            </w:pPr>
            <w:r>
              <w:t xml:space="preserve">WW + </w:t>
            </w:r>
            <w:r w:rsidR="003E43F4" w:rsidRPr="00705FBD">
              <w:t>CaSO</w:t>
            </w:r>
            <w:r w:rsidR="003E43F4" w:rsidRPr="00676BFC">
              <w:rPr>
                <w:vertAlign w:val="subscript"/>
              </w:rPr>
              <w:t>4</w:t>
            </w:r>
            <w:r w:rsidR="003E43F4" w:rsidRPr="00705FBD">
              <w:t xml:space="preserve">  </w:t>
            </w:r>
          </w:p>
        </w:tc>
        <w:tc>
          <w:tcPr>
            <w:tcW w:w="712" w:type="pct"/>
            <w:tcBorders>
              <w:top w:val="single" w:sz="6" w:space="0" w:color="008000"/>
              <w:left w:val="nil"/>
              <w:bottom w:val="single" w:sz="12" w:space="0" w:color="008000"/>
              <w:right w:val="nil"/>
            </w:tcBorders>
            <w:shd w:val="clear" w:color="auto" w:fill="FFFFFF"/>
          </w:tcPr>
          <w:p w:rsidR="003E43F4" w:rsidRPr="00705FBD" w:rsidRDefault="003E43F4" w:rsidP="00032F18">
            <w:pPr>
              <w:pStyle w:val="CETBodytext"/>
            </w:pPr>
            <w:r w:rsidRPr="00705FBD">
              <w:t>W</w:t>
            </w:r>
            <w:r w:rsidR="00032F18">
              <w:t>W</w:t>
            </w:r>
            <w:r>
              <w:t xml:space="preserve"> +</w:t>
            </w:r>
            <w:r w:rsidR="00032F18">
              <w:t xml:space="preserve"> </w:t>
            </w:r>
            <w:r>
              <w:t xml:space="preserve">Air </w:t>
            </w:r>
          </w:p>
        </w:tc>
        <w:tc>
          <w:tcPr>
            <w:tcW w:w="805" w:type="pct"/>
            <w:tcBorders>
              <w:top w:val="single" w:sz="6" w:space="0" w:color="008000"/>
              <w:left w:val="nil"/>
              <w:bottom w:val="single" w:sz="12" w:space="0" w:color="008000"/>
              <w:right w:val="nil"/>
            </w:tcBorders>
            <w:shd w:val="clear" w:color="auto" w:fill="FFFFFF"/>
          </w:tcPr>
          <w:p w:rsidR="003E43F4" w:rsidRDefault="003E43F4" w:rsidP="00032F18">
            <w:pPr>
              <w:pStyle w:val="CETBodytext"/>
            </w:pPr>
            <w:r w:rsidRPr="00705FBD">
              <w:t xml:space="preserve">Uninoculated </w:t>
            </w:r>
            <w:r>
              <w:t>W</w:t>
            </w:r>
            <w:r w:rsidR="00032F18">
              <w:t>W</w:t>
            </w:r>
            <w:r>
              <w:t xml:space="preserve"> +</w:t>
            </w:r>
            <w:r w:rsidRPr="00705FBD">
              <w:t>CaCO</w:t>
            </w:r>
            <w:r w:rsidRPr="00676BFC">
              <w:rPr>
                <w:vertAlign w:val="subscript"/>
              </w:rPr>
              <w:t>3</w:t>
            </w:r>
            <w:r w:rsidRPr="00705FBD">
              <w:t xml:space="preserve"> </w:t>
            </w:r>
          </w:p>
        </w:tc>
      </w:tr>
      <w:tr w:rsidR="003E43F4" w:rsidRPr="00B57B36" w:rsidTr="0084648F">
        <w:tc>
          <w:tcPr>
            <w:tcW w:w="1613" w:type="pct"/>
            <w:gridSpan w:val="2"/>
            <w:tcBorders>
              <w:top w:val="single" w:sz="12" w:space="0" w:color="008000"/>
              <w:left w:val="nil"/>
              <w:bottom w:val="single" w:sz="6" w:space="0" w:color="008000"/>
              <w:right w:val="nil"/>
            </w:tcBorders>
            <w:shd w:val="clear" w:color="auto" w:fill="FFFFFF"/>
            <w:vAlign w:val="bottom"/>
          </w:tcPr>
          <w:p w:rsidR="003E43F4" w:rsidRDefault="003E43F4" w:rsidP="003E43F4">
            <w:pPr>
              <w:pStyle w:val="CETBodytext"/>
            </w:pPr>
            <w:r>
              <w:t>Pre-Experimental Parameters</w:t>
            </w:r>
          </w:p>
        </w:tc>
        <w:tc>
          <w:tcPr>
            <w:tcW w:w="888" w:type="pct"/>
            <w:tcBorders>
              <w:top w:val="single" w:sz="12" w:space="0" w:color="008000"/>
              <w:left w:val="nil"/>
              <w:bottom w:val="single" w:sz="6" w:space="0" w:color="008000"/>
              <w:right w:val="nil"/>
            </w:tcBorders>
            <w:shd w:val="clear" w:color="auto" w:fill="FFFFFF"/>
            <w:vAlign w:val="bottom"/>
          </w:tcPr>
          <w:p w:rsidR="003E43F4" w:rsidRDefault="003E43F4" w:rsidP="003E43F4">
            <w:pPr>
              <w:pStyle w:val="CETBodytext"/>
            </w:pPr>
          </w:p>
        </w:tc>
        <w:tc>
          <w:tcPr>
            <w:tcW w:w="982" w:type="pct"/>
            <w:tcBorders>
              <w:top w:val="single" w:sz="12" w:space="0" w:color="008000"/>
              <w:left w:val="nil"/>
              <w:bottom w:val="single" w:sz="6" w:space="0" w:color="008000"/>
              <w:right w:val="nil"/>
            </w:tcBorders>
            <w:shd w:val="clear" w:color="auto" w:fill="FFFFFF"/>
            <w:vAlign w:val="bottom"/>
          </w:tcPr>
          <w:p w:rsidR="003E43F4" w:rsidRDefault="003E43F4" w:rsidP="003E43F4">
            <w:pPr>
              <w:pStyle w:val="CETBodytext"/>
            </w:pPr>
          </w:p>
        </w:tc>
        <w:tc>
          <w:tcPr>
            <w:tcW w:w="712" w:type="pct"/>
            <w:tcBorders>
              <w:top w:val="single" w:sz="12" w:space="0" w:color="008000"/>
              <w:left w:val="nil"/>
              <w:bottom w:val="single" w:sz="6" w:space="0" w:color="008000"/>
              <w:right w:val="nil"/>
            </w:tcBorders>
            <w:shd w:val="clear" w:color="auto" w:fill="FFFFFF"/>
            <w:vAlign w:val="bottom"/>
          </w:tcPr>
          <w:p w:rsidR="003E43F4" w:rsidRDefault="003E43F4" w:rsidP="003E43F4">
            <w:pPr>
              <w:pStyle w:val="CETBodytext"/>
            </w:pPr>
          </w:p>
        </w:tc>
        <w:tc>
          <w:tcPr>
            <w:tcW w:w="805" w:type="pct"/>
            <w:tcBorders>
              <w:top w:val="single" w:sz="12" w:space="0" w:color="008000"/>
              <w:left w:val="nil"/>
              <w:bottom w:val="single" w:sz="6" w:space="0" w:color="008000"/>
              <w:right w:val="nil"/>
            </w:tcBorders>
            <w:shd w:val="clear" w:color="auto" w:fill="FFFFFF"/>
            <w:vAlign w:val="bottom"/>
          </w:tcPr>
          <w:p w:rsidR="003E43F4" w:rsidRDefault="003E43F4" w:rsidP="003E43F4">
            <w:pPr>
              <w:pStyle w:val="CETBodytext"/>
            </w:pPr>
          </w:p>
        </w:tc>
      </w:tr>
      <w:tr w:rsidR="003E43F4" w:rsidRPr="00B57B36" w:rsidTr="00032F18">
        <w:tc>
          <w:tcPr>
            <w:tcW w:w="1613" w:type="pct"/>
            <w:gridSpan w:val="2"/>
            <w:tcBorders>
              <w:top w:val="single" w:sz="6" w:space="0" w:color="008000"/>
              <w:left w:val="nil"/>
              <w:bottom w:val="nil"/>
              <w:right w:val="nil"/>
            </w:tcBorders>
            <w:shd w:val="clear" w:color="auto" w:fill="FFFFFF"/>
            <w:vAlign w:val="bottom"/>
          </w:tcPr>
          <w:p w:rsidR="003E43F4" w:rsidRDefault="003E43F4" w:rsidP="003E43F4">
            <w:pPr>
              <w:pStyle w:val="CETBodytext"/>
            </w:pPr>
            <w:r>
              <w:t>Initial Volume, V</w:t>
            </w:r>
            <w:r w:rsidRPr="009937A8">
              <w:rPr>
                <w:vertAlign w:val="subscript"/>
              </w:rPr>
              <w:t>0</w:t>
            </w:r>
            <w:r>
              <w:t xml:space="preserve"> (ml)</w:t>
            </w:r>
          </w:p>
        </w:tc>
        <w:tc>
          <w:tcPr>
            <w:tcW w:w="888" w:type="pct"/>
            <w:tcBorders>
              <w:top w:val="single" w:sz="6" w:space="0" w:color="008000"/>
              <w:left w:val="nil"/>
              <w:bottom w:val="nil"/>
              <w:right w:val="nil"/>
            </w:tcBorders>
            <w:shd w:val="clear" w:color="auto" w:fill="FFFFFF"/>
            <w:vAlign w:val="bottom"/>
          </w:tcPr>
          <w:p w:rsidR="003E43F4" w:rsidRDefault="003E43F4" w:rsidP="003E43F4">
            <w:pPr>
              <w:pStyle w:val="CETBodytext"/>
            </w:pPr>
            <w:r>
              <w:t>500</w:t>
            </w:r>
          </w:p>
        </w:tc>
        <w:tc>
          <w:tcPr>
            <w:tcW w:w="982" w:type="pct"/>
            <w:tcBorders>
              <w:top w:val="single" w:sz="6" w:space="0" w:color="008000"/>
              <w:left w:val="nil"/>
              <w:bottom w:val="nil"/>
              <w:right w:val="nil"/>
            </w:tcBorders>
            <w:shd w:val="clear" w:color="auto" w:fill="FFFFFF"/>
            <w:vAlign w:val="bottom"/>
          </w:tcPr>
          <w:p w:rsidR="003E43F4" w:rsidRDefault="003E43F4" w:rsidP="003E43F4">
            <w:pPr>
              <w:pStyle w:val="CETBodytext"/>
            </w:pPr>
            <w:r>
              <w:t>500</w:t>
            </w:r>
          </w:p>
        </w:tc>
        <w:tc>
          <w:tcPr>
            <w:tcW w:w="712" w:type="pct"/>
            <w:tcBorders>
              <w:top w:val="single" w:sz="6" w:space="0" w:color="008000"/>
              <w:left w:val="nil"/>
              <w:bottom w:val="nil"/>
              <w:right w:val="nil"/>
            </w:tcBorders>
            <w:shd w:val="clear" w:color="auto" w:fill="FFFFFF"/>
            <w:vAlign w:val="bottom"/>
          </w:tcPr>
          <w:p w:rsidR="003E43F4" w:rsidRDefault="003E43F4" w:rsidP="003E43F4">
            <w:pPr>
              <w:pStyle w:val="CETBodytext"/>
            </w:pPr>
            <w:r>
              <w:t>500</w:t>
            </w:r>
          </w:p>
        </w:tc>
        <w:tc>
          <w:tcPr>
            <w:tcW w:w="805" w:type="pct"/>
            <w:tcBorders>
              <w:top w:val="single" w:sz="6" w:space="0" w:color="008000"/>
              <w:left w:val="nil"/>
              <w:bottom w:val="nil"/>
              <w:right w:val="nil"/>
            </w:tcBorders>
            <w:shd w:val="clear" w:color="auto" w:fill="FFFFFF"/>
            <w:vAlign w:val="bottom"/>
          </w:tcPr>
          <w:p w:rsidR="003E43F4" w:rsidRDefault="003E43F4" w:rsidP="003E43F4">
            <w:pPr>
              <w:pStyle w:val="CETBodytext"/>
            </w:pPr>
            <w:r>
              <w:t>500</w:t>
            </w:r>
          </w:p>
        </w:tc>
      </w:tr>
      <w:tr w:rsidR="003E43F4" w:rsidRPr="00B57B36" w:rsidTr="00032F18">
        <w:tc>
          <w:tcPr>
            <w:tcW w:w="1613" w:type="pct"/>
            <w:gridSpan w:val="2"/>
            <w:tcBorders>
              <w:top w:val="nil"/>
              <w:left w:val="nil"/>
              <w:bottom w:val="nil"/>
              <w:right w:val="nil"/>
            </w:tcBorders>
            <w:shd w:val="clear" w:color="auto" w:fill="FFFFFF"/>
            <w:vAlign w:val="bottom"/>
          </w:tcPr>
          <w:p w:rsidR="003E43F4" w:rsidRDefault="003E43F4" w:rsidP="003E43F4">
            <w:pPr>
              <w:pStyle w:val="CETBodytext"/>
            </w:pPr>
            <w:r>
              <w:t>Initial CaCO3 Mass (mg)</w:t>
            </w:r>
          </w:p>
        </w:tc>
        <w:tc>
          <w:tcPr>
            <w:tcW w:w="888" w:type="pct"/>
            <w:tcBorders>
              <w:top w:val="nil"/>
              <w:left w:val="nil"/>
              <w:bottom w:val="nil"/>
              <w:right w:val="nil"/>
            </w:tcBorders>
            <w:shd w:val="clear" w:color="auto" w:fill="FFFFFF"/>
            <w:vAlign w:val="bottom"/>
          </w:tcPr>
          <w:p w:rsidR="003E43F4" w:rsidRDefault="003E43F4" w:rsidP="003E43F4">
            <w:pPr>
              <w:pStyle w:val="CETBodytext"/>
            </w:pPr>
            <w:r>
              <w:t>5000</w:t>
            </w:r>
          </w:p>
        </w:tc>
        <w:tc>
          <w:tcPr>
            <w:tcW w:w="982" w:type="pct"/>
            <w:tcBorders>
              <w:top w:val="nil"/>
              <w:left w:val="nil"/>
              <w:bottom w:val="nil"/>
              <w:right w:val="nil"/>
            </w:tcBorders>
            <w:shd w:val="clear" w:color="auto" w:fill="FFFFFF"/>
            <w:vAlign w:val="bottom"/>
          </w:tcPr>
          <w:p w:rsidR="003E43F4" w:rsidRDefault="003E43F4" w:rsidP="003E43F4">
            <w:pPr>
              <w:pStyle w:val="CETBodytext"/>
            </w:pPr>
            <w:r>
              <w:t>0</w:t>
            </w:r>
          </w:p>
        </w:tc>
        <w:tc>
          <w:tcPr>
            <w:tcW w:w="712" w:type="pct"/>
            <w:tcBorders>
              <w:top w:val="nil"/>
              <w:left w:val="nil"/>
              <w:bottom w:val="nil"/>
              <w:right w:val="nil"/>
            </w:tcBorders>
            <w:shd w:val="clear" w:color="auto" w:fill="FFFFFF"/>
            <w:vAlign w:val="bottom"/>
          </w:tcPr>
          <w:p w:rsidR="003E43F4" w:rsidRDefault="003E43F4" w:rsidP="003E43F4">
            <w:pPr>
              <w:pStyle w:val="CETBodytext"/>
            </w:pPr>
            <w:r>
              <w:t>0</w:t>
            </w:r>
          </w:p>
        </w:tc>
        <w:tc>
          <w:tcPr>
            <w:tcW w:w="805" w:type="pct"/>
            <w:tcBorders>
              <w:top w:val="nil"/>
              <w:left w:val="nil"/>
              <w:bottom w:val="nil"/>
              <w:right w:val="nil"/>
            </w:tcBorders>
            <w:shd w:val="clear" w:color="auto" w:fill="FFFFFF"/>
            <w:vAlign w:val="bottom"/>
          </w:tcPr>
          <w:p w:rsidR="003E43F4" w:rsidRDefault="003E43F4" w:rsidP="003E43F4">
            <w:pPr>
              <w:pStyle w:val="CETBodytext"/>
            </w:pPr>
            <w:r>
              <w:t>5000</w:t>
            </w:r>
          </w:p>
        </w:tc>
      </w:tr>
      <w:tr w:rsidR="003E43F4" w:rsidRPr="00B57B36" w:rsidTr="00032F18">
        <w:tc>
          <w:tcPr>
            <w:tcW w:w="1613" w:type="pct"/>
            <w:gridSpan w:val="2"/>
            <w:tcBorders>
              <w:top w:val="nil"/>
              <w:left w:val="nil"/>
              <w:bottom w:val="nil"/>
              <w:right w:val="nil"/>
            </w:tcBorders>
            <w:shd w:val="clear" w:color="auto" w:fill="FFFFFF"/>
            <w:vAlign w:val="bottom"/>
          </w:tcPr>
          <w:p w:rsidR="003E43F4" w:rsidRDefault="003E43F4" w:rsidP="003E43F4">
            <w:pPr>
              <w:pStyle w:val="CETBodytext"/>
            </w:pPr>
            <w:r>
              <w:t>Initial TOC Mass (mg)</w:t>
            </w:r>
          </w:p>
        </w:tc>
        <w:tc>
          <w:tcPr>
            <w:tcW w:w="888" w:type="pct"/>
            <w:tcBorders>
              <w:top w:val="nil"/>
              <w:left w:val="nil"/>
              <w:bottom w:val="nil"/>
              <w:right w:val="nil"/>
            </w:tcBorders>
            <w:shd w:val="clear" w:color="auto" w:fill="FFFFFF"/>
            <w:vAlign w:val="bottom"/>
          </w:tcPr>
          <w:p w:rsidR="003E43F4" w:rsidRDefault="003E43F4" w:rsidP="003E43F4">
            <w:pPr>
              <w:pStyle w:val="CETBodytext"/>
            </w:pPr>
            <w:r>
              <w:t>28.2</w:t>
            </w:r>
          </w:p>
        </w:tc>
        <w:tc>
          <w:tcPr>
            <w:tcW w:w="982" w:type="pct"/>
            <w:tcBorders>
              <w:top w:val="nil"/>
              <w:left w:val="nil"/>
              <w:bottom w:val="nil"/>
              <w:right w:val="nil"/>
            </w:tcBorders>
            <w:shd w:val="clear" w:color="auto" w:fill="FFFFFF"/>
            <w:vAlign w:val="bottom"/>
          </w:tcPr>
          <w:p w:rsidR="003E43F4" w:rsidRDefault="003E43F4" w:rsidP="003E43F4">
            <w:pPr>
              <w:pStyle w:val="CETBodytext"/>
            </w:pPr>
            <w:r>
              <w:t>28.2</w:t>
            </w:r>
          </w:p>
        </w:tc>
        <w:tc>
          <w:tcPr>
            <w:tcW w:w="712" w:type="pct"/>
            <w:tcBorders>
              <w:top w:val="nil"/>
              <w:left w:val="nil"/>
              <w:bottom w:val="nil"/>
              <w:right w:val="nil"/>
            </w:tcBorders>
            <w:shd w:val="clear" w:color="auto" w:fill="FFFFFF"/>
            <w:vAlign w:val="bottom"/>
          </w:tcPr>
          <w:p w:rsidR="003E43F4" w:rsidRDefault="003E43F4" w:rsidP="003E43F4">
            <w:pPr>
              <w:pStyle w:val="CETBodytext"/>
            </w:pPr>
            <w:r>
              <w:t>29.7</w:t>
            </w:r>
          </w:p>
        </w:tc>
        <w:tc>
          <w:tcPr>
            <w:tcW w:w="805" w:type="pct"/>
            <w:tcBorders>
              <w:top w:val="nil"/>
              <w:left w:val="nil"/>
              <w:bottom w:val="nil"/>
              <w:right w:val="nil"/>
            </w:tcBorders>
            <w:shd w:val="clear" w:color="auto" w:fill="FFFFFF"/>
            <w:vAlign w:val="bottom"/>
          </w:tcPr>
          <w:p w:rsidR="003E43F4" w:rsidRDefault="003E43F4" w:rsidP="003E43F4">
            <w:pPr>
              <w:pStyle w:val="CETBodytext"/>
            </w:pPr>
            <w:r>
              <w:t>28.2</w:t>
            </w:r>
          </w:p>
        </w:tc>
      </w:tr>
      <w:tr w:rsidR="003E43F4" w:rsidRPr="00B57B36" w:rsidTr="00032F18">
        <w:tc>
          <w:tcPr>
            <w:tcW w:w="1613" w:type="pct"/>
            <w:gridSpan w:val="2"/>
            <w:tcBorders>
              <w:top w:val="nil"/>
              <w:left w:val="nil"/>
              <w:bottom w:val="nil"/>
              <w:right w:val="nil"/>
            </w:tcBorders>
            <w:shd w:val="clear" w:color="auto" w:fill="FFFFFF"/>
            <w:vAlign w:val="bottom"/>
          </w:tcPr>
          <w:p w:rsidR="003E43F4" w:rsidRDefault="003E43F4" w:rsidP="003E43F4">
            <w:pPr>
              <w:pStyle w:val="CETBodytext"/>
            </w:pPr>
            <w:r>
              <w:t>Initial N Mass (mg)</w:t>
            </w:r>
          </w:p>
        </w:tc>
        <w:tc>
          <w:tcPr>
            <w:tcW w:w="888" w:type="pct"/>
            <w:tcBorders>
              <w:top w:val="nil"/>
              <w:left w:val="nil"/>
              <w:bottom w:val="nil"/>
              <w:right w:val="nil"/>
            </w:tcBorders>
            <w:shd w:val="clear" w:color="auto" w:fill="FFFFFF"/>
            <w:vAlign w:val="bottom"/>
          </w:tcPr>
          <w:p w:rsidR="003E43F4" w:rsidRDefault="003E43F4" w:rsidP="003E43F4">
            <w:pPr>
              <w:pStyle w:val="CETBodytext"/>
            </w:pPr>
            <w:r>
              <w:t>22.8</w:t>
            </w:r>
          </w:p>
        </w:tc>
        <w:tc>
          <w:tcPr>
            <w:tcW w:w="982" w:type="pct"/>
            <w:tcBorders>
              <w:top w:val="nil"/>
              <w:left w:val="nil"/>
              <w:bottom w:val="nil"/>
              <w:right w:val="nil"/>
            </w:tcBorders>
            <w:shd w:val="clear" w:color="auto" w:fill="FFFFFF"/>
            <w:vAlign w:val="bottom"/>
          </w:tcPr>
          <w:p w:rsidR="003E43F4" w:rsidRDefault="003E43F4" w:rsidP="003E43F4">
            <w:pPr>
              <w:pStyle w:val="CETBodytext"/>
            </w:pPr>
            <w:r>
              <w:t>22.8</w:t>
            </w:r>
          </w:p>
        </w:tc>
        <w:tc>
          <w:tcPr>
            <w:tcW w:w="712" w:type="pct"/>
            <w:tcBorders>
              <w:top w:val="nil"/>
              <w:left w:val="nil"/>
              <w:bottom w:val="nil"/>
              <w:right w:val="nil"/>
            </w:tcBorders>
            <w:shd w:val="clear" w:color="auto" w:fill="FFFFFF"/>
            <w:vAlign w:val="bottom"/>
          </w:tcPr>
          <w:p w:rsidR="003E43F4" w:rsidRDefault="003E43F4" w:rsidP="003E43F4">
            <w:pPr>
              <w:pStyle w:val="CETBodytext"/>
            </w:pPr>
            <w:r>
              <w:t>27.5</w:t>
            </w:r>
          </w:p>
        </w:tc>
        <w:tc>
          <w:tcPr>
            <w:tcW w:w="805" w:type="pct"/>
            <w:tcBorders>
              <w:top w:val="nil"/>
              <w:left w:val="nil"/>
              <w:bottom w:val="nil"/>
              <w:right w:val="nil"/>
            </w:tcBorders>
            <w:shd w:val="clear" w:color="auto" w:fill="FFFFFF"/>
            <w:vAlign w:val="bottom"/>
          </w:tcPr>
          <w:p w:rsidR="003E43F4" w:rsidRDefault="003E43F4" w:rsidP="003E43F4">
            <w:pPr>
              <w:pStyle w:val="CETBodytext"/>
            </w:pPr>
            <w:r>
              <w:t>22.8</w:t>
            </w:r>
          </w:p>
        </w:tc>
      </w:tr>
      <w:tr w:rsidR="003E43F4" w:rsidRPr="00B57B36" w:rsidTr="0084648F">
        <w:tc>
          <w:tcPr>
            <w:tcW w:w="1613" w:type="pct"/>
            <w:gridSpan w:val="2"/>
            <w:tcBorders>
              <w:top w:val="nil"/>
              <w:left w:val="nil"/>
              <w:bottom w:val="nil"/>
              <w:right w:val="nil"/>
            </w:tcBorders>
            <w:shd w:val="clear" w:color="auto" w:fill="FFFFFF"/>
            <w:vAlign w:val="bottom"/>
          </w:tcPr>
          <w:p w:rsidR="003E43F4" w:rsidRDefault="003E43F4" w:rsidP="003E43F4">
            <w:pPr>
              <w:pStyle w:val="CETBodytext"/>
            </w:pPr>
            <w:r>
              <w:t>Initial PO4 (mg)</w:t>
            </w:r>
          </w:p>
        </w:tc>
        <w:tc>
          <w:tcPr>
            <w:tcW w:w="888" w:type="pct"/>
            <w:tcBorders>
              <w:top w:val="nil"/>
              <w:left w:val="nil"/>
              <w:bottom w:val="nil"/>
              <w:right w:val="nil"/>
            </w:tcBorders>
            <w:shd w:val="clear" w:color="auto" w:fill="FFFFFF"/>
            <w:vAlign w:val="bottom"/>
          </w:tcPr>
          <w:p w:rsidR="003E43F4" w:rsidRDefault="003E43F4" w:rsidP="003E43F4">
            <w:pPr>
              <w:pStyle w:val="CETBodytext"/>
            </w:pPr>
            <w:r>
              <w:t>10.0</w:t>
            </w:r>
          </w:p>
        </w:tc>
        <w:tc>
          <w:tcPr>
            <w:tcW w:w="982" w:type="pct"/>
            <w:tcBorders>
              <w:top w:val="nil"/>
              <w:left w:val="nil"/>
              <w:bottom w:val="nil"/>
              <w:right w:val="nil"/>
            </w:tcBorders>
            <w:shd w:val="clear" w:color="auto" w:fill="FFFFFF"/>
            <w:vAlign w:val="bottom"/>
          </w:tcPr>
          <w:p w:rsidR="003E43F4" w:rsidRDefault="003E43F4" w:rsidP="003E43F4">
            <w:pPr>
              <w:pStyle w:val="CETBodytext"/>
            </w:pPr>
            <w:r>
              <w:t>10.0</w:t>
            </w:r>
          </w:p>
        </w:tc>
        <w:tc>
          <w:tcPr>
            <w:tcW w:w="712" w:type="pct"/>
            <w:tcBorders>
              <w:top w:val="nil"/>
              <w:left w:val="nil"/>
              <w:bottom w:val="nil"/>
              <w:right w:val="nil"/>
            </w:tcBorders>
            <w:shd w:val="clear" w:color="auto" w:fill="FFFFFF"/>
            <w:vAlign w:val="bottom"/>
          </w:tcPr>
          <w:p w:rsidR="003E43F4" w:rsidRDefault="003E43F4" w:rsidP="003E43F4">
            <w:pPr>
              <w:pStyle w:val="CETBodytext"/>
            </w:pPr>
            <w:r>
              <w:t>9.2</w:t>
            </w:r>
          </w:p>
        </w:tc>
        <w:tc>
          <w:tcPr>
            <w:tcW w:w="805" w:type="pct"/>
            <w:tcBorders>
              <w:top w:val="nil"/>
              <w:left w:val="nil"/>
              <w:bottom w:val="nil"/>
              <w:right w:val="nil"/>
            </w:tcBorders>
            <w:shd w:val="clear" w:color="auto" w:fill="FFFFFF"/>
            <w:vAlign w:val="bottom"/>
          </w:tcPr>
          <w:p w:rsidR="003E43F4" w:rsidRDefault="003E43F4" w:rsidP="003E43F4">
            <w:pPr>
              <w:pStyle w:val="CETBodytext"/>
            </w:pPr>
            <w:r>
              <w:t>10.0</w:t>
            </w:r>
          </w:p>
        </w:tc>
      </w:tr>
      <w:tr w:rsidR="003E43F4" w:rsidRPr="00B57B36" w:rsidTr="0084648F">
        <w:tc>
          <w:tcPr>
            <w:tcW w:w="1613" w:type="pct"/>
            <w:gridSpan w:val="2"/>
            <w:tcBorders>
              <w:top w:val="nil"/>
              <w:left w:val="nil"/>
              <w:bottom w:val="single" w:sz="12" w:space="0" w:color="008000"/>
              <w:right w:val="nil"/>
            </w:tcBorders>
            <w:shd w:val="clear" w:color="auto" w:fill="FFFFFF"/>
            <w:vAlign w:val="bottom"/>
          </w:tcPr>
          <w:p w:rsidR="003E43F4" w:rsidRDefault="003E43F4" w:rsidP="003E43F4">
            <w:pPr>
              <w:pStyle w:val="CETBodytext"/>
            </w:pPr>
            <w:r>
              <w:t>Initial pH</w:t>
            </w:r>
          </w:p>
        </w:tc>
        <w:tc>
          <w:tcPr>
            <w:tcW w:w="888" w:type="pct"/>
            <w:tcBorders>
              <w:top w:val="nil"/>
              <w:left w:val="nil"/>
              <w:bottom w:val="single" w:sz="12" w:space="0" w:color="008000"/>
              <w:right w:val="nil"/>
            </w:tcBorders>
            <w:shd w:val="clear" w:color="auto" w:fill="FFFFFF"/>
            <w:vAlign w:val="bottom"/>
          </w:tcPr>
          <w:p w:rsidR="003E43F4" w:rsidRDefault="003E43F4" w:rsidP="003E43F4">
            <w:pPr>
              <w:pStyle w:val="CETBodytext"/>
            </w:pPr>
            <w:r>
              <w:t>9.4</w:t>
            </w:r>
          </w:p>
        </w:tc>
        <w:tc>
          <w:tcPr>
            <w:tcW w:w="982" w:type="pct"/>
            <w:tcBorders>
              <w:top w:val="nil"/>
              <w:left w:val="nil"/>
              <w:bottom w:val="single" w:sz="12" w:space="0" w:color="008000"/>
              <w:right w:val="nil"/>
            </w:tcBorders>
            <w:shd w:val="clear" w:color="auto" w:fill="FFFFFF"/>
            <w:vAlign w:val="bottom"/>
          </w:tcPr>
          <w:p w:rsidR="003E43F4" w:rsidRDefault="003E43F4" w:rsidP="003E43F4">
            <w:pPr>
              <w:pStyle w:val="CETBodytext"/>
            </w:pPr>
            <w:r>
              <w:t>9.4</w:t>
            </w:r>
          </w:p>
        </w:tc>
        <w:tc>
          <w:tcPr>
            <w:tcW w:w="712" w:type="pct"/>
            <w:tcBorders>
              <w:top w:val="nil"/>
              <w:left w:val="nil"/>
              <w:bottom w:val="single" w:sz="12" w:space="0" w:color="008000"/>
              <w:right w:val="nil"/>
            </w:tcBorders>
            <w:shd w:val="clear" w:color="auto" w:fill="FFFFFF"/>
            <w:vAlign w:val="bottom"/>
          </w:tcPr>
          <w:p w:rsidR="003E43F4" w:rsidRDefault="003E43F4" w:rsidP="003E43F4">
            <w:pPr>
              <w:pStyle w:val="CETBodytext"/>
            </w:pPr>
            <w:r>
              <w:t>8.9</w:t>
            </w:r>
          </w:p>
        </w:tc>
        <w:tc>
          <w:tcPr>
            <w:tcW w:w="805" w:type="pct"/>
            <w:tcBorders>
              <w:top w:val="nil"/>
              <w:left w:val="nil"/>
              <w:bottom w:val="single" w:sz="12" w:space="0" w:color="008000"/>
              <w:right w:val="nil"/>
            </w:tcBorders>
            <w:shd w:val="clear" w:color="auto" w:fill="FFFFFF"/>
            <w:vAlign w:val="bottom"/>
          </w:tcPr>
          <w:p w:rsidR="003E43F4" w:rsidRDefault="003E43F4" w:rsidP="003E43F4">
            <w:pPr>
              <w:pStyle w:val="CETBodytext"/>
            </w:pPr>
            <w:r>
              <w:t>9.4</w:t>
            </w:r>
          </w:p>
        </w:tc>
      </w:tr>
      <w:tr w:rsidR="003E43F4" w:rsidRPr="00B57B36" w:rsidTr="0084648F">
        <w:tc>
          <w:tcPr>
            <w:tcW w:w="1613" w:type="pct"/>
            <w:gridSpan w:val="2"/>
            <w:tcBorders>
              <w:top w:val="single" w:sz="12" w:space="0" w:color="008000"/>
              <w:left w:val="nil"/>
              <w:bottom w:val="single" w:sz="6" w:space="0" w:color="008000"/>
              <w:right w:val="nil"/>
            </w:tcBorders>
            <w:shd w:val="clear" w:color="auto" w:fill="FFFFFF"/>
          </w:tcPr>
          <w:p w:rsidR="003E43F4" w:rsidRDefault="003E43F4" w:rsidP="003E43F4">
            <w:pPr>
              <w:pStyle w:val="CETBodytext"/>
            </w:pPr>
            <w:r>
              <w:t>Post-Experimental Parameters</w:t>
            </w:r>
          </w:p>
        </w:tc>
        <w:tc>
          <w:tcPr>
            <w:tcW w:w="888" w:type="pct"/>
            <w:tcBorders>
              <w:top w:val="single" w:sz="12" w:space="0" w:color="008000"/>
              <w:left w:val="nil"/>
              <w:bottom w:val="single" w:sz="6" w:space="0" w:color="008000"/>
              <w:right w:val="nil"/>
            </w:tcBorders>
            <w:shd w:val="clear" w:color="auto" w:fill="FFFFFF"/>
            <w:vAlign w:val="bottom"/>
          </w:tcPr>
          <w:p w:rsidR="003E43F4" w:rsidRDefault="003E43F4" w:rsidP="003E43F4">
            <w:pPr>
              <w:pStyle w:val="CETBodytext"/>
            </w:pPr>
          </w:p>
        </w:tc>
        <w:tc>
          <w:tcPr>
            <w:tcW w:w="982" w:type="pct"/>
            <w:tcBorders>
              <w:top w:val="single" w:sz="12" w:space="0" w:color="008000"/>
              <w:left w:val="nil"/>
              <w:bottom w:val="single" w:sz="6" w:space="0" w:color="008000"/>
              <w:right w:val="nil"/>
            </w:tcBorders>
            <w:shd w:val="clear" w:color="auto" w:fill="FFFFFF"/>
            <w:vAlign w:val="bottom"/>
          </w:tcPr>
          <w:p w:rsidR="003E43F4" w:rsidRDefault="003E43F4" w:rsidP="003E43F4">
            <w:pPr>
              <w:pStyle w:val="CETBodytext"/>
            </w:pPr>
          </w:p>
        </w:tc>
        <w:tc>
          <w:tcPr>
            <w:tcW w:w="712" w:type="pct"/>
            <w:tcBorders>
              <w:top w:val="single" w:sz="12" w:space="0" w:color="008000"/>
              <w:left w:val="nil"/>
              <w:bottom w:val="single" w:sz="6" w:space="0" w:color="008000"/>
              <w:right w:val="nil"/>
            </w:tcBorders>
            <w:shd w:val="clear" w:color="auto" w:fill="FFFFFF"/>
            <w:vAlign w:val="bottom"/>
          </w:tcPr>
          <w:p w:rsidR="003E43F4" w:rsidRDefault="003E43F4" w:rsidP="003E43F4">
            <w:pPr>
              <w:pStyle w:val="CETBodytext"/>
            </w:pPr>
          </w:p>
        </w:tc>
        <w:tc>
          <w:tcPr>
            <w:tcW w:w="805" w:type="pct"/>
            <w:tcBorders>
              <w:top w:val="single" w:sz="12" w:space="0" w:color="008000"/>
              <w:left w:val="nil"/>
              <w:bottom w:val="single" w:sz="6" w:space="0" w:color="008000"/>
              <w:right w:val="nil"/>
            </w:tcBorders>
            <w:shd w:val="clear" w:color="auto" w:fill="FFFFFF"/>
            <w:vAlign w:val="bottom"/>
          </w:tcPr>
          <w:p w:rsidR="003E43F4" w:rsidRDefault="003E43F4" w:rsidP="003E43F4">
            <w:pPr>
              <w:pStyle w:val="CETBodytext"/>
            </w:pPr>
          </w:p>
        </w:tc>
      </w:tr>
      <w:tr w:rsidR="003E43F4" w:rsidRPr="00B57B36" w:rsidTr="00032F18">
        <w:tc>
          <w:tcPr>
            <w:tcW w:w="1613" w:type="pct"/>
            <w:gridSpan w:val="2"/>
            <w:tcBorders>
              <w:top w:val="single" w:sz="6" w:space="0" w:color="008000"/>
              <w:left w:val="nil"/>
              <w:bottom w:val="nil"/>
              <w:right w:val="nil"/>
            </w:tcBorders>
            <w:shd w:val="clear" w:color="auto" w:fill="FFFFFF"/>
          </w:tcPr>
          <w:p w:rsidR="003E43F4" w:rsidRPr="009F0A61" w:rsidRDefault="003E43F4" w:rsidP="003E43F4">
            <w:pPr>
              <w:pStyle w:val="CETBodytext"/>
              <w:jc w:val="left"/>
            </w:pPr>
            <w:r>
              <w:t>Final pH</w:t>
            </w:r>
          </w:p>
        </w:tc>
        <w:tc>
          <w:tcPr>
            <w:tcW w:w="888" w:type="pct"/>
            <w:tcBorders>
              <w:top w:val="single" w:sz="6" w:space="0" w:color="008000"/>
              <w:left w:val="nil"/>
              <w:bottom w:val="nil"/>
              <w:right w:val="nil"/>
            </w:tcBorders>
            <w:shd w:val="clear" w:color="auto" w:fill="FFFFFF"/>
            <w:vAlign w:val="bottom"/>
          </w:tcPr>
          <w:p w:rsidR="003E43F4" w:rsidRPr="00FD35BB" w:rsidRDefault="003E43F4" w:rsidP="003E43F4">
            <w:pPr>
              <w:pStyle w:val="CETBodytext"/>
            </w:pPr>
            <w:r w:rsidRPr="00FD35BB">
              <w:t>9.6</w:t>
            </w:r>
          </w:p>
        </w:tc>
        <w:tc>
          <w:tcPr>
            <w:tcW w:w="982" w:type="pct"/>
            <w:tcBorders>
              <w:top w:val="single" w:sz="6" w:space="0" w:color="008000"/>
              <w:left w:val="nil"/>
              <w:bottom w:val="nil"/>
              <w:right w:val="nil"/>
            </w:tcBorders>
            <w:shd w:val="clear" w:color="auto" w:fill="FFFFFF"/>
            <w:vAlign w:val="bottom"/>
          </w:tcPr>
          <w:p w:rsidR="003E43F4" w:rsidRPr="00FD35BB" w:rsidRDefault="003E43F4" w:rsidP="003E43F4">
            <w:pPr>
              <w:pStyle w:val="CETBodytext"/>
            </w:pPr>
            <w:r w:rsidRPr="00FD35BB">
              <w:t>9.8</w:t>
            </w:r>
          </w:p>
        </w:tc>
        <w:tc>
          <w:tcPr>
            <w:tcW w:w="712" w:type="pct"/>
            <w:tcBorders>
              <w:top w:val="single" w:sz="6" w:space="0" w:color="008000"/>
              <w:left w:val="nil"/>
              <w:bottom w:val="nil"/>
              <w:right w:val="nil"/>
            </w:tcBorders>
            <w:shd w:val="clear" w:color="auto" w:fill="FFFFFF"/>
            <w:vAlign w:val="bottom"/>
          </w:tcPr>
          <w:p w:rsidR="003E43F4" w:rsidRPr="00FD35BB" w:rsidRDefault="003E43F4" w:rsidP="003E43F4">
            <w:pPr>
              <w:pStyle w:val="CETBodytext"/>
            </w:pPr>
            <w:r w:rsidRPr="00FD35BB">
              <w:t>10.3</w:t>
            </w:r>
          </w:p>
        </w:tc>
        <w:tc>
          <w:tcPr>
            <w:tcW w:w="805" w:type="pct"/>
            <w:tcBorders>
              <w:top w:val="single" w:sz="6" w:space="0" w:color="008000"/>
              <w:left w:val="nil"/>
              <w:bottom w:val="nil"/>
              <w:right w:val="nil"/>
            </w:tcBorders>
            <w:shd w:val="clear" w:color="auto" w:fill="FFFFFF"/>
            <w:vAlign w:val="bottom"/>
          </w:tcPr>
          <w:p w:rsidR="003E43F4" w:rsidRDefault="003E43F4" w:rsidP="003E43F4">
            <w:pPr>
              <w:pStyle w:val="CETBodytext"/>
              <w:rPr>
                <w:rFonts w:ascii="Calibri" w:hAnsi="Calibri"/>
                <w:color w:val="000000"/>
                <w:sz w:val="22"/>
                <w:szCs w:val="22"/>
              </w:rPr>
            </w:pPr>
            <w:r>
              <w:rPr>
                <w:rFonts w:ascii="Calibri" w:hAnsi="Calibri"/>
                <w:color w:val="000000"/>
                <w:sz w:val="22"/>
                <w:szCs w:val="22"/>
              </w:rPr>
              <w:t>-</w:t>
            </w:r>
          </w:p>
        </w:tc>
      </w:tr>
      <w:tr w:rsidR="003E43F4" w:rsidRPr="00B57B36" w:rsidTr="00032F18">
        <w:tc>
          <w:tcPr>
            <w:tcW w:w="1613" w:type="pct"/>
            <w:gridSpan w:val="2"/>
            <w:tcBorders>
              <w:top w:val="nil"/>
              <w:left w:val="nil"/>
              <w:bottom w:val="nil"/>
              <w:right w:val="nil"/>
            </w:tcBorders>
            <w:shd w:val="clear" w:color="auto" w:fill="FFFFFF"/>
          </w:tcPr>
          <w:p w:rsidR="003E43F4" w:rsidRPr="009F0A61" w:rsidRDefault="003E43F4" w:rsidP="003E43F4">
            <w:pPr>
              <w:pStyle w:val="CETBodytext"/>
              <w:jc w:val="left"/>
            </w:pPr>
            <w:r w:rsidRPr="009F0A61">
              <w:t xml:space="preserve">Biomass Produced </w:t>
            </w:r>
            <w:r>
              <w:t>(</w:t>
            </w:r>
            <w:r w:rsidRPr="009F0A61">
              <w:t>mg</w:t>
            </w:r>
            <w:r>
              <w:t>)</w:t>
            </w:r>
          </w:p>
        </w:tc>
        <w:tc>
          <w:tcPr>
            <w:tcW w:w="888" w:type="pct"/>
            <w:tcBorders>
              <w:top w:val="nil"/>
              <w:left w:val="nil"/>
              <w:bottom w:val="nil"/>
              <w:right w:val="nil"/>
            </w:tcBorders>
            <w:shd w:val="clear" w:color="auto" w:fill="FFFFFF"/>
            <w:vAlign w:val="bottom"/>
          </w:tcPr>
          <w:p w:rsidR="003E43F4" w:rsidRPr="00FD35BB" w:rsidRDefault="003E43F4" w:rsidP="003E43F4">
            <w:pPr>
              <w:pStyle w:val="CETBodytext"/>
            </w:pPr>
            <w:r w:rsidRPr="00FD35BB">
              <w:t>39.6</w:t>
            </w:r>
          </w:p>
        </w:tc>
        <w:tc>
          <w:tcPr>
            <w:tcW w:w="982" w:type="pct"/>
            <w:tcBorders>
              <w:top w:val="nil"/>
              <w:left w:val="nil"/>
              <w:bottom w:val="nil"/>
              <w:right w:val="nil"/>
            </w:tcBorders>
            <w:shd w:val="clear" w:color="auto" w:fill="FFFFFF"/>
            <w:vAlign w:val="bottom"/>
          </w:tcPr>
          <w:p w:rsidR="003E43F4" w:rsidRPr="00FD35BB" w:rsidRDefault="003E43F4" w:rsidP="003E43F4">
            <w:pPr>
              <w:pStyle w:val="CETBodytext"/>
            </w:pPr>
            <w:r w:rsidRPr="00FD35BB">
              <w:t>27.2</w:t>
            </w:r>
          </w:p>
        </w:tc>
        <w:tc>
          <w:tcPr>
            <w:tcW w:w="712" w:type="pct"/>
            <w:tcBorders>
              <w:top w:val="nil"/>
              <w:left w:val="nil"/>
              <w:bottom w:val="nil"/>
              <w:right w:val="nil"/>
            </w:tcBorders>
            <w:shd w:val="clear" w:color="auto" w:fill="FFFFFF"/>
            <w:vAlign w:val="bottom"/>
          </w:tcPr>
          <w:p w:rsidR="003E43F4" w:rsidRPr="00FD35BB" w:rsidRDefault="003E43F4" w:rsidP="003E43F4">
            <w:pPr>
              <w:pStyle w:val="CETBodytext"/>
            </w:pPr>
            <w:r w:rsidRPr="00FD35BB">
              <w:t>76.9</w:t>
            </w:r>
          </w:p>
        </w:tc>
        <w:tc>
          <w:tcPr>
            <w:tcW w:w="805" w:type="pct"/>
            <w:tcBorders>
              <w:top w:val="nil"/>
              <w:left w:val="nil"/>
              <w:bottom w:val="nil"/>
              <w:right w:val="nil"/>
            </w:tcBorders>
            <w:shd w:val="clear" w:color="auto" w:fill="FFFFFF"/>
            <w:vAlign w:val="bottom"/>
          </w:tcPr>
          <w:p w:rsidR="003E43F4" w:rsidRDefault="003E43F4" w:rsidP="003E43F4">
            <w:pPr>
              <w:pStyle w:val="CETBodytext"/>
              <w:rPr>
                <w:rFonts w:ascii="Calibri" w:hAnsi="Calibri"/>
                <w:color w:val="000000"/>
                <w:sz w:val="22"/>
                <w:szCs w:val="22"/>
              </w:rPr>
            </w:pPr>
            <w:r>
              <w:rPr>
                <w:rFonts w:ascii="Calibri" w:hAnsi="Calibri"/>
                <w:color w:val="000000"/>
                <w:sz w:val="22"/>
                <w:szCs w:val="22"/>
              </w:rPr>
              <w:t>-</w:t>
            </w:r>
          </w:p>
        </w:tc>
      </w:tr>
      <w:tr w:rsidR="003E43F4" w:rsidRPr="00B57B36" w:rsidTr="00032F18">
        <w:tc>
          <w:tcPr>
            <w:tcW w:w="1613" w:type="pct"/>
            <w:gridSpan w:val="2"/>
            <w:tcBorders>
              <w:top w:val="nil"/>
              <w:left w:val="nil"/>
              <w:bottom w:val="nil"/>
              <w:right w:val="nil"/>
            </w:tcBorders>
            <w:shd w:val="clear" w:color="auto" w:fill="FFFFFF"/>
          </w:tcPr>
          <w:p w:rsidR="003E43F4" w:rsidRPr="009F0A61" w:rsidRDefault="003E43F4" w:rsidP="003E43F4">
            <w:pPr>
              <w:pStyle w:val="CETBodytext"/>
              <w:jc w:val="left"/>
            </w:pPr>
            <w:r>
              <w:t>Carbon dioxide utilized</w:t>
            </w:r>
            <w:r w:rsidRPr="009F0A61">
              <w:t xml:space="preserve"> </w:t>
            </w:r>
            <w:r>
              <w:t>(</w:t>
            </w:r>
            <w:r w:rsidRPr="009F0A61">
              <w:t>mg</w:t>
            </w:r>
            <w:r>
              <w:t>)</w:t>
            </w:r>
          </w:p>
        </w:tc>
        <w:tc>
          <w:tcPr>
            <w:tcW w:w="888" w:type="pct"/>
            <w:tcBorders>
              <w:top w:val="nil"/>
              <w:left w:val="nil"/>
              <w:bottom w:val="nil"/>
              <w:right w:val="nil"/>
            </w:tcBorders>
            <w:shd w:val="clear" w:color="auto" w:fill="FFFFFF"/>
            <w:vAlign w:val="bottom"/>
          </w:tcPr>
          <w:p w:rsidR="003E43F4" w:rsidRPr="00FD35BB" w:rsidRDefault="003E43F4" w:rsidP="003E43F4">
            <w:pPr>
              <w:pStyle w:val="CETBodytext"/>
            </w:pPr>
            <w:r w:rsidRPr="00FD35BB">
              <w:t>62</w:t>
            </w:r>
            <w:r>
              <w:t>.3</w:t>
            </w:r>
          </w:p>
        </w:tc>
        <w:tc>
          <w:tcPr>
            <w:tcW w:w="982" w:type="pct"/>
            <w:tcBorders>
              <w:top w:val="nil"/>
              <w:left w:val="nil"/>
              <w:bottom w:val="nil"/>
              <w:right w:val="nil"/>
            </w:tcBorders>
            <w:shd w:val="clear" w:color="auto" w:fill="FFFFFF"/>
            <w:vAlign w:val="bottom"/>
          </w:tcPr>
          <w:p w:rsidR="003E43F4" w:rsidRPr="00FD35BB" w:rsidRDefault="003E43F4" w:rsidP="003E43F4">
            <w:pPr>
              <w:pStyle w:val="CETBodytext"/>
            </w:pPr>
            <w:r w:rsidRPr="00FD35BB">
              <w:t>2</w:t>
            </w:r>
            <w:r>
              <w:t>8.7</w:t>
            </w:r>
          </w:p>
        </w:tc>
        <w:tc>
          <w:tcPr>
            <w:tcW w:w="712" w:type="pct"/>
            <w:tcBorders>
              <w:top w:val="nil"/>
              <w:left w:val="nil"/>
              <w:bottom w:val="nil"/>
              <w:right w:val="nil"/>
            </w:tcBorders>
            <w:shd w:val="clear" w:color="auto" w:fill="FFFFFF"/>
            <w:vAlign w:val="bottom"/>
          </w:tcPr>
          <w:p w:rsidR="003E43F4" w:rsidRPr="00FD35BB" w:rsidRDefault="003E43F4" w:rsidP="003E43F4">
            <w:pPr>
              <w:pStyle w:val="CETBodytext"/>
            </w:pPr>
            <w:r w:rsidRPr="00FD35BB">
              <w:t>64</w:t>
            </w:r>
            <w:r>
              <w:t>.3</w:t>
            </w:r>
          </w:p>
        </w:tc>
        <w:tc>
          <w:tcPr>
            <w:tcW w:w="805" w:type="pct"/>
            <w:tcBorders>
              <w:top w:val="nil"/>
              <w:left w:val="nil"/>
              <w:bottom w:val="nil"/>
              <w:right w:val="nil"/>
            </w:tcBorders>
            <w:shd w:val="clear" w:color="auto" w:fill="FFFFFF"/>
            <w:vAlign w:val="bottom"/>
          </w:tcPr>
          <w:p w:rsidR="003E43F4" w:rsidRDefault="003E43F4" w:rsidP="003E43F4">
            <w:pPr>
              <w:pStyle w:val="CETBodytext"/>
              <w:rPr>
                <w:rFonts w:ascii="Calibri" w:hAnsi="Calibri"/>
                <w:color w:val="000000"/>
                <w:sz w:val="22"/>
                <w:szCs w:val="22"/>
              </w:rPr>
            </w:pPr>
            <w:r>
              <w:rPr>
                <w:rFonts w:ascii="Calibri" w:hAnsi="Calibri"/>
                <w:color w:val="000000"/>
                <w:sz w:val="22"/>
                <w:szCs w:val="22"/>
              </w:rPr>
              <w:t>-</w:t>
            </w:r>
          </w:p>
        </w:tc>
      </w:tr>
      <w:tr w:rsidR="003E43F4" w:rsidRPr="00B57B36" w:rsidTr="00032F18">
        <w:tc>
          <w:tcPr>
            <w:tcW w:w="1613" w:type="pct"/>
            <w:gridSpan w:val="2"/>
            <w:tcBorders>
              <w:top w:val="nil"/>
              <w:left w:val="nil"/>
              <w:bottom w:val="nil"/>
              <w:right w:val="nil"/>
            </w:tcBorders>
            <w:shd w:val="clear" w:color="auto" w:fill="FFFFFF"/>
          </w:tcPr>
          <w:p w:rsidR="003E43F4" w:rsidRPr="009F0A61" w:rsidRDefault="003E43F4" w:rsidP="003E43F4">
            <w:pPr>
              <w:pStyle w:val="CETBodytext"/>
              <w:jc w:val="left"/>
            </w:pPr>
            <w:r>
              <w:t>Nitrogen Utilized</w:t>
            </w:r>
            <w:r w:rsidRPr="009F0A61">
              <w:t xml:space="preserve"> </w:t>
            </w:r>
            <w:r>
              <w:t>(</w:t>
            </w:r>
            <w:r w:rsidRPr="009F0A61">
              <w:t>mg</w:t>
            </w:r>
            <w:r>
              <w:t>)</w:t>
            </w:r>
          </w:p>
        </w:tc>
        <w:tc>
          <w:tcPr>
            <w:tcW w:w="888" w:type="pct"/>
            <w:tcBorders>
              <w:top w:val="nil"/>
              <w:left w:val="nil"/>
              <w:bottom w:val="nil"/>
              <w:right w:val="nil"/>
            </w:tcBorders>
            <w:shd w:val="clear" w:color="auto" w:fill="FFFFFF"/>
            <w:vAlign w:val="bottom"/>
          </w:tcPr>
          <w:p w:rsidR="003E43F4" w:rsidRPr="00FD35BB" w:rsidRDefault="003E43F4" w:rsidP="003E43F4">
            <w:pPr>
              <w:pStyle w:val="CETBodytext"/>
            </w:pPr>
            <w:r w:rsidRPr="00FD35BB">
              <w:t>5</w:t>
            </w:r>
            <w:r>
              <w:t>.1</w:t>
            </w:r>
          </w:p>
        </w:tc>
        <w:tc>
          <w:tcPr>
            <w:tcW w:w="982" w:type="pct"/>
            <w:tcBorders>
              <w:top w:val="nil"/>
              <w:left w:val="nil"/>
              <w:bottom w:val="nil"/>
              <w:right w:val="nil"/>
            </w:tcBorders>
            <w:shd w:val="clear" w:color="auto" w:fill="FFFFFF"/>
            <w:vAlign w:val="bottom"/>
          </w:tcPr>
          <w:p w:rsidR="003E43F4" w:rsidRPr="00FD35BB" w:rsidRDefault="003E43F4" w:rsidP="003E43F4">
            <w:pPr>
              <w:pStyle w:val="CETBodytext"/>
            </w:pPr>
            <w:r>
              <w:t>2.5</w:t>
            </w:r>
          </w:p>
        </w:tc>
        <w:tc>
          <w:tcPr>
            <w:tcW w:w="712" w:type="pct"/>
            <w:tcBorders>
              <w:top w:val="nil"/>
              <w:left w:val="nil"/>
              <w:bottom w:val="nil"/>
              <w:right w:val="nil"/>
            </w:tcBorders>
            <w:shd w:val="clear" w:color="auto" w:fill="FFFFFF"/>
            <w:vAlign w:val="bottom"/>
          </w:tcPr>
          <w:p w:rsidR="003E43F4" w:rsidRPr="00FD35BB" w:rsidRDefault="003E43F4" w:rsidP="003E43F4">
            <w:pPr>
              <w:pStyle w:val="CETBodytext"/>
            </w:pPr>
            <w:r>
              <w:t>12</w:t>
            </w:r>
          </w:p>
        </w:tc>
        <w:tc>
          <w:tcPr>
            <w:tcW w:w="805" w:type="pct"/>
            <w:tcBorders>
              <w:top w:val="nil"/>
              <w:left w:val="nil"/>
              <w:bottom w:val="nil"/>
              <w:right w:val="nil"/>
            </w:tcBorders>
            <w:shd w:val="clear" w:color="auto" w:fill="FFFFFF"/>
            <w:vAlign w:val="bottom"/>
          </w:tcPr>
          <w:p w:rsidR="003E43F4" w:rsidRDefault="003E43F4" w:rsidP="003E43F4">
            <w:pPr>
              <w:pStyle w:val="CETBodytext"/>
              <w:rPr>
                <w:rFonts w:ascii="Calibri" w:hAnsi="Calibri"/>
                <w:color w:val="000000"/>
                <w:sz w:val="22"/>
                <w:szCs w:val="22"/>
              </w:rPr>
            </w:pPr>
            <w:r>
              <w:rPr>
                <w:rFonts w:ascii="Calibri" w:hAnsi="Calibri"/>
                <w:color w:val="000000"/>
                <w:sz w:val="22"/>
                <w:szCs w:val="22"/>
              </w:rPr>
              <w:t>-</w:t>
            </w:r>
          </w:p>
        </w:tc>
      </w:tr>
      <w:tr w:rsidR="003E43F4" w:rsidRPr="00B57B36" w:rsidTr="00032F18">
        <w:tc>
          <w:tcPr>
            <w:tcW w:w="1613" w:type="pct"/>
            <w:gridSpan w:val="2"/>
            <w:tcBorders>
              <w:top w:val="nil"/>
              <w:left w:val="nil"/>
              <w:bottom w:val="nil"/>
              <w:right w:val="nil"/>
            </w:tcBorders>
            <w:shd w:val="clear" w:color="auto" w:fill="FFFFFF"/>
          </w:tcPr>
          <w:p w:rsidR="003E43F4" w:rsidRPr="009F0A61" w:rsidRDefault="003E43F4" w:rsidP="003E43F4">
            <w:pPr>
              <w:pStyle w:val="CETBodytext"/>
              <w:jc w:val="left"/>
            </w:pPr>
            <w:r>
              <w:t>PO</w:t>
            </w:r>
            <w:r w:rsidRPr="00676BFC">
              <w:rPr>
                <w:vertAlign w:val="subscript"/>
              </w:rPr>
              <w:t>4</w:t>
            </w:r>
            <w:r w:rsidR="00032F18" w:rsidRPr="00032F18">
              <w:rPr>
                <w:vertAlign w:val="superscript"/>
              </w:rPr>
              <w:t>3-</w:t>
            </w:r>
            <w:r w:rsidRPr="009F0A61">
              <w:t xml:space="preserve"> </w:t>
            </w:r>
            <w:r>
              <w:t>Utilized (</w:t>
            </w:r>
            <w:r w:rsidRPr="009F0A61">
              <w:t>mg</w:t>
            </w:r>
            <w:r>
              <w:t>)</w:t>
            </w:r>
          </w:p>
        </w:tc>
        <w:tc>
          <w:tcPr>
            <w:tcW w:w="888" w:type="pct"/>
            <w:tcBorders>
              <w:top w:val="nil"/>
              <w:left w:val="nil"/>
              <w:bottom w:val="nil"/>
              <w:right w:val="nil"/>
            </w:tcBorders>
            <w:shd w:val="clear" w:color="auto" w:fill="FFFFFF"/>
            <w:vAlign w:val="bottom"/>
          </w:tcPr>
          <w:p w:rsidR="003E43F4" w:rsidRPr="00FD35BB" w:rsidRDefault="003E43F4" w:rsidP="003E43F4">
            <w:pPr>
              <w:pStyle w:val="CETBodytext"/>
            </w:pPr>
            <w:r>
              <w:t>4.6</w:t>
            </w:r>
          </w:p>
        </w:tc>
        <w:tc>
          <w:tcPr>
            <w:tcW w:w="982" w:type="pct"/>
            <w:tcBorders>
              <w:top w:val="nil"/>
              <w:left w:val="nil"/>
              <w:bottom w:val="nil"/>
              <w:right w:val="nil"/>
            </w:tcBorders>
            <w:shd w:val="clear" w:color="auto" w:fill="FFFFFF"/>
            <w:vAlign w:val="bottom"/>
          </w:tcPr>
          <w:p w:rsidR="003E43F4" w:rsidRPr="00FD35BB" w:rsidRDefault="003E43F4" w:rsidP="003E43F4">
            <w:pPr>
              <w:pStyle w:val="CETBodytext"/>
            </w:pPr>
            <w:r w:rsidRPr="00FD35BB">
              <w:t>4</w:t>
            </w:r>
            <w:r>
              <w:t>.5</w:t>
            </w:r>
          </w:p>
        </w:tc>
        <w:tc>
          <w:tcPr>
            <w:tcW w:w="712" w:type="pct"/>
            <w:tcBorders>
              <w:top w:val="nil"/>
              <w:left w:val="nil"/>
              <w:bottom w:val="nil"/>
              <w:right w:val="nil"/>
            </w:tcBorders>
            <w:shd w:val="clear" w:color="auto" w:fill="FFFFFF"/>
            <w:vAlign w:val="bottom"/>
          </w:tcPr>
          <w:p w:rsidR="003E43F4" w:rsidRPr="00FD35BB" w:rsidRDefault="003E43F4" w:rsidP="003E43F4">
            <w:pPr>
              <w:pStyle w:val="CETBodytext"/>
            </w:pPr>
            <w:r>
              <w:t>4.</w:t>
            </w:r>
            <w:r w:rsidRPr="00FD35BB">
              <w:t>5</w:t>
            </w:r>
          </w:p>
        </w:tc>
        <w:tc>
          <w:tcPr>
            <w:tcW w:w="805" w:type="pct"/>
            <w:tcBorders>
              <w:top w:val="nil"/>
              <w:left w:val="nil"/>
              <w:bottom w:val="nil"/>
              <w:right w:val="nil"/>
            </w:tcBorders>
            <w:shd w:val="clear" w:color="auto" w:fill="FFFFFF"/>
            <w:vAlign w:val="bottom"/>
          </w:tcPr>
          <w:p w:rsidR="003E43F4" w:rsidRDefault="003E43F4" w:rsidP="003E43F4">
            <w:pPr>
              <w:pStyle w:val="CETBodytext"/>
              <w:rPr>
                <w:rFonts w:ascii="Calibri" w:hAnsi="Calibri"/>
                <w:color w:val="000000"/>
                <w:sz w:val="22"/>
                <w:szCs w:val="22"/>
              </w:rPr>
            </w:pPr>
            <w:r>
              <w:rPr>
                <w:rFonts w:ascii="Calibri" w:hAnsi="Calibri"/>
                <w:color w:val="000000"/>
                <w:sz w:val="22"/>
                <w:szCs w:val="22"/>
              </w:rPr>
              <w:t>-</w:t>
            </w:r>
          </w:p>
        </w:tc>
      </w:tr>
      <w:tr w:rsidR="00032F18" w:rsidRPr="00B57B36" w:rsidTr="00032F18">
        <w:tc>
          <w:tcPr>
            <w:tcW w:w="1613" w:type="pct"/>
            <w:gridSpan w:val="2"/>
            <w:tcBorders>
              <w:top w:val="nil"/>
              <w:left w:val="nil"/>
              <w:bottom w:val="nil"/>
              <w:right w:val="nil"/>
            </w:tcBorders>
            <w:shd w:val="clear" w:color="auto" w:fill="FFFFFF"/>
          </w:tcPr>
          <w:p w:rsidR="00032F18" w:rsidRPr="009F0A61" w:rsidRDefault="00032F18" w:rsidP="00032F18">
            <w:pPr>
              <w:pStyle w:val="CETBodytext"/>
              <w:jc w:val="left"/>
            </w:pPr>
            <w:r w:rsidRPr="009F0A61">
              <w:t>Ai</w:t>
            </w:r>
            <w:r>
              <w:t>r feed rate (</w:t>
            </w:r>
            <w:r w:rsidRPr="009F0A61">
              <w:t>ml/min/vessel</w:t>
            </w:r>
            <w:r>
              <w:t>)</w:t>
            </w:r>
          </w:p>
        </w:tc>
        <w:tc>
          <w:tcPr>
            <w:tcW w:w="888" w:type="pct"/>
            <w:tcBorders>
              <w:top w:val="nil"/>
              <w:left w:val="nil"/>
              <w:bottom w:val="nil"/>
              <w:right w:val="nil"/>
            </w:tcBorders>
            <w:shd w:val="clear" w:color="auto" w:fill="FFFFFF"/>
            <w:vAlign w:val="bottom"/>
          </w:tcPr>
          <w:p w:rsidR="00032F18" w:rsidRPr="00FD35BB" w:rsidRDefault="00032F18" w:rsidP="00032F18">
            <w:pPr>
              <w:pStyle w:val="CETBodytext"/>
            </w:pPr>
            <w:r>
              <w:t>-</w:t>
            </w:r>
          </w:p>
        </w:tc>
        <w:tc>
          <w:tcPr>
            <w:tcW w:w="982" w:type="pct"/>
            <w:tcBorders>
              <w:top w:val="nil"/>
              <w:left w:val="nil"/>
              <w:bottom w:val="nil"/>
              <w:right w:val="nil"/>
            </w:tcBorders>
            <w:shd w:val="clear" w:color="auto" w:fill="FFFFFF"/>
            <w:vAlign w:val="bottom"/>
          </w:tcPr>
          <w:p w:rsidR="00032F18" w:rsidRPr="00FD35BB" w:rsidRDefault="00032F18" w:rsidP="00032F18">
            <w:pPr>
              <w:pStyle w:val="CETBodytext"/>
            </w:pPr>
            <w:r>
              <w:t>-</w:t>
            </w:r>
          </w:p>
        </w:tc>
        <w:tc>
          <w:tcPr>
            <w:tcW w:w="712" w:type="pct"/>
            <w:tcBorders>
              <w:top w:val="nil"/>
              <w:left w:val="nil"/>
              <w:bottom w:val="nil"/>
              <w:right w:val="nil"/>
            </w:tcBorders>
            <w:shd w:val="clear" w:color="auto" w:fill="FFFFFF"/>
            <w:vAlign w:val="bottom"/>
          </w:tcPr>
          <w:p w:rsidR="00032F18" w:rsidRPr="00FD35BB" w:rsidRDefault="00032F18" w:rsidP="00032F18">
            <w:pPr>
              <w:pStyle w:val="CETBodytext"/>
            </w:pPr>
            <w:r w:rsidRPr="00FD35BB">
              <w:t>61</w:t>
            </w:r>
          </w:p>
        </w:tc>
        <w:tc>
          <w:tcPr>
            <w:tcW w:w="805" w:type="pct"/>
            <w:tcBorders>
              <w:top w:val="nil"/>
              <w:left w:val="nil"/>
              <w:bottom w:val="nil"/>
              <w:right w:val="nil"/>
            </w:tcBorders>
            <w:shd w:val="clear" w:color="auto" w:fill="FFFFFF"/>
            <w:vAlign w:val="bottom"/>
          </w:tcPr>
          <w:p w:rsidR="00032F18" w:rsidRDefault="00032F18" w:rsidP="00032F18">
            <w:pPr>
              <w:pStyle w:val="CETBodytext"/>
              <w:rPr>
                <w:rFonts w:ascii="Calibri" w:hAnsi="Calibri"/>
                <w:color w:val="000000"/>
                <w:sz w:val="22"/>
                <w:szCs w:val="22"/>
              </w:rPr>
            </w:pPr>
            <w:r>
              <w:rPr>
                <w:rFonts w:ascii="Calibri" w:hAnsi="Calibri"/>
                <w:color w:val="000000"/>
                <w:sz w:val="22"/>
                <w:szCs w:val="22"/>
              </w:rPr>
              <w:t>-</w:t>
            </w:r>
          </w:p>
        </w:tc>
      </w:tr>
      <w:tr w:rsidR="00032F18" w:rsidRPr="00B57B36" w:rsidTr="00032F18">
        <w:trPr>
          <w:trHeight w:val="278"/>
        </w:trPr>
        <w:tc>
          <w:tcPr>
            <w:tcW w:w="1613" w:type="pct"/>
            <w:gridSpan w:val="2"/>
            <w:tcBorders>
              <w:top w:val="nil"/>
              <w:left w:val="nil"/>
              <w:bottom w:val="nil"/>
              <w:right w:val="nil"/>
            </w:tcBorders>
            <w:shd w:val="clear" w:color="auto" w:fill="FFFFFF"/>
          </w:tcPr>
          <w:p w:rsidR="00032F18" w:rsidRPr="009F0A61" w:rsidRDefault="00032F18" w:rsidP="00032F18">
            <w:pPr>
              <w:pStyle w:val="CETBodytext"/>
              <w:jc w:val="left"/>
            </w:pPr>
            <w:r w:rsidRPr="009F0A61">
              <w:t>Net TOC production</w:t>
            </w:r>
            <w:r>
              <w:t xml:space="preserve"> (mg)</w:t>
            </w:r>
          </w:p>
        </w:tc>
        <w:tc>
          <w:tcPr>
            <w:tcW w:w="888" w:type="pct"/>
            <w:tcBorders>
              <w:top w:val="nil"/>
              <w:left w:val="nil"/>
              <w:bottom w:val="nil"/>
              <w:right w:val="nil"/>
            </w:tcBorders>
            <w:shd w:val="clear" w:color="auto" w:fill="FFFFFF"/>
            <w:vAlign w:val="bottom"/>
          </w:tcPr>
          <w:p w:rsidR="00032F18" w:rsidRPr="00FD35BB" w:rsidRDefault="00032F18" w:rsidP="00032F18">
            <w:pPr>
              <w:pStyle w:val="CETBodytext"/>
            </w:pPr>
            <w:r w:rsidRPr="00FD35BB">
              <w:t>208</w:t>
            </w:r>
          </w:p>
        </w:tc>
        <w:tc>
          <w:tcPr>
            <w:tcW w:w="982" w:type="pct"/>
            <w:tcBorders>
              <w:top w:val="nil"/>
              <w:left w:val="nil"/>
              <w:bottom w:val="nil"/>
              <w:right w:val="nil"/>
            </w:tcBorders>
            <w:shd w:val="clear" w:color="auto" w:fill="FFFFFF"/>
            <w:vAlign w:val="bottom"/>
          </w:tcPr>
          <w:p w:rsidR="00032F18" w:rsidRPr="00FD35BB" w:rsidRDefault="00032F18" w:rsidP="00032F18">
            <w:pPr>
              <w:pStyle w:val="CETBodytext"/>
            </w:pPr>
            <w:r w:rsidRPr="00FD35BB">
              <w:t>27</w:t>
            </w:r>
          </w:p>
        </w:tc>
        <w:tc>
          <w:tcPr>
            <w:tcW w:w="712" w:type="pct"/>
            <w:tcBorders>
              <w:top w:val="nil"/>
              <w:left w:val="nil"/>
              <w:bottom w:val="nil"/>
              <w:right w:val="nil"/>
            </w:tcBorders>
            <w:shd w:val="clear" w:color="auto" w:fill="FFFFFF"/>
            <w:vAlign w:val="bottom"/>
          </w:tcPr>
          <w:p w:rsidR="00032F18" w:rsidRPr="00FD35BB" w:rsidRDefault="00032F18" w:rsidP="00032F18">
            <w:pPr>
              <w:pStyle w:val="CETBodytext"/>
            </w:pPr>
            <w:r w:rsidRPr="00FD35BB">
              <w:t>0</w:t>
            </w:r>
          </w:p>
        </w:tc>
        <w:tc>
          <w:tcPr>
            <w:tcW w:w="805" w:type="pct"/>
            <w:tcBorders>
              <w:top w:val="nil"/>
              <w:left w:val="nil"/>
              <w:bottom w:val="nil"/>
              <w:right w:val="nil"/>
            </w:tcBorders>
            <w:shd w:val="clear" w:color="auto" w:fill="FFFFFF"/>
          </w:tcPr>
          <w:p w:rsidR="00032F18" w:rsidRPr="00B57B36" w:rsidRDefault="00032F18" w:rsidP="00032F18">
            <w:pPr>
              <w:pStyle w:val="CETBodytext"/>
            </w:pPr>
            <w:r>
              <w:t>-</w:t>
            </w:r>
          </w:p>
        </w:tc>
      </w:tr>
      <w:tr w:rsidR="00032F18" w:rsidRPr="00B57B36" w:rsidTr="00032F18">
        <w:tc>
          <w:tcPr>
            <w:tcW w:w="1613" w:type="pct"/>
            <w:gridSpan w:val="2"/>
            <w:tcBorders>
              <w:top w:val="nil"/>
              <w:left w:val="nil"/>
              <w:bottom w:val="nil"/>
              <w:right w:val="nil"/>
            </w:tcBorders>
            <w:shd w:val="clear" w:color="auto" w:fill="FFFFFF"/>
          </w:tcPr>
          <w:p w:rsidR="00032F18" w:rsidRPr="009F0A61" w:rsidRDefault="00032F18" w:rsidP="00032F18">
            <w:pPr>
              <w:pStyle w:val="CETBodytext"/>
              <w:jc w:val="left"/>
            </w:pPr>
            <w:r>
              <w:t>CaCO</w:t>
            </w:r>
            <w:r w:rsidRPr="001967EF">
              <w:rPr>
                <w:vertAlign w:val="subscript"/>
              </w:rPr>
              <w:t>3</w:t>
            </w:r>
            <w:r>
              <w:t xml:space="preserve"> utilized</w:t>
            </w:r>
            <w:r w:rsidRPr="009F0A61">
              <w:t xml:space="preserve"> </w:t>
            </w:r>
            <w:r>
              <w:t>(</w:t>
            </w:r>
            <w:r w:rsidRPr="009F0A61">
              <w:t>mg</w:t>
            </w:r>
            <w:r>
              <w:t>)</w:t>
            </w:r>
          </w:p>
        </w:tc>
        <w:tc>
          <w:tcPr>
            <w:tcW w:w="888" w:type="pct"/>
            <w:tcBorders>
              <w:top w:val="nil"/>
              <w:left w:val="nil"/>
              <w:bottom w:val="nil"/>
              <w:right w:val="nil"/>
            </w:tcBorders>
            <w:shd w:val="clear" w:color="auto" w:fill="FFFFFF"/>
            <w:vAlign w:val="bottom"/>
          </w:tcPr>
          <w:p w:rsidR="00032F18" w:rsidRPr="00FD35BB" w:rsidRDefault="00032F18" w:rsidP="00032F18">
            <w:pPr>
              <w:pStyle w:val="CETBodytext"/>
            </w:pPr>
            <w:r w:rsidRPr="00FD35BB">
              <w:t>124</w:t>
            </w:r>
          </w:p>
        </w:tc>
        <w:tc>
          <w:tcPr>
            <w:tcW w:w="982" w:type="pct"/>
            <w:tcBorders>
              <w:top w:val="nil"/>
              <w:left w:val="nil"/>
              <w:bottom w:val="nil"/>
              <w:right w:val="nil"/>
            </w:tcBorders>
            <w:shd w:val="clear" w:color="auto" w:fill="FFFFFF"/>
            <w:vAlign w:val="bottom"/>
          </w:tcPr>
          <w:p w:rsidR="00032F18" w:rsidRPr="00FD35BB" w:rsidRDefault="00032F18" w:rsidP="00032F18">
            <w:pPr>
              <w:pStyle w:val="CETBodytext"/>
            </w:pPr>
            <w:r>
              <w:t>-</w:t>
            </w:r>
          </w:p>
        </w:tc>
        <w:tc>
          <w:tcPr>
            <w:tcW w:w="712" w:type="pct"/>
            <w:tcBorders>
              <w:top w:val="nil"/>
              <w:left w:val="nil"/>
              <w:bottom w:val="nil"/>
              <w:right w:val="nil"/>
            </w:tcBorders>
            <w:shd w:val="clear" w:color="auto" w:fill="FFFFFF"/>
            <w:vAlign w:val="bottom"/>
          </w:tcPr>
          <w:p w:rsidR="00032F18" w:rsidRPr="00FD35BB" w:rsidRDefault="00032F18" w:rsidP="00032F18">
            <w:pPr>
              <w:pStyle w:val="CETBodytext"/>
            </w:pPr>
            <w:r>
              <w:t>-</w:t>
            </w:r>
          </w:p>
        </w:tc>
        <w:tc>
          <w:tcPr>
            <w:tcW w:w="805" w:type="pct"/>
            <w:tcBorders>
              <w:top w:val="nil"/>
              <w:left w:val="nil"/>
              <w:bottom w:val="nil"/>
              <w:right w:val="nil"/>
            </w:tcBorders>
            <w:shd w:val="clear" w:color="auto" w:fill="FFFFFF"/>
          </w:tcPr>
          <w:p w:rsidR="00032F18" w:rsidRPr="00B57B36" w:rsidRDefault="00032F18" w:rsidP="00032F18">
            <w:pPr>
              <w:pStyle w:val="CETBodytext"/>
            </w:pPr>
            <w:r>
              <w:t>-</w:t>
            </w:r>
          </w:p>
        </w:tc>
      </w:tr>
      <w:tr w:rsidR="00032F18" w:rsidRPr="00B57B36" w:rsidTr="0084648F">
        <w:tc>
          <w:tcPr>
            <w:tcW w:w="1613" w:type="pct"/>
            <w:gridSpan w:val="2"/>
            <w:tcBorders>
              <w:top w:val="nil"/>
              <w:left w:val="nil"/>
              <w:bottom w:val="nil"/>
              <w:right w:val="nil"/>
            </w:tcBorders>
            <w:shd w:val="clear" w:color="auto" w:fill="FFFFFF"/>
          </w:tcPr>
          <w:p w:rsidR="00032F18" w:rsidRDefault="0084648F" w:rsidP="00032F18">
            <w:pPr>
              <w:pStyle w:val="CETBodytext"/>
              <w:jc w:val="left"/>
            </w:pPr>
            <w:r>
              <w:t>WW TOC</w:t>
            </w:r>
            <w:r w:rsidR="00032F18">
              <w:t xml:space="preserve"> Removed (mg)</w:t>
            </w:r>
          </w:p>
        </w:tc>
        <w:tc>
          <w:tcPr>
            <w:tcW w:w="888" w:type="pct"/>
            <w:tcBorders>
              <w:top w:val="nil"/>
              <w:left w:val="nil"/>
              <w:bottom w:val="nil"/>
              <w:right w:val="nil"/>
            </w:tcBorders>
            <w:shd w:val="clear" w:color="auto" w:fill="FFFFFF"/>
            <w:vAlign w:val="bottom"/>
          </w:tcPr>
          <w:p w:rsidR="00032F18" w:rsidRPr="00FD35BB" w:rsidRDefault="00032F18" w:rsidP="00032F18">
            <w:pPr>
              <w:pStyle w:val="CETBodytext"/>
            </w:pPr>
            <w:r>
              <w:t>-</w:t>
            </w:r>
          </w:p>
        </w:tc>
        <w:tc>
          <w:tcPr>
            <w:tcW w:w="982" w:type="pct"/>
            <w:tcBorders>
              <w:top w:val="nil"/>
              <w:left w:val="nil"/>
              <w:bottom w:val="nil"/>
              <w:right w:val="nil"/>
            </w:tcBorders>
            <w:shd w:val="clear" w:color="auto" w:fill="FFFFFF"/>
            <w:vAlign w:val="bottom"/>
          </w:tcPr>
          <w:p w:rsidR="00032F18" w:rsidRPr="00FD35BB" w:rsidRDefault="00032F18" w:rsidP="00032F18">
            <w:pPr>
              <w:pStyle w:val="CETBodytext"/>
            </w:pPr>
            <w:r>
              <w:t>-</w:t>
            </w:r>
          </w:p>
        </w:tc>
        <w:tc>
          <w:tcPr>
            <w:tcW w:w="712" w:type="pct"/>
            <w:tcBorders>
              <w:top w:val="nil"/>
              <w:left w:val="nil"/>
              <w:bottom w:val="nil"/>
              <w:right w:val="nil"/>
            </w:tcBorders>
            <w:shd w:val="clear" w:color="auto" w:fill="FFFFFF"/>
          </w:tcPr>
          <w:p w:rsidR="00032F18" w:rsidRPr="00FD35BB" w:rsidRDefault="00032F18" w:rsidP="00032F18">
            <w:pPr>
              <w:pStyle w:val="CETBodytext"/>
            </w:pPr>
            <w:r w:rsidRPr="00FD35BB">
              <w:t>1</w:t>
            </w:r>
            <w:r>
              <w:t>.33</w:t>
            </w:r>
          </w:p>
        </w:tc>
        <w:tc>
          <w:tcPr>
            <w:tcW w:w="805" w:type="pct"/>
            <w:tcBorders>
              <w:top w:val="nil"/>
              <w:left w:val="nil"/>
              <w:bottom w:val="nil"/>
              <w:right w:val="nil"/>
            </w:tcBorders>
            <w:shd w:val="clear" w:color="auto" w:fill="FFFFFF"/>
          </w:tcPr>
          <w:p w:rsidR="00032F18" w:rsidRPr="00B57B36" w:rsidRDefault="00032F18" w:rsidP="00032F18">
            <w:pPr>
              <w:pStyle w:val="CETBodytext"/>
            </w:pPr>
            <w:r>
              <w:t>-</w:t>
            </w:r>
          </w:p>
        </w:tc>
      </w:tr>
      <w:tr w:rsidR="00032F18" w:rsidRPr="00B57B36" w:rsidTr="0084648F">
        <w:tc>
          <w:tcPr>
            <w:tcW w:w="1613" w:type="pct"/>
            <w:gridSpan w:val="2"/>
            <w:tcBorders>
              <w:top w:val="single" w:sz="12" w:space="0" w:color="008000"/>
              <w:left w:val="nil"/>
              <w:bottom w:val="single" w:sz="6" w:space="0" w:color="008000"/>
              <w:right w:val="nil"/>
            </w:tcBorders>
            <w:shd w:val="clear" w:color="auto" w:fill="FFFFFF"/>
          </w:tcPr>
          <w:p w:rsidR="00032F18" w:rsidRDefault="00032F18" w:rsidP="00032F18">
            <w:pPr>
              <w:pStyle w:val="CETBodytext"/>
            </w:pPr>
            <w:r>
              <w:t>Growth Metrics</w:t>
            </w:r>
          </w:p>
        </w:tc>
        <w:tc>
          <w:tcPr>
            <w:tcW w:w="888" w:type="pct"/>
            <w:tcBorders>
              <w:top w:val="single" w:sz="12" w:space="0" w:color="008000"/>
              <w:left w:val="nil"/>
              <w:bottom w:val="single" w:sz="6" w:space="0" w:color="008000"/>
              <w:right w:val="nil"/>
            </w:tcBorders>
            <w:shd w:val="clear" w:color="auto" w:fill="FFFFFF"/>
          </w:tcPr>
          <w:p w:rsidR="00032F18" w:rsidRDefault="00032F18" w:rsidP="00032F18">
            <w:pPr>
              <w:pStyle w:val="CETBodytext"/>
            </w:pPr>
          </w:p>
        </w:tc>
        <w:tc>
          <w:tcPr>
            <w:tcW w:w="982" w:type="pct"/>
            <w:tcBorders>
              <w:top w:val="single" w:sz="12" w:space="0" w:color="008000"/>
              <w:left w:val="nil"/>
              <w:bottom w:val="single" w:sz="6" w:space="0" w:color="008000"/>
              <w:right w:val="nil"/>
            </w:tcBorders>
            <w:shd w:val="clear" w:color="auto" w:fill="FFFFFF"/>
          </w:tcPr>
          <w:p w:rsidR="00032F18" w:rsidRPr="00B57B36" w:rsidRDefault="00032F18" w:rsidP="00032F18">
            <w:pPr>
              <w:pStyle w:val="CETBodytext"/>
            </w:pPr>
          </w:p>
        </w:tc>
        <w:tc>
          <w:tcPr>
            <w:tcW w:w="712" w:type="pct"/>
            <w:tcBorders>
              <w:top w:val="single" w:sz="12" w:space="0" w:color="008000"/>
              <w:left w:val="nil"/>
              <w:bottom w:val="single" w:sz="6" w:space="0" w:color="008000"/>
              <w:right w:val="nil"/>
            </w:tcBorders>
            <w:shd w:val="clear" w:color="auto" w:fill="FFFFFF"/>
          </w:tcPr>
          <w:p w:rsidR="00032F18" w:rsidRPr="00B57B36" w:rsidRDefault="00032F18" w:rsidP="00032F18">
            <w:pPr>
              <w:pStyle w:val="CETBodytext"/>
            </w:pPr>
          </w:p>
        </w:tc>
        <w:tc>
          <w:tcPr>
            <w:tcW w:w="805" w:type="pct"/>
            <w:tcBorders>
              <w:top w:val="single" w:sz="12" w:space="0" w:color="008000"/>
              <w:left w:val="nil"/>
              <w:bottom w:val="single" w:sz="6" w:space="0" w:color="008000"/>
              <w:right w:val="nil"/>
            </w:tcBorders>
            <w:shd w:val="clear" w:color="auto" w:fill="FFFFFF"/>
          </w:tcPr>
          <w:p w:rsidR="00032F18" w:rsidRPr="00B57B36" w:rsidRDefault="00032F18" w:rsidP="00032F18">
            <w:pPr>
              <w:pStyle w:val="CETBodytext"/>
            </w:pPr>
          </w:p>
        </w:tc>
      </w:tr>
      <w:tr w:rsidR="00032F18" w:rsidRPr="00B57B36" w:rsidTr="00032F18">
        <w:tc>
          <w:tcPr>
            <w:tcW w:w="1613" w:type="pct"/>
            <w:gridSpan w:val="2"/>
            <w:tcBorders>
              <w:top w:val="single" w:sz="6" w:space="0" w:color="008000"/>
              <w:left w:val="nil"/>
              <w:bottom w:val="nil"/>
              <w:right w:val="nil"/>
            </w:tcBorders>
            <w:shd w:val="clear" w:color="auto" w:fill="FFFFFF"/>
          </w:tcPr>
          <w:p w:rsidR="00032F18" w:rsidRPr="001967EF" w:rsidRDefault="00052AC7" w:rsidP="00032F18">
            <w:pPr>
              <w:pStyle w:val="CETBodytext"/>
            </w:pPr>
            <m:oMath>
              <m:sSub>
                <m:sSubPr>
                  <m:ctrlPr>
                    <w:rPr>
                      <w:rFonts w:ascii="Cambria Math" w:hAnsi="Cambria Math"/>
                    </w:rPr>
                  </m:ctrlPr>
                </m:sSubPr>
                <m:e>
                  <m:bar>
                    <m:barPr>
                      <m:pos m:val="top"/>
                      <m:ctrlPr>
                        <w:rPr>
                          <w:rFonts w:ascii="Cambria Math" w:hAnsi="Cambria Math"/>
                        </w:rPr>
                      </m:ctrlPr>
                    </m:barPr>
                    <m:e>
                      <m:r>
                        <w:rPr>
                          <w:rFonts w:ascii="Cambria Math" w:hAnsi="Cambria Math"/>
                        </w:rPr>
                        <m:t>r</m:t>
                      </m:r>
                    </m:e>
                  </m:bar>
                </m:e>
                <m:sub>
                  <m:r>
                    <w:rPr>
                      <w:rFonts w:ascii="Cambria Math" w:hAnsi="Cambria Math"/>
                    </w:rPr>
                    <m:t>EFF</m:t>
                  </m:r>
                </m:sub>
              </m:sSub>
            </m:oMath>
            <w:r w:rsidR="00032F18">
              <w:t xml:space="preserve">  (mg/day)</w:t>
            </w:r>
          </w:p>
        </w:tc>
        <w:tc>
          <w:tcPr>
            <w:tcW w:w="888" w:type="pct"/>
            <w:tcBorders>
              <w:top w:val="single" w:sz="6" w:space="0" w:color="008000"/>
              <w:left w:val="nil"/>
              <w:bottom w:val="nil"/>
              <w:right w:val="nil"/>
            </w:tcBorders>
            <w:shd w:val="clear" w:color="auto" w:fill="FFFFFF"/>
            <w:vAlign w:val="bottom"/>
          </w:tcPr>
          <w:p w:rsidR="00032F18" w:rsidRDefault="00032F18" w:rsidP="00032F18">
            <w:pPr>
              <w:pStyle w:val="CETBodytext"/>
              <w:rPr>
                <w:rFonts w:ascii="Calibri" w:hAnsi="Calibri"/>
                <w:color w:val="000000"/>
                <w:sz w:val="22"/>
                <w:szCs w:val="22"/>
              </w:rPr>
            </w:pPr>
            <w:r>
              <w:rPr>
                <w:rFonts w:ascii="Calibri" w:hAnsi="Calibri"/>
                <w:color w:val="000000"/>
                <w:sz w:val="22"/>
                <w:szCs w:val="22"/>
              </w:rPr>
              <w:t>2.89</w:t>
            </w:r>
          </w:p>
        </w:tc>
        <w:tc>
          <w:tcPr>
            <w:tcW w:w="982" w:type="pct"/>
            <w:tcBorders>
              <w:top w:val="single" w:sz="6" w:space="0" w:color="008000"/>
              <w:left w:val="nil"/>
              <w:bottom w:val="nil"/>
              <w:right w:val="nil"/>
            </w:tcBorders>
            <w:shd w:val="clear" w:color="auto" w:fill="FFFFFF"/>
            <w:vAlign w:val="bottom"/>
          </w:tcPr>
          <w:p w:rsidR="00032F18" w:rsidRDefault="00032F18" w:rsidP="00032F18">
            <w:pPr>
              <w:pStyle w:val="CETBodytext"/>
              <w:rPr>
                <w:rFonts w:ascii="Calibri" w:hAnsi="Calibri"/>
                <w:color w:val="000000"/>
                <w:sz w:val="22"/>
                <w:szCs w:val="22"/>
              </w:rPr>
            </w:pPr>
            <w:r>
              <w:rPr>
                <w:rFonts w:ascii="Calibri" w:hAnsi="Calibri"/>
                <w:color w:val="000000"/>
                <w:sz w:val="22"/>
                <w:szCs w:val="22"/>
              </w:rPr>
              <w:t>1.99</w:t>
            </w:r>
          </w:p>
        </w:tc>
        <w:tc>
          <w:tcPr>
            <w:tcW w:w="712" w:type="pct"/>
            <w:tcBorders>
              <w:top w:val="single" w:sz="6" w:space="0" w:color="008000"/>
              <w:left w:val="nil"/>
              <w:bottom w:val="nil"/>
              <w:right w:val="nil"/>
            </w:tcBorders>
            <w:shd w:val="clear" w:color="auto" w:fill="FFFFFF"/>
            <w:vAlign w:val="bottom"/>
          </w:tcPr>
          <w:p w:rsidR="00032F18" w:rsidRDefault="00032F18" w:rsidP="00032F18">
            <w:pPr>
              <w:pStyle w:val="CETBodytext"/>
              <w:rPr>
                <w:rFonts w:ascii="Calibri" w:hAnsi="Calibri"/>
                <w:color w:val="000000"/>
                <w:sz w:val="22"/>
                <w:szCs w:val="22"/>
              </w:rPr>
            </w:pPr>
            <w:r>
              <w:rPr>
                <w:rFonts w:ascii="Calibri" w:hAnsi="Calibri"/>
                <w:color w:val="000000"/>
                <w:sz w:val="22"/>
                <w:szCs w:val="22"/>
              </w:rPr>
              <w:t>16.14</w:t>
            </w:r>
          </w:p>
        </w:tc>
        <w:tc>
          <w:tcPr>
            <w:tcW w:w="805" w:type="pct"/>
            <w:tcBorders>
              <w:top w:val="single" w:sz="6" w:space="0" w:color="008000"/>
              <w:left w:val="nil"/>
              <w:bottom w:val="nil"/>
              <w:right w:val="nil"/>
            </w:tcBorders>
            <w:shd w:val="clear" w:color="auto" w:fill="FFFFFF"/>
          </w:tcPr>
          <w:p w:rsidR="00032F18" w:rsidRPr="00B57B36" w:rsidRDefault="00032F18" w:rsidP="00032F18">
            <w:pPr>
              <w:pStyle w:val="CETBodytext"/>
            </w:pPr>
            <w:r>
              <w:t>-</w:t>
            </w:r>
          </w:p>
        </w:tc>
      </w:tr>
      <w:tr w:rsidR="00032F18" w:rsidRPr="00B57B36" w:rsidTr="00032F18">
        <w:tc>
          <w:tcPr>
            <w:tcW w:w="1613" w:type="pct"/>
            <w:gridSpan w:val="2"/>
            <w:tcBorders>
              <w:top w:val="nil"/>
              <w:left w:val="nil"/>
              <w:bottom w:val="nil"/>
              <w:right w:val="nil"/>
            </w:tcBorders>
            <w:shd w:val="clear" w:color="auto" w:fill="FFFFFF"/>
          </w:tcPr>
          <w:p w:rsidR="00032F18" w:rsidRPr="001967EF" w:rsidRDefault="00052AC7" w:rsidP="00032F18">
            <w:pPr>
              <w:pStyle w:val="CETBodytext"/>
            </w:pPr>
            <m:oMath>
              <m:bar>
                <m:barPr>
                  <m:pos m:val="top"/>
                  <m:ctrlPr>
                    <w:rPr>
                      <w:rFonts w:ascii="Cambria Math" w:hAnsi="Cambria Math"/>
                    </w:rPr>
                  </m:ctrlPr>
                </m:barPr>
                <m:e>
                  <m:sSub>
                    <m:sSubPr>
                      <m:ctrlPr>
                        <w:rPr>
                          <w:rFonts w:ascii="Cambria Math" w:hAnsi="Cambria Math"/>
                        </w:rPr>
                      </m:ctrlPr>
                    </m:sSubPr>
                    <m:e>
                      <m:r>
                        <m:rPr>
                          <m:sty m:val="p"/>
                        </m:rPr>
                        <w:rPr>
                          <w:rFonts w:ascii="Cambria Math" w:hAnsi="Cambria Math"/>
                        </w:rPr>
                        <m:t>Y</m:t>
                      </m:r>
                    </m:e>
                    <m:sub>
                      <m:r>
                        <w:rPr>
                          <w:rFonts w:ascii="Cambria Math" w:hAnsi="Cambria Math"/>
                        </w:rPr>
                        <m:t>BM</m:t>
                      </m:r>
                    </m:sub>
                  </m:sSub>
                </m:e>
              </m:bar>
            </m:oMath>
            <w:r w:rsidR="00032F18">
              <w:t xml:space="preserve">  (1/day)</w:t>
            </w:r>
          </w:p>
        </w:tc>
        <w:tc>
          <w:tcPr>
            <w:tcW w:w="888" w:type="pct"/>
            <w:tcBorders>
              <w:top w:val="nil"/>
              <w:left w:val="nil"/>
              <w:bottom w:val="nil"/>
              <w:right w:val="nil"/>
            </w:tcBorders>
            <w:shd w:val="clear" w:color="auto" w:fill="FFFFFF"/>
            <w:vAlign w:val="bottom"/>
          </w:tcPr>
          <w:p w:rsidR="00032F18" w:rsidRDefault="00032F18" w:rsidP="00032F18">
            <w:pPr>
              <w:pStyle w:val="CETBodytext"/>
              <w:rPr>
                <w:rFonts w:ascii="Calibri" w:hAnsi="Calibri"/>
                <w:color w:val="000000"/>
                <w:sz w:val="22"/>
                <w:szCs w:val="22"/>
              </w:rPr>
            </w:pPr>
            <w:r>
              <w:rPr>
                <w:rFonts w:ascii="Calibri" w:hAnsi="Calibri"/>
                <w:color w:val="000000"/>
                <w:sz w:val="22"/>
                <w:szCs w:val="22"/>
              </w:rPr>
              <w:t>1.45</w:t>
            </w:r>
          </w:p>
        </w:tc>
        <w:tc>
          <w:tcPr>
            <w:tcW w:w="982" w:type="pct"/>
            <w:tcBorders>
              <w:top w:val="nil"/>
              <w:left w:val="nil"/>
              <w:bottom w:val="nil"/>
              <w:right w:val="nil"/>
            </w:tcBorders>
            <w:shd w:val="clear" w:color="auto" w:fill="FFFFFF"/>
            <w:vAlign w:val="bottom"/>
          </w:tcPr>
          <w:p w:rsidR="00032F18" w:rsidRDefault="00032F18" w:rsidP="00032F18">
            <w:pPr>
              <w:pStyle w:val="CETBodytext"/>
              <w:rPr>
                <w:rFonts w:ascii="Calibri" w:hAnsi="Calibri"/>
                <w:color w:val="000000"/>
                <w:sz w:val="22"/>
                <w:szCs w:val="22"/>
              </w:rPr>
            </w:pPr>
            <w:r>
              <w:rPr>
                <w:rFonts w:ascii="Calibri" w:hAnsi="Calibri"/>
                <w:color w:val="000000"/>
                <w:sz w:val="22"/>
                <w:szCs w:val="22"/>
              </w:rPr>
              <w:t>0.99</w:t>
            </w:r>
          </w:p>
        </w:tc>
        <w:tc>
          <w:tcPr>
            <w:tcW w:w="712" w:type="pct"/>
            <w:tcBorders>
              <w:top w:val="nil"/>
              <w:left w:val="nil"/>
              <w:bottom w:val="nil"/>
              <w:right w:val="nil"/>
            </w:tcBorders>
            <w:shd w:val="clear" w:color="auto" w:fill="FFFFFF"/>
            <w:vAlign w:val="bottom"/>
          </w:tcPr>
          <w:p w:rsidR="00032F18" w:rsidRDefault="00032F18" w:rsidP="00032F18">
            <w:pPr>
              <w:pStyle w:val="CETBodytext"/>
              <w:rPr>
                <w:rFonts w:ascii="Calibri" w:hAnsi="Calibri"/>
                <w:color w:val="000000"/>
                <w:sz w:val="22"/>
                <w:szCs w:val="22"/>
              </w:rPr>
            </w:pPr>
            <w:r>
              <w:rPr>
                <w:rFonts w:ascii="Calibri" w:hAnsi="Calibri"/>
                <w:color w:val="000000"/>
                <w:sz w:val="22"/>
                <w:szCs w:val="22"/>
              </w:rPr>
              <w:t>3.58</w:t>
            </w:r>
          </w:p>
        </w:tc>
        <w:tc>
          <w:tcPr>
            <w:tcW w:w="805" w:type="pct"/>
            <w:tcBorders>
              <w:top w:val="nil"/>
              <w:left w:val="nil"/>
              <w:bottom w:val="nil"/>
              <w:right w:val="nil"/>
            </w:tcBorders>
            <w:shd w:val="clear" w:color="auto" w:fill="FFFFFF"/>
          </w:tcPr>
          <w:p w:rsidR="00032F18" w:rsidRPr="00B57B36" w:rsidRDefault="00032F18" w:rsidP="00032F18">
            <w:pPr>
              <w:pStyle w:val="CETBodytext"/>
            </w:pPr>
            <w:r>
              <w:t>-</w:t>
            </w:r>
          </w:p>
        </w:tc>
      </w:tr>
      <w:tr w:rsidR="00032F18" w:rsidRPr="00B57B36" w:rsidTr="00032F18">
        <w:tc>
          <w:tcPr>
            <w:tcW w:w="1613" w:type="pct"/>
            <w:gridSpan w:val="2"/>
            <w:tcBorders>
              <w:top w:val="nil"/>
              <w:left w:val="nil"/>
              <w:bottom w:val="nil"/>
              <w:right w:val="nil"/>
            </w:tcBorders>
            <w:shd w:val="clear" w:color="auto" w:fill="FFFFFF"/>
          </w:tcPr>
          <w:p w:rsidR="00032F18" w:rsidRPr="001967EF" w:rsidRDefault="00052AC7" w:rsidP="00032F18">
            <w:pPr>
              <w:pStyle w:val="CETBodytext"/>
            </w:pPr>
            <m:oMath>
              <m:sSub>
                <m:sSubPr>
                  <m:ctrlPr>
                    <w:rPr>
                      <w:rFonts w:ascii="Cambria Math" w:hAnsi="Cambria Math"/>
                    </w:rPr>
                  </m:ctrlPr>
                </m:sSubPr>
                <m:e>
                  <m:r>
                    <m:rPr>
                      <m:sty m:val="p"/>
                    </m:rPr>
                    <w:rPr>
                      <w:rFonts w:ascii="Cambria Math" w:hAnsi="Cambria Math"/>
                    </w:rPr>
                    <m:t>Y</m:t>
                  </m:r>
                </m:e>
                <m:sub>
                  <m:r>
                    <w:rPr>
                      <w:rFonts w:ascii="Cambria Math" w:hAnsi="Cambria Math"/>
                    </w:rPr>
                    <m:t>BM</m:t>
                  </m:r>
                </m:sub>
              </m:sSub>
            </m:oMath>
            <w:r w:rsidR="00032F18">
              <w:t xml:space="preserve"> (1/day)</w:t>
            </w:r>
          </w:p>
        </w:tc>
        <w:tc>
          <w:tcPr>
            <w:tcW w:w="888" w:type="pct"/>
            <w:tcBorders>
              <w:top w:val="nil"/>
              <w:left w:val="nil"/>
              <w:bottom w:val="nil"/>
              <w:right w:val="nil"/>
            </w:tcBorders>
            <w:shd w:val="clear" w:color="auto" w:fill="FFFFFF"/>
            <w:vAlign w:val="bottom"/>
          </w:tcPr>
          <w:p w:rsidR="00032F18" w:rsidRDefault="00032F18" w:rsidP="00032F18">
            <w:pPr>
              <w:pStyle w:val="CETBodytext"/>
              <w:rPr>
                <w:rFonts w:ascii="Calibri" w:hAnsi="Calibri"/>
                <w:color w:val="000000"/>
                <w:sz w:val="22"/>
                <w:szCs w:val="22"/>
              </w:rPr>
            </w:pPr>
            <w:r>
              <w:rPr>
                <w:rFonts w:ascii="Calibri" w:hAnsi="Calibri"/>
                <w:color w:val="000000"/>
                <w:sz w:val="22"/>
                <w:szCs w:val="22"/>
              </w:rPr>
              <w:t>0.07</w:t>
            </w:r>
          </w:p>
        </w:tc>
        <w:tc>
          <w:tcPr>
            <w:tcW w:w="982" w:type="pct"/>
            <w:tcBorders>
              <w:top w:val="nil"/>
              <w:left w:val="nil"/>
              <w:bottom w:val="nil"/>
              <w:right w:val="nil"/>
            </w:tcBorders>
            <w:shd w:val="clear" w:color="auto" w:fill="FFFFFF"/>
            <w:vAlign w:val="bottom"/>
          </w:tcPr>
          <w:p w:rsidR="00032F18" w:rsidRDefault="00032F18" w:rsidP="00032F18">
            <w:pPr>
              <w:pStyle w:val="CETBodytext"/>
              <w:rPr>
                <w:rFonts w:ascii="Calibri" w:hAnsi="Calibri"/>
                <w:color w:val="000000"/>
                <w:sz w:val="22"/>
                <w:szCs w:val="22"/>
              </w:rPr>
            </w:pPr>
            <w:r>
              <w:rPr>
                <w:rFonts w:ascii="Calibri" w:hAnsi="Calibri"/>
                <w:color w:val="000000"/>
                <w:sz w:val="22"/>
                <w:szCs w:val="22"/>
              </w:rPr>
              <w:t>0.25</w:t>
            </w:r>
          </w:p>
        </w:tc>
        <w:tc>
          <w:tcPr>
            <w:tcW w:w="712" w:type="pct"/>
            <w:tcBorders>
              <w:top w:val="nil"/>
              <w:left w:val="nil"/>
              <w:bottom w:val="nil"/>
              <w:right w:val="nil"/>
            </w:tcBorders>
            <w:shd w:val="clear" w:color="auto" w:fill="FFFFFF"/>
            <w:vAlign w:val="bottom"/>
          </w:tcPr>
          <w:p w:rsidR="00032F18" w:rsidRDefault="00032F18" w:rsidP="00032F18">
            <w:pPr>
              <w:pStyle w:val="CETBodytext"/>
              <w:rPr>
                <w:rFonts w:ascii="Calibri" w:hAnsi="Calibri"/>
                <w:color w:val="000000"/>
                <w:sz w:val="22"/>
                <w:szCs w:val="22"/>
              </w:rPr>
            </w:pPr>
            <w:r>
              <w:rPr>
                <w:rFonts w:ascii="Calibri" w:hAnsi="Calibri"/>
                <w:color w:val="000000"/>
                <w:sz w:val="22"/>
                <w:szCs w:val="22"/>
              </w:rPr>
              <w:t>0.92</w:t>
            </w:r>
          </w:p>
        </w:tc>
        <w:tc>
          <w:tcPr>
            <w:tcW w:w="805" w:type="pct"/>
            <w:tcBorders>
              <w:top w:val="nil"/>
              <w:left w:val="nil"/>
              <w:bottom w:val="nil"/>
              <w:right w:val="nil"/>
            </w:tcBorders>
            <w:shd w:val="clear" w:color="auto" w:fill="FFFFFF"/>
          </w:tcPr>
          <w:p w:rsidR="00032F18" w:rsidRPr="00B57B36" w:rsidRDefault="00032F18" w:rsidP="00032F18">
            <w:pPr>
              <w:pStyle w:val="CETBodytext"/>
            </w:pPr>
            <w:r>
              <w:t>-</w:t>
            </w:r>
          </w:p>
        </w:tc>
      </w:tr>
      <w:tr w:rsidR="00032F18" w:rsidRPr="00B57B36" w:rsidTr="00032F18">
        <w:tc>
          <w:tcPr>
            <w:tcW w:w="1613" w:type="pct"/>
            <w:gridSpan w:val="2"/>
            <w:tcBorders>
              <w:top w:val="nil"/>
              <w:bottom w:val="single" w:sz="12" w:space="0" w:color="008000"/>
            </w:tcBorders>
            <w:shd w:val="clear" w:color="auto" w:fill="FFFFFF"/>
          </w:tcPr>
          <w:p w:rsidR="00032F18" w:rsidRPr="001967EF" w:rsidRDefault="00052AC7" w:rsidP="00032F18">
            <w:pPr>
              <w:pStyle w:val="CETBodytext"/>
            </w:pPr>
            <m:oMath>
              <m:sSub>
                <m:sSubPr>
                  <m:ctrlPr>
                    <w:rPr>
                      <w:rFonts w:ascii="Cambria Math" w:hAnsi="Cambria Math"/>
                    </w:rPr>
                  </m:ctrlPr>
                </m:sSubPr>
                <m:e>
                  <m:r>
                    <m:rPr>
                      <m:sty m:val="p"/>
                    </m:rPr>
                    <w:rPr>
                      <w:rFonts w:ascii="Cambria Math" w:hAnsi="Cambria Math"/>
                    </w:rPr>
                    <m:t>Y</m:t>
                  </m:r>
                </m:e>
                <m:sub>
                  <m:r>
                    <w:rPr>
                      <w:rFonts w:ascii="Cambria Math" w:hAnsi="Cambria Math"/>
                    </w:rPr>
                    <m:t>C</m:t>
                  </m:r>
                </m:sub>
              </m:sSub>
            </m:oMath>
            <w:r w:rsidR="00032F18">
              <w:t xml:space="preserve"> (1/day)</w:t>
            </w:r>
          </w:p>
        </w:tc>
        <w:tc>
          <w:tcPr>
            <w:tcW w:w="888" w:type="pct"/>
            <w:tcBorders>
              <w:top w:val="nil"/>
              <w:bottom w:val="single" w:sz="12" w:space="0" w:color="008000"/>
            </w:tcBorders>
            <w:shd w:val="clear" w:color="auto" w:fill="FFFFFF"/>
            <w:vAlign w:val="bottom"/>
          </w:tcPr>
          <w:p w:rsidR="00032F18" w:rsidRDefault="00032F18" w:rsidP="00032F18">
            <w:pPr>
              <w:pStyle w:val="CETBodytext"/>
              <w:rPr>
                <w:rFonts w:ascii="Calibri" w:hAnsi="Calibri"/>
                <w:color w:val="000000"/>
                <w:sz w:val="22"/>
                <w:szCs w:val="22"/>
              </w:rPr>
            </w:pPr>
            <w:r>
              <w:rPr>
                <w:rFonts w:ascii="Calibri" w:hAnsi="Calibri"/>
                <w:color w:val="000000"/>
                <w:sz w:val="22"/>
                <w:szCs w:val="22"/>
              </w:rPr>
              <w:t>0.40</w:t>
            </w:r>
          </w:p>
        </w:tc>
        <w:tc>
          <w:tcPr>
            <w:tcW w:w="982" w:type="pct"/>
            <w:tcBorders>
              <w:top w:val="nil"/>
              <w:bottom w:val="single" w:sz="12" w:space="0" w:color="008000"/>
            </w:tcBorders>
            <w:shd w:val="clear" w:color="auto" w:fill="FFFFFF"/>
            <w:vAlign w:val="bottom"/>
          </w:tcPr>
          <w:p w:rsidR="00032F18" w:rsidRDefault="00032F18" w:rsidP="00032F18">
            <w:pPr>
              <w:pStyle w:val="CETBodytext"/>
              <w:rPr>
                <w:rFonts w:ascii="Calibri" w:hAnsi="Calibri"/>
                <w:color w:val="000000"/>
                <w:sz w:val="22"/>
                <w:szCs w:val="22"/>
              </w:rPr>
            </w:pPr>
            <w:r>
              <w:rPr>
                <w:rFonts w:ascii="Calibri" w:hAnsi="Calibri"/>
                <w:color w:val="000000"/>
                <w:sz w:val="22"/>
                <w:szCs w:val="22"/>
              </w:rPr>
              <w:t>0.26</w:t>
            </w:r>
          </w:p>
        </w:tc>
        <w:tc>
          <w:tcPr>
            <w:tcW w:w="712" w:type="pct"/>
            <w:tcBorders>
              <w:top w:val="nil"/>
              <w:bottom w:val="single" w:sz="12" w:space="0" w:color="008000"/>
            </w:tcBorders>
            <w:shd w:val="clear" w:color="auto" w:fill="FFFFFF"/>
            <w:vAlign w:val="bottom"/>
          </w:tcPr>
          <w:p w:rsidR="00032F18" w:rsidRDefault="00032F18" w:rsidP="00032F18">
            <w:pPr>
              <w:pStyle w:val="CETBodytext"/>
              <w:rPr>
                <w:rFonts w:ascii="Calibri" w:hAnsi="Calibri"/>
                <w:color w:val="000000"/>
                <w:sz w:val="22"/>
                <w:szCs w:val="22"/>
              </w:rPr>
            </w:pPr>
            <w:r>
              <w:rPr>
                <w:rFonts w:ascii="Calibri" w:hAnsi="Calibri"/>
                <w:color w:val="000000"/>
                <w:sz w:val="22"/>
                <w:szCs w:val="22"/>
              </w:rPr>
              <w:t>0.00</w:t>
            </w:r>
          </w:p>
        </w:tc>
        <w:tc>
          <w:tcPr>
            <w:tcW w:w="805" w:type="pct"/>
            <w:tcBorders>
              <w:top w:val="nil"/>
              <w:bottom w:val="single" w:sz="12" w:space="0" w:color="008000"/>
            </w:tcBorders>
            <w:shd w:val="clear" w:color="auto" w:fill="FFFFFF"/>
          </w:tcPr>
          <w:p w:rsidR="00032F18" w:rsidRPr="00B57B36" w:rsidRDefault="00032F18" w:rsidP="00032F18">
            <w:pPr>
              <w:pStyle w:val="CETBodytext"/>
            </w:pPr>
            <w:r>
              <w:t>-</w:t>
            </w:r>
          </w:p>
        </w:tc>
      </w:tr>
    </w:tbl>
    <w:p w:rsidR="00012484" w:rsidRDefault="00012484" w:rsidP="003563B7">
      <w:pPr>
        <w:pStyle w:val="CETheadingx"/>
      </w:pPr>
      <w:r>
        <w:t>Production of organics, carbon source preference</w:t>
      </w:r>
    </w:p>
    <w:p w:rsidR="00012484" w:rsidRPr="00040DA7" w:rsidRDefault="00012484" w:rsidP="00040DA7">
      <w:pPr>
        <w:pStyle w:val="CETBodytext"/>
      </w:pPr>
      <w:r w:rsidRPr="00040DA7">
        <w:t>An unexpected result was the high concentration of organic metabolites that was observed in the experiments with CaCO</w:t>
      </w:r>
      <w:r w:rsidRPr="00040DA7">
        <w:rPr>
          <w:vertAlign w:val="subscript"/>
        </w:rPr>
        <w:t>3</w:t>
      </w:r>
      <w:r w:rsidRPr="00040DA7">
        <w:t xml:space="preserve">. Due to this reason the utilization of </w:t>
      </w:r>
      <w:r w:rsidR="00032F18">
        <w:t>WW</w:t>
      </w:r>
      <w:r w:rsidRPr="00040DA7">
        <w:t xml:space="preserve"> TOC as a substrate could not be determined. In contrast, Experiment 2 with CaSO</w:t>
      </w:r>
      <w:r w:rsidRPr="00040DA7">
        <w:rPr>
          <w:vertAlign w:val="subscript"/>
        </w:rPr>
        <w:t>4</w:t>
      </w:r>
      <w:r w:rsidRPr="00040DA7">
        <w:t xml:space="preserve"> and </w:t>
      </w:r>
      <w:r w:rsidR="00032F18">
        <w:t>WW</w:t>
      </w:r>
      <w:r w:rsidRPr="00040DA7">
        <w:t xml:space="preserve"> produced a small </w:t>
      </w:r>
      <w:proofErr w:type="gramStart"/>
      <w:r w:rsidR="003017F0">
        <w:t>amount</w:t>
      </w:r>
      <w:proofErr w:type="gramEnd"/>
      <w:r w:rsidRPr="00040DA7">
        <w:t xml:space="preserve"> of</w:t>
      </w:r>
      <w:r w:rsidR="00032F18">
        <w:t xml:space="preserve"> excreted</w:t>
      </w:r>
      <w:r w:rsidRPr="00040DA7">
        <w:t xml:space="preserve"> metabolites and Experiment 3 with </w:t>
      </w:r>
      <w:r w:rsidR="00032F18">
        <w:t>WW</w:t>
      </w:r>
      <w:r w:rsidRPr="00040DA7">
        <w:t xml:space="preserve"> and air bubbling produced no metabolites; instead cellular growth was promoted and </w:t>
      </w:r>
      <w:r w:rsidR="00032F18">
        <w:t>WW</w:t>
      </w:r>
      <w:r w:rsidRPr="00040DA7">
        <w:t xml:space="preserve"> was utilized as a Carbon source. According to </w:t>
      </w:r>
      <w:proofErr w:type="spellStart"/>
      <w:r w:rsidRPr="00040DA7">
        <w:t>Shipin</w:t>
      </w:r>
      <w:proofErr w:type="spellEnd"/>
      <w:r w:rsidRPr="00040DA7">
        <w:t xml:space="preserve"> et al. (1999) the metabolites may be Extracellular Polysaccharides</w:t>
      </w:r>
      <w:r w:rsidR="0084648F">
        <w:t>/Extracellular Polymeric Substances</w:t>
      </w:r>
      <w:r w:rsidRPr="00040DA7">
        <w:t xml:space="preserve"> (EPS) which get released under conditions of stress, such as when the organisms undergo a shift in metabolism. </w:t>
      </w:r>
      <w:r w:rsidR="009673BC" w:rsidRPr="009673BC">
        <w:t>Wang et al. (2010)</w:t>
      </w:r>
      <w:r w:rsidR="009673BC">
        <w:t xml:space="preserve"> </w:t>
      </w:r>
      <w:r w:rsidRPr="00040DA7">
        <w:t xml:space="preserve">found that microalgae released </w:t>
      </w:r>
      <w:r w:rsidRPr="00040DA7">
        <w:lastRenderedPageBreak/>
        <w:t xml:space="preserve">small organic compounds (e.g. </w:t>
      </w:r>
      <w:r w:rsidR="00CA1BDC">
        <w:t>g</w:t>
      </w:r>
      <w:r w:rsidRPr="00040DA7">
        <w:t xml:space="preserve">lycolic </w:t>
      </w:r>
      <w:r w:rsidR="0084648F">
        <w:t>a</w:t>
      </w:r>
      <w:r w:rsidRPr="00040DA7">
        <w:t>cid) as a byproduct of photosynthesis if organic substrate is not available.</w:t>
      </w:r>
    </w:p>
    <w:p w:rsidR="00012484" w:rsidRPr="00040DA7" w:rsidRDefault="00012484" w:rsidP="00040DA7">
      <w:pPr>
        <w:pStyle w:val="CETBodytext"/>
      </w:pPr>
      <w:r w:rsidRPr="00040DA7">
        <w:t xml:space="preserve">The contrast of the high organic metabolite yield in Experiment 1 and the promotion of Cellular growth in Experiment 3 confirms the existence of two completely different metabolic pathways for this strain of </w:t>
      </w:r>
      <w:r w:rsidR="0084648F" w:rsidRPr="0084648F">
        <w:rPr>
          <w:i/>
        </w:rPr>
        <w:t>D.</w:t>
      </w:r>
      <w:r w:rsidRPr="0084648F">
        <w:rPr>
          <w:i/>
        </w:rPr>
        <w:t xml:space="preserve"> </w:t>
      </w:r>
      <w:proofErr w:type="spellStart"/>
      <w:r w:rsidRPr="0084648F">
        <w:rPr>
          <w:i/>
        </w:rPr>
        <w:t>multivariabilis</w:t>
      </w:r>
      <w:proofErr w:type="spellEnd"/>
      <w:r w:rsidRPr="00040DA7">
        <w:t>. The extracellular metabolite is acidic in nature, as witnessed by the fact that the pH of the solution increased only slightly, despite the increase that was predicted due to the utilization of CaCO</w:t>
      </w:r>
      <w:r w:rsidRPr="00040DA7">
        <w:rPr>
          <w:vertAlign w:val="subscript"/>
        </w:rPr>
        <w:t>3</w:t>
      </w:r>
      <w:r w:rsidRPr="00040DA7">
        <w:t xml:space="preserve"> as a carbon source. This correlates with the findings of </w:t>
      </w:r>
      <w:proofErr w:type="spellStart"/>
      <w:r w:rsidR="009673BC" w:rsidRPr="00040DA7">
        <w:t>Shipin</w:t>
      </w:r>
      <w:proofErr w:type="spellEnd"/>
      <w:r w:rsidR="009673BC" w:rsidRPr="00040DA7">
        <w:t xml:space="preserve"> et al. (1999</w:t>
      </w:r>
      <w:r w:rsidR="009673BC">
        <w:t>)</w:t>
      </w:r>
      <w:r w:rsidRPr="00040DA7">
        <w:t>.</w:t>
      </w:r>
    </w:p>
    <w:p w:rsidR="00012484" w:rsidRDefault="00012484" w:rsidP="00040DA7">
      <w:pPr>
        <w:pStyle w:val="CETBodytext"/>
      </w:pPr>
      <w:r w:rsidRPr="00040DA7">
        <w:t xml:space="preserve">The utilization ratio of </w:t>
      </w:r>
      <w:proofErr w:type="gramStart"/>
      <w:r w:rsidRPr="00040DA7">
        <w:t>CO</w:t>
      </w:r>
      <w:r w:rsidRPr="00040DA7">
        <w:rPr>
          <w:vertAlign w:val="subscript"/>
        </w:rPr>
        <w:t>2</w:t>
      </w:r>
      <w:r w:rsidRPr="00040DA7">
        <w:t>:CaCO</w:t>
      </w:r>
      <w:proofErr w:type="gramEnd"/>
      <w:r w:rsidRPr="00040DA7">
        <w:rPr>
          <w:vertAlign w:val="subscript"/>
        </w:rPr>
        <w:t>3</w:t>
      </w:r>
      <w:r w:rsidRPr="00040DA7">
        <w:t xml:space="preserve"> is 0.74 </w:t>
      </w:r>
      <m:oMath>
        <m:f>
          <m:fPr>
            <m:ctrlPr>
              <w:rPr>
                <w:rFonts w:ascii="Cambria Math" w:hAnsi="Cambria Math"/>
              </w:rPr>
            </m:ctrlPr>
          </m:fPr>
          <m:num>
            <m:r>
              <m:rPr>
                <m:sty m:val="p"/>
              </m:rPr>
              <w:rPr>
                <w:rFonts w:ascii="Cambria Math" w:hAnsi="Cambria Math"/>
              </w:rPr>
              <m:t>g of CO2 as C</m:t>
            </m:r>
          </m:num>
          <m:den>
            <m:r>
              <m:rPr>
                <m:sty m:val="p"/>
              </m:rPr>
              <w:rPr>
                <w:rFonts w:ascii="Cambria Math" w:hAnsi="Cambria Math"/>
              </w:rPr>
              <m:t>g of CaCO3 as C</m:t>
            </m:r>
          </m:den>
        </m:f>
      </m:oMath>
      <w:r w:rsidRPr="00040DA7">
        <w:t xml:space="preserve">. An interesting result of the experiment is that the mass of Carbon Dioxide utilized </w:t>
      </w:r>
      <w:r w:rsidR="00522D47">
        <w:t>calculated for</w:t>
      </w:r>
      <w:r w:rsidRPr="00040DA7">
        <w:t xml:space="preserve"> Experiment 1 and Experiment 3 are of </w:t>
      </w:r>
      <w:r w:rsidR="00522D47">
        <w:t xml:space="preserve">a </w:t>
      </w:r>
      <w:r w:rsidRPr="00040DA7">
        <w:t>similar value, indicating that the uptake of CO</w:t>
      </w:r>
      <w:r w:rsidRPr="00040DA7">
        <w:rPr>
          <w:vertAlign w:val="subscript"/>
        </w:rPr>
        <w:t>2</w:t>
      </w:r>
      <w:r w:rsidRPr="00040DA7">
        <w:t xml:space="preserve"> is not limited by mass transfer. The acidification caused by the release of metabolite would </w:t>
      </w:r>
      <w:r w:rsidR="00522D47">
        <w:t xml:space="preserve">also </w:t>
      </w:r>
      <w:r w:rsidRPr="00040DA7">
        <w:t>drive the dissolution of CaCO</w:t>
      </w:r>
      <w:r w:rsidRPr="00040DA7">
        <w:rPr>
          <w:vertAlign w:val="subscript"/>
        </w:rPr>
        <w:t>3</w:t>
      </w:r>
      <w:r w:rsidRPr="00040DA7">
        <w:t xml:space="preserve"> in water. A possible reason for the lower growth may be that the organism is actively controlling the pH of the water as a defense mechanism rather than expending most of its energy on growth. This is supported by the fact that the time </w:t>
      </w:r>
      <w:r w:rsidR="00522D47">
        <w:t>adjusted biomass yield (Figure 5</w:t>
      </w:r>
      <w:r w:rsidRPr="00040DA7">
        <w:t>) is more than an order of magnitude higher in Experiment 1 than in Experiment 3. The time adjusted Organics yield (normalize</w:t>
      </w:r>
      <w:r w:rsidR="00522D47">
        <w:t>d), is also included in Figure 5</w:t>
      </w:r>
      <w:r w:rsidRPr="00040DA7">
        <w:t>. The lower growth rate of Experiment 2 coupled with the low uptake of CO</w:t>
      </w:r>
      <w:r w:rsidRPr="00040DA7">
        <w:rPr>
          <w:vertAlign w:val="subscript"/>
        </w:rPr>
        <w:t>2</w:t>
      </w:r>
      <w:r w:rsidRPr="00040DA7">
        <w:t xml:space="preserve"> and no detectable organic Carbon uptake may indicate an inhibitory effect of the Ca</w:t>
      </w:r>
      <w:r w:rsidR="00032F18" w:rsidRPr="00032F18">
        <w:rPr>
          <w:vertAlign w:val="superscript"/>
        </w:rPr>
        <w:t>2</w:t>
      </w:r>
      <w:r w:rsidRPr="00040DA7">
        <w:rPr>
          <w:vertAlign w:val="superscript"/>
        </w:rPr>
        <w:t>+</w:t>
      </w:r>
      <w:r w:rsidRPr="00040DA7">
        <w:t xml:space="preserve"> or SO</w:t>
      </w:r>
      <w:r w:rsidRPr="00040DA7">
        <w:rPr>
          <w:vertAlign w:val="subscript"/>
        </w:rPr>
        <w:t>4</w:t>
      </w:r>
      <w:r w:rsidRPr="00040DA7">
        <w:rPr>
          <w:vertAlign w:val="superscript"/>
        </w:rPr>
        <w:t>2-</w:t>
      </w:r>
      <w:r w:rsidRPr="00040DA7">
        <w:t xml:space="preserve"> ions.</w:t>
      </w:r>
    </w:p>
    <w:p w:rsidR="00C53132" w:rsidRDefault="00052AC7" w:rsidP="00040DA7">
      <w:pPr>
        <w:pStyle w:val="CETBodytext"/>
      </w:pPr>
      <w:r>
        <w:rPr>
          <w:rFonts w:cs="Arial"/>
          <w:noProof/>
          <w:szCs w:val="18"/>
          <w:lang w:val="en-ZA" w:eastAsia="en-ZA"/>
        </w:rPr>
        <w:pict>
          <v:shapetype id="_x0000_t202" coordsize="21600,21600" o:spt="202" path="m,l,21600r21600,l21600,xe">
            <v:stroke joinstyle="miter"/>
            <v:path gradientshapeok="t" o:connecttype="rect"/>
          </v:shapetype>
          <v:shape id="Text Box 1" o:spid="_x0000_s1026" type="#_x0000_t202" style="position:absolute;left:0;text-align:left;margin-left:.15pt;margin-top:1.35pt;width:1in;height:44.3pt;z-index:25151129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" fillcolor="white [3212]" stroked="f" strokeweight=".5pt">
            <v:textbox>
              <w:txbxContent>
                <w:p w:rsidR="00C53132" w:rsidRDefault="00C53132">
                  <w:r>
                    <w:t>Exp 1</w:t>
                  </w:r>
                  <w:r w:rsidR="001F7840">
                    <w:t>:</w:t>
                  </w:r>
                </w:p>
                <w:p w:rsidR="00C53132" w:rsidRDefault="00C53132">
                  <w:r>
                    <w:t>Repeat 1:</w:t>
                  </w:r>
                </w:p>
                <w:p w:rsidR="00C53132" w:rsidRDefault="00C53132">
                  <w:r>
                    <w:t>Day 5</w:t>
                  </w:r>
                </w:p>
              </w:txbxContent>
            </v:textbox>
          </v:shape>
        </w:pict>
      </w:r>
    </w:p>
    <w:p w:rsidR="00C53132" w:rsidRDefault="00052AC7" w:rsidP="00040DA7">
      <w:pPr>
        <w:pStyle w:val="CETBodytext"/>
      </w:pPr>
      <w:r>
        <w:rPr>
          <w:rFonts w:cs="Arial"/>
          <w:noProof/>
          <w:szCs w:val="18"/>
          <w:lang w:val="en-ZA" w:eastAsia="en-ZA"/>
        </w:rPr>
        <w:pict>
          <v:shape id="Text Box 10" o:spid="_x0000_s1027" type="#_x0000_t202" style="position:absolute;left:0;text-align:left;margin-left:359.55pt;margin-top:.8pt;width:56.4pt;height:32.25pt;z-index:251604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" fillcolor="white [3212]" stroked="f" strokeweight=".5pt">
            <v:textbox>
              <w:txbxContent>
                <w:p w:rsidR="00C53132" w:rsidRDefault="00C53132" w:rsidP="00C53132">
                  <w:r>
                    <w:t>Repeat 2:</w:t>
                  </w:r>
                </w:p>
                <w:p w:rsidR="00C53132" w:rsidRDefault="00C53132" w:rsidP="00C53132">
                  <w:r>
                    <w:t>Day 14</w:t>
                  </w:r>
                </w:p>
              </w:txbxContent>
            </v:textbox>
          </v:shape>
        </w:pict>
      </w:r>
      <w:r>
        <w:rPr>
          <w:rFonts w:cs="Arial"/>
          <w:noProof/>
          <w:szCs w:val="18"/>
          <w:lang w:val="en-ZA" w:eastAsia="en-ZA"/>
        </w:rPr>
        <w:pict>
          <v:shape id="Text Box 9" o:spid="_x0000_s1028" type="#_x0000_t202" style="position:absolute;left:0;text-align:left;margin-left:284.1pt;margin-top:.8pt;width:56.4pt;height:31.1pt;z-index:251588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" fillcolor="white [3212]" stroked="f" strokeweight=".5pt">
            <v:textbox>
              <w:txbxContent>
                <w:p w:rsidR="00C53132" w:rsidRDefault="00C53132" w:rsidP="00C53132">
                  <w:r>
                    <w:t>Repeat 2:</w:t>
                  </w:r>
                </w:p>
                <w:p w:rsidR="00C53132" w:rsidRDefault="00C53132" w:rsidP="00C53132">
                  <w:r>
                    <w:t>Day 7</w:t>
                  </w:r>
                </w:p>
              </w:txbxContent>
            </v:textbox>
          </v:shape>
        </w:pict>
      </w:r>
      <w:r>
        <w:rPr>
          <w:rFonts w:cs="Arial"/>
          <w:noProof/>
          <w:szCs w:val="18"/>
          <w:lang w:val="en-ZA" w:eastAsia="en-ZA"/>
        </w:rPr>
        <w:pict>
          <v:shape id="Text Box 8" o:spid="_x0000_s1029" type="#_x0000_t202" style="position:absolute;left:0;text-align:left;margin-left:220.2pt;margin-top:3.75pt;width:56.45pt;height:30.5pt;z-index:251573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" fillcolor="white [3212]" stroked="f" strokeweight=".5pt">
            <v:textbox>
              <w:txbxContent>
                <w:p w:rsidR="00C53132" w:rsidRDefault="00C53132" w:rsidP="00C53132">
                  <w:r>
                    <w:t>Repeat 2:</w:t>
                  </w:r>
                </w:p>
                <w:p w:rsidR="00C53132" w:rsidRDefault="00C53132" w:rsidP="00C53132">
                  <w:r>
                    <w:t>Day 5</w:t>
                  </w:r>
                </w:p>
              </w:txbxContent>
            </v:textbox>
          </v:shape>
        </w:pict>
      </w:r>
      <w:r>
        <w:rPr>
          <w:rFonts w:cs="Arial"/>
          <w:noProof/>
          <w:szCs w:val="18"/>
          <w:lang w:val="en-ZA" w:eastAsia="en-ZA"/>
        </w:rPr>
        <w:pict>
          <v:shape id="Text Box 3" o:spid="_x0000_s1030" type="#_x0000_t202" style="position:absolute;left:0;text-align:left;margin-left:153.95pt;margin-top:3.75pt;width:62.2pt;height:30.5pt;z-index:251555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" fillcolor="white [3212]" stroked="f" strokeweight=".5pt">
            <v:textbox>
              <w:txbxContent>
                <w:p w:rsidR="00C53132" w:rsidRDefault="00C53132" w:rsidP="00C53132">
                  <w:r>
                    <w:t>Repeat 1:</w:t>
                  </w:r>
                </w:p>
                <w:p w:rsidR="00C53132" w:rsidRDefault="00C53132" w:rsidP="00C53132">
                  <w:r>
                    <w:t>Day 14</w:t>
                  </w:r>
                </w:p>
              </w:txbxContent>
            </v:textbox>
          </v:shape>
        </w:pict>
      </w:r>
      <w:r>
        <w:rPr>
          <w:rFonts w:cs="Arial"/>
          <w:noProof/>
          <w:szCs w:val="18"/>
          <w:lang w:val="en-ZA" w:eastAsia="en-ZA"/>
        </w:rPr>
        <w:pict>
          <v:shape id="Text Box 2" o:spid="_x0000_s1031" type="#_x0000_t202" style="position:absolute;left:0;text-align:left;margin-left:72.15pt;margin-top:.85pt;width:57.6pt;height:30.5pt;z-index:251530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" fillcolor="white [3212]" stroked="f" strokeweight=".5pt">
            <v:textbox>
              <w:txbxContent>
                <w:p w:rsidR="00C53132" w:rsidRDefault="00C53132" w:rsidP="00C53132">
                  <w:r>
                    <w:t>Repeat 1:</w:t>
                  </w:r>
                </w:p>
                <w:p w:rsidR="00C53132" w:rsidRDefault="00C53132" w:rsidP="00C53132">
                  <w:r>
                    <w:t>Day 7</w:t>
                  </w:r>
                </w:p>
              </w:txbxContent>
            </v:textbox>
          </v:shape>
        </w:pict>
      </w:r>
    </w:p>
    <w:p w:rsidR="00C53132" w:rsidRDefault="00C53132" w:rsidP="00040DA7">
      <w:pPr>
        <w:pStyle w:val="CETBodytext"/>
      </w:pPr>
    </w:p>
    <w:p w:rsidR="00032F18" w:rsidRPr="00040DA7" w:rsidRDefault="00032F18" w:rsidP="00040DA7">
      <w:pPr>
        <w:pStyle w:val="CETBodytext"/>
      </w:pPr>
    </w:p>
    <w:p w:rsidR="00510220" w:rsidRDefault="004C1383" w:rsidP="0019569A">
      <w:pPr>
        <w:pStyle w:val="CETBodytext"/>
        <w:jc w:val="left"/>
        <w:rPr>
          <w:rFonts w:cs="Arial"/>
          <w:noProof/>
          <w:szCs w:val="18"/>
          <w:lang w:val="en-ZA" w:eastAsia="en-ZA"/>
        </w:rPr>
      </w:pPr>
      <w:r>
        <w:rPr>
          <w:rFonts w:cs="Arial"/>
          <w:noProof/>
          <w:szCs w:val="18"/>
          <w:lang w:val="en-ZA" w:eastAsia="en-ZA"/>
        </w:rPr>
        <w:drawing>
          <wp:inline distT="0" distB="0" distL="0" distR="0">
            <wp:extent cx="5579745" cy="850900"/>
            <wp:effectExtent l="0" t="0" r="190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79745" cy="850900"/>
                    </a:xfrm>
                    <a:prstGeom prst="rect">
                      <a:avLst/>
                    </a:prstGeom>
                  </pic:spPr>
                </pic:pic>
              </a:graphicData>
            </a:graphic>
          </wp:inline>
        </w:drawing>
      </w:r>
    </w:p>
    <w:p w:rsidR="00510220" w:rsidRDefault="004C1383" w:rsidP="00362ECE">
      <w:pPr>
        <w:pStyle w:val="CETCaption"/>
        <w:spacing w:after="0"/>
      </w:pPr>
      <w:r>
        <w:t>Figure 1: A composite image illustrating the experimental progression of Experiment 1 on Days 5, 7 and 14. The first three images are of the iteration that experienced suspended growth. The last three images are of another iteration.</w:t>
      </w:r>
    </w:p>
    <w:p w:rsidR="00C53132" w:rsidRDefault="00052AC7" w:rsidP="00362ECE">
      <w:pPr>
        <w:pStyle w:val="CETCaption"/>
        <w:spacing w:before="0" w:after="0"/>
      </w:pPr>
      <w:r>
        <w:rPr>
          <w:rFonts w:cs="Arial"/>
          <w:noProof/>
          <w:szCs w:val="18"/>
          <w:lang w:val="en-ZA" w:eastAsia="en-ZA"/>
        </w:rPr>
        <w:pict>
          <v:shape id="Text Box 21" o:spid="_x0000_s1032" type="#_x0000_t202" style="position:absolute;left:0;text-align:left;margin-left:381.35pt;margin-top:2.6pt;width:56.4pt;height:32.25pt;z-index:251831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" fillcolor="white [3212]" stroked="f" strokeweight=".5pt">
            <v:textbox style="mso-next-textbox:#Text Box 21">
              <w:txbxContent>
                <w:p w:rsidR="00C53132" w:rsidRDefault="00C53132" w:rsidP="00C53132">
                  <w:r>
                    <w:t>Exp 4:</w:t>
                  </w:r>
                </w:p>
                <w:p w:rsidR="00C53132" w:rsidRDefault="00C53132" w:rsidP="00C53132">
                  <w:r>
                    <w:t>Day 14</w:t>
                  </w:r>
                </w:p>
              </w:txbxContent>
            </v:textbox>
          </v:shape>
        </w:pict>
      </w:r>
      <w:r>
        <w:rPr>
          <w:rFonts w:cs="Arial"/>
          <w:noProof/>
          <w:szCs w:val="18"/>
          <w:lang w:val="en-ZA" w:eastAsia="en-ZA"/>
        </w:rPr>
        <w:pict>
          <v:shape id="Text Box 14" o:spid="_x0000_s1033" type="#_x0000_t202" style="position:absolute;left:0;text-align:left;margin-left:312.85pt;margin-top:2.7pt;width:56.4pt;height:32.25pt;z-index:251830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" fillcolor="white [3212]" stroked="f" strokeweight=".5pt">
            <v:textbox style="mso-next-textbox:#Text Box 14">
              <w:txbxContent>
                <w:p w:rsidR="00C53132" w:rsidRDefault="00C53132" w:rsidP="00C53132">
                  <w:r>
                    <w:t>Exp 4:</w:t>
                  </w:r>
                </w:p>
                <w:p w:rsidR="00C53132" w:rsidRDefault="00C53132" w:rsidP="00C53132">
                  <w:r>
                    <w:t>Day 5</w:t>
                  </w:r>
                </w:p>
              </w:txbxContent>
            </v:textbox>
          </v:shape>
        </w:pict>
      </w:r>
      <w:r>
        <w:rPr>
          <w:rFonts w:cs="Arial"/>
          <w:noProof/>
          <w:szCs w:val="18"/>
          <w:lang w:val="en-ZA" w:eastAsia="en-ZA"/>
        </w:rPr>
        <w:pict>
          <v:shape id="Text Box 16" o:spid="_x0000_s1034" type="#_x0000_t202" style="position:absolute;left:0;text-align:left;margin-left:256.45pt;margin-top:4.45pt;width:56.4pt;height:31.1pt;z-index:251789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" fillcolor="white [3212]" stroked="f" strokeweight=".5pt">
            <v:textbox style="mso-next-textbox:#Text Box 16">
              <w:txbxContent>
                <w:p w:rsidR="00C53132" w:rsidRDefault="00C53132" w:rsidP="00C53132">
                  <w:r>
                    <w:t>Exp 3:</w:t>
                  </w:r>
                </w:p>
                <w:p w:rsidR="00C53132" w:rsidRDefault="00C53132" w:rsidP="00C53132">
                  <w:r>
                    <w:t>Day 5</w:t>
                  </w:r>
                </w:p>
              </w:txbxContent>
            </v:textbox>
          </v:shape>
        </w:pict>
      </w:r>
      <w:r>
        <w:rPr>
          <w:rFonts w:cs="Arial"/>
          <w:noProof/>
          <w:szCs w:val="18"/>
          <w:lang w:val="en-ZA" w:eastAsia="en-ZA"/>
        </w:rPr>
        <w:pict>
          <v:shape id="Text Box 17" o:spid="_x0000_s1035" type="#_x0000_t202" style="position:absolute;left:0;text-align:left;margin-left:194.8pt;margin-top:4.5pt;width:56.4pt;height:30.5pt;z-index:251751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" fillcolor="white [3212]" stroked="f" strokeweight=".5pt">
            <v:textbox style="mso-next-textbox:#Text Box 17">
              <w:txbxContent>
                <w:p w:rsidR="00C53132" w:rsidRDefault="00C53132" w:rsidP="00C53132">
                  <w:r>
                    <w:t>Exp 3:</w:t>
                  </w:r>
                </w:p>
                <w:p w:rsidR="00C53132" w:rsidRDefault="00C53132" w:rsidP="00C53132">
                  <w:r>
                    <w:t>Day 0</w:t>
                  </w:r>
                </w:p>
              </w:txbxContent>
            </v:textbox>
          </v:shape>
        </w:pict>
      </w:r>
      <w:r>
        <w:rPr>
          <w:rFonts w:cs="Arial"/>
          <w:noProof/>
          <w:szCs w:val="18"/>
          <w:lang w:val="en-ZA" w:eastAsia="en-ZA"/>
        </w:rPr>
        <w:pict>
          <v:shape id="Text Box 13" o:spid="_x0000_s1036" type="#_x0000_t202" style="position:absolute;left:0;text-align:left;margin-left:.15pt;margin-top:5.55pt;width:1in;height:29.4pt;z-index:25164032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" fillcolor="white [3212]" stroked="f" strokeweight=".5pt">
            <v:textbox style="mso-next-textbox:#Text Box 13">
              <w:txbxContent>
                <w:p w:rsidR="00C53132" w:rsidRDefault="00C53132" w:rsidP="00C53132">
                  <w:r>
                    <w:t>Exp 2</w:t>
                  </w:r>
                  <w:r w:rsidR="001F7840">
                    <w:t>:</w:t>
                  </w:r>
                </w:p>
                <w:p w:rsidR="00C53132" w:rsidRDefault="00C53132" w:rsidP="00C53132">
                  <w:r>
                    <w:t>Day 5</w:t>
                  </w:r>
                </w:p>
              </w:txbxContent>
            </v:textbox>
          </v:shape>
        </w:pict>
      </w:r>
      <w:r>
        <w:rPr>
          <w:rFonts w:cs="Arial"/>
          <w:noProof/>
          <w:szCs w:val="18"/>
          <w:lang w:val="en-ZA" w:eastAsia="en-ZA"/>
        </w:rPr>
        <w:pict>
          <v:shape id="Text Box 18" o:spid="_x0000_s1037" type="#_x0000_t202" style="position:absolute;left:0;text-align:left;margin-left:124pt;margin-top:4.45pt;width:62.2pt;height:30.5pt;z-index:251714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" fillcolor="white [3212]" stroked="f" strokeweight=".5pt">
            <v:textbox style="mso-next-textbox:#Text Box 18">
              <w:txbxContent>
                <w:p w:rsidR="00C53132" w:rsidRDefault="00C53132" w:rsidP="00C53132">
                  <w:r>
                    <w:t>Exp 2:</w:t>
                  </w:r>
                </w:p>
                <w:p w:rsidR="00C53132" w:rsidRDefault="00C53132" w:rsidP="00C53132">
                  <w:r>
                    <w:t>Day 14</w:t>
                  </w:r>
                </w:p>
              </w:txbxContent>
            </v:textbox>
          </v:shape>
        </w:pict>
      </w:r>
      <w:r>
        <w:rPr>
          <w:rFonts w:cs="Arial"/>
          <w:noProof/>
          <w:szCs w:val="18"/>
          <w:lang w:val="en-ZA" w:eastAsia="en-ZA"/>
        </w:rPr>
        <w:pict>
          <v:shape id="Text Box 20" o:spid="_x0000_s1038" type="#_x0000_t202" style="position:absolute;left:0;text-align:left;margin-left:54.1pt;margin-top:5.1pt;width:57.6pt;height:30.5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" fillcolor="white [3212]" stroked="f" strokeweight=".5pt">
            <v:textbox style="mso-next-textbox:#Text Box 20">
              <w:txbxContent>
                <w:p w:rsidR="00C53132" w:rsidRDefault="00C53132" w:rsidP="00C53132">
                  <w:r>
                    <w:t>Exp 2:</w:t>
                  </w:r>
                </w:p>
                <w:p w:rsidR="00C53132" w:rsidRDefault="00C53132" w:rsidP="00C53132">
                  <w:r>
                    <w:t>Day 7</w:t>
                  </w:r>
                </w:p>
              </w:txbxContent>
            </v:textbox>
          </v:shape>
        </w:pict>
      </w:r>
    </w:p>
    <w:p w:rsidR="00510220" w:rsidRDefault="00510220" w:rsidP="00362ECE">
      <w:pPr>
        <w:pStyle w:val="CETBodytext"/>
        <w:spacing w:line="240" w:lineRule="auto"/>
        <w:jc w:val="left"/>
      </w:pPr>
    </w:p>
    <w:p w:rsidR="00362ECE" w:rsidRDefault="00362ECE" w:rsidP="00362ECE">
      <w:pPr>
        <w:pStyle w:val="CETCaption"/>
        <w:spacing w:before="0" w:after="0" w:line="240" w:lineRule="auto"/>
      </w:pPr>
    </w:p>
    <w:p w:rsidR="005E5016" w:rsidRDefault="005E5016" w:rsidP="00362ECE">
      <w:pPr>
        <w:pStyle w:val="CETCaption"/>
        <w:spacing w:before="0" w:after="0" w:line="240" w:lineRule="auto"/>
      </w:pPr>
      <w:r>
        <w:rPr>
          <w:rFonts w:cs="Arial"/>
          <w:noProof/>
          <w:szCs w:val="18"/>
          <w:lang w:val="en-ZA" w:eastAsia="en-ZA"/>
        </w:rPr>
        <w:drawing>
          <wp:anchor distT="0" distB="0" distL="114300" distR="114300" simplePos="0" relativeHeight="251833856" behindDoc="0" locked="0" layoutInCell="1" allowOverlap="1">
            <wp:simplePos x="0" y="0"/>
            <wp:positionH relativeFrom="column">
              <wp:posOffset>-3810</wp:posOffset>
            </wp:positionH>
            <wp:positionV relativeFrom="paragraph">
              <wp:posOffset>88392</wp:posOffset>
            </wp:positionV>
            <wp:extent cx="5579745" cy="736600"/>
            <wp:effectExtent l="0" t="0" r="190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ol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79745" cy="736600"/>
                    </a:xfrm>
                    <a:prstGeom prst="rect">
                      <a:avLst/>
                    </a:prstGeom>
                  </pic:spPr>
                </pic:pic>
              </a:graphicData>
            </a:graphic>
          </wp:anchor>
        </w:drawing>
      </w:r>
    </w:p>
    <w:p w:rsidR="005E5016" w:rsidRDefault="005E5016" w:rsidP="00362ECE">
      <w:pPr>
        <w:pStyle w:val="CETCaption"/>
        <w:spacing w:before="0" w:line="240" w:lineRule="auto"/>
      </w:pPr>
    </w:p>
    <w:p w:rsidR="005E5016" w:rsidRDefault="005E5016" w:rsidP="00362ECE">
      <w:pPr>
        <w:pStyle w:val="CETCaption"/>
        <w:spacing w:before="0" w:line="240" w:lineRule="auto"/>
      </w:pPr>
    </w:p>
    <w:p w:rsidR="004C1383" w:rsidRDefault="004C1383" w:rsidP="00362ECE">
      <w:pPr>
        <w:pStyle w:val="CETCaption"/>
        <w:spacing w:before="0"/>
      </w:pPr>
      <w:r>
        <w:t xml:space="preserve">Figure 2: A composite image illustrating the experimental progression of Experiment </w:t>
      </w:r>
      <w:r w:rsidR="005159E1">
        <w:t>2 on days 5, 7 and 14 (first three images), of Experiment 3</w:t>
      </w:r>
      <w:r>
        <w:t xml:space="preserve"> on Days </w:t>
      </w:r>
      <w:r w:rsidR="00C53132">
        <w:t>0</w:t>
      </w:r>
      <w:r w:rsidR="005159E1">
        <w:t xml:space="preserve"> and 5 (next two images) and of Experiment 4 on</w:t>
      </w:r>
      <w:r>
        <w:t xml:space="preserve"> </w:t>
      </w:r>
      <w:r w:rsidR="005159E1">
        <w:t xml:space="preserve">days 5 and 14 (last two images). </w:t>
      </w:r>
    </w:p>
    <w:p w:rsidR="008F0881" w:rsidRDefault="005E5016" w:rsidP="00795EBC">
      <w:pPr>
        <w:pStyle w:val="CETBodytext"/>
        <w:jc w:val="left"/>
        <w:rPr>
          <w:rStyle w:val="CETCaptionCarattere"/>
        </w:rPr>
      </w:pPr>
      <w:r w:rsidRPr="00F03D7D">
        <w:rPr>
          <w:noProof/>
          <w:lang w:val="en-ZA" w:eastAsia="en-ZA"/>
        </w:rPr>
        <w:drawing>
          <wp:anchor distT="0" distB="0" distL="114300" distR="114300" simplePos="0" relativeHeight="251482624" behindDoc="0" locked="0" layoutInCell="1" allowOverlap="1">
            <wp:simplePos x="0" y="0"/>
            <wp:positionH relativeFrom="column">
              <wp:posOffset>2628671</wp:posOffset>
            </wp:positionH>
            <wp:positionV relativeFrom="paragraph">
              <wp:posOffset>132790</wp:posOffset>
            </wp:positionV>
            <wp:extent cx="2832100" cy="2018995"/>
            <wp:effectExtent l="0" t="0" r="6350" b="635"/>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8F0881">
        <w:rPr>
          <w:noProof/>
          <w:lang w:val="en-ZA" w:eastAsia="en-ZA"/>
        </w:rPr>
        <w:drawing>
          <wp:inline distT="0" distB="0" distL="0" distR="0">
            <wp:extent cx="2514600" cy="2092147"/>
            <wp:effectExtent l="0" t="0" r="0" b="38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1BC4" w:rsidRDefault="00052AC7" w:rsidP="00795EBC">
      <w:pPr>
        <w:pStyle w:val="CETBodytext"/>
        <w:jc w:val="left"/>
        <w:rPr>
          <w:rStyle w:val="CETCaptionCarattere"/>
        </w:rPr>
      </w:pPr>
      <w:r>
        <w:rPr>
          <w:noProof/>
          <w:lang w:val="en-ZA" w:eastAsia="en-ZA"/>
        </w:rPr>
        <w:pict>
          <v:shape id="_x0000_s1039" type="#_x0000_t202" style="position:absolute;margin-left:230.25pt;margin-top:8.3pt;width:225.5pt;height:110.55pt;z-index:2514938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" filled="f" stroked="f">
            <v:textbox style="mso-fit-shape-to-text:t">
              <w:txbxContent>
                <w:p w:rsidR="004D1975" w:rsidRPr="00522D47" w:rsidRDefault="004D1975" w:rsidP="00522D47">
                  <w:pPr>
                    <w:pStyle w:val="CETBodytext"/>
                    <w:jc w:val="left"/>
                    <w:rPr>
                      <w:rFonts w:cs="Arial"/>
                      <w:szCs w:val="18"/>
                    </w:rPr>
                  </w:pPr>
                  <w:r w:rsidRPr="00795EBC">
                    <w:rPr>
                      <w:rStyle w:val="CETCaptionCarattere"/>
                    </w:rPr>
                    <w:t xml:space="preserve">Figure </w:t>
                  </w:r>
                  <w:r>
                    <w:rPr>
                      <w:rStyle w:val="CETCaptionCarattere"/>
                    </w:rPr>
                    <w:t>4: Phosphate, Nitrogen and Inorganic substrate utilization Normalized against the values of Experiment 2.</w:t>
                  </w:r>
                </w:p>
              </w:txbxContent>
            </v:textbox>
          </v:shape>
        </w:pict>
      </w:r>
      <w:r>
        <w:rPr>
          <w:noProof/>
          <w:lang w:val="en-ZA" w:eastAsia="en-ZA"/>
        </w:rPr>
        <w:pict>
          <v:shape id="_x0000_s1040" type="#_x0000_t202" style="position:absolute;margin-left:0;margin-top:8.6pt;width:207.05pt;height:110.55pt;z-index:2514897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" filled="f" stroked="f">
            <v:textbox style="mso-fit-shape-to-text:t">
              <w:txbxContent>
                <w:p w:rsidR="004D1975" w:rsidRDefault="004D1975" w:rsidP="00522D47">
                  <w:pPr>
                    <w:jc w:val="left"/>
                  </w:pPr>
                  <w:r w:rsidRPr="00795EBC">
                    <w:rPr>
                      <w:rStyle w:val="CETCaptionCarattere"/>
                    </w:rPr>
                    <w:t xml:space="preserve">Figure </w:t>
                  </w:r>
                  <w:r>
                    <w:rPr>
                      <w:rStyle w:val="CETCaptionCarattere"/>
                    </w:rPr>
                    <w:t>3: Effective Growth Rate and Specific Biomass Yield Normalized against the values of Experiment 2.</w:t>
                  </w:r>
                </w:p>
              </w:txbxContent>
            </v:textbox>
          </v:shape>
        </w:pict>
      </w:r>
    </w:p>
    <w:p w:rsidR="008F0881" w:rsidRDefault="008F0881" w:rsidP="00795EBC">
      <w:pPr>
        <w:pStyle w:val="CETBodytext"/>
        <w:jc w:val="left"/>
        <w:rPr>
          <w:rStyle w:val="CETCaptionCarattere"/>
        </w:rPr>
      </w:pPr>
    </w:p>
    <w:p w:rsidR="00510220" w:rsidRDefault="00522D47" w:rsidP="005E5016">
      <w:pPr>
        <w:pStyle w:val="CETBodytext"/>
        <w:jc w:val="center"/>
        <w:rPr>
          <w:rFonts w:cs="Arial"/>
          <w:szCs w:val="18"/>
        </w:rPr>
      </w:pPr>
      <w:r>
        <w:rPr>
          <w:noProof/>
          <w:lang w:val="en-ZA" w:eastAsia="en-ZA"/>
        </w:rPr>
        <w:lastRenderedPageBreak/>
        <w:drawing>
          <wp:inline distT="0" distB="0" distL="0" distR="0">
            <wp:extent cx="5144135" cy="1938528"/>
            <wp:effectExtent l="0" t="0" r="0" b="508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E5016" w:rsidRPr="001F7840" w:rsidRDefault="00991BC4" w:rsidP="00991BC4">
      <w:pPr>
        <w:pStyle w:val="CETBodytext"/>
        <w:rPr>
          <w:i/>
          <w:vertAlign w:val="subscript"/>
        </w:rPr>
      </w:pPr>
      <w:r w:rsidRPr="001F7840">
        <w:rPr>
          <w:rStyle w:val="CETCaptionCarattere"/>
          <w:i w:val="0"/>
          <w:lang w:val="en-US"/>
        </w:rPr>
        <w:t>Figure 5: Biomass and Organics Yields</w:t>
      </w:r>
      <w:r w:rsidRPr="001F7840">
        <w:rPr>
          <w:i/>
        </w:rPr>
        <w:t>, Normalized against Experiment 2. This figure clearly indicates that Experiment 3 had much more success in converting substrate to Biomass than Experiment 1 with CaCO</w:t>
      </w:r>
      <w:r w:rsidRPr="001F7840">
        <w:rPr>
          <w:i/>
          <w:vertAlign w:val="subscript"/>
        </w:rPr>
        <w:t>3</w:t>
      </w:r>
    </w:p>
    <w:p w:rsidR="005E5016" w:rsidRPr="00012484" w:rsidRDefault="005E5016" w:rsidP="005E5016">
      <w:pPr>
        <w:pStyle w:val="CETHeading1"/>
      </w:pPr>
      <w:r w:rsidRPr="00012484">
        <w:t>Conclusion</w:t>
      </w:r>
    </w:p>
    <w:p w:rsidR="005E5016" w:rsidRDefault="005E5016" w:rsidP="005E5016">
      <w:pPr>
        <w:pStyle w:val="CETBodytext"/>
        <w:rPr>
          <w:lang w:val="en-GB"/>
        </w:rPr>
      </w:pPr>
      <w:r w:rsidRPr="002F5D9B">
        <w:t xml:space="preserve">The results of the study clearly indicate that growing </w:t>
      </w:r>
      <w:r>
        <w:rPr>
          <w:i/>
        </w:rPr>
        <w:t>D.</w:t>
      </w:r>
      <w:r w:rsidRPr="00032F18">
        <w:rPr>
          <w:i/>
        </w:rPr>
        <w:t xml:space="preserve"> </w:t>
      </w:r>
      <w:proofErr w:type="spellStart"/>
      <w:r w:rsidRPr="00032F18">
        <w:rPr>
          <w:i/>
        </w:rPr>
        <w:t>multivariabilis</w:t>
      </w:r>
      <w:proofErr w:type="spellEnd"/>
      <w:r w:rsidRPr="002F5D9B">
        <w:t xml:space="preserve"> in Calcium Carbonate delivers suboptimal biomass productivity, due to a metabolic shift that occurs, possibly as defensive mechanism of the organism to counter the pH increase of the water. The result of this shift presents other opportunities, as the metabolites produced from Calcium Carbonate in significant quantity have unexplored potential. Further studies are needed to characterize the nature of the metabolites and explore their industrial potential. </w:t>
      </w:r>
    </w:p>
    <w:p w:rsidR="003563B7" w:rsidRDefault="003563B7" w:rsidP="003563B7">
      <w:pPr>
        <w:pStyle w:val="CETHeading1"/>
      </w:pPr>
      <w:r>
        <w:t>References</w:t>
      </w:r>
    </w:p>
    <w:p w:rsidR="002D24D2" w:rsidRPr="00BA1FC5" w:rsidRDefault="002D24D2" w:rsidP="00BA1FC5">
      <w:pPr>
        <w:pStyle w:val="CETReferencetext"/>
      </w:pPr>
      <w:proofErr w:type="spellStart"/>
      <w:r w:rsidRPr="00BA1FC5">
        <w:t>Edzwald</w:t>
      </w:r>
      <w:proofErr w:type="spellEnd"/>
      <w:r w:rsidRPr="00BA1FC5">
        <w:t xml:space="preserve"> J.K. (Ed), 2011, Water quality &amp; treatment, McGraw-</w:t>
      </w:r>
      <w:proofErr w:type="spellStart"/>
      <w:proofErr w:type="gramStart"/>
      <w:r w:rsidRPr="00BA1FC5">
        <w:t>Hill,New</w:t>
      </w:r>
      <w:proofErr w:type="spellEnd"/>
      <w:proofErr w:type="gramEnd"/>
      <w:r w:rsidRPr="00BA1FC5">
        <w:t xml:space="preserve"> York, NY, USA</w:t>
      </w:r>
    </w:p>
    <w:p w:rsidR="002D24D2" w:rsidRPr="00BA1FC5" w:rsidRDefault="002D24D2" w:rsidP="00BA1FC5">
      <w:pPr>
        <w:pStyle w:val="CETReferencetext"/>
      </w:pPr>
      <w:r w:rsidRPr="00BA1FC5">
        <w:t xml:space="preserve">Birungi Z.S., Chirwa E.M.N., 2017, </w:t>
      </w:r>
      <w:proofErr w:type="spellStart"/>
      <w:r w:rsidRPr="00BA1FC5">
        <w:t>Bioreduction</w:t>
      </w:r>
      <w:proofErr w:type="spellEnd"/>
      <w:r w:rsidRPr="00BA1FC5">
        <w:t xml:space="preserve"> of Thallium and Cadmium Toxicity from Industrial Wastewater using Microalgae, </w:t>
      </w:r>
      <w:r w:rsidR="000C3347" w:rsidRPr="00BA1FC5">
        <w:t xml:space="preserve">Chemical Engineering </w:t>
      </w:r>
      <w:proofErr w:type="spellStart"/>
      <w:r w:rsidR="000C3347" w:rsidRPr="00BA1FC5">
        <w:t>Transactionsm</w:t>
      </w:r>
      <w:proofErr w:type="spellEnd"/>
      <w:r w:rsidR="000C3347" w:rsidRPr="00BA1FC5">
        <w:t xml:space="preserve">, </w:t>
      </w:r>
      <w:r w:rsidRPr="00BA1FC5">
        <w:t xml:space="preserve">57, 1183–1188. </w:t>
      </w:r>
    </w:p>
    <w:p w:rsidR="00844006" w:rsidRPr="00BA1FC5" w:rsidRDefault="00844006" w:rsidP="00BA1FC5">
      <w:pPr>
        <w:pStyle w:val="CETReferencetext"/>
      </w:pPr>
      <w:r w:rsidRPr="00BA1FC5">
        <w:t>Department of Science and Technology (South Africa), 2013, The Bio-Economy Strategy, Department of Science and Technology &lt;www.dst.gov.za/images/ska/Bioeconomy%20Strategy.pdf&gt;</w:t>
      </w:r>
      <w:r w:rsidR="00BA1FC5" w:rsidRPr="00BA1FC5">
        <w:t xml:space="preserve"> </w:t>
      </w:r>
      <w:r w:rsidR="0010565A">
        <w:t>accessed 31</w:t>
      </w:r>
      <w:r w:rsidR="00BA1FC5" w:rsidRPr="00BA1FC5">
        <w:t>.0</w:t>
      </w:r>
      <w:r w:rsidR="0010565A">
        <w:t>3.2019</w:t>
      </w:r>
      <w:r w:rsidR="00BA1FC5" w:rsidRPr="00BA1FC5">
        <w:t>.</w:t>
      </w:r>
    </w:p>
    <w:p w:rsidR="000C3347" w:rsidRPr="00BA1FC5" w:rsidRDefault="000C3347" w:rsidP="00BA1FC5">
      <w:pPr>
        <w:pStyle w:val="CETReferencetext"/>
      </w:pPr>
      <w:proofErr w:type="spellStart"/>
      <w:r w:rsidRPr="00BA1FC5">
        <w:t>Ebrahimian</w:t>
      </w:r>
      <w:proofErr w:type="spellEnd"/>
      <w:r w:rsidRPr="00BA1FC5">
        <w:t xml:space="preserve"> A., </w:t>
      </w:r>
      <w:proofErr w:type="spellStart"/>
      <w:r w:rsidRPr="00BA1FC5">
        <w:t>Kariminia</w:t>
      </w:r>
      <w:proofErr w:type="spellEnd"/>
      <w:r w:rsidRPr="00BA1FC5">
        <w:t xml:space="preserve"> H.R., </w:t>
      </w:r>
      <w:proofErr w:type="spellStart"/>
      <w:r w:rsidRPr="00BA1FC5">
        <w:t>Vosoughi</w:t>
      </w:r>
      <w:proofErr w:type="spellEnd"/>
      <w:r w:rsidRPr="00BA1FC5">
        <w:t>, M., 2014, Lipid production in mixotrophic cultivation of Chlorella vulgaris in a mixture of primary and secondary municipal wastewater, Renewable Energy, 71, 502–508.</w:t>
      </w:r>
    </w:p>
    <w:p w:rsidR="000C3347" w:rsidRPr="00BA1FC5" w:rsidRDefault="000C3347" w:rsidP="00BA1FC5">
      <w:pPr>
        <w:pStyle w:val="CETReferencetext"/>
      </w:pPr>
      <w:proofErr w:type="spellStart"/>
      <w:r w:rsidRPr="00BA1FC5">
        <w:t>Indarti</w:t>
      </w:r>
      <w:proofErr w:type="spellEnd"/>
      <w:r w:rsidRPr="00BA1FC5">
        <w:t xml:space="preserve"> E., Majid M.I.A., Hashim R., Chong A., 2005, Direct FAME synthesis for rapid total lipid analysis from fish oil and cod liver oil, Journal of Food Composition and Analysis, 18(2–3),</w:t>
      </w:r>
      <w:r w:rsidR="00C73556" w:rsidRPr="00BA1FC5">
        <w:t xml:space="preserve"> </w:t>
      </w:r>
      <w:r w:rsidRPr="00BA1FC5">
        <w:t>161–170.</w:t>
      </w:r>
    </w:p>
    <w:p w:rsidR="000C3347" w:rsidRPr="002D24D2" w:rsidRDefault="000C3347" w:rsidP="00BA1FC5">
      <w:pPr>
        <w:pStyle w:val="CETReferencetext"/>
        <w:rPr>
          <w:noProof/>
        </w:rPr>
      </w:pPr>
      <w:proofErr w:type="spellStart"/>
      <w:r w:rsidRPr="00BA1FC5">
        <w:t>Kandimalla</w:t>
      </w:r>
      <w:proofErr w:type="spellEnd"/>
      <w:r w:rsidRPr="00BA1FC5">
        <w:t xml:space="preserve"> P., Desi S., </w:t>
      </w:r>
      <w:proofErr w:type="spellStart"/>
      <w:r w:rsidRPr="00BA1FC5">
        <w:t>Vurimindi</w:t>
      </w:r>
      <w:proofErr w:type="spellEnd"/>
      <w:r w:rsidRPr="00BA1FC5">
        <w:t xml:space="preserve"> H., 2016, Mixotrophic cultivation of microalgae using industrial flue gases for biodiesel production</w:t>
      </w:r>
      <w:r>
        <w:rPr>
          <w:noProof/>
        </w:rPr>
        <w:t>,</w:t>
      </w:r>
      <w:r w:rsidRPr="002D24D2">
        <w:rPr>
          <w:noProof/>
        </w:rPr>
        <w:t xml:space="preserve"> </w:t>
      </w:r>
      <w:r w:rsidRPr="002D24D2">
        <w:rPr>
          <w:iCs/>
          <w:noProof/>
        </w:rPr>
        <w:t>Environmental Science and Pollution Research</w:t>
      </w:r>
      <w:r w:rsidR="00C73556">
        <w:rPr>
          <w:noProof/>
        </w:rPr>
        <w:t xml:space="preserve">, 23(10), </w:t>
      </w:r>
      <w:r>
        <w:rPr>
          <w:noProof/>
        </w:rPr>
        <w:t>9345–9354.</w:t>
      </w:r>
    </w:p>
    <w:p w:rsidR="000C3347" w:rsidRPr="002D24D2" w:rsidRDefault="000C3347" w:rsidP="00032F18">
      <w:pPr>
        <w:pStyle w:val="CETReferencetext"/>
        <w:rPr>
          <w:noProof/>
        </w:rPr>
      </w:pPr>
      <w:r>
        <w:rPr>
          <w:noProof/>
        </w:rPr>
        <w:t>Li</w:t>
      </w:r>
      <w:r w:rsidRPr="002D24D2">
        <w:rPr>
          <w:noProof/>
        </w:rPr>
        <w:t xml:space="preserve"> Y.</w:t>
      </w:r>
      <w:r>
        <w:rPr>
          <w:noProof/>
        </w:rPr>
        <w:t>, 2012,</w:t>
      </w:r>
      <w:r w:rsidRPr="002D24D2">
        <w:rPr>
          <w:noProof/>
        </w:rPr>
        <w:t xml:space="preserve"> Cultivation of algae on highly concentrated municiple wastewater as an energ</w:t>
      </w:r>
      <w:r>
        <w:rPr>
          <w:noProof/>
        </w:rPr>
        <w:t>y crop for biodiesel production,</w:t>
      </w:r>
      <w:r w:rsidRPr="002D24D2">
        <w:rPr>
          <w:noProof/>
        </w:rPr>
        <w:t xml:space="preserve"> University of Minnesota, Minneapolis, MN, USA.</w:t>
      </w:r>
    </w:p>
    <w:p w:rsidR="000C3347" w:rsidRPr="002D24D2" w:rsidRDefault="00C73556" w:rsidP="00032F18">
      <w:pPr>
        <w:pStyle w:val="CETReferencetext"/>
        <w:rPr>
          <w:noProof/>
        </w:rPr>
      </w:pPr>
      <w:r>
        <w:rPr>
          <w:noProof/>
        </w:rPr>
        <w:t>Moheimani</w:t>
      </w:r>
      <w:r w:rsidR="000C3347" w:rsidRPr="002D24D2">
        <w:rPr>
          <w:noProof/>
        </w:rPr>
        <w:t xml:space="preserve"> N.R.</w:t>
      </w:r>
      <w:r>
        <w:rPr>
          <w:noProof/>
        </w:rPr>
        <w:t>, 2016,</w:t>
      </w:r>
      <w:r w:rsidR="000C3347" w:rsidRPr="002D24D2">
        <w:rPr>
          <w:noProof/>
        </w:rPr>
        <w:t xml:space="preserve"> Tetraselmis suecica culture for CO</w:t>
      </w:r>
      <w:r w:rsidR="000C3347" w:rsidRPr="002D24D2">
        <w:rPr>
          <w:noProof/>
          <w:vertAlign w:val="subscript"/>
        </w:rPr>
        <w:t>2</w:t>
      </w:r>
      <w:r w:rsidR="000C3347" w:rsidRPr="002D24D2">
        <w:rPr>
          <w:noProof/>
        </w:rPr>
        <w:t xml:space="preserve"> bioremediation of untreated flue gas </w:t>
      </w:r>
      <w:r>
        <w:rPr>
          <w:noProof/>
        </w:rPr>
        <w:t>from a coal-fired power station,</w:t>
      </w:r>
      <w:r w:rsidR="000C3347" w:rsidRPr="002D24D2">
        <w:rPr>
          <w:noProof/>
        </w:rPr>
        <w:t xml:space="preserve"> </w:t>
      </w:r>
      <w:r w:rsidR="000C3347" w:rsidRPr="002D24D2">
        <w:rPr>
          <w:iCs/>
          <w:noProof/>
        </w:rPr>
        <w:t>Journal of Applied Phycology</w:t>
      </w:r>
      <w:r>
        <w:rPr>
          <w:noProof/>
        </w:rPr>
        <w:t xml:space="preserve">, 28(4), </w:t>
      </w:r>
      <w:r w:rsidR="000C3347" w:rsidRPr="002D24D2">
        <w:rPr>
          <w:noProof/>
        </w:rPr>
        <w:t xml:space="preserve">2139–2146. </w:t>
      </w:r>
    </w:p>
    <w:p w:rsidR="000C3347" w:rsidRPr="002D24D2" w:rsidRDefault="000C3347" w:rsidP="00032F18">
      <w:pPr>
        <w:pStyle w:val="CETReferencetext"/>
        <w:rPr>
          <w:noProof/>
        </w:rPr>
      </w:pPr>
      <w:r w:rsidRPr="002D24D2">
        <w:rPr>
          <w:noProof/>
        </w:rPr>
        <w:t>Razzak S.A., Hossain M.M., Lucky R.A., Bassi A.S.</w:t>
      </w:r>
      <w:r w:rsidR="00C73556">
        <w:rPr>
          <w:noProof/>
        </w:rPr>
        <w:t>, De Lasa</w:t>
      </w:r>
      <w:r w:rsidRPr="002D24D2">
        <w:rPr>
          <w:noProof/>
        </w:rPr>
        <w:t xml:space="preserve"> H.</w:t>
      </w:r>
      <w:r w:rsidR="00C73556">
        <w:rPr>
          <w:noProof/>
        </w:rPr>
        <w:t>, 2013,</w:t>
      </w:r>
      <w:r w:rsidRPr="002D24D2">
        <w:rPr>
          <w:noProof/>
        </w:rPr>
        <w:t xml:space="preserve"> Integrated CO</w:t>
      </w:r>
      <w:r w:rsidRPr="002D24D2">
        <w:rPr>
          <w:noProof/>
          <w:vertAlign w:val="subscript"/>
        </w:rPr>
        <w:t>2</w:t>
      </w:r>
      <w:r w:rsidRPr="002D24D2">
        <w:rPr>
          <w:noProof/>
        </w:rPr>
        <w:t xml:space="preserve"> capture, wastewater treatment and biofuel production by </w:t>
      </w:r>
      <w:r w:rsidR="00C73556">
        <w:rPr>
          <w:noProof/>
        </w:rPr>
        <w:t>microalgae culturing - A review,</w:t>
      </w:r>
      <w:r w:rsidRPr="002D24D2">
        <w:rPr>
          <w:noProof/>
        </w:rPr>
        <w:t xml:space="preserve"> </w:t>
      </w:r>
      <w:r w:rsidRPr="002D24D2">
        <w:rPr>
          <w:iCs/>
          <w:noProof/>
        </w:rPr>
        <w:t>Renewable and Sustainable Energy Reviews</w:t>
      </w:r>
      <w:r w:rsidR="00C73556">
        <w:rPr>
          <w:noProof/>
        </w:rPr>
        <w:t xml:space="preserve">, 27, </w:t>
      </w:r>
      <w:r w:rsidRPr="002D24D2">
        <w:rPr>
          <w:noProof/>
        </w:rPr>
        <w:t>622–653.</w:t>
      </w:r>
    </w:p>
    <w:p w:rsidR="000C3347" w:rsidRPr="002D24D2" w:rsidRDefault="000C3347" w:rsidP="00032F18">
      <w:pPr>
        <w:pStyle w:val="CETReferencetext"/>
        <w:rPr>
          <w:noProof/>
        </w:rPr>
      </w:pPr>
      <w:r w:rsidRPr="002D24D2">
        <w:rPr>
          <w:noProof/>
        </w:rPr>
        <w:t>Roestorff M.M.</w:t>
      </w:r>
      <w:r w:rsidR="00C73556">
        <w:rPr>
          <w:noProof/>
        </w:rPr>
        <w:t>,</w:t>
      </w:r>
      <w:r w:rsidRPr="002D24D2">
        <w:rPr>
          <w:noProof/>
        </w:rPr>
        <w:t xml:space="preserve"> </w:t>
      </w:r>
      <w:r w:rsidR="00C73556">
        <w:rPr>
          <w:noProof/>
        </w:rPr>
        <w:t>Chirwa</w:t>
      </w:r>
      <w:r w:rsidRPr="002D24D2">
        <w:rPr>
          <w:noProof/>
        </w:rPr>
        <w:t xml:space="preserve"> E.M.N.</w:t>
      </w:r>
      <w:r w:rsidR="00C73556">
        <w:rPr>
          <w:noProof/>
        </w:rPr>
        <w:t>,</w:t>
      </w:r>
      <w:r w:rsidRPr="002D24D2">
        <w:rPr>
          <w:noProof/>
        </w:rPr>
        <w:t xml:space="preserve"> 2018</w:t>
      </w:r>
      <w:r w:rsidR="00C73556">
        <w:rPr>
          <w:noProof/>
        </w:rPr>
        <w:t>,</w:t>
      </w:r>
      <w:r w:rsidRPr="002D24D2">
        <w:rPr>
          <w:noProof/>
        </w:rPr>
        <w:t xml:space="preserve"> Bacterial Cr(VI) Reduction with Internal Carbon Recirculation Using Freshw</w:t>
      </w:r>
      <w:r w:rsidR="00C73556">
        <w:rPr>
          <w:noProof/>
        </w:rPr>
        <w:t>ater Algae as Primary Producers,</w:t>
      </w:r>
      <w:r w:rsidR="00553FD4">
        <w:rPr>
          <w:noProof/>
        </w:rPr>
        <w:t xml:space="preserve"> Chemical Engineering Transactions,</w:t>
      </w:r>
      <w:r w:rsidR="00C73556">
        <w:rPr>
          <w:noProof/>
        </w:rPr>
        <w:t xml:space="preserve"> 64, </w:t>
      </w:r>
      <w:r w:rsidRPr="002D24D2">
        <w:rPr>
          <w:noProof/>
        </w:rPr>
        <w:t>457–462.</w:t>
      </w:r>
    </w:p>
    <w:p w:rsidR="003563B7" w:rsidRDefault="000C3347" w:rsidP="00032F18">
      <w:pPr>
        <w:pStyle w:val="CETReferencetext"/>
        <w:rPr>
          <w:noProof/>
        </w:rPr>
      </w:pPr>
      <w:r w:rsidRPr="002D24D2">
        <w:rPr>
          <w:noProof/>
        </w:rPr>
        <w:t>Shipin</w:t>
      </w:r>
      <w:r w:rsidR="00C73556">
        <w:rPr>
          <w:noProof/>
        </w:rPr>
        <w:t xml:space="preserve"> O. V</w:t>
      </w:r>
      <w:r w:rsidR="00553FD4">
        <w:rPr>
          <w:noProof/>
        </w:rPr>
        <w:t>.</w:t>
      </w:r>
      <w:r w:rsidR="00C73556">
        <w:rPr>
          <w:noProof/>
        </w:rPr>
        <w:t>, Meiring</w:t>
      </w:r>
      <w:r w:rsidRPr="002D24D2">
        <w:rPr>
          <w:noProof/>
        </w:rPr>
        <w:t xml:space="preserve"> P.G.J., Phaswana R.</w:t>
      </w:r>
      <w:r w:rsidR="00553FD4">
        <w:rPr>
          <w:noProof/>
        </w:rPr>
        <w:t>,</w:t>
      </w:r>
      <w:r w:rsidRPr="002D24D2">
        <w:rPr>
          <w:noProof/>
        </w:rPr>
        <w:t xml:space="preserve"> Kluever H.</w:t>
      </w:r>
      <w:r w:rsidR="00553FD4">
        <w:rPr>
          <w:noProof/>
        </w:rPr>
        <w:t xml:space="preserve">, </w:t>
      </w:r>
      <w:r w:rsidRPr="002D24D2">
        <w:rPr>
          <w:noProof/>
        </w:rPr>
        <w:t>1999</w:t>
      </w:r>
      <w:r w:rsidR="00553FD4">
        <w:rPr>
          <w:noProof/>
        </w:rPr>
        <w:t>,</w:t>
      </w:r>
      <w:r w:rsidRPr="002D24D2">
        <w:rPr>
          <w:noProof/>
        </w:rPr>
        <w:t xml:space="preserve"> </w:t>
      </w:r>
      <w:r w:rsidR="00CB11D2">
        <w:rPr>
          <w:noProof/>
        </w:rPr>
        <w:t>I</w:t>
      </w:r>
      <w:r w:rsidR="00CB11D2" w:rsidRPr="002D24D2">
        <w:rPr>
          <w:noProof/>
        </w:rPr>
        <w:t>ntegrating ponds and activated slud</w:t>
      </w:r>
      <w:r w:rsidR="00CB11D2">
        <w:rPr>
          <w:noProof/>
        </w:rPr>
        <w:t>ge process in the petro concept</w:t>
      </w:r>
      <w:r w:rsidR="00553FD4">
        <w:rPr>
          <w:noProof/>
        </w:rPr>
        <w:t>,</w:t>
      </w:r>
      <w:r w:rsidRPr="002D24D2">
        <w:rPr>
          <w:noProof/>
        </w:rPr>
        <w:t xml:space="preserve"> </w:t>
      </w:r>
      <w:r w:rsidRPr="002D24D2">
        <w:rPr>
          <w:iCs/>
          <w:noProof/>
        </w:rPr>
        <w:t>Water Research</w:t>
      </w:r>
      <w:r w:rsidR="00553FD4">
        <w:rPr>
          <w:iCs/>
          <w:noProof/>
        </w:rPr>
        <w:t>,</w:t>
      </w:r>
      <w:r w:rsidR="00844006">
        <w:rPr>
          <w:noProof/>
        </w:rPr>
        <w:t xml:space="preserve"> 33(8):1767–1774.</w:t>
      </w:r>
    </w:p>
    <w:sectPr w:rsidR="003563B7"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AC7" w:rsidRDefault="00052AC7" w:rsidP="004F5E36">
      <w:r>
        <w:separator/>
      </w:r>
    </w:p>
  </w:endnote>
  <w:endnote w:type="continuationSeparator" w:id="0">
    <w:p w:rsidR="00052AC7" w:rsidRDefault="00052AC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AC7" w:rsidRDefault="00052AC7" w:rsidP="004F5E36">
      <w:r>
        <w:separator/>
      </w:r>
    </w:p>
  </w:footnote>
  <w:footnote w:type="continuationSeparator" w:id="0">
    <w:p w:rsidR="00052AC7" w:rsidRDefault="00052AC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CA6406"/>
    <w:multiLevelType w:val="hybridMultilevel"/>
    <w:tmpl w:val="AB82182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2484"/>
    <w:rsid w:val="00031422"/>
    <w:rsid w:val="0003148D"/>
    <w:rsid w:val="00032F18"/>
    <w:rsid w:val="00040DA7"/>
    <w:rsid w:val="00047D7F"/>
    <w:rsid w:val="00051566"/>
    <w:rsid w:val="00052AC7"/>
    <w:rsid w:val="00062A9A"/>
    <w:rsid w:val="00065058"/>
    <w:rsid w:val="00065915"/>
    <w:rsid w:val="0006620A"/>
    <w:rsid w:val="00086C39"/>
    <w:rsid w:val="000A03B2"/>
    <w:rsid w:val="000A3B0B"/>
    <w:rsid w:val="000A3B79"/>
    <w:rsid w:val="000B2D13"/>
    <w:rsid w:val="000C3347"/>
    <w:rsid w:val="000D34BE"/>
    <w:rsid w:val="000E102F"/>
    <w:rsid w:val="000E36F1"/>
    <w:rsid w:val="000E3A73"/>
    <w:rsid w:val="000E414A"/>
    <w:rsid w:val="000F093C"/>
    <w:rsid w:val="000F16BD"/>
    <w:rsid w:val="000F787B"/>
    <w:rsid w:val="0010565A"/>
    <w:rsid w:val="00116B8C"/>
    <w:rsid w:val="0012091F"/>
    <w:rsid w:val="00126BC2"/>
    <w:rsid w:val="001308B6"/>
    <w:rsid w:val="0013121F"/>
    <w:rsid w:val="00131FAB"/>
    <w:rsid w:val="00131FE6"/>
    <w:rsid w:val="0013263F"/>
    <w:rsid w:val="00134DE4"/>
    <w:rsid w:val="0014034D"/>
    <w:rsid w:val="001410E9"/>
    <w:rsid w:val="00150E59"/>
    <w:rsid w:val="00152DE3"/>
    <w:rsid w:val="00164CF9"/>
    <w:rsid w:val="00165C52"/>
    <w:rsid w:val="00176C55"/>
    <w:rsid w:val="00184AD6"/>
    <w:rsid w:val="00191696"/>
    <w:rsid w:val="00194078"/>
    <w:rsid w:val="0019569A"/>
    <w:rsid w:val="001967EF"/>
    <w:rsid w:val="001A651B"/>
    <w:rsid w:val="001B0349"/>
    <w:rsid w:val="001B65C1"/>
    <w:rsid w:val="001C684B"/>
    <w:rsid w:val="001D53FC"/>
    <w:rsid w:val="001F42A5"/>
    <w:rsid w:val="001F7840"/>
    <w:rsid w:val="001F7B9D"/>
    <w:rsid w:val="002101F2"/>
    <w:rsid w:val="00213B9D"/>
    <w:rsid w:val="002224B4"/>
    <w:rsid w:val="002447EF"/>
    <w:rsid w:val="00251550"/>
    <w:rsid w:val="002515C9"/>
    <w:rsid w:val="00252C1A"/>
    <w:rsid w:val="00263B05"/>
    <w:rsid w:val="0027221A"/>
    <w:rsid w:val="00275B61"/>
    <w:rsid w:val="00282656"/>
    <w:rsid w:val="00295967"/>
    <w:rsid w:val="00296B83"/>
    <w:rsid w:val="00297AD2"/>
    <w:rsid w:val="002A17C5"/>
    <w:rsid w:val="002B78CE"/>
    <w:rsid w:val="002C1783"/>
    <w:rsid w:val="002C2FB6"/>
    <w:rsid w:val="002D24D2"/>
    <w:rsid w:val="002D5BCD"/>
    <w:rsid w:val="002D67F8"/>
    <w:rsid w:val="002F5D9B"/>
    <w:rsid w:val="003009B7"/>
    <w:rsid w:val="00300E56"/>
    <w:rsid w:val="003017F0"/>
    <w:rsid w:val="0030469C"/>
    <w:rsid w:val="0032130D"/>
    <w:rsid w:val="00321CA6"/>
    <w:rsid w:val="00334C09"/>
    <w:rsid w:val="003365E3"/>
    <w:rsid w:val="003563B7"/>
    <w:rsid w:val="00362ECE"/>
    <w:rsid w:val="003723D4"/>
    <w:rsid w:val="00384CC8"/>
    <w:rsid w:val="003871FD"/>
    <w:rsid w:val="00392FD9"/>
    <w:rsid w:val="003A16CE"/>
    <w:rsid w:val="003A1E30"/>
    <w:rsid w:val="003A7D1C"/>
    <w:rsid w:val="003B304B"/>
    <w:rsid w:val="003B3146"/>
    <w:rsid w:val="003B60F3"/>
    <w:rsid w:val="003D4C78"/>
    <w:rsid w:val="003E43F4"/>
    <w:rsid w:val="003F015E"/>
    <w:rsid w:val="003F439F"/>
    <w:rsid w:val="00400414"/>
    <w:rsid w:val="004060E1"/>
    <w:rsid w:val="00410BCF"/>
    <w:rsid w:val="0041446B"/>
    <w:rsid w:val="0043191C"/>
    <w:rsid w:val="0044329C"/>
    <w:rsid w:val="00451C53"/>
    <w:rsid w:val="004577FE"/>
    <w:rsid w:val="00457B9C"/>
    <w:rsid w:val="0046164A"/>
    <w:rsid w:val="00461CE5"/>
    <w:rsid w:val="004628D2"/>
    <w:rsid w:val="00462DCD"/>
    <w:rsid w:val="004648AD"/>
    <w:rsid w:val="004703A9"/>
    <w:rsid w:val="00473E91"/>
    <w:rsid w:val="004760DE"/>
    <w:rsid w:val="00481C48"/>
    <w:rsid w:val="004A004E"/>
    <w:rsid w:val="004A24CF"/>
    <w:rsid w:val="004B2425"/>
    <w:rsid w:val="004B3A33"/>
    <w:rsid w:val="004B6721"/>
    <w:rsid w:val="004C1383"/>
    <w:rsid w:val="004C3D1D"/>
    <w:rsid w:val="004C7913"/>
    <w:rsid w:val="004D1975"/>
    <w:rsid w:val="004E0F4E"/>
    <w:rsid w:val="004E10E0"/>
    <w:rsid w:val="004E4DD6"/>
    <w:rsid w:val="004F5E36"/>
    <w:rsid w:val="00504D6F"/>
    <w:rsid w:val="00507B47"/>
    <w:rsid w:val="00507CC9"/>
    <w:rsid w:val="00510220"/>
    <w:rsid w:val="005119A5"/>
    <w:rsid w:val="00513653"/>
    <w:rsid w:val="005159E1"/>
    <w:rsid w:val="00522D47"/>
    <w:rsid w:val="005278B7"/>
    <w:rsid w:val="00530D24"/>
    <w:rsid w:val="00532016"/>
    <w:rsid w:val="005346C8"/>
    <w:rsid w:val="00543E7D"/>
    <w:rsid w:val="00546B05"/>
    <w:rsid w:val="00547A68"/>
    <w:rsid w:val="005531C9"/>
    <w:rsid w:val="00553FD4"/>
    <w:rsid w:val="0055672F"/>
    <w:rsid w:val="005A35E8"/>
    <w:rsid w:val="005B2110"/>
    <w:rsid w:val="005B61E6"/>
    <w:rsid w:val="005C1166"/>
    <w:rsid w:val="005C5C98"/>
    <w:rsid w:val="005C77E1"/>
    <w:rsid w:val="005D6A2F"/>
    <w:rsid w:val="005E1A82"/>
    <w:rsid w:val="005E203D"/>
    <w:rsid w:val="005E5016"/>
    <w:rsid w:val="005E794C"/>
    <w:rsid w:val="005F0A28"/>
    <w:rsid w:val="005F0E5E"/>
    <w:rsid w:val="00600535"/>
    <w:rsid w:val="00610CD6"/>
    <w:rsid w:val="00620DEE"/>
    <w:rsid w:val="00621F92"/>
    <w:rsid w:val="00625639"/>
    <w:rsid w:val="00631B33"/>
    <w:rsid w:val="0064184D"/>
    <w:rsid w:val="006422CC"/>
    <w:rsid w:val="00660E3E"/>
    <w:rsid w:val="00661AC9"/>
    <w:rsid w:val="00662E74"/>
    <w:rsid w:val="00676BFC"/>
    <w:rsid w:val="00680C23"/>
    <w:rsid w:val="00693766"/>
    <w:rsid w:val="006A3281"/>
    <w:rsid w:val="006B4888"/>
    <w:rsid w:val="006C2E45"/>
    <w:rsid w:val="006C359C"/>
    <w:rsid w:val="006C38E1"/>
    <w:rsid w:val="006C5579"/>
    <w:rsid w:val="006E737D"/>
    <w:rsid w:val="0070195D"/>
    <w:rsid w:val="00720A24"/>
    <w:rsid w:val="00732386"/>
    <w:rsid w:val="007447F3"/>
    <w:rsid w:val="0075499F"/>
    <w:rsid w:val="007568FD"/>
    <w:rsid w:val="007661C8"/>
    <w:rsid w:val="0077098D"/>
    <w:rsid w:val="007931FA"/>
    <w:rsid w:val="00795EBC"/>
    <w:rsid w:val="00795EBF"/>
    <w:rsid w:val="007A6B02"/>
    <w:rsid w:val="007A7BBA"/>
    <w:rsid w:val="007B0C50"/>
    <w:rsid w:val="007C1A43"/>
    <w:rsid w:val="007E1DC6"/>
    <w:rsid w:val="00813288"/>
    <w:rsid w:val="008168FC"/>
    <w:rsid w:val="0082084D"/>
    <w:rsid w:val="00830996"/>
    <w:rsid w:val="008345F1"/>
    <w:rsid w:val="00836811"/>
    <w:rsid w:val="00844006"/>
    <w:rsid w:val="0084648F"/>
    <w:rsid w:val="00862856"/>
    <w:rsid w:val="00865B07"/>
    <w:rsid w:val="008667EA"/>
    <w:rsid w:val="0087637F"/>
    <w:rsid w:val="0088608E"/>
    <w:rsid w:val="008904B9"/>
    <w:rsid w:val="00892AD5"/>
    <w:rsid w:val="008A1512"/>
    <w:rsid w:val="008C78C1"/>
    <w:rsid w:val="008D32B9"/>
    <w:rsid w:val="008D433B"/>
    <w:rsid w:val="008D6971"/>
    <w:rsid w:val="008E566E"/>
    <w:rsid w:val="008F0881"/>
    <w:rsid w:val="009001C2"/>
    <w:rsid w:val="0090161A"/>
    <w:rsid w:val="00901EB6"/>
    <w:rsid w:val="00904C62"/>
    <w:rsid w:val="00924DAC"/>
    <w:rsid w:val="00927058"/>
    <w:rsid w:val="009450CE"/>
    <w:rsid w:val="00947179"/>
    <w:rsid w:val="0095164B"/>
    <w:rsid w:val="00954090"/>
    <w:rsid w:val="009573E7"/>
    <w:rsid w:val="009635B9"/>
    <w:rsid w:val="00963E05"/>
    <w:rsid w:val="009673BC"/>
    <w:rsid w:val="00967D54"/>
    <w:rsid w:val="00991BC4"/>
    <w:rsid w:val="009937A8"/>
    <w:rsid w:val="00996483"/>
    <w:rsid w:val="00996F5A"/>
    <w:rsid w:val="009A0A3E"/>
    <w:rsid w:val="009B041A"/>
    <w:rsid w:val="009C7C86"/>
    <w:rsid w:val="009D2FF7"/>
    <w:rsid w:val="009E7884"/>
    <w:rsid w:val="009E788A"/>
    <w:rsid w:val="009F0E08"/>
    <w:rsid w:val="00A033D2"/>
    <w:rsid w:val="00A1763D"/>
    <w:rsid w:val="00A17CEC"/>
    <w:rsid w:val="00A27EF0"/>
    <w:rsid w:val="00A327A9"/>
    <w:rsid w:val="00A500F6"/>
    <w:rsid w:val="00A50B20"/>
    <w:rsid w:val="00A51390"/>
    <w:rsid w:val="00A55AB7"/>
    <w:rsid w:val="00A564E9"/>
    <w:rsid w:val="00A60D13"/>
    <w:rsid w:val="00A72745"/>
    <w:rsid w:val="00A76EFC"/>
    <w:rsid w:val="00A86EBF"/>
    <w:rsid w:val="00A91010"/>
    <w:rsid w:val="00A97F29"/>
    <w:rsid w:val="00AA702E"/>
    <w:rsid w:val="00AB0964"/>
    <w:rsid w:val="00AB5011"/>
    <w:rsid w:val="00AC7368"/>
    <w:rsid w:val="00AD16B9"/>
    <w:rsid w:val="00AE377D"/>
    <w:rsid w:val="00B17FBD"/>
    <w:rsid w:val="00B315A6"/>
    <w:rsid w:val="00B31813"/>
    <w:rsid w:val="00B33365"/>
    <w:rsid w:val="00B57B36"/>
    <w:rsid w:val="00B82D9E"/>
    <w:rsid w:val="00B8686D"/>
    <w:rsid w:val="00B9353B"/>
    <w:rsid w:val="00B97A27"/>
    <w:rsid w:val="00BA1FC5"/>
    <w:rsid w:val="00BC30C9"/>
    <w:rsid w:val="00BE3E58"/>
    <w:rsid w:val="00C01616"/>
    <w:rsid w:val="00C0162B"/>
    <w:rsid w:val="00C05D35"/>
    <w:rsid w:val="00C224CF"/>
    <w:rsid w:val="00C345B1"/>
    <w:rsid w:val="00C40142"/>
    <w:rsid w:val="00C53132"/>
    <w:rsid w:val="00C57182"/>
    <w:rsid w:val="00C57863"/>
    <w:rsid w:val="00C655FD"/>
    <w:rsid w:val="00C7007E"/>
    <w:rsid w:val="00C71C59"/>
    <w:rsid w:val="00C73556"/>
    <w:rsid w:val="00C870A8"/>
    <w:rsid w:val="00C94434"/>
    <w:rsid w:val="00CA0D75"/>
    <w:rsid w:val="00CA1BDC"/>
    <w:rsid w:val="00CA1C95"/>
    <w:rsid w:val="00CA5A9C"/>
    <w:rsid w:val="00CA7B42"/>
    <w:rsid w:val="00CB11D2"/>
    <w:rsid w:val="00CD3196"/>
    <w:rsid w:val="00CD3517"/>
    <w:rsid w:val="00CD5A00"/>
    <w:rsid w:val="00CD5FE2"/>
    <w:rsid w:val="00CE086E"/>
    <w:rsid w:val="00CE7C68"/>
    <w:rsid w:val="00D02B4C"/>
    <w:rsid w:val="00D040C4"/>
    <w:rsid w:val="00D57C84"/>
    <w:rsid w:val="00D6057D"/>
    <w:rsid w:val="00D82B8D"/>
    <w:rsid w:val="00D84576"/>
    <w:rsid w:val="00DA1399"/>
    <w:rsid w:val="00DA24C6"/>
    <w:rsid w:val="00DA4D7B"/>
    <w:rsid w:val="00DD05A1"/>
    <w:rsid w:val="00DE264A"/>
    <w:rsid w:val="00DE5FAB"/>
    <w:rsid w:val="00E02D18"/>
    <w:rsid w:val="00E041E7"/>
    <w:rsid w:val="00E23CA1"/>
    <w:rsid w:val="00E409A8"/>
    <w:rsid w:val="00E50C12"/>
    <w:rsid w:val="00E65B91"/>
    <w:rsid w:val="00E66F7E"/>
    <w:rsid w:val="00E7209D"/>
    <w:rsid w:val="00E77223"/>
    <w:rsid w:val="00E8528B"/>
    <w:rsid w:val="00E85B94"/>
    <w:rsid w:val="00E978D0"/>
    <w:rsid w:val="00EA4613"/>
    <w:rsid w:val="00EA7F91"/>
    <w:rsid w:val="00EB1523"/>
    <w:rsid w:val="00EC0E49"/>
    <w:rsid w:val="00ED5DB9"/>
    <w:rsid w:val="00EE0131"/>
    <w:rsid w:val="00EF3294"/>
    <w:rsid w:val="00F03D7D"/>
    <w:rsid w:val="00F155B2"/>
    <w:rsid w:val="00F30C64"/>
    <w:rsid w:val="00F32CDB"/>
    <w:rsid w:val="00F4237E"/>
    <w:rsid w:val="00F52534"/>
    <w:rsid w:val="00F63A70"/>
    <w:rsid w:val="00F93770"/>
    <w:rsid w:val="00FA21D0"/>
    <w:rsid w:val="00FA5078"/>
    <w:rsid w:val="00FA54B4"/>
    <w:rsid w:val="00FA5905"/>
    <w:rsid w:val="00FA5F5F"/>
    <w:rsid w:val="00FB0847"/>
    <w:rsid w:val="00FB730C"/>
    <w:rsid w:val="00FB7E66"/>
    <w:rsid w:val="00FC2695"/>
    <w:rsid w:val="00FC3E03"/>
    <w:rsid w:val="00FC3FC1"/>
    <w:rsid w:val="00FC4E0A"/>
    <w:rsid w:val="00FD35BB"/>
    <w:rsid w:val="00FD64C0"/>
    <w:rsid w:val="00FF6A92"/>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247CF29"/>
  <w15:docId w15:val="{5664454D-E762-4D07-86F8-5C17F085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PlaceholderText">
    <w:name w:val="Placeholder Text"/>
    <w:basedOn w:val="DefaultParagraphFont"/>
    <w:uiPriority w:val="99"/>
    <w:semiHidden/>
    <w:rsid w:val="007A6B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8717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8661">
      <w:bodyDiv w:val="1"/>
      <w:marLeft w:val="0"/>
      <w:marRight w:val="0"/>
      <w:marTop w:val="0"/>
      <w:marBottom w:val="0"/>
      <w:divBdr>
        <w:top w:val="none" w:sz="0" w:space="0" w:color="auto"/>
        <w:left w:val="none" w:sz="0" w:space="0" w:color="auto"/>
        <w:bottom w:val="none" w:sz="0" w:space="0" w:color="auto"/>
        <w:right w:val="none" w:sz="0" w:space="0" w:color="auto"/>
      </w:divBdr>
    </w:div>
    <w:div w:id="1009017283">
      <w:bodyDiv w:val="1"/>
      <w:marLeft w:val="0"/>
      <w:marRight w:val="0"/>
      <w:marTop w:val="0"/>
      <w:marBottom w:val="0"/>
      <w:divBdr>
        <w:top w:val="none" w:sz="0" w:space="0" w:color="auto"/>
        <w:left w:val="none" w:sz="0" w:space="0" w:color="auto"/>
        <w:bottom w:val="none" w:sz="0" w:space="0" w:color="auto"/>
        <w:right w:val="none" w:sz="0" w:space="0" w:color="auto"/>
      </w:divBdr>
    </w:div>
    <w:div w:id="159863654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mailto:deon.brink@up.ac.z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rick\Desktop\Experimental%20Method%20and%20Planning\Results\Combined\exter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rick\Desktop\Experimental%20Method%20and%20Planning\Results\Combined\exter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rick\Desktop\Experimental%20Method%20and%20Planning\Results\Combined\exter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27888478225937"/>
          <c:y val="0.26730140959495524"/>
          <c:w val="0.69080106058171331"/>
          <c:h val="0.5161069320565822"/>
        </c:manualLayout>
      </c:layout>
      <c:barChart>
        <c:barDir val="col"/>
        <c:grouping val="clustered"/>
        <c:varyColors val="0"/>
        <c:ser>
          <c:idx val="0"/>
          <c:order val="0"/>
          <c:tx>
            <c:strRef>
              <c:f>ICHEAP!$M$30</c:f>
              <c:strCache>
                <c:ptCount val="1"/>
                <c:pt idx="0">
                  <c:v>Nitrogen Utilization</c:v>
                </c:pt>
              </c:strCache>
            </c:strRef>
          </c:tx>
          <c:invertIfNegative val="0"/>
          <c:val>
            <c:numRef>
              <c:f>ICHEAP!$M$32:$M$34</c:f>
              <c:numCache>
                <c:formatCode>0.0</c:formatCode>
                <c:ptCount val="3"/>
                <c:pt idx="0">
                  <c:v>2.0370247933884205</c:v>
                </c:pt>
                <c:pt idx="1">
                  <c:v>1</c:v>
                </c:pt>
                <c:pt idx="2">
                  <c:v>4.7393054684215574</c:v>
                </c:pt>
              </c:numCache>
            </c:numRef>
          </c:val>
          <c:extLst>
            <c:ext xmlns:c16="http://schemas.microsoft.com/office/drawing/2014/chart" uri="{C3380CC4-5D6E-409C-BE32-E72D297353CC}">
              <c16:uniqueId val="{00000000-C0A3-4EB8-81A8-D264A28B22FF}"/>
            </c:ext>
          </c:extLst>
        </c:ser>
        <c:ser>
          <c:idx val="1"/>
          <c:order val="1"/>
          <c:tx>
            <c:strRef>
              <c:f>ICHEAP!$N$30</c:f>
              <c:strCache>
                <c:ptCount val="1"/>
                <c:pt idx="0">
                  <c:v>Phosphate Utilization</c:v>
                </c:pt>
              </c:strCache>
            </c:strRef>
          </c:tx>
          <c:invertIfNegative val="0"/>
          <c:val>
            <c:numRef>
              <c:f>ICHEAP!$N$32:$N$34</c:f>
              <c:numCache>
                <c:formatCode>General</c:formatCode>
                <c:ptCount val="3"/>
                <c:pt idx="0">
                  <c:v>1.0252889903108757</c:v>
                </c:pt>
                <c:pt idx="1">
                  <c:v>1</c:v>
                </c:pt>
                <c:pt idx="2">
                  <c:v>1.0199206100467801</c:v>
                </c:pt>
              </c:numCache>
            </c:numRef>
          </c:val>
          <c:extLst>
            <c:ext xmlns:c16="http://schemas.microsoft.com/office/drawing/2014/chart" uri="{C3380CC4-5D6E-409C-BE32-E72D297353CC}">
              <c16:uniqueId val="{00000001-C0A3-4EB8-81A8-D264A28B22FF}"/>
            </c:ext>
          </c:extLst>
        </c:ser>
        <c:ser>
          <c:idx val="2"/>
          <c:order val="2"/>
          <c:tx>
            <c:strRef>
              <c:f>ICHEAP!$N$40</c:f>
              <c:strCache>
                <c:ptCount val="1"/>
                <c:pt idx="0">
                  <c:v>Inorganic Substrate Utilization</c:v>
                </c:pt>
              </c:strCache>
            </c:strRef>
          </c:tx>
          <c:invertIfNegative val="0"/>
          <c:val>
            <c:numRef>
              <c:f>ICHEAP!$N$42:$N$44</c:f>
              <c:numCache>
                <c:formatCode>General</c:formatCode>
                <c:ptCount val="3"/>
                <c:pt idx="0">
                  <c:v>1.8904606160865753</c:v>
                </c:pt>
                <c:pt idx="1">
                  <c:v>1</c:v>
                </c:pt>
                <c:pt idx="2">
                  <c:v>1.3105337986398484</c:v>
                </c:pt>
              </c:numCache>
            </c:numRef>
          </c:val>
          <c:extLst>
            <c:ext xmlns:c16="http://schemas.microsoft.com/office/drawing/2014/chart" uri="{C3380CC4-5D6E-409C-BE32-E72D297353CC}">
              <c16:uniqueId val="{00000002-C0A3-4EB8-81A8-D264A28B22FF}"/>
            </c:ext>
          </c:extLst>
        </c:ser>
        <c:dLbls>
          <c:showLegendKey val="0"/>
          <c:showVal val="0"/>
          <c:showCatName val="0"/>
          <c:showSerName val="0"/>
          <c:showPercent val="0"/>
          <c:showBubbleSize val="0"/>
        </c:dLbls>
        <c:gapWidth val="150"/>
        <c:axId val="138827264"/>
        <c:axId val="138933376"/>
      </c:barChart>
      <c:catAx>
        <c:axId val="138827264"/>
        <c:scaling>
          <c:orientation val="minMax"/>
        </c:scaling>
        <c:delete val="0"/>
        <c:axPos val="b"/>
        <c:title>
          <c:tx>
            <c:rich>
              <a:bodyPr/>
              <a:lstStyle/>
              <a:p>
                <a:pPr>
                  <a:defRPr sz="900">
                    <a:latin typeface="Arial" pitchFamily="34" charset="0"/>
                    <a:cs typeface="Arial" pitchFamily="34" charset="0"/>
                  </a:defRPr>
                </a:pPr>
                <a:r>
                  <a:rPr lang="en-ZA" sz="900">
                    <a:latin typeface="Arial" pitchFamily="34" charset="0"/>
                    <a:cs typeface="Arial" pitchFamily="34" charset="0"/>
                  </a:rPr>
                  <a:t>Experiment No</a:t>
                </a:r>
              </a:p>
            </c:rich>
          </c:tx>
          <c:overlay val="0"/>
        </c:title>
        <c:majorTickMark val="out"/>
        <c:minorTickMark val="none"/>
        <c:tickLblPos val="nextTo"/>
        <c:crossAx val="138933376"/>
        <c:crosses val="autoZero"/>
        <c:auto val="1"/>
        <c:lblAlgn val="ctr"/>
        <c:lblOffset val="100"/>
        <c:noMultiLvlLbl val="0"/>
      </c:catAx>
      <c:valAx>
        <c:axId val="138933376"/>
        <c:scaling>
          <c:orientation val="minMax"/>
        </c:scaling>
        <c:delete val="0"/>
        <c:axPos val="l"/>
        <c:title>
          <c:tx>
            <c:rich>
              <a:bodyPr rot="-5400000" vert="horz"/>
              <a:lstStyle/>
              <a:p>
                <a:pPr>
                  <a:defRPr sz="900">
                    <a:latin typeface="Arial" pitchFamily="34" charset="0"/>
                    <a:cs typeface="Arial" pitchFamily="34" charset="0"/>
                  </a:defRPr>
                </a:pPr>
                <a:r>
                  <a:rPr lang="en-ZA" sz="900">
                    <a:latin typeface="Arial" pitchFamily="34" charset="0"/>
                    <a:cs typeface="Arial" pitchFamily="34" charset="0"/>
                  </a:rPr>
                  <a:t>Normalized</a:t>
                </a:r>
                <a:r>
                  <a:rPr lang="en-ZA" sz="900" baseline="0">
                    <a:latin typeface="Arial" pitchFamily="34" charset="0"/>
                    <a:cs typeface="Arial" pitchFamily="34" charset="0"/>
                  </a:rPr>
                  <a:t> Value</a:t>
                </a:r>
                <a:endParaRPr lang="en-ZA" sz="900">
                  <a:latin typeface="Arial" pitchFamily="34" charset="0"/>
                  <a:cs typeface="Arial" pitchFamily="34" charset="0"/>
                </a:endParaRPr>
              </a:p>
            </c:rich>
          </c:tx>
          <c:overlay val="0"/>
        </c:title>
        <c:numFmt formatCode="0.0" sourceLinked="1"/>
        <c:majorTickMark val="out"/>
        <c:minorTickMark val="none"/>
        <c:tickLblPos val="nextTo"/>
        <c:crossAx val="138827264"/>
        <c:crosses val="autoZero"/>
        <c:crossBetween val="between"/>
      </c:valAx>
      <c:spPr>
        <a:ln>
          <a:noFill/>
        </a:ln>
      </c:spPr>
    </c:plotArea>
    <c:legend>
      <c:legendPos val="t"/>
      <c:layout>
        <c:manualLayout>
          <c:xMode val="edge"/>
          <c:yMode val="edge"/>
          <c:x val="0"/>
          <c:y val="0"/>
          <c:w val="0.99763247495422702"/>
          <c:h val="0.19722093561834186"/>
        </c:manualLayout>
      </c:layout>
      <c:overlay val="0"/>
      <c:txPr>
        <a:bodyPr/>
        <a:lstStyle/>
        <a:p>
          <a:pPr>
            <a:defRPr sz="900">
              <a:latin typeface="Arial" pitchFamily="34" charset="0"/>
              <a:cs typeface="Arial" pitchFamily="34"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965083909965795"/>
          <c:y val="0.34158535096830356"/>
          <c:w val="0.67636840849439295"/>
          <c:h val="0.45757390791267394"/>
        </c:manualLayout>
      </c:layout>
      <c:barChart>
        <c:barDir val="col"/>
        <c:grouping val="clustered"/>
        <c:varyColors val="0"/>
        <c:ser>
          <c:idx val="0"/>
          <c:order val="0"/>
          <c:tx>
            <c:strRef>
              <c:f>ICHEAP!$K$40</c:f>
              <c:strCache>
                <c:ptCount val="1"/>
                <c:pt idx="0">
                  <c:v> Specific Biomass Yield, Time adjusted</c:v>
                </c:pt>
              </c:strCache>
            </c:strRef>
          </c:tx>
          <c:invertIfNegative val="0"/>
          <c:val>
            <c:numRef>
              <c:f>ICHEAP!$K$42:$K$44</c:f>
              <c:numCache>
                <c:formatCode>0.0</c:formatCode>
                <c:ptCount val="3"/>
                <c:pt idx="0">
                  <c:v>1.455882352941176</c:v>
                </c:pt>
                <c:pt idx="1">
                  <c:v>1</c:v>
                </c:pt>
                <c:pt idx="2">
                  <c:v>3.6013253562805989</c:v>
                </c:pt>
              </c:numCache>
            </c:numRef>
          </c:val>
          <c:extLst>
            <c:ext xmlns:c16="http://schemas.microsoft.com/office/drawing/2014/chart" uri="{C3380CC4-5D6E-409C-BE32-E72D297353CC}">
              <c16:uniqueId val="{00000000-5D76-4863-9690-B53CEE48AA5C}"/>
            </c:ext>
          </c:extLst>
        </c:ser>
        <c:ser>
          <c:idx val="1"/>
          <c:order val="1"/>
          <c:tx>
            <c:strRef>
              <c:f>ICHEAP!$J$40</c:f>
              <c:strCache>
                <c:ptCount val="1"/>
                <c:pt idx="0">
                  <c:v>Effective Growth Rate</c:v>
                </c:pt>
              </c:strCache>
            </c:strRef>
          </c:tx>
          <c:invertIfNegative val="0"/>
          <c:val>
            <c:numRef>
              <c:f>ICHEAP!$J$42:$J$44</c:f>
              <c:numCache>
                <c:formatCode>0.00</c:formatCode>
                <c:ptCount val="3"/>
                <c:pt idx="0">
                  <c:v>1.455882352941176</c:v>
                </c:pt>
                <c:pt idx="1">
                  <c:v>1</c:v>
                </c:pt>
                <c:pt idx="2">
                  <c:v>8.1209886784127487</c:v>
                </c:pt>
              </c:numCache>
            </c:numRef>
          </c:val>
          <c:extLst>
            <c:ext xmlns:c16="http://schemas.microsoft.com/office/drawing/2014/chart" uri="{C3380CC4-5D6E-409C-BE32-E72D297353CC}">
              <c16:uniqueId val="{00000001-5D76-4863-9690-B53CEE48AA5C}"/>
            </c:ext>
          </c:extLst>
        </c:ser>
        <c:dLbls>
          <c:showLegendKey val="0"/>
          <c:showVal val="0"/>
          <c:showCatName val="0"/>
          <c:showSerName val="0"/>
          <c:showPercent val="0"/>
          <c:showBubbleSize val="0"/>
        </c:dLbls>
        <c:gapWidth val="150"/>
        <c:axId val="139780864"/>
        <c:axId val="140982912"/>
      </c:barChart>
      <c:catAx>
        <c:axId val="139780864"/>
        <c:scaling>
          <c:orientation val="minMax"/>
        </c:scaling>
        <c:delete val="0"/>
        <c:axPos val="b"/>
        <c:title>
          <c:tx>
            <c:rich>
              <a:bodyPr/>
              <a:lstStyle/>
              <a:p>
                <a:pPr>
                  <a:defRPr/>
                </a:pPr>
                <a:r>
                  <a:rPr lang="en-ZA"/>
                  <a:t>Experiment No</a:t>
                </a:r>
              </a:p>
            </c:rich>
          </c:tx>
          <c:overlay val="0"/>
        </c:title>
        <c:majorTickMark val="out"/>
        <c:minorTickMark val="none"/>
        <c:tickLblPos val="nextTo"/>
        <c:crossAx val="140982912"/>
        <c:crosses val="autoZero"/>
        <c:auto val="1"/>
        <c:lblAlgn val="ctr"/>
        <c:lblOffset val="100"/>
        <c:noMultiLvlLbl val="0"/>
      </c:catAx>
      <c:valAx>
        <c:axId val="140982912"/>
        <c:scaling>
          <c:orientation val="minMax"/>
        </c:scaling>
        <c:delete val="0"/>
        <c:axPos val="l"/>
        <c:title>
          <c:tx>
            <c:rich>
              <a:bodyPr rot="-5400000" vert="horz"/>
              <a:lstStyle/>
              <a:p>
                <a:pPr>
                  <a:defRPr/>
                </a:pPr>
                <a:r>
                  <a:rPr lang="en-ZA"/>
                  <a:t>Normalized value</a:t>
                </a:r>
                <a:r>
                  <a:rPr lang="en-ZA" baseline="0"/>
                  <a:t> </a:t>
                </a:r>
                <a:endParaRPr lang="en-ZA"/>
              </a:p>
            </c:rich>
          </c:tx>
          <c:layout>
            <c:manualLayout>
              <c:xMode val="edge"/>
              <c:yMode val="edge"/>
              <c:x val="0"/>
              <c:y val="0.30119501639205232"/>
            </c:manualLayout>
          </c:layout>
          <c:overlay val="0"/>
        </c:title>
        <c:numFmt formatCode="0.0" sourceLinked="1"/>
        <c:majorTickMark val="out"/>
        <c:minorTickMark val="none"/>
        <c:tickLblPos val="nextTo"/>
        <c:crossAx val="139780864"/>
        <c:crosses val="autoZero"/>
        <c:crossBetween val="between"/>
      </c:valAx>
    </c:plotArea>
    <c:legend>
      <c:legendPos val="t"/>
      <c:layout>
        <c:manualLayout>
          <c:xMode val="edge"/>
          <c:yMode val="edge"/>
          <c:x val="1.0101010101010105E-2"/>
          <c:y val="5.728525737561492E-2"/>
          <c:w val="0.98146623717489867"/>
          <c:h val="0.15918133184171657"/>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05027665460739"/>
          <c:y val="0.17335243830793012"/>
          <c:w val="0.88175280120183719"/>
          <c:h val="0.59049038906901319"/>
        </c:manualLayout>
      </c:layout>
      <c:barChart>
        <c:barDir val="col"/>
        <c:grouping val="clustered"/>
        <c:varyColors val="0"/>
        <c:ser>
          <c:idx val="0"/>
          <c:order val="0"/>
          <c:tx>
            <c:strRef>
              <c:f>ICHEAP!$R$40</c:f>
              <c:strCache>
                <c:ptCount val="1"/>
                <c:pt idx="0">
                  <c:v>Time-Adjusted Biomass Yield</c:v>
                </c:pt>
              </c:strCache>
            </c:strRef>
          </c:tx>
          <c:invertIfNegative val="0"/>
          <c:val>
            <c:numRef>
              <c:f>ICHEAP!$R$42:$R$44</c:f>
              <c:numCache>
                <c:formatCode>0.0</c:formatCode>
                <c:ptCount val="3"/>
                <c:pt idx="0">
                  <c:v>0.29154786139913863</c:v>
                </c:pt>
                <c:pt idx="1">
                  <c:v>1</c:v>
                </c:pt>
                <c:pt idx="2">
                  <c:v>3.6242512311329187</c:v>
                </c:pt>
              </c:numCache>
            </c:numRef>
          </c:val>
          <c:extLst>
            <c:ext xmlns:c16="http://schemas.microsoft.com/office/drawing/2014/chart" uri="{C3380CC4-5D6E-409C-BE32-E72D297353CC}">
              <c16:uniqueId val="{00000000-B4F4-4013-BBC7-F236D636DDA0}"/>
            </c:ext>
          </c:extLst>
        </c:ser>
        <c:ser>
          <c:idx val="1"/>
          <c:order val="1"/>
          <c:tx>
            <c:strRef>
              <c:f>ICHEAP!$S$40</c:f>
              <c:strCache>
                <c:ptCount val="1"/>
                <c:pt idx="0">
                  <c:v>Time-Adjusted Organics Yield</c:v>
                </c:pt>
              </c:strCache>
            </c:strRef>
          </c:tx>
          <c:invertIfNegative val="0"/>
          <c:val>
            <c:numRef>
              <c:f>ICHEAP!$S$42:$S$44</c:f>
              <c:numCache>
                <c:formatCode>General</c:formatCode>
                <c:ptCount val="3"/>
                <c:pt idx="0">
                  <c:v>1.5496056103396914</c:v>
                </c:pt>
                <c:pt idx="1">
                  <c:v>1</c:v>
                </c:pt>
                <c:pt idx="2">
                  <c:v>0</c:v>
                </c:pt>
              </c:numCache>
            </c:numRef>
          </c:val>
          <c:extLst>
            <c:ext xmlns:c16="http://schemas.microsoft.com/office/drawing/2014/chart" uri="{C3380CC4-5D6E-409C-BE32-E72D297353CC}">
              <c16:uniqueId val="{00000001-B4F4-4013-BBC7-F236D636DDA0}"/>
            </c:ext>
          </c:extLst>
        </c:ser>
        <c:dLbls>
          <c:showLegendKey val="0"/>
          <c:showVal val="0"/>
          <c:showCatName val="0"/>
          <c:showSerName val="0"/>
          <c:showPercent val="0"/>
          <c:showBubbleSize val="0"/>
        </c:dLbls>
        <c:gapWidth val="150"/>
        <c:axId val="147618048"/>
        <c:axId val="147702144"/>
      </c:barChart>
      <c:catAx>
        <c:axId val="147618048"/>
        <c:scaling>
          <c:orientation val="minMax"/>
        </c:scaling>
        <c:delete val="0"/>
        <c:axPos val="b"/>
        <c:title>
          <c:tx>
            <c:rich>
              <a:bodyPr/>
              <a:lstStyle/>
              <a:p>
                <a:pPr>
                  <a:defRPr/>
                </a:pPr>
                <a:r>
                  <a:rPr lang="en-ZA"/>
                  <a:t>Experiment No</a:t>
                </a:r>
              </a:p>
            </c:rich>
          </c:tx>
          <c:overlay val="0"/>
        </c:title>
        <c:majorTickMark val="out"/>
        <c:minorTickMark val="none"/>
        <c:tickLblPos val="nextTo"/>
        <c:crossAx val="147702144"/>
        <c:crosses val="autoZero"/>
        <c:auto val="1"/>
        <c:lblAlgn val="ctr"/>
        <c:lblOffset val="100"/>
        <c:noMultiLvlLbl val="0"/>
      </c:catAx>
      <c:valAx>
        <c:axId val="147702144"/>
        <c:scaling>
          <c:orientation val="minMax"/>
        </c:scaling>
        <c:delete val="0"/>
        <c:axPos val="l"/>
        <c:title>
          <c:tx>
            <c:rich>
              <a:bodyPr rot="-5400000" vert="horz"/>
              <a:lstStyle/>
              <a:p>
                <a:pPr>
                  <a:defRPr/>
                </a:pPr>
                <a:r>
                  <a:rPr lang="en-ZA"/>
                  <a:t>Normalized</a:t>
                </a:r>
                <a:r>
                  <a:rPr lang="en-ZA" baseline="0"/>
                  <a:t> Value</a:t>
                </a:r>
                <a:endParaRPr lang="en-ZA"/>
              </a:p>
            </c:rich>
          </c:tx>
          <c:overlay val="0"/>
        </c:title>
        <c:numFmt formatCode="0.0" sourceLinked="1"/>
        <c:majorTickMark val="out"/>
        <c:minorTickMark val="none"/>
        <c:tickLblPos val="nextTo"/>
        <c:crossAx val="147618048"/>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99653-F34C-4B1C-867F-B6F952FD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3683</Words>
  <Characters>20995</Characters>
  <Application>Microsoft Office Word</Application>
  <DocSecurity>0</DocSecurity>
  <Lines>174</Lines>
  <Paragraphs>49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Dr. HG Brink</cp:lastModifiedBy>
  <cp:revision>7</cp:revision>
  <cp:lastPrinted>2015-05-12T18:31:00Z</cp:lastPrinted>
  <dcterms:created xsi:type="dcterms:W3CDTF">2019-02-08T11:48:00Z</dcterms:created>
  <dcterms:modified xsi:type="dcterms:W3CDTF">2019-04-03T09:03:00Z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http://www.zotero.org/styles/Derick</vt:lpwstr>
  </property>
  <property fmtid="{D5CDD505-2E9C-101B-9397-08002B2CF9AE}" pid="17" name="Mendeley Recent Style Name 6_1">
    <vt:lpwstr>Derick</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http://www.zotero.org/styles/harvard-university-of-cape-town</vt:lpwstr>
  </property>
  <property fmtid="{D5CDD505-2E9C-101B-9397-08002B2CF9AE}" pid="23" name="Mendeley Recent Style Name 9_1">
    <vt:lpwstr>University of Cape Town - Harvard</vt:lpwstr>
  </property>
  <property fmtid="{D5CDD505-2E9C-101B-9397-08002B2CF9AE}" pid="24" name="Mendeley Document_1">
    <vt:lpwstr>True</vt:lpwstr>
  </property>
  <property fmtid="{D5CDD505-2E9C-101B-9397-08002B2CF9AE}" pid="25" name="Mendeley Unique User Id_1">
    <vt:lpwstr>591cd092-da27-350a-8a78-744c953c0d17</vt:lpwstr>
  </property>
  <property fmtid="{D5CDD505-2E9C-101B-9397-08002B2CF9AE}" pid="26" name="Mendeley Citation Style_1">
    <vt:lpwstr>http://www.zotero.org/styles/Derick</vt:lpwstr>
  </property>
</Properties>
</file>