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4BBB9" w14:textId="77777777" w:rsidR="000A03B2" w:rsidRPr="00464F7D" w:rsidRDefault="000A03B2" w:rsidP="000A03B2">
      <w:pPr>
        <w:pStyle w:val="CETAuthors"/>
        <w:sectPr w:rsidR="000A03B2" w:rsidRPr="00464F7D">
          <w:headerReference w:type="default" r:id="rId8"/>
          <w:type w:val="continuous"/>
          <w:pgSz w:w="11906" w:h="16838" w:code="9"/>
          <w:pgMar w:top="1701" w:right="1418" w:bottom="1701" w:left="1701" w:header="1701" w:footer="0" w:gutter="0"/>
          <w:cols w:space="708"/>
          <w:titlePg/>
          <w:docGrid w:linePitch="360"/>
        </w:sectPr>
      </w:pPr>
    </w:p>
    <w:tbl>
      <w:tblPr>
        <w:tblW w:w="0" w:type="auto"/>
        <w:jc w:val="center"/>
        <w:tblBorders>
          <w:bottom w:val="single" w:sz="4" w:space="0" w:color="auto"/>
        </w:tblBorders>
        <w:tblLook w:val="01E0" w:firstRow="1" w:lastRow="1" w:firstColumn="1" w:lastColumn="1" w:noHBand="0" w:noVBand="0"/>
      </w:tblPr>
      <w:tblGrid>
        <w:gridCol w:w="6940"/>
        <w:gridCol w:w="1842"/>
      </w:tblGrid>
      <w:tr w:rsidR="00997E1A" w:rsidRPr="00997E1A" w14:paraId="3666B6CF" w14:textId="77777777" w:rsidTr="000F1B13">
        <w:trPr>
          <w:trHeight w:val="852"/>
          <w:jc w:val="center"/>
        </w:trPr>
        <w:tc>
          <w:tcPr>
            <w:tcW w:w="6946" w:type="dxa"/>
            <w:vMerge w:val="restart"/>
            <w:tcBorders>
              <w:right w:val="single" w:sz="4" w:space="0" w:color="auto"/>
            </w:tcBorders>
          </w:tcPr>
          <w:p w14:paraId="55129141" w14:textId="77777777" w:rsidR="00997E1A" w:rsidRPr="00997E1A" w:rsidRDefault="00997E1A" w:rsidP="00997E1A">
            <w:pPr>
              <w:tabs>
                <w:tab w:val="left" w:pos="-108"/>
              </w:tabs>
              <w:ind w:left="-108"/>
              <w:jc w:val="left"/>
              <w:rPr>
                <w:rFonts w:cs="Arial"/>
                <w:b/>
                <w:bCs/>
                <w:i/>
                <w:iCs/>
                <w:color w:val="000066"/>
                <w:sz w:val="12"/>
                <w:szCs w:val="12"/>
                <w:lang w:eastAsia="it-IT"/>
              </w:rPr>
            </w:pPr>
            <w:r w:rsidRPr="00997E1A">
              <w:rPr>
                <w:rFonts w:ascii="AdvP6960" w:hAnsi="AdvP6960" w:cs="AdvP6960"/>
                <w:noProof/>
                <w:color w:val="241F20"/>
                <w:szCs w:val="18"/>
                <w:lang w:val="it-IT" w:eastAsia="it-IT"/>
              </w:rPr>
              <w:lastRenderedPageBreak/>
              <w:drawing>
                <wp:inline distT="0" distB="0" distL="0" distR="0" wp14:anchorId="62172C77" wp14:editId="2E11BD6E">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997E1A">
              <w:rPr>
                <w:rFonts w:ascii="AdvP6960" w:hAnsi="AdvP6960" w:cs="AdvP6960"/>
                <w:color w:val="241F20"/>
                <w:szCs w:val="18"/>
                <w:lang w:eastAsia="it-IT"/>
              </w:rPr>
              <w:t xml:space="preserve"> </w:t>
            </w:r>
            <w:r w:rsidRPr="00997E1A">
              <w:rPr>
                <w:rFonts w:cs="Arial"/>
                <w:b/>
                <w:bCs/>
                <w:i/>
                <w:iCs/>
                <w:color w:val="000066"/>
                <w:sz w:val="24"/>
                <w:szCs w:val="24"/>
                <w:lang w:eastAsia="it-IT"/>
              </w:rPr>
              <w:t>CHEMICAL ENGINEERING</w:t>
            </w:r>
            <w:r w:rsidRPr="00997E1A">
              <w:rPr>
                <w:rFonts w:cs="Arial"/>
                <w:b/>
                <w:bCs/>
                <w:i/>
                <w:iCs/>
                <w:color w:val="0033FF"/>
                <w:sz w:val="24"/>
                <w:szCs w:val="24"/>
                <w:lang w:eastAsia="it-IT"/>
              </w:rPr>
              <w:t xml:space="preserve"> </w:t>
            </w:r>
            <w:r w:rsidRPr="00997E1A">
              <w:rPr>
                <w:rFonts w:cs="Arial"/>
                <w:b/>
                <w:bCs/>
                <w:i/>
                <w:iCs/>
                <w:color w:val="666666"/>
                <w:sz w:val="24"/>
                <w:szCs w:val="24"/>
                <w:lang w:eastAsia="it-IT"/>
              </w:rPr>
              <w:t>TRANSACTIONS</w:t>
            </w:r>
            <w:r w:rsidRPr="00997E1A">
              <w:rPr>
                <w:color w:val="333333"/>
                <w:sz w:val="24"/>
                <w:szCs w:val="24"/>
                <w:lang w:eastAsia="it-IT"/>
              </w:rPr>
              <w:t xml:space="preserve"> </w:t>
            </w:r>
            <w:r w:rsidRPr="00997E1A">
              <w:rPr>
                <w:rFonts w:cs="Arial"/>
                <w:b/>
                <w:bCs/>
                <w:i/>
                <w:iCs/>
                <w:color w:val="000066"/>
                <w:sz w:val="27"/>
                <w:szCs w:val="27"/>
                <w:lang w:eastAsia="it-IT"/>
              </w:rPr>
              <w:br/>
            </w:r>
          </w:p>
          <w:p w14:paraId="445B5DEE" w14:textId="77777777" w:rsidR="00997E1A" w:rsidRPr="00997E1A" w:rsidRDefault="00997E1A" w:rsidP="00997E1A">
            <w:pPr>
              <w:tabs>
                <w:tab w:val="left" w:pos="-108"/>
              </w:tabs>
              <w:ind w:left="-108"/>
              <w:rPr>
                <w:rFonts w:cs="Arial"/>
                <w:b/>
                <w:bCs/>
                <w:i/>
                <w:iCs/>
                <w:color w:val="000066"/>
                <w:sz w:val="22"/>
                <w:szCs w:val="22"/>
                <w:lang w:eastAsia="it-IT"/>
              </w:rPr>
            </w:pPr>
            <w:r w:rsidRPr="00997E1A">
              <w:rPr>
                <w:rFonts w:cs="Arial"/>
                <w:b/>
                <w:bCs/>
                <w:i/>
                <w:iCs/>
                <w:color w:val="000066"/>
                <w:sz w:val="22"/>
                <w:szCs w:val="22"/>
                <w:lang w:eastAsia="it-IT"/>
              </w:rPr>
              <w:t>VOL. 76, 2019</w:t>
            </w:r>
          </w:p>
        </w:tc>
        <w:tc>
          <w:tcPr>
            <w:tcW w:w="1843" w:type="dxa"/>
            <w:tcBorders>
              <w:left w:val="single" w:sz="4" w:space="0" w:color="auto"/>
              <w:bottom w:val="nil"/>
              <w:right w:val="single" w:sz="4" w:space="0" w:color="auto"/>
            </w:tcBorders>
          </w:tcPr>
          <w:p w14:paraId="002F3BD9" w14:textId="77777777" w:rsidR="00997E1A" w:rsidRPr="00997E1A" w:rsidRDefault="00997E1A" w:rsidP="00997E1A">
            <w:pPr>
              <w:spacing w:line="140" w:lineRule="atLeast"/>
              <w:jc w:val="right"/>
              <w:rPr>
                <w:rFonts w:cs="Arial"/>
                <w:sz w:val="14"/>
                <w:szCs w:val="14"/>
              </w:rPr>
            </w:pPr>
            <w:r w:rsidRPr="00997E1A">
              <w:rPr>
                <w:rFonts w:cs="Arial"/>
                <w:sz w:val="14"/>
                <w:szCs w:val="14"/>
              </w:rPr>
              <w:t>A publication of</w:t>
            </w:r>
          </w:p>
          <w:p w14:paraId="2F1792C7" w14:textId="77777777" w:rsidR="00997E1A" w:rsidRPr="00997E1A" w:rsidRDefault="00997E1A" w:rsidP="00997E1A">
            <w:pPr>
              <w:jc w:val="right"/>
            </w:pPr>
            <w:r w:rsidRPr="00997E1A">
              <w:rPr>
                <w:noProof/>
                <w:lang w:val="it-IT" w:eastAsia="it-IT"/>
              </w:rPr>
              <w:drawing>
                <wp:inline distT="0" distB="0" distL="0" distR="0" wp14:anchorId="799CE386" wp14:editId="12D17F39">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997E1A" w:rsidRPr="00997E1A" w14:paraId="19896B7D" w14:textId="77777777" w:rsidTr="000F1B13">
        <w:trPr>
          <w:trHeight w:val="567"/>
          <w:jc w:val="center"/>
        </w:trPr>
        <w:tc>
          <w:tcPr>
            <w:tcW w:w="6946" w:type="dxa"/>
            <w:vMerge/>
            <w:tcBorders>
              <w:right w:val="single" w:sz="4" w:space="0" w:color="auto"/>
            </w:tcBorders>
          </w:tcPr>
          <w:p w14:paraId="1D7FF540" w14:textId="77777777" w:rsidR="00997E1A" w:rsidRPr="00997E1A" w:rsidRDefault="00997E1A" w:rsidP="00997E1A">
            <w:pPr>
              <w:tabs>
                <w:tab w:val="left" w:pos="-108"/>
              </w:tabs>
            </w:pPr>
          </w:p>
        </w:tc>
        <w:tc>
          <w:tcPr>
            <w:tcW w:w="1843" w:type="dxa"/>
            <w:tcBorders>
              <w:left w:val="single" w:sz="4" w:space="0" w:color="auto"/>
              <w:bottom w:val="nil"/>
              <w:right w:val="single" w:sz="4" w:space="0" w:color="auto"/>
            </w:tcBorders>
          </w:tcPr>
          <w:p w14:paraId="50F047C1" w14:textId="77777777" w:rsidR="00997E1A" w:rsidRPr="00997E1A" w:rsidRDefault="00997E1A" w:rsidP="00997E1A">
            <w:pPr>
              <w:spacing w:line="140" w:lineRule="atLeast"/>
              <w:jc w:val="right"/>
              <w:rPr>
                <w:rFonts w:cs="Arial"/>
                <w:sz w:val="14"/>
                <w:szCs w:val="14"/>
              </w:rPr>
            </w:pPr>
            <w:r w:rsidRPr="00997E1A">
              <w:rPr>
                <w:rFonts w:cs="Arial"/>
                <w:sz w:val="14"/>
                <w:szCs w:val="14"/>
              </w:rPr>
              <w:t>The Italian Association</w:t>
            </w:r>
          </w:p>
          <w:p w14:paraId="2CFD9719" w14:textId="77777777" w:rsidR="00997E1A" w:rsidRPr="00997E1A" w:rsidRDefault="00997E1A" w:rsidP="00997E1A">
            <w:pPr>
              <w:spacing w:line="140" w:lineRule="atLeast"/>
              <w:jc w:val="right"/>
              <w:rPr>
                <w:rFonts w:cs="Arial"/>
                <w:sz w:val="14"/>
                <w:szCs w:val="14"/>
              </w:rPr>
            </w:pPr>
            <w:r w:rsidRPr="00997E1A">
              <w:rPr>
                <w:rFonts w:cs="Arial"/>
                <w:sz w:val="14"/>
                <w:szCs w:val="14"/>
              </w:rPr>
              <w:t>of Chemical Engineering</w:t>
            </w:r>
          </w:p>
          <w:p w14:paraId="179A67B6" w14:textId="77777777" w:rsidR="00997E1A" w:rsidRPr="00997E1A" w:rsidRDefault="00997E1A" w:rsidP="00997E1A">
            <w:pPr>
              <w:spacing w:line="140" w:lineRule="atLeast"/>
              <w:jc w:val="right"/>
              <w:rPr>
                <w:rFonts w:cs="Arial"/>
                <w:sz w:val="14"/>
                <w:szCs w:val="14"/>
              </w:rPr>
            </w:pPr>
            <w:r w:rsidRPr="00997E1A">
              <w:rPr>
                <w:rFonts w:cs="Arial"/>
                <w:sz w:val="14"/>
                <w:szCs w:val="14"/>
              </w:rPr>
              <w:t>Online at www.cetjournal.it</w:t>
            </w:r>
          </w:p>
        </w:tc>
      </w:tr>
      <w:tr w:rsidR="00997E1A" w:rsidRPr="00997E1A" w14:paraId="6527C539" w14:textId="77777777" w:rsidTr="000F1B13">
        <w:trPr>
          <w:trHeight w:val="68"/>
          <w:jc w:val="center"/>
        </w:trPr>
        <w:tc>
          <w:tcPr>
            <w:tcW w:w="8789" w:type="dxa"/>
            <w:gridSpan w:val="2"/>
          </w:tcPr>
          <w:p w14:paraId="47ED60FE" w14:textId="77777777" w:rsidR="00997E1A" w:rsidRPr="00997E1A" w:rsidRDefault="00997E1A" w:rsidP="00997E1A">
            <w:pPr>
              <w:ind w:left="-107"/>
              <w:rPr>
                <w:lang w:val="it-IT"/>
              </w:rPr>
            </w:pPr>
            <w:r w:rsidRPr="00997E1A">
              <w:rPr>
                <w:rFonts w:ascii="Tahoma" w:hAnsi="Tahoma" w:cs="Tahoma"/>
                <w:iCs/>
                <w:color w:val="333333"/>
                <w:sz w:val="14"/>
                <w:szCs w:val="14"/>
                <w:lang w:val="it-IT" w:eastAsia="it-IT"/>
              </w:rPr>
              <w:t xml:space="preserve">Guest </w:t>
            </w:r>
            <w:proofErr w:type="spellStart"/>
            <w:r w:rsidRPr="00997E1A">
              <w:rPr>
                <w:rFonts w:ascii="Tahoma" w:hAnsi="Tahoma" w:cs="Tahoma"/>
                <w:iCs/>
                <w:color w:val="333333"/>
                <w:sz w:val="14"/>
                <w:szCs w:val="14"/>
                <w:lang w:val="it-IT" w:eastAsia="it-IT"/>
              </w:rPr>
              <w:t>Editors</w:t>
            </w:r>
            <w:proofErr w:type="spellEnd"/>
            <w:r w:rsidRPr="00997E1A">
              <w:rPr>
                <w:rFonts w:ascii="Tahoma" w:hAnsi="Tahoma" w:cs="Tahoma"/>
                <w:iCs/>
                <w:color w:val="333333"/>
                <w:sz w:val="14"/>
                <w:szCs w:val="14"/>
                <w:lang w:val="it-IT" w:eastAsia="it-IT"/>
              </w:rPr>
              <w:t xml:space="preserve">: </w:t>
            </w:r>
            <w:r w:rsidRPr="00997E1A">
              <w:rPr>
                <w:rFonts w:ascii="Tahoma" w:hAnsi="Tahoma" w:cs="Tahoma"/>
                <w:sz w:val="14"/>
                <w:szCs w:val="14"/>
                <w:lang w:val="it-IT"/>
              </w:rPr>
              <w:t xml:space="preserve">Sauro Pierucci, </w:t>
            </w:r>
            <w:r w:rsidRPr="00997E1A">
              <w:rPr>
                <w:rFonts w:ascii="Tahoma" w:hAnsi="Tahoma" w:cs="Tahoma"/>
                <w:sz w:val="14"/>
                <w:szCs w:val="14"/>
                <w:shd w:val="clear" w:color="auto" w:fill="FFFFFF"/>
                <w:lang w:val="it-IT"/>
              </w:rPr>
              <w:t>Jiří Jaromír Klemeš, Laura Piazza</w:t>
            </w:r>
          </w:p>
          <w:p w14:paraId="78AECE28" w14:textId="77777777" w:rsidR="00997E1A" w:rsidRPr="00997E1A" w:rsidRDefault="00997E1A" w:rsidP="00997E1A">
            <w:pPr>
              <w:tabs>
                <w:tab w:val="left" w:pos="-108"/>
              </w:tabs>
              <w:spacing w:line="140" w:lineRule="atLeast"/>
              <w:ind w:left="-107"/>
              <w:jc w:val="left"/>
            </w:pPr>
            <w:r w:rsidRPr="00997E1A">
              <w:rPr>
                <w:rFonts w:ascii="Tahoma" w:hAnsi="Tahoma" w:cs="Tahoma"/>
                <w:iCs/>
                <w:color w:val="333333"/>
                <w:sz w:val="14"/>
                <w:szCs w:val="14"/>
                <w:lang w:eastAsia="it-IT"/>
              </w:rPr>
              <w:t xml:space="preserve">Copyright © 2019, AIDIC Servizi </w:t>
            </w:r>
            <w:proofErr w:type="spellStart"/>
            <w:r w:rsidRPr="00997E1A">
              <w:rPr>
                <w:rFonts w:ascii="Tahoma" w:hAnsi="Tahoma" w:cs="Tahoma"/>
                <w:iCs/>
                <w:color w:val="333333"/>
                <w:sz w:val="14"/>
                <w:szCs w:val="14"/>
                <w:lang w:eastAsia="it-IT"/>
              </w:rPr>
              <w:t>S.r.l</w:t>
            </w:r>
            <w:proofErr w:type="spellEnd"/>
            <w:r w:rsidRPr="00997E1A">
              <w:rPr>
                <w:rFonts w:ascii="Tahoma" w:hAnsi="Tahoma" w:cs="Tahoma"/>
                <w:iCs/>
                <w:color w:val="333333"/>
                <w:sz w:val="14"/>
                <w:szCs w:val="14"/>
                <w:lang w:eastAsia="it-IT"/>
              </w:rPr>
              <w:t>.</w:t>
            </w:r>
            <w:r w:rsidRPr="00997E1A">
              <w:rPr>
                <w:rFonts w:ascii="Tahoma" w:hAnsi="Tahoma" w:cs="Tahoma"/>
                <w:iCs/>
                <w:color w:val="333333"/>
                <w:sz w:val="14"/>
                <w:szCs w:val="14"/>
                <w:lang w:eastAsia="it-IT"/>
              </w:rPr>
              <w:br/>
            </w:r>
            <w:r w:rsidRPr="00997E1A">
              <w:rPr>
                <w:rFonts w:ascii="Tahoma" w:hAnsi="Tahoma" w:cs="Tahoma"/>
                <w:b/>
                <w:iCs/>
                <w:color w:val="000000"/>
                <w:sz w:val="14"/>
                <w:szCs w:val="14"/>
                <w:lang w:eastAsia="it-IT"/>
              </w:rPr>
              <w:t>ISBN</w:t>
            </w:r>
            <w:r w:rsidRPr="00997E1A">
              <w:rPr>
                <w:rFonts w:ascii="Tahoma" w:hAnsi="Tahoma" w:cs="Tahoma"/>
                <w:iCs/>
                <w:color w:val="000000"/>
                <w:sz w:val="14"/>
                <w:szCs w:val="14"/>
                <w:lang w:eastAsia="it-IT"/>
              </w:rPr>
              <w:t xml:space="preserve"> </w:t>
            </w:r>
            <w:r w:rsidRPr="00997E1A">
              <w:rPr>
                <w:rFonts w:ascii="Tahoma" w:hAnsi="Tahoma" w:cs="Tahoma"/>
                <w:sz w:val="14"/>
                <w:szCs w:val="14"/>
              </w:rPr>
              <w:t>978-88-95608-73-0</w:t>
            </w:r>
            <w:r w:rsidRPr="00997E1A">
              <w:rPr>
                <w:rFonts w:ascii="Tahoma" w:hAnsi="Tahoma" w:cs="Tahoma"/>
                <w:iCs/>
                <w:color w:val="333333"/>
                <w:sz w:val="14"/>
                <w:szCs w:val="14"/>
                <w:lang w:eastAsia="it-IT"/>
              </w:rPr>
              <w:t xml:space="preserve">; </w:t>
            </w:r>
            <w:r w:rsidRPr="00997E1A">
              <w:rPr>
                <w:rFonts w:ascii="Tahoma" w:hAnsi="Tahoma" w:cs="Tahoma"/>
                <w:b/>
                <w:iCs/>
                <w:color w:val="333333"/>
                <w:sz w:val="14"/>
                <w:szCs w:val="14"/>
                <w:lang w:eastAsia="it-IT"/>
              </w:rPr>
              <w:t>ISSN</w:t>
            </w:r>
            <w:r w:rsidRPr="00997E1A">
              <w:rPr>
                <w:rFonts w:ascii="Tahoma" w:hAnsi="Tahoma" w:cs="Tahoma"/>
                <w:iCs/>
                <w:color w:val="333333"/>
                <w:sz w:val="14"/>
                <w:szCs w:val="14"/>
                <w:lang w:eastAsia="it-IT"/>
              </w:rPr>
              <w:t xml:space="preserve"> 2283-9216</w:t>
            </w:r>
          </w:p>
        </w:tc>
      </w:tr>
    </w:tbl>
    <w:p w14:paraId="6A66694C" w14:textId="5AB653AD" w:rsidR="001877B7" w:rsidRDefault="002540F5" w:rsidP="0015762C">
      <w:pPr>
        <w:pStyle w:val="CETTitle"/>
      </w:pPr>
      <w:r>
        <w:t xml:space="preserve">On the </w:t>
      </w:r>
      <w:r w:rsidR="007550D8">
        <w:t>effect</w:t>
      </w:r>
      <w:r w:rsidR="0051760A" w:rsidRPr="0051760A">
        <w:t xml:space="preserve"> of </w:t>
      </w:r>
      <w:r w:rsidR="007550D8" w:rsidRPr="0051760A">
        <w:t xml:space="preserve">specific boundary flux parameters </w:t>
      </w:r>
      <w:r w:rsidR="007550D8">
        <w:t xml:space="preserve">on </w:t>
      </w:r>
      <w:r w:rsidR="007550D8" w:rsidRPr="0051760A">
        <w:t>membrane process design</w:t>
      </w:r>
      <w:bookmarkStart w:id="0" w:name="_GoBack"/>
      <w:bookmarkEnd w:id="0"/>
    </w:p>
    <w:p w14:paraId="75E27ACC" w14:textId="77777777" w:rsidR="00013674" w:rsidRPr="00B64E86" w:rsidRDefault="00013674" w:rsidP="00013674">
      <w:pPr>
        <w:rPr>
          <w:lang w:val="it-IT"/>
        </w:rPr>
      </w:pPr>
      <w:r w:rsidRPr="00B64E86">
        <w:rPr>
          <w:lang w:val="it-IT"/>
        </w:rPr>
        <w:t xml:space="preserve">Marco </w:t>
      </w:r>
      <w:proofErr w:type="spellStart"/>
      <w:r w:rsidRPr="00B64E86">
        <w:rPr>
          <w:lang w:val="it-IT"/>
        </w:rPr>
        <w:t>Stoller</w:t>
      </w:r>
      <w:r w:rsidR="00AB46F4" w:rsidRPr="00B64E86">
        <w:rPr>
          <w:vertAlign w:val="superscript"/>
          <w:lang w:val="it-IT"/>
        </w:rPr>
        <w:t>a</w:t>
      </w:r>
      <w:proofErr w:type="spellEnd"/>
      <w:r w:rsidR="00AB46F4" w:rsidRPr="00B64E86">
        <w:rPr>
          <w:vertAlign w:val="superscript"/>
          <w:lang w:val="it-IT"/>
        </w:rPr>
        <w:t>*</w:t>
      </w:r>
      <w:r w:rsidRPr="00B64E86">
        <w:rPr>
          <w:lang w:val="it-IT"/>
        </w:rPr>
        <w:t xml:space="preserve">, </w:t>
      </w:r>
      <w:r w:rsidR="006B6FFB">
        <w:rPr>
          <w:lang w:val="it-IT"/>
        </w:rPr>
        <w:t xml:space="preserve">Angela </w:t>
      </w:r>
      <w:proofErr w:type="spellStart"/>
      <w:r w:rsidR="006B6FFB">
        <w:rPr>
          <w:lang w:val="it-IT"/>
        </w:rPr>
        <w:t>Marchetti</w:t>
      </w:r>
      <w:r w:rsidR="000D3E97">
        <w:rPr>
          <w:vertAlign w:val="superscript"/>
          <w:lang w:val="it-IT"/>
        </w:rPr>
        <w:t>a</w:t>
      </w:r>
      <w:proofErr w:type="spellEnd"/>
      <w:r w:rsidR="006B6FFB">
        <w:rPr>
          <w:lang w:val="it-IT"/>
        </w:rPr>
        <w:t xml:space="preserve">, </w:t>
      </w:r>
      <w:r w:rsidR="00B64E86" w:rsidRPr="00B64E86">
        <w:rPr>
          <w:lang w:val="it-IT"/>
        </w:rPr>
        <w:t xml:space="preserve">Javier Miguel </w:t>
      </w:r>
      <w:proofErr w:type="spellStart"/>
      <w:r w:rsidR="00B64E86" w:rsidRPr="00B64E86">
        <w:rPr>
          <w:lang w:val="it-IT"/>
        </w:rPr>
        <w:t>O</w:t>
      </w:r>
      <w:r w:rsidR="00B64E86">
        <w:rPr>
          <w:lang w:val="it-IT"/>
        </w:rPr>
        <w:t>chando</w:t>
      </w:r>
      <w:proofErr w:type="spellEnd"/>
      <w:r w:rsidR="00B64E86">
        <w:rPr>
          <w:lang w:val="it-IT"/>
        </w:rPr>
        <w:t xml:space="preserve"> </w:t>
      </w:r>
      <w:proofErr w:type="spellStart"/>
      <w:r w:rsidR="00B64E86">
        <w:rPr>
          <w:lang w:val="it-IT"/>
        </w:rPr>
        <w:t>Pulido</w:t>
      </w:r>
      <w:r w:rsidR="000D3E97">
        <w:rPr>
          <w:vertAlign w:val="superscript"/>
          <w:lang w:val="it-IT"/>
        </w:rPr>
        <w:t>b</w:t>
      </w:r>
      <w:proofErr w:type="spellEnd"/>
    </w:p>
    <w:p w14:paraId="0C8DDD6C" w14:textId="77777777" w:rsidR="00721E98" w:rsidRPr="00B64E86" w:rsidRDefault="00721E98" w:rsidP="00013674">
      <w:pPr>
        <w:rPr>
          <w:lang w:val="it-IT"/>
        </w:rPr>
      </w:pPr>
    </w:p>
    <w:p w14:paraId="39742EB5" w14:textId="77777777" w:rsidR="006B6FFB" w:rsidRPr="000D3E97" w:rsidRDefault="00E978D0" w:rsidP="00B64E86">
      <w:pPr>
        <w:pStyle w:val="CETAddress"/>
        <w:jc w:val="both"/>
      </w:pPr>
      <w:r w:rsidRPr="00B57B36">
        <w:rPr>
          <w:vertAlign w:val="superscript"/>
        </w:rPr>
        <w:t>a</w:t>
      </w:r>
      <w:r w:rsidR="00AB46F4" w:rsidRPr="00AB46F4">
        <w:rPr>
          <w:rFonts w:eastAsiaTheme="minorHAnsi" w:cs="Arial"/>
          <w:szCs w:val="16"/>
          <w:lang w:val="en-US"/>
        </w:rPr>
        <w:t xml:space="preserve"> </w:t>
      </w:r>
      <w:r w:rsidR="00AB46F4" w:rsidRPr="00AB46F4">
        <w:rPr>
          <w:lang w:val="en-US"/>
        </w:rPr>
        <w:t>Sapienza University of Rome, Dept. Of Chemical Materials Environmental Engineering Via Eudossiana 18, 00184 Rome,</w:t>
      </w:r>
      <w:r w:rsidR="00506523">
        <w:rPr>
          <w:lang w:val="en-US"/>
        </w:rPr>
        <w:t xml:space="preserve"> </w:t>
      </w:r>
      <w:r w:rsidR="00AB46F4" w:rsidRPr="00AB46F4">
        <w:rPr>
          <w:lang w:val="en-US"/>
        </w:rPr>
        <w:t>Italy</w:t>
      </w:r>
      <w:r w:rsidRPr="00AB46F4">
        <w:t xml:space="preserve"> </w:t>
      </w:r>
    </w:p>
    <w:p w14:paraId="3930B19E" w14:textId="77777777" w:rsidR="00AB46F4" w:rsidRPr="00093515" w:rsidRDefault="000D3E97" w:rsidP="00B64E86">
      <w:pPr>
        <w:pStyle w:val="CETAddress"/>
        <w:jc w:val="both"/>
        <w:rPr>
          <w:lang w:val="en-US"/>
        </w:rPr>
      </w:pPr>
      <w:r>
        <w:rPr>
          <w:rFonts w:eastAsiaTheme="minorHAnsi" w:cs="Arial"/>
          <w:szCs w:val="16"/>
          <w:vertAlign w:val="superscript"/>
        </w:rPr>
        <w:t>b</w:t>
      </w:r>
      <w:r w:rsidR="00AB46F4" w:rsidRPr="00AB46F4">
        <w:rPr>
          <w:rFonts w:eastAsiaTheme="minorHAnsi" w:cs="Arial"/>
          <w:szCs w:val="16"/>
          <w:lang w:val="en-US"/>
        </w:rPr>
        <w:t xml:space="preserve"> </w:t>
      </w:r>
      <w:r w:rsidR="00B64E86">
        <w:rPr>
          <w:rFonts w:eastAsia="Calibri" w:cs="Arial"/>
        </w:rPr>
        <w:t>University of Granada</w:t>
      </w:r>
      <w:r w:rsidR="00B64E86" w:rsidRPr="008C6107">
        <w:rPr>
          <w:rFonts w:eastAsia="Calibri" w:cs="Arial"/>
        </w:rPr>
        <w:t xml:space="preserve">, Dept. of </w:t>
      </w:r>
      <w:r w:rsidR="00B64E86">
        <w:rPr>
          <w:rFonts w:eastAsia="Calibri" w:cs="Arial"/>
        </w:rPr>
        <w:t>Chemical</w:t>
      </w:r>
      <w:r w:rsidR="00B64E86" w:rsidRPr="008C6107">
        <w:rPr>
          <w:rFonts w:eastAsia="Calibri" w:cs="Arial"/>
        </w:rPr>
        <w:t xml:space="preserve"> Engineering,</w:t>
      </w:r>
      <w:r w:rsidR="00B64E86">
        <w:rPr>
          <w:rFonts w:eastAsia="Calibri" w:cs="Arial"/>
        </w:rPr>
        <w:t xml:space="preserve"> </w:t>
      </w:r>
      <w:r w:rsidR="00B64E86">
        <w:rPr>
          <w:rStyle w:val="st"/>
        </w:rPr>
        <w:t xml:space="preserve">Avenida de la Fuente Nueva S/N, 18071 </w:t>
      </w:r>
      <w:r w:rsidR="00B64E86" w:rsidRPr="00AC6733">
        <w:rPr>
          <w:rStyle w:val="Enfasicorsivo"/>
          <w:i w:val="0"/>
        </w:rPr>
        <w:t>Granada</w:t>
      </w:r>
      <w:r w:rsidR="00B64E86">
        <w:rPr>
          <w:rStyle w:val="Enfasicorsivo"/>
          <w:i w:val="0"/>
        </w:rPr>
        <w:t>, Spain</w:t>
      </w:r>
    </w:p>
    <w:p w14:paraId="1C1AC867" w14:textId="77777777" w:rsidR="00E978D0" w:rsidRPr="00093515" w:rsidRDefault="00506523" w:rsidP="00506523">
      <w:pPr>
        <w:pStyle w:val="CETemail"/>
        <w:jc w:val="both"/>
        <w:rPr>
          <w:lang w:val="en-US"/>
        </w:rPr>
      </w:pPr>
      <w:r w:rsidRPr="00093515">
        <w:rPr>
          <w:lang w:val="en-US"/>
        </w:rPr>
        <w:t xml:space="preserve">* </w:t>
      </w:r>
      <w:r w:rsidR="00AE0FEB" w:rsidRPr="00093515">
        <w:rPr>
          <w:lang w:val="en-US"/>
        </w:rPr>
        <w:t>marco.stoller@uniroma1.it</w:t>
      </w:r>
    </w:p>
    <w:p w14:paraId="4A86CE44" w14:textId="77777777" w:rsidR="000D3E97" w:rsidRPr="000D3E97" w:rsidRDefault="000D3E97" w:rsidP="000D3E97">
      <w:pPr>
        <w:pStyle w:val="CETHeading1"/>
        <w:numPr>
          <w:ilvl w:val="0"/>
          <w:numId w:val="0"/>
        </w:numPr>
        <w:spacing w:before="0" w:after="0"/>
        <w:jc w:val="both"/>
        <w:rPr>
          <w:b w:val="0"/>
          <w:sz w:val="18"/>
          <w:lang w:val="en-GB"/>
        </w:rPr>
      </w:pPr>
      <w:r w:rsidRPr="000D3E97">
        <w:rPr>
          <w:b w:val="0"/>
          <w:sz w:val="18"/>
          <w:lang w:val="en-GB"/>
        </w:rPr>
        <w:t xml:space="preserve">The boundary flux concept permits to describe the fouling behaviour of membrane systems as a function of the operating time. The method relies on a set of equations that is possible to integrate in time, thus permitting to evaluate the separation process outcome and performances. </w:t>
      </w:r>
    </w:p>
    <w:p w14:paraId="30A3DF0B" w14:textId="77777777" w:rsidR="000D3E97" w:rsidRPr="000D3E97" w:rsidRDefault="000D3E97" w:rsidP="000D3E97">
      <w:pPr>
        <w:pStyle w:val="CETHeading1"/>
        <w:numPr>
          <w:ilvl w:val="0"/>
          <w:numId w:val="0"/>
        </w:numPr>
        <w:spacing w:before="0" w:after="0"/>
        <w:jc w:val="both"/>
        <w:rPr>
          <w:b w:val="0"/>
          <w:sz w:val="18"/>
          <w:lang w:val="en-GB"/>
        </w:rPr>
      </w:pPr>
      <w:r w:rsidRPr="000D3E97">
        <w:rPr>
          <w:b w:val="0"/>
          <w:sz w:val="18"/>
          <w:lang w:val="en-GB"/>
        </w:rPr>
        <w:t xml:space="preserve">This study focuses on the relationship between the membrane area requirements and specific parameters of the boundary flux concept on different membrane systems characterized by different waste feed streams and operating conditions. The target of the analysis was to identify which parameters of the boundary flux equations are the most influent one on the membrane area requirements. The knowledge of the relevant parameters can strongly assist membrane process designers to minimize the capex of the developed plants. </w:t>
      </w:r>
    </w:p>
    <w:p w14:paraId="19B088C2" w14:textId="77777777" w:rsidR="000D3E97" w:rsidRPr="000D3E97" w:rsidRDefault="000D3E97" w:rsidP="000D3E97">
      <w:pPr>
        <w:pStyle w:val="CETHeading1"/>
        <w:numPr>
          <w:ilvl w:val="0"/>
          <w:numId w:val="0"/>
        </w:numPr>
        <w:spacing w:before="0" w:after="0"/>
        <w:jc w:val="both"/>
        <w:rPr>
          <w:b w:val="0"/>
          <w:sz w:val="18"/>
          <w:lang w:val="en-GB"/>
        </w:rPr>
      </w:pPr>
      <w:r w:rsidRPr="000D3E97">
        <w:rPr>
          <w:b w:val="0"/>
          <w:sz w:val="18"/>
          <w:lang w:val="en-GB"/>
        </w:rPr>
        <w:t xml:space="preserve">The study was performed on many different systems, available in literature, and at different operating conditions. In order to avoid the triggering of irreversible fouling, the operation must be performed in sub-boundary operating conditions, and as a consequence, the condition of the permeate flux </w:t>
      </w:r>
      <w:proofErr w:type="spellStart"/>
      <w:r w:rsidRPr="000D3E97">
        <w:rPr>
          <w:b w:val="0"/>
          <w:sz w:val="18"/>
          <w:lang w:val="en-GB"/>
        </w:rPr>
        <w:t>Jp</w:t>
      </w:r>
      <w:proofErr w:type="spellEnd"/>
      <w:r w:rsidRPr="000D3E97">
        <w:rPr>
          <w:b w:val="0"/>
          <w:sz w:val="18"/>
          <w:lang w:val="en-GB"/>
        </w:rPr>
        <w:t xml:space="preserve"> equal to the boundary flux Jb must be met at the end of operation.</w:t>
      </w:r>
    </w:p>
    <w:p w14:paraId="247B3333" w14:textId="77777777" w:rsidR="000D3E97" w:rsidRPr="000D3E97" w:rsidRDefault="000D3E97" w:rsidP="000D3E97">
      <w:pPr>
        <w:pStyle w:val="CETHeading1"/>
        <w:numPr>
          <w:ilvl w:val="0"/>
          <w:numId w:val="0"/>
        </w:numPr>
        <w:spacing w:before="0" w:after="0"/>
        <w:jc w:val="both"/>
        <w:rPr>
          <w:b w:val="0"/>
          <w:sz w:val="18"/>
          <w:lang w:val="en-GB"/>
        </w:rPr>
      </w:pPr>
      <w:r w:rsidRPr="000D3E97">
        <w:rPr>
          <w:b w:val="0"/>
          <w:sz w:val="18"/>
          <w:lang w:val="en-GB"/>
        </w:rPr>
        <w:t>The adopted procedure was as follows:</w:t>
      </w:r>
    </w:p>
    <w:p w14:paraId="2567F243" w14:textId="77777777" w:rsidR="000D3E97" w:rsidRPr="000D3E97" w:rsidRDefault="000D3E97" w:rsidP="000D3E97">
      <w:pPr>
        <w:pStyle w:val="CETHeading1"/>
        <w:numPr>
          <w:ilvl w:val="0"/>
          <w:numId w:val="0"/>
        </w:numPr>
        <w:spacing w:before="0" w:after="0"/>
        <w:jc w:val="both"/>
        <w:rPr>
          <w:b w:val="0"/>
          <w:sz w:val="18"/>
          <w:lang w:val="en-GB"/>
        </w:rPr>
      </w:pPr>
      <w:r w:rsidRPr="000D3E97">
        <w:rPr>
          <w:b w:val="0"/>
          <w:sz w:val="18"/>
          <w:lang w:val="en-GB"/>
        </w:rPr>
        <w:t xml:space="preserve">1. in a first step, by using infinite membrane area, the maximum recovery value </w:t>
      </w:r>
      <w:proofErr w:type="spellStart"/>
      <w:r w:rsidRPr="000D3E97">
        <w:rPr>
          <w:b w:val="0"/>
          <w:sz w:val="18"/>
          <w:lang w:val="en-GB"/>
        </w:rPr>
        <w:t>Ymax</w:t>
      </w:r>
      <w:proofErr w:type="spellEnd"/>
      <w:r w:rsidRPr="000D3E97">
        <w:rPr>
          <w:b w:val="0"/>
          <w:sz w:val="18"/>
          <w:lang w:val="en-GB"/>
        </w:rPr>
        <w:t xml:space="preserve"> of a specific membrane separation process was determined. </w:t>
      </w:r>
    </w:p>
    <w:p w14:paraId="1FC5B9CD" w14:textId="77777777" w:rsidR="000D3E97" w:rsidRPr="000D3E97" w:rsidRDefault="000D3E97" w:rsidP="000D3E97">
      <w:pPr>
        <w:pStyle w:val="CETHeading1"/>
        <w:numPr>
          <w:ilvl w:val="0"/>
          <w:numId w:val="0"/>
        </w:numPr>
        <w:spacing w:before="0" w:after="0"/>
        <w:jc w:val="both"/>
        <w:rPr>
          <w:b w:val="0"/>
          <w:sz w:val="18"/>
          <w:lang w:val="en-GB"/>
        </w:rPr>
      </w:pPr>
      <w:r w:rsidRPr="000D3E97">
        <w:rPr>
          <w:b w:val="0"/>
          <w:sz w:val="18"/>
          <w:lang w:val="en-GB"/>
        </w:rPr>
        <w:t>2. afterwards, the separation target was equally fixed at volume unity of feed (1 m</w:t>
      </w:r>
      <w:r w:rsidRPr="000D3E97">
        <w:rPr>
          <w:b w:val="0"/>
          <w:sz w:val="18"/>
          <w:vertAlign w:val="superscript"/>
          <w:lang w:val="en-GB"/>
        </w:rPr>
        <w:t>3</w:t>
      </w:r>
      <w:r w:rsidRPr="000D3E97">
        <w:rPr>
          <w:b w:val="0"/>
          <w:sz w:val="18"/>
          <w:lang w:val="en-GB"/>
        </w:rPr>
        <w:t xml:space="preserve">) produced during time unity (1 h) at three different recovery values, that is Y equal to 50% </w:t>
      </w:r>
      <w:proofErr w:type="spellStart"/>
      <w:r w:rsidRPr="000D3E97">
        <w:rPr>
          <w:b w:val="0"/>
          <w:sz w:val="18"/>
          <w:lang w:val="en-GB"/>
        </w:rPr>
        <w:t>Ymax</w:t>
      </w:r>
      <w:proofErr w:type="spellEnd"/>
      <w:r w:rsidRPr="000D3E97">
        <w:rPr>
          <w:b w:val="0"/>
          <w:sz w:val="18"/>
          <w:lang w:val="en-GB"/>
        </w:rPr>
        <w:t xml:space="preserve">, 75% </w:t>
      </w:r>
      <w:proofErr w:type="spellStart"/>
      <w:r w:rsidRPr="000D3E97">
        <w:rPr>
          <w:b w:val="0"/>
          <w:sz w:val="18"/>
          <w:lang w:val="en-GB"/>
        </w:rPr>
        <w:t>Ymax</w:t>
      </w:r>
      <w:proofErr w:type="spellEnd"/>
      <w:r w:rsidRPr="000D3E97">
        <w:rPr>
          <w:b w:val="0"/>
          <w:sz w:val="18"/>
          <w:lang w:val="en-GB"/>
        </w:rPr>
        <w:t xml:space="preserve"> and 90% </w:t>
      </w:r>
      <w:proofErr w:type="spellStart"/>
      <w:r w:rsidRPr="000D3E97">
        <w:rPr>
          <w:b w:val="0"/>
          <w:sz w:val="18"/>
          <w:lang w:val="en-GB"/>
        </w:rPr>
        <w:t>Ymax</w:t>
      </w:r>
      <w:proofErr w:type="spellEnd"/>
      <w:r w:rsidRPr="000D3E97">
        <w:rPr>
          <w:b w:val="0"/>
          <w:sz w:val="18"/>
          <w:lang w:val="en-GB"/>
        </w:rPr>
        <w:t xml:space="preserve">, respectively. The required membrane area was calculated by means of the simulation code, using a Newtonian </w:t>
      </w:r>
      <w:proofErr w:type="spellStart"/>
      <w:r w:rsidRPr="000D3E97">
        <w:rPr>
          <w:b w:val="0"/>
          <w:sz w:val="18"/>
          <w:lang w:val="en-GB"/>
        </w:rPr>
        <w:t>trial&amp;error</w:t>
      </w:r>
      <w:proofErr w:type="spellEnd"/>
      <w:r w:rsidRPr="000D3E97">
        <w:rPr>
          <w:b w:val="0"/>
          <w:sz w:val="18"/>
          <w:lang w:val="en-GB"/>
        </w:rPr>
        <w:t xml:space="preserve"> procedure.</w:t>
      </w:r>
    </w:p>
    <w:p w14:paraId="7F75AF8E" w14:textId="77777777" w:rsidR="000D3E97" w:rsidRPr="000D3E97" w:rsidRDefault="000D3E97" w:rsidP="000D3E97">
      <w:pPr>
        <w:pStyle w:val="CETHeading1"/>
        <w:numPr>
          <w:ilvl w:val="0"/>
          <w:numId w:val="0"/>
        </w:numPr>
        <w:spacing w:before="0" w:after="0"/>
        <w:jc w:val="both"/>
        <w:rPr>
          <w:b w:val="0"/>
          <w:sz w:val="18"/>
          <w:lang w:val="en-GB"/>
        </w:rPr>
      </w:pPr>
      <w:r w:rsidRPr="000D3E97">
        <w:rPr>
          <w:b w:val="0"/>
          <w:sz w:val="18"/>
          <w:lang w:val="en-GB"/>
        </w:rPr>
        <w:t xml:space="preserve">The obtained results show that no particular attention must be given to fouling issues in those systems that are not strongly pushed in terms of recovery. For instance, for systems characterized by a </w:t>
      </w:r>
      <w:r>
        <w:rPr>
          <w:b w:val="0"/>
          <w:sz w:val="18"/>
          <w:lang w:val="en-GB"/>
        </w:rPr>
        <w:t xml:space="preserve">volume recovery factor </w:t>
      </w:r>
      <w:r w:rsidR="00CA361C">
        <w:rPr>
          <w:b w:val="0"/>
          <w:sz w:val="18"/>
          <w:lang w:val="en-GB"/>
        </w:rPr>
        <w:t>below 75%</w:t>
      </w:r>
      <w:r w:rsidRPr="000D3E97">
        <w:rPr>
          <w:b w:val="0"/>
          <w:sz w:val="18"/>
          <w:lang w:val="en-GB"/>
        </w:rPr>
        <w:t xml:space="preserve">, fouling issues can be neglected during process design. This is not the case for all other systems where </w:t>
      </w:r>
      <w:r w:rsidR="00CA361C">
        <w:rPr>
          <w:b w:val="0"/>
          <w:sz w:val="18"/>
          <w:lang w:val="en-GB"/>
        </w:rPr>
        <w:t>Y</w:t>
      </w:r>
      <w:r w:rsidRPr="000D3E97">
        <w:rPr>
          <w:b w:val="0"/>
          <w:sz w:val="18"/>
          <w:lang w:val="en-GB"/>
        </w:rPr>
        <w:t>&gt;</w:t>
      </w:r>
      <w:r w:rsidR="00CA361C">
        <w:rPr>
          <w:b w:val="0"/>
          <w:sz w:val="18"/>
          <w:lang w:val="en-GB"/>
        </w:rPr>
        <w:t>75%</w:t>
      </w:r>
      <w:r w:rsidRPr="000D3E97">
        <w:rPr>
          <w:b w:val="0"/>
          <w:sz w:val="18"/>
          <w:lang w:val="en-GB"/>
        </w:rPr>
        <w:t xml:space="preserve">. In this case, the minimization of the membrane area requirements requires a careful evaluation and maximization of the relevant Jb value. Since the boundary flux value depends on many parameters, it appears to be profitable to achieve proper choice of operating conditions and pre-treatment steps to maximize Jb. </w:t>
      </w:r>
    </w:p>
    <w:p w14:paraId="60DCE2BB" w14:textId="77777777" w:rsidR="00FE0C75" w:rsidRDefault="00600535" w:rsidP="00337E44">
      <w:pPr>
        <w:pStyle w:val="CETHeading1"/>
        <w:rPr>
          <w:lang w:val="en-GB"/>
        </w:rPr>
      </w:pPr>
      <w:r w:rsidRPr="00B57B36">
        <w:rPr>
          <w:lang w:val="en-GB"/>
        </w:rPr>
        <w:t>Introduction</w:t>
      </w:r>
    </w:p>
    <w:p w14:paraId="14F2FB6D" w14:textId="3E9E529F" w:rsidR="00DB1B43" w:rsidRDefault="000D3E97" w:rsidP="00407A11">
      <w:pPr>
        <w:pStyle w:val="CETBodytext"/>
        <w:rPr>
          <w:lang w:val="en-GB"/>
        </w:rPr>
      </w:pPr>
      <w:r>
        <w:rPr>
          <w:lang w:val="en-GB"/>
        </w:rPr>
        <w:t xml:space="preserve">One of main drawback of membrane technologies is membrane fouling, which </w:t>
      </w:r>
      <w:r w:rsidR="00DB1B43">
        <w:rPr>
          <w:lang w:val="en-GB"/>
        </w:rPr>
        <w:t>significantly reduces the membrane performances in a short amount of time</w:t>
      </w:r>
      <w:r w:rsidR="00A33970">
        <w:rPr>
          <w:lang w:val="en-GB"/>
        </w:rPr>
        <w:t>.</w:t>
      </w:r>
    </w:p>
    <w:p w14:paraId="48A42FC2" w14:textId="573BA5FA" w:rsidR="00BD23F0" w:rsidRDefault="00DB1B43" w:rsidP="00BD23F0">
      <w:pPr>
        <w:pStyle w:val="CETBodytext"/>
        <w:rPr>
          <w:lang w:val="en-GB"/>
        </w:rPr>
      </w:pPr>
      <w:r>
        <w:rPr>
          <w:lang w:val="en-GB"/>
        </w:rPr>
        <w:t>The phenomenon of membrane f</w:t>
      </w:r>
      <w:r w:rsidR="000F6BC5">
        <w:rPr>
          <w:lang w:val="en-GB"/>
        </w:rPr>
        <w:t>ouling</w:t>
      </w:r>
      <w:r w:rsidR="00A26EA5">
        <w:rPr>
          <w:lang w:val="en-GB"/>
        </w:rPr>
        <w:t xml:space="preserve"> </w:t>
      </w:r>
      <w:r>
        <w:rPr>
          <w:lang w:val="en-GB"/>
        </w:rPr>
        <w:t>is strictly connected to the formation of a</w:t>
      </w:r>
      <w:r w:rsidR="00A26EA5">
        <w:rPr>
          <w:lang w:val="en-GB"/>
        </w:rPr>
        <w:t xml:space="preserve"> </w:t>
      </w:r>
      <w:r>
        <w:rPr>
          <w:lang w:val="en-GB"/>
        </w:rPr>
        <w:t xml:space="preserve">gel like </w:t>
      </w:r>
      <w:r w:rsidR="00A26EA5">
        <w:rPr>
          <w:lang w:val="en-GB"/>
        </w:rPr>
        <w:t>cake</w:t>
      </w:r>
      <w:r>
        <w:rPr>
          <w:lang w:val="en-GB"/>
        </w:rPr>
        <w:t xml:space="preserve"> layer over the surface of the </w:t>
      </w:r>
      <w:r w:rsidR="00A26EA5">
        <w:rPr>
          <w:lang w:val="en-GB"/>
        </w:rPr>
        <w:t>membrane</w:t>
      </w:r>
      <w:r w:rsidR="00E128E0">
        <w:rPr>
          <w:lang w:val="en-GB"/>
        </w:rPr>
        <w:t xml:space="preserve"> due to polarization</w:t>
      </w:r>
      <w:r>
        <w:rPr>
          <w:lang w:val="en-GB"/>
        </w:rPr>
        <w:t xml:space="preserve">; the growth rate and consistency of this fouling layer is a function of </w:t>
      </w:r>
      <w:r w:rsidR="003761D6">
        <w:rPr>
          <w:lang w:val="en-GB"/>
        </w:rPr>
        <w:t>different parameters such as feed stream characteristics</w:t>
      </w:r>
      <w:r w:rsidR="008B61C3">
        <w:rPr>
          <w:lang w:val="en-GB"/>
        </w:rPr>
        <w:t xml:space="preserve"> (including different pretreatment processes, such as prefiltration, adsorption, oxidation, photocatalysis</w:t>
      </w:r>
      <w:r w:rsidR="00D14BA4">
        <w:rPr>
          <w:lang w:val="en-GB"/>
        </w:rPr>
        <w:t xml:space="preserve"> by nanocatalysts, bio-nanotechnologies, Fenton</w:t>
      </w:r>
      <w:r w:rsidR="008B61C3">
        <w:rPr>
          <w:lang w:val="en-GB"/>
        </w:rPr>
        <w:t>)</w:t>
      </w:r>
      <w:r w:rsidR="003761D6">
        <w:rPr>
          <w:lang w:val="en-GB"/>
        </w:rPr>
        <w:t>, chemo-physical propert</w:t>
      </w:r>
      <w:r>
        <w:rPr>
          <w:lang w:val="en-GB"/>
        </w:rPr>
        <w:t>ies</w:t>
      </w:r>
      <w:r w:rsidR="003761D6" w:rsidRPr="003761D6">
        <w:rPr>
          <w:lang w:val="en-GB"/>
        </w:rPr>
        <w:t xml:space="preserve"> </w:t>
      </w:r>
      <w:r w:rsidR="003761D6">
        <w:rPr>
          <w:lang w:val="en-GB"/>
        </w:rPr>
        <w:t xml:space="preserve">of </w:t>
      </w:r>
      <w:r>
        <w:rPr>
          <w:lang w:val="en-GB"/>
        </w:rPr>
        <w:t xml:space="preserve">the </w:t>
      </w:r>
      <w:r w:rsidR="003761D6">
        <w:rPr>
          <w:lang w:val="en-GB"/>
        </w:rPr>
        <w:t>solutes, particl</w:t>
      </w:r>
      <w:r>
        <w:rPr>
          <w:lang w:val="en-GB"/>
        </w:rPr>
        <w:t>e</w:t>
      </w:r>
      <w:r w:rsidR="003761D6">
        <w:rPr>
          <w:lang w:val="en-GB"/>
        </w:rPr>
        <w:t xml:space="preserve"> sizes, selectivity and pore dimensions of </w:t>
      </w:r>
      <w:r w:rsidR="00BD23F0">
        <w:rPr>
          <w:lang w:val="en-GB"/>
        </w:rPr>
        <w:t xml:space="preserve">the </w:t>
      </w:r>
      <w:r w:rsidR="003761D6">
        <w:rPr>
          <w:lang w:val="en-GB"/>
        </w:rPr>
        <w:t>membrane</w:t>
      </w:r>
      <w:r w:rsidR="00A33970">
        <w:rPr>
          <w:lang w:val="en-GB"/>
        </w:rPr>
        <w:t xml:space="preserve"> (</w:t>
      </w:r>
      <w:r w:rsidR="00D14BA4">
        <w:rPr>
          <w:lang w:val="en-GB"/>
        </w:rPr>
        <w:t xml:space="preserve">Vilardi et al., 2018a; </w:t>
      </w:r>
      <w:r w:rsidR="00A33970">
        <w:rPr>
          <w:lang w:val="en-GB"/>
        </w:rPr>
        <w:t>Stoller et al, 2017</w:t>
      </w:r>
      <w:r w:rsidR="00D14BA4">
        <w:rPr>
          <w:lang w:val="en-GB"/>
        </w:rPr>
        <w:t>; Stoller et a., 2018a; Stoller et al., 2018b; Vilardi et al., 2019</w:t>
      </w:r>
      <w:r w:rsidR="00A33970">
        <w:rPr>
          <w:lang w:val="en-GB"/>
        </w:rPr>
        <w:t>)</w:t>
      </w:r>
      <w:r w:rsidR="00BD23F0">
        <w:rPr>
          <w:lang w:val="en-GB"/>
        </w:rPr>
        <w:t xml:space="preserve">. It is possible to make a distinction between three types of fouling, called reversible, semi-reversible and irreversible, respectively. The </w:t>
      </w:r>
      <w:r w:rsidR="00BD23F0">
        <w:rPr>
          <w:lang w:val="en-GB"/>
        </w:rPr>
        <w:lastRenderedPageBreak/>
        <w:t>difference of these types is the possibility to clean or wash the membrane in order to completely restore the initial permeability values: this is possible only in case reversible fouling is washed by water. In case of semi-reversible fouling, a partial restore of the permeability values of the membrane is allowed by chemical cleaning (semi-reversible fouling). Finally, when irreversible fouling forms, there is no possibility to gain again back the previous membrane performances. Considering that membrane fouling cannot be completely avoided, it appears to be best practice to operate the membrane process in such operating conditions where only reversible fouling is formed</w:t>
      </w:r>
      <w:r w:rsidR="008B61C3">
        <w:rPr>
          <w:lang w:val="en-GB"/>
        </w:rPr>
        <w:t xml:space="preserve">, that is at permeate fluxes below the boundary flux value </w:t>
      </w:r>
      <w:r w:rsidR="008B61C3" w:rsidRPr="00350190">
        <w:rPr>
          <w:lang w:val="en-GB"/>
        </w:rPr>
        <w:t xml:space="preserve">Jb </w:t>
      </w:r>
      <w:r w:rsidR="00350190" w:rsidRPr="00350190">
        <w:rPr>
          <w:lang w:val="en-GB"/>
        </w:rPr>
        <w:t>(Chang et al, 2006</w:t>
      </w:r>
      <w:r w:rsidR="00BD23F0" w:rsidRPr="00350190">
        <w:rPr>
          <w:lang w:val="en-GB"/>
        </w:rPr>
        <w:t>).</w:t>
      </w:r>
      <w:r w:rsidR="00BD23F0">
        <w:rPr>
          <w:lang w:val="en-GB"/>
        </w:rPr>
        <w:t xml:space="preserve"> This operating strategy constraints the adoptable value of TMP used during processing</w:t>
      </w:r>
      <w:r w:rsidR="00A33970">
        <w:rPr>
          <w:lang w:val="en-GB"/>
        </w:rPr>
        <w:t xml:space="preserve"> (Vilardi et al, 2018</w:t>
      </w:r>
      <w:r w:rsidR="00D14BA4">
        <w:rPr>
          <w:lang w:val="en-GB"/>
        </w:rPr>
        <w:t>b</w:t>
      </w:r>
      <w:r w:rsidR="00A33970">
        <w:rPr>
          <w:lang w:val="en-GB"/>
        </w:rPr>
        <w:t>)</w:t>
      </w:r>
      <w:r w:rsidR="00BD23F0">
        <w:rPr>
          <w:lang w:val="en-GB"/>
        </w:rPr>
        <w:t>. As a consequence, to meet specific target capacities in term of permeate flow rates</w:t>
      </w:r>
      <w:r w:rsidR="008B61C3">
        <w:rPr>
          <w:lang w:val="en-GB"/>
        </w:rPr>
        <w:t xml:space="preserve"> of the membrane plant</w:t>
      </w:r>
      <w:r w:rsidR="00BD23F0">
        <w:rPr>
          <w:lang w:val="en-GB"/>
        </w:rPr>
        <w:t>, a proper amount of membrane area must be provided. The choice of this latter requirement is a specific task within the design of membrane processes.</w:t>
      </w:r>
    </w:p>
    <w:p w14:paraId="5DC8F0EE" w14:textId="498B2F6F" w:rsidR="00C748AE" w:rsidRDefault="008B61C3" w:rsidP="00BD23F0">
      <w:pPr>
        <w:pStyle w:val="CETBodytext"/>
        <w:rPr>
          <w:lang w:val="en-GB"/>
        </w:rPr>
      </w:pPr>
      <w:r>
        <w:rPr>
          <w:lang w:val="en-GB"/>
        </w:rPr>
        <w:t>The calculation and specification of the requirement in membrane area is not an easy task, since it should guarantee not only the target capacities of the process but has to consider the decrease in performances given by fouling as a function of time. In other words, membrane fouling, even in its reversible form, will lead to a reduction of the permeability of the membrane, and this aspect needs to be compensated by an additional amount of membrane area which has the objective to host the fouling</w:t>
      </w:r>
      <w:r w:rsidR="00350190">
        <w:rPr>
          <w:lang w:val="en-GB"/>
        </w:rPr>
        <w:t xml:space="preserve"> (</w:t>
      </w:r>
      <w:proofErr w:type="spellStart"/>
      <w:r w:rsidR="00350190">
        <w:rPr>
          <w:lang w:val="en-GB"/>
        </w:rPr>
        <w:t>Vrijenhoek</w:t>
      </w:r>
      <w:proofErr w:type="spellEnd"/>
      <w:r w:rsidR="00350190">
        <w:rPr>
          <w:lang w:val="en-GB"/>
        </w:rPr>
        <w:t xml:space="preserve"> et al, 2001)</w:t>
      </w:r>
    </w:p>
    <w:p w14:paraId="00CFB0EF" w14:textId="597ED45E" w:rsidR="00572D48" w:rsidRDefault="000E5F8E" w:rsidP="00BD23F0">
      <w:pPr>
        <w:pStyle w:val="CETBodytext"/>
        <w:rPr>
          <w:lang w:val="en-GB"/>
        </w:rPr>
      </w:pPr>
      <w:r>
        <w:t xml:space="preserve">In this work, membrane process operating data was taken from literature and a simulation code was used to calculate the separation outcome and performances of different feed stock streams, in order to determine the membrane area requirements for a specific task. </w:t>
      </w:r>
      <w:r w:rsidR="002540F5">
        <w:t xml:space="preserve">The simulation code was implemented as an Excel spreadsheet including </w:t>
      </w:r>
      <w:proofErr w:type="spellStart"/>
      <w:r w:rsidR="002540F5">
        <w:t>VBasic</w:t>
      </w:r>
      <w:proofErr w:type="spellEnd"/>
      <w:r w:rsidR="002540F5">
        <w:t xml:space="preserve"> libraries and enabled macros. </w:t>
      </w:r>
      <w:r>
        <w:rPr>
          <w:lang w:val="en-GB"/>
        </w:rPr>
        <w:t>In a second step</w:t>
      </w:r>
      <w:r w:rsidR="00C748AE">
        <w:rPr>
          <w:lang w:val="en-GB"/>
        </w:rPr>
        <w:t xml:space="preserve">, </w:t>
      </w:r>
      <w:r w:rsidR="00BD23F0">
        <w:rPr>
          <w:lang w:val="en-GB"/>
        </w:rPr>
        <w:t xml:space="preserve">the </w:t>
      </w:r>
      <w:r w:rsidR="00C748AE">
        <w:rPr>
          <w:lang w:val="en-GB"/>
        </w:rPr>
        <w:t xml:space="preserve">influence of membrane fouling expressed as Jb and </w:t>
      </w:r>
      <w:r w:rsidR="00C748AE">
        <w:rPr>
          <w:rFonts w:cs="Arial"/>
          <w:lang w:val="en-GB"/>
        </w:rPr>
        <w:t>α</w:t>
      </w:r>
      <w:r w:rsidR="00C748AE">
        <w:rPr>
          <w:lang w:val="en-GB"/>
        </w:rPr>
        <w:t xml:space="preserve"> values, as well as other membrane characterises such as the pure water permea</w:t>
      </w:r>
      <w:r w:rsidR="00572D48">
        <w:rPr>
          <w:lang w:val="en-GB"/>
        </w:rPr>
        <w:t xml:space="preserve">bility w and operating conditions such as the recovery factor Y on the membrane area requirements are checked. </w:t>
      </w:r>
    </w:p>
    <w:p w14:paraId="3AC36577" w14:textId="77777777" w:rsidR="00572D48" w:rsidRDefault="00572D48" w:rsidP="00BD23F0">
      <w:pPr>
        <w:pStyle w:val="CETBodytext"/>
        <w:rPr>
          <w:lang w:val="en-GB"/>
        </w:rPr>
      </w:pPr>
    </w:p>
    <w:p w14:paraId="75185940" w14:textId="77777777" w:rsidR="000F6BC5" w:rsidRDefault="00BD23F0" w:rsidP="00BD23F0">
      <w:pPr>
        <w:pStyle w:val="CETBodytext"/>
        <w:rPr>
          <w:lang w:val="en-GB"/>
        </w:rPr>
      </w:pPr>
      <w:r>
        <w:rPr>
          <w:lang w:val="en-GB"/>
        </w:rPr>
        <w:t xml:space="preserve">Normally, all these parameters are not a choice of the process designer, since strictly connected to the given system. As a consequence, the key parameter that might be controlled during operation to avoid the formation of irreversible fouling appears to be the applied transmembrane pressure value (TMP). </w:t>
      </w:r>
    </w:p>
    <w:p w14:paraId="4224DB72" w14:textId="78B5603D" w:rsidR="004D74F7" w:rsidRPr="00407A11" w:rsidRDefault="00652EA6" w:rsidP="00407A11">
      <w:pPr>
        <w:pStyle w:val="CETBodytext"/>
        <w:rPr>
          <w:lang w:val="en-GB"/>
        </w:rPr>
      </w:pPr>
      <w:r>
        <w:rPr>
          <w:lang w:val="en-GB"/>
        </w:rPr>
        <w:t>I</w:t>
      </w:r>
      <w:r w:rsidR="004D74F7">
        <w:rPr>
          <w:lang w:val="en-GB"/>
        </w:rPr>
        <w:t>n conclusion, it can be said that might be interesting investigate further about the economic impact of the different design choices and that only through a continuous study about the fouling formation the membrane plants can become competitive respect to the others</w:t>
      </w:r>
      <w:r w:rsidR="00A046B2">
        <w:rPr>
          <w:lang w:val="en-GB"/>
        </w:rPr>
        <w:t xml:space="preserve"> common</w:t>
      </w:r>
      <w:r w:rsidR="004D74F7">
        <w:rPr>
          <w:lang w:val="en-GB"/>
        </w:rPr>
        <w:t xml:space="preserve"> waste treatments</w:t>
      </w:r>
      <w:r w:rsidR="00A33970">
        <w:rPr>
          <w:lang w:val="en-GB"/>
        </w:rPr>
        <w:t xml:space="preserve"> (Vuppala et al, 2018)</w:t>
      </w:r>
      <w:r w:rsidR="004D74F7">
        <w:rPr>
          <w:lang w:val="en-GB"/>
        </w:rPr>
        <w:t>.</w:t>
      </w:r>
    </w:p>
    <w:p w14:paraId="1B036D2C" w14:textId="77777777" w:rsidR="00BA7259" w:rsidRDefault="00B64E86" w:rsidP="00BA7259">
      <w:pPr>
        <w:pStyle w:val="CETHeading1"/>
      </w:pPr>
      <w:bookmarkStart w:id="1" w:name="_Hlk528598046"/>
      <w:r>
        <w:t>Methods</w:t>
      </w:r>
    </w:p>
    <w:p w14:paraId="6D7FF2C5" w14:textId="46C641A1" w:rsidR="00572D48" w:rsidRDefault="00562C9F" w:rsidP="00A356B7">
      <w:pPr>
        <w:pStyle w:val="CETBodytext"/>
      </w:pPr>
      <w:r>
        <w:t>The phenomen</w:t>
      </w:r>
      <w:r w:rsidR="00572D48">
        <w:t>on</w:t>
      </w:r>
      <w:r>
        <w:t xml:space="preserve"> of fouling </w:t>
      </w:r>
      <w:r w:rsidR="00572D48">
        <w:t>is</w:t>
      </w:r>
      <w:r>
        <w:t xml:space="preserve"> linked</w:t>
      </w:r>
      <w:r w:rsidR="00572D48">
        <w:t xml:space="preserve"> mainly</w:t>
      </w:r>
      <w:r>
        <w:t xml:space="preserve"> to two different </w:t>
      </w:r>
      <w:r w:rsidR="00572D48">
        <w:t xml:space="preserve">possible </w:t>
      </w:r>
      <w:r>
        <w:t>causes</w:t>
      </w:r>
      <w:r w:rsidR="00572D48">
        <w:t>, that is</w:t>
      </w:r>
      <w:r>
        <w:t xml:space="preserve"> polarization </w:t>
      </w:r>
      <w:r w:rsidR="00572D48">
        <w:t>and</w:t>
      </w:r>
      <w:r>
        <w:t xml:space="preserve"> aging of the membrane. When irreversible fouling </w:t>
      </w:r>
      <w:r w:rsidR="00572D48">
        <w:t>is formed</w:t>
      </w:r>
      <w:r>
        <w:t xml:space="preserve">, it cannot be eliminated by any </w:t>
      </w:r>
      <w:r w:rsidR="00572D48">
        <w:t xml:space="preserve">cleaning or washing </w:t>
      </w:r>
      <w:r>
        <w:t>procedure</w:t>
      </w:r>
      <w:r w:rsidR="00572D48">
        <w:t xml:space="preserve">, being the main culprit to premature </w:t>
      </w:r>
      <w:r>
        <w:t xml:space="preserve">membrane failure </w:t>
      </w:r>
      <w:r w:rsidR="00572D48">
        <w:t>and complete loss of</w:t>
      </w:r>
      <w:r>
        <w:t xml:space="preserve"> productivity</w:t>
      </w:r>
      <w:r w:rsidR="00572D48">
        <w:t xml:space="preserve"> in a short period of time</w:t>
      </w:r>
      <w:r>
        <w:t>.</w:t>
      </w:r>
      <w:r w:rsidR="00374505">
        <w:t xml:space="preserve"> </w:t>
      </w:r>
      <w:r w:rsidR="00572D48">
        <w:t>It appears therefore mandatory to avoid irreversible fouling to permit a long-term operation of membranes</w:t>
      </w:r>
      <w:r w:rsidR="00A33970">
        <w:t xml:space="preserve"> (</w:t>
      </w:r>
      <w:r w:rsidR="00A33970" w:rsidRPr="00A33970">
        <w:t>Van der Bruggen</w:t>
      </w:r>
      <w:r w:rsidR="00A33970">
        <w:t xml:space="preserve"> et al, 2008)</w:t>
      </w:r>
    </w:p>
    <w:p w14:paraId="60915BD6" w14:textId="0CBF532B" w:rsidR="00A356B7" w:rsidRDefault="00572D48" w:rsidP="00A356B7">
      <w:pPr>
        <w:pStyle w:val="CETBodytext"/>
      </w:pPr>
      <w:r>
        <w:t>One method to avoid triggering irreversible fouling on membranes is to operate below the boundary flux. Starting point of the concept is the critical flux introduced by Field et al</w:t>
      </w:r>
      <w:proofErr w:type="gramStart"/>
      <w:r w:rsidR="00350190">
        <w:t>.</w:t>
      </w:r>
      <w:r w:rsidR="00350190" w:rsidRPr="00350190">
        <w:t>(</w:t>
      </w:r>
      <w:proofErr w:type="gramEnd"/>
      <w:r w:rsidR="00350190" w:rsidRPr="00350190">
        <w:t>Field et al, 1995</w:t>
      </w:r>
      <w:r w:rsidRPr="00350190">
        <w:t>).</w:t>
      </w:r>
      <w:r>
        <w:t xml:space="preserve"> Shortly expressed, the critical flux </w:t>
      </w:r>
      <w:r w:rsidR="00A33970">
        <w:t>(</w:t>
      </w:r>
      <w:proofErr w:type="spellStart"/>
      <w:r w:rsidR="00A33970">
        <w:t>Mänttäri</w:t>
      </w:r>
      <w:proofErr w:type="spellEnd"/>
      <w:r w:rsidR="00A33970">
        <w:t xml:space="preserve"> and </w:t>
      </w:r>
      <w:proofErr w:type="spellStart"/>
      <w:r w:rsidR="00A33970">
        <w:t>Nyström</w:t>
      </w:r>
      <w:proofErr w:type="spellEnd"/>
      <w:r w:rsidR="00A33970">
        <w:t>,</w:t>
      </w:r>
      <w:r w:rsidR="00A33970" w:rsidRPr="00A33970">
        <w:t xml:space="preserve"> 2000</w:t>
      </w:r>
      <w:r w:rsidR="00A33970">
        <w:t xml:space="preserve">) </w:t>
      </w:r>
      <w:r>
        <w:t xml:space="preserve">is equal to the one </w:t>
      </w:r>
      <w:r w:rsidR="00051DFD">
        <w:t xml:space="preserve">below </w:t>
      </w:r>
      <w:r>
        <w:t xml:space="preserve">which </w:t>
      </w:r>
      <w:r w:rsidR="00F90963">
        <w:t>no</w:t>
      </w:r>
      <w:r w:rsidR="00051DFD">
        <w:t xml:space="preserve"> fouling occurs. However, this </w:t>
      </w:r>
      <w:r w:rsidR="00F90963">
        <w:t>concept</w:t>
      </w:r>
      <w:r w:rsidR="00051DFD">
        <w:t xml:space="preserve"> </w:t>
      </w:r>
      <w:r w:rsidR="00F90963">
        <w:t xml:space="preserve">did not always apply well to the observed experimental data, especially on those systems </w:t>
      </w:r>
      <w:r w:rsidR="00A33970">
        <w:t>treating wastewater streams (Ochando-Pulido Stoller</w:t>
      </w:r>
      <w:r w:rsidR="00A33970" w:rsidRPr="00A33970">
        <w:t>, 2015</w:t>
      </w:r>
      <w:r w:rsidR="00F90963">
        <w:t>)</w:t>
      </w:r>
      <w:r w:rsidR="00051DFD">
        <w:t xml:space="preserve">. </w:t>
      </w:r>
      <w:r w:rsidR="00F90963">
        <w:t>Indeed</w:t>
      </w:r>
      <w:r w:rsidR="00051DFD">
        <w:t xml:space="preserve">, </w:t>
      </w:r>
      <w:r w:rsidR="00F90963">
        <w:t xml:space="preserve">it appears that </w:t>
      </w:r>
      <w:r w:rsidR="00051DFD">
        <w:t>a feedstock cha</w:t>
      </w:r>
      <w:r w:rsidR="00374505">
        <w:t>ra</w:t>
      </w:r>
      <w:r w:rsidR="00051DFD">
        <w:t>cterized</w:t>
      </w:r>
      <w:r w:rsidR="00374505">
        <w:t xml:space="preserve"> by </w:t>
      </w:r>
      <w:r w:rsidR="00F90963">
        <w:t>high amounts of</w:t>
      </w:r>
      <w:r w:rsidR="00374505">
        <w:t xml:space="preserve"> suspended solid </w:t>
      </w:r>
      <w:r w:rsidR="00F90963">
        <w:t xml:space="preserve">leads unavoidably to the formation of </w:t>
      </w:r>
      <w:r w:rsidR="00374505">
        <w:t>fouling even operating</w:t>
      </w:r>
      <w:r w:rsidR="00A046B2">
        <w:t xml:space="preserve"> </w:t>
      </w:r>
      <w:r w:rsidR="00374505">
        <w:t xml:space="preserve">below the critical point. </w:t>
      </w:r>
      <w:r w:rsidR="00F90963">
        <w:t>Successively</w:t>
      </w:r>
      <w:r w:rsidR="00374505">
        <w:t>,</w:t>
      </w:r>
      <w:r w:rsidR="00F90963">
        <w:t xml:space="preserve"> Field et al. </w:t>
      </w:r>
      <w:r w:rsidR="00374505">
        <w:t>introduce</w:t>
      </w:r>
      <w:r w:rsidR="00F90963">
        <w:t>d</w:t>
      </w:r>
      <w:r w:rsidR="00374505">
        <w:t xml:space="preserve"> another concept</w:t>
      </w:r>
      <w:r w:rsidR="00F90963">
        <w:t>, that is</w:t>
      </w:r>
      <w:r w:rsidR="00374505">
        <w:t xml:space="preserve"> the threshold flux that divides a low fouling region, characterized by a constant rate of fouling, from a high fouling one</w:t>
      </w:r>
      <w:r w:rsidR="00A33970">
        <w:t xml:space="preserve"> (Stoller et al, 2013) </w:t>
      </w:r>
      <w:r w:rsidR="00374505">
        <w:t xml:space="preserve">. </w:t>
      </w:r>
      <w:r w:rsidR="00F90963">
        <w:t>Finally</w:t>
      </w:r>
      <w:r w:rsidR="00374505">
        <w:t>,</w:t>
      </w:r>
      <w:r w:rsidR="00F90963">
        <w:t xml:space="preserve"> Stoller and </w:t>
      </w:r>
      <w:proofErr w:type="spellStart"/>
      <w:r w:rsidR="00F90963">
        <w:t>Ochando-Puliudo</w:t>
      </w:r>
      <w:proofErr w:type="spellEnd"/>
      <w:r w:rsidR="00F90963">
        <w:t xml:space="preserve"> merges</w:t>
      </w:r>
      <w:r w:rsidR="00374505">
        <w:t xml:space="preserve"> the two concepts into a new one</w:t>
      </w:r>
      <w:r w:rsidR="00F90963">
        <w:t>, that is the</w:t>
      </w:r>
      <w:r w:rsidR="00374505">
        <w:t xml:space="preserve"> boundary flux</w:t>
      </w:r>
      <w:r w:rsidR="00F90963">
        <w:t xml:space="preserve"> </w:t>
      </w:r>
      <w:r w:rsidR="00931330" w:rsidRPr="00931330">
        <w:t>(S</w:t>
      </w:r>
      <w:r w:rsidR="00931330">
        <w:t>toller and Ochando-Pulido, 2014a</w:t>
      </w:r>
      <w:r w:rsidR="00F90963" w:rsidRPr="00931330">
        <w:t>)</w:t>
      </w:r>
      <w:r w:rsidR="00374505" w:rsidRPr="00931330">
        <w:t>.</w:t>
      </w:r>
    </w:p>
    <w:p w14:paraId="437D0CB7" w14:textId="77777777" w:rsidR="003F3A31" w:rsidRDefault="003034A8" w:rsidP="003F3A31">
      <w:pPr>
        <w:pStyle w:val="CETBodytext"/>
      </w:pPr>
      <w:r>
        <w:t>The</w:t>
      </w:r>
      <w:r w:rsidR="003F3A31">
        <w:t xml:space="preserve"> </w:t>
      </w:r>
      <w:r w:rsidR="00FD6EB6">
        <w:t>correspondent</w:t>
      </w:r>
      <w:r>
        <w:t xml:space="preserve"> equations</w:t>
      </w:r>
      <w:r w:rsidR="003F3A31">
        <w:t xml:space="preserve"> are here</w:t>
      </w:r>
      <w:r w:rsidR="00FD6EB6">
        <w:t>after</w:t>
      </w:r>
      <w:r w:rsidR="003F3A31">
        <w:t xml:space="preserve"> reported:</w:t>
      </w:r>
    </w:p>
    <w:p w14:paraId="2F5D9881" w14:textId="77777777" w:rsidR="007744F8" w:rsidRDefault="007744F8" w:rsidP="003F3A31">
      <w:pPr>
        <w:pStyle w:val="CETBodytext"/>
      </w:pPr>
    </w:p>
    <w:p w14:paraId="34B06667" w14:textId="77777777" w:rsidR="007744F8" w:rsidRDefault="00ED3B47" w:rsidP="007744F8">
      <w:pPr>
        <w:pStyle w:val="CETBodytext"/>
        <w:rPr>
          <w:sz w:val="24"/>
        </w:rPr>
      </w:pPr>
      <m:oMath>
        <m:f>
          <m:fPr>
            <m:ctrlPr>
              <w:rPr>
                <w:rFonts w:ascii="Cambria Math" w:hAnsi="Cambria Math"/>
                <w:sz w:val="20"/>
              </w:rPr>
            </m:ctrlPr>
          </m:fPr>
          <m:num>
            <m:r>
              <m:rPr>
                <m:sty m:val="p"/>
              </m:rPr>
              <w:rPr>
                <w:rFonts w:ascii="Cambria Math" w:hAnsi="Cambria Math"/>
                <w:sz w:val="20"/>
              </w:rPr>
              <m:t>dm</m:t>
            </m:r>
          </m:num>
          <m:den>
            <m:r>
              <m:rPr>
                <m:sty m:val="p"/>
              </m:rPr>
              <w:rPr>
                <w:rFonts w:ascii="Cambria Math" w:hAnsi="Cambria Math"/>
                <w:sz w:val="20"/>
              </w:rPr>
              <m:t>dt</m:t>
            </m:r>
          </m:den>
        </m:f>
        <m:r>
          <m:rPr>
            <m:sty m:val="p"/>
          </m:rPr>
          <w:rPr>
            <w:rFonts w:ascii="Cambria Math" w:hAnsi="Cambria Math"/>
            <w:sz w:val="20"/>
          </w:rPr>
          <m:t>=-α                                                         ;Jp</m:t>
        </m:r>
        <m:d>
          <m:dPr>
            <m:ctrlPr>
              <w:rPr>
                <w:rFonts w:ascii="Cambria Math" w:hAnsi="Cambria Math"/>
                <w:sz w:val="20"/>
              </w:rPr>
            </m:ctrlPr>
          </m:dPr>
          <m:e>
            <m:r>
              <m:rPr>
                <m:sty m:val="p"/>
              </m:rPr>
              <w:rPr>
                <w:rFonts w:ascii="Cambria Math" w:hAnsi="Cambria Math"/>
                <w:sz w:val="20"/>
              </w:rPr>
              <m:t>t</m:t>
            </m:r>
          </m:e>
        </m:d>
        <m:r>
          <m:rPr>
            <m:sty m:val="p"/>
          </m:rPr>
          <w:rPr>
            <w:rFonts w:ascii="Cambria Math" w:hAnsi="Cambria Math"/>
            <w:sz w:val="20"/>
          </w:rPr>
          <m:t>≤Jb</m:t>
        </m:r>
      </m:oMath>
      <w:r w:rsidR="007744F8" w:rsidRPr="000E5F8E">
        <w:rPr>
          <w:sz w:val="24"/>
        </w:rPr>
        <w:t xml:space="preserve">      </w:t>
      </w:r>
      <w:r w:rsidR="007744F8">
        <w:rPr>
          <w:sz w:val="24"/>
        </w:rPr>
        <w:t xml:space="preserve">             </w:t>
      </w:r>
      <w:r w:rsidR="00940696">
        <w:rPr>
          <w:sz w:val="24"/>
        </w:rPr>
        <w:tab/>
        <w:t xml:space="preserve">                  </w:t>
      </w:r>
      <w:r w:rsidR="007744F8">
        <w:rPr>
          <w:sz w:val="24"/>
        </w:rPr>
        <w:t xml:space="preserve">                    </w:t>
      </w:r>
      <w:r w:rsidR="007744F8" w:rsidRPr="007744F8">
        <w:t>(1)</w:t>
      </w:r>
    </w:p>
    <w:p w14:paraId="6E555994" w14:textId="77777777" w:rsidR="000E5F8E" w:rsidRPr="000E5F8E" w:rsidRDefault="000E5F8E" w:rsidP="007744F8">
      <w:pPr>
        <w:pStyle w:val="CETBodytext"/>
        <w:rPr>
          <w:sz w:val="20"/>
        </w:rPr>
      </w:pPr>
    </w:p>
    <w:p w14:paraId="5B5A6CA3" w14:textId="77777777" w:rsidR="007744F8" w:rsidRDefault="00ED3B47" w:rsidP="007744F8">
      <w:pPr>
        <w:pStyle w:val="CETBodytext"/>
      </w:pPr>
      <m:oMath>
        <m:f>
          <m:fPr>
            <m:ctrlPr>
              <w:rPr>
                <w:rFonts w:ascii="Cambria Math" w:hAnsi="Cambria Math"/>
                <w:sz w:val="20"/>
              </w:rPr>
            </m:ctrlPr>
          </m:fPr>
          <m:num>
            <m:r>
              <m:rPr>
                <m:sty m:val="p"/>
              </m:rPr>
              <w:rPr>
                <w:rFonts w:ascii="Cambria Math" w:hAnsi="Cambria Math"/>
                <w:sz w:val="20"/>
              </w:rPr>
              <m:t>dm</m:t>
            </m:r>
          </m:num>
          <m:den>
            <m:r>
              <m:rPr>
                <m:sty m:val="p"/>
              </m:rPr>
              <w:rPr>
                <w:rFonts w:ascii="Cambria Math" w:hAnsi="Cambria Math"/>
                <w:sz w:val="20"/>
              </w:rPr>
              <m:t>dt</m:t>
            </m:r>
          </m:den>
        </m:f>
        <m:r>
          <m:rPr>
            <m:sty m:val="p"/>
          </m:rPr>
          <w:rPr>
            <w:rFonts w:ascii="Cambria Math" w:hAnsi="Cambria Math"/>
            <w:sz w:val="20"/>
          </w:rPr>
          <m:t xml:space="preserve">= -α- β </m:t>
        </m:r>
        <m:d>
          <m:dPr>
            <m:ctrlPr>
              <w:rPr>
                <w:rFonts w:ascii="Cambria Math" w:hAnsi="Cambria Math"/>
                <w:sz w:val="20"/>
              </w:rPr>
            </m:ctrlPr>
          </m:dPr>
          <m:e>
            <m:r>
              <m:rPr>
                <m:sty m:val="p"/>
              </m:rPr>
              <w:rPr>
                <w:rFonts w:ascii="Cambria Math" w:hAnsi="Cambria Math"/>
                <w:sz w:val="20"/>
              </w:rPr>
              <m:t>Jp</m:t>
            </m:r>
            <m:d>
              <m:dPr>
                <m:ctrlPr>
                  <w:rPr>
                    <w:rFonts w:ascii="Cambria Math" w:hAnsi="Cambria Math"/>
                    <w:sz w:val="20"/>
                  </w:rPr>
                </m:ctrlPr>
              </m:dPr>
              <m:e>
                <m:r>
                  <m:rPr>
                    <m:sty m:val="p"/>
                  </m:rPr>
                  <w:rPr>
                    <w:rFonts w:ascii="Cambria Math" w:hAnsi="Cambria Math"/>
                    <w:sz w:val="20"/>
                  </w:rPr>
                  <m:t>t</m:t>
                </m:r>
              </m:e>
            </m:d>
            <m:r>
              <m:rPr>
                <m:sty m:val="p"/>
              </m:rPr>
              <w:rPr>
                <w:rFonts w:ascii="Cambria Math" w:hAnsi="Cambria Math"/>
                <w:sz w:val="20"/>
              </w:rPr>
              <m:t>-Jb</m:t>
            </m:r>
          </m:e>
        </m:d>
        <m:r>
          <m:rPr>
            <m:sty m:val="p"/>
          </m:rPr>
          <w:rPr>
            <w:rFonts w:ascii="Cambria Math" w:hAnsi="Cambria Math"/>
            <w:sz w:val="20"/>
          </w:rPr>
          <m:t xml:space="preserve">                        ;Jp</m:t>
        </m:r>
        <m:d>
          <m:dPr>
            <m:ctrlPr>
              <w:rPr>
                <w:rFonts w:ascii="Cambria Math" w:hAnsi="Cambria Math"/>
                <w:sz w:val="20"/>
              </w:rPr>
            </m:ctrlPr>
          </m:dPr>
          <m:e>
            <m:r>
              <m:rPr>
                <m:sty m:val="p"/>
              </m:rPr>
              <w:rPr>
                <w:rFonts w:ascii="Cambria Math" w:hAnsi="Cambria Math"/>
                <w:sz w:val="20"/>
              </w:rPr>
              <m:t>t</m:t>
            </m:r>
          </m:e>
        </m:d>
        <m:r>
          <m:rPr>
            <m:sty m:val="p"/>
          </m:rPr>
          <w:rPr>
            <w:rFonts w:ascii="Cambria Math" w:hAnsi="Cambria Math"/>
            <w:sz w:val="20"/>
          </w:rPr>
          <m:t>&gt;Jb</m:t>
        </m:r>
        <m:r>
          <m:rPr>
            <m:sty m:val="p"/>
          </m:rPr>
          <w:rPr>
            <w:rFonts w:ascii="Cambria Math" w:hAnsi="Cambria Math"/>
            <w:sz w:val="28"/>
          </w:rPr>
          <m:t xml:space="preserve"> </m:t>
        </m:r>
      </m:oMath>
      <w:r w:rsidR="007744F8" w:rsidRPr="000E5F8E">
        <w:t xml:space="preserve">    </w:t>
      </w:r>
      <w:r w:rsidR="007744F8">
        <w:t xml:space="preserve">                                                                       (2)</w:t>
      </w:r>
    </w:p>
    <w:p w14:paraId="37069C61" w14:textId="77777777" w:rsidR="007744F8" w:rsidRDefault="007744F8" w:rsidP="007744F8">
      <w:pPr>
        <w:pStyle w:val="CETBodytext"/>
      </w:pPr>
    </w:p>
    <w:p w14:paraId="13AA160C" w14:textId="77777777" w:rsidR="007744F8" w:rsidRDefault="007744F8" w:rsidP="007744F8">
      <w:pPr>
        <w:pStyle w:val="CETBodytext"/>
      </w:pPr>
      <w:r>
        <w:t>where:</w:t>
      </w:r>
    </w:p>
    <w:p w14:paraId="7F1C97E8" w14:textId="608CE2BE" w:rsidR="007744F8" w:rsidRDefault="00772143" w:rsidP="00FD6EB6">
      <w:pPr>
        <w:pStyle w:val="CETBodytext"/>
        <w:numPr>
          <w:ilvl w:val="0"/>
          <w:numId w:val="32"/>
        </w:numPr>
        <w:ind w:left="284" w:hanging="284"/>
      </w:pPr>
      <w:r>
        <w:rPr>
          <w:rFonts w:cs="Arial"/>
        </w:rPr>
        <w:t>α</w:t>
      </w:r>
      <w:r w:rsidR="007744F8">
        <w:rPr>
          <w:rFonts w:cs="Arial"/>
        </w:rPr>
        <w:t>, expressed in [l h</w:t>
      </w:r>
      <w:r w:rsidR="007744F8">
        <w:rPr>
          <w:rFonts w:cs="Arial"/>
          <w:vertAlign w:val="superscript"/>
        </w:rPr>
        <w:t xml:space="preserve">-2 </w:t>
      </w:r>
      <w:r w:rsidR="007744F8">
        <w:rPr>
          <w:rFonts w:cs="Arial"/>
        </w:rPr>
        <w:t>m</w:t>
      </w:r>
      <w:r w:rsidR="007744F8">
        <w:rPr>
          <w:rFonts w:cs="Arial"/>
          <w:vertAlign w:val="superscript"/>
        </w:rPr>
        <w:t xml:space="preserve">-2 </w:t>
      </w:r>
      <w:r w:rsidR="007744F8">
        <w:rPr>
          <w:rFonts w:cs="Arial"/>
        </w:rPr>
        <w:t>bar</w:t>
      </w:r>
      <w:r w:rsidR="007744F8">
        <w:rPr>
          <w:rFonts w:cs="Arial"/>
          <w:vertAlign w:val="superscript"/>
        </w:rPr>
        <w:t>-1</w:t>
      </w:r>
      <w:r w:rsidR="007744F8">
        <w:rPr>
          <w:rFonts w:cs="Arial"/>
        </w:rPr>
        <w:t>], represents the constant permeability reduction rate suffered by the system called the sub-boundary fouling rate index. It is a constant</w:t>
      </w:r>
      <w:r>
        <w:rPr>
          <w:rFonts w:cs="Arial"/>
        </w:rPr>
        <w:t>, valid for all flux values;</w:t>
      </w:r>
    </w:p>
    <w:p w14:paraId="06FC9F6A" w14:textId="77777777" w:rsidR="007744F8" w:rsidRPr="00772143" w:rsidRDefault="00772143" w:rsidP="00FD6EB6">
      <w:pPr>
        <w:pStyle w:val="CETBodytext"/>
        <w:numPr>
          <w:ilvl w:val="0"/>
          <w:numId w:val="32"/>
        </w:numPr>
        <w:ind w:left="284" w:hanging="284"/>
      </w:pPr>
      <w:r>
        <w:rPr>
          <w:rFonts w:cs="Arial"/>
        </w:rPr>
        <w:lastRenderedPageBreak/>
        <w:t>β, expressed in [l</w:t>
      </w:r>
      <w:r>
        <w:rPr>
          <w:rFonts w:cs="Arial"/>
          <w:vertAlign w:val="superscript"/>
        </w:rPr>
        <w:t>-1</w:t>
      </w:r>
      <w:r>
        <w:rPr>
          <w:rFonts w:cs="Arial"/>
        </w:rPr>
        <w:t xml:space="preserve"> bar</w:t>
      </w:r>
      <w:r>
        <w:rPr>
          <w:rFonts w:cs="Arial"/>
          <w:vertAlign w:val="superscript"/>
        </w:rPr>
        <w:t>-1</w:t>
      </w:r>
      <w:r>
        <w:rPr>
          <w:rFonts w:cs="Arial"/>
        </w:rPr>
        <w:t xml:space="preserve">], represents the fouling behavior in the exponential fouling regime of the system, called super-boundary fouling rate index. It is </w:t>
      </w:r>
      <w:r w:rsidR="00FD6EB6">
        <w:rPr>
          <w:rFonts w:cs="Arial"/>
        </w:rPr>
        <w:t>variable as a function to</w:t>
      </w:r>
      <w:r>
        <w:rPr>
          <w:rFonts w:cs="Arial"/>
        </w:rPr>
        <w:t xml:space="preserve"> the transmembrane pressure (TMP);</w:t>
      </w:r>
    </w:p>
    <w:p w14:paraId="247C4A00" w14:textId="77777777" w:rsidR="00772143" w:rsidRPr="00772143" w:rsidRDefault="00772143" w:rsidP="00FD6EB6">
      <w:pPr>
        <w:pStyle w:val="CETBodytext"/>
        <w:numPr>
          <w:ilvl w:val="0"/>
          <w:numId w:val="32"/>
        </w:numPr>
        <w:ind w:left="284" w:hanging="284"/>
      </w:pPr>
      <w:r>
        <w:t xml:space="preserve">m, expressed in </w:t>
      </w:r>
      <w:r>
        <w:rPr>
          <w:rFonts w:cs="Arial"/>
        </w:rPr>
        <w:t>[l h</w:t>
      </w:r>
      <w:r>
        <w:rPr>
          <w:rFonts w:cs="Arial"/>
          <w:vertAlign w:val="superscript"/>
        </w:rPr>
        <w:t xml:space="preserve">-2 </w:t>
      </w:r>
      <w:r>
        <w:rPr>
          <w:rFonts w:cs="Arial"/>
        </w:rPr>
        <w:t>m</w:t>
      </w:r>
      <w:r>
        <w:rPr>
          <w:rFonts w:cs="Arial"/>
          <w:vertAlign w:val="superscript"/>
        </w:rPr>
        <w:t xml:space="preserve">-2 </w:t>
      </w:r>
      <w:r>
        <w:rPr>
          <w:rFonts w:cs="Arial"/>
        </w:rPr>
        <w:t>bar</w:t>
      </w:r>
      <w:r>
        <w:rPr>
          <w:rFonts w:cs="Arial"/>
          <w:vertAlign w:val="superscript"/>
        </w:rPr>
        <w:t>-1</w:t>
      </w:r>
      <w:r>
        <w:rPr>
          <w:rFonts w:cs="Arial"/>
        </w:rPr>
        <w:t>], represents the membrane permeability;</w:t>
      </w:r>
    </w:p>
    <w:p w14:paraId="4F2FA715" w14:textId="77777777" w:rsidR="00772143" w:rsidRDefault="00772143" w:rsidP="00FD6EB6">
      <w:pPr>
        <w:pStyle w:val="CETBodytext"/>
        <w:numPr>
          <w:ilvl w:val="0"/>
          <w:numId w:val="32"/>
        </w:numPr>
        <w:ind w:left="284" w:hanging="284"/>
      </w:pPr>
      <w:proofErr w:type="spellStart"/>
      <w:r>
        <w:t>Jp</w:t>
      </w:r>
      <w:proofErr w:type="spellEnd"/>
      <w:r>
        <w:t xml:space="preserve">(t), expressed in </w:t>
      </w:r>
      <w:r>
        <w:rPr>
          <w:rFonts w:cs="Arial"/>
        </w:rPr>
        <w:t>[l h</w:t>
      </w:r>
      <w:r>
        <w:rPr>
          <w:rFonts w:cs="Arial"/>
          <w:vertAlign w:val="superscript"/>
        </w:rPr>
        <w:t xml:space="preserve">-2 </w:t>
      </w:r>
      <w:r>
        <w:rPr>
          <w:rFonts w:cs="Arial"/>
        </w:rPr>
        <w:t>m</w:t>
      </w:r>
      <w:r>
        <w:rPr>
          <w:rFonts w:cs="Arial"/>
          <w:vertAlign w:val="superscript"/>
        </w:rPr>
        <w:t>-2</w:t>
      </w:r>
      <w:r>
        <w:rPr>
          <w:rFonts w:cs="Arial"/>
        </w:rPr>
        <w:t xml:space="preserve">], represents the permeate flux depending </w:t>
      </w:r>
      <w:r w:rsidR="00FD6EB6">
        <w:rPr>
          <w:rFonts w:cs="Arial"/>
        </w:rPr>
        <w:t>on</w:t>
      </w:r>
      <w:r>
        <w:rPr>
          <w:rFonts w:cs="Arial"/>
        </w:rPr>
        <w:t xml:space="preserve"> the operating time.</w:t>
      </w:r>
    </w:p>
    <w:p w14:paraId="7229BC99" w14:textId="77777777" w:rsidR="003F3A31" w:rsidRDefault="003F3A31" w:rsidP="00A356B7">
      <w:pPr>
        <w:pStyle w:val="CETBodytext"/>
      </w:pPr>
    </w:p>
    <w:p w14:paraId="46352FF8" w14:textId="77777777" w:rsidR="00A356B7" w:rsidRDefault="00FD6EB6" w:rsidP="00A356B7">
      <w:pPr>
        <w:pStyle w:val="CETBodytext"/>
      </w:pPr>
      <w:r>
        <w:t xml:space="preserve">The evaluation of a </w:t>
      </w:r>
      <w:r w:rsidR="005F061B">
        <w:t xml:space="preserve">value </w:t>
      </w:r>
      <w:r>
        <w:t>for</w:t>
      </w:r>
      <w:r w:rsidR="005F061B">
        <w:t xml:space="preserve"> </w:t>
      </w:r>
      <w:r>
        <w:t xml:space="preserve">the </w:t>
      </w:r>
      <w:r w:rsidR="005F061B">
        <w:t xml:space="preserve">boundary flux </w:t>
      </w:r>
      <w:r>
        <w:t>is</w:t>
      </w:r>
      <w:r w:rsidR="005F061B">
        <w:t xml:space="preserve"> </w:t>
      </w:r>
      <w:r>
        <w:t xml:space="preserve">not possible by theory but requires the interpretation of available </w:t>
      </w:r>
      <w:r w:rsidR="005F061B">
        <w:t>experimental data</w:t>
      </w:r>
      <w:r>
        <w:t xml:space="preserve"> on the specific system under analysis</w:t>
      </w:r>
      <w:r w:rsidR="005F061B">
        <w:t xml:space="preserve">. </w:t>
      </w:r>
      <w:r>
        <w:t>Once defined</w:t>
      </w:r>
      <w:r w:rsidR="005F061B">
        <w:t>,</w:t>
      </w:r>
      <w:r w:rsidR="001858E7">
        <w:t xml:space="preserve"> </w:t>
      </w:r>
      <w:r>
        <w:t>since boundary flux values change as a function of time even on the same system, proper simulation of the process must be performed to assure sub-boundary flux conditions during all operation</w:t>
      </w:r>
      <w:r w:rsidR="001858E7">
        <w:t>.</w:t>
      </w:r>
    </w:p>
    <w:p w14:paraId="5D372103" w14:textId="4B55E40E" w:rsidR="000E5F8E" w:rsidRDefault="000E5F8E" w:rsidP="002540F5">
      <w:pPr>
        <w:pStyle w:val="CETBodytext"/>
      </w:pPr>
      <w:r>
        <w:t>In this work, membrane process operating data was taken from literature and a simulation code was used to calculate the separation outcome and performances of different feed stock streams, in order to determine the membrane area requirements for a specific task. In particular, the separation at different recovery factors Y of 1m</w:t>
      </w:r>
      <w:r>
        <w:rPr>
          <w:vertAlign w:val="superscript"/>
        </w:rPr>
        <w:t>3</w:t>
      </w:r>
      <w:r>
        <w:t xml:space="preserve">/h in continuous operation at a controlled permeate flow rate was studied. Being </w:t>
      </w:r>
      <w:proofErr w:type="spellStart"/>
      <w:r>
        <w:t>Jp</w:t>
      </w:r>
      <w:proofErr w:type="spellEnd"/>
      <w:r>
        <w:t xml:space="preserve">* the </w:t>
      </w:r>
      <w:r w:rsidR="002540F5">
        <w:t xml:space="preserve">project </w:t>
      </w:r>
      <w:r>
        <w:t xml:space="preserve">value of the </w:t>
      </w:r>
      <w:r w:rsidR="002540F5">
        <w:t xml:space="preserve">desired and </w:t>
      </w:r>
      <w:r>
        <w:t xml:space="preserve">controlled permeate flow rate, the membrane area requirement can be calculated </w:t>
      </w:r>
      <w:r w:rsidR="002540F5">
        <w:t xml:space="preserve">as soon as a constraint adopting a value of </w:t>
      </w:r>
      <w:proofErr w:type="spellStart"/>
      <w:r w:rsidR="002540F5">
        <w:t>Jp</w:t>
      </w:r>
      <w:proofErr w:type="spellEnd"/>
      <w:r w:rsidR="002540F5">
        <w:t xml:space="preserve">* equal to </w:t>
      </w:r>
      <w:proofErr w:type="spellStart"/>
      <w:r w:rsidR="002540F5">
        <w:t>Jb</w:t>
      </w:r>
      <w:proofErr w:type="spellEnd"/>
      <w:r w:rsidR="002540F5">
        <w:t xml:space="preserve"> was adopted, in order to </w:t>
      </w:r>
      <w:r>
        <w:t>guarantee that the operation is performed in sub-boundary flux conditions.</w:t>
      </w:r>
    </w:p>
    <w:bookmarkEnd w:id="1"/>
    <w:p w14:paraId="26FA59F7" w14:textId="1939CFA9" w:rsidR="00940696" w:rsidRDefault="002B12F1" w:rsidP="00940696">
      <w:pPr>
        <w:pStyle w:val="Paragrafoelenco"/>
        <w:ind w:left="0"/>
      </w:pPr>
      <w:r>
        <w:t>The analysis was</w:t>
      </w:r>
      <w:r w:rsidR="001858E7">
        <w:t xml:space="preserve"> made using a different membrane classes</w:t>
      </w:r>
      <w:r w:rsidR="00E32890">
        <w:t xml:space="preserve"> subdivided in function of the different pore size: ultrafiltration, microfiltration, and nanofiltration </w:t>
      </w:r>
      <w:r>
        <w:t>(UF,</w:t>
      </w:r>
      <w:r w:rsidR="00E32890">
        <w:t xml:space="preserve"> MF,</w:t>
      </w:r>
      <w:r>
        <w:t xml:space="preserve"> NF)</w:t>
      </w:r>
      <w:r w:rsidR="00A33970">
        <w:t xml:space="preserve"> (Stoller et al, 2016)</w:t>
      </w:r>
      <w:r>
        <w:t xml:space="preserve">. Within each class, the simulation code was used on different feed streams found in literature. </w:t>
      </w:r>
      <w:r w:rsidR="002C2731">
        <w:t>In order to run the simulation, some input parameters are required, concerning feed stream characteristics (KP(0)), productivity (ρ1,</w:t>
      </w:r>
      <w:r w:rsidR="002C2731" w:rsidRPr="002C2731">
        <w:t xml:space="preserve"> </w:t>
      </w:r>
      <w:r w:rsidR="002C2731">
        <w:t>m1,</w:t>
      </w:r>
      <w:r w:rsidR="002C2731" w:rsidRPr="002C2731">
        <w:t xml:space="preserve"> </w:t>
      </w:r>
      <w:r w:rsidR="002C2731">
        <w:t>w), selectivity (σ, γ) and membrane fouling (</w:t>
      </w:r>
      <w:proofErr w:type="spellStart"/>
      <w:r w:rsidR="002C2731">
        <w:t>Jb</w:t>
      </w:r>
      <w:proofErr w:type="spellEnd"/>
      <w:r w:rsidR="002C2731">
        <w:t xml:space="preserve">, </w:t>
      </w:r>
      <w:proofErr w:type="spellStart"/>
      <w:r w:rsidR="002C2731">
        <w:t>TMPb</w:t>
      </w:r>
      <w:proofErr w:type="spellEnd"/>
      <w:r w:rsidR="002C2731">
        <w:t>, α).</w:t>
      </w:r>
      <w:r>
        <w:t xml:space="preserve"> </w:t>
      </w:r>
      <w:r w:rsidR="00940696">
        <w:t>The details of the used equation set and the relevant nomenclature of the used variables within this p</w:t>
      </w:r>
      <w:r w:rsidR="00A33970">
        <w:t>aper are reported elsewhere (Stoller and Ochando Pulido, 2014</w:t>
      </w:r>
      <w:r w:rsidR="00931330">
        <w:t>b</w:t>
      </w:r>
      <w:r w:rsidR="00940696">
        <w:t>).</w:t>
      </w:r>
      <w:r w:rsidR="00940696" w:rsidRPr="002B12F1">
        <w:t xml:space="preserve"> </w:t>
      </w:r>
    </w:p>
    <w:p w14:paraId="6D5A30EB" w14:textId="77777777" w:rsidR="00940696" w:rsidRDefault="002B12F1" w:rsidP="00940696">
      <w:pPr>
        <w:pStyle w:val="Paragrafoelenco"/>
        <w:ind w:left="0"/>
      </w:pPr>
      <w:r>
        <w:t xml:space="preserve">In a first step, an infinite membrane area was fixed in order to determine the maximum possible recovery value </w:t>
      </w:r>
      <w:proofErr w:type="spellStart"/>
      <w:r>
        <w:t>Ymax</w:t>
      </w:r>
      <w:proofErr w:type="spellEnd"/>
      <w:r>
        <w:t xml:space="preserve"> for each different feed stream. </w:t>
      </w:r>
      <w:r w:rsidR="00E32890">
        <w:t>Then</w:t>
      </w:r>
      <w:r>
        <w:t>, the required membrane area</w:t>
      </w:r>
      <w:r w:rsidR="007C7F15">
        <w:t>s</w:t>
      </w:r>
      <w:r>
        <w:t xml:space="preserve"> to reach pre-determined separation targets, in detail 50%, 75% and 90% of </w:t>
      </w:r>
      <w:proofErr w:type="spellStart"/>
      <w:r>
        <w:t>Ymax</w:t>
      </w:r>
      <w:proofErr w:type="spellEnd"/>
      <w:r>
        <w:t xml:space="preserve">, respectively, </w:t>
      </w:r>
      <w:r w:rsidR="007C7F15">
        <w:t>were evaluated</w:t>
      </w:r>
      <w:r w:rsidR="00A166FA">
        <w:t xml:space="preserve"> by adopting a Newtonian </w:t>
      </w:r>
      <w:proofErr w:type="spellStart"/>
      <w:r w:rsidR="00A166FA">
        <w:t>trial&amp;error</w:t>
      </w:r>
      <w:proofErr w:type="spellEnd"/>
      <w:r w:rsidR="00A166FA">
        <w:t xml:space="preserve"> procedure</w:t>
      </w:r>
      <w:r w:rsidR="007C7F15">
        <w:t xml:space="preserve">. </w:t>
      </w:r>
      <w:r w:rsidR="00E32890">
        <w:t>At the end</w:t>
      </w:r>
      <w:r w:rsidR="007C7F15">
        <w:t xml:space="preserve">, the obtained results in terms of membrane area requirements were analysed on </w:t>
      </w:r>
      <w:r w:rsidR="00A166FA">
        <w:t>those</w:t>
      </w:r>
      <w:r w:rsidR="007C7F15">
        <w:t xml:space="preserve"> input parameters</w:t>
      </w:r>
      <w:r w:rsidR="00A166FA">
        <w:t xml:space="preserve"> resulting the most influent on</w:t>
      </w:r>
      <w:r w:rsidR="003222F0">
        <w:t>e</w:t>
      </w:r>
      <w:r w:rsidR="00073A60">
        <w:t xml:space="preserve">: </w:t>
      </w:r>
      <w:r w:rsidR="003222F0">
        <w:t>the pure water permeability w</w:t>
      </w:r>
      <w:r w:rsidR="00073A60">
        <w:t xml:space="preserve"> and</w:t>
      </w:r>
      <w:r w:rsidR="003222F0">
        <w:t xml:space="preserve"> the boundary flux value Jb.</w:t>
      </w:r>
    </w:p>
    <w:p w14:paraId="38139F8F" w14:textId="77777777" w:rsidR="00940696" w:rsidRDefault="00940696" w:rsidP="00940696">
      <w:pPr>
        <w:pStyle w:val="CETHeading1"/>
      </w:pPr>
      <w:r>
        <w:t>Results and discussion</w:t>
      </w:r>
    </w:p>
    <w:p w14:paraId="63DCF1E9" w14:textId="77777777" w:rsidR="00940696" w:rsidRDefault="00940696" w:rsidP="00940696">
      <w:pPr>
        <w:pStyle w:val="Paragrafoelenco"/>
        <w:ind w:left="0"/>
      </w:pPr>
    </w:p>
    <w:p w14:paraId="2E3963FE" w14:textId="71F0538B" w:rsidR="00940696" w:rsidRDefault="00690D87" w:rsidP="00940696">
      <w:pPr>
        <w:pStyle w:val="Paragrafoelenco"/>
        <w:ind w:left="0"/>
        <w:rPr>
          <w:rFonts w:cs="Arial"/>
          <w:szCs w:val="18"/>
        </w:rPr>
      </w:pPr>
      <w:r>
        <w:rPr>
          <w:rFonts w:cs="Arial"/>
          <w:szCs w:val="18"/>
        </w:rPr>
        <w:t>The obtained results in terms of membrane area requirement as a function of Y are reported in Figure 1, for MF, UF and NF, respectively. The given reference number of the plotted lines are the respective reference number of the tables reported in the boundary flux handbook</w:t>
      </w:r>
      <w:r w:rsidR="00A33970">
        <w:rPr>
          <w:rFonts w:cs="Arial"/>
          <w:szCs w:val="18"/>
        </w:rPr>
        <w:t xml:space="preserve"> (Stoller and Ochando Pulido, 2014</w:t>
      </w:r>
      <w:r w:rsidR="00931330">
        <w:rPr>
          <w:rFonts w:cs="Arial"/>
          <w:szCs w:val="18"/>
        </w:rPr>
        <w:t>b</w:t>
      </w:r>
      <w:r w:rsidR="00940696">
        <w:rPr>
          <w:rFonts w:cs="Arial"/>
          <w:szCs w:val="18"/>
        </w:rPr>
        <w:t>)</w:t>
      </w:r>
      <w:r>
        <w:rPr>
          <w:rFonts w:cs="Arial"/>
          <w:szCs w:val="18"/>
        </w:rPr>
        <w:t>.</w:t>
      </w:r>
    </w:p>
    <w:p w14:paraId="2BC1E7D8" w14:textId="48E8161F" w:rsidR="00977F89" w:rsidRDefault="00977F89" w:rsidP="00940696">
      <w:pPr>
        <w:pStyle w:val="Paragrafoelenco"/>
        <w:ind w:left="0"/>
        <w:rPr>
          <w:rFonts w:cs="Arial"/>
          <w:szCs w:val="18"/>
        </w:rPr>
      </w:pPr>
    </w:p>
    <w:p w14:paraId="08B1CC26" w14:textId="0DFC3993" w:rsidR="00977F89" w:rsidRDefault="00977F89" w:rsidP="00977F89">
      <w:pPr>
        <w:pStyle w:val="Paragrafoelenco"/>
        <w:ind w:left="0"/>
        <w:rPr>
          <w:rFonts w:cs="Arial"/>
          <w:szCs w:val="18"/>
        </w:rPr>
      </w:pPr>
      <w:r>
        <w:rPr>
          <w:rFonts w:cs="Arial"/>
          <w:szCs w:val="18"/>
        </w:rPr>
        <w:t xml:space="preserve">It is possible to observe that the all the plots are similar in shape, characterized by a first part ranging from Y50% to Y75% having higher angular coefficient when compared to the second one, from Y75% to Y90%. </w:t>
      </w:r>
      <w:r w:rsidRPr="002540F5">
        <w:rPr>
          <w:rFonts w:cs="Arial"/>
          <w:szCs w:val="18"/>
        </w:rPr>
        <w:t xml:space="preserve">Consequently, the following analysis to check for some </w:t>
      </w:r>
      <w:r w:rsidR="002540F5">
        <w:rPr>
          <w:rFonts w:cs="Arial"/>
          <w:szCs w:val="18"/>
        </w:rPr>
        <w:t>empirical relationship between</w:t>
      </w:r>
      <w:r w:rsidRPr="002540F5">
        <w:rPr>
          <w:rFonts w:cs="Arial"/>
          <w:szCs w:val="18"/>
        </w:rPr>
        <w:t xml:space="preserve"> w and/or Jb will be divided in two parts, regarding the different relative Y ranges.</w:t>
      </w:r>
      <w:r>
        <w:rPr>
          <w:rFonts w:cs="Arial"/>
          <w:szCs w:val="18"/>
        </w:rPr>
        <w:t xml:space="preserve"> </w:t>
      </w:r>
    </w:p>
    <w:p w14:paraId="27F18075" w14:textId="3E2681FF" w:rsidR="00977F89" w:rsidRDefault="00977F89" w:rsidP="00977F89">
      <w:pPr>
        <w:pStyle w:val="Paragrafoelenco"/>
        <w:ind w:left="0"/>
        <w:rPr>
          <w:rFonts w:cs="Arial"/>
          <w:szCs w:val="18"/>
        </w:rPr>
      </w:pPr>
      <w:r>
        <w:rPr>
          <w:rFonts w:cs="Arial"/>
          <w:szCs w:val="18"/>
        </w:rPr>
        <w:t xml:space="preserve">Concerning the first part, ranging from Y50% to Y75%, </w:t>
      </w:r>
      <w:r w:rsidR="00B37787">
        <w:rPr>
          <w:rFonts w:cs="Arial"/>
          <w:szCs w:val="18"/>
        </w:rPr>
        <w:t>to highlight the dependency,</w:t>
      </w:r>
      <w:r>
        <w:rPr>
          <w:rFonts w:cs="Arial"/>
          <w:szCs w:val="18"/>
        </w:rPr>
        <w:t xml:space="preserve"> selected plots from UF and NF were reported in Figure 2 and the relevant data in Table 1.</w:t>
      </w:r>
    </w:p>
    <w:p w14:paraId="0AA57623" w14:textId="77777777" w:rsidR="00977F89" w:rsidRDefault="00977F89" w:rsidP="00940696">
      <w:pPr>
        <w:pStyle w:val="Paragrafoelenco"/>
        <w:ind w:left="0"/>
        <w:rPr>
          <w:rFonts w:cs="Arial"/>
          <w:szCs w:val="18"/>
        </w:rPr>
      </w:pPr>
    </w:p>
    <w:p w14:paraId="6ABDD3C6" w14:textId="77777777" w:rsidR="00940696" w:rsidRDefault="00940696" w:rsidP="00940696">
      <w:pPr>
        <w:pStyle w:val="Paragrafoelenco"/>
        <w:ind w:left="0"/>
        <w:rPr>
          <w:rFonts w:cs="Arial"/>
          <w:szCs w:val="18"/>
        </w:rPr>
      </w:pPr>
    </w:p>
    <w:p w14:paraId="4AFAECBF" w14:textId="77777777" w:rsidR="00977F89" w:rsidRDefault="00690D87" w:rsidP="00940696">
      <w:pPr>
        <w:pStyle w:val="Paragrafoelenco"/>
        <w:ind w:left="0"/>
        <w:rPr>
          <w:rFonts w:cs="Arial"/>
          <w:i/>
          <w:szCs w:val="18"/>
        </w:rPr>
      </w:pPr>
      <w:r>
        <w:rPr>
          <w:noProof/>
          <w:lang w:val="it-IT" w:eastAsia="it-IT"/>
        </w:rPr>
        <w:drawing>
          <wp:inline distT="0" distB="0" distL="0" distR="0" wp14:anchorId="418EBC87" wp14:editId="273E2FAC">
            <wp:extent cx="2520000" cy="188887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20000" cy="1888870"/>
                    </a:xfrm>
                    <a:prstGeom prst="rect">
                      <a:avLst/>
                    </a:prstGeom>
                  </pic:spPr>
                </pic:pic>
              </a:graphicData>
            </a:graphic>
          </wp:inline>
        </w:drawing>
      </w:r>
      <w:r>
        <w:rPr>
          <w:noProof/>
          <w:lang w:val="it-IT" w:eastAsia="it-IT"/>
        </w:rPr>
        <w:drawing>
          <wp:inline distT="0" distB="0" distL="0" distR="0" wp14:anchorId="7D7B8A99" wp14:editId="7B59407D">
            <wp:extent cx="2520000" cy="1888872"/>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20000" cy="1888872"/>
                    </a:xfrm>
                    <a:prstGeom prst="rect">
                      <a:avLst/>
                    </a:prstGeom>
                  </pic:spPr>
                </pic:pic>
              </a:graphicData>
            </a:graphic>
          </wp:inline>
        </w:drawing>
      </w:r>
    </w:p>
    <w:p w14:paraId="0F723E3B" w14:textId="055FE5AE" w:rsidR="00940696" w:rsidRDefault="00690D87" w:rsidP="00940696">
      <w:pPr>
        <w:pStyle w:val="Paragrafoelenco"/>
        <w:ind w:left="0"/>
        <w:rPr>
          <w:rFonts w:cs="Arial"/>
          <w:i/>
          <w:szCs w:val="18"/>
        </w:rPr>
      </w:pPr>
      <w:r>
        <w:rPr>
          <w:noProof/>
          <w:lang w:val="it-IT" w:eastAsia="it-IT"/>
        </w:rPr>
        <w:lastRenderedPageBreak/>
        <w:drawing>
          <wp:inline distT="0" distB="0" distL="0" distR="0" wp14:anchorId="7B813832" wp14:editId="26B83F44">
            <wp:extent cx="2520000" cy="1888872"/>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20000" cy="1888872"/>
                    </a:xfrm>
                    <a:prstGeom prst="rect">
                      <a:avLst/>
                    </a:prstGeom>
                  </pic:spPr>
                </pic:pic>
              </a:graphicData>
            </a:graphic>
          </wp:inline>
        </w:drawing>
      </w:r>
    </w:p>
    <w:p w14:paraId="2CCA151B" w14:textId="77777777" w:rsidR="00940696" w:rsidRDefault="00940696" w:rsidP="00940696">
      <w:pPr>
        <w:pStyle w:val="Paragrafoelenco"/>
        <w:ind w:left="0"/>
        <w:rPr>
          <w:rFonts w:cs="Arial"/>
          <w:i/>
          <w:szCs w:val="18"/>
        </w:rPr>
      </w:pPr>
    </w:p>
    <w:p w14:paraId="5F988513" w14:textId="6395D816" w:rsidR="00940696" w:rsidRDefault="00690D87" w:rsidP="00940696">
      <w:pPr>
        <w:pStyle w:val="Paragrafoelenco"/>
        <w:ind w:left="0"/>
        <w:rPr>
          <w:rFonts w:cs="Arial"/>
          <w:i/>
          <w:szCs w:val="18"/>
        </w:rPr>
      </w:pPr>
      <w:r w:rsidRPr="003F3A31">
        <w:rPr>
          <w:rFonts w:cs="Arial"/>
          <w:i/>
          <w:szCs w:val="18"/>
        </w:rPr>
        <w:t>Figure 1: Membrane area requirement vs Y for different feed streams</w:t>
      </w:r>
      <w:r w:rsidR="00977F89">
        <w:rPr>
          <w:rFonts w:cs="Arial"/>
          <w:i/>
          <w:szCs w:val="18"/>
        </w:rPr>
        <w:t xml:space="preserve">: </w:t>
      </w:r>
      <w:r w:rsidRPr="003F3A31">
        <w:rPr>
          <w:rFonts w:cs="Arial"/>
          <w:i/>
          <w:szCs w:val="18"/>
        </w:rPr>
        <w:t>MF</w:t>
      </w:r>
      <w:r w:rsidR="00977F89">
        <w:rPr>
          <w:rFonts w:cs="Arial"/>
          <w:i/>
          <w:szCs w:val="18"/>
        </w:rPr>
        <w:t>, UF and NF, respectively (caption)</w:t>
      </w:r>
    </w:p>
    <w:p w14:paraId="4BB88BC6" w14:textId="77777777" w:rsidR="001A3BE9" w:rsidRDefault="001A3BE9" w:rsidP="00940696">
      <w:pPr>
        <w:pStyle w:val="Paragrafoelenco"/>
        <w:ind w:left="0"/>
        <w:rPr>
          <w:rFonts w:cs="Arial"/>
          <w:szCs w:val="18"/>
        </w:rPr>
      </w:pPr>
    </w:p>
    <w:p w14:paraId="1AE307A7" w14:textId="77777777" w:rsidR="00940696" w:rsidRPr="00312FE0" w:rsidRDefault="00940696" w:rsidP="00940696">
      <w:pPr>
        <w:keepNext/>
        <w:keepLines/>
        <w:tabs>
          <w:tab w:val="clear" w:pos="7100"/>
        </w:tabs>
        <w:spacing w:line="240" w:lineRule="auto"/>
        <w:outlineLvl w:val="1"/>
        <w:rPr>
          <w:rFonts w:cs="Arial"/>
          <w:i/>
          <w:szCs w:val="18"/>
        </w:rPr>
      </w:pPr>
      <w:r w:rsidRPr="00312FE0">
        <w:rPr>
          <w:rFonts w:cs="Arial"/>
          <w:i/>
          <w:szCs w:val="18"/>
        </w:rPr>
        <w:t>Table 1: Relevant data of the selected plots in Fig</w:t>
      </w:r>
      <w:r w:rsidR="00D87D63">
        <w:rPr>
          <w:rFonts w:cs="Arial"/>
          <w:i/>
          <w:szCs w:val="18"/>
        </w:rPr>
        <w:t xml:space="preserve">ure </w:t>
      </w:r>
      <w:r w:rsidRPr="00312FE0">
        <w:rPr>
          <w:rFonts w:cs="Arial"/>
          <w:i/>
          <w:szCs w:val="18"/>
        </w:rPr>
        <w:t>2</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04"/>
        <w:gridCol w:w="914"/>
        <w:gridCol w:w="886"/>
        <w:gridCol w:w="850"/>
        <w:gridCol w:w="724"/>
        <w:gridCol w:w="724"/>
        <w:gridCol w:w="724"/>
        <w:gridCol w:w="724"/>
      </w:tblGrid>
      <w:tr w:rsidR="00802B8C" w:rsidRPr="00997E1A" w14:paraId="18E9EF83" w14:textId="77777777" w:rsidTr="004E20F3">
        <w:tc>
          <w:tcPr>
            <w:tcW w:w="3554" w:type="dxa"/>
            <w:gridSpan w:val="4"/>
            <w:tcBorders>
              <w:top w:val="single" w:sz="8" w:space="0" w:color="00B050"/>
              <w:bottom w:val="nil"/>
            </w:tcBorders>
            <w:shd w:val="clear" w:color="auto" w:fill="FFFFFF"/>
          </w:tcPr>
          <w:p w14:paraId="3F5BC9CB" w14:textId="1CDEE16C" w:rsidR="00802B8C" w:rsidRPr="00997E1A" w:rsidRDefault="00802B8C" w:rsidP="00802B8C">
            <w:pPr>
              <w:ind w:right="-1"/>
              <w:jc w:val="center"/>
              <w:rPr>
                <w:rFonts w:cs="Arial"/>
                <w:szCs w:val="18"/>
              </w:rPr>
            </w:pPr>
            <w:bookmarkStart w:id="2" w:name="_Hlk1575862"/>
            <w:r>
              <w:t>UF</w:t>
            </w:r>
          </w:p>
        </w:tc>
        <w:tc>
          <w:tcPr>
            <w:tcW w:w="2896" w:type="dxa"/>
            <w:gridSpan w:val="4"/>
            <w:tcBorders>
              <w:top w:val="single" w:sz="8" w:space="0" w:color="00B050"/>
              <w:bottom w:val="nil"/>
            </w:tcBorders>
            <w:shd w:val="clear" w:color="auto" w:fill="FFFFFF"/>
          </w:tcPr>
          <w:p w14:paraId="35B5C240" w14:textId="55CDE80C" w:rsidR="00802B8C" w:rsidRPr="00997E1A" w:rsidRDefault="00802B8C" w:rsidP="00802B8C">
            <w:pPr>
              <w:ind w:right="-1"/>
              <w:jc w:val="center"/>
              <w:rPr>
                <w:rFonts w:cs="Arial"/>
                <w:szCs w:val="18"/>
              </w:rPr>
            </w:pPr>
            <w:r>
              <w:rPr>
                <w:rFonts w:cs="Arial"/>
                <w:szCs w:val="18"/>
              </w:rPr>
              <w:t>NF</w:t>
            </w:r>
          </w:p>
        </w:tc>
      </w:tr>
      <w:tr w:rsidR="00802B8C" w:rsidRPr="00997E1A" w14:paraId="7009D138" w14:textId="77777777" w:rsidTr="004E20F3">
        <w:tc>
          <w:tcPr>
            <w:tcW w:w="904" w:type="dxa"/>
            <w:tcBorders>
              <w:top w:val="nil"/>
              <w:bottom w:val="single" w:sz="8" w:space="0" w:color="00B050"/>
            </w:tcBorders>
            <w:shd w:val="clear" w:color="auto" w:fill="FFFFFF"/>
          </w:tcPr>
          <w:p w14:paraId="764025A9" w14:textId="1CAA5D50" w:rsidR="00802B8C" w:rsidRDefault="00802B8C" w:rsidP="00802B8C">
            <w:r>
              <w:t>Plot ID</w:t>
            </w:r>
          </w:p>
        </w:tc>
        <w:tc>
          <w:tcPr>
            <w:tcW w:w="914" w:type="dxa"/>
            <w:tcBorders>
              <w:top w:val="nil"/>
              <w:bottom w:val="single" w:sz="8" w:space="0" w:color="00B050"/>
            </w:tcBorders>
            <w:shd w:val="clear" w:color="auto" w:fill="FFFFFF"/>
          </w:tcPr>
          <w:p w14:paraId="15F1C234" w14:textId="4ECA8095" w:rsidR="00802B8C" w:rsidRDefault="00802B8C" w:rsidP="00802B8C">
            <w:pPr>
              <w:rPr>
                <w:rFonts w:cs="Arial"/>
                <w:szCs w:val="18"/>
              </w:rPr>
            </w:pPr>
            <w:r>
              <w:rPr>
                <w:rFonts w:cs="Arial"/>
                <w:szCs w:val="18"/>
              </w:rPr>
              <w:t>ΔA/ΔY</w:t>
            </w:r>
          </w:p>
        </w:tc>
        <w:tc>
          <w:tcPr>
            <w:tcW w:w="886" w:type="dxa"/>
            <w:tcBorders>
              <w:top w:val="nil"/>
              <w:bottom w:val="single" w:sz="8" w:space="0" w:color="00B050"/>
            </w:tcBorders>
            <w:shd w:val="clear" w:color="auto" w:fill="FFFFFF"/>
          </w:tcPr>
          <w:p w14:paraId="76B3F777" w14:textId="49B3A8A6" w:rsidR="00802B8C" w:rsidRDefault="00802B8C" w:rsidP="00802B8C">
            <w:pPr>
              <w:ind w:right="-1"/>
              <w:rPr>
                <w:rFonts w:cs="Arial"/>
                <w:szCs w:val="18"/>
              </w:rPr>
            </w:pPr>
            <w:r>
              <w:rPr>
                <w:rFonts w:cs="Arial"/>
                <w:szCs w:val="18"/>
              </w:rPr>
              <w:t>w</w:t>
            </w:r>
          </w:p>
        </w:tc>
        <w:tc>
          <w:tcPr>
            <w:tcW w:w="850" w:type="dxa"/>
            <w:tcBorders>
              <w:top w:val="nil"/>
              <w:bottom w:val="single" w:sz="8" w:space="0" w:color="00B050"/>
            </w:tcBorders>
            <w:shd w:val="clear" w:color="auto" w:fill="FFFFFF"/>
          </w:tcPr>
          <w:p w14:paraId="7129815F" w14:textId="0C59BDF4" w:rsidR="00802B8C" w:rsidRDefault="00802B8C" w:rsidP="00802B8C">
            <w:pPr>
              <w:ind w:right="-1"/>
              <w:rPr>
                <w:rFonts w:cs="Arial"/>
                <w:szCs w:val="18"/>
              </w:rPr>
            </w:pPr>
            <w:r>
              <w:rPr>
                <w:rFonts w:cs="Arial"/>
                <w:szCs w:val="18"/>
              </w:rPr>
              <w:t>Jb</w:t>
            </w:r>
          </w:p>
        </w:tc>
        <w:tc>
          <w:tcPr>
            <w:tcW w:w="724" w:type="dxa"/>
            <w:tcBorders>
              <w:top w:val="nil"/>
              <w:bottom w:val="single" w:sz="8" w:space="0" w:color="00B050"/>
            </w:tcBorders>
            <w:shd w:val="clear" w:color="auto" w:fill="FFFFFF"/>
          </w:tcPr>
          <w:p w14:paraId="37A682D2" w14:textId="3FD7230C" w:rsidR="00802B8C" w:rsidRDefault="00802B8C" w:rsidP="00802B8C">
            <w:pPr>
              <w:ind w:right="-1"/>
              <w:rPr>
                <w:rFonts w:cs="Arial"/>
                <w:szCs w:val="18"/>
              </w:rPr>
            </w:pPr>
            <w:r>
              <w:rPr>
                <w:rFonts w:cs="Arial"/>
                <w:szCs w:val="18"/>
              </w:rPr>
              <w:t xml:space="preserve">Plot ID     </w:t>
            </w:r>
          </w:p>
        </w:tc>
        <w:tc>
          <w:tcPr>
            <w:tcW w:w="724" w:type="dxa"/>
            <w:tcBorders>
              <w:top w:val="nil"/>
              <w:bottom w:val="single" w:sz="8" w:space="0" w:color="00B050"/>
            </w:tcBorders>
            <w:shd w:val="clear" w:color="auto" w:fill="FFFFFF"/>
          </w:tcPr>
          <w:p w14:paraId="09F580AB" w14:textId="3B6862F8" w:rsidR="00802B8C" w:rsidRDefault="00802B8C" w:rsidP="00802B8C">
            <w:pPr>
              <w:rPr>
                <w:rFonts w:cs="Arial"/>
                <w:szCs w:val="18"/>
              </w:rPr>
            </w:pPr>
            <w:r>
              <w:rPr>
                <w:rFonts w:cs="Arial"/>
                <w:szCs w:val="18"/>
              </w:rPr>
              <w:t>ΔA/ΔY</w:t>
            </w:r>
          </w:p>
        </w:tc>
        <w:tc>
          <w:tcPr>
            <w:tcW w:w="724" w:type="dxa"/>
            <w:tcBorders>
              <w:top w:val="nil"/>
              <w:bottom w:val="single" w:sz="8" w:space="0" w:color="00B050"/>
            </w:tcBorders>
            <w:shd w:val="clear" w:color="auto" w:fill="FFFFFF"/>
          </w:tcPr>
          <w:p w14:paraId="2A55D373" w14:textId="2EA9953E" w:rsidR="00802B8C" w:rsidRDefault="00802B8C" w:rsidP="00802B8C">
            <w:pPr>
              <w:ind w:right="-1"/>
              <w:rPr>
                <w:rFonts w:cs="Arial"/>
                <w:szCs w:val="18"/>
              </w:rPr>
            </w:pPr>
            <w:r>
              <w:rPr>
                <w:rFonts w:cs="Arial"/>
                <w:szCs w:val="18"/>
              </w:rPr>
              <w:t>w</w:t>
            </w:r>
          </w:p>
        </w:tc>
        <w:tc>
          <w:tcPr>
            <w:tcW w:w="724" w:type="dxa"/>
            <w:tcBorders>
              <w:top w:val="nil"/>
              <w:bottom w:val="single" w:sz="8" w:space="0" w:color="00B050"/>
            </w:tcBorders>
            <w:shd w:val="clear" w:color="auto" w:fill="FFFFFF"/>
          </w:tcPr>
          <w:p w14:paraId="399DA683" w14:textId="3ACF3A80" w:rsidR="00802B8C" w:rsidRDefault="00802B8C" w:rsidP="00802B8C">
            <w:pPr>
              <w:ind w:right="-1"/>
              <w:rPr>
                <w:rFonts w:cs="Arial"/>
                <w:szCs w:val="18"/>
              </w:rPr>
            </w:pPr>
            <w:r>
              <w:rPr>
                <w:rFonts w:cs="Arial"/>
                <w:szCs w:val="18"/>
              </w:rPr>
              <w:t>Jb</w:t>
            </w:r>
          </w:p>
        </w:tc>
      </w:tr>
      <w:tr w:rsidR="00802B8C" w:rsidRPr="00997E1A" w14:paraId="6165E098" w14:textId="77777777" w:rsidTr="00802B8C">
        <w:tc>
          <w:tcPr>
            <w:tcW w:w="904" w:type="dxa"/>
            <w:tcBorders>
              <w:top w:val="single" w:sz="8" w:space="0" w:color="00B050"/>
            </w:tcBorders>
            <w:shd w:val="clear" w:color="auto" w:fill="FFFFFF"/>
          </w:tcPr>
          <w:p w14:paraId="5B71847B" w14:textId="77777777" w:rsidR="00802B8C" w:rsidRPr="00997E1A" w:rsidRDefault="00802B8C" w:rsidP="00802B8C">
            <w:r>
              <w:t>7,46</w:t>
            </w:r>
          </w:p>
        </w:tc>
        <w:tc>
          <w:tcPr>
            <w:tcW w:w="914" w:type="dxa"/>
            <w:tcBorders>
              <w:top w:val="single" w:sz="8" w:space="0" w:color="00B050"/>
            </w:tcBorders>
            <w:shd w:val="clear" w:color="auto" w:fill="FFFFFF"/>
          </w:tcPr>
          <w:p w14:paraId="2CF44704" w14:textId="77777777" w:rsidR="00802B8C" w:rsidRPr="00997E1A" w:rsidRDefault="00802B8C" w:rsidP="00802B8C">
            <w:r>
              <w:t>0.78</w:t>
            </w:r>
          </w:p>
        </w:tc>
        <w:tc>
          <w:tcPr>
            <w:tcW w:w="886" w:type="dxa"/>
            <w:tcBorders>
              <w:top w:val="single" w:sz="8" w:space="0" w:color="00B050"/>
            </w:tcBorders>
            <w:shd w:val="clear" w:color="auto" w:fill="FFFFFF"/>
          </w:tcPr>
          <w:p w14:paraId="3255203F" w14:textId="77777777" w:rsidR="00802B8C" w:rsidRPr="00997E1A" w:rsidRDefault="00802B8C" w:rsidP="00802B8C">
            <w:pPr>
              <w:ind w:right="-1"/>
              <w:rPr>
                <w:rFonts w:cs="Arial"/>
                <w:szCs w:val="18"/>
              </w:rPr>
            </w:pPr>
            <w:r>
              <w:rPr>
                <w:rFonts w:cs="Arial"/>
                <w:szCs w:val="18"/>
              </w:rPr>
              <w:t>72.0</w:t>
            </w:r>
          </w:p>
        </w:tc>
        <w:tc>
          <w:tcPr>
            <w:tcW w:w="850" w:type="dxa"/>
            <w:tcBorders>
              <w:top w:val="single" w:sz="8" w:space="0" w:color="00B050"/>
            </w:tcBorders>
            <w:shd w:val="clear" w:color="auto" w:fill="FFFFFF"/>
          </w:tcPr>
          <w:p w14:paraId="06C2E8C8" w14:textId="77777777" w:rsidR="00802B8C" w:rsidRPr="00997E1A" w:rsidRDefault="00802B8C" w:rsidP="00802B8C">
            <w:pPr>
              <w:ind w:right="-1"/>
              <w:rPr>
                <w:rFonts w:cs="Arial"/>
                <w:szCs w:val="18"/>
              </w:rPr>
            </w:pPr>
            <w:r>
              <w:rPr>
                <w:rFonts w:cs="Arial"/>
                <w:szCs w:val="18"/>
              </w:rPr>
              <w:t>25.0</w:t>
            </w:r>
          </w:p>
        </w:tc>
        <w:tc>
          <w:tcPr>
            <w:tcW w:w="724" w:type="dxa"/>
            <w:tcBorders>
              <w:top w:val="single" w:sz="8" w:space="0" w:color="00B050"/>
            </w:tcBorders>
            <w:shd w:val="clear" w:color="auto" w:fill="FFFFFF"/>
          </w:tcPr>
          <w:p w14:paraId="1BC969C2" w14:textId="77777777" w:rsidR="00802B8C" w:rsidRPr="00997E1A" w:rsidRDefault="00802B8C" w:rsidP="00802B8C">
            <w:pPr>
              <w:ind w:right="-1"/>
              <w:rPr>
                <w:rFonts w:cs="Arial"/>
                <w:szCs w:val="18"/>
              </w:rPr>
            </w:pPr>
            <w:r>
              <w:rPr>
                <w:rFonts w:cs="Arial"/>
                <w:szCs w:val="18"/>
              </w:rPr>
              <w:t>7.2.1</w:t>
            </w:r>
          </w:p>
        </w:tc>
        <w:tc>
          <w:tcPr>
            <w:tcW w:w="724" w:type="dxa"/>
            <w:tcBorders>
              <w:top w:val="single" w:sz="8" w:space="0" w:color="00B050"/>
            </w:tcBorders>
            <w:shd w:val="clear" w:color="auto" w:fill="FFFFFF"/>
          </w:tcPr>
          <w:p w14:paraId="18EAFC0A" w14:textId="77777777" w:rsidR="00802B8C" w:rsidRPr="00997E1A" w:rsidRDefault="00802B8C" w:rsidP="00802B8C">
            <w:pPr>
              <w:ind w:right="-1"/>
              <w:rPr>
                <w:rFonts w:cs="Arial"/>
                <w:szCs w:val="18"/>
              </w:rPr>
            </w:pPr>
            <w:r>
              <w:rPr>
                <w:rFonts w:cs="Arial"/>
                <w:szCs w:val="18"/>
              </w:rPr>
              <w:t>0.27</w:t>
            </w:r>
          </w:p>
        </w:tc>
        <w:tc>
          <w:tcPr>
            <w:tcW w:w="724" w:type="dxa"/>
            <w:tcBorders>
              <w:top w:val="single" w:sz="8" w:space="0" w:color="00B050"/>
            </w:tcBorders>
            <w:shd w:val="clear" w:color="auto" w:fill="FFFFFF"/>
          </w:tcPr>
          <w:p w14:paraId="09D3C6D4" w14:textId="77777777" w:rsidR="00802B8C" w:rsidRPr="00997E1A" w:rsidRDefault="00802B8C" w:rsidP="00802B8C">
            <w:pPr>
              <w:ind w:right="-1"/>
              <w:rPr>
                <w:rFonts w:cs="Arial"/>
                <w:szCs w:val="18"/>
              </w:rPr>
            </w:pPr>
            <w:r>
              <w:rPr>
                <w:rFonts w:cs="Arial"/>
                <w:szCs w:val="18"/>
              </w:rPr>
              <w:t>15.3</w:t>
            </w:r>
          </w:p>
        </w:tc>
        <w:tc>
          <w:tcPr>
            <w:tcW w:w="724" w:type="dxa"/>
            <w:tcBorders>
              <w:top w:val="single" w:sz="8" w:space="0" w:color="00B050"/>
            </w:tcBorders>
            <w:shd w:val="clear" w:color="auto" w:fill="FFFFFF"/>
          </w:tcPr>
          <w:p w14:paraId="1C7F7987" w14:textId="77777777" w:rsidR="00802B8C" w:rsidRPr="00997E1A" w:rsidRDefault="00802B8C" w:rsidP="00802B8C">
            <w:pPr>
              <w:ind w:right="-1"/>
              <w:rPr>
                <w:rFonts w:cs="Arial"/>
                <w:szCs w:val="18"/>
              </w:rPr>
            </w:pPr>
            <w:r>
              <w:rPr>
                <w:rFonts w:cs="Arial"/>
                <w:szCs w:val="18"/>
              </w:rPr>
              <w:t>84.0</w:t>
            </w:r>
          </w:p>
        </w:tc>
      </w:tr>
      <w:tr w:rsidR="00802B8C" w:rsidRPr="00997E1A" w14:paraId="4F982133" w14:textId="77777777" w:rsidTr="00902455">
        <w:tc>
          <w:tcPr>
            <w:tcW w:w="904" w:type="dxa"/>
            <w:shd w:val="clear" w:color="auto" w:fill="FFFFFF"/>
          </w:tcPr>
          <w:p w14:paraId="144E3F91" w14:textId="77777777" w:rsidR="00802B8C" w:rsidRPr="00997E1A" w:rsidRDefault="00802B8C" w:rsidP="00802B8C">
            <w:r>
              <w:t>7.61.1</w:t>
            </w:r>
          </w:p>
        </w:tc>
        <w:tc>
          <w:tcPr>
            <w:tcW w:w="914" w:type="dxa"/>
            <w:shd w:val="clear" w:color="auto" w:fill="FFFFFF"/>
          </w:tcPr>
          <w:p w14:paraId="18E95D4B" w14:textId="77777777" w:rsidR="00802B8C" w:rsidRPr="00997E1A" w:rsidRDefault="00802B8C" w:rsidP="00802B8C">
            <w:r>
              <w:t>1.64</w:t>
            </w:r>
          </w:p>
        </w:tc>
        <w:tc>
          <w:tcPr>
            <w:tcW w:w="886" w:type="dxa"/>
            <w:shd w:val="clear" w:color="auto" w:fill="FFFFFF"/>
          </w:tcPr>
          <w:p w14:paraId="4BACC1E3" w14:textId="77777777" w:rsidR="00802B8C" w:rsidRPr="00997E1A" w:rsidRDefault="00802B8C" w:rsidP="00802B8C">
            <w:pPr>
              <w:ind w:right="-1"/>
              <w:rPr>
                <w:rFonts w:cs="Arial"/>
                <w:szCs w:val="18"/>
              </w:rPr>
            </w:pPr>
            <w:r>
              <w:rPr>
                <w:rFonts w:cs="Arial"/>
                <w:szCs w:val="18"/>
              </w:rPr>
              <w:t>5.2</w:t>
            </w:r>
          </w:p>
        </w:tc>
        <w:tc>
          <w:tcPr>
            <w:tcW w:w="850" w:type="dxa"/>
            <w:shd w:val="clear" w:color="auto" w:fill="FFFFFF"/>
          </w:tcPr>
          <w:p w14:paraId="3D9711C8" w14:textId="77777777" w:rsidR="00802B8C" w:rsidRPr="00997E1A" w:rsidRDefault="00802B8C" w:rsidP="00802B8C">
            <w:pPr>
              <w:ind w:right="-1"/>
              <w:rPr>
                <w:rFonts w:cs="Arial"/>
                <w:szCs w:val="18"/>
              </w:rPr>
            </w:pPr>
            <w:r>
              <w:rPr>
                <w:rFonts w:cs="Arial"/>
                <w:szCs w:val="18"/>
              </w:rPr>
              <w:t>8.2</w:t>
            </w:r>
          </w:p>
        </w:tc>
        <w:tc>
          <w:tcPr>
            <w:tcW w:w="724" w:type="dxa"/>
            <w:shd w:val="clear" w:color="auto" w:fill="FFFFFF"/>
          </w:tcPr>
          <w:p w14:paraId="689E8A50" w14:textId="77777777" w:rsidR="00802B8C" w:rsidRPr="00997E1A" w:rsidRDefault="00802B8C" w:rsidP="00802B8C">
            <w:pPr>
              <w:ind w:right="-1"/>
              <w:rPr>
                <w:rFonts w:cs="Arial"/>
                <w:szCs w:val="18"/>
              </w:rPr>
            </w:pPr>
            <w:r>
              <w:rPr>
                <w:rFonts w:cs="Arial"/>
                <w:szCs w:val="18"/>
              </w:rPr>
              <w:t>7.2.2</w:t>
            </w:r>
          </w:p>
        </w:tc>
        <w:tc>
          <w:tcPr>
            <w:tcW w:w="724" w:type="dxa"/>
            <w:shd w:val="clear" w:color="auto" w:fill="FFFFFF"/>
          </w:tcPr>
          <w:p w14:paraId="252D10F5" w14:textId="77777777" w:rsidR="00802B8C" w:rsidRPr="00997E1A" w:rsidRDefault="00802B8C" w:rsidP="00802B8C">
            <w:pPr>
              <w:ind w:right="-1"/>
              <w:rPr>
                <w:rFonts w:cs="Arial"/>
                <w:szCs w:val="18"/>
              </w:rPr>
            </w:pPr>
            <w:r>
              <w:rPr>
                <w:rFonts w:cs="Arial"/>
                <w:szCs w:val="18"/>
              </w:rPr>
              <w:t>0.40</w:t>
            </w:r>
          </w:p>
        </w:tc>
        <w:tc>
          <w:tcPr>
            <w:tcW w:w="724" w:type="dxa"/>
            <w:shd w:val="clear" w:color="auto" w:fill="FFFFFF"/>
          </w:tcPr>
          <w:p w14:paraId="4CF03E13" w14:textId="77777777" w:rsidR="00802B8C" w:rsidRPr="00997E1A" w:rsidRDefault="00802B8C" w:rsidP="00802B8C">
            <w:pPr>
              <w:ind w:right="-1"/>
              <w:rPr>
                <w:rFonts w:cs="Arial"/>
                <w:szCs w:val="18"/>
              </w:rPr>
            </w:pPr>
            <w:r>
              <w:rPr>
                <w:rFonts w:cs="Arial"/>
                <w:szCs w:val="18"/>
              </w:rPr>
              <w:t>14.3</w:t>
            </w:r>
          </w:p>
        </w:tc>
        <w:tc>
          <w:tcPr>
            <w:tcW w:w="724" w:type="dxa"/>
            <w:shd w:val="clear" w:color="auto" w:fill="FFFFFF"/>
          </w:tcPr>
          <w:p w14:paraId="378A4C26" w14:textId="77777777" w:rsidR="00802B8C" w:rsidRPr="00997E1A" w:rsidRDefault="00802B8C" w:rsidP="00802B8C">
            <w:pPr>
              <w:ind w:right="-1"/>
              <w:rPr>
                <w:rFonts w:cs="Arial"/>
                <w:szCs w:val="18"/>
              </w:rPr>
            </w:pPr>
            <w:r>
              <w:rPr>
                <w:rFonts w:cs="Arial"/>
                <w:szCs w:val="18"/>
              </w:rPr>
              <w:t>45.0</w:t>
            </w:r>
          </w:p>
        </w:tc>
      </w:tr>
      <w:tr w:rsidR="00802B8C" w:rsidRPr="00997E1A" w14:paraId="7B5FC57F" w14:textId="77777777" w:rsidTr="00902455">
        <w:tc>
          <w:tcPr>
            <w:tcW w:w="904" w:type="dxa"/>
            <w:shd w:val="clear" w:color="auto" w:fill="FFFFFF"/>
          </w:tcPr>
          <w:p w14:paraId="6B03EBD3" w14:textId="77777777" w:rsidR="00802B8C" w:rsidRPr="00997E1A" w:rsidRDefault="00802B8C" w:rsidP="00802B8C">
            <w:r>
              <w:t>7.61.2</w:t>
            </w:r>
          </w:p>
        </w:tc>
        <w:tc>
          <w:tcPr>
            <w:tcW w:w="914" w:type="dxa"/>
            <w:shd w:val="clear" w:color="auto" w:fill="FFFFFF"/>
          </w:tcPr>
          <w:p w14:paraId="107AF863" w14:textId="77777777" w:rsidR="00802B8C" w:rsidRPr="00997E1A" w:rsidRDefault="00802B8C" w:rsidP="00802B8C">
            <w:r>
              <w:t>1.48</w:t>
            </w:r>
          </w:p>
        </w:tc>
        <w:tc>
          <w:tcPr>
            <w:tcW w:w="886" w:type="dxa"/>
            <w:shd w:val="clear" w:color="auto" w:fill="FFFFFF"/>
          </w:tcPr>
          <w:p w14:paraId="5897B5D2" w14:textId="77777777" w:rsidR="00802B8C" w:rsidRPr="00997E1A" w:rsidRDefault="00802B8C" w:rsidP="00802B8C">
            <w:pPr>
              <w:ind w:right="-1"/>
              <w:rPr>
                <w:rFonts w:cs="Arial"/>
                <w:szCs w:val="18"/>
              </w:rPr>
            </w:pPr>
            <w:r>
              <w:rPr>
                <w:rFonts w:cs="Arial"/>
                <w:szCs w:val="18"/>
              </w:rPr>
              <w:t>5.2</w:t>
            </w:r>
          </w:p>
        </w:tc>
        <w:tc>
          <w:tcPr>
            <w:tcW w:w="850" w:type="dxa"/>
            <w:shd w:val="clear" w:color="auto" w:fill="FFFFFF"/>
          </w:tcPr>
          <w:p w14:paraId="4F271A8C" w14:textId="77777777" w:rsidR="00802B8C" w:rsidRPr="00997E1A" w:rsidRDefault="00802B8C" w:rsidP="00802B8C">
            <w:pPr>
              <w:ind w:right="-1"/>
              <w:rPr>
                <w:rFonts w:cs="Arial"/>
                <w:szCs w:val="18"/>
              </w:rPr>
            </w:pPr>
            <w:r>
              <w:rPr>
                <w:rFonts w:cs="Arial"/>
                <w:szCs w:val="18"/>
              </w:rPr>
              <w:t>10.0</w:t>
            </w:r>
          </w:p>
        </w:tc>
        <w:tc>
          <w:tcPr>
            <w:tcW w:w="724" w:type="dxa"/>
            <w:shd w:val="clear" w:color="auto" w:fill="FFFFFF"/>
          </w:tcPr>
          <w:p w14:paraId="647BE1F5" w14:textId="77777777" w:rsidR="00802B8C" w:rsidRPr="00997E1A" w:rsidRDefault="00802B8C" w:rsidP="00802B8C">
            <w:pPr>
              <w:ind w:right="-1"/>
              <w:rPr>
                <w:rFonts w:cs="Arial"/>
                <w:szCs w:val="18"/>
              </w:rPr>
            </w:pPr>
            <w:r>
              <w:rPr>
                <w:rFonts w:cs="Arial"/>
                <w:szCs w:val="18"/>
              </w:rPr>
              <w:t>7.5.1</w:t>
            </w:r>
          </w:p>
        </w:tc>
        <w:tc>
          <w:tcPr>
            <w:tcW w:w="724" w:type="dxa"/>
            <w:shd w:val="clear" w:color="auto" w:fill="FFFFFF"/>
          </w:tcPr>
          <w:p w14:paraId="7F986751" w14:textId="77777777" w:rsidR="00802B8C" w:rsidRPr="00997E1A" w:rsidRDefault="00802B8C" w:rsidP="00802B8C">
            <w:pPr>
              <w:ind w:right="-1"/>
              <w:rPr>
                <w:rFonts w:cs="Arial"/>
                <w:szCs w:val="18"/>
              </w:rPr>
            </w:pPr>
            <w:r>
              <w:rPr>
                <w:rFonts w:cs="Arial"/>
                <w:szCs w:val="18"/>
              </w:rPr>
              <w:t>0.33</w:t>
            </w:r>
          </w:p>
        </w:tc>
        <w:tc>
          <w:tcPr>
            <w:tcW w:w="724" w:type="dxa"/>
            <w:shd w:val="clear" w:color="auto" w:fill="FFFFFF"/>
          </w:tcPr>
          <w:p w14:paraId="14C07D2C" w14:textId="77777777" w:rsidR="00802B8C" w:rsidRPr="00997E1A" w:rsidRDefault="00802B8C" w:rsidP="00802B8C">
            <w:pPr>
              <w:ind w:right="-1"/>
              <w:rPr>
                <w:rFonts w:cs="Arial"/>
                <w:szCs w:val="18"/>
              </w:rPr>
            </w:pPr>
            <w:r>
              <w:rPr>
                <w:rFonts w:cs="Arial"/>
                <w:szCs w:val="18"/>
              </w:rPr>
              <w:t>9.8</w:t>
            </w:r>
          </w:p>
        </w:tc>
        <w:tc>
          <w:tcPr>
            <w:tcW w:w="724" w:type="dxa"/>
            <w:shd w:val="clear" w:color="auto" w:fill="FFFFFF"/>
          </w:tcPr>
          <w:p w14:paraId="378EC672" w14:textId="77777777" w:rsidR="00802B8C" w:rsidRPr="00997E1A" w:rsidRDefault="00802B8C" w:rsidP="00802B8C">
            <w:pPr>
              <w:ind w:right="-1"/>
              <w:rPr>
                <w:rFonts w:cs="Arial"/>
                <w:szCs w:val="18"/>
              </w:rPr>
            </w:pPr>
            <w:r>
              <w:rPr>
                <w:rFonts w:cs="Arial"/>
                <w:szCs w:val="18"/>
              </w:rPr>
              <w:t>35.6</w:t>
            </w:r>
          </w:p>
        </w:tc>
      </w:tr>
      <w:tr w:rsidR="00802B8C" w:rsidRPr="00997E1A" w14:paraId="54FF7C01" w14:textId="77777777" w:rsidTr="00902455">
        <w:tc>
          <w:tcPr>
            <w:tcW w:w="904" w:type="dxa"/>
            <w:shd w:val="clear" w:color="auto" w:fill="FFFFFF"/>
          </w:tcPr>
          <w:p w14:paraId="45C022A5" w14:textId="77777777" w:rsidR="00802B8C" w:rsidRPr="00997E1A" w:rsidRDefault="00802B8C" w:rsidP="00802B8C">
            <w:pPr>
              <w:ind w:right="-1"/>
              <w:rPr>
                <w:rFonts w:cs="Arial"/>
                <w:szCs w:val="18"/>
              </w:rPr>
            </w:pPr>
            <w:r>
              <w:rPr>
                <w:rFonts w:cs="Arial"/>
                <w:szCs w:val="18"/>
              </w:rPr>
              <w:t>7.82</w:t>
            </w:r>
          </w:p>
        </w:tc>
        <w:tc>
          <w:tcPr>
            <w:tcW w:w="914" w:type="dxa"/>
            <w:shd w:val="clear" w:color="auto" w:fill="FFFFFF"/>
          </w:tcPr>
          <w:p w14:paraId="76FDE576" w14:textId="77777777" w:rsidR="00802B8C" w:rsidRPr="00997E1A" w:rsidRDefault="00802B8C" w:rsidP="00802B8C">
            <w:pPr>
              <w:ind w:right="-1"/>
              <w:rPr>
                <w:rFonts w:cs="Arial"/>
                <w:szCs w:val="18"/>
              </w:rPr>
            </w:pPr>
            <w:r>
              <w:rPr>
                <w:rFonts w:cs="Arial"/>
                <w:szCs w:val="18"/>
              </w:rPr>
              <w:t>0.26</w:t>
            </w:r>
          </w:p>
        </w:tc>
        <w:tc>
          <w:tcPr>
            <w:tcW w:w="886" w:type="dxa"/>
            <w:shd w:val="clear" w:color="auto" w:fill="FFFFFF"/>
          </w:tcPr>
          <w:p w14:paraId="0558D1B0" w14:textId="77777777" w:rsidR="00802B8C" w:rsidRPr="00997E1A" w:rsidRDefault="00802B8C" w:rsidP="00802B8C">
            <w:pPr>
              <w:ind w:right="-1"/>
              <w:rPr>
                <w:rFonts w:cs="Arial"/>
                <w:szCs w:val="18"/>
              </w:rPr>
            </w:pPr>
            <w:r>
              <w:rPr>
                <w:rFonts w:cs="Arial"/>
                <w:szCs w:val="18"/>
              </w:rPr>
              <w:t>234.8</w:t>
            </w:r>
          </w:p>
        </w:tc>
        <w:tc>
          <w:tcPr>
            <w:tcW w:w="850" w:type="dxa"/>
            <w:shd w:val="clear" w:color="auto" w:fill="FFFFFF"/>
          </w:tcPr>
          <w:p w14:paraId="3B70FD1E" w14:textId="77777777" w:rsidR="00802B8C" w:rsidRPr="00997E1A" w:rsidRDefault="00802B8C" w:rsidP="00802B8C">
            <w:pPr>
              <w:ind w:right="-1"/>
              <w:rPr>
                <w:rFonts w:cs="Arial"/>
                <w:szCs w:val="18"/>
              </w:rPr>
            </w:pPr>
            <w:r>
              <w:rPr>
                <w:rFonts w:cs="Arial"/>
                <w:szCs w:val="18"/>
              </w:rPr>
              <w:t>84.6</w:t>
            </w:r>
          </w:p>
        </w:tc>
        <w:tc>
          <w:tcPr>
            <w:tcW w:w="724" w:type="dxa"/>
            <w:shd w:val="clear" w:color="auto" w:fill="FFFFFF"/>
          </w:tcPr>
          <w:p w14:paraId="5BD7EEE9" w14:textId="77777777" w:rsidR="00802B8C" w:rsidRPr="00997E1A" w:rsidRDefault="00802B8C" w:rsidP="00802B8C">
            <w:pPr>
              <w:ind w:right="-1"/>
              <w:rPr>
                <w:rFonts w:cs="Arial"/>
                <w:szCs w:val="18"/>
              </w:rPr>
            </w:pPr>
            <w:r>
              <w:rPr>
                <w:rFonts w:cs="Arial"/>
                <w:szCs w:val="18"/>
              </w:rPr>
              <w:t>7.61.1</w:t>
            </w:r>
          </w:p>
        </w:tc>
        <w:tc>
          <w:tcPr>
            <w:tcW w:w="724" w:type="dxa"/>
            <w:shd w:val="clear" w:color="auto" w:fill="FFFFFF"/>
          </w:tcPr>
          <w:p w14:paraId="05F544D4" w14:textId="77777777" w:rsidR="00802B8C" w:rsidRPr="00997E1A" w:rsidRDefault="00802B8C" w:rsidP="00802B8C">
            <w:pPr>
              <w:ind w:right="-1"/>
              <w:rPr>
                <w:rFonts w:cs="Arial"/>
                <w:szCs w:val="18"/>
              </w:rPr>
            </w:pPr>
            <w:r>
              <w:rPr>
                <w:rFonts w:cs="Arial"/>
                <w:szCs w:val="18"/>
              </w:rPr>
              <w:t>1.42</w:t>
            </w:r>
          </w:p>
        </w:tc>
        <w:tc>
          <w:tcPr>
            <w:tcW w:w="724" w:type="dxa"/>
            <w:shd w:val="clear" w:color="auto" w:fill="FFFFFF"/>
          </w:tcPr>
          <w:p w14:paraId="2D5E26E0" w14:textId="77777777" w:rsidR="00802B8C" w:rsidRPr="00997E1A" w:rsidRDefault="00802B8C" w:rsidP="00802B8C">
            <w:pPr>
              <w:ind w:right="-1"/>
              <w:rPr>
                <w:rFonts w:cs="Arial"/>
                <w:szCs w:val="18"/>
              </w:rPr>
            </w:pPr>
            <w:r>
              <w:rPr>
                <w:rFonts w:cs="Arial"/>
                <w:szCs w:val="18"/>
              </w:rPr>
              <w:t>2.5</w:t>
            </w:r>
          </w:p>
        </w:tc>
        <w:tc>
          <w:tcPr>
            <w:tcW w:w="724" w:type="dxa"/>
            <w:shd w:val="clear" w:color="auto" w:fill="FFFFFF"/>
          </w:tcPr>
          <w:p w14:paraId="10061926" w14:textId="77777777" w:rsidR="00802B8C" w:rsidRPr="00997E1A" w:rsidRDefault="00802B8C" w:rsidP="00802B8C">
            <w:pPr>
              <w:ind w:right="-1"/>
              <w:rPr>
                <w:rFonts w:cs="Arial"/>
                <w:szCs w:val="18"/>
              </w:rPr>
            </w:pPr>
            <w:r>
              <w:rPr>
                <w:rFonts w:cs="Arial"/>
                <w:szCs w:val="18"/>
              </w:rPr>
              <w:t>11.8</w:t>
            </w:r>
          </w:p>
        </w:tc>
      </w:tr>
      <w:tr w:rsidR="00802B8C" w:rsidRPr="00997E1A" w14:paraId="133F627E" w14:textId="77777777" w:rsidTr="00802B8C">
        <w:tc>
          <w:tcPr>
            <w:tcW w:w="904" w:type="dxa"/>
            <w:tcBorders>
              <w:bottom w:val="single" w:sz="8" w:space="0" w:color="00B050"/>
            </w:tcBorders>
            <w:shd w:val="clear" w:color="auto" w:fill="FFFFFF"/>
          </w:tcPr>
          <w:p w14:paraId="3BBE3AE4" w14:textId="77777777" w:rsidR="00802B8C" w:rsidRDefault="00802B8C" w:rsidP="00802B8C">
            <w:pPr>
              <w:ind w:right="-1"/>
              <w:rPr>
                <w:rFonts w:cs="Arial"/>
                <w:szCs w:val="18"/>
              </w:rPr>
            </w:pPr>
          </w:p>
        </w:tc>
        <w:tc>
          <w:tcPr>
            <w:tcW w:w="914" w:type="dxa"/>
            <w:tcBorders>
              <w:bottom w:val="single" w:sz="8" w:space="0" w:color="00B050"/>
            </w:tcBorders>
            <w:shd w:val="clear" w:color="auto" w:fill="FFFFFF"/>
          </w:tcPr>
          <w:p w14:paraId="0BE613AC" w14:textId="77777777" w:rsidR="00802B8C" w:rsidRDefault="00802B8C" w:rsidP="00802B8C">
            <w:pPr>
              <w:ind w:right="-1"/>
              <w:rPr>
                <w:rFonts w:cs="Arial"/>
                <w:szCs w:val="18"/>
              </w:rPr>
            </w:pPr>
          </w:p>
        </w:tc>
        <w:tc>
          <w:tcPr>
            <w:tcW w:w="886" w:type="dxa"/>
            <w:tcBorders>
              <w:bottom w:val="single" w:sz="8" w:space="0" w:color="00B050"/>
            </w:tcBorders>
            <w:shd w:val="clear" w:color="auto" w:fill="FFFFFF"/>
          </w:tcPr>
          <w:p w14:paraId="148D74F8" w14:textId="77777777" w:rsidR="00802B8C" w:rsidRDefault="00802B8C" w:rsidP="00802B8C">
            <w:pPr>
              <w:ind w:right="-1"/>
              <w:rPr>
                <w:rFonts w:cs="Arial"/>
                <w:szCs w:val="18"/>
              </w:rPr>
            </w:pPr>
          </w:p>
        </w:tc>
        <w:tc>
          <w:tcPr>
            <w:tcW w:w="850" w:type="dxa"/>
            <w:tcBorders>
              <w:bottom w:val="single" w:sz="8" w:space="0" w:color="00B050"/>
            </w:tcBorders>
            <w:shd w:val="clear" w:color="auto" w:fill="FFFFFF"/>
          </w:tcPr>
          <w:p w14:paraId="11CD0C83" w14:textId="77777777" w:rsidR="00802B8C" w:rsidRDefault="00802B8C" w:rsidP="00802B8C">
            <w:pPr>
              <w:ind w:right="-1"/>
              <w:rPr>
                <w:rFonts w:cs="Arial"/>
                <w:szCs w:val="18"/>
              </w:rPr>
            </w:pPr>
          </w:p>
        </w:tc>
        <w:tc>
          <w:tcPr>
            <w:tcW w:w="724" w:type="dxa"/>
            <w:tcBorders>
              <w:bottom w:val="single" w:sz="8" w:space="0" w:color="00B050"/>
            </w:tcBorders>
            <w:shd w:val="clear" w:color="auto" w:fill="FFFFFF"/>
          </w:tcPr>
          <w:p w14:paraId="1409F68C" w14:textId="77777777" w:rsidR="00802B8C" w:rsidRDefault="00802B8C" w:rsidP="00802B8C">
            <w:pPr>
              <w:ind w:right="-1"/>
              <w:rPr>
                <w:rFonts w:cs="Arial"/>
                <w:szCs w:val="18"/>
              </w:rPr>
            </w:pPr>
            <w:r>
              <w:rPr>
                <w:rFonts w:cs="Arial"/>
                <w:szCs w:val="18"/>
              </w:rPr>
              <w:t>7.61.2</w:t>
            </w:r>
          </w:p>
        </w:tc>
        <w:tc>
          <w:tcPr>
            <w:tcW w:w="724" w:type="dxa"/>
            <w:tcBorders>
              <w:bottom w:val="single" w:sz="8" w:space="0" w:color="00B050"/>
            </w:tcBorders>
            <w:shd w:val="clear" w:color="auto" w:fill="FFFFFF"/>
          </w:tcPr>
          <w:p w14:paraId="5D44110E" w14:textId="77777777" w:rsidR="00802B8C" w:rsidRDefault="00802B8C" w:rsidP="00802B8C">
            <w:pPr>
              <w:ind w:right="-1"/>
              <w:rPr>
                <w:rFonts w:cs="Arial"/>
                <w:szCs w:val="18"/>
              </w:rPr>
            </w:pPr>
            <w:r>
              <w:rPr>
                <w:rFonts w:cs="Arial"/>
                <w:szCs w:val="18"/>
              </w:rPr>
              <w:t>1.14</w:t>
            </w:r>
          </w:p>
        </w:tc>
        <w:tc>
          <w:tcPr>
            <w:tcW w:w="724" w:type="dxa"/>
            <w:tcBorders>
              <w:bottom w:val="single" w:sz="8" w:space="0" w:color="00B050"/>
            </w:tcBorders>
            <w:shd w:val="clear" w:color="auto" w:fill="FFFFFF"/>
          </w:tcPr>
          <w:p w14:paraId="174F3FC6" w14:textId="77777777" w:rsidR="00802B8C" w:rsidRDefault="00802B8C" w:rsidP="00802B8C">
            <w:pPr>
              <w:ind w:right="-1"/>
              <w:rPr>
                <w:rFonts w:cs="Arial"/>
                <w:szCs w:val="18"/>
              </w:rPr>
            </w:pPr>
            <w:r>
              <w:rPr>
                <w:rFonts w:cs="Arial"/>
                <w:szCs w:val="18"/>
              </w:rPr>
              <w:t>2.5</w:t>
            </w:r>
          </w:p>
        </w:tc>
        <w:tc>
          <w:tcPr>
            <w:tcW w:w="724" w:type="dxa"/>
            <w:tcBorders>
              <w:bottom w:val="single" w:sz="8" w:space="0" w:color="00B050"/>
            </w:tcBorders>
            <w:shd w:val="clear" w:color="auto" w:fill="FFFFFF"/>
          </w:tcPr>
          <w:p w14:paraId="564E41CE" w14:textId="77777777" w:rsidR="00802B8C" w:rsidRDefault="00802B8C" w:rsidP="00802B8C">
            <w:pPr>
              <w:ind w:right="-1"/>
              <w:rPr>
                <w:rFonts w:cs="Arial"/>
                <w:szCs w:val="18"/>
              </w:rPr>
            </w:pPr>
            <w:r>
              <w:rPr>
                <w:rFonts w:cs="Arial"/>
                <w:szCs w:val="18"/>
              </w:rPr>
              <w:t>14.3</w:t>
            </w:r>
          </w:p>
        </w:tc>
      </w:tr>
      <w:bookmarkEnd w:id="2"/>
    </w:tbl>
    <w:p w14:paraId="01B22969" w14:textId="6FE299CD" w:rsidR="00940696" w:rsidRDefault="00940696" w:rsidP="00940696">
      <w:pPr>
        <w:pStyle w:val="Paragrafoelenco"/>
        <w:ind w:left="0"/>
        <w:rPr>
          <w:rFonts w:cs="Arial"/>
          <w:szCs w:val="18"/>
        </w:rPr>
      </w:pPr>
    </w:p>
    <w:p w14:paraId="2AEB4603" w14:textId="77777777" w:rsidR="00690D87" w:rsidRDefault="00690D87" w:rsidP="00940696">
      <w:pPr>
        <w:pStyle w:val="Paragrafoelenco"/>
        <w:ind w:left="0"/>
        <w:rPr>
          <w:rFonts w:cs="Arial"/>
          <w:szCs w:val="18"/>
        </w:rPr>
      </w:pPr>
      <w:r>
        <w:rPr>
          <w:noProof/>
          <w:lang w:val="it-IT" w:eastAsia="it-IT"/>
        </w:rPr>
        <w:drawing>
          <wp:inline distT="0" distB="0" distL="0" distR="0" wp14:anchorId="23DF7C62" wp14:editId="4FB374B2">
            <wp:extent cx="2647896" cy="1980000"/>
            <wp:effectExtent l="0" t="0" r="635" b="127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47896" cy="1980000"/>
                    </a:xfrm>
                    <a:prstGeom prst="rect">
                      <a:avLst/>
                    </a:prstGeom>
                  </pic:spPr>
                </pic:pic>
              </a:graphicData>
            </a:graphic>
          </wp:inline>
        </w:drawing>
      </w:r>
      <w:r>
        <w:rPr>
          <w:noProof/>
          <w:lang w:val="it-IT" w:eastAsia="it-IT"/>
        </w:rPr>
        <w:drawing>
          <wp:inline distT="0" distB="0" distL="0" distR="0" wp14:anchorId="3290BA3D" wp14:editId="75458D60">
            <wp:extent cx="2641573" cy="1980000"/>
            <wp:effectExtent l="0" t="0" r="6985" b="127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41573" cy="1980000"/>
                    </a:xfrm>
                    <a:prstGeom prst="rect">
                      <a:avLst/>
                    </a:prstGeom>
                  </pic:spPr>
                </pic:pic>
              </a:graphicData>
            </a:graphic>
          </wp:inline>
        </w:drawing>
      </w:r>
    </w:p>
    <w:p w14:paraId="1EE9A2A8" w14:textId="77777777" w:rsidR="00690D87" w:rsidRDefault="00690D87" w:rsidP="00690D87">
      <w:pPr>
        <w:keepNext/>
        <w:keepLines/>
        <w:tabs>
          <w:tab w:val="clear" w:pos="7100"/>
        </w:tabs>
        <w:spacing w:line="240" w:lineRule="auto"/>
        <w:jc w:val="center"/>
        <w:outlineLvl w:val="1"/>
        <w:rPr>
          <w:rFonts w:cs="Arial"/>
          <w:szCs w:val="18"/>
        </w:rPr>
      </w:pPr>
    </w:p>
    <w:p w14:paraId="0411CF0B" w14:textId="77777777" w:rsidR="00690D87" w:rsidRDefault="00690D87" w:rsidP="00690D87">
      <w:pPr>
        <w:keepNext/>
        <w:keepLines/>
        <w:tabs>
          <w:tab w:val="clear" w:pos="7100"/>
        </w:tabs>
        <w:spacing w:line="240" w:lineRule="auto"/>
        <w:outlineLvl w:val="1"/>
        <w:rPr>
          <w:rFonts w:cs="Arial"/>
          <w:i/>
          <w:szCs w:val="18"/>
        </w:rPr>
      </w:pPr>
      <w:r w:rsidRPr="003F3A31">
        <w:rPr>
          <w:rFonts w:cs="Arial"/>
          <w:i/>
          <w:szCs w:val="18"/>
        </w:rPr>
        <w:t>Figure 2: Selected plots from Fig.1, UF (left) and NF (right), respectively</w:t>
      </w:r>
    </w:p>
    <w:p w14:paraId="3A407B77" w14:textId="77777777" w:rsidR="00690D87" w:rsidRPr="003F3A31" w:rsidRDefault="00690D87" w:rsidP="00770372">
      <w:pPr>
        <w:keepNext/>
        <w:keepLines/>
        <w:tabs>
          <w:tab w:val="clear" w:pos="7100"/>
        </w:tabs>
        <w:spacing w:line="240" w:lineRule="auto"/>
        <w:outlineLvl w:val="1"/>
        <w:rPr>
          <w:rFonts w:cs="Arial"/>
          <w:i/>
          <w:szCs w:val="18"/>
        </w:rPr>
      </w:pPr>
      <w:bookmarkStart w:id="3" w:name="_Hlk526355216"/>
    </w:p>
    <w:p w14:paraId="350EA054" w14:textId="77777777" w:rsidR="00802B8C" w:rsidRPr="00977F89" w:rsidRDefault="00802B8C" w:rsidP="00802B8C">
      <w:pPr>
        <w:pStyle w:val="Testo"/>
        <w:rPr>
          <w:lang w:val="en-US"/>
        </w:rPr>
      </w:pPr>
      <w:bookmarkStart w:id="4" w:name="_Hlk528772694"/>
      <w:r w:rsidRPr="00977F89">
        <w:rPr>
          <w:lang w:val="en-US"/>
        </w:rPr>
        <w:t xml:space="preserve">From Table 1 it is possible to observe that for both membrane classes there is a relationship between </w:t>
      </w:r>
      <w:r w:rsidRPr="0031398E">
        <w:t>Δ</w:t>
      </w:r>
      <w:r w:rsidRPr="00977F89">
        <w:rPr>
          <w:lang w:val="en-US"/>
        </w:rPr>
        <w:t>A/</w:t>
      </w:r>
      <w:r w:rsidRPr="0031398E">
        <w:t>Δ</w:t>
      </w:r>
      <w:r w:rsidRPr="00977F89">
        <w:rPr>
          <w:lang w:val="en-US"/>
        </w:rPr>
        <w:t xml:space="preserve">Y and w, whereas none can be observed towards Jb. The same property was confirmed for MF, too. </w:t>
      </w:r>
    </w:p>
    <w:bookmarkEnd w:id="4"/>
    <w:p w14:paraId="31885DAA" w14:textId="0C7FE403" w:rsidR="00977F89" w:rsidRDefault="0031398E" w:rsidP="0031398E">
      <w:pPr>
        <w:keepNext/>
        <w:keepLines/>
        <w:tabs>
          <w:tab w:val="clear" w:pos="7100"/>
        </w:tabs>
        <w:spacing w:line="240" w:lineRule="auto"/>
        <w:outlineLvl w:val="1"/>
        <w:rPr>
          <w:rFonts w:cs="Arial"/>
          <w:szCs w:val="18"/>
        </w:rPr>
      </w:pPr>
      <w:r>
        <w:rPr>
          <w:rFonts w:cs="Arial"/>
          <w:szCs w:val="18"/>
        </w:rPr>
        <w:t xml:space="preserve">Concerning the </w:t>
      </w:r>
      <w:r w:rsidR="00D2486A">
        <w:rPr>
          <w:rFonts w:cs="Arial"/>
          <w:szCs w:val="18"/>
        </w:rPr>
        <w:t xml:space="preserve">second </w:t>
      </w:r>
      <w:r>
        <w:rPr>
          <w:rFonts w:cs="Arial"/>
          <w:szCs w:val="18"/>
        </w:rPr>
        <w:t>part,</w:t>
      </w:r>
      <w:r w:rsidR="00D87D63">
        <w:rPr>
          <w:rFonts w:cs="Arial"/>
          <w:szCs w:val="18"/>
        </w:rPr>
        <w:t xml:space="preserve"> ranging from Y75% to Y90%,</w:t>
      </w:r>
      <w:r>
        <w:rPr>
          <w:rFonts w:cs="Arial"/>
          <w:szCs w:val="18"/>
        </w:rPr>
        <w:t xml:space="preserve"> </w:t>
      </w:r>
      <w:r w:rsidR="00B37787">
        <w:rPr>
          <w:rFonts w:cs="Arial"/>
          <w:szCs w:val="18"/>
        </w:rPr>
        <w:t>to highlight the dependency,</w:t>
      </w:r>
      <w:r>
        <w:rPr>
          <w:rFonts w:cs="Arial"/>
          <w:szCs w:val="18"/>
        </w:rPr>
        <w:t xml:space="preserve"> selected plots from </w:t>
      </w:r>
      <w:r w:rsidR="00B37787">
        <w:rPr>
          <w:rFonts w:cs="Arial"/>
          <w:szCs w:val="18"/>
        </w:rPr>
        <w:t xml:space="preserve">UF </w:t>
      </w:r>
      <w:r>
        <w:rPr>
          <w:rFonts w:cs="Arial"/>
          <w:szCs w:val="18"/>
        </w:rPr>
        <w:t xml:space="preserve">and NF were reported in </w:t>
      </w:r>
      <w:r w:rsidR="00D2486A">
        <w:rPr>
          <w:rFonts w:cs="Arial"/>
          <w:szCs w:val="18"/>
        </w:rPr>
        <w:t>F</w:t>
      </w:r>
      <w:r>
        <w:rPr>
          <w:rFonts w:cs="Arial"/>
          <w:szCs w:val="18"/>
        </w:rPr>
        <w:t>ig</w:t>
      </w:r>
      <w:r w:rsidR="00D87D63">
        <w:rPr>
          <w:rFonts w:cs="Arial"/>
          <w:szCs w:val="18"/>
        </w:rPr>
        <w:t xml:space="preserve">ure </w:t>
      </w:r>
      <w:r w:rsidR="00D2486A">
        <w:rPr>
          <w:rFonts w:cs="Arial"/>
          <w:szCs w:val="18"/>
        </w:rPr>
        <w:t>3</w:t>
      </w:r>
      <w:r>
        <w:rPr>
          <w:rFonts w:cs="Arial"/>
          <w:szCs w:val="18"/>
        </w:rPr>
        <w:t xml:space="preserve"> and the relevant data in </w:t>
      </w:r>
      <w:r w:rsidR="00D2486A">
        <w:rPr>
          <w:rFonts w:cs="Arial"/>
          <w:szCs w:val="18"/>
        </w:rPr>
        <w:t>T</w:t>
      </w:r>
      <w:r>
        <w:rPr>
          <w:rFonts w:cs="Arial"/>
          <w:szCs w:val="18"/>
        </w:rPr>
        <w:t>able</w:t>
      </w:r>
      <w:r w:rsidR="00D2486A">
        <w:rPr>
          <w:rFonts w:cs="Arial"/>
          <w:szCs w:val="18"/>
        </w:rPr>
        <w:t xml:space="preserve"> 2</w:t>
      </w:r>
      <w:r>
        <w:rPr>
          <w:rFonts w:cs="Arial"/>
          <w:szCs w:val="18"/>
        </w:rPr>
        <w:t>.</w:t>
      </w:r>
    </w:p>
    <w:p w14:paraId="1B66D367" w14:textId="77777777" w:rsidR="00977F89" w:rsidRDefault="00977F89">
      <w:pPr>
        <w:tabs>
          <w:tab w:val="clear" w:pos="7100"/>
        </w:tabs>
        <w:spacing w:after="200" w:line="276" w:lineRule="auto"/>
        <w:jc w:val="left"/>
        <w:rPr>
          <w:rFonts w:cs="Arial"/>
          <w:szCs w:val="18"/>
        </w:rPr>
      </w:pPr>
      <w:r>
        <w:rPr>
          <w:rFonts w:cs="Arial"/>
          <w:szCs w:val="18"/>
        </w:rPr>
        <w:br w:type="page"/>
      </w:r>
    </w:p>
    <w:p w14:paraId="6A8CB3B8" w14:textId="5164955C" w:rsidR="00D87D63" w:rsidRPr="00312FE0" w:rsidRDefault="00D87D63" w:rsidP="00D87D63">
      <w:pPr>
        <w:keepNext/>
        <w:keepLines/>
        <w:tabs>
          <w:tab w:val="clear" w:pos="7100"/>
        </w:tabs>
        <w:spacing w:line="240" w:lineRule="auto"/>
        <w:outlineLvl w:val="1"/>
        <w:rPr>
          <w:rFonts w:cs="Arial"/>
          <w:i/>
          <w:szCs w:val="18"/>
        </w:rPr>
      </w:pPr>
      <w:r w:rsidRPr="00312FE0">
        <w:rPr>
          <w:rFonts w:cs="Arial"/>
          <w:i/>
          <w:szCs w:val="18"/>
        </w:rPr>
        <w:lastRenderedPageBreak/>
        <w:t>Table 2: Relevant data of the selected plots in Fig</w:t>
      </w:r>
      <w:r>
        <w:rPr>
          <w:rFonts w:cs="Arial"/>
          <w:i/>
          <w:szCs w:val="18"/>
        </w:rPr>
        <w:t xml:space="preserve">ure </w:t>
      </w:r>
      <w:r w:rsidRPr="00312FE0">
        <w:rPr>
          <w:rFonts w:cs="Arial"/>
          <w:i/>
          <w:szCs w:val="18"/>
        </w:rPr>
        <w:t>3</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04"/>
        <w:gridCol w:w="914"/>
        <w:gridCol w:w="886"/>
        <w:gridCol w:w="850"/>
        <w:gridCol w:w="724"/>
        <w:gridCol w:w="724"/>
        <w:gridCol w:w="724"/>
        <w:gridCol w:w="724"/>
      </w:tblGrid>
      <w:tr w:rsidR="00802B8C" w:rsidRPr="00997E1A" w14:paraId="29BEAB1F" w14:textId="77777777" w:rsidTr="00802B8C">
        <w:tc>
          <w:tcPr>
            <w:tcW w:w="3554" w:type="dxa"/>
            <w:gridSpan w:val="4"/>
            <w:tcBorders>
              <w:top w:val="single" w:sz="8" w:space="0" w:color="00B050"/>
              <w:bottom w:val="nil"/>
            </w:tcBorders>
            <w:shd w:val="clear" w:color="auto" w:fill="FFFFFF"/>
          </w:tcPr>
          <w:p w14:paraId="7C1773D6" w14:textId="1A3F35C0" w:rsidR="00802B8C" w:rsidRPr="00997E1A" w:rsidRDefault="00802B8C" w:rsidP="00802B8C">
            <w:pPr>
              <w:ind w:right="-1"/>
              <w:jc w:val="center"/>
              <w:rPr>
                <w:rFonts w:cs="Arial"/>
                <w:szCs w:val="18"/>
              </w:rPr>
            </w:pPr>
            <w:r>
              <w:t>UF</w:t>
            </w:r>
          </w:p>
        </w:tc>
        <w:tc>
          <w:tcPr>
            <w:tcW w:w="2896" w:type="dxa"/>
            <w:gridSpan w:val="4"/>
            <w:tcBorders>
              <w:top w:val="single" w:sz="8" w:space="0" w:color="00B050"/>
              <w:bottom w:val="nil"/>
            </w:tcBorders>
            <w:shd w:val="clear" w:color="auto" w:fill="FFFFFF"/>
          </w:tcPr>
          <w:p w14:paraId="7EA56272" w14:textId="05A483B7" w:rsidR="00802B8C" w:rsidRPr="00997E1A" w:rsidRDefault="00802B8C" w:rsidP="00802B8C">
            <w:pPr>
              <w:ind w:right="-1"/>
              <w:jc w:val="center"/>
              <w:rPr>
                <w:rFonts w:cs="Arial"/>
                <w:szCs w:val="18"/>
              </w:rPr>
            </w:pPr>
            <w:r>
              <w:rPr>
                <w:rFonts w:cs="Arial"/>
                <w:szCs w:val="18"/>
              </w:rPr>
              <w:t>NF</w:t>
            </w:r>
          </w:p>
        </w:tc>
      </w:tr>
      <w:tr w:rsidR="00802B8C" w:rsidRPr="00997E1A" w14:paraId="29AC3005" w14:textId="77777777" w:rsidTr="00802B8C">
        <w:tc>
          <w:tcPr>
            <w:tcW w:w="904" w:type="dxa"/>
            <w:tcBorders>
              <w:top w:val="nil"/>
              <w:bottom w:val="single" w:sz="8" w:space="0" w:color="00B050"/>
            </w:tcBorders>
            <w:shd w:val="clear" w:color="auto" w:fill="FFFFFF"/>
          </w:tcPr>
          <w:p w14:paraId="00D3951E" w14:textId="1A5CA005" w:rsidR="00802B8C" w:rsidRDefault="00802B8C" w:rsidP="00802B8C">
            <w:r>
              <w:t>Plot ID</w:t>
            </w:r>
          </w:p>
        </w:tc>
        <w:tc>
          <w:tcPr>
            <w:tcW w:w="914" w:type="dxa"/>
            <w:tcBorders>
              <w:top w:val="nil"/>
              <w:bottom w:val="single" w:sz="8" w:space="0" w:color="00B050"/>
            </w:tcBorders>
            <w:shd w:val="clear" w:color="auto" w:fill="FFFFFF"/>
          </w:tcPr>
          <w:p w14:paraId="500C449D" w14:textId="6E739A7C" w:rsidR="00802B8C" w:rsidRDefault="00802B8C" w:rsidP="00802B8C">
            <w:pPr>
              <w:rPr>
                <w:rFonts w:cs="Arial"/>
                <w:szCs w:val="18"/>
              </w:rPr>
            </w:pPr>
            <w:r>
              <w:rPr>
                <w:rFonts w:cs="Arial"/>
                <w:szCs w:val="18"/>
              </w:rPr>
              <w:t>ΔA/ΔY</w:t>
            </w:r>
          </w:p>
        </w:tc>
        <w:tc>
          <w:tcPr>
            <w:tcW w:w="886" w:type="dxa"/>
            <w:tcBorders>
              <w:top w:val="nil"/>
              <w:bottom w:val="single" w:sz="8" w:space="0" w:color="00B050"/>
            </w:tcBorders>
            <w:shd w:val="clear" w:color="auto" w:fill="FFFFFF"/>
          </w:tcPr>
          <w:p w14:paraId="01B11508" w14:textId="63FA6980" w:rsidR="00802B8C" w:rsidRDefault="00802B8C" w:rsidP="00802B8C">
            <w:pPr>
              <w:ind w:right="-1"/>
              <w:rPr>
                <w:rFonts w:cs="Arial"/>
                <w:szCs w:val="18"/>
              </w:rPr>
            </w:pPr>
            <w:r>
              <w:rPr>
                <w:rFonts w:cs="Arial"/>
                <w:szCs w:val="18"/>
              </w:rPr>
              <w:t>w</w:t>
            </w:r>
          </w:p>
        </w:tc>
        <w:tc>
          <w:tcPr>
            <w:tcW w:w="850" w:type="dxa"/>
            <w:tcBorders>
              <w:top w:val="nil"/>
              <w:bottom w:val="single" w:sz="8" w:space="0" w:color="00B050"/>
            </w:tcBorders>
            <w:shd w:val="clear" w:color="auto" w:fill="FFFFFF"/>
          </w:tcPr>
          <w:p w14:paraId="01807242" w14:textId="18AE476B" w:rsidR="00802B8C" w:rsidRDefault="00802B8C" w:rsidP="00802B8C">
            <w:pPr>
              <w:ind w:right="-1"/>
              <w:rPr>
                <w:rFonts w:cs="Arial"/>
                <w:szCs w:val="18"/>
              </w:rPr>
            </w:pPr>
            <w:r>
              <w:rPr>
                <w:rFonts w:cs="Arial"/>
                <w:szCs w:val="18"/>
              </w:rPr>
              <w:t>Jb</w:t>
            </w:r>
          </w:p>
        </w:tc>
        <w:tc>
          <w:tcPr>
            <w:tcW w:w="724" w:type="dxa"/>
            <w:tcBorders>
              <w:top w:val="nil"/>
              <w:bottom w:val="single" w:sz="8" w:space="0" w:color="00B050"/>
            </w:tcBorders>
            <w:shd w:val="clear" w:color="auto" w:fill="FFFFFF"/>
          </w:tcPr>
          <w:p w14:paraId="5A3FA4A6" w14:textId="3CB05322" w:rsidR="00802B8C" w:rsidRDefault="00802B8C" w:rsidP="00802B8C">
            <w:pPr>
              <w:ind w:right="-1"/>
              <w:rPr>
                <w:rFonts w:cs="Arial"/>
                <w:szCs w:val="18"/>
              </w:rPr>
            </w:pPr>
            <w:r>
              <w:rPr>
                <w:rFonts w:cs="Arial"/>
                <w:szCs w:val="18"/>
              </w:rPr>
              <w:t xml:space="preserve">Plot ID     </w:t>
            </w:r>
          </w:p>
        </w:tc>
        <w:tc>
          <w:tcPr>
            <w:tcW w:w="724" w:type="dxa"/>
            <w:tcBorders>
              <w:top w:val="nil"/>
              <w:bottom w:val="single" w:sz="8" w:space="0" w:color="00B050"/>
            </w:tcBorders>
            <w:shd w:val="clear" w:color="auto" w:fill="FFFFFF"/>
          </w:tcPr>
          <w:p w14:paraId="569C5629" w14:textId="53721CF0" w:rsidR="00802B8C" w:rsidRDefault="00802B8C" w:rsidP="00802B8C">
            <w:pPr>
              <w:rPr>
                <w:rFonts w:cs="Arial"/>
                <w:szCs w:val="18"/>
              </w:rPr>
            </w:pPr>
            <w:r>
              <w:rPr>
                <w:rFonts w:cs="Arial"/>
                <w:szCs w:val="18"/>
              </w:rPr>
              <w:t>ΔA/ΔY</w:t>
            </w:r>
          </w:p>
        </w:tc>
        <w:tc>
          <w:tcPr>
            <w:tcW w:w="724" w:type="dxa"/>
            <w:tcBorders>
              <w:top w:val="nil"/>
              <w:bottom w:val="single" w:sz="8" w:space="0" w:color="00B050"/>
            </w:tcBorders>
            <w:shd w:val="clear" w:color="auto" w:fill="FFFFFF"/>
          </w:tcPr>
          <w:p w14:paraId="46A24546" w14:textId="5BCCF801" w:rsidR="00802B8C" w:rsidRDefault="00802B8C" w:rsidP="00802B8C">
            <w:pPr>
              <w:ind w:right="-1"/>
              <w:rPr>
                <w:rFonts w:cs="Arial"/>
                <w:szCs w:val="18"/>
              </w:rPr>
            </w:pPr>
            <w:r>
              <w:rPr>
                <w:rFonts w:cs="Arial"/>
                <w:szCs w:val="18"/>
              </w:rPr>
              <w:t>w</w:t>
            </w:r>
          </w:p>
        </w:tc>
        <w:tc>
          <w:tcPr>
            <w:tcW w:w="724" w:type="dxa"/>
            <w:tcBorders>
              <w:top w:val="nil"/>
              <w:bottom w:val="single" w:sz="8" w:space="0" w:color="00B050"/>
            </w:tcBorders>
            <w:shd w:val="clear" w:color="auto" w:fill="FFFFFF"/>
          </w:tcPr>
          <w:p w14:paraId="5A487B39" w14:textId="61532FE1" w:rsidR="00802B8C" w:rsidRDefault="00802B8C" w:rsidP="00802B8C">
            <w:pPr>
              <w:ind w:right="-1"/>
              <w:rPr>
                <w:rFonts w:cs="Arial"/>
                <w:szCs w:val="18"/>
              </w:rPr>
            </w:pPr>
            <w:r>
              <w:rPr>
                <w:rFonts w:cs="Arial"/>
                <w:szCs w:val="18"/>
              </w:rPr>
              <w:t>Jb</w:t>
            </w:r>
          </w:p>
        </w:tc>
      </w:tr>
      <w:tr w:rsidR="00802B8C" w:rsidRPr="00997E1A" w14:paraId="7FA09C22" w14:textId="77777777" w:rsidTr="00802B8C">
        <w:tc>
          <w:tcPr>
            <w:tcW w:w="904" w:type="dxa"/>
            <w:tcBorders>
              <w:top w:val="single" w:sz="8" w:space="0" w:color="00B050"/>
            </w:tcBorders>
            <w:shd w:val="clear" w:color="auto" w:fill="FFFFFF"/>
          </w:tcPr>
          <w:p w14:paraId="2898245C" w14:textId="77777777" w:rsidR="00802B8C" w:rsidRPr="00997E1A" w:rsidRDefault="00802B8C" w:rsidP="00802B8C">
            <w:r>
              <w:t>7.56.1</w:t>
            </w:r>
          </w:p>
        </w:tc>
        <w:tc>
          <w:tcPr>
            <w:tcW w:w="914" w:type="dxa"/>
            <w:tcBorders>
              <w:top w:val="single" w:sz="8" w:space="0" w:color="00B050"/>
            </w:tcBorders>
            <w:shd w:val="clear" w:color="auto" w:fill="FFFFFF"/>
          </w:tcPr>
          <w:p w14:paraId="6FB7B768" w14:textId="77777777" w:rsidR="00802B8C" w:rsidRPr="00997E1A" w:rsidRDefault="00802B8C" w:rsidP="00802B8C">
            <w:r>
              <w:t>1.20</w:t>
            </w:r>
          </w:p>
        </w:tc>
        <w:tc>
          <w:tcPr>
            <w:tcW w:w="886" w:type="dxa"/>
            <w:tcBorders>
              <w:top w:val="single" w:sz="8" w:space="0" w:color="00B050"/>
            </w:tcBorders>
            <w:shd w:val="clear" w:color="auto" w:fill="FFFFFF"/>
          </w:tcPr>
          <w:p w14:paraId="760416C0" w14:textId="77777777" w:rsidR="00802B8C" w:rsidRPr="00997E1A" w:rsidRDefault="00802B8C" w:rsidP="00802B8C">
            <w:pPr>
              <w:ind w:right="-1"/>
              <w:rPr>
                <w:rFonts w:cs="Arial"/>
                <w:szCs w:val="18"/>
              </w:rPr>
            </w:pPr>
            <w:r>
              <w:rPr>
                <w:rFonts w:cs="Arial"/>
                <w:szCs w:val="18"/>
              </w:rPr>
              <w:t>65.0</w:t>
            </w:r>
          </w:p>
        </w:tc>
        <w:tc>
          <w:tcPr>
            <w:tcW w:w="850" w:type="dxa"/>
            <w:tcBorders>
              <w:top w:val="single" w:sz="8" w:space="0" w:color="00B050"/>
            </w:tcBorders>
            <w:shd w:val="clear" w:color="auto" w:fill="FFFFFF"/>
          </w:tcPr>
          <w:p w14:paraId="15E9BB43" w14:textId="77777777" w:rsidR="00802B8C" w:rsidRPr="00997E1A" w:rsidRDefault="00802B8C" w:rsidP="00802B8C">
            <w:pPr>
              <w:ind w:right="-1"/>
              <w:rPr>
                <w:rFonts w:cs="Arial"/>
                <w:szCs w:val="18"/>
              </w:rPr>
            </w:pPr>
            <w:r>
              <w:rPr>
                <w:rFonts w:cs="Arial"/>
                <w:szCs w:val="18"/>
              </w:rPr>
              <w:t>44.6</w:t>
            </w:r>
          </w:p>
        </w:tc>
        <w:tc>
          <w:tcPr>
            <w:tcW w:w="724" w:type="dxa"/>
            <w:tcBorders>
              <w:top w:val="single" w:sz="8" w:space="0" w:color="00B050"/>
            </w:tcBorders>
            <w:shd w:val="clear" w:color="auto" w:fill="FFFFFF"/>
          </w:tcPr>
          <w:p w14:paraId="1F317002" w14:textId="77777777" w:rsidR="00802B8C" w:rsidRPr="00997E1A" w:rsidRDefault="00802B8C" w:rsidP="00802B8C">
            <w:pPr>
              <w:ind w:right="-1"/>
              <w:rPr>
                <w:rFonts w:cs="Arial"/>
                <w:szCs w:val="18"/>
              </w:rPr>
            </w:pPr>
            <w:r>
              <w:rPr>
                <w:rFonts w:cs="Arial"/>
                <w:szCs w:val="18"/>
              </w:rPr>
              <w:t>7.2.1</w:t>
            </w:r>
          </w:p>
        </w:tc>
        <w:tc>
          <w:tcPr>
            <w:tcW w:w="724" w:type="dxa"/>
            <w:tcBorders>
              <w:top w:val="single" w:sz="8" w:space="0" w:color="00B050"/>
            </w:tcBorders>
            <w:shd w:val="clear" w:color="auto" w:fill="FFFFFF"/>
          </w:tcPr>
          <w:p w14:paraId="46A2C1BC" w14:textId="77777777" w:rsidR="00802B8C" w:rsidRPr="00997E1A" w:rsidRDefault="00802B8C" w:rsidP="00802B8C">
            <w:pPr>
              <w:ind w:right="-1"/>
              <w:rPr>
                <w:rFonts w:cs="Arial"/>
                <w:szCs w:val="18"/>
              </w:rPr>
            </w:pPr>
            <w:r>
              <w:rPr>
                <w:rFonts w:cs="Arial"/>
                <w:szCs w:val="18"/>
              </w:rPr>
              <w:t>0.93</w:t>
            </w:r>
          </w:p>
        </w:tc>
        <w:tc>
          <w:tcPr>
            <w:tcW w:w="724" w:type="dxa"/>
            <w:tcBorders>
              <w:top w:val="single" w:sz="8" w:space="0" w:color="00B050"/>
            </w:tcBorders>
            <w:shd w:val="clear" w:color="auto" w:fill="FFFFFF"/>
          </w:tcPr>
          <w:p w14:paraId="6CEF2E4C" w14:textId="77777777" w:rsidR="00802B8C" w:rsidRPr="00997E1A" w:rsidRDefault="00802B8C" w:rsidP="00802B8C">
            <w:pPr>
              <w:ind w:right="-1"/>
              <w:rPr>
                <w:rFonts w:cs="Arial"/>
                <w:szCs w:val="18"/>
              </w:rPr>
            </w:pPr>
            <w:r>
              <w:rPr>
                <w:rFonts w:cs="Arial"/>
                <w:szCs w:val="18"/>
              </w:rPr>
              <w:t>15.3</w:t>
            </w:r>
          </w:p>
        </w:tc>
        <w:tc>
          <w:tcPr>
            <w:tcW w:w="724" w:type="dxa"/>
            <w:tcBorders>
              <w:top w:val="single" w:sz="8" w:space="0" w:color="00B050"/>
            </w:tcBorders>
            <w:shd w:val="clear" w:color="auto" w:fill="FFFFFF"/>
          </w:tcPr>
          <w:p w14:paraId="2ED0141E" w14:textId="77777777" w:rsidR="00802B8C" w:rsidRPr="00997E1A" w:rsidRDefault="00802B8C" w:rsidP="00802B8C">
            <w:pPr>
              <w:ind w:right="-1"/>
              <w:rPr>
                <w:rFonts w:cs="Arial"/>
                <w:szCs w:val="18"/>
              </w:rPr>
            </w:pPr>
            <w:r>
              <w:rPr>
                <w:rFonts w:cs="Arial"/>
                <w:szCs w:val="18"/>
              </w:rPr>
              <w:t>84.0</w:t>
            </w:r>
          </w:p>
        </w:tc>
      </w:tr>
      <w:tr w:rsidR="00802B8C" w:rsidRPr="00997E1A" w14:paraId="7DBCC014" w14:textId="77777777" w:rsidTr="00902455">
        <w:tc>
          <w:tcPr>
            <w:tcW w:w="904" w:type="dxa"/>
            <w:shd w:val="clear" w:color="auto" w:fill="FFFFFF"/>
          </w:tcPr>
          <w:p w14:paraId="4E76D74B" w14:textId="77777777" w:rsidR="00802B8C" w:rsidRPr="00997E1A" w:rsidRDefault="00802B8C" w:rsidP="00802B8C">
            <w:r>
              <w:t>7.66.2</w:t>
            </w:r>
          </w:p>
        </w:tc>
        <w:tc>
          <w:tcPr>
            <w:tcW w:w="914" w:type="dxa"/>
            <w:shd w:val="clear" w:color="auto" w:fill="FFFFFF"/>
          </w:tcPr>
          <w:p w14:paraId="402E3169" w14:textId="77777777" w:rsidR="00802B8C" w:rsidRPr="00997E1A" w:rsidRDefault="00802B8C" w:rsidP="00802B8C">
            <w:r>
              <w:t>0.73</w:t>
            </w:r>
          </w:p>
        </w:tc>
        <w:tc>
          <w:tcPr>
            <w:tcW w:w="886" w:type="dxa"/>
            <w:shd w:val="clear" w:color="auto" w:fill="FFFFFF"/>
          </w:tcPr>
          <w:p w14:paraId="472A68D4" w14:textId="77777777" w:rsidR="00802B8C" w:rsidRPr="00997E1A" w:rsidRDefault="00802B8C" w:rsidP="00802B8C">
            <w:pPr>
              <w:ind w:right="-1"/>
              <w:rPr>
                <w:rFonts w:cs="Arial"/>
                <w:szCs w:val="18"/>
              </w:rPr>
            </w:pPr>
            <w:r>
              <w:rPr>
                <w:rFonts w:cs="Arial"/>
                <w:szCs w:val="18"/>
              </w:rPr>
              <w:t>16.0</w:t>
            </w:r>
          </w:p>
        </w:tc>
        <w:tc>
          <w:tcPr>
            <w:tcW w:w="850" w:type="dxa"/>
            <w:shd w:val="clear" w:color="auto" w:fill="FFFFFF"/>
          </w:tcPr>
          <w:p w14:paraId="41046522" w14:textId="77777777" w:rsidR="00802B8C" w:rsidRPr="00997E1A" w:rsidRDefault="00802B8C" w:rsidP="00802B8C">
            <w:pPr>
              <w:ind w:right="-1"/>
              <w:rPr>
                <w:rFonts w:cs="Arial"/>
                <w:szCs w:val="18"/>
              </w:rPr>
            </w:pPr>
            <w:r>
              <w:rPr>
                <w:rFonts w:cs="Arial"/>
                <w:szCs w:val="18"/>
              </w:rPr>
              <w:t>8.3</w:t>
            </w:r>
          </w:p>
        </w:tc>
        <w:tc>
          <w:tcPr>
            <w:tcW w:w="724" w:type="dxa"/>
            <w:shd w:val="clear" w:color="auto" w:fill="FFFFFF"/>
          </w:tcPr>
          <w:p w14:paraId="3E4A7A57" w14:textId="77777777" w:rsidR="00802B8C" w:rsidRPr="00997E1A" w:rsidRDefault="00802B8C" w:rsidP="00802B8C">
            <w:pPr>
              <w:ind w:right="-1"/>
              <w:rPr>
                <w:rFonts w:cs="Arial"/>
                <w:szCs w:val="18"/>
              </w:rPr>
            </w:pPr>
            <w:r>
              <w:rPr>
                <w:rFonts w:cs="Arial"/>
                <w:szCs w:val="18"/>
              </w:rPr>
              <w:t>7.2.2</w:t>
            </w:r>
          </w:p>
        </w:tc>
        <w:tc>
          <w:tcPr>
            <w:tcW w:w="724" w:type="dxa"/>
            <w:shd w:val="clear" w:color="auto" w:fill="FFFFFF"/>
          </w:tcPr>
          <w:p w14:paraId="4A442137" w14:textId="77777777" w:rsidR="00802B8C" w:rsidRPr="00997E1A" w:rsidRDefault="00802B8C" w:rsidP="00802B8C">
            <w:pPr>
              <w:ind w:right="-1"/>
              <w:rPr>
                <w:rFonts w:cs="Arial"/>
                <w:szCs w:val="18"/>
              </w:rPr>
            </w:pPr>
            <w:r>
              <w:rPr>
                <w:rFonts w:cs="Arial"/>
                <w:szCs w:val="18"/>
              </w:rPr>
              <w:t>1.67</w:t>
            </w:r>
          </w:p>
        </w:tc>
        <w:tc>
          <w:tcPr>
            <w:tcW w:w="724" w:type="dxa"/>
            <w:shd w:val="clear" w:color="auto" w:fill="FFFFFF"/>
          </w:tcPr>
          <w:p w14:paraId="32BB0B01" w14:textId="77777777" w:rsidR="00802B8C" w:rsidRPr="00997E1A" w:rsidRDefault="00802B8C" w:rsidP="00802B8C">
            <w:pPr>
              <w:ind w:right="-1"/>
              <w:rPr>
                <w:rFonts w:cs="Arial"/>
                <w:szCs w:val="18"/>
              </w:rPr>
            </w:pPr>
            <w:r>
              <w:rPr>
                <w:rFonts w:cs="Arial"/>
                <w:szCs w:val="18"/>
              </w:rPr>
              <w:t>14.3</w:t>
            </w:r>
          </w:p>
        </w:tc>
        <w:tc>
          <w:tcPr>
            <w:tcW w:w="724" w:type="dxa"/>
            <w:shd w:val="clear" w:color="auto" w:fill="FFFFFF"/>
          </w:tcPr>
          <w:p w14:paraId="4CA1FEE7" w14:textId="77777777" w:rsidR="00802B8C" w:rsidRPr="00997E1A" w:rsidRDefault="00802B8C" w:rsidP="00802B8C">
            <w:pPr>
              <w:ind w:right="-1"/>
              <w:rPr>
                <w:rFonts w:cs="Arial"/>
                <w:szCs w:val="18"/>
              </w:rPr>
            </w:pPr>
            <w:r>
              <w:rPr>
                <w:rFonts w:cs="Arial"/>
                <w:szCs w:val="18"/>
              </w:rPr>
              <w:t>45.0</w:t>
            </w:r>
          </w:p>
        </w:tc>
      </w:tr>
      <w:tr w:rsidR="00802B8C" w:rsidRPr="00997E1A" w14:paraId="018FEBC8" w14:textId="77777777" w:rsidTr="00802B8C">
        <w:tc>
          <w:tcPr>
            <w:tcW w:w="904" w:type="dxa"/>
            <w:tcBorders>
              <w:bottom w:val="nil"/>
            </w:tcBorders>
            <w:shd w:val="clear" w:color="auto" w:fill="FFFFFF"/>
          </w:tcPr>
          <w:p w14:paraId="1F6296E2" w14:textId="77777777" w:rsidR="00802B8C" w:rsidRPr="00997E1A" w:rsidRDefault="00802B8C" w:rsidP="00802B8C">
            <w:r>
              <w:t>7.82</w:t>
            </w:r>
          </w:p>
        </w:tc>
        <w:tc>
          <w:tcPr>
            <w:tcW w:w="914" w:type="dxa"/>
            <w:tcBorders>
              <w:bottom w:val="nil"/>
            </w:tcBorders>
            <w:shd w:val="clear" w:color="auto" w:fill="FFFFFF"/>
          </w:tcPr>
          <w:p w14:paraId="2443168C" w14:textId="77777777" w:rsidR="00802B8C" w:rsidRPr="00997E1A" w:rsidRDefault="00802B8C" w:rsidP="00802B8C">
            <w:r>
              <w:t>0.87</w:t>
            </w:r>
          </w:p>
        </w:tc>
        <w:tc>
          <w:tcPr>
            <w:tcW w:w="886" w:type="dxa"/>
            <w:tcBorders>
              <w:bottom w:val="nil"/>
            </w:tcBorders>
            <w:shd w:val="clear" w:color="auto" w:fill="FFFFFF"/>
          </w:tcPr>
          <w:p w14:paraId="3CC4C669" w14:textId="77777777" w:rsidR="00802B8C" w:rsidRPr="00997E1A" w:rsidRDefault="00802B8C" w:rsidP="00802B8C">
            <w:pPr>
              <w:ind w:right="-1"/>
              <w:rPr>
                <w:rFonts w:cs="Arial"/>
                <w:szCs w:val="18"/>
              </w:rPr>
            </w:pPr>
            <w:r>
              <w:rPr>
                <w:rFonts w:cs="Arial"/>
                <w:szCs w:val="18"/>
              </w:rPr>
              <w:t>234.8</w:t>
            </w:r>
          </w:p>
        </w:tc>
        <w:tc>
          <w:tcPr>
            <w:tcW w:w="850" w:type="dxa"/>
            <w:tcBorders>
              <w:bottom w:val="nil"/>
            </w:tcBorders>
            <w:shd w:val="clear" w:color="auto" w:fill="FFFFFF"/>
          </w:tcPr>
          <w:p w14:paraId="63FC83E8" w14:textId="77777777" w:rsidR="00802B8C" w:rsidRPr="00997E1A" w:rsidRDefault="00802B8C" w:rsidP="00802B8C">
            <w:pPr>
              <w:ind w:right="-1"/>
              <w:rPr>
                <w:rFonts w:cs="Arial"/>
                <w:szCs w:val="18"/>
              </w:rPr>
            </w:pPr>
            <w:r>
              <w:rPr>
                <w:rFonts w:cs="Arial"/>
                <w:szCs w:val="18"/>
              </w:rPr>
              <w:t>84.6</w:t>
            </w:r>
          </w:p>
        </w:tc>
        <w:tc>
          <w:tcPr>
            <w:tcW w:w="724" w:type="dxa"/>
            <w:tcBorders>
              <w:bottom w:val="nil"/>
            </w:tcBorders>
            <w:shd w:val="clear" w:color="auto" w:fill="FFFFFF"/>
          </w:tcPr>
          <w:p w14:paraId="3B46CFD8" w14:textId="77777777" w:rsidR="00802B8C" w:rsidRPr="00997E1A" w:rsidRDefault="00802B8C" w:rsidP="00802B8C">
            <w:pPr>
              <w:ind w:right="-1"/>
              <w:rPr>
                <w:rFonts w:cs="Arial"/>
                <w:szCs w:val="18"/>
              </w:rPr>
            </w:pPr>
            <w:r>
              <w:rPr>
                <w:rFonts w:cs="Arial"/>
                <w:szCs w:val="18"/>
              </w:rPr>
              <w:t>7.5.1</w:t>
            </w:r>
          </w:p>
        </w:tc>
        <w:tc>
          <w:tcPr>
            <w:tcW w:w="724" w:type="dxa"/>
            <w:tcBorders>
              <w:bottom w:val="nil"/>
            </w:tcBorders>
            <w:shd w:val="clear" w:color="auto" w:fill="FFFFFF"/>
          </w:tcPr>
          <w:p w14:paraId="26A05F52" w14:textId="77777777" w:rsidR="00802B8C" w:rsidRPr="00997E1A" w:rsidRDefault="00802B8C" w:rsidP="00802B8C">
            <w:pPr>
              <w:ind w:right="-1"/>
              <w:rPr>
                <w:rFonts w:cs="Arial"/>
                <w:szCs w:val="18"/>
              </w:rPr>
            </w:pPr>
            <w:r>
              <w:rPr>
                <w:rFonts w:cs="Arial"/>
                <w:szCs w:val="18"/>
              </w:rPr>
              <w:t>1.41</w:t>
            </w:r>
          </w:p>
        </w:tc>
        <w:tc>
          <w:tcPr>
            <w:tcW w:w="724" w:type="dxa"/>
            <w:tcBorders>
              <w:bottom w:val="nil"/>
            </w:tcBorders>
            <w:shd w:val="clear" w:color="auto" w:fill="FFFFFF"/>
          </w:tcPr>
          <w:p w14:paraId="71759C0F" w14:textId="77777777" w:rsidR="00802B8C" w:rsidRPr="00997E1A" w:rsidRDefault="00802B8C" w:rsidP="00802B8C">
            <w:pPr>
              <w:ind w:right="-1"/>
              <w:rPr>
                <w:rFonts w:cs="Arial"/>
                <w:szCs w:val="18"/>
              </w:rPr>
            </w:pPr>
            <w:r>
              <w:rPr>
                <w:rFonts w:cs="Arial"/>
                <w:szCs w:val="18"/>
              </w:rPr>
              <w:t>9.8</w:t>
            </w:r>
          </w:p>
        </w:tc>
        <w:tc>
          <w:tcPr>
            <w:tcW w:w="724" w:type="dxa"/>
            <w:tcBorders>
              <w:bottom w:val="nil"/>
            </w:tcBorders>
            <w:shd w:val="clear" w:color="auto" w:fill="FFFFFF"/>
          </w:tcPr>
          <w:p w14:paraId="47F0F265" w14:textId="77777777" w:rsidR="00802B8C" w:rsidRPr="00997E1A" w:rsidRDefault="00802B8C" w:rsidP="00802B8C">
            <w:pPr>
              <w:ind w:right="-1"/>
              <w:rPr>
                <w:rFonts w:cs="Arial"/>
                <w:szCs w:val="18"/>
              </w:rPr>
            </w:pPr>
            <w:r>
              <w:rPr>
                <w:rFonts w:cs="Arial"/>
                <w:szCs w:val="18"/>
              </w:rPr>
              <w:t>35.6</w:t>
            </w:r>
          </w:p>
        </w:tc>
      </w:tr>
      <w:tr w:rsidR="00802B8C" w:rsidRPr="00997E1A" w14:paraId="764DCE86" w14:textId="77777777" w:rsidTr="00802B8C">
        <w:tc>
          <w:tcPr>
            <w:tcW w:w="904" w:type="dxa"/>
            <w:tcBorders>
              <w:top w:val="nil"/>
              <w:bottom w:val="single" w:sz="8" w:space="0" w:color="00B050"/>
            </w:tcBorders>
            <w:shd w:val="clear" w:color="auto" w:fill="FFFFFF"/>
          </w:tcPr>
          <w:p w14:paraId="1BBBEA01" w14:textId="77777777" w:rsidR="00802B8C" w:rsidRPr="00997E1A" w:rsidRDefault="00802B8C" w:rsidP="00802B8C">
            <w:pPr>
              <w:ind w:right="-1"/>
              <w:rPr>
                <w:rFonts w:cs="Arial"/>
                <w:szCs w:val="18"/>
              </w:rPr>
            </w:pPr>
          </w:p>
        </w:tc>
        <w:tc>
          <w:tcPr>
            <w:tcW w:w="914" w:type="dxa"/>
            <w:tcBorders>
              <w:top w:val="nil"/>
              <w:bottom w:val="single" w:sz="8" w:space="0" w:color="00B050"/>
            </w:tcBorders>
            <w:shd w:val="clear" w:color="auto" w:fill="FFFFFF"/>
          </w:tcPr>
          <w:p w14:paraId="130CF5F4" w14:textId="77777777" w:rsidR="00802B8C" w:rsidRPr="00997E1A" w:rsidRDefault="00802B8C" w:rsidP="00802B8C">
            <w:pPr>
              <w:ind w:right="-1"/>
              <w:rPr>
                <w:rFonts w:cs="Arial"/>
                <w:szCs w:val="18"/>
              </w:rPr>
            </w:pPr>
          </w:p>
        </w:tc>
        <w:tc>
          <w:tcPr>
            <w:tcW w:w="886" w:type="dxa"/>
            <w:tcBorders>
              <w:top w:val="nil"/>
              <w:bottom w:val="single" w:sz="8" w:space="0" w:color="00B050"/>
            </w:tcBorders>
            <w:shd w:val="clear" w:color="auto" w:fill="FFFFFF"/>
          </w:tcPr>
          <w:p w14:paraId="73445BB4" w14:textId="77777777" w:rsidR="00802B8C" w:rsidRPr="00997E1A" w:rsidRDefault="00802B8C" w:rsidP="00802B8C">
            <w:pPr>
              <w:ind w:right="-1"/>
              <w:rPr>
                <w:rFonts w:cs="Arial"/>
                <w:szCs w:val="18"/>
              </w:rPr>
            </w:pPr>
          </w:p>
        </w:tc>
        <w:tc>
          <w:tcPr>
            <w:tcW w:w="850" w:type="dxa"/>
            <w:tcBorders>
              <w:top w:val="nil"/>
              <w:bottom w:val="single" w:sz="8" w:space="0" w:color="00B050"/>
            </w:tcBorders>
            <w:shd w:val="clear" w:color="auto" w:fill="FFFFFF"/>
          </w:tcPr>
          <w:p w14:paraId="207F0A95" w14:textId="77777777" w:rsidR="00802B8C" w:rsidRPr="00997E1A" w:rsidRDefault="00802B8C" w:rsidP="00802B8C">
            <w:pPr>
              <w:ind w:right="-1"/>
              <w:rPr>
                <w:rFonts w:cs="Arial"/>
                <w:szCs w:val="18"/>
              </w:rPr>
            </w:pPr>
          </w:p>
        </w:tc>
        <w:tc>
          <w:tcPr>
            <w:tcW w:w="724" w:type="dxa"/>
            <w:tcBorders>
              <w:top w:val="nil"/>
              <w:bottom w:val="single" w:sz="8" w:space="0" w:color="00B050"/>
            </w:tcBorders>
            <w:shd w:val="clear" w:color="auto" w:fill="FFFFFF"/>
          </w:tcPr>
          <w:p w14:paraId="6E9DEA41" w14:textId="77777777" w:rsidR="00802B8C" w:rsidRPr="00997E1A" w:rsidRDefault="00802B8C" w:rsidP="00802B8C">
            <w:pPr>
              <w:ind w:right="-1"/>
              <w:rPr>
                <w:rFonts w:cs="Arial"/>
                <w:szCs w:val="18"/>
              </w:rPr>
            </w:pPr>
            <w:r>
              <w:rPr>
                <w:rFonts w:cs="Arial"/>
                <w:szCs w:val="18"/>
              </w:rPr>
              <w:t>7.5.3</w:t>
            </w:r>
          </w:p>
        </w:tc>
        <w:tc>
          <w:tcPr>
            <w:tcW w:w="724" w:type="dxa"/>
            <w:tcBorders>
              <w:top w:val="nil"/>
              <w:bottom w:val="single" w:sz="8" w:space="0" w:color="00B050"/>
            </w:tcBorders>
            <w:shd w:val="clear" w:color="auto" w:fill="FFFFFF"/>
          </w:tcPr>
          <w:p w14:paraId="3B30A8E3" w14:textId="77777777" w:rsidR="00802B8C" w:rsidRPr="00997E1A" w:rsidRDefault="00802B8C" w:rsidP="00802B8C">
            <w:pPr>
              <w:ind w:right="-1"/>
              <w:rPr>
                <w:rFonts w:cs="Arial"/>
                <w:szCs w:val="18"/>
              </w:rPr>
            </w:pPr>
            <w:r>
              <w:rPr>
                <w:rFonts w:cs="Arial"/>
                <w:szCs w:val="18"/>
              </w:rPr>
              <w:t>1.40</w:t>
            </w:r>
          </w:p>
        </w:tc>
        <w:tc>
          <w:tcPr>
            <w:tcW w:w="724" w:type="dxa"/>
            <w:tcBorders>
              <w:top w:val="nil"/>
              <w:bottom w:val="single" w:sz="8" w:space="0" w:color="00B050"/>
            </w:tcBorders>
            <w:shd w:val="clear" w:color="auto" w:fill="FFFFFF"/>
          </w:tcPr>
          <w:p w14:paraId="54CBEE3F" w14:textId="77777777" w:rsidR="00802B8C" w:rsidRPr="00997E1A" w:rsidRDefault="00802B8C" w:rsidP="00802B8C">
            <w:pPr>
              <w:ind w:right="-1"/>
              <w:rPr>
                <w:rFonts w:cs="Arial"/>
                <w:szCs w:val="18"/>
              </w:rPr>
            </w:pPr>
            <w:r>
              <w:rPr>
                <w:rFonts w:cs="Arial"/>
                <w:szCs w:val="18"/>
              </w:rPr>
              <w:t>14.3</w:t>
            </w:r>
          </w:p>
        </w:tc>
        <w:tc>
          <w:tcPr>
            <w:tcW w:w="724" w:type="dxa"/>
            <w:tcBorders>
              <w:top w:val="nil"/>
              <w:bottom w:val="single" w:sz="8" w:space="0" w:color="00B050"/>
            </w:tcBorders>
            <w:shd w:val="clear" w:color="auto" w:fill="FFFFFF"/>
          </w:tcPr>
          <w:p w14:paraId="2E7FC24D" w14:textId="77777777" w:rsidR="00802B8C" w:rsidRPr="00997E1A" w:rsidRDefault="00802B8C" w:rsidP="00802B8C">
            <w:pPr>
              <w:ind w:right="-1"/>
              <w:rPr>
                <w:rFonts w:cs="Arial"/>
                <w:szCs w:val="18"/>
              </w:rPr>
            </w:pPr>
            <w:r>
              <w:rPr>
                <w:rFonts w:cs="Arial"/>
                <w:szCs w:val="18"/>
              </w:rPr>
              <w:t>81.3</w:t>
            </w:r>
          </w:p>
        </w:tc>
      </w:tr>
    </w:tbl>
    <w:p w14:paraId="21F8E09E" w14:textId="77777777" w:rsidR="00D87D63" w:rsidRDefault="00D87D63" w:rsidP="00D87D63">
      <w:pPr>
        <w:keepNext/>
        <w:keepLines/>
        <w:tabs>
          <w:tab w:val="clear" w:pos="7100"/>
        </w:tabs>
        <w:spacing w:line="240" w:lineRule="auto"/>
        <w:outlineLvl w:val="1"/>
        <w:rPr>
          <w:rFonts w:cs="Arial"/>
          <w:szCs w:val="18"/>
        </w:rPr>
      </w:pPr>
    </w:p>
    <w:p w14:paraId="63CDE3A4" w14:textId="77777777" w:rsidR="00770372" w:rsidRDefault="00155C19" w:rsidP="005B01FF">
      <w:pPr>
        <w:keepNext/>
        <w:keepLines/>
        <w:tabs>
          <w:tab w:val="clear" w:pos="7100"/>
        </w:tabs>
        <w:spacing w:line="240" w:lineRule="auto"/>
        <w:jc w:val="center"/>
        <w:outlineLvl w:val="1"/>
        <w:rPr>
          <w:rFonts w:cs="Arial"/>
          <w:szCs w:val="18"/>
        </w:rPr>
      </w:pPr>
      <w:r>
        <w:rPr>
          <w:noProof/>
          <w:lang w:val="it-IT" w:eastAsia="it-IT"/>
        </w:rPr>
        <w:drawing>
          <wp:inline distT="0" distB="0" distL="0" distR="0" wp14:anchorId="26A0424B" wp14:editId="5994F8D9">
            <wp:extent cx="2647895" cy="1980000"/>
            <wp:effectExtent l="0" t="0" r="635" b="127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47895" cy="1980000"/>
                    </a:xfrm>
                    <a:prstGeom prst="rect">
                      <a:avLst/>
                    </a:prstGeom>
                  </pic:spPr>
                </pic:pic>
              </a:graphicData>
            </a:graphic>
          </wp:inline>
        </w:drawing>
      </w:r>
      <w:r>
        <w:rPr>
          <w:noProof/>
          <w:lang w:val="it-IT" w:eastAsia="it-IT"/>
        </w:rPr>
        <w:drawing>
          <wp:inline distT="0" distB="0" distL="0" distR="0" wp14:anchorId="76FEB6E2" wp14:editId="638E9B47">
            <wp:extent cx="2647895" cy="1980000"/>
            <wp:effectExtent l="0" t="0" r="635" b="127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47895" cy="1980000"/>
                    </a:xfrm>
                    <a:prstGeom prst="rect">
                      <a:avLst/>
                    </a:prstGeom>
                  </pic:spPr>
                </pic:pic>
              </a:graphicData>
            </a:graphic>
          </wp:inline>
        </w:drawing>
      </w:r>
    </w:p>
    <w:p w14:paraId="6CA2E70A" w14:textId="77777777" w:rsidR="00155C19" w:rsidRDefault="00155C19" w:rsidP="001877B7">
      <w:pPr>
        <w:keepNext/>
        <w:keepLines/>
        <w:tabs>
          <w:tab w:val="clear" w:pos="7100"/>
        </w:tabs>
        <w:spacing w:line="240" w:lineRule="auto"/>
        <w:outlineLvl w:val="1"/>
        <w:rPr>
          <w:rFonts w:cs="Arial"/>
          <w:szCs w:val="18"/>
        </w:rPr>
      </w:pPr>
    </w:p>
    <w:p w14:paraId="40864A04" w14:textId="77777777" w:rsidR="00155C19" w:rsidRPr="003E774C" w:rsidRDefault="00155C19" w:rsidP="00155C19">
      <w:pPr>
        <w:keepNext/>
        <w:keepLines/>
        <w:tabs>
          <w:tab w:val="clear" w:pos="7100"/>
        </w:tabs>
        <w:spacing w:line="240" w:lineRule="auto"/>
        <w:outlineLvl w:val="1"/>
        <w:rPr>
          <w:rFonts w:cs="Arial"/>
          <w:i/>
          <w:szCs w:val="18"/>
        </w:rPr>
      </w:pPr>
      <w:r w:rsidRPr="003E774C">
        <w:rPr>
          <w:rFonts w:cs="Arial"/>
          <w:i/>
          <w:szCs w:val="18"/>
        </w:rPr>
        <w:t>Figure 3: Selected plots from Fig.1, UF (left) and NF (right), respectively</w:t>
      </w:r>
    </w:p>
    <w:p w14:paraId="7AD25E21" w14:textId="77777777" w:rsidR="00155C19" w:rsidRDefault="00155C19" w:rsidP="00155C19">
      <w:pPr>
        <w:keepNext/>
        <w:keepLines/>
        <w:tabs>
          <w:tab w:val="clear" w:pos="7100"/>
        </w:tabs>
        <w:spacing w:line="240" w:lineRule="auto"/>
        <w:outlineLvl w:val="1"/>
        <w:rPr>
          <w:rFonts w:cs="Arial"/>
          <w:szCs w:val="18"/>
        </w:rPr>
      </w:pPr>
    </w:p>
    <w:p w14:paraId="737220A8" w14:textId="77777777" w:rsidR="00073A60" w:rsidRPr="00D87D63" w:rsidRDefault="0031398E" w:rsidP="00D87D63">
      <w:pPr>
        <w:pStyle w:val="Testo"/>
        <w:rPr>
          <w:lang w:val="en-GB"/>
        </w:rPr>
      </w:pPr>
      <w:r w:rsidRPr="00D87D63">
        <w:rPr>
          <w:lang w:val="en-GB"/>
        </w:rPr>
        <w:t xml:space="preserve">From </w:t>
      </w:r>
      <w:r w:rsidR="00D87D63" w:rsidRPr="00D87D63">
        <w:rPr>
          <w:lang w:val="en-GB"/>
        </w:rPr>
        <w:t>T</w:t>
      </w:r>
      <w:r w:rsidRPr="00D87D63">
        <w:rPr>
          <w:lang w:val="en-GB"/>
        </w:rPr>
        <w:t xml:space="preserve">able </w:t>
      </w:r>
      <w:r w:rsidR="00D2486A" w:rsidRPr="00D87D63">
        <w:rPr>
          <w:lang w:val="en-GB"/>
        </w:rPr>
        <w:t>2</w:t>
      </w:r>
      <w:r w:rsidRPr="00D87D63">
        <w:rPr>
          <w:lang w:val="en-GB"/>
        </w:rPr>
        <w:t xml:space="preserve"> it is possible to observe that for both membrane classes there is a relationship between </w:t>
      </w:r>
      <w:r w:rsidRPr="0031398E">
        <w:t>Δ</w:t>
      </w:r>
      <w:r w:rsidRPr="00D87D63">
        <w:rPr>
          <w:lang w:val="en-GB"/>
        </w:rPr>
        <w:t>A/</w:t>
      </w:r>
      <w:r w:rsidRPr="0031398E">
        <w:t>Δ</w:t>
      </w:r>
      <w:r w:rsidRPr="00D87D63">
        <w:rPr>
          <w:lang w:val="en-GB"/>
        </w:rPr>
        <w:t xml:space="preserve">Y and </w:t>
      </w:r>
      <w:r w:rsidR="00D2486A" w:rsidRPr="00D87D63">
        <w:rPr>
          <w:lang w:val="en-GB"/>
        </w:rPr>
        <w:t>Jb</w:t>
      </w:r>
      <w:r w:rsidRPr="00D87D63">
        <w:rPr>
          <w:lang w:val="en-GB"/>
        </w:rPr>
        <w:t xml:space="preserve">, whereas none can be observed towards </w:t>
      </w:r>
      <w:r w:rsidR="00D2486A" w:rsidRPr="00D87D63">
        <w:rPr>
          <w:lang w:val="en-GB"/>
        </w:rPr>
        <w:t>w</w:t>
      </w:r>
      <w:r w:rsidRPr="00D87D63">
        <w:rPr>
          <w:lang w:val="en-GB"/>
        </w:rPr>
        <w:t xml:space="preserve">. The same property was confirmed for MF, too. </w:t>
      </w:r>
    </w:p>
    <w:bookmarkEnd w:id="3"/>
    <w:p w14:paraId="6B63436A" w14:textId="77777777" w:rsidR="0079750B" w:rsidRDefault="0079750B" w:rsidP="003601CE">
      <w:pPr>
        <w:pStyle w:val="CETHeading1"/>
        <w:numPr>
          <w:ilvl w:val="1"/>
          <w:numId w:val="33"/>
        </w:numPr>
      </w:pPr>
      <w:r>
        <w:t xml:space="preserve">Conclusions </w:t>
      </w:r>
    </w:p>
    <w:p w14:paraId="5A1E2029" w14:textId="77777777" w:rsidR="00B63136" w:rsidRDefault="007D6A2F" w:rsidP="004D46F9">
      <w:pPr>
        <w:pStyle w:val="CETBodytext"/>
      </w:pPr>
      <w:r>
        <w:t>T</w:t>
      </w:r>
      <w:r w:rsidR="000D197E" w:rsidRPr="000D197E">
        <w:t>he membrane area is the most relevant parameter for a correct design</w:t>
      </w:r>
      <w:r w:rsidR="000D197E">
        <w:t xml:space="preserve"> of a relative plant. In fact,</w:t>
      </w:r>
      <w:r w:rsidR="000D197E" w:rsidRPr="000D197E">
        <w:t xml:space="preserve"> the investment costs</w:t>
      </w:r>
      <w:r>
        <w:t xml:space="preserve"> of a given plant capacity in terms of</w:t>
      </w:r>
      <w:r w:rsidR="000D197E">
        <w:t xml:space="preserve"> </w:t>
      </w:r>
      <w:r w:rsidR="000D197E" w:rsidRPr="000D197E">
        <w:t>membrane area</w:t>
      </w:r>
      <w:r>
        <w:t xml:space="preserve"> and obtainable </w:t>
      </w:r>
      <w:r w:rsidR="000D197E" w:rsidRPr="000D197E">
        <w:t>permeate flow</w:t>
      </w:r>
      <w:r>
        <w:t xml:space="preserve"> rates are strictly dependent </w:t>
      </w:r>
      <w:r w:rsidR="000D197E">
        <w:t>on th</w:t>
      </w:r>
      <w:r>
        <w:t>ese</w:t>
      </w:r>
      <w:r w:rsidR="000D197E">
        <w:t xml:space="preserve"> value</w:t>
      </w:r>
      <w:r>
        <w:t>s</w:t>
      </w:r>
      <w:r w:rsidR="000D197E" w:rsidRPr="000D197E">
        <w:t>.</w:t>
      </w:r>
      <w:r w:rsidR="004D46F9">
        <w:t xml:space="preserve"> </w:t>
      </w:r>
      <w:r w:rsidR="00B63136">
        <w:t>Th</w:t>
      </w:r>
      <w:r w:rsidR="000D197E">
        <w:t xml:space="preserve">e performed </w:t>
      </w:r>
      <w:r>
        <w:t>work by adopting the simulation code has permitted to explore further the</w:t>
      </w:r>
      <w:r w:rsidR="00B63136">
        <w:t xml:space="preserve"> relationship</w:t>
      </w:r>
      <w:r>
        <w:t xml:space="preserve"> </w:t>
      </w:r>
      <w:r w:rsidR="00B63136">
        <w:t xml:space="preserve">between membrane area requirement and specific parameters </w:t>
      </w:r>
      <w:r w:rsidR="00CA361C">
        <w:t>considering</w:t>
      </w:r>
      <w:r w:rsidR="00B63136">
        <w:t xml:space="preserve"> membrane fouling, in order to </w:t>
      </w:r>
      <w:r w:rsidR="00CA361C">
        <w:t>assist</w:t>
      </w:r>
      <w:r w:rsidR="00B63136">
        <w:t xml:space="preserve"> optimized membrane process design.</w:t>
      </w:r>
    </w:p>
    <w:p w14:paraId="50C4990A" w14:textId="53EBC640" w:rsidR="004D46F9" w:rsidRDefault="007C23EB" w:rsidP="004D46F9">
      <w:pPr>
        <w:tabs>
          <w:tab w:val="clear" w:pos="7100"/>
        </w:tabs>
        <w:spacing w:line="259" w:lineRule="auto"/>
      </w:pPr>
      <w:r>
        <w:t xml:space="preserve">The obtained results </w:t>
      </w:r>
      <w:r w:rsidR="00CA361C">
        <w:t>from this study shows that no particular attention must be given to fouling problems in those systems that are not strongly pushed in terms of recovery up to Y75%; in this case,</w:t>
      </w:r>
      <w:r w:rsidRPr="007C23EB">
        <w:t xml:space="preserve"> membranes with high w</w:t>
      </w:r>
      <w:r w:rsidR="00CA361C">
        <w:t xml:space="preserve"> value are preferred and achieves the same plant capacities with a small variance in membrane area within the range Y50%-Y75%. On the contrary</w:t>
      </w:r>
      <w:r>
        <w:t xml:space="preserve">, </w:t>
      </w:r>
      <w:r w:rsidR="00CA361C">
        <w:t>systems that exceeds a Y value of 75% or above, needs a careful estimation and a maximization of the relevant Jb value to allow the minimization of the membrane area requirements. In this case, an i</w:t>
      </w:r>
      <w:r>
        <w:t xml:space="preserve">ncrease </w:t>
      </w:r>
      <w:r w:rsidR="00CA361C">
        <w:t xml:space="preserve">of the </w:t>
      </w:r>
      <w:r w:rsidR="004D46F9">
        <w:t>Jb value</w:t>
      </w:r>
      <w:r w:rsidR="00CA361C">
        <w:t xml:space="preserve"> is desirable</w:t>
      </w:r>
      <w:r w:rsidR="004D46F9">
        <w:t>,</w:t>
      </w:r>
      <w:r w:rsidR="0019603C">
        <w:t xml:space="preserve"> </w:t>
      </w:r>
      <w:r w:rsidR="00CA361C">
        <w:t xml:space="preserve">and this can be achieved by </w:t>
      </w:r>
      <w:r w:rsidR="004D46F9">
        <w:t>pre-treatment</w:t>
      </w:r>
      <w:r w:rsidR="00CA361C">
        <w:t xml:space="preserve"> tailoring or </w:t>
      </w:r>
      <w:r w:rsidR="00A33970">
        <w:t>use of upper membrane classes (S</w:t>
      </w:r>
      <w:r w:rsidR="00CA361C">
        <w:t xml:space="preserve">toller </w:t>
      </w:r>
      <w:r w:rsidR="00A33970">
        <w:t xml:space="preserve">and </w:t>
      </w:r>
      <w:r w:rsidR="00CA361C">
        <w:t>Bravi</w:t>
      </w:r>
      <w:r w:rsidR="00A33970">
        <w:t>,</w:t>
      </w:r>
      <w:r w:rsidR="00CA361C">
        <w:t xml:space="preserve"> 2010).</w:t>
      </w:r>
    </w:p>
    <w:p w14:paraId="212FEDCD" w14:textId="77777777" w:rsidR="00373BC0" w:rsidRDefault="00373BC0" w:rsidP="00093515">
      <w:pPr>
        <w:pStyle w:val="CETHeading1"/>
        <w:numPr>
          <w:ilvl w:val="0"/>
          <w:numId w:val="0"/>
        </w:numPr>
      </w:pPr>
      <w:r>
        <w:t>References</w:t>
      </w:r>
    </w:p>
    <w:p w14:paraId="55D6465B" w14:textId="59F62EAA" w:rsidR="00350190" w:rsidRPr="00350190" w:rsidRDefault="00350190" w:rsidP="00350190">
      <w:pPr>
        <w:pStyle w:val="CETBodytext"/>
      </w:pPr>
      <w:r>
        <w:t>Chang S., Fane A. G., Waite T. D., 2006,</w:t>
      </w:r>
      <w:r w:rsidRPr="00350190">
        <w:t xml:space="preserve"> Analysis of constant permeate flow filtration using dead-end hollow fiber membranes. Journal of membrane science, 268(2), 132-141.</w:t>
      </w:r>
    </w:p>
    <w:p w14:paraId="1CEB1BD6" w14:textId="4CC3C40E" w:rsidR="00350190" w:rsidRPr="00350190" w:rsidRDefault="00350190" w:rsidP="00350190">
      <w:pPr>
        <w:pStyle w:val="CETBodytext"/>
      </w:pPr>
      <w:r>
        <w:t>Field R. W., Wu D., Howell J. A., Gupta B. B., 1995,</w:t>
      </w:r>
      <w:r w:rsidRPr="00350190">
        <w:t xml:space="preserve"> Critical flux conc</w:t>
      </w:r>
      <w:r>
        <w:t>ept for microfiltration fouling,</w:t>
      </w:r>
      <w:r w:rsidRPr="00350190">
        <w:t xml:space="preserve"> Journal of membrane science, 100(3), 259-272.</w:t>
      </w:r>
    </w:p>
    <w:p w14:paraId="7B02C98C" w14:textId="24815AAC" w:rsidR="00A33970" w:rsidRPr="00A33970" w:rsidRDefault="00A33970" w:rsidP="00A33970">
      <w:pPr>
        <w:rPr>
          <w:lang w:val="en-US"/>
        </w:rPr>
      </w:pPr>
      <w:proofErr w:type="spellStart"/>
      <w:r w:rsidRPr="00A33970">
        <w:rPr>
          <w:lang w:val="en-US"/>
        </w:rPr>
        <w:t>Mänttäri</w:t>
      </w:r>
      <w:proofErr w:type="spellEnd"/>
      <w:r>
        <w:rPr>
          <w:lang w:val="en-US"/>
        </w:rPr>
        <w:t xml:space="preserve"> M.,</w:t>
      </w:r>
      <w:r w:rsidRPr="00A33970">
        <w:rPr>
          <w:lang w:val="en-US"/>
        </w:rPr>
        <w:t xml:space="preserve"> </w:t>
      </w:r>
      <w:proofErr w:type="spellStart"/>
      <w:r w:rsidRPr="00A33970">
        <w:rPr>
          <w:lang w:val="en-US"/>
        </w:rPr>
        <w:t>Nyström</w:t>
      </w:r>
      <w:proofErr w:type="spellEnd"/>
      <w:r w:rsidRPr="00A33970">
        <w:rPr>
          <w:lang w:val="en-US"/>
        </w:rPr>
        <w:t xml:space="preserve"> M., 2000, Critical flux in NF of high molar mass polysaccharides and effluents from the paper industry, Journal of Membrane Science, 170(2), 257-273.</w:t>
      </w:r>
    </w:p>
    <w:p w14:paraId="34FAE84F" w14:textId="77777777" w:rsidR="00A33970" w:rsidRDefault="00A33970" w:rsidP="00A33970">
      <w:pPr>
        <w:rPr>
          <w:lang w:val="en-US"/>
        </w:rPr>
      </w:pPr>
      <w:r w:rsidRPr="00A33970">
        <w:rPr>
          <w:lang w:val="en-US"/>
        </w:rPr>
        <w:t>Ochando-Pulido J. M., Stoller M., 2015, Kinetics and boundary flux optimization of integrated photocatalysis and ultrafiltration process for two-phase vegetation and olive washing wastewaters treatment, Chemical Engineering Journal, 279, 387-395.</w:t>
      </w:r>
    </w:p>
    <w:p w14:paraId="63F009AA" w14:textId="4670815C" w:rsidR="00350190" w:rsidRPr="00A33970" w:rsidRDefault="00350190" w:rsidP="00A33970">
      <w:pPr>
        <w:rPr>
          <w:lang w:val="en-US"/>
        </w:rPr>
      </w:pPr>
      <w:r>
        <w:rPr>
          <w:lang w:val="en-US"/>
        </w:rPr>
        <w:t xml:space="preserve">Stoller M., Bravi M., 2010, </w:t>
      </w:r>
      <w:r w:rsidRPr="00350190">
        <w:rPr>
          <w:lang w:val="en-US"/>
        </w:rPr>
        <w:t>Critical flux analyses on differently pretreated olive vegetation waste water streams: some case studies. Desalination, 250(2), 578-582.</w:t>
      </w:r>
    </w:p>
    <w:p w14:paraId="18AF00A2" w14:textId="77777777" w:rsidR="00A33970" w:rsidRDefault="00A33970" w:rsidP="00A33970">
      <w:pPr>
        <w:rPr>
          <w:lang w:val="en-US"/>
        </w:rPr>
      </w:pPr>
      <w:r w:rsidRPr="00A33970">
        <w:rPr>
          <w:lang w:val="en-US"/>
        </w:rPr>
        <w:t>Stoller M., Ochando-Pulido, J. M., Chianese A., 2013, Comparison of critical and threshold fluxes on ultrafiltration and nanofiltration by treating 2-phase or 3-phase olive mill wastewater, 32, 397-402.</w:t>
      </w:r>
    </w:p>
    <w:p w14:paraId="651F7000" w14:textId="4FEE6AD6" w:rsidR="00931330" w:rsidRPr="00A33970" w:rsidRDefault="00931330" w:rsidP="00A33970">
      <w:pPr>
        <w:rPr>
          <w:lang w:val="en-US"/>
        </w:rPr>
      </w:pPr>
      <w:r w:rsidRPr="00931330">
        <w:rPr>
          <w:lang w:val="en-US"/>
        </w:rPr>
        <w:lastRenderedPageBreak/>
        <w:t>Stolle</w:t>
      </w:r>
      <w:r>
        <w:rPr>
          <w:lang w:val="en-US"/>
        </w:rPr>
        <w:t>r M., Ochando-Pulido J. M., 2014a,</w:t>
      </w:r>
      <w:r w:rsidRPr="00931330">
        <w:rPr>
          <w:lang w:val="en-US"/>
        </w:rPr>
        <w:t xml:space="preserve"> </w:t>
      </w:r>
      <w:proofErr w:type="gramStart"/>
      <w:r w:rsidRPr="00931330">
        <w:rPr>
          <w:lang w:val="en-US"/>
        </w:rPr>
        <w:t>About</w:t>
      </w:r>
      <w:proofErr w:type="gramEnd"/>
      <w:r w:rsidRPr="00931330">
        <w:rPr>
          <w:lang w:val="en-US"/>
        </w:rPr>
        <w:t xml:space="preserve"> merging threshold and critical flux concepts into a single one: the boundary flux. The Scientific World Journal, 2014.</w:t>
      </w:r>
    </w:p>
    <w:p w14:paraId="0CB809D7" w14:textId="08857C6C" w:rsidR="00A33970" w:rsidRPr="00A33970" w:rsidRDefault="00A33970" w:rsidP="00A33970">
      <w:pPr>
        <w:rPr>
          <w:lang w:val="en-US"/>
        </w:rPr>
      </w:pPr>
      <w:r w:rsidRPr="00A33970">
        <w:rPr>
          <w:lang w:val="en-US"/>
        </w:rPr>
        <w:t>Stoller M., Ochando-Pulido J. M., 2014</w:t>
      </w:r>
      <w:r w:rsidR="00931330">
        <w:rPr>
          <w:lang w:val="en-US"/>
        </w:rPr>
        <w:t>b</w:t>
      </w:r>
      <w:r w:rsidRPr="00A33970">
        <w:rPr>
          <w:lang w:val="en-US"/>
        </w:rPr>
        <w:t>, The boundary flux handbook: A comprehensive database of critical and threshold flux values for membrane practitioners, Elsevier.</w:t>
      </w:r>
    </w:p>
    <w:p w14:paraId="0B5E3F6C" w14:textId="77777777" w:rsidR="00A33970" w:rsidRPr="00A33970" w:rsidRDefault="00A33970" w:rsidP="00A33970">
      <w:pPr>
        <w:rPr>
          <w:lang w:val="en-US"/>
        </w:rPr>
      </w:pPr>
      <w:r w:rsidRPr="00A33970">
        <w:rPr>
          <w:lang w:val="en-US"/>
        </w:rPr>
        <w:t>Stoller M., Azizova G., Mammadova A., Vilardi G., Di Palma L., Chianese A., 2016, Treatment of Olive Oil Processing Wastewater by Ultrafiltration, Nanofiltration, Reverse Osmosis and Biofiltration, Chemical Engineering Transactions, 47, 409–414.</w:t>
      </w:r>
    </w:p>
    <w:p w14:paraId="39B3BC32" w14:textId="77777777" w:rsidR="00A33970" w:rsidRPr="00A33970" w:rsidRDefault="00A33970" w:rsidP="00A33970">
      <w:pPr>
        <w:rPr>
          <w:lang w:val="en-US"/>
        </w:rPr>
      </w:pPr>
      <w:r w:rsidRPr="00A33970">
        <w:rPr>
          <w:lang w:val="en-US"/>
        </w:rPr>
        <w:t>Stoller M., Ochando-Pulido J.M., Vilardi G., Vuppala S., Bravi M., Verdone N., Di Palma L., 2017, Technical and economic impact of photocatalysis as a pretreatment process step in olive mill wastewater treatment by membranes, Chemical Engineering Transactions, 57, 1171-1176.</w:t>
      </w:r>
    </w:p>
    <w:p w14:paraId="607F479F" w14:textId="77777777" w:rsidR="00D14BA4" w:rsidRPr="00D14BA4" w:rsidRDefault="00D14BA4" w:rsidP="00D14BA4">
      <w:pPr>
        <w:rPr>
          <w:lang w:val="en-US"/>
        </w:rPr>
      </w:pPr>
      <w:r w:rsidRPr="00D14BA4">
        <w:rPr>
          <w:lang w:val="en-US"/>
        </w:rPr>
        <w:t>Stoller M., Sacco O., Vilardi G., Ochando-Pulido J.M., Di Palma L., 2018a, Technical–economic evaluation of chromium</w:t>
      </w:r>
      <w:r>
        <w:rPr>
          <w:lang w:val="en-US"/>
        </w:rPr>
        <w:t xml:space="preserve"> </w:t>
      </w:r>
      <w:r w:rsidRPr="00D14BA4">
        <w:rPr>
          <w:lang w:val="en-US"/>
        </w:rPr>
        <w:t>recovery from tannery wastewater streams by means of membrane processes, Desalination and Water Treatment,</w:t>
      </w:r>
      <w:r>
        <w:rPr>
          <w:lang w:val="en-US"/>
        </w:rPr>
        <w:t xml:space="preserve"> </w:t>
      </w:r>
      <w:r w:rsidRPr="00D14BA4">
        <w:rPr>
          <w:lang w:val="en-US"/>
        </w:rPr>
        <w:t>127, 57-63.</w:t>
      </w:r>
    </w:p>
    <w:p w14:paraId="799C3F3F" w14:textId="77777777" w:rsidR="00D14BA4" w:rsidRPr="00D14BA4" w:rsidRDefault="00D14BA4" w:rsidP="00D14BA4">
      <w:pPr>
        <w:rPr>
          <w:lang w:val="en-US"/>
        </w:rPr>
      </w:pPr>
      <w:r w:rsidRPr="00D14BA4">
        <w:rPr>
          <w:lang w:val="en-US"/>
        </w:rPr>
        <w:t>Stoller M., Di Palma L., Vuppala S., Verdone N., Vilardi G., 2018b, Process intensification techniques for the production</w:t>
      </w:r>
      <w:r>
        <w:rPr>
          <w:lang w:val="en-US"/>
        </w:rPr>
        <w:t xml:space="preserve"> </w:t>
      </w:r>
      <w:r w:rsidRPr="00D14BA4">
        <w:rPr>
          <w:lang w:val="en-US"/>
        </w:rPr>
        <w:t>of nano-and submicronic particles for food and medical applications, Current Pharmaceutical Design, 24, 2329-2338.</w:t>
      </w:r>
    </w:p>
    <w:p w14:paraId="3F479937" w14:textId="77777777" w:rsidR="00A33970" w:rsidRPr="00A33970" w:rsidRDefault="00A33970" w:rsidP="00A33970">
      <w:pPr>
        <w:rPr>
          <w:lang w:val="en-US"/>
        </w:rPr>
      </w:pPr>
      <w:r w:rsidRPr="00A33970">
        <w:rPr>
          <w:lang w:val="en-US"/>
        </w:rPr>
        <w:t xml:space="preserve">Van der Bruggen B., </w:t>
      </w:r>
      <w:proofErr w:type="spellStart"/>
      <w:r w:rsidRPr="00A33970">
        <w:rPr>
          <w:lang w:val="en-US"/>
        </w:rPr>
        <w:t>Mänttäri</w:t>
      </w:r>
      <w:proofErr w:type="spellEnd"/>
      <w:r w:rsidRPr="00A33970">
        <w:rPr>
          <w:lang w:val="en-US"/>
        </w:rPr>
        <w:t xml:space="preserve"> M., &amp; </w:t>
      </w:r>
      <w:proofErr w:type="spellStart"/>
      <w:r w:rsidRPr="00A33970">
        <w:rPr>
          <w:lang w:val="en-US"/>
        </w:rPr>
        <w:t>Nyström</w:t>
      </w:r>
      <w:proofErr w:type="spellEnd"/>
      <w:r w:rsidRPr="00A33970">
        <w:rPr>
          <w:lang w:val="en-US"/>
        </w:rPr>
        <w:t xml:space="preserve"> M., 2008, Drawbacks of applying nanofiltration and how to avoid them: a review. Separation and purification technology, 63(2), 251-263.</w:t>
      </w:r>
    </w:p>
    <w:p w14:paraId="637A993E" w14:textId="03165B0B" w:rsidR="00D14BA4" w:rsidRPr="00D14BA4" w:rsidRDefault="00D14BA4" w:rsidP="00D14BA4">
      <w:pPr>
        <w:rPr>
          <w:lang w:val="en-US"/>
        </w:rPr>
      </w:pPr>
      <w:r w:rsidRPr="00D14BA4">
        <w:rPr>
          <w:lang w:val="en-US"/>
        </w:rPr>
        <w:t>Vilardi G., Rodriguez-Rodriguez J., Ochando-Pulido J.M., Verdone N., Martinez-Ferez A., Di Palma L., 2018</w:t>
      </w:r>
      <w:r>
        <w:rPr>
          <w:lang w:val="en-US"/>
        </w:rPr>
        <w:t>a</w:t>
      </w:r>
      <w:r w:rsidRPr="00D14BA4">
        <w:rPr>
          <w:lang w:val="en-US"/>
        </w:rPr>
        <w:t>, Large Laboratory-Plant application of a Tannery wastewater treatment by Fenton oxidation: Fe(II) and nZVI catalyst</w:t>
      </w:r>
      <w:r>
        <w:rPr>
          <w:lang w:val="en-US"/>
        </w:rPr>
        <w:t xml:space="preserve"> </w:t>
      </w:r>
      <w:r w:rsidRPr="00D14BA4">
        <w:rPr>
          <w:lang w:val="en-US"/>
        </w:rPr>
        <w:t>comparison and kinetic modelling, Process Safety and Environmental Protection, 117, 629-638.</w:t>
      </w:r>
    </w:p>
    <w:p w14:paraId="38CD9EA9" w14:textId="6489AD25" w:rsidR="00A33970" w:rsidRDefault="00A33970" w:rsidP="00A33970">
      <w:pPr>
        <w:rPr>
          <w:lang w:val="en-US"/>
        </w:rPr>
      </w:pPr>
      <w:r w:rsidRPr="00A33970">
        <w:rPr>
          <w:lang w:val="en-US"/>
        </w:rPr>
        <w:t>Vilardi G., Ochando Pulido J.M., Verdone N., Stoller M., Di Palma L., 2018</w:t>
      </w:r>
      <w:r w:rsidR="00D14BA4">
        <w:rPr>
          <w:lang w:val="en-US"/>
        </w:rPr>
        <w:t>b</w:t>
      </w:r>
      <w:r w:rsidRPr="00A33970">
        <w:rPr>
          <w:lang w:val="en-US"/>
        </w:rPr>
        <w:t>, On the removal of Hexavalent Chromium by olive stones coated by iron-based nanoparticles: equilibrium study and Chromium recovery, Journal of Cleaner Production, 190, 200-210.</w:t>
      </w:r>
    </w:p>
    <w:p w14:paraId="564E6B6B" w14:textId="197BC576" w:rsidR="00D14BA4" w:rsidRPr="00624740" w:rsidRDefault="00D14BA4" w:rsidP="00D14BA4">
      <w:pPr>
        <w:rPr>
          <w:lang w:val="en-US"/>
        </w:rPr>
      </w:pPr>
      <w:r w:rsidRPr="00D14BA4">
        <w:rPr>
          <w:lang w:val="en-US"/>
        </w:rPr>
        <w:t>Vilardi G., Rodriguez-Rodriguez J., Ochando Pulido J.M., Di Palma L., Verdone N., 2019, Fixed-bed reactor scale-up</w:t>
      </w:r>
      <w:r>
        <w:rPr>
          <w:lang w:val="en-US"/>
        </w:rPr>
        <w:t xml:space="preserve"> </w:t>
      </w:r>
      <w:r w:rsidRPr="00D14BA4">
        <w:rPr>
          <w:lang w:val="en-US"/>
        </w:rPr>
        <w:t>and modelling for Cr(VI) removal using nano iron-based coated biomass as packing material, Chemical Engineering</w:t>
      </w:r>
      <w:r>
        <w:rPr>
          <w:lang w:val="en-US"/>
        </w:rPr>
        <w:t xml:space="preserve"> </w:t>
      </w:r>
      <w:r w:rsidRPr="00D14BA4">
        <w:rPr>
          <w:lang w:val="en-US"/>
        </w:rPr>
        <w:t>Journal, 361, 990-998.</w:t>
      </w:r>
    </w:p>
    <w:p w14:paraId="233AB6BE" w14:textId="73A536CB" w:rsidR="00350190" w:rsidRPr="00A33970" w:rsidRDefault="00350190" w:rsidP="00A33970">
      <w:pPr>
        <w:rPr>
          <w:lang w:val="en-US"/>
        </w:rPr>
      </w:pPr>
      <w:proofErr w:type="spellStart"/>
      <w:r>
        <w:rPr>
          <w:lang w:val="en-US"/>
        </w:rPr>
        <w:t>Vrijenhoek</w:t>
      </w:r>
      <w:proofErr w:type="spellEnd"/>
      <w:r>
        <w:rPr>
          <w:lang w:val="en-US"/>
        </w:rPr>
        <w:t xml:space="preserve"> E. M., Hong S., Elimelech M., 2001,</w:t>
      </w:r>
      <w:r w:rsidRPr="00350190">
        <w:rPr>
          <w:lang w:val="en-US"/>
        </w:rPr>
        <w:t xml:space="preserve"> Influence of membrane surface properties on initial rate of colloidal fouling of reverse osmosis and nanofiltration membranes. Journal of membrane science, 188(1), 115-128.</w:t>
      </w:r>
    </w:p>
    <w:p w14:paraId="664F2EDC" w14:textId="2A2BFF0A" w:rsidR="00491770" w:rsidRDefault="00A33970" w:rsidP="0019653D">
      <w:pPr>
        <w:rPr>
          <w:lang w:val="en-US"/>
        </w:rPr>
      </w:pPr>
      <w:r w:rsidRPr="00A33970">
        <w:rPr>
          <w:lang w:val="en-US"/>
        </w:rPr>
        <w:t xml:space="preserve">Vuppala S., Stoller M., Chiavola A., </w:t>
      </w:r>
      <w:proofErr w:type="spellStart"/>
      <w:r w:rsidRPr="00A33970">
        <w:rPr>
          <w:lang w:val="en-US"/>
        </w:rPr>
        <w:t>Kanaev</w:t>
      </w:r>
      <w:proofErr w:type="spellEnd"/>
      <w:r w:rsidRPr="00A33970">
        <w:rPr>
          <w:lang w:val="en-US"/>
        </w:rPr>
        <w:t xml:space="preserve"> A., Cheng K., 2018, Synthesis of core-shell nanoparticles for the removal of toxic pollutants in aqueous medium, Chemical Engineering Transactions, 70, 1819-1824.</w:t>
      </w:r>
    </w:p>
    <w:p w14:paraId="74E3E431" w14:textId="65B62987" w:rsidR="00D14BA4" w:rsidRDefault="00D14BA4" w:rsidP="0019653D">
      <w:pPr>
        <w:rPr>
          <w:lang w:val="en-US"/>
        </w:rPr>
      </w:pPr>
    </w:p>
    <w:sectPr w:rsidR="00D14BA4"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794C4" w14:textId="77777777" w:rsidR="00ED3B47" w:rsidRDefault="00ED3B47" w:rsidP="004F5E36">
      <w:r>
        <w:separator/>
      </w:r>
    </w:p>
  </w:endnote>
  <w:endnote w:type="continuationSeparator" w:id="0">
    <w:p w14:paraId="5F55C12B" w14:textId="77777777" w:rsidR="00ED3B47" w:rsidRDefault="00ED3B4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8E9AF" w14:textId="77777777" w:rsidR="00ED3B47" w:rsidRDefault="00ED3B47" w:rsidP="004F5E36">
      <w:r>
        <w:separator/>
      </w:r>
    </w:p>
  </w:footnote>
  <w:footnote w:type="continuationSeparator" w:id="0">
    <w:p w14:paraId="71300142" w14:textId="77777777" w:rsidR="00ED3B47" w:rsidRDefault="00ED3B47"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5927B" w14:textId="77777777" w:rsidR="00A54F9A" w:rsidRDefault="00A54F9A">
    <w:pPr>
      <w:pStyle w:val="Intestazione"/>
    </w:pPr>
  </w:p>
  <w:p w14:paraId="64912304" w14:textId="77777777" w:rsidR="00A54F9A" w:rsidRDefault="00A54F9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10B26C7"/>
    <w:multiLevelType w:val="hybridMultilevel"/>
    <w:tmpl w:val="AAD2CD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38217E"/>
    <w:multiLevelType w:val="multilevel"/>
    <w:tmpl w:val="6B622AB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lang w:val="en-GB"/>
      </w:rPr>
    </w:lvl>
    <w:lvl w:ilvl="2">
      <w:start w:val="1"/>
      <w:numFmt w:val="decimal"/>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2B2E4BF6"/>
    <w:multiLevelType w:val="hybridMultilevel"/>
    <w:tmpl w:val="C1DA54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29006D1"/>
    <w:multiLevelType w:val="hybridMultilevel"/>
    <w:tmpl w:val="FBCECAB0"/>
    <w:lvl w:ilvl="0" w:tplc="365A9E8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43443DD1"/>
    <w:multiLevelType w:val="hybridMultilevel"/>
    <w:tmpl w:val="6E0086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8396822"/>
    <w:multiLevelType w:val="hybridMultilevel"/>
    <w:tmpl w:val="277AE59E"/>
    <w:lvl w:ilvl="0" w:tplc="04100001">
      <w:start w:val="90"/>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ACB11C8"/>
    <w:multiLevelType w:val="hybridMultilevel"/>
    <w:tmpl w:val="8DD815B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4A04CBC"/>
    <w:multiLevelType w:val="hybridMultilevel"/>
    <w:tmpl w:val="FCE2ED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4">
    <w:nsid w:val="574C3728"/>
    <w:multiLevelType w:val="hybridMultilevel"/>
    <w:tmpl w:val="5DC60824"/>
    <w:lvl w:ilvl="0" w:tplc="7E46DD10">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9B07123"/>
    <w:multiLevelType w:val="hybridMultilevel"/>
    <w:tmpl w:val="F09C19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CE6069B"/>
    <w:multiLevelType w:val="hybridMultilevel"/>
    <w:tmpl w:val="43301F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3"/>
  </w:num>
  <w:num w:numId="13">
    <w:abstractNumId w:val="15"/>
  </w:num>
  <w:num w:numId="14">
    <w:abstractNumId w:val="26"/>
  </w:num>
  <w:num w:numId="15">
    <w:abstractNumId w:val="28"/>
  </w:num>
  <w:num w:numId="16">
    <w:abstractNumId w:val="27"/>
  </w:num>
  <w:num w:numId="17">
    <w:abstractNumId w:val="14"/>
  </w:num>
  <w:num w:numId="18">
    <w:abstractNumId w:val="15"/>
    <w:lvlOverride w:ilvl="0">
      <w:startOverride w:val="1"/>
    </w:lvlOverride>
  </w:num>
  <w:num w:numId="19">
    <w:abstractNumId w:val="21"/>
  </w:num>
  <w:num w:numId="20">
    <w:abstractNumId w:val="20"/>
  </w:num>
  <w:num w:numId="21">
    <w:abstractNumId w:val="16"/>
  </w:num>
  <w:num w:numId="22">
    <w:abstractNumId w:val="10"/>
  </w:num>
  <w:num w:numId="23">
    <w:abstractNumId w:val="24"/>
  </w:num>
  <w:num w:numId="24">
    <w:abstractNumId w:val="22"/>
  </w:num>
  <w:num w:numId="25">
    <w:abstractNumId w:val="19"/>
  </w:num>
  <w:num w:numId="26">
    <w:abstractNumId w:val="29"/>
  </w:num>
  <w:num w:numId="27">
    <w:abstractNumId w:val="12"/>
  </w:num>
  <w:num w:numId="28">
    <w:abstractNumId w:val="17"/>
  </w:num>
  <w:num w:numId="29">
    <w:abstractNumId w:val="25"/>
  </w:num>
  <w:num w:numId="30">
    <w:abstractNumId w:val="18"/>
  </w:num>
  <w:num w:numId="31">
    <w:abstractNumId w:val="1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1"/>
    <w:lvlOverride w:ilvl="0">
      <w:startOverride w:val="1"/>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13674"/>
    <w:rsid w:val="00025C51"/>
    <w:rsid w:val="0003148D"/>
    <w:rsid w:val="00044F80"/>
    <w:rsid w:val="00047D7F"/>
    <w:rsid w:val="00051566"/>
    <w:rsid w:val="00051DFD"/>
    <w:rsid w:val="00056BCD"/>
    <w:rsid w:val="00062A9A"/>
    <w:rsid w:val="00065058"/>
    <w:rsid w:val="000657DD"/>
    <w:rsid w:val="000659CF"/>
    <w:rsid w:val="00073A60"/>
    <w:rsid w:val="00086C39"/>
    <w:rsid w:val="00093515"/>
    <w:rsid w:val="000971B4"/>
    <w:rsid w:val="000A03B2"/>
    <w:rsid w:val="000B6250"/>
    <w:rsid w:val="000C290F"/>
    <w:rsid w:val="000C41CE"/>
    <w:rsid w:val="000C579F"/>
    <w:rsid w:val="000D197E"/>
    <w:rsid w:val="000D34BE"/>
    <w:rsid w:val="000D3E97"/>
    <w:rsid w:val="000D67E2"/>
    <w:rsid w:val="000E102F"/>
    <w:rsid w:val="000E36F1"/>
    <w:rsid w:val="000E3A73"/>
    <w:rsid w:val="000E414A"/>
    <w:rsid w:val="000E5F8E"/>
    <w:rsid w:val="000F093C"/>
    <w:rsid w:val="000F16BD"/>
    <w:rsid w:val="000F6BC5"/>
    <w:rsid w:val="000F787B"/>
    <w:rsid w:val="001074AE"/>
    <w:rsid w:val="001117BC"/>
    <w:rsid w:val="0011374A"/>
    <w:rsid w:val="0011636B"/>
    <w:rsid w:val="0012091F"/>
    <w:rsid w:val="00126BC2"/>
    <w:rsid w:val="001308B6"/>
    <w:rsid w:val="0013121F"/>
    <w:rsid w:val="00131337"/>
    <w:rsid w:val="00131FAB"/>
    <w:rsid w:val="00131FE6"/>
    <w:rsid w:val="0013263F"/>
    <w:rsid w:val="00134DE4"/>
    <w:rsid w:val="00135D2A"/>
    <w:rsid w:val="0014034D"/>
    <w:rsid w:val="00142101"/>
    <w:rsid w:val="00143590"/>
    <w:rsid w:val="00150E59"/>
    <w:rsid w:val="00152DE3"/>
    <w:rsid w:val="00155C19"/>
    <w:rsid w:val="0015762C"/>
    <w:rsid w:val="00162B21"/>
    <w:rsid w:val="00164CF9"/>
    <w:rsid w:val="00180C7D"/>
    <w:rsid w:val="00182EE0"/>
    <w:rsid w:val="00184AD6"/>
    <w:rsid w:val="001858E7"/>
    <w:rsid w:val="00186878"/>
    <w:rsid w:val="001877B7"/>
    <w:rsid w:val="0019175F"/>
    <w:rsid w:val="0019603C"/>
    <w:rsid w:val="0019653D"/>
    <w:rsid w:val="001A3BE9"/>
    <w:rsid w:val="001A5598"/>
    <w:rsid w:val="001B0349"/>
    <w:rsid w:val="001B65C1"/>
    <w:rsid w:val="001C684B"/>
    <w:rsid w:val="001C6B3A"/>
    <w:rsid w:val="001D53FC"/>
    <w:rsid w:val="001F1925"/>
    <w:rsid w:val="001F42A5"/>
    <w:rsid w:val="001F7B9D"/>
    <w:rsid w:val="002224B4"/>
    <w:rsid w:val="0022268E"/>
    <w:rsid w:val="00226D33"/>
    <w:rsid w:val="00230370"/>
    <w:rsid w:val="00230872"/>
    <w:rsid w:val="002328D5"/>
    <w:rsid w:val="00233419"/>
    <w:rsid w:val="002447EF"/>
    <w:rsid w:val="00251550"/>
    <w:rsid w:val="00251925"/>
    <w:rsid w:val="002540F5"/>
    <w:rsid w:val="00263B05"/>
    <w:rsid w:val="002643E8"/>
    <w:rsid w:val="0027221A"/>
    <w:rsid w:val="00275B61"/>
    <w:rsid w:val="00282656"/>
    <w:rsid w:val="00294609"/>
    <w:rsid w:val="00296B83"/>
    <w:rsid w:val="002A490C"/>
    <w:rsid w:val="002A7265"/>
    <w:rsid w:val="002B12F1"/>
    <w:rsid w:val="002B1C6C"/>
    <w:rsid w:val="002B78CE"/>
    <w:rsid w:val="002C2731"/>
    <w:rsid w:val="002C2EC2"/>
    <w:rsid w:val="002C2FB6"/>
    <w:rsid w:val="002C7C9F"/>
    <w:rsid w:val="002F6193"/>
    <w:rsid w:val="003009B7"/>
    <w:rsid w:val="00300E56"/>
    <w:rsid w:val="003034A8"/>
    <w:rsid w:val="0030469C"/>
    <w:rsid w:val="00312FE0"/>
    <w:rsid w:val="0031398E"/>
    <w:rsid w:val="003170C6"/>
    <w:rsid w:val="00320BD8"/>
    <w:rsid w:val="00321CA6"/>
    <w:rsid w:val="003222F0"/>
    <w:rsid w:val="00334C09"/>
    <w:rsid w:val="003365E3"/>
    <w:rsid w:val="00337E44"/>
    <w:rsid w:val="00350190"/>
    <w:rsid w:val="003601CE"/>
    <w:rsid w:val="003723D4"/>
    <w:rsid w:val="00373BC0"/>
    <w:rsid w:val="00374505"/>
    <w:rsid w:val="003761D6"/>
    <w:rsid w:val="0037673A"/>
    <w:rsid w:val="00384CC8"/>
    <w:rsid w:val="003871FD"/>
    <w:rsid w:val="003A1E30"/>
    <w:rsid w:val="003A3AE9"/>
    <w:rsid w:val="003A7D1C"/>
    <w:rsid w:val="003A7F7F"/>
    <w:rsid w:val="003B304B"/>
    <w:rsid w:val="003B3146"/>
    <w:rsid w:val="003B60F3"/>
    <w:rsid w:val="003C0C2F"/>
    <w:rsid w:val="003E1277"/>
    <w:rsid w:val="003E4B57"/>
    <w:rsid w:val="003E774C"/>
    <w:rsid w:val="003F015E"/>
    <w:rsid w:val="003F3A31"/>
    <w:rsid w:val="00400414"/>
    <w:rsid w:val="00407A11"/>
    <w:rsid w:val="0041446B"/>
    <w:rsid w:val="00423610"/>
    <w:rsid w:val="0042513D"/>
    <w:rsid w:val="0043725A"/>
    <w:rsid w:val="00440760"/>
    <w:rsid w:val="0044329C"/>
    <w:rsid w:val="00446892"/>
    <w:rsid w:val="004577FE"/>
    <w:rsid w:val="00457B9C"/>
    <w:rsid w:val="0046164A"/>
    <w:rsid w:val="004628D2"/>
    <w:rsid w:val="00462DCD"/>
    <w:rsid w:val="004648AD"/>
    <w:rsid w:val="00464F7D"/>
    <w:rsid w:val="004703A9"/>
    <w:rsid w:val="00470F4F"/>
    <w:rsid w:val="00472DB1"/>
    <w:rsid w:val="004754D3"/>
    <w:rsid w:val="004760DE"/>
    <w:rsid w:val="004778A4"/>
    <w:rsid w:val="00491770"/>
    <w:rsid w:val="004960FA"/>
    <w:rsid w:val="004A004E"/>
    <w:rsid w:val="004A24CF"/>
    <w:rsid w:val="004A5B0D"/>
    <w:rsid w:val="004B6721"/>
    <w:rsid w:val="004C3D1D"/>
    <w:rsid w:val="004C517E"/>
    <w:rsid w:val="004C7913"/>
    <w:rsid w:val="004D46F9"/>
    <w:rsid w:val="004D74F7"/>
    <w:rsid w:val="004E20F3"/>
    <w:rsid w:val="004E4DD6"/>
    <w:rsid w:val="004F5E36"/>
    <w:rsid w:val="004F78AB"/>
    <w:rsid w:val="00506523"/>
    <w:rsid w:val="00507B47"/>
    <w:rsid w:val="00507CC9"/>
    <w:rsid w:val="005119A5"/>
    <w:rsid w:val="00513CA6"/>
    <w:rsid w:val="0051760A"/>
    <w:rsid w:val="005278B7"/>
    <w:rsid w:val="00530273"/>
    <w:rsid w:val="00532016"/>
    <w:rsid w:val="005346C8"/>
    <w:rsid w:val="00543E7D"/>
    <w:rsid w:val="00547A68"/>
    <w:rsid w:val="00550CCD"/>
    <w:rsid w:val="005531C9"/>
    <w:rsid w:val="00562C9F"/>
    <w:rsid w:val="005660E5"/>
    <w:rsid w:val="00567962"/>
    <w:rsid w:val="00572D48"/>
    <w:rsid w:val="005953EE"/>
    <w:rsid w:val="005A030D"/>
    <w:rsid w:val="005A4D8B"/>
    <w:rsid w:val="005B01FF"/>
    <w:rsid w:val="005B2110"/>
    <w:rsid w:val="005B61E6"/>
    <w:rsid w:val="005C2693"/>
    <w:rsid w:val="005C77E1"/>
    <w:rsid w:val="005D1E66"/>
    <w:rsid w:val="005D6A2F"/>
    <w:rsid w:val="005E1A82"/>
    <w:rsid w:val="005E794C"/>
    <w:rsid w:val="005F061B"/>
    <w:rsid w:val="005F0A28"/>
    <w:rsid w:val="005F0E5E"/>
    <w:rsid w:val="005F6E3E"/>
    <w:rsid w:val="00600535"/>
    <w:rsid w:val="00610CD6"/>
    <w:rsid w:val="0061407C"/>
    <w:rsid w:val="00620DEE"/>
    <w:rsid w:val="00621F92"/>
    <w:rsid w:val="00624740"/>
    <w:rsid w:val="00625639"/>
    <w:rsid w:val="006300D9"/>
    <w:rsid w:val="00631B33"/>
    <w:rsid w:val="00631D69"/>
    <w:rsid w:val="0064184D"/>
    <w:rsid w:val="006422CC"/>
    <w:rsid w:val="00650A51"/>
    <w:rsid w:val="00652EA6"/>
    <w:rsid w:val="00655B90"/>
    <w:rsid w:val="00660E3E"/>
    <w:rsid w:val="00662E74"/>
    <w:rsid w:val="00680C23"/>
    <w:rsid w:val="00682AFE"/>
    <w:rsid w:val="00690D87"/>
    <w:rsid w:val="00693558"/>
    <w:rsid w:val="00693766"/>
    <w:rsid w:val="006947DE"/>
    <w:rsid w:val="006A3281"/>
    <w:rsid w:val="006B2670"/>
    <w:rsid w:val="006B30CE"/>
    <w:rsid w:val="006B4888"/>
    <w:rsid w:val="006B6DEB"/>
    <w:rsid w:val="006B6FFB"/>
    <w:rsid w:val="006C2E45"/>
    <w:rsid w:val="006C359C"/>
    <w:rsid w:val="006C5579"/>
    <w:rsid w:val="006E46F6"/>
    <w:rsid w:val="006E6D9E"/>
    <w:rsid w:val="006E737D"/>
    <w:rsid w:val="006F0A12"/>
    <w:rsid w:val="00700FD5"/>
    <w:rsid w:val="0070195D"/>
    <w:rsid w:val="00705A3B"/>
    <w:rsid w:val="00720A24"/>
    <w:rsid w:val="00721835"/>
    <w:rsid w:val="00721E98"/>
    <w:rsid w:val="00732386"/>
    <w:rsid w:val="00732C87"/>
    <w:rsid w:val="00734C62"/>
    <w:rsid w:val="00735C38"/>
    <w:rsid w:val="00741167"/>
    <w:rsid w:val="007447F3"/>
    <w:rsid w:val="00744B0A"/>
    <w:rsid w:val="0075499F"/>
    <w:rsid w:val="007550D8"/>
    <w:rsid w:val="0075656C"/>
    <w:rsid w:val="00760207"/>
    <w:rsid w:val="00766164"/>
    <w:rsid w:val="007661C8"/>
    <w:rsid w:val="0076721E"/>
    <w:rsid w:val="00770372"/>
    <w:rsid w:val="0077098D"/>
    <w:rsid w:val="00771E6D"/>
    <w:rsid w:val="00772143"/>
    <w:rsid w:val="007744F8"/>
    <w:rsid w:val="00775CA9"/>
    <w:rsid w:val="007931FA"/>
    <w:rsid w:val="0079750B"/>
    <w:rsid w:val="007A7BBA"/>
    <w:rsid w:val="007B0C50"/>
    <w:rsid w:val="007B4456"/>
    <w:rsid w:val="007B697F"/>
    <w:rsid w:val="007C13B3"/>
    <w:rsid w:val="007C1A43"/>
    <w:rsid w:val="007C23EB"/>
    <w:rsid w:val="007C6941"/>
    <w:rsid w:val="007C7F15"/>
    <w:rsid w:val="007D6A2F"/>
    <w:rsid w:val="007E1DC6"/>
    <w:rsid w:val="007F1AA4"/>
    <w:rsid w:val="00802B8C"/>
    <w:rsid w:val="008034AF"/>
    <w:rsid w:val="00805D33"/>
    <w:rsid w:val="00813288"/>
    <w:rsid w:val="008168FC"/>
    <w:rsid w:val="0082061D"/>
    <w:rsid w:val="00824F4F"/>
    <w:rsid w:val="00830996"/>
    <w:rsid w:val="00833552"/>
    <w:rsid w:val="008345F1"/>
    <w:rsid w:val="008511A7"/>
    <w:rsid w:val="008531D2"/>
    <w:rsid w:val="00853FC1"/>
    <w:rsid w:val="00862D2C"/>
    <w:rsid w:val="00865B07"/>
    <w:rsid w:val="008667EA"/>
    <w:rsid w:val="0087637F"/>
    <w:rsid w:val="00876405"/>
    <w:rsid w:val="00876F6F"/>
    <w:rsid w:val="00883C78"/>
    <w:rsid w:val="008904B9"/>
    <w:rsid w:val="00892AD5"/>
    <w:rsid w:val="008A1512"/>
    <w:rsid w:val="008A21E1"/>
    <w:rsid w:val="008B61C3"/>
    <w:rsid w:val="008D32B9"/>
    <w:rsid w:val="008D433B"/>
    <w:rsid w:val="008D4D4F"/>
    <w:rsid w:val="008E566E"/>
    <w:rsid w:val="008F27AB"/>
    <w:rsid w:val="008F4E87"/>
    <w:rsid w:val="0090161A"/>
    <w:rsid w:val="00901EB6"/>
    <w:rsid w:val="00904C62"/>
    <w:rsid w:val="00920A0C"/>
    <w:rsid w:val="00920B60"/>
    <w:rsid w:val="00922CD8"/>
    <w:rsid w:val="00924DAC"/>
    <w:rsid w:val="00926959"/>
    <w:rsid w:val="00927058"/>
    <w:rsid w:val="009308B9"/>
    <w:rsid w:val="00931330"/>
    <w:rsid w:val="00940696"/>
    <w:rsid w:val="009450CE"/>
    <w:rsid w:val="00947179"/>
    <w:rsid w:val="0095164B"/>
    <w:rsid w:val="009528EE"/>
    <w:rsid w:val="00954090"/>
    <w:rsid w:val="009573E7"/>
    <w:rsid w:val="009610F8"/>
    <w:rsid w:val="00963E05"/>
    <w:rsid w:val="00965A58"/>
    <w:rsid w:val="00967D54"/>
    <w:rsid w:val="00970C8D"/>
    <w:rsid w:val="00977F89"/>
    <w:rsid w:val="0098451C"/>
    <w:rsid w:val="00984F65"/>
    <w:rsid w:val="00991B9B"/>
    <w:rsid w:val="009925E1"/>
    <w:rsid w:val="00996483"/>
    <w:rsid w:val="009967E9"/>
    <w:rsid w:val="00996F5A"/>
    <w:rsid w:val="00997E1A"/>
    <w:rsid w:val="009A0A3E"/>
    <w:rsid w:val="009A28B3"/>
    <w:rsid w:val="009A5672"/>
    <w:rsid w:val="009B041A"/>
    <w:rsid w:val="009C07A0"/>
    <w:rsid w:val="009C7C86"/>
    <w:rsid w:val="009D2FF7"/>
    <w:rsid w:val="009D6CCF"/>
    <w:rsid w:val="009E4628"/>
    <w:rsid w:val="009E7884"/>
    <w:rsid w:val="009E788A"/>
    <w:rsid w:val="009F0E08"/>
    <w:rsid w:val="009F1985"/>
    <w:rsid w:val="00A046B2"/>
    <w:rsid w:val="00A166FA"/>
    <w:rsid w:val="00A1763D"/>
    <w:rsid w:val="00A17CEC"/>
    <w:rsid w:val="00A26EA5"/>
    <w:rsid w:val="00A27EF0"/>
    <w:rsid w:val="00A33970"/>
    <w:rsid w:val="00A356B7"/>
    <w:rsid w:val="00A472F7"/>
    <w:rsid w:val="00A50B20"/>
    <w:rsid w:val="00A51390"/>
    <w:rsid w:val="00A52B69"/>
    <w:rsid w:val="00A54F9A"/>
    <w:rsid w:val="00A60D13"/>
    <w:rsid w:val="00A711CB"/>
    <w:rsid w:val="00A714E6"/>
    <w:rsid w:val="00A72745"/>
    <w:rsid w:val="00A76EFC"/>
    <w:rsid w:val="00A91010"/>
    <w:rsid w:val="00A919B5"/>
    <w:rsid w:val="00A97F29"/>
    <w:rsid w:val="00AA6ACE"/>
    <w:rsid w:val="00AA702E"/>
    <w:rsid w:val="00AB0964"/>
    <w:rsid w:val="00AB46F4"/>
    <w:rsid w:val="00AB5011"/>
    <w:rsid w:val="00AC3230"/>
    <w:rsid w:val="00AC7368"/>
    <w:rsid w:val="00AC7651"/>
    <w:rsid w:val="00AD16B9"/>
    <w:rsid w:val="00AE0FEB"/>
    <w:rsid w:val="00AE377D"/>
    <w:rsid w:val="00AE3982"/>
    <w:rsid w:val="00B003D4"/>
    <w:rsid w:val="00B16616"/>
    <w:rsid w:val="00B17FBD"/>
    <w:rsid w:val="00B20DDC"/>
    <w:rsid w:val="00B21A26"/>
    <w:rsid w:val="00B22E34"/>
    <w:rsid w:val="00B30B7A"/>
    <w:rsid w:val="00B315A6"/>
    <w:rsid w:val="00B31813"/>
    <w:rsid w:val="00B33365"/>
    <w:rsid w:val="00B37787"/>
    <w:rsid w:val="00B54507"/>
    <w:rsid w:val="00B57B36"/>
    <w:rsid w:val="00B63136"/>
    <w:rsid w:val="00B64E86"/>
    <w:rsid w:val="00B816E6"/>
    <w:rsid w:val="00B8686D"/>
    <w:rsid w:val="00BA7259"/>
    <w:rsid w:val="00BC14B9"/>
    <w:rsid w:val="00BC30C9"/>
    <w:rsid w:val="00BC5F4E"/>
    <w:rsid w:val="00BD1832"/>
    <w:rsid w:val="00BD23F0"/>
    <w:rsid w:val="00BE3E58"/>
    <w:rsid w:val="00BF561F"/>
    <w:rsid w:val="00BF6A5D"/>
    <w:rsid w:val="00C01616"/>
    <w:rsid w:val="00C0162B"/>
    <w:rsid w:val="00C11FFC"/>
    <w:rsid w:val="00C2621C"/>
    <w:rsid w:val="00C341A7"/>
    <w:rsid w:val="00C345B1"/>
    <w:rsid w:val="00C40142"/>
    <w:rsid w:val="00C5470C"/>
    <w:rsid w:val="00C57182"/>
    <w:rsid w:val="00C57863"/>
    <w:rsid w:val="00C57BE0"/>
    <w:rsid w:val="00C639D5"/>
    <w:rsid w:val="00C655FD"/>
    <w:rsid w:val="00C748A2"/>
    <w:rsid w:val="00C748AE"/>
    <w:rsid w:val="00C870A8"/>
    <w:rsid w:val="00C94434"/>
    <w:rsid w:val="00CA0D75"/>
    <w:rsid w:val="00CA1C95"/>
    <w:rsid w:val="00CA361C"/>
    <w:rsid w:val="00CA5A9C"/>
    <w:rsid w:val="00CC1B57"/>
    <w:rsid w:val="00CC3668"/>
    <w:rsid w:val="00CC3BF9"/>
    <w:rsid w:val="00CD3517"/>
    <w:rsid w:val="00CD5FE2"/>
    <w:rsid w:val="00CE10B1"/>
    <w:rsid w:val="00CE7C68"/>
    <w:rsid w:val="00CF1992"/>
    <w:rsid w:val="00CF1C5C"/>
    <w:rsid w:val="00D02B37"/>
    <w:rsid w:val="00D02B4C"/>
    <w:rsid w:val="00D040C4"/>
    <w:rsid w:val="00D12101"/>
    <w:rsid w:val="00D14BA4"/>
    <w:rsid w:val="00D2486A"/>
    <w:rsid w:val="00D31786"/>
    <w:rsid w:val="00D3288F"/>
    <w:rsid w:val="00D473DE"/>
    <w:rsid w:val="00D55B39"/>
    <w:rsid w:val="00D57C84"/>
    <w:rsid w:val="00D6057D"/>
    <w:rsid w:val="00D70083"/>
    <w:rsid w:val="00D84576"/>
    <w:rsid w:val="00D87D63"/>
    <w:rsid w:val="00D9253B"/>
    <w:rsid w:val="00DA1399"/>
    <w:rsid w:val="00DA24C6"/>
    <w:rsid w:val="00DA44F2"/>
    <w:rsid w:val="00DA4D7B"/>
    <w:rsid w:val="00DB1B43"/>
    <w:rsid w:val="00DC05F9"/>
    <w:rsid w:val="00DC07DB"/>
    <w:rsid w:val="00DD0B9D"/>
    <w:rsid w:val="00DE264A"/>
    <w:rsid w:val="00DE5C2A"/>
    <w:rsid w:val="00E02D18"/>
    <w:rsid w:val="00E041E7"/>
    <w:rsid w:val="00E128E0"/>
    <w:rsid w:val="00E16785"/>
    <w:rsid w:val="00E17346"/>
    <w:rsid w:val="00E220F2"/>
    <w:rsid w:val="00E23BD4"/>
    <w:rsid w:val="00E23CA1"/>
    <w:rsid w:val="00E32890"/>
    <w:rsid w:val="00E409A8"/>
    <w:rsid w:val="00E50C12"/>
    <w:rsid w:val="00E54732"/>
    <w:rsid w:val="00E65B91"/>
    <w:rsid w:val="00E70244"/>
    <w:rsid w:val="00E7209D"/>
    <w:rsid w:val="00E77223"/>
    <w:rsid w:val="00E8528B"/>
    <w:rsid w:val="00E85B94"/>
    <w:rsid w:val="00E93D92"/>
    <w:rsid w:val="00E978D0"/>
    <w:rsid w:val="00EA03FA"/>
    <w:rsid w:val="00EA4613"/>
    <w:rsid w:val="00EA7F91"/>
    <w:rsid w:val="00EB1523"/>
    <w:rsid w:val="00EB17E3"/>
    <w:rsid w:val="00EC0E49"/>
    <w:rsid w:val="00EC303B"/>
    <w:rsid w:val="00EC4009"/>
    <w:rsid w:val="00EC55CF"/>
    <w:rsid w:val="00ED3B47"/>
    <w:rsid w:val="00ED5F33"/>
    <w:rsid w:val="00EE0131"/>
    <w:rsid w:val="00EF1B41"/>
    <w:rsid w:val="00F155B2"/>
    <w:rsid w:val="00F21613"/>
    <w:rsid w:val="00F30C64"/>
    <w:rsid w:val="00F31C67"/>
    <w:rsid w:val="00F32CDB"/>
    <w:rsid w:val="00F502F9"/>
    <w:rsid w:val="00F52B6E"/>
    <w:rsid w:val="00F63A70"/>
    <w:rsid w:val="00F73F0E"/>
    <w:rsid w:val="00F90963"/>
    <w:rsid w:val="00F97F85"/>
    <w:rsid w:val="00FA21D0"/>
    <w:rsid w:val="00FA5F5F"/>
    <w:rsid w:val="00FB02FF"/>
    <w:rsid w:val="00FB730C"/>
    <w:rsid w:val="00FC1AAB"/>
    <w:rsid w:val="00FC2695"/>
    <w:rsid w:val="00FC3E03"/>
    <w:rsid w:val="00FC3FC1"/>
    <w:rsid w:val="00FC5BF6"/>
    <w:rsid w:val="00FD4126"/>
    <w:rsid w:val="00FD6EB6"/>
    <w:rsid w:val="00FE0535"/>
    <w:rsid w:val="00FE0C75"/>
    <w:rsid w:val="00FE685E"/>
    <w:rsid w:val="00FF6D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B3D16"/>
  <w15:docId w15:val="{A789EE6B-F4CE-4562-806B-9D89A205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760207"/>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760207"/>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8531D2"/>
    <w:pPr>
      <w:spacing w:after="0"/>
    </w:pPr>
  </w:style>
  <w:style w:type="character" w:customStyle="1" w:styleId="CETHeadingxxChar">
    <w:name w:val="CET Headingxx Char"/>
    <w:basedOn w:val="CETheadingxCarattere"/>
    <w:link w:val="CETHeadingxx"/>
    <w:rsid w:val="008531D2"/>
    <w:rPr>
      <w:rFonts w:ascii="Arial" w:eastAsia="Times New Roman" w:hAnsi="Arial" w:cs="Times New Roman"/>
      <w:b/>
      <w:sz w:val="18"/>
      <w:szCs w:val="20"/>
      <w:lang w:val="en-US"/>
    </w:rPr>
  </w:style>
  <w:style w:type="paragraph" w:styleId="Paragrafoelenco">
    <w:name w:val="List Paragraph"/>
    <w:basedOn w:val="Normale"/>
    <w:uiPriority w:val="34"/>
    <w:qFormat/>
    <w:rsid w:val="00056BCD"/>
    <w:pPr>
      <w:ind w:left="720"/>
      <w:contextualSpacing/>
    </w:pPr>
  </w:style>
  <w:style w:type="table" w:styleId="Tabellasemplice-2">
    <w:name w:val="Plain Table 2"/>
    <w:basedOn w:val="Tabellanormale"/>
    <w:uiPriority w:val="42"/>
    <w:rsid w:val="009D6CC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
    <w:name w:val="st"/>
    <w:rsid w:val="00B64E86"/>
  </w:style>
  <w:style w:type="character" w:styleId="Enfasicorsivo">
    <w:name w:val="Emphasis"/>
    <w:uiPriority w:val="20"/>
    <w:qFormat/>
    <w:rsid w:val="00B64E86"/>
    <w:rPr>
      <w:i/>
      <w:iCs/>
    </w:rPr>
  </w:style>
  <w:style w:type="paragraph" w:customStyle="1" w:styleId="Testo">
    <w:name w:val="Testo"/>
    <w:basedOn w:val="Normale"/>
    <w:link w:val="TestoCarattere"/>
    <w:autoRedefine/>
    <w:qFormat/>
    <w:rsid w:val="00940696"/>
    <w:pPr>
      <w:tabs>
        <w:tab w:val="clear" w:pos="7100"/>
      </w:tabs>
      <w:spacing w:after="160" w:line="240" w:lineRule="auto"/>
    </w:pPr>
    <w:rPr>
      <w:rFonts w:eastAsiaTheme="minorHAnsi" w:cs="Arial"/>
      <w:szCs w:val="18"/>
      <w:lang w:val="it-IT"/>
    </w:rPr>
  </w:style>
  <w:style w:type="character" w:customStyle="1" w:styleId="TestoCarattere">
    <w:name w:val="Testo Carattere"/>
    <w:basedOn w:val="Carpredefinitoparagrafo"/>
    <w:link w:val="Testo"/>
    <w:rsid w:val="00940696"/>
    <w:rPr>
      <w:rFonts w:ascii="Arial" w:hAnsi="Arial" w:cs="Arial"/>
      <w:sz w:val="18"/>
      <w:szCs w:val="18"/>
    </w:rPr>
  </w:style>
  <w:style w:type="character" w:styleId="Testosegnaposto">
    <w:name w:val="Placeholder Text"/>
    <w:basedOn w:val="Carpredefinitoparagrafo"/>
    <w:uiPriority w:val="99"/>
    <w:semiHidden/>
    <w:rsid w:val="007744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9211C-7A7C-409C-B05B-A2414EF9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6</Pages>
  <Words>2839</Words>
  <Characters>16187</Characters>
  <Application>Microsoft Office Word</Application>
  <DocSecurity>0</DocSecurity>
  <Lines>134</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Sauro</cp:lastModifiedBy>
  <cp:revision>15</cp:revision>
  <cp:lastPrinted>2015-05-12T18:31:00Z</cp:lastPrinted>
  <dcterms:created xsi:type="dcterms:W3CDTF">2019-02-21T17:42:00Z</dcterms:created>
  <dcterms:modified xsi:type="dcterms:W3CDTF">2019-05-12T13:16:00Z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