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F33529" w:rsidRDefault="00F33529" w:rsidP="00AB5011">
      <w:pPr>
        <w:pStyle w:val="CETAuthors"/>
        <w:rPr>
          <w:noProof w:val="0"/>
          <w:sz w:val="32"/>
        </w:rPr>
      </w:pPr>
      <w:r w:rsidRPr="00F33529">
        <w:rPr>
          <w:noProof w:val="0"/>
          <w:sz w:val="32"/>
        </w:rPr>
        <w:t xml:space="preserve">Development </w:t>
      </w:r>
      <w:proofErr w:type="gramStart"/>
      <w:r w:rsidRPr="00F33529">
        <w:rPr>
          <w:noProof w:val="0"/>
          <w:sz w:val="32"/>
        </w:rPr>
        <w:t>Of</w:t>
      </w:r>
      <w:proofErr w:type="gramEnd"/>
      <w:r w:rsidRPr="00F33529">
        <w:rPr>
          <w:noProof w:val="0"/>
          <w:sz w:val="32"/>
        </w:rPr>
        <w:t xml:space="preserve"> A Process For N-Butanol Recovery From Abe Wastewater Streams By Membrane Technology </w:t>
      </w:r>
    </w:p>
    <w:p w:rsidR="00E978D0" w:rsidRPr="00F33529" w:rsidRDefault="00F33529" w:rsidP="00AB5011">
      <w:pPr>
        <w:pStyle w:val="CETAuthors"/>
        <w:rPr>
          <w:lang w:val="it-IT"/>
        </w:rPr>
      </w:pPr>
      <w:r w:rsidRPr="00F33529">
        <w:rPr>
          <w:lang w:val="it-IT"/>
        </w:rPr>
        <w:t>Marco Stoller</w:t>
      </w:r>
      <w:r w:rsidR="00600535" w:rsidRPr="00F33529">
        <w:rPr>
          <w:vertAlign w:val="superscript"/>
          <w:lang w:val="it-IT"/>
        </w:rPr>
        <w:t>a</w:t>
      </w:r>
      <w:r w:rsidRPr="00F33529">
        <w:rPr>
          <w:vertAlign w:val="superscript"/>
          <w:lang w:val="it-IT"/>
        </w:rPr>
        <w:t>*</w:t>
      </w:r>
      <w:r w:rsidR="00600535" w:rsidRPr="00F33529">
        <w:rPr>
          <w:lang w:val="it-IT"/>
        </w:rPr>
        <w:t xml:space="preserve">, </w:t>
      </w:r>
      <w:r w:rsidRPr="00F33529">
        <w:rPr>
          <w:lang w:val="it-IT"/>
        </w:rPr>
        <w:t>Marco Bravi</w:t>
      </w:r>
      <w:r w:rsidRPr="00F33529">
        <w:rPr>
          <w:vertAlign w:val="superscript"/>
          <w:lang w:val="it-IT"/>
        </w:rPr>
        <w:t>a</w:t>
      </w:r>
      <w:r w:rsidRPr="00F33529">
        <w:rPr>
          <w:lang w:val="it-IT"/>
        </w:rPr>
        <w:t>, Paola Russo</w:t>
      </w:r>
      <w:r w:rsidRPr="00F33529">
        <w:rPr>
          <w:vertAlign w:val="superscript"/>
          <w:lang w:val="it-IT"/>
        </w:rPr>
        <w:t>a</w:t>
      </w:r>
      <w:r w:rsidRPr="00F33529">
        <w:rPr>
          <w:lang w:val="it-IT"/>
        </w:rPr>
        <w:t>, Roberto Bubbico</w:t>
      </w:r>
      <w:r w:rsidRPr="00F33529">
        <w:rPr>
          <w:vertAlign w:val="superscript"/>
          <w:lang w:val="it-IT"/>
        </w:rPr>
        <w:t>a</w:t>
      </w:r>
      <w:r w:rsidRPr="00F33529">
        <w:rPr>
          <w:lang w:val="it-IT"/>
        </w:rPr>
        <w:t>, Barbara Mazzarotta</w:t>
      </w:r>
      <w:r w:rsidRPr="00F33529">
        <w:rPr>
          <w:vertAlign w:val="superscript"/>
          <w:lang w:val="it-IT"/>
        </w:rPr>
        <w:t>a</w:t>
      </w:r>
    </w:p>
    <w:p w:rsidR="00E978D0" w:rsidRPr="00B57B36" w:rsidRDefault="00E978D0" w:rsidP="00E978D0">
      <w:pPr>
        <w:pStyle w:val="CETAddress"/>
      </w:pPr>
      <w:r w:rsidRPr="00B57B36">
        <w:rPr>
          <w:vertAlign w:val="superscript"/>
        </w:rPr>
        <w:t>a</w:t>
      </w:r>
      <w:r w:rsidR="00F33529">
        <w:t>Sapienza University of Rome, Dept. of Chemical Materials Environmental Engineering, Via Eudossiana 18, 00184 Rome, Italy</w:t>
      </w:r>
      <w:r w:rsidRPr="00B57B36">
        <w:t xml:space="preserve"> </w:t>
      </w:r>
    </w:p>
    <w:p w:rsidR="00E978D0" w:rsidRPr="00B57B36" w:rsidRDefault="00F33529" w:rsidP="00E978D0">
      <w:pPr>
        <w:pStyle w:val="CETemail"/>
      </w:pPr>
      <w:r>
        <w:t>marco.stoller@uniroma1.it</w:t>
      </w:r>
    </w:p>
    <w:p w:rsidR="00F33529" w:rsidRDefault="00F33529" w:rsidP="00F33529">
      <w:pPr>
        <w:rPr>
          <w:rFonts w:asciiTheme="minorHAnsi" w:hAnsiTheme="minorHAnsi"/>
          <w:sz w:val="22"/>
        </w:rPr>
      </w:pPr>
      <w:r>
        <w:t xml:space="preserve">The </w:t>
      </w:r>
      <w:proofErr w:type="spellStart"/>
      <w:r>
        <w:t>aceton</w:t>
      </w:r>
      <w:proofErr w:type="spellEnd"/>
      <w:r>
        <w:t>-butyl-ethanolic fermentation process (ABE) is a biotechnological process that leads to the production of acetone, n-butanol and ethanol (ABE compounds) from glucose sources and amides by use of certain biomasses. The process was developed initially during the middle of the last century and suffers from decline due to the greater petrochemical production of products and the lowering of the costs of the sector. Nowadays, the ABE process is regaining great interest because the fraction with the highest concentration, i.e. n-butanol, is an excellent constituent for biofuels.</w:t>
      </w:r>
    </w:p>
    <w:p w:rsidR="00F33529" w:rsidRDefault="00F33529" w:rsidP="00F33529">
      <w:r>
        <w:t>The ABE process has been optimized over time to obtain maximum yields of n-butanol, but the problem of separating and concentrating the butanol in the outlet stream of the ABE process persists. To allow an adequate use, often distillation by use of more columns is required. Moreover, the contained biomasses and suspended solids, in high quantity, must be eliminated, leading to overall high treatment costs.</w:t>
      </w:r>
    </w:p>
    <w:p w:rsidR="00F33529" w:rsidRDefault="00F33529" w:rsidP="00F33529">
      <w:r>
        <w:t xml:space="preserve">This work will report the main idea and some preliminary experimental results for the development and application of a process based on membrane technologies, to separate and concentrate the butanol from ABE process streams to sensibly reduce the difficulty to perform a final distillation. </w:t>
      </w:r>
    </w:p>
    <w:p w:rsidR="00F33529" w:rsidRDefault="00F33529" w:rsidP="00F33529">
      <w:r>
        <w:t>The proposed treatment process is composed by ultrafiltration, pervaporation, nanofiltration and a final mixing/</w:t>
      </w:r>
      <w:proofErr w:type="spellStart"/>
      <w:r>
        <w:t>demixing</w:t>
      </w:r>
      <w:proofErr w:type="spellEnd"/>
      <w:r>
        <w:t xml:space="preserve"> operation.</w:t>
      </w:r>
    </w:p>
    <w:p w:rsidR="00F33529" w:rsidRDefault="00F33529" w:rsidP="00F33529">
      <w:r>
        <w:t>Attention was paid to the productivity, selectivity and longevity of the used membranes. The optimization of these three parameters is essential to achieve a level of reliability and feasibility of the proposed process, in particular the avoidance of membrane fouling.</w:t>
      </w:r>
    </w:p>
    <w:p w:rsidR="00600535" w:rsidRPr="00B57B36" w:rsidRDefault="00600535" w:rsidP="00600535">
      <w:pPr>
        <w:pStyle w:val="CETHeading1"/>
        <w:rPr>
          <w:lang w:val="en-GB"/>
        </w:rPr>
      </w:pPr>
      <w:r w:rsidRPr="00B57B36">
        <w:rPr>
          <w:lang w:val="en-GB"/>
        </w:rPr>
        <w:t>Introduction</w:t>
      </w:r>
    </w:p>
    <w:p w:rsidR="00F33529" w:rsidRPr="00F33529" w:rsidRDefault="00F33529" w:rsidP="00F33529">
      <w:pPr>
        <w:spacing w:line="240" w:lineRule="auto"/>
        <w:rPr>
          <w:rFonts w:cs="Arial"/>
          <w:color w:val="000000"/>
          <w:lang w:eastAsia="it-IT"/>
        </w:rPr>
      </w:pPr>
      <w:r w:rsidRPr="00F33529">
        <w:rPr>
          <w:rFonts w:cs="Arial"/>
          <w:color w:val="000000"/>
          <w:lang w:eastAsia="it-IT"/>
        </w:rPr>
        <w:t xml:space="preserve">The n-butanol obtained from biomass, known as bio-butanol, is now affirming itself as the main component of the </w:t>
      </w:r>
      <w:r w:rsidR="000C4369">
        <w:rPr>
          <w:rFonts w:cs="Arial"/>
          <w:color w:val="000000"/>
          <w:lang w:eastAsia="it-IT"/>
        </w:rPr>
        <w:t>2nd</w:t>
      </w:r>
      <w:r w:rsidRPr="00F33529">
        <w:rPr>
          <w:rFonts w:cs="Arial"/>
          <w:color w:val="000000"/>
          <w:lang w:eastAsia="it-IT"/>
        </w:rPr>
        <w:t xml:space="preserve"> generation biofuels for improvements in the production process ABE (optimization of the biological reactor, of the microbial biomass used, reduction of water consumption and energy) and the advantages compared to bio-ethanol (higher energy content, lower volatility, hygroscopicity and corrosivity).</w:t>
      </w:r>
    </w:p>
    <w:p w:rsidR="00F33529" w:rsidRPr="00F33529" w:rsidRDefault="00F33529" w:rsidP="00F33529">
      <w:pPr>
        <w:spacing w:line="240" w:lineRule="auto"/>
        <w:rPr>
          <w:rFonts w:cs="Arial"/>
          <w:color w:val="000000"/>
          <w:lang w:eastAsia="it-IT"/>
        </w:rPr>
      </w:pPr>
      <w:r w:rsidRPr="00F33529">
        <w:rPr>
          <w:rFonts w:cs="Arial"/>
          <w:color w:val="000000"/>
          <w:lang w:eastAsia="it-IT"/>
        </w:rPr>
        <w:t xml:space="preserve">Currently, the collaboration between DuPont and BP has led to the formation of a commercial sales plan </w:t>
      </w:r>
      <w:r w:rsidR="000C4369" w:rsidRPr="00F33529">
        <w:rPr>
          <w:rFonts w:cs="Arial"/>
          <w:color w:val="000000"/>
          <w:lang w:eastAsia="it-IT"/>
        </w:rPr>
        <w:t>to produce</w:t>
      </w:r>
      <w:r w:rsidRPr="00F33529">
        <w:rPr>
          <w:rFonts w:cs="Arial"/>
          <w:color w:val="000000"/>
          <w:lang w:eastAsia="it-IT"/>
        </w:rPr>
        <w:t xml:space="preserve"> n-butanol obtained from sugar beets. Other companies that are producing n-butanol are </w:t>
      </w:r>
      <w:proofErr w:type="spellStart"/>
      <w:r w:rsidRPr="00F33529">
        <w:rPr>
          <w:rFonts w:cs="Arial"/>
          <w:color w:val="000000"/>
          <w:lang w:eastAsia="it-IT"/>
        </w:rPr>
        <w:t>Gevo</w:t>
      </w:r>
      <w:proofErr w:type="spellEnd"/>
      <w:r w:rsidRPr="00F33529">
        <w:rPr>
          <w:rFonts w:cs="Arial"/>
          <w:color w:val="000000"/>
          <w:lang w:eastAsia="it-IT"/>
        </w:rPr>
        <w:t xml:space="preserve"> and </w:t>
      </w:r>
      <w:proofErr w:type="spellStart"/>
      <w:r w:rsidRPr="00F33529">
        <w:rPr>
          <w:rFonts w:cs="Arial"/>
          <w:color w:val="000000"/>
          <w:lang w:eastAsia="it-IT"/>
        </w:rPr>
        <w:t>Tetravitae</w:t>
      </w:r>
      <w:proofErr w:type="spellEnd"/>
      <w:r w:rsidRPr="00F33529">
        <w:rPr>
          <w:rFonts w:cs="Arial"/>
          <w:color w:val="000000"/>
          <w:lang w:eastAsia="it-IT"/>
        </w:rPr>
        <w:t xml:space="preserve"> in collaboration with the University of Illinois. </w:t>
      </w:r>
      <w:proofErr w:type="spellStart"/>
      <w:r w:rsidRPr="00F33529">
        <w:rPr>
          <w:rFonts w:cs="Arial"/>
          <w:color w:val="000000"/>
          <w:lang w:eastAsia="it-IT"/>
        </w:rPr>
        <w:t>Greenbiologics</w:t>
      </w:r>
      <w:proofErr w:type="spellEnd"/>
      <w:r w:rsidRPr="00F33529">
        <w:rPr>
          <w:rFonts w:cs="Arial"/>
          <w:color w:val="000000"/>
          <w:lang w:eastAsia="it-IT"/>
        </w:rPr>
        <w:t xml:space="preserve"> has invested in the development of technology recently with a total funding of € 6.23 million in related collaborative projects. </w:t>
      </w:r>
      <w:proofErr w:type="spellStart"/>
      <w:r w:rsidRPr="00F33529">
        <w:rPr>
          <w:rFonts w:cs="Arial"/>
          <w:color w:val="000000"/>
          <w:lang w:eastAsia="it-IT"/>
        </w:rPr>
        <w:t>Butamax</w:t>
      </w:r>
      <w:proofErr w:type="spellEnd"/>
      <w:r w:rsidRPr="00F33529">
        <w:rPr>
          <w:rFonts w:cs="Arial"/>
          <w:color w:val="000000"/>
          <w:lang w:eastAsia="it-IT"/>
        </w:rPr>
        <w:t xml:space="preserve"> Advanced Biofuels researches production methods starting from lignin. At the European level, there are 7 projects funded in the HORIZON 2020 area, which also focus on the various aspects of the ABE process for the suitable production of n-butanol as a base for biofuels, starting from a further optimization of the basic biological process, starting from diversified </w:t>
      </w:r>
      <w:r w:rsidR="00603FAF" w:rsidRPr="00F33529">
        <w:rPr>
          <w:rFonts w:cs="Arial"/>
          <w:color w:val="000000"/>
          <w:lang w:eastAsia="it-IT"/>
        </w:rPr>
        <w:t>sources,</w:t>
      </w:r>
      <w:r w:rsidRPr="00F33529">
        <w:rPr>
          <w:rFonts w:cs="Arial"/>
          <w:color w:val="000000"/>
          <w:lang w:eastAsia="it-IT"/>
        </w:rPr>
        <w:t xml:space="preserve"> with the aim of facilitating the concentration of n-butanol in the post-processing phase. At the national level, the issue captures a strong interest both in terms of projects and seminars and / or congresses. AIDIC, the Italian association of chemical engineering, of which the proponent is a member of the national council, organizes at least one round table event on the topic of energy and biofuels every year.</w:t>
      </w:r>
    </w:p>
    <w:p w:rsidR="00F33529" w:rsidRPr="00F33529" w:rsidRDefault="00F33529" w:rsidP="00F33529">
      <w:pPr>
        <w:spacing w:line="240" w:lineRule="auto"/>
        <w:rPr>
          <w:rFonts w:cs="Arial"/>
          <w:color w:val="000000"/>
          <w:lang w:eastAsia="it-IT"/>
        </w:rPr>
      </w:pPr>
      <w:r w:rsidRPr="00F33529">
        <w:rPr>
          <w:rFonts w:cs="Arial"/>
          <w:color w:val="000000"/>
          <w:lang w:eastAsia="it-IT"/>
        </w:rPr>
        <w:t xml:space="preserve">Despite significant research efforts, the full economic sustainability of bio-butanol production has not yet been achieved. The main problem is the purification of biobutanol from the low concentration of the "broth" coming </w:t>
      </w:r>
      <w:r w:rsidRPr="00F33529">
        <w:rPr>
          <w:rFonts w:cs="Arial"/>
          <w:color w:val="000000"/>
          <w:lang w:eastAsia="it-IT"/>
        </w:rPr>
        <w:lastRenderedPageBreak/>
        <w:t>from the bioreactor up to the high purity required by motor applications (99% and over), currently realized with a train of energetically expensive distillation columns.</w:t>
      </w:r>
    </w:p>
    <w:p w:rsidR="00F33529" w:rsidRPr="00F33529" w:rsidRDefault="00F33529" w:rsidP="00F33529">
      <w:pPr>
        <w:spacing w:line="240" w:lineRule="auto"/>
        <w:rPr>
          <w:rFonts w:cs="Arial"/>
          <w:color w:val="000000"/>
          <w:lang w:eastAsia="it-IT"/>
        </w:rPr>
      </w:pPr>
      <w:r w:rsidRPr="00F33529">
        <w:rPr>
          <w:rFonts w:cs="Arial"/>
          <w:color w:val="000000"/>
          <w:lang w:eastAsia="it-IT"/>
        </w:rPr>
        <w:t>The use of membranes in the ABE process has been studied for many years as regards a first filtration placed directly in the biological reactor (integrated membrane bio reactor, I-MBR), through an ultrafiltration membrane that has the task of removing the biomasses and the solid suspended from food (</w:t>
      </w:r>
      <w:proofErr w:type="spellStart"/>
      <w:r w:rsidRPr="00F33529">
        <w:rPr>
          <w:rFonts w:cs="Arial"/>
          <w:color w:val="000000"/>
          <w:lang w:eastAsia="it-IT"/>
        </w:rPr>
        <w:t>Esfahanian</w:t>
      </w:r>
      <w:proofErr w:type="spellEnd"/>
      <w:r w:rsidRPr="00F33529">
        <w:rPr>
          <w:rFonts w:cs="Arial"/>
          <w:color w:val="000000"/>
          <w:lang w:eastAsia="it-IT"/>
        </w:rPr>
        <w:t xml:space="preserve"> at al., 2012).</w:t>
      </w:r>
    </w:p>
    <w:p w:rsidR="00F33529" w:rsidRPr="00F33529" w:rsidRDefault="00F33529" w:rsidP="00F33529">
      <w:pPr>
        <w:spacing w:line="240" w:lineRule="auto"/>
        <w:rPr>
          <w:rFonts w:cs="Arial"/>
          <w:color w:val="000000"/>
          <w:szCs w:val="18"/>
          <w:lang w:eastAsia="it-IT"/>
        </w:rPr>
      </w:pPr>
      <w:r w:rsidRPr="00F33529">
        <w:rPr>
          <w:rFonts w:cs="Arial"/>
          <w:color w:val="000000"/>
          <w:szCs w:val="18"/>
          <w:lang w:eastAsia="it-IT"/>
        </w:rPr>
        <w:t xml:space="preserve">The approach certainly has advantages compared to other conventional techniques, but there is a problem of fouling of the membrane (fouling) which is not completely </w:t>
      </w:r>
      <w:r w:rsidR="00B15D8D" w:rsidRPr="00F33529">
        <w:rPr>
          <w:rFonts w:cs="Arial"/>
          <w:color w:val="000000"/>
          <w:szCs w:val="18"/>
          <w:lang w:eastAsia="it-IT"/>
        </w:rPr>
        <w:t>resolved,</w:t>
      </w:r>
      <w:r w:rsidRPr="00F33529">
        <w:rPr>
          <w:rFonts w:cs="Arial"/>
          <w:color w:val="000000"/>
          <w:szCs w:val="18"/>
          <w:lang w:eastAsia="it-IT"/>
        </w:rPr>
        <w:t xml:space="preserve"> and which significantly reduces its performance over time. Moreover, this first filtration is not sufficient to reach n-butanol concentrations useful for the production of biofuels, for which necessity of other post-treatment processes.</w:t>
      </w:r>
    </w:p>
    <w:p w:rsidR="00F33529" w:rsidRPr="00F33529" w:rsidRDefault="00603FAF" w:rsidP="00F33529">
      <w:pPr>
        <w:spacing w:line="240" w:lineRule="auto"/>
        <w:rPr>
          <w:rFonts w:cs="Arial"/>
          <w:color w:val="000000"/>
          <w:szCs w:val="18"/>
          <w:lang w:eastAsia="it-IT"/>
        </w:rPr>
      </w:pPr>
      <w:r w:rsidRPr="00F33529">
        <w:rPr>
          <w:rFonts w:cs="Arial"/>
          <w:color w:val="000000"/>
          <w:szCs w:val="18"/>
          <w:lang w:eastAsia="it-IT"/>
        </w:rPr>
        <w:t>Also,</w:t>
      </w:r>
      <w:r w:rsidR="00F33529" w:rsidRPr="00F33529">
        <w:rPr>
          <w:rFonts w:cs="Arial"/>
          <w:color w:val="000000"/>
          <w:szCs w:val="18"/>
          <w:lang w:eastAsia="it-IT"/>
        </w:rPr>
        <w:t xml:space="preserve"> the use of the pervaporation to concentrate the currents from the ABE process have been studied at the laboratory and industrial level with excellent results. In the present </w:t>
      </w:r>
      <w:r>
        <w:rPr>
          <w:rFonts w:cs="Arial"/>
          <w:color w:val="000000"/>
          <w:szCs w:val="18"/>
          <w:lang w:eastAsia="it-IT"/>
        </w:rPr>
        <w:t>work</w:t>
      </w:r>
      <w:r w:rsidR="00F33529" w:rsidRPr="00F33529">
        <w:rPr>
          <w:rFonts w:cs="Arial"/>
          <w:color w:val="000000"/>
          <w:szCs w:val="18"/>
          <w:lang w:eastAsia="it-IT"/>
        </w:rPr>
        <w:t>, the pervaporation will be used on the ultrafiltration permeate previously produced. The choice of the membrane material plays a fundamental role in the process of material transfer and is also responsible for the good solubility of n-butanol. Among the various materials, the polymers PDMS (polydimethylsiloxane) and POMS (</w:t>
      </w:r>
      <w:proofErr w:type="spellStart"/>
      <w:r w:rsidR="00F33529" w:rsidRPr="00F33529">
        <w:rPr>
          <w:rFonts w:cs="Arial"/>
          <w:color w:val="000000"/>
          <w:szCs w:val="18"/>
          <w:lang w:eastAsia="it-IT"/>
        </w:rPr>
        <w:t>polyoctylmethylsiloxane</w:t>
      </w:r>
      <w:proofErr w:type="spellEnd"/>
      <w:r w:rsidR="00F33529" w:rsidRPr="00F33529">
        <w:rPr>
          <w:rFonts w:cs="Arial"/>
          <w:color w:val="000000"/>
          <w:szCs w:val="18"/>
          <w:lang w:eastAsia="it-IT"/>
        </w:rPr>
        <w:t xml:space="preserve">) showed the best performances in terms of both transport properties and selectivity (Qureshi et al., 2014; </w:t>
      </w:r>
      <w:proofErr w:type="spellStart"/>
      <w:r w:rsidR="00F33529" w:rsidRPr="00F33529">
        <w:rPr>
          <w:rFonts w:cs="Arial"/>
          <w:color w:val="000000"/>
          <w:szCs w:val="18"/>
          <w:lang w:eastAsia="it-IT"/>
        </w:rPr>
        <w:t>Lazarova</w:t>
      </w:r>
      <w:proofErr w:type="spellEnd"/>
      <w:r w:rsidR="00F33529" w:rsidRPr="00F33529">
        <w:rPr>
          <w:rFonts w:cs="Arial"/>
          <w:color w:val="000000"/>
          <w:szCs w:val="18"/>
          <w:lang w:eastAsia="it-IT"/>
        </w:rPr>
        <w:t xml:space="preserve"> et al., 2012), which however signal sensitive fouling problems.</w:t>
      </w:r>
    </w:p>
    <w:p w:rsidR="00F33529" w:rsidRDefault="00603FAF" w:rsidP="00F33529">
      <w:pPr>
        <w:spacing w:line="240" w:lineRule="auto"/>
        <w:rPr>
          <w:rFonts w:cs="Arial"/>
          <w:color w:val="000000"/>
          <w:szCs w:val="18"/>
          <w:lang w:eastAsia="it-IT"/>
        </w:rPr>
      </w:pPr>
      <w:r>
        <w:rPr>
          <w:rFonts w:cs="Arial"/>
          <w:color w:val="000000"/>
          <w:szCs w:val="18"/>
          <w:lang w:eastAsia="it-IT"/>
        </w:rPr>
        <w:t>In this work, membrane performances of an ultrafiltration (UF), pervaporation (PV) and nanofiltration (NF) in series for the recovery of n-butanol from ABE streams are reported.</w:t>
      </w:r>
    </w:p>
    <w:p w:rsidR="00600535" w:rsidRPr="00B57B36" w:rsidRDefault="00603FAF" w:rsidP="00600535">
      <w:pPr>
        <w:pStyle w:val="CETHeading1"/>
        <w:tabs>
          <w:tab w:val="clear" w:pos="360"/>
          <w:tab w:val="right" w:pos="7100"/>
        </w:tabs>
        <w:jc w:val="both"/>
        <w:rPr>
          <w:lang w:val="en-GB"/>
        </w:rPr>
      </w:pPr>
      <w:r>
        <w:rPr>
          <w:lang w:val="en-GB"/>
        </w:rPr>
        <w:t>Experimental setup</w:t>
      </w:r>
    </w:p>
    <w:p w:rsidR="00F33529" w:rsidRDefault="00190AF3" w:rsidP="00600535">
      <w:pPr>
        <w:pStyle w:val="CETReferencetext"/>
      </w:pPr>
      <w:r>
        <w:t>Two different lab scale membrane plants were used during this study.</w:t>
      </w:r>
    </w:p>
    <w:p w:rsidR="00190AF3" w:rsidRDefault="00190AF3" w:rsidP="00190AF3">
      <w:pPr>
        <w:pStyle w:val="Testocommento"/>
        <w:spacing w:after="80"/>
        <w:rPr>
          <w:rFonts w:ascii="Times New Roman" w:hAnsi="Times New Roman"/>
          <w:sz w:val="20"/>
          <w:lang w:val="en-US"/>
        </w:rPr>
      </w:pPr>
      <w:r>
        <w:t xml:space="preserve">UF and NF were performed </w:t>
      </w:r>
      <w:r>
        <w:rPr>
          <w:lang w:val="en-US"/>
        </w:rPr>
        <w:t>using the plant reported in Figure 1 (</w:t>
      </w:r>
      <w:r w:rsidR="00D325FE">
        <w:rPr>
          <w:lang w:val="en-US"/>
        </w:rPr>
        <w:t>left</w:t>
      </w:r>
      <w:r>
        <w:rPr>
          <w:lang w:val="en-US"/>
        </w:rPr>
        <w:t xml:space="preserve">). It consists of a </w:t>
      </w:r>
      <w:proofErr w:type="gramStart"/>
      <w:r>
        <w:rPr>
          <w:lang w:val="en-US"/>
        </w:rPr>
        <w:t>100 liter</w:t>
      </w:r>
      <w:proofErr w:type="gramEnd"/>
      <w:r>
        <w:rPr>
          <w:lang w:val="en-US"/>
        </w:rPr>
        <w:t xml:space="preserve"> feed tank, FT1, in which the pretreated feedstock is carried. The centrifugal booster pump, P1, and the volumetric pump, P2, drive the wastewater stream over the used spiral wounded </w:t>
      </w:r>
      <w:r w:rsidR="000C4369">
        <w:rPr>
          <w:lang w:val="en-US"/>
        </w:rPr>
        <w:t>ultrafiltration</w:t>
      </w:r>
      <w:r>
        <w:rPr>
          <w:lang w:val="en-US"/>
        </w:rPr>
        <w:t xml:space="preserve"> (</w:t>
      </w:r>
      <w:r w:rsidR="000C4369">
        <w:rPr>
          <w:lang w:val="en-US"/>
        </w:rPr>
        <w:t>UF</w:t>
      </w:r>
      <w:r>
        <w:rPr>
          <w:lang w:val="en-US"/>
        </w:rPr>
        <w:t xml:space="preserve"> model </w:t>
      </w:r>
      <w:r w:rsidR="000C4369">
        <w:rPr>
          <w:lang w:val="en-US"/>
        </w:rPr>
        <w:t>GM</w:t>
      </w:r>
      <w:r>
        <w:rPr>
          <w:lang w:val="en-US"/>
        </w:rPr>
        <w:t xml:space="preserve"> supplied by </w:t>
      </w:r>
      <w:proofErr w:type="spellStart"/>
      <w:r>
        <w:rPr>
          <w:lang w:val="en-US"/>
        </w:rPr>
        <w:t>Osmonics</w:t>
      </w:r>
      <w:proofErr w:type="spellEnd"/>
      <w:r>
        <w:rPr>
          <w:lang w:val="en-US"/>
        </w:rPr>
        <w:t xml:space="preserve">) or </w:t>
      </w:r>
      <w:r w:rsidR="000C4369">
        <w:rPr>
          <w:lang w:val="en-US"/>
        </w:rPr>
        <w:t>nanofiltration</w:t>
      </w:r>
      <w:r>
        <w:rPr>
          <w:lang w:val="en-US"/>
        </w:rPr>
        <w:t xml:space="preserve"> (</w:t>
      </w:r>
      <w:r w:rsidR="000C4369">
        <w:rPr>
          <w:lang w:val="en-US"/>
        </w:rPr>
        <w:t>NF</w:t>
      </w:r>
      <w:r>
        <w:rPr>
          <w:lang w:val="en-US"/>
        </w:rPr>
        <w:t xml:space="preserve"> model </w:t>
      </w:r>
      <w:r w:rsidR="000C4369">
        <w:rPr>
          <w:lang w:val="en-US"/>
        </w:rPr>
        <w:t>DK</w:t>
      </w:r>
      <w:r>
        <w:rPr>
          <w:lang w:val="en-US"/>
        </w:rPr>
        <w:t xml:space="preserve"> supplied by </w:t>
      </w:r>
      <w:proofErr w:type="spellStart"/>
      <w:r>
        <w:rPr>
          <w:lang w:val="en-US"/>
        </w:rPr>
        <w:t>Osmonics</w:t>
      </w:r>
      <w:proofErr w:type="spellEnd"/>
      <w:r>
        <w:rPr>
          <w:lang w:val="en-US"/>
        </w:rPr>
        <w:t>) membrane, fitted in the housing, M1, at an average flow rate equal to 600 L h−1. The active membrane area of both the modules are equal to 0.51 m2. The maximum allowable operating pressure is equal to 16 bar and 32 bar for UF and NF, respectively.</w:t>
      </w:r>
    </w:p>
    <w:p w:rsidR="00190AF3" w:rsidRDefault="00190AF3" w:rsidP="00190AF3">
      <w:pPr>
        <w:pStyle w:val="Testocommento"/>
        <w:spacing w:after="80"/>
        <w:rPr>
          <w:lang w:val="en-US"/>
        </w:rPr>
      </w:pPr>
      <w:r>
        <w:rPr>
          <w:lang w:val="en-US"/>
        </w:rPr>
        <w:t>Acting on the regulation valves, V1 and V2, it is possible to set the desired operating pressure over the membrane with a precision of 0.5 bar, maintaining the feed flow rate constant. Permeate and concentrate streams are cooled down to the fixed feedstock temperature, mixed together and recycled back to the feedstock. In this way, the feedstock composition is kept constant during each experimental batch run. The temperature was controlled for all experiments at the value of 20±1°C.</w:t>
      </w:r>
    </w:p>
    <w:p w:rsidR="00190AF3" w:rsidRDefault="00190AF3" w:rsidP="00190AF3">
      <w:pPr>
        <w:pStyle w:val="Testocommento"/>
        <w:spacing w:after="80"/>
        <w:rPr>
          <w:lang w:val="en-US"/>
        </w:rPr>
      </w:pPr>
      <w:r>
        <w:rPr>
          <w:lang w:val="en-US"/>
        </w:rPr>
        <w:t>After each experiment, the membrane was rinsed with tap water for at least 30 min.</w:t>
      </w:r>
    </w:p>
    <w:p w:rsidR="00190AF3" w:rsidRDefault="00190AF3" w:rsidP="00190AF3">
      <w:pPr>
        <w:pStyle w:val="Testocommento"/>
        <w:spacing w:after="80"/>
        <w:rPr>
          <w:lang w:val="en-US"/>
        </w:rPr>
      </w:pPr>
      <w:r>
        <w:rPr>
          <w:lang w:val="en-US"/>
        </w:rPr>
        <w:t xml:space="preserve">For PV a smaller unit was adopted. Compared to the previous one, the PV lab scale plant uses flat sheet membranes </w:t>
      </w:r>
      <w:r w:rsidR="000C4369">
        <w:rPr>
          <w:lang w:val="en-US"/>
        </w:rPr>
        <w:t xml:space="preserve">type CMC-VP-31 supplied from </w:t>
      </w:r>
      <w:proofErr w:type="spellStart"/>
      <w:r w:rsidR="000C4369">
        <w:rPr>
          <w:lang w:val="en-US"/>
        </w:rPr>
        <w:t>Celfa</w:t>
      </w:r>
      <w:proofErr w:type="spellEnd"/>
      <w:r w:rsidR="000C4369">
        <w:rPr>
          <w:lang w:val="en-US"/>
        </w:rPr>
        <w:t xml:space="preserve"> </w:t>
      </w:r>
      <w:r w:rsidR="00AA53DB">
        <w:rPr>
          <w:lang w:val="en-US"/>
        </w:rPr>
        <w:t>(M1)</w:t>
      </w:r>
      <w:r w:rsidR="000C4369">
        <w:rPr>
          <w:lang w:val="en-US"/>
        </w:rPr>
        <w:t>,</w:t>
      </w:r>
      <w:r w:rsidR="00AA53DB">
        <w:rPr>
          <w:lang w:val="en-US"/>
        </w:rPr>
        <w:t xml:space="preserve"> </w:t>
      </w:r>
      <w:r>
        <w:rPr>
          <w:lang w:val="en-US"/>
        </w:rPr>
        <w:t xml:space="preserve">with a surface area equal to </w:t>
      </w:r>
      <w:r w:rsidR="00A67CBB">
        <w:rPr>
          <w:lang w:val="en-US"/>
        </w:rPr>
        <w:t>44.2 c</w:t>
      </w:r>
      <w:r>
        <w:rPr>
          <w:lang w:val="en-US"/>
        </w:rPr>
        <w:t>m</w:t>
      </w:r>
      <w:r>
        <w:rPr>
          <w:vertAlign w:val="superscript"/>
          <w:lang w:val="en-US"/>
        </w:rPr>
        <w:t>2</w:t>
      </w:r>
      <w:r>
        <w:rPr>
          <w:lang w:val="en-US"/>
        </w:rPr>
        <w:t>. The temperature is kept constant at a value of 20 ± 1 °C by the jacket of the feed tank vessel</w:t>
      </w:r>
      <w:r w:rsidR="00AA53DB">
        <w:rPr>
          <w:lang w:val="en-US"/>
        </w:rPr>
        <w:t xml:space="preserve"> FT1</w:t>
      </w:r>
      <w:r>
        <w:rPr>
          <w:lang w:val="en-US"/>
        </w:rPr>
        <w:t>. Only one valve (V1) is available to control the operating pressure on feed side. On the permeate side, a vacuum pump guarantees a constant pressure value equal to</w:t>
      </w:r>
      <w:r w:rsidR="003B3462">
        <w:rPr>
          <w:lang w:val="en-US"/>
        </w:rPr>
        <w:t xml:space="preserve"> 0.05</w:t>
      </w:r>
      <w:r>
        <w:rPr>
          <w:lang w:val="en-US"/>
        </w:rPr>
        <w:t xml:space="preserve"> bar. In order to capture all the permeate stream, a quenching device </w:t>
      </w:r>
      <w:r w:rsidR="00AA53DB">
        <w:rPr>
          <w:lang w:val="en-US"/>
        </w:rPr>
        <w:t xml:space="preserve">E1 </w:t>
      </w:r>
      <w:r>
        <w:rPr>
          <w:lang w:val="en-US"/>
        </w:rPr>
        <w:t>is connected between the membrane and the pump, operating at -5°C, enough to quickly condensate all the components in the permeate stream</w:t>
      </w:r>
      <w:r w:rsidR="00AA53DB">
        <w:rPr>
          <w:lang w:val="en-US"/>
        </w:rPr>
        <w:t xml:space="preserve"> and collect them in a collecting vessel within E1</w:t>
      </w:r>
      <w:r>
        <w:rPr>
          <w:lang w:val="en-US"/>
        </w:rPr>
        <w:t>. The scheme of the adopted plant is shown in Figure 1 (</w:t>
      </w:r>
      <w:r w:rsidR="003B3462">
        <w:rPr>
          <w:lang w:val="en-US"/>
        </w:rPr>
        <w:t>right</w:t>
      </w:r>
      <w:r>
        <w:rPr>
          <w:lang w:val="en-US"/>
        </w:rPr>
        <w:t xml:space="preserve">).  </w:t>
      </w:r>
    </w:p>
    <w:p w:rsidR="003B3462" w:rsidRDefault="003B3462" w:rsidP="003B3462">
      <w:pPr>
        <w:spacing w:line="240" w:lineRule="auto"/>
        <w:jc w:val="center"/>
        <w:rPr>
          <w:b/>
          <w:szCs w:val="18"/>
          <w:lang w:val="en-US"/>
        </w:rPr>
      </w:pPr>
      <w:r w:rsidRPr="00190AF3">
        <w:rPr>
          <w:noProof/>
          <w:szCs w:val="18"/>
          <w:lang w:val="it-IT" w:eastAsia="it-IT"/>
        </w:rPr>
        <w:drawing>
          <wp:inline distT="0" distB="0" distL="0" distR="0" wp14:anchorId="6A625EC1" wp14:editId="5AD9F578">
            <wp:extent cx="2567948" cy="1980000"/>
            <wp:effectExtent l="19050" t="19050" r="22860" b="203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7948" cy="1980000"/>
                    </a:xfrm>
                    <a:prstGeom prst="rect">
                      <a:avLst/>
                    </a:prstGeom>
                    <a:noFill/>
                    <a:ln>
                      <a:solidFill>
                        <a:schemeClr val="tx1"/>
                      </a:solidFill>
                    </a:ln>
                  </pic:spPr>
                </pic:pic>
              </a:graphicData>
            </a:graphic>
          </wp:inline>
        </w:drawing>
      </w:r>
      <w:r>
        <w:rPr>
          <w:noProof/>
        </w:rPr>
        <w:drawing>
          <wp:inline distT="0" distB="0" distL="0" distR="0" wp14:anchorId="76AAD0E3" wp14:editId="121C7B92">
            <wp:extent cx="2828662" cy="1980000"/>
            <wp:effectExtent l="19050" t="19050" r="10160" b="203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12091"/>
                    <a:stretch>
                      <a:fillRect/>
                    </a:stretch>
                  </pic:blipFill>
                  <pic:spPr bwMode="auto">
                    <a:xfrm>
                      <a:off x="0" y="0"/>
                      <a:ext cx="2828662" cy="1980000"/>
                    </a:xfrm>
                    <a:prstGeom prst="rect">
                      <a:avLst/>
                    </a:prstGeom>
                    <a:noFill/>
                    <a:ln w="6350" cmpd="sng">
                      <a:solidFill>
                        <a:srgbClr val="000000"/>
                      </a:solidFill>
                      <a:miter lim="800000"/>
                      <a:headEnd/>
                      <a:tailEnd/>
                    </a:ln>
                    <a:effectLst/>
                  </pic:spPr>
                </pic:pic>
              </a:graphicData>
            </a:graphic>
          </wp:inline>
        </w:drawing>
      </w:r>
    </w:p>
    <w:p w:rsidR="003B3462" w:rsidRPr="00190AF3" w:rsidRDefault="003B3462" w:rsidP="003B3462">
      <w:pPr>
        <w:spacing w:before="240" w:after="240" w:line="240" w:lineRule="atLeast"/>
        <w:jc w:val="center"/>
        <w:rPr>
          <w:szCs w:val="18"/>
          <w:lang w:val="en-US"/>
        </w:rPr>
      </w:pPr>
      <w:r w:rsidRPr="00190AF3">
        <w:rPr>
          <w:b/>
          <w:szCs w:val="18"/>
          <w:lang w:val="en-US"/>
        </w:rPr>
        <w:t xml:space="preserve"> Figure 1.</w:t>
      </w:r>
      <w:r w:rsidRPr="00190AF3">
        <w:rPr>
          <w:szCs w:val="18"/>
          <w:lang w:val="en-US"/>
        </w:rPr>
        <w:t xml:space="preserve"> Scheme of the experimental setup</w:t>
      </w:r>
      <w:r>
        <w:rPr>
          <w:szCs w:val="18"/>
          <w:lang w:val="en-US"/>
        </w:rPr>
        <w:t xml:space="preserve"> for UF, NF (left) and PV (</w:t>
      </w:r>
      <w:r>
        <w:rPr>
          <w:szCs w:val="18"/>
          <w:lang w:val="en-US"/>
        </w:rPr>
        <w:t>right</w:t>
      </w:r>
      <w:r>
        <w:rPr>
          <w:szCs w:val="18"/>
          <w:lang w:val="en-US"/>
        </w:rPr>
        <w:t>)</w:t>
      </w:r>
      <w:r>
        <w:rPr>
          <w:szCs w:val="18"/>
          <w:lang w:val="en-US"/>
        </w:rPr>
        <w:t xml:space="preserve"> </w:t>
      </w:r>
    </w:p>
    <w:p w:rsidR="003B3462" w:rsidRDefault="003B3462" w:rsidP="00190AF3">
      <w:pPr>
        <w:pStyle w:val="Testocommento"/>
        <w:spacing w:after="80"/>
        <w:rPr>
          <w:lang w:val="en-US"/>
        </w:rPr>
      </w:pPr>
    </w:p>
    <w:p w:rsidR="003B3462" w:rsidRDefault="003B3462" w:rsidP="003B3462">
      <w:pPr>
        <w:pStyle w:val="CETBodytext"/>
        <w:rPr>
          <w:lang w:val="en-GB"/>
        </w:rPr>
      </w:pPr>
      <w:r>
        <w:rPr>
          <w:lang w:val="en-GB"/>
        </w:rPr>
        <w:lastRenderedPageBreak/>
        <w:t xml:space="preserve">The proposed process is as follows: the raw ABE is submitted to a UF membrane, and the permeate stream (UF perm) is collected as feedstock for the subsequent pervaporation. After pervaporation, the concentrate (PV </w:t>
      </w:r>
      <w:proofErr w:type="spellStart"/>
      <w:r>
        <w:rPr>
          <w:lang w:val="en-GB"/>
        </w:rPr>
        <w:t>conc</w:t>
      </w:r>
      <w:proofErr w:type="spellEnd"/>
      <w:r>
        <w:rPr>
          <w:lang w:val="en-GB"/>
        </w:rPr>
        <w:t xml:space="preserve">) is withdrawn as feedstock to NF. Finally, the final product is the NF concentrate (NF </w:t>
      </w:r>
      <w:proofErr w:type="spellStart"/>
      <w:r>
        <w:rPr>
          <w:lang w:val="en-GB"/>
        </w:rPr>
        <w:t>conc</w:t>
      </w:r>
      <w:proofErr w:type="spellEnd"/>
      <w:r>
        <w:rPr>
          <w:lang w:val="en-GB"/>
        </w:rPr>
        <w:t>).</w:t>
      </w:r>
    </w:p>
    <w:p w:rsidR="003B3462" w:rsidRDefault="003B3462" w:rsidP="003B3462">
      <w:pPr>
        <w:pStyle w:val="CETBodytext"/>
        <w:rPr>
          <w:lang w:val="en-GB"/>
        </w:rPr>
      </w:pPr>
    </w:p>
    <w:p w:rsidR="00C07E30" w:rsidRDefault="00190AF3" w:rsidP="00EB17BB">
      <w:pPr>
        <w:pStyle w:val="Testocommento"/>
        <w:spacing w:after="80"/>
        <w:rPr>
          <w:lang w:val="en-US"/>
        </w:rPr>
      </w:pPr>
      <w:r>
        <w:rPr>
          <w:lang w:val="en-US"/>
        </w:rPr>
        <w:t xml:space="preserve">During all experimental runs, </w:t>
      </w:r>
      <w:r w:rsidR="00C07E30">
        <w:rPr>
          <w:lang w:val="en-US"/>
        </w:rPr>
        <w:t>following performances of the membrane were checked:</w:t>
      </w:r>
    </w:p>
    <w:p w:rsidR="00C07E30" w:rsidRDefault="005A7A18" w:rsidP="00EB17BB">
      <w:pPr>
        <w:pStyle w:val="Testocommento"/>
        <w:spacing w:after="80"/>
        <w:rPr>
          <w:lang w:val="en-US"/>
        </w:rPr>
      </w:pPr>
      <w:r>
        <w:rPr>
          <w:rFonts w:cs="Arial"/>
          <w:lang w:val="en-US"/>
        </w:rPr>
        <w:t xml:space="preserve">● </w:t>
      </w:r>
      <w:r w:rsidR="00C07E30" w:rsidRPr="00EB17BB">
        <w:rPr>
          <w:lang w:val="en-US"/>
        </w:rPr>
        <w:t>Productivity</w:t>
      </w:r>
      <w:r w:rsidR="00C07E30">
        <w:rPr>
          <w:lang w:val="en-US"/>
        </w:rPr>
        <w:t xml:space="preserve"> in terms of permeate fluxes, measured by weight of a sample collected within 1 min at the permeate exit line.</w:t>
      </w:r>
    </w:p>
    <w:p w:rsidR="00C07E30" w:rsidRDefault="005A7A18" w:rsidP="00EB17BB">
      <w:pPr>
        <w:pStyle w:val="Testocommento"/>
        <w:spacing w:after="80"/>
        <w:rPr>
          <w:lang w:val="en-US"/>
        </w:rPr>
      </w:pPr>
      <w:r>
        <w:rPr>
          <w:rFonts w:cs="Arial"/>
          <w:lang w:val="en-US"/>
        </w:rPr>
        <w:t xml:space="preserve">● </w:t>
      </w:r>
      <w:r w:rsidR="00C07E30" w:rsidRPr="00EB17BB">
        <w:rPr>
          <w:lang w:val="en-US"/>
        </w:rPr>
        <w:t>S</w:t>
      </w:r>
      <w:r w:rsidR="00190AF3" w:rsidRPr="00EB17BB">
        <w:rPr>
          <w:lang w:val="en-US"/>
        </w:rPr>
        <w:t>electivity</w:t>
      </w:r>
      <w:r w:rsidR="00190AF3">
        <w:rPr>
          <w:lang w:val="en-US"/>
        </w:rPr>
        <w:t xml:space="preserve"> </w:t>
      </w:r>
      <w:r w:rsidR="00C07E30">
        <w:rPr>
          <w:lang w:val="en-US"/>
        </w:rPr>
        <w:t>on the specific compound</w:t>
      </w:r>
      <w:r w:rsidR="00AA53DB">
        <w:rPr>
          <w:lang w:val="en-US"/>
        </w:rPr>
        <w:t xml:space="preserve"> S</w:t>
      </w:r>
      <w:r w:rsidR="00C07E30">
        <w:rPr>
          <w:lang w:val="en-US"/>
        </w:rPr>
        <w:t>, performed by gas chromatography, and adopting following equation:</w:t>
      </w:r>
    </w:p>
    <w:p w:rsidR="00C07E30" w:rsidRDefault="00EB17BB" w:rsidP="00EB17BB">
      <w:pPr>
        <w:pStyle w:val="Testocommento"/>
        <w:spacing w:after="80"/>
        <w:ind w:hanging="284"/>
        <w:rPr>
          <w:lang w:val="en-US"/>
        </w:rPr>
      </w:pPr>
      <w:r>
        <w:rPr>
          <w:lang w:val="en-US"/>
        </w:rPr>
        <w:tab/>
      </w:r>
      <w:r w:rsidR="00AA53DB">
        <w:rPr>
          <w:lang w:val="en-US"/>
        </w:rPr>
        <w:t>R(S) = 1 – [c(S</w:t>
      </w:r>
      <w:proofErr w:type="gramStart"/>
      <w:r w:rsidR="00AA53DB">
        <w:rPr>
          <w:lang w:val="en-US"/>
        </w:rPr>
        <w:t>),permeate</w:t>
      </w:r>
      <w:proofErr w:type="gramEnd"/>
      <w:r w:rsidR="00AA53DB">
        <w:rPr>
          <w:lang w:val="en-US"/>
        </w:rPr>
        <w:t xml:space="preserve"> / c(S),feed]</w:t>
      </w:r>
      <w:r>
        <w:rPr>
          <w:lang w:val="en-US"/>
        </w:rPr>
        <w:tab/>
      </w:r>
      <w:r>
        <w:rPr>
          <w:lang w:val="en-US"/>
        </w:rPr>
        <w:tab/>
      </w:r>
      <w:r>
        <w:rPr>
          <w:lang w:val="en-US"/>
        </w:rPr>
        <w:tab/>
      </w:r>
      <w:r w:rsidR="00C07E30">
        <w:rPr>
          <w:lang w:val="en-US"/>
        </w:rPr>
        <w:t>(1)</w:t>
      </w:r>
    </w:p>
    <w:p w:rsidR="00AA53DB" w:rsidRDefault="00AA53DB" w:rsidP="00EB17BB">
      <w:pPr>
        <w:pStyle w:val="Testocommento"/>
        <w:spacing w:after="80"/>
        <w:ind w:hanging="284"/>
        <w:rPr>
          <w:lang w:val="en-US"/>
        </w:rPr>
      </w:pPr>
      <w:r>
        <w:rPr>
          <w:lang w:val="en-US"/>
        </w:rPr>
        <w:tab/>
        <w:t>where c(S) is the concentrate of the compound in the permeate and the feed stream, respectively.</w:t>
      </w:r>
    </w:p>
    <w:p w:rsidR="00C07E30" w:rsidRDefault="005A7A18" w:rsidP="00EB17BB">
      <w:pPr>
        <w:pStyle w:val="Paragrafoelenco"/>
        <w:ind w:left="0"/>
      </w:pPr>
      <w:r>
        <w:rPr>
          <w:rFonts w:cs="Arial"/>
          <w:lang w:val="en-US"/>
        </w:rPr>
        <w:t>●</w:t>
      </w:r>
      <w:r>
        <w:rPr>
          <w:lang w:val="en-US"/>
        </w:rPr>
        <w:t xml:space="preserve"> </w:t>
      </w:r>
      <w:r w:rsidR="00C07E30" w:rsidRPr="00EB17BB">
        <w:rPr>
          <w:lang w:val="en-US"/>
        </w:rPr>
        <w:t>Longevity</w:t>
      </w:r>
      <w:r w:rsidR="00C07E30" w:rsidRPr="00C07E30">
        <w:rPr>
          <w:lang w:val="en-US"/>
        </w:rPr>
        <w:t xml:space="preserve"> (fouling) of the membranes were analyzed by the boundary flux concept. </w:t>
      </w:r>
      <w:r w:rsidR="00C07E30">
        <w:t>Summarizing, both critical and threshold fluxes divide the operation of membranes in two regions: a lower one, where no or a small, constant amount of fouling (mostly reversible and/or semi-reversible) triggers, and a higher one, where (irreversible) fouling builds up very quickly</w:t>
      </w:r>
      <w:r w:rsidR="007E3F8C">
        <w:t xml:space="preserve"> (Field et al., 1995)</w:t>
      </w:r>
      <w:r w:rsidR="00C07E30">
        <w:t xml:space="preserve">. </w:t>
      </w:r>
    </w:p>
    <w:p w:rsidR="00C07E30" w:rsidRDefault="00C07E30" w:rsidP="00EB17BB">
      <w:r>
        <w:tab/>
        <w:t>By using a new flux, that is the boundary flux Jb,</w:t>
      </w:r>
      <w:r w:rsidR="003B3462">
        <w:t xml:space="preserve"> and being </w:t>
      </w:r>
      <w:proofErr w:type="spellStart"/>
      <w:r w:rsidR="003B3462">
        <w:t>Jp</w:t>
      </w:r>
      <w:proofErr w:type="spellEnd"/>
      <w:r w:rsidR="003B3462">
        <w:t>(t) the permeate flux value at a given time t,</w:t>
      </w:r>
      <w:r>
        <w:t xml:space="preserve"> the critical and threshold flux equations may be merged in one set, and may be written as</w:t>
      </w:r>
      <w:r w:rsidR="00F276AE">
        <w:t xml:space="preserve"> (Stoller and Ochando Pulido, 2014)</w:t>
      </w:r>
      <w:r>
        <w:t>:</w:t>
      </w:r>
    </w:p>
    <w:p w:rsidR="00C07E30" w:rsidRPr="004F3615" w:rsidRDefault="00C07E30" w:rsidP="00EB17BB">
      <w:pPr>
        <w:tabs>
          <w:tab w:val="left" w:pos="2552"/>
        </w:tabs>
        <w:rPr>
          <w:lang w:val="de-DE"/>
        </w:rPr>
      </w:pPr>
      <w:proofErr w:type="spellStart"/>
      <w:r w:rsidRPr="004F3615">
        <w:rPr>
          <w:lang w:val="de-DE"/>
        </w:rPr>
        <w:t>dm</w:t>
      </w:r>
      <w:proofErr w:type="spellEnd"/>
      <w:r w:rsidRPr="004F3615">
        <w:rPr>
          <w:lang w:val="de-DE"/>
        </w:rPr>
        <w:t>/</w:t>
      </w:r>
      <w:proofErr w:type="spellStart"/>
      <w:r w:rsidRPr="004F3615">
        <w:rPr>
          <w:lang w:val="de-DE"/>
        </w:rPr>
        <w:t>dt</w:t>
      </w:r>
      <w:proofErr w:type="spellEnd"/>
      <w:r w:rsidRPr="004F3615">
        <w:rPr>
          <w:lang w:val="de-DE"/>
        </w:rPr>
        <w:t xml:space="preserve"> = - </w:t>
      </w:r>
      <w:r>
        <w:t>α</w:t>
      </w:r>
      <w:r>
        <w:rPr>
          <w:lang w:val="de-DE"/>
        </w:rPr>
        <w:tab/>
      </w:r>
      <w:r w:rsidRPr="004F3615">
        <w:rPr>
          <w:lang w:val="de-DE"/>
        </w:rPr>
        <w:t xml:space="preserve">; </w:t>
      </w:r>
      <w:proofErr w:type="spellStart"/>
      <w:r w:rsidRPr="004F3615">
        <w:rPr>
          <w:lang w:val="de-DE"/>
        </w:rPr>
        <w:t>Jp</w:t>
      </w:r>
      <w:proofErr w:type="spellEnd"/>
      <w:r w:rsidRPr="004F3615">
        <w:rPr>
          <w:lang w:val="de-DE"/>
        </w:rPr>
        <w:t xml:space="preserve">(t) ≤ Jb </w:t>
      </w:r>
      <w:r w:rsidRPr="004F3615">
        <w:rPr>
          <w:lang w:val="de-DE"/>
        </w:rPr>
        <w:tab/>
        <w:t xml:space="preserve">       </w:t>
      </w:r>
      <w:r>
        <w:rPr>
          <w:lang w:val="de-DE"/>
        </w:rPr>
        <w:tab/>
      </w:r>
      <w:r w:rsidRPr="004F3615">
        <w:rPr>
          <w:lang w:val="de-DE"/>
        </w:rPr>
        <w:tab/>
        <w:t>(</w:t>
      </w:r>
      <w:r>
        <w:rPr>
          <w:lang w:val="de-DE"/>
        </w:rPr>
        <w:t>2</w:t>
      </w:r>
      <w:r w:rsidRPr="004F3615">
        <w:rPr>
          <w:lang w:val="de-DE"/>
        </w:rPr>
        <w:t>)</w:t>
      </w:r>
    </w:p>
    <w:p w:rsidR="00C07E30" w:rsidRPr="004F3615" w:rsidRDefault="00C07E30" w:rsidP="00EB17BB">
      <w:pPr>
        <w:tabs>
          <w:tab w:val="left" w:pos="2552"/>
        </w:tabs>
        <w:rPr>
          <w:lang w:val="de-DE"/>
        </w:rPr>
      </w:pPr>
      <w:proofErr w:type="spellStart"/>
      <w:r w:rsidRPr="004F3615">
        <w:rPr>
          <w:lang w:val="de-DE"/>
        </w:rPr>
        <w:t>dm</w:t>
      </w:r>
      <w:proofErr w:type="spellEnd"/>
      <w:r w:rsidRPr="004F3615">
        <w:rPr>
          <w:lang w:val="de-DE"/>
        </w:rPr>
        <w:t>/</w:t>
      </w:r>
      <w:proofErr w:type="spellStart"/>
      <w:r w:rsidRPr="004F3615">
        <w:rPr>
          <w:lang w:val="de-DE"/>
        </w:rPr>
        <w:t>dt</w:t>
      </w:r>
      <w:proofErr w:type="spellEnd"/>
      <w:r w:rsidRPr="004F3615">
        <w:rPr>
          <w:lang w:val="de-DE"/>
        </w:rPr>
        <w:t xml:space="preserve"> = - </w:t>
      </w:r>
      <w:r>
        <w:t>α</w:t>
      </w:r>
      <w:r w:rsidRPr="004F3615">
        <w:rPr>
          <w:lang w:val="de-DE"/>
        </w:rPr>
        <w:t xml:space="preserve"> - </w:t>
      </w:r>
      <w:r>
        <w:t>β</w:t>
      </w:r>
      <w:r w:rsidRPr="004F3615">
        <w:rPr>
          <w:lang w:val="de-DE"/>
        </w:rPr>
        <w:t xml:space="preserve"> </w:t>
      </w:r>
      <w:proofErr w:type="gramStart"/>
      <w:r w:rsidRPr="004F3615">
        <w:rPr>
          <w:lang w:val="de-DE"/>
        </w:rPr>
        <w:t xml:space="preserve">( </w:t>
      </w:r>
      <w:proofErr w:type="spellStart"/>
      <w:r w:rsidRPr="004F3615">
        <w:rPr>
          <w:lang w:val="de-DE"/>
        </w:rPr>
        <w:t>Jp</w:t>
      </w:r>
      <w:proofErr w:type="spellEnd"/>
      <w:proofErr w:type="gramEnd"/>
      <w:r w:rsidRPr="004F3615">
        <w:rPr>
          <w:lang w:val="de-DE"/>
        </w:rPr>
        <w:t>(t) - Jb )</w:t>
      </w:r>
      <w:r>
        <w:rPr>
          <w:lang w:val="de-DE"/>
        </w:rPr>
        <w:tab/>
      </w:r>
      <w:r w:rsidRPr="004F3615">
        <w:rPr>
          <w:lang w:val="de-DE"/>
        </w:rPr>
        <w:t xml:space="preserve">; </w:t>
      </w:r>
      <w:proofErr w:type="spellStart"/>
      <w:r w:rsidRPr="004F3615">
        <w:rPr>
          <w:lang w:val="de-DE"/>
        </w:rPr>
        <w:t>Jp</w:t>
      </w:r>
      <w:proofErr w:type="spellEnd"/>
      <w:r w:rsidRPr="004F3615">
        <w:rPr>
          <w:lang w:val="de-DE"/>
        </w:rPr>
        <w:t xml:space="preserve">(t) &gt; Jb       </w:t>
      </w:r>
      <w:r w:rsidRPr="004F3615">
        <w:rPr>
          <w:lang w:val="de-DE"/>
        </w:rPr>
        <w:tab/>
      </w:r>
      <w:r>
        <w:rPr>
          <w:lang w:val="de-DE"/>
        </w:rPr>
        <w:tab/>
      </w:r>
      <w:r>
        <w:rPr>
          <w:lang w:val="de-DE"/>
        </w:rPr>
        <w:tab/>
      </w:r>
      <w:r w:rsidRPr="004F3615">
        <w:rPr>
          <w:lang w:val="de-DE"/>
        </w:rPr>
        <w:t>(</w:t>
      </w:r>
      <w:r>
        <w:rPr>
          <w:lang w:val="de-DE"/>
        </w:rPr>
        <w:t>3</w:t>
      </w:r>
      <w:r w:rsidRPr="004F3615">
        <w:rPr>
          <w:lang w:val="de-DE"/>
        </w:rPr>
        <w:t xml:space="preserve">) </w:t>
      </w:r>
    </w:p>
    <w:p w:rsidR="00C07E30" w:rsidRDefault="00C07E30" w:rsidP="00EB17BB">
      <w:r>
        <w:t>where:</w:t>
      </w:r>
    </w:p>
    <w:p w:rsidR="00C07E30" w:rsidRDefault="00C07E30" w:rsidP="00EB17BB">
      <w:r>
        <w:t>• α, expressed in [l h</w:t>
      </w:r>
      <w:r w:rsidRPr="0007169E">
        <w:rPr>
          <w:vertAlign w:val="superscript"/>
        </w:rPr>
        <w:t>-2</w:t>
      </w:r>
      <w:r>
        <w:t xml:space="preserve"> m</w:t>
      </w:r>
      <w:r w:rsidRPr="0007169E">
        <w:rPr>
          <w:vertAlign w:val="superscript"/>
        </w:rPr>
        <w:t>-2</w:t>
      </w:r>
      <w:r>
        <w:t xml:space="preserve"> bar</w:t>
      </w:r>
      <w:r w:rsidRPr="0007169E">
        <w:rPr>
          <w:vertAlign w:val="superscript"/>
        </w:rPr>
        <w:t>-1</w:t>
      </w:r>
      <w:r>
        <w:t>], represents the constant permeability reduction rate suffered by the system and will be hereafter called the sub-boundary fouling rate index. α is a constant, valid for all flux values.</w:t>
      </w:r>
    </w:p>
    <w:p w:rsidR="00C07E30" w:rsidRDefault="00C07E30" w:rsidP="00EB17BB">
      <w:r>
        <w:t>• β, expressed in [h</w:t>
      </w:r>
      <w:r w:rsidRPr="0007169E">
        <w:rPr>
          <w:vertAlign w:val="superscript"/>
        </w:rPr>
        <w:t>-1</w:t>
      </w:r>
      <w:r>
        <w:t xml:space="preserve"> m</w:t>
      </w:r>
      <w:r w:rsidRPr="0007169E">
        <w:rPr>
          <w:vertAlign w:val="superscript"/>
        </w:rPr>
        <w:t>-2</w:t>
      </w:r>
      <w:r>
        <w:t xml:space="preserve"> bar</w:t>
      </w:r>
      <w:r w:rsidRPr="0007169E">
        <w:rPr>
          <w:vertAlign w:val="superscript"/>
        </w:rPr>
        <w:t>-1</w:t>
      </w:r>
      <w:r>
        <w:t xml:space="preserve">], represents the fouling behaviour in the exponential fouling regime of the system, and will be hereafter called super-boundary fouling rate index. β appears to not be a constant, and changes with the </w:t>
      </w:r>
      <w:r w:rsidR="009B5EC6">
        <w:t xml:space="preserve">difference of the </w:t>
      </w:r>
      <w:r>
        <w:t xml:space="preserve">transmembrane pressure </w:t>
      </w:r>
      <w:r w:rsidR="009B5EC6">
        <w:t xml:space="preserve">at the boundary point and the adopted one </w:t>
      </w:r>
      <w:r>
        <w:t>(</w:t>
      </w:r>
      <w:proofErr w:type="spellStart"/>
      <w:r>
        <w:t>TMP</w:t>
      </w:r>
      <w:r w:rsidR="009B5EC6">
        <w:t>b</w:t>
      </w:r>
      <w:proofErr w:type="spellEnd"/>
      <w:r w:rsidR="009B5EC6">
        <w:t xml:space="preserve"> - TMP</w:t>
      </w:r>
      <w:r>
        <w:t>).</w:t>
      </w:r>
    </w:p>
    <w:p w:rsidR="003C5911" w:rsidRDefault="003C5911" w:rsidP="00EB17BB"/>
    <w:p w:rsidR="00C07E30" w:rsidRDefault="00C07E30" w:rsidP="00EB17BB">
      <w:r>
        <w:t xml:space="preserve">Eq.2 is the most relevant one, since only reversible fouling triggers and therefore the membrane longevity results maximized. In this respect, operating below the Jb value is </w:t>
      </w:r>
      <w:r w:rsidR="00E9608E">
        <w:t>enough</w:t>
      </w:r>
      <w:r>
        <w:t xml:space="preserve"> to guarantee long-term performances. In a second step, the value of α determines how long the membrane may operate without cleaning procedures. Cleaning membranes represent a cost and an operation stop which is certainly not desired to certain extent. Therefore, low α value membranes are preferred to high α value ones.</w:t>
      </w:r>
    </w:p>
    <w:p w:rsidR="00C07E30" w:rsidRDefault="00C07E30" w:rsidP="00C07E30">
      <w:pPr>
        <w:pStyle w:val="CETHeading1"/>
        <w:tabs>
          <w:tab w:val="clear" w:pos="360"/>
          <w:tab w:val="right" w:pos="7100"/>
        </w:tabs>
        <w:jc w:val="both"/>
        <w:rPr>
          <w:lang w:val="en-GB"/>
        </w:rPr>
      </w:pPr>
      <w:r>
        <w:rPr>
          <w:lang w:val="en-GB"/>
        </w:rPr>
        <w:t>Results and discussion</w:t>
      </w:r>
    </w:p>
    <w:p w:rsidR="00C07E30" w:rsidRDefault="009B5EC6" w:rsidP="00C07E30">
      <w:pPr>
        <w:pStyle w:val="CETBodytext"/>
        <w:rPr>
          <w:lang w:val="en-GB"/>
        </w:rPr>
      </w:pPr>
      <w:r>
        <w:rPr>
          <w:lang w:val="en-GB"/>
        </w:rPr>
        <w:t>The characteristics of the raw ABE stream used in this study were reported in Table 1</w:t>
      </w:r>
      <w:r w:rsidR="003C5911">
        <w:rPr>
          <w:lang w:val="en-GB"/>
        </w:rPr>
        <w:t>, first line</w:t>
      </w:r>
      <w:r>
        <w:rPr>
          <w:lang w:val="en-GB"/>
        </w:rPr>
        <w:t>.</w:t>
      </w:r>
    </w:p>
    <w:p w:rsidR="00197009" w:rsidRDefault="00197009" w:rsidP="00C07E30">
      <w:pPr>
        <w:pStyle w:val="CETBodytext"/>
        <w:rPr>
          <w:lang w:val="en-GB"/>
        </w:rPr>
      </w:pPr>
    </w:p>
    <w:p w:rsidR="00197009" w:rsidRDefault="00197009" w:rsidP="00197009">
      <w:pPr>
        <w:pStyle w:val="CETBodytext"/>
        <w:rPr>
          <w:lang w:val="en-GB"/>
        </w:rPr>
      </w:pPr>
      <w:r>
        <w:rPr>
          <w:lang w:val="en-GB"/>
        </w:rPr>
        <w:t>Table 1: Characteristics of all the streams</w:t>
      </w:r>
    </w:p>
    <w:tbl>
      <w:tblPr>
        <w:tblStyle w:val="Grigliatabella"/>
        <w:tblW w:w="0" w:type="auto"/>
        <w:tblLook w:val="04A0" w:firstRow="1" w:lastRow="0" w:firstColumn="1" w:lastColumn="0" w:noHBand="0" w:noVBand="1"/>
      </w:tblPr>
      <w:tblGrid>
        <w:gridCol w:w="1103"/>
        <w:gridCol w:w="1041"/>
        <w:gridCol w:w="266"/>
        <w:gridCol w:w="1119"/>
        <w:gridCol w:w="567"/>
        <w:gridCol w:w="958"/>
        <w:gridCol w:w="567"/>
        <w:gridCol w:w="958"/>
        <w:gridCol w:w="570"/>
        <w:gridCol w:w="953"/>
        <w:gridCol w:w="685"/>
      </w:tblGrid>
      <w:tr w:rsidR="00D325FE" w:rsidTr="00515BFB">
        <w:tc>
          <w:tcPr>
            <w:tcW w:w="1103" w:type="dxa"/>
            <w:tcBorders>
              <w:top w:val="single" w:sz="8" w:space="0" w:color="00B050"/>
              <w:left w:val="nil"/>
              <w:bottom w:val="single" w:sz="4" w:space="0" w:color="FFFFFF" w:themeColor="background1"/>
              <w:right w:val="nil"/>
            </w:tcBorders>
          </w:tcPr>
          <w:p w:rsidR="00D325FE" w:rsidRDefault="00D325FE" w:rsidP="009D6B9A">
            <w:pPr>
              <w:pStyle w:val="CETBodytext"/>
              <w:rPr>
                <w:lang w:val="en-GB"/>
              </w:rPr>
            </w:pPr>
            <w:r>
              <w:rPr>
                <w:lang w:val="en-GB"/>
              </w:rPr>
              <w:t>Stream</w:t>
            </w:r>
          </w:p>
        </w:tc>
        <w:tc>
          <w:tcPr>
            <w:tcW w:w="1307" w:type="dxa"/>
            <w:gridSpan w:val="2"/>
            <w:tcBorders>
              <w:top w:val="single" w:sz="8" w:space="0" w:color="00B050"/>
              <w:left w:val="nil"/>
              <w:bottom w:val="single" w:sz="4" w:space="0" w:color="FFFFFF" w:themeColor="background1"/>
              <w:right w:val="nil"/>
            </w:tcBorders>
          </w:tcPr>
          <w:p w:rsidR="00D325FE" w:rsidRDefault="00D325FE" w:rsidP="00D325FE">
            <w:pPr>
              <w:pStyle w:val="CETBodytext"/>
              <w:jc w:val="center"/>
              <w:rPr>
                <w:lang w:val="en-GB"/>
              </w:rPr>
            </w:pPr>
            <w:r>
              <w:rPr>
                <w:lang w:val="en-GB"/>
              </w:rPr>
              <w:t>Water</w:t>
            </w:r>
          </w:p>
        </w:tc>
        <w:tc>
          <w:tcPr>
            <w:tcW w:w="1686" w:type="dxa"/>
            <w:gridSpan w:val="2"/>
            <w:tcBorders>
              <w:top w:val="single" w:sz="8" w:space="0" w:color="00B050"/>
              <w:left w:val="nil"/>
              <w:bottom w:val="single" w:sz="4" w:space="0" w:color="FFFFFF" w:themeColor="background1"/>
              <w:right w:val="nil"/>
            </w:tcBorders>
          </w:tcPr>
          <w:p w:rsidR="00D325FE" w:rsidRDefault="00D325FE" w:rsidP="00D325FE">
            <w:pPr>
              <w:pStyle w:val="CETBodytext"/>
              <w:jc w:val="center"/>
              <w:rPr>
                <w:lang w:val="en-GB"/>
              </w:rPr>
            </w:pPr>
            <w:r>
              <w:rPr>
                <w:lang w:val="en-GB"/>
              </w:rPr>
              <w:t>Butanol</w:t>
            </w:r>
          </w:p>
        </w:tc>
        <w:tc>
          <w:tcPr>
            <w:tcW w:w="1525" w:type="dxa"/>
            <w:gridSpan w:val="2"/>
            <w:tcBorders>
              <w:top w:val="single" w:sz="8" w:space="0" w:color="00B050"/>
              <w:left w:val="nil"/>
              <w:bottom w:val="single" w:sz="4" w:space="0" w:color="FFFFFF" w:themeColor="background1"/>
              <w:right w:val="nil"/>
            </w:tcBorders>
          </w:tcPr>
          <w:p w:rsidR="00D325FE" w:rsidRDefault="00D325FE" w:rsidP="00D325FE">
            <w:pPr>
              <w:pStyle w:val="CETBodytext"/>
              <w:jc w:val="center"/>
              <w:rPr>
                <w:lang w:val="en-GB"/>
              </w:rPr>
            </w:pPr>
            <w:r>
              <w:rPr>
                <w:lang w:val="en-GB"/>
              </w:rPr>
              <w:t>Ethanol</w:t>
            </w:r>
          </w:p>
        </w:tc>
        <w:tc>
          <w:tcPr>
            <w:tcW w:w="1528" w:type="dxa"/>
            <w:gridSpan w:val="2"/>
            <w:tcBorders>
              <w:top w:val="single" w:sz="8" w:space="0" w:color="00B050"/>
              <w:left w:val="nil"/>
              <w:bottom w:val="single" w:sz="4" w:space="0" w:color="FFFFFF" w:themeColor="background1"/>
              <w:right w:val="nil"/>
            </w:tcBorders>
          </w:tcPr>
          <w:p w:rsidR="00D325FE" w:rsidRDefault="00D325FE" w:rsidP="00D325FE">
            <w:pPr>
              <w:pStyle w:val="CETBodytext"/>
              <w:jc w:val="center"/>
              <w:rPr>
                <w:lang w:val="en-GB"/>
              </w:rPr>
            </w:pPr>
            <w:r>
              <w:rPr>
                <w:lang w:val="en-GB"/>
              </w:rPr>
              <w:t>Acetone</w:t>
            </w:r>
          </w:p>
        </w:tc>
        <w:tc>
          <w:tcPr>
            <w:tcW w:w="1638" w:type="dxa"/>
            <w:gridSpan w:val="2"/>
            <w:tcBorders>
              <w:top w:val="single" w:sz="8" w:space="0" w:color="00B050"/>
              <w:left w:val="nil"/>
              <w:bottom w:val="single" w:sz="4" w:space="0" w:color="FFFFFF" w:themeColor="background1"/>
              <w:right w:val="nil"/>
            </w:tcBorders>
          </w:tcPr>
          <w:p w:rsidR="00D325FE" w:rsidRDefault="00D325FE" w:rsidP="00D325FE">
            <w:pPr>
              <w:pStyle w:val="CETBodytext"/>
              <w:jc w:val="center"/>
              <w:rPr>
                <w:lang w:val="en-GB"/>
              </w:rPr>
            </w:pPr>
            <w:r>
              <w:rPr>
                <w:lang w:val="en-GB"/>
              </w:rPr>
              <w:t>SS</w:t>
            </w:r>
          </w:p>
        </w:tc>
      </w:tr>
      <w:tr w:rsidR="00D325FE" w:rsidTr="00515BFB">
        <w:tc>
          <w:tcPr>
            <w:tcW w:w="1103"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p>
        </w:tc>
        <w:tc>
          <w:tcPr>
            <w:tcW w:w="1041"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proofErr w:type="spellStart"/>
            <w:r>
              <w:rPr>
                <w:lang w:val="en-GB"/>
              </w:rPr>
              <w:t>Conc</w:t>
            </w:r>
            <w:proofErr w:type="spellEnd"/>
          </w:p>
        </w:tc>
        <w:tc>
          <w:tcPr>
            <w:tcW w:w="266"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p>
        </w:tc>
        <w:tc>
          <w:tcPr>
            <w:tcW w:w="1119"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proofErr w:type="spellStart"/>
            <w:r>
              <w:rPr>
                <w:lang w:val="en-GB"/>
              </w:rPr>
              <w:t>Conc</w:t>
            </w:r>
            <w:proofErr w:type="spellEnd"/>
          </w:p>
        </w:tc>
        <w:tc>
          <w:tcPr>
            <w:tcW w:w="567"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r>
              <w:rPr>
                <w:lang w:val="en-GB"/>
              </w:rPr>
              <w:t>R</w:t>
            </w:r>
          </w:p>
        </w:tc>
        <w:tc>
          <w:tcPr>
            <w:tcW w:w="958"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proofErr w:type="spellStart"/>
            <w:r>
              <w:rPr>
                <w:lang w:val="en-GB"/>
              </w:rPr>
              <w:t>Conc</w:t>
            </w:r>
            <w:proofErr w:type="spellEnd"/>
          </w:p>
        </w:tc>
        <w:tc>
          <w:tcPr>
            <w:tcW w:w="567"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r>
              <w:rPr>
                <w:lang w:val="en-GB"/>
              </w:rPr>
              <w:t>R</w:t>
            </w:r>
          </w:p>
        </w:tc>
        <w:tc>
          <w:tcPr>
            <w:tcW w:w="958"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proofErr w:type="spellStart"/>
            <w:r>
              <w:rPr>
                <w:lang w:val="en-GB"/>
              </w:rPr>
              <w:t>Conc</w:t>
            </w:r>
            <w:proofErr w:type="spellEnd"/>
          </w:p>
        </w:tc>
        <w:tc>
          <w:tcPr>
            <w:tcW w:w="570"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r>
              <w:rPr>
                <w:lang w:val="en-GB"/>
              </w:rPr>
              <w:t>R</w:t>
            </w:r>
          </w:p>
        </w:tc>
        <w:tc>
          <w:tcPr>
            <w:tcW w:w="953"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proofErr w:type="spellStart"/>
            <w:r>
              <w:rPr>
                <w:lang w:val="en-GB"/>
              </w:rPr>
              <w:t>Conc</w:t>
            </w:r>
            <w:proofErr w:type="spellEnd"/>
          </w:p>
        </w:tc>
        <w:tc>
          <w:tcPr>
            <w:tcW w:w="685" w:type="dxa"/>
            <w:tcBorders>
              <w:top w:val="single" w:sz="4" w:space="0" w:color="FFFFFF" w:themeColor="background1"/>
              <w:left w:val="nil"/>
              <w:bottom w:val="single" w:sz="8" w:space="0" w:color="00B050"/>
              <w:right w:val="nil"/>
            </w:tcBorders>
          </w:tcPr>
          <w:p w:rsidR="00D325FE" w:rsidRDefault="00D325FE" w:rsidP="009D6B9A">
            <w:pPr>
              <w:pStyle w:val="CETBodytext"/>
              <w:rPr>
                <w:lang w:val="en-GB"/>
              </w:rPr>
            </w:pPr>
            <w:r>
              <w:rPr>
                <w:lang w:val="en-GB"/>
              </w:rPr>
              <w:t>R</w:t>
            </w:r>
          </w:p>
        </w:tc>
      </w:tr>
      <w:tr w:rsidR="00D325FE" w:rsidTr="00515BFB">
        <w:tc>
          <w:tcPr>
            <w:tcW w:w="1103" w:type="dxa"/>
            <w:tcBorders>
              <w:top w:val="single" w:sz="8" w:space="0" w:color="00B050"/>
              <w:left w:val="nil"/>
              <w:bottom w:val="nil"/>
              <w:right w:val="nil"/>
            </w:tcBorders>
          </w:tcPr>
          <w:p w:rsidR="00D325FE" w:rsidRDefault="00D325FE" w:rsidP="009D6B9A">
            <w:pPr>
              <w:pStyle w:val="CETBodytext"/>
              <w:rPr>
                <w:lang w:val="en-GB"/>
              </w:rPr>
            </w:pPr>
            <w:r>
              <w:rPr>
                <w:lang w:val="en-GB"/>
              </w:rPr>
              <w:t>Raw</w:t>
            </w:r>
          </w:p>
        </w:tc>
        <w:tc>
          <w:tcPr>
            <w:tcW w:w="1041" w:type="dxa"/>
            <w:tcBorders>
              <w:top w:val="single" w:sz="8" w:space="0" w:color="00B050"/>
              <w:left w:val="nil"/>
              <w:bottom w:val="nil"/>
              <w:right w:val="nil"/>
            </w:tcBorders>
          </w:tcPr>
          <w:p w:rsidR="00D325FE" w:rsidRDefault="00D325FE" w:rsidP="009D6B9A">
            <w:pPr>
              <w:pStyle w:val="CETBodytext"/>
              <w:rPr>
                <w:lang w:val="en-GB"/>
              </w:rPr>
            </w:pPr>
            <w:r>
              <w:rPr>
                <w:lang w:val="en-GB"/>
              </w:rPr>
              <w:t>90.28%wt</w:t>
            </w:r>
          </w:p>
        </w:tc>
        <w:tc>
          <w:tcPr>
            <w:tcW w:w="266" w:type="dxa"/>
            <w:tcBorders>
              <w:top w:val="single" w:sz="8" w:space="0" w:color="00B050"/>
              <w:left w:val="nil"/>
              <w:bottom w:val="nil"/>
              <w:right w:val="nil"/>
            </w:tcBorders>
          </w:tcPr>
          <w:p w:rsidR="00D325FE" w:rsidRDefault="00D325FE" w:rsidP="009D6B9A">
            <w:pPr>
              <w:pStyle w:val="CETBodytext"/>
              <w:rPr>
                <w:lang w:val="en-GB"/>
              </w:rPr>
            </w:pPr>
          </w:p>
        </w:tc>
        <w:tc>
          <w:tcPr>
            <w:tcW w:w="1119" w:type="dxa"/>
            <w:tcBorders>
              <w:top w:val="single" w:sz="8" w:space="0" w:color="00B050"/>
              <w:left w:val="nil"/>
              <w:bottom w:val="nil"/>
              <w:right w:val="nil"/>
            </w:tcBorders>
          </w:tcPr>
          <w:p w:rsidR="00D325FE" w:rsidRDefault="00D325FE" w:rsidP="009D6B9A">
            <w:pPr>
              <w:pStyle w:val="CETBodytext"/>
              <w:rPr>
                <w:lang w:val="en-GB"/>
              </w:rPr>
            </w:pPr>
            <w:r>
              <w:rPr>
                <w:lang w:val="en-GB"/>
              </w:rPr>
              <w:t>0.54%wt</w:t>
            </w:r>
          </w:p>
        </w:tc>
        <w:tc>
          <w:tcPr>
            <w:tcW w:w="567" w:type="dxa"/>
            <w:tcBorders>
              <w:top w:val="single" w:sz="8" w:space="0" w:color="00B050"/>
              <w:left w:val="nil"/>
              <w:bottom w:val="nil"/>
              <w:right w:val="nil"/>
            </w:tcBorders>
          </w:tcPr>
          <w:p w:rsidR="00D325FE" w:rsidRDefault="00D325FE" w:rsidP="009D6B9A">
            <w:pPr>
              <w:pStyle w:val="CETBodytext"/>
              <w:rPr>
                <w:lang w:val="en-GB"/>
              </w:rPr>
            </w:pPr>
            <w:r>
              <w:rPr>
                <w:lang w:val="en-GB"/>
              </w:rPr>
              <w:t>-</w:t>
            </w:r>
          </w:p>
        </w:tc>
        <w:tc>
          <w:tcPr>
            <w:tcW w:w="958" w:type="dxa"/>
            <w:tcBorders>
              <w:top w:val="single" w:sz="8" w:space="0" w:color="00B050"/>
              <w:left w:val="nil"/>
              <w:bottom w:val="nil"/>
              <w:right w:val="nil"/>
            </w:tcBorders>
          </w:tcPr>
          <w:p w:rsidR="00D325FE" w:rsidRDefault="00D325FE" w:rsidP="009D6B9A">
            <w:pPr>
              <w:pStyle w:val="CETBodytext"/>
              <w:rPr>
                <w:lang w:val="en-GB"/>
              </w:rPr>
            </w:pPr>
            <w:r>
              <w:rPr>
                <w:lang w:val="en-GB"/>
              </w:rPr>
              <w:t>0.04%wt</w:t>
            </w:r>
          </w:p>
        </w:tc>
        <w:tc>
          <w:tcPr>
            <w:tcW w:w="567" w:type="dxa"/>
            <w:tcBorders>
              <w:top w:val="single" w:sz="8" w:space="0" w:color="00B050"/>
              <w:left w:val="nil"/>
              <w:bottom w:val="nil"/>
              <w:right w:val="nil"/>
            </w:tcBorders>
          </w:tcPr>
          <w:p w:rsidR="00D325FE" w:rsidRDefault="00D325FE" w:rsidP="009D6B9A">
            <w:pPr>
              <w:pStyle w:val="CETBodytext"/>
              <w:rPr>
                <w:lang w:val="en-GB"/>
              </w:rPr>
            </w:pPr>
            <w:r>
              <w:rPr>
                <w:lang w:val="en-GB"/>
              </w:rPr>
              <w:t>-</w:t>
            </w:r>
          </w:p>
        </w:tc>
        <w:tc>
          <w:tcPr>
            <w:tcW w:w="958" w:type="dxa"/>
            <w:tcBorders>
              <w:top w:val="single" w:sz="8" w:space="0" w:color="00B050"/>
              <w:left w:val="nil"/>
              <w:bottom w:val="nil"/>
              <w:right w:val="nil"/>
            </w:tcBorders>
          </w:tcPr>
          <w:p w:rsidR="00D325FE" w:rsidRDefault="00D325FE" w:rsidP="009D6B9A">
            <w:pPr>
              <w:pStyle w:val="CETBodytext"/>
              <w:rPr>
                <w:lang w:val="en-GB"/>
              </w:rPr>
            </w:pPr>
            <w:r>
              <w:rPr>
                <w:lang w:val="en-GB"/>
              </w:rPr>
              <w:t>0.14%wt</w:t>
            </w:r>
          </w:p>
        </w:tc>
        <w:tc>
          <w:tcPr>
            <w:tcW w:w="570" w:type="dxa"/>
            <w:tcBorders>
              <w:top w:val="single" w:sz="8" w:space="0" w:color="00B050"/>
              <w:left w:val="nil"/>
              <w:bottom w:val="nil"/>
              <w:right w:val="nil"/>
            </w:tcBorders>
          </w:tcPr>
          <w:p w:rsidR="00D325FE" w:rsidRDefault="00D325FE" w:rsidP="009D6B9A">
            <w:pPr>
              <w:pStyle w:val="CETBodytext"/>
              <w:rPr>
                <w:lang w:val="en-GB"/>
              </w:rPr>
            </w:pPr>
            <w:r>
              <w:rPr>
                <w:lang w:val="en-GB"/>
              </w:rPr>
              <w:t>-</w:t>
            </w:r>
          </w:p>
        </w:tc>
        <w:tc>
          <w:tcPr>
            <w:tcW w:w="953" w:type="dxa"/>
            <w:tcBorders>
              <w:top w:val="single" w:sz="8" w:space="0" w:color="00B050"/>
              <w:left w:val="nil"/>
              <w:bottom w:val="nil"/>
              <w:right w:val="nil"/>
            </w:tcBorders>
          </w:tcPr>
          <w:p w:rsidR="00D325FE" w:rsidRDefault="00D325FE" w:rsidP="009D6B9A">
            <w:pPr>
              <w:pStyle w:val="CETBodytext"/>
              <w:rPr>
                <w:lang w:val="en-GB"/>
              </w:rPr>
            </w:pPr>
            <w:r>
              <w:rPr>
                <w:lang w:val="en-GB"/>
              </w:rPr>
              <w:t>9.00%wt</w:t>
            </w:r>
          </w:p>
        </w:tc>
        <w:tc>
          <w:tcPr>
            <w:tcW w:w="685" w:type="dxa"/>
            <w:tcBorders>
              <w:top w:val="single" w:sz="8" w:space="0" w:color="00B050"/>
              <w:left w:val="nil"/>
              <w:bottom w:val="nil"/>
              <w:right w:val="nil"/>
            </w:tcBorders>
          </w:tcPr>
          <w:p w:rsidR="00D325FE" w:rsidRDefault="00D325FE" w:rsidP="009D6B9A">
            <w:pPr>
              <w:pStyle w:val="CETBodytext"/>
              <w:rPr>
                <w:lang w:val="en-GB"/>
              </w:rPr>
            </w:pPr>
            <w:r>
              <w:rPr>
                <w:lang w:val="en-GB"/>
              </w:rPr>
              <w:t>-</w:t>
            </w:r>
          </w:p>
        </w:tc>
      </w:tr>
      <w:tr w:rsidR="00D325FE" w:rsidTr="00515BFB">
        <w:tc>
          <w:tcPr>
            <w:tcW w:w="1103" w:type="dxa"/>
            <w:tcBorders>
              <w:top w:val="nil"/>
              <w:left w:val="nil"/>
              <w:bottom w:val="nil"/>
              <w:right w:val="nil"/>
            </w:tcBorders>
          </w:tcPr>
          <w:p w:rsidR="00D325FE" w:rsidRDefault="00D325FE" w:rsidP="009D6B9A">
            <w:pPr>
              <w:pStyle w:val="CETBodytext"/>
              <w:rPr>
                <w:lang w:val="en-GB"/>
              </w:rPr>
            </w:pPr>
            <w:r>
              <w:rPr>
                <w:lang w:val="en-GB"/>
              </w:rPr>
              <w:t>UF perm</w:t>
            </w:r>
          </w:p>
        </w:tc>
        <w:tc>
          <w:tcPr>
            <w:tcW w:w="1041" w:type="dxa"/>
            <w:tcBorders>
              <w:top w:val="nil"/>
              <w:left w:val="nil"/>
              <w:bottom w:val="nil"/>
              <w:right w:val="nil"/>
            </w:tcBorders>
          </w:tcPr>
          <w:p w:rsidR="00D325FE" w:rsidRDefault="00D325FE" w:rsidP="009D6B9A">
            <w:pPr>
              <w:pStyle w:val="CETBodytext"/>
              <w:rPr>
                <w:lang w:val="en-GB"/>
              </w:rPr>
            </w:pPr>
            <w:r>
              <w:rPr>
                <w:lang w:val="en-GB"/>
              </w:rPr>
              <w:t>99.34%wt</w:t>
            </w:r>
          </w:p>
        </w:tc>
        <w:tc>
          <w:tcPr>
            <w:tcW w:w="266" w:type="dxa"/>
            <w:tcBorders>
              <w:top w:val="nil"/>
              <w:left w:val="nil"/>
              <w:bottom w:val="nil"/>
              <w:right w:val="nil"/>
            </w:tcBorders>
          </w:tcPr>
          <w:p w:rsidR="00D325FE" w:rsidRDefault="00D325FE" w:rsidP="009D6B9A">
            <w:pPr>
              <w:pStyle w:val="CETBodytext"/>
              <w:rPr>
                <w:lang w:val="en-GB"/>
              </w:rPr>
            </w:pPr>
          </w:p>
        </w:tc>
        <w:tc>
          <w:tcPr>
            <w:tcW w:w="1119" w:type="dxa"/>
            <w:tcBorders>
              <w:top w:val="nil"/>
              <w:left w:val="nil"/>
              <w:bottom w:val="nil"/>
              <w:right w:val="nil"/>
            </w:tcBorders>
          </w:tcPr>
          <w:p w:rsidR="00D325FE" w:rsidRDefault="00D325FE" w:rsidP="009D6B9A">
            <w:pPr>
              <w:pStyle w:val="CETBodytext"/>
              <w:rPr>
                <w:lang w:val="en-GB"/>
              </w:rPr>
            </w:pPr>
            <w:r>
              <w:rPr>
                <w:lang w:val="en-GB"/>
              </w:rPr>
              <w:t>0.49%wt</w:t>
            </w:r>
          </w:p>
        </w:tc>
        <w:tc>
          <w:tcPr>
            <w:tcW w:w="567" w:type="dxa"/>
            <w:tcBorders>
              <w:top w:val="nil"/>
              <w:left w:val="nil"/>
              <w:bottom w:val="nil"/>
              <w:right w:val="nil"/>
            </w:tcBorders>
          </w:tcPr>
          <w:p w:rsidR="00D325FE" w:rsidRDefault="00257255" w:rsidP="009D6B9A">
            <w:pPr>
              <w:pStyle w:val="CETBodytext"/>
              <w:rPr>
                <w:lang w:val="en-GB"/>
              </w:rPr>
            </w:pPr>
            <w:r>
              <w:rPr>
                <w:lang w:val="en-GB"/>
              </w:rPr>
              <w:t>0.09</w:t>
            </w:r>
          </w:p>
        </w:tc>
        <w:tc>
          <w:tcPr>
            <w:tcW w:w="958" w:type="dxa"/>
            <w:tcBorders>
              <w:top w:val="nil"/>
              <w:left w:val="nil"/>
              <w:bottom w:val="nil"/>
              <w:right w:val="nil"/>
            </w:tcBorders>
          </w:tcPr>
          <w:p w:rsidR="00D325FE" w:rsidRDefault="00D325FE" w:rsidP="009D6B9A">
            <w:pPr>
              <w:pStyle w:val="CETBodytext"/>
              <w:rPr>
                <w:lang w:val="en-GB"/>
              </w:rPr>
            </w:pPr>
            <w:r>
              <w:rPr>
                <w:lang w:val="en-GB"/>
              </w:rPr>
              <w:t>0.04%wt</w:t>
            </w:r>
          </w:p>
        </w:tc>
        <w:tc>
          <w:tcPr>
            <w:tcW w:w="567" w:type="dxa"/>
            <w:tcBorders>
              <w:top w:val="nil"/>
              <w:left w:val="nil"/>
              <w:bottom w:val="nil"/>
              <w:right w:val="nil"/>
            </w:tcBorders>
          </w:tcPr>
          <w:p w:rsidR="00D325FE" w:rsidRDefault="00257255" w:rsidP="009D6B9A">
            <w:pPr>
              <w:pStyle w:val="CETBodytext"/>
              <w:rPr>
                <w:lang w:val="en-GB"/>
              </w:rPr>
            </w:pPr>
            <w:r>
              <w:rPr>
                <w:lang w:val="en-GB"/>
              </w:rPr>
              <w:t>0.00</w:t>
            </w:r>
          </w:p>
        </w:tc>
        <w:tc>
          <w:tcPr>
            <w:tcW w:w="958" w:type="dxa"/>
            <w:tcBorders>
              <w:top w:val="nil"/>
              <w:left w:val="nil"/>
              <w:bottom w:val="nil"/>
              <w:right w:val="nil"/>
            </w:tcBorders>
          </w:tcPr>
          <w:p w:rsidR="00D325FE" w:rsidRDefault="00D325FE" w:rsidP="009D6B9A">
            <w:pPr>
              <w:pStyle w:val="CETBodytext"/>
              <w:rPr>
                <w:lang w:val="en-GB"/>
              </w:rPr>
            </w:pPr>
            <w:r>
              <w:rPr>
                <w:lang w:val="en-GB"/>
              </w:rPr>
              <w:t>0.13%wt</w:t>
            </w:r>
          </w:p>
        </w:tc>
        <w:tc>
          <w:tcPr>
            <w:tcW w:w="570" w:type="dxa"/>
            <w:tcBorders>
              <w:top w:val="nil"/>
              <w:left w:val="nil"/>
              <w:bottom w:val="nil"/>
              <w:right w:val="nil"/>
            </w:tcBorders>
          </w:tcPr>
          <w:p w:rsidR="00D325FE" w:rsidRDefault="00257255" w:rsidP="009D6B9A">
            <w:pPr>
              <w:pStyle w:val="CETBodytext"/>
              <w:rPr>
                <w:lang w:val="en-GB"/>
              </w:rPr>
            </w:pPr>
            <w:r>
              <w:rPr>
                <w:lang w:val="en-GB"/>
              </w:rPr>
              <w:t>0.07</w:t>
            </w:r>
          </w:p>
        </w:tc>
        <w:tc>
          <w:tcPr>
            <w:tcW w:w="953" w:type="dxa"/>
            <w:tcBorders>
              <w:top w:val="nil"/>
              <w:left w:val="nil"/>
              <w:bottom w:val="nil"/>
              <w:right w:val="nil"/>
            </w:tcBorders>
          </w:tcPr>
          <w:p w:rsidR="00D325FE" w:rsidRDefault="00D325FE" w:rsidP="009D6B9A">
            <w:pPr>
              <w:pStyle w:val="CETBodytext"/>
              <w:rPr>
                <w:lang w:val="en-GB"/>
              </w:rPr>
            </w:pPr>
            <w:r>
              <w:rPr>
                <w:lang w:val="en-GB"/>
              </w:rPr>
              <w:t>0.00%wt</w:t>
            </w:r>
          </w:p>
        </w:tc>
        <w:tc>
          <w:tcPr>
            <w:tcW w:w="685" w:type="dxa"/>
            <w:tcBorders>
              <w:top w:val="nil"/>
              <w:left w:val="nil"/>
              <w:bottom w:val="nil"/>
              <w:right w:val="nil"/>
            </w:tcBorders>
          </w:tcPr>
          <w:p w:rsidR="00D325FE" w:rsidRDefault="00257255" w:rsidP="009D6B9A">
            <w:pPr>
              <w:pStyle w:val="CETBodytext"/>
              <w:rPr>
                <w:lang w:val="en-GB"/>
              </w:rPr>
            </w:pPr>
            <w:r>
              <w:rPr>
                <w:lang w:val="en-GB"/>
              </w:rPr>
              <w:t>1.00</w:t>
            </w:r>
          </w:p>
        </w:tc>
      </w:tr>
      <w:tr w:rsidR="00D325FE" w:rsidTr="00515BFB">
        <w:tc>
          <w:tcPr>
            <w:tcW w:w="1103" w:type="dxa"/>
            <w:tcBorders>
              <w:top w:val="nil"/>
              <w:left w:val="nil"/>
              <w:bottom w:val="nil"/>
              <w:right w:val="nil"/>
            </w:tcBorders>
          </w:tcPr>
          <w:p w:rsidR="00D325FE" w:rsidRDefault="00D325FE" w:rsidP="009D6B9A">
            <w:pPr>
              <w:pStyle w:val="CETBodytext"/>
              <w:rPr>
                <w:lang w:val="en-GB"/>
              </w:rPr>
            </w:pPr>
            <w:r>
              <w:rPr>
                <w:lang w:val="en-GB"/>
              </w:rPr>
              <w:t xml:space="preserve">PV </w:t>
            </w:r>
            <w:proofErr w:type="spellStart"/>
            <w:r>
              <w:rPr>
                <w:lang w:val="en-GB"/>
              </w:rPr>
              <w:t>conc</w:t>
            </w:r>
            <w:proofErr w:type="spellEnd"/>
          </w:p>
        </w:tc>
        <w:tc>
          <w:tcPr>
            <w:tcW w:w="1041" w:type="dxa"/>
            <w:tcBorders>
              <w:top w:val="nil"/>
              <w:left w:val="nil"/>
              <w:bottom w:val="nil"/>
              <w:right w:val="nil"/>
            </w:tcBorders>
          </w:tcPr>
          <w:p w:rsidR="00D325FE" w:rsidRDefault="00D325FE" w:rsidP="009D6B9A">
            <w:pPr>
              <w:pStyle w:val="CETBodytext"/>
              <w:rPr>
                <w:lang w:val="en-GB"/>
              </w:rPr>
            </w:pPr>
            <w:r>
              <w:rPr>
                <w:lang w:val="en-GB"/>
              </w:rPr>
              <w:t>97.78%wt</w:t>
            </w:r>
          </w:p>
        </w:tc>
        <w:tc>
          <w:tcPr>
            <w:tcW w:w="266" w:type="dxa"/>
            <w:tcBorders>
              <w:top w:val="nil"/>
              <w:left w:val="nil"/>
              <w:bottom w:val="nil"/>
              <w:right w:val="nil"/>
            </w:tcBorders>
          </w:tcPr>
          <w:p w:rsidR="00D325FE" w:rsidRDefault="00D325FE" w:rsidP="009D6B9A">
            <w:pPr>
              <w:pStyle w:val="CETBodytext"/>
              <w:rPr>
                <w:lang w:val="en-GB"/>
              </w:rPr>
            </w:pPr>
          </w:p>
        </w:tc>
        <w:tc>
          <w:tcPr>
            <w:tcW w:w="1119" w:type="dxa"/>
            <w:tcBorders>
              <w:top w:val="nil"/>
              <w:left w:val="nil"/>
              <w:bottom w:val="nil"/>
              <w:right w:val="nil"/>
            </w:tcBorders>
          </w:tcPr>
          <w:p w:rsidR="00D325FE" w:rsidRDefault="00D325FE" w:rsidP="009D6B9A">
            <w:pPr>
              <w:pStyle w:val="CETBodytext"/>
              <w:rPr>
                <w:lang w:val="en-GB"/>
              </w:rPr>
            </w:pPr>
            <w:r>
              <w:rPr>
                <w:lang w:val="en-GB"/>
              </w:rPr>
              <w:t>1.62%wt</w:t>
            </w:r>
          </w:p>
        </w:tc>
        <w:tc>
          <w:tcPr>
            <w:tcW w:w="567" w:type="dxa"/>
            <w:tcBorders>
              <w:top w:val="nil"/>
              <w:left w:val="nil"/>
              <w:bottom w:val="nil"/>
              <w:right w:val="nil"/>
            </w:tcBorders>
          </w:tcPr>
          <w:p w:rsidR="00D325FE" w:rsidRDefault="00257255" w:rsidP="009D6B9A">
            <w:pPr>
              <w:pStyle w:val="CETBodytext"/>
              <w:rPr>
                <w:lang w:val="en-GB"/>
              </w:rPr>
            </w:pPr>
            <w:r>
              <w:rPr>
                <w:lang w:val="en-GB"/>
              </w:rPr>
              <w:t>0.</w:t>
            </w:r>
            <w:r w:rsidR="00611A81">
              <w:rPr>
                <w:lang w:val="en-GB"/>
              </w:rPr>
              <w:t>93</w:t>
            </w:r>
          </w:p>
        </w:tc>
        <w:tc>
          <w:tcPr>
            <w:tcW w:w="958" w:type="dxa"/>
            <w:tcBorders>
              <w:top w:val="nil"/>
              <w:left w:val="nil"/>
              <w:bottom w:val="nil"/>
              <w:right w:val="nil"/>
            </w:tcBorders>
          </w:tcPr>
          <w:p w:rsidR="00D325FE" w:rsidRDefault="00D325FE" w:rsidP="009D6B9A">
            <w:pPr>
              <w:pStyle w:val="CETBodytext"/>
              <w:rPr>
                <w:lang w:val="en-GB"/>
              </w:rPr>
            </w:pPr>
            <w:r>
              <w:rPr>
                <w:lang w:val="en-GB"/>
              </w:rPr>
              <w:t>0.</w:t>
            </w:r>
            <w:r w:rsidR="00611A81">
              <w:rPr>
                <w:lang w:val="en-GB"/>
              </w:rPr>
              <w:t>3</w:t>
            </w:r>
            <w:r>
              <w:rPr>
                <w:lang w:val="en-GB"/>
              </w:rPr>
              <w:t>9%wt</w:t>
            </w:r>
          </w:p>
        </w:tc>
        <w:tc>
          <w:tcPr>
            <w:tcW w:w="567" w:type="dxa"/>
            <w:tcBorders>
              <w:top w:val="nil"/>
              <w:left w:val="nil"/>
              <w:bottom w:val="nil"/>
              <w:right w:val="nil"/>
            </w:tcBorders>
          </w:tcPr>
          <w:p w:rsidR="00D325FE" w:rsidRDefault="00611A81" w:rsidP="009D6B9A">
            <w:pPr>
              <w:pStyle w:val="CETBodytext"/>
              <w:rPr>
                <w:lang w:val="en-GB"/>
              </w:rPr>
            </w:pPr>
            <w:r>
              <w:rPr>
                <w:lang w:val="en-GB"/>
              </w:rPr>
              <w:t>0.98</w:t>
            </w:r>
          </w:p>
        </w:tc>
        <w:tc>
          <w:tcPr>
            <w:tcW w:w="958" w:type="dxa"/>
            <w:tcBorders>
              <w:top w:val="nil"/>
              <w:left w:val="nil"/>
              <w:bottom w:val="nil"/>
              <w:right w:val="nil"/>
            </w:tcBorders>
          </w:tcPr>
          <w:p w:rsidR="00D325FE" w:rsidRDefault="00D325FE" w:rsidP="009D6B9A">
            <w:pPr>
              <w:pStyle w:val="CETBodytext"/>
              <w:rPr>
                <w:lang w:val="en-GB"/>
              </w:rPr>
            </w:pPr>
            <w:r>
              <w:rPr>
                <w:lang w:val="en-GB"/>
              </w:rPr>
              <w:t>0.11%wt</w:t>
            </w:r>
          </w:p>
        </w:tc>
        <w:tc>
          <w:tcPr>
            <w:tcW w:w="570" w:type="dxa"/>
            <w:tcBorders>
              <w:top w:val="nil"/>
              <w:left w:val="nil"/>
              <w:bottom w:val="nil"/>
              <w:right w:val="nil"/>
            </w:tcBorders>
          </w:tcPr>
          <w:p w:rsidR="00D325FE" w:rsidRDefault="00515BFB" w:rsidP="009D6B9A">
            <w:pPr>
              <w:pStyle w:val="CETBodytext"/>
              <w:rPr>
                <w:lang w:val="en-GB"/>
              </w:rPr>
            </w:pPr>
            <w:r>
              <w:rPr>
                <w:lang w:val="en-GB"/>
              </w:rPr>
              <w:t>0.</w:t>
            </w:r>
            <w:r w:rsidR="00611A81">
              <w:rPr>
                <w:lang w:val="en-GB"/>
              </w:rPr>
              <w:t>90</w:t>
            </w:r>
          </w:p>
        </w:tc>
        <w:tc>
          <w:tcPr>
            <w:tcW w:w="953" w:type="dxa"/>
            <w:tcBorders>
              <w:top w:val="nil"/>
              <w:left w:val="nil"/>
              <w:bottom w:val="nil"/>
              <w:right w:val="nil"/>
            </w:tcBorders>
          </w:tcPr>
          <w:p w:rsidR="00D325FE" w:rsidRDefault="00D325FE" w:rsidP="009D6B9A">
            <w:pPr>
              <w:pStyle w:val="CETBodytext"/>
              <w:rPr>
                <w:lang w:val="en-GB"/>
              </w:rPr>
            </w:pPr>
            <w:r>
              <w:rPr>
                <w:lang w:val="en-GB"/>
              </w:rPr>
              <w:t>0.00%wt</w:t>
            </w:r>
          </w:p>
        </w:tc>
        <w:tc>
          <w:tcPr>
            <w:tcW w:w="685" w:type="dxa"/>
            <w:tcBorders>
              <w:top w:val="nil"/>
              <w:left w:val="nil"/>
              <w:bottom w:val="nil"/>
              <w:right w:val="nil"/>
            </w:tcBorders>
          </w:tcPr>
          <w:p w:rsidR="00D325FE" w:rsidRDefault="00257255" w:rsidP="009D6B9A">
            <w:pPr>
              <w:pStyle w:val="CETBodytext"/>
              <w:rPr>
                <w:lang w:val="en-GB"/>
              </w:rPr>
            </w:pPr>
            <w:r>
              <w:rPr>
                <w:lang w:val="en-GB"/>
              </w:rPr>
              <w:t>-</w:t>
            </w:r>
          </w:p>
        </w:tc>
      </w:tr>
      <w:tr w:rsidR="00D325FE" w:rsidTr="00515BFB">
        <w:tc>
          <w:tcPr>
            <w:tcW w:w="1103" w:type="dxa"/>
            <w:tcBorders>
              <w:top w:val="nil"/>
              <w:left w:val="nil"/>
              <w:bottom w:val="single" w:sz="8" w:space="0" w:color="00B050"/>
              <w:right w:val="nil"/>
            </w:tcBorders>
          </w:tcPr>
          <w:p w:rsidR="00D325FE" w:rsidRDefault="00D325FE" w:rsidP="009D6B9A">
            <w:pPr>
              <w:pStyle w:val="CETBodytext"/>
              <w:rPr>
                <w:lang w:val="en-GB"/>
              </w:rPr>
            </w:pPr>
            <w:r>
              <w:rPr>
                <w:lang w:val="en-GB"/>
              </w:rPr>
              <w:t xml:space="preserve">NF </w:t>
            </w:r>
            <w:proofErr w:type="spellStart"/>
            <w:r>
              <w:rPr>
                <w:lang w:val="en-GB"/>
              </w:rPr>
              <w:t>conc</w:t>
            </w:r>
            <w:proofErr w:type="spellEnd"/>
          </w:p>
        </w:tc>
        <w:tc>
          <w:tcPr>
            <w:tcW w:w="1041" w:type="dxa"/>
            <w:tcBorders>
              <w:top w:val="nil"/>
              <w:left w:val="nil"/>
              <w:bottom w:val="single" w:sz="8" w:space="0" w:color="00B050"/>
              <w:right w:val="nil"/>
            </w:tcBorders>
          </w:tcPr>
          <w:p w:rsidR="00D325FE" w:rsidRDefault="00D325FE" w:rsidP="009D6B9A">
            <w:pPr>
              <w:pStyle w:val="CETBodytext"/>
              <w:rPr>
                <w:lang w:val="en-GB"/>
              </w:rPr>
            </w:pPr>
            <w:r>
              <w:rPr>
                <w:lang w:val="en-GB"/>
              </w:rPr>
              <w:t>80.54%wt</w:t>
            </w:r>
          </w:p>
        </w:tc>
        <w:tc>
          <w:tcPr>
            <w:tcW w:w="266" w:type="dxa"/>
            <w:tcBorders>
              <w:top w:val="nil"/>
              <w:left w:val="nil"/>
              <w:bottom w:val="single" w:sz="8" w:space="0" w:color="00B050"/>
              <w:right w:val="nil"/>
            </w:tcBorders>
          </w:tcPr>
          <w:p w:rsidR="00D325FE" w:rsidRDefault="00D325FE" w:rsidP="009D6B9A">
            <w:pPr>
              <w:pStyle w:val="CETBodytext"/>
              <w:rPr>
                <w:lang w:val="en-GB"/>
              </w:rPr>
            </w:pPr>
          </w:p>
        </w:tc>
        <w:tc>
          <w:tcPr>
            <w:tcW w:w="1119" w:type="dxa"/>
            <w:tcBorders>
              <w:top w:val="nil"/>
              <w:left w:val="nil"/>
              <w:bottom w:val="single" w:sz="8" w:space="0" w:color="00B050"/>
              <w:right w:val="nil"/>
            </w:tcBorders>
          </w:tcPr>
          <w:p w:rsidR="00D325FE" w:rsidRDefault="00D325FE" w:rsidP="009D6B9A">
            <w:pPr>
              <w:pStyle w:val="CETBodytext"/>
              <w:rPr>
                <w:lang w:val="en-GB"/>
              </w:rPr>
            </w:pPr>
            <w:r>
              <w:rPr>
                <w:lang w:val="en-GB"/>
              </w:rPr>
              <w:t>15.31%wt</w:t>
            </w:r>
          </w:p>
        </w:tc>
        <w:tc>
          <w:tcPr>
            <w:tcW w:w="567" w:type="dxa"/>
            <w:tcBorders>
              <w:top w:val="nil"/>
              <w:left w:val="nil"/>
              <w:bottom w:val="single" w:sz="8" w:space="0" w:color="00B050"/>
              <w:right w:val="nil"/>
            </w:tcBorders>
          </w:tcPr>
          <w:p w:rsidR="00D325FE" w:rsidRDefault="00257255" w:rsidP="009D6B9A">
            <w:pPr>
              <w:pStyle w:val="CETBodytext"/>
              <w:rPr>
                <w:lang w:val="en-GB"/>
              </w:rPr>
            </w:pPr>
            <w:r>
              <w:rPr>
                <w:lang w:val="en-GB"/>
              </w:rPr>
              <w:t>0.95</w:t>
            </w:r>
          </w:p>
        </w:tc>
        <w:tc>
          <w:tcPr>
            <w:tcW w:w="958" w:type="dxa"/>
            <w:tcBorders>
              <w:top w:val="nil"/>
              <w:left w:val="nil"/>
              <w:bottom w:val="single" w:sz="8" w:space="0" w:color="00B050"/>
              <w:right w:val="nil"/>
            </w:tcBorders>
          </w:tcPr>
          <w:p w:rsidR="00D325FE" w:rsidRDefault="00D325FE" w:rsidP="009D6B9A">
            <w:pPr>
              <w:pStyle w:val="CETBodytext"/>
              <w:rPr>
                <w:lang w:val="en-GB"/>
              </w:rPr>
            </w:pPr>
            <w:r>
              <w:rPr>
                <w:lang w:val="en-GB"/>
              </w:rPr>
              <w:t>3.24%wt</w:t>
            </w:r>
          </w:p>
        </w:tc>
        <w:tc>
          <w:tcPr>
            <w:tcW w:w="567" w:type="dxa"/>
            <w:tcBorders>
              <w:top w:val="nil"/>
              <w:left w:val="nil"/>
              <w:bottom w:val="single" w:sz="8" w:space="0" w:color="00B050"/>
              <w:right w:val="nil"/>
            </w:tcBorders>
          </w:tcPr>
          <w:p w:rsidR="00D325FE" w:rsidRDefault="00257255" w:rsidP="009D6B9A">
            <w:pPr>
              <w:pStyle w:val="CETBodytext"/>
              <w:rPr>
                <w:lang w:val="en-GB"/>
              </w:rPr>
            </w:pPr>
            <w:r>
              <w:rPr>
                <w:lang w:val="en-GB"/>
              </w:rPr>
              <w:t>0.66</w:t>
            </w:r>
          </w:p>
        </w:tc>
        <w:tc>
          <w:tcPr>
            <w:tcW w:w="958" w:type="dxa"/>
            <w:tcBorders>
              <w:top w:val="nil"/>
              <w:left w:val="nil"/>
              <w:bottom w:val="single" w:sz="8" w:space="0" w:color="00B050"/>
              <w:right w:val="nil"/>
            </w:tcBorders>
          </w:tcPr>
          <w:p w:rsidR="00D325FE" w:rsidRDefault="00D325FE" w:rsidP="009D6B9A">
            <w:pPr>
              <w:pStyle w:val="CETBodytext"/>
              <w:rPr>
                <w:lang w:val="en-GB"/>
              </w:rPr>
            </w:pPr>
            <w:r>
              <w:rPr>
                <w:lang w:val="en-GB"/>
              </w:rPr>
              <w:t>0.91%wt</w:t>
            </w:r>
          </w:p>
        </w:tc>
        <w:tc>
          <w:tcPr>
            <w:tcW w:w="570" w:type="dxa"/>
            <w:tcBorders>
              <w:top w:val="nil"/>
              <w:left w:val="nil"/>
              <w:bottom w:val="single" w:sz="8" w:space="0" w:color="00B050"/>
              <w:right w:val="nil"/>
            </w:tcBorders>
          </w:tcPr>
          <w:p w:rsidR="00D325FE" w:rsidRDefault="00257255" w:rsidP="009D6B9A">
            <w:pPr>
              <w:pStyle w:val="CETBodytext"/>
              <w:rPr>
                <w:lang w:val="en-GB"/>
              </w:rPr>
            </w:pPr>
            <w:r>
              <w:rPr>
                <w:lang w:val="en-GB"/>
              </w:rPr>
              <w:t>0.83</w:t>
            </w:r>
          </w:p>
        </w:tc>
        <w:tc>
          <w:tcPr>
            <w:tcW w:w="953" w:type="dxa"/>
            <w:tcBorders>
              <w:top w:val="nil"/>
              <w:left w:val="nil"/>
              <w:bottom w:val="single" w:sz="8" w:space="0" w:color="00B050"/>
              <w:right w:val="nil"/>
            </w:tcBorders>
          </w:tcPr>
          <w:p w:rsidR="00D325FE" w:rsidRDefault="00D325FE" w:rsidP="009D6B9A">
            <w:pPr>
              <w:pStyle w:val="CETBodytext"/>
              <w:rPr>
                <w:lang w:val="en-GB"/>
              </w:rPr>
            </w:pPr>
            <w:r>
              <w:rPr>
                <w:lang w:val="en-GB"/>
              </w:rPr>
              <w:t>0.00%wt</w:t>
            </w:r>
          </w:p>
        </w:tc>
        <w:tc>
          <w:tcPr>
            <w:tcW w:w="685" w:type="dxa"/>
            <w:tcBorders>
              <w:top w:val="nil"/>
              <w:left w:val="nil"/>
              <w:bottom w:val="single" w:sz="8" w:space="0" w:color="00B050"/>
              <w:right w:val="nil"/>
            </w:tcBorders>
          </w:tcPr>
          <w:p w:rsidR="00D325FE" w:rsidRDefault="00257255" w:rsidP="009D6B9A">
            <w:pPr>
              <w:pStyle w:val="CETBodytext"/>
              <w:rPr>
                <w:lang w:val="en-GB"/>
              </w:rPr>
            </w:pPr>
            <w:r>
              <w:rPr>
                <w:lang w:val="en-GB"/>
              </w:rPr>
              <w:t>-</w:t>
            </w:r>
          </w:p>
        </w:tc>
      </w:tr>
    </w:tbl>
    <w:p w:rsidR="00D325FE" w:rsidRDefault="00D325FE" w:rsidP="00C07E30">
      <w:pPr>
        <w:pStyle w:val="CETBodytext"/>
        <w:rPr>
          <w:lang w:val="en-GB"/>
        </w:rPr>
      </w:pPr>
    </w:p>
    <w:p w:rsidR="009B5EC6" w:rsidRDefault="009B5EC6" w:rsidP="00C07E30">
      <w:pPr>
        <w:pStyle w:val="CETBodytext"/>
        <w:rPr>
          <w:lang w:val="en-GB"/>
        </w:rPr>
      </w:pPr>
      <w:r>
        <w:rPr>
          <w:lang w:val="en-GB"/>
        </w:rPr>
        <w:t xml:space="preserve">Concerning UF, in a first step the boundary flux and </w:t>
      </w:r>
      <w:r>
        <w:rPr>
          <w:rFonts w:cs="Arial"/>
          <w:lang w:val="en-GB"/>
        </w:rPr>
        <w:t>α</w:t>
      </w:r>
      <w:r>
        <w:rPr>
          <w:lang w:val="en-GB"/>
        </w:rPr>
        <w:t xml:space="preserve"> values were determined by using the pressure cycle method. The results were reported in Figure 2. A value of Jb, </w:t>
      </w:r>
      <w:proofErr w:type="spellStart"/>
      <w:r>
        <w:rPr>
          <w:lang w:val="en-GB"/>
        </w:rPr>
        <w:t>TMPb</w:t>
      </w:r>
      <w:proofErr w:type="spellEnd"/>
      <w:r>
        <w:rPr>
          <w:lang w:val="en-GB"/>
        </w:rPr>
        <w:t xml:space="preserve"> and </w:t>
      </w:r>
      <w:r>
        <w:rPr>
          <w:rFonts w:cs="Arial"/>
          <w:lang w:val="en-GB"/>
        </w:rPr>
        <w:t>α</w:t>
      </w:r>
      <w:r>
        <w:rPr>
          <w:lang w:val="en-GB"/>
        </w:rPr>
        <w:t xml:space="preserve"> equal to </w:t>
      </w:r>
      <w:r w:rsidR="008557AE">
        <w:rPr>
          <w:lang w:val="en-GB"/>
        </w:rPr>
        <w:t>1</w:t>
      </w:r>
      <w:r w:rsidR="00F52FE0">
        <w:rPr>
          <w:lang w:val="en-GB"/>
        </w:rPr>
        <w:t>4</w:t>
      </w:r>
      <w:r w:rsidR="008557AE">
        <w:rPr>
          <w:lang w:val="en-GB"/>
        </w:rPr>
        <w:t>.9 l h</w:t>
      </w:r>
      <w:r w:rsidR="008557AE">
        <w:rPr>
          <w:vertAlign w:val="superscript"/>
          <w:lang w:val="en-GB"/>
        </w:rPr>
        <w:t>-1</w:t>
      </w:r>
      <w:r w:rsidR="008557AE">
        <w:rPr>
          <w:lang w:val="en-GB"/>
        </w:rPr>
        <w:t xml:space="preserve"> m</w:t>
      </w:r>
      <w:r w:rsidR="008557AE">
        <w:rPr>
          <w:vertAlign w:val="superscript"/>
          <w:lang w:val="en-GB"/>
        </w:rPr>
        <w:t>-2</w:t>
      </w:r>
      <w:r w:rsidR="008557AE">
        <w:rPr>
          <w:lang w:val="en-GB"/>
        </w:rPr>
        <w:t>, 5 bar and 33.3 10</w:t>
      </w:r>
      <w:r w:rsidR="008557AE">
        <w:rPr>
          <w:vertAlign w:val="superscript"/>
          <w:lang w:val="en-GB"/>
        </w:rPr>
        <w:t>-3</w:t>
      </w:r>
      <w:r w:rsidR="008557AE">
        <w:rPr>
          <w:lang w:val="en-GB"/>
        </w:rPr>
        <w:t xml:space="preserve"> </w:t>
      </w:r>
      <w:r w:rsidR="008557AE">
        <w:t>l h</w:t>
      </w:r>
      <w:r w:rsidR="008557AE" w:rsidRPr="0007169E">
        <w:rPr>
          <w:vertAlign w:val="superscript"/>
        </w:rPr>
        <w:t>-2</w:t>
      </w:r>
      <w:r w:rsidR="008557AE">
        <w:t xml:space="preserve"> m</w:t>
      </w:r>
      <w:r w:rsidR="008557AE" w:rsidRPr="0007169E">
        <w:rPr>
          <w:vertAlign w:val="superscript"/>
        </w:rPr>
        <w:t>-2</w:t>
      </w:r>
      <w:r w:rsidR="008557AE">
        <w:t xml:space="preserve"> bar</w:t>
      </w:r>
      <w:r w:rsidR="008557AE" w:rsidRPr="0007169E">
        <w:rPr>
          <w:vertAlign w:val="superscript"/>
        </w:rPr>
        <w:t>-1</w:t>
      </w:r>
      <w:r w:rsidR="008557AE">
        <w:rPr>
          <w:lang w:val="en-GB"/>
        </w:rPr>
        <w:t xml:space="preserve"> </w:t>
      </w:r>
      <w:r>
        <w:rPr>
          <w:lang w:val="en-GB"/>
        </w:rPr>
        <w:t>were found, respectively.</w:t>
      </w:r>
      <w:r w:rsidR="00517066">
        <w:rPr>
          <w:lang w:val="en-GB"/>
        </w:rPr>
        <w:t xml:space="preserve"> </w:t>
      </w:r>
      <w:r>
        <w:rPr>
          <w:lang w:val="en-GB"/>
        </w:rPr>
        <w:t>Once determined, the separa</w:t>
      </w:r>
      <w:bookmarkStart w:id="0" w:name="_GoBack"/>
      <w:bookmarkEnd w:id="0"/>
      <w:r>
        <w:rPr>
          <w:lang w:val="en-GB"/>
        </w:rPr>
        <w:t xml:space="preserve">tion of the permeate stream was performed by using a TMP value equal to 80% </w:t>
      </w:r>
      <w:proofErr w:type="spellStart"/>
      <w:r>
        <w:rPr>
          <w:lang w:val="en-GB"/>
        </w:rPr>
        <w:t>TMPb</w:t>
      </w:r>
      <w:proofErr w:type="spellEnd"/>
      <w:r>
        <w:rPr>
          <w:lang w:val="en-GB"/>
        </w:rPr>
        <w:t xml:space="preserve">. The operation reached a recovery value Y equal to </w:t>
      </w:r>
      <w:r w:rsidR="009577ED">
        <w:rPr>
          <w:lang w:val="en-GB"/>
        </w:rPr>
        <w:t>70</w:t>
      </w:r>
      <w:r>
        <w:rPr>
          <w:lang w:val="en-GB"/>
        </w:rPr>
        <w:t>%.</w:t>
      </w:r>
      <w:r w:rsidR="00162332">
        <w:rPr>
          <w:lang w:val="en-GB"/>
        </w:rPr>
        <w:t xml:space="preserve"> From Table 1 it is possible to observe that indeed UF do not reject ABE components</w:t>
      </w:r>
      <w:r w:rsidR="003B3462">
        <w:rPr>
          <w:lang w:val="en-GB"/>
        </w:rPr>
        <w:t xml:space="preserve"> </w:t>
      </w:r>
      <w:r w:rsidR="003B3462">
        <w:rPr>
          <w:lang w:val="en-GB"/>
        </w:rPr>
        <w:t>(very low rejection values R)</w:t>
      </w:r>
      <w:r w:rsidR="00162332">
        <w:rPr>
          <w:lang w:val="en-GB"/>
        </w:rPr>
        <w:t xml:space="preserve">; on the other hand, </w:t>
      </w:r>
      <w:r w:rsidR="00652950">
        <w:rPr>
          <w:lang w:val="en-GB"/>
        </w:rPr>
        <w:t xml:space="preserve">this pre-treatment appears to be mandatory: </w:t>
      </w:r>
      <w:r w:rsidR="00162332">
        <w:rPr>
          <w:lang w:val="en-GB"/>
        </w:rPr>
        <w:t xml:space="preserve">all the suspended solids and biomasses </w:t>
      </w:r>
      <w:r w:rsidR="00652950">
        <w:rPr>
          <w:lang w:val="en-GB"/>
        </w:rPr>
        <w:t xml:space="preserve">(SS) </w:t>
      </w:r>
      <w:r w:rsidR="00162332">
        <w:rPr>
          <w:lang w:val="en-GB"/>
        </w:rPr>
        <w:t>in the ABE stream are completely retained (data not here reported), permitting ease of use of the next separation step.</w:t>
      </w:r>
    </w:p>
    <w:p w:rsidR="00162332" w:rsidRDefault="00162332" w:rsidP="00C07E30">
      <w:pPr>
        <w:pStyle w:val="CETBodytext"/>
        <w:rPr>
          <w:lang w:val="en-GB"/>
        </w:rPr>
      </w:pPr>
    </w:p>
    <w:p w:rsidR="003C5911" w:rsidRDefault="003C5911" w:rsidP="003C5911">
      <w:pPr>
        <w:pStyle w:val="CETBodytext"/>
        <w:rPr>
          <w:lang w:val="en-GB"/>
        </w:rPr>
      </w:pPr>
      <w:r>
        <w:rPr>
          <w:lang w:val="en-GB"/>
        </w:rPr>
        <w:t>The obtained UF permeate stream was then submitted to PV.</w:t>
      </w:r>
    </w:p>
    <w:p w:rsidR="003C5911" w:rsidRDefault="003C5911" w:rsidP="003C5911">
      <w:pPr>
        <w:pStyle w:val="CETBodytext"/>
        <w:rPr>
          <w:rFonts w:cs="Arial"/>
          <w:lang w:val="en-GB"/>
        </w:rPr>
      </w:pPr>
      <w:r>
        <w:rPr>
          <w:lang w:val="en-GB"/>
        </w:rPr>
        <w:t xml:space="preserve">In this case, no boundary flux value was measured directly by the pressure cycle method, since its application is difficult on flat sheet membrane systems. Therefore, the process was performed on two different TMP values, in detail 5.5 and 4.0 bar as first and second run, respectively, and the permeability loss as a function of time </w:t>
      </w:r>
      <w:r>
        <w:rPr>
          <w:lang w:val="en-GB"/>
        </w:rPr>
        <w:lastRenderedPageBreak/>
        <w:t>was checked for constancy (</w:t>
      </w:r>
      <w:r>
        <w:rPr>
          <w:rFonts w:cs="Arial"/>
          <w:lang w:val="en-GB"/>
        </w:rPr>
        <w:t xml:space="preserve">α). The profiles are reported in Figure 3. The target Y was set to 75%. Unfortunately, both selected values resulted to be super-boundary. </w:t>
      </w:r>
    </w:p>
    <w:p w:rsidR="000332F3" w:rsidRDefault="000332F3" w:rsidP="000332F3">
      <w:pPr>
        <w:pStyle w:val="CETBodytext"/>
        <w:rPr>
          <w:rFonts w:cs="Arial"/>
          <w:lang w:val="en-GB"/>
        </w:rPr>
      </w:pPr>
      <w:r>
        <w:rPr>
          <w:rFonts w:cs="Arial"/>
          <w:lang w:val="en-GB"/>
        </w:rPr>
        <w:t xml:space="preserve">Nevertheless, it was possible to evaluate by calculation a </w:t>
      </w:r>
      <w:proofErr w:type="spellStart"/>
      <w:r>
        <w:rPr>
          <w:rFonts w:cs="Arial"/>
          <w:lang w:val="en-GB"/>
        </w:rPr>
        <w:t>TMPb</w:t>
      </w:r>
      <w:proofErr w:type="spellEnd"/>
      <w:r>
        <w:rPr>
          <w:rFonts w:cs="Arial"/>
          <w:lang w:val="en-GB"/>
        </w:rPr>
        <w:t xml:space="preserve"> value, starting from one definition of the boundary flux, that is at infinite operating time, the permeate flux will decrease by a value equal to α and </w:t>
      </w:r>
      <w:proofErr w:type="spellStart"/>
      <w:r>
        <w:rPr>
          <w:rFonts w:cs="Arial"/>
          <w:lang w:val="en-GB"/>
        </w:rPr>
        <w:t>Jp</w:t>
      </w:r>
      <w:proofErr w:type="spellEnd"/>
      <w:r>
        <w:rPr>
          <w:rFonts w:cs="Arial"/>
          <w:lang w:val="en-GB"/>
        </w:rPr>
        <w:t xml:space="preserve"> will assume values equal to Jb if the TMP value do not vary (</w:t>
      </w:r>
      <w:r w:rsidR="007E3F8C">
        <w:rPr>
          <w:rFonts w:cs="Arial"/>
          <w:lang w:val="en-GB"/>
        </w:rPr>
        <w:t>Ochando Pulido and Stoller, 2015</w:t>
      </w:r>
      <w:r>
        <w:rPr>
          <w:rFonts w:cs="Arial"/>
          <w:lang w:val="en-GB"/>
        </w:rPr>
        <w:t xml:space="preserve">). Once determined, it is possible to estimate the value of </w:t>
      </w:r>
      <w:proofErr w:type="gramStart"/>
      <w:r>
        <w:rPr>
          <w:rFonts w:cs="Arial"/>
          <w:lang w:val="en-GB"/>
        </w:rPr>
        <w:t>Jb(</w:t>
      </w:r>
      <w:proofErr w:type="gramEnd"/>
      <w:r>
        <w:rPr>
          <w:rFonts w:cs="Arial"/>
          <w:lang w:val="en-GB"/>
        </w:rPr>
        <w:t>0), at the start of the experiment, by interpolation.</w:t>
      </w:r>
    </w:p>
    <w:p w:rsidR="000332F3" w:rsidRDefault="000332F3" w:rsidP="003C5911">
      <w:pPr>
        <w:pStyle w:val="CETBodytext"/>
        <w:rPr>
          <w:rFonts w:cs="Arial"/>
          <w:lang w:val="en-GB"/>
        </w:rPr>
      </w:pPr>
    </w:p>
    <w:p w:rsidR="008E7487" w:rsidRDefault="000332F3" w:rsidP="000332F3">
      <w:pPr>
        <w:pStyle w:val="CETBodytext"/>
        <w:jc w:val="center"/>
        <w:rPr>
          <w:lang w:val="en-GB"/>
        </w:rPr>
      </w:pPr>
      <w:r>
        <w:rPr>
          <w:noProof/>
        </w:rPr>
        <w:drawing>
          <wp:inline distT="0" distB="0" distL="0" distR="0" wp14:anchorId="30EE5D6C" wp14:editId="6679D734">
            <wp:extent cx="3600000" cy="2190826"/>
            <wp:effectExtent l="0" t="0" r="635"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606" t="23063" r="18573" b="16548"/>
                    <a:stretch/>
                  </pic:blipFill>
                  <pic:spPr bwMode="auto">
                    <a:xfrm>
                      <a:off x="0" y="0"/>
                      <a:ext cx="3600000" cy="2190826"/>
                    </a:xfrm>
                    <a:prstGeom prst="rect">
                      <a:avLst/>
                    </a:prstGeom>
                    <a:ln>
                      <a:noFill/>
                    </a:ln>
                    <a:extLst>
                      <a:ext uri="{53640926-AAD7-44D8-BBD7-CCE9431645EC}">
                        <a14:shadowObscured xmlns:a14="http://schemas.microsoft.com/office/drawing/2010/main"/>
                      </a:ext>
                    </a:extLst>
                  </pic:spPr>
                </pic:pic>
              </a:graphicData>
            </a:graphic>
          </wp:inline>
        </w:drawing>
      </w:r>
    </w:p>
    <w:p w:rsidR="008557AE" w:rsidRDefault="008557AE" w:rsidP="000332F3">
      <w:pPr>
        <w:pStyle w:val="CETBodytext"/>
        <w:jc w:val="center"/>
        <w:rPr>
          <w:lang w:val="en-GB"/>
        </w:rPr>
      </w:pPr>
    </w:p>
    <w:p w:rsidR="008E7487" w:rsidRDefault="008E7487" w:rsidP="00C07E30">
      <w:pPr>
        <w:pStyle w:val="CETBodytext"/>
        <w:rPr>
          <w:lang w:val="en-GB"/>
        </w:rPr>
      </w:pPr>
      <w:r>
        <w:rPr>
          <w:lang w:val="en-GB"/>
        </w:rPr>
        <w:t xml:space="preserve">Figure 2: Plot from the pressure cycling experiment </w:t>
      </w:r>
      <w:r w:rsidR="008557AE">
        <w:rPr>
          <w:lang w:val="en-GB"/>
        </w:rPr>
        <w:t xml:space="preserve">and determination of Jb (circle) </w:t>
      </w:r>
      <w:r>
        <w:rPr>
          <w:lang w:val="en-GB"/>
        </w:rPr>
        <w:t>on UF</w:t>
      </w:r>
    </w:p>
    <w:p w:rsidR="005B0A78" w:rsidRDefault="005B0A78" w:rsidP="00C07E30">
      <w:pPr>
        <w:pStyle w:val="CETBodytext"/>
        <w:rPr>
          <w:rFonts w:cs="Arial"/>
          <w:lang w:val="en-GB"/>
        </w:rPr>
      </w:pPr>
    </w:p>
    <w:p w:rsidR="005B0A78" w:rsidRDefault="00A67CBB" w:rsidP="005B0A78">
      <w:pPr>
        <w:pStyle w:val="CETBodytext"/>
        <w:jc w:val="center"/>
        <w:rPr>
          <w:rFonts w:cs="Arial"/>
          <w:lang w:val="en-GB"/>
        </w:rPr>
      </w:pPr>
      <w:r>
        <w:rPr>
          <w:rFonts w:cs="Arial"/>
          <w:noProof/>
          <w:lang w:val="en-GB"/>
        </w:rPr>
        <mc:AlternateContent>
          <mc:Choice Requires="wps">
            <w:drawing>
              <wp:anchor distT="0" distB="0" distL="114300" distR="114300" simplePos="0" relativeHeight="251698176" behindDoc="0" locked="0" layoutInCell="1" allowOverlap="1">
                <wp:simplePos x="0" y="0"/>
                <wp:positionH relativeFrom="column">
                  <wp:posOffset>835863</wp:posOffset>
                </wp:positionH>
                <wp:positionV relativeFrom="paragraph">
                  <wp:posOffset>94615</wp:posOffset>
                </wp:positionV>
                <wp:extent cx="93723" cy="2217906"/>
                <wp:effectExtent l="0" t="0" r="20955" b="11430"/>
                <wp:wrapNone/>
                <wp:docPr id="38" name="Rettangolo 38"/>
                <wp:cNvGraphicFramePr/>
                <a:graphic xmlns:a="http://schemas.openxmlformats.org/drawingml/2006/main">
                  <a:graphicData uri="http://schemas.microsoft.com/office/word/2010/wordprocessingShape">
                    <wps:wsp>
                      <wps:cNvSpPr/>
                      <wps:spPr>
                        <a:xfrm>
                          <a:off x="0" y="0"/>
                          <a:ext cx="93723" cy="22179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AFD1E" id="Rettangolo 38" o:spid="_x0000_s1026" style="position:absolute;margin-left:65.8pt;margin-top:7.45pt;width:7.4pt;height:174.6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" fillcolor="white [3212]" strokecolor="white [3212]" strokeweight="2pt"/>
            </w:pict>
          </mc:Fallback>
        </mc:AlternateContent>
      </w:r>
      <w:r w:rsidR="00E9608E">
        <w:rPr>
          <w:noProof/>
        </w:rPr>
        <w:drawing>
          <wp:inline distT="0" distB="0" distL="0" distR="0" wp14:anchorId="141104A5" wp14:editId="283294DE">
            <wp:extent cx="3600000" cy="2169806"/>
            <wp:effectExtent l="0" t="0" r="635" b="190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092" t="21205" r="17977" b="10296"/>
                    <a:stretch/>
                  </pic:blipFill>
                  <pic:spPr bwMode="auto">
                    <a:xfrm>
                      <a:off x="0" y="0"/>
                      <a:ext cx="3600000" cy="2169806"/>
                    </a:xfrm>
                    <a:prstGeom prst="rect">
                      <a:avLst/>
                    </a:prstGeom>
                    <a:ln>
                      <a:noFill/>
                    </a:ln>
                    <a:extLst>
                      <a:ext uri="{53640926-AAD7-44D8-BBD7-CCE9431645EC}">
                        <a14:shadowObscured xmlns:a14="http://schemas.microsoft.com/office/drawing/2010/main"/>
                      </a:ext>
                    </a:extLst>
                  </pic:spPr>
                </pic:pic>
              </a:graphicData>
            </a:graphic>
          </wp:inline>
        </w:drawing>
      </w:r>
    </w:p>
    <w:p w:rsidR="005B0A78" w:rsidRDefault="005B0A78" w:rsidP="005B0A78">
      <w:pPr>
        <w:pStyle w:val="CETBodytext"/>
        <w:rPr>
          <w:rFonts w:cs="Arial"/>
          <w:lang w:val="en-GB"/>
        </w:rPr>
      </w:pPr>
    </w:p>
    <w:p w:rsidR="005B0A78" w:rsidRDefault="005B0A78" w:rsidP="005B0A78">
      <w:pPr>
        <w:pStyle w:val="CETBodytext"/>
        <w:rPr>
          <w:lang w:val="en-GB"/>
        </w:rPr>
      </w:pPr>
      <w:r>
        <w:rPr>
          <w:lang w:val="en-GB"/>
        </w:rPr>
        <w:t>Figure 3: Plot of the PV permeate flow stream at TMP values equal to 4.0 bar (circle) and at 5.5 bar (square), respectively</w:t>
      </w:r>
    </w:p>
    <w:p w:rsidR="005B0A78" w:rsidRDefault="005B0A78" w:rsidP="00C07E30">
      <w:pPr>
        <w:pStyle w:val="CETBodytext"/>
        <w:rPr>
          <w:rFonts w:cs="Arial"/>
          <w:lang w:val="en-GB"/>
        </w:rPr>
      </w:pPr>
    </w:p>
    <w:p w:rsidR="005B0A78" w:rsidRDefault="005B0A78" w:rsidP="00A67CBB">
      <w:pPr>
        <w:pStyle w:val="CETBodytext"/>
        <w:rPr>
          <w:rFonts w:cs="Arial"/>
          <w:lang w:val="en-GB"/>
        </w:rPr>
      </w:pPr>
      <w:r>
        <w:rPr>
          <w:rFonts w:cs="Arial"/>
          <w:lang w:val="en-GB"/>
        </w:rPr>
        <w:t>In Figure 4, the estimation by correlation of the available data points were performed. A value of Jb of 2</w:t>
      </w:r>
      <w:r w:rsidR="00A67CBB">
        <w:rPr>
          <w:rFonts w:cs="Arial"/>
          <w:lang w:val="en-GB"/>
        </w:rPr>
        <w:t>.</w:t>
      </w:r>
      <w:r>
        <w:rPr>
          <w:rFonts w:cs="Arial"/>
          <w:lang w:val="en-GB"/>
        </w:rPr>
        <w:t xml:space="preserve">9 </w:t>
      </w:r>
      <w:r w:rsidR="00A00AF6">
        <w:t>l h</w:t>
      </w:r>
      <w:r w:rsidR="00A00AF6" w:rsidRPr="0007169E">
        <w:rPr>
          <w:vertAlign w:val="superscript"/>
        </w:rPr>
        <w:t>-</w:t>
      </w:r>
      <w:r w:rsidR="00A67CBB">
        <w:rPr>
          <w:vertAlign w:val="superscript"/>
        </w:rPr>
        <w:t>1</w:t>
      </w:r>
      <w:r w:rsidR="00A00AF6">
        <w:t xml:space="preserve"> cm</w:t>
      </w:r>
      <w:r w:rsidR="00A00AF6" w:rsidRPr="0007169E">
        <w:rPr>
          <w:vertAlign w:val="superscript"/>
        </w:rPr>
        <w:t>-2</w:t>
      </w:r>
      <w:r w:rsidR="00A00AF6">
        <w:t xml:space="preserve"> </w:t>
      </w:r>
      <w:r>
        <w:rPr>
          <w:rFonts w:cs="Arial"/>
          <w:lang w:val="en-GB"/>
        </w:rPr>
        <w:t>and 2</w:t>
      </w:r>
      <w:r w:rsidR="00A67CBB">
        <w:rPr>
          <w:rFonts w:cs="Arial"/>
          <w:lang w:val="en-GB"/>
        </w:rPr>
        <w:t>.</w:t>
      </w:r>
      <w:r>
        <w:rPr>
          <w:rFonts w:cs="Arial"/>
          <w:lang w:val="en-GB"/>
        </w:rPr>
        <w:t xml:space="preserve">1 </w:t>
      </w:r>
      <w:r w:rsidR="00A00AF6">
        <w:t>l h</w:t>
      </w:r>
      <w:r w:rsidR="00A00AF6" w:rsidRPr="0007169E">
        <w:rPr>
          <w:vertAlign w:val="superscript"/>
        </w:rPr>
        <w:t>-</w:t>
      </w:r>
      <w:r w:rsidR="00A67CBB">
        <w:rPr>
          <w:vertAlign w:val="superscript"/>
        </w:rPr>
        <w:t>1</w:t>
      </w:r>
      <w:r w:rsidR="00A00AF6">
        <w:t xml:space="preserve"> cm</w:t>
      </w:r>
      <w:r w:rsidR="00A00AF6" w:rsidRPr="0007169E">
        <w:rPr>
          <w:vertAlign w:val="superscript"/>
        </w:rPr>
        <w:t>-2</w:t>
      </w:r>
      <w:r w:rsidR="00A00AF6">
        <w:t xml:space="preserve"> </w:t>
      </w:r>
      <w:r>
        <w:rPr>
          <w:rFonts w:cs="Arial"/>
          <w:lang w:val="en-GB"/>
        </w:rPr>
        <w:t xml:space="preserve">was found. It is interesting to notice that the two values are different for the two experimental runs, due to irreversible fouling formed during the first one, </w:t>
      </w:r>
      <w:r w:rsidR="00A00AF6">
        <w:rPr>
          <w:rFonts w:cs="Arial"/>
          <w:lang w:val="en-GB"/>
        </w:rPr>
        <w:t xml:space="preserve">that was the experiment performed </w:t>
      </w:r>
      <w:r>
        <w:rPr>
          <w:rFonts w:cs="Arial"/>
          <w:lang w:val="en-GB"/>
        </w:rPr>
        <w:t xml:space="preserve">at 5.5 bar. </w:t>
      </w:r>
    </w:p>
    <w:p w:rsidR="009B5EC6" w:rsidRDefault="00A00AF6" w:rsidP="00A67CBB">
      <w:pPr>
        <w:pStyle w:val="CETBodytext"/>
        <w:rPr>
          <w:rFonts w:cs="Arial"/>
          <w:lang w:val="en-GB"/>
        </w:rPr>
      </w:pPr>
      <w:r>
        <w:rPr>
          <w:rFonts w:cs="Arial"/>
          <w:lang w:val="en-GB"/>
        </w:rPr>
        <w:t xml:space="preserve">Given a </w:t>
      </w:r>
      <w:proofErr w:type="gramStart"/>
      <w:r>
        <w:rPr>
          <w:rFonts w:cs="Arial"/>
          <w:lang w:val="en-GB"/>
        </w:rPr>
        <w:t>Jb(</w:t>
      </w:r>
      <w:proofErr w:type="gramEnd"/>
      <w:r>
        <w:rPr>
          <w:rFonts w:cs="Arial"/>
          <w:lang w:val="en-GB"/>
        </w:rPr>
        <w:t>0) value and knowing the initial permeability value of the membrane, it is possible to estimate which TMP should have been applied to operate in boundary flux conditions, adopting the following equation:</w:t>
      </w:r>
    </w:p>
    <w:p w:rsidR="005249E7" w:rsidRDefault="005249E7" w:rsidP="00C07E30">
      <w:pPr>
        <w:pStyle w:val="CETBodytext"/>
        <w:rPr>
          <w:rFonts w:cs="Arial"/>
          <w:lang w:val="en-GB"/>
        </w:rPr>
      </w:pPr>
    </w:p>
    <w:p w:rsidR="005249E7" w:rsidRPr="00A00AF6" w:rsidRDefault="005249E7" w:rsidP="00C07E30">
      <w:pPr>
        <w:pStyle w:val="CETBodytext"/>
        <w:rPr>
          <w:rFonts w:cs="Arial"/>
        </w:rPr>
      </w:pPr>
      <w:proofErr w:type="spellStart"/>
      <w:r>
        <w:rPr>
          <w:rFonts w:cs="Arial"/>
          <w:lang w:val="en-GB"/>
        </w:rPr>
        <w:t>TMPb</w:t>
      </w:r>
      <w:proofErr w:type="spellEnd"/>
      <w:r>
        <w:rPr>
          <w:rFonts w:cs="Arial"/>
          <w:lang w:val="en-GB"/>
        </w:rPr>
        <w:t xml:space="preserve"> =</w:t>
      </w:r>
      <w:r w:rsidRPr="005B0A78">
        <w:rPr>
          <w:rFonts w:cs="Arial"/>
        </w:rPr>
        <w:t xml:space="preserve"> </w:t>
      </w:r>
      <w:proofErr w:type="gramStart"/>
      <w:r w:rsidRPr="005B0A78">
        <w:rPr>
          <w:rFonts w:cs="Arial"/>
        </w:rPr>
        <w:t>Jb</w:t>
      </w:r>
      <w:r w:rsidR="00A00AF6">
        <w:rPr>
          <w:rFonts w:cs="Arial"/>
        </w:rPr>
        <w:t>(</w:t>
      </w:r>
      <w:proofErr w:type="gramEnd"/>
      <w:r w:rsidR="00A00AF6">
        <w:rPr>
          <w:rFonts w:cs="Arial"/>
        </w:rPr>
        <w:t>0)</w:t>
      </w:r>
      <w:r w:rsidRPr="005B0A78">
        <w:rPr>
          <w:rFonts w:cs="Arial"/>
        </w:rPr>
        <w:t xml:space="preserve"> m</w:t>
      </w:r>
      <w:r w:rsidR="00A00AF6">
        <w:rPr>
          <w:rFonts w:cs="Arial"/>
        </w:rPr>
        <w:t>(0)</w:t>
      </w:r>
      <w:r w:rsidRPr="005B0A78">
        <w:rPr>
          <w:rFonts w:cs="Arial"/>
          <w:vertAlign w:val="superscript"/>
        </w:rPr>
        <w:t>-1</w:t>
      </w:r>
      <w:r w:rsidRPr="005B0A78">
        <w:rPr>
          <w:rFonts w:cs="Arial"/>
        </w:rPr>
        <w:tab/>
      </w:r>
      <w:r w:rsidRPr="005B0A78">
        <w:rPr>
          <w:rFonts w:cs="Arial"/>
        </w:rPr>
        <w:tab/>
      </w:r>
      <w:r w:rsidRPr="005B0A78">
        <w:rPr>
          <w:rFonts w:cs="Arial"/>
        </w:rPr>
        <w:tab/>
      </w:r>
      <w:r w:rsidRPr="00A00AF6">
        <w:rPr>
          <w:rFonts w:cs="Arial"/>
        </w:rPr>
        <w:t>(4)</w:t>
      </w:r>
    </w:p>
    <w:p w:rsidR="005249E7" w:rsidRPr="00A00AF6" w:rsidRDefault="005249E7" w:rsidP="00C07E30">
      <w:pPr>
        <w:pStyle w:val="CETBodytext"/>
        <w:rPr>
          <w:rFonts w:cs="Arial"/>
        </w:rPr>
      </w:pPr>
    </w:p>
    <w:p w:rsidR="00A00AF6" w:rsidRDefault="005249E7" w:rsidP="00C07E30">
      <w:pPr>
        <w:pStyle w:val="CETBodytext"/>
        <w:rPr>
          <w:rFonts w:cs="Arial"/>
        </w:rPr>
      </w:pPr>
      <w:r w:rsidRPr="005249E7">
        <w:rPr>
          <w:rFonts w:cs="Arial"/>
        </w:rPr>
        <w:t xml:space="preserve">where </w:t>
      </w:r>
      <w:proofErr w:type="gramStart"/>
      <w:r w:rsidRPr="005249E7">
        <w:rPr>
          <w:rFonts w:cs="Arial"/>
        </w:rPr>
        <w:t>m</w:t>
      </w:r>
      <w:r w:rsidR="00A00AF6">
        <w:rPr>
          <w:rFonts w:cs="Arial"/>
        </w:rPr>
        <w:t>(</w:t>
      </w:r>
      <w:proofErr w:type="gramEnd"/>
      <w:r w:rsidR="00A00AF6">
        <w:rPr>
          <w:rFonts w:cs="Arial"/>
        </w:rPr>
        <w:t>0)</w:t>
      </w:r>
      <w:r w:rsidRPr="005249E7">
        <w:rPr>
          <w:rFonts w:cs="Arial"/>
        </w:rPr>
        <w:t xml:space="preserve"> is the </w:t>
      </w:r>
      <w:r w:rsidR="00A00AF6">
        <w:rPr>
          <w:rFonts w:cs="Arial"/>
        </w:rPr>
        <w:t xml:space="preserve">initial </w:t>
      </w:r>
      <w:r>
        <w:rPr>
          <w:rFonts w:cs="Arial"/>
        </w:rPr>
        <w:t>membrane permeability</w:t>
      </w:r>
      <w:r w:rsidR="00A00AF6">
        <w:rPr>
          <w:rFonts w:cs="Arial"/>
        </w:rPr>
        <w:t>, precisely:</w:t>
      </w:r>
    </w:p>
    <w:p w:rsidR="00A00AF6" w:rsidRDefault="00A00AF6" w:rsidP="00C07E30">
      <w:pPr>
        <w:pStyle w:val="CETBodytext"/>
        <w:rPr>
          <w:rFonts w:cs="Arial"/>
        </w:rPr>
      </w:pPr>
    </w:p>
    <w:p w:rsidR="00A00AF6" w:rsidRDefault="00A00AF6" w:rsidP="00C07E30">
      <w:pPr>
        <w:pStyle w:val="CETBodytext"/>
        <w:rPr>
          <w:rFonts w:cs="Arial"/>
        </w:rPr>
      </w:pPr>
      <w:proofErr w:type="gramStart"/>
      <w:r>
        <w:rPr>
          <w:rFonts w:cs="Arial"/>
        </w:rPr>
        <w:t>m(</w:t>
      </w:r>
      <w:proofErr w:type="gramEnd"/>
      <w:r>
        <w:rPr>
          <w:rFonts w:cs="Arial"/>
        </w:rPr>
        <w:t xml:space="preserve">0) = </w:t>
      </w:r>
      <w:proofErr w:type="spellStart"/>
      <w:r>
        <w:rPr>
          <w:rFonts w:cs="Arial"/>
        </w:rPr>
        <w:t>Jp</w:t>
      </w:r>
      <w:proofErr w:type="spellEnd"/>
      <w:r>
        <w:rPr>
          <w:rFonts w:cs="Arial"/>
        </w:rPr>
        <w:t>(0) TMP</w:t>
      </w:r>
      <w:r>
        <w:rPr>
          <w:rFonts w:cs="Arial"/>
          <w:vertAlign w:val="superscript"/>
        </w:rPr>
        <w:t>-1</w:t>
      </w:r>
      <w:r>
        <w:rPr>
          <w:rFonts w:cs="Arial"/>
        </w:rPr>
        <w:tab/>
      </w:r>
      <w:r>
        <w:rPr>
          <w:rFonts w:cs="Arial"/>
        </w:rPr>
        <w:tab/>
      </w:r>
      <w:r>
        <w:rPr>
          <w:rFonts w:cs="Arial"/>
        </w:rPr>
        <w:tab/>
        <w:t>(5)</w:t>
      </w:r>
    </w:p>
    <w:p w:rsidR="00A00AF6" w:rsidRDefault="00A00AF6" w:rsidP="00C07E30">
      <w:pPr>
        <w:pStyle w:val="CETBodytext"/>
        <w:rPr>
          <w:rFonts w:cs="Arial"/>
        </w:rPr>
      </w:pPr>
    </w:p>
    <w:p w:rsidR="00197009" w:rsidRDefault="00197009" w:rsidP="00C07E30">
      <w:pPr>
        <w:pStyle w:val="CETBodytext"/>
        <w:rPr>
          <w:rFonts w:cs="Arial"/>
        </w:rPr>
      </w:pPr>
      <w:r>
        <w:rPr>
          <w:rFonts w:cs="Arial"/>
        </w:rPr>
        <w:t>The obtained results adopting eq. 4 are reported in Table 2.</w:t>
      </w:r>
    </w:p>
    <w:p w:rsidR="00197009" w:rsidRDefault="00197009" w:rsidP="00C07E30">
      <w:pPr>
        <w:pStyle w:val="CETBodytext"/>
        <w:rPr>
          <w:rFonts w:cs="Arial"/>
        </w:rPr>
      </w:pPr>
    </w:p>
    <w:p w:rsidR="00197009" w:rsidRDefault="00197009" w:rsidP="00C07E30">
      <w:pPr>
        <w:pStyle w:val="CETBodytext"/>
        <w:rPr>
          <w:rFonts w:cs="Arial"/>
        </w:rPr>
      </w:pPr>
      <w:r>
        <w:rPr>
          <w:rFonts w:cs="Arial"/>
        </w:rPr>
        <w:t xml:space="preserve">Table 2: </w:t>
      </w:r>
      <w:proofErr w:type="spellStart"/>
      <w:r>
        <w:rPr>
          <w:rFonts w:cs="Arial"/>
        </w:rPr>
        <w:t>TMPb</w:t>
      </w:r>
      <w:proofErr w:type="spellEnd"/>
      <w:r>
        <w:rPr>
          <w:rFonts w:cs="Arial"/>
        </w:rPr>
        <w:t xml:space="preserve"> calculations</w:t>
      </w:r>
    </w:p>
    <w:tbl>
      <w:tblPr>
        <w:tblStyle w:val="Grigliatabella"/>
        <w:tblW w:w="0" w:type="auto"/>
        <w:tblLook w:val="04A0" w:firstRow="1" w:lastRow="0" w:firstColumn="1" w:lastColumn="0" w:noHBand="0" w:noVBand="1"/>
      </w:tblPr>
      <w:tblGrid>
        <w:gridCol w:w="1755"/>
        <w:gridCol w:w="1755"/>
        <w:gridCol w:w="1755"/>
        <w:gridCol w:w="1756"/>
        <w:gridCol w:w="1756"/>
      </w:tblGrid>
      <w:tr w:rsidR="000332F3" w:rsidTr="00532C84">
        <w:tc>
          <w:tcPr>
            <w:tcW w:w="1755" w:type="dxa"/>
            <w:tcBorders>
              <w:top w:val="single" w:sz="8" w:space="0" w:color="00B050"/>
              <w:left w:val="nil"/>
              <w:bottom w:val="single" w:sz="8" w:space="0" w:color="00B050"/>
              <w:right w:val="nil"/>
            </w:tcBorders>
          </w:tcPr>
          <w:p w:rsidR="000332F3" w:rsidRDefault="000332F3" w:rsidP="009D6B9A">
            <w:pPr>
              <w:pStyle w:val="CETBodytext"/>
              <w:rPr>
                <w:lang w:val="en-GB"/>
              </w:rPr>
            </w:pPr>
            <w:r>
              <w:rPr>
                <w:lang w:val="en-GB"/>
              </w:rPr>
              <w:t>TMP</w:t>
            </w:r>
          </w:p>
        </w:tc>
        <w:tc>
          <w:tcPr>
            <w:tcW w:w="1755" w:type="dxa"/>
            <w:tcBorders>
              <w:top w:val="single" w:sz="8" w:space="0" w:color="00B050"/>
              <w:left w:val="nil"/>
              <w:bottom w:val="single" w:sz="8" w:space="0" w:color="00B050"/>
              <w:right w:val="nil"/>
            </w:tcBorders>
          </w:tcPr>
          <w:p w:rsidR="000332F3" w:rsidRDefault="000332F3" w:rsidP="009D6B9A">
            <w:pPr>
              <w:pStyle w:val="CETBodytext"/>
              <w:rPr>
                <w:lang w:val="en-GB"/>
              </w:rPr>
            </w:pPr>
            <w:proofErr w:type="gramStart"/>
            <w:r>
              <w:rPr>
                <w:lang w:val="en-GB"/>
              </w:rPr>
              <w:t>m(</w:t>
            </w:r>
            <w:proofErr w:type="gramEnd"/>
            <w:r>
              <w:rPr>
                <w:lang w:val="en-GB"/>
              </w:rPr>
              <w:t>0)</w:t>
            </w:r>
          </w:p>
          <w:p w:rsidR="000332F3" w:rsidRPr="00197009" w:rsidRDefault="000332F3" w:rsidP="009D6B9A">
            <w:pPr>
              <w:pStyle w:val="CETBodytext"/>
              <w:rPr>
                <w:lang w:val="en-GB"/>
              </w:rPr>
            </w:pPr>
            <w:r>
              <w:rPr>
                <w:lang w:val="en-GB"/>
              </w:rPr>
              <w:t>[</w:t>
            </w:r>
            <w:r>
              <w:t>l h</w:t>
            </w:r>
            <w:r w:rsidRPr="0007169E">
              <w:rPr>
                <w:vertAlign w:val="superscript"/>
              </w:rPr>
              <w:t>-2</w:t>
            </w:r>
            <w:r>
              <w:t xml:space="preserve"> m</w:t>
            </w:r>
            <w:r w:rsidRPr="0007169E">
              <w:rPr>
                <w:vertAlign w:val="superscript"/>
              </w:rPr>
              <w:t>-2</w:t>
            </w:r>
            <w:r>
              <w:t xml:space="preserve"> bar</w:t>
            </w:r>
            <w:r>
              <w:rPr>
                <w:vertAlign w:val="superscript"/>
              </w:rPr>
              <w:t>-1</w:t>
            </w:r>
            <w:r>
              <w:t>]</w:t>
            </w:r>
          </w:p>
        </w:tc>
        <w:tc>
          <w:tcPr>
            <w:tcW w:w="1755" w:type="dxa"/>
            <w:tcBorders>
              <w:top w:val="single" w:sz="8" w:space="0" w:color="00B050"/>
              <w:left w:val="nil"/>
              <w:bottom w:val="single" w:sz="8" w:space="0" w:color="00B050"/>
              <w:right w:val="nil"/>
            </w:tcBorders>
          </w:tcPr>
          <w:p w:rsidR="000332F3" w:rsidRDefault="000332F3" w:rsidP="009D6B9A">
            <w:pPr>
              <w:pStyle w:val="CETBodytext"/>
              <w:rPr>
                <w:lang w:val="en-GB"/>
              </w:rPr>
            </w:pPr>
            <w:proofErr w:type="gramStart"/>
            <w:r>
              <w:rPr>
                <w:lang w:val="en-GB"/>
              </w:rPr>
              <w:t>Jb(</w:t>
            </w:r>
            <w:proofErr w:type="gramEnd"/>
            <w:r>
              <w:rPr>
                <w:lang w:val="en-GB"/>
              </w:rPr>
              <w:t>0)</w:t>
            </w:r>
          </w:p>
          <w:p w:rsidR="000332F3" w:rsidRDefault="000332F3" w:rsidP="009D6B9A">
            <w:pPr>
              <w:pStyle w:val="CETBodytext"/>
              <w:rPr>
                <w:lang w:val="en-GB"/>
              </w:rPr>
            </w:pPr>
            <w:r>
              <w:rPr>
                <w:lang w:val="en-GB"/>
              </w:rPr>
              <w:t>[</w:t>
            </w:r>
            <w:r>
              <w:t>l h</w:t>
            </w:r>
            <w:r w:rsidRPr="0007169E">
              <w:rPr>
                <w:vertAlign w:val="superscript"/>
              </w:rPr>
              <w:t>-2</w:t>
            </w:r>
            <w:r>
              <w:t xml:space="preserve"> cm</w:t>
            </w:r>
            <w:r w:rsidRPr="0007169E">
              <w:rPr>
                <w:vertAlign w:val="superscript"/>
              </w:rPr>
              <w:t>-2</w:t>
            </w:r>
            <w:r>
              <w:t>]</w:t>
            </w:r>
          </w:p>
        </w:tc>
        <w:tc>
          <w:tcPr>
            <w:tcW w:w="1756" w:type="dxa"/>
            <w:tcBorders>
              <w:top w:val="single" w:sz="8" w:space="0" w:color="00B050"/>
              <w:left w:val="nil"/>
              <w:bottom w:val="single" w:sz="8" w:space="0" w:color="00B050"/>
              <w:right w:val="nil"/>
            </w:tcBorders>
          </w:tcPr>
          <w:p w:rsidR="000332F3" w:rsidRDefault="000332F3" w:rsidP="009D6B9A">
            <w:pPr>
              <w:pStyle w:val="CETBodytext"/>
              <w:rPr>
                <w:lang w:val="en-GB"/>
              </w:rPr>
            </w:pPr>
            <w:proofErr w:type="spellStart"/>
            <w:proofErr w:type="gramStart"/>
            <w:r>
              <w:rPr>
                <w:lang w:val="en-GB"/>
              </w:rPr>
              <w:t>TMPb</w:t>
            </w:r>
            <w:proofErr w:type="spellEnd"/>
            <w:r>
              <w:rPr>
                <w:lang w:val="en-GB"/>
              </w:rPr>
              <w:t>(</w:t>
            </w:r>
            <w:proofErr w:type="gramEnd"/>
            <w:r>
              <w:rPr>
                <w:lang w:val="en-GB"/>
              </w:rPr>
              <w:t>0)</w:t>
            </w:r>
          </w:p>
          <w:p w:rsidR="000332F3" w:rsidRDefault="000332F3" w:rsidP="009D6B9A">
            <w:pPr>
              <w:pStyle w:val="CETBodytext"/>
              <w:rPr>
                <w:lang w:val="en-GB"/>
              </w:rPr>
            </w:pPr>
            <w:r>
              <w:rPr>
                <w:lang w:val="en-GB"/>
              </w:rPr>
              <w:t>[</w:t>
            </w:r>
            <w:r>
              <w:t>bar]</w:t>
            </w:r>
          </w:p>
        </w:tc>
        <w:tc>
          <w:tcPr>
            <w:tcW w:w="1756" w:type="dxa"/>
            <w:tcBorders>
              <w:top w:val="single" w:sz="8" w:space="0" w:color="00B050"/>
              <w:left w:val="nil"/>
              <w:bottom w:val="single" w:sz="8" w:space="0" w:color="00B050"/>
              <w:right w:val="nil"/>
            </w:tcBorders>
          </w:tcPr>
          <w:p w:rsidR="000332F3" w:rsidRDefault="000332F3" w:rsidP="009D6B9A">
            <w:pPr>
              <w:pStyle w:val="CETBodytext"/>
              <w:rPr>
                <w:rFonts w:cs="Arial"/>
                <w:lang w:val="en-GB"/>
              </w:rPr>
            </w:pPr>
            <w:r>
              <w:rPr>
                <w:rFonts w:cs="Arial"/>
                <w:lang w:val="en-GB"/>
              </w:rPr>
              <w:t>α</w:t>
            </w:r>
          </w:p>
          <w:p w:rsidR="000332F3" w:rsidRDefault="000332F3" w:rsidP="009D6B9A">
            <w:pPr>
              <w:pStyle w:val="CETBodytext"/>
              <w:rPr>
                <w:lang w:val="en-GB"/>
              </w:rPr>
            </w:pPr>
            <w:r>
              <w:t>[l h</w:t>
            </w:r>
            <w:r w:rsidRPr="0007169E">
              <w:rPr>
                <w:vertAlign w:val="superscript"/>
              </w:rPr>
              <w:t>-2</w:t>
            </w:r>
            <w:r>
              <w:t xml:space="preserve"> m</w:t>
            </w:r>
            <w:r w:rsidRPr="0007169E">
              <w:rPr>
                <w:vertAlign w:val="superscript"/>
              </w:rPr>
              <w:t>-2</w:t>
            </w:r>
            <w:r>
              <w:t xml:space="preserve"> bar</w:t>
            </w:r>
            <w:r w:rsidRPr="0007169E">
              <w:rPr>
                <w:vertAlign w:val="superscript"/>
              </w:rPr>
              <w:t>-1</w:t>
            </w:r>
            <w:r>
              <w:t>]</w:t>
            </w:r>
          </w:p>
        </w:tc>
      </w:tr>
      <w:tr w:rsidR="000332F3" w:rsidTr="00532C84">
        <w:tc>
          <w:tcPr>
            <w:tcW w:w="1755" w:type="dxa"/>
            <w:tcBorders>
              <w:top w:val="single" w:sz="8" w:space="0" w:color="00B050"/>
              <w:left w:val="nil"/>
              <w:bottom w:val="nil"/>
              <w:right w:val="nil"/>
            </w:tcBorders>
          </w:tcPr>
          <w:p w:rsidR="000332F3" w:rsidRDefault="000332F3" w:rsidP="009D6B9A">
            <w:pPr>
              <w:pStyle w:val="CETBodytext"/>
              <w:rPr>
                <w:lang w:val="en-GB"/>
              </w:rPr>
            </w:pPr>
            <w:r>
              <w:rPr>
                <w:lang w:val="en-GB"/>
              </w:rPr>
              <w:t>5.5</w:t>
            </w:r>
          </w:p>
        </w:tc>
        <w:tc>
          <w:tcPr>
            <w:tcW w:w="1755" w:type="dxa"/>
            <w:tcBorders>
              <w:top w:val="single" w:sz="8" w:space="0" w:color="00B050"/>
              <w:left w:val="nil"/>
              <w:bottom w:val="nil"/>
              <w:right w:val="nil"/>
            </w:tcBorders>
          </w:tcPr>
          <w:p w:rsidR="000332F3" w:rsidRDefault="000332F3" w:rsidP="009D6B9A">
            <w:pPr>
              <w:pStyle w:val="CETBodytext"/>
              <w:rPr>
                <w:lang w:val="en-GB"/>
              </w:rPr>
            </w:pPr>
            <w:r>
              <w:rPr>
                <w:lang w:val="en-GB"/>
              </w:rPr>
              <w:t>8.0</w:t>
            </w:r>
          </w:p>
        </w:tc>
        <w:tc>
          <w:tcPr>
            <w:tcW w:w="1755" w:type="dxa"/>
            <w:tcBorders>
              <w:top w:val="single" w:sz="8" w:space="0" w:color="00B050"/>
              <w:left w:val="nil"/>
              <w:bottom w:val="nil"/>
              <w:right w:val="nil"/>
            </w:tcBorders>
          </w:tcPr>
          <w:p w:rsidR="000332F3" w:rsidRDefault="000332F3" w:rsidP="009D6B9A">
            <w:pPr>
              <w:pStyle w:val="CETBodytext"/>
              <w:rPr>
                <w:lang w:val="en-GB"/>
              </w:rPr>
            </w:pPr>
            <w:r>
              <w:rPr>
                <w:lang w:val="en-GB"/>
              </w:rPr>
              <w:t>2.9</w:t>
            </w:r>
          </w:p>
        </w:tc>
        <w:tc>
          <w:tcPr>
            <w:tcW w:w="1756" w:type="dxa"/>
            <w:tcBorders>
              <w:top w:val="single" w:sz="8" w:space="0" w:color="00B050"/>
              <w:left w:val="nil"/>
              <w:bottom w:val="nil"/>
              <w:right w:val="nil"/>
            </w:tcBorders>
          </w:tcPr>
          <w:p w:rsidR="000332F3" w:rsidRDefault="000332F3" w:rsidP="009D6B9A">
            <w:pPr>
              <w:pStyle w:val="CETBodytext"/>
              <w:rPr>
                <w:lang w:val="en-GB"/>
              </w:rPr>
            </w:pPr>
            <w:r>
              <w:rPr>
                <w:lang w:val="en-GB"/>
              </w:rPr>
              <w:t>1.99</w:t>
            </w:r>
          </w:p>
        </w:tc>
        <w:tc>
          <w:tcPr>
            <w:tcW w:w="1756" w:type="dxa"/>
            <w:tcBorders>
              <w:top w:val="single" w:sz="8" w:space="0" w:color="00B050"/>
              <w:left w:val="nil"/>
              <w:bottom w:val="nil"/>
              <w:right w:val="nil"/>
            </w:tcBorders>
          </w:tcPr>
          <w:p w:rsidR="000332F3" w:rsidRDefault="000332F3" w:rsidP="009D6B9A">
            <w:pPr>
              <w:pStyle w:val="CETBodytext"/>
              <w:rPr>
                <w:lang w:val="en-GB"/>
              </w:rPr>
            </w:pPr>
            <w:r>
              <w:rPr>
                <w:lang w:val="en-GB"/>
              </w:rPr>
              <w:t>0.005</w:t>
            </w:r>
          </w:p>
        </w:tc>
      </w:tr>
      <w:tr w:rsidR="000332F3" w:rsidTr="00532C84">
        <w:tc>
          <w:tcPr>
            <w:tcW w:w="1755" w:type="dxa"/>
            <w:tcBorders>
              <w:top w:val="nil"/>
              <w:left w:val="nil"/>
              <w:bottom w:val="single" w:sz="8" w:space="0" w:color="00B050"/>
              <w:right w:val="nil"/>
            </w:tcBorders>
          </w:tcPr>
          <w:p w:rsidR="000332F3" w:rsidRDefault="000332F3" w:rsidP="009D6B9A">
            <w:pPr>
              <w:pStyle w:val="CETBodytext"/>
              <w:rPr>
                <w:lang w:val="en-GB"/>
              </w:rPr>
            </w:pPr>
            <w:r>
              <w:rPr>
                <w:lang w:val="en-GB"/>
              </w:rPr>
              <w:t>4.0</w:t>
            </w:r>
          </w:p>
        </w:tc>
        <w:tc>
          <w:tcPr>
            <w:tcW w:w="1755" w:type="dxa"/>
            <w:tcBorders>
              <w:top w:val="nil"/>
              <w:left w:val="nil"/>
              <w:bottom w:val="single" w:sz="8" w:space="0" w:color="00B050"/>
              <w:right w:val="nil"/>
            </w:tcBorders>
          </w:tcPr>
          <w:p w:rsidR="000332F3" w:rsidRDefault="000332F3" w:rsidP="009D6B9A">
            <w:pPr>
              <w:pStyle w:val="CETBodytext"/>
              <w:rPr>
                <w:lang w:val="en-GB"/>
              </w:rPr>
            </w:pPr>
            <w:r>
              <w:rPr>
                <w:lang w:val="en-GB"/>
              </w:rPr>
              <w:t>6.5</w:t>
            </w:r>
          </w:p>
        </w:tc>
        <w:tc>
          <w:tcPr>
            <w:tcW w:w="1755" w:type="dxa"/>
            <w:tcBorders>
              <w:top w:val="nil"/>
              <w:left w:val="nil"/>
              <w:bottom w:val="single" w:sz="8" w:space="0" w:color="00B050"/>
              <w:right w:val="nil"/>
            </w:tcBorders>
          </w:tcPr>
          <w:p w:rsidR="000332F3" w:rsidRDefault="000332F3" w:rsidP="009D6B9A">
            <w:pPr>
              <w:pStyle w:val="CETBodytext"/>
              <w:rPr>
                <w:lang w:val="en-GB"/>
              </w:rPr>
            </w:pPr>
            <w:r>
              <w:rPr>
                <w:lang w:val="en-GB"/>
              </w:rPr>
              <w:t>2.1</w:t>
            </w:r>
          </w:p>
        </w:tc>
        <w:tc>
          <w:tcPr>
            <w:tcW w:w="1756" w:type="dxa"/>
            <w:tcBorders>
              <w:top w:val="nil"/>
              <w:left w:val="nil"/>
              <w:bottom w:val="single" w:sz="8" w:space="0" w:color="00B050"/>
              <w:right w:val="nil"/>
            </w:tcBorders>
          </w:tcPr>
          <w:p w:rsidR="000332F3" w:rsidRDefault="000332F3" w:rsidP="009D6B9A">
            <w:pPr>
              <w:pStyle w:val="CETBodytext"/>
              <w:rPr>
                <w:lang w:val="en-GB"/>
              </w:rPr>
            </w:pPr>
            <w:r>
              <w:rPr>
                <w:lang w:val="en-GB"/>
              </w:rPr>
              <w:t>1.29</w:t>
            </w:r>
          </w:p>
        </w:tc>
        <w:tc>
          <w:tcPr>
            <w:tcW w:w="1756" w:type="dxa"/>
            <w:tcBorders>
              <w:top w:val="nil"/>
              <w:left w:val="nil"/>
              <w:bottom w:val="single" w:sz="8" w:space="0" w:color="00B050"/>
              <w:right w:val="nil"/>
            </w:tcBorders>
          </w:tcPr>
          <w:p w:rsidR="000332F3" w:rsidRDefault="000332F3" w:rsidP="009D6B9A">
            <w:pPr>
              <w:pStyle w:val="CETBodytext"/>
              <w:rPr>
                <w:lang w:val="en-GB"/>
              </w:rPr>
            </w:pPr>
            <w:r>
              <w:rPr>
                <w:lang w:val="en-GB"/>
              </w:rPr>
              <w:t>0.005</w:t>
            </w:r>
          </w:p>
        </w:tc>
      </w:tr>
    </w:tbl>
    <w:p w:rsidR="00197009" w:rsidRDefault="00197009" w:rsidP="00C07E30">
      <w:pPr>
        <w:pStyle w:val="CETBodytext"/>
        <w:rPr>
          <w:rFonts w:cs="Arial"/>
        </w:rPr>
      </w:pPr>
    </w:p>
    <w:p w:rsidR="00A00AF6" w:rsidRDefault="00197009" w:rsidP="00C07E30">
      <w:pPr>
        <w:pStyle w:val="CETBodytext"/>
        <w:rPr>
          <w:rFonts w:cs="Arial"/>
        </w:rPr>
      </w:pPr>
      <w:r>
        <w:rPr>
          <w:rFonts w:cs="Arial"/>
        </w:rPr>
        <w:t xml:space="preserve">From the data in Table 2 it is possible to observe that the formation of irreversible fouling constraints the adoption of lower TMP values to permit further operation of the membrane in sub-boundary conditions, </w:t>
      </w:r>
      <w:r w:rsidR="00E9608E">
        <w:rPr>
          <w:rFonts w:cs="Arial"/>
        </w:rPr>
        <w:t>with</w:t>
      </w:r>
      <w:r>
        <w:rPr>
          <w:rFonts w:cs="Arial"/>
        </w:rPr>
        <w:t xml:space="preserve"> a performance loss of about 35%.</w:t>
      </w:r>
    </w:p>
    <w:p w:rsidR="005249E7" w:rsidRDefault="005249E7" w:rsidP="00E64B30">
      <w:pPr>
        <w:pStyle w:val="CETBodytext"/>
        <w:rPr>
          <w:lang w:val="en-GB"/>
        </w:rPr>
      </w:pPr>
      <w:r>
        <w:rPr>
          <w:rFonts w:cs="Arial"/>
        </w:rPr>
        <w:t xml:space="preserve"> </w:t>
      </w:r>
    </w:p>
    <w:p w:rsidR="005249E7" w:rsidRDefault="00A67CBB" w:rsidP="005B0A78">
      <w:pPr>
        <w:pStyle w:val="CETBodytext"/>
        <w:jc w:val="center"/>
        <w:rPr>
          <w:lang w:val="en-GB"/>
        </w:rPr>
      </w:pPr>
      <w:r>
        <w:rPr>
          <w:noProof/>
        </w:rPr>
        <w:drawing>
          <wp:inline distT="0" distB="0" distL="0" distR="0" wp14:anchorId="6F8C2E09" wp14:editId="21FDB3D5">
            <wp:extent cx="3600000" cy="2169735"/>
            <wp:effectExtent l="0" t="0" r="635" b="254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092" t="20483" r="17971" b="11013"/>
                    <a:stretch/>
                  </pic:blipFill>
                  <pic:spPr bwMode="auto">
                    <a:xfrm>
                      <a:off x="0" y="0"/>
                      <a:ext cx="3600000" cy="2169735"/>
                    </a:xfrm>
                    <a:prstGeom prst="rect">
                      <a:avLst/>
                    </a:prstGeom>
                    <a:ln>
                      <a:noFill/>
                    </a:ln>
                    <a:extLst>
                      <a:ext uri="{53640926-AAD7-44D8-BBD7-CCE9431645EC}">
                        <a14:shadowObscured xmlns:a14="http://schemas.microsoft.com/office/drawing/2010/main"/>
                      </a:ext>
                    </a:extLst>
                  </pic:spPr>
                </pic:pic>
              </a:graphicData>
            </a:graphic>
          </wp:inline>
        </w:drawing>
      </w:r>
    </w:p>
    <w:p w:rsidR="008E7487" w:rsidRDefault="008E7487" w:rsidP="00C07E30">
      <w:pPr>
        <w:pStyle w:val="CETBodytext"/>
        <w:rPr>
          <w:rFonts w:cs="Arial"/>
          <w:lang w:val="en-GB"/>
        </w:rPr>
      </w:pPr>
    </w:p>
    <w:p w:rsidR="005B0A78" w:rsidRDefault="005B0A78" w:rsidP="005B0A78">
      <w:pPr>
        <w:pStyle w:val="CETBodytext"/>
        <w:rPr>
          <w:lang w:val="en-GB"/>
        </w:rPr>
      </w:pPr>
      <w:r>
        <w:rPr>
          <w:lang w:val="en-GB"/>
        </w:rPr>
        <w:t xml:space="preserve">Figure 4: Plot of the estimation of the initial </w:t>
      </w:r>
      <w:proofErr w:type="gramStart"/>
      <w:r>
        <w:rPr>
          <w:lang w:val="en-GB"/>
        </w:rPr>
        <w:t>Jb(</w:t>
      </w:r>
      <w:proofErr w:type="gramEnd"/>
      <w:r>
        <w:rPr>
          <w:lang w:val="en-GB"/>
        </w:rPr>
        <w:t>0) value by definition and interpolation (red lines).</w:t>
      </w:r>
    </w:p>
    <w:p w:rsidR="005B0A78" w:rsidRDefault="005B0A78" w:rsidP="00C07E30">
      <w:pPr>
        <w:pStyle w:val="CETBodytext"/>
        <w:rPr>
          <w:rFonts w:cs="Arial"/>
          <w:lang w:val="en-GB"/>
        </w:rPr>
      </w:pPr>
    </w:p>
    <w:p w:rsidR="009B5EC6" w:rsidRDefault="000C4369" w:rsidP="00C07E30">
      <w:pPr>
        <w:pStyle w:val="CETBodytext"/>
        <w:rPr>
          <w:rFonts w:cs="Arial"/>
          <w:lang w:val="en-GB"/>
        </w:rPr>
      </w:pPr>
      <w:r>
        <w:rPr>
          <w:rFonts w:cs="Arial"/>
          <w:lang w:val="en-GB"/>
        </w:rPr>
        <w:t xml:space="preserve">From table 1, it might be observed that the hydrophilic pervaporation membrane used in this experiment is very permeable to water, but not to organics. Therefore, n-butanol is concentrated in the concentrate and indeed </w:t>
      </w:r>
      <w:r w:rsidR="009B5EC6">
        <w:rPr>
          <w:rFonts w:cs="Arial"/>
          <w:lang w:val="en-GB"/>
        </w:rPr>
        <w:t xml:space="preserve">the PV </w:t>
      </w:r>
      <w:r>
        <w:rPr>
          <w:rFonts w:cs="Arial"/>
          <w:lang w:val="en-GB"/>
        </w:rPr>
        <w:t>concentrate</w:t>
      </w:r>
      <w:r w:rsidR="009B5EC6">
        <w:rPr>
          <w:rFonts w:cs="Arial"/>
          <w:lang w:val="en-GB"/>
        </w:rPr>
        <w:t xml:space="preserve"> was used as feedstock to NF. </w:t>
      </w:r>
    </w:p>
    <w:p w:rsidR="00517066" w:rsidRDefault="00483FE9" w:rsidP="003C5911">
      <w:pPr>
        <w:pStyle w:val="CETBodytext"/>
        <w:rPr>
          <w:lang w:val="en-GB"/>
        </w:rPr>
      </w:pPr>
      <w:r>
        <w:rPr>
          <w:rFonts w:cs="Arial"/>
          <w:lang w:val="en-GB"/>
        </w:rPr>
        <w:t xml:space="preserve">Again, </w:t>
      </w:r>
      <w:r>
        <w:rPr>
          <w:lang w:val="en-GB"/>
        </w:rPr>
        <w:t xml:space="preserve">the boundary flux and </w:t>
      </w:r>
      <w:r>
        <w:rPr>
          <w:rFonts w:cs="Arial"/>
          <w:lang w:val="en-GB"/>
        </w:rPr>
        <w:t>α</w:t>
      </w:r>
      <w:r>
        <w:rPr>
          <w:lang w:val="en-GB"/>
        </w:rPr>
        <w:t xml:space="preserve"> values were determined by using the pressure cycle method. The results were reported in Figure 4. A value of Jb, </w:t>
      </w:r>
      <w:proofErr w:type="spellStart"/>
      <w:r>
        <w:rPr>
          <w:lang w:val="en-GB"/>
        </w:rPr>
        <w:t>TMPb</w:t>
      </w:r>
      <w:proofErr w:type="spellEnd"/>
      <w:r>
        <w:rPr>
          <w:lang w:val="en-GB"/>
        </w:rPr>
        <w:t xml:space="preserve"> and </w:t>
      </w:r>
      <w:r>
        <w:rPr>
          <w:rFonts w:cs="Arial"/>
          <w:lang w:val="en-GB"/>
        </w:rPr>
        <w:t>α</w:t>
      </w:r>
      <w:r>
        <w:rPr>
          <w:lang w:val="en-GB"/>
        </w:rPr>
        <w:t xml:space="preserve"> equal to </w:t>
      </w:r>
      <w:r w:rsidR="008557AE">
        <w:rPr>
          <w:lang w:val="en-GB"/>
        </w:rPr>
        <w:t>23.5 l h</w:t>
      </w:r>
      <w:r w:rsidR="008557AE">
        <w:rPr>
          <w:vertAlign w:val="superscript"/>
          <w:lang w:val="en-GB"/>
        </w:rPr>
        <w:t>-1</w:t>
      </w:r>
      <w:r w:rsidR="008557AE">
        <w:rPr>
          <w:lang w:val="en-GB"/>
        </w:rPr>
        <w:t xml:space="preserve"> m</w:t>
      </w:r>
      <w:r w:rsidR="008557AE">
        <w:rPr>
          <w:vertAlign w:val="superscript"/>
          <w:lang w:val="en-GB"/>
        </w:rPr>
        <w:t>-2</w:t>
      </w:r>
      <w:r w:rsidR="008557AE">
        <w:rPr>
          <w:lang w:val="en-GB"/>
        </w:rPr>
        <w:t>, 5 bar and 66.7 10</w:t>
      </w:r>
      <w:r w:rsidR="008557AE">
        <w:rPr>
          <w:vertAlign w:val="superscript"/>
          <w:lang w:val="en-GB"/>
        </w:rPr>
        <w:t>-3</w:t>
      </w:r>
      <w:r w:rsidR="008557AE">
        <w:rPr>
          <w:lang w:val="en-GB"/>
        </w:rPr>
        <w:t xml:space="preserve"> </w:t>
      </w:r>
      <w:r w:rsidR="008557AE">
        <w:t>l h</w:t>
      </w:r>
      <w:r w:rsidR="008557AE" w:rsidRPr="0007169E">
        <w:rPr>
          <w:vertAlign w:val="superscript"/>
        </w:rPr>
        <w:t>-2</w:t>
      </w:r>
      <w:r w:rsidR="008557AE">
        <w:t xml:space="preserve"> m</w:t>
      </w:r>
      <w:r w:rsidR="008557AE" w:rsidRPr="0007169E">
        <w:rPr>
          <w:vertAlign w:val="superscript"/>
        </w:rPr>
        <w:t>-2</w:t>
      </w:r>
      <w:r w:rsidR="008557AE">
        <w:t xml:space="preserve"> bar</w:t>
      </w:r>
      <w:r w:rsidR="008557AE" w:rsidRPr="0007169E">
        <w:rPr>
          <w:vertAlign w:val="superscript"/>
        </w:rPr>
        <w:t>-1</w:t>
      </w:r>
      <w:r w:rsidR="008557AE">
        <w:rPr>
          <w:lang w:val="en-GB"/>
        </w:rPr>
        <w:t xml:space="preserve"> </w:t>
      </w:r>
      <w:r>
        <w:rPr>
          <w:lang w:val="en-GB"/>
        </w:rPr>
        <w:t>were found, respectively.</w:t>
      </w:r>
      <w:r w:rsidR="00517066">
        <w:rPr>
          <w:lang w:val="en-GB"/>
        </w:rPr>
        <w:t xml:space="preserve"> </w:t>
      </w:r>
      <w:r>
        <w:rPr>
          <w:lang w:val="en-GB"/>
        </w:rPr>
        <w:t xml:space="preserve">Once determined, the separation of the permeate stream was performed by using a TMP value equal to 80% </w:t>
      </w:r>
      <w:proofErr w:type="spellStart"/>
      <w:r>
        <w:rPr>
          <w:lang w:val="en-GB"/>
        </w:rPr>
        <w:t>TMPb</w:t>
      </w:r>
      <w:proofErr w:type="spellEnd"/>
      <w:r>
        <w:rPr>
          <w:lang w:val="en-GB"/>
        </w:rPr>
        <w:t xml:space="preserve">. The operation reached a recovery value Y equal to </w:t>
      </w:r>
      <w:r w:rsidR="009577ED">
        <w:rPr>
          <w:lang w:val="en-GB"/>
        </w:rPr>
        <w:t>approx. 70</w:t>
      </w:r>
      <w:r>
        <w:rPr>
          <w:lang w:val="en-GB"/>
        </w:rPr>
        <w:t>%.</w:t>
      </w:r>
      <w:r w:rsidR="00517066">
        <w:rPr>
          <w:lang w:val="en-GB"/>
        </w:rPr>
        <w:t xml:space="preserve"> </w:t>
      </w:r>
    </w:p>
    <w:p w:rsidR="003C5911" w:rsidRDefault="003C5911" w:rsidP="003C5911">
      <w:pPr>
        <w:pStyle w:val="CETBodytext"/>
        <w:rPr>
          <w:lang w:val="en-GB"/>
        </w:rPr>
      </w:pPr>
      <w:r>
        <w:rPr>
          <w:lang w:val="en-GB"/>
        </w:rPr>
        <w:t>Table 1 reports the characteristics of all streams.</w:t>
      </w:r>
      <w:r w:rsidR="00C306CF">
        <w:rPr>
          <w:lang w:val="en-GB"/>
        </w:rPr>
        <w:t xml:space="preserve"> The target stream is the NF concentrate.</w:t>
      </w:r>
    </w:p>
    <w:p w:rsidR="000332F3" w:rsidRDefault="000332F3" w:rsidP="003C5911">
      <w:pPr>
        <w:pStyle w:val="CETBodytext"/>
        <w:rPr>
          <w:lang w:val="en-GB"/>
        </w:rPr>
      </w:pPr>
    </w:p>
    <w:p w:rsidR="003C5911" w:rsidRDefault="000332F3" w:rsidP="000332F3">
      <w:pPr>
        <w:pStyle w:val="CETBodytext"/>
        <w:jc w:val="center"/>
        <w:rPr>
          <w:lang w:val="en-GB"/>
        </w:rPr>
      </w:pPr>
      <w:r>
        <w:rPr>
          <w:noProof/>
        </w:rPr>
        <w:drawing>
          <wp:inline distT="0" distB="0" distL="0" distR="0" wp14:anchorId="4271BE3D" wp14:editId="0E6BCD3A">
            <wp:extent cx="3600000" cy="2022472"/>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045" t="24883" r="16183" b="14425"/>
                    <a:stretch/>
                  </pic:blipFill>
                  <pic:spPr bwMode="auto">
                    <a:xfrm>
                      <a:off x="0" y="0"/>
                      <a:ext cx="3600000" cy="2022472"/>
                    </a:xfrm>
                    <a:prstGeom prst="rect">
                      <a:avLst/>
                    </a:prstGeom>
                    <a:ln>
                      <a:noFill/>
                    </a:ln>
                    <a:extLst>
                      <a:ext uri="{53640926-AAD7-44D8-BBD7-CCE9431645EC}">
                        <a14:shadowObscured xmlns:a14="http://schemas.microsoft.com/office/drawing/2010/main"/>
                      </a:ext>
                    </a:extLst>
                  </pic:spPr>
                </pic:pic>
              </a:graphicData>
            </a:graphic>
          </wp:inline>
        </w:drawing>
      </w:r>
    </w:p>
    <w:p w:rsidR="008C023A" w:rsidRDefault="008C023A" w:rsidP="008C023A">
      <w:pPr>
        <w:pStyle w:val="CETBodytext"/>
        <w:jc w:val="center"/>
        <w:rPr>
          <w:lang w:val="en-GB"/>
        </w:rPr>
      </w:pPr>
    </w:p>
    <w:p w:rsidR="00483FE9" w:rsidRDefault="00483FE9" w:rsidP="00C07E30">
      <w:pPr>
        <w:pStyle w:val="CETBodytext"/>
        <w:rPr>
          <w:lang w:val="en-GB"/>
        </w:rPr>
      </w:pPr>
    </w:p>
    <w:p w:rsidR="008E7487" w:rsidRDefault="008E7487" w:rsidP="008E7487">
      <w:pPr>
        <w:pStyle w:val="CETBodytext"/>
        <w:rPr>
          <w:lang w:val="en-GB"/>
        </w:rPr>
      </w:pPr>
      <w:r>
        <w:rPr>
          <w:lang w:val="en-GB"/>
        </w:rPr>
        <w:t xml:space="preserve">Figure </w:t>
      </w:r>
      <w:r w:rsidR="005B0A78">
        <w:rPr>
          <w:lang w:val="en-GB"/>
        </w:rPr>
        <w:t>5</w:t>
      </w:r>
      <w:r>
        <w:rPr>
          <w:lang w:val="en-GB"/>
        </w:rPr>
        <w:t xml:space="preserve">: </w:t>
      </w:r>
      <w:r w:rsidR="008557AE">
        <w:rPr>
          <w:lang w:val="en-GB"/>
        </w:rPr>
        <w:t xml:space="preserve">Plot from the pressure cycling experiment and determination of Jb (circle) on </w:t>
      </w:r>
      <w:r w:rsidR="00E64B30">
        <w:rPr>
          <w:lang w:val="en-GB"/>
        </w:rPr>
        <w:t>NF</w:t>
      </w:r>
    </w:p>
    <w:p w:rsidR="008E7487" w:rsidRDefault="008E7487" w:rsidP="00C07E30">
      <w:pPr>
        <w:pStyle w:val="CETBodytext"/>
        <w:rPr>
          <w:lang w:val="en-GB"/>
        </w:rPr>
      </w:pPr>
    </w:p>
    <w:p w:rsidR="00DB1AC6" w:rsidRDefault="00DB1AC6" w:rsidP="00C07E30">
      <w:pPr>
        <w:pStyle w:val="CETBodytext"/>
        <w:rPr>
          <w:lang w:val="en-GB"/>
        </w:rPr>
      </w:pPr>
      <w:r>
        <w:rPr>
          <w:lang w:val="en-GB"/>
        </w:rPr>
        <w:t xml:space="preserve">Unfortunately, there appears to be no membrane capable to satisfactory separate the ABE components. On the other hand, the proposed membrane processes in series, in particular PV, permits to partially separate acetone </w:t>
      </w:r>
      <w:r>
        <w:rPr>
          <w:lang w:val="en-GB"/>
        </w:rPr>
        <w:lastRenderedPageBreak/>
        <w:t>from the rest. This appears to be an advantage for further processing: the NF still is above the azeotrope of water/n-butanol mixture (at 76.45%wt water), but in the immiscibility zone of the n-butanol/water/ethanol system (</w:t>
      </w:r>
      <w:r w:rsidR="007E3F8C">
        <w:rPr>
          <w:lang w:val="en-GB"/>
        </w:rPr>
        <w:t>Zhou et al., 2014</w:t>
      </w:r>
      <w:r>
        <w:rPr>
          <w:lang w:val="en-GB"/>
        </w:rPr>
        <w:t xml:space="preserve">). Performing a raw calculation, by a decanter, it is possible to separate from the NF permeate </w:t>
      </w:r>
      <w:r w:rsidR="00954EA8">
        <w:rPr>
          <w:lang w:val="en-GB"/>
        </w:rPr>
        <w:t>10.9</w:t>
      </w:r>
      <w:r>
        <w:rPr>
          <w:lang w:val="en-GB"/>
        </w:rPr>
        <w:t xml:space="preserve">% in volume of a </w:t>
      </w:r>
      <w:r w:rsidR="00F433A5">
        <w:rPr>
          <w:lang w:val="en-GB"/>
        </w:rPr>
        <w:t>72</w:t>
      </w:r>
      <w:r>
        <w:rPr>
          <w:lang w:val="en-GB"/>
        </w:rPr>
        <w:t xml:space="preserve">% n-butanol / </w:t>
      </w:r>
      <w:r w:rsidR="00F433A5">
        <w:rPr>
          <w:lang w:val="en-GB"/>
        </w:rPr>
        <w:t>25</w:t>
      </w:r>
      <w:r>
        <w:rPr>
          <w:lang w:val="en-GB"/>
        </w:rPr>
        <w:t>% water / 3% ethanol mixture.</w:t>
      </w:r>
    </w:p>
    <w:p w:rsidR="00DB1AC6" w:rsidRDefault="00DB1AC6" w:rsidP="00C07E30">
      <w:pPr>
        <w:pStyle w:val="CETBodytext"/>
        <w:rPr>
          <w:lang w:val="en-GB"/>
        </w:rPr>
      </w:pPr>
    </w:p>
    <w:p w:rsidR="00E9608E" w:rsidRDefault="00E9608E" w:rsidP="00E9608E">
      <w:pPr>
        <w:pStyle w:val="CETBodytext"/>
        <w:rPr>
          <w:lang w:val="en-GB"/>
        </w:rPr>
      </w:pPr>
      <w:r>
        <w:rPr>
          <w:lang w:val="en-GB"/>
        </w:rPr>
        <w:t>As a last step, a preliminary design, in terms of membrane area requirements, of a possible treatment plant for n-butanol recovery by membranes was performed on 1m</w:t>
      </w:r>
      <w:r>
        <w:rPr>
          <w:vertAlign w:val="superscript"/>
          <w:lang w:val="en-GB"/>
        </w:rPr>
        <w:t>3</w:t>
      </w:r>
      <w:r>
        <w:rPr>
          <w:lang w:val="en-GB"/>
        </w:rPr>
        <w:t xml:space="preserve"> h</w:t>
      </w:r>
      <w:r>
        <w:rPr>
          <w:vertAlign w:val="superscript"/>
          <w:lang w:val="en-GB"/>
        </w:rPr>
        <w:t>-1</w:t>
      </w:r>
      <w:r>
        <w:rPr>
          <w:lang w:val="en-GB"/>
        </w:rPr>
        <w:t xml:space="preserve">. The target recovery values were set to 90% for each membrane step. For PV, the adopted Jb and </w:t>
      </w:r>
      <w:proofErr w:type="spellStart"/>
      <w:r>
        <w:rPr>
          <w:lang w:val="en-GB"/>
        </w:rPr>
        <w:t>TMPb</w:t>
      </w:r>
      <w:proofErr w:type="spellEnd"/>
      <w:r>
        <w:rPr>
          <w:lang w:val="en-GB"/>
        </w:rPr>
        <w:t xml:space="preserve"> values are those calculated by eq. 4 for the first run.</w:t>
      </w:r>
    </w:p>
    <w:p w:rsidR="00E9608E" w:rsidRDefault="00E9608E" w:rsidP="00E9608E">
      <w:pPr>
        <w:pStyle w:val="CETBodytext"/>
        <w:rPr>
          <w:lang w:val="en-GB"/>
        </w:rPr>
      </w:pPr>
      <w:r>
        <w:rPr>
          <w:lang w:val="en-GB"/>
        </w:rPr>
        <w:t>The obtained results are reported in Table 3.</w:t>
      </w:r>
    </w:p>
    <w:p w:rsidR="00E9608E" w:rsidRDefault="00E9608E" w:rsidP="00C07E30">
      <w:pPr>
        <w:pStyle w:val="CETBodytext"/>
        <w:rPr>
          <w:lang w:val="en-GB"/>
        </w:rPr>
      </w:pPr>
    </w:p>
    <w:p w:rsidR="009577ED" w:rsidRDefault="009577ED" w:rsidP="00C07E30">
      <w:pPr>
        <w:pStyle w:val="CETBodytext"/>
        <w:rPr>
          <w:lang w:val="en-GB"/>
        </w:rPr>
      </w:pPr>
      <w:r>
        <w:rPr>
          <w:lang w:val="en-GB"/>
        </w:rPr>
        <w:t xml:space="preserve">Table </w:t>
      </w:r>
      <w:r w:rsidR="00A418F0">
        <w:rPr>
          <w:lang w:val="en-GB"/>
        </w:rPr>
        <w:t>3</w:t>
      </w:r>
      <w:r>
        <w:rPr>
          <w:lang w:val="en-GB"/>
        </w:rPr>
        <w:t>: Results of the simulation performed for 1 m</w:t>
      </w:r>
      <w:r>
        <w:rPr>
          <w:vertAlign w:val="superscript"/>
          <w:lang w:val="en-GB"/>
        </w:rPr>
        <w:t>3</w:t>
      </w:r>
      <w:r>
        <w:rPr>
          <w:lang w:val="en-GB"/>
        </w:rPr>
        <w:t xml:space="preserve"> h</w:t>
      </w:r>
      <w:r>
        <w:rPr>
          <w:vertAlign w:val="superscript"/>
          <w:lang w:val="en-GB"/>
        </w:rPr>
        <w:t>-1</w:t>
      </w:r>
      <w:r>
        <w:rPr>
          <w:lang w:val="en-GB"/>
        </w:rPr>
        <w:t xml:space="preserve"> ABE, target recovery equal to 90% each step</w:t>
      </w:r>
    </w:p>
    <w:tbl>
      <w:tblPr>
        <w:tblStyle w:val="Grigliatabella"/>
        <w:tblW w:w="0" w:type="auto"/>
        <w:tblLook w:val="04A0" w:firstRow="1" w:lastRow="0" w:firstColumn="1" w:lastColumn="0" w:noHBand="0" w:noVBand="1"/>
      </w:tblPr>
      <w:tblGrid>
        <w:gridCol w:w="1569"/>
        <w:gridCol w:w="1276"/>
        <w:gridCol w:w="1403"/>
        <w:gridCol w:w="1384"/>
        <w:gridCol w:w="1543"/>
      </w:tblGrid>
      <w:tr w:rsidR="00FE4240" w:rsidTr="00162332">
        <w:tc>
          <w:tcPr>
            <w:tcW w:w="1569" w:type="dxa"/>
            <w:tcBorders>
              <w:top w:val="single" w:sz="8" w:space="0" w:color="00B050"/>
              <w:left w:val="nil"/>
              <w:bottom w:val="single" w:sz="8" w:space="0" w:color="00B050"/>
              <w:right w:val="nil"/>
            </w:tcBorders>
          </w:tcPr>
          <w:p w:rsidR="00FE4240" w:rsidRDefault="00FE4240" w:rsidP="003C5911">
            <w:pPr>
              <w:pStyle w:val="CETBodytext"/>
              <w:rPr>
                <w:lang w:val="en-GB"/>
              </w:rPr>
            </w:pPr>
            <w:r>
              <w:rPr>
                <w:lang w:val="en-GB"/>
              </w:rPr>
              <w:t>STEP</w:t>
            </w:r>
          </w:p>
        </w:tc>
        <w:tc>
          <w:tcPr>
            <w:tcW w:w="1276" w:type="dxa"/>
            <w:tcBorders>
              <w:top w:val="single" w:sz="8" w:space="0" w:color="00B050"/>
              <w:left w:val="nil"/>
              <w:bottom w:val="single" w:sz="8" w:space="0" w:color="00B050"/>
              <w:right w:val="nil"/>
            </w:tcBorders>
          </w:tcPr>
          <w:p w:rsidR="00FE4240" w:rsidRDefault="00FE4240" w:rsidP="003C5911">
            <w:pPr>
              <w:pStyle w:val="CETBodytext"/>
              <w:rPr>
                <w:lang w:val="en-GB"/>
              </w:rPr>
            </w:pPr>
            <w:r>
              <w:rPr>
                <w:lang w:val="en-GB"/>
              </w:rPr>
              <w:t>Volume</w:t>
            </w:r>
          </w:p>
          <w:p w:rsidR="00FE4240" w:rsidRDefault="00FE4240" w:rsidP="003C5911">
            <w:pPr>
              <w:pStyle w:val="CETBodytext"/>
              <w:rPr>
                <w:lang w:val="en-GB"/>
              </w:rPr>
            </w:pPr>
            <w:r>
              <w:rPr>
                <w:lang w:val="en-GB"/>
              </w:rPr>
              <w:t>[l]</w:t>
            </w:r>
          </w:p>
        </w:tc>
        <w:tc>
          <w:tcPr>
            <w:tcW w:w="1403" w:type="dxa"/>
            <w:tcBorders>
              <w:top w:val="single" w:sz="8" w:space="0" w:color="00B050"/>
              <w:left w:val="nil"/>
              <w:bottom w:val="single" w:sz="8" w:space="0" w:color="00B050"/>
              <w:right w:val="nil"/>
            </w:tcBorders>
          </w:tcPr>
          <w:p w:rsidR="00FE4240" w:rsidRDefault="00FE4240" w:rsidP="003C5911">
            <w:pPr>
              <w:pStyle w:val="CETBodytext"/>
              <w:rPr>
                <w:lang w:val="en-GB"/>
              </w:rPr>
            </w:pPr>
            <w:proofErr w:type="gramStart"/>
            <w:r>
              <w:rPr>
                <w:lang w:val="en-GB"/>
              </w:rPr>
              <w:t>Jb(</w:t>
            </w:r>
            <w:proofErr w:type="gramEnd"/>
            <w:r>
              <w:rPr>
                <w:lang w:val="en-GB"/>
              </w:rPr>
              <w:t>0)</w:t>
            </w:r>
          </w:p>
          <w:p w:rsidR="00FE4240" w:rsidRDefault="00FE4240" w:rsidP="003C5911">
            <w:pPr>
              <w:pStyle w:val="CETBodytext"/>
              <w:rPr>
                <w:lang w:val="en-GB"/>
              </w:rPr>
            </w:pPr>
            <w:r>
              <w:rPr>
                <w:lang w:val="en-GB"/>
              </w:rPr>
              <w:t>[</w:t>
            </w:r>
            <w:r>
              <w:t>l h</w:t>
            </w:r>
            <w:r w:rsidRPr="0007169E">
              <w:rPr>
                <w:vertAlign w:val="superscript"/>
              </w:rPr>
              <w:t>-2</w:t>
            </w:r>
            <w:r>
              <w:t xml:space="preserve"> m</w:t>
            </w:r>
            <w:r w:rsidRPr="0007169E">
              <w:rPr>
                <w:vertAlign w:val="superscript"/>
              </w:rPr>
              <w:t>-2</w:t>
            </w:r>
            <w:r>
              <w:t>]</w:t>
            </w:r>
          </w:p>
        </w:tc>
        <w:tc>
          <w:tcPr>
            <w:tcW w:w="1384" w:type="dxa"/>
            <w:tcBorders>
              <w:top w:val="single" w:sz="8" w:space="0" w:color="00B050"/>
              <w:left w:val="nil"/>
              <w:bottom w:val="single" w:sz="8" w:space="0" w:color="00B050"/>
              <w:right w:val="nil"/>
            </w:tcBorders>
          </w:tcPr>
          <w:p w:rsidR="00FE4240" w:rsidRDefault="00FE4240" w:rsidP="003C5911">
            <w:pPr>
              <w:pStyle w:val="CETBodytext"/>
              <w:rPr>
                <w:lang w:val="en-GB"/>
              </w:rPr>
            </w:pPr>
            <w:r>
              <w:rPr>
                <w:rFonts w:cs="Arial"/>
                <w:lang w:val="en-GB"/>
              </w:rPr>
              <w:t>α</w:t>
            </w:r>
          </w:p>
          <w:p w:rsidR="00FE4240" w:rsidRDefault="00FE4240" w:rsidP="003C5911">
            <w:pPr>
              <w:pStyle w:val="CETBodytext"/>
              <w:rPr>
                <w:lang w:val="en-GB"/>
              </w:rPr>
            </w:pPr>
            <w:r>
              <w:t>[l h</w:t>
            </w:r>
            <w:r w:rsidRPr="0007169E">
              <w:rPr>
                <w:vertAlign w:val="superscript"/>
              </w:rPr>
              <w:t>-2</w:t>
            </w:r>
            <w:r>
              <w:t xml:space="preserve"> m</w:t>
            </w:r>
            <w:r w:rsidRPr="0007169E">
              <w:rPr>
                <w:vertAlign w:val="superscript"/>
              </w:rPr>
              <w:t>-2</w:t>
            </w:r>
            <w:r>
              <w:t xml:space="preserve"> bar</w:t>
            </w:r>
            <w:r w:rsidRPr="0007169E">
              <w:rPr>
                <w:vertAlign w:val="superscript"/>
              </w:rPr>
              <w:t>-1</w:t>
            </w:r>
            <w:r>
              <w:t>]</w:t>
            </w:r>
          </w:p>
        </w:tc>
        <w:tc>
          <w:tcPr>
            <w:tcW w:w="1543" w:type="dxa"/>
            <w:tcBorders>
              <w:top w:val="single" w:sz="8" w:space="0" w:color="00B050"/>
              <w:left w:val="nil"/>
              <w:bottom w:val="single" w:sz="8" w:space="0" w:color="00B050"/>
              <w:right w:val="nil"/>
            </w:tcBorders>
          </w:tcPr>
          <w:p w:rsidR="00FE4240" w:rsidRDefault="00FE4240" w:rsidP="003C5911">
            <w:pPr>
              <w:pStyle w:val="CETBodytext"/>
              <w:rPr>
                <w:lang w:val="en-GB"/>
              </w:rPr>
            </w:pPr>
            <w:r>
              <w:rPr>
                <w:lang w:val="en-GB"/>
              </w:rPr>
              <w:t>Membrane area</w:t>
            </w:r>
          </w:p>
          <w:p w:rsidR="00FE4240" w:rsidRPr="003C5911" w:rsidRDefault="00FE4240" w:rsidP="003C5911">
            <w:pPr>
              <w:pStyle w:val="CETBodytext"/>
              <w:rPr>
                <w:lang w:val="en-GB"/>
              </w:rPr>
            </w:pPr>
            <w:r>
              <w:rPr>
                <w:lang w:val="en-GB"/>
              </w:rPr>
              <w:t>[m</w:t>
            </w:r>
            <w:r>
              <w:rPr>
                <w:vertAlign w:val="superscript"/>
                <w:lang w:val="en-GB"/>
              </w:rPr>
              <w:t>2</w:t>
            </w:r>
            <w:r>
              <w:rPr>
                <w:lang w:val="en-GB"/>
              </w:rPr>
              <w:t>]</w:t>
            </w:r>
          </w:p>
        </w:tc>
      </w:tr>
      <w:tr w:rsidR="00FE4240" w:rsidTr="00162332">
        <w:tc>
          <w:tcPr>
            <w:tcW w:w="1569" w:type="dxa"/>
            <w:tcBorders>
              <w:top w:val="single" w:sz="8" w:space="0" w:color="00B050"/>
              <w:left w:val="nil"/>
              <w:bottom w:val="nil"/>
              <w:right w:val="nil"/>
            </w:tcBorders>
          </w:tcPr>
          <w:p w:rsidR="00FE4240" w:rsidRDefault="00FE4240" w:rsidP="003C5911">
            <w:pPr>
              <w:pStyle w:val="CETBodytext"/>
              <w:rPr>
                <w:lang w:val="en-GB"/>
              </w:rPr>
            </w:pPr>
            <w:r>
              <w:rPr>
                <w:lang w:val="en-GB"/>
              </w:rPr>
              <w:t>UF permeate</w:t>
            </w:r>
          </w:p>
        </w:tc>
        <w:tc>
          <w:tcPr>
            <w:tcW w:w="1276" w:type="dxa"/>
            <w:tcBorders>
              <w:top w:val="single" w:sz="8" w:space="0" w:color="00B050"/>
              <w:left w:val="nil"/>
              <w:bottom w:val="nil"/>
              <w:right w:val="nil"/>
            </w:tcBorders>
          </w:tcPr>
          <w:p w:rsidR="00FE4240" w:rsidRDefault="00FE4240" w:rsidP="003C5911">
            <w:pPr>
              <w:pStyle w:val="CETBodytext"/>
              <w:rPr>
                <w:lang w:val="en-GB"/>
              </w:rPr>
            </w:pPr>
            <w:r>
              <w:rPr>
                <w:lang w:val="en-GB"/>
              </w:rPr>
              <w:t>900</w:t>
            </w:r>
          </w:p>
        </w:tc>
        <w:tc>
          <w:tcPr>
            <w:tcW w:w="1403" w:type="dxa"/>
            <w:tcBorders>
              <w:top w:val="single" w:sz="8" w:space="0" w:color="00B050"/>
              <w:left w:val="nil"/>
              <w:bottom w:val="nil"/>
              <w:right w:val="nil"/>
            </w:tcBorders>
          </w:tcPr>
          <w:p w:rsidR="00FE4240" w:rsidRDefault="00FE4240" w:rsidP="003C5911">
            <w:pPr>
              <w:pStyle w:val="CETBodytext"/>
              <w:rPr>
                <w:lang w:val="en-GB"/>
              </w:rPr>
            </w:pPr>
            <w:r>
              <w:rPr>
                <w:lang w:val="en-GB"/>
              </w:rPr>
              <w:t>13.9</w:t>
            </w:r>
          </w:p>
        </w:tc>
        <w:tc>
          <w:tcPr>
            <w:tcW w:w="1384" w:type="dxa"/>
            <w:tcBorders>
              <w:top w:val="single" w:sz="8" w:space="0" w:color="00B050"/>
              <w:left w:val="nil"/>
              <w:bottom w:val="nil"/>
              <w:right w:val="nil"/>
            </w:tcBorders>
          </w:tcPr>
          <w:p w:rsidR="00FE4240" w:rsidRDefault="00FE4240" w:rsidP="003C5911">
            <w:pPr>
              <w:pStyle w:val="CETBodytext"/>
              <w:rPr>
                <w:lang w:val="en-GB"/>
              </w:rPr>
            </w:pPr>
            <w:r>
              <w:rPr>
                <w:lang w:val="en-GB"/>
              </w:rPr>
              <w:t>33.3 10</w:t>
            </w:r>
            <w:r>
              <w:rPr>
                <w:vertAlign w:val="superscript"/>
                <w:lang w:val="en-GB"/>
              </w:rPr>
              <w:t>-3</w:t>
            </w:r>
          </w:p>
        </w:tc>
        <w:tc>
          <w:tcPr>
            <w:tcW w:w="1543" w:type="dxa"/>
            <w:tcBorders>
              <w:top w:val="single" w:sz="8" w:space="0" w:color="00B050"/>
              <w:left w:val="nil"/>
              <w:bottom w:val="nil"/>
              <w:right w:val="nil"/>
            </w:tcBorders>
          </w:tcPr>
          <w:p w:rsidR="00FE4240" w:rsidRDefault="00FE4240" w:rsidP="003C5911">
            <w:pPr>
              <w:pStyle w:val="CETBodytext"/>
              <w:rPr>
                <w:lang w:val="en-GB"/>
              </w:rPr>
            </w:pPr>
            <w:r>
              <w:rPr>
                <w:lang w:val="en-GB"/>
              </w:rPr>
              <w:t>76</w:t>
            </w:r>
          </w:p>
        </w:tc>
      </w:tr>
      <w:tr w:rsidR="00FE4240" w:rsidTr="00162332">
        <w:tc>
          <w:tcPr>
            <w:tcW w:w="1569" w:type="dxa"/>
            <w:tcBorders>
              <w:top w:val="nil"/>
              <w:left w:val="nil"/>
              <w:bottom w:val="nil"/>
              <w:right w:val="nil"/>
            </w:tcBorders>
          </w:tcPr>
          <w:p w:rsidR="00FE4240" w:rsidRDefault="00FE4240" w:rsidP="003C5911">
            <w:pPr>
              <w:pStyle w:val="CETBodytext"/>
              <w:rPr>
                <w:lang w:val="en-GB"/>
              </w:rPr>
            </w:pPr>
            <w:r>
              <w:rPr>
                <w:lang w:val="en-GB"/>
              </w:rPr>
              <w:t>PV permeate</w:t>
            </w:r>
          </w:p>
        </w:tc>
        <w:tc>
          <w:tcPr>
            <w:tcW w:w="1276" w:type="dxa"/>
            <w:tcBorders>
              <w:top w:val="nil"/>
              <w:left w:val="nil"/>
              <w:bottom w:val="nil"/>
              <w:right w:val="nil"/>
            </w:tcBorders>
          </w:tcPr>
          <w:p w:rsidR="00FE4240" w:rsidRDefault="00FE4240" w:rsidP="003C5911">
            <w:pPr>
              <w:pStyle w:val="CETBodytext"/>
              <w:rPr>
                <w:lang w:val="en-GB"/>
              </w:rPr>
            </w:pPr>
            <w:r>
              <w:rPr>
                <w:lang w:val="en-GB"/>
              </w:rPr>
              <w:t>81</w:t>
            </w:r>
          </w:p>
        </w:tc>
        <w:tc>
          <w:tcPr>
            <w:tcW w:w="1403" w:type="dxa"/>
            <w:tcBorders>
              <w:top w:val="nil"/>
              <w:left w:val="nil"/>
              <w:bottom w:val="nil"/>
              <w:right w:val="nil"/>
            </w:tcBorders>
          </w:tcPr>
          <w:p w:rsidR="00FE4240" w:rsidRPr="00A67CBB" w:rsidRDefault="00FE4240" w:rsidP="003C5911">
            <w:pPr>
              <w:pStyle w:val="CETBodytext"/>
              <w:rPr>
                <w:vertAlign w:val="superscript"/>
                <w:lang w:val="en-GB"/>
              </w:rPr>
            </w:pPr>
            <w:r>
              <w:rPr>
                <w:lang w:val="en-GB"/>
              </w:rPr>
              <w:t>2.9</w:t>
            </w:r>
          </w:p>
        </w:tc>
        <w:tc>
          <w:tcPr>
            <w:tcW w:w="1384" w:type="dxa"/>
            <w:tcBorders>
              <w:top w:val="nil"/>
              <w:left w:val="nil"/>
              <w:bottom w:val="nil"/>
              <w:right w:val="nil"/>
            </w:tcBorders>
          </w:tcPr>
          <w:p w:rsidR="00FE4240" w:rsidRPr="000332F3" w:rsidRDefault="00FE4240" w:rsidP="003C5911">
            <w:pPr>
              <w:pStyle w:val="CETBodytext"/>
              <w:rPr>
                <w:vertAlign w:val="superscript"/>
                <w:lang w:val="en-GB"/>
              </w:rPr>
            </w:pPr>
            <w:r>
              <w:rPr>
                <w:lang w:val="en-GB"/>
              </w:rPr>
              <w:t>5.0 10</w:t>
            </w:r>
            <w:r>
              <w:rPr>
                <w:vertAlign w:val="superscript"/>
                <w:lang w:val="en-GB"/>
              </w:rPr>
              <w:t>-3</w:t>
            </w:r>
          </w:p>
        </w:tc>
        <w:tc>
          <w:tcPr>
            <w:tcW w:w="1543" w:type="dxa"/>
            <w:tcBorders>
              <w:top w:val="nil"/>
              <w:left w:val="nil"/>
              <w:bottom w:val="nil"/>
              <w:right w:val="nil"/>
            </w:tcBorders>
          </w:tcPr>
          <w:p w:rsidR="00FE4240" w:rsidRDefault="00FE4240" w:rsidP="003C5911">
            <w:pPr>
              <w:pStyle w:val="CETBodytext"/>
              <w:rPr>
                <w:lang w:val="en-GB"/>
              </w:rPr>
            </w:pPr>
            <w:r>
              <w:rPr>
                <w:lang w:val="en-GB"/>
              </w:rPr>
              <w:t>312</w:t>
            </w:r>
          </w:p>
        </w:tc>
      </w:tr>
      <w:tr w:rsidR="00FE4240" w:rsidTr="00162332">
        <w:tc>
          <w:tcPr>
            <w:tcW w:w="1569" w:type="dxa"/>
            <w:tcBorders>
              <w:top w:val="nil"/>
              <w:left w:val="nil"/>
              <w:bottom w:val="single" w:sz="8" w:space="0" w:color="00B050"/>
              <w:right w:val="nil"/>
            </w:tcBorders>
          </w:tcPr>
          <w:p w:rsidR="00FE4240" w:rsidRDefault="00FE4240" w:rsidP="001B47AB">
            <w:pPr>
              <w:pStyle w:val="CETBodytext"/>
              <w:rPr>
                <w:lang w:val="en-GB"/>
              </w:rPr>
            </w:pPr>
            <w:r>
              <w:rPr>
                <w:lang w:val="en-GB"/>
              </w:rPr>
              <w:t>NF concentrate</w:t>
            </w:r>
          </w:p>
        </w:tc>
        <w:tc>
          <w:tcPr>
            <w:tcW w:w="1276" w:type="dxa"/>
            <w:tcBorders>
              <w:top w:val="nil"/>
              <w:left w:val="nil"/>
              <w:bottom w:val="single" w:sz="8" w:space="0" w:color="00B050"/>
              <w:right w:val="nil"/>
            </w:tcBorders>
          </w:tcPr>
          <w:p w:rsidR="00FE4240" w:rsidRDefault="00FE4240" w:rsidP="001B47AB">
            <w:pPr>
              <w:pStyle w:val="CETBodytext"/>
              <w:rPr>
                <w:lang w:val="en-GB"/>
              </w:rPr>
            </w:pPr>
            <w:r>
              <w:rPr>
                <w:lang w:val="en-GB"/>
              </w:rPr>
              <w:t>8</w:t>
            </w:r>
          </w:p>
        </w:tc>
        <w:tc>
          <w:tcPr>
            <w:tcW w:w="1403" w:type="dxa"/>
            <w:tcBorders>
              <w:top w:val="nil"/>
              <w:left w:val="nil"/>
              <w:bottom w:val="single" w:sz="8" w:space="0" w:color="00B050"/>
              <w:right w:val="nil"/>
            </w:tcBorders>
          </w:tcPr>
          <w:p w:rsidR="00FE4240" w:rsidRDefault="00FE4240" w:rsidP="001B47AB">
            <w:pPr>
              <w:pStyle w:val="CETBodytext"/>
              <w:rPr>
                <w:lang w:val="en-GB"/>
              </w:rPr>
            </w:pPr>
            <w:r>
              <w:rPr>
                <w:lang w:val="en-GB"/>
              </w:rPr>
              <w:t>23.5</w:t>
            </w:r>
          </w:p>
        </w:tc>
        <w:tc>
          <w:tcPr>
            <w:tcW w:w="1384" w:type="dxa"/>
            <w:tcBorders>
              <w:top w:val="nil"/>
              <w:left w:val="nil"/>
              <w:bottom w:val="single" w:sz="8" w:space="0" w:color="00B050"/>
              <w:right w:val="nil"/>
            </w:tcBorders>
          </w:tcPr>
          <w:p w:rsidR="00FE4240" w:rsidRDefault="00FE4240" w:rsidP="001B47AB">
            <w:pPr>
              <w:pStyle w:val="CETBodytext"/>
              <w:rPr>
                <w:lang w:val="en-GB"/>
              </w:rPr>
            </w:pPr>
            <w:r>
              <w:rPr>
                <w:lang w:val="en-GB"/>
              </w:rPr>
              <w:t>66.7 10</w:t>
            </w:r>
            <w:r>
              <w:rPr>
                <w:vertAlign w:val="superscript"/>
                <w:lang w:val="en-GB"/>
              </w:rPr>
              <w:t>-3</w:t>
            </w:r>
          </w:p>
        </w:tc>
        <w:tc>
          <w:tcPr>
            <w:tcW w:w="1543" w:type="dxa"/>
            <w:tcBorders>
              <w:top w:val="nil"/>
              <w:left w:val="nil"/>
              <w:bottom w:val="single" w:sz="8" w:space="0" w:color="00B050"/>
              <w:right w:val="nil"/>
            </w:tcBorders>
          </w:tcPr>
          <w:p w:rsidR="00FE4240" w:rsidRDefault="00FE4240" w:rsidP="001B47AB">
            <w:pPr>
              <w:pStyle w:val="CETBodytext"/>
              <w:rPr>
                <w:lang w:val="en-GB"/>
              </w:rPr>
            </w:pPr>
            <w:r>
              <w:rPr>
                <w:lang w:val="en-GB"/>
              </w:rPr>
              <w:t>4</w:t>
            </w:r>
          </w:p>
        </w:tc>
      </w:tr>
    </w:tbl>
    <w:p w:rsidR="00A418F0" w:rsidRDefault="00A418F0" w:rsidP="00C07E30">
      <w:pPr>
        <w:pStyle w:val="CETBodytext"/>
        <w:rPr>
          <w:lang w:val="en-GB"/>
        </w:rPr>
      </w:pPr>
    </w:p>
    <w:p w:rsidR="003C5911" w:rsidRDefault="00E9608E" w:rsidP="00C07E30">
      <w:pPr>
        <w:pStyle w:val="CETBodytext"/>
        <w:rPr>
          <w:lang w:val="en-GB"/>
        </w:rPr>
      </w:pPr>
      <w:r>
        <w:rPr>
          <w:lang w:val="en-GB"/>
        </w:rPr>
        <w:t xml:space="preserve">At the end, a total membrane area of </w:t>
      </w:r>
      <w:r w:rsidR="001B47AB">
        <w:rPr>
          <w:lang w:val="en-GB"/>
        </w:rPr>
        <w:t>392</w:t>
      </w:r>
      <w:r w:rsidR="000332F3">
        <w:rPr>
          <w:lang w:val="en-GB"/>
        </w:rPr>
        <w:t xml:space="preserve"> </w:t>
      </w:r>
      <w:r>
        <w:rPr>
          <w:lang w:val="en-GB"/>
        </w:rPr>
        <w:t>m</w:t>
      </w:r>
      <w:r>
        <w:rPr>
          <w:vertAlign w:val="superscript"/>
          <w:lang w:val="en-GB"/>
        </w:rPr>
        <w:t>2</w:t>
      </w:r>
      <w:r>
        <w:rPr>
          <w:lang w:val="en-GB"/>
        </w:rPr>
        <w:t xml:space="preserve"> </w:t>
      </w:r>
      <w:r w:rsidR="000332F3">
        <w:rPr>
          <w:lang w:val="en-GB"/>
        </w:rPr>
        <w:t>m</w:t>
      </w:r>
      <w:r w:rsidR="000332F3">
        <w:rPr>
          <w:vertAlign w:val="superscript"/>
          <w:lang w:val="en-GB"/>
        </w:rPr>
        <w:t>-3</w:t>
      </w:r>
      <w:r w:rsidR="000332F3">
        <w:rPr>
          <w:lang w:val="en-GB"/>
        </w:rPr>
        <w:t xml:space="preserve"> ABE </w:t>
      </w:r>
      <w:r>
        <w:rPr>
          <w:lang w:val="en-GB"/>
        </w:rPr>
        <w:t>are required for the target process</w:t>
      </w:r>
      <w:r w:rsidR="00100C2A">
        <w:rPr>
          <w:lang w:val="en-GB"/>
        </w:rPr>
        <w:t>, corresponding to a total of 1</w:t>
      </w:r>
      <w:r w:rsidR="001B47AB">
        <w:rPr>
          <w:lang w:val="en-GB"/>
        </w:rPr>
        <w:t>4</w:t>
      </w:r>
      <w:r w:rsidR="00100C2A">
        <w:rPr>
          <w:lang w:val="en-GB"/>
        </w:rPr>
        <w:t xml:space="preserve"> industrial membrane modules</w:t>
      </w:r>
      <w:r>
        <w:rPr>
          <w:lang w:val="en-GB"/>
        </w:rPr>
        <w:t>. The obtained values both in term of membrane area requirement and n-butanol concertation</w:t>
      </w:r>
      <w:r w:rsidR="00F433A5">
        <w:rPr>
          <w:lang w:val="en-GB"/>
        </w:rPr>
        <w:t>, reaching the immiscibility zone of the mixture to overcome the azeotrope,</w:t>
      </w:r>
      <w:r>
        <w:rPr>
          <w:lang w:val="en-GB"/>
        </w:rPr>
        <w:t xml:space="preserve"> appear to be very promising.</w:t>
      </w:r>
    </w:p>
    <w:p w:rsidR="00954EA8" w:rsidRPr="00954EA8" w:rsidRDefault="009C316C" w:rsidP="00C07E30">
      <w:pPr>
        <w:pStyle w:val="CETBodytext"/>
        <w:rPr>
          <w:lang w:val="en-GB"/>
        </w:rPr>
      </w:pPr>
      <w:r>
        <w:rPr>
          <w:lang w:val="en-GB"/>
        </w:rPr>
        <w:t>Although technical feasibility holds, doubts may be expressed on the economic feasibility of the proposed process: a</w:t>
      </w:r>
      <w:r w:rsidR="00954EA8">
        <w:rPr>
          <w:lang w:val="en-GB"/>
        </w:rPr>
        <w:t xml:space="preserve"> </w:t>
      </w:r>
      <w:r>
        <w:rPr>
          <w:lang w:val="en-GB"/>
        </w:rPr>
        <w:t xml:space="preserve">further </w:t>
      </w:r>
      <w:r w:rsidR="00954EA8">
        <w:rPr>
          <w:lang w:val="en-GB"/>
        </w:rPr>
        <w:t>distillation step leading to 95% n-butanol will result in a total yield of 56 g of biofuel each m</w:t>
      </w:r>
      <w:r w:rsidR="00954EA8">
        <w:rPr>
          <w:vertAlign w:val="superscript"/>
          <w:lang w:val="en-GB"/>
        </w:rPr>
        <w:t>3</w:t>
      </w:r>
      <w:r w:rsidR="00954EA8">
        <w:rPr>
          <w:lang w:val="en-GB"/>
        </w:rPr>
        <w:t xml:space="preserve"> of treated wastewater, or, in other words, 13.5 m</w:t>
      </w:r>
      <w:r w:rsidR="00954EA8">
        <w:rPr>
          <w:vertAlign w:val="superscript"/>
          <w:lang w:val="en-GB"/>
        </w:rPr>
        <w:t>3</w:t>
      </w:r>
      <w:r w:rsidR="00954EA8">
        <w:rPr>
          <w:lang w:val="en-GB"/>
        </w:rPr>
        <w:t xml:space="preserve"> must be treated to gain 1 l of biofuel.</w:t>
      </w:r>
      <w:r>
        <w:rPr>
          <w:lang w:val="en-GB"/>
        </w:rPr>
        <w:t xml:space="preserve"> The gain appears to be too low to justify the operating costs of all involved units.</w:t>
      </w:r>
    </w:p>
    <w:p w:rsidR="00483FE9" w:rsidRDefault="00483FE9" w:rsidP="00483FE9">
      <w:pPr>
        <w:pStyle w:val="CETHeading1"/>
        <w:tabs>
          <w:tab w:val="clear" w:pos="360"/>
          <w:tab w:val="right" w:pos="7100"/>
        </w:tabs>
        <w:jc w:val="both"/>
        <w:rPr>
          <w:lang w:val="en-GB"/>
        </w:rPr>
      </w:pPr>
      <w:r>
        <w:rPr>
          <w:lang w:val="en-GB"/>
        </w:rPr>
        <w:t>Conclusions</w:t>
      </w:r>
    </w:p>
    <w:p w:rsidR="00483FE9" w:rsidRDefault="00483FE9" w:rsidP="00483FE9">
      <w:pPr>
        <w:pStyle w:val="CETBodytext"/>
        <w:rPr>
          <w:lang w:val="en-GB"/>
        </w:rPr>
      </w:pPr>
      <w:r>
        <w:rPr>
          <w:lang w:val="en-GB"/>
        </w:rPr>
        <w:t xml:space="preserve">It is possible to see that the suggested process is technically feasible, but do not reach the desired final concentration of n-butanol in the NF permeate stream. </w:t>
      </w:r>
      <w:r w:rsidR="00914859">
        <w:rPr>
          <w:lang w:val="en-GB"/>
        </w:rPr>
        <w:t>Nevertheless</w:t>
      </w:r>
      <w:r>
        <w:rPr>
          <w:lang w:val="en-GB"/>
        </w:rPr>
        <w:t xml:space="preserve">, a final distillation step appears to be mandatory for post-processing the resulting </w:t>
      </w:r>
      <w:r w:rsidR="00914859">
        <w:rPr>
          <w:lang w:val="en-GB"/>
        </w:rPr>
        <w:t>NF concentrate</w:t>
      </w:r>
      <w:r>
        <w:rPr>
          <w:lang w:val="en-GB"/>
        </w:rPr>
        <w:t xml:space="preserve"> to reach the desired specifications in n-butanol</w:t>
      </w:r>
      <w:r w:rsidR="00914859">
        <w:rPr>
          <w:lang w:val="en-GB"/>
        </w:rPr>
        <w:t xml:space="preserve"> and to separate from ethanol</w:t>
      </w:r>
      <w:r>
        <w:rPr>
          <w:lang w:val="en-GB"/>
        </w:rPr>
        <w:t xml:space="preserve">. On the other hand, this last distillation step </w:t>
      </w:r>
      <w:r w:rsidR="00162332">
        <w:rPr>
          <w:lang w:val="en-GB"/>
        </w:rPr>
        <w:t>is</w:t>
      </w:r>
      <w:r>
        <w:rPr>
          <w:lang w:val="en-GB"/>
        </w:rPr>
        <w:t xml:space="preserve"> performed on a smaller </w:t>
      </w:r>
      <w:r w:rsidR="00C306CF">
        <w:rPr>
          <w:lang w:val="en-GB"/>
        </w:rPr>
        <w:t xml:space="preserve">volume </w:t>
      </w:r>
      <w:r w:rsidR="00162332">
        <w:rPr>
          <w:lang w:val="en-GB"/>
        </w:rPr>
        <w:t>(</w:t>
      </w:r>
      <w:r w:rsidR="00C306CF">
        <w:rPr>
          <w:lang w:val="en-GB"/>
        </w:rPr>
        <w:t>0.</w:t>
      </w:r>
      <w:r w:rsidR="00FE4240">
        <w:rPr>
          <w:lang w:val="en-GB"/>
        </w:rPr>
        <w:t>8</w:t>
      </w:r>
      <w:r w:rsidR="00162332">
        <w:rPr>
          <w:lang w:val="en-GB"/>
        </w:rPr>
        <w:t xml:space="preserve">% of the initial one) </w:t>
      </w:r>
      <w:r>
        <w:rPr>
          <w:lang w:val="en-GB"/>
        </w:rPr>
        <w:t>and more concentrated</w:t>
      </w:r>
      <w:r w:rsidR="00162332">
        <w:rPr>
          <w:lang w:val="en-GB"/>
        </w:rPr>
        <w:t xml:space="preserve"> (</w:t>
      </w:r>
      <w:r w:rsidR="00FE4240">
        <w:rPr>
          <w:lang w:val="en-GB"/>
        </w:rPr>
        <w:t>28 times</w:t>
      </w:r>
      <w:r w:rsidR="00162332">
        <w:rPr>
          <w:lang w:val="en-GB"/>
        </w:rPr>
        <w:t xml:space="preserve"> initial n-butanol)</w:t>
      </w:r>
      <w:r>
        <w:rPr>
          <w:lang w:val="en-GB"/>
        </w:rPr>
        <w:t>, leading to a less intensive and less costly operation.</w:t>
      </w:r>
      <w:r w:rsidR="0013263A">
        <w:rPr>
          <w:lang w:val="en-GB"/>
        </w:rPr>
        <w:t xml:space="preserve"> </w:t>
      </w:r>
    </w:p>
    <w:p w:rsidR="00483FE9" w:rsidRDefault="00483FE9" w:rsidP="00483FE9">
      <w:pPr>
        <w:pStyle w:val="CETBodytext"/>
        <w:rPr>
          <w:lang w:val="en-GB"/>
        </w:rPr>
      </w:pPr>
      <w:r>
        <w:rPr>
          <w:lang w:val="en-GB"/>
        </w:rPr>
        <w:t>As a future work, economic evaluation will be performed to compare the savings in using membrane technologies as a pre-processing step to distillation for ABE streams</w:t>
      </w:r>
      <w:r w:rsidR="00D82780">
        <w:rPr>
          <w:lang w:val="en-GB"/>
        </w:rPr>
        <w:t>, in particular on the use of PV</w:t>
      </w:r>
      <w:r>
        <w:rPr>
          <w:lang w:val="en-GB"/>
        </w:rPr>
        <w:t xml:space="preserve">. Moreover, the use of reverse osmosis may be </w:t>
      </w:r>
      <w:r w:rsidR="006C617D">
        <w:rPr>
          <w:lang w:val="en-GB"/>
        </w:rPr>
        <w:t>considered</w:t>
      </w:r>
      <w:r>
        <w:rPr>
          <w:lang w:val="en-GB"/>
        </w:rPr>
        <w:t xml:space="preserve"> to achieve </w:t>
      </w:r>
      <w:r w:rsidR="00DB1AC6">
        <w:rPr>
          <w:lang w:val="en-GB"/>
        </w:rPr>
        <w:t>optimized</w:t>
      </w:r>
      <w:r>
        <w:rPr>
          <w:lang w:val="en-GB"/>
        </w:rPr>
        <w:t xml:space="preserve"> starting concentrations to the final distillation column.</w:t>
      </w:r>
    </w:p>
    <w:p w:rsidR="00483FE9" w:rsidRDefault="00483FE9" w:rsidP="00483FE9">
      <w:pPr>
        <w:pStyle w:val="CETHeading1"/>
        <w:tabs>
          <w:tab w:val="clear" w:pos="360"/>
          <w:tab w:val="right" w:pos="7100"/>
        </w:tabs>
        <w:jc w:val="both"/>
        <w:rPr>
          <w:lang w:val="en-GB"/>
        </w:rPr>
      </w:pPr>
      <w:r>
        <w:rPr>
          <w:lang w:val="en-GB"/>
        </w:rPr>
        <w:t>References</w:t>
      </w:r>
    </w:p>
    <w:p w:rsidR="00F276AE" w:rsidRPr="00F276AE" w:rsidRDefault="00F276AE" w:rsidP="00F276AE">
      <w:pPr>
        <w:pStyle w:val="CETBodytext"/>
        <w:rPr>
          <w:lang w:val="en-GB"/>
        </w:rPr>
      </w:pPr>
      <w:proofErr w:type="spellStart"/>
      <w:r>
        <w:rPr>
          <w:lang w:val="en-GB"/>
        </w:rPr>
        <w:t>Esfahanian</w:t>
      </w:r>
      <w:proofErr w:type="spellEnd"/>
      <w:r>
        <w:rPr>
          <w:lang w:val="en-GB"/>
        </w:rPr>
        <w:t xml:space="preserve"> M</w:t>
      </w:r>
      <w:r w:rsidR="007E3F8C">
        <w:rPr>
          <w:lang w:val="en-GB"/>
        </w:rPr>
        <w:t>.</w:t>
      </w:r>
      <w:r>
        <w:rPr>
          <w:lang w:val="en-GB"/>
        </w:rPr>
        <w:t xml:space="preserve">, </w:t>
      </w:r>
      <w:proofErr w:type="spellStart"/>
      <w:r>
        <w:rPr>
          <w:lang w:val="en-GB"/>
        </w:rPr>
        <w:t>Ghorbanfarahi</w:t>
      </w:r>
      <w:proofErr w:type="spellEnd"/>
      <w:r>
        <w:rPr>
          <w:lang w:val="en-GB"/>
        </w:rPr>
        <w:t xml:space="preserve"> A</w:t>
      </w:r>
      <w:r w:rsidR="007E3F8C">
        <w:rPr>
          <w:lang w:val="en-GB"/>
        </w:rPr>
        <w:t>.</w:t>
      </w:r>
      <w:r>
        <w:rPr>
          <w:lang w:val="en-GB"/>
        </w:rPr>
        <w:t>H</w:t>
      </w:r>
      <w:r w:rsidR="007E3F8C">
        <w:rPr>
          <w:lang w:val="en-GB"/>
        </w:rPr>
        <w:t>.</w:t>
      </w:r>
      <w:r>
        <w:rPr>
          <w:lang w:val="en-GB"/>
        </w:rPr>
        <w:t xml:space="preserve">, </w:t>
      </w:r>
      <w:proofErr w:type="spellStart"/>
      <w:r>
        <w:rPr>
          <w:lang w:val="en-GB"/>
        </w:rPr>
        <w:t>Ghoreyshi</w:t>
      </w:r>
      <w:proofErr w:type="spellEnd"/>
      <w:r>
        <w:rPr>
          <w:lang w:val="en-GB"/>
        </w:rPr>
        <w:t xml:space="preserve"> A</w:t>
      </w:r>
      <w:r w:rsidR="007E3F8C">
        <w:rPr>
          <w:lang w:val="en-GB"/>
        </w:rPr>
        <w:t>.</w:t>
      </w:r>
      <w:r>
        <w:rPr>
          <w:lang w:val="en-GB"/>
        </w:rPr>
        <w:t>A</w:t>
      </w:r>
      <w:r w:rsidR="007E3F8C">
        <w:rPr>
          <w:lang w:val="en-GB"/>
        </w:rPr>
        <w:t>.</w:t>
      </w:r>
      <w:r>
        <w:rPr>
          <w:lang w:val="en-GB"/>
        </w:rPr>
        <w:t xml:space="preserve">, </w:t>
      </w:r>
      <w:proofErr w:type="spellStart"/>
      <w:r>
        <w:rPr>
          <w:lang w:val="en-GB"/>
        </w:rPr>
        <w:t>Najafpour</w:t>
      </w:r>
      <w:proofErr w:type="spellEnd"/>
      <w:r>
        <w:rPr>
          <w:lang w:val="en-GB"/>
        </w:rPr>
        <w:t xml:space="preserve"> G</w:t>
      </w:r>
      <w:r w:rsidR="007E3F8C">
        <w:rPr>
          <w:lang w:val="en-GB"/>
        </w:rPr>
        <w:t>.</w:t>
      </w:r>
      <w:r>
        <w:rPr>
          <w:lang w:val="en-GB"/>
        </w:rPr>
        <w:t xml:space="preserve">, </w:t>
      </w:r>
      <w:proofErr w:type="spellStart"/>
      <w:r>
        <w:rPr>
          <w:lang w:val="en-GB"/>
        </w:rPr>
        <w:t>Younesi</w:t>
      </w:r>
      <w:proofErr w:type="spellEnd"/>
      <w:r>
        <w:rPr>
          <w:lang w:val="en-GB"/>
        </w:rPr>
        <w:t xml:space="preserve"> H</w:t>
      </w:r>
      <w:r w:rsidR="007E3F8C">
        <w:rPr>
          <w:lang w:val="en-GB"/>
        </w:rPr>
        <w:t>.</w:t>
      </w:r>
      <w:r>
        <w:rPr>
          <w:lang w:val="en-GB"/>
        </w:rPr>
        <w:t>, Ahmad A</w:t>
      </w:r>
      <w:r w:rsidR="007E3F8C">
        <w:rPr>
          <w:lang w:val="en-GB"/>
        </w:rPr>
        <w:t>.</w:t>
      </w:r>
      <w:r>
        <w:rPr>
          <w:lang w:val="en-GB"/>
        </w:rPr>
        <w:t>L</w:t>
      </w:r>
      <w:r w:rsidR="007E3F8C">
        <w:rPr>
          <w:lang w:val="en-GB"/>
        </w:rPr>
        <w:t>.</w:t>
      </w:r>
      <w:r>
        <w:rPr>
          <w:lang w:val="en-GB"/>
        </w:rPr>
        <w:t>,</w:t>
      </w:r>
      <w:r w:rsidR="007E3F8C">
        <w:rPr>
          <w:lang w:val="en-GB"/>
        </w:rPr>
        <w:t>2012,</w:t>
      </w:r>
      <w:r>
        <w:rPr>
          <w:lang w:val="en-GB"/>
        </w:rPr>
        <w:t xml:space="preserve"> Enhanced Bioethanol Production in batch </w:t>
      </w:r>
      <w:proofErr w:type="spellStart"/>
      <w:r>
        <w:rPr>
          <w:lang w:val="en-GB"/>
        </w:rPr>
        <w:t>fermetantion</w:t>
      </w:r>
      <w:proofErr w:type="spellEnd"/>
      <w:r>
        <w:rPr>
          <w:lang w:val="en-GB"/>
        </w:rPr>
        <w:t xml:space="preserve"> by pervaporation using a </w:t>
      </w:r>
      <w:proofErr w:type="spellStart"/>
      <w:r>
        <w:rPr>
          <w:lang w:val="en-GB"/>
        </w:rPr>
        <w:t>pdms</w:t>
      </w:r>
      <w:proofErr w:type="spellEnd"/>
      <w:r>
        <w:rPr>
          <w:lang w:val="en-GB"/>
        </w:rPr>
        <w:t xml:space="preserve"> membrane bioreactor, IJE transactions B applications 25/4</w:t>
      </w:r>
      <w:r w:rsidR="007E3F8C">
        <w:rPr>
          <w:lang w:val="en-GB"/>
        </w:rPr>
        <w:t>,</w:t>
      </w:r>
      <w:r>
        <w:rPr>
          <w:lang w:val="en-GB"/>
        </w:rPr>
        <w:t xml:space="preserve"> 249-258</w:t>
      </w:r>
      <w:r w:rsidR="007E3F8C">
        <w:rPr>
          <w:lang w:val="en-GB"/>
        </w:rPr>
        <w:t>.</w:t>
      </w:r>
    </w:p>
    <w:p w:rsidR="00100C2A" w:rsidRPr="00350190" w:rsidRDefault="00100C2A" w:rsidP="00100C2A">
      <w:pPr>
        <w:pStyle w:val="CETBodytext"/>
      </w:pPr>
      <w:r>
        <w:t>Field R. W., Wu D., Howell J. A., Gupta B. B., 1995,</w:t>
      </w:r>
      <w:r w:rsidRPr="00350190">
        <w:t xml:space="preserve"> Critical flux conc</w:t>
      </w:r>
      <w:r>
        <w:t>ept for microfiltration fouling,</w:t>
      </w:r>
      <w:r w:rsidRPr="00350190">
        <w:t xml:space="preserve"> Journal of membrane science, 100(3), 259-272.</w:t>
      </w:r>
    </w:p>
    <w:p w:rsidR="007E3F8C" w:rsidRDefault="007E3F8C" w:rsidP="007E3F8C">
      <w:pPr>
        <w:pStyle w:val="CETBodytext"/>
        <w:rPr>
          <w:lang w:val="en-GB"/>
        </w:rPr>
      </w:pPr>
      <w:proofErr w:type="spellStart"/>
      <w:r w:rsidRPr="00F276AE">
        <w:rPr>
          <w:lang w:val="en-GB"/>
        </w:rPr>
        <w:t>Lazarova</w:t>
      </w:r>
      <w:proofErr w:type="spellEnd"/>
      <w:r w:rsidRPr="00F276AE">
        <w:rPr>
          <w:lang w:val="en-GB"/>
        </w:rPr>
        <w:t xml:space="preserve"> M</w:t>
      </w:r>
      <w:r>
        <w:rPr>
          <w:lang w:val="en-GB"/>
        </w:rPr>
        <w:t>.</w:t>
      </w:r>
      <w:r w:rsidRPr="00F276AE">
        <w:rPr>
          <w:lang w:val="en-GB"/>
        </w:rPr>
        <w:t>, Bosch P</w:t>
      </w:r>
      <w:r>
        <w:rPr>
          <w:lang w:val="en-GB"/>
        </w:rPr>
        <w:t>.</w:t>
      </w:r>
      <w:r w:rsidRPr="00F276AE">
        <w:rPr>
          <w:lang w:val="en-GB"/>
        </w:rPr>
        <w:t xml:space="preserve">, </w:t>
      </w:r>
      <w:proofErr w:type="spellStart"/>
      <w:r w:rsidRPr="00F276AE">
        <w:rPr>
          <w:lang w:val="en-GB"/>
        </w:rPr>
        <w:t>Friedl</w:t>
      </w:r>
      <w:proofErr w:type="spellEnd"/>
      <w:r w:rsidRPr="00F276AE">
        <w:rPr>
          <w:lang w:val="en-GB"/>
        </w:rPr>
        <w:t xml:space="preserve"> A.</w:t>
      </w:r>
      <w:r>
        <w:rPr>
          <w:lang w:val="en-GB"/>
        </w:rPr>
        <w:t>,</w:t>
      </w:r>
      <w:r w:rsidRPr="00F276AE">
        <w:rPr>
          <w:lang w:val="en-GB"/>
        </w:rPr>
        <w:t xml:space="preserve"> </w:t>
      </w:r>
      <w:r>
        <w:rPr>
          <w:lang w:val="en-GB"/>
        </w:rPr>
        <w:t xml:space="preserve">2012, </w:t>
      </w:r>
      <w:r w:rsidRPr="00F276AE">
        <w:rPr>
          <w:lang w:val="en-GB"/>
        </w:rPr>
        <w:t>POMS membrane for selective separation of ethanol from dilute alcohol- aqueous solutions by pervaporation</w:t>
      </w:r>
      <w:r>
        <w:rPr>
          <w:lang w:val="en-GB"/>
        </w:rPr>
        <w:t>,</w:t>
      </w:r>
      <w:r w:rsidRPr="00F276AE">
        <w:rPr>
          <w:lang w:val="en-GB"/>
        </w:rPr>
        <w:t xml:space="preserve"> Sep Sci </w:t>
      </w:r>
      <w:proofErr w:type="spellStart"/>
      <w:r w:rsidRPr="00F276AE">
        <w:rPr>
          <w:lang w:val="en-GB"/>
        </w:rPr>
        <w:t>Technol</w:t>
      </w:r>
      <w:proofErr w:type="spellEnd"/>
      <w:r>
        <w:rPr>
          <w:lang w:val="en-GB"/>
        </w:rPr>
        <w:t xml:space="preserve"> </w:t>
      </w:r>
      <w:r w:rsidRPr="00F276AE">
        <w:rPr>
          <w:lang w:val="en-GB"/>
        </w:rPr>
        <w:t>47</w:t>
      </w:r>
      <w:r>
        <w:rPr>
          <w:lang w:val="en-GB"/>
        </w:rPr>
        <w:t xml:space="preserve">, </w:t>
      </w:r>
      <w:r w:rsidRPr="00F276AE">
        <w:rPr>
          <w:lang w:val="en-GB"/>
        </w:rPr>
        <w:t>1709-14.</w:t>
      </w:r>
    </w:p>
    <w:p w:rsidR="00100C2A" w:rsidRDefault="00100C2A" w:rsidP="00100C2A">
      <w:pPr>
        <w:rPr>
          <w:lang w:val="en-US"/>
        </w:rPr>
      </w:pPr>
      <w:r w:rsidRPr="00A33970">
        <w:rPr>
          <w:lang w:val="en-US"/>
        </w:rPr>
        <w:t>Ochando-Pulido J. M., Stoller M., 2015, Kinetics and boundary flux optimization of integrated photocatalysis and ultrafiltration process for two-phase vegetation and olive washing wastewaters treatment, Chemical Engineering Journal, 279, 387-395.</w:t>
      </w:r>
    </w:p>
    <w:p w:rsidR="007E3F8C" w:rsidRPr="00F276AE" w:rsidRDefault="007E3F8C" w:rsidP="007E3F8C">
      <w:pPr>
        <w:pStyle w:val="CETBodytext"/>
        <w:rPr>
          <w:lang w:val="en-GB"/>
        </w:rPr>
      </w:pPr>
      <w:r w:rsidRPr="00F276AE">
        <w:rPr>
          <w:lang w:val="en-GB"/>
        </w:rPr>
        <w:t>Qureshi N</w:t>
      </w:r>
      <w:r>
        <w:rPr>
          <w:lang w:val="en-GB"/>
        </w:rPr>
        <w:t>.</w:t>
      </w:r>
      <w:r w:rsidRPr="00F276AE">
        <w:rPr>
          <w:lang w:val="en-GB"/>
        </w:rPr>
        <w:t xml:space="preserve">, </w:t>
      </w:r>
      <w:proofErr w:type="spellStart"/>
      <w:r w:rsidRPr="00F276AE">
        <w:rPr>
          <w:lang w:val="en-GB"/>
        </w:rPr>
        <w:t>Friedl</w:t>
      </w:r>
      <w:proofErr w:type="spellEnd"/>
      <w:r w:rsidRPr="00F276AE">
        <w:rPr>
          <w:lang w:val="en-GB"/>
        </w:rPr>
        <w:t xml:space="preserve"> A</w:t>
      </w:r>
      <w:r>
        <w:rPr>
          <w:lang w:val="en-GB"/>
        </w:rPr>
        <w:t>.</w:t>
      </w:r>
      <w:r w:rsidRPr="00F276AE">
        <w:rPr>
          <w:lang w:val="en-GB"/>
        </w:rPr>
        <w:t xml:space="preserve">, </w:t>
      </w:r>
      <w:proofErr w:type="spellStart"/>
      <w:r w:rsidRPr="00F276AE">
        <w:rPr>
          <w:lang w:val="en-GB"/>
        </w:rPr>
        <w:t>MaddoxI</w:t>
      </w:r>
      <w:proofErr w:type="spellEnd"/>
      <w:r w:rsidRPr="00F276AE">
        <w:rPr>
          <w:lang w:val="en-GB"/>
        </w:rPr>
        <w:t xml:space="preserve"> S.</w:t>
      </w:r>
      <w:r>
        <w:rPr>
          <w:lang w:val="en-GB"/>
        </w:rPr>
        <w:t>, 2014,</w:t>
      </w:r>
      <w:r w:rsidRPr="00F276AE">
        <w:rPr>
          <w:lang w:val="en-GB"/>
        </w:rPr>
        <w:t xml:space="preserve"> Butanol production from concentrated lactose/whey permeate: use of pervaporation membrane to recover and concentrate product</w:t>
      </w:r>
      <w:r>
        <w:rPr>
          <w:lang w:val="en-GB"/>
        </w:rPr>
        <w:t>,</w:t>
      </w:r>
      <w:r w:rsidRPr="00F276AE">
        <w:rPr>
          <w:lang w:val="en-GB"/>
        </w:rPr>
        <w:t xml:space="preserve"> </w:t>
      </w:r>
      <w:proofErr w:type="spellStart"/>
      <w:r w:rsidRPr="00F276AE">
        <w:rPr>
          <w:lang w:val="en-GB"/>
        </w:rPr>
        <w:t>Appl</w:t>
      </w:r>
      <w:proofErr w:type="spellEnd"/>
      <w:r w:rsidRPr="00F276AE">
        <w:rPr>
          <w:lang w:val="en-GB"/>
        </w:rPr>
        <w:t xml:space="preserve"> </w:t>
      </w:r>
      <w:proofErr w:type="spellStart"/>
      <w:r w:rsidRPr="00F276AE">
        <w:rPr>
          <w:lang w:val="en-GB"/>
        </w:rPr>
        <w:t>Microbiol</w:t>
      </w:r>
      <w:proofErr w:type="spellEnd"/>
      <w:r w:rsidRPr="00F276AE">
        <w:rPr>
          <w:lang w:val="en-GB"/>
        </w:rPr>
        <w:t xml:space="preserve"> </w:t>
      </w:r>
      <w:proofErr w:type="spellStart"/>
      <w:r w:rsidRPr="00F276AE">
        <w:rPr>
          <w:lang w:val="en-GB"/>
        </w:rPr>
        <w:t>Biotechnol</w:t>
      </w:r>
      <w:proofErr w:type="spellEnd"/>
      <w:r w:rsidRPr="00F276AE">
        <w:rPr>
          <w:lang w:val="en-GB"/>
        </w:rPr>
        <w:t xml:space="preserve"> 98</w:t>
      </w:r>
      <w:r>
        <w:rPr>
          <w:lang w:val="en-GB"/>
        </w:rPr>
        <w:t xml:space="preserve">, </w:t>
      </w:r>
      <w:r w:rsidRPr="00F276AE">
        <w:rPr>
          <w:lang w:val="en-GB"/>
        </w:rPr>
        <w:t xml:space="preserve">9859-67. </w:t>
      </w:r>
    </w:p>
    <w:p w:rsidR="00100C2A" w:rsidRDefault="00100C2A" w:rsidP="00100C2A">
      <w:pPr>
        <w:rPr>
          <w:lang w:val="en-US"/>
        </w:rPr>
      </w:pPr>
      <w:r w:rsidRPr="00A33970">
        <w:rPr>
          <w:lang w:val="en-US"/>
        </w:rPr>
        <w:t>Stoller M., Ochando-Pulido J. M., 2014, The boundary flux handbook: A comprehensive database of critical and threshold flux values for membrane practitioners, Elsevier.</w:t>
      </w:r>
    </w:p>
    <w:p w:rsidR="007E3F8C" w:rsidRPr="007E3F8C" w:rsidRDefault="007E3F8C" w:rsidP="007E3F8C">
      <w:pPr>
        <w:rPr>
          <w:lang w:val="en-US"/>
        </w:rPr>
      </w:pPr>
      <w:r>
        <w:rPr>
          <w:lang w:val="en-US"/>
        </w:rPr>
        <w:t xml:space="preserve">Zhou H., </w:t>
      </w:r>
      <w:proofErr w:type="spellStart"/>
      <w:r>
        <w:rPr>
          <w:lang w:val="en-US"/>
        </w:rPr>
        <w:t>Su</w:t>
      </w:r>
      <w:proofErr w:type="spellEnd"/>
      <w:r>
        <w:rPr>
          <w:lang w:val="en-US"/>
        </w:rPr>
        <w:t xml:space="preserve"> Y., Wan Y., 2014, </w:t>
      </w:r>
      <w:r w:rsidRPr="007E3F8C">
        <w:rPr>
          <w:lang w:val="en-US"/>
        </w:rPr>
        <w:t>Phase separation of an acetone–butanol–ethanol (ABE)–water mixture in the permeate during pervaporation of a dilute ABE solution</w:t>
      </w:r>
      <w:r>
        <w:rPr>
          <w:lang w:val="en-US"/>
        </w:rPr>
        <w:t xml:space="preserve">, </w:t>
      </w:r>
      <w:r w:rsidRPr="007E3F8C">
        <w:rPr>
          <w:lang w:val="en-US"/>
        </w:rPr>
        <w:t>Separation and Purification Technology</w:t>
      </w:r>
      <w:r>
        <w:rPr>
          <w:lang w:val="en-US"/>
        </w:rPr>
        <w:t xml:space="preserve"> 132, </w:t>
      </w:r>
      <w:r w:rsidRPr="007E3F8C">
        <w:rPr>
          <w:lang w:val="en-US"/>
        </w:rPr>
        <w:t>354-361</w:t>
      </w:r>
      <w:r>
        <w:rPr>
          <w:lang w:val="en-US"/>
        </w:rPr>
        <w:t>.</w:t>
      </w:r>
    </w:p>
    <w:p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093" w:rsidRDefault="00DA2093" w:rsidP="004F5E36">
      <w:r>
        <w:separator/>
      </w:r>
    </w:p>
  </w:endnote>
  <w:endnote w:type="continuationSeparator" w:id="0">
    <w:p w:rsidR="00DA2093" w:rsidRDefault="00DA209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093" w:rsidRDefault="00DA2093" w:rsidP="004F5E36">
      <w:r>
        <w:separator/>
      </w:r>
    </w:p>
  </w:footnote>
  <w:footnote w:type="continuationSeparator" w:id="0">
    <w:p w:rsidR="00DA2093" w:rsidRDefault="00DA209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5726E12"/>
    <w:multiLevelType w:val="hybridMultilevel"/>
    <w:tmpl w:val="065C3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6858"/>
    <w:rsid w:val="0003148D"/>
    <w:rsid w:val="000332F3"/>
    <w:rsid w:val="00047D7F"/>
    <w:rsid w:val="00051566"/>
    <w:rsid w:val="00062A9A"/>
    <w:rsid w:val="00065058"/>
    <w:rsid w:val="00086C39"/>
    <w:rsid w:val="000A03B2"/>
    <w:rsid w:val="000A3B79"/>
    <w:rsid w:val="000B5DA7"/>
    <w:rsid w:val="000C4369"/>
    <w:rsid w:val="000D34BE"/>
    <w:rsid w:val="000E102F"/>
    <w:rsid w:val="000E36F1"/>
    <w:rsid w:val="000E3A73"/>
    <w:rsid w:val="000E414A"/>
    <w:rsid w:val="000F093C"/>
    <w:rsid w:val="000F16BD"/>
    <w:rsid w:val="000F787B"/>
    <w:rsid w:val="00100C2A"/>
    <w:rsid w:val="0012091F"/>
    <w:rsid w:val="00126BC2"/>
    <w:rsid w:val="001308B6"/>
    <w:rsid w:val="0013121F"/>
    <w:rsid w:val="00131FAB"/>
    <w:rsid w:val="00131FE6"/>
    <w:rsid w:val="0013263A"/>
    <w:rsid w:val="0013263F"/>
    <w:rsid w:val="00134DE4"/>
    <w:rsid w:val="0014034D"/>
    <w:rsid w:val="00150E59"/>
    <w:rsid w:val="00152DE3"/>
    <w:rsid w:val="00162332"/>
    <w:rsid w:val="00162642"/>
    <w:rsid w:val="00164CF9"/>
    <w:rsid w:val="00184AD6"/>
    <w:rsid w:val="00190AF3"/>
    <w:rsid w:val="00197009"/>
    <w:rsid w:val="001B0349"/>
    <w:rsid w:val="001B47AB"/>
    <w:rsid w:val="001B65C1"/>
    <w:rsid w:val="001C684B"/>
    <w:rsid w:val="001D53FC"/>
    <w:rsid w:val="001F42A5"/>
    <w:rsid w:val="001F7B9D"/>
    <w:rsid w:val="002224B4"/>
    <w:rsid w:val="002447EF"/>
    <w:rsid w:val="00251550"/>
    <w:rsid w:val="00251D7A"/>
    <w:rsid w:val="00252C1A"/>
    <w:rsid w:val="00257255"/>
    <w:rsid w:val="00263B05"/>
    <w:rsid w:val="0027221A"/>
    <w:rsid w:val="00275B61"/>
    <w:rsid w:val="00282656"/>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3462"/>
    <w:rsid w:val="003B60F3"/>
    <w:rsid w:val="003C5911"/>
    <w:rsid w:val="003F015E"/>
    <w:rsid w:val="00400414"/>
    <w:rsid w:val="0041446B"/>
    <w:rsid w:val="0044329C"/>
    <w:rsid w:val="004577FE"/>
    <w:rsid w:val="00457B9C"/>
    <w:rsid w:val="0046164A"/>
    <w:rsid w:val="004628D2"/>
    <w:rsid w:val="00462DCD"/>
    <w:rsid w:val="004648AD"/>
    <w:rsid w:val="004703A9"/>
    <w:rsid w:val="004760DE"/>
    <w:rsid w:val="00483FE9"/>
    <w:rsid w:val="004A004E"/>
    <w:rsid w:val="004A2006"/>
    <w:rsid w:val="004A24CF"/>
    <w:rsid w:val="004B6721"/>
    <w:rsid w:val="004C3D1D"/>
    <w:rsid w:val="004C7913"/>
    <w:rsid w:val="004E4DD6"/>
    <w:rsid w:val="004F2A6E"/>
    <w:rsid w:val="004F5E36"/>
    <w:rsid w:val="00507B47"/>
    <w:rsid w:val="00507CC9"/>
    <w:rsid w:val="005119A5"/>
    <w:rsid w:val="00515BFB"/>
    <w:rsid w:val="00517066"/>
    <w:rsid w:val="005249E7"/>
    <w:rsid w:val="005278B7"/>
    <w:rsid w:val="00532016"/>
    <w:rsid w:val="005346C8"/>
    <w:rsid w:val="00543E7D"/>
    <w:rsid w:val="00546B05"/>
    <w:rsid w:val="00547A68"/>
    <w:rsid w:val="005531C9"/>
    <w:rsid w:val="005A7A18"/>
    <w:rsid w:val="005B0A78"/>
    <w:rsid w:val="005B2110"/>
    <w:rsid w:val="005B61E6"/>
    <w:rsid w:val="005B76C6"/>
    <w:rsid w:val="005C77E1"/>
    <w:rsid w:val="005D6A2F"/>
    <w:rsid w:val="005E1A82"/>
    <w:rsid w:val="005E794C"/>
    <w:rsid w:val="005F0A28"/>
    <w:rsid w:val="005F0E5E"/>
    <w:rsid w:val="00600535"/>
    <w:rsid w:val="00603FAF"/>
    <w:rsid w:val="00610CD6"/>
    <w:rsid w:val="00611A81"/>
    <w:rsid w:val="00620DEE"/>
    <w:rsid w:val="00621F92"/>
    <w:rsid w:val="00625639"/>
    <w:rsid w:val="00631B33"/>
    <w:rsid w:val="0064184D"/>
    <w:rsid w:val="006422CC"/>
    <w:rsid w:val="00652675"/>
    <w:rsid w:val="00652950"/>
    <w:rsid w:val="00660E3E"/>
    <w:rsid w:val="00662E74"/>
    <w:rsid w:val="00680C23"/>
    <w:rsid w:val="00693766"/>
    <w:rsid w:val="006A3281"/>
    <w:rsid w:val="006B4888"/>
    <w:rsid w:val="006C2E45"/>
    <w:rsid w:val="006C359C"/>
    <w:rsid w:val="006C5579"/>
    <w:rsid w:val="006C617D"/>
    <w:rsid w:val="006E737D"/>
    <w:rsid w:val="0070195D"/>
    <w:rsid w:val="00720A24"/>
    <w:rsid w:val="00732386"/>
    <w:rsid w:val="007447F3"/>
    <w:rsid w:val="0075499F"/>
    <w:rsid w:val="007661C8"/>
    <w:rsid w:val="0077098D"/>
    <w:rsid w:val="007931FA"/>
    <w:rsid w:val="007A7BBA"/>
    <w:rsid w:val="007B06AD"/>
    <w:rsid w:val="007B0C50"/>
    <w:rsid w:val="007C1A43"/>
    <w:rsid w:val="007E1DC6"/>
    <w:rsid w:val="007E3F8C"/>
    <w:rsid w:val="00813288"/>
    <w:rsid w:val="008168FC"/>
    <w:rsid w:val="00830996"/>
    <w:rsid w:val="008345F1"/>
    <w:rsid w:val="008557AE"/>
    <w:rsid w:val="00865B07"/>
    <w:rsid w:val="008667EA"/>
    <w:rsid w:val="0087637F"/>
    <w:rsid w:val="008904B9"/>
    <w:rsid w:val="00892AD5"/>
    <w:rsid w:val="008A1512"/>
    <w:rsid w:val="008C023A"/>
    <w:rsid w:val="008C78C1"/>
    <w:rsid w:val="008D32B9"/>
    <w:rsid w:val="008D433B"/>
    <w:rsid w:val="008E566E"/>
    <w:rsid w:val="008E7487"/>
    <w:rsid w:val="0090161A"/>
    <w:rsid w:val="00901EB6"/>
    <w:rsid w:val="00904C62"/>
    <w:rsid w:val="00914859"/>
    <w:rsid w:val="00924DAC"/>
    <w:rsid w:val="00927058"/>
    <w:rsid w:val="009450CE"/>
    <w:rsid w:val="00947179"/>
    <w:rsid w:val="0095164B"/>
    <w:rsid w:val="00954090"/>
    <w:rsid w:val="00954EA8"/>
    <w:rsid w:val="009573E7"/>
    <w:rsid w:val="009577ED"/>
    <w:rsid w:val="009635B9"/>
    <w:rsid w:val="00963E05"/>
    <w:rsid w:val="00967D54"/>
    <w:rsid w:val="00996483"/>
    <w:rsid w:val="00996F5A"/>
    <w:rsid w:val="009A0A3E"/>
    <w:rsid w:val="009A7C2E"/>
    <w:rsid w:val="009B041A"/>
    <w:rsid w:val="009B5EC6"/>
    <w:rsid w:val="009C316C"/>
    <w:rsid w:val="009C7C86"/>
    <w:rsid w:val="009D2FF7"/>
    <w:rsid w:val="009E7884"/>
    <w:rsid w:val="009E788A"/>
    <w:rsid w:val="009F0E08"/>
    <w:rsid w:val="009F3F8B"/>
    <w:rsid w:val="00A00AF6"/>
    <w:rsid w:val="00A1763D"/>
    <w:rsid w:val="00A17CEC"/>
    <w:rsid w:val="00A27EF0"/>
    <w:rsid w:val="00A418F0"/>
    <w:rsid w:val="00A50B20"/>
    <w:rsid w:val="00A51390"/>
    <w:rsid w:val="00A60D13"/>
    <w:rsid w:val="00A67CBB"/>
    <w:rsid w:val="00A72745"/>
    <w:rsid w:val="00A76EFC"/>
    <w:rsid w:val="00A91010"/>
    <w:rsid w:val="00A97F29"/>
    <w:rsid w:val="00AA53DB"/>
    <w:rsid w:val="00AA702E"/>
    <w:rsid w:val="00AB0964"/>
    <w:rsid w:val="00AB5011"/>
    <w:rsid w:val="00AC118E"/>
    <w:rsid w:val="00AC7368"/>
    <w:rsid w:val="00AD16B9"/>
    <w:rsid w:val="00AE0B76"/>
    <w:rsid w:val="00AE377D"/>
    <w:rsid w:val="00B15D8D"/>
    <w:rsid w:val="00B17FBD"/>
    <w:rsid w:val="00B315A6"/>
    <w:rsid w:val="00B31813"/>
    <w:rsid w:val="00B33365"/>
    <w:rsid w:val="00B57B36"/>
    <w:rsid w:val="00B8686D"/>
    <w:rsid w:val="00BC30C9"/>
    <w:rsid w:val="00BE343A"/>
    <w:rsid w:val="00BE3E58"/>
    <w:rsid w:val="00C01616"/>
    <w:rsid w:val="00C0162B"/>
    <w:rsid w:val="00C07E30"/>
    <w:rsid w:val="00C306CF"/>
    <w:rsid w:val="00C345B1"/>
    <w:rsid w:val="00C40142"/>
    <w:rsid w:val="00C57182"/>
    <w:rsid w:val="00C57863"/>
    <w:rsid w:val="00C655FD"/>
    <w:rsid w:val="00C870A8"/>
    <w:rsid w:val="00C94434"/>
    <w:rsid w:val="00CA0D75"/>
    <w:rsid w:val="00CA1C95"/>
    <w:rsid w:val="00CA5A9C"/>
    <w:rsid w:val="00CA7BC4"/>
    <w:rsid w:val="00CD3517"/>
    <w:rsid w:val="00CD5A00"/>
    <w:rsid w:val="00CD5FE2"/>
    <w:rsid w:val="00CE7C68"/>
    <w:rsid w:val="00D02B4C"/>
    <w:rsid w:val="00D040C4"/>
    <w:rsid w:val="00D324B7"/>
    <w:rsid w:val="00D325FE"/>
    <w:rsid w:val="00D57C84"/>
    <w:rsid w:val="00D6057D"/>
    <w:rsid w:val="00D82780"/>
    <w:rsid w:val="00D84576"/>
    <w:rsid w:val="00DA1399"/>
    <w:rsid w:val="00DA2093"/>
    <w:rsid w:val="00DA24C6"/>
    <w:rsid w:val="00DA4D7B"/>
    <w:rsid w:val="00DB1AC6"/>
    <w:rsid w:val="00DC6798"/>
    <w:rsid w:val="00DE264A"/>
    <w:rsid w:val="00E02D18"/>
    <w:rsid w:val="00E041E7"/>
    <w:rsid w:val="00E23CA1"/>
    <w:rsid w:val="00E26995"/>
    <w:rsid w:val="00E409A8"/>
    <w:rsid w:val="00E50C12"/>
    <w:rsid w:val="00E64B30"/>
    <w:rsid w:val="00E65B91"/>
    <w:rsid w:val="00E7209D"/>
    <w:rsid w:val="00E77223"/>
    <w:rsid w:val="00E8528B"/>
    <w:rsid w:val="00E85B94"/>
    <w:rsid w:val="00E9608E"/>
    <w:rsid w:val="00E978D0"/>
    <w:rsid w:val="00EA4613"/>
    <w:rsid w:val="00EA7F91"/>
    <w:rsid w:val="00EB1523"/>
    <w:rsid w:val="00EB17BB"/>
    <w:rsid w:val="00EC0E49"/>
    <w:rsid w:val="00EE0131"/>
    <w:rsid w:val="00F155B2"/>
    <w:rsid w:val="00F276AE"/>
    <w:rsid w:val="00F30C64"/>
    <w:rsid w:val="00F32CDB"/>
    <w:rsid w:val="00F33529"/>
    <w:rsid w:val="00F433A5"/>
    <w:rsid w:val="00F52FE0"/>
    <w:rsid w:val="00F63A70"/>
    <w:rsid w:val="00FA21D0"/>
    <w:rsid w:val="00FA5F5F"/>
    <w:rsid w:val="00FB55F6"/>
    <w:rsid w:val="00FB730C"/>
    <w:rsid w:val="00FC2695"/>
    <w:rsid w:val="00FC3E03"/>
    <w:rsid w:val="00FC3FC1"/>
    <w:rsid w:val="00FE424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C2F19"/>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nhideWhenUsed/>
    <w:rsid w:val="0003148D"/>
    <w:pPr>
      <w:spacing w:line="240" w:lineRule="auto"/>
    </w:pPr>
  </w:style>
  <w:style w:type="character" w:customStyle="1" w:styleId="TestocommentoCarattere">
    <w:name w:val="Testo commento Carattere"/>
    <w:basedOn w:val="Carpredefinitoparagrafo"/>
    <w:link w:val="Testocommento"/>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F3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25325">
      <w:bodyDiv w:val="1"/>
      <w:marLeft w:val="0"/>
      <w:marRight w:val="0"/>
      <w:marTop w:val="0"/>
      <w:marBottom w:val="0"/>
      <w:divBdr>
        <w:top w:val="none" w:sz="0" w:space="0" w:color="auto"/>
        <w:left w:val="none" w:sz="0" w:space="0" w:color="auto"/>
        <w:bottom w:val="none" w:sz="0" w:space="0" w:color="auto"/>
        <w:right w:val="none" w:sz="0" w:space="0" w:color="auto"/>
      </w:divBdr>
    </w:div>
    <w:div w:id="14247603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934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8893">
      <w:bodyDiv w:val="1"/>
      <w:marLeft w:val="0"/>
      <w:marRight w:val="0"/>
      <w:marTop w:val="0"/>
      <w:marBottom w:val="0"/>
      <w:divBdr>
        <w:top w:val="none" w:sz="0" w:space="0" w:color="auto"/>
        <w:left w:val="none" w:sz="0" w:space="0" w:color="auto"/>
        <w:bottom w:val="none" w:sz="0" w:space="0" w:color="auto"/>
        <w:right w:val="none" w:sz="0" w:space="0" w:color="auto"/>
      </w:divBdr>
    </w:div>
    <w:div w:id="1164279347">
      <w:bodyDiv w:val="1"/>
      <w:marLeft w:val="0"/>
      <w:marRight w:val="0"/>
      <w:marTop w:val="0"/>
      <w:marBottom w:val="0"/>
      <w:divBdr>
        <w:top w:val="none" w:sz="0" w:space="0" w:color="auto"/>
        <w:left w:val="none" w:sz="0" w:space="0" w:color="auto"/>
        <w:bottom w:val="none" w:sz="0" w:space="0" w:color="auto"/>
        <w:right w:val="none" w:sz="0" w:space="0" w:color="auto"/>
      </w:divBdr>
      <w:divsChild>
        <w:div w:id="522324832">
          <w:marLeft w:val="0"/>
          <w:marRight w:val="0"/>
          <w:marTop w:val="0"/>
          <w:marBottom w:val="0"/>
          <w:divBdr>
            <w:top w:val="none" w:sz="0" w:space="0" w:color="auto"/>
            <w:left w:val="none" w:sz="0" w:space="0" w:color="auto"/>
            <w:bottom w:val="none" w:sz="0" w:space="0" w:color="auto"/>
            <w:right w:val="none" w:sz="0" w:space="0" w:color="auto"/>
          </w:divBdr>
          <w:divsChild>
            <w:div w:id="361439813">
              <w:marLeft w:val="0"/>
              <w:marRight w:val="0"/>
              <w:marTop w:val="0"/>
              <w:marBottom w:val="0"/>
              <w:divBdr>
                <w:top w:val="none" w:sz="0" w:space="0" w:color="auto"/>
                <w:left w:val="none" w:sz="0" w:space="0" w:color="auto"/>
                <w:bottom w:val="none" w:sz="0" w:space="0" w:color="auto"/>
                <w:right w:val="none" w:sz="0" w:space="0" w:color="auto"/>
              </w:divBdr>
              <w:divsChild>
                <w:div w:id="416174049">
                  <w:marLeft w:val="0"/>
                  <w:marRight w:val="0"/>
                  <w:marTop w:val="0"/>
                  <w:marBottom w:val="0"/>
                  <w:divBdr>
                    <w:top w:val="none" w:sz="0" w:space="0" w:color="auto"/>
                    <w:left w:val="none" w:sz="0" w:space="0" w:color="auto"/>
                    <w:bottom w:val="none" w:sz="0" w:space="0" w:color="auto"/>
                    <w:right w:val="none" w:sz="0" w:space="0" w:color="auto"/>
                  </w:divBdr>
                </w:div>
              </w:divsChild>
            </w:div>
            <w:div w:id="1438789296">
              <w:marLeft w:val="0"/>
              <w:marRight w:val="0"/>
              <w:marTop w:val="0"/>
              <w:marBottom w:val="0"/>
              <w:divBdr>
                <w:top w:val="none" w:sz="0" w:space="0" w:color="auto"/>
                <w:left w:val="none" w:sz="0" w:space="0" w:color="auto"/>
                <w:bottom w:val="none" w:sz="0" w:space="0" w:color="auto"/>
                <w:right w:val="none" w:sz="0" w:space="0" w:color="auto"/>
              </w:divBdr>
            </w:div>
          </w:divsChild>
        </w:div>
        <w:div w:id="30301703">
          <w:marLeft w:val="0"/>
          <w:marRight w:val="0"/>
          <w:marTop w:val="0"/>
          <w:marBottom w:val="0"/>
          <w:divBdr>
            <w:top w:val="none" w:sz="0" w:space="0" w:color="auto"/>
            <w:left w:val="none" w:sz="0" w:space="0" w:color="auto"/>
            <w:bottom w:val="none" w:sz="0" w:space="0" w:color="auto"/>
            <w:right w:val="none" w:sz="0" w:space="0" w:color="auto"/>
          </w:divBdr>
          <w:divsChild>
            <w:div w:id="1167670666">
              <w:marLeft w:val="0"/>
              <w:marRight w:val="0"/>
              <w:marTop w:val="0"/>
              <w:marBottom w:val="0"/>
              <w:divBdr>
                <w:top w:val="none" w:sz="0" w:space="0" w:color="auto"/>
                <w:left w:val="none" w:sz="0" w:space="0" w:color="auto"/>
                <w:bottom w:val="none" w:sz="0" w:space="0" w:color="auto"/>
                <w:right w:val="none" w:sz="0" w:space="0" w:color="auto"/>
              </w:divBdr>
              <w:divsChild>
                <w:div w:id="429741624">
                  <w:marLeft w:val="0"/>
                  <w:marRight w:val="0"/>
                  <w:marTop w:val="0"/>
                  <w:marBottom w:val="0"/>
                  <w:divBdr>
                    <w:top w:val="none" w:sz="0" w:space="0" w:color="auto"/>
                    <w:left w:val="none" w:sz="0" w:space="0" w:color="auto"/>
                    <w:bottom w:val="none" w:sz="0" w:space="0" w:color="auto"/>
                    <w:right w:val="none" w:sz="0" w:space="0" w:color="auto"/>
                  </w:divBdr>
                  <w:divsChild>
                    <w:div w:id="2140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4255">
      <w:bodyDiv w:val="1"/>
      <w:marLeft w:val="0"/>
      <w:marRight w:val="0"/>
      <w:marTop w:val="0"/>
      <w:marBottom w:val="0"/>
      <w:divBdr>
        <w:top w:val="none" w:sz="0" w:space="0" w:color="auto"/>
        <w:left w:val="none" w:sz="0" w:space="0" w:color="auto"/>
        <w:bottom w:val="none" w:sz="0" w:space="0" w:color="auto"/>
        <w:right w:val="none" w:sz="0" w:space="0" w:color="auto"/>
      </w:divBdr>
    </w:div>
    <w:div w:id="157740037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3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CD71-EEEB-4469-AF52-F5C1FB6C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6</Pages>
  <Words>2937</Words>
  <Characters>16743</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Stox</dc:creator>
  <cp:lastModifiedBy>Marco Stoller</cp:lastModifiedBy>
  <cp:revision>23</cp:revision>
  <cp:lastPrinted>2015-05-12T18:31:00Z</cp:lastPrinted>
  <dcterms:created xsi:type="dcterms:W3CDTF">2019-02-19T13:03:00Z</dcterms:created>
  <dcterms:modified xsi:type="dcterms:W3CDTF">2019-04-04T17:11:00Z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