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6257335C" w14:textId="77777777">
        <w:trPr>
          <w:trHeight w:val="852"/>
          <w:jc w:val="center"/>
        </w:trPr>
        <w:tc>
          <w:tcPr>
            <w:tcW w:w="6946" w:type="dxa"/>
            <w:vMerge w:val="restart"/>
            <w:tcBorders>
              <w:right w:val="single" w:sz="4" w:space="0" w:color="auto"/>
            </w:tcBorders>
          </w:tcPr>
          <w:p w14:paraId="5A160A24"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22B1FCB5" wp14:editId="21387C1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A8FEAF6"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1E3597B7"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90A11BD" w14:textId="77777777" w:rsidR="000A03B2" w:rsidRPr="00B57B36" w:rsidRDefault="000A03B2" w:rsidP="00CD5FE2">
            <w:pPr>
              <w:jc w:val="right"/>
            </w:pPr>
            <w:r w:rsidRPr="00B57B36">
              <w:rPr>
                <w:noProof/>
                <w:lang w:val="it-IT" w:eastAsia="it-IT"/>
              </w:rPr>
              <w:drawing>
                <wp:inline distT="0" distB="0" distL="0" distR="0" wp14:anchorId="0EFCDA51" wp14:editId="1550211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6FA0C920" w14:textId="77777777">
        <w:trPr>
          <w:trHeight w:val="567"/>
          <w:jc w:val="center"/>
        </w:trPr>
        <w:tc>
          <w:tcPr>
            <w:tcW w:w="6946" w:type="dxa"/>
            <w:vMerge/>
            <w:tcBorders>
              <w:right w:val="single" w:sz="4" w:space="0" w:color="auto"/>
            </w:tcBorders>
          </w:tcPr>
          <w:p w14:paraId="465A3700"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0DFCC80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359283E5"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50DAA961"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274926D5" w14:textId="77777777">
        <w:trPr>
          <w:trHeight w:val="68"/>
          <w:jc w:val="center"/>
        </w:trPr>
        <w:tc>
          <w:tcPr>
            <w:tcW w:w="8789" w:type="dxa"/>
            <w:gridSpan w:val="2"/>
          </w:tcPr>
          <w:p w14:paraId="0650B721"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618E330B"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3C637A31"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4F538836" w14:textId="77777777" w:rsidR="00E978D0" w:rsidRPr="00B57B36" w:rsidRDefault="009074B1" w:rsidP="00E978D0">
      <w:pPr>
        <w:pStyle w:val="CETTitle"/>
      </w:pPr>
      <w:r>
        <w:t>An empirical approach to Workload assessment for process optimization</w:t>
      </w:r>
      <w:r w:rsidRPr="00E826D9">
        <w:t>.</w:t>
      </w:r>
    </w:p>
    <w:p w14:paraId="529D545C" w14:textId="77777777" w:rsidR="00E978D0" w:rsidRPr="009074B1" w:rsidRDefault="009074B1" w:rsidP="009074B1">
      <w:pPr>
        <w:pStyle w:val="CETAuthors"/>
        <w:rPr>
          <w:lang w:val="it-IT"/>
        </w:rPr>
      </w:pPr>
      <w:r w:rsidRPr="009074B1">
        <w:rPr>
          <w:lang w:val="it-IT"/>
        </w:rPr>
        <w:t>Lorenzo Comberti</w:t>
      </w:r>
      <w:r w:rsidR="00600535" w:rsidRPr="009074B1">
        <w:rPr>
          <w:vertAlign w:val="superscript"/>
          <w:lang w:val="it-IT"/>
        </w:rPr>
        <w:t>a</w:t>
      </w:r>
      <w:r w:rsidRPr="009074B1">
        <w:rPr>
          <w:vertAlign w:val="superscript"/>
          <w:lang w:val="it-IT"/>
        </w:rPr>
        <w:t>,*</w:t>
      </w:r>
      <w:r w:rsidR="00600535" w:rsidRPr="009074B1">
        <w:rPr>
          <w:lang w:val="it-IT"/>
        </w:rPr>
        <w:t xml:space="preserve">, </w:t>
      </w:r>
      <w:r w:rsidRPr="009074B1">
        <w:rPr>
          <w:lang w:val="it-IT"/>
        </w:rPr>
        <w:t>Gabriele Baldissone</w:t>
      </w:r>
      <w:r w:rsidRPr="009074B1">
        <w:rPr>
          <w:vertAlign w:val="superscript"/>
          <w:lang w:val="it-IT"/>
        </w:rPr>
        <w:t>a</w:t>
      </w:r>
      <w:r w:rsidR="00600535" w:rsidRPr="009074B1">
        <w:rPr>
          <w:lang w:val="it-IT"/>
        </w:rPr>
        <w:t>,</w:t>
      </w:r>
      <w:r w:rsidRPr="009074B1">
        <w:rPr>
          <w:lang w:val="it-IT"/>
        </w:rPr>
        <w:t xml:space="preserve"> Micaela Demichela</w:t>
      </w:r>
      <w:r w:rsidRPr="009074B1">
        <w:rPr>
          <w:vertAlign w:val="superscript"/>
          <w:lang w:val="it-IT"/>
        </w:rPr>
        <w:t>a</w:t>
      </w:r>
      <w:r w:rsidR="00600535" w:rsidRPr="009074B1">
        <w:rPr>
          <w:lang w:val="it-IT"/>
        </w:rPr>
        <w:t xml:space="preserve"> </w:t>
      </w:r>
    </w:p>
    <w:p w14:paraId="78BA37F7" w14:textId="77777777" w:rsidR="00E978D0" w:rsidRPr="00162401" w:rsidRDefault="00162401" w:rsidP="00162401">
      <w:pPr>
        <w:tabs>
          <w:tab w:val="clear" w:pos="7100"/>
        </w:tabs>
        <w:autoSpaceDE w:val="0"/>
        <w:autoSpaceDN w:val="0"/>
        <w:adjustRightInd w:val="0"/>
        <w:spacing w:line="240" w:lineRule="auto"/>
        <w:jc w:val="left"/>
        <w:rPr>
          <w:rFonts w:eastAsiaTheme="minorHAnsi" w:cs="Arial"/>
          <w:sz w:val="16"/>
          <w:szCs w:val="16"/>
          <w:lang w:val="it-IT"/>
        </w:rPr>
      </w:pPr>
      <w:r>
        <w:rPr>
          <w:rFonts w:eastAsiaTheme="minorHAnsi" w:cs="Arial"/>
          <w:sz w:val="16"/>
          <w:szCs w:val="16"/>
          <w:vertAlign w:val="superscript"/>
          <w:lang w:val="it-IT"/>
        </w:rPr>
        <w:t>a</w:t>
      </w:r>
      <w:r>
        <w:rPr>
          <w:rFonts w:eastAsiaTheme="minorHAnsi" w:cs="Arial"/>
          <w:sz w:val="16"/>
          <w:szCs w:val="16"/>
          <w:lang w:val="it-IT"/>
        </w:rPr>
        <w:t>SAfeR, Dipartimento di Scienza Applicata e Tecnologia, Politecnico di Torino, Corso Duca degli Abruzzi, 24 – 10129 Torino, Italia</w:t>
      </w:r>
      <w:r w:rsidR="00E978D0" w:rsidRPr="00162401">
        <w:rPr>
          <w:lang w:val="it-IT"/>
        </w:rPr>
        <w:t xml:space="preserve"> </w:t>
      </w:r>
    </w:p>
    <w:p w14:paraId="1B020A2D" w14:textId="77777777" w:rsidR="009074B1" w:rsidRPr="00162401" w:rsidRDefault="009074B1" w:rsidP="00E978D0">
      <w:pPr>
        <w:pStyle w:val="CETAddress"/>
        <w:rPr>
          <w:lang w:val="it-IT"/>
        </w:rPr>
      </w:pPr>
    </w:p>
    <w:p w14:paraId="384D152C" w14:textId="77777777" w:rsidR="00E978D0" w:rsidRDefault="00AB5011" w:rsidP="009074B1">
      <w:pPr>
        <w:pStyle w:val="CETemail"/>
      </w:pPr>
      <w:r w:rsidRPr="00162401">
        <w:rPr>
          <w:lang w:val="it-IT"/>
        </w:rPr>
        <w:t xml:space="preserve"> </w:t>
      </w:r>
      <w:r w:rsidR="009074B1">
        <w:t>lorenzo.comberti@polito.it</w:t>
      </w:r>
      <w:r w:rsidR="00600535" w:rsidRPr="00B57B36">
        <w:t xml:space="preserve"> [Style: CET Email]</w:t>
      </w:r>
    </w:p>
    <w:p w14:paraId="00321500" w14:textId="77777777" w:rsidR="009074B1" w:rsidRPr="00E826D9" w:rsidRDefault="009074B1" w:rsidP="009074B1">
      <w:r w:rsidRPr="00E826D9">
        <w:t>The Human Factors contribution in the sco</w:t>
      </w:r>
      <w:r>
        <w:t>pe of the industrial process op</w:t>
      </w:r>
      <w:r w:rsidRPr="00E826D9">
        <w:t xml:space="preserve">timization presented in this case study had to deal with considerations regarding the physical and mental workload requirements of different workstations and the capabilities of the operators assigned to them. The scope was to provide the industrial management with a better way to allocate human resources to tasks </w:t>
      </w:r>
      <w:r>
        <w:t>having different workload requirements</w:t>
      </w:r>
      <w:r w:rsidRPr="00E826D9">
        <w:t>.</w:t>
      </w:r>
    </w:p>
    <w:p w14:paraId="1C5C5694" w14:textId="77777777" w:rsidR="009074B1" w:rsidRDefault="009074B1" w:rsidP="0080205D">
      <w:r w:rsidRPr="00E826D9">
        <w:t>This work presents a</w:t>
      </w:r>
      <w:r>
        <w:t>n empirical</w:t>
      </w:r>
      <w:r w:rsidRPr="00E826D9">
        <w:t xml:space="preserve"> model designed to quantify the impact of </w:t>
      </w:r>
      <w:r>
        <w:t xml:space="preserve">workload on workers </w:t>
      </w:r>
      <w:r w:rsidRPr="00E826D9">
        <w:t>with the aim of reducing operational errors and safety human errors</w:t>
      </w:r>
      <w:r>
        <w:t>.</w:t>
      </w:r>
    </w:p>
    <w:p w14:paraId="1D721A60" w14:textId="77777777" w:rsidR="009074B1" w:rsidRPr="00E826D9" w:rsidRDefault="009074B1" w:rsidP="009074B1">
      <w:r w:rsidRPr="00E826D9">
        <w:t xml:space="preserve">The effects of this </w:t>
      </w:r>
      <w:r>
        <w:t>workload</w:t>
      </w:r>
      <w:r w:rsidRPr="00E826D9">
        <w:t xml:space="preserve"> asse</w:t>
      </w:r>
      <w:r>
        <w:t>ssment can contribute to consid</w:t>
      </w:r>
      <w:r w:rsidRPr="00E826D9">
        <w:t>er necessary areas of improvement in terms of technical measures, procedure optimizations and improved work organization, to reduce defects and waste generation.</w:t>
      </w:r>
    </w:p>
    <w:p w14:paraId="3D6A95FD" w14:textId="77777777" w:rsidR="009074B1" w:rsidRDefault="009074B1" w:rsidP="00D57683">
      <w:r w:rsidRPr="00E826D9">
        <w:t>The paper presents a brief description of the empirical approach used to assess the workload of comp</w:t>
      </w:r>
      <w:r w:rsidR="006F3F22">
        <w:t xml:space="preserve">lex tasks in assembly lines; </w:t>
      </w:r>
      <w:r w:rsidR="004125EF">
        <w:t>furthe</w:t>
      </w:r>
      <w:r w:rsidR="004125EF" w:rsidRPr="00E826D9">
        <w:t>rmore</w:t>
      </w:r>
      <w:r w:rsidR="004125EF" w:rsidRPr="00650E06">
        <w:t>,</w:t>
      </w:r>
      <w:r w:rsidRPr="00E826D9">
        <w:t xml:space="preserve"> it also discusses some of the preliminary results of its application.</w:t>
      </w:r>
    </w:p>
    <w:p w14:paraId="3D08DED5" w14:textId="77777777" w:rsidR="009074B1" w:rsidRPr="009074B1" w:rsidRDefault="009074B1" w:rsidP="009074B1">
      <w:pPr>
        <w:pStyle w:val="CETBodytext"/>
        <w:rPr>
          <w:lang w:val="en-GB"/>
        </w:rPr>
      </w:pPr>
    </w:p>
    <w:p w14:paraId="185955A4" w14:textId="77777777" w:rsidR="00600535" w:rsidRPr="00B57B36" w:rsidRDefault="00600535" w:rsidP="00600535">
      <w:pPr>
        <w:pStyle w:val="CETHeading1"/>
        <w:rPr>
          <w:lang w:val="en-GB"/>
        </w:rPr>
      </w:pPr>
      <w:r w:rsidRPr="00B57B36">
        <w:rPr>
          <w:lang w:val="en-GB"/>
        </w:rPr>
        <w:t>Introduction</w:t>
      </w:r>
    </w:p>
    <w:p w14:paraId="36373A43" w14:textId="77777777" w:rsidR="00A37F0C" w:rsidRDefault="002D7B18" w:rsidP="00A37F0C">
      <w:pPr>
        <w:pStyle w:val="CETBodytext"/>
        <w:rPr>
          <w:lang w:val="en-GB"/>
        </w:rPr>
      </w:pPr>
      <w:r w:rsidRPr="0005698F">
        <w:rPr>
          <w:lang w:val="en-GB"/>
        </w:rPr>
        <w:t>P</w:t>
      </w:r>
      <w:r w:rsidR="00615BAF" w:rsidRPr="0005698F">
        <w:rPr>
          <w:lang w:val="en-GB"/>
        </w:rPr>
        <w:t>rocess o</w:t>
      </w:r>
      <w:r w:rsidR="00A37F0C">
        <w:rPr>
          <w:lang w:val="en-GB"/>
        </w:rPr>
        <w:t xml:space="preserve">ptimization in manufacturing is </w:t>
      </w:r>
      <w:r w:rsidR="000A6CBA">
        <w:rPr>
          <w:lang w:val="en-GB"/>
        </w:rPr>
        <w:t>general</w:t>
      </w:r>
      <w:r w:rsidR="00A37F0C">
        <w:rPr>
          <w:lang w:val="en-GB"/>
        </w:rPr>
        <w:t xml:space="preserve">ly </w:t>
      </w:r>
      <w:r w:rsidRPr="0005698F">
        <w:rPr>
          <w:lang w:val="en-GB"/>
        </w:rPr>
        <w:t xml:space="preserve">applied to </w:t>
      </w:r>
      <w:r w:rsidR="00615BAF" w:rsidRPr="0005698F">
        <w:rPr>
          <w:lang w:val="en-GB"/>
        </w:rPr>
        <w:t xml:space="preserve">improve production efficiency </w:t>
      </w:r>
      <w:r w:rsidRPr="0005698F">
        <w:rPr>
          <w:lang w:val="en-GB"/>
        </w:rPr>
        <w:t>and to obtain</w:t>
      </w:r>
      <w:r w:rsidR="00615BAF" w:rsidRPr="0005698F">
        <w:rPr>
          <w:lang w:val="en-GB"/>
        </w:rPr>
        <w:t xml:space="preserve"> economic benefits. </w:t>
      </w:r>
      <w:r w:rsidRPr="0005698F">
        <w:rPr>
          <w:lang w:val="en-GB"/>
        </w:rPr>
        <w:t>To reach this purpose p</w:t>
      </w:r>
      <w:r w:rsidR="00615BAF" w:rsidRPr="0005698F">
        <w:rPr>
          <w:lang w:val="en-GB"/>
        </w:rPr>
        <w:t xml:space="preserve">rocess optimization works </w:t>
      </w:r>
      <w:r w:rsidRPr="0005698F">
        <w:rPr>
          <w:lang w:val="en-GB"/>
        </w:rPr>
        <w:t xml:space="preserve">primary </w:t>
      </w:r>
      <w:r w:rsidR="00B97D24" w:rsidRPr="0005698F">
        <w:rPr>
          <w:lang w:val="en-GB"/>
        </w:rPr>
        <w:t>in several branches as</w:t>
      </w:r>
      <w:r w:rsidR="00615BAF" w:rsidRPr="0005698F">
        <w:rPr>
          <w:lang w:val="en-GB"/>
        </w:rPr>
        <w:t xml:space="preserve">: technical measures upgrading, work organization procedures designing, </w:t>
      </w:r>
      <w:r w:rsidR="00B97D24" w:rsidRPr="0005698F">
        <w:rPr>
          <w:lang w:val="en-GB"/>
        </w:rPr>
        <w:t xml:space="preserve">waste and </w:t>
      </w:r>
      <w:r w:rsidR="00615BAF" w:rsidRPr="0005698F">
        <w:rPr>
          <w:lang w:val="en-GB"/>
        </w:rPr>
        <w:t xml:space="preserve">energy saving. </w:t>
      </w:r>
      <w:r w:rsidR="00B97D24" w:rsidRPr="0005698F">
        <w:rPr>
          <w:lang w:val="en-GB"/>
        </w:rPr>
        <w:t>In addition</w:t>
      </w:r>
      <w:r w:rsidR="0005698F">
        <w:rPr>
          <w:lang w:val="en-GB"/>
        </w:rPr>
        <w:t>,</w:t>
      </w:r>
      <w:r w:rsidR="00B97D24" w:rsidRPr="0005698F">
        <w:rPr>
          <w:lang w:val="en-GB"/>
        </w:rPr>
        <w:t xml:space="preserve"> in more recent years</w:t>
      </w:r>
      <w:r w:rsidR="0005698F">
        <w:rPr>
          <w:lang w:val="en-GB"/>
        </w:rPr>
        <w:t>,</w:t>
      </w:r>
      <w:r w:rsidR="00B97D24" w:rsidRPr="0005698F">
        <w:rPr>
          <w:lang w:val="en-GB"/>
        </w:rPr>
        <w:t xml:space="preserve"> process optimization </w:t>
      </w:r>
      <w:r w:rsidR="000A6CBA">
        <w:rPr>
          <w:lang w:val="en-GB"/>
        </w:rPr>
        <w:t>extended his action versus</w:t>
      </w:r>
      <w:r w:rsidR="00B97D24" w:rsidRPr="0005698F">
        <w:rPr>
          <w:lang w:val="en-GB"/>
        </w:rPr>
        <w:t xml:space="preserve"> the </w:t>
      </w:r>
      <w:r w:rsidR="00615BAF" w:rsidRPr="0005698F">
        <w:rPr>
          <w:lang w:val="en-GB"/>
        </w:rPr>
        <w:t>Human Factors</w:t>
      </w:r>
      <w:r w:rsidR="009E6B41" w:rsidRPr="0005698F">
        <w:rPr>
          <w:lang w:val="en-GB"/>
        </w:rPr>
        <w:t xml:space="preserve"> (Hong et al., 2007)</w:t>
      </w:r>
      <w:r w:rsidR="00615BAF" w:rsidRPr="0005698F">
        <w:rPr>
          <w:lang w:val="en-GB"/>
        </w:rPr>
        <w:t>. Human Factors</w:t>
      </w:r>
      <w:r w:rsidR="000A6CBA">
        <w:rPr>
          <w:lang w:val="en-GB"/>
        </w:rPr>
        <w:t xml:space="preserve"> (HF)</w:t>
      </w:r>
      <w:r w:rsidR="00615BAF" w:rsidRPr="0005698F">
        <w:rPr>
          <w:lang w:val="en-GB"/>
        </w:rPr>
        <w:t xml:space="preserve"> in fact, </w:t>
      </w:r>
      <w:r w:rsidR="00D57683" w:rsidRPr="0005698F">
        <w:rPr>
          <w:lang w:val="en-GB"/>
        </w:rPr>
        <w:t xml:space="preserve">still has a strong influence of production efficiency </w:t>
      </w:r>
      <w:r w:rsidR="00615BAF" w:rsidRPr="0005698F">
        <w:rPr>
          <w:lang w:val="en-GB"/>
        </w:rPr>
        <w:t>despite the ever-increasing level of automation</w:t>
      </w:r>
      <w:r w:rsidR="00D57683" w:rsidRPr="0005698F">
        <w:rPr>
          <w:lang w:val="en-GB"/>
        </w:rPr>
        <w:t xml:space="preserve"> </w:t>
      </w:r>
      <w:r w:rsidR="00615BAF" w:rsidRPr="0005698F">
        <w:rPr>
          <w:lang w:val="en-GB"/>
        </w:rPr>
        <w:t>and the standardization of working-procedures</w:t>
      </w:r>
      <w:r w:rsidR="005E3CD8" w:rsidRPr="0005698F">
        <w:rPr>
          <w:lang w:val="en-GB"/>
        </w:rPr>
        <w:t xml:space="preserve"> (Baines et al., 2005)</w:t>
      </w:r>
      <w:r w:rsidR="000A6CBA">
        <w:rPr>
          <w:lang w:val="en-GB"/>
        </w:rPr>
        <w:t>.</w:t>
      </w:r>
    </w:p>
    <w:p w14:paraId="7FC2F354" w14:textId="3CEDFB41" w:rsidR="00D75BC8" w:rsidRDefault="000A6CBA" w:rsidP="00B95EC2">
      <w:pPr>
        <w:pStyle w:val="CETBodytext"/>
        <w:rPr>
          <w:lang w:val="en-GB"/>
        </w:rPr>
      </w:pPr>
      <w:r>
        <w:rPr>
          <w:lang w:val="en-GB"/>
        </w:rPr>
        <w:t xml:space="preserve">The relevance of HF has been recognize in several sector </w:t>
      </w:r>
      <w:r w:rsidR="0005698F">
        <w:rPr>
          <w:lang w:val="en-GB"/>
        </w:rPr>
        <w:t xml:space="preserve">and it has been modelled differently </w:t>
      </w:r>
      <w:r>
        <w:rPr>
          <w:lang w:val="en-GB"/>
        </w:rPr>
        <w:t xml:space="preserve">depending </w:t>
      </w:r>
      <w:r w:rsidR="0005698F">
        <w:rPr>
          <w:lang w:val="en-GB"/>
        </w:rPr>
        <w:t>on the characteristics of field of analysis</w:t>
      </w:r>
      <w:r>
        <w:rPr>
          <w:lang w:val="en-GB"/>
        </w:rPr>
        <w:t>, as an example</w:t>
      </w:r>
      <w:r w:rsidR="00403085">
        <w:rPr>
          <w:lang w:val="en-GB"/>
        </w:rPr>
        <w:t>:</w:t>
      </w:r>
      <w:r w:rsidR="00D75BC8">
        <w:rPr>
          <w:lang w:val="en-GB"/>
        </w:rPr>
        <w:t xml:space="preserve"> q</w:t>
      </w:r>
      <w:r w:rsidR="00615BAF" w:rsidRPr="0005698F">
        <w:rPr>
          <w:lang w:val="en-GB"/>
        </w:rPr>
        <w:t xml:space="preserve">uality </w:t>
      </w:r>
      <w:r w:rsidR="0005698F">
        <w:rPr>
          <w:lang w:val="en-GB"/>
        </w:rPr>
        <w:t>experts</w:t>
      </w:r>
      <w:r w:rsidR="00E158A1">
        <w:rPr>
          <w:lang w:val="en-GB"/>
        </w:rPr>
        <w:t xml:space="preserve"> investigated the connections between errors and human behaviour </w:t>
      </w:r>
      <w:r w:rsidR="00B950F4" w:rsidRPr="0005698F">
        <w:rPr>
          <w:lang w:val="en-GB"/>
        </w:rPr>
        <w:t xml:space="preserve"> </w:t>
      </w:r>
      <w:r w:rsidR="00E158A1">
        <w:rPr>
          <w:lang w:val="en-GB"/>
        </w:rPr>
        <w:t>(Miller et al., 1987)</w:t>
      </w:r>
      <w:r w:rsidR="00D75BC8">
        <w:rPr>
          <w:lang w:val="en-GB"/>
        </w:rPr>
        <w:t xml:space="preserve">, </w:t>
      </w:r>
      <w:r w:rsidR="00615BAF" w:rsidRPr="0005698F">
        <w:rPr>
          <w:lang w:val="en-GB"/>
        </w:rPr>
        <w:t xml:space="preserve">Safety experts included HF into accidents precursor analysis </w:t>
      </w:r>
      <w:r w:rsidR="0086373D">
        <w:rPr>
          <w:lang w:val="en-GB"/>
        </w:rPr>
        <w:t>(</w:t>
      </w:r>
      <w:r w:rsidR="00CA50AE">
        <w:rPr>
          <w:lang w:val="en-GB"/>
        </w:rPr>
        <w:t>Comberti et al., 2015a,</w:t>
      </w:r>
      <w:r w:rsidR="00B95EC2">
        <w:rPr>
          <w:lang w:val="en-GB"/>
        </w:rPr>
        <w:t>,</w:t>
      </w:r>
      <w:r w:rsidR="00CA0851">
        <w:rPr>
          <w:lang w:val="en-GB"/>
        </w:rPr>
        <w:t>Baldissone et al,</w:t>
      </w:r>
      <w:r w:rsidR="0086373D">
        <w:rPr>
          <w:lang w:val="en-GB"/>
        </w:rPr>
        <w:t xml:space="preserve"> </w:t>
      </w:r>
      <w:r w:rsidR="00E14F36">
        <w:rPr>
          <w:lang w:val="en-GB"/>
        </w:rPr>
        <w:t xml:space="preserve">2018) </w:t>
      </w:r>
      <w:r w:rsidR="00615BAF" w:rsidRPr="0005698F">
        <w:rPr>
          <w:lang w:val="en-GB"/>
        </w:rPr>
        <w:t>and</w:t>
      </w:r>
      <w:r w:rsidR="00B950F4" w:rsidRPr="0005698F">
        <w:rPr>
          <w:lang w:val="en-GB"/>
        </w:rPr>
        <w:t xml:space="preserve"> </w:t>
      </w:r>
      <w:r w:rsidR="00615BAF" w:rsidRPr="0005698F">
        <w:rPr>
          <w:lang w:val="en-GB"/>
        </w:rPr>
        <w:t xml:space="preserve">into ex-post events analysis </w:t>
      </w:r>
      <w:r w:rsidR="00CA50AE">
        <w:rPr>
          <w:lang w:val="en-GB"/>
        </w:rPr>
        <w:t>(Comberti et al.,</w:t>
      </w:r>
      <w:r w:rsidR="00130D5C">
        <w:rPr>
          <w:lang w:val="en-GB"/>
        </w:rPr>
        <w:t xml:space="preserve"> 2015</w:t>
      </w:r>
      <w:r w:rsidR="00CA50AE">
        <w:rPr>
          <w:lang w:val="en-GB"/>
        </w:rPr>
        <w:t>b</w:t>
      </w:r>
      <w:r w:rsidR="00130D5C">
        <w:rPr>
          <w:lang w:val="en-GB"/>
        </w:rPr>
        <w:t xml:space="preserve"> and </w:t>
      </w:r>
      <w:r w:rsidR="00E14F36">
        <w:rPr>
          <w:lang w:val="en-GB"/>
        </w:rPr>
        <w:t>2018</w:t>
      </w:r>
      <w:r w:rsidR="008569EF">
        <w:rPr>
          <w:lang w:val="en-GB"/>
        </w:rPr>
        <w:t>a</w:t>
      </w:r>
      <w:r w:rsidR="0086373D">
        <w:rPr>
          <w:lang w:val="en-GB"/>
        </w:rPr>
        <w:t>).</w:t>
      </w:r>
      <w:r w:rsidR="00E14F36">
        <w:rPr>
          <w:lang w:val="en-GB"/>
        </w:rPr>
        <w:t xml:space="preserve"> </w:t>
      </w:r>
      <w:r w:rsidR="00CA0851">
        <w:rPr>
          <w:lang w:val="en-GB"/>
        </w:rPr>
        <w:t>W</w:t>
      </w:r>
      <w:r w:rsidR="00615BAF" w:rsidRPr="0005698F">
        <w:rPr>
          <w:lang w:val="en-GB"/>
        </w:rPr>
        <w:t>ith the a</w:t>
      </w:r>
      <w:r w:rsidR="00403085">
        <w:rPr>
          <w:lang w:val="en-GB"/>
        </w:rPr>
        <w:t>im of reducing their repe</w:t>
      </w:r>
      <w:r w:rsidR="00A37F0C">
        <w:rPr>
          <w:lang w:val="en-GB"/>
        </w:rPr>
        <w:t xml:space="preserve">tition </w:t>
      </w:r>
      <w:r w:rsidR="00615BAF" w:rsidRPr="0005698F">
        <w:rPr>
          <w:lang w:val="en-GB"/>
        </w:rPr>
        <w:t xml:space="preserve">HF </w:t>
      </w:r>
      <w:r>
        <w:rPr>
          <w:lang w:val="en-GB"/>
        </w:rPr>
        <w:t>optimization</w:t>
      </w:r>
      <w:r w:rsidR="00615BAF" w:rsidRPr="0005698F">
        <w:rPr>
          <w:lang w:val="en-GB"/>
        </w:rPr>
        <w:t xml:space="preserve"> </w:t>
      </w:r>
      <w:r>
        <w:rPr>
          <w:lang w:val="en-GB"/>
        </w:rPr>
        <w:t>is</w:t>
      </w:r>
      <w:r w:rsidR="00615BAF" w:rsidRPr="00615BAF">
        <w:rPr>
          <w:lang w:val="en-GB"/>
        </w:rPr>
        <w:t xml:space="preserve"> used in the area of work organization to</w:t>
      </w:r>
      <w:r w:rsidR="00B950F4">
        <w:rPr>
          <w:lang w:val="en-GB"/>
        </w:rPr>
        <w:t xml:space="preserve"> </w:t>
      </w:r>
      <w:r w:rsidR="00A37F0C">
        <w:rPr>
          <w:lang w:val="en-GB"/>
        </w:rPr>
        <w:t>r</w:t>
      </w:r>
      <w:r w:rsidR="00615BAF" w:rsidRPr="00615BAF">
        <w:rPr>
          <w:lang w:val="en-GB"/>
        </w:rPr>
        <w:t>educe operational risks and improve task-time optimization</w:t>
      </w:r>
      <w:r>
        <w:rPr>
          <w:lang w:val="en-GB"/>
        </w:rPr>
        <w:t xml:space="preserve"> </w:t>
      </w:r>
      <w:r w:rsidR="00D75BC8">
        <w:rPr>
          <w:lang w:val="en-GB"/>
        </w:rPr>
        <w:t>(Lin et al., 2007)</w:t>
      </w:r>
      <w:r w:rsidR="00615BAF" w:rsidRPr="00615BAF">
        <w:rPr>
          <w:lang w:val="en-GB"/>
        </w:rPr>
        <w:t xml:space="preserve">. </w:t>
      </w:r>
    </w:p>
    <w:p w14:paraId="74FDD94B" w14:textId="77777777" w:rsidR="00686F1E" w:rsidRPr="00686F1E" w:rsidRDefault="00D75BC8" w:rsidP="00686F1E">
      <w:pPr>
        <w:pStyle w:val="CETBodytext"/>
        <w:rPr>
          <w:lang w:val="en-GB"/>
        </w:rPr>
      </w:pPr>
      <w:r>
        <w:rPr>
          <w:lang w:val="en-GB"/>
        </w:rPr>
        <w:t xml:space="preserve">Dealing with HF into process optimization </w:t>
      </w:r>
      <w:r w:rsidR="000A6CBA">
        <w:rPr>
          <w:lang w:val="en-GB"/>
        </w:rPr>
        <w:t xml:space="preserve">implies to face off with the concept of Human Performance </w:t>
      </w:r>
      <w:r w:rsidR="00EE229B">
        <w:rPr>
          <w:lang w:val="en-GB"/>
        </w:rPr>
        <w:t xml:space="preserve">(HP) </w:t>
      </w:r>
      <w:r w:rsidR="000A6CBA">
        <w:rPr>
          <w:lang w:val="en-GB"/>
        </w:rPr>
        <w:t xml:space="preserve">as a result of </w:t>
      </w:r>
      <w:r w:rsidR="00686F1E" w:rsidRPr="00686F1E">
        <w:rPr>
          <w:lang w:val="en-GB"/>
        </w:rPr>
        <w:t>interaction</w:t>
      </w:r>
      <w:r w:rsidR="00686F1E">
        <w:rPr>
          <w:lang w:val="en-GB"/>
        </w:rPr>
        <w:t xml:space="preserve"> </w:t>
      </w:r>
      <w:r w:rsidR="00686F1E" w:rsidRPr="00686F1E">
        <w:rPr>
          <w:lang w:val="en-GB"/>
        </w:rPr>
        <w:t>between two macro factors</w:t>
      </w:r>
      <w:r w:rsidR="00686F1E">
        <w:rPr>
          <w:lang w:val="en-GB"/>
        </w:rPr>
        <w:t xml:space="preserve"> (Leva et al., 2018)</w:t>
      </w:r>
      <w:r w:rsidR="00686F1E" w:rsidRPr="00686F1E">
        <w:rPr>
          <w:lang w:val="en-GB"/>
        </w:rPr>
        <w:t>:</w:t>
      </w:r>
    </w:p>
    <w:p w14:paraId="49861525" w14:textId="77777777" w:rsidR="00686F1E" w:rsidRPr="00686F1E" w:rsidRDefault="00686F1E" w:rsidP="00686F1E">
      <w:pPr>
        <w:pStyle w:val="CETBodytext"/>
        <w:rPr>
          <w:lang w:val="en-GB"/>
        </w:rPr>
      </w:pPr>
      <w:r w:rsidRPr="00686F1E">
        <w:rPr>
          <w:lang w:val="en-GB"/>
        </w:rPr>
        <w:t>• Task Complexity (TC): summarising all factors</w:t>
      </w:r>
      <w:r>
        <w:rPr>
          <w:lang w:val="en-GB"/>
        </w:rPr>
        <w:t xml:space="preserve"> </w:t>
      </w:r>
      <w:r w:rsidRPr="00686F1E">
        <w:rPr>
          <w:lang w:val="en-GB"/>
        </w:rPr>
        <w:t>contributing to physical and mental workload</w:t>
      </w:r>
      <w:r>
        <w:rPr>
          <w:lang w:val="en-GB"/>
        </w:rPr>
        <w:t xml:space="preserve"> </w:t>
      </w:r>
      <w:r w:rsidRPr="00686F1E">
        <w:rPr>
          <w:lang w:val="en-GB"/>
        </w:rPr>
        <w:t>requirements for execution of a given operative</w:t>
      </w:r>
      <w:r>
        <w:rPr>
          <w:lang w:val="en-GB"/>
        </w:rPr>
        <w:t xml:space="preserve"> </w:t>
      </w:r>
      <w:r w:rsidRPr="00686F1E">
        <w:rPr>
          <w:lang w:val="en-GB"/>
        </w:rPr>
        <w:t>task.</w:t>
      </w:r>
    </w:p>
    <w:p w14:paraId="37E612DF" w14:textId="77777777" w:rsidR="00F37DDC" w:rsidRDefault="00686F1E" w:rsidP="00F37DDC">
      <w:pPr>
        <w:pStyle w:val="CETBodytext"/>
        <w:rPr>
          <w:lang w:val="en-GB"/>
        </w:rPr>
      </w:pPr>
      <w:r w:rsidRPr="00686F1E">
        <w:rPr>
          <w:lang w:val="en-GB"/>
        </w:rPr>
        <w:t>• Human C</w:t>
      </w:r>
      <w:r w:rsidR="00CA0851">
        <w:rPr>
          <w:lang w:val="en-GB"/>
        </w:rPr>
        <w:t xml:space="preserve">apability (HC): summarising the </w:t>
      </w:r>
      <w:r w:rsidRPr="00686F1E">
        <w:rPr>
          <w:lang w:val="en-GB"/>
        </w:rPr>
        <w:t>skills,</w:t>
      </w:r>
      <w:r w:rsidR="00CA0851">
        <w:rPr>
          <w:lang w:val="en-GB"/>
        </w:rPr>
        <w:t xml:space="preserve"> </w:t>
      </w:r>
      <w:r w:rsidRPr="00686F1E">
        <w:rPr>
          <w:lang w:val="en-GB"/>
        </w:rPr>
        <w:t>training and experience of the people facing the</w:t>
      </w:r>
      <w:r>
        <w:rPr>
          <w:lang w:val="en-GB"/>
        </w:rPr>
        <w:t xml:space="preserve"> </w:t>
      </w:r>
      <w:r w:rsidRPr="00686F1E">
        <w:rPr>
          <w:lang w:val="en-GB"/>
        </w:rPr>
        <w:t>tasks, representing a synthesis of their physical</w:t>
      </w:r>
      <w:r>
        <w:rPr>
          <w:lang w:val="en-GB"/>
        </w:rPr>
        <w:t xml:space="preserve"> </w:t>
      </w:r>
      <w:r w:rsidRPr="00686F1E">
        <w:rPr>
          <w:lang w:val="en-GB"/>
        </w:rPr>
        <w:t>and cognitive abilities</w:t>
      </w:r>
      <w:r w:rsidR="00F37DDC">
        <w:rPr>
          <w:lang w:val="en-GB"/>
        </w:rPr>
        <w:t>.</w:t>
      </w:r>
    </w:p>
    <w:p w14:paraId="106EB41B" w14:textId="5D32A0FA" w:rsidR="00025272" w:rsidRDefault="00615BAF" w:rsidP="00DA08BD">
      <w:pPr>
        <w:pStyle w:val="CETBodytext"/>
        <w:rPr>
          <w:lang w:val="en-GB"/>
        </w:rPr>
      </w:pPr>
      <w:r w:rsidRPr="00615BAF">
        <w:rPr>
          <w:lang w:val="en-GB"/>
        </w:rPr>
        <w:t>Human Performance is a</w:t>
      </w:r>
      <w:r w:rsidR="00EE229B">
        <w:rPr>
          <w:lang w:val="en-GB"/>
        </w:rPr>
        <w:t xml:space="preserve"> </w:t>
      </w:r>
      <w:r w:rsidRPr="00615BAF">
        <w:rPr>
          <w:lang w:val="en-GB"/>
        </w:rPr>
        <w:t>complex system, where behaviour, cognition, physiology and working</w:t>
      </w:r>
      <w:r w:rsidR="00403085">
        <w:rPr>
          <w:lang w:val="en-GB"/>
        </w:rPr>
        <w:t xml:space="preserve"> </w:t>
      </w:r>
      <w:r w:rsidRPr="00615BAF">
        <w:rPr>
          <w:lang w:val="en-GB"/>
        </w:rPr>
        <w:t xml:space="preserve">condition deeply interact </w:t>
      </w:r>
      <w:r w:rsidR="00403085">
        <w:rPr>
          <w:lang w:val="en-GB"/>
        </w:rPr>
        <w:t>an</w:t>
      </w:r>
      <w:r w:rsidR="00CA0851">
        <w:rPr>
          <w:lang w:val="en-GB"/>
        </w:rPr>
        <w:t>d</w:t>
      </w:r>
      <w:r w:rsidR="00403085">
        <w:rPr>
          <w:lang w:val="en-GB"/>
        </w:rPr>
        <w:t xml:space="preserve"> to include it into process optimization requires a multi-disciplinary approach</w:t>
      </w:r>
      <w:r w:rsidR="001E2F16">
        <w:rPr>
          <w:lang w:val="en-GB"/>
        </w:rPr>
        <w:t xml:space="preserve"> (Leva et al., 2017)</w:t>
      </w:r>
      <w:r w:rsidR="00403085">
        <w:rPr>
          <w:lang w:val="en-GB"/>
        </w:rPr>
        <w:t xml:space="preserve">. </w:t>
      </w:r>
      <w:r w:rsidRPr="00615BAF">
        <w:rPr>
          <w:lang w:val="en-GB"/>
        </w:rPr>
        <w:t xml:space="preserve">Automotive is a </w:t>
      </w:r>
      <w:r w:rsidR="00403085">
        <w:rPr>
          <w:lang w:val="en-GB"/>
        </w:rPr>
        <w:t>manufacturing-</w:t>
      </w:r>
      <w:r w:rsidRPr="00615BAF">
        <w:rPr>
          <w:lang w:val="en-GB"/>
        </w:rPr>
        <w:t xml:space="preserve">sector where production systems are based on </w:t>
      </w:r>
      <w:r w:rsidR="00403085">
        <w:rPr>
          <w:lang w:val="en-GB"/>
        </w:rPr>
        <w:t xml:space="preserve">a group of </w:t>
      </w:r>
      <w:r w:rsidRPr="00615BAF">
        <w:rPr>
          <w:lang w:val="en-GB"/>
        </w:rPr>
        <w:t>assembly lines</w:t>
      </w:r>
      <w:r w:rsidR="00403085">
        <w:rPr>
          <w:lang w:val="en-GB"/>
        </w:rPr>
        <w:t xml:space="preserve"> </w:t>
      </w:r>
      <w:r w:rsidR="00403085">
        <w:rPr>
          <w:lang w:val="en-GB"/>
        </w:rPr>
        <w:lastRenderedPageBreak/>
        <w:t>composed by a sequence of working stations</w:t>
      </w:r>
      <w:r w:rsidRPr="00615BAF">
        <w:rPr>
          <w:lang w:val="en-GB"/>
        </w:rPr>
        <w:t xml:space="preserve">. </w:t>
      </w:r>
      <w:r w:rsidR="00E54F39">
        <w:rPr>
          <w:lang w:val="en-GB"/>
        </w:rPr>
        <w:t xml:space="preserve">Workstations are designed to allow under a time-constraint, named “Tack-time”, a task execution.  Workstations demand different level of resources to workers to complete correctly each task depending to the task attributes. </w:t>
      </w:r>
    </w:p>
    <w:p w14:paraId="0200210A" w14:textId="77777777" w:rsidR="00FA3DDF" w:rsidRDefault="00E54F39" w:rsidP="00F93AC0">
      <w:pPr>
        <w:pStyle w:val="CETBodytext"/>
        <w:rPr>
          <w:lang w:val="en-GB"/>
        </w:rPr>
      </w:pPr>
      <w:r>
        <w:rPr>
          <w:lang w:val="en-GB"/>
        </w:rPr>
        <w:t xml:space="preserve">A model to </w:t>
      </w:r>
      <w:r w:rsidR="00615BAF" w:rsidRPr="00615BAF">
        <w:rPr>
          <w:lang w:val="en-GB"/>
        </w:rPr>
        <w:t xml:space="preserve">assess </w:t>
      </w:r>
      <w:r w:rsidR="00F93AC0">
        <w:rPr>
          <w:lang w:val="en-GB"/>
        </w:rPr>
        <w:t>and predict the HP</w:t>
      </w:r>
      <w:r w:rsidR="00615BAF" w:rsidRPr="00615BAF">
        <w:rPr>
          <w:lang w:val="en-GB"/>
        </w:rPr>
        <w:t>, such as the reliability</w:t>
      </w:r>
      <w:r w:rsidR="00F93AC0">
        <w:rPr>
          <w:lang w:val="en-GB"/>
        </w:rPr>
        <w:t xml:space="preserve"> </w:t>
      </w:r>
      <w:r w:rsidR="00615BAF" w:rsidRPr="00615BAF">
        <w:rPr>
          <w:lang w:val="en-GB"/>
        </w:rPr>
        <w:t xml:space="preserve">of individuals to perform specific tasks can be a very useful </w:t>
      </w:r>
      <w:r w:rsidR="00F93AC0">
        <w:rPr>
          <w:lang w:val="en-GB"/>
        </w:rPr>
        <w:t>support</w:t>
      </w:r>
      <w:r w:rsidR="00615BAF" w:rsidRPr="00615BAF">
        <w:rPr>
          <w:lang w:val="en-GB"/>
        </w:rPr>
        <w:t xml:space="preserve"> in</w:t>
      </w:r>
      <w:r w:rsidR="00F93AC0">
        <w:rPr>
          <w:lang w:val="en-GB"/>
        </w:rPr>
        <w:t xml:space="preserve"> t</w:t>
      </w:r>
      <w:r w:rsidR="00615BAF" w:rsidRPr="00615BAF">
        <w:rPr>
          <w:lang w:val="en-GB"/>
        </w:rPr>
        <w:t>he process of allocating human resources to various workstations in an</w:t>
      </w:r>
      <w:r w:rsidR="00F93AC0">
        <w:rPr>
          <w:lang w:val="en-GB"/>
        </w:rPr>
        <w:t xml:space="preserve"> assembly line</w:t>
      </w:r>
      <w:r w:rsidR="00615BAF" w:rsidRPr="00615BAF">
        <w:rPr>
          <w:lang w:val="en-GB"/>
        </w:rPr>
        <w:t>.</w:t>
      </w:r>
    </w:p>
    <w:p w14:paraId="5A003D12" w14:textId="77777777" w:rsidR="00BD7F9D" w:rsidRDefault="00FA3DDF" w:rsidP="00622644">
      <w:pPr>
        <w:pStyle w:val="CETBodytext"/>
        <w:rPr>
          <w:lang w:val="en-GB"/>
        </w:rPr>
      </w:pPr>
      <w:r>
        <w:rPr>
          <w:lang w:val="en-GB"/>
        </w:rPr>
        <w:t xml:space="preserve">Identifying the best couple worker-work station on the basis of the workstation attributes and the worker’s capabilities will have a positive impact in term of </w:t>
      </w:r>
      <w:r w:rsidR="00622644">
        <w:rPr>
          <w:lang w:val="en-GB"/>
        </w:rPr>
        <w:t xml:space="preserve">HP optimization and </w:t>
      </w:r>
      <w:r>
        <w:rPr>
          <w:lang w:val="en-GB"/>
        </w:rPr>
        <w:t xml:space="preserve">errors reduction </w:t>
      </w:r>
      <w:r w:rsidR="00622644">
        <w:rPr>
          <w:lang w:val="en-GB"/>
        </w:rPr>
        <w:t>(Groth et al., 2012)</w:t>
      </w:r>
      <w:r>
        <w:rPr>
          <w:lang w:val="en-GB"/>
        </w:rPr>
        <w:t>.</w:t>
      </w:r>
      <w:r w:rsidR="00615BAF" w:rsidRPr="00615BAF">
        <w:rPr>
          <w:lang w:val="en-GB"/>
        </w:rPr>
        <w:t xml:space="preserve"> </w:t>
      </w:r>
    </w:p>
    <w:p w14:paraId="5633BD79" w14:textId="2C69135E" w:rsidR="00C8086F" w:rsidRDefault="00615BAF" w:rsidP="00226AC2">
      <w:pPr>
        <w:pStyle w:val="CETBodytext"/>
        <w:rPr>
          <w:lang w:val="en-GB"/>
        </w:rPr>
      </w:pPr>
      <w:r w:rsidRPr="00615BAF">
        <w:rPr>
          <w:lang w:val="en-GB"/>
        </w:rPr>
        <w:t>The design of such a system</w:t>
      </w:r>
      <w:r w:rsidR="00F93AC0">
        <w:rPr>
          <w:lang w:val="en-GB"/>
        </w:rPr>
        <w:t xml:space="preserve"> </w:t>
      </w:r>
      <w:r w:rsidR="00BD7F9D">
        <w:rPr>
          <w:lang w:val="en-GB"/>
        </w:rPr>
        <w:t xml:space="preserve">was </w:t>
      </w:r>
      <w:r w:rsidR="00CA0851">
        <w:rPr>
          <w:lang w:val="en-GB"/>
        </w:rPr>
        <w:t xml:space="preserve">proposed </w:t>
      </w:r>
      <w:r w:rsidR="00BD7F9D">
        <w:rPr>
          <w:lang w:val="en-GB"/>
        </w:rPr>
        <w:t>with an em</w:t>
      </w:r>
      <w:r w:rsidR="00B545AC">
        <w:rPr>
          <w:lang w:val="en-GB"/>
        </w:rPr>
        <w:t>pirical approach</w:t>
      </w:r>
      <w:r w:rsidR="00C11FD0">
        <w:rPr>
          <w:lang w:val="en-GB"/>
        </w:rPr>
        <w:t xml:space="preserve"> and recently presented in 201</w:t>
      </w:r>
      <w:r w:rsidR="00226AC2">
        <w:rPr>
          <w:lang w:val="en-GB"/>
        </w:rPr>
        <w:t>9</w:t>
      </w:r>
      <w:r w:rsidR="00C11FD0">
        <w:rPr>
          <w:lang w:val="en-GB"/>
        </w:rPr>
        <w:t xml:space="preserve"> </w:t>
      </w:r>
      <w:r w:rsidR="009C4511">
        <w:rPr>
          <w:lang w:val="en-GB"/>
        </w:rPr>
        <w:t>(Comberti et al., 201</w:t>
      </w:r>
      <w:r w:rsidR="00226AC2">
        <w:rPr>
          <w:lang w:val="en-GB"/>
        </w:rPr>
        <w:t>9</w:t>
      </w:r>
      <w:r w:rsidR="009C4511">
        <w:rPr>
          <w:lang w:val="en-GB"/>
        </w:rPr>
        <w:t>)</w:t>
      </w:r>
      <w:r w:rsidR="00A4772C">
        <w:rPr>
          <w:lang w:val="en-GB"/>
        </w:rPr>
        <w:t>. It consisted in</w:t>
      </w:r>
      <w:r w:rsidR="00C8086F">
        <w:rPr>
          <w:lang w:val="en-GB"/>
        </w:rPr>
        <w:t xml:space="preserve"> a conc</w:t>
      </w:r>
      <w:r w:rsidR="00A54C14">
        <w:rPr>
          <w:lang w:val="en-GB"/>
        </w:rPr>
        <w:t xml:space="preserve">eptual model </w:t>
      </w:r>
      <w:r w:rsidR="002C4431">
        <w:rPr>
          <w:lang w:val="en-GB"/>
        </w:rPr>
        <w:t xml:space="preserve">resumed in Figure 1 that was </w:t>
      </w:r>
      <w:r w:rsidR="00A54C14">
        <w:rPr>
          <w:lang w:val="en-GB"/>
        </w:rPr>
        <w:t xml:space="preserve">focused on the </w:t>
      </w:r>
      <w:r w:rsidR="00F96A11" w:rsidRPr="00A54C14">
        <w:rPr>
          <w:lang w:val="en-GB"/>
        </w:rPr>
        <w:t>var</w:t>
      </w:r>
      <w:r w:rsidR="00F96A11" w:rsidRPr="00650E06">
        <w:rPr>
          <w:lang w:val="en-GB"/>
        </w:rPr>
        <w:t>iable’s</w:t>
      </w:r>
      <w:r w:rsidR="00A54C14" w:rsidRPr="00A54C14">
        <w:rPr>
          <w:lang w:val="en-GB"/>
        </w:rPr>
        <w:t xml:space="preserve"> </w:t>
      </w:r>
      <w:r w:rsidR="00A54C14">
        <w:rPr>
          <w:lang w:val="en-GB"/>
        </w:rPr>
        <w:t>identification</w:t>
      </w:r>
      <w:r w:rsidR="00A54C14" w:rsidRPr="00A54C14">
        <w:rPr>
          <w:lang w:val="en-GB"/>
        </w:rPr>
        <w:t xml:space="preserve"> </w:t>
      </w:r>
      <w:r w:rsidR="008569EF">
        <w:rPr>
          <w:lang w:val="en-GB"/>
        </w:rPr>
        <w:t>for</w:t>
      </w:r>
      <w:r w:rsidR="00A54C14">
        <w:rPr>
          <w:lang w:val="en-GB"/>
        </w:rPr>
        <w:t xml:space="preserve"> the Human Performance assess</w:t>
      </w:r>
      <w:r w:rsidR="00A54C14" w:rsidRPr="00A54C14">
        <w:rPr>
          <w:lang w:val="en-GB"/>
        </w:rPr>
        <w:t>ment</w:t>
      </w:r>
      <w:r w:rsidR="00A54C14">
        <w:rPr>
          <w:lang w:val="en-GB"/>
        </w:rPr>
        <w:t xml:space="preserve"> </w:t>
      </w:r>
      <w:r w:rsidR="00C8086F">
        <w:rPr>
          <w:lang w:val="en-GB"/>
        </w:rPr>
        <w:t xml:space="preserve">and an operative-one </w:t>
      </w:r>
      <w:r w:rsidR="002C4431">
        <w:rPr>
          <w:lang w:val="en-GB"/>
        </w:rPr>
        <w:t>designed</w:t>
      </w:r>
      <w:r w:rsidR="00C8086F">
        <w:rPr>
          <w:lang w:val="en-GB"/>
        </w:rPr>
        <w:t xml:space="preserve"> to be applied into real working condition.</w:t>
      </w:r>
      <w:r w:rsidR="0075386C">
        <w:rPr>
          <w:lang w:val="en-GB"/>
        </w:rPr>
        <w:t xml:space="preserve"> </w:t>
      </w:r>
    </w:p>
    <w:p w14:paraId="19F8A4F3" w14:textId="77777777" w:rsidR="00C8086F" w:rsidRDefault="002C4431" w:rsidP="00C8086F">
      <w:pPr>
        <w:pStyle w:val="CETBodytext"/>
        <w:rPr>
          <w:lang w:val="en-GB"/>
        </w:rPr>
      </w:pPr>
      <w:r>
        <w:rPr>
          <w:noProof/>
          <w:lang w:val="it-IT" w:eastAsia="it-IT"/>
        </w:rPr>
        <w:drawing>
          <wp:anchor distT="0" distB="0" distL="114300" distR="114300" simplePos="0" relativeHeight="251658240" behindDoc="0" locked="0" layoutInCell="1" allowOverlap="1" wp14:anchorId="3E12CDD1" wp14:editId="726EAFED">
            <wp:simplePos x="0" y="0"/>
            <wp:positionH relativeFrom="column">
              <wp:posOffset>72390</wp:posOffset>
            </wp:positionH>
            <wp:positionV relativeFrom="paragraph">
              <wp:posOffset>206375</wp:posOffset>
            </wp:positionV>
            <wp:extent cx="4038600" cy="2854325"/>
            <wp:effectExtent l="0" t="0" r="0" b="3175"/>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8600" cy="2854325"/>
                    </a:xfrm>
                    <a:prstGeom prst="rect">
                      <a:avLst/>
                    </a:prstGeom>
                    <a:noFill/>
                  </pic:spPr>
                </pic:pic>
              </a:graphicData>
            </a:graphic>
            <wp14:sizeRelH relativeFrom="margin">
              <wp14:pctWidth>0</wp14:pctWidth>
            </wp14:sizeRelH>
            <wp14:sizeRelV relativeFrom="margin">
              <wp14:pctHeight>0</wp14:pctHeight>
            </wp14:sizeRelV>
          </wp:anchor>
        </w:drawing>
      </w:r>
    </w:p>
    <w:p w14:paraId="72DCB785" w14:textId="77777777" w:rsidR="002C4431" w:rsidRDefault="002C4431" w:rsidP="002C4431">
      <w:pPr>
        <w:pStyle w:val="CETBodytext"/>
        <w:rPr>
          <w:i/>
          <w:lang w:val="en-GB"/>
        </w:rPr>
      </w:pPr>
    </w:p>
    <w:p w14:paraId="187960D4" w14:textId="77777777" w:rsidR="00C8086F" w:rsidRDefault="002C4431" w:rsidP="002C4431">
      <w:pPr>
        <w:pStyle w:val="CETBodytext"/>
        <w:rPr>
          <w:lang w:val="en-GB"/>
        </w:rPr>
      </w:pPr>
      <w:r w:rsidRPr="002C4431">
        <w:rPr>
          <w:i/>
          <w:lang w:val="en-GB"/>
        </w:rPr>
        <w:t>Figure 1: Conceptual model for HP assessment</w:t>
      </w:r>
      <w:r>
        <w:rPr>
          <w:lang w:val="en-GB"/>
        </w:rPr>
        <w:t>.</w:t>
      </w:r>
    </w:p>
    <w:p w14:paraId="03847412" w14:textId="77777777" w:rsidR="00C8086F" w:rsidRDefault="00C8086F" w:rsidP="00C8086F">
      <w:pPr>
        <w:pStyle w:val="CETBodytext"/>
        <w:rPr>
          <w:lang w:val="en-GB"/>
        </w:rPr>
      </w:pPr>
    </w:p>
    <w:p w14:paraId="0B657BDB" w14:textId="0D64CE7B" w:rsidR="008B276E" w:rsidRDefault="002C4431" w:rsidP="00226AC2">
      <w:pPr>
        <w:pStyle w:val="CETBodytext"/>
        <w:rPr>
          <w:lang w:val="en-GB"/>
        </w:rPr>
      </w:pPr>
      <w:r>
        <w:rPr>
          <w:lang w:val="en-GB"/>
        </w:rPr>
        <w:t>This model was applied in an automotive assembly plant and tested on a pilot-case of 15 workin</w:t>
      </w:r>
      <w:r w:rsidR="009A495F">
        <w:rPr>
          <w:lang w:val="en-GB"/>
        </w:rPr>
        <w:t>g-</w:t>
      </w:r>
      <w:r>
        <w:rPr>
          <w:lang w:val="en-GB"/>
        </w:rPr>
        <w:t>station</w:t>
      </w:r>
      <w:r w:rsidR="009A495F">
        <w:rPr>
          <w:lang w:val="en-GB"/>
        </w:rPr>
        <w:t>s</w:t>
      </w:r>
      <w:r>
        <w:rPr>
          <w:lang w:val="en-GB"/>
        </w:rPr>
        <w:t xml:space="preserve"> involving 30 workers. Results of HP assessment have been used by plant Managers to </w:t>
      </w:r>
      <w:r w:rsidR="00614EF0">
        <w:rPr>
          <w:lang w:val="en-GB"/>
        </w:rPr>
        <w:t xml:space="preserve">make </w:t>
      </w:r>
      <w:r>
        <w:rPr>
          <w:lang w:val="en-GB"/>
        </w:rPr>
        <w:t>a re-configuration of the workers</w:t>
      </w:r>
      <w:r w:rsidR="00614EF0">
        <w:rPr>
          <w:lang w:val="en-GB"/>
        </w:rPr>
        <w:t xml:space="preserve"> distribution</w:t>
      </w:r>
      <w:r>
        <w:rPr>
          <w:lang w:val="en-GB"/>
        </w:rPr>
        <w:t xml:space="preserve"> into the</w:t>
      </w:r>
      <w:r w:rsidR="00614EF0">
        <w:rPr>
          <w:lang w:val="en-GB"/>
        </w:rPr>
        <w:t xml:space="preserve"> assembly-</w:t>
      </w:r>
      <w:r>
        <w:rPr>
          <w:lang w:val="en-GB"/>
        </w:rPr>
        <w:t>line (Comberti at al., 2018</w:t>
      </w:r>
      <w:r w:rsidR="00226AC2">
        <w:rPr>
          <w:lang w:val="en-GB"/>
        </w:rPr>
        <w:t>b</w:t>
      </w:r>
      <w:r>
        <w:rPr>
          <w:lang w:val="en-GB"/>
        </w:rPr>
        <w:t>)</w:t>
      </w:r>
      <w:r w:rsidR="009A495F">
        <w:rPr>
          <w:lang w:val="en-GB"/>
        </w:rPr>
        <w:t xml:space="preserve"> and quality data monitored as </w:t>
      </w:r>
      <w:r w:rsidR="009A495F" w:rsidRPr="009A495F">
        <w:rPr>
          <w:lang w:val="en-GB"/>
        </w:rPr>
        <w:t>measurable impact on the rate of human errors</w:t>
      </w:r>
      <w:r>
        <w:rPr>
          <w:lang w:val="en-GB"/>
        </w:rPr>
        <w:t xml:space="preserve">. Results of this experiment were encouraging and allowed an expansion of the application. </w:t>
      </w:r>
      <w:r w:rsidR="0069456F">
        <w:rPr>
          <w:lang w:val="en-GB"/>
        </w:rPr>
        <w:t>T</w:t>
      </w:r>
      <w:r w:rsidR="009A495F">
        <w:rPr>
          <w:lang w:val="en-GB"/>
        </w:rPr>
        <w:t>his</w:t>
      </w:r>
      <w:r>
        <w:rPr>
          <w:lang w:val="en-GB"/>
        </w:rPr>
        <w:t xml:space="preserve"> paper </w:t>
      </w:r>
      <w:r w:rsidR="009A495F">
        <w:rPr>
          <w:lang w:val="en-GB"/>
        </w:rPr>
        <w:t xml:space="preserve">presents </w:t>
      </w:r>
      <w:r w:rsidR="00DF2167">
        <w:rPr>
          <w:lang w:val="en-GB"/>
        </w:rPr>
        <w:t>a</w:t>
      </w:r>
      <w:r w:rsidR="0069456F">
        <w:rPr>
          <w:lang w:val="en-GB"/>
        </w:rPr>
        <w:t>n additional</w:t>
      </w:r>
      <w:r w:rsidR="009A495F">
        <w:rPr>
          <w:lang w:val="en-GB"/>
        </w:rPr>
        <w:t xml:space="preserve"> </w:t>
      </w:r>
      <w:r w:rsidR="00D4332C">
        <w:rPr>
          <w:lang w:val="en-GB"/>
        </w:rPr>
        <w:t>development of the project in which the</w:t>
      </w:r>
      <w:r w:rsidR="009A495F">
        <w:rPr>
          <w:lang w:val="en-GB"/>
        </w:rPr>
        <w:t xml:space="preserve"> model was applied to a bigger </w:t>
      </w:r>
      <w:r w:rsidR="00D4332C">
        <w:rPr>
          <w:lang w:val="en-GB"/>
        </w:rPr>
        <w:t>group of working-statio</w:t>
      </w:r>
      <w:r w:rsidR="008B276E">
        <w:rPr>
          <w:lang w:val="en-GB"/>
        </w:rPr>
        <w:t xml:space="preserve">ns to refine the </w:t>
      </w:r>
      <w:r w:rsidR="00913CED">
        <w:rPr>
          <w:lang w:val="en-GB"/>
        </w:rPr>
        <w:t>operational</w:t>
      </w:r>
      <w:r w:rsidR="008B276E">
        <w:rPr>
          <w:lang w:val="en-GB"/>
        </w:rPr>
        <w:t xml:space="preserve"> model for workload </w:t>
      </w:r>
      <w:r w:rsidR="00913CED">
        <w:rPr>
          <w:lang w:val="en-GB"/>
        </w:rPr>
        <w:t xml:space="preserve">(WL) </w:t>
      </w:r>
      <w:r w:rsidR="008B276E">
        <w:rPr>
          <w:lang w:val="en-GB"/>
        </w:rPr>
        <w:t xml:space="preserve">assessment. </w:t>
      </w:r>
    </w:p>
    <w:p w14:paraId="4F4D4591" w14:textId="77777777" w:rsidR="00BD7F9D" w:rsidRDefault="00D4332C" w:rsidP="00D4332C">
      <w:pPr>
        <w:pStyle w:val="CETBodytext"/>
        <w:rPr>
          <w:lang w:val="en-GB"/>
        </w:rPr>
      </w:pPr>
      <w:r>
        <w:rPr>
          <w:lang w:val="en-GB"/>
        </w:rPr>
        <w:t xml:space="preserve">Section 2 of the paper describes the operative model </w:t>
      </w:r>
      <w:r w:rsidR="008B276E">
        <w:rPr>
          <w:lang w:val="en-GB"/>
        </w:rPr>
        <w:t>for</w:t>
      </w:r>
      <w:r>
        <w:rPr>
          <w:lang w:val="en-GB"/>
        </w:rPr>
        <w:t xml:space="preserve"> </w:t>
      </w:r>
      <w:r w:rsidR="00913CED">
        <w:rPr>
          <w:lang w:val="en-GB"/>
        </w:rPr>
        <w:t>WL</w:t>
      </w:r>
      <w:r>
        <w:rPr>
          <w:lang w:val="en-GB"/>
        </w:rPr>
        <w:t xml:space="preserve"> </w:t>
      </w:r>
      <w:r w:rsidR="008B276E">
        <w:rPr>
          <w:lang w:val="en-GB"/>
        </w:rPr>
        <w:t xml:space="preserve">refined </w:t>
      </w:r>
      <w:r>
        <w:rPr>
          <w:lang w:val="en-GB"/>
        </w:rPr>
        <w:t>with the analysis of the variables selected and section 3 shows the results of the model application to the case study.</w:t>
      </w:r>
      <w:r w:rsidR="00F96A11">
        <w:rPr>
          <w:lang w:val="en-GB"/>
        </w:rPr>
        <w:t xml:space="preserve"> </w:t>
      </w:r>
      <w:r>
        <w:rPr>
          <w:lang w:val="en-GB"/>
        </w:rPr>
        <w:t>Conclusions ended the paper and gives a view of up-comings developments.</w:t>
      </w:r>
    </w:p>
    <w:p w14:paraId="6272B0AD" w14:textId="77777777" w:rsidR="00BD7F9D" w:rsidRDefault="009A495F" w:rsidP="009A495F">
      <w:pPr>
        <w:pStyle w:val="CETHeading1"/>
      </w:pPr>
      <w:r>
        <w:t>Methods</w:t>
      </w:r>
    </w:p>
    <w:p w14:paraId="64F0D75A" w14:textId="77777777" w:rsidR="00B02EAD" w:rsidRPr="00B02EAD" w:rsidRDefault="00B02EAD" w:rsidP="00B02EAD">
      <w:pPr>
        <w:pStyle w:val="CETBodytext"/>
      </w:pPr>
    </w:p>
    <w:p w14:paraId="0682973A" w14:textId="77777777" w:rsidR="00B02EAD" w:rsidRDefault="00913CED" w:rsidP="00B02EAD">
      <w:pPr>
        <w:pStyle w:val="CETBodytext"/>
      </w:pPr>
      <w:r>
        <w:t>To set an operational model to WL assessment it was necessary to identify a set of actual observable and measurable quantities to estimate/assess the model variables. In addition to this, a common scale of evaluation for all quantities was adopted so as to allow a quantitative comparison between Workload (WL) requirements. The WL operational model was defined using a task analysis</w:t>
      </w:r>
      <w:r w:rsidR="002F73FE">
        <w:t xml:space="preserve"> </w:t>
      </w:r>
      <w:r w:rsidR="00C11FD0">
        <w:t xml:space="preserve">approach </w:t>
      </w:r>
      <w:r w:rsidR="002F73FE">
        <w:t>(Jung et al., 2001)</w:t>
      </w:r>
      <w:r>
        <w:t xml:space="preserve"> of each workstation activity plus an observation protocol to score the whole </w:t>
      </w:r>
      <w:r w:rsidR="00E16590">
        <w:t>assembly line</w:t>
      </w:r>
      <w:r>
        <w:t>.</w:t>
      </w:r>
    </w:p>
    <w:p w14:paraId="5AF04564" w14:textId="77777777" w:rsidR="00913CED" w:rsidRDefault="00913CED" w:rsidP="00913CED">
      <w:pPr>
        <w:pStyle w:val="CETBodytext"/>
      </w:pPr>
      <w:r>
        <w:t xml:space="preserve">Operative model contains for each factor </w:t>
      </w:r>
      <w:r w:rsidR="00F96A11" w:rsidRPr="00650E06">
        <w:t>considered</w:t>
      </w:r>
      <w:r>
        <w:t xml:space="preserve"> into t</w:t>
      </w:r>
      <w:r w:rsidR="00B02EAD">
        <w:t>he Conceptual model a set of ob</w:t>
      </w:r>
      <w:r>
        <w:t>servable and measurable variables.</w:t>
      </w:r>
    </w:p>
    <w:p w14:paraId="4EA2E571" w14:textId="77777777" w:rsidR="00913CED" w:rsidRDefault="00913CED" w:rsidP="00377FDC">
      <w:pPr>
        <w:pStyle w:val="CETBodytext"/>
      </w:pPr>
      <w:r>
        <w:t xml:space="preserve">The variables were selected after a field analysis with a participatory approach that involved both academic and industry </w:t>
      </w:r>
      <w:r w:rsidRPr="00650E06">
        <w:t xml:space="preserve">professionals operating in the various management areas involved: Safety, Work Analysis, Quality, Work </w:t>
      </w:r>
      <w:r w:rsidR="00F96A11" w:rsidRPr="00650E06">
        <w:t>Organization</w:t>
      </w:r>
      <w:r w:rsidRPr="00650E06">
        <w:t>.</w:t>
      </w:r>
    </w:p>
    <w:p w14:paraId="5A491144" w14:textId="77777777" w:rsidR="00EC6F3B" w:rsidRDefault="00913CED" w:rsidP="00EC6F3B">
      <w:pPr>
        <w:pStyle w:val="CETBodytext"/>
      </w:pPr>
      <w:r>
        <w:t>The observable variables selected will measured both in numerical and qualitative scales. In order to allow</w:t>
      </w:r>
      <w:r w:rsidR="00377FDC">
        <w:t xml:space="preserve"> the confrontation between vari</w:t>
      </w:r>
      <w:r>
        <w:t xml:space="preserve">ables with a different </w:t>
      </w:r>
      <w:r w:rsidR="00377FDC">
        <w:t>nature and scale, all the varia</w:t>
      </w:r>
      <w:r>
        <w:t>bles will be harmonized in a common nume</w:t>
      </w:r>
      <w:r w:rsidR="00377FDC">
        <w:t>rical scale from</w:t>
      </w:r>
      <w:r w:rsidR="00EC6F3B">
        <w:t xml:space="preserve"> 1 to 10.</w:t>
      </w:r>
    </w:p>
    <w:p w14:paraId="40284927" w14:textId="77777777" w:rsidR="00EC6F3B" w:rsidRDefault="00EC6F3B" w:rsidP="00EC6F3B">
      <w:pPr>
        <w:pStyle w:val="CETBodytext"/>
      </w:pPr>
      <w:r>
        <w:t>Figure 2 shows the operational model for WL assessment with the relations between variables-quantities and indicators.</w:t>
      </w:r>
    </w:p>
    <w:p w14:paraId="648B22C6" w14:textId="77777777" w:rsidR="00EC6F3B" w:rsidRDefault="00EC6F3B" w:rsidP="00EC6F3B">
      <w:pPr>
        <w:pStyle w:val="CETBodytext"/>
      </w:pPr>
    </w:p>
    <w:p w14:paraId="48C1FC51" w14:textId="77777777" w:rsidR="00913CED" w:rsidRDefault="00377FDC" w:rsidP="00913CED">
      <w:pPr>
        <w:pStyle w:val="CETBodytext"/>
      </w:pPr>
      <w:r w:rsidRPr="00DD2B58">
        <w:rPr>
          <w:noProof/>
          <w:lang w:val="it-IT" w:eastAsia="it-IT"/>
        </w:rPr>
        <w:drawing>
          <wp:inline distT="0" distB="0" distL="0" distR="0" wp14:anchorId="1B60119C" wp14:editId="4F90408C">
            <wp:extent cx="5282051" cy="3839210"/>
            <wp:effectExtent l="0" t="0" r="0"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1161" cy="3845832"/>
                    </a:xfrm>
                    <a:prstGeom prst="rect">
                      <a:avLst/>
                    </a:prstGeom>
                    <a:noFill/>
                    <a:ln>
                      <a:noFill/>
                    </a:ln>
                  </pic:spPr>
                </pic:pic>
              </a:graphicData>
            </a:graphic>
          </wp:inline>
        </w:drawing>
      </w:r>
    </w:p>
    <w:p w14:paraId="54F988F7" w14:textId="77777777" w:rsidR="00377FDC" w:rsidRDefault="00377FDC" w:rsidP="00377FDC">
      <w:pPr>
        <w:pStyle w:val="CETBodytext"/>
        <w:rPr>
          <w:i/>
          <w:lang w:val="en-GB"/>
        </w:rPr>
      </w:pPr>
    </w:p>
    <w:p w14:paraId="040847E5" w14:textId="77777777" w:rsidR="00377FDC" w:rsidRPr="00377FDC" w:rsidRDefault="00377FDC" w:rsidP="00377FDC">
      <w:pPr>
        <w:pStyle w:val="CETBodytext"/>
        <w:rPr>
          <w:i/>
          <w:lang w:val="en-GB"/>
        </w:rPr>
      </w:pPr>
      <w:r w:rsidRPr="00377FDC">
        <w:rPr>
          <w:i/>
          <w:lang w:val="en-GB"/>
        </w:rPr>
        <w:t>Figure 2: Operational model</w:t>
      </w:r>
      <w:r>
        <w:rPr>
          <w:i/>
          <w:lang w:val="en-GB"/>
        </w:rPr>
        <w:t xml:space="preserve"> for WL assessment</w:t>
      </w:r>
      <w:r w:rsidRPr="00377FDC">
        <w:rPr>
          <w:i/>
          <w:lang w:val="en-GB"/>
        </w:rPr>
        <w:t>.</w:t>
      </w:r>
    </w:p>
    <w:p w14:paraId="4CBADFB4" w14:textId="77777777" w:rsidR="003350CF" w:rsidRDefault="003350CF" w:rsidP="00913CED">
      <w:pPr>
        <w:pStyle w:val="CETBodytext"/>
      </w:pPr>
    </w:p>
    <w:p w14:paraId="3824C91E" w14:textId="77777777" w:rsidR="003350CF" w:rsidRDefault="00C31A7D" w:rsidP="003350CF">
      <w:pPr>
        <w:pStyle w:val="CETBodytext"/>
      </w:pPr>
      <w:r>
        <w:t xml:space="preserve">With reference to </w:t>
      </w:r>
      <w:r w:rsidR="003350CF">
        <w:t>F</w:t>
      </w:r>
      <w:r>
        <w:t>igure 2,</w:t>
      </w:r>
      <w:r w:rsidR="00EC6F3B">
        <w:t xml:space="preserve"> t</w:t>
      </w:r>
      <w:r w:rsidR="00913CED">
        <w:t xml:space="preserve">he choices made to </w:t>
      </w:r>
      <w:r w:rsidR="00EC6F3B">
        <w:t xml:space="preserve">build the operational </w:t>
      </w:r>
      <w:r w:rsidR="00F96A11">
        <w:t>model was</w:t>
      </w:r>
      <w:r w:rsidR="003350CF">
        <w:t xml:space="preserve"> done considering the assembly line organization.</w:t>
      </w:r>
      <w:r w:rsidR="003350CF" w:rsidRPr="003350CF">
        <w:t xml:space="preserve"> </w:t>
      </w:r>
      <w:r w:rsidR="003350CF">
        <w:t xml:space="preserve">The assembly line is a sequence of working-places where a shell is moved automatically from a workstation to the next following a certain rate called takt-time. In all working-place a task is performed on the shell according to a </w:t>
      </w:r>
      <w:r w:rsidR="003350CF" w:rsidRPr="00650E06">
        <w:t xml:space="preserve">specific </w:t>
      </w:r>
      <w:r w:rsidR="00F96A11" w:rsidRPr="00650E06">
        <w:t>well-defined</w:t>
      </w:r>
      <w:r w:rsidR="003350CF">
        <w:t xml:space="preserve"> procedure. Each task is composed by several operations that can change or remaining constant depending on the characteristic of the shell being assembled.</w:t>
      </w:r>
    </w:p>
    <w:p w14:paraId="76445DBC" w14:textId="77777777" w:rsidR="00913CED" w:rsidRDefault="00913CED" w:rsidP="00C02757">
      <w:pPr>
        <w:pStyle w:val="CETBodytext"/>
      </w:pPr>
      <w:r>
        <w:t xml:space="preserve">- </w:t>
      </w:r>
      <w:r w:rsidR="00C31A7D">
        <w:t>Process Variability</w:t>
      </w:r>
      <w:r>
        <w:t xml:space="preserve"> was measured</w:t>
      </w:r>
      <w:r w:rsidR="001565F1">
        <w:t xml:space="preserve"> with </w:t>
      </w:r>
      <w:r>
        <w:t xml:space="preserve">two quantities: number of </w:t>
      </w:r>
      <w:r w:rsidR="00C31A7D">
        <w:t>process</w:t>
      </w:r>
      <w:r>
        <w:t xml:space="preserve"> (</w:t>
      </w:r>
      <w:r w:rsidR="00F96A11">
        <w:t>NP) and</w:t>
      </w:r>
      <w:r w:rsidR="001565F1">
        <w:t xml:space="preserve"> the process variance (PV). NP </w:t>
      </w:r>
      <w:r>
        <w:t>represents the</w:t>
      </w:r>
      <w:r w:rsidR="00EC6F3B">
        <w:t xml:space="preserve"> </w:t>
      </w:r>
      <w:r>
        <w:t>number of task</w:t>
      </w:r>
      <w:r w:rsidR="00C02757">
        <w:t>-types</w:t>
      </w:r>
      <w:r>
        <w:t xml:space="preserve"> required by different shell-types in</w:t>
      </w:r>
      <w:r w:rsidR="00EC6F3B">
        <w:t xml:space="preserve"> </w:t>
      </w:r>
      <w:r w:rsidR="00C02757">
        <w:t>a</w:t>
      </w:r>
      <w:r>
        <w:t xml:space="preserve"> workstation; N</w:t>
      </w:r>
      <w:r w:rsidR="00C31A7D">
        <w:t>P</w:t>
      </w:r>
      <w:r>
        <w:t xml:space="preserve"> was assessed between 1 (when the task</w:t>
      </w:r>
      <w:r w:rsidR="00EC6F3B">
        <w:t xml:space="preserve"> </w:t>
      </w:r>
      <w:r>
        <w:t>does not vary following a shell-type variation) and 6 (when</w:t>
      </w:r>
      <w:r w:rsidR="00C02757">
        <w:t xml:space="preserve"> </w:t>
      </w:r>
      <w:r>
        <w:t>there are more than 5 possible task differences following different</w:t>
      </w:r>
      <w:r w:rsidR="00EC6F3B">
        <w:t xml:space="preserve"> </w:t>
      </w:r>
      <w:r>
        <w:t xml:space="preserve">shell-types). </w:t>
      </w:r>
    </w:p>
    <w:p w14:paraId="37CCED55" w14:textId="77777777" w:rsidR="00913CED" w:rsidRDefault="001565F1" w:rsidP="001565F1">
      <w:pPr>
        <w:pStyle w:val="CETBodytext"/>
      </w:pPr>
      <w:r>
        <w:t xml:space="preserve">PV </w:t>
      </w:r>
      <w:r w:rsidR="00913CED">
        <w:t>represents the percentage of variations observed in</w:t>
      </w:r>
      <w:r w:rsidR="00EC6F3B">
        <w:t xml:space="preserve"> </w:t>
      </w:r>
      <w:r w:rsidR="00913CED">
        <w:t xml:space="preserve">each workstation. </w:t>
      </w:r>
      <w:r w:rsidR="00C31A7D">
        <w:t>P</w:t>
      </w:r>
      <w:r w:rsidR="00913CED">
        <w:t>V varied between 0 (when there are no variations</w:t>
      </w:r>
      <w:r w:rsidR="00EC6F3B">
        <w:t xml:space="preserve"> </w:t>
      </w:r>
      <w:r w:rsidR="00913CED">
        <w:t>dependin</w:t>
      </w:r>
      <w:r>
        <w:t>g on the shells being assembled</w:t>
      </w:r>
      <w:r w:rsidR="00913CED">
        <w:t>) and 4, when the percentage of the most frequent</w:t>
      </w:r>
      <w:r w:rsidR="00EC6F3B">
        <w:t xml:space="preserve"> </w:t>
      </w:r>
      <w:r w:rsidR="00913CED">
        <w:t>activities for shell type is only about 60% of the total</w:t>
      </w:r>
      <w:r w:rsidR="00EC6F3B">
        <w:t xml:space="preserve"> </w:t>
      </w:r>
      <w:r w:rsidR="00913CED">
        <w:t>amount of assembly activities performed during the working</w:t>
      </w:r>
      <w:r w:rsidR="00EC6F3B">
        <w:t xml:space="preserve"> </w:t>
      </w:r>
      <w:r w:rsidR="00913CED">
        <w:t>day. The combination of this two quantities leads to definition</w:t>
      </w:r>
      <w:r w:rsidR="00C31A7D">
        <w:t xml:space="preserve"> </w:t>
      </w:r>
      <w:r w:rsidR="00913CED">
        <w:t>of a numerical index called “Variability index”</w:t>
      </w:r>
      <w:r>
        <w:t xml:space="preserve"> </w:t>
      </w:r>
      <w:r w:rsidR="00F96A11">
        <w:t>and it</w:t>
      </w:r>
      <w:r>
        <w:t xml:space="preserve"> </w:t>
      </w:r>
      <w:r w:rsidR="00913CED">
        <w:t>is expressed</w:t>
      </w:r>
      <w:r>
        <w:t xml:space="preserve"> </w:t>
      </w:r>
      <w:r w:rsidR="00913CED">
        <w:t>by the following equation:</w:t>
      </w:r>
    </w:p>
    <w:p w14:paraId="4BB9AF6B" w14:textId="77777777" w:rsidR="00C31A7D" w:rsidRDefault="00C31A7D" w:rsidP="00913CED">
      <w:pPr>
        <w:pStyle w:val="CETBodytext"/>
      </w:pPr>
    </w:p>
    <w:p w14:paraId="2D8B7809" w14:textId="77777777" w:rsidR="00913CED" w:rsidRDefault="00913CED" w:rsidP="00A513DB">
      <w:pPr>
        <w:pStyle w:val="CETBodytext"/>
      </w:pPr>
      <w:r>
        <w:t xml:space="preserve">IV=NM+MV </w:t>
      </w:r>
      <w:r w:rsidR="00A513DB">
        <w:tab/>
      </w:r>
      <w:r w:rsidR="00A513DB">
        <w:tab/>
      </w:r>
      <w:r w:rsidR="00A513DB">
        <w:tab/>
      </w:r>
      <w:r>
        <w:t>(</w:t>
      </w:r>
      <w:r w:rsidR="00A513DB">
        <w:t>1</w:t>
      </w:r>
      <w:r>
        <w:t>)</w:t>
      </w:r>
    </w:p>
    <w:p w14:paraId="5A88B4C7" w14:textId="77777777" w:rsidR="00C31A7D" w:rsidRDefault="00C31A7D" w:rsidP="00913CED">
      <w:pPr>
        <w:pStyle w:val="CETBodytext"/>
      </w:pPr>
    </w:p>
    <w:p w14:paraId="498C2962" w14:textId="77777777" w:rsidR="00913CED" w:rsidRDefault="00913CED" w:rsidP="00293E6B">
      <w:pPr>
        <w:pStyle w:val="CETBodytext"/>
      </w:pPr>
      <w:r>
        <w:t xml:space="preserve">- </w:t>
      </w:r>
      <w:r w:rsidR="00293E6B">
        <w:t>C</w:t>
      </w:r>
      <w:r w:rsidR="00C31A7D">
        <w:t>ycle complexity</w:t>
      </w:r>
      <w:r>
        <w:t xml:space="preserve"> refers to the number of </w:t>
      </w:r>
      <w:r w:rsidR="00B02EAD">
        <w:t>sub-</w:t>
      </w:r>
      <w:r>
        <w:t xml:space="preserve">operations </w:t>
      </w:r>
      <w:r w:rsidR="00B02EAD">
        <w:t>compo</w:t>
      </w:r>
      <w:r w:rsidR="00293E6B">
        <w:t>s</w:t>
      </w:r>
      <w:r w:rsidR="00B02EAD">
        <w:t>ing</w:t>
      </w:r>
      <w:r>
        <w:t xml:space="preserve"> the task</w:t>
      </w:r>
      <w:r w:rsidR="00A4772C">
        <w:t xml:space="preserve">. This quantity was </w:t>
      </w:r>
      <w:r w:rsidR="00B02EAD">
        <w:t>assessed analyzing the operational procedures of each working-station</w:t>
      </w:r>
      <w:r>
        <w:t xml:space="preserve">. </w:t>
      </w:r>
      <w:r w:rsidR="00B02EAD">
        <w:t>A corresponding</w:t>
      </w:r>
      <w:r w:rsidR="00293E6B">
        <w:t xml:space="preserve"> Working Cycle </w:t>
      </w:r>
      <w:r>
        <w:t>Complexity index,</w:t>
      </w:r>
      <w:r w:rsidR="00C31A7D">
        <w:t xml:space="preserve"> </w:t>
      </w:r>
      <w:r>
        <w:t>“</w:t>
      </w:r>
      <w:r w:rsidR="00293E6B">
        <w:t>WC</w:t>
      </w:r>
      <w:r>
        <w:t xml:space="preserve">I”, </w:t>
      </w:r>
      <w:r w:rsidR="00B02EAD">
        <w:t xml:space="preserve">was set with a </w:t>
      </w:r>
      <w:r>
        <w:t xml:space="preserve">range of variation from 1 (when </w:t>
      </w:r>
      <w:r w:rsidR="00B02EAD">
        <w:t>sub-</w:t>
      </w:r>
      <w:r>
        <w:t>operations</w:t>
      </w:r>
      <w:r w:rsidR="00C31A7D">
        <w:t xml:space="preserve"> </w:t>
      </w:r>
      <w:r>
        <w:t>are less than 5) to 10 (when the basic operations are more</w:t>
      </w:r>
      <w:r w:rsidR="00B02EAD">
        <w:t xml:space="preserve"> </w:t>
      </w:r>
      <w:r>
        <w:t xml:space="preserve">than </w:t>
      </w:r>
      <w:r w:rsidR="00B02EAD">
        <w:t>40</w:t>
      </w:r>
      <w:r>
        <w:t>).</w:t>
      </w:r>
    </w:p>
    <w:p w14:paraId="211C6E71" w14:textId="77777777" w:rsidR="00C31A7D" w:rsidRDefault="00C31A7D" w:rsidP="00913CED">
      <w:pPr>
        <w:pStyle w:val="CETBodytext"/>
      </w:pPr>
    </w:p>
    <w:p w14:paraId="5AC5B6B9" w14:textId="77777777" w:rsidR="00C31A7D" w:rsidRDefault="00C31A7D" w:rsidP="00913CED">
      <w:pPr>
        <w:pStyle w:val="CETBodytext"/>
      </w:pPr>
    </w:p>
    <w:p w14:paraId="6DFFB098" w14:textId="77777777" w:rsidR="00C31A7D" w:rsidRDefault="00C31A7D" w:rsidP="00913CED">
      <w:pPr>
        <w:pStyle w:val="CETBodytext"/>
      </w:pPr>
    </w:p>
    <w:p w14:paraId="0526ABD0" w14:textId="77777777" w:rsidR="00C31A7D" w:rsidRDefault="00C31A7D" w:rsidP="00913CED">
      <w:pPr>
        <w:pStyle w:val="CETBodytext"/>
      </w:pPr>
    </w:p>
    <w:p w14:paraId="3799EFF4" w14:textId="77777777" w:rsidR="00C31A7D" w:rsidRDefault="00C31A7D" w:rsidP="00913CED">
      <w:pPr>
        <w:pStyle w:val="CETBodytext"/>
      </w:pPr>
    </w:p>
    <w:p w14:paraId="27972F9F" w14:textId="77777777" w:rsidR="00913CED" w:rsidRPr="00650E06" w:rsidRDefault="00913CED" w:rsidP="000F39E4">
      <w:pPr>
        <w:pStyle w:val="CETBodytext"/>
      </w:pPr>
      <w:r>
        <w:t xml:space="preserve">- </w:t>
      </w:r>
      <w:r w:rsidR="00B02EAD">
        <w:t>Dexterity Required</w:t>
      </w:r>
      <w:r>
        <w:t xml:space="preserve">. This variable was related to the </w:t>
      </w:r>
      <w:r w:rsidR="00B02EAD">
        <w:t xml:space="preserve">level of </w:t>
      </w:r>
      <w:r>
        <w:t>difficulty of making</w:t>
      </w:r>
      <w:r w:rsidR="00B02EAD">
        <w:t xml:space="preserve"> correctly the assembly operation of each task. To assess properly this variable</w:t>
      </w:r>
      <w:r w:rsidR="00A4772C">
        <w:t xml:space="preserve"> tree quantities were </w:t>
      </w:r>
      <w:r w:rsidR="00B02EAD">
        <w:t>measured: Parts number (P</w:t>
      </w:r>
      <w:r w:rsidR="000F39E4">
        <w:t>N</w:t>
      </w:r>
      <w:r w:rsidR="00B02EAD">
        <w:t xml:space="preserve">), Parts similarity (PS) and </w:t>
      </w:r>
      <w:r w:rsidR="000F39E4">
        <w:t>presence or not of higher manual sub-task (MI).</w:t>
      </w:r>
      <w:r w:rsidR="00B02EAD">
        <w:t xml:space="preserve"> </w:t>
      </w:r>
      <w:r w:rsidR="00F96A11">
        <w:t>PN was</w:t>
      </w:r>
      <w:r w:rsidR="000F39E4">
        <w:t xml:space="preserve"> related to the quantity of small parts managed. As a </w:t>
      </w:r>
      <w:r w:rsidR="00F96A11" w:rsidRPr="00650E06">
        <w:t>consequence,</w:t>
      </w:r>
      <w:r w:rsidR="000F39E4" w:rsidRPr="00650E06">
        <w:t xml:space="preserve"> Part number index was set between 1, (when the small parts managed are less than 5), and 5 (when the parts managed during the task are more than 50). PS  assessed the workload related to </w:t>
      </w:r>
      <w:r w:rsidRPr="00650E06">
        <w:t>the choice between similar parts required for assembly</w:t>
      </w:r>
      <w:r w:rsidR="000F39E4" w:rsidRPr="00650E06">
        <w:t xml:space="preserve">, </w:t>
      </w:r>
      <w:r w:rsidRPr="00650E06">
        <w:t xml:space="preserve"> as an example 2 kind of screws may</w:t>
      </w:r>
      <w:r w:rsidR="00B02EAD" w:rsidRPr="00650E06">
        <w:t xml:space="preserve"> </w:t>
      </w:r>
      <w:r w:rsidR="000F39E4" w:rsidRPr="00650E06">
        <w:t>differ by 2mm in length</w:t>
      </w:r>
      <w:r w:rsidRPr="00650E06">
        <w:t>. The Parts Similarity index (PS) was</w:t>
      </w:r>
      <w:r w:rsidR="00B02EAD" w:rsidRPr="00650E06">
        <w:t xml:space="preserve"> </w:t>
      </w:r>
      <w:r w:rsidRPr="00650E06">
        <w:t>set between a value of “0” (there are no parts similar</w:t>
      </w:r>
      <w:r w:rsidR="000F39E4" w:rsidRPr="00650E06">
        <w:t>)</w:t>
      </w:r>
      <w:r w:rsidRPr="00650E06">
        <w:t xml:space="preserve"> and 3, (the percentage of similar parts is more than 30%</w:t>
      </w:r>
      <w:r w:rsidR="000F39E4" w:rsidRPr="00650E06">
        <w:t xml:space="preserve"> </w:t>
      </w:r>
      <w:r w:rsidRPr="00650E06">
        <w:t xml:space="preserve">of the total parts managed during the task). </w:t>
      </w:r>
      <w:r w:rsidR="00F96A11" w:rsidRPr="00650E06">
        <w:t>Finally,</w:t>
      </w:r>
      <w:r w:rsidR="000F39E4" w:rsidRPr="00650E06">
        <w:t xml:space="preserve"> MI index considered the presence of very complex sub-task requiring a higher level of manual skill. This index has a range of variation between “0” and 2 and was assessed with the support of work-analyst expert.</w:t>
      </w:r>
    </w:p>
    <w:p w14:paraId="6E0AA147" w14:textId="77777777" w:rsidR="000F39E4" w:rsidRDefault="000F39E4" w:rsidP="000F39E4">
      <w:pPr>
        <w:pStyle w:val="CETBodytext"/>
      </w:pPr>
      <w:r w:rsidRPr="00650E06">
        <w:t xml:space="preserve">The combination of </w:t>
      </w:r>
      <w:r w:rsidR="00F96A11" w:rsidRPr="00650E06">
        <w:t>these 3 quantities</w:t>
      </w:r>
      <w:r w:rsidRPr="00650E06">
        <w:t xml:space="preserve"> leads to definition of a numerical</w:t>
      </w:r>
      <w:r>
        <w:t xml:space="preserve"> index called “Dexterity index” and it is expressed by the following equation:</w:t>
      </w:r>
    </w:p>
    <w:p w14:paraId="28DA1BAD" w14:textId="77777777" w:rsidR="000F39E4" w:rsidRDefault="000F39E4" w:rsidP="000F39E4">
      <w:pPr>
        <w:pStyle w:val="CETBodytext"/>
      </w:pPr>
    </w:p>
    <w:p w14:paraId="5264917D" w14:textId="77777777" w:rsidR="000F39E4" w:rsidRDefault="000F39E4" w:rsidP="000F39E4">
      <w:pPr>
        <w:pStyle w:val="CETBodytext"/>
      </w:pPr>
      <w:r>
        <w:t xml:space="preserve">DI=PN+PS+MI </w:t>
      </w:r>
      <w:r>
        <w:tab/>
      </w:r>
      <w:r>
        <w:tab/>
      </w:r>
      <w:r>
        <w:tab/>
        <w:t>(2)</w:t>
      </w:r>
      <w:r>
        <w:tab/>
      </w:r>
    </w:p>
    <w:p w14:paraId="772E59D9" w14:textId="77777777" w:rsidR="00235076" w:rsidRDefault="00913CED" w:rsidP="00235076">
      <w:pPr>
        <w:pStyle w:val="CETBodytext"/>
        <w:numPr>
          <w:ilvl w:val="0"/>
          <w:numId w:val="23"/>
        </w:numPr>
        <w:ind w:left="142" w:hanging="153"/>
      </w:pPr>
      <w:r>
        <w:t xml:space="preserve">Physical effort and </w:t>
      </w:r>
      <w:r w:rsidR="00235076">
        <w:t>time pressure</w:t>
      </w:r>
      <w:r>
        <w:t>. These variables were related</w:t>
      </w:r>
      <w:r w:rsidR="00235076">
        <w:t xml:space="preserve"> </w:t>
      </w:r>
      <w:r>
        <w:t xml:space="preserve">to </w:t>
      </w:r>
      <w:r w:rsidR="00235076">
        <w:t>physical workload of the workstation.</w:t>
      </w:r>
    </w:p>
    <w:p w14:paraId="4839DA2F" w14:textId="77777777" w:rsidR="00A619FC" w:rsidRDefault="00235076" w:rsidP="00A619FC">
      <w:pPr>
        <w:pStyle w:val="CETBodytext"/>
        <w:ind w:left="-11"/>
      </w:pPr>
      <w:r>
        <w:t>A set of two quantities was defined to assess them</w:t>
      </w:r>
      <w:r w:rsidR="00913CED">
        <w:t xml:space="preserve">: </w:t>
      </w:r>
      <w:r>
        <w:t xml:space="preserve">a standard ergonomic measurement </w:t>
      </w:r>
      <w:r w:rsidR="00A619FC">
        <w:t>leads the Physical index (PI) and the level of saturation of takt-time gives the Saturation index (SI).</w:t>
      </w:r>
    </w:p>
    <w:p w14:paraId="6E741CC1" w14:textId="77777777" w:rsidR="00913CED" w:rsidRDefault="00913CED" w:rsidP="00A619FC">
      <w:pPr>
        <w:pStyle w:val="CETBodytext"/>
      </w:pPr>
      <w:r>
        <w:t>Both of them are values varying between 1 and</w:t>
      </w:r>
      <w:r w:rsidR="00A619FC">
        <w:t xml:space="preserve"> </w:t>
      </w:r>
      <w:r>
        <w:t>5</w:t>
      </w:r>
      <w:r w:rsidR="00A619FC">
        <w:t>.</w:t>
      </w:r>
      <w:r>
        <w:t xml:space="preserve"> As a consequence of this the Physical Effort</w:t>
      </w:r>
      <w:r w:rsidR="00A619FC">
        <w:t xml:space="preserve"> </w:t>
      </w:r>
      <w:r>
        <w:t xml:space="preserve">index (PEI) was defined as expressed by equation </w:t>
      </w:r>
      <w:r w:rsidR="00A619FC">
        <w:t>3</w:t>
      </w:r>
      <w:r>
        <w:t>:</w:t>
      </w:r>
    </w:p>
    <w:p w14:paraId="77801697" w14:textId="77777777" w:rsidR="00A619FC" w:rsidRDefault="00A619FC" w:rsidP="00913CED">
      <w:pPr>
        <w:pStyle w:val="CETBodytext"/>
      </w:pPr>
    </w:p>
    <w:p w14:paraId="07EF9013" w14:textId="77777777" w:rsidR="00913CED" w:rsidRDefault="00913CED" w:rsidP="00A619FC">
      <w:pPr>
        <w:pStyle w:val="CETBodytext"/>
      </w:pPr>
      <w:r>
        <w:t xml:space="preserve">PEI = </w:t>
      </w:r>
      <w:r w:rsidR="00A619FC">
        <w:t>PI</w:t>
      </w:r>
      <w:r>
        <w:t xml:space="preserve"> + SI </w:t>
      </w:r>
      <w:r w:rsidR="00A619FC">
        <w:tab/>
      </w:r>
      <w:r w:rsidR="00A619FC">
        <w:tab/>
      </w:r>
      <w:r w:rsidR="00A619FC">
        <w:tab/>
      </w:r>
      <w:r>
        <w:t>(4)</w:t>
      </w:r>
    </w:p>
    <w:p w14:paraId="0C76EE11" w14:textId="77777777" w:rsidR="00A619FC" w:rsidRDefault="00A619FC" w:rsidP="00913CED">
      <w:pPr>
        <w:pStyle w:val="CETBodytext"/>
      </w:pPr>
    </w:p>
    <w:p w14:paraId="4997A864" w14:textId="77777777" w:rsidR="00DD2B58" w:rsidRPr="00DD2B58" w:rsidRDefault="00A619FC" w:rsidP="00A619FC">
      <w:pPr>
        <w:pStyle w:val="CETBodytext"/>
      </w:pPr>
      <w:r>
        <w:t>I</w:t>
      </w:r>
      <w:r w:rsidR="00293E6B">
        <w:t xml:space="preserve">n summary as </w:t>
      </w:r>
      <w:r w:rsidR="00913CED">
        <w:t>a consequence of the operational model each workstation</w:t>
      </w:r>
      <w:r>
        <w:t xml:space="preserve"> </w:t>
      </w:r>
      <w:r w:rsidR="00913CED">
        <w:t xml:space="preserve">would be </w:t>
      </w:r>
      <w:r>
        <w:t>evaluated</w:t>
      </w:r>
      <w:r w:rsidR="00913CED">
        <w:t xml:space="preserve"> in term of </w:t>
      </w:r>
      <w:r>
        <w:t xml:space="preserve">Workload </w:t>
      </w:r>
      <w:r w:rsidR="00913CED">
        <w:t xml:space="preserve">using 4 indicators: IV, CI, </w:t>
      </w:r>
      <w:r>
        <w:t>DI</w:t>
      </w:r>
      <w:r w:rsidR="00913CED">
        <w:t xml:space="preserve"> and PEI.</w:t>
      </w:r>
    </w:p>
    <w:p w14:paraId="5A23D03B" w14:textId="77777777" w:rsidR="009A495F" w:rsidRDefault="00C11FD0" w:rsidP="009A495F">
      <w:pPr>
        <w:pStyle w:val="CETHeading1"/>
      </w:pPr>
      <w:r>
        <w:t>Results</w:t>
      </w:r>
    </w:p>
    <w:p w14:paraId="2AF84159" w14:textId="52AA1319" w:rsidR="0046306D" w:rsidRDefault="0046306D" w:rsidP="00BB4E44">
      <w:pPr>
        <w:pStyle w:val="CETBodytext"/>
      </w:pPr>
      <w:r>
        <w:t xml:space="preserve">An area of 3 assembly lines of a medium-vehicle manufacturing plant was used to test the WL operational model. That entailed the analysis of more than 70 working-stations and for all the set of 4 indicators </w:t>
      </w:r>
      <w:r w:rsidR="00293E6B">
        <w:t xml:space="preserve">above mentioned was calculated. </w:t>
      </w:r>
      <w:r>
        <w:t>Figures</w:t>
      </w:r>
      <w:r w:rsidR="00293E6B">
        <w:t xml:space="preserve"> from 3 to </w:t>
      </w:r>
      <w:r w:rsidR="00BB4E44">
        <w:t>5</w:t>
      </w:r>
      <w:r w:rsidR="00293E6B">
        <w:t xml:space="preserve"> </w:t>
      </w:r>
      <w:r>
        <w:t xml:space="preserve">shows </w:t>
      </w:r>
      <w:r w:rsidR="00BB4E44">
        <w:t xml:space="preserve">as example </w:t>
      </w:r>
      <w:r>
        <w:t xml:space="preserve">the distribution of values of </w:t>
      </w:r>
      <w:r w:rsidR="00BB4E44">
        <w:t xml:space="preserve">3 </w:t>
      </w:r>
      <w:r w:rsidR="00F96A11" w:rsidRPr="00650E06">
        <w:t>indicator</w:t>
      </w:r>
      <w:r w:rsidRPr="00650E06">
        <w:t>.</w:t>
      </w:r>
      <w:r>
        <w:t xml:space="preserve"> Lines were named by a letter from A to C and working-stations were identified by a letter (corresponding to the line belonging) and a progressive number.</w:t>
      </w:r>
    </w:p>
    <w:p w14:paraId="10EFCBFA" w14:textId="77777777" w:rsidR="0046306D" w:rsidRDefault="0046306D" w:rsidP="0046306D">
      <w:pPr>
        <w:pStyle w:val="CETBodytext"/>
      </w:pPr>
    </w:p>
    <w:p w14:paraId="5A70E4B9" w14:textId="18F3665B" w:rsidR="00DD2B58" w:rsidRDefault="00BB4E44" w:rsidP="00DD2B58">
      <w:pPr>
        <w:pStyle w:val="CETBodytext"/>
      </w:pPr>
      <w:r>
        <w:rPr>
          <w:noProof/>
          <w:lang w:val="it-IT" w:eastAsia="it-IT"/>
        </w:rPr>
        <w:drawing>
          <wp:inline distT="0" distB="0" distL="0" distR="0" wp14:anchorId="4CAA717F" wp14:editId="08A33087">
            <wp:extent cx="5419726" cy="2957512"/>
            <wp:effectExtent l="0" t="0" r="9525" b="1460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803822C" w14:textId="77777777" w:rsidR="00293E6B" w:rsidRPr="00293E6B" w:rsidRDefault="00293E6B" w:rsidP="00293E6B">
      <w:pPr>
        <w:rPr>
          <w:i/>
        </w:rPr>
      </w:pPr>
      <w:r w:rsidRPr="00293E6B">
        <w:rPr>
          <w:i/>
        </w:rPr>
        <w:t>Figure 3: Variability index score.</w:t>
      </w:r>
    </w:p>
    <w:p w14:paraId="79A59A36" w14:textId="417B4205" w:rsidR="00DD2B58" w:rsidRDefault="00DD2B58" w:rsidP="00DD2B58">
      <w:pPr>
        <w:pStyle w:val="CETBodytext"/>
      </w:pPr>
    </w:p>
    <w:p w14:paraId="3F8D0850" w14:textId="77777777" w:rsidR="00DD2B58" w:rsidRDefault="00DD2B58" w:rsidP="00DD2B58">
      <w:pPr>
        <w:pStyle w:val="CETBodytext"/>
      </w:pPr>
    </w:p>
    <w:p w14:paraId="2084AEF2" w14:textId="4CD9ED96" w:rsidR="00DD2B58" w:rsidRDefault="00BB4E44" w:rsidP="00DD2B58">
      <w:pPr>
        <w:pStyle w:val="CETBodytext"/>
      </w:pPr>
      <w:r>
        <w:rPr>
          <w:noProof/>
          <w:lang w:val="it-IT" w:eastAsia="it-IT"/>
        </w:rPr>
        <w:drawing>
          <wp:inline distT="0" distB="0" distL="0" distR="0" wp14:anchorId="5F7C798B" wp14:editId="1D7E91CB">
            <wp:extent cx="5372102" cy="3333750"/>
            <wp:effectExtent l="0" t="0" r="0"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383123" w14:textId="1AAC6CF3" w:rsidR="00DD2B58" w:rsidRDefault="00293E6B" w:rsidP="00BB4E44">
      <w:pPr>
        <w:rPr>
          <w:i/>
        </w:rPr>
      </w:pPr>
      <w:r w:rsidRPr="00293E6B">
        <w:rPr>
          <w:i/>
        </w:rPr>
        <w:t xml:space="preserve">Figure </w:t>
      </w:r>
      <w:r w:rsidR="00BB4E44">
        <w:rPr>
          <w:i/>
        </w:rPr>
        <w:t>4</w:t>
      </w:r>
      <w:r w:rsidRPr="00293E6B">
        <w:rPr>
          <w:i/>
        </w:rPr>
        <w:t>: Dexterity index score.</w:t>
      </w:r>
    </w:p>
    <w:p w14:paraId="0FC1E089" w14:textId="77777777" w:rsidR="00293E6B" w:rsidRPr="00293E6B" w:rsidRDefault="00293E6B" w:rsidP="00293E6B">
      <w:pPr>
        <w:rPr>
          <w:i/>
        </w:rPr>
      </w:pPr>
    </w:p>
    <w:p w14:paraId="1BCFB2ED" w14:textId="23325C09" w:rsidR="00293E6B" w:rsidRDefault="002219AD" w:rsidP="00293E6B">
      <w:pPr>
        <w:pStyle w:val="CETBodytext"/>
      </w:pPr>
      <w:r>
        <w:rPr>
          <w:noProof/>
          <w:lang w:val="it-IT" w:eastAsia="it-IT"/>
        </w:rPr>
        <w:drawing>
          <wp:inline distT="0" distB="0" distL="0" distR="0" wp14:anchorId="5E0178E5" wp14:editId="692F319E">
            <wp:extent cx="5353051" cy="3252789"/>
            <wp:effectExtent l="0" t="0" r="0" b="5080"/>
            <wp:docPr id="11"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0FE8B2" w14:textId="1771D287" w:rsidR="00DD2B58" w:rsidRDefault="00293E6B" w:rsidP="00BB4E44">
      <w:pPr>
        <w:pStyle w:val="CETBodytext"/>
      </w:pPr>
      <w:r w:rsidRPr="00293E6B">
        <w:t xml:space="preserve">Figure </w:t>
      </w:r>
      <w:r w:rsidR="00BB4E44">
        <w:t>5</w:t>
      </w:r>
      <w:r w:rsidRPr="00293E6B">
        <w:t xml:space="preserve">: </w:t>
      </w:r>
      <w:r>
        <w:t xml:space="preserve">Physical effort </w:t>
      </w:r>
      <w:r w:rsidRPr="00293E6B">
        <w:t>index score.</w:t>
      </w:r>
    </w:p>
    <w:p w14:paraId="04A65632" w14:textId="77777777" w:rsidR="00BB4E44" w:rsidRDefault="00BB4E44" w:rsidP="00BB4E44">
      <w:pPr>
        <w:pStyle w:val="CETBodytext"/>
      </w:pPr>
    </w:p>
    <w:p w14:paraId="1F5EA9CA" w14:textId="05C9050E" w:rsidR="005D0ACD" w:rsidRPr="00650E06" w:rsidRDefault="00C11FD0" w:rsidP="00BB4E44">
      <w:pPr>
        <w:pStyle w:val="CETBodytext"/>
      </w:pPr>
      <w:r>
        <w:t xml:space="preserve">Figures from 3 to </w:t>
      </w:r>
      <w:r w:rsidR="00BB4E44">
        <w:t>5</w:t>
      </w:r>
      <w:r>
        <w:t xml:space="preserve"> highlights how each index was varying along the assembly lines, even if all working stations were characterized b</w:t>
      </w:r>
      <w:r w:rsidRPr="00650E06">
        <w:t xml:space="preserve">y the same tack-time. In </w:t>
      </w:r>
      <w:r w:rsidR="00F96A11" w:rsidRPr="00650E06">
        <w:t>addition,</w:t>
      </w:r>
      <w:r w:rsidRPr="00650E06">
        <w:t xml:space="preserve"> some work-stations can have higher scores in some index and lower in other index</w:t>
      </w:r>
      <w:r w:rsidR="005D0ACD" w:rsidRPr="00650E06">
        <w:t>.</w:t>
      </w:r>
      <w:r w:rsidRPr="00650E06">
        <w:t xml:space="preserve"> </w:t>
      </w:r>
      <w:r w:rsidR="005D0ACD" w:rsidRPr="00650E06">
        <w:t>T</w:t>
      </w:r>
      <w:r w:rsidRPr="00650E06">
        <w:t>h</w:t>
      </w:r>
      <w:r w:rsidR="005D0ACD" w:rsidRPr="00650E06">
        <w:t>is implies that each working station can implies a different level of workload even as total amount of workload even as workload composition.</w:t>
      </w:r>
      <w:r w:rsidR="00EA7877">
        <w:t xml:space="preserve"> WCI index had a similar variation.</w:t>
      </w:r>
    </w:p>
    <w:p w14:paraId="0DA47BE8" w14:textId="77777777" w:rsidR="005D0ACD" w:rsidRPr="00650E06" w:rsidRDefault="005D0ACD" w:rsidP="005D0ACD">
      <w:pPr>
        <w:pStyle w:val="CETBodytext"/>
      </w:pPr>
      <w:r w:rsidRPr="00650E06">
        <w:t>The 4</w:t>
      </w:r>
      <w:r w:rsidR="00F96A11" w:rsidRPr="00650E06">
        <w:rPr>
          <w:vertAlign w:val="superscript"/>
        </w:rPr>
        <w:t>th</w:t>
      </w:r>
      <w:r w:rsidRPr="00650E06">
        <w:t xml:space="preserve"> index system allowed a quantification of the workload requirements. </w:t>
      </w:r>
    </w:p>
    <w:p w14:paraId="7A323EBB" w14:textId="77777777" w:rsidR="009A495F" w:rsidRPr="00650E06" w:rsidRDefault="005D0ACD" w:rsidP="005D0ACD">
      <w:pPr>
        <w:pStyle w:val="CETHeading1"/>
      </w:pPr>
      <w:r w:rsidRPr="00650E06">
        <w:t>C</w:t>
      </w:r>
      <w:r w:rsidR="009A495F" w:rsidRPr="00650E06">
        <w:t>onclusion</w:t>
      </w:r>
    </w:p>
    <w:p w14:paraId="749D88C3" w14:textId="77777777" w:rsidR="003476BB" w:rsidRPr="00650E06" w:rsidRDefault="003476BB" w:rsidP="003476BB">
      <w:pPr>
        <w:pStyle w:val="CETBodytext"/>
        <w:rPr>
          <w:lang w:val="en-GB"/>
        </w:rPr>
      </w:pPr>
      <w:r w:rsidRPr="00650E06">
        <w:rPr>
          <w:lang w:val="en-GB"/>
        </w:rPr>
        <w:t>This work is part of two years industrial-academic project focused on Human Performance optimization.</w:t>
      </w:r>
    </w:p>
    <w:p w14:paraId="10BF8E18" w14:textId="126A0BBB" w:rsidR="004577FE" w:rsidRPr="00650E06" w:rsidRDefault="003476BB" w:rsidP="00CA50AE">
      <w:pPr>
        <w:pStyle w:val="CETBodytext"/>
        <w:rPr>
          <w:lang w:val="en-GB"/>
        </w:rPr>
      </w:pPr>
      <w:r w:rsidRPr="00650E06">
        <w:rPr>
          <w:lang w:val="en-GB"/>
        </w:rPr>
        <w:t>The main scope of this work was to develop a model to estimate Workload for an assembly process and to use this information to optimize human resources allocation and workstation assessment. This work was carried out using an empirical approach to be customised for the real working condition under analysis.</w:t>
      </w:r>
      <w:r w:rsidR="00CA50AE">
        <w:rPr>
          <w:lang w:val="en-GB"/>
        </w:rPr>
        <w:t xml:space="preserve"> </w:t>
      </w:r>
      <w:r w:rsidRPr="00650E06">
        <w:rPr>
          <w:lang w:val="en-GB"/>
        </w:rPr>
        <w:t>A case study of 3 lines and 75 working station was selected. On the basis of the WL operational model a set of 4 indicators w</w:t>
      </w:r>
      <w:r w:rsidR="00F96A11" w:rsidRPr="00650E06">
        <w:rPr>
          <w:lang w:val="en-GB"/>
        </w:rPr>
        <w:t>ere</w:t>
      </w:r>
      <w:r w:rsidRPr="00650E06">
        <w:rPr>
          <w:lang w:val="en-GB"/>
        </w:rPr>
        <w:t xml:space="preserve"> calculated for all workstations. Information collected highlighted how the amount and the composition of workload can </w:t>
      </w:r>
      <w:r w:rsidR="00F96A11" w:rsidRPr="00650E06">
        <w:rPr>
          <w:lang w:val="en-GB"/>
        </w:rPr>
        <w:t>differ</w:t>
      </w:r>
      <w:r w:rsidRPr="00650E06">
        <w:rPr>
          <w:lang w:val="en-GB"/>
        </w:rPr>
        <w:t xml:space="preserve"> along the assembly-lines. T</w:t>
      </w:r>
      <w:r w:rsidR="000F1C79" w:rsidRPr="00650E06">
        <w:rPr>
          <w:lang w:val="en-GB"/>
        </w:rPr>
        <w:t>he different level of WL can be used to support the process of workers allocation along the lines. In order to minimize the risk of human error a better matching worker-working station can be achieved considering the quantitative information calculated with the using of WL operational model.</w:t>
      </w:r>
      <w:r w:rsidR="00A97B6A" w:rsidRPr="00A97B6A">
        <w:t xml:space="preserve"> </w:t>
      </w:r>
      <w:r w:rsidR="00A97B6A" w:rsidRPr="00A97B6A">
        <w:rPr>
          <w:lang w:val="en-GB"/>
        </w:rPr>
        <w:t>The human capability assessment (Figure 1) is ongoing and will involves more than 150 workers.</w:t>
      </w:r>
      <w:r w:rsidR="000F1C79" w:rsidRPr="00650E06">
        <w:rPr>
          <w:lang w:val="en-GB"/>
        </w:rPr>
        <w:t xml:space="preserve"> </w:t>
      </w:r>
      <w:r w:rsidR="001428C5">
        <w:rPr>
          <w:lang w:val="en-GB"/>
        </w:rPr>
        <w:t xml:space="preserve">These results can be extended to all other field </w:t>
      </w:r>
      <w:r w:rsidR="00A97B6A" w:rsidRPr="00A97B6A">
        <w:rPr>
          <w:lang w:val="en-GB"/>
        </w:rPr>
        <w:t>where</w:t>
      </w:r>
      <w:r w:rsidR="00A97B6A">
        <w:rPr>
          <w:lang w:val="en-GB"/>
        </w:rPr>
        <w:t xml:space="preserve"> the </w:t>
      </w:r>
      <w:r w:rsidR="00A97B6A" w:rsidRPr="00A97B6A">
        <w:rPr>
          <w:lang w:val="en-GB"/>
        </w:rPr>
        <w:t xml:space="preserve">human factor as a relevant role </w:t>
      </w:r>
      <w:r w:rsidR="001428C5">
        <w:rPr>
          <w:lang w:val="en-GB"/>
        </w:rPr>
        <w:t>as discontinuous process or maintenance operation. A detailed WL assessment coupled to a human ca</w:t>
      </w:r>
      <w:r w:rsidR="00A97B6A">
        <w:rPr>
          <w:lang w:val="en-GB"/>
        </w:rPr>
        <w:t xml:space="preserve">pability assessment could contributes to human errors mitigation.  </w:t>
      </w:r>
    </w:p>
    <w:p w14:paraId="1FBAEAD0" w14:textId="77777777" w:rsidR="00600535" w:rsidRPr="00B57B36" w:rsidRDefault="00600535" w:rsidP="00600535">
      <w:pPr>
        <w:pStyle w:val="CETReference"/>
      </w:pPr>
      <w:r w:rsidRPr="00650E06">
        <w:t>References</w:t>
      </w:r>
    </w:p>
    <w:p w14:paraId="60CEFAF6" w14:textId="77777777" w:rsidR="00E65B91" w:rsidRDefault="00622644" w:rsidP="00600535">
      <w:pPr>
        <w:pStyle w:val="CETReferencetext"/>
      </w:pPr>
      <w:r w:rsidRPr="00622644">
        <w:t>Baine T.S., Benedettini, O., 2007 Modelling human performance within manufacturing systems design: from a theoretical towards a practical framework, Journal of Sim</w:t>
      </w:r>
      <w:r>
        <w:t>ulation, Volume 1, pp 121-1306. Na</w:t>
      </w:r>
      <w:r w:rsidRPr="00622644">
        <w:t>tional Center for Biotechnology Information.</w:t>
      </w:r>
    </w:p>
    <w:p w14:paraId="7F7EA18E" w14:textId="77777777" w:rsidR="009E6B41" w:rsidRDefault="009E6B41" w:rsidP="00600535">
      <w:pPr>
        <w:pStyle w:val="CETReferencetext"/>
      </w:pPr>
      <w:r w:rsidRPr="009E6B41">
        <w:t>Baines, T.S., Asch, R., Hadfield, L., Mason, J.P., Fletcher, S., Kay, J.M., 2005, Towards a theoretical framework for human performance modelling within manufacturing systems design. Simulation Modelling Practice and Theory, Vol. 13(6), pp. 451-524.</w:t>
      </w:r>
    </w:p>
    <w:p w14:paraId="3808BDE5" w14:textId="783D76D5" w:rsidR="005A2064" w:rsidRDefault="005A2064" w:rsidP="007E5856">
      <w:pPr>
        <w:pStyle w:val="CETReferencetext"/>
      </w:pPr>
      <w:r w:rsidRPr="005A2064">
        <w:t xml:space="preserve">Baldissone, G., Comberti, L., Bosca, S., Murè, </w:t>
      </w:r>
      <w:r w:rsidR="007E5856">
        <w:t>S</w:t>
      </w:r>
      <w:r w:rsidRPr="005A2064">
        <w:t xml:space="preserve">., 2018, The analysis and management of unsafe acts and unsafe conditions. Data collection and analysis. Safety Science, </w:t>
      </w:r>
      <w:r>
        <w:t>I</w:t>
      </w:r>
      <w:r w:rsidRPr="005A2064">
        <w:t xml:space="preserve">n press, </w:t>
      </w:r>
      <w:r w:rsidR="00B67DD0" w:rsidRPr="007E5856">
        <w:rPr>
          <w:rStyle w:val="Collegamentoipertestuale"/>
          <w:color w:val="auto"/>
          <w:u w:val="none"/>
        </w:rPr>
        <w:t>https://doi.org/10.1016/j.ssci.2018.10.006</w:t>
      </w:r>
      <w:r w:rsidRPr="00293E6B">
        <w:t>.</w:t>
      </w:r>
    </w:p>
    <w:p w14:paraId="07BB3435" w14:textId="152DCF7E" w:rsidR="00B67DD0" w:rsidRDefault="00B67DD0" w:rsidP="00CA50AE">
      <w:pPr>
        <w:pStyle w:val="CETReferencetext"/>
      </w:pPr>
      <w:r>
        <w:t>Comberti, L., Baldissone, G., Demichela, M., 2015</w:t>
      </w:r>
      <w:r w:rsidR="00CA50AE">
        <w:t>,b</w:t>
      </w:r>
      <w:r>
        <w:t>, Workplace accidents analysis with a coupled clustering methods: S.O.M. and K-means algorithms, Chemical Engineering Transactions, 43, pp. 1261-1266</w:t>
      </w:r>
      <w:r w:rsidR="00CA50AE">
        <w:t>.</w:t>
      </w:r>
    </w:p>
    <w:p w14:paraId="5F412506" w14:textId="2BD23BF8" w:rsidR="00CA50AE" w:rsidRPr="00CA50AE" w:rsidRDefault="00CA50AE" w:rsidP="00CA50AE">
      <w:pPr>
        <w:pStyle w:val="CETReferencetext"/>
        <w:rPr>
          <w:lang w:val="it-IT"/>
        </w:rPr>
      </w:pPr>
      <w:r w:rsidRPr="00CA50AE">
        <w:rPr>
          <w:lang w:val="it-IT"/>
        </w:rPr>
        <w:t>Comberti, L., Baldissone, G., Bosca, S., Demichela, M., Murè, S., Petruni, A., Djapan, M., Cencetti, S.</w:t>
      </w:r>
      <w:r>
        <w:rPr>
          <w:lang w:val="it-IT"/>
        </w:rPr>
        <w:t>, 2015b,</w:t>
      </w:r>
    </w:p>
    <w:p w14:paraId="305251BC" w14:textId="4E548B2E" w:rsidR="00CA50AE" w:rsidRDefault="00CA50AE" w:rsidP="00CA50AE">
      <w:pPr>
        <w:pStyle w:val="CETReferencetext"/>
        <w:ind w:firstLine="0"/>
      </w:pPr>
      <w:r>
        <w:t>Comparison of two methodologies for occupational accidents pre-cursors data collection. Safety and Reliability of Complex Engineered Systems - Proceedings of the 25th European Safety and Reliability Conference, ESREL 2015, pp. 3237-3244</w:t>
      </w:r>
    </w:p>
    <w:p w14:paraId="4269D707" w14:textId="08F6B6BF" w:rsidR="005A2064" w:rsidRDefault="005A2064" w:rsidP="005A2064">
      <w:pPr>
        <w:pStyle w:val="CETReferencetext"/>
      </w:pPr>
      <w:r w:rsidRPr="005A2064">
        <w:t>Comberti, L., Demichela, M., Baldissone, G., 2018</w:t>
      </w:r>
      <w:r w:rsidR="00CA50AE">
        <w:t>,</w:t>
      </w:r>
      <w:r w:rsidR="008569EF">
        <w:t>a</w:t>
      </w:r>
      <w:r w:rsidRPr="005A2064">
        <w:t>, A combined approach for the analysis of large occupational accident databases to support accident-prevention decision making</w:t>
      </w:r>
      <w:r>
        <w:t>. Safety Science, Vol.106, pp. 191-202.</w:t>
      </w:r>
    </w:p>
    <w:p w14:paraId="716B0367" w14:textId="3639F39C" w:rsidR="002A34C0" w:rsidRDefault="002A34C0" w:rsidP="00226AC2">
      <w:pPr>
        <w:pStyle w:val="CETReferencetext"/>
      </w:pPr>
      <w:r>
        <w:t>Comberti L., Demichela M., 2018</w:t>
      </w:r>
      <w:r w:rsidR="008569EF">
        <w:t>,</w:t>
      </w:r>
      <w:r w:rsidR="00226AC2">
        <w:t>b</w:t>
      </w:r>
      <w:r>
        <w:t>, Human factor assessment in assembly line: an operative model, Chemical</w:t>
      </w:r>
    </w:p>
    <w:p w14:paraId="316E7AC8" w14:textId="77777777" w:rsidR="002A34C0" w:rsidRDefault="002A34C0" w:rsidP="002A34C0">
      <w:pPr>
        <w:pStyle w:val="CETReferencetext"/>
        <w:ind w:left="567"/>
      </w:pPr>
      <w:r>
        <w:t>Engineering Transactions, 67, 109-114 DOI: 10.3303/CET1867019</w:t>
      </w:r>
    </w:p>
    <w:p w14:paraId="26F4F8A5" w14:textId="0C1754A8" w:rsidR="00BB07B9" w:rsidRDefault="00BB07B9" w:rsidP="00BB07B9">
      <w:pPr>
        <w:pStyle w:val="CETReferencetext"/>
      </w:pPr>
      <w:r w:rsidRPr="00BB07B9">
        <w:t xml:space="preserve">Comberti, L., Leva, M.C., Demichela, M., Desideri, S., </w:t>
      </w:r>
      <w:r w:rsidR="002219AD">
        <w:t>Baldissone, G., Modaffari, F., 2019</w:t>
      </w:r>
      <w:r w:rsidRPr="00BB07B9">
        <w:t xml:space="preserve">, An Empirical Approach to Workload and Human Capability Assessment in a Manufacturing Plant: Second International Symposium, H-WORKLOAD 2018, Amsterdam, The Netherlands, September 20-21, 2018, Revised Selected Papers.  </w:t>
      </w:r>
    </w:p>
    <w:p w14:paraId="74BBFE8E" w14:textId="77777777" w:rsidR="00E54F39" w:rsidRDefault="00E54F39" w:rsidP="00E54F39">
      <w:pPr>
        <w:pStyle w:val="CETReferencetext"/>
      </w:pPr>
      <w:r>
        <w:t>Groth, K.M., Mosleh, A., 2012, A data-informed PIF hierarchy for model – based Human Reliability</w:t>
      </w:r>
    </w:p>
    <w:p w14:paraId="6B219368" w14:textId="77777777" w:rsidR="00E54F39" w:rsidRPr="005A2064" w:rsidRDefault="00E54F39" w:rsidP="00E54F39">
      <w:pPr>
        <w:pStyle w:val="CETReferencetext"/>
        <w:ind w:left="0" w:firstLine="0"/>
      </w:pPr>
      <w:r>
        <w:t xml:space="preserve">       Analysis. Reliability Engineering and System Safety 108, pp.154-174.DOI: 10.1016/j.ress.2012.08.006.</w:t>
      </w:r>
    </w:p>
    <w:p w14:paraId="0220E682" w14:textId="77777777" w:rsidR="00934658" w:rsidRDefault="00934658" w:rsidP="00934658">
      <w:pPr>
        <w:ind w:left="284" w:hanging="284"/>
      </w:pPr>
      <w:r w:rsidRPr="00934658">
        <w:t>Hong K., Nagaraja R., Iovenitti,</w:t>
      </w:r>
      <w:r>
        <w:t xml:space="preserve"> P., </w:t>
      </w:r>
      <w:r w:rsidRPr="00934658">
        <w:t>Dunn,</w:t>
      </w:r>
      <w:r>
        <w:t xml:space="preserve"> M., 2007, </w:t>
      </w:r>
      <w:r w:rsidRPr="00934658">
        <w:t>A socio-technical Approach to Achieve Zero Defect Manufacturing of Complex Manual Assembly, Human Factor and Ergonomics in Manufacturing, Vol. 17 (2), pp. 137-148.</w:t>
      </w:r>
    </w:p>
    <w:p w14:paraId="4337C817" w14:textId="77777777" w:rsidR="002F73FE" w:rsidRDefault="002F73FE" w:rsidP="00934658">
      <w:pPr>
        <w:ind w:left="284" w:hanging="284"/>
      </w:pPr>
      <w:r w:rsidRPr="002F73FE">
        <w:t>Jung, H. S.,Jung HS. 2001.”Establishment of over-all workload assessment technique for various tasks and workplaces”. International Journal of Industrial Ergonomics 28: 341-353.</w:t>
      </w:r>
    </w:p>
    <w:p w14:paraId="4E040368" w14:textId="77777777" w:rsidR="00663D14" w:rsidRDefault="00663D14" w:rsidP="002A34C0">
      <w:pPr>
        <w:ind w:left="284" w:hanging="284"/>
      </w:pPr>
      <w:r w:rsidRPr="00663D14">
        <w:t>Leva, M.C., Caimo, A., Duane, R., Comberti, L., Demichela, M., 2018, Task complexity, and operators’ capabilities as predictor of human</w:t>
      </w:r>
      <w:r w:rsidR="002A34C0">
        <w:t xml:space="preserve"> </w:t>
      </w:r>
      <w:r w:rsidRPr="00663D14">
        <w:t>error: Modeling framework and an example of application</w:t>
      </w:r>
      <w:r>
        <w:t xml:space="preserve">. </w:t>
      </w:r>
      <w:r w:rsidR="002A34C0" w:rsidRPr="002A34C0">
        <w:t>European Safety and Reliability Conference, ESREL 201</w:t>
      </w:r>
      <w:r w:rsidR="002A34C0">
        <w:t>8</w:t>
      </w:r>
      <w:r w:rsidR="002A34C0" w:rsidRPr="002A34C0">
        <w:t xml:space="preserve">, At </w:t>
      </w:r>
      <w:r w:rsidR="002A34C0">
        <w:t>Trondheim</w:t>
      </w:r>
      <w:r w:rsidR="002A34C0" w:rsidRPr="002A34C0">
        <w:t xml:space="preserve">, </w:t>
      </w:r>
      <w:r w:rsidR="002A34C0">
        <w:t>Norway</w:t>
      </w:r>
      <w:r w:rsidR="002A34C0" w:rsidRPr="002A34C0">
        <w:t>.</w:t>
      </w:r>
    </w:p>
    <w:p w14:paraId="22CEA23C" w14:textId="77777777" w:rsidR="001E2F16" w:rsidRPr="00663D14" w:rsidRDefault="001E2F16" w:rsidP="001E2F16">
      <w:pPr>
        <w:ind w:left="284" w:hanging="284"/>
      </w:pPr>
      <w:r w:rsidRPr="001E2F16">
        <w:t>Leva, M. C., Comberti, L., Demichela, M., Duane, R.: Human performance modelling in</w:t>
      </w:r>
      <w:r>
        <w:t xml:space="preserve"> manufacturing: mental workload and task complexity. H-Workload 2017: The first international symposium on human mental workload, Dublin Institute of Technology, Dublin,Ireland, June 28-30.</w:t>
      </w:r>
    </w:p>
    <w:p w14:paraId="6C32A62B" w14:textId="77777777" w:rsidR="00D75BC8" w:rsidRDefault="00D75BC8" w:rsidP="00934658">
      <w:pPr>
        <w:ind w:left="284" w:hanging="284"/>
      </w:pPr>
      <w:r w:rsidRPr="00D75BC8">
        <w:t>Lin, L., C. g. Dr</w:t>
      </w:r>
      <w:r w:rsidR="00403085">
        <w:t>ury, and S.-W. Kim. 2001. Ergo</w:t>
      </w:r>
      <w:r w:rsidRPr="00D75BC8">
        <w:t>nomics and Quali</w:t>
      </w:r>
      <w:r w:rsidR="00403085">
        <w:t>ty in Paced Assembly Lines.</w:t>
      </w:r>
      <w:r w:rsidR="00663D14">
        <w:t xml:space="preserve"> Hu</w:t>
      </w:r>
      <w:r w:rsidRPr="00D75BC8">
        <w:t>man Factors and Ergonomics in Manufacturing 11: 377–382</w:t>
      </w:r>
      <w:r w:rsidR="00403085">
        <w:t>.</w:t>
      </w:r>
    </w:p>
    <w:p w14:paraId="422EB973" w14:textId="10CCD13F" w:rsidR="00B67DD0" w:rsidRDefault="00C915D5" w:rsidP="00B95EC2">
      <w:pPr>
        <w:ind w:left="284" w:hanging="284"/>
      </w:pPr>
      <w:r w:rsidRPr="00C915D5">
        <w:t>Miller, D.P., Swain, A.D., 1987, Human error and human reliability. Handbook Human Factor, Wiley-Interscience, New York</w:t>
      </w:r>
      <w:r w:rsidR="00C8086F">
        <w:t>.</w:t>
      </w:r>
      <w:bookmarkStart w:id="0" w:name="_GoBack"/>
      <w:bookmarkEnd w:id="0"/>
    </w:p>
    <w:sectPr w:rsidR="00B67DD0" w:rsidSect="0077098D">
      <w:type w:val="continuous"/>
      <w:pgSz w:w="11906" w:h="16838" w:code="9"/>
      <w:pgMar w:top="1701" w:right="1418" w:bottom="1701"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405B4E" w16cid:durableId="203D2D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5922D" w14:textId="77777777" w:rsidR="000976FF" w:rsidRDefault="000976FF" w:rsidP="004F5E36">
      <w:r>
        <w:separator/>
      </w:r>
    </w:p>
  </w:endnote>
  <w:endnote w:type="continuationSeparator" w:id="0">
    <w:p w14:paraId="3DB560AD" w14:textId="77777777" w:rsidR="000976FF" w:rsidRDefault="000976F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DFE24" w14:textId="77777777" w:rsidR="000976FF" w:rsidRDefault="000976FF" w:rsidP="004F5E36">
      <w:r>
        <w:separator/>
      </w:r>
    </w:p>
  </w:footnote>
  <w:footnote w:type="continuationSeparator" w:id="0">
    <w:p w14:paraId="4A162DF8" w14:textId="77777777" w:rsidR="000976FF" w:rsidRDefault="000976FF"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A7D1992"/>
    <w:multiLevelType w:val="hybridMultilevel"/>
    <w:tmpl w:val="599AC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AD7C08"/>
    <w:multiLevelType w:val="hybridMultilevel"/>
    <w:tmpl w:val="25467AAA"/>
    <w:lvl w:ilvl="0" w:tplc="A52CFD4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19"/>
  </w:num>
  <w:num w:numId="15">
    <w:abstractNumId w:val="21"/>
  </w:num>
  <w:num w:numId="16">
    <w:abstractNumId w:val="20"/>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793"/>
    <w:rsid w:val="00010F40"/>
    <w:rsid w:val="000117CB"/>
    <w:rsid w:val="00025272"/>
    <w:rsid w:val="0003148D"/>
    <w:rsid w:val="00047D7F"/>
    <w:rsid w:val="00051566"/>
    <w:rsid w:val="0005698F"/>
    <w:rsid w:val="00062A9A"/>
    <w:rsid w:val="00065058"/>
    <w:rsid w:val="00086C39"/>
    <w:rsid w:val="000976FF"/>
    <w:rsid w:val="000A03B2"/>
    <w:rsid w:val="000A3B79"/>
    <w:rsid w:val="000A6CBA"/>
    <w:rsid w:val="000D34BE"/>
    <w:rsid w:val="000E102F"/>
    <w:rsid w:val="000E36F1"/>
    <w:rsid w:val="000E3A73"/>
    <w:rsid w:val="000E414A"/>
    <w:rsid w:val="000F093C"/>
    <w:rsid w:val="000F16BD"/>
    <w:rsid w:val="000F1C79"/>
    <w:rsid w:val="000F39E4"/>
    <w:rsid w:val="000F787B"/>
    <w:rsid w:val="0012091F"/>
    <w:rsid w:val="00126BC2"/>
    <w:rsid w:val="001308B6"/>
    <w:rsid w:val="00130D5C"/>
    <w:rsid w:val="0013121F"/>
    <w:rsid w:val="00131FAB"/>
    <w:rsid w:val="00131FE6"/>
    <w:rsid w:val="0013263F"/>
    <w:rsid w:val="00134DE4"/>
    <w:rsid w:val="0014034D"/>
    <w:rsid w:val="001428C5"/>
    <w:rsid w:val="00150E59"/>
    <w:rsid w:val="00152DE3"/>
    <w:rsid w:val="001565F1"/>
    <w:rsid w:val="00162401"/>
    <w:rsid w:val="00162642"/>
    <w:rsid w:val="00164CF9"/>
    <w:rsid w:val="00184AD6"/>
    <w:rsid w:val="001B0349"/>
    <w:rsid w:val="001B65C1"/>
    <w:rsid w:val="001C684B"/>
    <w:rsid w:val="001D53FC"/>
    <w:rsid w:val="001D5A7D"/>
    <w:rsid w:val="001E2F16"/>
    <w:rsid w:val="001F42A5"/>
    <w:rsid w:val="001F7B9D"/>
    <w:rsid w:val="002219AD"/>
    <w:rsid w:val="002224B4"/>
    <w:rsid w:val="00226AC2"/>
    <w:rsid w:val="00235076"/>
    <w:rsid w:val="002447EF"/>
    <w:rsid w:val="00251550"/>
    <w:rsid w:val="00252C1A"/>
    <w:rsid w:val="00263B05"/>
    <w:rsid w:val="0027221A"/>
    <w:rsid w:val="00275B61"/>
    <w:rsid w:val="00282656"/>
    <w:rsid w:val="00293E6B"/>
    <w:rsid w:val="00296B83"/>
    <w:rsid w:val="002A34C0"/>
    <w:rsid w:val="002B78CE"/>
    <w:rsid w:val="002C2FB6"/>
    <w:rsid w:val="002C4431"/>
    <w:rsid w:val="002D5BCD"/>
    <w:rsid w:val="002D7B18"/>
    <w:rsid w:val="002E6F90"/>
    <w:rsid w:val="002F73FE"/>
    <w:rsid w:val="003009B7"/>
    <w:rsid w:val="00300E56"/>
    <w:rsid w:val="0030469C"/>
    <w:rsid w:val="00321CA6"/>
    <w:rsid w:val="00334C09"/>
    <w:rsid w:val="003350CF"/>
    <w:rsid w:val="003365E3"/>
    <w:rsid w:val="003476BB"/>
    <w:rsid w:val="003723D4"/>
    <w:rsid w:val="003745B0"/>
    <w:rsid w:val="00377FDC"/>
    <w:rsid w:val="00384CC8"/>
    <w:rsid w:val="003871FD"/>
    <w:rsid w:val="003A1E30"/>
    <w:rsid w:val="003A7D1C"/>
    <w:rsid w:val="003B304B"/>
    <w:rsid w:val="003B3146"/>
    <w:rsid w:val="003B60F3"/>
    <w:rsid w:val="003F015E"/>
    <w:rsid w:val="00400414"/>
    <w:rsid w:val="00403085"/>
    <w:rsid w:val="004125EF"/>
    <w:rsid w:val="0041446B"/>
    <w:rsid w:val="0044329C"/>
    <w:rsid w:val="004577FE"/>
    <w:rsid w:val="00457B9C"/>
    <w:rsid w:val="0046164A"/>
    <w:rsid w:val="004628D2"/>
    <w:rsid w:val="00462DCD"/>
    <w:rsid w:val="0046306D"/>
    <w:rsid w:val="004648AD"/>
    <w:rsid w:val="004703A9"/>
    <w:rsid w:val="004760DE"/>
    <w:rsid w:val="004A004E"/>
    <w:rsid w:val="004A24CF"/>
    <w:rsid w:val="004B6721"/>
    <w:rsid w:val="004C3D1D"/>
    <w:rsid w:val="004C7913"/>
    <w:rsid w:val="004E4DD6"/>
    <w:rsid w:val="004F5E36"/>
    <w:rsid w:val="00507B47"/>
    <w:rsid w:val="00507CC9"/>
    <w:rsid w:val="005119A5"/>
    <w:rsid w:val="00514600"/>
    <w:rsid w:val="005278B7"/>
    <w:rsid w:val="00532016"/>
    <w:rsid w:val="005346C8"/>
    <w:rsid w:val="00543E7D"/>
    <w:rsid w:val="00546B05"/>
    <w:rsid w:val="00547A68"/>
    <w:rsid w:val="005531C9"/>
    <w:rsid w:val="005A2064"/>
    <w:rsid w:val="005B2110"/>
    <w:rsid w:val="005B61E6"/>
    <w:rsid w:val="005C77E1"/>
    <w:rsid w:val="005D0ACD"/>
    <w:rsid w:val="005D6A2F"/>
    <w:rsid w:val="005E1A82"/>
    <w:rsid w:val="005E3CD8"/>
    <w:rsid w:val="005E794C"/>
    <w:rsid w:val="005F0A28"/>
    <w:rsid w:val="005F0E5E"/>
    <w:rsid w:val="005F78E1"/>
    <w:rsid w:val="00600535"/>
    <w:rsid w:val="00610CD6"/>
    <w:rsid w:val="00614EF0"/>
    <w:rsid w:val="00615BAF"/>
    <w:rsid w:val="00620DEE"/>
    <w:rsid w:val="00621F92"/>
    <w:rsid w:val="00622644"/>
    <w:rsid w:val="00625639"/>
    <w:rsid w:val="00631B33"/>
    <w:rsid w:val="0064184D"/>
    <w:rsid w:val="006422CC"/>
    <w:rsid w:val="00650E06"/>
    <w:rsid w:val="00660E3E"/>
    <w:rsid w:val="00662E74"/>
    <w:rsid w:val="006632C9"/>
    <w:rsid w:val="00663D14"/>
    <w:rsid w:val="00680C23"/>
    <w:rsid w:val="00686F1E"/>
    <w:rsid w:val="00693766"/>
    <w:rsid w:val="0069456F"/>
    <w:rsid w:val="006A3281"/>
    <w:rsid w:val="006B4888"/>
    <w:rsid w:val="006C2E45"/>
    <w:rsid w:val="006C359C"/>
    <w:rsid w:val="006C5579"/>
    <w:rsid w:val="006E00E1"/>
    <w:rsid w:val="006E737D"/>
    <w:rsid w:val="006F3F22"/>
    <w:rsid w:val="006F7C9B"/>
    <w:rsid w:val="0070195D"/>
    <w:rsid w:val="00720A24"/>
    <w:rsid w:val="007214E1"/>
    <w:rsid w:val="00732386"/>
    <w:rsid w:val="007447F3"/>
    <w:rsid w:val="0075386C"/>
    <w:rsid w:val="0075499F"/>
    <w:rsid w:val="007661C8"/>
    <w:rsid w:val="0077098D"/>
    <w:rsid w:val="007854E6"/>
    <w:rsid w:val="0079279E"/>
    <w:rsid w:val="007931FA"/>
    <w:rsid w:val="007A7BBA"/>
    <w:rsid w:val="007B0C50"/>
    <w:rsid w:val="007C1A43"/>
    <w:rsid w:val="007E1DC6"/>
    <w:rsid w:val="007E5856"/>
    <w:rsid w:val="0080205D"/>
    <w:rsid w:val="00813288"/>
    <w:rsid w:val="008168FC"/>
    <w:rsid w:val="00830996"/>
    <w:rsid w:val="008345F1"/>
    <w:rsid w:val="00854D6B"/>
    <w:rsid w:val="008569EF"/>
    <w:rsid w:val="00860044"/>
    <w:rsid w:val="0086373D"/>
    <w:rsid w:val="00865B07"/>
    <w:rsid w:val="008667EA"/>
    <w:rsid w:val="0087637F"/>
    <w:rsid w:val="008904B9"/>
    <w:rsid w:val="00892AD5"/>
    <w:rsid w:val="00895298"/>
    <w:rsid w:val="008A1512"/>
    <w:rsid w:val="008B276E"/>
    <w:rsid w:val="008C78C1"/>
    <w:rsid w:val="008D32B9"/>
    <w:rsid w:val="008D433B"/>
    <w:rsid w:val="008E566E"/>
    <w:rsid w:val="0090161A"/>
    <w:rsid w:val="00901EB6"/>
    <w:rsid w:val="00904C62"/>
    <w:rsid w:val="009074B1"/>
    <w:rsid w:val="00913CED"/>
    <w:rsid w:val="00914447"/>
    <w:rsid w:val="00924DAC"/>
    <w:rsid w:val="00927058"/>
    <w:rsid w:val="00934658"/>
    <w:rsid w:val="009450CE"/>
    <w:rsid w:val="00947179"/>
    <w:rsid w:val="0095164B"/>
    <w:rsid w:val="00954090"/>
    <w:rsid w:val="009573E7"/>
    <w:rsid w:val="009635B9"/>
    <w:rsid w:val="00963E05"/>
    <w:rsid w:val="00967D54"/>
    <w:rsid w:val="00996483"/>
    <w:rsid w:val="00996F5A"/>
    <w:rsid w:val="009A0A3E"/>
    <w:rsid w:val="009A495F"/>
    <w:rsid w:val="009B041A"/>
    <w:rsid w:val="009C4511"/>
    <w:rsid w:val="009C7C86"/>
    <w:rsid w:val="009D2FF7"/>
    <w:rsid w:val="009E6B41"/>
    <w:rsid w:val="009E7884"/>
    <w:rsid w:val="009E788A"/>
    <w:rsid w:val="009F0E08"/>
    <w:rsid w:val="00A1763D"/>
    <w:rsid w:val="00A17CEC"/>
    <w:rsid w:val="00A27EF0"/>
    <w:rsid w:val="00A37F0C"/>
    <w:rsid w:val="00A4772C"/>
    <w:rsid w:val="00A50B20"/>
    <w:rsid w:val="00A51390"/>
    <w:rsid w:val="00A513DB"/>
    <w:rsid w:val="00A54C14"/>
    <w:rsid w:val="00A60D13"/>
    <w:rsid w:val="00A619FC"/>
    <w:rsid w:val="00A72745"/>
    <w:rsid w:val="00A76EFC"/>
    <w:rsid w:val="00A91010"/>
    <w:rsid w:val="00A97B6A"/>
    <w:rsid w:val="00A97F29"/>
    <w:rsid w:val="00AA702E"/>
    <w:rsid w:val="00AA73C5"/>
    <w:rsid w:val="00AB0964"/>
    <w:rsid w:val="00AB5011"/>
    <w:rsid w:val="00AC7368"/>
    <w:rsid w:val="00AD16B9"/>
    <w:rsid w:val="00AE377D"/>
    <w:rsid w:val="00B02EAD"/>
    <w:rsid w:val="00B17FBD"/>
    <w:rsid w:val="00B315A6"/>
    <w:rsid w:val="00B31813"/>
    <w:rsid w:val="00B33365"/>
    <w:rsid w:val="00B545AC"/>
    <w:rsid w:val="00B57B36"/>
    <w:rsid w:val="00B67DD0"/>
    <w:rsid w:val="00B85EEF"/>
    <w:rsid w:val="00B8686D"/>
    <w:rsid w:val="00B950F4"/>
    <w:rsid w:val="00B95EC2"/>
    <w:rsid w:val="00B97D24"/>
    <w:rsid w:val="00BA79FB"/>
    <w:rsid w:val="00BB07B9"/>
    <w:rsid w:val="00BB4E44"/>
    <w:rsid w:val="00BB4E48"/>
    <w:rsid w:val="00BC30C9"/>
    <w:rsid w:val="00BD0622"/>
    <w:rsid w:val="00BD6F58"/>
    <w:rsid w:val="00BD7F9D"/>
    <w:rsid w:val="00BE3E58"/>
    <w:rsid w:val="00C01616"/>
    <w:rsid w:val="00C0162B"/>
    <w:rsid w:val="00C02757"/>
    <w:rsid w:val="00C11FD0"/>
    <w:rsid w:val="00C31A7D"/>
    <w:rsid w:val="00C345B1"/>
    <w:rsid w:val="00C40142"/>
    <w:rsid w:val="00C57182"/>
    <w:rsid w:val="00C57863"/>
    <w:rsid w:val="00C63116"/>
    <w:rsid w:val="00C655FD"/>
    <w:rsid w:val="00C8086F"/>
    <w:rsid w:val="00C870A8"/>
    <w:rsid w:val="00C915D5"/>
    <w:rsid w:val="00C94434"/>
    <w:rsid w:val="00CA0851"/>
    <w:rsid w:val="00CA0D75"/>
    <w:rsid w:val="00CA1C95"/>
    <w:rsid w:val="00CA50AE"/>
    <w:rsid w:val="00CA5A9C"/>
    <w:rsid w:val="00CD3517"/>
    <w:rsid w:val="00CD5A00"/>
    <w:rsid w:val="00CD5FE2"/>
    <w:rsid w:val="00CE7C68"/>
    <w:rsid w:val="00D02B4C"/>
    <w:rsid w:val="00D040C4"/>
    <w:rsid w:val="00D4332C"/>
    <w:rsid w:val="00D57683"/>
    <w:rsid w:val="00D57C84"/>
    <w:rsid w:val="00D6057D"/>
    <w:rsid w:val="00D75BC8"/>
    <w:rsid w:val="00D84576"/>
    <w:rsid w:val="00DA08BD"/>
    <w:rsid w:val="00DA1399"/>
    <w:rsid w:val="00DA24C6"/>
    <w:rsid w:val="00DA4D7B"/>
    <w:rsid w:val="00DD2B58"/>
    <w:rsid w:val="00DE264A"/>
    <w:rsid w:val="00DF2167"/>
    <w:rsid w:val="00E02D18"/>
    <w:rsid w:val="00E041E7"/>
    <w:rsid w:val="00E14F36"/>
    <w:rsid w:val="00E158A1"/>
    <w:rsid w:val="00E16590"/>
    <w:rsid w:val="00E23CA1"/>
    <w:rsid w:val="00E26995"/>
    <w:rsid w:val="00E364CF"/>
    <w:rsid w:val="00E409A8"/>
    <w:rsid w:val="00E50C12"/>
    <w:rsid w:val="00E54F39"/>
    <w:rsid w:val="00E65B91"/>
    <w:rsid w:val="00E7209D"/>
    <w:rsid w:val="00E77223"/>
    <w:rsid w:val="00E8528B"/>
    <w:rsid w:val="00E85B94"/>
    <w:rsid w:val="00E978D0"/>
    <w:rsid w:val="00E97FE8"/>
    <w:rsid w:val="00EA4613"/>
    <w:rsid w:val="00EA7877"/>
    <w:rsid w:val="00EA7F91"/>
    <w:rsid w:val="00EB1523"/>
    <w:rsid w:val="00EC0E49"/>
    <w:rsid w:val="00EC6F3B"/>
    <w:rsid w:val="00EE0131"/>
    <w:rsid w:val="00EE229B"/>
    <w:rsid w:val="00F155B2"/>
    <w:rsid w:val="00F30C64"/>
    <w:rsid w:val="00F32CDB"/>
    <w:rsid w:val="00F37DDC"/>
    <w:rsid w:val="00F56932"/>
    <w:rsid w:val="00F63A70"/>
    <w:rsid w:val="00F93AC0"/>
    <w:rsid w:val="00F93DA5"/>
    <w:rsid w:val="00F96A11"/>
    <w:rsid w:val="00FA21D0"/>
    <w:rsid w:val="00FA3DDF"/>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F2909"/>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Foglio_di_lavoro_di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Foglio_di_lavoro_di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Foglio_di_lavoro_di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it-IT" b="1">
                <a:solidFill>
                  <a:sysClr val="windowText" lastClr="000000"/>
                </a:solidFill>
              </a:rPr>
              <a:t>Variability Index (IV)</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tx1"/>
            </a:solidFill>
            <a:ln>
              <a:noFill/>
            </a:ln>
            <a:effectLst/>
          </c:spPr>
          <c:invertIfNegative val="0"/>
          <c:cat>
            <c:strRef>
              <c:f>'linee per paper'!$C$9:$C$92</c:f>
              <c:strCache>
                <c:ptCount val="84"/>
                <c:pt idx="0">
                  <c:v>A1</c:v>
                </c:pt>
                <c:pt idx="1">
                  <c:v>A2</c:v>
                </c:pt>
                <c:pt idx="2">
                  <c:v>A3</c:v>
                </c:pt>
                <c:pt idx="3">
                  <c:v>A4</c:v>
                </c:pt>
                <c:pt idx="4">
                  <c:v>A5</c:v>
                </c:pt>
                <c:pt idx="5">
                  <c:v>A6</c:v>
                </c:pt>
                <c:pt idx="6">
                  <c:v>A7</c:v>
                </c:pt>
                <c:pt idx="7">
                  <c:v>A8</c:v>
                </c:pt>
                <c:pt idx="8">
                  <c:v>A9</c:v>
                </c:pt>
                <c:pt idx="9">
                  <c:v>A10</c:v>
                </c:pt>
                <c:pt idx="10">
                  <c:v>A11</c:v>
                </c:pt>
                <c:pt idx="11">
                  <c:v>A12</c:v>
                </c:pt>
                <c:pt idx="12">
                  <c:v>A13</c:v>
                </c:pt>
                <c:pt idx="13">
                  <c:v>A14</c:v>
                </c:pt>
                <c:pt idx="14">
                  <c:v>A15</c:v>
                </c:pt>
                <c:pt idx="15">
                  <c:v>A16</c:v>
                </c:pt>
                <c:pt idx="16">
                  <c:v>A17</c:v>
                </c:pt>
                <c:pt idx="17">
                  <c:v>A18</c:v>
                </c:pt>
                <c:pt idx="18">
                  <c:v>A19</c:v>
                </c:pt>
                <c:pt idx="19">
                  <c:v>A20</c:v>
                </c:pt>
                <c:pt idx="20">
                  <c:v>A21</c:v>
                </c:pt>
                <c:pt idx="21">
                  <c:v>A22</c:v>
                </c:pt>
                <c:pt idx="22">
                  <c:v>A23</c:v>
                </c:pt>
                <c:pt idx="23">
                  <c:v>A24</c:v>
                </c:pt>
                <c:pt idx="24">
                  <c:v>A25</c:v>
                </c:pt>
                <c:pt idx="25">
                  <c:v>A26</c:v>
                </c:pt>
                <c:pt idx="26">
                  <c:v>A27</c:v>
                </c:pt>
                <c:pt idx="27">
                  <c:v>A28</c:v>
                </c:pt>
                <c:pt idx="28">
                  <c:v>A29</c:v>
                </c:pt>
                <c:pt idx="29">
                  <c:v>A30</c:v>
                </c:pt>
                <c:pt idx="30">
                  <c:v>B1</c:v>
                </c:pt>
                <c:pt idx="31">
                  <c:v>B2</c:v>
                </c:pt>
                <c:pt idx="32">
                  <c:v>B3</c:v>
                </c:pt>
                <c:pt idx="33">
                  <c:v>B4</c:v>
                </c:pt>
                <c:pt idx="34">
                  <c:v>B5</c:v>
                </c:pt>
                <c:pt idx="35">
                  <c:v>B6</c:v>
                </c:pt>
                <c:pt idx="36">
                  <c:v>B7</c:v>
                </c:pt>
                <c:pt idx="37">
                  <c:v>B8</c:v>
                </c:pt>
                <c:pt idx="38">
                  <c:v>B9</c:v>
                </c:pt>
                <c:pt idx="39">
                  <c:v>B10</c:v>
                </c:pt>
                <c:pt idx="40">
                  <c:v>B11</c:v>
                </c:pt>
                <c:pt idx="41">
                  <c:v>B12</c:v>
                </c:pt>
                <c:pt idx="42">
                  <c:v>B13</c:v>
                </c:pt>
                <c:pt idx="43">
                  <c:v>B14</c:v>
                </c:pt>
                <c:pt idx="44">
                  <c:v>B15</c:v>
                </c:pt>
                <c:pt idx="45">
                  <c:v>B16</c:v>
                </c:pt>
                <c:pt idx="46">
                  <c:v>B17</c:v>
                </c:pt>
                <c:pt idx="47">
                  <c:v>B18</c:v>
                </c:pt>
                <c:pt idx="48">
                  <c:v>B19</c:v>
                </c:pt>
                <c:pt idx="49">
                  <c:v>B20</c:v>
                </c:pt>
                <c:pt idx="50">
                  <c:v>B21</c:v>
                </c:pt>
                <c:pt idx="51">
                  <c:v>B22</c:v>
                </c:pt>
                <c:pt idx="52">
                  <c:v>B23</c:v>
                </c:pt>
                <c:pt idx="53">
                  <c:v>B24</c:v>
                </c:pt>
                <c:pt idx="54">
                  <c:v>B25</c:v>
                </c:pt>
                <c:pt idx="55">
                  <c:v>B26</c:v>
                </c:pt>
                <c:pt idx="56">
                  <c:v>B27</c:v>
                </c:pt>
                <c:pt idx="57">
                  <c:v>B28</c:v>
                </c:pt>
                <c:pt idx="58">
                  <c:v>B29</c:v>
                </c:pt>
                <c:pt idx="59">
                  <c:v>B30</c:v>
                </c:pt>
                <c:pt idx="60">
                  <c:v>B31</c:v>
                </c:pt>
                <c:pt idx="61">
                  <c:v>C1</c:v>
                </c:pt>
                <c:pt idx="62">
                  <c:v>C2</c:v>
                </c:pt>
                <c:pt idx="63">
                  <c:v>C3</c:v>
                </c:pt>
                <c:pt idx="64">
                  <c:v>C4</c:v>
                </c:pt>
                <c:pt idx="65">
                  <c:v>C5</c:v>
                </c:pt>
                <c:pt idx="66">
                  <c:v>C6</c:v>
                </c:pt>
                <c:pt idx="67">
                  <c:v>C7</c:v>
                </c:pt>
                <c:pt idx="68">
                  <c:v>C8</c:v>
                </c:pt>
                <c:pt idx="69">
                  <c:v>C9</c:v>
                </c:pt>
                <c:pt idx="70">
                  <c:v>C10</c:v>
                </c:pt>
                <c:pt idx="71">
                  <c:v>C11</c:v>
                </c:pt>
                <c:pt idx="72">
                  <c:v>C12</c:v>
                </c:pt>
                <c:pt idx="73">
                  <c:v>C13</c:v>
                </c:pt>
                <c:pt idx="74">
                  <c:v>C14</c:v>
                </c:pt>
                <c:pt idx="75">
                  <c:v>C15</c:v>
                </c:pt>
                <c:pt idx="76">
                  <c:v>C16</c:v>
                </c:pt>
                <c:pt idx="77">
                  <c:v>C17</c:v>
                </c:pt>
                <c:pt idx="78">
                  <c:v>C18</c:v>
                </c:pt>
                <c:pt idx="79">
                  <c:v>C19</c:v>
                </c:pt>
                <c:pt idx="80">
                  <c:v>C20</c:v>
                </c:pt>
                <c:pt idx="81">
                  <c:v>C21</c:v>
                </c:pt>
                <c:pt idx="82">
                  <c:v>C22</c:v>
                </c:pt>
                <c:pt idx="83">
                  <c:v>C23</c:v>
                </c:pt>
              </c:strCache>
            </c:strRef>
          </c:cat>
          <c:val>
            <c:numRef>
              <c:f>'linee per paper'!$F$9:$F$92</c:f>
              <c:numCache>
                <c:formatCode>General</c:formatCode>
                <c:ptCount val="84"/>
                <c:pt idx="0">
                  <c:v>8</c:v>
                </c:pt>
                <c:pt idx="1">
                  <c:v>6</c:v>
                </c:pt>
                <c:pt idx="2">
                  <c:v>5</c:v>
                </c:pt>
                <c:pt idx="3">
                  <c:v>1</c:v>
                </c:pt>
                <c:pt idx="4">
                  <c:v>5</c:v>
                </c:pt>
                <c:pt idx="5">
                  <c:v>4</c:v>
                </c:pt>
                <c:pt idx="6">
                  <c:v>7</c:v>
                </c:pt>
                <c:pt idx="7">
                  <c:v>7</c:v>
                </c:pt>
                <c:pt idx="8">
                  <c:v>7</c:v>
                </c:pt>
                <c:pt idx="9">
                  <c:v>1</c:v>
                </c:pt>
                <c:pt idx="10">
                  <c:v>8</c:v>
                </c:pt>
                <c:pt idx="11">
                  <c:v>10</c:v>
                </c:pt>
                <c:pt idx="12">
                  <c:v>1</c:v>
                </c:pt>
                <c:pt idx="13">
                  <c:v>10</c:v>
                </c:pt>
                <c:pt idx="14">
                  <c:v>4</c:v>
                </c:pt>
                <c:pt idx="15">
                  <c:v>9</c:v>
                </c:pt>
                <c:pt idx="16">
                  <c:v>4</c:v>
                </c:pt>
                <c:pt idx="17">
                  <c:v>4</c:v>
                </c:pt>
                <c:pt idx="18">
                  <c:v>5</c:v>
                </c:pt>
                <c:pt idx="19">
                  <c:v>6</c:v>
                </c:pt>
                <c:pt idx="20">
                  <c:v>5</c:v>
                </c:pt>
                <c:pt idx="21">
                  <c:v>10</c:v>
                </c:pt>
                <c:pt idx="22">
                  <c:v>1</c:v>
                </c:pt>
                <c:pt idx="23">
                  <c:v>10</c:v>
                </c:pt>
                <c:pt idx="24">
                  <c:v>10</c:v>
                </c:pt>
                <c:pt idx="25">
                  <c:v>5</c:v>
                </c:pt>
                <c:pt idx="26">
                  <c:v>5</c:v>
                </c:pt>
                <c:pt idx="27">
                  <c:v>9</c:v>
                </c:pt>
                <c:pt idx="28">
                  <c:v>8</c:v>
                </c:pt>
                <c:pt idx="29">
                  <c:v>8</c:v>
                </c:pt>
                <c:pt idx="30">
                  <c:v>6</c:v>
                </c:pt>
                <c:pt idx="31">
                  <c:v>5</c:v>
                </c:pt>
                <c:pt idx="32">
                  <c:v>5</c:v>
                </c:pt>
                <c:pt idx="33">
                  <c:v>1</c:v>
                </c:pt>
                <c:pt idx="34">
                  <c:v>1</c:v>
                </c:pt>
                <c:pt idx="35">
                  <c:v>1</c:v>
                </c:pt>
                <c:pt idx="36">
                  <c:v>7</c:v>
                </c:pt>
                <c:pt idx="37">
                  <c:v>1</c:v>
                </c:pt>
                <c:pt idx="38">
                  <c:v>1</c:v>
                </c:pt>
                <c:pt idx="39">
                  <c:v>7</c:v>
                </c:pt>
                <c:pt idx="40">
                  <c:v>1</c:v>
                </c:pt>
                <c:pt idx="41">
                  <c:v>1</c:v>
                </c:pt>
                <c:pt idx="42">
                  <c:v>1</c:v>
                </c:pt>
                <c:pt idx="43">
                  <c:v>1</c:v>
                </c:pt>
                <c:pt idx="44">
                  <c:v>4</c:v>
                </c:pt>
                <c:pt idx="45">
                  <c:v>1</c:v>
                </c:pt>
                <c:pt idx="46">
                  <c:v>1</c:v>
                </c:pt>
                <c:pt idx="47">
                  <c:v>1</c:v>
                </c:pt>
                <c:pt idx="48">
                  <c:v>1</c:v>
                </c:pt>
                <c:pt idx="49">
                  <c:v>10</c:v>
                </c:pt>
                <c:pt idx="50">
                  <c:v>7</c:v>
                </c:pt>
                <c:pt idx="51">
                  <c:v>7</c:v>
                </c:pt>
                <c:pt idx="52">
                  <c:v>5</c:v>
                </c:pt>
                <c:pt idx="53">
                  <c:v>5</c:v>
                </c:pt>
                <c:pt idx="54">
                  <c:v>5</c:v>
                </c:pt>
                <c:pt idx="55">
                  <c:v>1</c:v>
                </c:pt>
                <c:pt idx="56">
                  <c:v>3</c:v>
                </c:pt>
                <c:pt idx="57">
                  <c:v>5</c:v>
                </c:pt>
                <c:pt idx="58">
                  <c:v>1</c:v>
                </c:pt>
                <c:pt idx="59">
                  <c:v>1</c:v>
                </c:pt>
                <c:pt idx="60">
                  <c:v>1</c:v>
                </c:pt>
                <c:pt idx="61" formatCode="0">
                  <c:v>1</c:v>
                </c:pt>
                <c:pt idx="62" formatCode="0">
                  <c:v>5</c:v>
                </c:pt>
                <c:pt idx="63" formatCode="0">
                  <c:v>6</c:v>
                </c:pt>
                <c:pt idx="64" formatCode="0">
                  <c:v>5</c:v>
                </c:pt>
                <c:pt idx="65" formatCode="0">
                  <c:v>5</c:v>
                </c:pt>
                <c:pt idx="66" formatCode="0">
                  <c:v>5</c:v>
                </c:pt>
                <c:pt idx="67" formatCode="0">
                  <c:v>6</c:v>
                </c:pt>
                <c:pt idx="68" formatCode="0">
                  <c:v>5</c:v>
                </c:pt>
                <c:pt idx="69" formatCode="0">
                  <c:v>1</c:v>
                </c:pt>
                <c:pt idx="70" formatCode="0">
                  <c:v>1</c:v>
                </c:pt>
                <c:pt idx="71" formatCode="0">
                  <c:v>3</c:v>
                </c:pt>
                <c:pt idx="72" formatCode="0">
                  <c:v>4</c:v>
                </c:pt>
                <c:pt idx="73" formatCode="0">
                  <c:v>1</c:v>
                </c:pt>
                <c:pt idx="74" formatCode="0">
                  <c:v>1</c:v>
                </c:pt>
                <c:pt idx="75" formatCode="0">
                  <c:v>3</c:v>
                </c:pt>
                <c:pt idx="76" formatCode="0">
                  <c:v>1</c:v>
                </c:pt>
                <c:pt idx="77" formatCode="0">
                  <c:v>8</c:v>
                </c:pt>
                <c:pt idx="78" formatCode="0">
                  <c:v>1</c:v>
                </c:pt>
                <c:pt idx="79" formatCode="0">
                  <c:v>1</c:v>
                </c:pt>
                <c:pt idx="80" formatCode="0">
                  <c:v>1</c:v>
                </c:pt>
                <c:pt idx="81" formatCode="0">
                  <c:v>4</c:v>
                </c:pt>
                <c:pt idx="82" formatCode="0">
                  <c:v>4</c:v>
                </c:pt>
                <c:pt idx="83" formatCode="0">
                  <c:v>5</c:v>
                </c:pt>
              </c:numCache>
            </c:numRef>
          </c:val>
        </c:ser>
        <c:dLbls>
          <c:showLegendKey val="0"/>
          <c:showVal val="0"/>
          <c:showCatName val="0"/>
          <c:showSerName val="0"/>
          <c:showPercent val="0"/>
          <c:showBubbleSize val="0"/>
        </c:dLbls>
        <c:gapWidth val="219"/>
        <c:overlap val="-27"/>
        <c:axId val="-1031215696"/>
        <c:axId val="-1031222224"/>
      </c:barChart>
      <c:catAx>
        <c:axId val="-1031215696"/>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Working-stations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it-IT"/>
          </a:p>
        </c:txPr>
        <c:crossAx val="-1031222224"/>
        <c:crosses val="autoZero"/>
        <c:auto val="1"/>
        <c:lblAlgn val="ctr"/>
        <c:lblOffset val="100"/>
        <c:noMultiLvlLbl val="0"/>
      </c:catAx>
      <c:valAx>
        <c:axId val="-1031222224"/>
        <c:scaling>
          <c:orientation val="minMax"/>
          <c:max val="1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IV score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it-IT"/>
          </a:p>
        </c:txPr>
        <c:crossAx val="-1031215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it-IT" b="1">
                <a:solidFill>
                  <a:sysClr val="windowText" lastClr="000000"/>
                </a:solidFill>
              </a:rPr>
              <a:t>Dexterity Index (DI)</a:t>
            </a:r>
          </a:p>
        </c:rich>
      </c:tx>
      <c:layout>
        <c:manualLayout>
          <c:xMode val="edge"/>
          <c:yMode val="edge"/>
          <c:x val="0.35458109036897628"/>
          <c:y val="6.1853768278965132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it-IT"/>
        </a:p>
      </c:txPr>
    </c:title>
    <c:autoTitleDeleted val="0"/>
    <c:plotArea>
      <c:layout>
        <c:manualLayout>
          <c:layoutTarget val="inner"/>
          <c:xMode val="edge"/>
          <c:yMode val="edge"/>
          <c:x val="8.0016052474987207E-2"/>
          <c:y val="0.1352806899137608"/>
          <c:w val="0.89598381452318465"/>
          <c:h val="0.72088764946048411"/>
        </c:manualLayout>
      </c:layout>
      <c:barChart>
        <c:barDir val="col"/>
        <c:grouping val="clustered"/>
        <c:varyColors val="0"/>
        <c:ser>
          <c:idx val="0"/>
          <c:order val="0"/>
          <c:spPr>
            <a:solidFill>
              <a:schemeClr val="tx1"/>
            </a:solidFill>
            <a:ln>
              <a:noFill/>
            </a:ln>
            <a:effectLst/>
          </c:spPr>
          <c:invertIfNegative val="0"/>
          <c:cat>
            <c:strRef>
              <c:f>'linee per paper'!$C$9:$C$92</c:f>
              <c:strCache>
                <c:ptCount val="84"/>
                <c:pt idx="0">
                  <c:v>A1</c:v>
                </c:pt>
                <c:pt idx="1">
                  <c:v>A2</c:v>
                </c:pt>
                <c:pt idx="2">
                  <c:v>A3</c:v>
                </c:pt>
                <c:pt idx="3">
                  <c:v>A4</c:v>
                </c:pt>
                <c:pt idx="4">
                  <c:v>A5</c:v>
                </c:pt>
                <c:pt idx="5">
                  <c:v>A6</c:v>
                </c:pt>
                <c:pt idx="6">
                  <c:v>A7</c:v>
                </c:pt>
                <c:pt idx="7">
                  <c:v>A8</c:v>
                </c:pt>
                <c:pt idx="8">
                  <c:v>A9</c:v>
                </c:pt>
                <c:pt idx="9">
                  <c:v>A10</c:v>
                </c:pt>
                <c:pt idx="10">
                  <c:v>A11</c:v>
                </c:pt>
                <c:pt idx="11">
                  <c:v>A12</c:v>
                </c:pt>
                <c:pt idx="12">
                  <c:v>A13</c:v>
                </c:pt>
                <c:pt idx="13">
                  <c:v>A14</c:v>
                </c:pt>
                <c:pt idx="14">
                  <c:v>A15</c:v>
                </c:pt>
                <c:pt idx="15">
                  <c:v>A16</c:v>
                </c:pt>
                <c:pt idx="16">
                  <c:v>A17</c:v>
                </c:pt>
                <c:pt idx="17">
                  <c:v>A18</c:v>
                </c:pt>
                <c:pt idx="18">
                  <c:v>A19</c:v>
                </c:pt>
                <c:pt idx="19">
                  <c:v>A20</c:v>
                </c:pt>
                <c:pt idx="20">
                  <c:v>A21</c:v>
                </c:pt>
                <c:pt idx="21">
                  <c:v>A22</c:v>
                </c:pt>
                <c:pt idx="22">
                  <c:v>A23</c:v>
                </c:pt>
                <c:pt idx="23">
                  <c:v>A24</c:v>
                </c:pt>
                <c:pt idx="24">
                  <c:v>A25</c:v>
                </c:pt>
                <c:pt idx="25">
                  <c:v>A26</c:v>
                </c:pt>
                <c:pt idx="26">
                  <c:v>A27</c:v>
                </c:pt>
                <c:pt idx="27">
                  <c:v>A28</c:v>
                </c:pt>
                <c:pt idx="28">
                  <c:v>A29</c:v>
                </c:pt>
                <c:pt idx="29">
                  <c:v>A30</c:v>
                </c:pt>
                <c:pt idx="30">
                  <c:v>B1</c:v>
                </c:pt>
                <c:pt idx="31">
                  <c:v>B2</c:v>
                </c:pt>
                <c:pt idx="32">
                  <c:v>B3</c:v>
                </c:pt>
                <c:pt idx="33">
                  <c:v>B4</c:v>
                </c:pt>
                <c:pt idx="34">
                  <c:v>B5</c:v>
                </c:pt>
                <c:pt idx="35">
                  <c:v>B6</c:v>
                </c:pt>
                <c:pt idx="36">
                  <c:v>B7</c:v>
                </c:pt>
                <c:pt idx="37">
                  <c:v>B8</c:v>
                </c:pt>
                <c:pt idx="38">
                  <c:v>B9</c:v>
                </c:pt>
                <c:pt idx="39">
                  <c:v>B10</c:v>
                </c:pt>
                <c:pt idx="40">
                  <c:v>B11</c:v>
                </c:pt>
                <c:pt idx="41">
                  <c:v>B12</c:v>
                </c:pt>
                <c:pt idx="42">
                  <c:v>B13</c:v>
                </c:pt>
                <c:pt idx="43">
                  <c:v>B14</c:v>
                </c:pt>
                <c:pt idx="44">
                  <c:v>B15</c:v>
                </c:pt>
                <c:pt idx="45">
                  <c:v>B16</c:v>
                </c:pt>
                <c:pt idx="46">
                  <c:v>B17</c:v>
                </c:pt>
                <c:pt idx="47">
                  <c:v>B18</c:v>
                </c:pt>
                <c:pt idx="48">
                  <c:v>B19</c:v>
                </c:pt>
                <c:pt idx="49">
                  <c:v>B20</c:v>
                </c:pt>
                <c:pt idx="50">
                  <c:v>B21</c:v>
                </c:pt>
                <c:pt idx="51">
                  <c:v>B22</c:v>
                </c:pt>
                <c:pt idx="52">
                  <c:v>B23</c:v>
                </c:pt>
                <c:pt idx="53">
                  <c:v>B24</c:v>
                </c:pt>
                <c:pt idx="54">
                  <c:v>B25</c:v>
                </c:pt>
                <c:pt idx="55">
                  <c:v>B26</c:v>
                </c:pt>
                <c:pt idx="56">
                  <c:v>B27</c:v>
                </c:pt>
                <c:pt idx="57">
                  <c:v>B28</c:v>
                </c:pt>
                <c:pt idx="58">
                  <c:v>B29</c:v>
                </c:pt>
                <c:pt idx="59">
                  <c:v>B30</c:v>
                </c:pt>
                <c:pt idx="60">
                  <c:v>B31</c:v>
                </c:pt>
                <c:pt idx="61">
                  <c:v>C1</c:v>
                </c:pt>
                <c:pt idx="62">
                  <c:v>C2</c:v>
                </c:pt>
                <c:pt idx="63">
                  <c:v>C3</c:v>
                </c:pt>
                <c:pt idx="64">
                  <c:v>C4</c:v>
                </c:pt>
                <c:pt idx="65">
                  <c:v>C5</c:v>
                </c:pt>
                <c:pt idx="66">
                  <c:v>C6</c:v>
                </c:pt>
                <c:pt idx="67">
                  <c:v>C7</c:v>
                </c:pt>
                <c:pt idx="68">
                  <c:v>C8</c:v>
                </c:pt>
                <c:pt idx="69">
                  <c:v>C9</c:v>
                </c:pt>
                <c:pt idx="70">
                  <c:v>C10</c:v>
                </c:pt>
                <c:pt idx="71">
                  <c:v>C11</c:v>
                </c:pt>
                <c:pt idx="72">
                  <c:v>C12</c:v>
                </c:pt>
                <c:pt idx="73">
                  <c:v>C13</c:v>
                </c:pt>
                <c:pt idx="74">
                  <c:v>C14</c:v>
                </c:pt>
                <c:pt idx="75">
                  <c:v>C15</c:v>
                </c:pt>
                <c:pt idx="76">
                  <c:v>C16</c:v>
                </c:pt>
                <c:pt idx="77">
                  <c:v>C17</c:v>
                </c:pt>
                <c:pt idx="78">
                  <c:v>C18</c:v>
                </c:pt>
                <c:pt idx="79">
                  <c:v>C19</c:v>
                </c:pt>
                <c:pt idx="80">
                  <c:v>C20</c:v>
                </c:pt>
                <c:pt idx="81">
                  <c:v>C21</c:v>
                </c:pt>
                <c:pt idx="82">
                  <c:v>C22</c:v>
                </c:pt>
                <c:pt idx="83">
                  <c:v>C23</c:v>
                </c:pt>
              </c:strCache>
            </c:strRef>
          </c:cat>
          <c:val>
            <c:numRef>
              <c:f>'linee per paper'!$G$9:$G$92</c:f>
              <c:numCache>
                <c:formatCode>General</c:formatCode>
                <c:ptCount val="84"/>
                <c:pt idx="0">
                  <c:v>5</c:v>
                </c:pt>
                <c:pt idx="1">
                  <c:v>3</c:v>
                </c:pt>
                <c:pt idx="2">
                  <c:v>2</c:v>
                </c:pt>
                <c:pt idx="3">
                  <c:v>2</c:v>
                </c:pt>
                <c:pt idx="4">
                  <c:v>4</c:v>
                </c:pt>
                <c:pt idx="5">
                  <c:v>2</c:v>
                </c:pt>
                <c:pt idx="6">
                  <c:v>3</c:v>
                </c:pt>
                <c:pt idx="7">
                  <c:v>1</c:v>
                </c:pt>
                <c:pt idx="8">
                  <c:v>1</c:v>
                </c:pt>
                <c:pt idx="9">
                  <c:v>2</c:v>
                </c:pt>
                <c:pt idx="10">
                  <c:v>1</c:v>
                </c:pt>
                <c:pt idx="11">
                  <c:v>1</c:v>
                </c:pt>
                <c:pt idx="12">
                  <c:v>2</c:v>
                </c:pt>
                <c:pt idx="13">
                  <c:v>3</c:v>
                </c:pt>
                <c:pt idx="14">
                  <c:v>2</c:v>
                </c:pt>
                <c:pt idx="15">
                  <c:v>5</c:v>
                </c:pt>
                <c:pt idx="16">
                  <c:v>4</c:v>
                </c:pt>
                <c:pt idx="17">
                  <c:v>3</c:v>
                </c:pt>
                <c:pt idx="18">
                  <c:v>3</c:v>
                </c:pt>
                <c:pt idx="19">
                  <c:v>8</c:v>
                </c:pt>
                <c:pt idx="20">
                  <c:v>9</c:v>
                </c:pt>
                <c:pt idx="21">
                  <c:v>3</c:v>
                </c:pt>
                <c:pt idx="22">
                  <c:v>5</c:v>
                </c:pt>
                <c:pt idx="23">
                  <c:v>3</c:v>
                </c:pt>
                <c:pt idx="24">
                  <c:v>3</c:v>
                </c:pt>
                <c:pt idx="25">
                  <c:v>2</c:v>
                </c:pt>
                <c:pt idx="26">
                  <c:v>4</c:v>
                </c:pt>
                <c:pt idx="27">
                  <c:v>3</c:v>
                </c:pt>
                <c:pt idx="28">
                  <c:v>5</c:v>
                </c:pt>
                <c:pt idx="29">
                  <c:v>5</c:v>
                </c:pt>
                <c:pt idx="30">
                  <c:v>6</c:v>
                </c:pt>
                <c:pt idx="31">
                  <c:v>6</c:v>
                </c:pt>
                <c:pt idx="32">
                  <c:v>2</c:v>
                </c:pt>
                <c:pt idx="33">
                  <c:v>2</c:v>
                </c:pt>
                <c:pt idx="34">
                  <c:v>9</c:v>
                </c:pt>
                <c:pt idx="35">
                  <c:v>3</c:v>
                </c:pt>
                <c:pt idx="36">
                  <c:v>7</c:v>
                </c:pt>
                <c:pt idx="37">
                  <c:v>3</c:v>
                </c:pt>
                <c:pt idx="38">
                  <c:v>3</c:v>
                </c:pt>
                <c:pt idx="39">
                  <c:v>2</c:v>
                </c:pt>
                <c:pt idx="40">
                  <c:v>7</c:v>
                </c:pt>
                <c:pt idx="41">
                  <c:v>7</c:v>
                </c:pt>
                <c:pt idx="42">
                  <c:v>3</c:v>
                </c:pt>
                <c:pt idx="43">
                  <c:v>3</c:v>
                </c:pt>
                <c:pt idx="44">
                  <c:v>8</c:v>
                </c:pt>
                <c:pt idx="45">
                  <c:v>1</c:v>
                </c:pt>
                <c:pt idx="46">
                  <c:v>5</c:v>
                </c:pt>
                <c:pt idx="47">
                  <c:v>3</c:v>
                </c:pt>
                <c:pt idx="48">
                  <c:v>3</c:v>
                </c:pt>
                <c:pt idx="49">
                  <c:v>7</c:v>
                </c:pt>
                <c:pt idx="50">
                  <c:v>7</c:v>
                </c:pt>
                <c:pt idx="51">
                  <c:v>3</c:v>
                </c:pt>
                <c:pt idx="52">
                  <c:v>3</c:v>
                </c:pt>
                <c:pt idx="53">
                  <c:v>3</c:v>
                </c:pt>
                <c:pt idx="54">
                  <c:v>3</c:v>
                </c:pt>
                <c:pt idx="55">
                  <c:v>6</c:v>
                </c:pt>
                <c:pt idx="56">
                  <c:v>3</c:v>
                </c:pt>
                <c:pt idx="57">
                  <c:v>7</c:v>
                </c:pt>
                <c:pt idx="58">
                  <c:v>3</c:v>
                </c:pt>
                <c:pt idx="59">
                  <c:v>3</c:v>
                </c:pt>
                <c:pt idx="60">
                  <c:v>1</c:v>
                </c:pt>
                <c:pt idx="61" formatCode="0">
                  <c:v>3</c:v>
                </c:pt>
                <c:pt idx="62" formatCode="0">
                  <c:v>5</c:v>
                </c:pt>
                <c:pt idx="63" formatCode="0">
                  <c:v>5</c:v>
                </c:pt>
                <c:pt idx="64" formatCode="0">
                  <c:v>6</c:v>
                </c:pt>
                <c:pt idx="65" formatCode="0">
                  <c:v>6</c:v>
                </c:pt>
                <c:pt idx="66" formatCode="0">
                  <c:v>5</c:v>
                </c:pt>
                <c:pt idx="67" formatCode="0">
                  <c:v>6</c:v>
                </c:pt>
                <c:pt idx="68" formatCode="0">
                  <c:v>6</c:v>
                </c:pt>
                <c:pt idx="69" formatCode="0">
                  <c:v>4</c:v>
                </c:pt>
                <c:pt idx="70" formatCode="0">
                  <c:v>5</c:v>
                </c:pt>
                <c:pt idx="71" formatCode="0">
                  <c:v>3</c:v>
                </c:pt>
                <c:pt idx="72" formatCode="0">
                  <c:v>3</c:v>
                </c:pt>
                <c:pt idx="73" formatCode="0">
                  <c:v>2</c:v>
                </c:pt>
                <c:pt idx="74" formatCode="0">
                  <c:v>4</c:v>
                </c:pt>
                <c:pt idx="75" formatCode="0">
                  <c:v>6</c:v>
                </c:pt>
                <c:pt idx="76" formatCode="0">
                  <c:v>4</c:v>
                </c:pt>
                <c:pt idx="77" formatCode="0">
                  <c:v>6</c:v>
                </c:pt>
                <c:pt idx="78" formatCode="0">
                  <c:v>6</c:v>
                </c:pt>
                <c:pt idx="79" formatCode="0">
                  <c:v>8</c:v>
                </c:pt>
                <c:pt idx="80" formatCode="0">
                  <c:v>8</c:v>
                </c:pt>
                <c:pt idx="81" formatCode="0">
                  <c:v>4</c:v>
                </c:pt>
                <c:pt idx="82" formatCode="0">
                  <c:v>5</c:v>
                </c:pt>
                <c:pt idx="83" formatCode="0">
                  <c:v>3</c:v>
                </c:pt>
              </c:numCache>
            </c:numRef>
          </c:val>
        </c:ser>
        <c:dLbls>
          <c:showLegendKey val="0"/>
          <c:showVal val="0"/>
          <c:showCatName val="0"/>
          <c:showSerName val="0"/>
          <c:showPercent val="0"/>
          <c:showBubbleSize val="0"/>
        </c:dLbls>
        <c:gapWidth val="219"/>
        <c:overlap val="-27"/>
        <c:axId val="-1031210800"/>
        <c:axId val="-1031210256"/>
      </c:barChart>
      <c:catAx>
        <c:axId val="-103121080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Working-stations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it-IT"/>
          </a:p>
        </c:txPr>
        <c:crossAx val="-1031210256"/>
        <c:crosses val="autoZero"/>
        <c:auto val="1"/>
        <c:lblAlgn val="ctr"/>
        <c:lblOffset val="100"/>
        <c:noMultiLvlLbl val="0"/>
      </c:catAx>
      <c:valAx>
        <c:axId val="-1031210256"/>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DI score</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it-IT"/>
          </a:p>
        </c:txPr>
        <c:crossAx val="-1031210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it-IT" b="1">
                <a:solidFill>
                  <a:sysClr val="windowText" lastClr="000000"/>
                </a:solidFill>
              </a:rPr>
              <a:t>Physical effort Index (PEI)</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it-IT"/>
        </a:p>
      </c:txPr>
    </c:title>
    <c:autoTitleDeleted val="0"/>
    <c:plotArea>
      <c:layout>
        <c:manualLayout>
          <c:layoutTarget val="inner"/>
          <c:xMode val="edge"/>
          <c:yMode val="edge"/>
          <c:x val="8.0016050659707905E-2"/>
          <c:y val="0.12976833111523681"/>
          <c:w val="0.89598381452318465"/>
          <c:h val="0.72088764946048411"/>
        </c:manualLayout>
      </c:layout>
      <c:barChart>
        <c:barDir val="col"/>
        <c:grouping val="clustered"/>
        <c:varyColors val="0"/>
        <c:ser>
          <c:idx val="0"/>
          <c:order val="0"/>
          <c:spPr>
            <a:solidFill>
              <a:schemeClr val="tx1"/>
            </a:solidFill>
            <a:ln>
              <a:noFill/>
            </a:ln>
            <a:effectLst/>
          </c:spPr>
          <c:invertIfNegative val="0"/>
          <c:cat>
            <c:strRef>
              <c:f>'linee per paper'!$C$9:$C$92</c:f>
              <c:strCache>
                <c:ptCount val="84"/>
                <c:pt idx="0">
                  <c:v>A1</c:v>
                </c:pt>
                <c:pt idx="1">
                  <c:v>A2</c:v>
                </c:pt>
                <c:pt idx="2">
                  <c:v>A3</c:v>
                </c:pt>
                <c:pt idx="3">
                  <c:v>A4</c:v>
                </c:pt>
                <c:pt idx="4">
                  <c:v>A5</c:v>
                </c:pt>
                <c:pt idx="5">
                  <c:v>A6</c:v>
                </c:pt>
                <c:pt idx="6">
                  <c:v>A7</c:v>
                </c:pt>
                <c:pt idx="7">
                  <c:v>A8</c:v>
                </c:pt>
                <c:pt idx="8">
                  <c:v>A9</c:v>
                </c:pt>
                <c:pt idx="9">
                  <c:v>A10</c:v>
                </c:pt>
                <c:pt idx="10">
                  <c:v>A11</c:v>
                </c:pt>
                <c:pt idx="11">
                  <c:v>A12</c:v>
                </c:pt>
                <c:pt idx="12">
                  <c:v>A13</c:v>
                </c:pt>
                <c:pt idx="13">
                  <c:v>A14</c:v>
                </c:pt>
                <c:pt idx="14">
                  <c:v>A15</c:v>
                </c:pt>
                <c:pt idx="15">
                  <c:v>A16</c:v>
                </c:pt>
                <c:pt idx="16">
                  <c:v>A17</c:v>
                </c:pt>
                <c:pt idx="17">
                  <c:v>A18</c:v>
                </c:pt>
                <c:pt idx="18">
                  <c:v>A19</c:v>
                </c:pt>
                <c:pt idx="19">
                  <c:v>A20</c:v>
                </c:pt>
                <c:pt idx="20">
                  <c:v>A21</c:v>
                </c:pt>
                <c:pt idx="21">
                  <c:v>A22</c:v>
                </c:pt>
                <c:pt idx="22">
                  <c:v>A23</c:v>
                </c:pt>
                <c:pt idx="23">
                  <c:v>A24</c:v>
                </c:pt>
                <c:pt idx="24">
                  <c:v>A25</c:v>
                </c:pt>
                <c:pt idx="25">
                  <c:v>A26</c:v>
                </c:pt>
                <c:pt idx="26">
                  <c:v>A27</c:v>
                </c:pt>
                <c:pt idx="27">
                  <c:v>A28</c:v>
                </c:pt>
                <c:pt idx="28">
                  <c:v>A29</c:v>
                </c:pt>
                <c:pt idx="29">
                  <c:v>A30</c:v>
                </c:pt>
                <c:pt idx="30">
                  <c:v>B1</c:v>
                </c:pt>
                <c:pt idx="31">
                  <c:v>B2</c:v>
                </c:pt>
                <c:pt idx="32">
                  <c:v>B3</c:v>
                </c:pt>
                <c:pt idx="33">
                  <c:v>B4</c:v>
                </c:pt>
                <c:pt idx="34">
                  <c:v>B5</c:v>
                </c:pt>
                <c:pt idx="35">
                  <c:v>B6</c:v>
                </c:pt>
                <c:pt idx="36">
                  <c:v>B7</c:v>
                </c:pt>
                <c:pt idx="37">
                  <c:v>B8</c:v>
                </c:pt>
                <c:pt idx="38">
                  <c:v>B9</c:v>
                </c:pt>
                <c:pt idx="39">
                  <c:v>B10</c:v>
                </c:pt>
                <c:pt idx="40">
                  <c:v>B11</c:v>
                </c:pt>
                <c:pt idx="41">
                  <c:v>B12</c:v>
                </c:pt>
                <c:pt idx="42">
                  <c:v>B13</c:v>
                </c:pt>
                <c:pt idx="43">
                  <c:v>B14</c:v>
                </c:pt>
                <c:pt idx="44">
                  <c:v>B15</c:v>
                </c:pt>
                <c:pt idx="45">
                  <c:v>B16</c:v>
                </c:pt>
                <c:pt idx="46">
                  <c:v>B17</c:v>
                </c:pt>
                <c:pt idx="47">
                  <c:v>B18</c:v>
                </c:pt>
                <c:pt idx="48">
                  <c:v>B19</c:v>
                </c:pt>
                <c:pt idx="49">
                  <c:v>B20</c:v>
                </c:pt>
                <c:pt idx="50">
                  <c:v>B21</c:v>
                </c:pt>
                <c:pt idx="51">
                  <c:v>B22</c:v>
                </c:pt>
                <c:pt idx="52">
                  <c:v>B23</c:v>
                </c:pt>
                <c:pt idx="53">
                  <c:v>B24</c:v>
                </c:pt>
                <c:pt idx="54">
                  <c:v>B25</c:v>
                </c:pt>
                <c:pt idx="55">
                  <c:v>B26</c:v>
                </c:pt>
                <c:pt idx="56">
                  <c:v>B27</c:v>
                </c:pt>
                <c:pt idx="57">
                  <c:v>B28</c:v>
                </c:pt>
                <c:pt idx="58">
                  <c:v>B29</c:v>
                </c:pt>
                <c:pt idx="59">
                  <c:v>B30</c:v>
                </c:pt>
                <c:pt idx="60">
                  <c:v>B31</c:v>
                </c:pt>
                <c:pt idx="61">
                  <c:v>C1</c:v>
                </c:pt>
                <c:pt idx="62">
                  <c:v>C2</c:v>
                </c:pt>
                <c:pt idx="63">
                  <c:v>C3</c:v>
                </c:pt>
                <c:pt idx="64">
                  <c:v>C4</c:v>
                </c:pt>
                <c:pt idx="65">
                  <c:v>C5</c:v>
                </c:pt>
                <c:pt idx="66">
                  <c:v>C6</c:v>
                </c:pt>
                <c:pt idx="67">
                  <c:v>C7</c:v>
                </c:pt>
                <c:pt idx="68">
                  <c:v>C8</c:v>
                </c:pt>
                <c:pt idx="69">
                  <c:v>C9</c:v>
                </c:pt>
                <c:pt idx="70">
                  <c:v>C10</c:v>
                </c:pt>
                <c:pt idx="71">
                  <c:v>C11</c:v>
                </c:pt>
                <c:pt idx="72">
                  <c:v>C12</c:v>
                </c:pt>
                <c:pt idx="73">
                  <c:v>C13</c:v>
                </c:pt>
                <c:pt idx="74">
                  <c:v>C14</c:v>
                </c:pt>
                <c:pt idx="75">
                  <c:v>C15</c:v>
                </c:pt>
                <c:pt idx="76">
                  <c:v>C16</c:v>
                </c:pt>
                <c:pt idx="77">
                  <c:v>C17</c:v>
                </c:pt>
                <c:pt idx="78">
                  <c:v>C18</c:v>
                </c:pt>
                <c:pt idx="79">
                  <c:v>C19</c:v>
                </c:pt>
                <c:pt idx="80">
                  <c:v>C20</c:v>
                </c:pt>
                <c:pt idx="81">
                  <c:v>C21</c:v>
                </c:pt>
                <c:pt idx="82">
                  <c:v>C22</c:v>
                </c:pt>
                <c:pt idx="83">
                  <c:v>C23</c:v>
                </c:pt>
              </c:strCache>
            </c:strRef>
          </c:cat>
          <c:val>
            <c:numRef>
              <c:f>'linee per paper'!$I$9:$I$92</c:f>
              <c:numCache>
                <c:formatCode>General</c:formatCode>
                <c:ptCount val="84"/>
                <c:pt idx="0">
                  <c:v>5</c:v>
                </c:pt>
                <c:pt idx="1">
                  <c:v>2</c:v>
                </c:pt>
                <c:pt idx="2">
                  <c:v>5</c:v>
                </c:pt>
                <c:pt idx="3">
                  <c:v>3</c:v>
                </c:pt>
                <c:pt idx="4">
                  <c:v>3</c:v>
                </c:pt>
                <c:pt idx="5">
                  <c:v>6</c:v>
                </c:pt>
                <c:pt idx="6">
                  <c:v>6</c:v>
                </c:pt>
                <c:pt idx="7">
                  <c:v>9</c:v>
                </c:pt>
                <c:pt idx="8">
                  <c:v>9</c:v>
                </c:pt>
                <c:pt idx="9">
                  <c:v>7</c:v>
                </c:pt>
                <c:pt idx="10">
                  <c:v>9</c:v>
                </c:pt>
                <c:pt idx="11">
                  <c:v>7</c:v>
                </c:pt>
                <c:pt idx="12">
                  <c:v>7</c:v>
                </c:pt>
                <c:pt idx="13">
                  <c:v>7</c:v>
                </c:pt>
                <c:pt idx="14">
                  <c:v>8</c:v>
                </c:pt>
                <c:pt idx="15">
                  <c:v>7</c:v>
                </c:pt>
                <c:pt idx="16">
                  <c:v>5</c:v>
                </c:pt>
                <c:pt idx="17">
                  <c:v>6</c:v>
                </c:pt>
                <c:pt idx="18">
                  <c:v>8</c:v>
                </c:pt>
                <c:pt idx="19">
                  <c:v>6</c:v>
                </c:pt>
                <c:pt idx="20">
                  <c:v>4</c:v>
                </c:pt>
                <c:pt idx="21">
                  <c:v>7</c:v>
                </c:pt>
                <c:pt idx="22">
                  <c:v>9</c:v>
                </c:pt>
                <c:pt idx="23">
                  <c:v>8</c:v>
                </c:pt>
                <c:pt idx="24">
                  <c:v>7</c:v>
                </c:pt>
                <c:pt idx="25">
                  <c:v>8</c:v>
                </c:pt>
                <c:pt idx="26">
                  <c:v>6</c:v>
                </c:pt>
                <c:pt idx="27">
                  <c:v>9</c:v>
                </c:pt>
                <c:pt idx="28">
                  <c:v>2</c:v>
                </c:pt>
                <c:pt idx="29">
                  <c:v>6</c:v>
                </c:pt>
                <c:pt idx="30">
                  <c:v>8</c:v>
                </c:pt>
                <c:pt idx="31">
                  <c:v>8</c:v>
                </c:pt>
                <c:pt idx="32">
                  <c:v>6</c:v>
                </c:pt>
                <c:pt idx="33">
                  <c:v>6</c:v>
                </c:pt>
                <c:pt idx="34">
                  <c:v>10</c:v>
                </c:pt>
                <c:pt idx="35">
                  <c:v>6</c:v>
                </c:pt>
                <c:pt idx="36">
                  <c:v>6</c:v>
                </c:pt>
                <c:pt idx="37">
                  <c:v>8</c:v>
                </c:pt>
                <c:pt idx="38">
                  <c:v>8</c:v>
                </c:pt>
                <c:pt idx="39">
                  <c:v>9</c:v>
                </c:pt>
                <c:pt idx="40">
                  <c:v>7</c:v>
                </c:pt>
                <c:pt idx="41">
                  <c:v>7</c:v>
                </c:pt>
                <c:pt idx="42">
                  <c:v>4</c:v>
                </c:pt>
                <c:pt idx="43">
                  <c:v>8</c:v>
                </c:pt>
                <c:pt idx="44">
                  <c:v>8</c:v>
                </c:pt>
                <c:pt idx="45">
                  <c:v>9</c:v>
                </c:pt>
                <c:pt idx="46">
                  <c:v>7</c:v>
                </c:pt>
                <c:pt idx="47">
                  <c:v>6</c:v>
                </c:pt>
                <c:pt idx="48">
                  <c:v>8</c:v>
                </c:pt>
                <c:pt idx="49">
                  <c:v>6</c:v>
                </c:pt>
                <c:pt idx="50">
                  <c:v>6</c:v>
                </c:pt>
                <c:pt idx="51">
                  <c:v>8</c:v>
                </c:pt>
                <c:pt idx="52">
                  <c:v>2</c:v>
                </c:pt>
                <c:pt idx="53">
                  <c:v>2</c:v>
                </c:pt>
                <c:pt idx="54">
                  <c:v>6</c:v>
                </c:pt>
                <c:pt idx="55">
                  <c:v>7</c:v>
                </c:pt>
                <c:pt idx="56">
                  <c:v>8</c:v>
                </c:pt>
                <c:pt idx="57">
                  <c:v>8</c:v>
                </c:pt>
                <c:pt idx="58">
                  <c:v>7</c:v>
                </c:pt>
                <c:pt idx="59">
                  <c:v>4</c:v>
                </c:pt>
                <c:pt idx="60">
                  <c:v>7</c:v>
                </c:pt>
                <c:pt idx="61" formatCode="0">
                  <c:v>6</c:v>
                </c:pt>
                <c:pt idx="62" formatCode="0">
                  <c:v>4</c:v>
                </c:pt>
                <c:pt idx="63" formatCode="0">
                  <c:v>5</c:v>
                </c:pt>
                <c:pt idx="64" formatCode="0">
                  <c:v>6</c:v>
                </c:pt>
                <c:pt idx="65" formatCode="0">
                  <c:v>5</c:v>
                </c:pt>
                <c:pt idx="66" formatCode="0">
                  <c:v>8</c:v>
                </c:pt>
                <c:pt idx="67" formatCode="0">
                  <c:v>5</c:v>
                </c:pt>
                <c:pt idx="68" formatCode="0">
                  <c:v>6</c:v>
                </c:pt>
                <c:pt idx="69" formatCode="0">
                  <c:v>8</c:v>
                </c:pt>
                <c:pt idx="70" formatCode="0">
                  <c:v>7</c:v>
                </c:pt>
                <c:pt idx="71" formatCode="0">
                  <c:v>6</c:v>
                </c:pt>
                <c:pt idx="72" formatCode="0">
                  <c:v>5</c:v>
                </c:pt>
                <c:pt idx="73" formatCode="0">
                  <c:v>9</c:v>
                </c:pt>
                <c:pt idx="74" formatCode="0">
                  <c:v>4</c:v>
                </c:pt>
                <c:pt idx="75" formatCode="0">
                  <c:v>3</c:v>
                </c:pt>
                <c:pt idx="76" formatCode="0">
                  <c:v>3</c:v>
                </c:pt>
                <c:pt idx="77" formatCode="0">
                  <c:v>7</c:v>
                </c:pt>
                <c:pt idx="78" formatCode="0">
                  <c:v>7</c:v>
                </c:pt>
                <c:pt idx="79" formatCode="0">
                  <c:v>7</c:v>
                </c:pt>
                <c:pt idx="80" formatCode="0">
                  <c:v>7</c:v>
                </c:pt>
                <c:pt idx="81" formatCode="0">
                  <c:v>7</c:v>
                </c:pt>
                <c:pt idx="82" formatCode="0">
                  <c:v>6</c:v>
                </c:pt>
                <c:pt idx="83" formatCode="0">
                  <c:v>7</c:v>
                </c:pt>
              </c:numCache>
            </c:numRef>
          </c:val>
        </c:ser>
        <c:dLbls>
          <c:showLegendKey val="0"/>
          <c:showVal val="0"/>
          <c:showCatName val="0"/>
          <c:showSerName val="0"/>
          <c:showPercent val="0"/>
          <c:showBubbleSize val="0"/>
        </c:dLbls>
        <c:gapWidth val="219"/>
        <c:overlap val="-27"/>
        <c:axId val="-1031209168"/>
        <c:axId val="-1031208080"/>
      </c:barChart>
      <c:catAx>
        <c:axId val="-1031209168"/>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Working-sations</a:t>
                </a:r>
              </a:p>
            </c:rich>
          </c:tx>
          <c:overlay val="0"/>
          <c:spPr>
            <a:solidFill>
              <a:sysClr val="window" lastClr="FFFFFF"/>
            </a:solid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it-IT"/>
          </a:p>
        </c:txPr>
        <c:crossAx val="-1031208080"/>
        <c:crosses val="autoZero"/>
        <c:auto val="1"/>
        <c:lblAlgn val="ctr"/>
        <c:lblOffset val="100"/>
        <c:noMultiLvlLbl val="0"/>
      </c:catAx>
      <c:valAx>
        <c:axId val="-1031208080"/>
        <c:scaling>
          <c:orientation val="minMax"/>
          <c:max val="1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PEI score</a:t>
                </a:r>
              </a:p>
            </c:rich>
          </c:tx>
          <c:overlay val="0"/>
          <c:spPr>
            <a:solidFill>
              <a:sysClr val="window" lastClr="FFFFFF"/>
            </a:solid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it-I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it-IT"/>
          </a:p>
        </c:txPr>
        <c:crossAx val="-1031209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5B5AA-9344-49AE-83C8-BD4BB94C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2466</Words>
  <Characters>14061</Characters>
  <Application>Microsoft Office Word</Application>
  <DocSecurity>0</DocSecurity>
  <Lines>117</Lines>
  <Paragraphs>32</Paragraphs>
  <ScaleCrop>false</ScaleCrop>
  <HeadingPairs>
    <vt:vector size="6" baseType="variant">
      <vt:variant>
        <vt:lpstr>Titolo</vt:lpstr>
      </vt:variant>
      <vt:variant>
        <vt:i4>1</vt:i4>
      </vt:variant>
      <vt:variant>
        <vt:lpstr>Intestazioni</vt:lpstr>
      </vt:variant>
      <vt:variant>
        <vt:i4>1</vt:i4>
      </vt:variant>
      <vt:variant>
        <vt:lpstr>Title</vt:lpstr>
      </vt:variant>
      <vt:variant>
        <vt:i4>1</vt:i4>
      </vt:variant>
    </vt:vector>
  </HeadingPairs>
  <TitlesOfParts>
    <vt:vector size="3" baseType="lpstr">
      <vt:lpstr/>
      <vt:lpstr>An empirical approach to Workload assessment for process optimization.</vt:lpstr>
      <vt:lpstr/>
    </vt:vector>
  </TitlesOfParts>
  <Company>Dipartimento CMIC - Politecnico di Milano</Company>
  <LinksUpToDate>false</LinksUpToDate>
  <CharactersWithSpaces>16495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Lorenzo Comberti</cp:lastModifiedBy>
  <cp:revision>11</cp:revision>
  <cp:lastPrinted>2015-05-12T18:31:00Z</cp:lastPrinted>
  <dcterms:created xsi:type="dcterms:W3CDTF">2019-04-01T13:47:00Z</dcterms:created>
  <dcterms:modified xsi:type="dcterms:W3CDTF">2019-04-04T07:22:00Z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