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ZW" w:eastAsia="en-ZW"/>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ZW" w:eastAsia="en-ZW"/>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60B2C" w:rsidRDefault="00E60B2C" w:rsidP="00FC6FFE">
      <w:pPr>
        <w:pStyle w:val="CETAuthors"/>
        <w:jc w:val="center"/>
        <w:rPr>
          <w:noProof w:val="0"/>
          <w:sz w:val="32"/>
        </w:rPr>
      </w:pPr>
    </w:p>
    <w:p w:rsidR="00FC6FFE" w:rsidRPr="00847BBD" w:rsidRDefault="00FC6FFE" w:rsidP="00FC6FFE">
      <w:pPr>
        <w:pStyle w:val="CETAuthors"/>
        <w:jc w:val="center"/>
        <w:rPr>
          <w:noProof w:val="0"/>
          <w:sz w:val="32"/>
        </w:rPr>
      </w:pPr>
      <w:r w:rsidRPr="00847BBD">
        <w:rPr>
          <w:noProof w:val="0"/>
          <w:sz w:val="32"/>
        </w:rPr>
        <w:t xml:space="preserve">The effect of Nitrogen on the </w:t>
      </w:r>
      <w:r w:rsidR="00702AD9">
        <w:rPr>
          <w:noProof w:val="0"/>
          <w:sz w:val="32"/>
        </w:rPr>
        <w:t>R</w:t>
      </w:r>
      <w:r w:rsidRPr="00847BBD">
        <w:rPr>
          <w:noProof w:val="0"/>
          <w:sz w:val="32"/>
        </w:rPr>
        <w:t xml:space="preserve">eduction of Selenite to Elemental Selenium by </w:t>
      </w:r>
      <w:r w:rsidRPr="00702AD9">
        <w:rPr>
          <w:i/>
          <w:noProof w:val="0"/>
          <w:sz w:val="32"/>
        </w:rPr>
        <w:t xml:space="preserve">Pseudomonas stutzeri </w:t>
      </w:r>
      <w:r w:rsidRPr="00847BBD">
        <w:rPr>
          <w:noProof w:val="0"/>
          <w:sz w:val="32"/>
        </w:rPr>
        <w:t>NT-I</w:t>
      </w:r>
    </w:p>
    <w:p w:rsidR="00E978D0" w:rsidRPr="00B57B36" w:rsidRDefault="00FC6FFE" w:rsidP="00FC6FFE">
      <w:pPr>
        <w:pStyle w:val="CETAuthors"/>
        <w:jc w:val="left"/>
      </w:pPr>
      <w:r>
        <w:t>Job T. Tendenedzai</w:t>
      </w:r>
      <w:r w:rsidR="00600535" w:rsidRPr="00B57B36">
        <w:t xml:space="preserve">, </w:t>
      </w:r>
      <w:r>
        <w:t>Hendrik G. Brink*</w:t>
      </w:r>
    </w:p>
    <w:p w:rsidR="00FC6FFE" w:rsidRDefault="00FC6FFE" w:rsidP="00E978D0">
      <w:pPr>
        <w:pStyle w:val="CETAddress"/>
      </w:pPr>
      <w:r w:rsidRPr="00FC6FFE">
        <w:t>Water Utilisation and Environmental Engineering Division, Department of Chemical Engineering, University of Pretoria, Pretoria 0002.</w:t>
      </w:r>
      <w:r w:rsidR="00197F85">
        <w:t xml:space="preserve"> </w:t>
      </w:r>
      <w:r w:rsidRPr="00FC6FFE">
        <w:t xml:space="preserve">                                                                                                              </w:t>
      </w:r>
    </w:p>
    <w:p w:rsidR="00FC6FFE" w:rsidRDefault="00FC6FFE" w:rsidP="00FC6FFE">
      <w:pPr>
        <w:pStyle w:val="CETAddress"/>
      </w:pPr>
      <w:r w:rsidRPr="00FC6FFE">
        <w:t>deon.brink@up.ac.za</w:t>
      </w:r>
    </w:p>
    <w:p w:rsidR="00D36B85" w:rsidRDefault="00D36B85" w:rsidP="00600535">
      <w:pPr>
        <w:pStyle w:val="CETBodytext"/>
        <w:rPr>
          <w:lang w:val="en-GB"/>
        </w:rPr>
      </w:pPr>
      <w:bookmarkStart w:id="0" w:name="_Hlk495475023"/>
    </w:p>
    <w:p w:rsidR="00D36B85" w:rsidRPr="00A41CD3" w:rsidRDefault="00D36B85" w:rsidP="00A41CD3">
      <w:pPr>
        <w:pStyle w:val="CETBodytext"/>
      </w:pPr>
      <w:r w:rsidRPr="00A41CD3">
        <w:t>Selenium is a ubiquitously occurring natural mineral</w:t>
      </w:r>
      <w:r w:rsidR="00583D23" w:rsidRPr="00A41CD3">
        <w:t>,</w:t>
      </w:r>
      <w:r w:rsidRPr="00A41CD3">
        <w:t xml:space="preserve"> </w:t>
      </w:r>
      <w:r w:rsidR="00583D23" w:rsidRPr="00A41CD3">
        <w:t>h</w:t>
      </w:r>
      <w:r w:rsidRPr="00A41CD3">
        <w:t xml:space="preserve">owever, an upsurge in anthropogenic sources has caused its release into the environment to aggravate thereby exceeding the proposed World Health </w:t>
      </w:r>
      <w:proofErr w:type="spellStart"/>
      <w:r w:rsidRPr="00A41CD3">
        <w:t>Organisation</w:t>
      </w:r>
      <w:proofErr w:type="spellEnd"/>
      <w:r w:rsidRPr="00A41CD3">
        <w:t xml:space="preserve"> (WHO) limit of 40 μ</w:t>
      </w:r>
      <w:proofErr w:type="gramStart"/>
      <w:r w:rsidRPr="00A41CD3">
        <w:t>g.L</w:t>
      </w:r>
      <w:proofErr w:type="gramEnd"/>
      <w:r w:rsidRPr="00A41CD3">
        <w:rPr>
          <w:vertAlign w:val="superscript"/>
        </w:rPr>
        <w:t>-1</w:t>
      </w:r>
      <w:r w:rsidRPr="00A41CD3">
        <w:t xml:space="preserve">. </w:t>
      </w:r>
      <w:r w:rsidR="00B87E9E" w:rsidRPr="00A41CD3">
        <w:t>T</w:t>
      </w:r>
      <w:r w:rsidRPr="00A41CD3">
        <w:t>he soluble selenium oxyanions</w:t>
      </w:r>
      <w:r w:rsidR="00583D23" w:rsidRPr="00A41CD3">
        <w:t>,</w:t>
      </w:r>
      <w:r w:rsidRPr="00A41CD3">
        <w:t xml:space="preserve"> </w:t>
      </w:r>
      <w:proofErr w:type="spellStart"/>
      <w:r w:rsidRPr="00A41CD3">
        <w:t>selenate</w:t>
      </w:r>
      <w:proofErr w:type="spellEnd"/>
      <w:r w:rsidRPr="00A41CD3">
        <w:t xml:space="preserve"> </w:t>
      </w:r>
      <w:r w:rsidR="006C1C6A" w:rsidRPr="00A41CD3">
        <w:t>(SeO</w:t>
      </w:r>
      <w:r w:rsidR="006C1C6A" w:rsidRPr="00A41CD3">
        <w:rPr>
          <w:vertAlign w:val="subscript"/>
        </w:rPr>
        <w:t>4</w:t>
      </w:r>
      <w:r w:rsidR="006C1C6A" w:rsidRPr="00A41CD3">
        <w:rPr>
          <w:vertAlign w:val="superscript"/>
        </w:rPr>
        <w:t>2-</w:t>
      </w:r>
      <w:r w:rsidR="006C1C6A" w:rsidRPr="00A41CD3">
        <w:t xml:space="preserve">), </w:t>
      </w:r>
      <w:r w:rsidRPr="00A41CD3">
        <w:t>and selenite (SeO</w:t>
      </w:r>
      <w:r w:rsidRPr="00A41CD3">
        <w:rPr>
          <w:vertAlign w:val="subscript"/>
        </w:rPr>
        <w:t>3</w:t>
      </w:r>
      <w:r w:rsidRPr="00A41CD3">
        <w:rPr>
          <w:vertAlign w:val="superscript"/>
        </w:rPr>
        <w:t>2-</w:t>
      </w:r>
      <w:r w:rsidRPr="00A41CD3">
        <w:t>)</w:t>
      </w:r>
      <w:r w:rsidR="00583D23" w:rsidRPr="00A41CD3">
        <w:t>,</w:t>
      </w:r>
      <w:r w:rsidRPr="00A41CD3">
        <w:t xml:space="preserve"> cause acute and chronic toxicity to living organisms in aquatic environments. In addition, </w:t>
      </w:r>
      <w:r w:rsidR="00B87E9E" w:rsidRPr="00A41CD3">
        <w:t xml:space="preserve">they readily </w:t>
      </w:r>
      <w:r w:rsidRPr="00A41CD3">
        <w:t>bio-accumulates, even at low concentrations</w:t>
      </w:r>
      <w:r w:rsidR="00B87E9E" w:rsidRPr="00A41CD3">
        <w:t xml:space="preserve">. Therefore, </w:t>
      </w:r>
      <w:r w:rsidRPr="00A41CD3">
        <w:t>the attenuation of effluent concentrations to acceptable levels prior to discharge into local water bodies</w:t>
      </w:r>
      <w:r w:rsidR="00B87E9E" w:rsidRPr="00A41CD3">
        <w:t xml:space="preserve"> is necessary</w:t>
      </w:r>
      <w:r w:rsidRPr="00A41CD3">
        <w:t xml:space="preserve">. Selenium bioremediation is emerging as one of the most cost-effective treatment options. In this article, the selenium reducing bacterium </w:t>
      </w:r>
      <w:r w:rsidRPr="00A41CD3">
        <w:rPr>
          <w:i/>
        </w:rPr>
        <w:t xml:space="preserve">Pseudomonas </w:t>
      </w:r>
      <w:proofErr w:type="spellStart"/>
      <w:r w:rsidRPr="00A41CD3">
        <w:rPr>
          <w:i/>
        </w:rPr>
        <w:t>stutzeri</w:t>
      </w:r>
      <w:proofErr w:type="spellEnd"/>
      <w:r w:rsidRPr="00A41CD3">
        <w:t xml:space="preserve"> NT-I was studied for selenite reduction. Aerobic batch reduction experiments were carried out with the bacteria isolate suspended in glucose supplemented mineral salt media (glucose-MSM). The experiments were performed under previously determined optimum conditions of pH 7, temperature of 37</w:t>
      </w:r>
      <w:r w:rsidR="00583D23" w:rsidRPr="00A41CD3">
        <w:t> </w:t>
      </w:r>
      <w:r w:rsidR="00611150" w:rsidRPr="00A41CD3">
        <w:t>°</w:t>
      </w:r>
      <w:r w:rsidRPr="00A41CD3">
        <w:t xml:space="preserve">C, salinity of </w:t>
      </w:r>
      <w:r w:rsidR="00A154B4" w:rsidRPr="00A41CD3">
        <w:t>5</w:t>
      </w:r>
      <w:r w:rsidRPr="00A41CD3">
        <w:t xml:space="preserve"> g.L</w:t>
      </w:r>
      <w:r w:rsidRPr="00A41CD3">
        <w:rPr>
          <w:vertAlign w:val="superscript"/>
        </w:rPr>
        <w:t>-1</w:t>
      </w:r>
      <w:r w:rsidRPr="00A41CD3">
        <w:t xml:space="preserve"> and glucose of 10 g.L</w:t>
      </w:r>
      <w:r w:rsidRPr="00A41CD3">
        <w:rPr>
          <w:vertAlign w:val="superscript"/>
        </w:rPr>
        <w:t>-1</w:t>
      </w:r>
      <w:r w:rsidRPr="00A41CD3">
        <w:t>. To determine the effect of nitrogen addition on the reduction of selenite to elemental selenium</w:t>
      </w:r>
      <w:r w:rsidR="00843CA7" w:rsidRPr="00A41CD3">
        <w:t xml:space="preserve"> (</w:t>
      </w:r>
      <w:proofErr w:type="gramStart"/>
      <w:r w:rsidR="00843CA7" w:rsidRPr="00A41CD3">
        <w:t>Se(</w:t>
      </w:r>
      <w:proofErr w:type="gramEnd"/>
      <w:r w:rsidR="00843CA7" w:rsidRPr="00A41CD3">
        <w:t>0))</w:t>
      </w:r>
      <w:r w:rsidRPr="00A41CD3">
        <w:t>, the reduction experiments were performed in the presence and absence of 1.604 g.L</w:t>
      </w:r>
      <w:r w:rsidRPr="00A41CD3">
        <w:rPr>
          <w:vertAlign w:val="superscript"/>
        </w:rPr>
        <w:t>-1</w:t>
      </w:r>
      <w:r w:rsidRPr="00A41CD3">
        <w:t xml:space="preserve"> ammonium chloride (nitrogen source). In the reduction of 0.5</w:t>
      </w:r>
      <w:r w:rsidR="00012A6F" w:rsidRPr="00A41CD3">
        <w:t xml:space="preserve"> </w:t>
      </w:r>
      <w:r w:rsidRPr="00A41CD3">
        <w:t xml:space="preserve">mM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Pr="00A41CD3">
        <w:t>, average biomass based selenite</w:t>
      </w:r>
      <w:r w:rsidR="006C1C6A" w:rsidRPr="00A41CD3">
        <w:t xml:space="preserve"> reduction rates of 0.0014 </w:t>
      </w:r>
      <w:proofErr w:type="gramStart"/>
      <w:r w:rsidR="006C1C6A" w:rsidRPr="00A41CD3">
        <w:t>mmol.(</w:t>
      </w:r>
      <w:proofErr w:type="spellStart"/>
      <w:proofErr w:type="gramEnd"/>
      <w:r w:rsidRPr="00A41CD3">
        <w:t>g.h</w:t>
      </w:r>
      <w:proofErr w:type="spellEnd"/>
      <w:r w:rsidR="006C1C6A" w:rsidRPr="00A41CD3">
        <w:t>)</w:t>
      </w:r>
      <w:r w:rsidR="006C1C6A" w:rsidRPr="00A41CD3">
        <w:rPr>
          <w:vertAlign w:val="superscript"/>
        </w:rPr>
        <w:t>-1</w:t>
      </w:r>
      <w:r w:rsidRPr="00A41CD3">
        <w:t xml:space="preserve"> in the presence of nitrogen as compared to 0.0012 </w:t>
      </w:r>
      <w:r w:rsidR="006C1C6A" w:rsidRPr="00A41CD3">
        <w:t>mmol.(</w:t>
      </w:r>
      <w:proofErr w:type="spellStart"/>
      <w:r w:rsidR="006C1C6A" w:rsidRPr="00A41CD3">
        <w:t>g.h</w:t>
      </w:r>
      <w:proofErr w:type="spellEnd"/>
      <w:r w:rsidR="006C1C6A" w:rsidRPr="00A41CD3">
        <w:t>)</w:t>
      </w:r>
      <w:r w:rsidR="006C1C6A" w:rsidRPr="00A41CD3">
        <w:rPr>
          <w:vertAlign w:val="superscript"/>
        </w:rPr>
        <w:t>-1</w:t>
      </w:r>
      <w:r w:rsidR="006C1C6A" w:rsidRPr="00A41CD3">
        <w:t xml:space="preserve"> </w:t>
      </w:r>
      <w:r w:rsidRPr="00A41CD3">
        <w:t>in the absence of nitrogen were measured. For a higher concentration such as 10</w:t>
      </w:r>
      <w:r w:rsidR="00611150" w:rsidRPr="00A41CD3">
        <w:t xml:space="preserve"> </w:t>
      </w:r>
      <w:r w:rsidRPr="00A41CD3">
        <w:t xml:space="preserve">mM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Pr="00A41CD3">
        <w:t xml:space="preserve">, average biomass based selenite reduction rates of 0.05 </w:t>
      </w:r>
      <w:proofErr w:type="gramStart"/>
      <w:r w:rsidRPr="00A41CD3">
        <w:t>mmol</w:t>
      </w:r>
      <w:r w:rsidR="006C1C6A" w:rsidRPr="00A41CD3">
        <w:t>.(</w:t>
      </w:r>
      <w:proofErr w:type="spellStart"/>
      <w:proofErr w:type="gramEnd"/>
      <w:r w:rsidRPr="00A41CD3">
        <w:t>g.h</w:t>
      </w:r>
      <w:proofErr w:type="spellEnd"/>
      <w:r w:rsidR="006C1C6A" w:rsidRPr="00A41CD3">
        <w:t>)</w:t>
      </w:r>
      <w:r w:rsidR="006C1C6A" w:rsidRPr="00A41CD3">
        <w:rPr>
          <w:vertAlign w:val="superscript"/>
        </w:rPr>
        <w:t>-1</w:t>
      </w:r>
      <w:r w:rsidRPr="00A41CD3">
        <w:t xml:space="preserve"> in the presence of nitrogen as compared to 0.031 </w:t>
      </w:r>
      <w:r w:rsidR="006C1C6A" w:rsidRPr="00A41CD3">
        <w:t>mmol.(</w:t>
      </w:r>
      <w:proofErr w:type="spellStart"/>
      <w:r w:rsidR="006C1C6A" w:rsidRPr="00A41CD3">
        <w:t>g.h</w:t>
      </w:r>
      <w:proofErr w:type="spellEnd"/>
      <w:r w:rsidR="006C1C6A" w:rsidRPr="00A41CD3">
        <w:t>)</w:t>
      </w:r>
      <w:r w:rsidR="006C1C6A" w:rsidRPr="00A41CD3">
        <w:rPr>
          <w:vertAlign w:val="superscript"/>
        </w:rPr>
        <w:t>-1</w:t>
      </w:r>
      <w:r w:rsidR="00197F85">
        <w:t xml:space="preserve"> </w:t>
      </w:r>
      <w:r w:rsidRPr="00A41CD3">
        <w:t xml:space="preserve">in the absence of nitrogen were measured. This indicated that the increased </w:t>
      </w:r>
      <w:r w:rsidR="00743DBE" w:rsidRPr="00A41CD3">
        <w:t xml:space="preserve">initial </w:t>
      </w:r>
      <w:r w:rsidRPr="00A41CD3">
        <w:t>reduction rate was a result of both increased biomass</w:t>
      </w:r>
      <w:r w:rsidR="00583D23" w:rsidRPr="00A41CD3">
        <w:t xml:space="preserve"> amount</w:t>
      </w:r>
      <w:r w:rsidRPr="00A41CD3">
        <w:t xml:space="preserve"> </w:t>
      </w:r>
      <w:r w:rsidR="00583D23" w:rsidRPr="00A41CD3">
        <w:t>as well as</w:t>
      </w:r>
      <w:r w:rsidR="00182499" w:rsidRPr="00A41CD3">
        <w:t xml:space="preserve"> </w:t>
      </w:r>
      <w:r w:rsidRPr="00A41CD3">
        <w:t xml:space="preserve">increased biomass activity </w:t>
      </w:r>
      <w:r w:rsidR="00583D23" w:rsidRPr="00A41CD3">
        <w:t>in response to</w:t>
      </w:r>
      <w:r w:rsidRPr="00A41CD3">
        <w:t xml:space="preserve"> increased selenite concentration.</w:t>
      </w:r>
      <w:r w:rsidR="00583D23" w:rsidRPr="00A41CD3">
        <w:t xml:space="preserve"> </w:t>
      </w:r>
    </w:p>
    <w:bookmarkEnd w:id="0"/>
    <w:p w:rsidR="00600535" w:rsidRDefault="00600535" w:rsidP="00600535">
      <w:pPr>
        <w:pStyle w:val="CETHeading1"/>
        <w:rPr>
          <w:lang w:val="en-GB"/>
        </w:rPr>
      </w:pPr>
      <w:r w:rsidRPr="00B57B36">
        <w:rPr>
          <w:lang w:val="en-GB"/>
        </w:rPr>
        <w:t>Introduction</w:t>
      </w:r>
    </w:p>
    <w:p w:rsidR="00162F39" w:rsidRPr="00A41CD3" w:rsidRDefault="00D36B85" w:rsidP="00A41CD3">
      <w:pPr>
        <w:pStyle w:val="CETBodytext"/>
      </w:pPr>
      <w:r w:rsidRPr="00A41CD3">
        <w:t>Selenium (Se) is an essential element in living organisms and is present in the earth's crust at an estimated amount of 0.05</w:t>
      </w:r>
      <w:r w:rsidR="00611150" w:rsidRPr="00A41CD3">
        <w:t>-</w:t>
      </w:r>
      <w:r w:rsidRPr="00A41CD3">
        <w:t>0.5 mg Se</w:t>
      </w:r>
      <w:r w:rsidR="00583D23" w:rsidRPr="00A41CD3">
        <w:t>.</w:t>
      </w:r>
      <w:r w:rsidRPr="00A41CD3">
        <w:t>kg−1 (</w:t>
      </w:r>
      <w:proofErr w:type="spellStart"/>
      <w:r w:rsidRPr="00A41CD3">
        <w:t>Lemly</w:t>
      </w:r>
      <w:proofErr w:type="spellEnd"/>
      <w:r w:rsidRPr="00A41CD3">
        <w:t>, 2004). It is estimated that between 37.5</w:t>
      </w:r>
      <w:r w:rsidR="00583D23" w:rsidRPr="00A41CD3">
        <w:t xml:space="preserve"> </w:t>
      </w:r>
      <w:r w:rsidRPr="00A41CD3">
        <w:t>% and 40.6</w:t>
      </w:r>
      <w:r w:rsidR="00583D23" w:rsidRPr="00A41CD3">
        <w:t xml:space="preserve"> </w:t>
      </w:r>
      <w:r w:rsidRPr="00A41CD3">
        <w:t>% of total selenium emissions to the atmosphere are due to anthropogenic activities (Lenz and Lens, 2009). Slight changes in its concentration can easily be a tipping scale for it transforming from being safe to toxic (</w:t>
      </w:r>
      <w:proofErr w:type="spellStart"/>
      <w:r w:rsidRPr="00A41CD3">
        <w:t>Brozmanova</w:t>
      </w:r>
      <w:proofErr w:type="spellEnd"/>
      <w:r w:rsidRPr="00A41CD3">
        <w:t xml:space="preserve"> et al., 2010). </w:t>
      </w:r>
      <w:r w:rsidR="00162F39" w:rsidRPr="00A41CD3">
        <w:t>The World Health Organization proposes a value of 40 μ</w:t>
      </w:r>
      <w:proofErr w:type="gramStart"/>
      <w:r w:rsidR="00162F39" w:rsidRPr="00A41CD3">
        <w:t>g.L</w:t>
      </w:r>
      <w:proofErr w:type="gramEnd"/>
      <w:r w:rsidR="00A41CD3" w:rsidRPr="00A41CD3">
        <w:rPr>
          <w:vertAlign w:val="superscript"/>
        </w:rPr>
        <w:t>-1</w:t>
      </w:r>
      <w:r w:rsidR="00162F39" w:rsidRPr="00A41CD3">
        <w:t xml:space="preserve"> for countries without a specified legislative framework in place (Brink et al., 2018). Biological methods </w:t>
      </w:r>
      <w:r w:rsidR="00726F9A" w:rsidRPr="00A41CD3">
        <w:t>are e</w:t>
      </w:r>
      <w:r w:rsidR="00162F39" w:rsidRPr="00A41CD3">
        <w:t xml:space="preserve">merging as the most cost-effective treatment option to remove selenium by either reducing or </w:t>
      </w:r>
      <w:proofErr w:type="spellStart"/>
      <w:r w:rsidR="00162F39" w:rsidRPr="00A41CD3">
        <w:t>volatilising</w:t>
      </w:r>
      <w:proofErr w:type="spellEnd"/>
      <w:r w:rsidR="00162F39" w:rsidRPr="00A41CD3">
        <w:t xml:space="preserve"> the oxyanions (Golder-Associates-Inc, 2009). The biological method considered in this research involves using </w:t>
      </w:r>
      <w:r w:rsidR="00162F39" w:rsidRPr="00A41CD3">
        <w:rPr>
          <w:i/>
        </w:rPr>
        <w:t xml:space="preserve">Pseudomonas </w:t>
      </w:r>
      <w:proofErr w:type="spellStart"/>
      <w:r w:rsidR="00162F39" w:rsidRPr="00A41CD3">
        <w:rPr>
          <w:i/>
        </w:rPr>
        <w:t>stutzeri</w:t>
      </w:r>
      <w:proofErr w:type="spellEnd"/>
      <w:r w:rsidR="00162F39" w:rsidRPr="00A41CD3">
        <w:t xml:space="preserve"> NT-I, a selenium reducing bacteria, which converts soluble selenium ions found in water into their elemental state before being removed as a precipitate. </w:t>
      </w:r>
      <w:r w:rsidR="00162F39" w:rsidRPr="00A41CD3">
        <w:rPr>
          <w:i/>
        </w:rPr>
        <w:t xml:space="preserve">Pseudomonas </w:t>
      </w:r>
      <w:proofErr w:type="spellStart"/>
      <w:r w:rsidR="00162F39" w:rsidRPr="00A41CD3">
        <w:rPr>
          <w:i/>
        </w:rPr>
        <w:t>stutzeri</w:t>
      </w:r>
      <w:proofErr w:type="spellEnd"/>
      <w:r w:rsidR="00162F39" w:rsidRPr="00A41CD3">
        <w:t xml:space="preserve"> NT-I is one of the many </w:t>
      </w:r>
      <w:r w:rsidR="00006ADA">
        <w:rPr>
          <w:i/>
        </w:rPr>
        <w:t>P</w:t>
      </w:r>
      <w:r w:rsidR="00162F39" w:rsidRPr="00006ADA">
        <w:rPr>
          <w:i/>
        </w:rPr>
        <w:t>seudomonas</w:t>
      </w:r>
      <w:r w:rsidR="00162F39" w:rsidRPr="00A41CD3">
        <w:t xml:space="preserve"> species reported to be capable of aerobically </w:t>
      </w:r>
      <w:proofErr w:type="spellStart"/>
      <w:r w:rsidR="00162F39" w:rsidRPr="00A41CD3">
        <w:t>metabolising</w:t>
      </w:r>
      <w:proofErr w:type="spellEnd"/>
      <w:r w:rsidR="00162F39" w:rsidRPr="00A41CD3">
        <w:t xml:space="preserve"> selenium oxyanions (</w:t>
      </w:r>
      <w:proofErr w:type="spellStart"/>
      <w:r w:rsidR="00162F39" w:rsidRPr="00A41CD3">
        <w:t>Lortie</w:t>
      </w:r>
      <w:proofErr w:type="spellEnd"/>
      <w:r w:rsidR="00162F39" w:rsidRPr="00A41CD3">
        <w:t xml:space="preserve"> et al., 1992). Recent studies also confirmed the </w:t>
      </w:r>
      <w:r w:rsidR="00E60B2C" w:rsidRPr="00A41CD3">
        <w:t xml:space="preserve">use of </w:t>
      </w:r>
      <w:r w:rsidR="00C74FD1" w:rsidRPr="00A41CD3">
        <w:t xml:space="preserve">the </w:t>
      </w:r>
      <w:r w:rsidR="00726F9A" w:rsidRPr="00A41CD3">
        <w:t>same strain in</w:t>
      </w:r>
      <w:r w:rsidR="00162F39" w:rsidRPr="00A41CD3">
        <w:t xml:space="preserve"> an aerobic batch reduction of selenium oxyanions under optimum conditions of a temperature of 37 °C, pH 7</w:t>
      </w:r>
      <w:r w:rsidR="00C74FD1" w:rsidRPr="00A41CD3">
        <w:t>-</w:t>
      </w:r>
      <w:r w:rsidR="00162F39" w:rsidRPr="00A41CD3">
        <w:t>8 and salinity less than 5 g.L</w:t>
      </w:r>
      <w:r w:rsidR="00A41CD3" w:rsidRPr="00A41CD3">
        <w:rPr>
          <w:vertAlign w:val="superscript"/>
        </w:rPr>
        <w:t>-1</w:t>
      </w:r>
      <w:r w:rsidR="00162F39" w:rsidRPr="00A41CD3">
        <w:t xml:space="preserve"> NaCl (Brink et al., 2018). </w:t>
      </w:r>
    </w:p>
    <w:p w:rsidR="00A41CD3" w:rsidRPr="00006ADA" w:rsidRDefault="003F2BE8" w:rsidP="00006ADA">
      <w:pPr>
        <w:pStyle w:val="CETBodytext"/>
      </w:pPr>
      <w:r w:rsidRPr="00006ADA">
        <w:t>Nitrogen makes up to 14</w:t>
      </w:r>
      <w:r w:rsidR="00C74FD1" w:rsidRPr="00006ADA">
        <w:t xml:space="preserve"> </w:t>
      </w:r>
      <w:r w:rsidRPr="00006ADA">
        <w:t xml:space="preserve">% of dry cell weight and is used to </w:t>
      </w:r>
      <w:proofErr w:type="spellStart"/>
      <w:r w:rsidR="00583D23" w:rsidRPr="00006ADA">
        <w:t>synthesise</w:t>
      </w:r>
      <w:proofErr w:type="spellEnd"/>
      <w:r w:rsidRPr="00006ADA">
        <w:t xml:space="preserve"> amino acids, DNA, and RNA (Kango, 2010). </w:t>
      </w:r>
      <w:r w:rsidR="00583D23" w:rsidRPr="00006ADA">
        <w:t xml:space="preserve">Hence, the absence of excess nitrogen is assumed to correlate to little or no increase in bacterial </w:t>
      </w:r>
      <w:r w:rsidR="00583D23" w:rsidRPr="00006ADA">
        <w:lastRenderedPageBreak/>
        <w:t xml:space="preserve">biomass. </w:t>
      </w:r>
      <w:r w:rsidR="00726F9A" w:rsidRPr="00006ADA">
        <w:t xml:space="preserve">The effect of the </w:t>
      </w:r>
      <w:r w:rsidR="00412DC4" w:rsidRPr="00006ADA">
        <w:t>NH</w:t>
      </w:r>
      <w:r w:rsidR="00412DC4" w:rsidRPr="00006ADA">
        <w:rPr>
          <w:vertAlign w:val="subscript"/>
        </w:rPr>
        <w:t>4</w:t>
      </w:r>
      <w:r w:rsidR="00412DC4" w:rsidRPr="00006ADA">
        <w:t>Cl</w:t>
      </w:r>
      <w:r w:rsidR="00726F9A" w:rsidRPr="00006ADA">
        <w:t xml:space="preserve"> </w:t>
      </w:r>
      <w:r w:rsidR="00476A94" w:rsidRPr="00006ADA">
        <w:t xml:space="preserve">(nitrogen source) </w:t>
      </w:r>
      <w:r w:rsidR="002704EC" w:rsidRPr="00006ADA">
        <w:t>was</w:t>
      </w:r>
      <w:r w:rsidR="00726F9A" w:rsidRPr="00006ADA">
        <w:t xml:space="preserve"> investigated to establish</w:t>
      </w:r>
      <w:r w:rsidR="00412DC4" w:rsidRPr="00006ADA">
        <w:t xml:space="preserve"> </w:t>
      </w:r>
      <w:r w:rsidR="00476A94" w:rsidRPr="00006ADA">
        <w:t>whether or not</w:t>
      </w:r>
      <w:r w:rsidR="00726F9A" w:rsidRPr="00006ADA">
        <w:t xml:space="preserve"> selenite reduction </w:t>
      </w:r>
      <w:r w:rsidR="00412DC4" w:rsidRPr="00006ADA">
        <w:t>was</w:t>
      </w:r>
      <w:r w:rsidR="00726F9A" w:rsidRPr="00006ADA">
        <w:t xml:space="preserve"> depended primarily on microbial growth</w:t>
      </w:r>
      <w:r w:rsidR="00FD723D" w:rsidRPr="00006ADA">
        <w:t>; usually</w:t>
      </w:r>
      <w:r w:rsidR="00476A94" w:rsidRPr="00006ADA">
        <w:t xml:space="preserve"> </w:t>
      </w:r>
      <w:r w:rsidR="00C9621A" w:rsidRPr="00006ADA">
        <w:t xml:space="preserve">the reduction of </w:t>
      </w:r>
      <w:r w:rsidR="00006ADA">
        <w:t>selenite (</w:t>
      </w:r>
      <w:r w:rsidR="00FD723D" w:rsidRPr="00006ADA">
        <w:t>SeO</w:t>
      </w:r>
      <w:r w:rsidR="00FD723D" w:rsidRPr="00006ADA">
        <w:rPr>
          <w:vertAlign w:val="subscript"/>
        </w:rPr>
        <w:t>3</w:t>
      </w:r>
      <w:r w:rsidR="00A41CD3" w:rsidRPr="00006ADA">
        <w:rPr>
          <w:vertAlign w:val="superscript"/>
        </w:rPr>
        <w:t>2-</w:t>
      </w:r>
      <w:r w:rsidR="00006ADA">
        <w:t>)</w:t>
      </w:r>
      <w:r w:rsidR="00C9621A" w:rsidRPr="00006ADA">
        <w:t xml:space="preserve"> to elemental </w:t>
      </w:r>
      <w:r w:rsidR="00FD723D" w:rsidRPr="00006ADA">
        <w:t>Se</w:t>
      </w:r>
      <w:r w:rsidR="00C9621A" w:rsidRPr="00006ADA">
        <w:t xml:space="preserve"> involve</w:t>
      </w:r>
      <w:r w:rsidR="00FD723D" w:rsidRPr="00006ADA">
        <w:t>s</w:t>
      </w:r>
      <w:r w:rsidR="00C9621A" w:rsidRPr="00006ADA">
        <w:t xml:space="preserve"> the consumption of a</w:t>
      </w:r>
      <w:r w:rsidR="0035291A" w:rsidRPr="00006ADA">
        <w:t xml:space="preserve"> carbon and</w:t>
      </w:r>
      <w:r w:rsidR="00C9621A" w:rsidRPr="00006ADA">
        <w:t xml:space="preserve"> nitrogen source coupled with the synthesis of biomass</w:t>
      </w:r>
      <w:r w:rsidR="00A41CD3" w:rsidRPr="00006ADA">
        <w:t>. The generic formula for the process according to (Ji and Wang, 2017) is:</w:t>
      </w:r>
    </w:p>
    <w:p w:rsidR="00A41CD3" w:rsidRPr="00047DA5" w:rsidRDefault="00A41CD3" w:rsidP="00A41CD3">
      <w:pPr>
        <w:pStyle w:val="CETBodytext"/>
        <w:rPr>
          <w:lang w:val="en-ZA"/>
        </w:rPr>
      </w:pPr>
    </w:p>
    <w:tbl>
      <w:tblPr>
        <w:tblW w:w="5000" w:type="pct"/>
        <w:jc w:val="center"/>
        <w:tblLook w:val="04A0" w:firstRow="1" w:lastRow="0" w:firstColumn="1" w:lastColumn="0" w:noHBand="0" w:noVBand="1"/>
      </w:tblPr>
      <w:tblGrid>
        <w:gridCol w:w="722"/>
        <w:gridCol w:w="7271"/>
        <w:gridCol w:w="1010"/>
      </w:tblGrid>
      <w:tr w:rsidR="00A41CD3" w:rsidRPr="00047DA5" w:rsidTr="00E94FC2">
        <w:trPr>
          <w:jc w:val="center"/>
        </w:trPr>
        <w:tc>
          <w:tcPr>
            <w:tcW w:w="704" w:type="dxa"/>
          </w:tcPr>
          <w:p w:rsidR="00A41CD3" w:rsidRPr="00047DA5" w:rsidRDefault="00A41CD3" w:rsidP="00E94FC2">
            <w:pPr>
              <w:pStyle w:val="CETEquation"/>
              <w:jc w:val="center"/>
              <w:rPr>
                <w:i/>
                <w:lang w:val="en-ZA"/>
              </w:rPr>
            </w:pPr>
          </w:p>
        </w:tc>
        <w:tc>
          <w:tcPr>
            <w:tcW w:w="7088" w:type="dxa"/>
            <w:shd w:val="clear" w:color="auto" w:fill="auto"/>
            <w:vAlign w:val="center"/>
          </w:tcPr>
          <w:p w:rsidR="00A41CD3" w:rsidRPr="00047DA5" w:rsidRDefault="00A41CD3" w:rsidP="00E94FC2">
            <w:pPr>
              <w:pStyle w:val="CETEquation"/>
              <w:jc w:val="center"/>
              <w:rPr>
                <w:i/>
                <w:lang w:val="en-ZA"/>
              </w:rPr>
            </w:pPr>
            <w:r w:rsidRPr="00047DA5">
              <w:rPr>
                <w:i/>
                <w:lang w:val="en-ZA"/>
              </w:rPr>
              <w:t>0.0846C</w:t>
            </w:r>
            <w:r w:rsidRPr="00047DA5">
              <w:rPr>
                <w:i/>
                <w:vertAlign w:val="subscript"/>
                <w:lang w:val="en-ZA"/>
              </w:rPr>
              <w:t>6</w:t>
            </w:r>
            <w:r w:rsidRPr="00047DA5">
              <w:rPr>
                <w:i/>
                <w:lang w:val="en-ZA"/>
              </w:rPr>
              <w:t>H</w:t>
            </w:r>
            <w:r w:rsidRPr="00047DA5">
              <w:rPr>
                <w:i/>
                <w:vertAlign w:val="subscript"/>
                <w:lang w:val="en-ZA"/>
              </w:rPr>
              <w:t>12</w:t>
            </w:r>
            <w:r w:rsidRPr="00047DA5">
              <w:rPr>
                <w:i/>
                <w:lang w:val="en-ZA"/>
              </w:rPr>
              <w:t>O</w:t>
            </w:r>
            <w:r w:rsidRPr="00047DA5">
              <w:rPr>
                <w:i/>
                <w:vertAlign w:val="subscript"/>
                <w:lang w:val="en-ZA"/>
              </w:rPr>
              <w:t>6</w:t>
            </w:r>
            <w:r w:rsidRPr="00047DA5">
              <w:rPr>
                <w:i/>
                <w:lang w:val="en-ZA"/>
              </w:rPr>
              <w:t xml:space="preserve"> + 0.1355SeO</w:t>
            </w:r>
            <w:r w:rsidRPr="00047DA5">
              <w:rPr>
                <w:i/>
                <w:vertAlign w:val="subscript"/>
                <w:lang w:val="en-ZA"/>
              </w:rPr>
              <w:t>3</w:t>
            </w:r>
            <w:r w:rsidRPr="00047DA5">
              <w:rPr>
                <w:i/>
                <w:vertAlign w:val="superscript"/>
                <w:lang w:val="en-ZA"/>
              </w:rPr>
              <w:t>2−</w:t>
            </w:r>
            <w:r w:rsidRPr="00047DA5">
              <w:rPr>
                <w:i/>
                <w:lang w:val="en-ZA"/>
              </w:rPr>
              <w:t xml:space="preserve"> + 0.0744HCO</w:t>
            </w:r>
            <w:r w:rsidRPr="00047DA5">
              <w:rPr>
                <w:i/>
                <w:vertAlign w:val="subscript"/>
                <w:lang w:val="en-ZA"/>
              </w:rPr>
              <w:t>3</w:t>
            </w:r>
            <w:r w:rsidRPr="00047DA5">
              <w:rPr>
                <w:i/>
                <w:vertAlign w:val="superscript"/>
                <w:lang w:val="en-ZA"/>
              </w:rPr>
              <w:t>−</w:t>
            </w:r>
            <w:r w:rsidRPr="00047DA5">
              <w:rPr>
                <w:i/>
                <w:lang w:val="en-ZA"/>
              </w:rPr>
              <w:t xml:space="preserve"> + 0.0744NH</w:t>
            </w:r>
            <w:r w:rsidRPr="00047DA5">
              <w:rPr>
                <w:i/>
                <w:vertAlign w:val="subscript"/>
                <w:lang w:val="en-ZA"/>
              </w:rPr>
              <w:t>4</w:t>
            </w:r>
            <w:r w:rsidRPr="00047DA5">
              <w:rPr>
                <w:i/>
                <w:vertAlign w:val="superscript"/>
                <w:lang w:val="en-ZA"/>
              </w:rPr>
              <w:t>+</w:t>
            </w:r>
            <w:r w:rsidRPr="00047DA5">
              <w:rPr>
                <w:i/>
                <w:lang w:val="en-ZA"/>
              </w:rPr>
              <w:t xml:space="preserve"> +</w:t>
            </w:r>
          </w:p>
          <w:p w:rsidR="00A41CD3" w:rsidRPr="00047DA5" w:rsidRDefault="00A41CD3" w:rsidP="00E94FC2">
            <w:pPr>
              <w:pStyle w:val="CETEquation"/>
              <w:jc w:val="center"/>
              <w:rPr>
                <w:i/>
                <w:lang w:val="en-ZA"/>
              </w:rPr>
            </w:pPr>
            <w:r w:rsidRPr="00047DA5">
              <w:rPr>
                <w:i/>
                <w:lang w:val="en-ZA"/>
              </w:rPr>
              <w:t xml:space="preserve"> 0.1335H</w:t>
            </w:r>
            <w:r w:rsidRPr="00047DA5">
              <w:rPr>
                <w:i/>
                <w:vertAlign w:val="superscript"/>
                <w:lang w:val="en-ZA"/>
              </w:rPr>
              <w:t>+</w:t>
            </w:r>
            <w:r w:rsidRPr="00047DA5">
              <w:rPr>
                <w:i/>
                <w:lang w:val="en-ZA"/>
              </w:rPr>
              <w:t xml:space="preserve"> → 0.0744C</w:t>
            </w:r>
            <w:r w:rsidRPr="00047DA5">
              <w:rPr>
                <w:i/>
                <w:vertAlign w:val="subscript"/>
                <w:lang w:val="en-ZA"/>
              </w:rPr>
              <w:t>5</w:t>
            </w:r>
            <w:r w:rsidRPr="00047DA5">
              <w:rPr>
                <w:i/>
                <w:lang w:val="en-ZA"/>
              </w:rPr>
              <w:t>H</w:t>
            </w:r>
            <w:r w:rsidRPr="00047DA5">
              <w:rPr>
                <w:i/>
                <w:vertAlign w:val="subscript"/>
                <w:lang w:val="en-ZA"/>
              </w:rPr>
              <w:t>7</w:t>
            </w:r>
            <w:r w:rsidRPr="00047DA5">
              <w:rPr>
                <w:i/>
                <w:lang w:val="en-ZA"/>
              </w:rPr>
              <w:t>O</w:t>
            </w:r>
            <w:r w:rsidRPr="00047DA5">
              <w:rPr>
                <w:i/>
                <w:vertAlign w:val="subscript"/>
                <w:lang w:val="en-ZA"/>
              </w:rPr>
              <w:t>2</w:t>
            </w:r>
            <w:r w:rsidRPr="00047DA5">
              <w:rPr>
                <w:i/>
                <w:lang w:val="en-ZA"/>
              </w:rPr>
              <w:t>N + 0.5684CO</w:t>
            </w:r>
            <w:r w:rsidRPr="00047DA5">
              <w:rPr>
                <w:i/>
                <w:vertAlign w:val="subscript"/>
                <w:lang w:val="en-ZA"/>
              </w:rPr>
              <w:t>2</w:t>
            </w:r>
            <w:r w:rsidRPr="00047DA5">
              <w:rPr>
                <w:i/>
                <w:lang w:val="en-ZA"/>
              </w:rPr>
              <w:t xml:space="preserve"> + 0.5684H</w:t>
            </w:r>
            <w:r w:rsidRPr="00047DA5">
              <w:rPr>
                <w:i/>
                <w:vertAlign w:val="subscript"/>
                <w:lang w:val="en-ZA"/>
              </w:rPr>
              <w:t>2</w:t>
            </w:r>
            <w:r w:rsidRPr="00047DA5">
              <w:rPr>
                <w:i/>
                <w:lang w:val="en-ZA"/>
              </w:rPr>
              <w:t>O + 0.1355Se</w:t>
            </w:r>
          </w:p>
        </w:tc>
        <w:tc>
          <w:tcPr>
            <w:tcW w:w="985" w:type="dxa"/>
            <w:shd w:val="clear" w:color="auto" w:fill="auto"/>
            <w:vAlign w:val="center"/>
          </w:tcPr>
          <w:p w:rsidR="00A41CD3" w:rsidRPr="00047DA5" w:rsidRDefault="00A41CD3" w:rsidP="00E94FC2">
            <w:pPr>
              <w:pStyle w:val="CETEquation"/>
              <w:jc w:val="right"/>
              <w:rPr>
                <w:lang w:val="en-ZA"/>
              </w:rPr>
            </w:pPr>
            <w:proofErr w:type="spellStart"/>
            <w:r w:rsidRPr="00047DA5">
              <w:rPr>
                <w:lang w:val="en-ZA"/>
              </w:rPr>
              <w:t>Eq</w:t>
            </w:r>
            <w:proofErr w:type="spellEnd"/>
            <w:r w:rsidRPr="00047DA5">
              <w:rPr>
                <w:lang w:val="en-ZA"/>
              </w:rPr>
              <w:t xml:space="preserve"> (1)</w:t>
            </w:r>
          </w:p>
        </w:tc>
      </w:tr>
    </w:tbl>
    <w:p w:rsidR="00A41CD3" w:rsidRDefault="00A41CD3" w:rsidP="00A41CD3">
      <w:pPr>
        <w:pStyle w:val="CETBodytext"/>
      </w:pPr>
    </w:p>
    <w:p w:rsidR="00476A94" w:rsidRPr="00A41CD3" w:rsidRDefault="00FD723D" w:rsidP="00A41CD3">
      <w:pPr>
        <w:pStyle w:val="CETBodytext"/>
      </w:pPr>
      <w:r w:rsidRPr="00A41CD3">
        <w:t>If the reduction mechanism is found to proceed independent of nitrogen addition, this would imply a different, modified, or additional SeO</w:t>
      </w:r>
      <w:r w:rsidRPr="00A41CD3">
        <w:rPr>
          <w:vertAlign w:val="subscript"/>
        </w:rPr>
        <w:t>3</w:t>
      </w:r>
      <w:r w:rsidR="00A41CD3" w:rsidRPr="00A41CD3">
        <w:rPr>
          <w:vertAlign w:val="superscript"/>
        </w:rPr>
        <w:t>2-</w:t>
      </w:r>
      <w:r w:rsidRPr="00A41CD3">
        <w:t>-reduction mechanism present in the system.</w:t>
      </w:r>
    </w:p>
    <w:p w:rsidR="005045F9" w:rsidRPr="00A41CD3" w:rsidRDefault="005045F9" w:rsidP="00A41CD3">
      <w:pPr>
        <w:pStyle w:val="CETBodytext"/>
      </w:pPr>
      <w:r w:rsidRPr="00A41CD3">
        <w:t xml:space="preserve">This study investigates the effect of the presence and absence of nitrogen in selenite reduction; </w:t>
      </w:r>
      <w:r w:rsidR="00A41CD3" w:rsidRPr="00A41CD3">
        <w:t>SeO</w:t>
      </w:r>
      <w:r w:rsidR="00A41CD3" w:rsidRPr="00A41CD3">
        <w:rPr>
          <w:vertAlign w:val="subscript"/>
        </w:rPr>
        <w:t>3</w:t>
      </w:r>
      <w:r w:rsidR="00A41CD3" w:rsidRPr="00A41CD3">
        <w:rPr>
          <w:vertAlign w:val="superscript"/>
        </w:rPr>
        <w:t>2-</w:t>
      </w:r>
      <w:r w:rsidRPr="00A41CD3">
        <w:t xml:space="preserve"> is considered significantly more toxic than </w:t>
      </w:r>
      <w:r w:rsidR="00A41CD3" w:rsidRPr="00A41CD3">
        <w:t>SeO</w:t>
      </w:r>
      <w:r w:rsidR="00A41CD3">
        <w:rPr>
          <w:vertAlign w:val="subscript"/>
        </w:rPr>
        <w:t>4</w:t>
      </w:r>
      <w:r w:rsidR="00A41CD3" w:rsidRPr="00A41CD3">
        <w:rPr>
          <w:vertAlign w:val="superscript"/>
        </w:rPr>
        <w:t>2-</w:t>
      </w:r>
      <w:r w:rsidRPr="00A41CD3">
        <w:t xml:space="preserve"> an</w:t>
      </w:r>
      <w:r w:rsidR="00702AD9" w:rsidRPr="00A41CD3">
        <w:t>d</w:t>
      </w:r>
      <w:r w:rsidRPr="00A41CD3">
        <w:t xml:space="preserve"> is therefore of greater environmental concern (</w:t>
      </w:r>
      <w:proofErr w:type="spellStart"/>
      <w:r w:rsidRPr="00A41CD3">
        <w:t>Ecimovic</w:t>
      </w:r>
      <w:proofErr w:type="spellEnd"/>
      <w:r w:rsidRPr="00A41CD3">
        <w:t xml:space="preserve"> et al., 2018).</w:t>
      </w:r>
      <w:r w:rsidR="00702AD9" w:rsidRPr="00A41CD3">
        <w:t xml:space="preserve"> The study was done at the previously determined optimal conditions (Brink et al., 2018), for SeO</w:t>
      </w:r>
      <w:r w:rsidR="00702AD9" w:rsidRPr="00A41CD3">
        <w:rPr>
          <w:vertAlign w:val="subscript"/>
        </w:rPr>
        <w:t>3</w:t>
      </w:r>
      <w:r w:rsidR="00A41CD3" w:rsidRPr="00A41CD3">
        <w:rPr>
          <w:vertAlign w:val="superscript"/>
        </w:rPr>
        <w:t>2-</w:t>
      </w:r>
      <w:r w:rsidR="00702AD9" w:rsidRPr="00A41CD3">
        <w:t xml:space="preserve"> concentrations of 0.5, 1, 2, 5, and 10 </w:t>
      </w:r>
      <w:proofErr w:type="spellStart"/>
      <w:r w:rsidR="00702AD9" w:rsidRPr="00A41CD3">
        <w:t>mM.</w:t>
      </w:r>
      <w:proofErr w:type="spellEnd"/>
    </w:p>
    <w:p w:rsidR="00D36B85" w:rsidRPr="00D828A7" w:rsidRDefault="00D36B85" w:rsidP="005F1576">
      <w:pPr>
        <w:pStyle w:val="CETHeading1"/>
      </w:pPr>
      <w:r w:rsidRPr="00D828A7">
        <w:t>Materials and methods</w:t>
      </w:r>
    </w:p>
    <w:p w:rsidR="00D36B85" w:rsidRPr="00D828A7" w:rsidRDefault="00D36B85" w:rsidP="005F1576">
      <w:pPr>
        <w:pStyle w:val="CETheadingx"/>
      </w:pPr>
      <w:r w:rsidRPr="00D828A7">
        <w:t>Bacteria storage and cultivation</w:t>
      </w:r>
    </w:p>
    <w:p w:rsidR="00D36B85" w:rsidRPr="00A41CD3" w:rsidRDefault="00D36B85" w:rsidP="00A41CD3">
      <w:pPr>
        <w:pStyle w:val="CETBodytextItalic"/>
        <w:rPr>
          <w:bCs/>
          <w:i w:val="0"/>
          <w:lang w:eastAsia="en-ZW"/>
        </w:rPr>
      </w:pPr>
      <w:r w:rsidRPr="00A41CD3">
        <w:rPr>
          <w:i w:val="0"/>
        </w:rPr>
        <w:t>The bacteria</w:t>
      </w:r>
      <w:r w:rsidR="005045F9" w:rsidRPr="00A41CD3">
        <w:rPr>
          <w:i w:val="0"/>
        </w:rPr>
        <w:t>l strain</w:t>
      </w:r>
      <w:r w:rsidRPr="00A41CD3">
        <w:rPr>
          <w:i w:val="0"/>
        </w:rPr>
        <w:t xml:space="preserve"> </w:t>
      </w:r>
      <w:r w:rsidR="005045F9" w:rsidRPr="00A41CD3">
        <w:rPr>
          <w:i w:val="0"/>
        </w:rPr>
        <w:t>was</w:t>
      </w:r>
      <w:r w:rsidRPr="00A41CD3">
        <w:rPr>
          <w:i w:val="0"/>
        </w:rPr>
        <w:t xml:space="preserve"> originally isolated from the drainage water of a selenium refinery plant in Hyogo, Japan by Masashi Kuroda and his team</w:t>
      </w:r>
      <w:r w:rsidR="003F2BE8" w:rsidRPr="00A41CD3">
        <w:rPr>
          <w:i w:val="0"/>
        </w:rPr>
        <w:t xml:space="preserve"> </w:t>
      </w:r>
      <w:bookmarkStart w:id="1" w:name="_Hlk6062119"/>
      <w:r w:rsidR="003F2BE8" w:rsidRPr="00A41CD3">
        <w:rPr>
          <w:i w:val="0"/>
        </w:rPr>
        <w:t>(Kuroda et al., 2011</w:t>
      </w:r>
      <w:bookmarkEnd w:id="1"/>
      <w:r w:rsidR="003F2BE8" w:rsidRPr="00A41CD3">
        <w:rPr>
          <w:i w:val="0"/>
        </w:rPr>
        <w:t>).</w:t>
      </w:r>
      <w:r w:rsidR="00864A63" w:rsidRPr="00A41CD3">
        <w:rPr>
          <w:i w:val="0"/>
        </w:rPr>
        <w:t xml:space="preserve"> </w:t>
      </w:r>
      <w:r w:rsidRPr="00A41CD3">
        <w:rPr>
          <w:bCs/>
          <w:i w:val="0"/>
          <w:lang w:eastAsia="en-ZW"/>
        </w:rPr>
        <w:t xml:space="preserve">The strain used in this study, </w:t>
      </w:r>
      <w:r w:rsidRPr="00A41CD3">
        <w:rPr>
          <w:bCs/>
          <w:lang w:eastAsia="en-ZW"/>
        </w:rPr>
        <w:t>Pseudomonas stutzeri</w:t>
      </w:r>
      <w:r w:rsidRPr="00A41CD3">
        <w:rPr>
          <w:bCs/>
          <w:i w:val="0"/>
          <w:lang w:eastAsia="en-ZW"/>
        </w:rPr>
        <w:t xml:space="preserve"> NT-I, was furnished </w:t>
      </w:r>
      <w:r w:rsidR="00702AD9" w:rsidRPr="00A41CD3">
        <w:rPr>
          <w:bCs/>
          <w:i w:val="0"/>
          <w:lang w:eastAsia="en-ZW"/>
        </w:rPr>
        <w:t>by</w:t>
      </w:r>
      <w:r w:rsidRPr="00A41CD3">
        <w:rPr>
          <w:bCs/>
          <w:i w:val="0"/>
          <w:lang w:eastAsia="en-ZW"/>
        </w:rPr>
        <w:t xml:space="preserve"> the NITE Patent Microorganisms Depository (NMPD) in Chiba Ken, Japan. </w:t>
      </w:r>
      <w:r w:rsidR="00702AD9" w:rsidRPr="00A41CD3">
        <w:rPr>
          <w:bCs/>
          <w:i w:val="0"/>
          <w:lang w:eastAsia="en-ZW"/>
        </w:rPr>
        <w:t>The culture</w:t>
      </w:r>
      <w:r w:rsidRPr="00A41CD3">
        <w:rPr>
          <w:bCs/>
          <w:i w:val="0"/>
          <w:lang w:eastAsia="en-ZW"/>
        </w:rPr>
        <w:t xml:space="preserve"> was cultivated in Tryptone Soy Broth (TSB) for 24 h at 28 </w:t>
      </w:r>
      <w:r w:rsidR="00C74FD1" w:rsidRPr="00A41CD3">
        <w:rPr>
          <w:i w:val="0"/>
        </w:rPr>
        <w:t>°</w:t>
      </w:r>
      <w:r w:rsidRPr="00A41CD3">
        <w:rPr>
          <w:bCs/>
          <w:i w:val="0"/>
          <w:lang w:eastAsia="en-ZW"/>
        </w:rPr>
        <w:t xml:space="preserve">C on a rotary shaker at 120 rpm (FSIM-SPO8, </w:t>
      </w:r>
      <w:proofErr w:type="spellStart"/>
      <w:r w:rsidRPr="00A41CD3">
        <w:rPr>
          <w:bCs/>
          <w:i w:val="0"/>
          <w:lang w:eastAsia="en-ZW"/>
        </w:rPr>
        <w:t>Labcon</w:t>
      </w:r>
      <w:proofErr w:type="spellEnd"/>
      <w:r w:rsidRPr="00A41CD3">
        <w:rPr>
          <w:bCs/>
          <w:i w:val="0"/>
          <w:lang w:eastAsia="en-ZW"/>
        </w:rPr>
        <w:t>, Johannesburg)</w:t>
      </w:r>
      <w:r w:rsidR="00702AD9" w:rsidRPr="00A41CD3">
        <w:rPr>
          <w:bCs/>
          <w:i w:val="0"/>
          <w:lang w:eastAsia="en-ZW"/>
        </w:rPr>
        <w:t xml:space="preserve">, followed by </w:t>
      </w:r>
      <w:r w:rsidRPr="00A41CD3">
        <w:rPr>
          <w:bCs/>
          <w:i w:val="0"/>
          <w:lang w:eastAsia="en-ZW"/>
        </w:rPr>
        <w:t>glycerol add</w:t>
      </w:r>
      <w:r w:rsidR="00702AD9" w:rsidRPr="00A41CD3">
        <w:rPr>
          <w:bCs/>
          <w:i w:val="0"/>
          <w:lang w:eastAsia="en-ZW"/>
        </w:rPr>
        <w:t>ition</w:t>
      </w:r>
      <w:r w:rsidRPr="00A41CD3">
        <w:rPr>
          <w:bCs/>
          <w:i w:val="0"/>
          <w:lang w:eastAsia="en-ZW"/>
        </w:rPr>
        <w:t xml:space="preserve"> before placing in the -70</w:t>
      </w:r>
      <w:r w:rsidR="003F2BE8" w:rsidRPr="00A41CD3">
        <w:rPr>
          <w:bCs/>
          <w:i w:val="0"/>
          <w:lang w:eastAsia="en-ZW"/>
        </w:rPr>
        <w:t xml:space="preserve"> </w:t>
      </w:r>
      <w:r w:rsidR="005065F3" w:rsidRPr="00A41CD3">
        <w:rPr>
          <w:bCs/>
          <w:i w:val="0"/>
          <w:lang w:eastAsia="en-ZW"/>
        </w:rPr>
        <w:t>°</w:t>
      </w:r>
      <w:r w:rsidRPr="00A41CD3">
        <w:rPr>
          <w:bCs/>
          <w:i w:val="0"/>
          <w:lang w:eastAsia="en-ZW"/>
        </w:rPr>
        <w:t xml:space="preserve">C storage </w:t>
      </w:r>
      <w:r w:rsidR="003F2BE8" w:rsidRPr="00A41CD3">
        <w:rPr>
          <w:bCs/>
          <w:i w:val="0"/>
          <w:lang w:eastAsia="en-ZW"/>
        </w:rPr>
        <w:t xml:space="preserve">chamber (Wessels and Chirwa, 2017). </w:t>
      </w:r>
      <w:r w:rsidRPr="00A41CD3">
        <w:rPr>
          <w:bCs/>
          <w:i w:val="0"/>
          <w:lang w:eastAsia="en-ZW"/>
        </w:rPr>
        <w:t xml:space="preserve">To revive the strain, the frozen vials were taken from the -70 °C storage chamber and allowed to thaw. The thawed strain was then inoculated it into the desired volume of TSB medium in a flask and capped with foil and cotton wool. The flask was placed on a rotary shaker at 120 rpm for 24 h at 37 </w:t>
      </w:r>
      <w:r w:rsidR="00922926" w:rsidRPr="00A41CD3">
        <w:rPr>
          <w:bCs/>
          <w:i w:val="0"/>
          <w:lang w:eastAsia="en-ZW"/>
        </w:rPr>
        <w:t>°</w:t>
      </w:r>
      <w:r w:rsidRPr="00A41CD3">
        <w:rPr>
          <w:bCs/>
          <w:i w:val="0"/>
          <w:lang w:eastAsia="en-ZW"/>
        </w:rPr>
        <w:t>C.</w:t>
      </w:r>
    </w:p>
    <w:p w:rsidR="00D36B85" w:rsidRDefault="00702AD9" w:rsidP="004327C7">
      <w:pPr>
        <w:pStyle w:val="CETheadingx"/>
        <w:rPr>
          <w:lang w:eastAsia="en-ZW"/>
        </w:rPr>
      </w:pPr>
      <w:r>
        <w:rPr>
          <w:lang w:val="en-GB"/>
        </w:rPr>
        <w:t>SeO</w:t>
      </w:r>
      <w:r>
        <w:rPr>
          <w:vertAlign w:val="subscript"/>
          <w:lang w:val="en-GB"/>
        </w:rPr>
        <w:t>3</w:t>
      </w:r>
      <w:r>
        <w:rPr>
          <w:vertAlign w:val="superscript"/>
          <w:lang w:val="en-GB"/>
        </w:rPr>
        <w:t>2-</w:t>
      </w:r>
      <w:r>
        <w:rPr>
          <w:lang w:eastAsia="en-ZW"/>
        </w:rPr>
        <w:t>-</w:t>
      </w:r>
      <w:r w:rsidR="00D36B85" w:rsidRPr="00606F9F">
        <w:rPr>
          <w:lang w:eastAsia="en-ZW"/>
        </w:rPr>
        <w:t>reduction rate batch experiments</w:t>
      </w:r>
    </w:p>
    <w:p w:rsidR="00A41CD3" w:rsidRPr="00A41CD3" w:rsidRDefault="00D36B85" w:rsidP="00A41CD3">
      <w:pPr>
        <w:pStyle w:val="CETBodytext"/>
      </w:pPr>
      <w:r w:rsidRPr="00A41CD3">
        <w:t xml:space="preserve">For </w:t>
      </w:r>
      <w:r w:rsidR="00702AD9" w:rsidRPr="00A41CD3">
        <w:t>SeO</w:t>
      </w:r>
      <w:r w:rsidR="00702AD9" w:rsidRPr="00A41CD3">
        <w:rPr>
          <w:vertAlign w:val="subscript"/>
        </w:rPr>
        <w:t>3</w:t>
      </w:r>
      <w:r w:rsidR="00A41CD3" w:rsidRPr="00A41CD3">
        <w:rPr>
          <w:vertAlign w:val="superscript"/>
        </w:rPr>
        <w:t>2-</w:t>
      </w:r>
      <w:r w:rsidR="00702AD9" w:rsidRPr="00A41CD3">
        <w:t>-</w:t>
      </w:r>
      <w:r w:rsidRPr="00A41CD3">
        <w:t>reduction, two different batches</w:t>
      </w:r>
      <w:r w:rsidR="00702AD9" w:rsidRPr="00A41CD3">
        <w:t xml:space="preserve"> containing the same SeO</w:t>
      </w:r>
      <w:r w:rsidR="00702AD9" w:rsidRPr="00A41CD3">
        <w:rPr>
          <w:vertAlign w:val="subscript"/>
        </w:rPr>
        <w:t>3</w:t>
      </w:r>
      <w:r w:rsidR="00A41CD3" w:rsidRPr="00A41CD3">
        <w:rPr>
          <w:vertAlign w:val="superscript"/>
        </w:rPr>
        <w:t>2-</w:t>
      </w:r>
      <w:r w:rsidR="00702AD9" w:rsidRPr="00A41CD3">
        <w:t xml:space="preserve"> concentrations in</w:t>
      </w:r>
      <w:r w:rsidRPr="00A41CD3">
        <w:t xml:space="preserve"> glucose-MSM</w:t>
      </w:r>
      <w:r w:rsidR="00C9621A" w:rsidRPr="00A41CD3">
        <w:t xml:space="preserve"> </w:t>
      </w:r>
      <w:r w:rsidRPr="00A41CD3">
        <w:t>were prepared</w:t>
      </w:r>
      <w:r w:rsidR="00C9621A" w:rsidRPr="00A41CD3">
        <w:t>.</w:t>
      </w:r>
      <w:r w:rsidRPr="00A41CD3">
        <w:t xml:space="preserve"> The first batch (glucose-MSM</w:t>
      </w:r>
      <w:r w:rsidRPr="00006ADA">
        <w:rPr>
          <w:vertAlign w:val="subscript"/>
        </w:rPr>
        <w:t>A</w:t>
      </w:r>
      <w:r w:rsidR="00C142A4" w:rsidRPr="00A41CD3">
        <w:t>)</w:t>
      </w:r>
      <w:r w:rsidRPr="00A41CD3">
        <w:t xml:space="preserve"> had 1.604 </w:t>
      </w:r>
      <w:proofErr w:type="gramStart"/>
      <w:r w:rsidRPr="00A41CD3">
        <w:t>g.L</w:t>
      </w:r>
      <w:proofErr w:type="gramEnd"/>
      <w:r w:rsidR="00A41CD3" w:rsidRPr="00A41CD3">
        <w:rPr>
          <w:vertAlign w:val="superscript"/>
        </w:rPr>
        <w:t>-1</w:t>
      </w:r>
      <w:r w:rsidRPr="00A41CD3">
        <w:t xml:space="preserve"> NH</w:t>
      </w:r>
      <w:r w:rsidRPr="00A41CD3">
        <w:rPr>
          <w:vertAlign w:val="subscript"/>
        </w:rPr>
        <w:t>4</w:t>
      </w:r>
      <w:r w:rsidRPr="00A41CD3">
        <w:t>Cl and the second batch (glucose-MSM</w:t>
      </w:r>
      <w:r w:rsidRPr="00006ADA">
        <w:rPr>
          <w:vertAlign w:val="subscript"/>
        </w:rPr>
        <w:t>X</w:t>
      </w:r>
      <w:r w:rsidRPr="00A41CD3">
        <w:t>) did not contain NH</w:t>
      </w:r>
      <w:r w:rsidRPr="00A41CD3">
        <w:rPr>
          <w:vertAlign w:val="subscript"/>
        </w:rPr>
        <w:t>4</w:t>
      </w:r>
      <w:r w:rsidRPr="00A41CD3">
        <w:t xml:space="preserve">Cl or any other source </w:t>
      </w:r>
      <w:r w:rsidR="00C142A4" w:rsidRPr="00A41CD3">
        <w:t>of nitrogen</w:t>
      </w:r>
      <w:r w:rsidRPr="00A41CD3">
        <w:t>. After 24 h of cultivation, the cells were concentrated and harvested by centrifugation (6</w:t>
      </w:r>
      <w:r w:rsidR="00301D19" w:rsidRPr="00A41CD3">
        <w:t>,</w:t>
      </w:r>
      <w:r w:rsidRPr="00A41CD3">
        <w:t>000 rpm, 15 mins, room temperature) and then washed with sterile physiological saline (0.85</w:t>
      </w:r>
      <w:r w:rsidR="00301D19" w:rsidRPr="00A41CD3">
        <w:t xml:space="preserve"> </w:t>
      </w:r>
      <w:r w:rsidRPr="00A41CD3">
        <w:t>% NaCl), before being re-suspended in 100 mL serum bottles, each containing either glucose-MSM</w:t>
      </w:r>
      <w:r w:rsidRPr="00006ADA">
        <w:rPr>
          <w:vertAlign w:val="subscript"/>
        </w:rPr>
        <w:t>A</w:t>
      </w:r>
      <w:r w:rsidRPr="00A41CD3">
        <w:t xml:space="preserve"> or glucose-MSM</w:t>
      </w:r>
      <w:r w:rsidRPr="00006ADA">
        <w:rPr>
          <w:vertAlign w:val="subscript"/>
        </w:rPr>
        <w:t>X</w:t>
      </w:r>
      <w:r w:rsidRPr="00A41CD3">
        <w:t xml:space="preserve"> (with different </w:t>
      </w:r>
      <w:r w:rsidR="00702AD9" w:rsidRPr="00A41CD3">
        <w:t>SeO</w:t>
      </w:r>
      <w:r w:rsidR="00A41CD3" w:rsidRPr="00A41CD3">
        <w:rPr>
          <w:vertAlign w:val="subscript"/>
        </w:rPr>
        <w:t>3</w:t>
      </w:r>
      <w:r w:rsidR="00A41CD3" w:rsidRPr="00A41CD3">
        <w:rPr>
          <w:vertAlign w:val="superscript"/>
        </w:rPr>
        <w:t>2-</w:t>
      </w:r>
      <w:r w:rsidRPr="00A41CD3">
        <w:t xml:space="preserve"> concentrations (0.5, 1, 2, 5, 10</w:t>
      </w:r>
      <w:r w:rsidR="00012A6F" w:rsidRPr="00A41CD3">
        <w:t xml:space="preserve"> </w:t>
      </w:r>
      <w:r w:rsidRPr="00A41CD3">
        <w:t xml:space="preserve">mM)). </w:t>
      </w:r>
      <w:r w:rsidR="00006ADA">
        <w:t>G</w:t>
      </w:r>
      <w:r w:rsidR="00006ADA" w:rsidRPr="00A41CD3">
        <w:t>lucose-MSM at pH 7</w:t>
      </w:r>
      <w:r w:rsidR="00006ADA">
        <w:t xml:space="preserve"> consisted of</w:t>
      </w:r>
      <w:r w:rsidR="00006ADA" w:rsidRPr="00A41CD3">
        <w:t xml:space="preserve"> (Brink et al., 2018)</w:t>
      </w:r>
      <w:r w:rsidR="00006ADA">
        <w:t>:</w:t>
      </w:r>
      <w:r w:rsidR="00006ADA" w:rsidRPr="00A41CD3">
        <w:t xml:space="preserve"> </w:t>
      </w:r>
      <w:r w:rsidR="00FB4672">
        <w:t>2 g.L</w:t>
      </w:r>
      <w:r w:rsidR="00FB4672">
        <w:rPr>
          <w:vertAlign w:val="superscript"/>
        </w:rPr>
        <w:t>-1</w:t>
      </w:r>
      <w:r w:rsidR="00FB4672">
        <w:t xml:space="preserve"> glucose, </w:t>
      </w:r>
      <w:r w:rsidR="00006ADA" w:rsidRPr="00A41CD3">
        <w:t>10 mM K</w:t>
      </w:r>
      <w:r w:rsidR="00006ADA" w:rsidRPr="00A41CD3">
        <w:rPr>
          <w:vertAlign w:val="subscript"/>
        </w:rPr>
        <w:t>2</w:t>
      </w:r>
      <w:r w:rsidR="00006ADA" w:rsidRPr="00A41CD3">
        <w:t>HPO</w:t>
      </w:r>
      <w:r w:rsidR="00006ADA" w:rsidRPr="00A41CD3">
        <w:rPr>
          <w:vertAlign w:val="subscript"/>
        </w:rPr>
        <w:t>4</w:t>
      </w:r>
      <w:r w:rsidR="00006ADA" w:rsidRPr="00A41CD3">
        <w:t>, 20 mM KH</w:t>
      </w:r>
      <w:r w:rsidR="00006ADA" w:rsidRPr="00A41CD3">
        <w:rPr>
          <w:vertAlign w:val="subscript"/>
        </w:rPr>
        <w:t>2</w:t>
      </w:r>
      <w:r w:rsidR="00006ADA" w:rsidRPr="00A41CD3">
        <w:t>PO</w:t>
      </w:r>
      <w:r w:rsidR="00006ADA" w:rsidRPr="00A41CD3">
        <w:rPr>
          <w:vertAlign w:val="subscript"/>
        </w:rPr>
        <w:t>4</w:t>
      </w:r>
      <w:r w:rsidR="00006ADA" w:rsidRPr="00A41CD3">
        <w:t>, 0.8 mM Na</w:t>
      </w:r>
      <w:r w:rsidR="00006ADA" w:rsidRPr="00A41CD3">
        <w:rPr>
          <w:vertAlign w:val="subscript"/>
        </w:rPr>
        <w:t>2</w:t>
      </w:r>
      <w:r w:rsidR="00006ADA" w:rsidRPr="00A41CD3">
        <w:t>SO</w:t>
      </w:r>
      <w:r w:rsidR="00006ADA" w:rsidRPr="00A41CD3">
        <w:rPr>
          <w:vertAlign w:val="subscript"/>
        </w:rPr>
        <w:t>4</w:t>
      </w:r>
      <w:r w:rsidR="00006ADA" w:rsidRPr="00A41CD3">
        <w:t>, and 0.2 mM MgSO</w:t>
      </w:r>
      <w:r w:rsidR="00006ADA" w:rsidRPr="00A41CD3">
        <w:rPr>
          <w:vertAlign w:val="subscript"/>
        </w:rPr>
        <w:t>4</w:t>
      </w:r>
      <w:r w:rsidR="00006ADA" w:rsidRPr="00A41CD3">
        <w:t xml:space="preserve">, 50 </w:t>
      </w:r>
      <w:proofErr w:type="spellStart"/>
      <w:r w:rsidR="00006ADA" w:rsidRPr="00A41CD3">
        <w:t>nM</w:t>
      </w:r>
      <w:proofErr w:type="spellEnd"/>
      <w:r w:rsidR="00006ADA" w:rsidRPr="00A41CD3">
        <w:t xml:space="preserve"> CaCl</w:t>
      </w:r>
      <w:r w:rsidR="00006ADA" w:rsidRPr="00A41CD3">
        <w:rPr>
          <w:vertAlign w:val="subscript"/>
        </w:rPr>
        <w:t>2</w:t>
      </w:r>
      <w:r w:rsidR="00006ADA" w:rsidRPr="00A41CD3">
        <w:t xml:space="preserve"> (Sigma-Aldrich, St. Louis, MO), 25 </w:t>
      </w:r>
      <w:proofErr w:type="spellStart"/>
      <w:r w:rsidR="00006ADA" w:rsidRPr="00A41CD3">
        <w:t>nM</w:t>
      </w:r>
      <w:proofErr w:type="spellEnd"/>
      <w:r w:rsidR="00006ADA" w:rsidRPr="00A41CD3">
        <w:t xml:space="preserve"> FeSO</w:t>
      </w:r>
      <w:r w:rsidR="00006ADA" w:rsidRPr="00A41CD3">
        <w:rPr>
          <w:vertAlign w:val="subscript"/>
        </w:rPr>
        <w:t>4</w:t>
      </w:r>
      <w:r w:rsidR="00006ADA" w:rsidRPr="00A41CD3">
        <w:t xml:space="preserve">, 0.1 </w:t>
      </w:r>
      <w:proofErr w:type="spellStart"/>
      <w:r w:rsidR="00006ADA" w:rsidRPr="00A41CD3">
        <w:t>nM</w:t>
      </w:r>
      <w:proofErr w:type="spellEnd"/>
      <w:r w:rsidR="00006ADA" w:rsidRPr="00A41CD3">
        <w:t xml:space="preserve"> ZnCl</w:t>
      </w:r>
      <w:r w:rsidR="00006ADA" w:rsidRPr="00A41CD3">
        <w:rPr>
          <w:vertAlign w:val="subscript"/>
        </w:rPr>
        <w:t>2</w:t>
      </w:r>
      <w:r w:rsidR="00006ADA" w:rsidRPr="00A41CD3">
        <w:t>, 0.2</w:t>
      </w:r>
      <w:r w:rsidR="00006ADA">
        <w:t> </w:t>
      </w:r>
      <w:proofErr w:type="spellStart"/>
      <w:r w:rsidR="00006ADA" w:rsidRPr="00A41CD3">
        <w:t>nM</w:t>
      </w:r>
      <w:proofErr w:type="spellEnd"/>
      <w:r w:rsidR="00006ADA" w:rsidRPr="00A41CD3">
        <w:t xml:space="preserve"> CuCl</w:t>
      </w:r>
      <w:r w:rsidR="00006ADA" w:rsidRPr="00A41CD3">
        <w:rPr>
          <w:vertAlign w:val="subscript"/>
        </w:rPr>
        <w:t>2</w:t>
      </w:r>
      <w:r w:rsidR="00006ADA" w:rsidRPr="00A41CD3">
        <w:t xml:space="preserve">, 0.1 </w:t>
      </w:r>
      <w:proofErr w:type="spellStart"/>
      <w:r w:rsidR="00006ADA" w:rsidRPr="00A41CD3">
        <w:t>nM</w:t>
      </w:r>
      <w:proofErr w:type="spellEnd"/>
      <w:r w:rsidR="00006ADA" w:rsidRPr="00A41CD3">
        <w:t xml:space="preserve"> </w:t>
      </w:r>
      <w:proofErr w:type="spellStart"/>
      <w:r w:rsidR="00006ADA" w:rsidRPr="00A41CD3">
        <w:t>NaBr</w:t>
      </w:r>
      <w:proofErr w:type="spellEnd"/>
      <w:r w:rsidR="00006ADA" w:rsidRPr="00A41CD3">
        <w:t xml:space="preserve">, 0.05 </w:t>
      </w:r>
      <w:proofErr w:type="spellStart"/>
      <w:r w:rsidR="00006ADA" w:rsidRPr="00A41CD3">
        <w:t>nM</w:t>
      </w:r>
      <w:proofErr w:type="spellEnd"/>
      <w:r w:rsidR="00006ADA" w:rsidRPr="00A41CD3">
        <w:t xml:space="preserve"> Na</w:t>
      </w:r>
      <w:r w:rsidR="00006ADA" w:rsidRPr="00A41CD3">
        <w:rPr>
          <w:vertAlign w:val="subscript"/>
        </w:rPr>
        <w:t>2</w:t>
      </w:r>
      <w:r w:rsidR="00006ADA" w:rsidRPr="00A41CD3">
        <w:t>MoO</w:t>
      </w:r>
      <w:r w:rsidR="00006ADA" w:rsidRPr="00A41CD3">
        <w:rPr>
          <w:vertAlign w:val="subscript"/>
        </w:rPr>
        <w:t>2</w:t>
      </w:r>
      <w:r w:rsidR="00006ADA" w:rsidRPr="00A41CD3">
        <w:t xml:space="preserve">, 0.1 </w:t>
      </w:r>
      <w:proofErr w:type="spellStart"/>
      <w:r w:rsidR="00006ADA" w:rsidRPr="00A41CD3">
        <w:t>nM</w:t>
      </w:r>
      <w:proofErr w:type="spellEnd"/>
      <w:r w:rsidR="00006ADA" w:rsidRPr="00A41CD3">
        <w:t xml:space="preserve"> MnCl</w:t>
      </w:r>
      <w:r w:rsidR="00006ADA" w:rsidRPr="00A41CD3">
        <w:rPr>
          <w:vertAlign w:val="subscript"/>
        </w:rPr>
        <w:t>2</w:t>
      </w:r>
      <w:r w:rsidR="00006ADA" w:rsidRPr="00A41CD3">
        <w:t xml:space="preserve">, 0.1 </w:t>
      </w:r>
      <w:proofErr w:type="spellStart"/>
      <w:r w:rsidR="00006ADA" w:rsidRPr="00A41CD3">
        <w:t>nM</w:t>
      </w:r>
      <w:proofErr w:type="spellEnd"/>
      <w:r w:rsidR="00006ADA" w:rsidRPr="00A41CD3">
        <w:t xml:space="preserve"> KI, 0.2 </w:t>
      </w:r>
      <w:proofErr w:type="spellStart"/>
      <w:r w:rsidR="00006ADA" w:rsidRPr="00A41CD3">
        <w:t>nM</w:t>
      </w:r>
      <w:proofErr w:type="spellEnd"/>
      <w:r w:rsidR="00006ADA" w:rsidRPr="00A41CD3">
        <w:t xml:space="preserve"> H</w:t>
      </w:r>
      <w:r w:rsidR="00006ADA" w:rsidRPr="00A41CD3">
        <w:rPr>
          <w:vertAlign w:val="subscript"/>
        </w:rPr>
        <w:t>3</w:t>
      </w:r>
      <w:r w:rsidR="00006ADA" w:rsidRPr="00A41CD3">
        <w:t>BO</w:t>
      </w:r>
      <w:r w:rsidR="00006ADA" w:rsidRPr="00A41CD3">
        <w:rPr>
          <w:vertAlign w:val="subscript"/>
        </w:rPr>
        <w:t>3</w:t>
      </w:r>
      <w:r w:rsidR="00006ADA" w:rsidRPr="00A41CD3">
        <w:t xml:space="preserve">, 0.1 </w:t>
      </w:r>
      <w:proofErr w:type="spellStart"/>
      <w:r w:rsidR="00006ADA" w:rsidRPr="00A41CD3">
        <w:t>nM</w:t>
      </w:r>
      <w:proofErr w:type="spellEnd"/>
      <w:r w:rsidR="00006ADA" w:rsidRPr="00A41CD3">
        <w:t xml:space="preserve"> CoCl</w:t>
      </w:r>
      <w:r w:rsidR="00006ADA" w:rsidRPr="00A41CD3">
        <w:rPr>
          <w:vertAlign w:val="subscript"/>
        </w:rPr>
        <w:t>2</w:t>
      </w:r>
      <w:r w:rsidR="00006ADA" w:rsidRPr="00A41CD3">
        <w:t>, and 0.1</w:t>
      </w:r>
      <w:r w:rsidR="00006ADA">
        <w:t> </w:t>
      </w:r>
      <w:proofErr w:type="spellStart"/>
      <w:r w:rsidR="00006ADA" w:rsidRPr="00A41CD3">
        <w:t>nM</w:t>
      </w:r>
      <w:proofErr w:type="spellEnd"/>
      <w:r w:rsidR="00006ADA" w:rsidRPr="00A41CD3">
        <w:t xml:space="preserve"> NiCl</w:t>
      </w:r>
      <w:r w:rsidR="00006ADA" w:rsidRPr="00A41CD3">
        <w:rPr>
          <w:vertAlign w:val="subscript"/>
        </w:rPr>
        <w:t>2</w:t>
      </w:r>
      <w:r w:rsidR="00006ADA" w:rsidRPr="00A41CD3">
        <w:t>). All chemicals were sourced from Merck (Merck, Darmstadt, Germany) unless otherwise specified.</w:t>
      </w:r>
    </w:p>
    <w:p w:rsidR="00A41CD3" w:rsidRPr="00A41CD3" w:rsidRDefault="00A41CD3" w:rsidP="00A41CD3">
      <w:pPr>
        <w:pStyle w:val="CETBodytext"/>
      </w:pPr>
      <w:r w:rsidRPr="00A41CD3">
        <w:t xml:space="preserve">To ensure that all other conditions were kept constant during the reduction of the different </w:t>
      </w:r>
      <w:bookmarkStart w:id="2" w:name="_Hlk6226604"/>
      <w:r w:rsidRPr="00A41CD3">
        <w:t>SeO</w:t>
      </w:r>
      <w:r w:rsidRPr="00A41CD3">
        <w:rPr>
          <w:vertAlign w:val="subscript"/>
        </w:rPr>
        <w:t>3</w:t>
      </w:r>
      <w:r w:rsidRPr="00A41CD3">
        <w:rPr>
          <w:vertAlign w:val="superscript"/>
        </w:rPr>
        <w:t>2-</w:t>
      </w:r>
      <w:bookmarkEnd w:id="2"/>
      <w:r w:rsidRPr="00A41CD3">
        <w:t>concentrations, the different batches, i.e. the batches with NH</w:t>
      </w:r>
      <w:r w:rsidRPr="00A41CD3">
        <w:rPr>
          <w:vertAlign w:val="subscript"/>
        </w:rPr>
        <w:t>4</w:t>
      </w:r>
      <w:r w:rsidRPr="00A41CD3">
        <w:t>Cl and without, were run concurrently. In addition, the biomass of approximately 7 g.L</w:t>
      </w:r>
      <w:r w:rsidRPr="00A41CD3">
        <w:rPr>
          <w:vertAlign w:val="superscript"/>
        </w:rPr>
        <w:t>-1</w:t>
      </w:r>
      <w:r w:rsidRPr="00A41CD3">
        <w:t xml:space="preserve"> was added at the start of each reduction experiment and also kept constant for the varying concentrations. A control for each of the different concentrations was subjected to the same conditions in the absence of the bacterial strain to determine whether any chemical </w:t>
      </w:r>
      <w:r w:rsidRPr="00006ADA">
        <w:rPr>
          <w:lang w:val="en-ZA"/>
        </w:rPr>
        <w:t>SeO</w:t>
      </w:r>
      <w:r w:rsidR="00006ADA" w:rsidRPr="00006ADA">
        <w:rPr>
          <w:vertAlign w:val="subscript"/>
          <w:lang w:val="en-ZA"/>
        </w:rPr>
        <w:t>3</w:t>
      </w:r>
      <w:r w:rsidR="00006ADA" w:rsidRPr="00006ADA">
        <w:rPr>
          <w:vertAlign w:val="superscript"/>
          <w:lang w:val="en-ZA"/>
        </w:rPr>
        <w:t>2-</w:t>
      </w:r>
      <w:r w:rsidR="00006ADA">
        <w:rPr>
          <w:lang w:val="en-ZA"/>
        </w:rPr>
        <w:t>-</w:t>
      </w:r>
      <w:r w:rsidRPr="00A41CD3">
        <w:t>reduction would occur.</w:t>
      </w:r>
    </w:p>
    <w:p w:rsidR="00D36B85" w:rsidRPr="00A41CD3" w:rsidRDefault="00D36B85" w:rsidP="00A41CD3">
      <w:pPr>
        <w:pStyle w:val="CETBodytext"/>
      </w:pPr>
      <w:r w:rsidRPr="00A41CD3">
        <w:t xml:space="preserve">The serum bottles were incubated on a rotary shaker (120 rpm, 37 </w:t>
      </w:r>
      <w:r w:rsidR="00922926" w:rsidRPr="00A41CD3">
        <w:t>°</w:t>
      </w:r>
      <w:r w:rsidRPr="00A41CD3">
        <w:t>C). 1 mL samples were extracted at specific time intervals throughout the duration of the experiment and analysed for the total selenium before being centrifuged (6,000 rpm, 15 mins, room temperature). After centrifugation, the supernatant and the</w:t>
      </w:r>
      <w:r w:rsidR="00B37944" w:rsidRPr="00A41CD3">
        <w:t xml:space="preserve"> biomass-</w:t>
      </w:r>
      <w:proofErr w:type="gramStart"/>
      <w:r w:rsidR="00843CA7" w:rsidRPr="00A41CD3">
        <w:t>Se(</w:t>
      </w:r>
      <w:proofErr w:type="gramEnd"/>
      <w:r w:rsidR="00843CA7" w:rsidRPr="00A41CD3">
        <w:t>0)</w:t>
      </w:r>
      <w:r w:rsidRPr="00A41CD3">
        <w:t xml:space="preserve"> pellet were separated and each </w:t>
      </w:r>
      <w:r w:rsidR="00B37944" w:rsidRPr="00A41CD3">
        <w:t>stored</w:t>
      </w:r>
      <w:r w:rsidRPr="00A41CD3">
        <w:t xml:space="preserve"> in individual vials </w:t>
      </w:r>
      <w:r w:rsidR="00B37944" w:rsidRPr="00A41CD3">
        <w:t xml:space="preserve">at </w:t>
      </w:r>
      <w:r w:rsidRPr="00A41CD3">
        <w:t>-70 °C for</w:t>
      </w:r>
      <w:r w:rsidR="00B37944" w:rsidRPr="00A41CD3">
        <w:t xml:space="preserve"> subsequent</w:t>
      </w:r>
      <w:r w:rsidRPr="00A41CD3">
        <w:t xml:space="preserve"> analysis.</w:t>
      </w:r>
      <w:r w:rsidR="00FB4462" w:rsidRPr="00A41CD3">
        <w:t xml:space="preserve"> </w:t>
      </w:r>
      <w:r w:rsidR="00B37944" w:rsidRPr="00A41CD3">
        <w:t>T</w:t>
      </w:r>
      <w:r w:rsidRPr="00A41CD3">
        <w:t>he pellet</w:t>
      </w:r>
      <w:r w:rsidR="00B37944" w:rsidRPr="00A41CD3">
        <w:t>s</w:t>
      </w:r>
      <w:r w:rsidRPr="00A41CD3">
        <w:t xml:space="preserve"> w</w:t>
      </w:r>
      <w:r w:rsidR="00B37944" w:rsidRPr="00A41CD3">
        <w:t>ere thawed and</w:t>
      </w:r>
      <w:r w:rsidRPr="00A41CD3">
        <w:t xml:space="preserve"> digested with concentrated hydrochloric</w:t>
      </w:r>
      <w:r w:rsidR="00B37944" w:rsidRPr="00A41CD3">
        <w:t>-</w:t>
      </w:r>
      <w:r w:rsidRPr="00A41CD3">
        <w:t xml:space="preserve"> </w:t>
      </w:r>
      <w:r w:rsidR="007E01E1" w:rsidRPr="00A41CD3">
        <w:t>(</w:t>
      </w:r>
      <w:r w:rsidRPr="00A41CD3">
        <w:t>HCl</w:t>
      </w:r>
      <w:r w:rsidR="007E01E1" w:rsidRPr="00A41CD3">
        <w:t>)</w:t>
      </w:r>
      <w:r w:rsidRPr="00A41CD3">
        <w:t xml:space="preserve"> and nitric acid (HNO</w:t>
      </w:r>
      <w:r w:rsidR="00A41CD3" w:rsidRPr="00A41CD3">
        <w:rPr>
          <w:vertAlign w:val="subscript"/>
        </w:rPr>
        <w:t>3</w:t>
      </w:r>
      <w:r w:rsidRPr="00A41CD3">
        <w:t xml:space="preserve">) to </w:t>
      </w:r>
      <w:r w:rsidR="00B37944" w:rsidRPr="00A41CD3">
        <w:t xml:space="preserve">re-dissolve the elemental selenium. The supernatant and dissolved pellets were analysed for Se concentrations. </w:t>
      </w:r>
    </w:p>
    <w:p w:rsidR="00D36B85" w:rsidRDefault="00D36B85" w:rsidP="004327C7">
      <w:pPr>
        <w:pStyle w:val="CETheadingx"/>
        <w:rPr>
          <w:lang w:eastAsia="en-ZW"/>
        </w:rPr>
      </w:pPr>
      <w:r w:rsidRPr="00AF4A5C">
        <w:rPr>
          <w:lang w:eastAsia="en-ZW"/>
        </w:rPr>
        <w:t xml:space="preserve"> Analytical methods</w:t>
      </w:r>
    </w:p>
    <w:p w:rsidR="00D36B85" w:rsidRDefault="00D36B85" w:rsidP="00A41CD3">
      <w:pPr>
        <w:pStyle w:val="CETBodytext"/>
      </w:pPr>
      <w:r w:rsidRPr="00E50BF9">
        <w:t>The total Selenium (Se)</w:t>
      </w:r>
      <w:r w:rsidR="00006ADA">
        <w:t xml:space="preserve"> concentration </w:t>
      </w:r>
      <w:r w:rsidRPr="00E50BF9">
        <w:t>was determined in the Varian AA–1275 Series Flame AAS (Varian, Palo Alto, CA (USA)</w:t>
      </w:r>
      <w:r w:rsidR="008E2507">
        <w:t>)</w:t>
      </w:r>
      <w:r w:rsidRPr="00E50BF9">
        <w:t xml:space="preserve"> at 196.03 nm wavelength equipped with a </w:t>
      </w:r>
      <w:proofErr w:type="gramStart"/>
      <w:r w:rsidRPr="00E50BF9">
        <w:t>290 mA</w:t>
      </w:r>
      <w:proofErr w:type="gramEnd"/>
      <w:r w:rsidRPr="00E50BF9">
        <w:t xml:space="preserve"> selenium lamp. For each specific time interval </w:t>
      </w:r>
      <w:r>
        <w:t>that a sample had been taken, the total Se was analysed in the sample before centrifugation.</w:t>
      </w:r>
      <w:r w:rsidR="00FB4462">
        <w:t xml:space="preserve"> After </w:t>
      </w:r>
      <w:r w:rsidR="00FB4462">
        <w:lastRenderedPageBreak/>
        <w:t xml:space="preserve">centrifugation, the supernatant was separated from the formed </w:t>
      </w:r>
      <w:r w:rsidR="00270F62">
        <w:t>pellet</w:t>
      </w:r>
      <w:r>
        <w:t xml:space="preserve"> </w:t>
      </w:r>
      <w:r w:rsidR="00270F62">
        <w:t>before analysis by the AAS</w:t>
      </w:r>
      <w:r w:rsidR="00FB4462">
        <w:t xml:space="preserve"> once again </w:t>
      </w:r>
      <w:r w:rsidR="00270F62">
        <w:t xml:space="preserve">to ascertain the </w:t>
      </w:r>
      <w:r w:rsidR="00FB4462">
        <w:t xml:space="preserve">amount of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FB4462">
        <w:t xml:space="preserve"> that had not yet be</w:t>
      </w:r>
      <w:r w:rsidR="00A154B4">
        <w:t>en</w:t>
      </w:r>
      <w:r w:rsidR="00FB4462">
        <w:t xml:space="preserve"> reduced.</w:t>
      </w:r>
      <w:r w:rsidR="004A657E">
        <w:t xml:space="preserve"> The selenium pellet was</w:t>
      </w:r>
      <w:r w:rsidR="00270F62">
        <w:t xml:space="preserve"> then</w:t>
      </w:r>
      <w:r w:rsidR="004A657E">
        <w:t xml:space="preserve"> digested back to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4A657E">
        <w:t xml:space="preserve"> before being </w:t>
      </w:r>
      <w:proofErr w:type="spellStart"/>
      <w:r w:rsidR="004A657E">
        <w:t>analysed</w:t>
      </w:r>
      <w:proofErr w:type="spellEnd"/>
      <w:r w:rsidR="004A657E">
        <w:t xml:space="preserve"> as well.</w:t>
      </w:r>
      <w:r w:rsidR="00FB4462">
        <w:t xml:space="preserve"> </w:t>
      </w:r>
      <w:r>
        <w:t xml:space="preserve">This was done in order to do a selenium balance and ensure that all the selenium </w:t>
      </w:r>
      <w:r w:rsidR="00B37944">
        <w:t>absent in the</w:t>
      </w:r>
      <w:r>
        <w:t xml:space="preserve"> supernatant had been converted to </w:t>
      </w:r>
      <w:proofErr w:type="gramStart"/>
      <w:r w:rsidR="00843CA7">
        <w:t>Se(</w:t>
      </w:r>
      <w:proofErr w:type="gramEnd"/>
      <w:r w:rsidR="00843CA7">
        <w:t>0)</w:t>
      </w:r>
      <w:r>
        <w:t xml:space="preserve"> in the pellet.</w:t>
      </w:r>
      <w:r w:rsidR="004A657E">
        <w:t xml:space="preserve"> </w:t>
      </w:r>
    </w:p>
    <w:p w:rsidR="00D36B85" w:rsidRPr="00D36B85" w:rsidRDefault="00D36B85" w:rsidP="00D36B85">
      <w:pPr>
        <w:pStyle w:val="CETHeading1"/>
        <w:rPr>
          <w:lang w:eastAsia="en-ZW"/>
        </w:rPr>
      </w:pPr>
      <w:r w:rsidRPr="00D36B85">
        <w:rPr>
          <w:lang w:eastAsia="en-ZW"/>
        </w:rPr>
        <w:t xml:space="preserve">Results and </w:t>
      </w:r>
      <w:r w:rsidR="007C27E3">
        <w:rPr>
          <w:lang w:eastAsia="en-ZW"/>
        </w:rPr>
        <w:t>i</w:t>
      </w:r>
      <w:r w:rsidRPr="00D36B85">
        <w:rPr>
          <w:lang w:eastAsia="en-ZW"/>
        </w:rPr>
        <w:t>nterpretation</w:t>
      </w:r>
    </w:p>
    <w:p w:rsidR="00D36B85" w:rsidRPr="00D0230A" w:rsidRDefault="00A41CD3" w:rsidP="00A41CD3">
      <w:pPr>
        <w:pStyle w:val="CETBodytext"/>
        <w:rPr>
          <w:lang w:eastAsia="en-ZW"/>
        </w:rPr>
      </w:pPr>
      <w:r w:rsidRPr="00A41CD3">
        <w:rPr>
          <w:lang w:eastAsia="en-ZW"/>
        </w:rPr>
        <w:t xml:space="preserve">Figure 1 shows that within 0.5 h of commencing the reduction experiments, a red colour, which is an indication of the formation of </w:t>
      </w:r>
      <w:proofErr w:type="gramStart"/>
      <w:r w:rsidRPr="00A41CD3">
        <w:rPr>
          <w:lang w:eastAsia="en-ZW"/>
        </w:rPr>
        <w:t>Se(</w:t>
      </w:r>
      <w:proofErr w:type="gramEnd"/>
      <w:r w:rsidRPr="00A41CD3">
        <w:rPr>
          <w:lang w:eastAsia="en-ZW"/>
        </w:rPr>
        <w:t>0) was more intense for experiments with NH</w:t>
      </w:r>
      <w:r w:rsidRPr="00006ADA">
        <w:rPr>
          <w:vertAlign w:val="subscript"/>
          <w:lang w:eastAsia="en-ZW"/>
        </w:rPr>
        <w:t>4</w:t>
      </w:r>
      <w:r w:rsidRPr="00A41CD3">
        <w:rPr>
          <w:lang w:eastAsia="en-ZW"/>
        </w:rPr>
        <w:t>Cl compared to those without. This remained the case throughout the duration of the experiment. This observation was attributed to a higher initial reduction rate in the presence of the nitrogen source. The rate was higher in the presence of a nitrogen source due to microbial growth because bacterial biomass is a nitrogen sink. As strain NT-I is the catalyst in selenium reduction, this meant that the amount of catalyst increased as well, resulting in a faster reaction rate. In the experiments without a nitrogen source, it was assumed that the rate of biomass change was negligible and therefore had little effect on the reaction rate.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FB7C45" w:rsidTr="00B60501">
        <w:tc>
          <w:tcPr>
            <w:tcW w:w="9003" w:type="dxa"/>
          </w:tcPr>
          <w:p w:rsidR="00FB7C45" w:rsidRDefault="00FB7C45" w:rsidP="00B60501">
            <w:pPr>
              <w:autoSpaceDE w:val="0"/>
              <w:autoSpaceDN w:val="0"/>
              <w:adjustRightInd w:val="0"/>
              <w:spacing w:line="360" w:lineRule="auto"/>
              <w:rPr>
                <w:rFonts w:cs="Arial"/>
                <w:szCs w:val="18"/>
              </w:rPr>
            </w:pPr>
            <w:r>
              <w:rPr>
                <w:rFonts w:cs="Arial"/>
                <w:szCs w:val="18"/>
              </w:rPr>
              <w:t xml:space="preserve">a </w:t>
            </w:r>
            <w:r>
              <w:rPr>
                <w:rFonts w:cs="Arial"/>
                <w:noProof/>
                <w:szCs w:val="18"/>
                <w:lang w:val="en-ZW" w:eastAsia="en-ZW"/>
              </w:rPr>
              <w:drawing>
                <wp:inline distT="0" distB="0" distL="0" distR="0" wp14:anchorId="3620580A" wp14:editId="11DE5452">
                  <wp:extent cx="5669280" cy="869581"/>
                  <wp:effectExtent l="0" t="0" r="7620" b="6985"/>
                  <wp:docPr id="9" name="Picture 9" descr="C:\Users\job\Desktop\MASTERS PROJECT\SELENIUM DOCUMENTS\I-CHEAP\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b\Desktop\MASTERS PROJECT\SELENIUM DOCUMENTS\I-CHEAP\X1.png"/>
                          <pic:cNvPicPr>
                            <a:picLocks noChangeAspect="1" noChangeArrowheads="1"/>
                          </pic:cNvPicPr>
                        </pic:nvPicPr>
                        <pic:blipFill>
                          <a:blip r:embed="rId10">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5669280" cy="869581"/>
                          </a:xfrm>
                          <a:prstGeom prst="rect">
                            <a:avLst/>
                          </a:prstGeom>
                          <a:noFill/>
                          <a:ln>
                            <a:noFill/>
                          </a:ln>
                        </pic:spPr>
                      </pic:pic>
                    </a:graphicData>
                  </a:graphic>
                </wp:inline>
              </w:drawing>
            </w:r>
          </w:p>
        </w:tc>
      </w:tr>
      <w:tr w:rsidR="00FB7C45" w:rsidTr="00B60501">
        <w:tc>
          <w:tcPr>
            <w:tcW w:w="9003" w:type="dxa"/>
          </w:tcPr>
          <w:p w:rsidR="00FB7C45" w:rsidRDefault="00FB7C45" w:rsidP="00B60501">
            <w:pPr>
              <w:autoSpaceDE w:val="0"/>
              <w:autoSpaceDN w:val="0"/>
              <w:adjustRightInd w:val="0"/>
              <w:spacing w:line="360" w:lineRule="auto"/>
              <w:rPr>
                <w:rFonts w:cs="Arial"/>
                <w:szCs w:val="18"/>
              </w:rPr>
            </w:pPr>
            <w:r>
              <w:rPr>
                <w:rFonts w:cs="Arial"/>
                <w:szCs w:val="18"/>
              </w:rPr>
              <w:t>b</w:t>
            </w:r>
            <w:r>
              <w:rPr>
                <w:rFonts w:cs="Arial"/>
                <w:noProof/>
                <w:szCs w:val="18"/>
                <w:lang w:val="en-ZW" w:eastAsia="en-ZW"/>
              </w:rPr>
              <w:drawing>
                <wp:inline distT="0" distB="0" distL="0" distR="0" wp14:anchorId="19559BB8" wp14:editId="044391BA">
                  <wp:extent cx="5669280" cy="919801"/>
                  <wp:effectExtent l="0" t="0" r="0" b="0"/>
                  <wp:docPr id="10" name="Picture 10" descr="C:\Users\job\Desktop\MASTERS PROJECT\SELENIUM DOCUMENTS\I-CHEAP\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b\Desktop\MASTERS PROJECT\SELENIUM DOCUMENTS\I-CHEAP\A1.png"/>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5669280" cy="919801"/>
                          </a:xfrm>
                          <a:prstGeom prst="rect">
                            <a:avLst/>
                          </a:prstGeom>
                          <a:noFill/>
                          <a:ln>
                            <a:noFill/>
                          </a:ln>
                        </pic:spPr>
                      </pic:pic>
                    </a:graphicData>
                  </a:graphic>
                </wp:inline>
              </w:drawing>
            </w:r>
          </w:p>
        </w:tc>
      </w:tr>
    </w:tbl>
    <w:p w:rsidR="00FB7C45" w:rsidRDefault="00FB7C45" w:rsidP="00FB7C45">
      <w:pPr>
        <w:spacing w:before="240" w:after="240"/>
        <w:rPr>
          <w:i/>
        </w:rPr>
      </w:pPr>
      <w:r>
        <w:rPr>
          <w:i/>
        </w:rPr>
        <w:t>Figure 1:</w:t>
      </w:r>
      <w:r w:rsidRPr="007665E8">
        <w:rPr>
          <w:i/>
        </w:rPr>
        <w:t xml:space="preserve"> </w:t>
      </w:r>
      <w:r>
        <w:rPr>
          <w:i/>
        </w:rPr>
        <w:t>Shows the changes at different time intervals in the intensities of a red colour which is an indication of the formation of Se(0). (a) Experiments without NH</w:t>
      </w:r>
      <w:r w:rsidRPr="0092078C">
        <w:rPr>
          <w:i/>
          <w:vertAlign w:val="subscript"/>
        </w:rPr>
        <w:t>4</w:t>
      </w:r>
      <w:r>
        <w:rPr>
          <w:i/>
        </w:rPr>
        <w:t>Cl. (b) Experiments with NH</w:t>
      </w:r>
      <w:r w:rsidRPr="0092078C">
        <w:rPr>
          <w:i/>
          <w:vertAlign w:val="subscript"/>
        </w:rPr>
        <w:t>4</w:t>
      </w:r>
      <w:r>
        <w:rPr>
          <w:i/>
        </w:rPr>
        <w:t>Cl.</w:t>
      </w:r>
    </w:p>
    <w:p w:rsidR="00036775" w:rsidRPr="00D0230A" w:rsidRDefault="00C913F6" w:rsidP="00A41CD3">
      <w:pPr>
        <w:pStyle w:val="CETBodytext"/>
        <w:rPr>
          <w:lang w:eastAsia="en-ZW"/>
        </w:rPr>
      </w:pPr>
      <w:r w:rsidRPr="00D0230A">
        <w:rPr>
          <w:lang w:eastAsia="en-ZW"/>
        </w:rPr>
        <w:t>F</w:t>
      </w:r>
      <w:r w:rsidR="0084259C" w:rsidRPr="00D0230A">
        <w:rPr>
          <w:lang w:eastAsia="en-ZW"/>
        </w:rPr>
        <w:t>igures 2</w:t>
      </w:r>
      <w:r w:rsidR="00D66BB3" w:rsidRPr="00D0230A">
        <w:rPr>
          <w:lang w:eastAsia="en-ZW"/>
        </w:rPr>
        <w:t>(a), (b)</w:t>
      </w:r>
      <w:r w:rsidR="00864A63" w:rsidRPr="00D0230A">
        <w:rPr>
          <w:lang w:eastAsia="en-ZW"/>
        </w:rPr>
        <w:t>;</w:t>
      </w:r>
      <w:r w:rsidR="00D66BB3" w:rsidRPr="00D0230A">
        <w:rPr>
          <w:lang w:eastAsia="en-ZW"/>
        </w:rPr>
        <w:t xml:space="preserve"> 3(a), (b) and </w:t>
      </w:r>
      <w:r w:rsidR="0084259C" w:rsidRPr="00D0230A">
        <w:rPr>
          <w:lang w:eastAsia="en-ZW"/>
        </w:rPr>
        <w:t>4</w:t>
      </w:r>
      <w:r w:rsidR="00D66BB3" w:rsidRPr="00D0230A">
        <w:rPr>
          <w:lang w:eastAsia="en-ZW"/>
        </w:rPr>
        <w:t>(a)</w:t>
      </w:r>
      <w:r w:rsidR="008E2507" w:rsidRPr="00D0230A">
        <w:rPr>
          <w:lang w:eastAsia="en-ZW"/>
        </w:rPr>
        <w:t xml:space="preserve"> show</w:t>
      </w:r>
      <w:r w:rsidR="00D36B85" w:rsidRPr="00D0230A">
        <w:rPr>
          <w:lang w:eastAsia="en-ZW"/>
        </w:rPr>
        <w:t xml:space="preserve"> the results of the </w:t>
      </w:r>
      <w:r w:rsidR="008E2507" w:rsidRPr="00D0230A">
        <w:rPr>
          <w:lang w:eastAsia="en-ZW"/>
        </w:rPr>
        <w:t>comparison in reduction rate</w:t>
      </w:r>
      <w:r w:rsidR="00D36B85" w:rsidRPr="00D0230A">
        <w:rPr>
          <w:lang w:eastAsia="en-ZW"/>
        </w:rPr>
        <w:t xml:space="preserve"> between the experiments </w:t>
      </w:r>
      <w:r w:rsidR="003415BC" w:rsidRPr="00D0230A">
        <w:rPr>
          <w:lang w:eastAsia="en-ZW"/>
        </w:rPr>
        <w:t xml:space="preserve">with a nitrogen source </w:t>
      </w:r>
      <w:r w:rsidR="00D36B85" w:rsidRPr="00D0230A">
        <w:rPr>
          <w:lang w:eastAsia="en-ZW"/>
        </w:rPr>
        <w:t xml:space="preserve">and the </w:t>
      </w:r>
      <w:r w:rsidR="003415BC" w:rsidRPr="00D0230A">
        <w:rPr>
          <w:lang w:eastAsia="en-ZW"/>
        </w:rPr>
        <w:t>ones without</w:t>
      </w:r>
      <w:r w:rsidR="00036775" w:rsidRPr="00D0230A">
        <w:rPr>
          <w:lang w:eastAsia="en-ZW"/>
        </w:rPr>
        <w:t>,</w:t>
      </w:r>
      <w:r w:rsidR="003415BC" w:rsidRPr="00D0230A">
        <w:rPr>
          <w:lang w:eastAsia="en-ZW"/>
        </w:rPr>
        <w:t xml:space="preserve"> for </w:t>
      </w:r>
      <w:r w:rsidR="00D36B85" w:rsidRPr="00D0230A">
        <w:rPr>
          <w:lang w:eastAsia="en-ZW"/>
        </w:rPr>
        <w:t xml:space="preserve">each of the different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D36B85" w:rsidRPr="00D0230A">
        <w:rPr>
          <w:lang w:eastAsia="en-ZW"/>
        </w:rPr>
        <w:t xml:space="preserve"> concentrations</w:t>
      </w:r>
      <w:r w:rsidR="00036775" w:rsidRPr="00D0230A">
        <w:rPr>
          <w:lang w:eastAsia="en-ZW"/>
        </w:rPr>
        <w:t>.</w:t>
      </w:r>
      <w:r w:rsidR="00D36B85" w:rsidRPr="00D0230A">
        <w:rPr>
          <w:lang w:eastAsia="en-ZW"/>
        </w:rPr>
        <w:t xml:space="preserve"> </w:t>
      </w:r>
      <w:r w:rsidR="00036775" w:rsidRPr="00D0230A">
        <w:rPr>
          <w:lang w:eastAsia="en-ZW"/>
        </w:rPr>
        <w:t>T</w:t>
      </w:r>
      <w:r w:rsidR="00D36B85" w:rsidRPr="00D0230A">
        <w:rPr>
          <w:lang w:eastAsia="en-ZW"/>
        </w:rPr>
        <w:t xml:space="preserve">he bacteria took a shorter period of time in reducing lower concentrations of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D36B85" w:rsidRPr="00D0230A">
        <w:rPr>
          <w:lang w:eastAsia="en-ZW"/>
        </w:rPr>
        <w:t xml:space="preserve"> as compared to the higher amounts. In the experiments in which both glucose and </w:t>
      </w:r>
      <w:r w:rsidR="00743DBE" w:rsidRPr="00D0230A">
        <w:rPr>
          <w:lang w:eastAsia="en-ZW"/>
        </w:rPr>
        <w:t>NH</w:t>
      </w:r>
      <w:r w:rsidR="00743DBE" w:rsidRPr="00D0230A">
        <w:rPr>
          <w:vertAlign w:val="subscript"/>
          <w:lang w:eastAsia="en-ZW"/>
        </w:rPr>
        <w:t>4</w:t>
      </w:r>
      <w:r w:rsidR="00743DBE" w:rsidRPr="00D0230A">
        <w:rPr>
          <w:lang w:eastAsia="en-ZW"/>
        </w:rPr>
        <w:t xml:space="preserve">Cl </w:t>
      </w:r>
      <w:r w:rsidR="00D36B85" w:rsidRPr="00D0230A">
        <w:rPr>
          <w:lang w:eastAsia="en-ZW"/>
        </w:rPr>
        <w:t xml:space="preserve">(nitrogen source) </w:t>
      </w:r>
      <w:r w:rsidR="00036775" w:rsidRPr="00D0230A">
        <w:rPr>
          <w:lang w:eastAsia="en-ZW"/>
        </w:rPr>
        <w:t>were</w:t>
      </w:r>
      <w:r w:rsidR="00D36B85" w:rsidRPr="00D0230A">
        <w:rPr>
          <w:lang w:eastAsia="en-ZW"/>
        </w:rPr>
        <w:t xml:space="preserve"> pre</w:t>
      </w:r>
      <w:r w:rsidR="003415BC" w:rsidRPr="00D0230A">
        <w:rPr>
          <w:lang w:eastAsia="en-ZW"/>
        </w:rPr>
        <w:t>sent, the results demonstrate</w:t>
      </w:r>
      <w:r w:rsidRPr="00D0230A">
        <w:rPr>
          <w:lang w:eastAsia="en-ZW"/>
        </w:rPr>
        <w:t>d</w:t>
      </w:r>
      <w:r w:rsidR="003415BC" w:rsidRPr="00D0230A">
        <w:rPr>
          <w:lang w:eastAsia="en-ZW"/>
        </w:rPr>
        <w:t xml:space="preserve"> an</w:t>
      </w:r>
      <w:r w:rsidR="00FB4672">
        <w:rPr>
          <w:lang w:eastAsia="en-ZW"/>
        </w:rPr>
        <w:t xml:space="preserve"> initial lag followed by a</w:t>
      </w:r>
      <w:r w:rsidRPr="00D0230A">
        <w:rPr>
          <w:lang w:eastAsia="en-ZW"/>
        </w:rPr>
        <w:t xml:space="preserve"> high</w:t>
      </w:r>
      <w:r w:rsidR="00D36B85" w:rsidRPr="00D0230A">
        <w:rPr>
          <w:lang w:eastAsia="en-ZW"/>
        </w:rPr>
        <w:t xml:space="preserve"> rate of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FB4672">
        <w:rPr>
          <w:lang w:eastAsia="en-ZW"/>
        </w:rPr>
        <w:t>-</w:t>
      </w:r>
      <w:r w:rsidR="00D36B85" w:rsidRPr="00D0230A">
        <w:rPr>
          <w:lang w:eastAsia="en-ZW"/>
        </w:rPr>
        <w:t>reduction for each of the different co</w:t>
      </w:r>
      <w:r w:rsidR="003415BC" w:rsidRPr="00D0230A">
        <w:rPr>
          <w:lang w:eastAsia="en-ZW"/>
        </w:rPr>
        <w:t>ncentrations</w:t>
      </w:r>
      <w:r w:rsidR="00FB4672">
        <w:rPr>
          <w:lang w:eastAsia="en-ZW"/>
        </w:rPr>
        <w:t>. In comparison the runs</w:t>
      </w:r>
      <w:r w:rsidR="003415BC" w:rsidRPr="00D0230A">
        <w:rPr>
          <w:lang w:eastAsia="en-ZW"/>
        </w:rPr>
        <w:t xml:space="preserve"> which </w:t>
      </w:r>
      <w:r w:rsidR="00D36B85" w:rsidRPr="00D0230A">
        <w:rPr>
          <w:lang w:eastAsia="en-ZW"/>
        </w:rPr>
        <w:t>had no nitrogen source</w:t>
      </w:r>
      <w:bookmarkStart w:id="3" w:name="_Hlk5817032"/>
      <w:r w:rsidR="00FB4672">
        <w:rPr>
          <w:lang w:eastAsia="en-ZW"/>
        </w:rPr>
        <w:t xml:space="preserve"> exhibited an immediate drop in Se</w:t>
      </w:r>
      <w:r w:rsidR="007E4131">
        <w:rPr>
          <w:lang w:eastAsia="en-ZW"/>
        </w:rPr>
        <w:t xml:space="preserve"> followed by a rapid decrease in the reduction rate after 1 hour, most prominently seen at high concentrations (Figures 3(b) and 4(a))</w:t>
      </w:r>
      <w:r w:rsidR="00D36B85" w:rsidRPr="00D0230A">
        <w:rPr>
          <w:lang w:eastAsia="en-ZW"/>
        </w:rPr>
        <w:t>.</w:t>
      </w:r>
      <w:r w:rsidR="003415BC" w:rsidRPr="00D0230A">
        <w:rPr>
          <w:lang w:eastAsia="en-ZW"/>
        </w:rPr>
        <w:t xml:space="preserve"> </w:t>
      </w:r>
      <w:r w:rsidR="00814BB4" w:rsidRPr="00D0230A">
        <w:rPr>
          <w:lang w:eastAsia="en-ZW"/>
        </w:rPr>
        <w:t>In the reduction of 0.5</w:t>
      </w:r>
      <w:r w:rsidR="005B6021" w:rsidRPr="00D0230A">
        <w:rPr>
          <w:lang w:eastAsia="en-ZW"/>
        </w:rPr>
        <w:t xml:space="preserve"> </w:t>
      </w:r>
      <w:r w:rsidR="00814BB4" w:rsidRPr="00D0230A">
        <w:rPr>
          <w:lang w:eastAsia="en-ZW"/>
        </w:rPr>
        <w:t>mM Se</w:t>
      </w:r>
      <w:r w:rsidR="00FB4672">
        <w:rPr>
          <w:lang w:eastAsia="en-ZW"/>
        </w:rPr>
        <w:t>O</w:t>
      </w:r>
      <w:r w:rsidR="00FB4672">
        <w:rPr>
          <w:vertAlign w:val="subscript"/>
          <w:lang w:eastAsia="en-ZW"/>
        </w:rPr>
        <w:t>3</w:t>
      </w:r>
      <w:r w:rsidR="00FB4672">
        <w:rPr>
          <w:vertAlign w:val="superscript"/>
          <w:lang w:eastAsia="en-ZW"/>
        </w:rPr>
        <w:t>2-</w:t>
      </w:r>
      <w:r w:rsidR="00814BB4" w:rsidRPr="00D0230A">
        <w:rPr>
          <w:lang w:eastAsia="en-ZW"/>
        </w:rPr>
        <w:t xml:space="preserve"> for example, the</w:t>
      </w:r>
      <w:r w:rsidR="00197F85">
        <w:rPr>
          <w:lang w:eastAsia="en-ZW"/>
        </w:rPr>
        <w:t xml:space="preserve"> </w:t>
      </w:r>
      <w:r w:rsidR="00814BB4" w:rsidRPr="00D0230A">
        <w:rPr>
          <w:lang w:eastAsia="en-ZW"/>
        </w:rPr>
        <w:t xml:space="preserve">average biomass based </w:t>
      </w:r>
      <w:r w:rsidR="00702AD9">
        <w:rPr>
          <w:lang w:val="en-GB"/>
        </w:rPr>
        <w:t>SeO</w:t>
      </w:r>
      <w:r w:rsidR="00702AD9">
        <w:rPr>
          <w:vertAlign w:val="subscript"/>
          <w:lang w:val="en-GB"/>
        </w:rPr>
        <w:t>3</w:t>
      </w:r>
      <w:r w:rsidR="00702AD9">
        <w:rPr>
          <w:vertAlign w:val="superscript"/>
          <w:lang w:val="en-GB"/>
        </w:rPr>
        <w:t>2-</w:t>
      </w:r>
      <w:r w:rsidR="00702AD9">
        <w:rPr>
          <w:lang w:eastAsia="en-ZW"/>
        </w:rPr>
        <w:t>-</w:t>
      </w:r>
      <w:r w:rsidR="00814BB4" w:rsidRPr="00D0230A">
        <w:rPr>
          <w:lang w:eastAsia="en-ZW"/>
        </w:rPr>
        <w:t xml:space="preserve">reduction rates of 0.0014 </w:t>
      </w:r>
      <w:proofErr w:type="gramStart"/>
      <w:r w:rsidR="00814BB4" w:rsidRPr="00D0230A">
        <w:rPr>
          <w:lang w:eastAsia="en-ZW"/>
        </w:rPr>
        <w:t>mmol.(</w:t>
      </w:r>
      <w:proofErr w:type="gramEnd"/>
      <w:r w:rsidR="00814BB4" w:rsidRPr="00D0230A">
        <w:rPr>
          <w:lang w:eastAsia="en-ZW"/>
        </w:rPr>
        <w:t>g.h)</w:t>
      </w:r>
      <w:r w:rsidR="00814BB4" w:rsidRPr="00D0230A">
        <w:rPr>
          <w:vertAlign w:val="superscript"/>
          <w:lang w:eastAsia="en-ZW"/>
        </w:rPr>
        <w:t>-1</w:t>
      </w:r>
      <w:r w:rsidR="00814BB4" w:rsidRPr="00D0230A">
        <w:rPr>
          <w:lang w:eastAsia="en-ZW"/>
        </w:rPr>
        <w:t xml:space="preserve"> in the presence of nitrogen as compared to 0.0012</w:t>
      </w:r>
      <w:r w:rsidR="00A41CD3">
        <w:rPr>
          <w:lang w:eastAsia="en-ZW"/>
        </w:rPr>
        <w:t> </w:t>
      </w:r>
      <w:r w:rsidR="00814BB4" w:rsidRPr="00D0230A">
        <w:rPr>
          <w:lang w:eastAsia="en-ZW"/>
        </w:rPr>
        <w:t>mmol.(</w:t>
      </w:r>
      <w:proofErr w:type="spellStart"/>
      <w:r w:rsidR="00814BB4" w:rsidRPr="00D0230A">
        <w:rPr>
          <w:lang w:eastAsia="en-ZW"/>
        </w:rPr>
        <w:t>g.h</w:t>
      </w:r>
      <w:proofErr w:type="spellEnd"/>
      <w:r w:rsidR="00814BB4" w:rsidRPr="00D0230A">
        <w:rPr>
          <w:lang w:eastAsia="en-ZW"/>
        </w:rPr>
        <w:t>)</w:t>
      </w:r>
      <w:r w:rsidR="00814BB4" w:rsidRPr="00D0230A">
        <w:rPr>
          <w:vertAlign w:val="superscript"/>
          <w:lang w:eastAsia="en-ZW"/>
        </w:rPr>
        <w:t>-1</w:t>
      </w:r>
      <w:r w:rsidR="00814BB4" w:rsidRPr="00D0230A">
        <w:rPr>
          <w:lang w:eastAsia="en-ZW"/>
        </w:rPr>
        <w:t xml:space="preserve"> in the absence of nitrogen were measured. For a higher concentration such as 10</w:t>
      </w:r>
      <w:r w:rsidR="005B6021" w:rsidRPr="00D0230A">
        <w:rPr>
          <w:lang w:eastAsia="en-ZW"/>
        </w:rPr>
        <w:t xml:space="preserve"> </w:t>
      </w:r>
      <w:r w:rsidR="00814BB4" w:rsidRPr="00D0230A">
        <w:rPr>
          <w:lang w:eastAsia="en-ZW"/>
        </w:rPr>
        <w:t xml:space="preserve">mM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814BB4" w:rsidRPr="00D0230A">
        <w:rPr>
          <w:lang w:eastAsia="en-ZW"/>
        </w:rPr>
        <w:t xml:space="preserve">, average biomass based </w:t>
      </w:r>
      <w:r w:rsidR="00702AD9">
        <w:rPr>
          <w:lang w:val="en-GB"/>
        </w:rPr>
        <w:t>SeO</w:t>
      </w:r>
      <w:r w:rsidR="00702AD9">
        <w:rPr>
          <w:vertAlign w:val="subscript"/>
          <w:lang w:val="en-GB"/>
        </w:rPr>
        <w:t>3</w:t>
      </w:r>
      <w:r w:rsidR="00702AD9">
        <w:rPr>
          <w:vertAlign w:val="superscript"/>
          <w:lang w:val="en-GB"/>
        </w:rPr>
        <w:t>2-</w:t>
      </w:r>
      <w:r w:rsidR="00702AD9">
        <w:rPr>
          <w:lang w:eastAsia="en-ZW"/>
        </w:rPr>
        <w:t>-</w:t>
      </w:r>
      <w:r w:rsidR="00814BB4" w:rsidRPr="00D0230A">
        <w:rPr>
          <w:lang w:eastAsia="en-ZW"/>
        </w:rPr>
        <w:t xml:space="preserve">reduction rates of 0.05 </w:t>
      </w:r>
      <w:proofErr w:type="gramStart"/>
      <w:r w:rsidR="00814BB4" w:rsidRPr="00D0230A">
        <w:rPr>
          <w:lang w:eastAsia="en-ZW"/>
        </w:rPr>
        <w:t>mmol.(</w:t>
      </w:r>
      <w:proofErr w:type="gramEnd"/>
      <w:r w:rsidR="00814BB4" w:rsidRPr="00D0230A">
        <w:rPr>
          <w:lang w:eastAsia="en-ZW"/>
        </w:rPr>
        <w:t>g.h)</w:t>
      </w:r>
      <w:r w:rsidR="00814BB4" w:rsidRPr="00D0230A">
        <w:rPr>
          <w:vertAlign w:val="superscript"/>
          <w:lang w:eastAsia="en-ZW"/>
        </w:rPr>
        <w:t>-1</w:t>
      </w:r>
      <w:r w:rsidR="00814BB4" w:rsidRPr="00D0230A">
        <w:rPr>
          <w:lang w:eastAsia="en-ZW"/>
        </w:rPr>
        <w:t xml:space="preserve"> in the presence of nitrogen as compared to 0.031 mmol.(g.h)</w:t>
      </w:r>
      <w:r w:rsidR="00814BB4" w:rsidRPr="00D0230A">
        <w:rPr>
          <w:vertAlign w:val="superscript"/>
          <w:lang w:eastAsia="en-ZW"/>
        </w:rPr>
        <w:t>-1</w:t>
      </w:r>
      <w:r w:rsidR="00814BB4" w:rsidRPr="00D0230A">
        <w:rPr>
          <w:lang w:eastAsia="en-ZW"/>
        </w:rPr>
        <w:t xml:space="preserve"> in the absence of nitrogen were measured.</w:t>
      </w:r>
    </w:p>
    <w:bookmarkEnd w:id="3"/>
    <w:p w:rsidR="00814BB4" w:rsidRPr="00D0230A" w:rsidRDefault="00D66BB3" w:rsidP="00A41CD3">
      <w:pPr>
        <w:pStyle w:val="CETBodytext"/>
        <w:rPr>
          <w:lang w:eastAsia="en-ZW"/>
        </w:rPr>
      </w:pPr>
      <w:r w:rsidRPr="00D0230A">
        <w:rPr>
          <w:lang w:eastAsia="en-ZW"/>
        </w:rPr>
        <w:t xml:space="preserve">Figures 2(a), (b); 3(a), (b) and 4(a) </w:t>
      </w:r>
      <w:r w:rsidR="008E2507" w:rsidRPr="00D0230A">
        <w:rPr>
          <w:lang w:eastAsia="en-ZW"/>
        </w:rPr>
        <w:t>also show that</w:t>
      </w:r>
      <w:r w:rsidR="00814BB4" w:rsidRPr="00D0230A">
        <w:rPr>
          <w:lang w:eastAsia="en-ZW"/>
        </w:rPr>
        <w:t xml:space="preserve"> experiments with NH</w:t>
      </w:r>
      <w:r w:rsidR="00814BB4" w:rsidRPr="00D0230A">
        <w:rPr>
          <w:vertAlign w:val="subscript"/>
          <w:lang w:eastAsia="en-ZW"/>
        </w:rPr>
        <w:t>4</w:t>
      </w:r>
      <w:r w:rsidR="00814BB4" w:rsidRPr="00D0230A">
        <w:rPr>
          <w:lang w:eastAsia="en-ZW"/>
        </w:rPr>
        <w:t>Cl</w:t>
      </w:r>
      <w:r w:rsidR="00D36B85" w:rsidRPr="00D0230A">
        <w:rPr>
          <w:lang w:eastAsia="en-ZW"/>
        </w:rPr>
        <w:t xml:space="preserve"> exhibited an initial spike in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D36B85" w:rsidRPr="00D0230A">
        <w:rPr>
          <w:lang w:eastAsia="en-ZW"/>
        </w:rPr>
        <w:t xml:space="preserve"> </w:t>
      </w:r>
      <w:r w:rsidR="00C913F6" w:rsidRPr="00D0230A">
        <w:rPr>
          <w:lang w:eastAsia="en-ZW"/>
        </w:rPr>
        <w:t>concentrations which occurred</w:t>
      </w:r>
      <w:r w:rsidR="00D36B85" w:rsidRPr="00D0230A">
        <w:rPr>
          <w:lang w:eastAsia="en-ZW"/>
        </w:rPr>
        <w:t xml:space="preserve"> within the first </w:t>
      </w:r>
      <w:r w:rsidR="00C142A4" w:rsidRPr="00D0230A">
        <w:rPr>
          <w:lang w:eastAsia="en-ZW"/>
        </w:rPr>
        <w:t>0.5 h</w:t>
      </w:r>
      <w:r w:rsidR="008E2507" w:rsidRPr="00D0230A">
        <w:rPr>
          <w:lang w:eastAsia="en-ZW"/>
        </w:rPr>
        <w:t>.</w:t>
      </w:r>
      <w:r w:rsidR="00814BB4" w:rsidRPr="00D0230A">
        <w:rPr>
          <w:lang w:eastAsia="en-ZW"/>
        </w:rPr>
        <w:t xml:space="preserve"> </w:t>
      </w:r>
      <w:r w:rsidR="0037688A" w:rsidRPr="00D0230A">
        <w:rPr>
          <w:lang w:eastAsia="en-ZW"/>
        </w:rPr>
        <w:t xml:space="preserve">The spike </w:t>
      </w:r>
      <w:r w:rsidR="001D142F" w:rsidRPr="00D0230A">
        <w:rPr>
          <w:lang w:eastAsia="en-ZW"/>
        </w:rPr>
        <w:t>is</w:t>
      </w:r>
      <w:r w:rsidR="0037688A" w:rsidRPr="00D0230A">
        <w:rPr>
          <w:lang w:eastAsia="en-ZW"/>
        </w:rPr>
        <w:t xml:space="preserve"> a lag in selenium reduction </w:t>
      </w:r>
      <w:r w:rsidR="008115F3">
        <w:rPr>
          <w:lang w:eastAsia="en-ZW"/>
        </w:rPr>
        <w:t>which is likely a result of an increase in the</w:t>
      </w:r>
      <w:r w:rsidR="0037688A" w:rsidRPr="00D0230A">
        <w:rPr>
          <w:lang w:eastAsia="en-ZW"/>
        </w:rPr>
        <w:t xml:space="preserve"> bacterial biomass in the presence of a nitrogen source</w:t>
      </w:r>
      <w:r w:rsidR="003C22B2" w:rsidRPr="00D0230A">
        <w:rPr>
          <w:lang w:eastAsia="en-ZW"/>
        </w:rPr>
        <w:t xml:space="preserve"> early on in the reaction</w:t>
      </w:r>
      <w:r w:rsidR="0037688A" w:rsidRPr="00D0230A">
        <w:rPr>
          <w:lang w:eastAsia="en-ZW"/>
        </w:rPr>
        <w:t xml:space="preserve">. </w:t>
      </w:r>
      <w:r w:rsidR="008115F3">
        <w:rPr>
          <w:lang w:eastAsia="en-ZW"/>
        </w:rPr>
        <w:t>In addition</w:t>
      </w:r>
      <w:r w:rsidR="0037688A" w:rsidRPr="00D0230A">
        <w:rPr>
          <w:lang w:eastAsia="en-ZW"/>
        </w:rPr>
        <w:t>,</w:t>
      </w:r>
      <w:r w:rsidR="00814BB4" w:rsidRPr="00D0230A">
        <w:rPr>
          <w:lang w:eastAsia="en-ZW"/>
        </w:rPr>
        <w:t xml:space="preserve"> the assumption of an initial lag in the reduction of higher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814BB4" w:rsidRPr="00D0230A">
        <w:rPr>
          <w:lang w:eastAsia="en-ZW"/>
        </w:rPr>
        <w:t xml:space="preserve"> concentrations </w:t>
      </w:r>
      <w:r w:rsidR="0037688A" w:rsidRPr="00D0230A">
        <w:rPr>
          <w:lang w:eastAsia="en-ZW"/>
        </w:rPr>
        <w:t>w</w:t>
      </w:r>
      <w:r w:rsidR="00814BB4" w:rsidRPr="00D0230A">
        <w:rPr>
          <w:lang w:eastAsia="en-ZW"/>
        </w:rPr>
        <w:t xml:space="preserve">as </w:t>
      </w:r>
      <w:r w:rsidR="0037688A" w:rsidRPr="00D0230A">
        <w:rPr>
          <w:lang w:eastAsia="en-ZW"/>
        </w:rPr>
        <w:t xml:space="preserve">also </w:t>
      </w:r>
      <w:r w:rsidR="00814BB4" w:rsidRPr="00D0230A">
        <w:rPr>
          <w:lang w:eastAsia="en-ZW"/>
        </w:rPr>
        <w:t>observed by</w:t>
      </w:r>
      <w:r w:rsidR="00864A63" w:rsidRPr="00D0230A">
        <w:rPr>
          <w:lang w:eastAsia="en-ZW"/>
        </w:rPr>
        <w:t xml:space="preserve"> </w:t>
      </w:r>
      <w:r w:rsidR="00864A63" w:rsidRPr="00D0230A">
        <w:t>Kuroda et al., (2011)</w:t>
      </w:r>
      <w:r w:rsidR="00814BB4" w:rsidRPr="00D0230A">
        <w:rPr>
          <w:lang w:eastAsia="en-ZW"/>
        </w:rPr>
        <w:t xml:space="preserve"> </w:t>
      </w:r>
      <w:r w:rsidR="0037688A" w:rsidRPr="00D0230A">
        <w:rPr>
          <w:lang w:eastAsia="en-ZW"/>
        </w:rPr>
        <w:t>when using the same</w:t>
      </w:r>
      <w:r w:rsidR="0037688A" w:rsidRPr="00D0230A">
        <w:rPr>
          <w:i/>
          <w:lang w:eastAsia="en-ZW"/>
        </w:rPr>
        <w:t xml:space="preserve"> </w:t>
      </w:r>
      <w:r w:rsidR="00A41CD3">
        <w:rPr>
          <w:i/>
          <w:lang w:eastAsia="en-ZW"/>
        </w:rPr>
        <w:t>P</w:t>
      </w:r>
      <w:r w:rsidR="0067457C" w:rsidRPr="00D0230A">
        <w:rPr>
          <w:i/>
          <w:lang w:eastAsia="en-ZW"/>
        </w:rPr>
        <w:t>seudomonas</w:t>
      </w:r>
      <w:r w:rsidR="003C22B2" w:rsidRPr="00D0230A">
        <w:rPr>
          <w:i/>
          <w:lang w:eastAsia="en-ZW"/>
        </w:rPr>
        <w:t xml:space="preserve"> </w:t>
      </w:r>
      <w:r w:rsidR="0037688A" w:rsidRPr="00D0230A">
        <w:rPr>
          <w:lang w:eastAsia="en-ZW"/>
        </w:rPr>
        <w:t>strain</w:t>
      </w:r>
      <w:r w:rsidR="003C22B2" w:rsidRPr="00D0230A">
        <w:rPr>
          <w:lang w:eastAsia="en-ZW"/>
        </w:rPr>
        <w:t>.</w:t>
      </w:r>
      <w:r w:rsidR="00814BB4" w:rsidRPr="00D0230A">
        <w:rPr>
          <w:lang w:eastAsia="en-ZW"/>
        </w:rPr>
        <w:t xml:space="preserve"> However, t</w:t>
      </w:r>
      <w:r w:rsidR="008E2507" w:rsidRPr="00D0230A">
        <w:rPr>
          <w:lang w:eastAsia="en-ZW"/>
        </w:rPr>
        <w:t xml:space="preserve">he same phenomenon </w:t>
      </w:r>
      <w:r w:rsidR="0037688A" w:rsidRPr="00D0230A">
        <w:rPr>
          <w:lang w:eastAsia="en-ZW"/>
        </w:rPr>
        <w:t>of a</w:t>
      </w:r>
      <w:r w:rsidR="003C22B2" w:rsidRPr="00D0230A">
        <w:rPr>
          <w:lang w:eastAsia="en-ZW"/>
        </w:rPr>
        <w:t>n initial</w:t>
      </w:r>
      <w:r w:rsidR="0037688A" w:rsidRPr="00D0230A">
        <w:rPr>
          <w:lang w:eastAsia="en-ZW"/>
        </w:rPr>
        <w:t xml:space="preserve"> spike </w:t>
      </w:r>
      <w:r w:rsidR="008E2507" w:rsidRPr="00D0230A">
        <w:rPr>
          <w:lang w:eastAsia="en-ZW"/>
        </w:rPr>
        <w:t>was not observed</w:t>
      </w:r>
      <w:r w:rsidR="00D36B85" w:rsidRPr="00D0230A">
        <w:rPr>
          <w:lang w:eastAsia="en-ZW"/>
        </w:rPr>
        <w:t xml:space="preserve"> in the </w:t>
      </w:r>
      <w:r w:rsidR="0037688A" w:rsidRPr="00D0230A">
        <w:rPr>
          <w:lang w:eastAsia="en-ZW"/>
        </w:rPr>
        <w:t xml:space="preserve">experiments which had </w:t>
      </w:r>
      <w:r w:rsidR="005A7347" w:rsidRPr="00D0230A">
        <w:rPr>
          <w:lang w:eastAsia="en-ZW"/>
        </w:rPr>
        <w:t>no NH</w:t>
      </w:r>
      <w:r w:rsidR="005A7347" w:rsidRPr="00D0230A">
        <w:rPr>
          <w:vertAlign w:val="subscript"/>
          <w:lang w:eastAsia="en-ZW"/>
        </w:rPr>
        <w:t>4</w:t>
      </w:r>
      <w:r w:rsidR="005A7347" w:rsidRPr="00D0230A">
        <w:rPr>
          <w:lang w:eastAsia="en-ZW"/>
        </w:rPr>
        <w:t xml:space="preserve">Cl </w:t>
      </w:r>
      <w:r w:rsidR="003C22B2" w:rsidRPr="00D0230A">
        <w:rPr>
          <w:lang w:eastAsia="en-ZW"/>
        </w:rPr>
        <w:t>(</w:t>
      </w:r>
      <w:r w:rsidR="005A7347" w:rsidRPr="00D0230A">
        <w:rPr>
          <w:lang w:eastAsia="en-ZW"/>
        </w:rPr>
        <w:t xml:space="preserve">where </w:t>
      </w:r>
      <w:r w:rsidR="005B6021" w:rsidRPr="00D0230A">
        <w:rPr>
          <w:lang w:eastAsia="en-ZW"/>
        </w:rPr>
        <w:t xml:space="preserve">an </w:t>
      </w:r>
      <w:r w:rsidR="005A7347" w:rsidRPr="00D0230A">
        <w:rPr>
          <w:lang w:eastAsia="en-ZW"/>
        </w:rPr>
        <w:t>increase in biomass is negligible</w:t>
      </w:r>
      <w:r w:rsidR="003C22B2" w:rsidRPr="00D0230A">
        <w:rPr>
          <w:lang w:eastAsia="en-ZW"/>
        </w:rPr>
        <w:t>)</w:t>
      </w:r>
      <w:r w:rsidR="00D36B85" w:rsidRPr="00D0230A">
        <w:rPr>
          <w:lang w:eastAsia="en-ZW"/>
        </w:rPr>
        <w:t>.</w:t>
      </w:r>
      <w:r w:rsidR="00814BB4" w:rsidRPr="00D0230A">
        <w:rPr>
          <w:lang w:eastAsia="en-ZW"/>
        </w:rPr>
        <w:t xml:space="preserve"> </w:t>
      </w:r>
      <w:r w:rsidR="001D142F" w:rsidRPr="00D0230A">
        <w:rPr>
          <w:lang w:eastAsia="en-ZW"/>
        </w:rPr>
        <w:t>A</w:t>
      </w:r>
      <w:r w:rsidR="00814BB4" w:rsidRPr="00D0230A">
        <w:rPr>
          <w:lang w:eastAsia="en-ZW"/>
        </w:rPr>
        <w:t xml:space="preserve"> similar phenomenon of an initial spike was also observed</w:t>
      </w:r>
      <w:r w:rsidR="001D142F" w:rsidRPr="00D0230A">
        <w:rPr>
          <w:lang w:eastAsia="en-ZW"/>
        </w:rPr>
        <w:t xml:space="preserve"> in a recent study of bacterial </w:t>
      </w:r>
      <w:proofErr w:type="gramStart"/>
      <w:r w:rsidR="001D142F" w:rsidRPr="00D0230A">
        <w:rPr>
          <w:lang w:eastAsia="en-ZW"/>
        </w:rPr>
        <w:t>Cr(</w:t>
      </w:r>
      <w:proofErr w:type="gramEnd"/>
      <w:r w:rsidR="001D142F" w:rsidRPr="00D0230A">
        <w:rPr>
          <w:lang w:eastAsia="en-ZW"/>
        </w:rPr>
        <w:t>VI) reduction using algae</w:t>
      </w:r>
      <w:r w:rsidR="00814BB4" w:rsidRPr="00D0230A">
        <w:rPr>
          <w:lang w:eastAsia="en-ZW"/>
        </w:rPr>
        <w:t xml:space="preserve">. Although the evidence was not conclusive, the spike was attributed to be a response of the algae towards </w:t>
      </w:r>
      <w:proofErr w:type="gramStart"/>
      <w:r w:rsidR="00814BB4" w:rsidRPr="00D0230A">
        <w:rPr>
          <w:lang w:eastAsia="en-ZW"/>
        </w:rPr>
        <w:t>Cr(</w:t>
      </w:r>
      <w:proofErr w:type="gramEnd"/>
      <w:r w:rsidR="00814BB4" w:rsidRPr="00D0230A">
        <w:rPr>
          <w:lang w:eastAsia="en-ZW"/>
        </w:rPr>
        <w:t xml:space="preserve">III) in the solution, or a change in oxidation conditions </w:t>
      </w:r>
      <w:r w:rsidR="005B6021" w:rsidRPr="00D0230A">
        <w:rPr>
          <w:lang w:eastAsia="en-ZW"/>
        </w:rPr>
        <w:t>(</w:t>
      </w:r>
      <w:proofErr w:type="spellStart"/>
      <w:r w:rsidR="005B6021" w:rsidRPr="00D0230A">
        <w:rPr>
          <w:lang w:eastAsia="en-ZW"/>
        </w:rPr>
        <w:t>Roestorff</w:t>
      </w:r>
      <w:proofErr w:type="spellEnd"/>
      <w:r w:rsidR="005B6021" w:rsidRPr="00D0230A">
        <w:rPr>
          <w:lang w:eastAsia="en-ZW"/>
        </w:rPr>
        <w:t xml:space="preserve"> and Chirwa</w:t>
      </w:r>
      <w:r w:rsidR="008115F3">
        <w:rPr>
          <w:lang w:eastAsia="en-ZW"/>
        </w:rPr>
        <w:t xml:space="preserve">, </w:t>
      </w:r>
      <w:r w:rsidR="005B6021" w:rsidRPr="00D0230A">
        <w:rPr>
          <w:lang w:eastAsia="en-ZW"/>
        </w:rPr>
        <w:t>2018)</w:t>
      </w:r>
      <w:r w:rsidR="00814BB4" w:rsidRPr="00D0230A">
        <w:rPr>
          <w:lang w:eastAsia="en-ZW"/>
        </w:rPr>
        <w:t>.</w:t>
      </w:r>
      <w:r w:rsidR="00197F85">
        <w:rPr>
          <w:lang w:eastAsia="en-ZW"/>
        </w:rPr>
        <w:t xml:space="preserve"> </w:t>
      </w:r>
    </w:p>
    <w:p w:rsidR="001D142F" w:rsidRPr="00D0230A" w:rsidRDefault="00D66BB3" w:rsidP="00A41CD3">
      <w:pPr>
        <w:pStyle w:val="CETBodytext"/>
        <w:rPr>
          <w:lang w:eastAsia="en-ZW"/>
        </w:rPr>
      </w:pPr>
      <w:r w:rsidRPr="00D0230A">
        <w:rPr>
          <w:lang w:eastAsia="en-ZW"/>
        </w:rPr>
        <w:t>T</w:t>
      </w:r>
      <w:r w:rsidR="00D36B85" w:rsidRPr="00D0230A">
        <w:rPr>
          <w:lang w:eastAsia="en-ZW"/>
        </w:rPr>
        <w:t xml:space="preserve">he </w:t>
      </w:r>
      <w:r w:rsidR="00C913F6" w:rsidRPr="00D0230A">
        <w:rPr>
          <w:lang w:eastAsia="en-ZW"/>
        </w:rPr>
        <w:t xml:space="preserve">total </w:t>
      </w:r>
      <w:r w:rsidR="00D36B85" w:rsidRPr="00D0230A">
        <w:rPr>
          <w:lang w:eastAsia="en-ZW"/>
        </w:rPr>
        <w:t xml:space="preserve">average Se in the system </w:t>
      </w:r>
      <w:r w:rsidR="00843CA7" w:rsidRPr="00D0230A">
        <w:rPr>
          <w:lang w:eastAsia="en-ZW"/>
        </w:rPr>
        <w:t>did</w:t>
      </w:r>
      <w:r w:rsidR="00D36B85" w:rsidRPr="00D0230A">
        <w:rPr>
          <w:lang w:eastAsia="en-ZW"/>
        </w:rPr>
        <w:t xml:space="preserve"> not remain constant but rather</w:t>
      </w:r>
      <w:r w:rsidR="00843CA7" w:rsidRPr="00D0230A">
        <w:rPr>
          <w:lang w:eastAsia="en-ZW"/>
        </w:rPr>
        <w:t xml:space="preserve">, it decreased as the reaction progressed. This decrease </w:t>
      </w:r>
      <w:r w:rsidRPr="00D0230A">
        <w:rPr>
          <w:lang w:eastAsia="en-ZW"/>
        </w:rPr>
        <w:t xml:space="preserve">is an </w:t>
      </w:r>
      <w:r w:rsidR="00843CA7" w:rsidRPr="00D0230A">
        <w:rPr>
          <w:lang w:eastAsia="en-ZW"/>
        </w:rPr>
        <w:t>indicat</w:t>
      </w:r>
      <w:r w:rsidRPr="00D0230A">
        <w:rPr>
          <w:lang w:eastAsia="en-ZW"/>
        </w:rPr>
        <w:t>ion</w:t>
      </w:r>
      <w:r w:rsidR="00D36B85" w:rsidRPr="00D0230A">
        <w:rPr>
          <w:lang w:eastAsia="en-ZW"/>
        </w:rPr>
        <w:t xml:space="preserve"> that not all the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D36B85" w:rsidRPr="00D0230A">
        <w:rPr>
          <w:lang w:eastAsia="en-ZW"/>
        </w:rPr>
        <w:t xml:space="preserve"> added </w:t>
      </w:r>
      <w:r w:rsidR="00C913F6" w:rsidRPr="00D0230A">
        <w:rPr>
          <w:lang w:eastAsia="en-ZW"/>
        </w:rPr>
        <w:t>at the start of reaction</w:t>
      </w:r>
      <w:r w:rsidR="000D1E7F" w:rsidRPr="00D0230A">
        <w:rPr>
          <w:lang w:eastAsia="en-ZW"/>
        </w:rPr>
        <w:t xml:space="preserve"> </w:t>
      </w:r>
      <w:r w:rsidR="00843CA7" w:rsidRPr="00D0230A">
        <w:rPr>
          <w:lang w:eastAsia="en-ZW"/>
        </w:rPr>
        <w:t>remained in solution or precipitated</w:t>
      </w:r>
      <w:r w:rsidR="00D36B85" w:rsidRPr="00D0230A">
        <w:rPr>
          <w:lang w:eastAsia="en-ZW"/>
        </w:rPr>
        <w:t xml:space="preserve"> as </w:t>
      </w:r>
      <w:proofErr w:type="gramStart"/>
      <w:r w:rsidR="00843CA7" w:rsidRPr="00D0230A">
        <w:rPr>
          <w:lang w:eastAsia="en-ZW"/>
        </w:rPr>
        <w:t>Se(</w:t>
      </w:r>
      <w:proofErr w:type="gramEnd"/>
      <w:r w:rsidR="00843CA7" w:rsidRPr="00D0230A">
        <w:rPr>
          <w:lang w:eastAsia="en-ZW"/>
        </w:rPr>
        <w:t>0)</w:t>
      </w:r>
      <w:r w:rsidR="00D36B85" w:rsidRPr="00D0230A">
        <w:rPr>
          <w:lang w:eastAsia="en-ZW"/>
        </w:rPr>
        <w:t xml:space="preserve">. </w:t>
      </w:r>
      <w:r w:rsidR="005B6021" w:rsidRPr="00D0230A">
        <w:rPr>
          <w:lang w:eastAsia="en-ZW"/>
        </w:rPr>
        <w:t xml:space="preserve">Kagami et al., (2013) </w:t>
      </w:r>
      <w:r w:rsidR="00D36B85" w:rsidRPr="00D0230A">
        <w:rPr>
          <w:lang w:eastAsia="en-ZW"/>
        </w:rPr>
        <w:t xml:space="preserve">found out that </w:t>
      </w:r>
      <w:r w:rsidR="00D36B85" w:rsidRPr="00D0230A">
        <w:rPr>
          <w:i/>
          <w:lang w:eastAsia="en-ZW"/>
        </w:rPr>
        <w:t xml:space="preserve">Pseudomonas </w:t>
      </w:r>
      <w:proofErr w:type="spellStart"/>
      <w:r w:rsidR="00D36B85" w:rsidRPr="00D0230A">
        <w:rPr>
          <w:i/>
          <w:lang w:eastAsia="en-ZW"/>
        </w:rPr>
        <w:t>stutzeri</w:t>
      </w:r>
      <w:proofErr w:type="spellEnd"/>
      <w:r w:rsidR="00D36B85" w:rsidRPr="00D0230A">
        <w:rPr>
          <w:i/>
          <w:lang w:eastAsia="en-ZW"/>
        </w:rPr>
        <w:t xml:space="preserve"> </w:t>
      </w:r>
      <w:r w:rsidR="00D36B85" w:rsidRPr="00D0230A">
        <w:rPr>
          <w:lang w:eastAsia="en-ZW"/>
        </w:rPr>
        <w:t xml:space="preserve">NT-I is capable of </w:t>
      </w:r>
      <w:r w:rsidR="00D36B85" w:rsidRPr="00D0230A">
        <w:rPr>
          <w:lang w:eastAsia="en-ZW"/>
        </w:rPr>
        <w:lastRenderedPageBreak/>
        <w:t xml:space="preserve">aerobically transforming </w:t>
      </w:r>
      <w:r w:rsidR="00702AD9">
        <w:rPr>
          <w:lang w:val="en-GB"/>
        </w:rPr>
        <w:t>SeO</w:t>
      </w:r>
      <w:r w:rsidR="00702AD9" w:rsidRPr="00702AD9">
        <w:rPr>
          <w:vertAlign w:val="subscript"/>
          <w:lang w:val="en-GB"/>
        </w:rPr>
        <w:t>4</w:t>
      </w:r>
      <w:r w:rsidR="00702AD9">
        <w:rPr>
          <w:vertAlign w:val="superscript"/>
          <w:lang w:val="en-GB"/>
        </w:rPr>
        <w:t>2-</w:t>
      </w:r>
      <w:r w:rsidR="00D36B85" w:rsidRPr="00D0230A">
        <w:rPr>
          <w:lang w:eastAsia="en-ZW"/>
        </w:rPr>
        <w:t xml:space="preserve">, </w:t>
      </w:r>
      <w:r w:rsidR="00702AD9">
        <w:rPr>
          <w:lang w:val="en-GB"/>
        </w:rPr>
        <w:t>SeO</w:t>
      </w:r>
      <w:r w:rsidR="00702AD9">
        <w:rPr>
          <w:vertAlign w:val="subscript"/>
          <w:lang w:val="en-GB"/>
        </w:rPr>
        <w:t>3</w:t>
      </w:r>
      <w:r w:rsidR="00702AD9">
        <w:rPr>
          <w:vertAlign w:val="superscript"/>
          <w:lang w:val="en-GB"/>
        </w:rPr>
        <w:t>2-</w:t>
      </w:r>
      <w:r w:rsidR="00D36B85" w:rsidRPr="00D0230A">
        <w:rPr>
          <w:lang w:eastAsia="en-ZW"/>
        </w:rPr>
        <w:t>, and elemental selenium into dimethyl</w:t>
      </w:r>
      <w:r w:rsidR="00B861D1" w:rsidRPr="00D0230A">
        <w:rPr>
          <w:lang w:eastAsia="en-ZW"/>
        </w:rPr>
        <w:t xml:space="preserve"> </w:t>
      </w:r>
      <w:proofErr w:type="spellStart"/>
      <w:r w:rsidR="00D36B85" w:rsidRPr="00D0230A">
        <w:rPr>
          <w:lang w:eastAsia="en-ZW"/>
        </w:rPr>
        <w:t>diselenide</w:t>
      </w:r>
      <w:proofErr w:type="spellEnd"/>
      <w:r w:rsidR="00C77096" w:rsidRPr="00D0230A">
        <w:rPr>
          <w:lang w:eastAsia="en-ZW"/>
        </w:rPr>
        <w:t xml:space="preserve"> </w:t>
      </w:r>
      <w:r w:rsidR="001D142F" w:rsidRPr="00D0230A">
        <w:rPr>
          <w:lang w:eastAsia="en-ZW"/>
        </w:rPr>
        <w:t>and</w:t>
      </w:r>
      <w:r w:rsidR="00D36B85" w:rsidRPr="00D0230A">
        <w:rPr>
          <w:lang w:eastAsia="en-ZW"/>
        </w:rPr>
        <w:t xml:space="preserve"> dimethyl</w:t>
      </w:r>
      <w:r w:rsidR="00B861D1" w:rsidRPr="00D0230A">
        <w:rPr>
          <w:lang w:eastAsia="en-ZW"/>
        </w:rPr>
        <w:t xml:space="preserve"> </w:t>
      </w:r>
      <w:r w:rsidR="00D36B85" w:rsidRPr="00D0230A">
        <w:rPr>
          <w:lang w:eastAsia="en-ZW"/>
        </w:rPr>
        <w:t>selenide.</w:t>
      </w:r>
      <w:r w:rsidR="00197F85">
        <w:rPr>
          <w:lang w:eastAsia="en-ZW"/>
        </w:rPr>
        <w:t xml:space="preserve"> </w:t>
      </w:r>
      <w:r w:rsidR="001D142F" w:rsidRPr="00D0230A">
        <w:rPr>
          <w:lang w:eastAsia="en-ZW"/>
        </w:rPr>
        <w:t>T</w:t>
      </w:r>
      <w:r w:rsidR="00D36B85" w:rsidRPr="00D0230A">
        <w:rPr>
          <w:lang w:eastAsia="en-ZW"/>
        </w:rPr>
        <w:t>heir study</w:t>
      </w:r>
      <w:r w:rsidR="001D142F" w:rsidRPr="00D0230A">
        <w:rPr>
          <w:lang w:eastAsia="en-ZW"/>
        </w:rPr>
        <w:t xml:space="preserve"> showed that</w:t>
      </w:r>
      <w:r w:rsidR="00D36B85" w:rsidRPr="00D0230A">
        <w:rPr>
          <w:lang w:eastAsia="en-ZW"/>
        </w:rPr>
        <w:t xml:space="preserve"> these organic species are temporarily accumulated in the aqueous phase and then transferred into the gaseous phase and lost into the atmosphere unless trapped.</w:t>
      </w:r>
      <w:r w:rsidR="000D1E7F" w:rsidRPr="00D0230A">
        <w:rPr>
          <w:lang w:eastAsia="en-ZW"/>
        </w:rPr>
        <w:t xml:space="preserve"> This</w:t>
      </w:r>
      <w:r w:rsidR="00B861D1" w:rsidRPr="00D0230A">
        <w:rPr>
          <w:lang w:eastAsia="en-ZW"/>
        </w:rPr>
        <w:t>,</w:t>
      </w:r>
      <w:r w:rsidR="000D1E7F" w:rsidRPr="00D0230A">
        <w:rPr>
          <w:lang w:eastAsia="en-ZW"/>
        </w:rPr>
        <w:t xml:space="preserve"> therefore</w:t>
      </w:r>
      <w:r w:rsidR="00B861D1" w:rsidRPr="00D0230A">
        <w:rPr>
          <w:lang w:eastAsia="en-ZW"/>
        </w:rPr>
        <w:t>,</w:t>
      </w:r>
      <w:r w:rsidR="000D1E7F" w:rsidRPr="00D0230A">
        <w:rPr>
          <w:lang w:eastAsia="en-ZW"/>
        </w:rPr>
        <w:t xml:space="preserve"> </w:t>
      </w:r>
      <w:r w:rsidR="008115F3">
        <w:rPr>
          <w:lang w:eastAsia="en-ZW"/>
        </w:rPr>
        <w:t xml:space="preserve">could </w:t>
      </w:r>
      <w:r w:rsidR="000D1E7F" w:rsidRPr="00D0230A">
        <w:rPr>
          <w:lang w:eastAsia="en-ZW"/>
        </w:rPr>
        <w:t xml:space="preserve">explain why the total selenium </w:t>
      </w:r>
      <w:r w:rsidR="008115F3">
        <w:rPr>
          <w:lang w:eastAsia="en-ZW"/>
        </w:rPr>
        <w:t>decreased</w:t>
      </w:r>
      <w:r w:rsidR="000D1E7F" w:rsidRPr="00D0230A">
        <w:rPr>
          <w:lang w:eastAsia="en-ZW"/>
        </w:rPr>
        <w:t xml:space="preserve"> </w:t>
      </w:r>
      <w:r w:rsidR="008115F3">
        <w:rPr>
          <w:lang w:eastAsia="en-ZW"/>
        </w:rPr>
        <w:t>over</w:t>
      </w:r>
      <w:r w:rsidR="000D1E7F" w:rsidRPr="00D0230A">
        <w:rPr>
          <w:lang w:eastAsia="en-ZW"/>
        </w:rPr>
        <w:t xml:space="preserve"> time.</w:t>
      </w:r>
      <w:r w:rsidRPr="00D0230A">
        <w:rPr>
          <w:lang w:eastAsia="en-ZW"/>
        </w:rPr>
        <w:t xml:space="preserve"> </w:t>
      </w:r>
    </w:p>
    <w:tbl>
      <w:tblPr>
        <w:tblStyle w:val="TableGrid"/>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848"/>
      </w:tblGrid>
      <w:tr w:rsidR="005F1576" w:rsidTr="005045F9">
        <w:trPr>
          <w:trHeight w:val="4876"/>
        </w:trPr>
        <w:tc>
          <w:tcPr>
            <w:tcW w:w="4824" w:type="dxa"/>
          </w:tcPr>
          <w:p w:rsidR="00C142A4" w:rsidRPr="00584454" w:rsidRDefault="00584454" w:rsidP="008115F3">
            <w:pPr>
              <w:autoSpaceDE w:val="0"/>
              <w:autoSpaceDN w:val="0"/>
              <w:adjustRightInd w:val="0"/>
              <w:spacing w:line="360" w:lineRule="auto"/>
              <w:rPr>
                <w:lang w:val="en-GB"/>
              </w:rPr>
            </w:pPr>
            <w:r>
              <w:rPr>
                <w:rFonts w:cs="Arial"/>
                <w:szCs w:val="18"/>
              </w:rPr>
              <w:t>a</w:t>
            </w:r>
            <w:r>
              <w:rPr>
                <w:noProof/>
                <w:lang w:val="en-ZW" w:eastAsia="en-ZW"/>
              </w:rPr>
              <w:t xml:space="preserve"> </w:t>
            </w:r>
            <w:r w:rsidR="00A41CD3">
              <w:object w:dxaOrig="9124" w:dyaOrig="7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202.5pt" o:ole="">
                  <v:imagedata r:id="rId14" o:title=""/>
                </v:shape>
                <o:OLEObject Type="Embed" ProgID="SigmaPlotGraphicObject.10" ShapeID="_x0000_i1025" DrawAspect="Content" ObjectID="_1616840849" r:id="rId15"/>
              </w:object>
            </w:r>
          </w:p>
        </w:tc>
        <w:tc>
          <w:tcPr>
            <w:tcW w:w="5040" w:type="dxa"/>
          </w:tcPr>
          <w:p w:rsidR="00C142A4" w:rsidRDefault="00C142A4" w:rsidP="001066FB">
            <w:pPr>
              <w:autoSpaceDE w:val="0"/>
              <w:autoSpaceDN w:val="0"/>
              <w:adjustRightInd w:val="0"/>
              <w:spacing w:line="360" w:lineRule="auto"/>
              <w:rPr>
                <w:noProof/>
                <w:lang w:val="en-ZW" w:eastAsia="en-ZW"/>
              </w:rPr>
            </w:pPr>
            <w:r w:rsidRPr="007665E8">
              <w:rPr>
                <w:rFonts w:cs="Arial"/>
                <w:szCs w:val="18"/>
              </w:rPr>
              <w:t>b</w:t>
            </w:r>
            <w:r w:rsidR="00BA6900">
              <w:rPr>
                <w:noProof/>
                <w:lang w:val="en-ZW" w:eastAsia="en-ZW"/>
              </w:rPr>
              <w:t xml:space="preserve"> </w:t>
            </w:r>
          </w:p>
          <w:p w:rsidR="002022A2" w:rsidRDefault="00A41CD3" w:rsidP="001066FB">
            <w:pPr>
              <w:autoSpaceDE w:val="0"/>
              <w:autoSpaceDN w:val="0"/>
              <w:adjustRightInd w:val="0"/>
              <w:spacing w:line="360" w:lineRule="auto"/>
              <w:rPr>
                <w:rFonts w:cs="Arial"/>
                <w:szCs w:val="18"/>
              </w:rPr>
            </w:pPr>
            <w:r>
              <w:object w:dxaOrig="9124" w:dyaOrig="7325">
                <v:shape id="_x0000_i1026" type="#_x0000_t75" style="width:223.5pt;height:201pt" o:ole="">
                  <v:imagedata r:id="rId16" o:title=""/>
                </v:shape>
                <o:OLEObject Type="Embed" ProgID="SigmaPlotGraphicObject.10" ShapeID="_x0000_i1026" DrawAspect="Content" ObjectID="_1616840850" r:id="rId17"/>
              </w:object>
            </w:r>
          </w:p>
        </w:tc>
      </w:tr>
    </w:tbl>
    <w:p w:rsidR="0084259C" w:rsidRDefault="0037688A" w:rsidP="00C142A4">
      <w:pPr>
        <w:spacing w:before="240" w:after="240"/>
        <w:rPr>
          <w:i/>
        </w:rPr>
      </w:pPr>
      <w:r>
        <w:rPr>
          <w:i/>
        </w:rPr>
        <w:t>Figure 2</w:t>
      </w:r>
      <w:r w:rsidR="00C142A4" w:rsidRPr="009D263F">
        <w:rPr>
          <w:i/>
        </w:rPr>
        <w:t xml:space="preserve">: </w:t>
      </w:r>
      <w:r w:rsidR="00C142A4">
        <w:rPr>
          <w:i/>
        </w:rPr>
        <w:t>Results showing the effect of the absence and presence of</w:t>
      </w:r>
      <w:r w:rsidR="005F1576">
        <w:rPr>
          <w:i/>
        </w:rPr>
        <w:t xml:space="preserve"> </w:t>
      </w:r>
      <w:r w:rsidR="00C142A4">
        <w:rPr>
          <w:i/>
        </w:rPr>
        <w:t xml:space="preserve">nitrogen in reducing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C142A4">
        <w:rPr>
          <w:i/>
        </w:rPr>
        <w:t xml:space="preserve"> by strain NT-I. (</w:t>
      </w:r>
      <w:r w:rsidR="00C142A4" w:rsidRPr="007665E8">
        <w:rPr>
          <w:i/>
        </w:rPr>
        <w:t>a</w:t>
      </w:r>
      <w:r w:rsidR="00C142A4">
        <w:rPr>
          <w:i/>
        </w:rPr>
        <w:t>)</w:t>
      </w:r>
      <w:r w:rsidR="00C142A4">
        <w:rPr>
          <w:b/>
          <w:i/>
        </w:rPr>
        <w:t xml:space="preserve"> </w:t>
      </w:r>
      <w:r w:rsidR="00C142A4">
        <w:rPr>
          <w:i/>
        </w:rPr>
        <w:t xml:space="preserve">Initial </w:t>
      </w:r>
      <w:r w:rsidR="00702AD9">
        <w:rPr>
          <w:lang w:val="en-GB"/>
        </w:rPr>
        <w:t>SeO</w:t>
      </w:r>
      <w:r w:rsidR="00702AD9">
        <w:rPr>
          <w:vertAlign w:val="subscript"/>
          <w:lang w:val="en-GB"/>
        </w:rPr>
        <w:t>3</w:t>
      </w:r>
      <w:r w:rsidR="00702AD9">
        <w:rPr>
          <w:vertAlign w:val="superscript"/>
          <w:lang w:val="en-GB"/>
        </w:rPr>
        <w:t>2-</w:t>
      </w:r>
      <w:r w:rsidR="00C142A4">
        <w:rPr>
          <w:i/>
        </w:rPr>
        <w:t xml:space="preserve"> concentration of 0.5</w:t>
      </w:r>
      <w:r w:rsidR="005F1576">
        <w:rPr>
          <w:i/>
        </w:rPr>
        <w:t xml:space="preserve"> </w:t>
      </w:r>
      <w:proofErr w:type="spellStart"/>
      <w:r w:rsidR="00C142A4">
        <w:rPr>
          <w:i/>
        </w:rPr>
        <w:t>mM.</w:t>
      </w:r>
      <w:proofErr w:type="spellEnd"/>
      <w:r>
        <w:rPr>
          <w:i/>
        </w:rPr>
        <w:t xml:space="preserve"> </w:t>
      </w:r>
      <w:r w:rsidR="00C142A4">
        <w:rPr>
          <w:i/>
        </w:rPr>
        <w:t>(</w:t>
      </w:r>
      <w:r w:rsidR="00C142A4" w:rsidRPr="007665E8">
        <w:rPr>
          <w:i/>
        </w:rPr>
        <w:t>b</w:t>
      </w:r>
      <w:r w:rsidR="00C142A4">
        <w:rPr>
          <w:i/>
        </w:rPr>
        <w:t>)</w:t>
      </w:r>
      <w:r w:rsidR="00C142A4">
        <w:rPr>
          <w:b/>
          <w:i/>
        </w:rPr>
        <w:t xml:space="preserve"> </w:t>
      </w:r>
      <w:r w:rsidR="00C142A4">
        <w:rPr>
          <w:i/>
        </w:rPr>
        <w:t xml:space="preserve">Initial </w:t>
      </w:r>
      <w:r w:rsidR="00702AD9">
        <w:rPr>
          <w:lang w:val="en-GB"/>
        </w:rPr>
        <w:t>SeO</w:t>
      </w:r>
      <w:r w:rsidR="00702AD9">
        <w:rPr>
          <w:vertAlign w:val="subscript"/>
          <w:lang w:val="en-GB"/>
        </w:rPr>
        <w:t>3</w:t>
      </w:r>
      <w:r w:rsidR="00702AD9">
        <w:rPr>
          <w:vertAlign w:val="superscript"/>
          <w:lang w:val="en-GB"/>
        </w:rPr>
        <w:t>2-</w:t>
      </w:r>
      <w:r w:rsidR="00C142A4">
        <w:rPr>
          <w:i/>
        </w:rPr>
        <w:t xml:space="preserve"> conce</w:t>
      </w:r>
      <w:r w:rsidR="0067457C">
        <w:rPr>
          <w:i/>
        </w:rPr>
        <w:t>n</w:t>
      </w:r>
      <w:r w:rsidR="00C142A4">
        <w:rPr>
          <w:i/>
        </w:rPr>
        <w:t>t</w:t>
      </w:r>
      <w:r w:rsidR="0067457C">
        <w:rPr>
          <w:i/>
        </w:rPr>
        <w:t>r</w:t>
      </w:r>
      <w:r w:rsidR="00C142A4">
        <w:rPr>
          <w:i/>
        </w:rPr>
        <w:t>ation of 1</w:t>
      </w:r>
      <w:r w:rsidR="005F1576">
        <w:rPr>
          <w:i/>
        </w:rPr>
        <w:t xml:space="preserve"> </w:t>
      </w:r>
      <w:proofErr w:type="spellStart"/>
      <w:r w:rsidR="00C142A4">
        <w:rPr>
          <w:i/>
        </w:rPr>
        <w:t>mM.</w:t>
      </w:r>
      <w:proofErr w:type="spellEnd"/>
    </w:p>
    <w:tbl>
      <w:tblPr>
        <w:tblStyle w:val="TableGrid"/>
        <w:tblW w:w="9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817"/>
      </w:tblGrid>
      <w:tr w:rsidR="00024B46" w:rsidTr="005B44B5">
        <w:trPr>
          <w:trHeight w:val="4212"/>
        </w:trPr>
        <w:tc>
          <w:tcPr>
            <w:tcW w:w="4361" w:type="dxa"/>
          </w:tcPr>
          <w:p w:rsidR="00C142A4" w:rsidRDefault="00C142A4" w:rsidP="001066FB">
            <w:pPr>
              <w:rPr>
                <w:noProof/>
                <w:lang w:val="en-ZW" w:eastAsia="en-ZW"/>
              </w:rPr>
            </w:pPr>
            <w:r w:rsidRPr="007665E8">
              <w:rPr>
                <w:rFonts w:cs="Arial"/>
                <w:szCs w:val="18"/>
              </w:rPr>
              <w:t>a</w:t>
            </w:r>
            <w:r w:rsidR="00024B46">
              <w:rPr>
                <w:noProof/>
                <w:lang w:val="en-ZW" w:eastAsia="en-ZW"/>
              </w:rPr>
              <w:t xml:space="preserve"> </w:t>
            </w:r>
          </w:p>
          <w:p w:rsidR="002022A2" w:rsidRDefault="002022A2" w:rsidP="001066FB">
            <w:pPr>
              <w:rPr>
                <w:rFonts w:cs="Arial"/>
                <w:szCs w:val="18"/>
              </w:rPr>
            </w:pPr>
            <w:r>
              <w:object w:dxaOrig="9124" w:dyaOrig="7325">
                <v:shape id="_x0000_i1027" type="#_x0000_t75" style="width:216.75pt;height:201.75pt" o:ole="">
                  <v:imagedata r:id="rId18" o:title=""/>
                </v:shape>
                <o:OLEObject Type="Embed" ProgID="SigmaPlotGraphicObject.10" ShapeID="_x0000_i1027" DrawAspect="Content" ObjectID="_1616840851" r:id="rId19"/>
              </w:object>
            </w:r>
          </w:p>
        </w:tc>
        <w:tc>
          <w:tcPr>
            <w:tcW w:w="5006" w:type="dxa"/>
          </w:tcPr>
          <w:p w:rsidR="002022A2" w:rsidRDefault="00C142A4" w:rsidP="001066FB">
            <w:pPr>
              <w:rPr>
                <w:rFonts w:cs="Arial"/>
                <w:szCs w:val="18"/>
              </w:rPr>
            </w:pPr>
            <w:r w:rsidRPr="007665E8">
              <w:rPr>
                <w:rFonts w:cs="Arial"/>
                <w:szCs w:val="18"/>
              </w:rPr>
              <w:t>b</w:t>
            </w:r>
          </w:p>
          <w:p w:rsidR="00C142A4" w:rsidRDefault="002022A2" w:rsidP="001066FB">
            <w:pPr>
              <w:rPr>
                <w:rFonts w:cs="Arial"/>
                <w:szCs w:val="18"/>
              </w:rPr>
            </w:pPr>
            <w:r>
              <w:object w:dxaOrig="9124" w:dyaOrig="7325">
                <v:shape id="_x0000_i1028" type="#_x0000_t75" style="width:223.5pt;height:195.75pt" o:ole="">
                  <v:imagedata r:id="rId20" o:title=""/>
                </v:shape>
                <o:OLEObject Type="Embed" ProgID="SigmaPlotGraphicObject.10" ShapeID="_x0000_i1028" DrawAspect="Content" ObjectID="_1616840852" r:id="rId21"/>
              </w:object>
            </w:r>
            <w:r w:rsidR="00024B46">
              <w:rPr>
                <w:noProof/>
                <w:lang w:val="en-ZW" w:eastAsia="en-ZW"/>
              </w:rPr>
              <w:t xml:space="preserve"> </w:t>
            </w:r>
          </w:p>
        </w:tc>
      </w:tr>
    </w:tbl>
    <w:p w:rsidR="00C142A4" w:rsidRDefault="00C142A4" w:rsidP="00C142A4">
      <w:pPr>
        <w:spacing w:before="240" w:after="240"/>
        <w:rPr>
          <w:i/>
        </w:rPr>
      </w:pPr>
      <w:r>
        <w:rPr>
          <w:i/>
        </w:rPr>
        <w:t>Figure</w:t>
      </w:r>
      <w:r w:rsidR="0037688A">
        <w:rPr>
          <w:i/>
        </w:rPr>
        <w:t xml:space="preserve"> 3</w:t>
      </w:r>
      <w:r w:rsidRPr="009D263F">
        <w:rPr>
          <w:i/>
        </w:rPr>
        <w:t xml:space="preserve">: </w:t>
      </w:r>
      <w:r>
        <w:rPr>
          <w:i/>
        </w:rPr>
        <w:t xml:space="preserve">Results showing the effect of the absence and presence of nitrogen in reducing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Pr>
          <w:i/>
        </w:rPr>
        <w:t xml:space="preserve"> by strain NT-I. (</w:t>
      </w:r>
      <w:r w:rsidRPr="007665E8">
        <w:rPr>
          <w:i/>
        </w:rPr>
        <w:t>a</w:t>
      </w:r>
      <w:r>
        <w:rPr>
          <w:i/>
        </w:rPr>
        <w:t>)</w:t>
      </w:r>
      <w:r>
        <w:rPr>
          <w:b/>
          <w:i/>
        </w:rPr>
        <w:t xml:space="preserve"> </w:t>
      </w:r>
      <w:r>
        <w:rPr>
          <w:i/>
        </w:rPr>
        <w:t xml:space="preserve">Initial </w:t>
      </w:r>
      <w:r w:rsidR="00702AD9">
        <w:rPr>
          <w:lang w:val="en-GB"/>
        </w:rPr>
        <w:t>SeO</w:t>
      </w:r>
      <w:r w:rsidR="00702AD9">
        <w:rPr>
          <w:vertAlign w:val="subscript"/>
          <w:lang w:val="en-GB"/>
        </w:rPr>
        <w:t>3</w:t>
      </w:r>
      <w:r w:rsidR="00702AD9">
        <w:rPr>
          <w:vertAlign w:val="superscript"/>
          <w:lang w:val="en-GB"/>
        </w:rPr>
        <w:t>2-</w:t>
      </w:r>
      <w:r>
        <w:rPr>
          <w:i/>
        </w:rPr>
        <w:t xml:space="preserve"> concentration of 2</w:t>
      </w:r>
      <w:r w:rsidR="002022A2">
        <w:rPr>
          <w:i/>
        </w:rPr>
        <w:t xml:space="preserve"> </w:t>
      </w:r>
      <w:proofErr w:type="spellStart"/>
      <w:r>
        <w:rPr>
          <w:i/>
        </w:rPr>
        <w:t>mM.</w:t>
      </w:r>
      <w:proofErr w:type="spellEnd"/>
      <w:r w:rsidR="0037688A">
        <w:rPr>
          <w:i/>
        </w:rPr>
        <w:t xml:space="preserve"> </w:t>
      </w:r>
      <w:r>
        <w:rPr>
          <w:i/>
        </w:rPr>
        <w:t>(</w:t>
      </w:r>
      <w:r w:rsidRPr="007665E8">
        <w:rPr>
          <w:i/>
        </w:rPr>
        <w:t>b</w:t>
      </w:r>
      <w:r>
        <w:rPr>
          <w:i/>
        </w:rPr>
        <w:t>)</w:t>
      </w:r>
      <w:r>
        <w:rPr>
          <w:b/>
          <w:i/>
        </w:rPr>
        <w:t xml:space="preserve"> </w:t>
      </w:r>
      <w:r>
        <w:rPr>
          <w:i/>
        </w:rPr>
        <w:t xml:space="preserve">Initial </w:t>
      </w:r>
      <w:r w:rsidR="00702AD9">
        <w:rPr>
          <w:lang w:val="en-GB"/>
        </w:rPr>
        <w:t>SeO</w:t>
      </w:r>
      <w:r w:rsidR="00702AD9">
        <w:rPr>
          <w:vertAlign w:val="subscript"/>
          <w:lang w:val="en-GB"/>
        </w:rPr>
        <w:t>3</w:t>
      </w:r>
      <w:r w:rsidR="00702AD9">
        <w:rPr>
          <w:vertAlign w:val="superscript"/>
          <w:lang w:val="en-GB"/>
        </w:rPr>
        <w:t>2-</w:t>
      </w:r>
      <w:r>
        <w:rPr>
          <w:i/>
        </w:rPr>
        <w:t xml:space="preserve"> conce</w:t>
      </w:r>
      <w:r w:rsidR="007A5DFE">
        <w:rPr>
          <w:i/>
        </w:rPr>
        <w:t>n</w:t>
      </w:r>
      <w:r>
        <w:rPr>
          <w:i/>
        </w:rPr>
        <w:t>t</w:t>
      </w:r>
      <w:r w:rsidR="007A5DFE">
        <w:rPr>
          <w:i/>
        </w:rPr>
        <w:t>r</w:t>
      </w:r>
      <w:r>
        <w:rPr>
          <w:i/>
        </w:rPr>
        <w:t>ation of 5</w:t>
      </w:r>
      <w:r w:rsidR="002022A2">
        <w:rPr>
          <w:i/>
        </w:rPr>
        <w:t xml:space="preserve"> </w:t>
      </w:r>
      <w:proofErr w:type="spellStart"/>
      <w:r>
        <w:rPr>
          <w:i/>
        </w:rPr>
        <w:t>mM.</w:t>
      </w:r>
      <w:proofErr w:type="spellEnd"/>
    </w:p>
    <w:p w:rsidR="00BC2FA7" w:rsidRPr="009D263F" w:rsidRDefault="00BC2FA7" w:rsidP="00C142A4">
      <w:pPr>
        <w:spacing w:before="240" w:after="240"/>
        <w:rPr>
          <w:i/>
        </w:rPr>
      </w:pPr>
    </w:p>
    <w:tbl>
      <w:tblPr>
        <w:tblStyle w:val="TableGrid"/>
        <w:tblW w:w="10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6745"/>
      </w:tblGrid>
      <w:tr w:rsidR="003B7F75" w:rsidTr="00E91263">
        <w:trPr>
          <w:trHeight w:val="4212"/>
        </w:trPr>
        <w:tc>
          <w:tcPr>
            <w:tcW w:w="4146" w:type="dxa"/>
          </w:tcPr>
          <w:p w:rsidR="00C142A4" w:rsidRDefault="0084259C" w:rsidP="001066FB">
            <w:r>
              <w:rPr>
                <w:noProof/>
                <w:lang w:val="en-ZW" w:eastAsia="en-ZW"/>
              </w:rPr>
              <w:lastRenderedPageBreak/>
              <w:t xml:space="preserve">a </w:t>
            </w:r>
          </w:p>
          <w:p w:rsidR="00E91263" w:rsidRDefault="003B7F75" w:rsidP="001066FB">
            <w:r>
              <w:object w:dxaOrig="9043" w:dyaOrig="7325">
                <v:shape id="_x0000_i1029" type="#_x0000_t75" style="width:196.5pt;height:204.75pt" o:ole="">
                  <v:imagedata r:id="rId22" o:title=""/>
                </v:shape>
                <o:OLEObject Type="Embed" ProgID="SigmaPlotGraphicObject.10" ShapeID="_x0000_i1029" DrawAspect="Content" ObjectID="_1616840853" r:id="rId23"/>
              </w:object>
            </w:r>
          </w:p>
          <w:p w:rsidR="002022A2" w:rsidRDefault="002022A2" w:rsidP="001066FB">
            <w:pPr>
              <w:rPr>
                <w:rFonts w:cs="Arial"/>
                <w:szCs w:val="18"/>
              </w:rPr>
            </w:pPr>
          </w:p>
        </w:tc>
        <w:tc>
          <w:tcPr>
            <w:tcW w:w="6749" w:type="dxa"/>
          </w:tcPr>
          <w:p w:rsidR="00C142A4" w:rsidRDefault="00E073FD" w:rsidP="001066FB">
            <w:pPr>
              <w:rPr>
                <w:noProof/>
                <w:lang w:val="en-ZW" w:eastAsia="en-ZW"/>
              </w:rPr>
            </w:pPr>
            <w:r>
              <w:rPr>
                <w:noProof/>
                <w:lang w:val="en-ZW" w:eastAsia="en-ZW"/>
              </w:rPr>
              <w:t xml:space="preserve">b </w:t>
            </w:r>
          </w:p>
          <w:p w:rsidR="00E91263" w:rsidRDefault="00E91263" w:rsidP="001066FB">
            <w:pPr>
              <w:rPr>
                <w:noProof/>
                <w:lang w:val="en-ZW" w:eastAsia="en-ZW"/>
              </w:rPr>
            </w:pPr>
          </w:p>
          <w:p w:rsidR="003B7F75" w:rsidRDefault="003B7F75" w:rsidP="001066FB">
            <w:pPr>
              <w:rPr>
                <w:rFonts w:cs="Arial"/>
                <w:szCs w:val="18"/>
              </w:rPr>
            </w:pPr>
            <w:r>
              <w:rPr>
                <w:noProof/>
                <w:lang w:val="en-ZW" w:eastAsia="en-ZW"/>
              </w:rPr>
              <w:drawing>
                <wp:inline distT="0" distB="0" distL="0" distR="0" wp14:anchorId="7910E6D1" wp14:editId="1873E1EE">
                  <wp:extent cx="2801109" cy="2808000"/>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C142A4" w:rsidRDefault="0037688A" w:rsidP="0084259C">
      <w:pPr>
        <w:spacing w:before="240" w:after="240"/>
        <w:rPr>
          <w:i/>
        </w:rPr>
      </w:pPr>
      <w:r>
        <w:rPr>
          <w:i/>
        </w:rPr>
        <w:t>Figure 4</w:t>
      </w:r>
      <w:r w:rsidR="00C142A4">
        <w:rPr>
          <w:i/>
        </w:rPr>
        <w:t xml:space="preserve">: </w:t>
      </w:r>
      <w:r w:rsidR="00BC2FA7">
        <w:rPr>
          <w:i/>
        </w:rPr>
        <w:t xml:space="preserve">(a) </w:t>
      </w:r>
      <w:r w:rsidR="00C142A4">
        <w:rPr>
          <w:i/>
        </w:rPr>
        <w:t xml:space="preserve">Results showing the effect of the absence and presence of a nitrogen in reducing </w:t>
      </w:r>
      <w:r w:rsidR="0084259C">
        <w:rPr>
          <w:i/>
        </w:rPr>
        <w:t>10</w:t>
      </w:r>
      <w:r w:rsidR="007B4A19">
        <w:rPr>
          <w:i/>
        </w:rPr>
        <w:t xml:space="preserve"> </w:t>
      </w:r>
      <w:r w:rsidR="0084259C">
        <w:rPr>
          <w:i/>
        </w:rPr>
        <w:t xml:space="preserve">mM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BC2FA7">
        <w:rPr>
          <w:i/>
        </w:rPr>
        <w:t xml:space="preserve"> by strain NT-I. (b) % reduction for different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BC2FA7">
        <w:rPr>
          <w:i/>
        </w:rPr>
        <w:t xml:space="preserve"> concentration</w:t>
      </w:r>
      <w:r w:rsidR="00C142A4">
        <w:rPr>
          <w:i/>
        </w:rPr>
        <w:t xml:space="preserve"> </w:t>
      </w:r>
      <w:r w:rsidR="00656D97">
        <w:rPr>
          <w:i/>
        </w:rPr>
        <w:t>at the end of the experiment.</w:t>
      </w:r>
    </w:p>
    <w:p w:rsidR="00C142A4" w:rsidRPr="00C142A4" w:rsidRDefault="00C142A4" w:rsidP="00C142A4">
      <w:pPr>
        <w:pStyle w:val="CETHeading1"/>
        <w:rPr>
          <w:lang w:eastAsia="en-ZW"/>
        </w:rPr>
      </w:pPr>
      <w:r w:rsidRPr="00C142A4">
        <w:rPr>
          <w:lang w:eastAsia="en-ZW"/>
        </w:rPr>
        <w:t>Conclusion</w:t>
      </w:r>
    </w:p>
    <w:p w:rsidR="00EF0F51" w:rsidRDefault="004448E1" w:rsidP="00A41CD3">
      <w:pPr>
        <w:pStyle w:val="CETBodytext"/>
        <w:rPr>
          <w:lang w:eastAsia="en-ZW"/>
        </w:rPr>
      </w:pPr>
      <w:r w:rsidRPr="00D828A7">
        <w:rPr>
          <w:lang w:eastAsia="en-ZW"/>
        </w:rPr>
        <w:t xml:space="preserve">In this study, the effect of the presence and absence of a nitrogen source in the reduction of different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Pr="00D828A7">
        <w:rPr>
          <w:lang w:eastAsia="en-ZW"/>
        </w:rPr>
        <w:t xml:space="preserve"> concentrations ranging from 0.5 mM to 10 mM</w:t>
      </w:r>
      <w:r w:rsidR="007E3046" w:rsidRPr="00D828A7">
        <w:rPr>
          <w:lang w:eastAsia="en-ZW"/>
        </w:rPr>
        <w:t xml:space="preserve"> was investigated</w:t>
      </w:r>
      <w:r w:rsidRPr="00D828A7">
        <w:rPr>
          <w:lang w:eastAsia="en-ZW"/>
        </w:rPr>
        <w:t xml:space="preserve">. The results obtained </w:t>
      </w:r>
      <w:r w:rsidR="007E3046" w:rsidRPr="00D828A7">
        <w:rPr>
          <w:lang w:eastAsia="en-ZW"/>
        </w:rPr>
        <w:t xml:space="preserve">showed </w:t>
      </w:r>
      <w:r w:rsidRPr="00D828A7">
        <w:rPr>
          <w:lang w:eastAsia="en-ZW"/>
        </w:rPr>
        <w:t>that the rate of reduction was higher in experiments which had</w:t>
      </w:r>
      <w:r w:rsidR="00603C55" w:rsidRPr="00D828A7">
        <w:rPr>
          <w:lang w:eastAsia="en-ZW"/>
        </w:rPr>
        <w:t xml:space="preserve"> a</w:t>
      </w:r>
      <w:r w:rsidR="007E3046" w:rsidRPr="00D828A7">
        <w:rPr>
          <w:lang w:eastAsia="en-ZW"/>
        </w:rPr>
        <w:t xml:space="preserve"> </w:t>
      </w:r>
      <w:r w:rsidRPr="00D828A7">
        <w:rPr>
          <w:lang w:eastAsia="en-ZW"/>
        </w:rPr>
        <w:t xml:space="preserve">nitrogen </w:t>
      </w:r>
      <w:r w:rsidR="00603C55" w:rsidRPr="00D828A7">
        <w:rPr>
          <w:lang w:eastAsia="en-ZW"/>
        </w:rPr>
        <w:t>source</w:t>
      </w:r>
      <w:r w:rsidR="00B03702" w:rsidRPr="00D828A7">
        <w:rPr>
          <w:lang w:eastAsia="en-ZW"/>
        </w:rPr>
        <w:t xml:space="preserve"> as compared to those which did not</w:t>
      </w:r>
      <w:r w:rsidR="00603C55" w:rsidRPr="00D828A7">
        <w:rPr>
          <w:lang w:eastAsia="en-ZW"/>
        </w:rPr>
        <w:t>.</w:t>
      </w:r>
      <w:r w:rsidR="007E3046" w:rsidRPr="00D828A7">
        <w:rPr>
          <w:lang w:eastAsia="en-ZW"/>
        </w:rPr>
        <w:t xml:space="preserve"> </w:t>
      </w:r>
      <w:r w:rsidR="00B03702" w:rsidRPr="00D828A7">
        <w:rPr>
          <w:lang w:eastAsia="en-ZW"/>
        </w:rPr>
        <w:t xml:space="preserve">However, the observed trend was that </w:t>
      </w:r>
      <w:r w:rsidR="00A44AE3" w:rsidRPr="00D828A7">
        <w:rPr>
          <w:lang w:eastAsia="en-ZW"/>
        </w:rPr>
        <w:t xml:space="preserve">the </w:t>
      </w:r>
      <w:r w:rsidR="00B03702" w:rsidRPr="00D828A7">
        <w:rPr>
          <w:lang w:eastAsia="en-ZW"/>
        </w:rPr>
        <w:t xml:space="preserve">reduction rate </w:t>
      </w:r>
      <w:r w:rsidR="005A0796" w:rsidRPr="00D828A7">
        <w:rPr>
          <w:lang w:eastAsia="en-ZW"/>
        </w:rPr>
        <w:t>in</w:t>
      </w:r>
      <w:r w:rsidR="00B03702" w:rsidRPr="00D828A7">
        <w:rPr>
          <w:lang w:eastAsia="en-ZW"/>
        </w:rPr>
        <w:t xml:space="preserve">creased with increase in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B03702" w:rsidRPr="00D828A7">
        <w:rPr>
          <w:lang w:eastAsia="en-ZW"/>
        </w:rPr>
        <w:t xml:space="preserve"> concentration </w:t>
      </w:r>
      <w:r w:rsidR="00E9235D" w:rsidRPr="00D828A7">
        <w:rPr>
          <w:lang w:eastAsia="en-ZW"/>
        </w:rPr>
        <w:t xml:space="preserve">as </w:t>
      </w:r>
      <w:r w:rsidR="00A44AE3" w:rsidRPr="00D828A7">
        <w:rPr>
          <w:lang w:eastAsia="en-ZW"/>
        </w:rPr>
        <w:t>opposed</w:t>
      </w:r>
      <w:r w:rsidR="00E9235D" w:rsidRPr="00D828A7">
        <w:rPr>
          <w:lang w:eastAsia="en-ZW"/>
        </w:rPr>
        <w:t xml:space="preserve"> to</w:t>
      </w:r>
      <w:r w:rsidR="00B03702" w:rsidRPr="00D828A7">
        <w:rPr>
          <w:lang w:eastAsia="en-ZW"/>
        </w:rPr>
        <w:t xml:space="preserve"> the overall percentage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FB4672">
        <w:rPr>
          <w:lang w:eastAsia="en-ZW"/>
        </w:rPr>
        <w:t>-</w:t>
      </w:r>
      <w:r w:rsidR="00B03702" w:rsidRPr="00D828A7">
        <w:rPr>
          <w:lang w:eastAsia="en-ZW"/>
        </w:rPr>
        <w:t xml:space="preserve">reduction. </w:t>
      </w:r>
    </w:p>
    <w:p w:rsidR="00EF0F51" w:rsidRDefault="007E3046" w:rsidP="00A41CD3">
      <w:pPr>
        <w:pStyle w:val="CETBodytext"/>
        <w:rPr>
          <w:lang w:eastAsia="en-ZW"/>
        </w:rPr>
      </w:pPr>
      <w:bookmarkStart w:id="4" w:name="_GoBack"/>
      <w:bookmarkEnd w:id="4"/>
      <w:r w:rsidRPr="00D828A7">
        <w:rPr>
          <w:lang w:eastAsia="en-ZW"/>
        </w:rPr>
        <w:t>In the reduction of 0.5</w:t>
      </w:r>
      <w:r w:rsidR="00603C55" w:rsidRPr="00D828A7">
        <w:rPr>
          <w:lang w:eastAsia="en-ZW"/>
        </w:rPr>
        <w:t xml:space="preserve"> </w:t>
      </w:r>
      <w:r w:rsidRPr="00D828A7">
        <w:rPr>
          <w:lang w:eastAsia="en-ZW"/>
        </w:rPr>
        <w:t xml:space="preserve">mM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FB4672">
        <w:rPr>
          <w:lang w:eastAsia="en-ZW"/>
        </w:rPr>
        <w:t xml:space="preserve">, </w:t>
      </w:r>
      <w:r w:rsidRPr="00D828A7">
        <w:rPr>
          <w:lang w:eastAsia="en-ZW"/>
        </w:rPr>
        <w:t xml:space="preserve">reduction rates of 0.0014 </w:t>
      </w:r>
      <w:proofErr w:type="gramStart"/>
      <w:r w:rsidRPr="00D828A7">
        <w:rPr>
          <w:lang w:eastAsia="en-ZW"/>
        </w:rPr>
        <w:t>mmol.(</w:t>
      </w:r>
      <w:proofErr w:type="gramEnd"/>
      <w:r w:rsidRPr="00D828A7">
        <w:rPr>
          <w:lang w:eastAsia="en-ZW"/>
        </w:rPr>
        <w:t>g.h)</w:t>
      </w:r>
      <w:r w:rsidRPr="00D828A7">
        <w:rPr>
          <w:vertAlign w:val="superscript"/>
          <w:lang w:eastAsia="en-ZW"/>
        </w:rPr>
        <w:t>-1</w:t>
      </w:r>
      <w:r w:rsidRPr="00D828A7">
        <w:rPr>
          <w:lang w:eastAsia="en-ZW"/>
        </w:rPr>
        <w:t xml:space="preserve"> and 0.0012 mmol.(g.h)</w:t>
      </w:r>
      <w:r w:rsidRPr="00D828A7">
        <w:rPr>
          <w:vertAlign w:val="superscript"/>
          <w:lang w:eastAsia="en-ZW"/>
        </w:rPr>
        <w:t>-1</w:t>
      </w:r>
      <w:r w:rsidRPr="00D828A7">
        <w:rPr>
          <w:lang w:eastAsia="en-ZW"/>
        </w:rPr>
        <w:t xml:space="preserve"> were observed in the presence </w:t>
      </w:r>
      <w:r w:rsidR="00603C55" w:rsidRPr="00D828A7">
        <w:rPr>
          <w:lang w:eastAsia="en-ZW"/>
        </w:rPr>
        <w:t>and</w:t>
      </w:r>
      <w:r w:rsidRPr="00D828A7">
        <w:rPr>
          <w:lang w:eastAsia="en-ZW"/>
        </w:rPr>
        <w:t xml:space="preserve"> absence of </w:t>
      </w:r>
      <w:r w:rsidR="00603C55" w:rsidRPr="00D828A7">
        <w:rPr>
          <w:lang w:eastAsia="en-ZW"/>
        </w:rPr>
        <w:t xml:space="preserve">a </w:t>
      </w:r>
      <w:r w:rsidRPr="00D828A7">
        <w:rPr>
          <w:lang w:eastAsia="en-ZW"/>
        </w:rPr>
        <w:t>nitrogen source respectively.</w:t>
      </w:r>
      <w:r w:rsidR="00F24C4A" w:rsidRPr="00D828A7">
        <w:rPr>
          <w:lang w:eastAsia="en-ZW"/>
        </w:rPr>
        <w:t xml:space="preserve"> In addition, the overall percentage reduction was 100% in both </w:t>
      </w:r>
      <w:r w:rsidR="00B03702" w:rsidRPr="00D828A7">
        <w:rPr>
          <w:lang w:eastAsia="en-ZW"/>
        </w:rPr>
        <w:t>conditions</w:t>
      </w:r>
      <w:r w:rsidR="00F24C4A" w:rsidRPr="00D828A7">
        <w:rPr>
          <w:lang w:eastAsia="en-ZW"/>
        </w:rPr>
        <w:t xml:space="preserve"> after 12 h.</w:t>
      </w:r>
      <w:r w:rsidR="00603C55" w:rsidRPr="00D828A7">
        <w:rPr>
          <w:lang w:eastAsia="en-ZW"/>
        </w:rPr>
        <w:t xml:space="preserve"> </w:t>
      </w:r>
      <w:r w:rsidRPr="00D828A7">
        <w:rPr>
          <w:lang w:eastAsia="en-ZW"/>
        </w:rPr>
        <w:t>For a higher concentration such as 10</w:t>
      </w:r>
      <w:r w:rsidR="00D0230A" w:rsidRPr="00D828A7">
        <w:rPr>
          <w:lang w:eastAsia="en-ZW"/>
        </w:rPr>
        <w:t xml:space="preserve"> </w:t>
      </w:r>
      <w:r w:rsidRPr="00D828A7">
        <w:rPr>
          <w:lang w:eastAsia="en-ZW"/>
        </w:rPr>
        <w:t xml:space="preserve">mM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Pr="00D828A7">
        <w:rPr>
          <w:lang w:eastAsia="en-ZW"/>
        </w:rPr>
        <w:t xml:space="preserve">, </w:t>
      </w:r>
      <w:r w:rsidR="00603C55" w:rsidRPr="00D828A7">
        <w:rPr>
          <w:lang w:eastAsia="en-ZW"/>
        </w:rPr>
        <w:t xml:space="preserve">the difference in the </w:t>
      </w:r>
      <w:r w:rsidR="00F24C4A" w:rsidRPr="00D828A7">
        <w:rPr>
          <w:lang w:eastAsia="en-ZW"/>
        </w:rPr>
        <w:t xml:space="preserve">reduction </w:t>
      </w:r>
      <w:r w:rsidR="00603C55" w:rsidRPr="00D828A7">
        <w:rPr>
          <w:lang w:eastAsia="en-ZW"/>
        </w:rPr>
        <w:t>rates</w:t>
      </w:r>
      <w:r w:rsidR="00F24C4A" w:rsidRPr="00D828A7">
        <w:rPr>
          <w:lang w:eastAsia="en-ZW"/>
        </w:rPr>
        <w:t xml:space="preserve"> and overall </w:t>
      </w:r>
      <w:r w:rsidR="00B03702" w:rsidRPr="00D828A7">
        <w:rPr>
          <w:lang w:eastAsia="en-ZW"/>
        </w:rPr>
        <w:t xml:space="preserve">percentage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B03702" w:rsidRPr="00D828A7">
        <w:rPr>
          <w:lang w:eastAsia="en-ZW"/>
        </w:rPr>
        <w:t xml:space="preserve"> reduction</w:t>
      </w:r>
      <w:r w:rsidR="00603C55" w:rsidRPr="00D828A7">
        <w:rPr>
          <w:lang w:eastAsia="en-ZW"/>
        </w:rPr>
        <w:t xml:space="preserve"> became more significant</w:t>
      </w:r>
      <w:r w:rsidR="00F24C4A" w:rsidRPr="00D828A7">
        <w:rPr>
          <w:lang w:eastAsia="en-ZW"/>
        </w:rPr>
        <w:t>.</w:t>
      </w:r>
      <w:r w:rsidR="00603C55" w:rsidRPr="00D828A7">
        <w:rPr>
          <w:lang w:eastAsia="en-ZW"/>
        </w:rPr>
        <w:t xml:space="preserve"> </w:t>
      </w:r>
      <w:r w:rsidR="00F24C4A" w:rsidRPr="00D828A7">
        <w:rPr>
          <w:lang w:eastAsia="en-ZW"/>
        </w:rPr>
        <w:t>The</w:t>
      </w:r>
      <w:r w:rsidRPr="00D828A7">
        <w:rPr>
          <w:lang w:eastAsia="en-ZW"/>
        </w:rPr>
        <w:t xml:space="preserve"> reduction rate of 0.05 </w:t>
      </w:r>
      <w:proofErr w:type="gramStart"/>
      <w:r w:rsidRPr="00D828A7">
        <w:rPr>
          <w:lang w:eastAsia="en-ZW"/>
        </w:rPr>
        <w:t>mmol.(</w:t>
      </w:r>
      <w:proofErr w:type="gramEnd"/>
      <w:r w:rsidRPr="00D828A7">
        <w:rPr>
          <w:lang w:eastAsia="en-ZW"/>
        </w:rPr>
        <w:t>g.h)</w:t>
      </w:r>
      <w:r w:rsidRPr="00D828A7">
        <w:rPr>
          <w:vertAlign w:val="superscript"/>
          <w:lang w:eastAsia="en-ZW"/>
        </w:rPr>
        <w:t>-1</w:t>
      </w:r>
      <w:r w:rsidRPr="00D828A7">
        <w:rPr>
          <w:lang w:eastAsia="en-ZW"/>
        </w:rPr>
        <w:t xml:space="preserve"> </w:t>
      </w:r>
      <w:r w:rsidR="00F24C4A" w:rsidRPr="00D828A7">
        <w:rPr>
          <w:lang w:eastAsia="en-ZW"/>
        </w:rPr>
        <w:t xml:space="preserve">and overall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FB4672">
        <w:rPr>
          <w:lang w:eastAsia="en-ZW"/>
        </w:rPr>
        <w:t>-</w:t>
      </w:r>
      <w:r w:rsidR="00F24C4A" w:rsidRPr="00D828A7">
        <w:rPr>
          <w:lang w:eastAsia="en-ZW"/>
        </w:rPr>
        <w:t>reduction of</w:t>
      </w:r>
      <w:r w:rsidR="00197F85">
        <w:rPr>
          <w:lang w:eastAsia="en-ZW"/>
        </w:rPr>
        <w:t xml:space="preserve"> </w:t>
      </w:r>
      <w:r w:rsidR="00F24C4A" w:rsidRPr="00D828A7">
        <w:rPr>
          <w:lang w:eastAsia="en-ZW"/>
        </w:rPr>
        <w:t>39</w:t>
      </w:r>
      <w:r w:rsidR="00197F85">
        <w:rPr>
          <w:lang w:eastAsia="en-ZW"/>
        </w:rPr>
        <w:t> </w:t>
      </w:r>
      <w:r w:rsidR="00F24C4A" w:rsidRPr="00D828A7">
        <w:rPr>
          <w:lang w:eastAsia="en-ZW"/>
        </w:rPr>
        <w:t>% was measured after 12 h</w:t>
      </w:r>
      <w:r w:rsidR="00B03702" w:rsidRPr="00D828A7">
        <w:rPr>
          <w:lang w:eastAsia="en-ZW"/>
        </w:rPr>
        <w:t xml:space="preserve"> </w:t>
      </w:r>
      <w:r w:rsidRPr="00D828A7">
        <w:rPr>
          <w:lang w:eastAsia="en-ZW"/>
        </w:rPr>
        <w:t>in the presence of nitrogen</w:t>
      </w:r>
      <w:r w:rsidR="00B03702" w:rsidRPr="00D828A7">
        <w:rPr>
          <w:lang w:eastAsia="en-ZW"/>
        </w:rPr>
        <w:t>. When nitrogen was not present, the reduction rate w</w:t>
      </w:r>
      <w:r w:rsidRPr="00D828A7">
        <w:rPr>
          <w:lang w:eastAsia="en-ZW"/>
        </w:rPr>
        <w:t xml:space="preserve">as 0.031 </w:t>
      </w:r>
      <w:proofErr w:type="gramStart"/>
      <w:r w:rsidRPr="00D828A7">
        <w:rPr>
          <w:lang w:eastAsia="en-ZW"/>
        </w:rPr>
        <w:t>mmol.(</w:t>
      </w:r>
      <w:proofErr w:type="spellStart"/>
      <w:proofErr w:type="gramEnd"/>
      <w:r w:rsidRPr="00D828A7">
        <w:rPr>
          <w:lang w:eastAsia="en-ZW"/>
        </w:rPr>
        <w:t>g.h</w:t>
      </w:r>
      <w:proofErr w:type="spellEnd"/>
      <w:r w:rsidRPr="00D828A7">
        <w:rPr>
          <w:lang w:eastAsia="en-ZW"/>
        </w:rPr>
        <w:t>)</w:t>
      </w:r>
      <w:r w:rsidRPr="00D828A7">
        <w:rPr>
          <w:vertAlign w:val="superscript"/>
          <w:lang w:eastAsia="en-ZW"/>
        </w:rPr>
        <w:t>-1</w:t>
      </w:r>
      <w:r w:rsidRPr="00D828A7">
        <w:rPr>
          <w:lang w:eastAsia="en-ZW"/>
        </w:rPr>
        <w:t xml:space="preserve"> </w:t>
      </w:r>
      <w:r w:rsidR="00B03702" w:rsidRPr="00D828A7">
        <w:rPr>
          <w:lang w:eastAsia="en-ZW"/>
        </w:rPr>
        <w:t xml:space="preserve">and the overall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FB4672">
        <w:rPr>
          <w:lang w:eastAsia="en-ZW"/>
        </w:rPr>
        <w:t>-</w:t>
      </w:r>
      <w:r w:rsidR="00B03702" w:rsidRPr="00D828A7">
        <w:rPr>
          <w:lang w:eastAsia="en-ZW"/>
        </w:rPr>
        <w:t xml:space="preserve">reduction was 26.17 %. It can therefore be concluded that </w:t>
      </w:r>
      <w:bookmarkStart w:id="5" w:name="_Hlk6054719"/>
      <w:r w:rsidR="00C142A4" w:rsidRPr="00D828A7">
        <w:rPr>
          <w:i/>
          <w:lang w:eastAsia="en-ZW"/>
        </w:rPr>
        <w:t>P</w:t>
      </w:r>
      <w:r w:rsidR="004448E1" w:rsidRPr="00D828A7">
        <w:rPr>
          <w:i/>
          <w:lang w:eastAsia="en-ZW"/>
        </w:rPr>
        <w:t>.</w:t>
      </w:r>
      <w:r w:rsidR="00C142A4" w:rsidRPr="00D828A7">
        <w:rPr>
          <w:i/>
          <w:lang w:eastAsia="en-ZW"/>
        </w:rPr>
        <w:t xml:space="preserve"> stutzeri </w:t>
      </w:r>
      <w:bookmarkEnd w:id="5"/>
      <w:r w:rsidR="00C142A4" w:rsidRPr="00D828A7">
        <w:rPr>
          <w:lang w:eastAsia="en-ZW"/>
        </w:rPr>
        <w:t xml:space="preserve">NT-I can successfully reduce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3D4AB8" w:rsidRPr="00D828A7">
        <w:rPr>
          <w:lang w:eastAsia="en-ZW"/>
        </w:rPr>
        <w:t xml:space="preserve"> to </w:t>
      </w:r>
      <w:proofErr w:type="gramStart"/>
      <w:r w:rsidR="003D4AB8" w:rsidRPr="00D828A7">
        <w:rPr>
          <w:lang w:eastAsia="en-ZW"/>
        </w:rPr>
        <w:t>Se(</w:t>
      </w:r>
      <w:proofErr w:type="gramEnd"/>
      <w:r w:rsidR="003D4AB8" w:rsidRPr="00D828A7">
        <w:rPr>
          <w:lang w:eastAsia="en-ZW"/>
        </w:rPr>
        <w:t>0)</w:t>
      </w:r>
      <w:r w:rsidR="00C142A4" w:rsidRPr="00D828A7">
        <w:rPr>
          <w:lang w:eastAsia="en-ZW"/>
        </w:rPr>
        <w:t xml:space="preserve"> in the presence or absence of nitrogen</w:t>
      </w:r>
      <w:r w:rsidR="003D4AB8" w:rsidRPr="00D828A7">
        <w:rPr>
          <w:lang w:eastAsia="en-ZW"/>
        </w:rPr>
        <w:t xml:space="preserve">. </w:t>
      </w:r>
      <w:r w:rsidR="004327C7" w:rsidRPr="00D828A7">
        <w:rPr>
          <w:lang w:eastAsia="en-ZW"/>
        </w:rPr>
        <w:t xml:space="preserve">Even though </w:t>
      </w:r>
      <w:r w:rsidR="003D4AB8" w:rsidRPr="00D828A7">
        <w:rPr>
          <w:lang w:eastAsia="en-ZW"/>
        </w:rPr>
        <w:t xml:space="preserve">the amount of reduction observed in both conditions is </w:t>
      </w:r>
      <w:r w:rsidR="008115F3">
        <w:rPr>
          <w:lang w:eastAsia="en-ZW"/>
        </w:rPr>
        <w:t>comparable</w:t>
      </w:r>
      <w:r w:rsidR="003D4AB8" w:rsidRPr="00D828A7">
        <w:rPr>
          <w:lang w:eastAsia="en-ZW"/>
        </w:rPr>
        <w:t xml:space="preserve"> at</w:t>
      </w:r>
      <w:r w:rsidR="004327C7" w:rsidRPr="00D828A7">
        <w:rPr>
          <w:lang w:eastAsia="en-ZW"/>
        </w:rPr>
        <w:t xml:space="preserve"> lower </w:t>
      </w:r>
      <w:r w:rsidR="00FB4672" w:rsidRPr="00D0230A">
        <w:rPr>
          <w:lang w:eastAsia="en-ZW"/>
        </w:rPr>
        <w:t>Se</w:t>
      </w:r>
      <w:r w:rsidR="00FB4672">
        <w:rPr>
          <w:lang w:eastAsia="en-ZW"/>
        </w:rPr>
        <w:t>O</w:t>
      </w:r>
      <w:r w:rsidR="00FB4672">
        <w:rPr>
          <w:vertAlign w:val="subscript"/>
          <w:lang w:eastAsia="en-ZW"/>
        </w:rPr>
        <w:t>3</w:t>
      </w:r>
      <w:r w:rsidR="00FB4672">
        <w:rPr>
          <w:vertAlign w:val="superscript"/>
          <w:lang w:eastAsia="en-ZW"/>
        </w:rPr>
        <w:t>2-</w:t>
      </w:r>
      <w:r w:rsidR="004327C7" w:rsidRPr="00D828A7">
        <w:rPr>
          <w:lang w:eastAsia="en-ZW"/>
        </w:rPr>
        <w:t xml:space="preserve"> concentrations,</w:t>
      </w:r>
      <w:r w:rsidR="00C142A4" w:rsidRPr="00D828A7">
        <w:rPr>
          <w:lang w:eastAsia="en-ZW"/>
        </w:rPr>
        <w:t xml:space="preserve"> </w:t>
      </w:r>
      <w:r w:rsidR="00657933" w:rsidRPr="00D828A7">
        <w:rPr>
          <w:lang w:eastAsia="en-ZW"/>
        </w:rPr>
        <w:t>the reduction rate is initially faster in the presence of a nitrogen source.</w:t>
      </w:r>
      <w:r w:rsidR="00C142A4" w:rsidRPr="00D828A7">
        <w:rPr>
          <w:lang w:eastAsia="en-ZW"/>
        </w:rPr>
        <w:t xml:space="preserve"> </w:t>
      </w:r>
    </w:p>
    <w:p w:rsidR="008115F3" w:rsidRPr="008115F3" w:rsidRDefault="00C142A4" w:rsidP="00A41CD3">
      <w:pPr>
        <w:pStyle w:val="CETBodytext"/>
        <w:rPr>
          <w:lang w:eastAsia="en-ZW"/>
        </w:rPr>
      </w:pPr>
      <w:r w:rsidRPr="00D828A7">
        <w:rPr>
          <w:lang w:eastAsia="en-ZW"/>
        </w:rPr>
        <w:t xml:space="preserve">The presence of nitrogen is attributed to correlate with </w:t>
      </w:r>
      <w:r w:rsidR="004448E1" w:rsidRPr="00D828A7">
        <w:rPr>
          <w:lang w:eastAsia="en-ZW"/>
        </w:rPr>
        <w:t xml:space="preserve">an </w:t>
      </w:r>
      <w:r w:rsidRPr="00D828A7">
        <w:rPr>
          <w:lang w:eastAsia="en-ZW"/>
        </w:rPr>
        <w:t>increase in biomass thus</w:t>
      </w:r>
      <w:r w:rsidR="004327C7" w:rsidRPr="00D828A7">
        <w:rPr>
          <w:lang w:eastAsia="en-ZW"/>
        </w:rPr>
        <w:t>,</w:t>
      </w:r>
      <w:r w:rsidR="00657933" w:rsidRPr="00D828A7">
        <w:rPr>
          <w:lang w:eastAsia="en-ZW"/>
        </w:rPr>
        <w:t xml:space="preserve"> an</w:t>
      </w:r>
      <w:r w:rsidRPr="00D828A7">
        <w:rPr>
          <w:lang w:eastAsia="en-ZW"/>
        </w:rPr>
        <w:t xml:space="preserve"> increase in</w:t>
      </w:r>
      <w:r w:rsidR="00657933" w:rsidRPr="00D828A7">
        <w:rPr>
          <w:lang w:eastAsia="en-ZW"/>
        </w:rPr>
        <w:t xml:space="preserve"> the initial</w:t>
      </w:r>
      <w:r w:rsidRPr="00D828A7">
        <w:rPr>
          <w:lang w:eastAsia="en-ZW"/>
        </w:rPr>
        <w:t xml:space="preserve"> reaction rate. However, it is not clear whether </w:t>
      </w:r>
      <w:r w:rsidR="00657933" w:rsidRPr="00D828A7">
        <w:rPr>
          <w:lang w:eastAsia="en-ZW"/>
        </w:rPr>
        <w:t>this</w:t>
      </w:r>
      <w:r w:rsidRPr="00D828A7">
        <w:rPr>
          <w:lang w:eastAsia="en-ZW"/>
        </w:rPr>
        <w:t xml:space="preserve"> increase in biomass </w:t>
      </w:r>
      <w:r w:rsidR="00182499" w:rsidRPr="00D828A7">
        <w:rPr>
          <w:lang w:eastAsia="en-ZW"/>
        </w:rPr>
        <w:t>is directly proportional to</w:t>
      </w:r>
      <w:r w:rsidRPr="00D828A7">
        <w:rPr>
          <w:lang w:eastAsia="en-ZW"/>
        </w:rPr>
        <w:t xml:space="preserve"> cell metabolic activity. This is an area which still requires further investigation as it will assist in better understanding the mechanism employed </w:t>
      </w:r>
      <w:r w:rsidRPr="00D828A7">
        <w:rPr>
          <w:i/>
          <w:lang w:eastAsia="en-ZW"/>
        </w:rPr>
        <w:t xml:space="preserve">by Pseudomonas stutzeri </w:t>
      </w:r>
      <w:r w:rsidRPr="00D828A7">
        <w:rPr>
          <w:lang w:eastAsia="en-ZW"/>
        </w:rPr>
        <w:t xml:space="preserve">NT-I in selenium reduction. </w:t>
      </w:r>
      <w:r w:rsidR="008115F3">
        <w:rPr>
          <w:lang w:eastAsia="en-ZW"/>
        </w:rPr>
        <w:t>These results further question the application of the chemical mechanism presented by Ji and Wang (2017) to this organism, possibly indicating a non-growth SeO</w:t>
      </w:r>
      <w:r w:rsidR="008115F3">
        <w:rPr>
          <w:vertAlign w:val="subscript"/>
          <w:lang w:eastAsia="en-ZW"/>
        </w:rPr>
        <w:t>3</w:t>
      </w:r>
      <w:r w:rsidR="008115F3">
        <w:rPr>
          <w:vertAlign w:val="superscript"/>
          <w:lang w:eastAsia="en-ZW"/>
        </w:rPr>
        <w:t>2-</w:t>
      </w:r>
      <w:r w:rsidR="008115F3">
        <w:rPr>
          <w:lang w:eastAsia="en-ZW"/>
        </w:rPr>
        <w:t xml:space="preserve"> mechanism present in the system. </w:t>
      </w:r>
    </w:p>
    <w:p w:rsidR="004327C7" w:rsidRPr="00D828A7" w:rsidRDefault="00C142A4" w:rsidP="00A41CD3">
      <w:pPr>
        <w:pStyle w:val="CETBodytext"/>
        <w:rPr>
          <w:lang w:eastAsia="en-ZW"/>
        </w:rPr>
      </w:pPr>
      <w:r w:rsidRPr="00D828A7">
        <w:rPr>
          <w:lang w:eastAsia="en-ZW"/>
        </w:rPr>
        <w:t>In addition, this leaves further room to evaluate the effectiveness of a continuous system which can also</w:t>
      </w:r>
      <w:r w:rsidR="004448E1" w:rsidRPr="00D828A7">
        <w:rPr>
          <w:lang w:eastAsia="en-ZW"/>
        </w:rPr>
        <w:t xml:space="preserve"> be</w:t>
      </w:r>
      <w:r w:rsidRPr="00D828A7">
        <w:rPr>
          <w:lang w:eastAsia="en-ZW"/>
        </w:rPr>
        <w:t xml:space="preserve"> accounted for selenium losses due to </w:t>
      </w:r>
      <w:proofErr w:type="spellStart"/>
      <w:r w:rsidRPr="00D828A7">
        <w:rPr>
          <w:lang w:eastAsia="en-ZW"/>
        </w:rPr>
        <w:t>volatisation</w:t>
      </w:r>
      <w:proofErr w:type="spellEnd"/>
      <w:r w:rsidRPr="00D828A7">
        <w:rPr>
          <w:lang w:eastAsia="en-ZW"/>
        </w:rPr>
        <w:t>.</w:t>
      </w:r>
    </w:p>
    <w:p w:rsidR="004327C7" w:rsidRPr="00D828A7" w:rsidRDefault="004327C7" w:rsidP="004327C7">
      <w:pPr>
        <w:pStyle w:val="CETReference"/>
        <w:rPr>
          <w:lang w:val="en-ZW" w:eastAsia="en-ZW"/>
        </w:rPr>
      </w:pPr>
      <w:r w:rsidRPr="00D828A7">
        <w:rPr>
          <w:lang w:val="en-ZW" w:eastAsia="en-ZW"/>
        </w:rPr>
        <w:t xml:space="preserve">References </w:t>
      </w:r>
    </w:p>
    <w:p w:rsidR="004327C7" w:rsidRPr="00D828A7" w:rsidRDefault="004327C7" w:rsidP="004327C7">
      <w:pPr>
        <w:pStyle w:val="CETReferencetext"/>
        <w:rPr>
          <w:lang w:val="en-ZW" w:eastAsia="en-ZW"/>
        </w:rPr>
      </w:pPr>
      <w:r w:rsidRPr="00D828A7">
        <w:rPr>
          <w:lang w:val="en-ZW" w:eastAsia="en-ZW"/>
        </w:rPr>
        <w:t>Brink H. G., Wessels C. E., Chirwa E. M. N., 2018, Pseudomonas stutzeri NT-I: Optimal Conditions for Growth and Selenate Reduction, Chemical Engineering Transactions, 70, 1651-1656.</w:t>
      </w:r>
    </w:p>
    <w:p w:rsidR="004327C7" w:rsidRPr="00D828A7" w:rsidRDefault="004327C7" w:rsidP="004327C7">
      <w:pPr>
        <w:pStyle w:val="CETReferencetext"/>
        <w:rPr>
          <w:lang w:val="en-ZW" w:eastAsia="en-ZW"/>
        </w:rPr>
      </w:pPr>
      <w:proofErr w:type="spellStart"/>
      <w:r w:rsidRPr="00D828A7">
        <w:rPr>
          <w:lang w:val="en-ZW" w:eastAsia="en-ZW"/>
        </w:rPr>
        <w:t>Brozmanova</w:t>
      </w:r>
      <w:proofErr w:type="spellEnd"/>
      <w:r w:rsidRPr="00D828A7">
        <w:rPr>
          <w:lang w:val="en-ZW" w:eastAsia="en-ZW"/>
        </w:rPr>
        <w:t xml:space="preserve"> J., </w:t>
      </w:r>
      <w:proofErr w:type="spellStart"/>
      <w:r w:rsidRPr="00D828A7">
        <w:rPr>
          <w:lang w:val="en-ZW" w:eastAsia="en-ZW"/>
        </w:rPr>
        <w:t>Manikova</w:t>
      </w:r>
      <w:proofErr w:type="spellEnd"/>
      <w:r w:rsidRPr="00D828A7">
        <w:rPr>
          <w:lang w:val="en-ZW" w:eastAsia="en-ZW"/>
        </w:rPr>
        <w:t xml:space="preserve"> D., </w:t>
      </w:r>
      <w:proofErr w:type="spellStart"/>
      <w:r w:rsidRPr="00D828A7">
        <w:rPr>
          <w:lang w:val="en-ZW" w:eastAsia="en-ZW"/>
        </w:rPr>
        <w:t>Vickova</w:t>
      </w:r>
      <w:proofErr w:type="spellEnd"/>
      <w:r w:rsidRPr="00D828A7">
        <w:rPr>
          <w:lang w:val="en-ZW" w:eastAsia="en-ZW"/>
        </w:rPr>
        <w:t xml:space="preserve"> V., </w:t>
      </w:r>
      <w:proofErr w:type="spellStart"/>
      <w:r w:rsidRPr="00D828A7">
        <w:rPr>
          <w:lang w:val="en-ZW" w:eastAsia="en-ZW"/>
        </w:rPr>
        <w:t>Chovanec</w:t>
      </w:r>
      <w:proofErr w:type="spellEnd"/>
      <w:r w:rsidRPr="00D828A7">
        <w:rPr>
          <w:lang w:val="en-ZW" w:eastAsia="en-ZW"/>
        </w:rPr>
        <w:t xml:space="preserve"> M., 2010, Selenium: a double-edged sword for </w:t>
      </w:r>
      <w:proofErr w:type="spellStart"/>
      <w:r w:rsidRPr="00D828A7">
        <w:rPr>
          <w:lang w:val="en-ZW" w:eastAsia="en-ZW"/>
        </w:rPr>
        <w:t>defense</w:t>
      </w:r>
      <w:proofErr w:type="spellEnd"/>
      <w:r w:rsidRPr="00D828A7">
        <w:rPr>
          <w:lang w:val="en-ZW" w:eastAsia="en-ZW"/>
        </w:rPr>
        <w:t xml:space="preserve"> and offence in cancer, Arch </w:t>
      </w:r>
      <w:proofErr w:type="spellStart"/>
      <w:r w:rsidRPr="00D828A7">
        <w:rPr>
          <w:lang w:val="en-ZW" w:eastAsia="en-ZW"/>
        </w:rPr>
        <w:t>Toxicol</w:t>
      </w:r>
      <w:proofErr w:type="spellEnd"/>
      <w:r w:rsidRPr="00D828A7">
        <w:rPr>
          <w:lang w:val="en-ZW" w:eastAsia="en-ZW"/>
        </w:rPr>
        <w:t>, 84, 919-38.</w:t>
      </w:r>
    </w:p>
    <w:p w:rsidR="008D23B8" w:rsidRPr="00D828A7" w:rsidRDefault="008D23B8" w:rsidP="004327C7">
      <w:pPr>
        <w:pStyle w:val="CETReferencetext"/>
        <w:rPr>
          <w:lang w:val="en-ZW" w:eastAsia="en-ZW"/>
        </w:rPr>
      </w:pPr>
      <w:proofErr w:type="spellStart"/>
      <w:r w:rsidRPr="00D828A7">
        <w:rPr>
          <w:lang w:val="en-ZW" w:eastAsia="en-ZW"/>
        </w:rPr>
        <w:t>Ecimovic</w:t>
      </w:r>
      <w:proofErr w:type="spellEnd"/>
      <w:r w:rsidRPr="00D828A7">
        <w:rPr>
          <w:lang w:val="en-ZW" w:eastAsia="en-ZW"/>
        </w:rPr>
        <w:t xml:space="preserve"> S., </w:t>
      </w:r>
      <w:proofErr w:type="spellStart"/>
      <w:r w:rsidRPr="00D828A7">
        <w:rPr>
          <w:lang w:val="en-ZW" w:eastAsia="en-ZW"/>
        </w:rPr>
        <w:t>Velki</w:t>
      </w:r>
      <w:proofErr w:type="spellEnd"/>
      <w:r w:rsidRPr="00D828A7">
        <w:rPr>
          <w:lang w:val="en-ZW" w:eastAsia="en-ZW"/>
        </w:rPr>
        <w:t xml:space="preserve"> M., </w:t>
      </w:r>
      <w:proofErr w:type="spellStart"/>
      <w:r w:rsidRPr="00D828A7">
        <w:rPr>
          <w:lang w:val="en-ZW" w:eastAsia="en-ZW"/>
        </w:rPr>
        <w:t>Vukovic</w:t>
      </w:r>
      <w:proofErr w:type="spellEnd"/>
      <w:r w:rsidRPr="00D828A7">
        <w:rPr>
          <w:lang w:val="en-ZW" w:eastAsia="en-ZW"/>
        </w:rPr>
        <w:t xml:space="preserve"> R., </w:t>
      </w:r>
      <w:proofErr w:type="spellStart"/>
      <w:r w:rsidRPr="00D828A7">
        <w:rPr>
          <w:lang w:val="en-ZW" w:eastAsia="en-ZW"/>
        </w:rPr>
        <w:t>Camagajevac</w:t>
      </w:r>
      <w:proofErr w:type="spellEnd"/>
      <w:r w:rsidRPr="00D828A7">
        <w:rPr>
          <w:lang w:val="en-ZW" w:eastAsia="en-ZW"/>
        </w:rPr>
        <w:t xml:space="preserve"> S. I., </w:t>
      </w:r>
      <w:proofErr w:type="spellStart"/>
      <w:r w:rsidRPr="00D828A7">
        <w:rPr>
          <w:lang w:val="en-ZW" w:eastAsia="en-ZW"/>
        </w:rPr>
        <w:t>Petek</w:t>
      </w:r>
      <w:proofErr w:type="spellEnd"/>
      <w:r w:rsidRPr="00D828A7">
        <w:rPr>
          <w:lang w:val="en-ZW" w:eastAsia="en-ZW"/>
        </w:rPr>
        <w:t xml:space="preserve"> A., </w:t>
      </w:r>
      <w:proofErr w:type="spellStart"/>
      <w:r w:rsidRPr="00D828A7">
        <w:rPr>
          <w:lang w:val="en-ZW" w:eastAsia="en-ZW"/>
        </w:rPr>
        <w:t>Bosnjakovic</w:t>
      </w:r>
      <w:proofErr w:type="spellEnd"/>
      <w:r w:rsidRPr="00D828A7">
        <w:rPr>
          <w:lang w:val="en-ZW" w:eastAsia="en-ZW"/>
        </w:rPr>
        <w:t xml:space="preserve"> R., </w:t>
      </w:r>
      <w:proofErr w:type="spellStart"/>
      <w:r w:rsidRPr="00D828A7">
        <w:rPr>
          <w:lang w:val="en-ZW" w:eastAsia="en-ZW"/>
        </w:rPr>
        <w:t>Grgic</w:t>
      </w:r>
      <w:proofErr w:type="spellEnd"/>
      <w:r w:rsidRPr="00D828A7">
        <w:rPr>
          <w:lang w:val="en-ZW" w:eastAsia="en-ZW"/>
        </w:rPr>
        <w:t xml:space="preserve"> M., Engelmann P., Bodo K., </w:t>
      </w:r>
      <w:proofErr w:type="spellStart"/>
      <w:r w:rsidRPr="00D828A7">
        <w:rPr>
          <w:lang w:val="en-ZW" w:eastAsia="en-ZW"/>
        </w:rPr>
        <w:t>Filipovic-Marijic</w:t>
      </w:r>
      <w:proofErr w:type="spellEnd"/>
      <w:r w:rsidRPr="00D828A7">
        <w:rPr>
          <w:lang w:val="en-ZW" w:eastAsia="en-ZW"/>
        </w:rPr>
        <w:t xml:space="preserve"> V., </w:t>
      </w:r>
      <w:proofErr w:type="spellStart"/>
      <w:r w:rsidRPr="00D828A7">
        <w:rPr>
          <w:lang w:val="en-ZW" w:eastAsia="en-ZW"/>
        </w:rPr>
        <w:t>Ivankovic</w:t>
      </w:r>
      <w:proofErr w:type="spellEnd"/>
      <w:r w:rsidRPr="00D828A7">
        <w:rPr>
          <w:lang w:val="en-ZW" w:eastAsia="en-ZW"/>
        </w:rPr>
        <w:t xml:space="preserve"> D., </w:t>
      </w:r>
      <w:proofErr w:type="spellStart"/>
      <w:r w:rsidRPr="00D828A7">
        <w:rPr>
          <w:lang w:val="en-ZW" w:eastAsia="en-ZW"/>
        </w:rPr>
        <w:t>Erk</w:t>
      </w:r>
      <w:proofErr w:type="spellEnd"/>
      <w:r w:rsidRPr="00D828A7">
        <w:rPr>
          <w:lang w:val="en-ZW" w:eastAsia="en-ZW"/>
        </w:rPr>
        <w:t xml:space="preserve"> M., </w:t>
      </w:r>
      <w:proofErr w:type="spellStart"/>
      <w:r w:rsidRPr="00D828A7">
        <w:rPr>
          <w:lang w:val="en-ZW" w:eastAsia="en-ZW"/>
        </w:rPr>
        <w:t>Mijosek</w:t>
      </w:r>
      <w:proofErr w:type="spellEnd"/>
      <w:r w:rsidRPr="00D828A7">
        <w:rPr>
          <w:lang w:val="en-ZW" w:eastAsia="en-ZW"/>
        </w:rPr>
        <w:t xml:space="preserve"> T., </w:t>
      </w:r>
      <w:proofErr w:type="spellStart"/>
      <w:r w:rsidRPr="00D828A7">
        <w:rPr>
          <w:lang w:val="en-ZW" w:eastAsia="en-ZW"/>
        </w:rPr>
        <w:t>Loncaric</w:t>
      </w:r>
      <w:proofErr w:type="spellEnd"/>
      <w:r w:rsidRPr="00D828A7">
        <w:rPr>
          <w:lang w:val="en-ZW" w:eastAsia="en-ZW"/>
        </w:rPr>
        <w:t xml:space="preserve"> Z., 2018, Acute toxicity of selenate </w:t>
      </w:r>
      <w:r w:rsidRPr="00D828A7">
        <w:rPr>
          <w:lang w:val="en-ZW" w:eastAsia="en-ZW"/>
        </w:rPr>
        <w:lastRenderedPageBreak/>
        <w:t xml:space="preserve">and selenite and their impacts on oxidative status, efflux pump activity, cellular and genetic parameters in earthworm Eisenia </w:t>
      </w:r>
      <w:proofErr w:type="spellStart"/>
      <w:r w:rsidRPr="00D828A7">
        <w:rPr>
          <w:lang w:val="en-ZW" w:eastAsia="en-ZW"/>
        </w:rPr>
        <w:t>andrei</w:t>
      </w:r>
      <w:proofErr w:type="spellEnd"/>
      <w:r w:rsidRPr="00D828A7">
        <w:rPr>
          <w:lang w:val="en-ZW" w:eastAsia="en-ZW"/>
        </w:rPr>
        <w:t>, Chemosphere, 212, 307-318.</w:t>
      </w:r>
    </w:p>
    <w:p w:rsidR="004327C7" w:rsidRDefault="004327C7" w:rsidP="004327C7">
      <w:pPr>
        <w:pStyle w:val="CETReferencetext"/>
        <w:rPr>
          <w:lang w:val="en-ZW" w:eastAsia="en-ZW"/>
        </w:rPr>
      </w:pPr>
      <w:r w:rsidRPr="00D828A7">
        <w:rPr>
          <w:lang w:val="en-ZW" w:eastAsia="en-ZW"/>
        </w:rPr>
        <w:t>Golder Associates, Inc. 2009. Literature review of treatment technologies to remove selenium from mining influenced water. Report to Teck Coal Limited, Calgary, AB.</w:t>
      </w:r>
      <w:r w:rsidR="00D0230A" w:rsidRPr="00D828A7">
        <w:rPr>
          <w:lang w:val="en-ZW" w:eastAsia="en-ZW"/>
        </w:rPr>
        <w:t xml:space="preserve"> &lt;http://www.namc.org/docs/00057713.PDF&gt; accessed 24.07.2018</w:t>
      </w:r>
      <w:r w:rsidR="00197F85">
        <w:rPr>
          <w:lang w:val="en-ZW" w:eastAsia="en-ZW"/>
        </w:rPr>
        <w:t xml:space="preserve"> </w:t>
      </w:r>
    </w:p>
    <w:p w:rsidR="00C9621A" w:rsidRPr="00C9621A" w:rsidRDefault="00C9621A" w:rsidP="00C9621A">
      <w:pPr>
        <w:pStyle w:val="CETReferencetext"/>
        <w:rPr>
          <w:lang w:val="en-ZA"/>
        </w:rPr>
      </w:pPr>
      <w:r w:rsidRPr="00BE69ED">
        <w:rPr>
          <w:lang w:val="en-ZA"/>
        </w:rPr>
        <w:t>Ji</w:t>
      </w:r>
      <w:r>
        <w:rPr>
          <w:lang w:val="en-ZA"/>
        </w:rPr>
        <w:t xml:space="preserve"> </w:t>
      </w:r>
      <w:r w:rsidRPr="00BE69ED">
        <w:rPr>
          <w:lang w:val="en-ZA"/>
        </w:rPr>
        <w:t>Y., Y.-T</w:t>
      </w:r>
      <w:r>
        <w:rPr>
          <w:lang w:val="en-ZA"/>
        </w:rPr>
        <w:t xml:space="preserve">. </w:t>
      </w:r>
      <w:r w:rsidRPr="00BE69ED">
        <w:rPr>
          <w:lang w:val="en-ZA"/>
        </w:rPr>
        <w:t>Wang</w:t>
      </w:r>
      <w:r>
        <w:rPr>
          <w:lang w:val="en-ZA"/>
        </w:rPr>
        <w:t>.</w:t>
      </w:r>
      <w:r w:rsidRPr="00BE69ED">
        <w:rPr>
          <w:lang w:val="en-ZA"/>
        </w:rPr>
        <w:t>, 2017</w:t>
      </w:r>
      <w:r>
        <w:rPr>
          <w:lang w:val="en-ZA"/>
        </w:rPr>
        <w:t>,</w:t>
      </w:r>
      <w:r w:rsidRPr="00BE69ED">
        <w:rPr>
          <w:lang w:val="en-ZA"/>
        </w:rPr>
        <w:t xml:space="preserve"> Selenium Reduction by Batch Cultures of Escherichia coli Strain EWB32213. J. Environ. </w:t>
      </w:r>
      <w:proofErr w:type="spellStart"/>
      <w:r w:rsidRPr="00BE69ED">
        <w:rPr>
          <w:lang w:val="en-ZA"/>
        </w:rPr>
        <w:t>Eng</w:t>
      </w:r>
      <w:proofErr w:type="spellEnd"/>
      <w:r w:rsidRPr="00BE69ED">
        <w:rPr>
          <w:lang w:val="en-ZA"/>
        </w:rPr>
        <w:t>, 143(6), 04017009.</w:t>
      </w:r>
    </w:p>
    <w:p w:rsidR="004327C7" w:rsidRPr="00D828A7" w:rsidRDefault="004327C7" w:rsidP="004327C7">
      <w:pPr>
        <w:pStyle w:val="CETReferencetext"/>
        <w:rPr>
          <w:lang w:val="en-ZW" w:eastAsia="en-ZW"/>
        </w:rPr>
      </w:pPr>
      <w:r w:rsidRPr="00D828A7">
        <w:rPr>
          <w:lang w:val="en-ZW" w:eastAsia="en-ZW"/>
        </w:rPr>
        <w:t xml:space="preserve">Kagami T., Narita T., Kuroda, M., </w:t>
      </w:r>
      <w:proofErr w:type="spellStart"/>
      <w:r w:rsidRPr="00D828A7">
        <w:rPr>
          <w:lang w:val="en-ZW" w:eastAsia="en-ZW"/>
        </w:rPr>
        <w:t>Notaguchi</w:t>
      </w:r>
      <w:proofErr w:type="spellEnd"/>
      <w:r w:rsidRPr="00D828A7">
        <w:rPr>
          <w:lang w:val="en-ZW" w:eastAsia="en-ZW"/>
        </w:rPr>
        <w:t xml:space="preserve"> E., Yamashita M., Sei K., Soda S., Ike M., 2013, Effective selenium volatilization under aerobic conditions and recovery from the aqueous phase by Pseudomonas stutzeri NT-I, Water Res, 47, 1361-8.</w:t>
      </w:r>
    </w:p>
    <w:p w:rsidR="00BE16F3" w:rsidRPr="00D828A7" w:rsidRDefault="00BE16F3" w:rsidP="004327C7">
      <w:pPr>
        <w:pStyle w:val="CETReferencetext"/>
        <w:rPr>
          <w:lang w:val="en-ZW" w:eastAsia="en-ZW"/>
        </w:rPr>
      </w:pPr>
      <w:r w:rsidRPr="00D828A7">
        <w:rPr>
          <w:lang w:val="en-ZW" w:eastAsia="en-ZW"/>
        </w:rPr>
        <w:t>Kango N., 2010, Textbook of Microbiology. New Delhi, Bangalore, I. K. International Pvt Ltd, 152.</w:t>
      </w:r>
    </w:p>
    <w:p w:rsidR="004327C7" w:rsidRPr="00D828A7" w:rsidRDefault="004327C7" w:rsidP="004327C7">
      <w:pPr>
        <w:pStyle w:val="CETReferencetext"/>
        <w:rPr>
          <w:lang w:val="en-ZW" w:eastAsia="en-ZW"/>
        </w:rPr>
      </w:pPr>
      <w:r w:rsidRPr="00D828A7">
        <w:rPr>
          <w:lang w:val="en-ZW" w:eastAsia="en-ZW"/>
        </w:rPr>
        <w:t xml:space="preserve">Kuroda M., </w:t>
      </w:r>
      <w:proofErr w:type="spellStart"/>
      <w:r w:rsidRPr="00D828A7">
        <w:rPr>
          <w:lang w:val="en-ZW" w:eastAsia="en-ZW"/>
        </w:rPr>
        <w:t>Notaguchi</w:t>
      </w:r>
      <w:proofErr w:type="spellEnd"/>
      <w:r w:rsidRPr="00D828A7">
        <w:rPr>
          <w:lang w:val="en-ZW" w:eastAsia="en-ZW"/>
        </w:rPr>
        <w:t xml:space="preserve"> E., Sato A., Yoshioka M., Hasegawa A., Kagami T., Narita T., Yamashita M., Sei K., Soda S., Ike M., 2011, Characterization of Pseudomonas stutzeri NT-I capable of removing soluble selenium from the aqueous phase under aerobic conditions, Journal of Bioscience and Bioengineering, 112, 259-64.</w:t>
      </w:r>
    </w:p>
    <w:p w:rsidR="004327C7" w:rsidRPr="00D828A7" w:rsidRDefault="004327C7" w:rsidP="004327C7">
      <w:pPr>
        <w:pStyle w:val="CETReferencetext"/>
        <w:rPr>
          <w:lang w:val="en-ZW" w:eastAsia="en-ZW"/>
        </w:rPr>
      </w:pPr>
      <w:proofErr w:type="spellStart"/>
      <w:r w:rsidRPr="00D828A7">
        <w:rPr>
          <w:lang w:val="en-ZW" w:eastAsia="en-ZW"/>
        </w:rPr>
        <w:t>Lemly</w:t>
      </w:r>
      <w:proofErr w:type="spellEnd"/>
      <w:r w:rsidRPr="00D828A7">
        <w:rPr>
          <w:lang w:val="en-ZW" w:eastAsia="en-ZW"/>
        </w:rPr>
        <w:t xml:space="preserve"> A. D., 2004, Aquatic selenium pollution is a global environmental safety issue, </w:t>
      </w:r>
      <w:proofErr w:type="spellStart"/>
      <w:r w:rsidRPr="00D828A7">
        <w:rPr>
          <w:lang w:val="en-ZW" w:eastAsia="en-ZW"/>
        </w:rPr>
        <w:t>Ecotoxicol</w:t>
      </w:r>
      <w:proofErr w:type="spellEnd"/>
      <w:r w:rsidRPr="00D828A7">
        <w:rPr>
          <w:lang w:val="en-ZW" w:eastAsia="en-ZW"/>
        </w:rPr>
        <w:t xml:space="preserve"> Environ </w:t>
      </w:r>
      <w:proofErr w:type="spellStart"/>
      <w:r w:rsidRPr="00D828A7">
        <w:rPr>
          <w:lang w:val="en-ZW" w:eastAsia="en-ZW"/>
        </w:rPr>
        <w:t>Saf</w:t>
      </w:r>
      <w:proofErr w:type="spellEnd"/>
      <w:r w:rsidRPr="00D828A7">
        <w:rPr>
          <w:lang w:val="en-ZW" w:eastAsia="en-ZW"/>
        </w:rPr>
        <w:t>, 59, 44-56.</w:t>
      </w:r>
    </w:p>
    <w:p w:rsidR="004327C7" w:rsidRPr="00D828A7" w:rsidRDefault="004327C7" w:rsidP="004327C7">
      <w:pPr>
        <w:pStyle w:val="CETReferencetext"/>
        <w:rPr>
          <w:lang w:val="en-ZW" w:eastAsia="en-ZW"/>
        </w:rPr>
      </w:pPr>
      <w:r w:rsidRPr="00D828A7">
        <w:rPr>
          <w:lang w:val="en-ZW" w:eastAsia="en-ZW"/>
        </w:rPr>
        <w:t>Lenz M. &amp; Lens P. N., 2009, The essential toxin: the changing perception of selenium in environmental sciences, Sci Total Environ, 407, 3620-33.</w:t>
      </w:r>
    </w:p>
    <w:p w:rsidR="004327C7" w:rsidRPr="00D828A7" w:rsidRDefault="005B4DA2" w:rsidP="004327C7">
      <w:pPr>
        <w:pStyle w:val="CETReferencetext"/>
        <w:rPr>
          <w:lang w:val="en-ZW" w:eastAsia="en-ZW"/>
        </w:rPr>
      </w:pPr>
      <w:proofErr w:type="spellStart"/>
      <w:r w:rsidRPr="00D828A7">
        <w:rPr>
          <w:lang w:val="en-ZW" w:eastAsia="en-ZW"/>
        </w:rPr>
        <w:t>Lortie</w:t>
      </w:r>
      <w:proofErr w:type="spellEnd"/>
      <w:r w:rsidR="004327C7" w:rsidRPr="00D828A7">
        <w:rPr>
          <w:lang w:val="en-ZW" w:eastAsia="en-ZW"/>
        </w:rPr>
        <w:t xml:space="preserve"> L., Gould W. D., </w:t>
      </w:r>
      <w:proofErr w:type="spellStart"/>
      <w:r w:rsidR="004327C7" w:rsidRPr="00D828A7">
        <w:rPr>
          <w:lang w:val="en-ZW" w:eastAsia="en-ZW"/>
        </w:rPr>
        <w:t>Rajan</w:t>
      </w:r>
      <w:proofErr w:type="spellEnd"/>
      <w:r w:rsidR="004327C7" w:rsidRPr="00D828A7">
        <w:rPr>
          <w:lang w:val="en-ZW" w:eastAsia="en-ZW"/>
        </w:rPr>
        <w:t xml:space="preserve"> S., McCready R. G., Cheng K. J., 1992, Reduction of Selenate and Selenite to Elemental Selenium by a Pseudomonas stutzeri Isolate. </w:t>
      </w:r>
      <w:proofErr w:type="spellStart"/>
      <w:r w:rsidR="004327C7" w:rsidRPr="00D828A7">
        <w:rPr>
          <w:lang w:val="en-ZW" w:eastAsia="en-ZW"/>
        </w:rPr>
        <w:t>Appl</w:t>
      </w:r>
      <w:proofErr w:type="spellEnd"/>
      <w:r w:rsidR="004327C7" w:rsidRPr="00D828A7">
        <w:rPr>
          <w:lang w:val="en-ZW" w:eastAsia="en-ZW"/>
        </w:rPr>
        <w:t xml:space="preserve"> Environ </w:t>
      </w:r>
      <w:proofErr w:type="spellStart"/>
      <w:r w:rsidR="004327C7" w:rsidRPr="00D828A7">
        <w:rPr>
          <w:lang w:val="en-ZW" w:eastAsia="en-ZW"/>
        </w:rPr>
        <w:t>Microbiol</w:t>
      </w:r>
      <w:proofErr w:type="spellEnd"/>
      <w:r w:rsidR="004327C7" w:rsidRPr="00D828A7">
        <w:rPr>
          <w:lang w:val="en-ZW" w:eastAsia="en-ZW"/>
        </w:rPr>
        <w:t>, 58, 4042-4.</w:t>
      </w:r>
    </w:p>
    <w:p w:rsidR="004327C7" w:rsidRPr="00D828A7" w:rsidRDefault="004327C7" w:rsidP="004327C7">
      <w:pPr>
        <w:pStyle w:val="CETReferencetext"/>
        <w:rPr>
          <w:lang w:val="en-ZW" w:eastAsia="en-ZW"/>
        </w:rPr>
      </w:pPr>
      <w:bookmarkStart w:id="6" w:name="_Hlk5903568"/>
      <w:r w:rsidRPr="00D828A7">
        <w:rPr>
          <w:lang w:val="en-ZW" w:eastAsia="en-ZW"/>
        </w:rPr>
        <w:t>Roestorff M. &amp; Chirwa E.,</w:t>
      </w:r>
      <w:bookmarkEnd w:id="6"/>
      <w:r w:rsidRPr="00D828A7">
        <w:rPr>
          <w:lang w:val="en-ZW" w:eastAsia="en-ZW"/>
        </w:rPr>
        <w:t xml:space="preserve"> 2018, Bacterial Cr(VI) Reduction with Internal Carbon Recirculation Using Freshwater Algae as Primary Producers, Chemical Engineering Transactions, 64, 457-462.</w:t>
      </w:r>
    </w:p>
    <w:p w:rsidR="003F2BE8" w:rsidRPr="00D828A7" w:rsidRDefault="003F2BE8" w:rsidP="004327C7">
      <w:pPr>
        <w:pStyle w:val="CETReferencetext"/>
        <w:rPr>
          <w:lang w:val="en-ZW" w:eastAsia="en-ZW"/>
        </w:rPr>
      </w:pPr>
      <w:r w:rsidRPr="00D828A7">
        <w:rPr>
          <w:lang w:val="en-ZW" w:eastAsia="en-ZW"/>
        </w:rPr>
        <w:t xml:space="preserve">Wessels, C. E. &amp; Chirwa, E. M. N. 2017. Reduction of selenium by Pseudomonas Stutzeri NT-I: Growth, Reduction and Kinetics, J </w:t>
      </w:r>
      <w:proofErr w:type="spellStart"/>
      <w:r w:rsidRPr="00D828A7">
        <w:rPr>
          <w:lang w:val="en-ZW" w:eastAsia="en-ZW"/>
        </w:rPr>
        <w:t>bioremediat</w:t>
      </w:r>
      <w:proofErr w:type="spellEnd"/>
      <w:r w:rsidRPr="00D828A7">
        <w:rPr>
          <w:lang w:val="en-ZW" w:eastAsia="en-ZW"/>
        </w:rPr>
        <w:t xml:space="preserve"> biodegrade, 8: 391.</w:t>
      </w:r>
    </w:p>
    <w:sectPr w:rsidR="003F2BE8" w:rsidRPr="00D828A7"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899" w:rsidRDefault="007B5899" w:rsidP="004F5E36">
      <w:r>
        <w:separator/>
      </w:r>
    </w:p>
  </w:endnote>
  <w:endnote w:type="continuationSeparator" w:id="0">
    <w:p w:rsidR="007B5899" w:rsidRDefault="007B589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899" w:rsidRDefault="007B5899" w:rsidP="004F5E36">
      <w:r>
        <w:separator/>
      </w:r>
    </w:p>
  </w:footnote>
  <w:footnote w:type="continuationSeparator" w:id="0">
    <w:p w:rsidR="007B5899" w:rsidRDefault="007B589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947C52"/>
    <w:multiLevelType w:val="multilevel"/>
    <w:tmpl w:val="8C54D6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438217E"/>
    <w:multiLevelType w:val="multilevel"/>
    <w:tmpl w:val="F3D255B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9A26C8B"/>
    <w:multiLevelType w:val="multilevel"/>
    <w:tmpl w:val="56F69AEA"/>
    <w:lvl w:ilvl="0">
      <w:start w:val="2"/>
      <w:numFmt w:val="decimal"/>
      <w:lvlText w:val="%1"/>
      <w:lvlJc w:val="left"/>
      <w:pPr>
        <w:ind w:left="405" w:hanging="405"/>
      </w:pPr>
      <w:rPr>
        <w:rFonts w:hint="default"/>
        <w:b/>
        <w:color w:val="auto"/>
      </w:rPr>
    </w:lvl>
    <w:lvl w:ilvl="1">
      <w:start w:val="3"/>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9"/>
  </w:num>
  <w:num w:numId="15">
    <w:abstractNumId w:val="21"/>
  </w:num>
  <w:num w:numId="16">
    <w:abstractNumId w:val="20"/>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10"/>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5EA"/>
    <w:rsid w:val="00006ADA"/>
    <w:rsid w:val="00010F40"/>
    <w:rsid w:val="000117CB"/>
    <w:rsid w:val="00012A6F"/>
    <w:rsid w:val="00024B46"/>
    <w:rsid w:val="0003148D"/>
    <w:rsid w:val="00036775"/>
    <w:rsid w:val="00047D7F"/>
    <w:rsid w:val="00051566"/>
    <w:rsid w:val="00062A9A"/>
    <w:rsid w:val="00065058"/>
    <w:rsid w:val="00086C39"/>
    <w:rsid w:val="0009568E"/>
    <w:rsid w:val="000A03B2"/>
    <w:rsid w:val="000A3B79"/>
    <w:rsid w:val="000D1E7F"/>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F39"/>
    <w:rsid w:val="00164CF9"/>
    <w:rsid w:val="00182499"/>
    <w:rsid w:val="00184AD6"/>
    <w:rsid w:val="00197F85"/>
    <w:rsid w:val="001B0349"/>
    <w:rsid w:val="001B65C1"/>
    <w:rsid w:val="001C684B"/>
    <w:rsid w:val="001D142F"/>
    <w:rsid w:val="001D53FC"/>
    <w:rsid w:val="001F42A5"/>
    <w:rsid w:val="001F5639"/>
    <w:rsid w:val="001F7B9D"/>
    <w:rsid w:val="002022A2"/>
    <w:rsid w:val="00213810"/>
    <w:rsid w:val="002224B4"/>
    <w:rsid w:val="002447EF"/>
    <w:rsid w:val="00251550"/>
    <w:rsid w:val="00252C1A"/>
    <w:rsid w:val="00263B05"/>
    <w:rsid w:val="002704EC"/>
    <w:rsid w:val="00270F62"/>
    <w:rsid w:val="0027221A"/>
    <w:rsid w:val="00275B61"/>
    <w:rsid w:val="0027670A"/>
    <w:rsid w:val="00282656"/>
    <w:rsid w:val="0029591A"/>
    <w:rsid w:val="00296B83"/>
    <w:rsid w:val="002B78CE"/>
    <w:rsid w:val="002C2FB6"/>
    <w:rsid w:val="002D5BCD"/>
    <w:rsid w:val="003009B7"/>
    <w:rsid w:val="00300E56"/>
    <w:rsid w:val="00301D19"/>
    <w:rsid w:val="0030469C"/>
    <w:rsid w:val="0031129B"/>
    <w:rsid w:val="00321CA6"/>
    <w:rsid w:val="0033181B"/>
    <w:rsid w:val="00334C09"/>
    <w:rsid w:val="003365E3"/>
    <w:rsid w:val="003415BC"/>
    <w:rsid w:val="0035291A"/>
    <w:rsid w:val="003723D4"/>
    <w:rsid w:val="0037688A"/>
    <w:rsid w:val="003801C5"/>
    <w:rsid w:val="00384CC8"/>
    <w:rsid w:val="003871FD"/>
    <w:rsid w:val="00387F76"/>
    <w:rsid w:val="003A1E30"/>
    <w:rsid w:val="003A7D1C"/>
    <w:rsid w:val="003B0EDB"/>
    <w:rsid w:val="003B304B"/>
    <w:rsid w:val="003B3146"/>
    <w:rsid w:val="003B60F3"/>
    <w:rsid w:val="003B7F75"/>
    <w:rsid w:val="003C22B2"/>
    <w:rsid w:val="003D4AB8"/>
    <w:rsid w:val="003F015E"/>
    <w:rsid w:val="003F2BE8"/>
    <w:rsid w:val="00400414"/>
    <w:rsid w:val="004025B2"/>
    <w:rsid w:val="00412DC4"/>
    <w:rsid w:val="0041446B"/>
    <w:rsid w:val="004327C7"/>
    <w:rsid w:val="0044329C"/>
    <w:rsid w:val="004448E1"/>
    <w:rsid w:val="004577FE"/>
    <w:rsid w:val="00457B9C"/>
    <w:rsid w:val="0046164A"/>
    <w:rsid w:val="004628D2"/>
    <w:rsid w:val="00462DCD"/>
    <w:rsid w:val="004648AD"/>
    <w:rsid w:val="004703A9"/>
    <w:rsid w:val="004760DE"/>
    <w:rsid w:val="00476A94"/>
    <w:rsid w:val="00490093"/>
    <w:rsid w:val="004A004E"/>
    <w:rsid w:val="004A24CF"/>
    <w:rsid w:val="004A657E"/>
    <w:rsid w:val="004B6721"/>
    <w:rsid w:val="004C3D1D"/>
    <w:rsid w:val="004C7913"/>
    <w:rsid w:val="004E4DD6"/>
    <w:rsid w:val="004F5E36"/>
    <w:rsid w:val="005045F9"/>
    <w:rsid w:val="005065F3"/>
    <w:rsid w:val="00507B47"/>
    <w:rsid w:val="00507CC9"/>
    <w:rsid w:val="005119A5"/>
    <w:rsid w:val="005278B7"/>
    <w:rsid w:val="00532016"/>
    <w:rsid w:val="005346C8"/>
    <w:rsid w:val="00543E7D"/>
    <w:rsid w:val="00546B05"/>
    <w:rsid w:val="00547A68"/>
    <w:rsid w:val="005531C9"/>
    <w:rsid w:val="00583D23"/>
    <w:rsid w:val="00584454"/>
    <w:rsid w:val="005A0796"/>
    <w:rsid w:val="005A7347"/>
    <w:rsid w:val="005B2110"/>
    <w:rsid w:val="005B44B5"/>
    <w:rsid w:val="005B4DA2"/>
    <w:rsid w:val="005B6021"/>
    <w:rsid w:val="005B61E6"/>
    <w:rsid w:val="005C77E1"/>
    <w:rsid w:val="005D6A2F"/>
    <w:rsid w:val="005E1A82"/>
    <w:rsid w:val="005E794C"/>
    <w:rsid w:val="005F0A28"/>
    <w:rsid w:val="005F0E5E"/>
    <w:rsid w:val="005F1576"/>
    <w:rsid w:val="00600535"/>
    <w:rsid w:val="00603C55"/>
    <w:rsid w:val="00610CD6"/>
    <w:rsid w:val="00611150"/>
    <w:rsid w:val="00611AB3"/>
    <w:rsid w:val="00620DEE"/>
    <w:rsid w:val="00621F92"/>
    <w:rsid w:val="00625639"/>
    <w:rsid w:val="00631B33"/>
    <w:rsid w:val="0064184D"/>
    <w:rsid w:val="006422CC"/>
    <w:rsid w:val="00656D97"/>
    <w:rsid w:val="00657933"/>
    <w:rsid w:val="00660E3E"/>
    <w:rsid w:val="00662E74"/>
    <w:rsid w:val="0067457C"/>
    <w:rsid w:val="00680C23"/>
    <w:rsid w:val="00693766"/>
    <w:rsid w:val="006A3281"/>
    <w:rsid w:val="006B4888"/>
    <w:rsid w:val="006C1C6A"/>
    <w:rsid w:val="006C2E45"/>
    <w:rsid w:val="006C359C"/>
    <w:rsid w:val="006C5579"/>
    <w:rsid w:val="006E737D"/>
    <w:rsid w:val="0070195D"/>
    <w:rsid w:val="00702AD9"/>
    <w:rsid w:val="00720A24"/>
    <w:rsid w:val="00721896"/>
    <w:rsid w:val="00726F9A"/>
    <w:rsid w:val="00732386"/>
    <w:rsid w:val="0073579C"/>
    <w:rsid w:val="00736740"/>
    <w:rsid w:val="00743DBE"/>
    <w:rsid w:val="007447F3"/>
    <w:rsid w:val="0075499F"/>
    <w:rsid w:val="007661C8"/>
    <w:rsid w:val="0077098D"/>
    <w:rsid w:val="00780820"/>
    <w:rsid w:val="007835FE"/>
    <w:rsid w:val="007931FA"/>
    <w:rsid w:val="007A5DFE"/>
    <w:rsid w:val="007A7BBA"/>
    <w:rsid w:val="007B0C50"/>
    <w:rsid w:val="007B2E03"/>
    <w:rsid w:val="007B4A19"/>
    <w:rsid w:val="007B5899"/>
    <w:rsid w:val="007C1A43"/>
    <w:rsid w:val="007C27E3"/>
    <w:rsid w:val="007E01E1"/>
    <w:rsid w:val="007E1DC6"/>
    <w:rsid w:val="007E3046"/>
    <w:rsid w:val="007E4131"/>
    <w:rsid w:val="0080767E"/>
    <w:rsid w:val="008115F3"/>
    <w:rsid w:val="00813288"/>
    <w:rsid w:val="00814BB4"/>
    <w:rsid w:val="008168FC"/>
    <w:rsid w:val="00830996"/>
    <w:rsid w:val="008345F1"/>
    <w:rsid w:val="0084259C"/>
    <w:rsid w:val="00843CA7"/>
    <w:rsid w:val="00847BBD"/>
    <w:rsid w:val="00860FAC"/>
    <w:rsid w:val="00864A63"/>
    <w:rsid w:val="00865B07"/>
    <w:rsid w:val="008667EA"/>
    <w:rsid w:val="00871430"/>
    <w:rsid w:val="0087637F"/>
    <w:rsid w:val="008904B9"/>
    <w:rsid w:val="00892AD5"/>
    <w:rsid w:val="008A1512"/>
    <w:rsid w:val="008C78C1"/>
    <w:rsid w:val="008D1A40"/>
    <w:rsid w:val="008D23B8"/>
    <w:rsid w:val="008D32B9"/>
    <w:rsid w:val="008D433B"/>
    <w:rsid w:val="008E2507"/>
    <w:rsid w:val="008E566E"/>
    <w:rsid w:val="008E6F7F"/>
    <w:rsid w:val="0090161A"/>
    <w:rsid w:val="00901EB6"/>
    <w:rsid w:val="00904C62"/>
    <w:rsid w:val="0092078C"/>
    <w:rsid w:val="00922926"/>
    <w:rsid w:val="00924DAC"/>
    <w:rsid w:val="00927058"/>
    <w:rsid w:val="00937E47"/>
    <w:rsid w:val="009450CE"/>
    <w:rsid w:val="00947179"/>
    <w:rsid w:val="0095164B"/>
    <w:rsid w:val="00954090"/>
    <w:rsid w:val="009573E7"/>
    <w:rsid w:val="009635B9"/>
    <w:rsid w:val="00963E05"/>
    <w:rsid w:val="00964D23"/>
    <w:rsid w:val="00967D54"/>
    <w:rsid w:val="00996483"/>
    <w:rsid w:val="00996F5A"/>
    <w:rsid w:val="009A0A3E"/>
    <w:rsid w:val="009B041A"/>
    <w:rsid w:val="009C7C86"/>
    <w:rsid w:val="009D02D9"/>
    <w:rsid w:val="009D2FF7"/>
    <w:rsid w:val="009E7884"/>
    <w:rsid w:val="009E788A"/>
    <w:rsid w:val="009F0E08"/>
    <w:rsid w:val="00A13CE4"/>
    <w:rsid w:val="00A154B4"/>
    <w:rsid w:val="00A1763D"/>
    <w:rsid w:val="00A17CEC"/>
    <w:rsid w:val="00A27EF0"/>
    <w:rsid w:val="00A41CD3"/>
    <w:rsid w:val="00A44AE3"/>
    <w:rsid w:val="00A50B20"/>
    <w:rsid w:val="00A51390"/>
    <w:rsid w:val="00A60D13"/>
    <w:rsid w:val="00A62751"/>
    <w:rsid w:val="00A72745"/>
    <w:rsid w:val="00A76EFC"/>
    <w:rsid w:val="00A91010"/>
    <w:rsid w:val="00A96316"/>
    <w:rsid w:val="00A97F29"/>
    <w:rsid w:val="00AA2A06"/>
    <w:rsid w:val="00AA38FA"/>
    <w:rsid w:val="00AA702E"/>
    <w:rsid w:val="00AB0964"/>
    <w:rsid w:val="00AB5011"/>
    <w:rsid w:val="00AC1016"/>
    <w:rsid w:val="00AC7368"/>
    <w:rsid w:val="00AD16B9"/>
    <w:rsid w:val="00AD565D"/>
    <w:rsid w:val="00AE377D"/>
    <w:rsid w:val="00B03702"/>
    <w:rsid w:val="00B17FBD"/>
    <w:rsid w:val="00B222E3"/>
    <w:rsid w:val="00B315A6"/>
    <w:rsid w:val="00B31813"/>
    <w:rsid w:val="00B33365"/>
    <w:rsid w:val="00B37944"/>
    <w:rsid w:val="00B57B36"/>
    <w:rsid w:val="00B82B9A"/>
    <w:rsid w:val="00B860C5"/>
    <w:rsid w:val="00B861D1"/>
    <w:rsid w:val="00B8686D"/>
    <w:rsid w:val="00B87E9E"/>
    <w:rsid w:val="00BA56C8"/>
    <w:rsid w:val="00BA6900"/>
    <w:rsid w:val="00BC2FA7"/>
    <w:rsid w:val="00BC30C9"/>
    <w:rsid w:val="00BE16F3"/>
    <w:rsid w:val="00BE2739"/>
    <w:rsid w:val="00BE3E58"/>
    <w:rsid w:val="00C01616"/>
    <w:rsid w:val="00C0162B"/>
    <w:rsid w:val="00C142A4"/>
    <w:rsid w:val="00C345B1"/>
    <w:rsid w:val="00C40142"/>
    <w:rsid w:val="00C57182"/>
    <w:rsid w:val="00C57863"/>
    <w:rsid w:val="00C655FD"/>
    <w:rsid w:val="00C74FD1"/>
    <w:rsid w:val="00C77096"/>
    <w:rsid w:val="00C870A8"/>
    <w:rsid w:val="00C913F6"/>
    <w:rsid w:val="00C94434"/>
    <w:rsid w:val="00C9621A"/>
    <w:rsid w:val="00CA0D75"/>
    <w:rsid w:val="00CA1C95"/>
    <w:rsid w:val="00CA5A9C"/>
    <w:rsid w:val="00CD3517"/>
    <w:rsid w:val="00CD5A00"/>
    <w:rsid w:val="00CD5FE2"/>
    <w:rsid w:val="00CE5E7C"/>
    <w:rsid w:val="00CE7C68"/>
    <w:rsid w:val="00D0230A"/>
    <w:rsid w:val="00D02AA2"/>
    <w:rsid w:val="00D02B4C"/>
    <w:rsid w:val="00D040C4"/>
    <w:rsid w:val="00D22857"/>
    <w:rsid w:val="00D36B85"/>
    <w:rsid w:val="00D57C84"/>
    <w:rsid w:val="00D6057D"/>
    <w:rsid w:val="00D66BB3"/>
    <w:rsid w:val="00D828A7"/>
    <w:rsid w:val="00D84576"/>
    <w:rsid w:val="00D86D00"/>
    <w:rsid w:val="00DA1399"/>
    <w:rsid w:val="00DA24C6"/>
    <w:rsid w:val="00DA4D7B"/>
    <w:rsid w:val="00DE264A"/>
    <w:rsid w:val="00E02D18"/>
    <w:rsid w:val="00E041E7"/>
    <w:rsid w:val="00E073FD"/>
    <w:rsid w:val="00E17455"/>
    <w:rsid w:val="00E2263A"/>
    <w:rsid w:val="00E23CA1"/>
    <w:rsid w:val="00E409A8"/>
    <w:rsid w:val="00E50C12"/>
    <w:rsid w:val="00E60B2C"/>
    <w:rsid w:val="00E6366D"/>
    <w:rsid w:val="00E65B91"/>
    <w:rsid w:val="00E7209D"/>
    <w:rsid w:val="00E77223"/>
    <w:rsid w:val="00E8528B"/>
    <w:rsid w:val="00E85B94"/>
    <w:rsid w:val="00E91263"/>
    <w:rsid w:val="00E9235D"/>
    <w:rsid w:val="00E978D0"/>
    <w:rsid w:val="00EA4613"/>
    <w:rsid w:val="00EA7F91"/>
    <w:rsid w:val="00EB1523"/>
    <w:rsid w:val="00EC0E49"/>
    <w:rsid w:val="00ED39C1"/>
    <w:rsid w:val="00EE0131"/>
    <w:rsid w:val="00EE4B1A"/>
    <w:rsid w:val="00EF0F51"/>
    <w:rsid w:val="00EF7F06"/>
    <w:rsid w:val="00F155B2"/>
    <w:rsid w:val="00F17D2D"/>
    <w:rsid w:val="00F24C4A"/>
    <w:rsid w:val="00F30C64"/>
    <w:rsid w:val="00F32CDB"/>
    <w:rsid w:val="00F63A70"/>
    <w:rsid w:val="00F95207"/>
    <w:rsid w:val="00FA21D0"/>
    <w:rsid w:val="00FA5F5F"/>
    <w:rsid w:val="00FB4462"/>
    <w:rsid w:val="00FB4672"/>
    <w:rsid w:val="00FB730C"/>
    <w:rsid w:val="00FB7C45"/>
    <w:rsid w:val="00FC2695"/>
    <w:rsid w:val="00FC3E03"/>
    <w:rsid w:val="00FC3FC1"/>
    <w:rsid w:val="00FC6FFE"/>
    <w:rsid w:val="00FD723D"/>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3F16E"/>
  <w15:docId w15:val="{1EA2978D-48F5-4C94-B555-A468B9D1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ZA"/>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E4B1A"/>
    <w:pPr>
      <w:keepNext/>
      <w:numPr>
        <w:ilvl w:val="2"/>
        <w:numId w:val="1"/>
      </w:numPr>
      <w:suppressAutoHyphens/>
      <w:spacing w:before="120" w:after="120" w:line="240" w:lineRule="auto"/>
    </w:pPr>
    <w:rPr>
      <w:rFonts w:ascii="Arial" w:eastAsia="Times New Roman" w:hAnsi="Arial" w:cs="Arial"/>
      <w:b/>
      <w:sz w:val="18"/>
      <w:szCs w:val="18"/>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E4B1A"/>
    <w:rPr>
      <w:rFonts w:ascii="Arial" w:eastAsia="Times New Roman" w:hAnsi="Arial" w:cs="Arial"/>
      <w:b/>
      <w:sz w:val="18"/>
      <w:szCs w:val="18"/>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ListParagraph">
    <w:name w:val="List Paragraph"/>
    <w:basedOn w:val="Normal"/>
    <w:uiPriority w:val="34"/>
    <w:qFormat/>
    <w:rsid w:val="00D36B85"/>
    <w:pPr>
      <w:tabs>
        <w:tab w:val="clear" w:pos="7100"/>
      </w:tabs>
      <w:spacing w:after="200" w:line="276" w:lineRule="auto"/>
      <w:ind w:left="720"/>
      <w:contextualSpacing/>
      <w:jc w:val="left"/>
    </w:pPr>
    <w:rPr>
      <w:rFonts w:asciiTheme="minorHAnsi" w:eastAsiaTheme="minorHAnsi" w:hAnsiTheme="minorHAnsi" w:cstheme="minorBidi"/>
      <w:sz w:val="22"/>
      <w:szCs w:val="22"/>
      <w:lang w:val="en-ZW"/>
    </w:rPr>
  </w:style>
  <w:style w:type="character" w:styleId="UnresolvedMention">
    <w:name w:val="Unresolved Mention"/>
    <w:basedOn w:val="DefaultParagraphFont"/>
    <w:uiPriority w:val="99"/>
    <w:semiHidden/>
    <w:unhideWhenUsed/>
    <w:rsid w:val="00D02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9.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job\Desktop\MASTERS%20PROJECT\SELENIUM%20DOCUMENTS\I-CHEAP\ICheap%20spreadsheet-Tendenedz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Sheet2!$P$89</c:f>
              <c:strCache>
                <c:ptCount val="1"/>
                <c:pt idx="0">
                  <c:v>without N</c:v>
                </c:pt>
              </c:strCache>
            </c:strRef>
          </c:tx>
          <c:invertIfNegative val="0"/>
          <c:cat>
            <c:numRef>
              <c:f>Sheet2!$N$90:$N$94</c:f>
              <c:numCache>
                <c:formatCode>General</c:formatCode>
                <c:ptCount val="5"/>
                <c:pt idx="0">
                  <c:v>0.5</c:v>
                </c:pt>
                <c:pt idx="1">
                  <c:v>1</c:v>
                </c:pt>
                <c:pt idx="2">
                  <c:v>2</c:v>
                </c:pt>
                <c:pt idx="3">
                  <c:v>5</c:v>
                </c:pt>
                <c:pt idx="4">
                  <c:v>10</c:v>
                </c:pt>
              </c:numCache>
            </c:numRef>
          </c:cat>
          <c:val>
            <c:numRef>
              <c:f>Sheet2!$O$90:$O$94</c:f>
              <c:numCache>
                <c:formatCode>0.00</c:formatCode>
                <c:ptCount val="5"/>
                <c:pt idx="0">
                  <c:v>100</c:v>
                </c:pt>
                <c:pt idx="1">
                  <c:v>98.190164618689693</c:v>
                </c:pt>
                <c:pt idx="2">
                  <c:v>83.036084393852789</c:v>
                </c:pt>
                <c:pt idx="3">
                  <c:v>52.666419490605165</c:v>
                </c:pt>
                <c:pt idx="4">
                  <c:v>26.171478957520144</c:v>
                </c:pt>
              </c:numCache>
            </c:numRef>
          </c:val>
          <c:extLst>
            <c:ext xmlns:c16="http://schemas.microsoft.com/office/drawing/2014/chart" uri="{C3380CC4-5D6E-409C-BE32-E72D297353CC}">
              <c16:uniqueId val="{00000000-DFDF-4800-AA76-ADDC4B3E7D7B}"/>
            </c:ext>
          </c:extLst>
        </c:ser>
        <c:ser>
          <c:idx val="1"/>
          <c:order val="1"/>
          <c:tx>
            <c:strRef>
              <c:f>Sheet2!$O$89</c:f>
              <c:strCache>
                <c:ptCount val="1"/>
                <c:pt idx="0">
                  <c:v>with N</c:v>
                </c:pt>
              </c:strCache>
            </c:strRef>
          </c:tx>
          <c:invertIfNegative val="0"/>
          <c:cat>
            <c:numRef>
              <c:f>Sheet2!$N$90:$N$94</c:f>
              <c:numCache>
                <c:formatCode>General</c:formatCode>
                <c:ptCount val="5"/>
                <c:pt idx="0">
                  <c:v>0.5</c:v>
                </c:pt>
                <c:pt idx="1">
                  <c:v>1</c:v>
                </c:pt>
                <c:pt idx="2">
                  <c:v>2</c:v>
                </c:pt>
                <c:pt idx="3">
                  <c:v>5</c:v>
                </c:pt>
                <c:pt idx="4">
                  <c:v>10</c:v>
                </c:pt>
              </c:numCache>
            </c:numRef>
          </c:cat>
          <c:val>
            <c:numRef>
              <c:f>Sheet2!$P$90:$P$94</c:f>
              <c:numCache>
                <c:formatCode>0.00</c:formatCode>
                <c:ptCount val="5"/>
                <c:pt idx="0">
                  <c:v>100</c:v>
                </c:pt>
                <c:pt idx="1">
                  <c:v>99.41</c:v>
                </c:pt>
                <c:pt idx="2">
                  <c:v>88.04</c:v>
                </c:pt>
                <c:pt idx="3">
                  <c:v>55.55</c:v>
                </c:pt>
                <c:pt idx="4">
                  <c:v>39</c:v>
                </c:pt>
              </c:numCache>
            </c:numRef>
          </c:val>
          <c:extLst>
            <c:ext xmlns:c16="http://schemas.microsoft.com/office/drawing/2014/chart" uri="{C3380CC4-5D6E-409C-BE32-E72D297353CC}">
              <c16:uniqueId val="{00000001-DFDF-4800-AA76-ADDC4B3E7D7B}"/>
            </c:ext>
          </c:extLst>
        </c:ser>
        <c:dLbls>
          <c:showLegendKey val="0"/>
          <c:showVal val="0"/>
          <c:showCatName val="0"/>
          <c:showSerName val="0"/>
          <c:showPercent val="0"/>
          <c:showBubbleSize val="0"/>
        </c:dLbls>
        <c:gapWidth val="150"/>
        <c:axId val="215088128"/>
        <c:axId val="234693760"/>
      </c:barChart>
      <c:catAx>
        <c:axId val="215088128"/>
        <c:scaling>
          <c:orientation val="minMax"/>
        </c:scaling>
        <c:delete val="0"/>
        <c:axPos val="b"/>
        <c:title>
          <c:tx>
            <c:rich>
              <a:bodyPr/>
              <a:lstStyle/>
              <a:p>
                <a:pPr>
                  <a:defRPr b="1"/>
                </a:pPr>
                <a:r>
                  <a:rPr lang="en-ZA" sz="1000" b="1" i="0" u="none" strike="noStrike" baseline="0">
                    <a:effectLst/>
                  </a:rPr>
                  <a:t>SeO</a:t>
                </a:r>
                <a:r>
                  <a:rPr lang="en-ZA" sz="1000" b="1" i="0" u="none" strike="noStrike" baseline="-25000">
                    <a:effectLst/>
                  </a:rPr>
                  <a:t>3</a:t>
                </a:r>
                <a:r>
                  <a:rPr lang="en-ZA" sz="1000" b="1" i="0" u="none" strike="noStrike" baseline="30000">
                    <a:effectLst/>
                  </a:rPr>
                  <a:t>2-</a:t>
                </a:r>
                <a:r>
                  <a:rPr lang="en-ZW" b="1"/>
                  <a:t> Concentration (mM)</a:t>
                </a:r>
              </a:p>
            </c:rich>
          </c:tx>
          <c:overlay val="0"/>
        </c:title>
        <c:numFmt formatCode="General" sourceLinked="0"/>
        <c:majorTickMark val="in"/>
        <c:minorTickMark val="none"/>
        <c:tickLblPos val="nextTo"/>
        <c:spPr>
          <a:ln>
            <a:solidFill>
              <a:schemeClr val="tx1"/>
            </a:solidFill>
          </a:ln>
        </c:spPr>
        <c:txPr>
          <a:bodyPr/>
          <a:lstStyle/>
          <a:p>
            <a:pPr>
              <a:defRPr sz="1000" b="1"/>
            </a:pPr>
            <a:endParaRPr lang="en-US"/>
          </a:p>
        </c:txPr>
        <c:crossAx val="234693760"/>
        <c:crosses val="autoZero"/>
        <c:auto val="1"/>
        <c:lblAlgn val="ctr"/>
        <c:lblOffset val="100"/>
        <c:noMultiLvlLbl val="0"/>
      </c:catAx>
      <c:valAx>
        <c:axId val="234693760"/>
        <c:scaling>
          <c:orientation val="minMax"/>
          <c:max val="100"/>
        </c:scaling>
        <c:delete val="0"/>
        <c:axPos val="l"/>
        <c:title>
          <c:tx>
            <c:rich>
              <a:bodyPr rot="-5400000" vert="horz"/>
              <a:lstStyle/>
              <a:p>
                <a:pPr>
                  <a:defRPr sz="1000" b="1"/>
                </a:pPr>
                <a:r>
                  <a:rPr lang="en-US" sz="1000" b="1"/>
                  <a:t>Overall % reduction</a:t>
                </a:r>
              </a:p>
            </c:rich>
          </c:tx>
          <c:overlay val="0"/>
        </c:title>
        <c:numFmt formatCode="0" sourceLinked="0"/>
        <c:majorTickMark val="in"/>
        <c:minorTickMark val="none"/>
        <c:tickLblPos val="nextTo"/>
        <c:spPr>
          <a:ln>
            <a:solidFill>
              <a:schemeClr val="tx1"/>
            </a:solidFill>
          </a:ln>
        </c:spPr>
        <c:txPr>
          <a:bodyPr/>
          <a:lstStyle/>
          <a:p>
            <a:pPr>
              <a:defRPr sz="1000" b="1"/>
            </a:pPr>
            <a:endParaRPr lang="en-US"/>
          </a:p>
        </c:txPr>
        <c:crossAx val="215088128"/>
        <c:crosses val="autoZero"/>
        <c:crossBetween val="between"/>
      </c:valAx>
      <c:spPr>
        <a:ln>
          <a:solidFill>
            <a:schemeClr val="tx1"/>
          </a:solidFill>
        </a:ln>
      </c:spPr>
    </c:plotArea>
    <c:legend>
      <c:legendPos val="b"/>
      <c:layout>
        <c:manualLayout>
          <c:xMode val="edge"/>
          <c:yMode val="edge"/>
          <c:x val="0.31406249999999997"/>
          <c:y val="0.85609762321376492"/>
          <c:w val="0.47600981473407028"/>
          <c:h val="8.3717191601049873E-2"/>
        </c:manualLayout>
      </c:layout>
      <c:overlay val="0"/>
      <c:txPr>
        <a:bodyPr/>
        <a:lstStyle/>
        <a:p>
          <a:pPr>
            <a:defRPr sz="1000" b="1"/>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2628C-3CFD-4F77-8664-5EB9DE72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2802</Words>
  <Characters>15976</Characters>
  <Application>Microsoft Office Word</Application>
  <DocSecurity>0</DocSecurity>
  <Lines>133</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Dr. HG Brink</cp:lastModifiedBy>
  <cp:revision>2</cp:revision>
  <cp:lastPrinted>2019-04-11T20:20:00Z</cp:lastPrinted>
  <dcterms:created xsi:type="dcterms:W3CDTF">2019-04-15T11:40:00Z</dcterms:created>
  <dcterms:modified xsi:type="dcterms:W3CDTF">2019-04-15T11:40:00Z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