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66498D" w:rsidRPr="00B57B36">
        <w:trPr>
          <w:trHeight w:val="852"/>
          <w:jc w:val="center"/>
        </w:trPr>
        <w:tc>
          <w:tcPr>
            <w:tcW w:w="6946" w:type="dxa"/>
            <w:vMerge w:val="restart"/>
            <w:tcBorders>
              <w:right w:val="single" w:sz="4" w:space="0" w:color="auto"/>
            </w:tcBorders>
          </w:tcPr>
          <w:p w:rsidR="0066498D" w:rsidRPr="00B57B36" w:rsidRDefault="00F5490B"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ru-RU" w:eastAsia="ru-RU"/>
              </w:rPr>
              <w:drawing>
                <wp:inline distT="0" distB="0" distL="0" distR="0">
                  <wp:extent cx="625475" cy="368935"/>
                  <wp:effectExtent l="19050" t="0" r="3175"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srcRect/>
                          <a:stretch>
                            <a:fillRect/>
                          </a:stretch>
                        </pic:blipFill>
                        <pic:spPr bwMode="auto">
                          <a:xfrm>
                            <a:off x="0" y="0"/>
                            <a:ext cx="625475" cy="368935"/>
                          </a:xfrm>
                          <a:prstGeom prst="rect">
                            <a:avLst/>
                          </a:prstGeom>
                          <a:noFill/>
                          <a:ln w="9525">
                            <a:noFill/>
                            <a:miter lim="800000"/>
                            <a:headEnd/>
                            <a:tailEnd/>
                          </a:ln>
                        </pic:spPr>
                      </pic:pic>
                    </a:graphicData>
                  </a:graphic>
                </wp:inline>
              </w:drawing>
            </w:r>
            <w:r w:rsidR="0066498D" w:rsidRPr="00B57B36">
              <w:rPr>
                <w:rFonts w:ascii="AdvP6960" w:hAnsi="AdvP6960" w:cs="AdvP6960"/>
                <w:color w:val="241F20"/>
                <w:szCs w:val="18"/>
                <w:lang w:eastAsia="it-IT"/>
              </w:rPr>
              <w:t xml:space="preserve"> </w:t>
            </w:r>
            <w:r w:rsidR="0066498D" w:rsidRPr="00B57B36">
              <w:rPr>
                <w:rFonts w:cs="Arial"/>
                <w:b/>
                <w:bCs/>
                <w:i/>
                <w:iCs/>
                <w:color w:val="000066"/>
                <w:sz w:val="24"/>
                <w:szCs w:val="24"/>
                <w:lang w:eastAsia="it-IT"/>
              </w:rPr>
              <w:t>CHEMICAL ENGINEERING</w:t>
            </w:r>
            <w:r w:rsidR="0066498D" w:rsidRPr="00B57B36">
              <w:rPr>
                <w:rFonts w:cs="Arial"/>
                <w:b/>
                <w:bCs/>
                <w:i/>
                <w:iCs/>
                <w:color w:val="0033FF"/>
                <w:sz w:val="24"/>
                <w:szCs w:val="24"/>
                <w:lang w:eastAsia="it-IT"/>
              </w:rPr>
              <w:t xml:space="preserve"> </w:t>
            </w:r>
            <w:r w:rsidR="0066498D" w:rsidRPr="00B57B36">
              <w:rPr>
                <w:rFonts w:cs="Arial"/>
                <w:b/>
                <w:bCs/>
                <w:i/>
                <w:iCs/>
                <w:color w:val="666666"/>
                <w:sz w:val="24"/>
                <w:szCs w:val="24"/>
                <w:lang w:eastAsia="it-IT"/>
              </w:rPr>
              <w:t>TRANSACTIONS</w:t>
            </w:r>
            <w:r w:rsidR="0066498D" w:rsidRPr="00B57B36">
              <w:rPr>
                <w:color w:val="333333"/>
                <w:sz w:val="24"/>
                <w:szCs w:val="24"/>
                <w:lang w:eastAsia="it-IT"/>
              </w:rPr>
              <w:t xml:space="preserve"> </w:t>
            </w:r>
            <w:r w:rsidR="0066498D" w:rsidRPr="00B57B36">
              <w:rPr>
                <w:rFonts w:cs="Arial"/>
                <w:b/>
                <w:bCs/>
                <w:i/>
                <w:iCs/>
                <w:color w:val="000066"/>
                <w:sz w:val="27"/>
                <w:szCs w:val="27"/>
                <w:lang w:eastAsia="it-IT"/>
              </w:rPr>
              <w:br/>
            </w:r>
          </w:p>
          <w:p w:rsidR="0066498D" w:rsidRPr="00B57B36" w:rsidRDefault="0066498D"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rsidR="0066498D" w:rsidRPr="00B57B36" w:rsidRDefault="0066498D" w:rsidP="00CD5FE2">
            <w:pPr>
              <w:spacing w:line="140" w:lineRule="atLeast"/>
              <w:jc w:val="right"/>
              <w:rPr>
                <w:rFonts w:cs="Arial"/>
                <w:sz w:val="14"/>
                <w:szCs w:val="14"/>
              </w:rPr>
            </w:pPr>
            <w:r w:rsidRPr="00B57B36">
              <w:rPr>
                <w:rFonts w:cs="Arial"/>
                <w:sz w:val="14"/>
                <w:szCs w:val="14"/>
              </w:rPr>
              <w:t>A publication of</w:t>
            </w:r>
          </w:p>
          <w:p w:rsidR="0066498D" w:rsidRPr="00B57B36" w:rsidRDefault="00F5490B" w:rsidP="00CD5FE2">
            <w:pPr>
              <w:jc w:val="right"/>
            </w:pPr>
            <w:r>
              <w:rPr>
                <w:noProof/>
                <w:lang w:val="ru-RU" w:eastAsia="ru-RU"/>
              </w:rPr>
              <w:drawing>
                <wp:inline distT="0" distB="0" distL="0" distR="0">
                  <wp:extent cx="665480" cy="360680"/>
                  <wp:effectExtent l="19050" t="0" r="127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srcRect/>
                          <a:stretch>
                            <a:fillRect/>
                          </a:stretch>
                        </pic:blipFill>
                        <pic:spPr bwMode="auto">
                          <a:xfrm>
                            <a:off x="0" y="0"/>
                            <a:ext cx="665480" cy="360680"/>
                          </a:xfrm>
                          <a:prstGeom prst="rect">
                            <a:avLst/>
                          </a:prstGeom>
                          <a:noFill/>
                          <a:ln w="9525">
                            <a:noFill/>
                            <a:miter lim="800000"/>
                            <a:headEnd/>
                            <a:tailEnd/>
                          </a:ln>
                        </pic:spPr>
                      </pic:pic>
                    </a:graphicData>
                  </a:graphic>
                </wp:inline>
              </w:drawing>
            </w:r>
          </w:p>
        </w:tc>
      </w:tr>
      <w:tr w:rsidR="0066498D" w:rsidRPr="00B57B36">
        <w:trPr>
          <w:trHeight w:val="567"/>
          <w:jc w:val="center"/>
        </w:trPr>
        <w:tc>
          <w:tcPr>
            <w:tcW w:w="6946" w:type="dxa"/>
            <w:vMerge/>
            <w:tcBorders>
              <w:right w:val="single" w:sz="4" w:space="0" w:color="auto"/>
            </w:tcBorders>
          </w:tcPr>
          <w:p w:rsidR="0066498D" w:rsidRPr="00B57B36" w:rsidRDefault="0066498D" w:rsidP="00CD5FE2">
            <w:pPr>
              <w:tabs>
                <w:tab w:val="left" w:pos="-108"/>
              </w:tabs>
            </w:pPr>
          </w:p>
        </w:tc>
        <w:tc>
          <w:tcPr>
            <w:tcW w:w="1843" w:type="dxa"/>
            <w:tcBorders>
              <w:left w:val="single" w:sz="4" w:space="0" w:color="auto"/>
              <w:bottom w:val="nil"/>
              <w:right w:val="single" w:sz="4" w:space="0" w:color="auto"/>
            </w:tcBorders>
          </w:tcPr>
          <w:p w:rsidR="0066498D" w:rsidRPr="00B57B36" w:rsidRDefault="0066498D" w:rsidP="00CD5FE2">
            <w:pPr>
              <w:spacing w:line="140" w:lineRule="atLeast"/>
              <w:jc w:val="right"/>
              <w:rPr>
                <w:rFonts w:cs="Arial"/>
                <w:sz w:val="14"/>
                <w:szCs w:val="14"/>
              </w:rPr>
            </w:pPr>
            <w:r w:rsidRPr="00B57B36">
              <w:rPr>
                <w:rFonts w:cs="Arial"/>
                <w:sz w:val="14"/>
                <w:szCs w:val="14"/>
              </w:rPr>
              <w:t>The Italian Association</w:t>
            </w:r>
          </w:p>
          <w:p w:rsidR="0066498D" w:rsidRPr="00B57B36" w:rsidRDefault="0066498D" w:rsidP="00CD5FE2">
            <w:pPr>
              <w:spacing w:line="140" w:lineRule="atLeast"/>
              <w:jc w:val="right"/>
              <w:rPr>
                <w:rFonts w:cs="Arial"/>
                <w:sz w:val="14"/>
                <w:szCs w:val="14"/>
              </w:rPr>
            </w:pPr>
            <w:r w:rsidRPr="00B57B36">
              <w:rPr>
                <w:rFonts w:cs="Arial"/>
                <w:sz w:val="14"/>
                <w:szCs w:val="14"/>
              </w:rPr>
              <w:t>of Chemical Engineering</w:t>
            </w:r>
          </w:p>
          <w:p w:rsidR="0066498D" w:rsidRPr="00B57B36" w:rsidRDefault="0066498D" w:rsidP="00162642">
            <w:pPr>
              <w:spacing w:line="140" w:lineRule="atLeast"/>
              <w:jc w:val="right"/>
              <w:rPr>
                <w:rFonts w:cs="Arial"/>
                <w:sz w:val="14"/>
                <w:szCs w:val="14"/>
              </w:rPr>
            </w:pPr>
            <w:r w:rsidRPr="00B57B36">
              <w:rPr>
                <w:rFonts w:cs="Arial"/>
                <w:sz w:val="14"/>
                <w:szCs w:val="14"/>
              </w:rPr>
              <w:t xml:space="preserve">Online at </w:t>
            </w:r>
            <w:r>
              <w:rPr>
                <w:rFonts w:cs="Arial"/>
                <w:sz w:val="14"/>
                <w:szCs w:val="14"/>
              </w:rPr>
              <w:t>www.cetjournal.it</w:t>
            </w:r>
          </w:p>
        </w:tc>
      </w:tr>
      <w:tr w:rsidR="0066498D" w:rsidRPr="00B57B36">
        <w:trPr>
          <w:trHeight w:val="68"/>
          <w:jc w:val="center"/>
        </w:trPr>
        <w:tc>
          <w:tcPr>
            <w:tcW w:w="8789" w:type="dxa"/>
            <w:gridSpan w:val="2"/>
            <w:tcBorders>
              <w:bottom w:val="single" w:sz="4" w:space="0" w:color="auto"/>
            </w:tcBorders>
          </w:tcPr>
          <w:p w:rsidR="0066498D" w:rsidRPr="00252C1A" w:rsidRDefault="0066498D" w:rsidP="003365E3">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rsidR="0066498D" w:rsidRPr="00B57B36" w:rsidRDefault="0066498D" w:rsidP="00131FAB">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66498D" w:rsidRPr="00B57B36" w:rsidRDefault="0066498D" w:rsidP="000A03B2">
      <w:pPr>
        <w:pStyle w:val="CETAuthors"/>
        <w:sectPr w:rsidR="0066498D" w:rsidRPr="00B57B36">
          <w:type w:val="continuous"/>
          <w:pgSz w:w="11906" w:h="16838" w:code="9"/>
          <w:pgMar w:top="1701" w:right="1418" w:bottom="1701" w:left="1701" w:header="1701" w:footer="0" w:gutter="0"/>
          <w:cols w:space="708"/>
          <w:titlePg/>
          <w:docGrid w:linePitch="360"/>
        </w:sectPr>
      </w:pPr>
    </w:p>
    <w:p w:rsidR="0066498D" w:rsidRPr="00B57B36" w:rsidRDefault="0066498D" w:rsidP="00E978D0">
      <w:pPr>
        <w:pStyle w:val="CETTitle"/>
      </w:pPr>
      <w:r w:rsidRPr="00B23408">
        <w:lastRenderedPageBreak/>
        <w:t xml:space="preserve">Experimental </w:t>
      </w:r>
      <w:r>
        <w:t>R</w:t>
      </w:r>
      <w:r w:rsidRPr="00B23408">
        <w:t xml:space="preserve">esearch into the </w:t>
      </w:r>
      <w:r>
        <w:t>A</w:t>
      </w:r>
      <w:r w:rsidRPr="00B23408">
        <w:t xml:space="preserve">ntibiotic </w:t>
      </w:r>
      <w:r>
        <w:t>P</w:t>
      </w:r>
      <w:r w:rsidRPr="00B23408">
        <w:t xml:space="preserve">roperties of Chlorella </w:t>
      </w:r>
      <w:r>
        <w:t>V</w:t>
      </w:r>
      <w:r w:rsidRPr="00B23408">
        <w:t xml:space="preserve">ulgaris </w:t>
      </w:r>
      <w:r>
        <w:t>A</w:t>
      </w:r>
      <w:r w:rsidRPr="00B23408">
        <w:t xml:space="preserve">lgal </w:t>
      </w:r>
      <w:r>
        <w:t>E</w:t>
      </w:r>
      <w:r w:rsidRPr="00B23408">
        <w:t>xometabolites</w:t>
      </w:r>
    </w:p>
    <w:p w:rsidR="0066498D" w:rsidRPr="00B23408" w:rsidRDefault="0066498D" w:rsidP="00B23408">
      <w:pPr>
        <w:pStyle w:val="CETAuthors"/>
      </w:pPr>
      <w:r w:rsidRPr="00B23408">
        <w:t>Dmitry Dvoretsky</w:t>
      </w:r>
      <w:r>
        <w:t>*</w:t>
      </w:r>
      <w:r w:rsidRPr="00B23408">
        <w:t>, Stanislav Dvoretsky, Mikhail Temnov, Ilya Markin,            Evgeny Akulinin, Оleg Golubyatnikov, Yana Ustinskaya, Maria Eskova</w:t>
      </w:r>
    </w:p>
    <w:p w:rsidR="0066498D" w:rsidRPr="0032438A" w:rsidRDefault="0066498D" w:rsidP="00B23408">
      <w:pPr>
        <w:pStyle w:val="CETAddress"/>
        <w:rPr>
          <w:szCs w:val="16"/>
          <w:lang w:val="it-IT"/>
        </w:rPr>
      </w:pPr>
      <w:r w:rsidRPr="0032438A">
        <w:rPr>
          <w:szCs w:val="16"/>
          <w:lang w:val="ru-RU"/>
        </w:rPr>
        <w:t>Т</w:t>
      </w:r>
      <w:r w:rsidRPr="0032438A">
        <w:rPr>
          <w:szCs w:val="16"/>
        </w:rPr>
        <w:t xml:space="preserve">ambov State Technical University, ul. </w:t>
      </w:r>
      <w:r w:rsidRPr="0032438A">
        <w:rPr>
          <w:szCs w:val="16"/>
          <w:lang w:val="it-IT"/>
        </w:rPr>
        <w:t>Sovetskaya 106, Tambov 392000, Russia</w:t>
      </w:r>
    </w:p>
    <w:p w:rsidR="0066498D" w:rsidRPr="004D58A8" w:rsidRDefault="0066498D" w:rsidP="00B23408">
      <w:pPr>
        <w:pStyle w:val="CETemail"/>
      </w:pPr>
      <w:r w:rsidRPr="004D58A8">
        <w:t>dvoretsky@tambov.ru</w:t>
      </w:r>
    </w:p>
    <w:p w:rsidR="0066498D" w:rsidRPr="00A50640" w:rsidRDefault="0066498D" w:rsidP="00600535">
      <w:pPr>
        <w:pStyle w:val="CETBodytext"/>
      </w:pPr>
      <w:r w:rsidRPr="00CC5CCC">
        <w:t xml:space="preserve">An experimental research </w:t>
      </w:r>
      <w:r>
        <w:t>into</w:t>
      </w:r>
      <w:r w:rsidRPr="00CC5CCC">
        <w:t xml:space="preserve"> the antibiotic properties of </w:t>
      </w:r>
      <w:r w:rsidRPr="00CC5CCC">
        <w:rPr>
          <w:i/>
        </w:rPr>
        <w:t xml:space="preserve">Chlorella vulgaris </w:t>
      </w:r>
      <w:proofErr w:type="spellStart"/>
      <w:r w:rsidRPr="00CC5CCC">
        <w:rPr>
          <w:i/>
        </w:rPr>
        <w:t>Beijer</w:t>
      </w:r>
      <w:proofErr w:type="spellEnd"/>
      <w:r w:rsidRPr="00CC5CCC">
        <w:t xml:space="preserve"> IPPAS C-2 microalgae exometab</w:t>
      </w:r>
      <w:r>
        <w:t>olites under different cultivation</w:t>
      </w:r>
      <w:r w:rsidRPr="00CC5CCC">
        <w:t xml:space="preserve"> conditions was carried out. It has been established that the inhibitory effect </w:t>
      </w:r>
      <w:r w:rsidRPr="00172261">
        <w:t xml:space="preserve">of </w:t>
      </w:r>
      <w:r w:rsidR="00003474" w:rsidRPr="00172261">
        <w:t>triglycerides</w:t>
      </w:r>
      <w:r w:rsidRPr="00172261">
        <w:t xml:space="preserve">, </w:t>
      </w:r>
      <w:r w:rsidR="00003474" w:rsidRPr="00172261">
        <w:t>O-</w:t>
      </w:r>
      <w:proofErr w:type="spellStart"/>
      <w:r w:rsidR="00003474" w:rsidRPr="00172261">
        <w:t>dialkyl</w:t>
      </w:r>
      <w:proofErr w:type="spellEnd"/>
      <w:r w:rsidR="00003474" w:rsidRPr="00172261">
        <w:t xml:space="preserve"> </w:t>
      </w:r>
      <w:proofErr w:type="spellStart"/>
      <w:r w:rsidR="00003474" w:rsidRPr="00172261">
        <w:t>monoglycerides</w:t>
      </w:r>
      <w:proofErr w:type="spellEnd"/>
      <w:r w:rsidRPr="00172261">
        <w:t>, fatty acids, O-</w:t>
      </w:r>
      <w:proofErr w:type="spellStart"/>
      <w:r w:rsidRPr="00172261">
        <w:t>dialkyl</w:t>
      </w:r>
      <w:proofErr w:type="spellEnd"/>
      <w:r w:rsidRPr="00172261">
        <w:t xml:space="preserve"> glycerol esters </w:t>
      </w:r>
      <w:r w:rsidR="00B550B0" w:rsidRPr="00172261">
        <w:t>and long-chain alcohols</w:t>
      </w:r>
      <w:r w:rsidR="00B550B0" w:rsidRPr="00CC5CCC">
        <w:t xml:space="preserve"> </w:t>
      </w:r>
      <w:r w:rsidRPr="00CC5CCC">
        <w:t xml:space="preserve">on the microflora of wastewater is highly dependent on the intensity and time of </w:t>
      </w:r>
      <w:r>
        <w:t>illumination</w:t>
      </w:r>
      <w:r w:rsidRPr="00CC5CCC">
        <w:t>. The antibiotic effect of non-polar substances</w:t>
      </w:r>
      <w:r w:rsidR="00615E13" w:rsidRPr="00615E13">
        <w:t xml:space="preserve"> </w:t>
      </w:r>
      <w:r w:rsidRPr="00CC5CCC">
        <w:t>-</w:t>
      </w:r>
      <w:r w:rsidR="00615E13" w:rsidRPr="00615E13">
        <w:t xml:space="preserve"> </w:t>
      </w:r>
      <w:proofErr w:type="spellStart"/>
      <w:r w:rsidRPr="00CC5CCC">
        <w:t>exometabolites</w:t>
      </w:r>
      <w:proofErr w:type="spellEnd"/>
      <w:r w:rsidRPr="00CC5CCC">
        <w:t xml:space="preserve"> of microalgae of lipid nature varies depending on the intensity and time of illumination.</w:t>
      </w:r>
    </w:p>
    <w:p w:rsidR="0066498D" w:rsidRPr="00B57B36" w:rsidRDefault="0066498D" w:rsidP="00600535">
      <w:pPr>
        <w:pStyle w:val="CETHeading1"/>
        <w:rPr>
          <w:lang w:val="en-GB"/>
        </w:rPr>
      </w:pPr>
      <w:r w:rsidRPr="00B57B36">
        <w:rPr>
          <w:lang w:val="en-GB"/>
        </w:rPr>
        <w:t>Introduction</w:t>
      </w:r>
    </w:p>
    <w:p w:rsidR="00172261" w:rsidRPr="00172261" w:rsidRDefault="00172261" w:rsidP="00172261">
      <w:r w:rsidRPr="00172261">
        <w:t xml:space="preserve">The search for ways to reduce the cost of microalgae biomass and to solve the problem of creating sustainable industrial production of microalgae biomass in the last decade has been the focus of attention of researchers around the world (Ma et al., 2018). However, Richardson et al. (2014) have shown that, to date, no cultivation system is economically viable. The use of wastewater for the cultivation of microalgae, despite the difficulties caused by the negative effects of the microflora present in it, is a promising direction for reducing the cost of microalgae biomass. According to a report published by the United Nations in 2017, only 20 per cent of wastewater is treated, while the remaining 80 per cent is discharged into the environment </w:t>
      </w:r>
      <w:proofErr w:type="gramStart"/>
      <w:r w:rsidRPr="00172261">
        <w:t>without</w:t>
      </w:r>
      <w:proofErr w:type="gramEnd"/>
      <w:r w:rsidRPr="00172261">
        <w:t xml:space="preserve"> pre-treatment, thus causing serious harm (WWAP, 2017). Creating technologies for the integrated use of microalgae to provide humans with valuable renewable feedstock, as well as to </w:t>
      </w:r>
      <w:r>
        <w:t>purify</w:t>
      </w:r>
      <w:r w:rsidRPr="00172261">
        <w:t xml:space="preserve"> wastewater could be a potentially attractive approach to address these problems.</w:t>
      </w:r>
    </w:p>
    <w:p w:rsidR="00172261" w:rsidRPr="00172261" w:rsidRDefault="00172261" w:rsidP="00172261">
      <w:r w:rsidRPr="00172261">
        <w:t xml:space="preserve">One of the problems in the industrial-scale cultivation of microalgae is the degeneration of strains from contaminants in </w:t>
      </w:r>
      <w:proofErr w:type="spellStart"/>
      <w:r w:rsidRPr="00172261">
        <w:t>photobioreactors</w:t>
      </w:r>
      <w:proofErr w:type="spellEnd"/>
      <w:r w:rsidRPr="00172261">
        <w:t xml:space="preserve"> (Roux et al., 2017)</w:t>
      </w:r>
      <w:r w:rsidR="00615E13">
        <w:t xml:space="preserve">. One of the useful properties </w:t>
      </w:r>
      <w:r w:rsidRPr="00172261">
        <w:t xml:space="preserve">of some microalgae species is their ability to produce substances exhibiting antibiotic </w:t>
      </w:r>
      <w:r w:rsidR="00615E13">
        <w:rPr>
          <w:lang w:val="en-US"/>
        </w:rPr>
        <w:t>effect</w:t>
      </w:r>
      <w:r w:rsidR="00074D56" w:rsidRPr="00074D56">
        <w:rPr>
          <w:lang w:val="en-US"/>
        </w:rPr>
        <w:t xml:space="preserve"> </w:t>
      </w:r>
      <w:r w:rsidR="00074D56" w:rsidRPr="00172261">
        <w:t>(</w:t>
      </w:r>
      <w:proofErr w:type="spellStart"/>
      <w:r w:rsidR="00074D56" w:rsidRPr="00172261">
        <w:t>Amaro</w:t>
      </w:r>
      <w:proofErr w:type="spellEnd"/>
      <w:r w:rsidR="00074D56" w:rsidRPr="00172261">
        <w:t xml:space="preserve"> et al., 2011)</w:t>
      </w:r>
      <w:r w:rsidRPr="00172261">
        <w:t xml:space="preserve">. </w:t>
      </w:r>
    </w:p>
    <w:p w:rsidR="00172261" w:rsidRPr="00172261" w:rsidRDefault="00172261" w:rsidP="00172261">
      <w:r w:rsidRPr="00172261">
        <w:t xml:space="preserve">Pratt et al. (1944) noticed the ability of microalgae to release antibiotic agents in the course of their life activity. It was found that microalgae </w:t>
      </w:r>
      <w:r w:rsidRPr="00615E13">
        <w:rPr>
          <w:i/>
        </w:rPr>
        <w:t>Chlorella vulgaris</w:t>
      </w:r>
      <w:r w:rsidRPr="00172261">
        <w:t xml:space="preserve"> and </w:t>
      </w:r>
      <w:r w:rsidRPr="00615E13">
        <w:rPr>
          <w:i/>
        </w:rPr>
        <w:t xml:space="preserve">Chlorella </w:t>
      </w:r>
      <w:proofErr w:type="spellStart"/>
      <w:r w:rsidRPr="00615E13">
        <w:rPr>
          <w:i/>
        </w:rPr>
        <w:t>pyrenoidosa</w:t>
      </w:r>
      <w:proofErr w:type="spellEnd"/>
      <w:r w:rsidRPr="00172261">
        <w:t xml:space="preserve"> exhibit antibiotic properties against Gram-positive and Gram-negative organisms such as </w:t>
      </w:r>
      <w:r w:rsidRPr="00615E13">
        <w:rPr>
          <w:i/>
        </w:rPr>
        <w:t>Staphylococcus aureus</w:t>
      </w:r>
      <w:r w:rsidRPr="00172261">
        <w:t xml:space="preserve">, </w:t>
      </w:r>
      <w:r w:rsidRPr="00615E13">
        <w:rPr>
          <w:i/>
        </w:rPr>
        <w:t>Streptococcus pyogenes</w:t>
      </w:r>
      <w:r w:rsidRPr="00172261">
        <w:t xml:space="preserve"> (scarlet fever agents), </w:t>
      </w:r>
      <w:r w:rsidRPr="00615E13">
        <w:rPr>
          <w:i/>
        </w:rPr>
        <w:t>Bacillus subtilis</w:t>
      </w:r>
      <w:r w:rsidRPr="00172261">
        <w:t xml:space="preserve"> (hay bacterium), </w:t>
      </w:r>
      <w:r w:rsidRPr="00615E13">
        <w:rPr>
          <w:i/>
        </w:rPr>
        <w:t>Bacterium coli</w:t>
      </w:r>
      <w:r w:rsidRPr="00172261">
        <w:t xml:space="preserve"> and </w:t>
      </w:r>
      <w:r w:rsidRPr="00615E13">
        <w:rPr>
          <w:i/>
        </w:rPr>
        <w:t xml:space="preserve">Pseudomonas </w:t>
      </w:r>
      <w:proofErr w:type="spellStart"/>
      <w:r w:rsidRPr="00615E13">
        <w:rPr>
          <w:i/>
        </w:rPr>
        <w:t>pyocyanea</w:t>
      </w:r>
      <w:proofErr w:type="spellEnd"/>
      <w:r w:rsidRPr="00172261">
        <w:t xml:space="preserve"> (</w:t>
      </w:r>
      <w:r w:rsidRPr="00615E13">
        <w:rPr>
          <w:i/>
        </w:rPr>
        <w:t>Ps. aeruginosa</w:t>
      </w:r>
      <w:r w:rsidRPr="00172261">
        <w:t>, or blue pus bacillus). It was also established that the appearance of antibacterial properties depended on illuminance.</w:t>
      </w:r>
    </w:p>
    <w:p w:rsidR="00172261" w:rsidRPr="00172261" w:rsidRDefault="00172261" w:rsidP="00172261">
      <w:r w:rsidRPr="00172261">
        <w:t xml:space="preserve">Bacteriostatic effect of </w:t>
      </w:r>
      <w:r>
        <w:t>culture</w:t>
      </w:r>
      <w:r w:rsidRPr="00172261">
        <w:t xml:space="preserve"> fluid after cultivation of algae </w:t>
      </w:r>
      <w:proofErr w:type="spellStart"/>
      <w:r w:rsidRPr="00615E13">
        <w:rPr>
          <w:i/>
        </w:rPr>
        <w:t>Scenedesmus</w:t>
      </w:r>
      <w:proofErr w:type="spellEnd"/>
      <w:r w:rsidRPr="00615E13">
        <w:rPr>
          <w:i/>
        </w:rPr>
        <w:t xml:space="preserve"> </w:t>
      </w:r>
      <w:proofErr w:type="spellStart"/>
      <w:r w:rsidRPr="00615E13">
        <w:rPr>
          <w:i/>
        </w:rPr>
        <w:t>obligus</w:t>
      </w:r>
      <w:proofErr w:type="spellEnd"/>
      <w:r w:rsidRPr="00172261">
        <w:t xml:space="preserve">, </w:t>
      </w:r>
      <w:proofErr w:type="spellStart"/>
      <w:r w:rsidRPr="00615E13">
        <w:rPr>
          <w:i/>
        </w:rPr>
        <w:t>Scenedesmus</w:t>
      </w:r>
      <w:proofErr w:type="spellEnd"/>
      <w:r w:rsidRPr="00615E13">
        <w:rPr>
          <w:i/>
        </w:rPr>
        <w:t xml:space="preserve"> </w:t>
      </w:r>
      <w:proofErr w:type="spellStart"/>
      <w:r w:rsidRPr="00615E13">
        <w:rPr>
          <w:i/>
        </w:rPr>
        <w:t>quadricauda</w:t>
      </w:r>
      <w:proofErr w:type="spellEnd"/>
      <w:r w:rsidRPr="00172261">
        <w:t xml:space="preserve"> and </w:t>
      </w:r>
      <w:r w:rsidRPr="00615E13">
        <w:rPr>
          <w:i/>
        </w:rPr>
        <w:t>Chlorella vulgaris</w:t>
      </w:r>
      <w:r w:rsidRPr="00172261">
        <w:t xml:space="preserve"> on the growth of opportunistic pathogenic microflora </w:t>
      </w:r>
      <w:r w:rsidRPr="00615E13">
        <w:rPr>
          <w:i/>
        </w:rPr>
        <w:t>Staphylococcus aureus</w:t>
      </w:r>
      <w:r w:rsidRPr="00172261">
        <w:t xml:space="preserve">, </w:t>
      </w:r>
      <w:proofErr w:type="spellStart"/>
      <w:r w:rsidRPr="00615E13">
        <w:rPr>
          <w:i/>
        </w:rPr>
        <w:t>Citrobacter</w:t>
      </w:r>
      <w:proofErr w:type="spellEnd"/>
      <w:r w:rsidRPr="00615E13">
        <w:rPr>
          <w:i/>
        </w:rPr>
        <w:t xml:space="preserve"> sp.</w:t>
      </w:r>
      <w:r w:rsidRPr="00172261">
        <w:t xml:space="preserve">, </w:t>
      </w:r>
      <w:r w:rsidRPr="00615E13">
        <w:rPr>
          <w:i/>
        </w:rPr>
        <w:t>Pseudomonas sp.</w:t>
      </w:r>
      <w:r w:rsidRPr="00172261">
        <w:t xml:space="preserve">, </w:t>
      </w:r>
      <w:proofErr w:type="spellStart"/>
      <w:r w:rsidRPr="00615E13">
        <w:rPr>
          <w:i/>
        </w:rPr>
        <w:t>Klebsiella</w:t>
      </w:r>
      <w:proofErr w:type="spellEnd"/>
      <w:r w:rsidRPr="00615E13">
        <w:rPr>
          <w:i/>
        </w:rPr>
        <w:t xml:space="preserve"> sp.</w:t>
      </w:r>
      <w:r w:rsidRPr="00172261">
        <w:t xml:space="preserve"> was documented in </w:t>
      </w:r>
      <w:proofErr w:type="spellStart"/>
      <w:r w:rsidRPr="00172261">
        <w:t>Maksimova</w:t>
      </w:r>
      <w:proofErr w:type="spellEnd"/>
      <w:r w:rsidRPr="00172261">
        <w:t xml:space="preserve"> and </w:t>
      </w:r>
      <w:proofErr w:type="spellStart"/>
      <w:r w:rsidRPr="00172261">
        <w:t>Sidorova</w:t>
      </w:r>
      <w:proofErr w:type="spellEnd"/>
      <w:r w:rsidRPr="00172261">
        <w:t xml:space="preserve"> (1986), </w:t>
      </w:r>
      <w:proofErr w:type="spellStart"/>
      <w:r w:rsidRPr="00172261">
        <w:t>Zenova</w:t>
      </w:r>
      <w:proofErr w:type="spellEnd"/>
      <w:r w:rsidRPr="00172261">
        <w:t xml:space="preserve"> et al. (1995), Goldin and </w:t>
      </w:r>
      <w:proofErr w:type="spellStart"/>
      <w:r w:rsidRPr="00172261">
        <w:t>Goldina</w:t>
      </w:r>
      <w:proofErr w:type="spellEnd"/>
      <w:r w:rsidRPr="00172261">
        <w:t xml:space="preserve"> (1999).</w:t>
      </w:r>
    </w:p>
    <w:p w:rsidR="00172261" w:rsidRPr="00310EE7" w:rsidRDefault="00172261" w:rsidP="00172261">
      <w:proofErr w:type="spellStart"/>
      <w:r w:rsidRPr="00310EE7">
        <w:t>Ghasemi</w:t>
      </w:r>
      <w:proofErr w:type="spellEnd"/>
      <w:r w:rsidRPr="00310EE7">
        <w:t xml:space="preserve"> et al. (2007) studied the antibacterial activity of </w:t>
      </w:r>
      <w:r w:rsidRPr="00615E13">
        <w:rPr>
          <w:i/>
        </w:rPr>
        <w:t>Chlorella vulgaris</w:t>
      </w:r>
      <w:r w:rsidRPr="00310EE7">
        <w:t xml:space="preserve"> microalgae extracted from soil samples taken from rice fields in Iran. Analysis of the results of the study showed that supernatant and </w:t>
      </w:r>
      <w:proofErr w:type="spellStart"/>
      <w:r w:rsidRPr="00310EE7">
        <w:t>methanolic</w:t>
      </w:r>
      <w:proofErr w:type="spellEnd"/>
      <w:r w:rsidRPr="00310EE7">
        <w:t xml:space="preserve"> extract from biomass of </w:t>
      </w:r>
      <w:r w:rsidRPr="00615E13">
        <w:rPr>
          <w:i/>
        </w:rPr>
        <w:t>Chlorella vulgaris</w:t>
      </w:r>
      <w:r w:rsidRPr="00310EE7">
        <w:t xml:space="preserve"> showed high activity against Gram-positive bacteria, but antibiotic activity against Gram-negative bacteria was insignificant, which could be explained by the fact that the cell wall of these bacteria has a more complex multi-layered structure, which makes it difficult for antibiotic substances to penetrate into the cell.</w:t>
      </w:r>
    </w:p>
    <w:p w:rsidR="00172261" w:rsidRPr="00172261" w:rsidRDefault="00172261" w:rsidP="00172261">
      <w:r w:rsidRPr="00172261">
        <w:lastRenderedPageBreak/>
        <w:t xml:space="preserve">In their review, </w:t>
      </w:r>
      <w:proofErr w:type="spellStart"/>
      <w:r w:rsidRPr="00172261">
        <w:t>Amaro</w:t>
      </w:r>
      <w:proofErr w:type="spellEnd"/>
      <w:r w:rsidRPr="00172261">
        <w:t xml:space="preserve"> et al. (2011) noted that the substances that cause antimicrobial activity of microalgae pertain to such classes of compounds as indoles, terpenes, </w:t>
      </w:r>
      <w:proofErr w:type="spellStart"/>
      <w:r w:rsidRPr="00172261">
        <w:t>acetogenins</w:t>
      </w:r>
      <w:proofErr w:type="spellEnd"/>
      <w:r w:rsidRPr="00172261">
        <w:t>, phenols, fatty acids, and volatile halogen hydrocarbons.</w:t>
      </w:r>
    </w:p>
    <w:p w:rsidR="00172261" w:rsidRPr="00172261" w:rsidRDefault="00172261" w:rsidP="00172261">
      <w:r w:rsidRPr="00172261">
        <w:t xml:space="preserve">Ward and Singh (2005) found that microalgae exometabolites inhibit the development of Gram-positive pathogenic bacteria and this action is associated with the presence of polyunsaturated fatty acids (eicosapentaenoic and </w:t>
      </w:r>
      <w:proofErr w:type="spellStart"/>
      <w:r w:rsidRPr="00172261">
        <w:t>hexadecatrienic</w:t>
      </w:r>
      <w:proofErr w:type="spellEnd"/>
      <w:r w:rsidRPr="00172261">
        <w:t xml:space="preserve"> acids) in the culture fluid. The exact mechanisms of action of fatty acids remain unknown. </w:t>
      </w:r>
      <w:proofErr w:type="spellStart"/>
      <w:r w:rsidRPr="00172261">
        <w:t>Desbois</w:t>
      </w:r>
      <w:proofErr w:type="spellEnd"/>
      <w:r w:rsidRPr="00172261">
        <w:t xml:space="preserve"> et al. (2009) suggest that fatty acids are directly related to the </w:t>
      </w:r>
      <w:proofErr w:type="spellStart"/>
      <w:r w:rsidRPr="00172261">
        <w:t>peroxidative</w:t>
      </w:r>
      <w:proofErr w:type="spellEnd"/>
      <w:r w:rsidRPr="00172261">
        <w:t xml:space="preserve"> process, causing the mitochondria to age and disrupting the respiratory chain. The degree of antibacterial properties depends on the length of the carbon chain and the level of their unsaturation.</w:t>
      </w:r>
    </w:p>
    <w:p w:rsidR="00172261" w:rsidRPr="00172261" w:rsidRDefault="00172261" w:rsidP="00172261">
      <w:r w:rsidRPr="00172261">
        <w:t xml:space="preserve">It can be concluded that the influence of microalgae cultivation conditions on the chemical composition of the culture fluid and its effect on the life activity of symbiotic associations of opportunistic and pathogenic microorganisms has not been sufficiently studied. Microalgae of the genus </w:t>
      </w:r>
      <w:r w:rsidRPr="00753FFB">
        <w:rPr>
          <w:i/>
        </w:rPr>
        <w:t>Chlorella vulgaris</w:t>
      </w:r>
      <w:r w:rsidRPr="00172261">
        <w:t xml:space="preserve"> were chosen for the study, as they have one of the best indicators of adaptation to adverse conditions of cultivation and rate of biomass accumulation.</w:t>
      </w:r>
    </w:p>
    <w:p w:rsidR="00172261" w:rsidRPr="00172261" w:rsidRDefault="00172261" w:rsidP="00172261">
      <w:r w:rsidRPr="00172261">
        <w:t xml:space="preserve">The aim of this work was to study the antibiotic properties of exometabolites of </w:t>
      </w:r>
      <w:r w:rsidRPr="00753FFB">
        <w:rPr>
          <w:i/>
        </w:rPr>
        <w:t>Chlorella vulgaris</w:t>
      </w:r>
      <w:r w:rsidRPr="00172261">
        <w:t xml:space="preserve"> microalgae, as well as to determine the modes of microalgae cultivation, in which they have the maximum bactericidal effect on the microflora of wastewater.</w:t>
      </w:r>
    </w:p>
    <w:p w:rsidR="0066498D" w:rsidRPr="00216344" w:rsidRDefault="0066498D" w:rsidP="009C4632">
      <w:pPr>
        <w:pStyle w:val="CETHeading1"/>
        <w:tabs>
          <w:tab w:val="clear" w:pos="360"/>
          <w:tab w:val="right" w:pos="7100"/>
        </w:tabs>
        <w:jc w:val="both"/>
        <w:rPr>
          <w:lang w:val="en-GB"/>
        </w:rPr>
      </w:pPr>
      <w:r>
        <w:rPr>
          <w:lang w:val="en-GB"/>
        </w:rPr>
        <w:t>Methods and materials</w:t>
      </w:r>
    </w:p>
    <w:p w:rsidR="0066498D" w:rsidRDefault="0066498D" w:rsidP="009C4632">
      <w:pPr>
        <w:pStyle w:val="CETBodytext"/>
      </w:pPr>
      <w:r>
        <w:t xml:space="preserve">This research used the strain </w:t>
      </w:r>
      <w:r w:rsidRPr="009C4632">
        <w:rPr>
          <w:i/>
        </w:rPr>
        <w:t xml:space="preserve">Chlorella vulgaris </w:t>
      </w:r>
      <w:proofErr w:type="spellStart"/>
      <w:r w:rsidRPr="009C4632">
        <w:rPr>
          <w:i/>
        </w:rPr>
        <w:t>Beijer</w:t>
      </w:r>
      <w:proofErr w:type="spellEnd"/>
      <w:r>
        <w:t xml:space="preserve"> IPPAS C-2, obtained at the </w:t>
      </w:r>
      <w:proofErr w:type="spellStart"/>
      <w:r>
        <w:t>Timiryazev</w:t>
      </w:r>
      <w:proofErr w:type="spellEnd"/>
      <w:r>
        <w:t xml:space="preserve"> Institute of Plant Physiology of the Russian Academy of Sciences. All measurements were made at three times repetition. </w:t>
      </w:r>
    </w:p>
    <w:p w:rsidR="0066498D" w:rsidRPr="00876527" w:rsidRDefault="0066498D" w:rsidP="00876527">
      <w:pPr>
        <w:pStyle w:val="CETheadingx"/>
      </w:pPr>
      <w:r w:rsidRPr="00876527">
        <w:rPr>
          <w:rStyle w:val="CETheadingxCarattere"/>
          <w:b/>
        </w:rPr>
        <w:t>Experiment 1: Identification of Chlorella vulgaris microalgae exometabolites with antibiotic effect.</w:t>
      </w:r>
      <w:r w:rsidRPr="00876527">
        <w:t xml:space="preserve"> </w:t>
      </w:r>
    </w:p>
    <w:p w:rsidR="00750B7E" w:rsidRPr="00826271" w:rsidRDefault="0066498D" w:rsidP="009C4632">
      <w:pPr>
        <w:pStyle w:val="CETBodytext"/>
      </w:pPr>
      <w:r>
        <w:t xml:space="preserve">Microalgae cultivation was performed on Tamiya OPTIMUM medium (Dvoretsky et al., 2015). Nitrogen was added to the nutrient medium on the fifth day of cultivation. The process was carried out under the following conditions: 1) the seed material was 10% of the total suspension volume (cell </w:t>
      </w:r>
      <w:proofErr w:type="spellStart"/>
      <w:r>
        <w:t>titre</w:t>
      </w:r>
      <w:proofErr w:type="spellEnd"/>
      <w:r>
        <w:t xml:space="preserve"> - 180000 cells / mL); 2) the pH value was set within the range of 6.2...8.0; 3) in all experiments the suspension was bubbled with a gas-air mixture with a carbon dioxide content of 0.03 % and a flow rate of 80 L / h. Sampling of culture fluid was carried out on the eighth day of cultivation (stationary phase). </w:t>
      </w:r>
    </w:p>
    <w:p w:rsidR="00750B7E" w:rsidRPr="00826271" w:rsidRDefault="0066498D" w:rsidP="009C4632">
      <w:pPr>
        <w:pStyle w:val="CETBodytext"/>
      </w:pPr>
      <w:proofErr w:type="spellStart"/>
      <w:r>
        <w:t>Centrate</w:t>
      </w:r>
      <w:proofErr w:type="spellEnd"/>
      <w:r>
        <w:t xml:space="preserve"> was separated from microalgae biomass using a Sigma 2-16 RK/2-16P centrifuge at a rotation speed of 4000 rotations / min for 5 minutes. Extraction was performed with the use of petroleum ether as a solvent. The solvent was distilled using a rotary evaporator IR-1 M3 at a temperature of distillation 85 °C and the speed of rotation of the flask 65 min</w:t>
      </w:r>
      <w:r w:rsidRPr="0038022E">
        <w:rPr>
          <w:vertAlign w:val="superscript"/>
        </w:rPr>
        <w:t>-1</w:t>
      </w:r>
      <w:r>
        <w:t xml:space="preserve">. Qualitative determination of substances in the extracts of </w:t>
      </w:r>
      <w:r w:rsidR="00172261">
        <w:t>culture</w:t>
      </w:r>
      <w:r>
        <w:t xml:space="preserve"> fluid was carried out using the method of thin-layer chromatograph</w:t>
      </w:r>
      <w:r w:rsidR="00193C45">
        <w:t>y with the help of densitometer</w:t>
      </w:r>
      <w:r>
        <w:t xml:space="preserve"> </w:t>
      </w:r>
      <w:r w:rsidR="00213D9B" w:rsidRPr="00213D9B">
        <w:t>(</w:t>
      </w:r>
      <w:r w:rsidR="00193C45" w:rsidRPr="00213D9B">
        <w:t>Kates, 1986</w:t>
      </w:r>
      <w:r w:rsidR="00213D9B" w:rsidRPr="00213D9B">
        <w:t>)</w:t>
      </w:r>
      <w:r w:rsidRPr="00213D9B">
        <w:t>.</w:t>
      </w:r>
      <w:r>
        <w:t xml:space="preserve"> "Petroleum ether-diethyl ether-acetic acid" mixture in the ratio 90:10:1 (vol.) was used as a system of solvents. </w:t>
      </w:r>
      <w:proofErr w:type="spellStart"/>
      <w:r>
        <w:t>Sulphuric</w:t>
      </w:r>
      <w:proofErr w:type="spellEnd"/>
      <w:r>
        <w:t xml:space="preserve"> acid was a carrier substance. </w:t>
      </w:r>
    </w:p>
    <w:p w:rsidR="00876527" w:rsidRDefault="0066498D" w:rsidP="009C4632">
      <w:pPr>
        <w:pStyle w:val="CETBodytext"/>
      </w:pPr>
      <w:r>
        <w:t xml:space="preserve">The analysis of fatty acids contained in the </w:t>
      </w:r>
      <w:r w:rsidR="00172261">
        <w:t>culture</w:t>
      </w:r>
      <w:r>
        <w:t xml:space="preserve"> fluid of microalgae was carried out using a gas chromatograph "Crystallux-4000M". The total bacterial number (TBC) of wastewater was determined by the Koch method. </w:t>
      </w:r>
    </w:p>
    <w:p w:rsidR="0066498D" w:rsidRDefault="0066498D" w:rsidP="009C4632">
      <w:pPr>
        <w:pStyle w:val="CETBodytext"/>
      </w:pPr>
      <w:r>
        <w:t>Meat and peptone agar (</w:t>
      </w:r>
      <w:r w:rsidRPr="00DF2F0C">
        <w:t>MPA)</w:t>
      </w:r>
      <w:r>
        <w:t xml:space="preserve"> nutrient media were used. The volume of the sample taken for measurement was 0.1 </w:t>
      </w:r>
      <w:proofErr w:type="spellStart"/>
      <w:r>
        <w:t>mL.</w:t>
      </w:r>
      <w:proofErr w:type="spellEnd"/>
      <w:r>
        <w:t xml:space="preserve"> The plates were incubated at 37 °C for 24 hours. The grown colonies were counted using the STEGLER </w:t>
      </w:r>
      <w:r w:rsidR="00193C45">
        <w:t>SCM-2 microbial colony counter</w:t>
      </w:r>
      <w:r>
        <w:t>.</w:t>
      </w:r>
    </w:p>
    <w:p w:rsidR="00E81DB8" w:rsidRPr="00E81DB8" w:rsidRDefault="0066498D" w:rsidP="009C4632">
      <w:pPr>
        <w:pStyle w:val="CETBodytext"/>
      </w:pPr>
      <w:r>
        <w:t xml:space="preserve">To determine the sensitivity of wastewater microorganisms to the action of extracellular microalgae metabolites, the disc method was </w:t>
      </w:r>
      <w:r w:rsidRPr="00E81DB8">
        <w:t xml:space="preserve">used </w:t>
      </w:r>
      <w:r w:rsidR="00193C45" w:rsidRPr="00E81DB8">
        <w:t>(CLSI</w:t>
      </w:r>
      <w:r w:rsidR="00E81DB8" w:rsidRPr="00E81DB8">
        <w:t>, 2012</w:t>
      </w:r>
      <w:r w:rsidR="00193C45" w:rsidRPr="00E81DB8">
        <w:t>).</w:t>
      </w:r>
      <w:r w:rsidR="00193C45" w:rsidRPr="00193C45">
        <w:rPr>
          <w:color w:val="0070C0"/>
        </w:rPr>
        <w:t xml:space="preserve"> </w:t>
      </w:r>
      <w:r>
        <w:t xml:space="preserve">Municipal wastewater containing microorganisms (0.07 million cells / mL) is seeded on the surface of a Petri dish with </w:t>
      </w:r>
      <w:r w:rsidRPr="00DF2F0C">
        <w:t>MPA</w:t>
      </w:r>
      <w:r>
        <w:t xml:space="preserve"> medium. After the drying of the suspension of microorganisms on the surface of the agar, it is placed on a disk with a substance that exhibits antibiotic properties. In the experiment</w:t>
      </w:r>
      <w:r w:rsidRPr="00172261">
        <w:t xml:space="preserve">, </w:t>
      </w:r>
      <w:r w:rsidR="007F67B1" w:rsidRPr="00172261">
        <w:t xml:space="preserve">paper </w:t>
      </w:r>
      <w:r w:rsidRPr="00172261">
        <w:t>dis</w:t>
      </w:r>
      <w:r w:rsidR="00172261" w:rsidRPr="00172261">
        <w:t>k</w:t>
      </w:r>
      <w:r w:rsidRPr="00172261">
        <w:t>s</w:t>
      </w:r>
      <w:r w:rsidRPr="00035358">
        <w:rPr>
          <w:color w:val="FF0000"/>
        </w:rPr>
        <w:t xml:space="preserve"> </w:t>
      </w:r>
      <w:r>
        <w:t xml:space="preserve">with the corresponding spots of substances were </w:t>
      </w:r>
      <w:proofErr w:type="spellStart"/>
      <w:r>
        <w:t>analysed</w:t>
      </w:r>
      <w:proofErr w:type="spellEnd"/>
      <w:r>
        <w:t xml:space="preserve">. The presence or absence of antibiotic properties of the substance to the culture of microorganisms of wastewater was estimated by the phenomenon of growth delay around the disk after incubation in the thermostat. </w:t>
      </w:r>
      <w:r w:rsidR="00E81DB8" w:rsidRPr="00E81DB8">
        <w:t>A petroleum ether-treated disc was used as control sample.</w:t>
      </w:r>
    </w:p>
    <w:p w:rsidR="00213D9B" w:rsidRPr="00D40DBE" w:rsidRDefault="00213D9B" w:rsidP="009C4632">
      <w:pPr>
        <w:pStyle w:val="CETBodytext"/>
      </w:pPr>
      <w:r w:rsidRPr="00D40DBE">
        <w:t>Identification of lipids in microalgae cells was performed by staining lipids (Vyas and Chhabra, 2017)</w:t>
      </w:r>
      <w:r w:rsidR="00D40DBE" w:rsidRPr="00D40DBE">
        <w:t xml:space="preserve"> </w:t>
      </w:r>
      <w:r w:rsidRPr="00D40DBE">
        <w:t xml:space="preserve">with the </w:t>
      </w:r>
      <w:r w:rsidR="00D40DBE" w:rsidRPr="00D40DBE">
        <w:t>fluores</w:t>
      </w:r>
      <w:r w:rsidRPr="00D40DBE">
        <w:t xml:space="preserve">cent </w:t>
      </w:r>
      <w:r w:rsidR="00D40DBE" w:rsidRPr="00D40DBE">
        <w:t>R</w:t>
      </w:r>
      <w:r w:rsidRPr="00D40DBE">
        <w:t>ed Nile</w:t>
      </w:r>
      <w:r w:rsidR="00D40DBE" w:rsidRPr="00D40DBE">
        <w:t xml:space="preserve"> </w:t>
      </w:r>
      <w:proofErr w:type="gramStart"/>
      <w:r w:rsidR="00D40DBE" w:rsidRPr="00D40DBE">
        <w:t>dye</w:t>
      </w:r>
      <w:r w:rsidRPr="00D40DBE">
        <w:t>,</w:t>
      </w:r>
      <w:proofErr w:type="gramEnd"/>
      <w:r w:rsidRPr="00D40DBE">
        <w:t xml:space="preserve"> the samples were studied with the help of the microscope </w:t>
      </w:r>
      <w:proofErr w:type="spellStart"/>
      <w:r w:rsidRPr="00D40DBE">
        <w:t>Micromed</w:t>
      </w:r>
      <w:proofErr w:type="spellEnd"/>
      <w:r w:rsidRPr="00D40DBE">
        <w:t xml:space="preserve"> 3 - </w:t>
      </w:r>
      <w:proofErr w:type="spellStart"/>
      <w:r w:rsidRPr="00D40DBE">
        <w:t>Lum</w:t>
      </w:r>
      <w:proofErr w:type="spellEnd"/>
      <w:r w:rsidRPr="00D40DBE">
        <w:t>.</w:t>
      </w:r>
    </w:p>
    <w:p w:rsidR="0066498D" w:rsidRDefault="0066498D" w:rsidP="009C4632">
      <w:pPr>
        <w:pStyle w:val="CETBodytext"/>
      </w:pPr>
      <w:r>
        <w:t>Incubation was performed under the following conditions</w:t>
      </w:r>
      <w:r w:rsidR="00A8169A" w:rsidRPr="00A8169A">
        <w:t xml:space="preserve"> (</w:t>
      </w:r>
      <w:r w:rsidR="00A8169A">
        <w:t>illuminance level</w:t>
      </w:r>
      <w:r w:rsidR="00A8169A" w:rsidRPr="00A8169A">
        <w:t xml:space="preserve"> / </w:t>
      </w:r>
      <w:r w:rsidR="00A8169A">
        <w:t>photoperiod</w:t>
      </w:r>
      <w:r w:rsidR="00A8169A" w:rsidRPr="00A8169A">
        <w:t xml:space="preserve"> (</w:t>
      </w:r>
      <w:r w:rsidR="00A8169A">
        <w:t>light</w:t>
      </w:r>
      <w:r w:rsidR="00A8169A" w:rsidRPr="00A8169A">
        <w:t xml:space="preserve"> / </w:t>
      </w:r>
      <w:r w:rsidR="00A8169A">
        <w:t>darkness)</w:t>
      </w:r>
      <w:r w:rsidR="00A8169A" w:rsidRPr="00A8169A">
        <w:t xml:space="preserve"> / </w:t>
      </w:r>
      <w:r w:rsidR="00A8169A">
        <w:t>temperature</w:t>
      </w:r>
      <w:r w:rsidR="00A8169A" w:rsidRPr="00A8169A">
        <w:t>)</w:t>
      </w:r>
      <w:r>
        <w:t xml:space="preserve">: sample 1 - 7 </w:t>
      </w:r>
      <w:proofErr w:type="spellStart"/>
      <w:r>
        <w:t>kLx</w:t>
      </w:r>
      <w:proofErr w:type="spellEnd"/>
      <w:r>
        <w:t>, 24/0 h  for 24 h</w:t>
      </w:r>
      <w:r w:rsidR="00A8169A" w:rsidRPr="00A8169A">
        <w:t>,</w:t>
      </w:r>
      <w:r>
        <w:t xml:space="preserve"> 37 °C, sample 2 - 7 </w:t>
      </w:r>
      <w:proofErr w:type="spellStart"/>
      <w:r>
        <w:t>kLx</w:t>
      </w:r>
      <w:proofErr w:type="spellEnd"/>
      <w:r w:rsidR="00A8169A" w:rsidRPr="00A8169A">
        <w:t>,</w:t>
      </w:r>
      <w:r w:rsidR="00A8169A">
        <w:t xml:space="preserve"> 12/</w:t>
      </w:r>
      <w:r>
        <w:t>12 h for 24 h</w:t>
      </w:r>
      <w:r w:rsidR="00A8169A" w:rsidRPr="00A8169A">
        <w:t>,</w:t>
      </w:r>
      <w:r>
        <w:t xml:space="preserve"> 37 °C; sample 3 (control) - incubation in darkness for 24 h at 37 °C. </w:t>
      </w:r>
    </w:p>
    <w:p w:rsidR="0066498D" w:rsidRPr="00876527" w:rsidRDefault="0066498D" w:rsidP="00876527">
      <w:pPr>
        <w:pStyle w:val="CETheadingx"/>
      </w:pPr>
      <w:r w:rsidRPr="00876527">
        <w:rPr>
          <w:rStyle w:val="CETheadingxCarattere"/>
          <w:b/>
        </w:rPr>
        <w:lastRenderedPageBreak/>
        <w:t>Experiment 2. Determination of the influence of cultivation conditions on the antibiotic properties of microalgae exometabolites in different growth phases.</w:t>
      </w:r>
      <w:r w:rsidRPr="00876527">
        <w:t xml:space="preserve"> </w:t>
      </w:r>
    </w:p>
    <w:p w:rsidR="0066498D" w:rsidRDefault="0066498D" w:rsidP="009C4632">
      <w:pPr>
        <w:pStyle w:val="CETBodytext"/>
      </w:pPr>
      <w:r>
        <w:t>Cultivation conditions similar to experiment 1 were realized. Microalgae cultivation modes are given in Table 1.</w:t>
      </w:r>
    </w:p>
    <w:p w:rsidR="0066498D" w:rsidRPr="00485177" w:rsidRDefault="0066498D" w:rsidP="00485177">
      <w:pPr>
        <w:pStyle w:val="CETTabletitle"/>
        <w:rPr>
          <w:lang w:val="en-US"/>
        </w:rPr>
      </w:pPr>
      <w:r w:rsidRPr="00B57B36">
        <w:t>Table</w:t>
      </w:r>
      <w:r w:rsidRPr="00394A4D">
        <w:rPr>
          <w:lang w:val="ru-RU"/>
        </w:rPr>
        <w:t xml:space="preserve"> 1: </w:t>
      </w:r>
      <w:r>
        <w:rPr>
          <w:lang w:val="en-US"/>
        </w:rPr>
        <w:t>Experimental conditions</w:t>
      </w:r>
    </w:p>
    <w:tbl>
      <w:tblPr>
        <w:tblW w:w="0" w:type="auto"/>
        <w:tblBorders>
          <w:top w:val="single" w:sz="12" w:space="0" w:color="008000"/>
          <w:bottom w:val="single" w:sz="12" w:space="0" w:color="008000"/>
        </w:tblBorders>
        <w:tblLayout w:type="fixed"/>
        <w:tblCellMar>
          <w:left w:w="0" w:type="dxa"/>
          <w:right w:w="0" w:type="dxa"/>
        </w:tblCellMar>
        <w:tblLook w:val="00A0" w:firstRow="1" w:lastRow="0" w:firstColumn="1" w:lastColumn="0" w:noHBand="0" w:noVBand="0"/>
      </w:tblPr>
      <w:tblGrid>
        <w:gridCol w:w="720"/>
        <w:gridCol w:w="1800"/>
        <w:gridCol w:w="1591"/>
        <w:gridCol w:w="1559"/>
      </w:tblGrid>
      <w:tr w:rsidR="0066498D" w:rsidRPr="00B57B36" w:rsidTr="00901EA3">
        <w:tc>
          <w:tcPr>
            <w:tcW w:w="720" w:type="dxa"/>
            <w:tcBorders>
              <w:top w:val="single" w:sz="12" w:space="0" w:color="008000"/>
              <w:bottom w:val="single" w:sz="6" w:space="0" w:color="008000"/>
            </w:tcBorders>
            <w:shd w:val="clear" w:color="auto" w:fill="FFFFFF"/>
            <w:vAlign w:val="center"/>
          </w:tcPr>
          <w:p w:rsidR="0066498D" w:rsidRPr="00485177" w:rsidRDefault="0066498D" w:rsidP="00EE1BA1">
            <w:pPr>
              <w:spacing w:line="240" w:lineRule="auto"/>
              <w:jc w:val="left"/>
              <w:rPr>
                <w:szCs w:val="18"/>
                <w:lang w:val="en-US" w:eastAsia="ru-RU"/>
              </w:rPr>
            </w:pPr>
            <w:r>
              <w:rPr>
                <w:szCs w:val="18"/>
                <w:lang w:val="en-US" w:eastAsia="ru-RU"/>
              </w:rPr>
              <w:t>Mode</w:t>
            </w:r>
          </w:p>
        </w:tc>
        <w:tc>
          <w:tcPr>
            <w:tcW w:w="1800" w:type="dxa"/>
            <w:tcBorders>
              <w:top w:val="single" w:sz="12" w:space="0" w:color="008000"/>
              <w:bottom w:val="single" w:sz="6" w:space="0" w:color="008000"/>
            </w:tcBorders>
            <w:shd w:val="clear" w:color="auto" w:fill="FFFFFF"/>
            <w:vAlign w:val="center"/>
          </w:tcPr>
          <w:p w:rsidR="0066498D" w:rsidRPr="00901EA3" w:rsidRDefault="0066498D" w:rsidP="00901EA3">
            <w:pPr>
              <w:spacing w:after="160" w:line="259" w:lineRule="auto"/>
              <w:jc w:val="left"/>
              <w:rPr>
                <w:szCs w:val="18"/>
                <w:lang w:val="en-US" w:eastAsia="ru-RU"/>
              </w:rPr>
            </w:pPr>
            <w:r>
              <w:rPr>
                <w:szCs w:val="18"/>
                <w:lang w:val="en-US" w:eastAsia="ru-RU"/>
              </w:rPr>
              <w:t>Illuminance</w:t>
            </w:r>
            <w:r w:rsidRPr="008C6F12">
              <w:rPr>
                <w:szCs w:val="18"/>
                <w:lang w:val="ru-RU" w:eastAsia="ru-RU"/>
              </w:rPr>
              <w:t xml:space="preserve">, </w:t>
            </w:r>
            <w:proofErr w:type="spellStart"/>
            <w:r>
              <w:rPr>
                <w:szCs w:val="18"/>
                <w:lang w:val="en-US" w:eastAsia="ru-RU"/>
              </w:rPr>
              <w:t>kLx</w:t>
            </w:r>
            <w:proofErr w:type="spellEnd"/>
          </w:p>
        </w:tc>
        <w:tc>
          <w:tcPr>
            <w:tcW w:w="1591" w:type="dxa"/>
            <w:tcBorders>
              <w:top w:val="single" w:sz="12" w:space="0" w:color="008000"/>
              <w:bottom w:val="single" w:sz="6" w:space="0" w:color="008000"/>
            </w:tcBorders>
            <w:shd w:val="clear" w:color="auto" w:fill="FFFFFF"/>
            <w:vAlign w:val="center"/>
          </w:tcPr>
          <w:p w:rsidR="0066498D" w:rsidRPr="008C6F12" w:rsidRDefault="0066498D" w:rsidP="00EE1BA1">
            <w:pPr>
              <w:spacing w:after="160" w:line="259" w:lineRule="auto"/>
              <w:jc w:val="left"/>
              <w:rPr>
                <w:szCs w:val="18"/>
                <w:lang w:val="ru-RU" w:eastAsia="ru-RU"/>
              </w:rPr>
            </w:pPr>
            <w:r>
              <w:rPr>
                <w:szCs w:val="18"/>
                <w:lang w:val="en-US" w:eastAsia="ru-RU"/>
              </w:rPr>
              <w:t>Temperature</w:t>
            </w:r>
            <w:r w:rsidRPr="008C6F12">
              <w:rPr>
                <w:szCs w:val="18"/>
                <w:lang w:val="ru-RU" w:eastAsia="ru-RU"/>
              </w:rPr>
              <w:t>, °С</w:t>
            </w:r>
          </w:p>
        </w:tc>
        <w:tc>
          <w:tcPr>
            <w:tcW w:w="1559" w:type="dxa"/>
            <w:tcBorders>
              <w:top w:val="single" w:sz="12" w:space="0" w:color="008000"/>
              <w:bottom w:val="single" w:sz="6" w:space="0" w:color="008000"/>
            </w:tcBorders>
            <w:shd w:val="clear" w:color="auto" w:fill="FFFFFF"/>
            <w:vAlign w:val="center"/>
          </w:tcPr>
          <w:p w:rsidR="0066498D" w:rsidRPr="00901EA3" w:rsidRDefault="0066498D" w:rsidP="00901EA3">
            <w:pPr>
              <w:spacing w:after="160" w:line="259" w:lineRule="auto"/>
              <w:jc w:val="left"/>
              <w:rPr>
                <w:szCs w:val="18"/>
                <w:lang w:val="en-US" w:eastAsia="ru-RU"/>
              </w:rPr>
            </w:pPr>
            <w:r>
              <w:rPr>
                <w:szCs w:val="18"/>
                <w:lang w:val="en-US" w:eastAsia="ru-RU"/>
              </w:rPr>
              <w:t>Light</w:t>
            </w:r>
            <w:r w:rsidRPr="008C6F12">
              <w:rPr>
                <w:szCs w:val="18"/>
                <w:lang w:val="ru-RU" w:eastAsia="ru-RU"/>
              </w:rPr>
              <w:t>/</w:t>
            </w:r>
            <w:r>
              <w:rPr>
                <w:szCs w:val="18"/>
                <w:lang w:val="en-US" w:eastAsia="ru-RU"/>
              </w:rPr>
              <w:t>darkness</w:t>
            </w:r>
            <w:r w:rsidRPr="008C6F12">
              <w:rPr>
                <w:szCs w:val="18"/>
                <w:lang w:val="ru-RU" w:eastAsia="ru-RU"/>
              </w:rPr>
              <w:t xml:space="preserve">, </w:t>
            </w:r>
            <w:r>
              <w:rPr>
                <w:szCs w:val="18"/>
                <w:lang w:val="en-US" w:eastAsia="ru-RU"/>
              </w:rPr>
              <w:t>h</w:t>
            </w:r>
          </w:p>
        </w:tc>
      </w:tr>
      <w:tr w:rsidR="0066498D" w:rsidRPr="00B57B36" w:rsidTr="00901EA3">
        <w:trPr>
          <w:trHeight w:val="55"/>
        </w:trPr>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1</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7</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sidRPr="00EA1531">
              <w:rPr>
                <w:szCs w:val="18"/>
                <w:lang w:val="ru-RU" w:eastAsia="ru-RU"/>
              </w:rPr>
              <w:t>24</w:t>
            </w:r>
            <w:r>
              <w:rPr>
                <w:szCs w:val="18"/>
                <w:lang w:val="ru-RU" w:eastAsia="ru-RU"/>
              </w:rPr>
              <w:t>/0</w:t>
            </w:r>
          </w:p>
        </w:tc>
      </w:tr>
      <w:tr w:rsidR="0066498D" w:rsidRPr="00B57B36" w:rsidTr="00901EA3">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7</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Pr>
                <w:szCs w:val="18"/>
                <w:lang w:val="ru-RU" w:eastAsia="ru-RU"/>
              </w:rPr>
              <w:t>16/8</w:t>
            </w:r>
          </w:p>
        </w:tc>
      </w:tr>
      <w:tr w:rsidR="0066498D" w:rsidRPr="00B57B36" w:rsidTr="00901EA3">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3</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7</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30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sidRPr="00EA1531">
              <w:rPr>
                <w:szCs w:val="18"/>
                <w:lang w:val="ru-RU" w:eastAsia="ru-RU"/>
              </w:rPr>
              <w:t>24</w:t>
            </w:r>
            <w:r>
              <w:rPr>
                <w:szCs w:val="18"/>
                <w:lang w:val="ru-RU" w:eastAsia="ru-RU"/>
              </w:rPr>
              <w:t>/0</w:t>
            </w:r>
          </w:p>
        </w:tc>
      </w:tr>
      <w:tr w:rsidR="0066498D" w:rsidRPr="00B57B36" w:rsidTr="00901EA3">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4</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7</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30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Pr>
                <w:szCs w:val="18"/>
                <w:lang w:val="ru-RU" w:eastAsia="ru-RU"/>
              </w:rPr>
              <w:t>16/8</w:t>
            </w:r>
          </w:p>
        </w:tc>
      </w:tr>
      <w:tr w:rsidR="0066498D" w:rsidRPr="00B57B36" w:rsidTr="00901EA3">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5</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21</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sidRPr="00EA1531">
              <w:rPr>
                <w:szCs w:val="18"/>
                <w:lang w:val="ru-RU" w:eastAsia="ru-RU"/>
              </w:rPr>
              <w:t>24</w:t>
            </w:r>
            <w:r>
              <w:rPr>
                <w:szCs w:val="18"/>
                <w:lang w:val="ru-RU" w:eastAsia="ru-RU"/>
              </w:rPr>
              <w:t>/0</w:t>
            </w:r>
          </w:p>
        </w:tc>
      </w:tr>
      <w:tr w:rsidR="0066498D" w:rsidRPr="00B57B36" w:rsidTr="00901EA3">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6</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21</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Pr>
                <w:szCs w:val="18"/>
                <w:lang w:val="ru-RU" w:eastAsia="ru-RU"/>
              </w:rPr>
              <w:t>16/8</w:t>
            </w:r>
          </w:p>
        </w:tc>
      </w:tr>
      <w:tr w:rsidR="0066498D" w:rsidRPr="00B57B36" w:rsidTr="00901EA3">
        <w:tc>
          <w:tcPr>
            <w:tcW w:w="72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7</w:t>
            </w:r>
          </w:p>
        </w:tc>
        <w:tc>
          <w:tcPr>
            <w:tcW w:w="1800"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21</w:t>
            </w:r>
          </w:p>
        </w:tc>
        <w:tc>
          <w:tcPr>
            <w:tcW w:w="1591" w:type="dxa"/>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30</w:t>
            </w:r>
          </w:p>
        </w:tc>
        <w:tc>
          <w:tcPr>
            <w:tcW w:w="1559" w:type="dxa"/>
            <w:shd w:val="clear" w:color="auto" w:fill="FFFFFF"/>
            <w:vAlign w:val="center"/>
          </w:tcPr>
          <w:p w:rsidR="0066498D" w:rsidRPr="00EA1531" w:rsidRDefault="0066498D" w:rsidP="00EE1BA1">
            <w:pPr>
              <w:spacing w:line="240" w:lineRule="auto"/>
              <w:jc w:val="left"/>
              <w:rPr>
                <w:szCs w:val="18"/>
                <w:lang w:val="ru-RU" w:eastAsia="ru-RU"/>
              </w:rPr>
            </w:pPr>
            <w:r w:rsidRPr="00EA1531">
              <w:rPr>
                <w:szCs w:val="18"/>
                <w:lang w:val="ru-RU" w:eastAsia="ru-RU"/>
              </w:rPr>
              <w:t>24</w:t>
            </w:r>
            <w:r>
              <w:rPr>
                <w:szCs w:val="18"/>
                <w:lang w:val="ru-RU" w:eastAsia="ru-RU"/>
              </w:rPr>
              <w:t>/0</w:t>
            </w:r>
          </w:p>
        </w:tc>
      </w:tr>
      <w:tr w:rsidR="0066498D" w:rsidRPr="00B57B36" w:rsidTr="00901EA3">
        <w:tc>
          <w:tcPr>
            <w:tcW w:w="720" w:type="dxa"/>
            <w:tcBorders>
              <w:bottom w:val="single" w:sz="12" w:space="0" w:color="008000"/>
            </w:tcBorders>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8</w:t>
            </w:r>
          </w:p>
        </w:tc>
        <w:tc>
          <w:tcPr>
            <w:tcW w:w="1800" w:type="dxa"/>
            <w:tcBorders>
              <w:bottom w:val="single" w:sz="12" w:space="0" w:color="008000"/>
            </w:tcBorders>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21</w:t>
            </w:r>
          </w:p>
        </w:tc>
        <w:tc>
          <w:tcPr>
            <w:tcW w:w="1591" w:type="dxa"/>
            <w:tcBorders>
              <w:bottom w:val="single" w:sz="12" w:space="0" w:color="008000"/>
            </w:tcBorders>
            <w:shd w:val="clear" w:color="auto" w:fill="FFFFFF"/>
            <w:vAlign w:val="center"/>
          </w:tcPr>
          <w:p w:rsidR="0066498D" w:rsidRPr="008C6F12" w:rsidRDefault="0066498D" w:rsidP="00EE1BA1">
            <w:pPr>
              <w:spacing w:line="240" w:lineRule="auto"/>
              <w:jc w:val="left"/>
              <w:rPr>
                <w:szCs w:val="18"/>
                <w:lang w:val="ru-RU" w:eastAsia="ru-RU"/>
              </w:rPr>
            </w:pPr>
            <w:r w:rsidRPr="008C6F12">
              <w:rPr>
                <w:szCs w:val="18"/>
                <w:lang w:val="ru-RU" w:eastAsia="ru-RU"/>
              </w:rPr>
              <w:t>30</w:t>
            </w:r>
          </w:p>
        </w:tc>
        <w:tc>
          <w:tcPr>
            <w:tcW w:w="1559" w:type="dxa"/>
            <w:tcBorders>
              <w:bottom w:val="single" w:sz="12" w:space="0" w:color="008000"/>
            </w:tcBorders>
            <w:shd w:val="clear" w:color="auto" w:fill="FFFFFF"/>
            <w:vAlign w:val="center"/>
          </w:tcPr>
          <w:p w:rsidR="0066498D" w:rsidRPr="00EA1531" w:rsidRDefault="0066498D" w:rsidP="00EE1BA1">
            <w:pPr>
              <w:spacing w:line="240" w:lineRule="auto"/>
              <w:jc w:val="left"/>
              <w:rPr>
                <w:szCs w:val="18"/>
                <w:lang w:val="ru-RU" w:eastAsia="ru-RU"/>
              </w:rPr>
            </w:pPr>
            <w:r>
              <w:rPr>
                <w:szCs w:val="18"/>
                <w:lang w:val="ru-RU" w:eastAsia="ru-RU"/>
              </w:rPr>
              <w:t>16/8</w:t>
            </w:r>
          </w:p>
        </w:tc>
      </w:tr>
    </w:tbl>
    <w:p w:rsidR="0066498D" w:rsidRDefault="00172261" w:rsidP="009C4632">
      <w:pPr>
        <w:pStyle w:val="CETBodytext"/>
        <w:rPr>
          <w:szCs w:val="18"/>
        </w:rPr>
      </w:pPr>
      <w:r>
        <w:rPr>
          <w:szCs w:val="18"/>
        </w:rPr>
        <w:t>Sampling of culture</w:t>
      </w:r>
      <w:r w:rsidR="0066498D" w:rsidRPr="00901EA3">
        <w:rPr>
          <w:szCs w:val="18"/>
        </w:rPr>
        <w:t xml:space="preserve"> fluid was carried out </w:t>
      </w:r>
      <w:r>
        <w:rPr>
          <w:szCs w:val="18"/>
        </w:rPr>
        <w:t>during</w:t>
      </w:r>
      <w:r w:rsidR="0066498D" w:rsidRPr="00901EA3">
        <w:rPr>
          <w:szCs w:val="18"/>
        </w:rPr>
        <w:t xml:space="preserve"> </w:t>
      </w:r>
      <w:r w:rsidR="0066498D">
        <w:rPr>
          <w:szCs w:val="18"/>
        </w:rPr>
        <w:t xml:space="preserve">the </w:t>
      </w:r>
      <w:r w:rsidR="0066498D" w:rsidRPr="00776211">
        <w:rPr>
          <w:szCs w:val="18"/>
        </w:rPr>
        <w:t>exponential growth phase</w:t>
      </w:r>
      <w:r w:rsidR="00CC7FCF" w:rsidRPr="00776211">
        <w:rPr>
          <w:szCs w:val="18"/>
        </w:rPr>
        <w:t xml:space="preserve">, </w:t>
      </w:r>
      <w:r w:rsidR="0066498D" w:rsidRPr="00776211">
        <w:rPr>
          <w:szCs w:val="18"/>
        </w:rPr>
        <w:t>stationary phase and dying out phase</w:t>
      </w:r>
      <w:r w:rsidR="0066498D" w:rsidRPr="00901EA3">
        <w:rPr>
          <w:szCs w:val="18"/>
        </w:rPr>
        <w:t xml:space="preserve"> in order to identify antibiotic substances. Calculation of microalgae biomass concentration in the process of cultivation was carried out by the method of direct </w:t>
      </w:r>
      <w:r w:rsidR="0066498D">
        <w:rPr>
          <w:szCs w:val="18"/>
        </w:rPr>
        <w:t>cell count</w:t>
      </w:r>
      <w:r w:rsidR="0066498D" w:rsidRPr="00901EA3">
        <w:rPr>
          <w:szCs w:val="18"/>
        </w:rPr>
        <w:t xml:space="preserve"> in the </w:t>
      </w:r>
      <w:proofErr w:type="spellStart"/>
      <w:r w:rsidR="0066498D" w:rsidRPr="00901EA3">
        <w:rPr>
          <w:szCs w:val="18"/>
        </w:rPr>
        <w:t>Goryayev</w:t>
      </w:r>
      <w:proofErr w:type="spellEnd"/>
      <w:r w:rsidR="0066498D" w:rsidRPr="00901EA3">
        <w:rPr>
          <w:szCs w:val="18"/>
        </w:rPr>
        <w:t xml:space="preserve"> chamber.</w:t>
      </w:r>
    </w:p>
    <w:p w:rsidR="0066498D" w:rsidRDefault="0066498D" w:rsidP="00B94AE3">
      <w:pPr>
        <w:pStyle w:val="CETHeading1"/>
        <w:tabs>
          <w:tab w:val="clear" w:pos="360"/>
          <w:tab w:val="right" w:pos="7100"/>
        </w:tabs>
        <w:jc w:val="both"/>
        <w:rPr>
          <w:lang w:val="ru-RU"/>
        </w:rPr>
      </w:pPr>
      <w:r>
        <w:t>Results and discussion</w:t>
      </w:r>
    </w:p>
    <w:p w:rsidR="0066498D" w:rsidRPr="00B94AE3" w:rsidRDefault="0066498D" w:rsidP="00B94AE3">
      <w:pPr>
        <w:pStyle w:val="CETBodytext"/>
      </w:pPr>
      <w:r w:rsidRPr="00B94AE3">
        <w:t xml:space="preserve">It </w:t>
      </w:r>
      <w:r>
        <w:t>has been</w:t>
      </w:r>
      <w:r w:rsidRPr="00B94AE3">
        <w:t xml:space="preserve"> established that the </w:t>
      </w:r>
      <w:r w:rsidR="00172261">
        <w:t>culture</w:t>
      </w:r>
      <w:r w:rsidRPr="00B94AE3">
        <w:t xml:space="preserve"> fluid of microalgae contains substances of lipid nature</w:t>
      </w:r>
      <w:r w:rsidRPr="00125327">
        <w:t xml:space="preserve">: </w:t>
      </w:r>
      <w:r w:rsidR="006477F4" w:rsidRPr="00125327">
        <w:t>triglyceride</w:t>
      </w:r>
      <w:r w:rsidRPr="00125327">
        <w:t>s</w:t>
      </w:r>
      <w:r w:rsidRPr="00B94AE3">
        <w:t xml:space="preserve"> (1), O-</w:t>
      </w:r>
      <w:proofErr w:type="spellStart"/>
      <w:r w:rsidRPr="00B94AE3">
        <w:t>dia</w:t>
      </w:r>
      <w:r w:rsidR="00AC1DA5">
        <w:t>l</w:t>
      </w:r>
      <w:r w:rsidRPr="00B94AE3">
        <w:t>kyl</w:t>
      </w:r>
      <w:proofErr w:type="spellEnd"/>
      <w:r w:rsidR="00AC1DA5">
        <w:t xml:space="preserve"> </w:t>
      </w:r>
      <w:proofErr w:type="spellStart"/>
      <w:r w:rsidR="006477F4">
        <w:t>mono</w:t>
      </w:r>
      <w:r w:rsidRPr="00B94AE3">
        <w:t>glycerides</w:t>
      </w:r>
      <w:proofErr w:type="spellEnd"/>
      <w:r w:rsidRPr="00B94AE3">
        <w:t xml:space="preserve"> (2), fatty acids (3), </w:t>
      </w:r>
      <w:proofErr w:type="gramStart"/>
      <w:r w:rsidRPr="00B94AE3">
        <w:t>long-chain alcohols (4), O-</w:t>
      </w:r>
      <w:proofErr w:type="spellStart"/>
      <w:r w:rsidRPr="00B94AE3">
        <w:t>dialkyl</w:t>
      </w:r>
      <w:proofErr w:type="spellEnd"/>
      <w:r w:rsidRPr="00B94AE3">
        <w:t xml:space="preserve"> esters of glycerol (5)</w:t>
      </w:r>
      <w:proofErr w:type="gramEnd"/>
      <w:r w:rsidRPr="00B94AE3">
        <w:t>. The following fatty acids were identified in the cultur</w:t>
      </w:r>
      <w:r w:rsidR="00172261">
        <w:t>e</w:t>
      </w:r>
      <w:r w:rsidRPr="00B94AE3">
        <w:t xml:space="preserve"> fluid: 1) saturated - </w:t>
      </w:r>
      <w:proofErr w:type="spellStart"/>
      <w:r w:rsidRPr="00B94AE3">
        <w:t>myristin</w:t>
      </w:r>
      <w:proofErr w:type="spellEnd"/>
      <w:r w:rsidRPr="00B94AE3">
        <w:t xml:space="preserve"> (C14:0), </w:t>
      </w:r>
      <w:proofErr w:type="spellStart"/>
      <w:r w:rsidRPr="00B94AE3">
        <w:t>pentadecan</w:t>
      </w:r>
      <w:proofErr w:type="spellEnd"/>
      <w:r w:rsidRPr="00B94AE3">
        <w:t xml:space="preserve"> (C15:0), palmitic (C16:0), margarine (C17:0), stearic (C18:0); 2) unsaturated - </w:t>
      </w:r>
      <w:proofErr w:type="spellStart"/>
      <w:r w:rsidRPr="00B94AE3">
        <w:t>margarinoleic</w:t>
      </w:r>
      <w:proofErr w:type="spellEnd"/>
      <w:r w:rsidRPr="00B94AE3">
        <w:t xml:space="preserve"> (C17:1), oleic (C18:1), </w:t>
      </w:r>
      <w:proofErr w:type="spellStart"/>
      <w:r w:rsidRPr="00B94AE3">
        <w:t>erucic</w:t>
      </w:r>
      <w:proofErr w:type="spellEnd"/>
      <w:r w:rsidRPr="00B94AE3">
        <w:t xml:space="preserve"> (C22:1). </w:t>
      </w:r>
    </w:p>
    <w:p w:rsidR="0066498D" w:rsidRPr="00A8169A" w:rsidRDefault="0066498D" w:rsidP="00B94AE3">
      <w:pPr>
        <w:pStyle w:val="CETBodytext"/>
      </w:pPr>
      <w:r w:rsidRPr="00125327">
        <w:t xml:space="preserve">The largest zone of inhibition of </w:t>
      </w:r>
      <w:r w:rsidR="00125327" w:rsidRPr="00125327">
        <w:t>wastewater</w:t>
      </w:r>
      <w:r w:rsidRPr="00125327">
        <w:t xml:space="preserve"> microflora growth (Figure 1) was observed for </w:t>
      </w:r>
      <w:r w:rsidR="006477F4" w:rsidRPr="00125327">
        <w:t>O-</w:t>
      </w:r>
      <w:proofErr w:type="spellStart"/>
      <w:r w:rsidR="006477F4" w:rsidRPr="00125327">
        <w:t>dialkyl</w:t>
      </w:r>
      <w:proofErr w:type="spellEnd"/>
      <w:r w:rsidR="006477F4" w:rsidRPr="00125327">
        <w:t xml:space="preserve"> </w:t>
      </w:r>
      <w:proofErr w:type="spellStart"/>
      <w:r w:rsidR="006477F4" w:rsidRPr="00125327">
        <w:t>monoglycerides</w:t>
      </w:r>
      <w:proofErr w:type="spellEnd"/>
      <w:r w:rsidRPr="00125327">
        <w:t xml:space="preserve"> (substance </w:t>
      </w:r>
      <w:r w:rsidR="006477F4" w:rsidRPr="00125327">
        <w:t>2</w:t>
      </w:r>
      <w:r w:rsidRPr="00125327">
        <w:t>), while the change in the photoperiod from 24/0</w:t>
      </w:r>
      <w:r w:rsidR="00AC1DA5" w:rsidRPr="00125327">
        <w:t xml:space="preserve"> h</w:t>
      </w:r>
      <w:r w:rsidRPr="00125327">
        <w:t xml:space="preserve"> to 12/12</w:t>
      </w:r>
      <w:r w:rsidR="00AC1DA5" w:rsidRPr="00125327">
        <w:t xml:space="preserve"> h</w:t>
      </w:r>
      <w:r w:rsidRPr="00125327">
        <w:t xml:space="preserve"> led to a 2.</w:t>
      </w:r>
      <w:r w:rsidR="006477F4" w:rsidRPr="00125327">
        <w:t>0</w:t>
      </w:r>
      <w:r w:rsidRPr="00125327">
        <w:t xml:space="preserve">-fold decrease in antibiotic effect. In the absence of </w:t>
      </w:r>
      <w:r w:rsidR="00125327" w:rsidRPr="00125327">
        <w:t>illumination</w:t>
      </w:r>
      <w:r w:rsidRPr="00125327">
        <w:t xml:space="preserve"> </w:t>
      </w:r>
      <w:r w:rsidR="006477F4" w:rsidRPr="00125327">
        <w:t>O-</w:t>
      </w:r>
      <w:proofErr w:type="spellStart"/>
      <w:r w:rsidR="006477F4" w:rsidRPr="00125327">
        <w:t>dialkyl</w:t>
      </w:r>
      <w:proofErr w:type="spellEnd"/>
      <w:r w:rsidR="006477F4" w:rsidRPr="00125327">
        <w:t xml:space="preserve"> </w:t>
      </w:r>
      <w:proofErr w:type="spellStart"/>
      <w:r w:rsidR="006477F4" w:rsidRPr="00125327">
        <w:t>monoglycerides</w:t>
      </w:r>
      <w:proofErr w:type="spellEnd"/>
      <w:r w:rsidR="006477F4" w:rsidRPr="00125327">
        <w:t xml:space="preserve"> </w:t>
      </w:r>
      <w:r w:rsidR="00125327" w:rsidRPr="00125327">
        <w:t xml:space="preserve">display low antibiotic activity, and their effect diminishes by 5.7 times in comparison with the sample illuminated for 24 h. </w:t>
      </w:r>
      <w:r w:rsidRPr="00125327">
        <w:t>In the 24/0</w:t>
      </w:r>
      <w:r w:rsidR="00125327" w:rsidRPr="00125327">
        <w:t> </w:t>
      </w:r>
      <w:r w:rsidR="00AC1DA5" w:rsidRPr="00125327">
        <w:t xml:space="preserve">h </w:t>
      </w:r>
      <w:r w:rsidRPr="00125327">
        <w:t xml:space="preserve">photoperiod, </w:t>
      </w:r>
      <w:r w:rsidR="006477F4" w:rsidRPr="00125327">
        <w:t xml:space="preserve">triglycerides </w:t>
      </w:r>
      <w:r w:rsidRPr="00125327">
        <w:t xml:space="preserve">and fatty acids had an inhibitory effect on bacterial activity (substances </w:t>
      </w:r>
      <w:r w:rsidR="006477F4" w:rsidRPr="00125327">
        <w:t>1, 3 in Figure 1</w:t>
      </w:r>
      <w:r w:rsidRPr="00125327">
        <w:t xml:space="preserve">), in the 12/12 </w:t>
      </w:r>
      <w:r w:rsidR="00AC1DA5" w:rsidRPr="00125327">
        <w:t xml:space="preserve">h </w:t>
      </w:r>
      <w:r w:rsidRPr="00125327">
        <w:t xml:space="preserve">photoperiod, the antibiotic effect of </w:t>
      </w:r>
      <w:r w:rsidR="006477F4" w:rsidRPr="00125327">
        <w:t xml:space="preserve">triglycerides </w:t>
      </w:r>
      <w:r w:rsidR="00125327" w:rsidRPr="00125327">
        <w:t xml:space="preserve">and fatty acids decreased by 12.1 and 2.7 times respectively. In the absence of illumination </w:t>
      </w:r>
      <w:r w:rsidR="00125327">
        <w:t xml:space="preserve">the antibiotic effect of </w:t>
      </w:r>
      <w:r w:rsidR="00125327" w:rsidRPr="00125327">
        <w:t>triglycerides and fatty acids</w:t>
      </w:r>
      <w:r w:rsidR="00125327">
        <w:t xml:space="preserve"> was insignificant, respectively 21.25 and 4.64 times lower.</w:t>
      </w:r>
      <w:r w:rsidR="00125327" w:rsidRPr="00125327">
        <w:t xml:space="preserve"> </w:t>
      </w:r>
    </w:p>
    <w:p w:rsidR="0066498D" w:rsidRPr="00A8169A" w:rsidRDefault="0066498D" w:rsidP="002C2205">
      <w:pPr>
        <w:shd w:val="clear" w:color="auto" w:fill="FFFFFF"/>
        <w:spacing w:line="240" w:lineRule="auto"/>
        <w:rPr>
          <w:lang w:val="en-US"/>
        </w:rPr>
      </w:pPr>
      <w:r w:rsidRPr="00F773AE">
        <w:t>Long-chain alcohols and O-</w:t>
      </w:r>
      <w:proofErr w:type="spellStart"/>
      <w:r w:rsidRPr="00F773AE">
        <w:t>dialkyl</w:t>
      </w:r>
      <w:proofErr w:type="spellEnd"/>
      <w:r w:rsidRPr="00F773AE">
        <w:t xml:space="preserve"> glycerol esters (substances 4, 5) showed the least antibiotic effect. At decrease in illuminance level O-</w:t>
      </w:r>
      <w:proofErr w:type="spellStart"/>
      <w:r w:rsidRPr="00F773AE">
        <w:t>dialkyl</w:t>
      </w:r>
      <w:proofErr w:type="spellEnd"/>
      <w:r w:rsidRPr="00F773AE">
        <w:t xml:space="preserve"> esters of glycerol did not </w:t>
      </w:r>
      <w:r w:rsidR="00AC1DA5" w:rsidRPr="00F773AE">
        <w:t>produce</w:t>
      </w:r>
      <w:r w:rsidRPr="00F773AE">
        <w:t xml:space="preserve"> death of bacteria.</w:t>
      </w:r>
      <w:r w:rsidR="00125327" w:rsidRPr="00F773AE">
        <w:t xml:space="preserve"> The inhibitory effect of long-chain alcohol</w:t>
      </w:r>
      <w:r w:rsidR="0059192C" w:rsidRPr="00F773AE">
        <w:t>s</w:t>
      </w:r>
      <w:r w:rsidR="00125327" w:rsidRPr="00F773AE">
        <w:t xml:space="preserve"> </w:t>
      </w:r>
      <w:r w:rsidR="0059192C" w:rsidRPr="00F773AE">
        <w:rPr>
          <w:lang w:val="en-US"/>
        </w:rPr>
        <w:t>depended on illumination and was six times lower in the absence of illumination.</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2D4E77" w:rsidTr="0083247C">
        <w:tc>
          <w:tcPr>
            <w:tcW w:w="9003" w:type="dxa"/>
          </w:tcPr>
          <w:p w:rsidR="002D4E77" w:rsidRDefault="0083247C" w:rsidP="002D4E77">
            <w:pPr>
              <w:spacing w:line="240" w:lineRule="auto"/>
              <w:jc w:val="center"/>
              <w:rPr>
                <w:color w:val="FF0000"/>
                <w:lang w:val="ru-RU"/>
              </w:rPr>
            </w:pPr>
            <w:r w:rsidRPr="0083247C">
              <w:rPr>
                <w:noProof/>
                <w:color w:val="FF0000"/>
                <w:lang w:val="ru-RU" w:eastAsia="ru-RU"/>
              </w:rPr>
              <w:drawing>
                <wp:inline distT="0" distB="0" distL="0" distR="0">
                  <wp:extent cx="3268980" cy="2127739"/>
                  <wp:effectExtent l="19050" t="0" r="26670" b="5861"/>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D4E77" w:rsidRPr="002D4E77" w:rsidTr="0083247C">
        <w:tc>
          <w:tcPr>
            <w:tcW w:w="9003" w:type="dxa"/>
          </w:tcPr>
          <w:p w:rsidR="002D4E77" w:rsidRPr="002D4E77" w:rsidRDefault="002D4E77" w:rsidP="00776211">
            <w:pPr>
              <w:spacing w:before="240" w:after="240"/>
              <w:rPr>
                <w:color w:val="FF0000"/>
                <w:lang w:val="en-US"/>
              </w:rPr>
            </w:pPr>
            <w:r w:rsidRPr="00C177D9">
              <w:rPr>
                <w:i/>
                <w:szCs w:val="18"/>
              </w:rPr>
              <w:t xml:space="preserve">Figure 1: </w:t>
            </w:r>
            <w:r w:rsidRPr="00C177D9">
              <w:rPr>
                <w:i/>
              </w:rPr>
              <w:t>Antibiotic effect in different “light/darkness” photoperiods</w:t>
            </w:r>
          </w:p>
        </w:tc>
      </w:tr>
    </w:tbl>
    <w:p w:rsidR="0066498D" w:rsidRDefault="0066498D" w:rsidP="00A26E9E">
      <w:pPr>
        <w:shd w:val="clear" w:color="auto" w:fill="FFFFFF"/>
        <w:spacing w:line="240" w:lineRule="auto"/>
        <w:rPr>
          <w:rFonts w:cs="Arial"/>
          <w:lang w:val="en-US"/>
        </w:rPr>
      </w:pPr>
      <w:bookmarkStart w:id="0" w:name="_MON_1610434600"/>
      <w:bookmarkStart w:id="1" w:name="_MON_1610434632"/>
      <w:bookmarkStart w:id="2" w:name="_MON_1610434915"/>
      <w:bookmarkStart w:id="3" w:name="_MON_1610434936"/>
      <w:bookmarkStart w:id="4" w:name="_MON_1610434983"/>
      <w:bookmarkStart w:id="5" w:name="_MON_1610434989"/>
      <w:bookmarkStart w:id="6" w:name="_MON_1610435052"/>
      <w:bookmarkStart w:id="7" w:name="_MON_1610435080"/>
      <w:bookmarkStart w:id="8" w:name="_MON_1610438734"/>
      <w:bookmarkStart w:id="9" w:name="_MON_1610438818"/>
      <w:bookmarkStart w:id="10" w:name="_MON_1610438891"/>
      <w:bookmarkStart w:id="11" w:name="_MON_1610434251"/>
      <w:bookmarkStart w:id="12" w:name="_MON_1610434286"/>
      <w:bookmarkStart w:id="13" w:name="_MON_1610434528"/>
      <w:bookmarkStart w:id="14" w:name="_MON_1610434546"/>
      <w:bookmarkStart w:id="15" w:name="_MON_1610434553"/>
      <w:bookmarkStart w:id="16" w:name="_MON_16104345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59192C">
        <w:rPr>
          <w:rFonts w:cs="Arial"/>
          <w:lang w:val="en-US"/>
        </w:rPr>
        <w:t xml:space="preserve">Analyzing the chemical structure of microalgae </w:t>
      </w:r>
      <w:proofErr w:type="spellStart"/>
      <w:r w:rsidRPr="0059192C">
        <w:rPr>
          <w:rFonts w:cs="Arial"/>
          <w:lang w:val="en-US"/>
        </w:rPr>
        <w:t>exometabolites</w:t>
      </w:r>
      <w:proofErr w:type="spellEnd"/>
      <w:r w:rsidR="00020D22">
        <w:rPr>
          <w:rFonts w:cs="Arial"/>
          <w:lang w:val="en-US"/>
        </w:rPr>
        <w:t>,</w:t>
      </w:r>
      <w:r w:rsidRPr="0059192C">
        <w:rPr>
          <w:rFonts w:cs="Arial"/>
          <w:lang w:val="en-US"/>
        </w:rPr>
        <w:t xml:space="preserve"> we can conclude that the antibiotic effect of </w:t>
      </w:r>
      <w:r w:rsidR="00D861EE" w:rsidRPr="0059192C">
        <w:t>triglycerides</w:t>
      </w:r>
      <w:r w:rsidRPr="0059192C">
        <w:rPr>
          <w:rFonts w:cs="Arial"/>
          <w:lang w:val="en-US"/>
        </w:rPr>
        <w:t xml:space="preserve">, </w:t>
      </w:r>
      <w:r w:rsidR="00AC1DA5" w:rsidRPr="0059192C">
        <w:t>O-</w:t>
      </w:r>
      <w:proofErr w:type="spellStart"/>
      <w:r w:rsidR="00AC1DA5" w:rsidRPr="0059192C">
        <w:t>dialkyl</w:t>
      </w:r>
      <w:proofErr w:type="spellEnd"/>
      <w:r w:rsidR="00AC1DA5" w:rsidRPr="0059192C">
        <w:t xml:space="preserve"> </w:t>
      </w:r>
      <w:proofErr w:type="spellStart"/>
      <w:r w:rsidR="00D861EE" w:rsidRPr="0059192C">
        <w:t>mono</w:t>
      </w:r>
      <w:r w:rsidR="00AC1DA5" w:rsidRPr="0059192C">
        <w:t>glycerides</w:t>
      </w:r>
      <w:proofErr w:type="spellEnd"/>
      <w:r w:rsidRPr="0059192C">
        <w:rPr>
          <w:rFonts w:cs="Arial"/>
          <w:lang w:val="en-US"/>
        </w:rPr>
        <w:t>, fatty acids, O-</w:t>
      </w:r>
      <w:proofErr w:type="spellStart"/>
      <w:r w:rsidRPr="0059192C">
        <w:rPr>
          <w:rFonts w:cs="Arial"/>
          <w:lang w:val="en-US"/>
        </w:rPr>
        <w:t>dialkyl</w:t>
      </w:r>
      <w:proofErr w:type="spellEnd"/>
      <w:r w:rsidRPr="0059192C">
        <w:rPr>
          <w:rFonts w:cs="Arial"/>
          <w:lang w:val="en-US"/>
        </w:rPr>
        <w:t xml:space="preserve"> glycerol esters</w:t>
      </w:r>
      <w:r w:rsidR="00B550B0" w:rsidRPr="0059192C">
        <w:rPr>
          <w:rFonts w:cs="Arial"/>
          <w:lang w:val="en-US"/>
        </w:rPr>
        <w:t xml:space="preserve"> </w:t>
      </w:r>
      <w:r w:rsidR="0059192C" w:rsidRPr="0059192C">
        <w:rPr>
          <w:rFonts w:cs="Arial"/>
          <w:lang w:val="en-US"/>
        </w:rPr>
        <w:t>and long-chain alcohols</w:t>
      </w:r>
      <w:r w:rsidR="00B550B0" w:rsidRPr="0059192C">
        <w:rPr>
          <w:rFonts w:cs="Arial"/>
          <w:lang w:val="en-US"/>
        </w:rPr>
        <w:t xml:space="preserve"> (</w:t>
      </w:r>
      <w:r w:rsidR="0059192C" w:rsidRPr="0059192C">
        <w:rPr>
          <w:rFonts w:cs="Arial"/>
          <w:lang w:val="en-US"/>
        </w:rPr>
        <w:t>which are likely to have double bonds</w:t>
      </w:r>
      <w:r w:rsidR="00B550B0" w:rsidRPr="0059192C">
        <w:rPr>
          <w:rFonts w:cs="Arial"/>
          <w:lang w:val="en-US"/>
        </w:rPr>
        <w:t>)</w:t>
      </w:r>
      <w:r w:rsidRPr="0059192C">
        <w:rPr>
          <w:rFonts w:cs="Arial"/>
          <w:lang w:val="en-US"/>
        </w:rPr>
        <w:t xml:space="preserve"> depends</w:t>
      </w:r>
      <w:r w:rsidRPr="00A26E9E">
        <w:rPr>
          <w:rFonts w:cs="Arial"/>
          <w:lang w:val="en-US"/>
        </w:rPr>
        <w:t xml:space="preserve"> on the level of </w:t>
      </w:r>
      <w:r>
        <w:rPr>
          <w:rFonts w:cs="Arial"/>
          <w:lang w:val="en-US"/>
        </w:rPr>
        <w:t>illumination</w:t>
      </w:r>
      <w:r w:rsidRPr="00A26E9E">
        <w:rPr>
          <w:rFonts w:cs="Arial"/>
          <w:lang w:val="en-US"/>
        </w:rPr>
        <w:t xml:space="preserve">. It can be assumed that the flow of photons initiates the formation of reactive oxygen species </w:t>
      </w:r>
      <w:r w:rsidR="00CF40CF">
        <w:rPr>
          <w:rFonts w:cs="Arial"/>
          <w:lang w:val="en-US"/>
        </w:rPr>
        <w:t>(</w:t>
      </w:r>
      <w:proofErr w:type="spellStart"/>
      <w:r w:rsidR="00CF40CF">
        <w:rPr>
          <w:rFonts w:cs="Arial"/>
          <w:lang w:val="en-US"/>
        </w:rPr>
        <w:t>photooxidative</w:t>
      </w:r>
      <w:proofErr w:type="spellEnd"/>
      <w:r w:rsidR="00CF40CF" w:rsidRPr="00CF40CF">
        <w:rPr>
          <w:rFonts w:cs="Arial"/>
          <w:lang w:val="en-US"/>
        </w:rPr>
        <w:t xml:space="preserve"> stress)</w:t>
      </w:r>
      <w:r w:rsidR="00CF40CF">
        <w:rPr>
          <w:rFonts w:cs="Arial"/>
          <w:lang w:val="en-US"/>
        </w:rPr>
        <w:t xml:space="preserve"> </w:t>
      </w:r>
      <w:r w:rsidRPr="00A26E9E">
        <w:rPr>
          <w:rFonts w:cs="Arial"/>
          <w:lang w:val="en-US"/>
        </w:rPr>
        <w:t xml:space="preserve">that interact with </w:t>
      </w:r>
      <w:proofErr w:type="spellStart"/>
      <w:r w:rsidRPr="00A26E9E">
        <w:rPr>
          <w:rFonts w:cs="Arial"/>
          <w:lang w:val="en-US"/>
        </w:rPr>
        <w:t>lipidic</w:t>
      </w:r>
      <w:proofErr w:type="spellEnd"/>
      <w:r w:rsidRPr="00A26E9E">
        <w:rPr>
          <w:rFonts w:cs="Arial"/>
          <w:lang w:val="en-US"/>
        </w:rPr>
        <w:t xml:space="preserve"> substances, which leads to the appearance of lipid radicals:</w:t>
      </w:r>
    </w:p>
    <w:p w:rsidR="00B550B0" w:rsidRPr="007F67B1" w:rsidRDefault="00CF40CF" w:rsidP="00A26E9E">
      <w:pPr>
        <w:shd w:val="clear" w:color="auto" w:fill="FFFFFF"/>
        <w:spacing w:line="240" w:lineRule="auto"/>
        <w:rPr>
          <w:rFonts w:cs="Arial"/>
          <w:lang w:val="en-US"/>
        </w:rPr>
      </w:pPr>
      <w:proofErr w:type="gramStart"/>
      <w:r w:rsidRPr="00CF40CF">
        <w:rPr>
          <w:rFonts w:cs="Arial"/>
          <w:lang w:val="en-US"/>
        </w:rPr>
        <w:lastRenderedPageBreak/>
        <w:t>photon</w:t>
      </w:r>
      <w:proofErr w:type="gramEnd"/>
      <w:r w:rsidRPr="00CF40CF">
        <w:rPr>
          <w:rFonts w:cs="Arial"/>
          <w:lang w:val="en-US"/>
        </w:rPr>
        <w:t xml:space="preserve"> flux initiates the formation of reacti</w:t>
      </w:r>
      <w:r>
        <w:rPr>
          <w:rFonts w:cs="Arial"/>
          <w:lang w:val="en-US"/>
        </w:rPr>
        <w:t>ve oxygen species</w:t>
      </w:r>
      <w:r w:rsidRPr="00CF40CF">
        <w:rPr>
          <w:rFonts w:cs="Arial"/>
          <w:lang w:val="en-US"/>
        </w:rPr>
        <w:t xml:space="preserve">, which interact with substances of lipid nature: the </w:t>
      </w:r>
      <w:r>
        <w:rPr>
          <w:rFonts w:cs="Arial"/>
          <w:lang w:val="en-US"/>
        </w:rPr>
        <w:t>interaction of conjugated</w:t>
      </w:r>
      <w:r w:rsidRPr="00CF40CF">
        <w:rPr>
          <w:rFonts w:cs="Arial"/>
          <w:lang w:val="en-US"/>
        </w:rPr>
        <w:t xml:space="preserve"> fatty acids </w:t>
      </w:r>
      <w:r>
        <w:rPr>
          <w:rFonts w:cs="Arial"/>
          <w:lang w:val="en-US"/>
        </w:rPr>
        <w:t>with</w:t>
      </w:r>
      <w:r w:rsidRPr="00CF40CF">
        <w:rPr>
          <w:rFonts w:cs="Arial"/>
          <w:lang w:val="en-US"/>
        </w:rPr>
        <w:t xml:space="preserve"> НО* и НО</w:t>
      </w:r>
      <w:r w:rsidRPr="00CF40CF">
        <w:rPr>
          <w:rFonts w:cs="Arial"/>
          <w:vertAlign w:val="subscript"/>
          <w:lang w:val="en-US"/>
        </w:rPr>
        <w:t>2</w:t>
      </w:r>
      <w:r w:rsidRPr="00CF40CF">
        <w:rPr>
          <w:rFonts w:cs="Arial"/>
          <w:lang w:val="en-US"/>
        </w:rPr>
        <w:t>* (active oxygen species) occurs, which leads to t</w:t>
      </w:r>
      <w:r w:rsidR="00B550B0">
        <w:rPr>
          <w:rFonts w:cs="Arial"/>
          <w:lang w:val="en-US"/>
        </w:rPr>
        <w:t>he appearance of lipid radicals</w:t>
      </w:r>
      <w:r w:rsidR="00B550B0" w:rsidRPr="00B550B0">
        <w:rPr>
          <w:rFonts w:cs="Arial"/>
          <w:lang w:val="en-US"/>
        </w:rPr>
        <w:t xml:space="preserve">. </w:t>
      </w:r>
    </w:p>
    <w:p w:rsidR="00B550B0" w:rsidRPr="00A43824" w:rsidRDefault="00B550B0" w:rsidP="00B550B0">
      <w:pPr>
        <w:pStyle w:val="2e"/>
        <w:rPr>
          <w:rFonts w:cs="Arial"/>
          <w:i w:val="0"/>
          <w:szCs w:val="18"/>
          <w:lang w:val="en-US"/>
        </w:rPr>
      </w:pPr>
      <w:proofErr w:type="gramStart"/>
      <w:r w:rsidRPr="00A43824">
        <w:rPr>
          <w:i w:val="0"/>
          <w:lang w:val="en-US"/>
        </w:rPr>
        <w:t>L</w:t>
      </w:r>
      <w:r w:rsidR="00BF7641" w:rsidRPr="00615E13">
        <w:rPr>
          <w:rFonts w:cs="Arial"/>
          <w:lang w:val="en-US"/>
        </w:rPr>
        <w:t>–</w:t>
      </w:r>
      <w:r w:rsidRPr="00A43824">
        <w:rPr>
          <w:i w:val="0"/>
          <w:lang w:val="en-US"/>
        </w:rPr>
        <w:t>H+HO</w:t>
      </w:r>
      <w:r w:rsidRPr="00A43824">
        <w:rPr>
          <w:i w:val="0"/>
          <w:vertAlign w:val="superscript"/>
          <w:lang w:val="en-US"/>
        </w:rPr>
        <w:t>*</w:t>
      </w:r>
      <w:r w:rsidRPr="00A43824">
        <w:rPr>
          <w:i w:val="0"/>
        </w:rPr>
        <w:sym w:font="Symbol" w:char="F0AE"/>
      </w:r>
      <w:r w:rsidRPr="00A43824">
        <w:rPr>
          <w:i w:val="0"/>
          <w:lang w:val="en-US"/>
        </w:rPr>
        <w:t>H</w:t>
      </w:r>
      <w:r w:rsidRPr="00A43824">
        <w:rPr>
          <w:i w:val="0"/>
          <w:vertAlign w:val="subscript"/>
          <w:lang w:val="en-US"/>
        </w:rPr>
        <w:t>2</w:t>
      </w:r>
      <w:r w:rsidRPr="00A43824">
        <w:rPr>
          <w:i w:val="0"/>
          <w:lang w:val="en-US"/>
        </w:rPr>
        <w:t>O+L</w:t>
      </w:r>
      <w:r w:rsidRPr="00A43824">
        <w:rPr>
          <w:i w:val="0"/>
          <w:vertAlign w:val="superscript"/>
          <w:lang w:val="en-US"/>
        </w:rPr>
        <w:t>*</w:t>
      </w:r>
      <w:r w:rsidRPr="00A43824">
        <w:rPr>
          <w:i w:val="0"/>
          <w:lang w:val="en-US"/>
        </w:rPr>
        <w:t>.</w:t>
      </w:r>
      <w:proofErr w:type="gramEnd"/>
    </w:p>
    <w:p w:rsidR="00CF40CF" w:rsidRPr="00307C79" w:rsidRDefault="00307C79" w:rsidP="00A26E9E">
      <w:pPr>
        <w:shd w:val="clear" w:color="auto" w:fill="FFFFFF"/>
        <w:spacing w:line="240" w:lineRule="auto"/>
        <w:rPr>
          <w:rFonts w:cs="Arial"/>
          <w:lang w:val="en-US"/>
        </w:rPr>
      </w:pPr>
      <w:r>
        <w:rPr>
          <w:rFonts w:cs="Arial"/>
          <w:lang w:val="en-US"/>
        </w:rPr>
        <w:t>Long</w:t>
      </w:r>
      <w:r w:rsidRPr="00307C79">
        <w:rPr>
          <w:rFonts w:cs="Arial"/>
          <w:lang w:val="en-US"/>
        </w:rPr>
        <w:t>-</w:t>
      </w:r>
      <w:r>
        <w:rPr>
          <w:rFonts w:cs="Arial"/>
          <w:lang w:val="en-US"/>
        </w:rPr>
        <w:t>chain</w:t>
      </w:r>
      <w:r w:rsidRPr="00307C79">
        <w:rPr>
          <w:rFonts w:cs="Arial"/>
          <w:lang w:val="en-US"/>
        </w:rPr>
        <w:t xml:space="preserve"> </w:t>
      </w:r>
      <w:r>
        <w:rPr>
          <w:rFonts w:cs="Arial"/>
          <w:lang w:val="en-US"/>
        </w:rPr>
        <w:t>alcohols</w:t>
      </w:r>
      <w:r w:rsidR="007F6E80" w:rsidRPr="00307C79">
        <w:rPr>
          <w:rFonts w:cs="Arial"/>
          <w:lang w:val="en-US"/>
        </w:rPr>
        <w:t xml:space="preserve"> (</w:t>
      </w:r>
      <w:r w:rsidRPr="00307C79">
        <w:rPr>
          <w:rFonts w:cs="Arial"/>
          <w:lang w:val="en-US"/>
        </w:rPr>
        <w:t>most likely unsaturated</w:t>
      </w:r>
      <w:r w:rsidR="007F6E80" w:rsidRPr="00307C79">
        <w:rPr>
          <w:rFonts w:cs="Arial"/>
          <w:lang w:val="en-US"/>
        </w:rPr>
        <w:t>)</w:t>
      </w:r>
      <w:r w:rsidR="00B550B0" w:rsidRPr="00307C79">
        <w:rPr>
          <w:rFonts w:cs="Arial"/>
          <w:lang w:val="en-US"/>
        </w:rPr>
        <w:t xml:space="preserve"> </w:t>
      </w:r>
      <w:r w:rsidRPr="00307C79">
        <w:rPr>
          <w:rFonts w:cs="Arial"/>
          <w:lang w:val="en-US"/>
        </w:rPr>
        <w:t>will be oxidized at the site of double bonds with formation of cyclic peroxide with high reactivity:</w:t>
      </w:r>
    </w:p>
    <w:p w:rsidR="00D00C77" w:rsidRPr="00307C79" w:rsidRDefault="00310EE7" w:rsidP="00A26E9E">
      <w:pPr>
        <w:shd w:val="clear" w:color="auto" w:fill="FFFFFF"/>
        <w:spacing w:line="240" w:lineRule="auto"/>
        <w:rPr>
          <w:rFonts w:cs="Arial"/>
          <w:lang w:val="ru-RU"/>
        </w:rPr>
      </w:pPr>
      <w:r w:rsidRPr="00307C79">
        <w:rPr>
          <w:rFonts w:cs="Arial"/>
          <w:lang w:val="ru-RU"/>
        </w:rPr>
        <w:t>–</w:t>
      </w:r>
      <w:r w:rsidR="00D00C77" w:rsidRPr="00307C79">
        <w:rPr>
          <w:rFonts w:cs="Arial"/>
          <w:lang w:val="ru-RU"/>
        </w:rPr>
        <w:t>СН=СН</w:t>
      </w:r>
      <w:r w:rsidRPr="00307C79">
        <w:rPr>
          <w:rFonts w:cs="Arial"/>
          <w:lang w:val="ru-RU"/>
        </w:rPr>
        <w:t>–</w:t>
      </w:r>
      <w:r w:rsidR="00D00C77" w:rsidRPr="00307C79">
        <w:rPr>
          <w:rFonts w:cs="Arial"/>
          <w:lang w:val="ru-RU"/>
        </w:rPr>
        <w:t xml:space="preserve"> + </w:t>
      </w:r>
      <w:r w:rsidRPr="00307C79">
        <w:rPr>
          <w:rFonts w:cs="Arial"/>
          <w:lang w:val="ru-RU"/>
        </w:rPr>
        <w:t>–</w:t>
      </w:r>
      <w:r w:rsidR="00D00C77" w:rsidRPr="00307C79">
        <w:rPr>
          <w:rFonts w:cs="Arial"/>
          <w:lang w:val="ru-RU"/>
        </w:rPr>
        <w:t>О</w:t>
      </w:r>
      <w:r w:rsidRPr="00307C79">
        <w:rPr>
          <w:rFonts w:cs="Arial"/>
          <w:lang w:val="ru-RU"/>
        </w:rPr>
        <w:t>–</w:t>
      </w:r>
      <w:r w:rsidR="00D00C77" w:rsidRPr="00307C79">
        <w:rPr>
          <w:rFonts w:cs="Arial"/>
          <w:lang w:val="ru-RU"/>
        </w:rPr>
        <w:t>О</w:t>
      </w:r>
      <w:r w:rsidRPr="00307C79">
        <w:rPr>
          <w:rFonts w:cs="Arial"/>
          <w:lang w:val="ru-RU"/>
        </w:rPr>
        <w:t>–</w:t>
      </w:r>
      <w:r w:rsidR="00D00C77" w:rsidRPr="00307C79">
        <w:rPr>
          <w:rFonts w:cs="Arial"/>
          <w:lang w:val="ru-RU"/>
        </w:rPr>
        <w:t xml:space="preserve"> → </w:t>
      </w:r>
      <w:r w:rsidRPr="00307C79">
        <w:rPr>
          <w:rFonts w:cs="Arial"/>
          <w:lang w:val="ru-RU"/>
        </w:rPr>
        <w:t>–</w:t>
      </w:r>
      <w:r w:rsidR="00D00C77" w:rsidRPr="00307C79">
        <w:rPr>
          <w:rFonts w:cs="Arial"/>
          <w:lang w:val="ru-RU"/>
        </w:rPr>
        <w:t xml:space="preserve">СН–СН </w:t>
      </w:r>
      <w:bookmarkStart w:id="17" w:name="OLE_LINK1"/>
      <w:bookmarkStart w:id="18" w:name="OLE_LINK2"/>
      <w:r w:rsidR="00D00C77" w:rsidRPr="00307C79">
        <w:rPr>
          <w:rFonts w:cs="Arial"/>
          <w:lang w:val="ru-RU"/>
        </w:rPr>
        <w:t>–</w:t>
      </w:r>
      <w:bookmarkEnd w:id="17"/>
      <w:bookmarkEnd w:id="18"/>
    </w:p>
    <w:p w:rsidR="00D00C77" w:rsidRPr="00307C79" w:rsidRDefault="00D00C77" w:rsidP="00A26E9E">
      <w:pPr>
        <w:shd w:val="clear" w:color="auto" w:fill="FFFFFF"/>
        <w:spacing w:line="240" w:lineRule="auto"/>
        <w:rPr>
          <w:rFonts w:cs="Arial"/>
          <w:lang w:val="en-US"/>
        </w:rPr>
      </w:pPr>
      <w:r w:rsidRPr="00307C79">
        <w:rPr>
          <w:rFonts w:cs="Arial"/>
          <w:lang w:val="ru-RU"/>
        </w:rPr>
        <w:t xml:space="preserve">                              </w:t>
      </w:r>
      <w:r w:rsidR="00310EE7">
        <w:rPr>
          <w:rFonts w:cs="Arial"/>
          <w:lang w:val="ru-RU"/>
        </w:rPr>
        <w:t xml:space="preserve"> </w:t>
      </w:r>
      <w:r w:rsidRPr="00307C79">
        <w:rPr>
          <w:rFonts w:cs="Arial"/>
          <w:lang w:val="ru-RU"/>
        </w:rPr>
        <w:t xml:space="preserve">  </w:t>
      </w:r>
      <w:r w:rsidR="00310EE7">
        <w:rPr>
          <w:rFonts w:cs="Arial"/>
          <w:lang w:val="ru-RU"/>
        </w:rPr>
        <w:t xml:space="preserve"> </w:t>
      </w:r>
      <w:r w:rsidRPr="00307C79">
        <w:rPr>
          <w:rFonts w:cs="Arial"/>
          <w:lang w:val="ru-RU"/>
        </w:rPr>
        <w:t xml:space="preserve">    </w:t>
      </w:r>
      <w:r w:rsidR="00BA3C25">
        <w:rPr>
          <w:rFonts w:cs="Arial"/>
          <w:lang w:val="ru-RU"/>
        </w:rPr>
        <w:t xml:space="preserve"> </w:t>
      </w:r>
      <w:r w:rsidRPr="00307C79">
        <w:rPr>
          <w:rFonts w:cs="Arial"/>
          <w:lang w:val="ru-RU"/>
        </w:rPr>
        <w:t xml:space="preserve"> Ι</w:t>
      </w:r>
      <w:r w:rsidRPr="00307C79">
        <w:rPr>
          <w:rFonts w:cs="Arial"/>
          <w:lang w:val="en-US"/>
        </w:rPr>
        <w:t xml:space="preserve">      </w:t>
      </w:r>
      <w:r w:rsidRPr="00307C79">
        <w:rPr>
          <w:rFonts w:cs="Arial"/>
          <w:lang w:val="ru-RU"/>
        </w:rPr>
        <w:t>Ι</w:t>
      </w:r>
    </w:p>
    <w:p w:rsidR="00D00C77" w:rsidRPr="00307C79" w:rsidRDefault="00D00C77" w:rsidP="00A26E9E">
      <w:pPr>
        <w:shd w:val="clear" w:color="auto" w:fill="FFFFFF"/>
        <w:spacing w:line="240" w:lineRule="auto"/>
        <w:rPr>
          <w:rFonts w:cs="Arial"/>
          <w:lang w:val="en-US"/>
        </w:rPr>
      </w:pPr>
      <w:r w:rsidRPr="00307C79">
        <w:rPr>
          <w:rFonts w:cs="Arial"/>
          <w:lang w:val="en-US"/>
        </w:rPr>
        <w:t xml:space="preserve">                                   </w:t>
      </w:r>
      <w:r w:rsidR="00310EE7" w:rsidRPr="00615E13">
        <w:rPr>
          <w:rFonts w:cs="Arial"/>
          <w:lang w:val="en-US"/>
        </w:rPr>
        <w:t xml:space="preserve"> </w:t>
      </w:r>
      <w:r w:rsidRPr="00307C79">
        <w:rPr>
          <w:rFonts w:cs="Arial"/>
          <w:lang w:val="en-US"/>
        </w:rPr>
        <w:t xml:space="preserve"> </w:t>
      </w:r>
      <w:r w:rsidR="00BA3C25" w:rsidRPr="00615E13">
        <w:rPr>
          <w:rFonts w:cs="Arial"/>
          <w:lang w:val="en-US"/>
        </w:rPr>
        <w:t xml:space="preserve"> </w:t>
      </w:r>
      <w:r w:rsidR="00310EE7" w:rsidRPr="00615E13">
        <w:rPr>
          <w:rFonts w:cs="Arial"/>
          <w:lang w:val="en-US"/>
        </w:rPr>
        <w:t xml:space="preserve"> </w:t>
      </w:r>
      <w:r w:rsidRPr="00307C79">
        <w:rPr>
          <w:rFonts w:cs="Arial"/>
          <w:lang w:val="ru-RU"/>
        </w:rPr>
        <w:t>О</w:t>
      </w:r>
      <w:r w:rsidRPr="00307C79">
        <w:rPr>
          <w:rFonts w:cs="Arial"/>
          <w:lang w:val="en-US"/>
        </w:rPr>
        <w:t xml:space="preserve"> – </w:t>
      </w:r>
      <w:r w:rsidRPr="00307C79">
        <w:rPr>
          <w:rFonts w:cs="Arial"/>
          <w:lang w:val="ru-RU"/>
        </w:rPr>
        <w:t>О</w:t>
      </w:r>
    </w:p>
    <w:p w:rsidR="0066498D" w:rsidRDefault="0066498D" w:rsidP="00430533">
      <w:pPr>
        <w:pStyle w:val="3b"/>
        <w:spacing w:after="0" w:line="240" w:lineRule="auto"/>
        <w:ind w:left="0"/>
        <w:jc w:val="both"/>
        <w:rPr>
          <w:rFonts w:ascii="Arial" w:hAnsi="Arial" w:cs="Arial"/>
          <w:sz w:val="18"/>
          <w:szCs w:val="18"/>
          <w:lang w:val="en-US"/>
        </w:rPr>
      </w:pPr>
      <w:r w:rsidRPr="002C2205">
        <w:rPr>
          <w:rFonts w:ascii="Arial" w:hAnsi="Arial" w:cs="Arial"/>
          <w:sz w:val="18"/>
          <w:szCs w:val="18"/>
          <w:lang w:val="en-US"/>
        </w:rPr>
        <w:t xml:space="preserve">Lipid radicals react with oxygen molecules to form </w:t>
      </w:r>
      <w:proofErr w:type="spellStart"/>
      <w:r w:rsidRPr="002C2205">
        <w:rPr>
          <w:rFonts w:ascii="Arial" w:hAnsi="Arial" w:cs="Arial"/>
          <w:sz w:val="18"/>
          <w:szCs w:val="18"/>
          <w:lang w:val="en-US"/>
        </w:rPr>
        <w:t>peroxyl</w:t>
      </w:r>
      <w:proofErr w:type="spellEnd"/>
      <w:r w:rsidRPr="002C2205">
        <w:rPr>
          <w:rFonts w:ascii="Arial" w:hAnsi="Arial" w:cs="Arial"/>
          <w:sz w:val="18"/>
          <w:szCs w:val="18"/>
          <w:lang w:val="en-US"/>
        </w:rPr>
        <w:t xml:space="preserve"> radicals that interact with new molecules containing unsaturated fatty acids, resulting in the appearance of lipid peroxides:</w:t>
      </w:r>
    </w:p>
    <w:p w:rsidR="0066498D" w:rsidRPr="00A43824" w:rsidRDefault="0066498D" w:rsidP="00CF40CF">
      <w:pPr>
        <w:pStyle w:val="2e"/>
        <w:rPr>
          <w:rFonts w:cs="Arial"/>
          <w:i w:val="0"/>
          <w:szCs w:val="18"/>
          <w:lang w:val="en-US"/>
        </w:rPr>
      </w:pPr>
      <w:r w:rsidRPr="00A43824">
        <w:rPr>
          <w:i w:val="0"/>
          <w:lang w:val="en-US"/>
        </w:rPr>
        <w:t>L</w:t>
      </w:r>
      <w:r w:rsidRPr="00A43824">
        <w:rPr>
          <w:i w:val="0"/>
          <w:vertAlign w:val="superscript"/>
          <w:lang w:val="en-US"/>
        </w:rPr>
        <w:t>*</w:t>
      </w:r>
      <w:r w:rsidRPr="00A43824">
        <w:rPr>
          <w:i w:val="0"/>
          <w:lang w:val="en-US"/>
        </w:rPr>
        <w:t>+O</w:t>
      </w:r>
      <w:r w:rsidRPr="00A43824">
        <w:rPr>
          <w:i w:val="0"/>
          <w:vertAlign w:val="subscript"/>
          <w:lang w:val="en-US"/>
        </w:rPr>
        <w:t>2</w:t>
      </w:r>
      <w:r w:rsidRPr="00A43824">
        <w:rPr>
          <w:i w:val="0"/>
        </w:rPr>
        <w:sym w:font="Symbol" w:char="F0AE"/>
      </w:r>
      <w:r w:rsidRPr="00A43824">
        <w:rPr>
          <w:i w:val="0"/>
          <w:lang w:val="en-US"/>
        </w:rPr>
        <w:t xml:space="preserve"> (L</w:t>
      </w:r>
      <w:r w:rsidR="00BF7641" w:rsidRPr="00BF7641">
        <w:rPr>
          <w:rFonts w:cs="Arial"/>
          <w:lang w:val="en-US"/>
        </w:rPr>
        <w:t>–</w:t>
      </w:r>
      <w:r w:rsidRPr="00A43824">
        <w:rPr>
          <w:i w:val="0"/>
          <w:lang w:val="en-US"/>
        </w:rPr>
        <w:t>O</w:t>
      </w:r>
      <w:r w:rsidRPr="00A43824">
        <w:rPr>
          <w:i w:val="0"/>
          <w:vertAlign w:val="subscript"/>
          <w:lang w:val="en-US"/>
        </w:rPr>
        <w:t>2</w:t>
      </w:r>
      <w:r w:rsidRPr="00A43824">
        <w:rPr>
          <w:i w:val="0"/>
          <w:lang w:val="en-US"/>
        </w:rPr>
        <w:t>)</w:t>
      </w:r>
      <w:r w:rsidRPr="00A43824">
        <w:rPr>
          <w:i w:val="0"/>
          <w:vertAlign w:val="superscript"/>
          <w:lang w:val="en-US"/>
        </w:rPr>
        <w:t>*</w:t>
      </w:r>
      <w:proofErr w:type="gramStart"/>
      <w:r w:rsidRPr="00A43824">
        <w:rPr>
          <w:i w:val="0"/>
          <w:lang w:val="en-US"/>
        </w:rPr>
        <w:t>;  L</w:t>
      </w:r>
      <w:proofErr w:type="gramEnd"/>
      <w:r w:rsidRPr="00A43824">
        <w:rPr>
          <w:i w:val="0"/>
          <w:vertAlign w:val="superscript"/>
          <w:lang w:val="en-US"/>
        </w:rPr>
        <w:t>*</w:t>
      </w:r>
      <w:r w:rsidR="00BF7641" w:rsidRPr="00BF7641">
        <w:rPr>
          <w:rFonts w:cs="Arial"/>
          <w:lang w:val="en-US"/>
        </w:rPr>
        <w:t>–</w:t>
      </w:r>
      <w:r w:rsidRPr="00A43824">
        <w:rPr>
          <w:i w:val="0"/>
          <w:lang w:val="en-US"/>
        </w:rPr>
        <w:t>O</w:t>
      </w:r>
      <w:r w:rsidRPr="00A43824">
        <w:rPr>
          <w:i w:val="0"/>
          <w:vertAlign w:val="subscript"/>
          <w:lang w:val="en-US"/>
        </w:rPr>
        <w:t>2</w:t>
      </w:r>
      <w:r w:rsidRPr="00A43824">
        <w:rPr>
          <w:i w:val="0"/>
          <w:lang w:val="en-US"/>
        </w:rPr>
        <w:t>+LH</w:t>
      </w:r>
      <w:r w:rsidRPr="00A43824">
        <w:rPr>
          <w:i w:val="0"/>
        </w:rPr>
        <w:sym w:font="Symbol" w:char="F0AE"/>
      </w:r>
      <w:r w:rsidRPr="00A43824">
        <w:rPr>
          <w:i w:val="0"/>
          <w:lang w:val="en-US"/>
        </w:rPr>
        <w:t xml:space="preserve"> LOOH+L</w:t>
      </w:r>
      <w:r w:rsidRPr="00A43824">
        <w:rPr>
          <w:i w:val="0"/>
          <w:vertAlign w:val="superscript"/>
          <w:lang w:val="en-US"/>
        </w:rPr>
        <w:t>*</w:t>
      </w:r>
      <w:r w:rsidRPr="00A43824">
        <w:rPr>
          <w:i w:val="0"/>
          <w:lang w:val="en-US"/>
        </w:rPr>
        <w:t>.</w:t>
      </w:r>
    </w:p>
    <w:p w:rsidR="00CF40CF" w:rsidRDefault="00CF40CF" w:rsidP="00430533">
      <w:pPr>
        <w:pStyle w:val="3b"/>
        <w:spacing w:after="0" w:line="240" w:lineRule="auto"/>
        <w:ind w:left="0"/>
        <w:jc w:val="both"/>
        <w:rPr>
          <w:rStyle w:val="CETBodytextCarattere"/>
          <w:sz w:val="18"/>
        </w:rPr>
      </w:pPr>
      <w:r w:rsidRPr="00CF40CF">
        <w:rPr>
          <w:rStyle w:val="CETBodytextCarattere"/>
          <w:sz w:val="18"/>
        </w:rPr>
        <w:t xml:space="preserve">Lipid </w:t>
      </w:r>
      <w:proofErr w:type="spellStart"/>
      <w:r w:rsidRPr="00CF40CF">
        <w:rPr>
          <w:rStyle w:val="CETBodytextCarattere"/>
          <w:sz w:val="18"/>
        </w:rPr>
        <w:t>hydroperoxides</w:t>
      </w:r>
      <w:proofErr w:type="spellEnd"/>
      <w:r w:rsidRPr="00CF40CF">
        <w:rPr>
          <w:rStyle w:val="CETBodytextCarattere"/>
          <w:sz w:val="18"/>
        </w:rPr>
        <w:t xml:space="preserve"> in interaction with transition metals in the culture fluid or inside cells also turn into active radicals, which continue the chain of lipid oxidation: </w:t>
      </w:r>
    </w:p>
    <w:p w:rsidR="00CF40CF" w:rsidRPr="00A43824" w:rsidRDefault="00CF40CF" w:rsidP="00CF40CF">
      <w:pPr>
        <w:pStyle w:val="2e"/>
        <w:rPr>
          <w:rStyle w:val="CETBodytextCarattere"/>
          <w:rFonts w:cs="Arial"/>
          <w:i w:val="0"/>
          <w:sz w:val="18"/>
        </w:rPr>
      </w:pPr>
      <w:r w:rsidRPr="00A43824">
        <w:rPr>
          <w:rStyle w:val="CETBodytextCarattere"/>
          <w:i w:val="0"/>
          <w:sz w:val="18"/>
        </w:rPr>
        <w:t>LOOH+ Me</w:t>
      </w:r>
      <w:r w:rsidRPr="00A43824">
        <w:rPr>
          <w:rStyle w:val="CETBodytextCarattere"/>
          <w:i w:val="0"/>
          <w:sz w:val="18"/>
          <w:vertAlign w:val="superscript"/>
        </w:rPr>
        <w:t>2+</w:t>
      </w:r>
      <w:r w:rsidRPr="00A43824">
        <w:rPr>
          <w:rStyle w:val="CETBodytextCarattere"/>
          <w:i w:val="0"/>
          <w:sz w:val="18"/>
        </w:rPr>
        <w:t>+ Me</w:t>
      </w:r>
      <w:r w:rsidRPr="00A43824">
        <w:rPr>
          <w:rStyle w:val="CETBodytextCarattere"/>
          <w:i w:val="0"/>
          <w:sz w:val="18"/>
          <w:vertAlign w:val="superscript"/>
        </w:rPr>
        <w:t>3+</w:t>
      </w:r>
      <w:r w:rsidRPr="00A43824">
        <w:rPr>
          <w:rStyle w:val="CETBodytextCarattere"/>
          <w:i w:val="0"/>
          <w:sz w:val="18"/>
        </w:rPr>
        <w:t>→OH</w:t>
      </w:r>
      <w:r w:rsidRPr="00A43824">
        <w:rPr>
          <w:rStyle w:val="CETBodytextCarattere"/>
          <w:i w:val="0"/>
          <w:sz w:val="18"/>
          <w:vertAlign w:val="superscript"/>
        </w:rPr>
        <w:t>-</w:t>
      </w:r>
      <w:proofErr w:type="gramStart"/>
      <w:r w:rsidRPr="00A43824">
        <w:rPr>
          <w:rStyle w:val="CETBodytextCarattere"/>
          <w:i w:val="0"/>
          <w:sz w:val="18"/>
        </w:rPr>
        <w:t>+(</w:t>
      </w:r>
      <w:proofErr w:type="gramEnd"/>
      <w:r w:rsidRPr="00A43824">
        <w:rPr>
          <w:rStyle w:val="CETBodytextCarattere"/>
          <w:i w:val="0"/>
          <w:sz w:val="18"/>
        </w:rPr>
        <w:t>L</w:t>
      </w:r>
      <w:r w:rsidR="00BF7641" w:rsidRPr="00BF7641">
        <w:rPr>
          <w:rFonts w:cs="Arial"/>
          <w:lang w:val="en-US"/>
        </w:rPr>
        <w:t>–</w:t>
      </w:r>
      <w:r w:rsidRPr="00A43824">
        <w:rPr>
          <w:rStyle w:val="CETBodytextCarattere"/>
          <w:i w:val="0"/>
          <w:sz w:val="18"/>
        </w:rPr>
        <w:t xml:space="preserve">O) </w:t>
      </w:r>
      <w:r w:rsidRPr="00A43824">
        <w:rPr>
          <w:i w:val="0"/>
          <w:vertAlign w:val="superscript"/>
          <w:lang w:val="en-US"/>
        </w:rPr>
        <w:t>*</w:t>
      </w:r>
    </w:p>
    <w:p w:rsidR="00CF40CF" w:rsidRPr="00A43824" w:rsidRDefault="00CF40CF" w:rsidP="00CF40CF">
      <w:pPr>
        <w:pStyle w:val="2e"/>
        <w:rPr>
          <w:rStyle w:val="CETBodytextCarattere"/>
          <w:rFonts w:cs="Arial"/>
          <w:i w:val="0"/>
          <w:sz w:val="18"/>
        </w:rPr>
      </w:pPr>
      <w:r w:rsidRPr="00A43824">
        <w:rPr>
          <w:rStyle w:val="CETBodytextCarattere"/>
          <w:rFonts w:cs="Arial"/>
          <w:i w:val="0"/>
          <w:sz w:val="18"/>
        </w:rPr>
        <w:t>(L</w:t>
      </w:r>
      <w:r w:rsidR="00BF7641" w:rsidRPr="00615E13">
        <w:rPr>
          <w:rFonts w:cs="Arial"/>
          <w:lang w:val="en-US"/>
        </w:rPr>
        <w:t>–</w:t>
      </w:r>
      <w:r w:rsidRPr="00A43824">
        <w:rPr>
          <w:rStyle w:val="CETBodytextCarattere"/>
          <w:rFonts w:cs="Arial"/>
          <w:i w:val="0"/>
          <w:sz w:val="18"/>
        </w:rPr>
        <w:t xml:space="preserve">O) </w:t>
      </w:r>
      <w:r w:rsidRPr="00A43824">
        <w:rPr>
          <w:i w:val="0"/>
          <w:vertAlign w:val="superscript"/>
          <w:lang w:val="en-US"/>
        </w:rPr>
        <w:t>*</w:t>
      </w:r>
      <w:r w:rsidRPr="00A43824">
        <w:rPr>
          <w:rStyle w:val="CETBodytextCarattere"/>
          <w:rFonts w:cs="Arial"/>
          <w:i w:val="0"/>
          <w:sz w:val="18"/>
        </w:rPr>
        <w:t xml:space="preserve"> +L</w:t>
      </w:r>
      <w:r w:rsidR="00BF7641" w:rsidRPr="00615E13">
        <w:rPr>
          <w:rFonts w:cs="Arial"/>
          <w:lang w:val="en-US"/>
        </w:rPr>
        <w:t>–</w:t>
      </w:r>
      <w:r w:rsidRPr="00A43824">
        <w:rPr>
          <w:rStyle w:val="CETBodytextCarattere"/>
          <w:rFonts w:cs="Arial"/>
          <w:i w:val="0"/>
          <w:sz w:val="18"/>
        </w:rPr>
        <w:t>H→L</w:t>
      </w:r>
      <w:r w:rsidR="00BF7641" w:rsidRPr="00615E13">
        <w:rPr>
          <w:rFonts w:cs="Arial"/>
          <w:lang w:val="en-US"/>
        </w:rPr>
        <w:t>–</w:t>
      </w:r>
      <w:r w:rsidRPr="00A43824">
        <w:rPr>
          <w:rStyle w:val="CETBodytextCarattere"/>
          <w:rFonts w:cs="Arial"/>
          <w:i w:val="0"/>
          <w:sz w:val="18"/>
        </w:rPr>
        <w:t>OH +L</w:t>
      </w:r>
      <w:r w:rsidRPr="00A43824">
        <w:rPr>
          <w:i w:val="0"/>
          <w:vertAlign w:val="superscript"/>
          <w:lang w:val="en-US"/>
        </w:rPr>
        <w:t>*</w:t>
      </w:r>
    </w:p>
    <w:p w:rsidR="0066498D" w:rsidRPr="00BC6E7D" w:rsidRDefault="0066498D" w:rsidP="00CF40CF">
      <w:pPr>
        <w:pStyle w:val="3b"/>
        <w:spacing w:after="0" w:line="240" w:lineRule="auto"/>
        <w:ind w:left="0"/>
        <w:jc w:val="both"/>
        <w:rPr>
          <w:rFonts w:ascii="Arial" w:hAnsi="Arial" w:cs="Arial"/>
          <w:sz w:val="18"/>
          <w:szCs w:val="18"/>
          <w:lang w:val="en-US"/>
        </w:rPr>
      </w:pPr>
      <w:r w:rsidRPr="00430533">
        <w:rPr>
          <w:rStyle w:val="CETBodytextCarattere"/>
          <w:sz w:val="18"/>
        </w:rPr>
        <w:t>The high speed of these reactions suppresses the antioxidant system of bacteria, so large quantities of</w:t>
      </w:r>
      <w:r>
        <w:rPr>
          <w:rStyle w:val="CETBodytextCarattere"/>
          <w:sz w:val="18"/>
        </w:rPr>
        <w:t xml:space="preserve"> the formed</w:t>
      </w:r>
      <w:r w:rsidRPr="00430533">
        <w:rPr>
          <w:rStyle w:val="CETBodytextCarattere"/>
          <w:sz w:val="18"/>
        </w:rPr>
        <w:t xml:space="preserve"> lipid radicals violate the structure of molecules of proteins and nucleic acids, which leads to a </w:t>
      </w:r>
      <w:r w:rsidRPr="00430533">
        <w:rPr>
          <w:rFonts w:ascii="Arial" w:hAnsi="Arial" w:cs="Arial"/>
          <w:sz w:val="18"/>
          <w:szCs w:val="18"/>
          <w:lang w:val="en-US"/>
        </w:rPr>
        <w:t>metabolism</w:t>
      </w:r>
      <w:r>
        <w:rPr>
          <w:rFonts w:ascii="Arial" w:hAnsi="Arial" w:cs="Arial"/>
          <w:sz w:val="18"/>
          <w:szCs w:val="18"/>
          <w:lang w:val="en-US"/>
        </w:rPr>
        <w:t xml:space="preserve"> disorder</w:t>
      </w:r>
      <w:r w:rsidRPr="00430533">
        <w:rPr>
          <w:rFonts w:ascii="Arial" w:hAnsi="Arial" w:cs="Arial"/>
          <w:sz w:val="18"/>
          <w:szCs w:val="18"/>
          <w:lang w:val="en-US"/>
        </w:rPr>
        <w:t xml:space="preserve"> and cell death. </w:t>
      </w:r>
    </w:p>
    <w:p w:rsidR="00B550B0" w:rsidRPr="001B079A" w:rsidRDefault="001B079A" w:rsidP="00B550B0">
      <w:pPr>
        <w:rPr>
          <w:rFonts w:eastAsia="Calibri"/>
          <w:szCs w:val="18"/>
          <w:lang w:val="en-US"/>
        </w:rPr>
      </w:pPr>
      <w:r w:rsidRPr="001B079A">
        <w:rPr>
          <w:rFonts w:eastAsia="Calibri"/>
          <w:szCs w:val="18"/>
          <w:lang w:val="en-US"/>
        </w:rPr>
        <w:t xml:space="preserve">Thus, microalgae </w:t>
      </w:r>
      <w:proofErr w:type="spellStart"/>
      <w:r w:rsidRPr="001B079A">
        <w:rPr>
          <w:rFonts w:eastAsia="Calibri"/>
          <w:szCs w:val="18"/>
          <w:lang w:val="en-US"/>
        </w:rPr>
        <w:t>exometabolites</w:t>
      </w:r>
      <w:proofErr w:type="spellEnd"/>
      <w:r w:rsidRPr="001B079A">
        <w:rPr>
          <w:rFonts w:eastAsia="Calibri"/>
          <w:szCs w:val="18"/>
          <w:lang w:val="en-US"/>
        </w:rPr>
        <w:t xml:space="preserve"> oxidize under the influence of light and initiate oxidation of cell membrane lipids, and the resulting active radicals also disrupt the metabolism of bacteria that make up the microflora of wastewater. This process is described by the theory of lipid peroxidation of Bach-</w:t>
      </w:r>
      <w:proofErr w:type="spellStart"/>
      <w:r w:rsidRPr="001B079A">
        <w:rPr>
          <w:rFonts w:eastAsia="Calibri"/>
          <w:szCs w:val="18"/>
          <w:lang w:val="en-US"/>
        </w:rPr>
        <w:t>Engler</w:t>
      </w:r>
      <w:proofErr w:type="spellEnd"/>
      <w:r w:rsidRPr="001B079A">
        <w:rPr>
          <w:rFonts w:eastAsia="Calibri"/>
          <w:szCs w:val="18"/>
          <w:lang w:val="en-US"/>
        </w:rPr>
        <w:t xml:space="preserve"> and branching chain reactions of Semenov </w:t>
      </w:r>
      <w:r w:rsidR="00BC6E7D" w:rsidRPr="001B079A">
        <w:rPr>
          <w:rFonts w:eastAsia="Calibri"/>
          <w:szCs w:val="18"/>
          <w:lang w:val="en-US"/>
        </w:rPr>
        <w:t>(</w:t>
      </w:r>
      <w:r>
        <w:rPr>
          <w:rFonts w:eastAsia="Calibri"/>
          <w:szCs w:val="18"/>
        </w:rPr>
        <w:t>Rubin</w:t>
      </w:r>
      <w:r w:rsidRPr="001B079A">
        <w:rPr>
          <w:rFonts w:eastAsia="Calibri"/>
          <w:szCs w:val="18"/>
          <w:lang w:val="en-US"/>
        </w:rPr>
        <w:t>, 2017</w:t>
      </w:r>
      <w:r w:rsidR="00BC6E7D" w:rsidRPr="001B079A">
        <w:rPr>
          <w:rFonts w:eastAsia="Calibri"/>
          <w:szCs w:val="18"/>
          <w:lang w:val="en-US"/>
        </w:rPr>
        <w:t xml:space="preserve">). </w:t>
      </w:r>
    </w:p>
    <w:p w:rsidR="00776211" w:rsidRPr="00776211" w:rsidRDefault="00776211" w:rsidP="00B550B0">
      <w:pPr>
        <w:rPr>
          <w:rFonts w:eastAsia="Calibri"/>
          <w:szCs w:val="18"/>
          <w:lang w:val="en-US"/>
        </w:rPr>
      </w:pPr>
      <w:r w:rsidRPr="00AC1A04">
        <w:rPr>
          <w:color w:val="000000"/>
          <w:szCs w:val="18"/>
          <w:lang w:val="en-US"/>
        </w:rPr>
        <w:t>According to the results of experiment 1, it can be concluded that the main components of the extract of microalgae culture fluid suppress the activity of symbiotic associations of opportunistic and pathogenic microorganisms at the illumina</w:t>
      </w:r>
      <w:r w:rsidR="00020D22">
        <w:rPr>
          <w:color w:val="000000"/>
          <w:szCs w:val="18"/>
          <w:lang w:val="en-US"/>
        </w:rPr>
        <w:t>nce</w:t>
      </w:r>
      <w:r w:rsidRPr="00AC1A04">
        <w:rPr>
          <w:color w:val="000000"/>
          <w:szCs w:val="18"/>
          <w:lang w:val="en-US"/>
        </w:rPr>
        <w:t xml:space="preserve"> level of 7 </w:t>
      </w:r>
      <w:proofErr w:type="spellStart"/>
      <w:r w:rsidRPr="00AC1A04">
        <w:rPr>
          <w:color w:val="000000"/>
          <w:szCs w:val="18"/>
          <w:lang w:val="en-US"/>
        </w:rPr>
        <w:t>kLx</w:t>
      </w:r>
      <w:proofErr w:type="spellEnd"/>
      <w:r w:rsidRPr="00AC1A04">
        <w:rPr>
          <w:color w:val="000000"/>
          <w:szCs w:val="18"/>
          <w:lang w:val="en-US"/>
        </w:rPr>
        <w:t>, and it is important to note that the quantitative and qualitative chemical composition of the culture fluid will vary greatly depending on the phase of cultivation of microalgae cells. Therefore, it can be assumed that the magnitude of the antibiotic effect will depend significantly on the phase of microalgae cultivation.</w:t>
      </w:r>
    </w:p>
    <w:tbl>
      <w:tblPr>
        <w:tblW w:w="0" w:type="auto"/>
        <w:tblInd w:w="108" w:type="dxa"/>
        <w:tblLayout w:type="fixed"/>
        <w:tblLook w:val="01E0" w:firstRow="1" w:lastRow="1" w:firstColumn="1" w:lastColumn="1" w:noHBand="0" w:noVBand="0"/>
      </w:tblPr>
      <w:tblGrid>
        <w:gridCol w:w="4340"/>
        <w:gridCol w:w="4480"/>
      </w:tblGrid>
      <w:tr w:rsidR="0066498D" w:rsidRPr="005B09CD" w:rsidTr="00127C21">
        <w:tc>
          <w:tcPr>
            <w:tcW w:w="4340" w:type="dxa"/>
          </w:tcPr>
          <w:p w:rsidR="00826271" w:rsidRDefault="004D4A68" w:rsidP="00826271">
            <w:pPr>
              <w:pStyle w:val="CETBodytext"/>
              <w:jc w:val="center"/>
              <w:rPr>
                <w:i/>
                <w:szCs w:val="18"/>
                <w:lang w:eastAsia="en-US"/>
              </w:rPr>
            </w:pPr>
            <w:r>
              <w:rPr>
                <w:noProof/>
                <w:lang w:val="ru-RU"/>
              </w:rPr>
              <w:drawing>
                <wp:inline distT="0" distB="0" distL="0" distR="0">
                  <wp:extent cx="2547257" cy="1920883"/>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547257" cy="1920883"/>
                          </a:xfrm>
                          <a:prstGeom prst="rect">
                            <a:avLst/>
                          </a:prstGeom>
                          <a:noFill/>
                          <a:ln w="9525">
                            <a:noFill/>
                            <a:miter lim="800000"/>
                            <a:headEnd/>
                            <a:tailEnd/>
                          </a:ln>
                        </pic:spPr>
                      </pic:pic>
                    </a:graphicData>
                  </a:graphic>
                </wp:inline>
              </w:drawing>
            </w:r>
          </w:p>
          <w:p w:rsidR="00826271" w:rsidRPr="00826271" w:rsidRDefault="00826271" w:rsidP="00826271">
            <w:pPr>
              <w:pStyle w:val="CETBodytext"/>
              <w:jc w:val="center"/>
              <w:rPr>
                <w:i/>
                <w:szCs w:val="18"/>
                <w:lang w:eastAsia="en-US"/>
              </w:rPr>
            </w:pPr>
            <w:r>
              <w:rPr>
                <w:i/>
                <w:szCs w:val="18"/>
                <w:lang w:eastAsia="en-US"/>
              </w:rPr>
              <w:t>a)</w:t>
            </w:r>
          </w:p>
        </w:tc>
        <w:tc>
          <w:tcPr>
            <w:tcW w:w="4480" w:type="dxa"/>
          </w:tcPr>
          <w:p w:rsidR="00826271" w:rsidRDefault="004D4A68" w:rsidP="00227D15">
            <w:pPr>
              <w:pStyle w:val="CETBodytext"/>
              <w:rPr>
                <w:i/>
                <w:szCs w:val="18"/>
                <w:lang w:eastAsia="en-US"/>
              </w:rPr>
            </w:pPr>
            <w:r>
              <w:rPr>
                <w:noProof/>
                <w:lang w:val="ru-RU"/>
              </w:rPr>
              <w:drawing>
                <wp:inline distT="0" distB="0" distL="0" distR="0">
                  <wp:extent cx="2590912" cy="1919672"/>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591233" cy="1919909"/>
                          </a:xfrm>
                          <a:prstGeom prst="rect">
                            <a:avLst/>
                          </a:prstGeom>
                          <a:noFill/>
                          <a:ln w="9525">
                            <a:noFill/>
                            <a:miter lim="800000"/>
                            <a:headEnd/>
                            <a:tailEnd/>
                          </a:ln>
                        </pic:spPr>
                      </pic:pic>
                    </a:graphicData>
                  </a:graphic>
                </wp:inline>
              </w:drawing>
            </w:r>
          </w:p>
          <w:p w:rsidR="0066498D" w:rsidRPr="005B09CD" w:rsidRDefault="0066498D" w:rsidP="00826271">
            <w:pPr>
              <w:pStyle w:val="CETBodytext"/>
              <w:jc w:val="center"/>
              <w:rPr>
                <w:i/>
                <w:szCs w:val="18"/>
                <w:lang w:val="ru-RU" w:eastAsia="en-US"/>
              </w:rPr>
            </w:pPr>
            <w:r>
              <w:rPr>
                <w:i/>
                <w:szCs w:val="18"/>
                <w:lang w:eastAsia="en-US"/>
              </w:rPr>
              <w:t>b</w:t>
            </w:r>
            <w:r>
              <w:rPr>
                <w:i/>
                <w:szCs w:val="18"/>
                <w:lang w:val="ru-RU" w:eastAsia="en-US"/>
              </w:rPr>
              <w:t>)</w:t>
            </w:r>
          </w:p>
        </w:tc>
      </w:tr>
      <w:tr w:rsidR="0066498D" w:rsidRPr="00B636D9" w:rsidTr="00127C21">
        <w:tc>
          <w:tcPr>
            <w:tcW w:w="8820" w:type="dxa"/>
            <w:gridSpan w:val="2"/>
          </w:tcPr>
          <w:p w:rsidR="0066498D" w:rsidRPr="00B636D9" w:rsidRDefault="0066498D" w:rsidP="00876527">
            <w:pPr>
              <w:pStyle w:val="CETBodytext"/>
              <w:spacing w:before="240" w:after="240"/>
              <w:rPr>
                <w:i/>
                <w:szCs w:val="18"/>
                <w:lang w:eastAsia="en-US"/>
              </w:rPr>
            </w:pPr>
            <w:r w:rsidRPr="00B636D9">
              <w:rPr>
                <w:i/>
                <w:szCs w:val="18"/>
                <w:lang w:eastAsia="en-US"/>
              </w:rPr>
              <w:t xml:space="preserve">Figure 2: </w:t>
            </w:r>
            <w:r>
              <w:rPr>
                <w:i/>
                <w:szCs w:val="18"/>
                <w:lang w:eastAsia="en-US"/>
              </w:rPr>
              <w:t xml:space="preserve">Kinetics of microalgae cultivation </w:t>
            </w:r>
            <w:r w:rsidRPr="00B636D9">
              <w:rPr>
                <w:i/>
                <w:szCs w:val="18"/>
                <w:lang w:eastAsia="en-US"/>
              </w:rPr>
              <w:t>(</w:t>
            </w:r>
            <w:r>
              <w:rPr>
                <w:i/>
                <w:szCs w:val="18"/>
                <w:lang w:eastAsia="en-US"/>
              </w:rPr>
              <w:t xml:space="preserve">experiment </w:t>
            </w:r>
            <w:r w:rsidRPr="00B636D9">
              <w:rPr>
                <w:i/>
                <w:szCs w:val="18"/>
                <w:lang w:eastAsia="en-US"/>
              </w:rPr>
              <w:t>2)</w:t>
            </w:r>
          </w:p>
        </w:tc>
      </w:tr>
    </w:tbl>
    <w:p w:rsidR="00697846" w:rsidRPr="00697846" w:rsidRDefault="00697846" w:rsidP="00430533">
      <w:pPr>
        <w:pStyle w:val="CETBodytext"/>
        <w:rPr>
          <w:rFonts w:cs="Arial"/>
          <w:szCs w:val="18"/>
        </w:rPr>
      </w:pPr>
      <w:r w:rsidRPr="00697846">
        <w:rPr>
          <w:rFonts w:cs="Arial"/>
          <w:szCs w:val="18"/>
        </w:rPr>
        <w:t>In the course of experiment 2 the character of kinetic curves of microalgae growth at periodic cultivation has been established: the phase of exponential growth is observed from 1</w:t>
      </w:r>
      <w:r>
        <w:rPr>
          <w:rFonts w:cs="Arial"/>
          <w:szCs w:val="18"/>
        </w:rPr>
        <w:t>st</w:t>
      </w:r>
      <w:r w:rsidRPr="00697846">
        <w:rPr>
          <w:rFonts w:cs="Arial"/>
          <w:szCs w:val="18"/>
        </w:rPr>
        <w:t xml:space="preserve"> to 7</w:t>
      </w:r>
      <w:r>
        <w:rPr>
          <w:rFonts w:cs="Arial"/>
          <w:szCs w:val="18"/>
        </w:rPr>
        <w:t>th day</w:t>
      </w:r>
      <w:r w:rsidRPr="00697846">
        <w:rPr>
          <w:rFonts w:cs="Arial"/>
          <w:szCs w:val="18"/>
        </w:rPr>
        <w:t xml:space="preserve"> inclusive; the phase of stationary growth lasts from 7</w:t>
      </w:r>
      <w:r>
        <w:rPr>
          <w:rFonts w:cs="Arial"/>
          <w:szCs w:val="18"/>
        </w:rPr>
        <w:t>th</w:t>
      </w:r>
      <w:r w:rsidRPr="00697846">
        <w:rPr>
          <w:rFonts w:cs="Arial"/>
          <w:szCs w:val="18"/>
        </w:rPr>
        <w:t xml:space="preserve"> to 9</w:t>
      </w:r>
      <w:r>
        <w:rPr>
          <w:rFonts w:cs="Arial"/>
          <w:szCs w:val="18"/>
        </w:rPr>
        <w:t>th day</w:t>
      </w:r>
      <w:r w:rsidRPr="00697846">
        <w:rPr>
          <w:rFonts w:cs="Arial"/>
          <w:szCs w:val="18"/>
        </w:rPr>
        <w:t xml:space="preserve">, the phase of </w:t>
      </w:r>
      <w:r>
        <w:rPr>
          <w:rFonts w:cs="Arial"/>
          <w:szCs w:val="18"/>
        </w:rPr>
        <w:t>dying out</w:t>
      </w:r>
      <w:r w:rsidRPr="00697846">
        <w:rPr>
          <w:rFonts w:cs="Arial"/>
          <w:szCs w:val="18"/>
        </w:rPr>
        <w:t xml:space="preserve"> from 9</w:t>
      </w:r>
      <w:r>
        <w:rPr>
          <w:rFonts w:cs="Arial"/>
          <w:szCs w:val="18"/>
        </w:rPr>
        <w:t>th</w:t>
      </w:r>
      <w:r w:rsidRPr="00697846">
        <w:rPr>
          <w:rFonts w:cs="Arial"/>
          <w:szCs w:val="18"/>
        </w:rPr>
        <w:t xml:space="preserve"> to 14</w:t>
      </w:r>
      <w:r>
        <w:rPr>
          <w:rFonts w:cs="Arial"/>
          <w:szCs w:val="18"/>
        </w:rPr>
        <w:t>th day</w:t>
      </w:r>
      <w:r w:rsidRPr="00697846">
        <w:rPr>
          <w:rFonts w:cs="Arial"/>
          <w:szCs w:val="18"/>
        </w:rPr>
        <w:t xml:space="preserve"> (Fig</w:t>
      </w:r>
      <w:r>
        <w:rPr>
          <w:rFonts w:cs="Arial"/>
          <w:szCs w:val="18"/>
        </w:rPr>
        <w:t>ure</w:t>
      </w:r>
      <w:r w:rsidRPr="00697846">
        <w:rPr>
          <w:rFonts w:cs="Arial"/>
          <w:szCs w:val="18"/>
        </w:rPr>
        <w:t xml:space="preserve"> 2a, 2b). The maximum concentration of microalgae cells was achieved under the f</w:t>
      </w:r>
      <w:r>
        <w:rPr>
          <w:rFonts w:cs="Arial"/>
          <w:szCs w:val="18"/>
        </w:rPr>
        <w:t>ollowing conditions of cultivation:</w:t>
      </w:r>
      <w:r w:rsidRPr="00697846">
        <w:rPr>
          <w:rFonts w:cs="Arial"/>
          <w:szCs w:val="18"/>
        </w:rPr>
        <w:t xml:space="preserve"> 30</w:t>
      </w:r>
      <w:r>
        <w:rPr>
          <w:rFonts w:cs="Arial"/>
          <w:color w:val="FF0000"/>
          <w:szCs w:val="18"/>
          <w:vertAlign w:val="superscript"/>
        </w:rPr>
        <w:t xml:space="preserve"> </w:t>
      </w:r>
      <w:r>
        <w:rPr>
          <w:rFonts w:cs="Arial"/>
          <w:szCs w:val="18"/>
        </w:rPr>
        <w:t>°</w:t>
      </w:r>
      <w:r w:rsidRPr="00CD6CE5">
        <w:rPr>
          <w:rFonts w:cs="Arial"/>
          <w:szCs w:val="18"/>
        </w:rPr>
        <w:t>C</w:t>
      </w:r>
      <w:r w:rsidRPr="00697846">
        <w:rPr>
          <w:rFonts w:cs="Arial"/>
          <w:szCs w:val="18"/>
        </w:rPr>
        <w:t>, 7</w:t>
      </w:r>
      <w:r>
        <w:rPr>
          <w:rFonts w:cs="Arial"/>
          <w:szCs w:val="18"/>
        </w:rPr>
        <w:t xml:space="preserve"> </w:t>
      </w:r>
      <w:proofErr w:type="spellStart"/>
      <w:r>
        <w:rPr>
          <w:rFonts w:cs="Arial"/>
          <w:szCs w:val="18"/>
        </w:rPr>
        <w:t>kLx</w:t>
      </w:r>
      <w:proofErr w:type="spellEnd"/>
      <w:r w:rsidRPr="00697846">
        <w:rPr>
          <w:rFonts w:cs="Arial"/>
          <w:szCs w:val="18"/>
        </w:rPr>
        <w:t>, 24/0</w:t>
      </w:r>
      <w:r>
        <w:rPr>
          <w:rFonts w:cs="Arial"/>
          <w:szCs w:val="18"/>
        </w:rPr>
        <w:t xml:space="preserve"> h,</w:t>
      </w:r>
      <w:r w:rsidRPr="00697846">
        <w:rPr>
          <w:rFonts w:cs="Arial"/>
          <w:szCs w:val="18"/>
        </w:rPr>
        <w:t xml:space="preserve"> and amounted to 7.7 million cells/m</w:t>
      </w:r>
      <w:r>
        <w:rPr>
          <w:rFonts w:cs="Arial"/>
          <w:szCs w:val="18"/>
        </w:rPr>
        <w:t>L</w:t>
      </w:r>
      <w:r w:rsidRPr="00697846">
        <w:rPr>
          <w:rFonts w:cs="Arial"/>
          <w:szCs w:val="18"/>
        </w:rPr>
        <w:t xml:space="preserve"> (Fig</w:t>
      </w:r>
      <w:r>
        <w:rPr>
          <w:rFonts w:cs="Arial"/>
          <w:szCs w:val="18"/>
        </w:rPr>
        <w:t>ure</w:t>
      </w:r>
      <w:r w:rsidRPr="00697846">
        <w:rPr>
          <w:rFonts w:cs="Arial"/>
          <w:szCs w:val="18"/>
        </w:rPr>
        <w:t xml:space="preserve"> 2a); under the same conditions, the maximum specific </w:t>
      </w:r>
      <w:r w:rsidR="004B290E" w:rsidRPr="00697846">
        <w:rPr>
          <w:rFonts w:cs="Arial"/>
          <w:szCs w:val="18"/>
        </w:rPr>
        <w:t xml:space="preserve">cell growth </w:t>
      </w:r>
      <w:r w:rsidRPr="00697846">
        <w:rPr>
          <w:rFonts w:cs="Arial"/>
          <w:szCs w:val="18"/>
        </w:rPr>
        <w:t>rate of 0.895 days</w:t>
      </w:r>
      <w:r w:rsidRPr="00697846">
        <w:rPr>
          <w:rFonts w:cs="Arial"/>
          <w:szCs w:val="18"/>
          <w:vertAlign w:val="superscript"/>
        </w:rPr>
        <w:t>-1</w:t>
      </w:r>
      <w:r w:rsidRPr="00697846">
        <w:rPr>
          <w:rFonts w:cs="Arial"/>
          <w:szCs w:val="18"/>
        </w:rPr>
        <w:t xml:space="preserve"> was observed (Fig</w:t>
      </w:r>
      <w:r>
        <w:rPr>
          <w:rFonts w:cs="Arial"/>
          <w:szCs w:val="18"/>
        </w:rPr>
        <w:t>ure</w:t>
      </w:r>
      <w:r w:rsidRPr="00697846">
        <w:rPr>
          <w:rFonts w:cs="Arial"/>
          <w:szCs w:val="18"/>
        </w:rPr>
        <w:t xml:space="preserve"> 2b). The chemical composition of microalgae exometabolites changed during cultivation: the greatest inhibitory effect on the microflora of wastewater was observed at the minimum specific </w:t>
      </w:r>
      <w:r w:rsidR="004B290E">
        <w:rPr>
          <w:rFonts w:cs="Arial"/>
          <w:szCs w:val="18"/>
        </w:rPr>
        <w:t xml:space="preserve">growth </w:t>
      </w:r>
      <w:r w:rsidRPr="00697846">
        <w:rPr>
          <w:rFonts w:cs="Arial"/>
          <w:szCs w:val="18"/>
        </w:rPr>
        <w:t>rate (Fig</w:t>
      </w:r>
      <w:r w:rsidR="004B290E">
        <w:rPr>
          <w:rFonts w:cs="Arial"/>
          <w:szCs w:val="18"/>
        </w:rPr>
        <w:t>ure</w:t>
      </w:r>
      <w:r w:rsidRPr="00697846">
        <w:rPr>
          <w:rFonts w:cs="Arial"/>
          <w:szCs w:val="18"/>
        </w:rPr>
        <w:t xml:space="preserve"> 2a, 2b) at the stationary growth phase (7</w:t>
      </w:r>
      <w:r w:rsidR="004B290E">
        <w:rPr>
          <w:rFonts w:cs="Arial"/>
          <w:szCs w:val="18"/>
        </w:rPr>
        <w:t>th</w:t>
      </w:r>
      <w:r w:rsidRPr="00697846">
        <w:rPr>
          <w:rFonts w:cs="Arial"/>
          <w:szCs w:val="18"/>
        </w:rPr>
        <w:t xml:space="preserve"> day of cultivation (Fig</w:t>
      </w:r>
      <w:r w:rsidR="004B290E">
        <w:rPr>
          <w:rFonts w:cs="Arial"/>
          <w:szCs w:val="18"/>
        </w:rPr>
        <w:t>ure</w:t>
      </w:r>
      <w:r w:rsidRPr="00697846">
        <w:rPr>
          <w:rFonts w:cs="Arial"/>
          <w:szCs w:val="18"/>
        </w:rPr>
        <w:t xml:space="preserve"> 2.a)). This can be explained by the fact that when the stationary phase is reached, the culture </w:t>
      </w:r>
      <w:r w:rsidR="004B290E">
        <w:rPr>
          <w:rFonts w:cs="Arial"/>
          <w:szCs w:val="18"/>
        </w:rPr>
        <w:t>fl</w:t>
      </w:r>
      <w:r w:rsidRPr="00697846">
        <w:rPr>
          <w:rFonts w:cs="Arial"/>
          <w:szCs w:val="18"/>
        </w:rPr>
        <w:t>uid contains the minimum amount of nitrogen and phosphorus, which in turn leads to the creation of stressful conditions for cultivation (</w:t>
      </w:r>
      <w:proofErr w:type="spellStart"/>
      <w:r w:rsidRPr="00697846">
        <w:rPr>
          <w:rFonts w:cs="Arial"/>
          <w:szCs w:val="18"/>
        </w:rPr>
        <w:t>Soru</w:t>
      </w:r>
      <w:proofErr w:type="spellEnd"/>
      <w:r w:rsidRPr="00697846">
        <w:rPr>
          <w:rFonts w:cs="Arial"/>
          <w:szCs w:val="18"/>
        </w:rPr>
        <w:t xml:space="preserve"> et al., 2019), accompanied by the cessation of cell d</w:t>
      </w:r>
      <w:r w:rsidR="004B290E">
        <w:rPr>
          <w:rFonts w:cs="Arial"/>
          <w:szCs w:val="18"/>
        </w:rPr>
        <w:t>ivision, chlorophyll decomposition</w:t>
      </w:r>
      <w:r w:rsidRPr="00697846">
        <w:rPr>
          <w:rFonts w:cs="Arial"/>
          <w:szCs w:val="18"/>
        </w:rPr>
        <w:t xml:space="preserve">, and slowdown of the protein biosynthesis process. Cellular metabolism shifts towards the </w:t>
      </w:r>
      <w:r w:rsidRPr="00697846">
        <w:rPr>
          <w:rFonts w:cs="Arial"/>
          <w:szCs w:val="18"/>
        </w:rPr>
        <w:lastRenderedPageBreak/>
        <w:t xml:space="preserve">formation of lipid substances, the concentration of which increases in cells and </w:t>
      </w:r>
      <w:r w:rsidR="00172261">
        <w:rPr>
          <w:rFonts w:cs="Arial"/>
          <w:szCs w:val="18"/>
        </w:rPr>
        <w:t>culture</w:t>
      </w:r>
      <w:r w:rsidRPr="00697846">
        <w:rPr>
          <w:rFonts w:cs="Arial"/>
          <w:szCs w:val="18"/>
        </w:rPr>
        <w:t xml:space="preserve"> fluid, which can be observed in Fig</w:t>
      </w:r>
      <w:r w:rsidR="004B290E">
        <w:rPr>
          <w:rFonts w:cs="Arial"/>
          <w:szCs w:val="18"/>
        </w:rPr>
        <w:t>ure</w:t>
      </w:r>
      <w:r w:rsidRPr="00697846">
        <w:rPr>
          <w:rFonts w:cs="Arial"/>
          <w:szCs w:val="18"/>
        </w:rPr>
        <w:t xml:space="preserve"> 3.</w:t>
      </w:r>
    </w:p>
    <w:p w:rsidR="00127C21" w:rsidRPr="00D26F60" w:rsidRDefault="00127C21" w:rsidP="00127C21">
      <w:pPr>
        <w:pStyle w:val="CETBodytext"/>
        <w:rPr>
          <w:rFonts w:cs="Arial"/>
        </w:rPr>
      </w:pPr>
      <w:r w:rsidRPr="00D26F60">
        <w:rPr>
          <w:rFonts w:cs="Arial"/>
        </w:rPr>
        <w:t>The analysis of Table 2 shows that the greatest antibiotic effect of exometabolites was observed during cell cultivation at low illumina</w:t>
      </w:r>
      <w:r>
        <w:rPr>
          <w:rFonts w:cs="Arial"/>
        </w:rPr>
        <w:t>nce</w:t>
      </w:r>
      <w:r w:rsidRPr="00D26F60">
        <w:rPr>
          <w:rFonts w:cs="Arial"/>
        </w:rPr>
        <w:t xml:space="preserve"> level (7 </w:t>
      </w:r>
      <w:proofErr w:type="spellStart"/>
      <w:r w:rsidRPr="00D26F60">
        <w:rPr>
          <w:rFonts w:cs="Arial"/>
        </w:rPr>
        <w:t>k</w:t>
      </w:r>
      <w:r>
        <w:rPr>
          <w:rFonts w:cs="Arial"/>
        </w:rPr>
        <w:t>Lx</w:t>
      </w:r>
      <w:proofErr w:type="spellEnd"/>
      <w:r w:rsidRPr="00D26F60">
        <w:rPr>
          <w:rFonts w:cs="Arial"/>
        </w:rPr>
        <w:t>), temperature 20</w:t>
      </w:r>
      <w:r>
        <w:rPr>
          <w:rFonts w:cs="Arial"/>
        </w:rPr>
        <w:t xml:space="preserve"> </w:t>
      </w:r>
      <w:r w:rsidRPr="00D26F60">
        <w:rPr>
          <w:rFonts w:cs="Arial"/>
        </w:rPr>
        <w:t>°C and photoperiod 24/0</w:t>
      </w:r>
      <w:r>
        <w:rPr>
          <w:rFonts w:cs="Arial"/>
        </w:rPr>
        <w:t xml:space="preserve"> h</w:t>
      </w:r>
      <w:r w:rsidRPr="00D26F60">
        <w:rPr>
          <w:rFonts w:cs="Arial"/>
        </w:rPr>
        <w:t>. This can be explained by the fact that at low levels of temperature and illumina</w:t>
      </w:r>
      <w:r>
        <w:rPr>
          <w:rFonts w:cs="Arial"/>
        </w:rPr>
        <w:t>nce</w:t>
      </w:r>
      <w:r w:rsidRPr="00D26F60">
        <w:rPr>
          <w:rFonts w:cs="Arial"/>
        </w:rPr>
        <w:t xml:space="preserve"> a greater number of unsaturated compounds of lipid nature is formed in the </w:t>
      </w:r>
      <w:r w:rsidR="00172261">
        <w:rPr>
          <w:rFonts w:cs="Arial"/>
        </w:rPr>
        <w:t>culture</w:t>
      </w:r>
      <w:r w:rsidRPr="00D26F60">
        <w:rPr>
          <w:rFonts w:cs="Arial"/>
        </w:rPr>
        <w:t xml:space="preserve"> </w:t>
      </w:r>
      <w:r>
        <w:rPr>
          <w:rFonts w:cs="Arial"/>
        </w:rPr>
        <w:t>fl</w:t>
      </w:r>
      <w:r w:rsidRPr="00D26F60">
        <w:rPr>
          <w:rFonts w:cs="Arial"/>
        </w:rPr>
        <w:t>uid, while at high temperature and illumina</w:t>
      </w:r>
      <w:r>
        <w:rPr>
          <w:rFonts w:cs="Arial"/>
        </w:rPr>
        <w:t>nce</w:t>
      </w:r>
      <w:r w:rsidRPr="00D26F60">
        <w:rPr>
          <w:rFonts w:cs="Arial"/>
        </w:rPr>
        <w:t xml:space="preserve"> level the biosynthesis of lipid compounds containing satu</w:t>
      </w:r>
      <w:r>
        <w:rPr>
          <w:rFonts w:cs="Arial"/>
        </w:rPr>
        <w:t xml:space="preserve">rated fatty acids is observed. </w:t>
      </w:r>
    </w:p>
    <w:p w:rsidR="0066498D" w:rsidRPr="000872CF" w:rsidRDefault="0066498D" w:rsidP="002C2205">
      <w:pPr>
        <w:pStyle w:val="CETTabletitle"/>
        <w:rPr>
          <w:lang w:val="en-US"/>
        </w:rPr>
      </w:pPr>
      <w:r w:rsidRPr="00B57B36">
        <w:t>Table</w:t>
      </w:r>
      <w:r w:rsidRPr="000872CF">
        <w:rPr>
          <w:lang w:val="en-US"/>
        </w:rPr>
        <w:t xml:space="preserve"> 2: </w:t>
      </w:r>
      <w:r>
        <w:rPr>
          <w:lang w:val="en-US"/>
        </w:rPr>
        <w:t>Antibiotic</w:t>
      </w:r>
      <w:r w:rsidRPr="000872CF">
        <w:rPr>
          <w:lang w:val="en-US"/>
        </w:rPr>
        <w:t xml:space="preserve"> </w:t>
      </w:r>
      <w:r>
        <w:rPr>
          <w:lang w:val="en-US"/>
        </w:rPr>
        <w:t>effect</w:t>
      </w:r>
      <w:r w:rsidRPr="000872CF">
        <w:rPr>
          <w:lang w:val="en-US"/>
        </w:rPr>
        <w:t xml:space="preserve"> </w:t>
      </w:r>
      <w:r>
        <w:rPr>
          <w:lang w:val="en-US"/>
        </w:rPr>
        <w:t>of</w:t>
      </w:r>
      <w:r w:rsidRPr="000872CF">
        <w:rPr>
          <w:lang w:val="en-US"/>
        </w:rPr>
        <w:t xml:space="preserve"> </w:t>
      </w:r>
      <w:r>
        <w:rPr>
          <w:lang w:val="en-US"/>
        </w:rPr>
        <w:t>microalgae</w:t>
      </w:r>
      <w:r w:rsidRPr="000872CF">
        <w:rPr>
          <w:lang w:val="en-US"/>
        </w:rPr>
        <w:t xml:space="preserve"> </w:t>
      </w:r>
      <w:r w:rsidR="00172261">
        <w:rPr>
          <w:lang w:val="en-US"/>
        </w:rPr>
        <w:t>culture</w:t>
      </w:r>
      <w:r w:rsidRPr="000872CF">
        <w:rPr>
          <w:lang w:val="en-US"/>
        </w:rPr>
        <w:t xml:space="preserve"> </w:t>
      </w:r>
      <w:r>
        <w:rPr>
          <w:lang w:val="en-US"/>
        </w:rPr>
        <w:t>fluid</w:t>
      </w:r>
      <w:r w:rsidRPr="000872CF">
        <w:rPr>
          <w:lang w:val="en-US"/>
        </w:rPr>
        <w:t xml:space="preserve"> </w:t>
      </w:r>
    </w:p>
    <w:tbl>
      <w:tblPr>
        <w:tblW w:w="8820" w:type="dxa"/>
        <w:tblBorders>
          <w:top w:val="single" w:sz="12" w:space="0" w:color="008000"/>
          <w:bottom w:val="single" w:sz="12" w:space="0" w:color="008000"/>
        </w:tblBorders>
        <w:tblLayout w:type="fixed"/>
        <w:tblCellMar>
          <w:left w:w="0" w:type="dxa"/>
          <w:right w:w="0" w:type="dxa"/>
        </w:tblCellMar>
        <w:tblLook w:val="00A0" w:firstRow="1" w:lastRow="0" w:firstColumn="1" w:lastColumn="0" w:noHBand="0" w:noVBand="0"/>
      </w:tblPr>
      <w:tblGrid>
        <w:gridCol w:w="1134"/>
        <w:gridCol w:w="882"/>
        <w:gridCol w:w="972"/>
        <w:gridCol w:w="972"/>
        <w:gridCol w:w="972"/>
        <w:gridCol w:w="972"/>
        <w:gridCol w:w="972"/>
        <w:gridCol w:w="972"/>
        <w:gridCol w:w="972"/>
      </w:tblGrid>
      <w:tr w:rsidR="001E7A14" w:rsidRPr="001E7A14" w:rsidTr="00D77C72">
        <w:trPr>
          <w:trHeight w:val="326"/>
        </w:trPr>
        <w:tc>
          <w:tcPr>
            <w:tcW w:w="1134" w:type="dxa"/>
            <w:vMerge w:val="restart"/>
            <w:tcBorders>
              <w:top w:val="single" w:sz="12" w:space="0" w:color="008000"/>
            </w:tcBorders>
            <w:shd w:val="clear" w:color="auto" w:fill="FFFFFF"/>
            <w:vAlign w:val="center"/>
          </w:tcPr>
          <w:p w:rsidR="0066498D" w:rsidRPr="001E7A14" w:rsidRDefault="0066498D" w:rsidP="00227D15">
            <w:pPr>
              <w:jc w:val="center"/>
              <w:rPr>
                <w:rFonts w:cs="Arial"/>
                <w:szCs w:val="18"/>
                <w:lang w:val="en-US"/>
              </w:rPr>
            </w:pPr>
            <w:r w:rsidRPr="001E7A14">
              <w:rPr>
                <w:rFonts w:cs="Arial"/>
                <w:szCs w:val="18"/>
                <w:lang w:val="en-US"/>
              </w:rPr>
              <w:t xml:space="preserve">Sampling </w:t>
            </w:r>
            <w:r w:rsidR="00D77C72" w:rsidRPr="001E7A14">
              <w:rPr>
                <w:rFonts w:cs="Arial"/>
                <w:szCs w:val="18"/>
                <w:lang w:val="en-US"/>
              </w:rPr>
              <w:t>phase</w:t>
            </w:r>
          </w:p>
        </w:tc>
        <w:tc>
          <w:tcPr>
            <w:tcW w:w="7686" w:type="dxa"/>
            <w:gridSpan w:val="8"/>
            <w:tcBorders>
              <w:top w:val="single" w:sz="12" w:space="0" w:color="008000"/>
              <w:bottom w:val="single" w:sz="6" w:space="0" w:color="008000"/>
            </w:tcBorders>
            <w:shd w:val="clear" w:color="auto" w:fill="FFFFFF"/>
          </w:tcPr>
          <w:p w:rsidR="0066498D" w:rsidRPr="001E7A14" w:rsidRDefault="0066498D" w:rsidP="00D77C72">
            <w:pPr>
              <w:spacing w:line="259" w:lineRule="auto"/>
              <w:jc w:val="center"/>
              <w:rPr>
                <w:rFonts w:cs="Arial"/>
                <w:szCs w:val="18"/>
                <w:lang w:val="en-US"/>
              </w:rPr>
            </w:pPr>
            <w:r w:rsidRPr="001E7A14">
              <w:rPr>
                <w:rFonts w:cs="Arial"/>
                <w:szCs w:val="18"/>
                <w:lang w:val="en-US"/>
              </w:rPr>
              <w:t>Cultivation modes, effect on wastewater microflora*</w:t>
            </w:r>
          </w:p>
        </w:tc>
      </w:tr>
      <w:tr w:rsidR="001E7A14" w:rsidRPr="001E7A14" w:rsidTr="00D77C72">
        <w:trPr>
          <w:trHeight w:val="305"/>
        </w:trPr>
        <w:tc>
          <w:tcPr>
            <w:tcW w:w="1134" w:type="dxa"/>
            <w:vMerge/>
            <w:tcBorders>
              <w:bottom w:val="single" w:sz="6" w:space="0" w:color="008000"/>
            </w:tcBorders>
            <w:shd w:val="clear" w:color="auto" w:fill="FFFFFF"/>
          </w:tcPr>
          <w:p w:rsidR="0066498D" w:rsidRPr="001E7A14" w:rsidRDefault="0066498D" w:rsidP="00227D15">
            <w:pPr>
              <w:jc w:val="center"/>
              <w:rPr>
                <w:rFonts w:cs="Arial"/>
                <w:szCs w:val="18"/>
                <w:lang w:val="en-US"/>
              </w:rPr>
            </w:pPr>
          </w:p>
        </w:tc>
        <w:tc>
          <w:tcPr>
            <w:tcW w:w="88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1</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2</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3</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4</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5</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6</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7</w:t>
            </w:r>
          </w:p>
        </w:tc>
        <w:tc>
          <w:tcPr>
            <w:tcW w:w="972" w:type="dxa"/>
            <w:tcBorders>
              <w:top w:val="single" w:sz="12" w:space="0" w:color="008000"/>
              <w:bottom w:val="single" w:sz="6" w:space="0" w:color="008000"/>
            </w:tcBorders>
            <w:shd w:val="clear" w:color="auto" w:fill="FFFFFF"/>
            <w:vAlign w:val="center"/>
          </w:tcPr>
          <w:p w:rsidR="0066498D" w:rsidRPr="001E7A14" w:rsidRDefault="0066498D" w:rsidP="00D77C72">
            <w:pPr>
              <w:spacing w:line="259" w:lineRule="auto"/>
              <w:jc w:val="center"/>
              <w:rPr>
                <w:rFonts w:cs="Arial"/>
                <w:szCs w:val="18"/>
              </w:rPr>
            </w:pPr>
            <w:r w:rsidRPr="001E7A14">
              <w:rPr>
                <w:rFonts w:cs="Arial"/>
                <w:szCs w:val="18"/>
              </w:rPr>
              <w:t>8</w:t>
            </w:r>
          </w:p>
        </w:tc>
      </w:tr>
      <w:tr w:rsidR="001E7A14" w:rsidRPr="001E7A14" w:rsidTr="00D77C72">
        <w:trPr>
          <w:trHeight w:val="55"/>
        </w:trPr>
        <w:tc>
          <w:tcPr>
            <w:tcW w:w="1134" w:type="dxa"/>
            <w:shd w:val="clear" w:color="auto" w:fill="FFFFFF"/>
          </w:tcPr>
          <w:p w:rsidR="0066498D" w:rsidRPr="001E7A14" w:rsidRDefault="00776211" w:rsidP="00D77C72">
            <w:pPr>
              <w:jc w:val="center"/>
              <w:rPr>
                <w:rFonts w:cs="Arial"/>
                <w:szCs w:val="18"/>
                <w:lang w:val="en-US"/>
              </w:rPr>
            </w:pPr>
            <w:r w:rsidRPr="001E7A14">
              <w:rPr>
                <w:rFonts w:cs="Arial"/>
                <w:szCs w:val="18"/>
                <w:lang w:val="en-US"/>
              </w:rPr>
              <w:t xml:space="preserve">Exponential </w:t>
            </w:r>
          </w:p>
        </w:tc>
        <w:tc>
          <w:tcPr>
            <w:tcW w:w="88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r>
      <w:tr w:rsidR="001E7A14" w:rsidRPr="001E7A14" w:rsidTr="00D77C72">
        <w:tc>
          <w:tcPr>
            <w:tcW w:w="1134" w:type="dxa"/>
            <w:shd w:val="clear" w:color="auto" w:fill="FFFFFF"/>
          </w:tcPr>
          <w:p w:rsidR="0066498D" w:rsidRPr="001E7A14" w:rsidRDefault="00776211" w:rsidP="00D77C72">
            <w:pPr>
              <w:jc w:val="center"/>
              <w:rPr>
                <w:rFonts w:cs="Arial"/>
                <w:szCs w:val="18"/>
                <w:lang w:val="en-US"/>
              </w:rPr>
            </w:pPr>
            <w:r w:rsidRPr="001E7A14">
              <w:rPr>
                <w:rFonts w:cs="Arial"/>
                <w:szCs w:val="18"/>
                <w:lang w:val="en-US"/>
              </w:rPr>
              <w:t xml:space="preserve">Stationary </w:t>
            </w:r>
          </w:p>
        </w:tc>
        <w:tc>
          <w:tcPr>
            <w:tcW w:w="882" w:type="dxa"/>
            <w:shd w:val="clear" w:color="auto" w:fill="FFFFFF"/>
          </w:tcPr>
          <w:p w:rsidR="0066498D" w:rsidRPr="001E7A14" w:rsidRDefault="0066498D" w:rsidP="00227D15">
            <w:pPr>
              <w:jc w:val="center"/>
              <w:rPr>
                <w:rFonts w:cs="Arial"/>
                <w:szCs w:val="18"/>
                <w:lang w:val="ru-RU"/>
              </w:rPr>
            </w:pPr>
            <w:r w:rsidRPr="001E7A14">
              <w:rPr>
                <w:rFonts w:cs="Arial"/>
                <w:szCs w:val="18"/>
              </w:rPr>
              <w:t>++</w:t>
            </w:r>
            <w:r w:rsidRPr="001E7A14">
              <w:rPr>
                <w:rFonts w:cs="Arial"/>
                <w:szCs w:val="18"/>
                <w:lang w:val="ru-RU"/>
              </w:rPr>
              <w:t>+</w:t>
            </w:r>
          </w:p>
        </w:tc>
        <w:tc>
          <w:tcPr>
            <w:tcW w:w="972" w:type="dxa"/>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shd w:val="clear" w:color="auto" w:fill="FFFFFF"/>
          </w:tcPr>
          <w:p w:rsidR="0066498D" w:rsidRPr="001E7A14" w:rsidRDefault="0066498D" w:rsidP="00227D15">
            <w:pPr>
              <w:jc w:val="center"/>
              <w:rPr>
                <w:rFonts w:cs="Arial"/>
                <w:szCs w:val="18"/>
              </w:rPr>
            </w:pPr>
            <w:r w:rsidRPr="001E7A14">
              <w:rPr>
                <w:rFonts w:cs="Arial"/>
                <w:szCs w:val="18"/>
              </w:rPr>
              <w:t>+</w:t>
            </w:r>
          </w:p>
        </w:tc>
      </w:tr>
      <w:tr w:rsidR="001E7A14" w:rsidRPr="001E7A14" w:rsidTr="00D77C72">
        <w:tc>
          <w:tcPr>
            <w:tcW w:w="1134" w:type="dxa"/>
            <w:tcBorders>
              <w:bottom w:val="single" w:sz="12" w:space="0" w:color="008000"/>
            </w:tcBorders>
            <w:shd w:val="clear" w:color="auto" w:fill="FFFFFF"/>
          </w:tcPr>
          <w:p w:rsidR="0066498D" w:rsidRPr="001E7A14" w:rsidRDefault="00776211" w:rsidP="00D77C72">
            <w:pPr>
              <w:jc w:val="center"/>
              <w:rPr>
                <w:rFonts w:cs="Arial"/>
                <w:szCs w:val="18"/>
                <w:lang w:val="en-US"/>
              </w:rPr>
            </w:pPr>
            <w:r w:rsidRPr="001E7A14">
              <w:rPr>
                <w:rFonts w:cs="Arial"/>
                <w:szCs w:val="18"/>
                <w:lang w:val="en-US"/>
              </w:rPr>
              <w:t xml:space="preserve">Dying out </w:t>
            </w:r>
          </w:p>
        </w:tc>
        <w:tc>
          <w:tcPr>
            <w:tcW w:w="882" w:type="dxa"/>
            <w:tcBorders>
              <w:bottom w:val="single" w:sz="12" w:space="0" w:color="008000"/>
            </w:tcBorders>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vAlign w:val="center"/>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tcPr>
          <w:p w:rsidR="0066498D" w:rsidRPr="001E7A14" w:rsidRDefault="0066498D" w:rsidP="00227D15">
            <w:pPr>
              <w:jc w:val="center"/>
              <w:rPr>
                <w:rFonts w:cs="Arial"/>
                <w:szCs w:val="18"/>
              </w:rPr>
            </w:pPr>
            <w:r w:rsidRPr="001E7A14">
              <w:rPr>
                <w:rFonts w:cs="Arial"/>
                <w:szCs w:val="18"/>
              </w:rPr>
              <w:t>+</w:t>
            </w:r>
          </w:p>
        </w:tc>
        <w:tc>
          <w:tcPr>
            <w:tcW w:w="972" w:type="dxa"/>
            <w:tcBorders>
              <w:bottom w:val="single" w:sz="12" w:space="0" w:color="008000"/>
            </w:tcBorders>
            <w:shd w:val="clear" w:color="auto" w:fill="FFFFFF"/>
          </w:tcPr>
          <w:p w:rsidR="0066498D" w:rsidRPr="001E7A14" w:rsidRDefault="0066498D" w:rsidP="00227D15">
            <w:pPr>
              <w:jc w:val="center"/>
              <w:rPr>
                <w:rFonts w:cs="Arial"/>
                <w:szCs w:val="18"/>
              </w:rPr>
            </w:pPr>
            <w:r w:rsidRPr="001E7A14">
              <w:rPr>
                <w:rFonts w:cs="Arial"/>
                <w:szCs w:val="18"/>
              </w:rPr>
              <w:t>+</w:t>
            </w:r>
          </w:p>
        </w:tc>
      </w:tr>
    </w:tbl>
    <w:p w:rsidR="00C177D9" w:rsidRPr="002C2205" w:rsidRDefault="0066498D" w:rsidP="00C177D9">
      <w:pPr>
        <w:pStyle w:val="CETCaption"/>
      </w:pPr>
      <w:r w:rsidRPr="002C2205">
        <w:t xml:space="preserve">* +++ </w:t>
      </w:r>
      <w:r>
        <w:t xml:space="preserve">  </w:t>
      </w:r>
      <w:r>
        <w:rPr>
          <w:lang w:val="en-US"/>
        </w:rPr>
        <w:t>strong</w:t>
      </w:r>
      <w:r w:rsidRPr="002C2205">
        <w:t xml:space="preserve"> </w:t>
      </w:r>
      <w:r>
        <w:rPr>
          <w:lang w:val="en-US"/>
        </w:rPr>
        <w:t>antibiotic</w:t>
      </w:r>
      <w:r w:rsidRPr="002C2205">
        <w:t xml:space="preserve"> </w:t>
      </w:r>
      <w:r>
        <w:rPr>
          <w:lang w:val="en-US"/>
        </w:rPr>
        <w:t>effect</w:t>
      </w:r>
      <w:r w:rsidRPr="002C2205">
        <w:t xml:space="preserve">, </w:t>
      </w:r>
      <w:r>
        <w:t xml:space="preserve">  </w:t>
      </w:r>
      <w:r w:rsidRPr="002C2205">
        <w:t xml:space="preserve">++  </w:t>
      </w:r>
      <w:r>
        <w:t xml:space="preserve"> </w:t>
      </w:r>
      <w:r>
        <w:rPr>
          <w:lang w:val="en-US"/>
        </w:rPr>
        <w:t>medium</w:t>
      </w:r>
      <w:r w:rsidRPr="002C2205">
        <w:t xml:space="preserve"> </w:t>
      </w:r>
      <w:r>
        <w:rPr>
          <w:lang w:val="en-US"/>
        </w:rPr>
        <w:t>antibiotic</w:t>
      </w:r>
      <w:r w:rsidRPr="002C2205">
        <w:t xml:space="preserve"> </w:t>
      </w:r>
      <w:r>
        <w:rPr>
          <w:lang w:val="en-US"/>
        </w:rPr>
        <w:t>effect</w:t>
      </w:r>
      <w:r w:rsidRPr="002C2205">
        <w:t>,</w:t>
      </w:r>
      <w:r>
        <w:t xml:space="preserve">  </w:t>
      </w:r>
      <w:r w:rsidRPr="002C2205">
        <w:t xml:space="preserve"> +</w:t>
      </w:r>
      <w:r>
        <w:t xml:space="preserve"> </w:t>
      </w:r>
      <w:r w:rsidRPr="002C2205">
        <w:t xml:space="preserve">  </w:t>
      </w:r>
      <w:r>
        <w:rPr>
          <w:lang w:val="en-US"/>
        </w:rPr>
        <w:t>low</w:t>
      </w:r>
      <w:r w:rsidRPr="002C2205">
        <w:rPr>
          <w:lang w:val="en-US"/>
        </w:rPr>
        <w:t xml:space="preserve"> </w:t>
      </w:r>
      <w:r>
        <w:rPr>
          <w:lang w:val="en-US"/>
        </w:rPr>
        <w:t>antibiotic</w:t>
      </w:r>
      <w:r w:rsidRPr="002C2205">
        <w:rPr>
          <w:lang w:val="en-US"/>
        </w:rPr>
        <w:t xml:space="preserve"> </w:t>
      </w:r>
      <w:r>
        <w:rPr>
          <w:lang w:val="en-US"/>
        </w:rPr>
        <w:t>effect</w:t>
      </w:r>
      <w:r w:rsidRPr="002C2205">
        <w:t>,</w:t>
      </w:r>
      <w:r>
        <w:t xml:space="preserve">  </w:t>
      </w:r>
      <w:r w:rsidRPr="002C2205">
        <w:t xml:space="preserve"> -</w:t>
      </w:r>
      <w:r>
        <w:t xml:space="preserve">  </w:t>
      </w:r>
      <w:r w:rsidRPr="002C2205">
        <w:t xml:space="preserve"> </w:t>
      </w:r>
      <w:r>
        <w:rPr>
          <w:lang w:val="en-US"/>
        </w:rPr>
        <w:t>no</w:t>
      </w:r>
      <w:r w:rsidRPr="002C2205">
        <w:rPr>
          <w:lang w:val="en-US"/>
        </w:rPr>
        <w:t xml:space="preserve"> </w:t>
      </w:r>
      <w:r>
        <w:rPr>
          <w:lang w:val="en-US"/>
        </w:rPr>
        <w:t>antibiotic</w:t>
      </w:r>
      <w:r w:rsidRPr="002C2205">
        <w:rPr>
          <w:lang w:val="en-US"/>
        </w:rPr>
        <w:t xml:space="preserve"> </w:t>
      </w:r>
      <w:r>
        <w:rPr>
          <w:lang w:val="en-US"/>
        </w:rPr>
        <w:t>effect</w:t>
      </w:r>
      <w:r w:rsidR="00C177D9" w:rsidRPr="00C177D9">
        <w:rPr>
          <w:rFonts w:cs="Arial"/>
        </w:rPr>
        <w:t xml:space="preserve"> </w:t>
      </w:r>
    </w:p>
    <w:p w:rsidR="00C177D9" w:rsidRDefault="00C177D9" w:rsidP="00C177D9">
      <w:pPr>
        <w:pStyle w:val="CETBodytext"/>
        <w:rPr>
          <w:rFonts w:cs="Arial"/>
        </w:rPr>
      </w:pPr>
      <w:r>
        <w:rPr>
          <w:rFonts w:cs="Arial"/>
        </w:rPr>
        <w:t>This</w:t>
      </w:r>
      <w:r w:rsidRPr="00D26F60">
        <w:rPr>
          <w:rFonts w:cs="Arial"/>
        </w:rPr>
        <w:t xml:space="preserve"> i</w:t>
      </w:r>
      <w:r>
        <w:rPr>
          <w:rFonts w:cs="Arial"/>
        </w:rPr>
        <w:t xml:space="preserve">s consistent with </w:t>
      </w:r>
      <w:proofErr w:type="spellStart"/>
      <w:r>
        <w:rPr>
          <w:rFonts w:cs="Arial"/>
        </w:rPr>
        <w:t>Khoeyi</w:t>
      </w:r>
      <w:proofErr w:type="spellEnd"/>
      <w:r>
        <w:rPr>
          <w:rFonts w:cs="Arial"/>
        </w:rPr>
        <w:t xml:space="preserve"> et al. (</w:t>
      </w:r>
      <w:r w:rsidRPr="00D26F60">
        <w:rPr>
          <w:rFonts w:cs="Arial"/>
        </w:rPr>
        <w:t>2012</w:t>
      </w:r>
      <w:r>
        <w:rPr>
          <w:rFonts w:cs="Arial"/>
        </w:rPr>
        <w:t>),</w:t>
      </w:r>
      <w:r w:rsidRPr="00D26F60">
        <w:rPr>
          <w:rFonts w:cs="Arial"/>
        </w:rPr>
        <w:t xml:space="preserve"> in which it was determined that the maximum percentage of monounsaturated and polyunsaturated fatty acids from the total amount of fatty acids was observed at low illumina</w:t>
      </w:r>
      <w:r>
        <w:rPr>
          <w:rFonts w:cs="Arial"/>
        </w:rPr>
        <w:t>nce</w:t>
      </w:r>
      <w:r w:rsidRPr="00D26F60">
        <w:rPr>
          <w:rFonts w:cs="Arial"/>
        </w:rPr>
        <w:t xml:space="preserve"> level and illumination period of 8 hours a day; and </w:t>
      </w:r>
      <w:r>
        <w:rPr>
          <w:rFonts w:cs="Arial"/>
        </w:rPr>
        <w:t>with</w:t>
      </w:r>
      <w:r w:rsidRPr="00D26F60">
        <w:rPr>
          <w:rFonts w:cs="Arial"/>
        </w:rPr>
        <w:t xml:space="preserve"> experiments </w:t>
      </w:r>
      <w:r>
        <w:rPr>
          <w:rFonts w:cs="Arial"/>
        </w:rPr>
        <w:t xml:space="preserve">of </w:t>
      </w:r>
      <w:r w:rsidRPr="00D26F60">
        <w:rPr>
          <w:rFonts w:cs="Arial"/>
        </w:rPr>
        <w:t>Lynch</w:t>
      </w:r>
      <w:r>
        <w:rPr>
          <w:rFonts w:cs="Arial"/>
        </w:rPr>
        <w:t xml:space="preserve"> and</w:t>
      </w:r>
      <w:r w:rsidRPr="00D26F60">
        <w:rPr>
          <w:rFonts w:cs="Arial"/>
        </w:rPr>
        <w:t xml:space="preserve"> Thompson</w:t>
      </w:r>
      <w:r>
        <w:rPr>
          <w:rFonts w:cs="Arial"/>
        </w:rPr>
        <w:t xml:space="preserve"> (</w:t>
      </w:r>
      <w:r w:rsidRPr="00D26F60">
        <w:rPr>
          <w:rFonts w:cs="Arial"/>
        </w:rPr>
        <w:t>1982</w:t>
      </w:r>
      <w:r>
        <w:rPr>
          <w:rFonts w:cs="Arial"/>
        </w:rPr>
        <w:t>),</w:t>
      </w:r>
      <w:r w:rsidRPr="00D26F60">
        <w:rPr>
          <w:rFonts w:cs="Arial"/>
        </w:rPr>
        <w:t xml:space="preserve"> </w:t>
      </w:r>
      <w:r>
        <w:rPr>
          <w:rFonts w:cs="Arial"/>
        </w:rPr>
        <w:t>which established</w:t>
      </w:r>
      <w:r w:rsidRPr="00D26F60">
        <w:rPr>
          <w:rFonts w:cs="Arial"/>
        </w:rPr>
        <w:t xml:space="preserve"> that a decrease in the cult</w:t>
      </w:r>
      <w:r>
        <w:rPr>
          <w:rFonts w:cs="Arial"/>
        </w:rPr>
        <w:t>ivation</w:t>
      </w:r>
      <w:r w:rsidRPr="00D26F60">
        <w:rPr>
          <w:rFonts w:cs="Arial"/>
        </w:rPr>
        <w:t xml:space="preserve"> temperature leads to an increase in the </w:t>
      </w:r>
      <w:r>
        <w:rPr>
          <w:rFonts w:cs="Arial"/>
        </w:rPr>
        <w:t>amount</w:t>
      </w:r>
      <w:r w:rsidRPr="00D26F60">
        <w:rPr>
          <w:rFonts w:cs="Arial"/>
        </w:rPr>
        <w:t xml:space="preserve"> of unsaturated fatty acids.</w:t>
      </w:r>
    </w:p>
    <w:tbl>
      <w:tblPr>
        <w:tblW w:w="0" w:type="auto"/>
        <w:tblLayout w:type="fixed"/>
        <w:tblLook w:val="00A0" w:firstRow="1" w:lastRow="0" w:firstColumn="1" w:lastColumn="0" w:noHBand="0" w:noVBand="0"/>
      </w:tblPr>
      <w:tblGrid>
        <w:gridCol w:w="2376"/>
        <w:gridCol w:w="2127"/>
        <w:gridCol w:w="2268"/>
        <w:gridCol w:w="2232"/>
      </w:tblGrid>
      <w:tr w:rsidR="00E25314" w:rsidTr="00310EE7">
        <w:trPr>
          <w:trHeight w:val="1656"/>
        </w:trPr>
        <w:tc>
          <w:tcPr>
            <w:tcW w:w="2376" w:type="dxa"/>
          </w:tcPr>
          <w:p w:rsidR="00E25314" w:rsidRPr="00CA06C9" w:rsidRDefault="00310EE7" w:rsidP="00724ACB">
            <w:pPr>
              <w:pStyle w:val="CETBodytext"/>
              <w:spacing w:line="360" w:lineRule="auto"/>
              <w:jc w:val="center"/>
              <w:rPr>
                <w:rFonts w:ascii="Times New Roman" w:hAnsi="Times New Roman"/>
                <w:iCs/>
                <w:sz w:val="28"/>
                <w:szCs w:val="28"/>
                <w:lang w:val="ru-RU" w:eastAsia="en-US"/>
              </w:rPr>
            </w:pPr>
            <w:r>
              <w:object w:dxaOrig="189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76.05pt" o:ole="">
                  <v:imagedata r:id="rId14" o:title=""/>
                </v:shape>
                <o:OLEObject Type="Embed" ProgID="PBrush" ShapeID="_x0000_i1025" DrawAspect="Content" ObjectID="_1616665193" r:id="rId15"/>
              </w:object>
            </w:r>
          </w:p>
        </w:tc>
        <w:tc>
          <w:tcPr>
            <w:tcW w:w="2127" w:type="dxa"/>
          </w:tcPr>
          <w:p w:rsidR="00E25314" w:rsidRPr="00CA06C9" w:rsidRDefault="00E25314" w:rsidP="00E25314">
            <w:pPr>
              <w:pStyle w:val="CETBodytext"/>
              <w:spacing w:line="360" w:lineRule="auto"/>
              <w:ind w:left="-108"/>
              <w:jc w:val="center"/>
              <w:rPr>
                <w:rFonts w:ascii="Times New Roman" w:hAnsi="Times New Roman"/>
                <w:iCs/>
                <w:sz w:val="28"/>
                <w:szCs w:val="28"/>
                <w:lang w:val="ru-RU" w:eastAsia="en-US"/>
              </w:rPr>
            </w:pPr>
            <w:r>
              <w:rPr>
                <w:rFonts w:ascii="Times New Roman" w:hAnsi="Times New Roman"/>
                <w:iCs/>
                <w:noProof/>
                <w:sz w:val="28"/>
                <w:szCs w:val="28"/>
                <w:lang w:val="ru-RU"/>
              </w:rPr>
              <w:drawing>
                <wp:inline distT="0" distB="0" distL="0" distR="0">
                  <wp:extent cx="1287236" cy="960751"/>
                  <wp:effectExtent l="19050" t="0" r="8164" b="0"/>
                  <wp:docPr id="14" name="Рисунок 6"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_1"/>
                          <pic:cNvPicPr>
                            <a:picLocks noChangeAspect="1" noChangeArrowheads="1"/>
                          </pic:cNvPicPr>
                        </pic:nvPicPr>
                        <pic:blipFill>
                          <a:blip r:embed="rId16"/>
                          <a:srcRect/>
                          <a:stretch>
                            <a:fillRect/>
                          </a:stretch>
                        </pic:blipFill>
                        <pic:spPr bwMode="auto">
                          <a:xfrm>
                            <a:off x="0" y="0"/>
                            <a:ext cx="1295251" cy="966733"/>
                          </a:xfrm>
                          <a:prstGeom prst="rect">
                            <a:avLst/>
                          </a:prstGeom>
                          <a:noFill/>
                          <a:ln w="9525">
                            <a:noFill/>
                            <a:miter lim="800000"/>
                            <a:headEnd/>
                            <a:tailEnd/>
                          </a:ln>
                        </pic:spPr>
                      </pic:pic>
                    </a:graphicData>
                  </a:graphic>
                </wp:inline>
              </w:drawing>
            </w:r>
          </w:p>
        </w:tc>
        <w:tc>
          <w:tcPr>
            <w:tcW w:w="2268" w:type="dxa"/>
          </w:tcPr>
          <w:p w:rsidR="00E25314" w:rsidRPr="00CA06C9" w:rsidRDefault="00074D56" w:rsidP="00724ACB">
            <w:pPr>
              <w:pStyle w:val="CETBodytext"/>
              <w:spacing w:line="360" w:lineRule="auto"/>
              <w:jc w:val="center"/>
              <w:rPr>
                <w:rFonts w:ascii="Times New Roman" w:hAnsi="Times New Roman"/>
                <w:iCs/>
                <w:sz w:val="28"/>
                <w:szCs w:val="28"/>
                <w:lang w:val="ru-RU" w:eastAsia="en-US"/>
              </w:rPr>
            </w:pPr>
            <w:r>
              <w:object w:dxaOrig="1935" w:dyaOrig="1515">
                <v:shape id="_x0000_i1026" type="#_x0000_t75" style="width:96.35pt;height:75.55pt" o:ole="">
                  <v:imagedata r:id="rId17" o:title=""/>
                </v:shape>
                <o:OLEObject Type="Embed" ProgID="PBrush" ShapeID="_x0000_i1026" DrawAspect="Content" ObjectID="_1616665194" r:id="rId18"/>
              </w:object>
            </w:r>
          </w:p>
        </w:tc>
        <w:tc>
          <w:tcPr>
            <w:tcW w:w="2232" w:type="dxa"/>
          </w:tcPr>
          <w:p w:rsidR="00E25314" w:rsidRPr="00CA06C9" w:rsidRDefault="00E25314" w:rsidP="00E25314">
            <w:pPr>
              <w:pStyle w:val="CETBodytext"/>
              <w:spacing w:line="360" w:lineRule="auto"/>
              <w:ind w:left="-108"/>
              <w:jc w:val="center"/>
              <w:rPr>
                <w:rFonts w:ascii="Times New Roman" w:hAnsi="Times New Roman"/>
                <w:iCs/>
                <w:sz w:val="28"/>
                <w:szCs w:val="28"/>
                <w:lang w:val="ru-RU" w:eastAsia="en-US"/>
              </w:rPr>
            </w:pPr>
            <w:r>
              <w:rPr>
                <w:rFonts w:ascii="Times New Roman" w:hAnsi="Times New Roman"/>
                <w:iCs/>
                <w:noProof/>
                <w:sz w:val="28"/>
                <w:szCs w:val="28"/>
                <w:lang w:val="ru-RU"/>
              </w:rPr>
              <w:drawing>
                <wp:inline distT="0" distB="0" distL="0" distR="0">
                  <wp:extent cx="1309954" cy="946597"/>
                  <wp:effectExtent l="19050" t="0" r="4496" b="0"/>
                  <wp:docPr id="15" name="Рисунок 7" descr="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_4"/>
                          <pic:cNvPicPr>
                            <a:picLocks noChangeAspect="1" noChangeArrowheads="1"/>
                          </pic:cNvPicPr>
                        </pic:nvPicPr>
                        <pic:blipFill>
                          <a:blip r:embed="rId19"/>
                          <a:srcRect/>
                          <a:stretch>
                            <a:fillRect/>
                          </a:stretch>
                        </pic:blipFill>
                        <pic:spPr bwMode="auto">
                          <a:xfrm>
                            <a:off x="0" y="0"/>
                            <a:ext cx="1313307" cy="949020"/>
                          </a:xfrm>
                          <a:prstGeom prst="rect">
                            <a:avLst/>
                          </a:prstGeom>
                          <a:noFill/>
                          <a:ln w="9525">
                            <a:noFill/>
                            <a:miter lim="800000"/>
                            <a:headEnd/>
                            <a:tailEnd/>
                          </a:ln>
                        </pic:spPr>
                      </pic:pic>
                    </a:graphicData>
                  </a:graphic>
                </wp:inline>
              </w:drawing>
            </w:r>
          </w:p>
        </w:tc>
      </w:tr>
      <w:tr w:rsidR="00E25314" w:rsidTr="00310EE7">
        <w:tc>
          <w:tcPr>
            <w:tcW w:w="2376" w:type="dxa"/>
          </w:tcPr>
          <w:p w:rsidR="00E25314" w:rsidRPr="004A7090" w:rsidRDefault="00E25314" w:rsidP="00724ACB">
            <w:pPr>
              <w:pStyle w:val="CETBodytext"/>
              <w:spacing w:line="240" w:lineRule="auto"/>
              <w:jc w:val="center"/>
              <w:rPr>
                <w:rFonts w:cs="Arial"/>
                <w:iCs/>
                <w:szCs w:val="18"/>
                <w:lang w:val="ru-RU" w:eastAsia="en-US"/>
              </w:rPr>
            </w:pPr>
            <w:r w:rsidRPr="004B290E">
              <w:rPr>
                <w:rFonts w:cs="Arial"/>
                <w:i/>
                <w:szCs w:val="18"/>
                <w:lang w:eastAsia="en-US"/>
              </w:rPr>
              <w:t>exponential growth phase</w:t>
            </w:r>
          </w:p>
        </w:tc>
        <w:tc>
          <w:tcPr>
            <w:tcW w:w="2127" w:type="dxa"/>
          </w:tcPr>
          <w:p w:rsidR="00E25314" w:rsidRPr="004A7090" w:rsidRDefault="00E25314" w:rsidP="00310EE7">
            <w:pPr>
              <w:pStyle w:val="CETBodytext"/>
              <w:spacing w:line="240" w:lineRule="auto"/>
              <w:ind w:left="-108"/>
              <w:jc w:val="center"/>
              <w:rPr>
                <w:rFonts w:cs="Arial"/>
                <w:iCs/>
                <w:szCs w:val="18"/>
                <w:lang w:val="ru-RU" w:eastAsia="en-US"/>
              </w:rPr>
            </w:pPr>
            <w:r w:rsidRPr="004B290E">
              <w:rPr>
                <w:rFonts w:cs="Arial"/>
                <w:i/>
                <w:szCs w:val="18"/>
                <w:lang w:eastAsia="en-US"/>
              </w:rPr>
              <w:t>stationary growth phase</w:t>
            </w:r>
          </w:p>
        </w:tc>
        <w:tc>
          <w:tcPr>
            <w:tcW w:w="2268" w:type="dxa"/>
          </w:tcPr>
          <w:p w:rsidR="00E25314" w:rsidRPr="004A7090" w:rsidRDefault="00E25314" w:rsidP="00724ACB">
            <w:pPr>
              <w:pStyle w:val="CETBodytext"/>
              <w:spacing w:line="240" w:lineRule="auto"/>
              <w:jc w:val="center"/>
              <w:rPr>
                <w:rFonts w:cs="Arial"/>
                <w:iCs/>
                <w:szCs w:val="18"/>
                <w:lang w:val="ru-RU" w:eastAsia="en-US"/>
              </w:rPr>
            </w:pPr>
            <w:r w:rsidRPr="004B290E">
              <w:rPr>
                <w:rFonts w:cs="Arial"/>
                <w:i/>
                <w:szCs w:val="18"/>
                <w:lang w:eastAsia="en-US"/>
              </w:rPr>
              <w:t>exponential growth phase</w:t>
            </w:r>
          </w:p>
        </w:tc>
        <w:tc>
          <w:tcPr>
            <w:tcW w:w="2232" w:type="dxa"/>
          </w:tcPr>
          <w:p w:rsidR="00E25314" w:rsidRPr="004A7090" w:rsidRDefault="00E25314" w:rsidP="00724ACB">
            <w:pPr>
              <w:pStyle w:val="CETBodytext"/>
              <w:spacing w:line="240" w:lineRule="auto"/>
              <w:jc w:val="center"/>
              <w:rPr>
                <w:rFonts w:cs="Arial"/>
                <w:iCs/>
                <w:szCs w:val="18"/>
                <w:lang w:val="ru-RU" w:eastAsia="en-US"/>
              </w:rPr>
            </w:pPr>
            <w:r w:rsidRPr="004B290E">
              <w:rPr>
                <w:rFonts w:cs="Arial"/>
                <w:i/>
                <w:szCs w:val="18"/>
                <w:lang w:eastAsia="en-US"/>
              </w:rPr>
              <w:t>stationary growth phase</w:t>
            </w:r>
          </w:p>
        </w:tc>
      </w:tr>
      <w:tr w:rsidR="00E25314" w:rsidTr="00310EE7">
        <w:tc>
          <w:tcPr>
            <w:tcW w:w="4503" w:type="dxa"/>
            <w:gridSpan w:val="2"/>
          </w:tcPr>
          <w:p w:rsidR="00E25314" w:rsidRPr="004A7090" w:rsidRDefault="00E25314" w:rsidP="00724ACB">
            <w:pPr>
              <w:pStyle w:val="CETBodytext"/>
              <w:spacing w:line="240" w:lineRule="auto"/>
              <w:jc w:val="center"/>
              <w:rPr>
                <w:rFonts w:cs="Arial"/>
                <w:iCs/>
                <w:szCs w:val="18"/>
                <w:lang w:val="ru-RU" w:eastAsia="en-US"/>
              </w:rPr>
            </w:pPr>
            <w:r w:rsidRPr="004A7090">
              <w:rPr>
                <w:rFonts w:cs="Arial"/>
                <w:iCs/>
                <w:szCs w:val="18"/>
                <w:lang w:val="ru-RU" w:eastAsia="en-US"/>
              </w:rPr>
              <w:t>а)</w:t>
            </w:r>
          </w:p>
        </w:tc>
        <w:tc>
          <w:tcPr>
            <w:tcW w:w="4500" w:type="dxa"/>
            <w:gridSpan w:val="2"/>
          </w:tcPr>
          <w:p w:rsidR="00E25314" w:rsidRPr="004A7090" w:rsidRDefault="00E25314" w:rsidP="00724ACB">
            <w:pPr>
              <w:pStyle w:val="CETBodytext"/>
              <w:spacing w:line="240" w:lineRule="auto"/>
              <w:jc w:val="center"/>
              <w:rPr>
                <w:rFonts w:cs="Arial"/>
                <w:iCs/>
                <w:szCs w:val="18"/>
                <w:lang w:val="ru-RU" w:eastAsia="en-US"/>
              </w:rPr>
            </w:pPr>
            <w:r>
              <w:rPr>
                <w:rFonts w:cs="Arial"/>
                <w:iCs/>
                <w:szCs w:val="18"/>
                <w:lang w:eastAsia="en-US"/>
              </w:rPr>
              <w:t>b</w:t>
            </w:r>
            <w:r w:rsidRPr="004A7090">
              <w:rPr>
                <w:rFonts w:cs="Arial"/>
                <w:iCs/>
                <w:szCs w:val="18"/>
                <w:lang w:val="ru-RU" w:eastAsia="en-US"/>
              </w:rPr>
              <w:t>)</w:t>
            </w:r>
          </w:p>
        </w:tc>
      </w:tr>
      <w:tr w:rsidR="00826271" w:rsidRPr="004B290E" w:rsidTr="00E25314">
        <w:tc>
          <w:tcPr>
            <w:tcW w:w="9003" w:type="dxa"/>
            <w:gridSpan w:val="4"/>
          </w:tcPr>
          <w:p w:rsidR="00826271" w:rsidRPr="004B290E" w:rsidRDefault="00826271" w:rsidP="00E25314">
            <w:pPr>
              <w:pStyle w:val="CETBodytext"/>
              <w:spacing w:before="240" w:after="240"/>
              <w:jc w:val="left"/>
              <w:rPr>
                <w:rFonts w:ascii="Times New Roman" w:hAnsi="Times New Roman"/>
                <w:i/>
                <w:iCs/>
                <w:sz w:val="28"/>
                <w:szCs w:val="28"/>
                <w:lang w:eastAsia="en-US"/>
              </w:rPr>
            </w:pPr>
            <w:r w:rsidRPr="004B290E">
              <w:rPr>
                <w:i/>
                <w:szCs w:val="18"/>
                <w:lang w:eastAsia="en-US"/>
              </w:rPr>
              <w:t xml:space="preserve">Figure 3: </w:t>
            </w:r>
            <w:r w:rsidR="004B290E" w:rsidRPr="004B290E">
              <w:rPr>
                <w:rFonts w:cs="Arial"/>
                <w:i/>
                <w:szCs w:val="18"/>
                <w:lang w:eastAsia="en-US"/>
              </w:rPr>
              <w:t>Microscopy of Chlorella vulgaris microalgae cell at the: (a) in visible light; (b) lipid fluorescence at 500-550 nm</w:t>
            </w:r>
          </w:p>
        </w:tc>
      </w:tr>
    </w:tbl>
    <w:p w:rsidR="0066498D" w:rsidRDefault="0066498D" w:rsidP="00D753B5">
      <w:pPr>
        <w:pStyle w:val="CETBodytext"/>
      </w:pPr>
      <w:r>
        <w:t>The high content of saturated fatty acids in microalgae culture fluid compounds reduces the antibiotic effect due to the fact that saturated fatty acids are not oxidized, unlike unsaturated fatty acids. This results in the formation of fewer lipid radicals and, consequently, has less impact on the microflora of wastewater.</w:t>
      </w:r>
    </w:p>
    <w:p w:rsidR="0066498D" w:rsidRDefault="0066498D" w:rsidP="00D753B5">
      <w:pPr>
        <w:pStyle w:val="CETBodytext"/>
      </w:pPr>
      <w:r>
        <w:t xml:space="preserve">The low antibiotic effect on the exponential growth phase (4th day of cultivation (Figure 2a, 2b)) can be explained by the fact that during this period there is an active growth of cells, so the number of lipid compounds in the culture fluid is </w:t>
      </w:r>
      <w:r w:rsidR="008A5B5C">
        <w:t>smaller</w:t>
      </w:r>
      <w:bookmarkStart w:id="19" w:name="_GoBack"/>
      <w:bookmarkEnd w:id="19"/>
      <w:r>
        <w:t xml:space="preserve">, since cell metabolism is focused on protein biosynthesis and reproduction processes. Decrease of antibiotic effect at the phase of cell dying out is connected with the fact that the number of viable cells and their metabolism decreases, that is why the rate of biosynthesis of lipid-type exometabolites and their release into the </w:t>
      </w:r>
      <w:r w:rsidR="00172261">
        <w:t>culture</w:t>
      </w:r>
      <w:r>
        <w:t xml:space="preserve"> fluid becomes low.</w:t>
      </w:r>
    </w:p>
    <w:p w:rsidR="0066498D" w:rsidRPr="00B57B36" w:rsidRDefault="0066498D" w:rsidP="00600535">
      <w:pPr>
        <w:pStyle w:val="CETHeading1"/>
        <w:rPr>
          <w:lang w:val="en-GB"/>
        </w:rPr>
      </w:pPr>
      <w:r w:rsidRPr="00B57B36">
        <w:rPr>
          <w:lang w:val="en-GB"/>
        </w:rPr>
        <w:t>Conclusions</w:t>
      </w:r>
    </w:p>
    <w:p w:rsidR="0066498D" w:rsidRPr="00776211" w:rsidRDefault="0066498D" w:rsidP="00585F08">
      <w:pPr>
        <w:pStyle w:val="3b"/>
        <w:tabs>
          <w:tab w:val="left" w:pos="1134"/>
        </w:tabs>
        <w:spacing w:after="0" w:line="264" w:lineRule="auto"/>
        <w:ind w:left="0"/>
        <w:jc w:val="both"/>
        <w:rPr>
          <w:rFonts w:ascii="Arial" w:hAnsi="Arial" w:cs="Arial"/>
          <w:sz w:val="18"/>
          <w:szCs w:val="18"/>
          <w:lang w:val="en-US"/>
        </w:rPr>
      </w:pPr>
      <w:r w:rsidRPr="00776211">
        <w:rPr>
          <w:rFonts w:ascii="Arial" w:hAnsi="Arial" w:cs="Arial"/>
          <w:sz w:val="18"/>
          <w:szCs w:val="18"/>
          <w:lang w:val="en-US"/>
        </w:rPr>
        <w:t xml:space="preserve">The inhibitory effect of </w:t>
      </w:r>
      <w:proofErr w:type="spellStart"/>
      <w:r w:rsidRPr="00776211">
        <w:rPr>
          <w:rFonts w:ascii="Arial" w:hAnsi="Arial" w:cs="Arial"/>
          <w:sz w:val="18"/>
          <w:szCs w:val="18"/>
          <w:lang w:val="en-US"/>
        </w:rPr>
        <w:t>monoglycerides</w:t>
      </w:r>
      <w:proofErr w:type="spellEnd"/>
      <w:r w:rsidRPr="00776211">
        <w:rPr>
          <w:rFonts w:ascii="Arial" w:hAnsi="Arial" w:cs="Arial"/>
          <w:sz w:val="18"/>
          <w:szCs w:val="18"/>
          <w:lang w:val="en-US"/>
        </w:rPr>
        <w:t xml:space="preserve">, </w:t>
      </w:r>
      <w:r w:rsidR="00AC1DA5" w:rsidRPr="00776211">
        <w:rPr>
          <w:rFonts w:ascii="Arial" w:hAnsi="Arial" w:cs="Arial"/>
          <w:sz w:val="18"/>
          <w:szCs w:val="18"/>
          <w:lang w:val="en-US"/>
        </w:rPr>
        <w:t>O-</w:t>
      </w:r>
      <w:proofErr w:type="spellStart"/>
      <w:r w:rsidR="00AC1DA5" w:rsidRPr="00776211">
        <w:rPr>
          <w:rFonts w:ascii="Arial" w:hAnsi="Arial" w:cs="Arial"/>
          <w:sz w:val="18"/>
          <w:szCs w:val="18"/>
          <w:lang w:val="en-US"/>
        </w:rPr>
        <w:t>dialkyl</w:t>
      </w:r>
      <w:proofErr w:type="spellEnd"/>
      <w:r w:rsidR="00AC1DA5" w:rsidRPr="00776211">
        <w:rPr>
          <w:rFonts w:ascii="Arial" w:hAnsi="Arial" w:cs="Arial"/>
          <w:sz w:val="18"/>
          <w:szCs w:val="18"/>
          <w:lang w:val="en-US"/>
        </w:rPr>
        <w:t xml:space="preserve"> diglycerides</w:t>
      </w:r>
      <w:r w:rsidRPr="00776211">
        <w:rPr>
          <w:rFonts w:ascii="Arial" w:hAnsi="Arial" w:cs="Arial"/>
          <w:sz w:val="18"/>
          <w:szCs w:val="18"/>
          <w:lang w:val="en-US"/>
        </w:rPr>
        <w:t>, fatty acids, O-</w:t>
      </w:r>
      <w:proofErr w:type="spellStart"/>
      <w:r w:rsidRPr="00776211">
        <w:rPr>
          <w:rFonts w:ascii="Arial" w:hAnsi="Arial" w:cs="Arial"/>
          <w:sz w:val="18"/>
          <w:szCs w:val="18"/>
          <w:lang w:val="en-US"/>
        </w:rPr>
        <w:t>dialkyl</w:t>
      </w:r>
      <w:proofErr w:type="spellEnd"/>
      <w:r w:rsidRPr="00776211">
        <w:rPr>
          <w:rFonts w:ascii="Arial" w:hAnsi="Arial" w:cs="Arial"/>
          <w:sz w:val="18"/>
          <w:szCs w:val="18"/>
          <w:lang w:val="en-US"/>
        </w:rPr>
        <w:t xml:space="preserve"> glycerol esters </w:t>
      </w:r>
      <w:r w:rsidR="007F6E80" w:rsidRPr="00776211">
        <w:rPr>
          <w:rFonts w:ascii="Arial" w:hAnsi="Arial" w:cs="Arial"/>
          <w:sz w:val="18"/>
          <w:szCs w:val="18"/>
          <w:lang w:val="en-US"/>
        </w:rPr>
        <w:t xml:space="preserve">and long-chain alcohols </w:t>
      </w:r>
      <w:r w:rsidRPr="00776211">
        <w:rPr>
          <w:rFonts w:ascii="Arial" w:hAnsi="Arial" w:cs="Arial"/>
          <w:sz w:val="18"/>
          <w:szCs w:val="18"/>
          <w:lang w:val="en-US"/>
        </w:rPr>
        <w:t xml:space="preserve">on the microflora of wastewater depends to a large extent on the intensity and time of illumination. At the illuminance level of 7 </w:t>
      </w:r>
      <w:proofErr w:type="spellStart"/>
      <w:r w:rsidRPr="00776211">
        <w:rPr>
          <w:rFonts w:ascii="Arial" w:hAnsi="Arial" w:cs="Arial"/>
          <w:sz w:val="18"/>
          <w:szCs w:val="18"/>
          <w:lang w:val="en-US"/>
        </w:rPr>
        <w:t>kLx</w:t>
      </w:r>
      <w:proofErr w:type="spellEnd"/>
      <w:r w:rsidRPr="00776211">
        <w:rPr>
          <w:rFonts w:ascii="Arial" w:hAnsi="Arial" w:cs="Arial"/>
          <w:sz w:val="18"/>
          <w:szCs w:val="18"/>
          <w:lang w:val="en-US"/>
        </w:rPr>
        <w:t xml:space="preserve"> and photoperiod 24/0 h, the antibiotic effect of these substances increases in average by 2-5 times in comparison with the sample incubated in the dark. The greatest antibiotic effect of </w:t>
      </w:r>
      <w:r w:rsidRPr="00776211">
        <w:rPr>
          <w:rFonts w:ascii="Arial" w:hAnsi="Arial" w:cs="Arial"/>
          <w:i/>
          <w:sz w:val="18"/>
          <w:szCs w:val="18"/>
          <w:lang w:val="en-US"/>
        </w:rPr>
        <w:t>Chlorella vulgaris</w:t>
      </w:r>
      <w:r w:rsidRPr="00776211">
        <w:rPr>
          <w:rFonts w:ascii="Arial" w:hAnsi="Arial" w:cs="Arial"/>
          <w:sz w:val="18"/>
          <w:szCs w:val="18"/>
          <w:lang w:val="en-US"/>
        </w:rPr>
        <w:t xml:space="preserve"> microalgae </w:t>
      </w:r>
      <w:proofErr w:type="spellStart"/>
      <w:r w:rsidRPr="00776211">
        <w:rPr>
          <w:rFonts w:ascii="Arial" w:hAnsi="Arial" w:cs="Arial"/>
          <w:sz w:val="18"/>
          <w:szCs w:val="18"/>
          <w:lang w:val="en-US"/>
        </w:rPr>
        <w:t>exometabolites</w:t>
      </w:r>
      <w:proofErr w:type="spellEnd"/>
      <w:r w:rsidRPr="00776211">
        <w:rPr>
          <w:rFonts w:ascii="Arial" w:hAnsi="Arial" w:cs="Arial"/>
          <w:sz w:val="18"/>
          <w:szCs w:val="18"/>
          <w:lang w:val="en-US"/>
        </w:rPr>
        <w:t xml:space="preserve"> on the microflora of wastewater is manifested at a cultivation temperature of 20 °C, the illuminance level of 7 </w:t>
      </w:r>
      <w:proofErr w:type="spellStart"/>
      <w:r w:rsidRPr="00776211">
        <w:rPr>
          <w:rFonts w:ascii="Arial" w:hAnsi="Arial" w:cs="Arial"/>
          <w:sz w:val="18"/>
          <w:szCs w:val="18"/>
          <w:lang w:val="en-US"/>
        </w:rPr>
        <w:t>kLx</w:t>
      </w:r>
      <w:proofErr w:type="spellEnd"/>
      <w:r w:rsidRPr="00776211">
        <w:rPr>
          <w:rFonts w:ascii="Arial" w:hAnsi="Arial" w:cs="Arial"/>
          <w:sz w:val="18"/>
          <w:szCs w:val="18"/>
          <w:lang w:val="en-US"/>
        </w:rPr>
        <w:t xml:space="preserve"> photoperiod 24/0 h at the stationary growth phase.</w:t>
      </w:r>
    </w:p>
    <w:p w:rsidR="00310EE7" w:rsidRPr="00615E13" w:rsidRDefault="00310EE7" w:rsidP="00600535">
      <w:pPr>
        <w:pStyle w:val="CETAcknowledgementstitle"/>
        <w:rPr>
          <w:lang w:val="en-US"/>
        </w:rPr>
      </w:pPr>
    </w:p>
    <w:p w:rsidR="0066498D" w:rsidRPr="00B57B36" w:rsidRDefault="0066498D" w:rsidP="00600535">
      <w:pPr>
        <w:pStyle w:val="CETAcknowledgementstitle"/>
      </w:pPr>
      <w:r w:rsidRPr="00B57B36">
        <w:lastRenderedPageBreak/>
        <w:t>Acknowledgments</w:t>
      </w:r>
    </w:p>
    <w:p w:rsidR="0066498D" w:rsidRPr="004A50A2" w:rsidRDefault="0066498D" w:rsidP="00CD6CE5">
      <w:pPr>
        <w:pStyle w:val="CETBodytext"/>
        <w:rPr>
          <w:szCs w:val="18"/>
        </w:rPr>
      </w:pPr>
      <w:r w:rsidRPr="004A50A2">
        <w:rPr>
          <w:szCs w:val="18"/>
          <w:lang w:val="en-GB"/>
        </w:rPr>
        <w:t xml:space="preserve">The </w:t>
      </w:r>
      <w:r w:rsidRPr="004A50A2">
        <w:rPr>
          <w:szCs w:val="18"/>
        </w:rPr>
        <w:t>work was commissioned and carried out with financial support of the Ministry of Education and Science of the Russian Federation.</w:t>
      </w:r>
    </w:p>
    <w:p w:rsidR="0066498D" w:rsidRPr="00B57B36" w:rsidRDefault="0066498D" w:rsidP="00600535">
      <w:pPr>
        <w:pStyle w:val="CETReference"/>
      </w:pPr>
      <w:r w:rsidRPr="00B57B36">
        <w:t>References</w:t>
      </w:r>
    </w:p>
    <w:p w:rsidR="00E260D8" w:rsidRPr="00E260D8" w:rsidRDefault="00E260D8" w:rsidP="00CC5CCC">
      <w:pPr>
        <w:pStyle w:val="CETReferencetext"/>
        <w:rPr>
          <w:lang w:val="en-US"/>
        </w:rPr>
      </w:pPr>
      <w:proofErr w:type="spellStart"/>
      <w:r w:rsidRPr="00E260D8">
        <w:rPr>
          <w:lang w:val="en-US"/>
        </w:rPr>
        <w:t>Amaro</w:t>
      </w:r>
      <w:proofErr w:type="spellEnd"/>
      <w:r>
        <w:rPr>
          <w:lang w:val="en-US"/>
        </w:rPr>
        <w:t xml:space="preserve"> H.M.,</w:t>
      </w:r>
      <w:r w:rsidRPr="00E260D8">
        <w:rPr>
          <w:lang w:val="en-US"/>
        </w:rPr>
        <w:t xml:space="preserve"> </w:t>
      </w:r>
      <w:proofErr w:type="spellStart"/>
      <w:r w:rsidRPr="00E260D8">
        <w:rPr>
          <w:lang w:val="en-US"/>
        </w:rPr>
        <w:t>Guedes</w:t>
      </w:r>
      <w:proofErr w:type="spellEnd"/>
      <w:r>
        <w:rPr>
          <w:lang w:val="en-US"/>
        </w:rPr>
        <w:t xml:space="preserve"> A.</w:t>
      </w:r>
      <w:r w:rsidR="00E86005">
        <w:rPr>
          <w:lang w:val="en-US"/>
        </w:rPr>
        <w:t>C.</w:t>
      </w:r>
      <w:r w:rsidRPr="00E260D8">
        <w:rPr>
          <w:lang w:val="en-US"/>
        </w:rPr>
        <w:t xml:space="preserve">, </w:t>
      </w:r>
      <w:proofErr w:type="spellStart"/>
      <w:r w:rsidRPr="00E260D8">
        <w:rPr>
          <w:lang w:val="en-US"/>
        </w:rPr>
        <w:t>Malcata</w:t>
      </w:r>
      <w:proofErr w:type="spellEnd"/>
      <w:r w:rsidR="00E86005">
        <w:rPr>
          <w:lang w:val="en-US"/>
        </w:rPr>
        <w:t xml:space="preserve"> F.X., 2011,</w:t>
      </w:r>
      <w:r w:rsidRPr="00E260D8">
        <w:rPr>
          <w:lang w:val="en-US"/>
        </w:rPr>
        <w:t xml:space="preserve"> Antimicrobial </w:t>
      </w:r>
      <w:r w:rsidR="00E86005">
        <w:rPr>
          <w:lang w:val="en-US"/>
        </w:rPr>
        <w:t>A</w:t>
      </w:r>
      <w:r w:rsidRPr="00E260D8">
        <w:rPr>
          <w:lang w:val="en-US"/>
        </w:rPr>
        <w:t xml:space="preserve">ctivities of </w:t>
      </w:r>
      <w:r w:rsidR="00E86005">
        <w:rPr>
          <w:lang w:val="en-US"/>
        </w:rPr>
        <w:t>M</w:t>
      </w:r>
      <w:r w:rsidRPr="00E260D8">
        <w:rPr>
          <w:lang w:val="en-US"/>
        </w:rPr>
        <w:t xml:space="preserve">icroalgae: </w:t>
      </w:r>
      <w:r w:rsidR="00E86005">
        <w:rPr>
          <w:lang w:val="en-US"/>
        </w:rPr>
        <w:t>A</w:t>
      </w:r>
      <w:r w:rsidRPr="00E260D8">
        <w:rPr>
          <w:lang w:val="en-US"/>
        </w:rPr>
        <w:t xml:space="preserve">n </w:t>
      </w:r>
      <w:r w:rsidR="00E86005">
        <w:rPr>
          <w:lang w:val="en-US"/>
        </w:rPr>
        <w:t>I</w:t>
      </w:r>
      <w:r w:rsidRPr="00E260D8">
        <w:rPr>
          <w:lang w:val="en-US"/>
        </w:rPr>
        <w:t xml:space="preserve">nvited </w:t>
      </w:r>
      <w:r w:rsidR="00E86005">
        <w:rPr>
          <w:lang w:val="en-US"/>
        </w:rPr>
        <w:t>R</w:t>
      </w:r>
      <w:r w:rsidRPr="00E260D8">
        <w:rPr>
          <w:lang w:val="en-US"/>
        </w:rPr>
        <w:t>eview</w:t>
      </w:r>
      <w:r w:rsidR="00E86005">
        <w:rPr>
          <w:lang w:val="en-US"/>
        </w:rPr>
        <w:t xml:space="preserve">, </w:t>
      </w:r>
      <w:r w:rsidR="00E86005" w:rsidRPr="006B4888">
        <w:t>Chapter In:</w:t>
      </w:r>
      <w:r w:rsidR="00E86005">
        <w:t xml:space="preserve"> </w:t>
      </w:r>
      <w:r w:rsidR="00E86005" w:rsidRPr="00E86005">
        <w:t>A.</w:t>
      </w:r>
      <w:r w:rsidR="00E86005">
        <w:t xml:space="preserve"> </w:t>
      </w:r>
      <w:r w:rsidR="00E86005" w:rsidRPr="00E86005">
        <w:t xml:space="preserve">Mendez-Vilas </w:t>
      </w:r>
      <w:r w:rsidR="00E86005">
        <w:t xml:space="preserve">(Ed.), </w:t>
      </w:r>
      <w:r w:rsidR="00E86005" w:rsidRPr="00E86005">
        <w:t>Science against Microbial Pathogens: Communicating Current Research and Technological Advances</w:t>
      </w:r>
      <w:r w:rsidR="00E86005">
        <w:t xml:space="preserve">, </w:t>
      </w:r>
      <w:proofErr w:type="spellStart"/>
      <w:r w:rsidR="00E86005" w:rsidRPr="00E86005">
        <w:t>Formatex</w:t>
      </w:r>
      <w:proofErr w:type="spellEnd"/>
      <w:r w:rsidR="00E86005" w:rsidRPr="00E86005">
        <w:t xml:space="preserve"> Research </w:t>
      </w:r>
      <w:proofErr w:type="spellStart"/>
      <w:r w:rsidR="00E86005" w:rsidRPr="00E86005">
        <w:t>Center</w:t>
      </w:r>
      <w:proofErr w:type="spellEnd"/>
      <w:r w:rsidR="00E86005">
        <w:t>, Badajoz, Spain, 1272-1280.</w:t>
      </w:r>
    </w:p>
    <w:p w:rsidR="00E81DB8" w:rsidRDefault="00E81DB8" w:rsidP="00CC5CCC">
      <w:pPr>
        <w:pStyle w:val="CETReferencetext"/>
      </w:pPr>
      <w:proofErr w:type="gramStart"/>
      <w:r w:rsidRPr="00E81DB8">
        <w:t>Clinical, and Laboratory Standard Institute (CLSI).</w:t>
      </w:r>
      <w:proofErr w:type="gramEnd"/>
      <w:r w:rsidRPr="00E81DB8">
        <w:t xml:space="preserve"> </w:t>
      </w:r>
      <w:r>
        <w:t xml:space="preserve">2012, </w:t>
      </w:r>
      <w:r w:rsidRPr="00E81DB8">
        <w:t>Performance standards for antimicrobial disk susceptibility testing: approved standard</w:t>
      </w:r>
      <w:r>
        <w:t>,</w:t>
      </w:r>
      <w:r w:rsidRPr="00E81DB8">
        <w:t xml:space="preserve"> National Committee for Clinical Laboratory Standards</w:t>
      </w:r>
      <w:r>
        <w:t>,</w:t>
      </w:r>
      <w:r w:rsidRPr="00E81DB8">
        <w:t xml:space="preserve"> 29</w:t>
      </w:r>
      <w:r>
        <w:t>,</w:t>
      </w:r>
      <w:r w:rsidRPr="00E81DB8">
        <w:t xml:space="preserve"> 1-76.</w:t>
      </w:r>
    </w:p>
    <w:p w:rsidR="008E2075" w:rsidRDefault="008E2075" w:rsidP="00CC5CCC">
      <w:pPr>
        <w:pStyle w:val="CETReferencetext"/>
      </w:pPr>
      <w:proofErr w:type="spellStart"/>
      <w:r w:rsidRPr="008E2075">
        <w:t>Desbois</w:t>
      </w:r>
      <w:proofErr w:type="spellEnd"/>
      <w:r w:rsidRPr="008E2075">
        <w:t xml:space="preserve"> A.P., Mearns-</w:t>
      </w:r>
      <w:proofErr w:type="spellStart"/>
      <w:r w:rsidRPr="008E2075">
        <w:t>Spragg</w:t>
      </w:r>
      <w:proofErr w:type="spellEnd"/>
      <w:r w:rsidRPr="008E2075">
        <w:t xml:space="preserve"> A., Smith V.J.</w:t>
      </w:r>
      <w:r>
        <w:t xml:space="preserve">, 2009, </w:t>
      </w:r>
      <w:proofErr w:type="gramStart"/>
      <w:r w:rsidRPr="008E2075">
        <w:t>A</w:t>
      </w:r>
      <w:proofErr w:type="gramEnd"/>
      <w:r w:rsidRPr="008E2075">
        <w:t xml:space="preserve"> fatty acid from the diatom </w:t>
      </w:r>
      <w:proofErr w:type="spellStart"/>
      <w:r w:rsidRPr="008E2075">
        <w:t>Phaeodactylum</w:t>
      </w:r>
      <w:proofErr w:type="spellEnd"/>
      <w:r w:rsidRPr="008E2075">
        <w:t xml:space="preserve"> </w:t>
      </w:r>
      <w:proofErr w:type="spellStart"/>
      <w:r w:rsidRPr="008E2075">
        <w:t>tricornutum</w:t>
      </w:r>
      <w:proofErr w:type="spellEnd"/>
      <w:r>
        <w:t xml:space="preserve"> </w:t>
      </w:r>
      <w:r w:rsidRPr="008E2075">
        <w:t>is antibacterial against diverse bacteria including multi-resistant Staphylococcus aureus (MRSA)</w:t>
      </w:r>
      <w:r>
        <w:t>,</w:t>
      </w:r>
      <w:r w:rsidRPr="008E2075">
        <w:t xml:space="preserve"> Marine Biotechnology</w:t>
      </w:r>
      <w:r>
        <w:t>,</w:t>
      </w:r>
      <w:r w:rsidRPr="008E2075">
        <w:t xml:space="preserve"> 11</w:t>
      </w:r>
      <w:r>
        <w:t xml:space="preserve">, 45-52, DOI: </w:t>
      </w:r>
      <w:r w:rsidRPr="008E2075">
        <w:t>10.1007/s10126-008-9118-5</w:t>
      </w:r>
    </w:p>
    <w:p w:rsidR="0066498D" w:rsidRPr="00AC320C" w:rsidRDefault="0066498D" w:rsidP="00CC5CCC">
      <w:pPr>
        <w:pStyle w:val="CETReferencetext"/>
      </w:pPr>
      <w:r w:rsidRPr="00AC320C">
        <w:t>Dvoretsky</w:t>
      </w:r>
      <w:r w:rsidRPr="00AC320C">
        <w:rPr>
          <w:lang w:val="en-US"/>
        </w:rPr>
        <w:t xml:space="preserve"> </w:t>
      </w:r>
      <w:r w:rsidRPr="00AC320C">
        <w:t>D</w:t>
      </w:r>
      <w:r w:rsidRPr="00AC320C">
        <w:rPr>
          <w:lang w:val="en-US"/>
        </w:rPr>
        <w:t>.</w:t>
      </w:r>
      <w:r w:rsidRPr="00AC320C">
        <w:t>S</w:t>
      </w:r>
      <w:r w:rsidRPr="00AC320C">
        <w:rPr>
          <w:lang w:val="en-US"/>
        </w:rPr>
        <w:t xml:space="preserve">., </w:t>
      </w:r>
      <w:r w:rsidRPr="00AC320C">
        <w:t>Dvoretsky</w:t>
      </w:r>
      <w:r w:rsidRPr="00AC320C">
        <w:rPr>
          <w:lang w:val="en-US"/>
        </w:rPr>
        <w:t xml:space="preserve"> </w:t>
      </w:r>
      <w:r w:rsidRPr="00AC320C">
        <w:t>S</w:t>
      </w:r>
      <w:r w:rsidRPr="00AC320C">
        <w:rPr>
          <w:lang w:val="en-US"/>
        </w:rPr>
        <w:t>.</w:t>
      </w:r>
      <w:r w:rsidRPr="00AC320C">
        <w:t>I</w:t>
      </w:r>
      <w:r w:rsidRPr="00AC320C">
        <w:rPr>
          <w:lang w:val="en-US"/>
        </w:rPr>
        <w:t xml:space="preserve">., </w:t>
      </w:r>
      <w:proofErr w:type="spellStart"/>
      <w:r w:rsidRPr="00AC320C">
        <w:t>Peshkova</w:t>
      </w:r>
      <w:proofErr w:type="spellEnd"/>
      <w:r w:rsidRPr="00AC320C">
        <w:rPr>
          <w:lang w:val="en-US"/>
        </w:rPr>
        <w:t xml:space="preserve"> </w:t>
      </w:r>
      <w:r w:rsidRPr="00AC320C">
        <w:t>E</w:t>
      </w:r>
      <w:r w:rsidRPr="00AC320C">
        <w:rPr>
          <w:lang w:val="en-US"/>
        </w:rPr>
        <w:t>.</w:t>
      </w:r>
      <w:r w:rsidRPr="00AC320C">
        <w:t>V</w:t>
      </w:r>
      <w:r w:rsidRPr="00AC320C">
        <w:rPr>
          <w:lang w:val="en-US"/>
        </w:rPr>
        <w:t xml:space="preserve">., </w:t>
      </w:r>
      <w:proofErr w:type="spellStart"/>
      <w:r w:rsidRPr="00AC320C">
        <w:rPr>
          <w:lang w:val="en-US"/>
        </w:rPr>
        <w:t>Temnov</w:t>
      </w:r>
      <w:proofErr w:type="spellEnd"/>
      <w:r w:rsidRPr="00AC320C">
        <w:rPr>
          <w:lang w:val="en-US"/>
        </w:rPr>
        <w:t xml:space="preserve"> M.S., 2015, </w:t>
      </w:r>
      <w:r w:rsidRPr="00AC320C">
        <w:t>Optimization of the process of cultivation of microalgae C. vulgaris biomass with high lipid content for biofuel production, Chemical Engineering Transactions, 43, 361-366, DOI: 10.3303/CET1543061</w:t>
      </w:r>
    </w:p>
    <w:p w:rsidR="002161CD" w:rsidRDefault="002161CD" w:rsidP="00A7416A">
      <w:pPr>
        <w:pStyle w:val="CETReference"/>
        <w:spacing w:before="0" w:after="0"/>
        <w:ind w:left="284" w:hanging="284"/>
        <w:jc w:val="both"/>
        <w:rPr>
          <w:b w:val="0"/>
          <w:lang w:val="en-US"/>
        </w:rPr>
      </w:pPr>
      <w:proofErr w:type="spellStart"/>
      <w:r w:rsidRPr="002161CD">
        <w:rPr>
          <w:b w:val="0"/>
          <w:lang w:val="en-US"/>
        </w:rPr>
        <w:t>Ghasemi</w:t>
      </w:r>
      <w:proofErr w:type="spellEnd"/>
      <w:r w:rsidRPr="002161CD">
        <w:rPr>
          <w:b w:val="0"/>
          <w:lang w:val="en-US"/>
        </w:rPr>
        <w:t xml:space="preserve"> Y.</w:t>
      </w:r>
      <w:r>
        <w:rPr>
          <w:b w:val="0"/>
          <w:lang w:val="en-US"/>
        </w:rPr>
        <w:t>,</w:t>
      </w:r>
      <w:r w:rsidRPr="002161CD">
        <w:rPr>
          <w:b w:val="0"/>
          <w:lang w:val="en-US"/>
        </w:rPr>
        <w:t xml:space="preserve"> </w:t>
      </w:r>
      <w:proofErr w:type="spellStart"/>
      <w:r w:rsidRPr="002161CD">
        <w:rPr>
          <w:b w:val="0"/>
          <w:lang w:val="en-US"/>
        </w:rPr>
        <w:t>Moradian</w:t>
      </w:r>
      <w:proofErr w:type="spellEnd"/>
      <w:r w:rsidRPr="002161CD">
        <w:rPr>
          <w:b w:val="0"/>
          <w:lang w:val="en-US"/>
        </w:rPr>
        <w:t xml:space="preserve"> A.</w:t>
      </w:r>
      <w:r>
        <w:rPr>
          <w:b w:val="0"/>
          <w:lang w:val="en-US"/>
        </w:rPr>
        <w:t>,</w:t>
      </w:r>
      <w:r w:rsidRPr="002161CD">
        <w:rPr>
          <w:b w:val="0"/>
          <w:lang w:val="en-US"/>
        </w:rPr>
        <w:t xml:space="preserve"> </w:t>
      </w:r>
      <w:proofErr w:type="spellStart"/>
      <w:r w:rsidRPr="002161CD">
        <w:rPr>
          <w:b w:val="0"/>
          <w:lang w:val="en-US"/>
        </w:rPr>
        <w:t>Mohagheghzadeh</w:t>
      </w:r>
      <w:proofErr w:type="spellEnd"/>
      <w:r>
        <w:rPr>
          <w:b w:val="0"/>
          <w:lang w:val="en-US"/>
        </w:rPr>
        <w:t xml:space="preserve"> A.</w:t>
      </w:r>
      <w:r w:rsidRPr="002161CD">
        <w:rPr>
          <w:b w:val="0"/>
          <w:lang w:val="en-US"/>
        </w:rPr>
        <w:t xml:space="preserve">, </w:t>
      </w:r>
      <w:proofErr w:type="spellStart"/>
      <w:r w:rsidRPr="002161CD">
        <w:rPr>
          <w:b w:val="0"/>
          <w:lang w:val="en-US"/>
        </w:rPr>
        <w:t>Shokravi</w:t>
      </w:r>
      <w:proofErr w:type="spellEnd"/>
      <w:r>
        <w:rPr>
          <w:b w:val="0"/>
          <w:lang w:val="en-US"/>
        </w:rPr>
        <w:t xml:space="preserve"> S.</w:t>
      </w:r>
      <w:r w:rsidRPr="002161CD">
        <w:rPr>
          <w:b w:val="0"/>
          <w:lang w:val="en-US"/>
        </w:rPr>
        <w:t xml:space="preserve">, </w:t>
      </w:r>
      <w:proofErr w:type="spellStart"/>
      <w:r w:rsidRPr="002161CD">
        <w:rPr>
          <w:b w:val="0"/>
          <w:lang w:val="en-US"/>
        </w:rPr>
        <w:t>Morowvat</w:t>
      </w:r>
      <w:proofErr w:type="spellEnd"/>
      <w:r>
        <w:rPr>
          <w:b w:val="0"/>
          <w:lang w:val="en-US"/>
        </w:rPr>
        <w:t xml:space="preserve"> M.</w:t>
      </w:r>
      <w:r w:rsidRPr="002161CD">
        <w:rPr>
          <w:b w:val="0"/>
          <w:lang w:val="en-US"/>
        </w:rPr>
        <w:t>H.</w:t>
      </w:r>
      <w:r>
        <w:rPr>
          <w:b w:val="0"/>
          <w:lang w:val="en-US"/>
        </w:rPr>
        <w:t>,</w:t>
      </w:r>
      <w:r w:rsidRPr="002161CD">
        <w:rPr>
          <w:b w:val="0"/>
          <w:lang w:val="en-US"/>
        </w:rPr>
        <w:t xml:space="preserve"> </w:t>
      </w:r>
      <w:r>
        <w:rPr>
          <w:b w:val="0"/>
          <w:lang w:val="en-US"/>
        </w:rPr>
        <w:t>2007,</w:t>
      </w:r>
      <w:r w:rsidRPr="002161CD">
        <w:rPr>
          <w:b w:val="0"/>
          <w:lang w:val="en-US"/>
        </w:rPr>
        <w:t xml:space="preserve"> Antifungal and antibacterial activity of the microalgae collected from paddy fields of Iran: characterization of antimicrobial activity of </w:t>
      </w:r>
      <w:proofErr w:type="spellStart"/>
      <w:r w:rsidRPr="002161CD">
        <w:rPr>
          <w:b w:val="0"/>
          <w:lang w:val="en-US"/>
        </w:rPr>
        <w:t>Chroococcus</w:t>
      </w:r>
      <w:proofErr w:type="spellEnd"/>
      <w:r w:rsidRPr="002161CD">
        <w:rPr>
          <w:b w:val="0"/>
          <w:lang w:val="en-US"/>
        </w:rPr>
        <w:t xml:space="preserve"> disperses</w:t>
      </w:r>
      <w:r>
        <w:rPr>
          <w:b w:val="0"/>
          <w:lang w:val="en-US"/>
        </w:rPr>
        <w:t xml:space="preserve">, </w:t>
      </w:r>
      <w:r w:rsidRPr="002161CD">
        <w:rPr>
          <w:b w:val="0"/>
          <w:lang w:val="en-US"/>
        </w:rPr>
        <w:t>Journal of Biological Sciences</w:t>
      </w:r>
      <w:r>
        <w:rPr>
          <w:b w:val="0"/>
          <w:lang w:val="en-US"/>
        </w:rPr>
        <w:t>,</w:t>
      </w:r>
      <w:r w:rsidRPr="002161CD">
        <w:rPr>
          <w:b w:val="0"/>
          <w:lang w:val="en-US"/>
        </w:rPr>
        <w:t xml:space="preserve"> 7</w:t>
      </w:r>
      <w:r>
        <w:rPr>
          <w:b w:val="0"/>
          <w:lang w:val="en-US"/>
        </w:rPr>
        <w:t>,</w:t>
      </w:r>
      <w:r w:rsidRPr="002161CD">
        <w:rPr>
          <w:b w:val="0"/>
          <w:lang w:val="en-US"/>
        </w:rPr>
        <w:t xml:space="preserve"> 904 – 910.</w:t>
      </w:r>
    </w:p>
    <w:p w:rsidR="0066498D" w:rsidRPr="00A7416A" w:rsidRDefault="0066498D" w:rsidP="00A7416A">
      <w:pPr>
        <w:pStyle w:val="CETReference"/>
        <w:spacing w:before="0" w:after="0"/>
        <w:ind w:left="284" w:hanging="284"/>
        <w:jc w:val="both"/>
        <w:rPr>
          <w:b w:val="0"/>
          <w:lang w:val="en-US"/>
        </w:rPr>
      </w:pPr>
      <w:proofErr w:type="gramStart"/>
      <w:r>
        <w:rPr>
          <w:b w:val="0"/>
          <w:lang w:val="en-US"/>
        </w:rPr>
        <w:t>Goldin</w:t>
      </w:r>
      <w:r w:rsidRPr="00E9790C">
        <w:rPr>
          <w:b w:val="0"/>
        </w:rPr>
        <w:t xml:space="preserve"> </w:t>
      </w:r>
      <w:r>
        <w:rPr>
          <w:b w:val="0"/>
          <w:lang w:val="en-US"/>
        </w:rPr>
        <w:t>E</w:t>
      </w:r>
      <w:r w:rsidRPr="00E9790C">
        <w:rPr>
          <w:b w:val="0"/>
        </w:rPr>
        <w:t>.</w:t>
      </w:r>
      <w:r>
        <w:rPr>
          <w:b w:val="0"/>
          <w:lang w:val="en-US"/>
        </w:rPr>
        <w:t xml:space="preserve">B., </w:t>
      </w:r>
      <w:proofErr w:type="spellStart"/>
      <w:r>
        <w:rPr>
          <w:b w:val="0"/>
          <w:lang w:val="en-US"/>
        </w:rPr>
        <w:t>Goldina</w:t>
      </w:r>
      <w:proofErr w:type="spellEnd"/>
      <w:r>
        <w:rPr>
          <w:b w:val="0"/>
          <w:lang w:val="en-US"/>
        </w:rPr>
        <w:t xml:space="preserve"> V.G., 1999, Antibacterial properties of algal metabolites in model experiments, </w:t>
      </w:r>
      <w:proofErr w:type="spellStart"/>
      <w:r>
        <w:rPr>
          <w:b w:val="0"/>
          <w:lang w:val="en-US"/>
        </w:rPr>
        <w:t>Algologia</w:t>
      </w:r>
      <w:proofErr w:type="spellEnd"/>
      <w:r>
        <w:rPr>
          <w:b w:val="0"/>
          <w:lang w:val="en-US"/>
        </w:rPr>
        <w:t>, 9, 2, 34 (in Russian).</w:t>
      </w:r>
      <w:proofErr w:type="gramEnd"/>
      <w:r>
        <w:rPr>
          <w:b w:val="0"/>
          <w:lang w:val="en-US"/>
        </w:rPr>
        <w:t xml:space="preserve"> </w:t>
      </w:r>
    </w:p>
    <w:p w:rsidR="00E81DB8" w:rsidRDefault="00E81DB8" w:rsidP="000872CF">
      <w:pPr>
        <w:pStyle w:val="CETReferencetext"/>
        <w:rPr>
          <w:lang w:val="en-US"/>
        </w:rPr>
      </w:pPr>
      <w:proofErr w:type="gramStart"/>
      <w:r w:rsidRPr="00E81DB8">
        <w:rPr>
          <w:lang w:val="en-US"/>
        </w:rPr>
        <w:t>Kates M.</w:t>
      </w:r>
      <w:r>
        <w:rPr>
          <w:lang w:val="en-US"/>
        </w:rPr>
        <w:t xml:space="preserve">, 1986, </w:t>
      </w:r>
      <w:r w:rsidRPr="00E81DB8">
        <w:rPr>
          <w:lang w:val="en-US"/>
        </w:rPr>
        <w:t xml:space="preserve">Lipid </w:t>
      </w:r>
      <w:r>
        <w:rPr>
          <w:lang w:val="en-US"/>
        </w:rPr>
        <w:t>E</w:t>
      </w:r>
      <w:r w:rsidRPr="00E81DB8">
        <w:rPr>
          <w:lang w:val="en-US"/>
        </w:rPr>
        <w:t xml:space="preserve">xtraction </w:t>
      </w:r>
      <w:r>
        <w:rPr>
          <w:lang w:val="en-US"/>
        </w:rPr>
        <w:t>P</w:t>
      </w:r>
      <w:r w:rsidRPr="00E81DB8">
        <w:rPr>
          <w:lang w:val="en-US"/>
        </w:rPr>
        <w:t>rocedures.</w:t>
      </w:r>
      <w:proofErr w:type="gramEnd"/>
      <w:r w:rsidRPr="00E81DB8">
        <w:rPr>
          <w:lang w:val="en-US"/>
        </w:rPr>
        <w:t xml:space="preserve"> </w:t>
      </w:r>
      <w:proofErr w:type="gramStart"/>
      <w:r w:rsidRPr="00E81DB8">
        <w:rPr>
          <w:lang w:val="en-US"/>
        </w:rPr>
        <w:t xml:space="preserve">Techniques of </w:t>
      </w:r>
      <w:proofErr w:type="spellStart"/>
      <w:r>
        <w:rPr>
          <w:lang w:val="en-US"/>
        </w:rPr>
        <w:t>Lipidology</w:t>
      </w:r>
      <w:proofErr w:type="spellEnd"/>
      <w:r>
        <w:rPr>
          <w:lang w:val="en-US"/>
        </w:rPr>
        <w:t xml:space="preserve"> I</w:t>
      </w:r>
      <w:r w:rsidRPr="00E81DB8">
        <w:rPr>
          <w:lang w:val="en-US"/>
        </w:rPr>
        <w:t xml:space="preserve">solation, </w:t>
      </w:r>
      <w:r>
        <w:rPr>
          <w:lang w:val="en-US"/>
        </w:rPr>
        <w:t>A</w:t>
      </w:r>
      <w:r w:rsidRPr="00E81DB8">
        <w:rPr>
          <w:lang w:val="en-US"/>
        </w:rPr>
        <w:t xml:space="preserve">nalysis, and </w:t>
      </w:r>
      <w:r>
        <w:rPr>
          <w:lang w:val="en-US"/>
        </w:rPr>
        <w:t>I</w:t>
      </w:r>
      <w:r w:rsidRPr="00E81DB8">
        <w:rPr>
          <w:lang w:val="en-US"/>
        </w:rPr>
        <w:t xml:space="preserve">dentification of </w:t>
      </w:r>
      <w:r w:rsidR="00213D9B">
        <w:rPr>
          <w:lang w:val="en-US"/>
        </w:rPr>
        <w:t>L</w:t>
      </w:r>
      <w:r w:rsidRPr="00E81DB8">
        <w:rPr>
          <w:lang w:val="en-US"/>
        </w:rPr>
        <w:t>ipids</w:t>
      </w:r>
      <w:r w:rsidR="00213D9B">
        <w:rPr>
          <w:lang w:val="en-US"/>
        </w:rPr>
        <w:t>,</w:t>
      </w:r>
      <w:r w:rsidRPr="00E81DB8">
        <w:rPr>
          <w:lang w:val="en-US"/>
        </w:rPr>
        <w:t xml:space="preserve"> Elsevier Science Publisher, Amsterdam, t</w:t>
      </w:r>
      <w:r w:rsidR="00213D9B">
        <w:rPr>
          <w:lang w:val="en-US"/>
        </w:rPr>
        <w:t>he Netherlands.</w:t>
      </w:r>
      <w:proofErr w:type="gramEnd"/>
      <w:r w:rsidR="00213D9B">
        <w:rPr>
          <w:lang w:val="en-US"/>
        </w:rPr>
        <w:t xml:space="preserve"> </w:t>
      </w:r>
    </w:p>
    <w:p w:rsidR="0066498D" w:rsidRPr="000872CF" w:rsidRDefault="0066498D" w:rsidP="000872CF">
      <w:pPr>
        <w:pStyle w:val="CETReferencetext"/>
        <w:rPr>
          <w:lang w:val="en-US"/>
        </w:rPr>
      </w:pPr>
      <w:proofErr w:type="spellStart"/>
      <w:r w:rsidRPr="000872CF">
        <w:rPr>
          <w:lang w:val="en-US"/>
        </w:rPr>
        <w:t>Khoeyi</w:t>
      </w:r>
      <w:proofErr w:type="spellEnd"/>
      <w:r w:rsidRPr="000872CF">
        <w:rPr>
          <w:lang w:val="en-US"/>
        </w:rPr>
        <w:t xml:space="preserve"> Z. A., </w:t>
      </w:r>
      <w:proofErr w:type="spellStart"/>
      <w:r w:rsidRPr="000872CF">
        <w:rPr>
          <w:lang w:val="en-US"/>
        </w:rPr>
        <w:t>Seyfabadi</w:t>
      </w:r>
      <w:proofErr w:type="spellEnd"/>
      <w:r w:rsidRPr="000872CF">
        <w:rPr>
          <w:lang w:val="en-US"/>
        </w:rPr>
        <w:t xml:space="preserve"> J., </w:t>
      </w:r>
      <w:proofErr w:type="spellStart"/>
      <w:r w:rsidRPr="000872CF">
        <w:rPr>
          <w:lang w:val="en-US"/>
        </w:rPr>
        <w:t>Ramezanpour</w:t>
      </w:r>
      <w:proofErr w:type="spellEnd"/>
      <w:r w:rsidRPr="000872CF">
        <w:rPr>
          <w:lang w:val="en-US"/>
        </w:rPr>
        <w:t xml:space="preserve"> Z., 2012, Effect of light intensity and photoperiod on biomass and fatty acid composition of the microalgae, Chlorella vulgaris, Aquaculture International, 20 (1), 41-49.</w:t>
      </w:r>
    </w:p>
    <w:p w:rsidR="0066498D" w:rsidRPr="000872CF" w:rsidRDefault="0066498D" w:rsidP="000872CF">
      <w:pPr>
        <w:pStyle w:val="CETReferencetext"/>
        <w:rPr>
          <w:lang w:val="en-US"/>
        </w:rPr>
      </w:pPr>
      <w:r w:rsidRPr="000872CF">
        <w:rPr>
          <w:lang w:val="en-US"/>
        </w:rPr>
        <w:t xml:space="preserve">Lynch D.V., Thompson G. A., 1982, Low temperature-induced alterations in the chloroplast and microsomal membranes of </w:t>
      </w:r>
      <w:proofErr w:type="spellStart"/>
      <w:r w:rsidRPr="000872CF">
        <w:rPr>
          <w:lang w:val="en-US"/>
        </w:rPr>
        <w:t>Dunaliella</w:t>
      </w:r>
      <w:proofErr w:type="spellEnd"/>
      <w:r w:rsidRPr="000872CF">
        <w:rPr>
          <w:lang w:val="en-US"/>
        </w:rPr>
        <w:t xml:space="preserve"> </w:t>
      </w:r>
      <w:proofErr w:type="spellStart"/>
      <w:r w:rsidRPr="000872CF">
        <w:rPr>
          <w:lang w:val="en-US"/>
        </w:rPr>
        <w:t>salina</w:t>
      </w:r>
      <w:proofErr w:type="spellEnd"/>
      <w:r w:rsidRPr="000872CF">
        <w:rPr>
          <w:lang w:val="en-US"/>
        </w:rPr>
        <w:t xml:space="preserve">, Plant </w:t>
      </w:r>
      <w:proofErr w:type="spellStart"/>
      <w:r w:rsidRPr="000872CF">
        <w:rPr>
          <w:lang w:val="en-US"/>
        </w:rPr>
        <w:t>Physiol</w:t>
      </w:r>
      <w:proofErr w:type="spellEnd"/>
      <w:r w:rsidRPr="000872CF">
        <w:rPr>
          <w:lang w:val="en-US"/>
        </w:rPr>
        <w:t>, 69, 1369-1375.</w:t>
      </w:r>
    </w:p>
    <w:p w:rsidR="0066498D" w:rsidRPr="00AC320C" w:rsidRDefault="0066498D" w:rsidP="00CC5CCC">
      <w:pPr>
        <w:pStyle w:val="CETReferencetext"/>
        <w:rPr>
          <w:rFonts w:cs="Arial"/>
          <w:szCs w:val="18"/>
          <w:lang w:eastAsia="ru-RU"/>
        </w:rPr>
      </w:pPr>
      <w:r w:rsidRPr="00AC320C">
        <w:rPr>
          <w:rFonts w:cs="Arial"/>
          <w:szCs w:val="18"/>
        </w:rPr>
        <w:t xml:space="preserve">Ma X., Gao M., Gao Z., Wang J., Zhang M., Ma Y., Wang Q., 2018, Past, current, and future research on microalga-derived biodiesel: a critical review and bibliometric analysis, </w:t>
      </w:r>
      <w:r w:rsidRPr="00AC320C">
        <w:rPr>
          <w:rFonts w:cs="Arial"/>
          <w:szCs w:val="18"/>
          <w:shd w:val="clear" w:color="auto" w:fill="FFFFFF"/>
          <w:lang w:eastAsia="ru-RU"/>
        </w:rPr>
        <w:t>Environmental Science and Pollution Research, 25, 11</w:t>
      </w:r>
      <w:r w:rsidRPr="00AC320C">
        <w:rPr>
          <w:rFonts w:cs="Arial"/>
          <w:szCs w:val="18"/>
          <w:lang w:eastAsia="ru-RU"/>
        </w:rPr>
        <w:t xml:space="preserve">, </w:t>
      </w:r>
      <w:r w:rsidRPr="00AC320C">
        <w:rPr>
          <w:rFonts w:cs="Arial"/>
          <w:szCs w:val="18"/>
          <w:shd w:val="clear" w:color="auto" w:fill="FFFFFF"/>
          <w:lang w:eastAsia="ru-RU"/>
        </w:rPr>
        <w:t xml:space="preserve">10596-10610, DOI: </w:t>
      </w:r>
      <w:r w:rsidRPr="00AC320C">
        <w:rPr>
          <w:rFonts w:cs="Arial"/>
          <w:spacing w:val="4"/>
          <w:szCs w:val="18"/>
          <w:shd w:val="clear" w:color="auto" w:fill="FCFCFC"/>
        </w:rPr>
        <w:t>10.1007/s11356-018-1453-0</w:t>
      </w:r>
    </w:p>
    <w:p w:rsidR="0066498D" w:rsidRPr="00A7416A" w:rsidRDefault="0066498D" w:rsidP="00A7416A">
      <w:pPr>
        <w:pStyle w:val="CETReference"/>
        <w:spacing w:before="0" w:after="0"/>
        <w:ind w:left="284" w:hanging="284"/>
        <w:jc w:val="both"/>
        <w:rPr>
          <w:b w:val="0"/>
          <w:lang w:val="en-US"/>
        </w:rPr>
      </w:pPr>
      <w:proofErr w:type="spellStart"/>
      <w:proofErr w:type="gramStart"/>
      <w:r>
        <w:rPr>
          <w:b w:val="0"/>
          <w:lang w:val="en-US"/>
        </w:rPr>
        <w:t>Maksimova</w:t>
      </w:r>
      <w:proofErr w:type="spellEnd"/>
      <w:r w:rsidRPr="009948AE">
        <w:rPr>
          <w:b w:val="0"/>
          <w:lang w:val="en-US"/>
        </w:rPr>
        <w:t xml:space="preserve"> </w:t>
      </w:r>
      <w:r>
        <w:rPr>
          <w:b w:val="0"/>
          <w:lang w:val="en-US"/>
        </w:rPr>
        <w:t>I</w:t>
      </w:r>
      <w:r w:rsidRPr="009948AE">
        <w:rPr>
          <w:b w:val="0"/>
          <w:lang w:val="en-US"/>
        </w:rPr>
        <w:t>.</w:t>
      </w:r>
      <w:r>
        <w:rPr>
          <w:b w:val="0"/>
          <w:lang w:val="en-US"/>
        </w:rPr>
        <w:t>V</w:t>
      </w:r>
      <w:r w:rsidRPr="009948AE">
        <w:rPr>
          <w:b w:val="0"/>
          <w:lang w:val="en-US"/>
        </w:rPr>
        <w:t xml:space="preserve">., </w:t>
      </w:r>
      <w:proofErr w:type="spellStart"/>
      <w:r>
        <w:rPr>
          <w:b w:val="0"/>
          <w:lang w:val="en-US"/>
        </w:rPr>
        <w:t>Sidorova</w:t>
      </w:r>
      <w:proofErr w:type="spellEnd"/>
      <w:r w:rsidRPr="009948AE">
        <w:rPr>
          <w:b w:val="0"/>
          <w:lang w:val="en-US"/>
        </w:rPr>
        <w:t xml:space="preserve"> </w:t>
      </w:r>
      <w:r>
        <w:rPr>
          <w:b w:val="0"/>
          <w:lang w:val="en-US"/>
        </w:rPr>
        <w:t>O</w:t>
      </w:r>
      <w:r w:rsidRPr="009948AE">
        <w:rPr>
          <w:b w:val="0"/>
          <w:lang w:val="en-US"/>
        </w:rPr>
        <w:t>.</w:t>
      </w:r>
      <w:r>
        <w:rPr>
          <w:b w:val="0"/>
          <w:lang w:val="en-US"/>
        </w:rPr>
        <w:t>A</w:t>
      </w:r>
      <w:r w:rsidRPr="009948AE">
        <w:rPr>
          <w:b w:val="0"/>
          <w:lang w:val="en-US"/>
        </w:rPr>
        <w:t xml:space="preserve">., 1986, Light-dependent antibacterial effect of algae and its ecological significance (review), </w:t>
      </w:r>
      <w:proofErr w:type="spellStart"/>
      <w:r>
        <w:rPr>
          <w:b w:val="0"/>
          <w:lang w:val="en-US"/>
        </w:rPr>
        <w:t>Gidrobiologichesky</w:t>
      </w:r>
      <w:proofErr w:type="spellEnd"/>
      <w:r>
        <w:rPr>
          <w:b w:val="0"/>
          <w:lang w:val="en-US"/>
        </w:rPr>
        <w:t xml:space="preserve"> </w:t>
      </w:r>
      <w:proofErr w:type="spellStart"/>
      <w:r>
        <w:rPr>
          <w:b w:val="0"/>
          <w:lang w:val="en-US"/>
        </w:rPr>
        <w:t>Zhurnal</w:t>
      </w:r>
      <w:proofErr w:type="spellEnd"/>
      <w:r>
        <w:rPr>
          <w:b w:val="0"/>
          <w:lang w:val="en-US"/>
        </w:rPr>
        <w:t>, 22 (6), 3-11 (in Russian).</w:t>
      </w:r>
      <w:proofErr w:type="gramEnd"/>
      <w:r>
        <w:rPr>
          <w:b w:val="0"/>
          <w:lang w:val="en-US"/>
        </w:rPr>
        <w:t xml:space="preserve"> </w:t>
      </w:r>
      <w:r w:rsidRPr="009948AE">
        <w:rPr>
          <w:b w:val="0"/>
          <w:lang w:val="en-US"/>
        </w:rPr>
        <w:t xml:space="preserve"> </w:t>
      </w:r>
    </w:p>
    <w:p w:rsidR="0066498D" w:rsidRDefault="0066498D" w:rsidP="00A7416A">
      <w:pPr>
        <w:pStyle w:val="CETReference"/>
        <w:spacing w:before="0" w:after="0" w:line="264" w:lineRule="auto"/>
        <w:ind w:left="284" w:hanging="284"/>
        <w:jc w:val="both"/>
        <w:rPr>
          <w:b w:val="0"/>
          <w:lang w:val="en-US"/>
        </w:rPr>
      </w:pPr>
      <w:r w:rsidRPr="002A126F">
        <w:rPr>
          <w:b w:val="0"/>
          <w:lang w:val="en-US"/>
        </w:rPr>
        <w:t xml:space="preserve">Pratt R., Daniels </w:t>
      </w:r>
      <w:r>
        <w:rPr>
          <w:b w:val="0"/>
          <w:lang w:val="en-US"/>
        </w:rPr>
        <w:t>T.</w:t>
      </w:r>
      <w:r w:rsidRPr="002A126F">
        <w:rPr>
          <w:b w:val="0"/>
          <w:lang w:val="en-US"/>
        </w:rPr>
        <w:t xml:space="preserve">C., </w:t>
      </w:r>
      <w:proofErr w:type="spellStart"/>
      <w:r w:rsidRPr="002A126F">
        <w:rPr>
          <w:b w:val="0"/>
          <w:lang w:val="en-US"/>
        </w:rPr>
        <w:t>Eiler</w:t>
      </w:r>
      <w:proofErr w:type="spellEnd"/>
      <w:r w:rsidRPr="002A126F">
        <w:rPr>
          <w:b w:val="0"/>
          <w:lang w:val="en-US"/>
        </w:rPr>
        <w:t xml:space="preserve"> J.J., Gunnison </w:t>
      </w:r>
      <w:r>
        <w:rPr>
          <w:b w:val="0"/>
          <w:lang w:val="en-US"/>
        </w:rPr>
        <w:t>J.</w:t>
      </w:r>
      <w:r w:rsidRPr="002A126F">
        <w:rPr>
          <w:b w:val="0"/>
          <w:lang w:val="en-US"/>
        </w:rPr>
        <w:t xml:space="preserve">B., </w:t>
      </w:r>
      <w:proofErr w:type="spellStart"/>
      <w:r w:rsidRPr="002A126F">
        <w:rPr>
          <w:b w:val="0"/>
          <w:lang w:val="en-US"/>
        </w:rPr>
        <w:t>Kumler</w:t>
      </w:r>
      <w:proofErr w:type="spellEnd"/>
      <w:r w:rsidRPr="002A126F">
        <w:rPr>
          <w:b w:val="0"/>
          <w:lang w:val="en-US"/>
        </w:rPr>
        <w:t xml:space="preserve"> W.D., </w:t>
      </w:r>
      <w:proofErr w:type="spellStart"/>
      <w:r w:rsidRPr="002A126F">
        <w:rPr>
          <w:b w:val="0"/>
          <w:lang w:val="en-US"/>
        </w:rPr>
        <w:t>Oneto</w:t>
      </w:r>
      <w:proofErr w:type="spellEnd"/>
      <w:r w:rsidRPr="002A126F">
        <w:rPr>
          <w:b w:val="0"/>
          <w:lang w:val="en-US"/>
        </w:rPr>
        <w:t xml:space="preserve"> J.F., Strait L.A.</w:t>
      </w:r>
      <w:r>
        <w:rPr>
          <w:b w:val="0"/>
          <w:lang w:val="en-US"/>
        </w:rPr>
        <w:t xml:space="preserve">, 1944, </w:t>
      </w:r>
      <w:proofErr w:type="spellStart"/>
      <w:r w:rsidRPr="00CC587B">
        <w:rPr>
          <w:b w:val="0"/>
          <w:lang w:val="en-US"/>
        </w:rPr>
        <w:t>Chlorellin</w:t>
      </w:r>
      <w:proofErr w:type="spellEnd"/>
      <w:r w:rsidRPr="00CC587B">
        <w:rPr>
          <w:b w:val="0"/>
          <w:lang w:val="en-US"/>
        </w:rPr>
        <w:t>, an antibacterial substance from C</w:t>
      </w:r>
      <w:r>
        <w:rPr>
          <w:b w:val="0"/>
          <w:lang w:val="en-US"/>
        </w:rPr>
        <w:t>h</w:t>
      </w:r>
      <w:r w:rsidRPr="00CC587B">
        <w:rPr>
          <w:b w:val="0"/>
          <w:lang w:val="en-US"/>
        </w:rPr>
        <w:t>lorella</w:t>
      </w:r>
      <w:r>
        <w:rPr>
          <w:b w:val="0"/>
          <w:lang w:val="en-US"/>
        </w:rPr>
        <w:t>, Science, 99, 351-352.</w:t>
      </w:r>
    </w:p>
    <w:p w:rsidR="001D057F" w:rsidRDefault="001D057F" w:rsidP="00CC5CCC">
      <w:pPr>
        <w:pStyle w:val="CETReferencetext"/>
      </w:pPr>
      <w:r w:rsidRPr="001D057F">
        <w:t>Richardson</w:t>
      </w:r>
      <w:r>
        <w:t xml:space="preserve"> J.</w:t>
      </w:r>
      <w:r w:rsidRPr="001D057F">
        <w:t>W.</w:t>
      </w:r>
      <w:r>
        <w:t>,</w:t>
      </w:r>
      <w:r w:rsidRPr="001D057F">
        <w:t xml:space="preserve"> Johnson M.D.</w:t>
      </w:r>
      <w:r>
        <w:t xml:space="preserve">, </w:t>
      </w:r>
      <w:r w:rsidRPr="001D057F">
        <w:t>Zhang</w:t>
      </w:r>
      <w:r>
        <w:t xml:space="preserve"> X., Zemke P., Chen W., Hu Q., 2014, </w:t>
      </w:r>
      <w:r w:rsidRPr="001D057F">
        <w:t>A financial assessment of two alternative cultivation systems and their contributions to algae biofuel economic viability</w:t>
      </w:r>
      <w:r>
        <w:t>,</w:t>
      </w:r>
      <w:r w:rsidRPr="001D057F">
        <w:t xml:space="preserve"> Algal Research</w:t>
      </w:r>
      <w:r>
        <w:t>,</w:t>
      </w:r>
      <w:r w:rsidRPr="001D057F">
        <w:t xml:space="preserve"> 4</w:t>
      </w:r>
      <w:r>
        <w:t xml:space="preserve">, 96-104, DOI: </w:t>
      </w:r>
      <w:r w:rsidRPr="001D057F">
        <w:t>10.1016/j.algal.2013.12.003</w:t>
      </w:r>
    </w:p>
    <w:p w:rsidR="0066498D" w:rsidRPr="00AC320C" w:rsidRDefault="0066498D" w:rsidP="00CC5CCC">
      <w:pPr>
        <w:pStyle w:val="CETReferencetext"/>
      </w:pPr>
      <w:r w:rsidRPr="00AC320C">
        <w:t xml:space="preserve">Roux J.-M., </w:t>
      </w:r>
      <w:proofErr w:type="spellStart"/>
      <w:r w:rsidRPr="00AC320C">
        <w:t>Lamotte</w:t>
      </w:r>
      <w:proofErr w:type="spellEnd"/>
      <w:r w:rsidRPr="00AC320C">
        <w:t xml:space="preserve"> H., </w:t>
      </w:r>
      <w:proofErr w:type="spellStart"/>
      <w:r w:rsidRPr="00AC320C">
        <w:t>Achard</w:t>
      </w:r>
      <w:proofErr w:type="spellEnd"/>
      <w:r w:rsidRPr="00AC320C">
        <w:t xml:space="preserve"> J.-L., 2017, An overview of microalgae lipid extraction in a </w:t>
      </w:r>
      <w:proofErr w:type="spellStart"/>
      <w:r w:rsidRPr="00AC320C">
        <w:t>biorefinery</w:t>
      </w:r>
      <w:proofErr w:type="spellEnd"/>
      <w:r w:rsidRPr="00AC320C">
        <w:t xml:space="preserve"> framework, Energy Procedia, 112, 680-688, DOI: 10.1016/j.egypro.2017.03.1137</w:t>
      </w:r>
    </w:p>
    <w:p w:rsidR="001B079A" w:rsidRDefault="001B079A" w:rsidP="00AC1DA5">
      <w:pPr>
        <w:pStyle w:val="CETReferencetext"/>
      </w:pPr>
      <w:r>
        <w:t xml:space="preserve">Rubin A.B., 2017, Compendium </w:t>
      </w:r>
      <w:r w:rsidR="00455F10">
        <w:t>of</w:t>
      </w:r>
      <w:r>
        <w:t xml:space="preserve"> Biophysics, Wiley-Scrivener Publishing, Beverly, USA.</w:t>
      </w:r>
    </w:p>
    <w:p w:rsidR="00AC1DA5" w:rsidRPr="00AC1DA5" w:rsidRDefault="00AC1DA5" w:rsidP="00AC1DA5">
      <w:pPr>
        <w:pStyle w:val="CETReferencetext"/>
      </w:pPr>
      <w:proofErr w:type="spellStart"/>
      <w:r w:rsidRPr="00AC1DA5">
        <w:t>Soru</w:t>
      </w:r>
      <w:proofErr w:type="spellEnd"/>
      <w:r w:rsidRPr="00AC1DA5">
        <w:t xml:space="preserve"> S., </w:t>
      </w:r>
      <w:proofErr w:type="spellStart"/>
      <w:r w:rsidRPr="00AC1DA5">
        <w:t>Malavasi</w:t>
      </w:r>
      <w:proofErr w:type="spellEnd"/>
      <w:r w:rsidRPr="00AC1DA5">
        <w:t xml:space="preserve"> V., </w:t>
      </w:r>
      <w:proofErr w:type="spellStart"/>
      <w:r w:rsidRPr="00AC1DA5">
        <w:t>Caboni</w:t>
      </w:r>
      <w:proofErr w:type="spellEnd"/>
      <w:r w:rsidRPr="00AC1DA5">
        <w:t xml:space="preserve"> P., </w:t>
      </w:r>
      <w:proofErr w:type="spellStart"/>
      <w:r w:rsidRPr="00AC1DA5">
        <w:t>Concas</w:t>
      </w:r>
      <w:proofErr w:type="spellEnd"/>
      <w:r w:rsidRPr="00AC1DA5">
        <w:t xml:space="preserve"> A., Cao G., 2019, </w:t>
      </w:r>
      <w:proofErr w:type="spellStart"/>
      <w:r w:rsidRPr="00AC1DA5">
        <w:t>Behavior</w:t>
      </w:r>
      <w:proofErr w:type="spellEnd"/>
      <w:r w:rsidRPr="00AC1DA5">
        <w:t xml:space="preserve"> of the extremophile green alga </w:t>
      </w:r>
      <w:proofErr w:type="spellStart"/>
      <w:r w:rsidRPr="00AC1DA5">
        <w:t>Coccomyxa</w:t>
      </w:r>
      <w:proofErr w:type="spellEnd"/>
      <w:r w:rsidRPr="00AC1DA5">
        <w:t xml:space="preserve"> </w:t>
      </w:r>
      <w:proofErr w:type="spellStart"/>
      <w:r w:rsidRPr="00AC1DA5">
        <w:t>melkonianii</w:t>
      </w:r>
      <w:proofErr w:type="spellEnd"/>
      <w:r w:rsidRPr="00AC1DA5">
        <w:t xml:space="preserve"> SCCA 048 in terms of lipids production and morphology at different pH values, Extremophiles, 23(1), 79-89.</w:t>
      </w:r>
    </w:p>
    <w:p w:rsidR="0066498D" w:rsidRPr="00030FAB" w:rsidRDefault="0066498D" w:rsidP="00A7416A">
      <w:pPr>
        <w:pStyle w:val="CETReference"/>
        <w:spacing w:before="0" w:after="0" w:line="264" w:lineRule="auto"/>
        <w:ind w:left="284" w:hanging="284"/>
        <w:jc w:val="both"/>
        <w:rPr>
          <w:b w:val="0"/>
        </w:rPr>
      </w:pPr>
      <w:r w:rsidRPr="00030FAB">
        <w:rPr>
          <w:b w:val="0"/>
        </w:rPr>
        <w:t>United Nations, 2016, P</w:t>
      </w:r>
      <w:r>
        <w:rPr>
          <w:b w:val="0"/>
        </w:rPr>
        <w:t xml:space="preserve">aris Agreement, United Nations </w:t>
      </w:r>
      <w:r w:rsidRPr="00030FAB">
        <w:rPr>
          <w:b w:val="0"/>
        </w:rPr>
        <w:t>&lt;treaties.un.org/doc/Publication/MTDSG/Volume%20II/Chapter%20XXVII/XXVII-7-d.en.pdf&gt; accessed 27.01.2019.</w:t>
      </w:r>
    </w:p>
    <w:p w:rsidR="00D40DBE" w:rsidRDefault="00D40DBE" w:rsidP="00A7416A">
      <w:pPr>
        <w:pStyle w:val="CETReference"/>
        <w:spacing w:before="0" w:after="0" w:line="264" w:lineRule="auto"/>
        <w:ind w:left="284" w:hanging="284"/>
        <w:jc w:val="both"/>
        <w:rPr>
          <w:b w:val="0"/>
        </w:rPr>
      </w:pPr>
      <w:r w:rsidRPr="00D40DBE">
        <w:rPr>
          <w:b w:val="0"/>
        </w:rPr>
        <w:t>Vyas</w:t>
      </w:r>
      <w:r>
        <w:rPr>
          <w:b w:val="0"/>
        </w:rPr>
        <w:t xml:space="preserve"> S.</w:t>
      </w:r>
      <w:r w:rsidRPr="00D40DBE">
        <w:rPr>
          <w:b w:val="0"/>
        </w:rPr>
        <w:t>, Chhabra</w:t>
      </w:r>
      <w:r>
        <w:rPr>
          <w:b w:val="0"/>
        </w:rPr>
        <w:t xml:space="preserve"> M., 2017,</w:t>
      </w:r>
      <w:r w:rsidRPr="00D40DBE">
        <w:rPr>
          <w:b w:val="0"/>
        </w:rPr>
        <w:t xml:space="preserve"> Isolation, identification and characterization of </w:t>
      </w:r>
      <w:proofErr w:type="spellStart"/>
      <w:r w:rsidRPr="00D40DBE">
        <w:rPr>
          <w:b w:val="0"/>
        </w:rPr>
        <w:t>Cystobasidium</w:t>
      </w:r>
      <w:proofErr w:type="spellEnd"/>
      <w:r w:rsidRPr="00D40DBE">
        <w:rPr>
          <w:b w:val="0"/>
        </w:rPr>
        <w:t xml:space="preserve"> </w:t>
      </w:r>
      <w:proofErr w:type="spellStart"/>
      <w:r w:rsidRPr="00D40DBE">
        <w:rPr>
          <w:b w:val="0"/>
        </w:rPr>
        <w:t>oligophagum</w:t>
      </w:r>
      <w:proofErr w:type="spellEnd"/>
      <w:r w:rsidRPr="00D40DBE">
        <w:rPr>
          <w:b w:val="0"/>
        </w:rPr>
        <w:t xml:space="preserve"> JRC1: A </w:t>
      </w:r>
      <w:proofErr w:type="spellStart"/>
      <w:r w:rsidRPr="00D40DBE">
        <w:rPr>
          <w:b w:val="0"/>
        </w:rPr>
        <w:t>cellulase</w:t>
      </w:r>
      <w:proofErr w:type="spellEnd"/>
      <w:r w:rsidRPr="00D40DBE">
        <w:rPr>
          <w:b w:val="0"/>
        </w:rPr>
        <w:t xml:space="preserve"> and lipase producing oleaginous yeast</w:t>
      </w:r>
      <w:r>
        <w:rPr>
          <w:b w:val="0"/>
        </w:rPr>
        <w:t>,</w:t>
      </w:r>
      <w:r w:rsidRPr="00D40DBE">
        <w:rPr>
          <w:b w:val="0"/>
        </w:rPr>
        <w:t xml:space="preserve"> </w:t>
      </w:r>
      <w:proofErr w:type="spellStart"/>
      <w:r w:rsidRPr="00D40DBE">
        <w:rPr>
          <w:b w:val="0"/>
        </w:rPr>
        <w:t>Bioresource</w:t>
      </w:r>
      <w:proofErr w:type="spellEnd"/>
      <w:r w:rsidRPr="00D40DBE">
        <w:rPr>
          <w:b w:val="0"/>
        </w:rPr>
        <w:t xml:space="preserve"> Technology</w:t>
      </w:r>
      <w:r>
        <w:rPr>
          <w:b w:val="0"/>
        </w:rPr>
        <w:t>,</w:t>
      </w:r>
      <w:r w:rsidRPr="00D40DBE">
        <w:rPr>
          <w:b w:val="0"/>
        </w:rPr>
        <w:t xml:space="preserve"> 223, 250-258</w:t>
      </w:r>
      <w:r>
        <w:rPr>
          <w:b w:val="0"/>
        </w:rPr>
        <w:t>.</w:t>
      </w:r>
    </w:p>
    <w:p w:rsidR="0066498D" w:rsidRDefault="0066498D" w:rsidP="00A7416A">
      <w:pPr>
        <w:pStyle w:val="CETReference"/>
        <w:spacing w:before="0" w:after="0" w:line="264" w:lineRule="auto"/>
        <w:ind w:left="284" w:hanging="284"/>
        <w:jc w:val="both"/>
        <w:rPr>
          <w:b w:val="0"/>
        </w:rPr>
      </w:pPr>
      <w:r>
        <w:rPr>
          <w:b w:val="0"/>
        </w:rPr>
        <w:t xml:space="preserve">Ward O.P., Singh A., 2005, </w:t>
      </w:r>
      <w:r w:rsidRPr="00540978">
        <w:rPr>
          <w:b w:val="0"/>
        </w:rPr>
        <w:t>Omega-3/6 fatty acids: alternative sources of production</w:t>
      </w:r>
      <w:r>
        <w:rPr>
          <w:b w:val="0"/>
        </w:rPr>
        <w:t>, Process Biochemistry, 40, 3627-3652.</w:t>
      </w:r>
    </w:p>
    <w:p w:rsidR="0066498D" w:rsidRPr="00030FAB" w:rsidRDefault="0066498D" w:rsidP="00A7416A">
      <w:pPr>
        <w:pStyle w:val="CETReference"/>
        <w:spacing w:before="0" w:after="0" w:line="264" w:lineRule="auto"/>
        <w:ind w:left="284" w:hanging="284"/>
        <w:jc w:val="both"/>
        <w:rPr>
          <w:b w:val="0"/>
        </w:rPr>
      </w:pPr>
      <w:r w:rsidRPr="00030FAB">
        <w:rPr>
          <w:b w:val="0"/>
        </w:rPr>
        <w:t>WWAP (United Nations World Water Assessment Programme)</w:t>
      </w:r>
      <w:r>
        <w:rPr>
          <w:b w:val="0"/>
        </w:rPr>
        <w:t>,</w:t>
      </w:r>
      <w:r w:rsidRPr="00030FAB">
        <w:rPr>
          <w:b w:val="0"/>
        </w:rPr>
        <w:t xml:space="preserve"> 2017</w:t>
      </w:r>
      <w:r>
        <w:rPr>
          <w:b w:val="0"/>
        </w:rPr>
        <w:t>,</w:t>
      </w:r>
      <w:r w:rsidRPr="00030FAB">
        <w:rPr>
          <w:b w:val="0"/>
        </w:rPr>
        <w:t xml:space="preserve"> </w:t>
      </w:r>
      <w:proofErr w:type="gramStart"/>
      <w:r w:rsidRPr="00030FAB">
        <w:rPr>
          <w:b w:val="0"/>
        </w:rPr>
        <w:t>The</w:t>
      </w:r>
      <w:proofErr w:type="gramEnd"/>
      <w:r w:rsidRPr="00030FAB">
        <w:rPr>
          <w:b w:val="0"/>
        </w:rPr>
        <w:t xml:space="preserve"> United Nations World Water Development Report 2017: Wastewater, The U</w:t>
      </w:r>
      <w:r>
        <w:rPr>
          <w:b w:val="0"/>
        </w:rPr>
        <w:t>ntapped Resource. Paris, UNESCO &lt;</w:t>
      </w:r>
      <w:r w:rsidRPr="00511EC6">
        <w:t xml:space="preserve"> </w:t>
      </w:r>
      <w:r w:rsidRPr="00511EC6">
        <w:rPr>
          <w:b w:val="0"/>
        </w:rPr>
        <w:t>http://www.unesco.org/new/en/natural-sciences/environment/water/wwap/wwdr/2017-wastewater-the-untapped-resource/</w:t>
      </w:r>
      <w:r>
        <w:rPr>
          <w:b w:val="0"/>
        </w:rPr>
        <w:t xml:space="preserve"> &gt; </w:t>
      </w:r>
      <w:r w:rsidRPr="00030FAB">
        <w:rPr>
          <w:b w:val="0"/>
        </w:rPr>
        <w:t>accessed 27.01.2019</w:t>
      </w:r>
      <w:r>
        <w:rPr>
          <w:b w:val="0"/>
        </w:rPr>
        <w:t>.</w:t>
      </w:r>
    </w:p>
    <w:p w:rsidR="00AC1DA5" w:rsidRPr="00AC1DA5" w:rsidRDefault="0066498D" w:rsidP="00876527">
      <w:pPr>
        <w:pStyle w:val="CETReference"/>
        <w:spacing w:before="0" w:after="0" w:line="264" w:lineRule="auto"/>
        <w:ind w:left="284" w:hanging="284"/>
        <w:jc w:val="both"/>
      </w:pPr>
      <w:proofErr w:type="spellStart"/>
      <w:r>
        <w:rPr>
          <w:b w:val="0"/>
          <w:lang w:val="en-US"/>
        </w:rPr>
        <w:t>Zenova</w:t>
      </w:r>
      <w:proofErr w:type="spellEnd"/>
      <w:r w:rsidRPr="009948AE">
        <w:rPr>
          <w:b w:val="0"/>
          <w:lang w:val="en-US"/>
        </w:rPr>
        <w:t xml:space="preserve"> </w:t>
      </w:r>
      <w:r>
        <w:rPr>
          <w:b w:val="0"/>
          <w:lang w:val="en-US"/>
        </w:rPr>
        <w:t>G</w:t>
      </w:r>
      <w:r w:rsidRPr="009948AE">
        <w:rPr>
          <w:b w:val="0"/>
          <w:lang w:val="en-US"/>
        </w:rPr>
        <w:t>.</w:t>
      </w:r>
      <w:r>
        <w:rPr>
          <w:b w:val="0"/>
          <w:lang w:val="en-US"/>
        </w:rPr>
        <w:t>M</w:t>
      </w:r>
      <w:r w:rsidRPr="009948AE">
        <w:rPr>
          <w:b w:val="0"/>
          <w:lang w:val="en-US"/>
        </w:rPr>
        <w:t xml:space="preserve">., </w:t>
      </w:r>
      <w:proofErr w:type="spellStart"/>
      <w:r>
        <w:rPr>
          <w:b w:val="0"/>
          <w:lang w:val="en-US"/>
        </w:rPr>
        <w:t>Shtina</w:t>
      </w:r>
      <w:proofErr w:type="spellEnd"/>
      <w:r w:rsidRPr="009948AE">
        <w:rPr>
          <w:b w:val="0"/>
          <w:lang w:val="en-US"/>
        </w:rPr>
        <w:t xml:space="preserve"> </w:t>
      </w:r>
      <w:r>
        <w:rPr>
          <w:b w:val="0"/>
          <w:lang w:val="en-US"/>
        </w:rPr>
        <w:t>E</w:t>
      </w:r>
      <w:r w:rsidRPr="009948AE">
        <w:rPr>
          <w:b w:val="0"/>
          <w:lang w:val="en-US"/>
        </w:rPr>
        <w:t>.</w:t>
      </w:r>
      <w:r>
        <w:rPr>
          <w:b w:val="0"/>
          <w:lang w:val="en-US"/>
        </w:rPr>
        <w:t>A</w:t>
      </w:r>
      <w:r w:rsidRPr="009948AE">
        <w:rPr>
          <w:b w:val="0"/>
          <w:lang w:val="en-US"/>
        </w:rPr>
        <w:t xml:space="preserve">., </w:t>
      </w:r>
      <w:proofErr w:type="spellStart"/>
      <w:r>
        <w:rPr>
          <w:b w:val="0"/>
          <w:lang w:val="en-US"/>
        </w:rPr>
        <w:t>Dedysh</w:t>
      </w:r>
      <w:proofErr w:type="spellEnd"/>
      <w:r w:rsidRPr="009948AE">
        <w:rPr>
          <w:b w:val="0"/>
          <w:lang w:val="en-US"/>
        </w:rPr>
        <w:t xml:space="preserve"> </w:t>
      </w:r>
      <w:r>
        <w:rPr>
          <w:b w:val="0"/>
          <w:lang w:val="en-US"/>
        </w:rPr>
        <w:t>N</w:t>
      </w:r>
      <w:r w:rsidRPr="009948AE">
        <w:rPr>
          <w:b w:val="0"/>
          <w:lang w:val="en-US"/>
        </w:rPr>
        <w:t xml:space="preserve">., </w:t>
      </w:r>
      <w:proofErr w:type="spellStart"/>
      <w:r>
        <w:rPr>
          <w:b w:val="0"/>
          <w:lang w:val="en-US"/>
        </w:rPr>
        <w:t>Glagoleva</w:t>
      </w:r>
      <w:proofErr w:type="spellEnd"/>
      <w:r w:rsidRPr="009948AE">
        <w:rPr>
          <w:b w:val="0"/>
          <w:lang w:val="en-US"/>
        </w:rPr>
        <w:t xml:space="preserve"> </w:t>
      </w:r>
      <w:r>
        <w:rPr>
          <w:b w:val="0"/>
          <w:lang w:val="en-US"/>
        </w:rPr>
        <w:t>O</w:t>
      </w:r>
      <w:r w:rsidRPr="009948AE">
        <w:rPr>
          <w:b w:val="0"/>
          <w:lang w:val="en-US"/>
        </w:rPr>
        <w:t>.</w:t>
      </w:r>
      <w:r>
        <w:rPr>
          <w:b w:val="0"/>
          <w:lang w:val="en-US"/>
        </w:rPr>
        <w:t>B</w:t>
      </w:r>
      <w:r w:rsidRPr="009948AE">
        <w:rPr>
          <w:b w:val="0"/>
          <w:lang w:val="en-US"/>
        </w:rPr>
        <w:t xml:space="preserve">., </w:t>
      </w:r>
      <w:proofErr w:type="spellStart"/>
      <w:r>
        <w:rPr>
          <w:b w:val="0"/>
          <w:lang w:val="en-US"/>
        </w:rPr>
        <w:t>Likhachyova</w:t>
      </w:r>
      <w:proofErr w:type="spellEnd"/>
      <w:r w:rsidRPr="009948AE">
        <w:rPr>
          <w:b w:val="0"/>
          <w:lang w:val="en-US"/>
        </w:rPr>
        <w:t xml:space="preserve"> </w:t>
      </w:r>
      <w:r>
        <w:rPr>
          <w:b w:val="0"/>
          <w:lang w:val="en-US"/>
        </w:rPr>
        <w:t>A</w:t>
      </w:r>
      <w:r w:rsidRPr="009948AE">
        <w:rPr>
          <w:b w:val="0"/>
          <w:lang w:val="en-US"/>
        </w:rPr>
        <w:t>.</w:t>
      </w:r>
      <w:r>
        <w:rPr>
          <w:b w:val="0"/>
          <w:lang w:val="en-US"/>
        </w:rPr>
        <w:t>A</w:t>
      </w:r>
      <w:r w:rsidRPr="009948AE">
        <w:rPr>
          <w:b w:val="0"/>
          <w:lang w:val="en-US"/>
        </w:rPr>
        <w:t xml:space="preserve">., </w:t>
      </w:r>
      <w:proofErr w:type="spellStart"/>
      <w:r>
        <w:rPr>
          <w:b w:val="0"/>
          <w:lang w:val="en-US"/>
        </w:rPr>
        <w:t>Grachyova</w:t>
      </w:r>
      <w:proofErr w:type="spellEnd"/>
      <w:r w:rsidRPr="009948AE">
        <w:rPr>
          <w:b w:val="0"/>
          <w:lang w:val="en-US"/>
        </w:rPr>
        <w:t xml:space="preserve"> </w:t>
      </w:r>
      <w:r>
        <w:rPr>
          <w:b w:val="0"/>
          <w:lang w:val="en-US"/>
        </w:rPr>
        <w:t>T</w:t>
      </w:r>
      <w:r w:rsidRPr="009948AE">
        <w:rPr>
          <w:b w:val="0"/>
          <w:lang w:val="en-US"/>
        </w:rPr>
        <w:t>.</w:t>
      </w:r>
      <w:r>
        <w:rPr>
          <w:b w:val="0"/>
          <w:lang w:val="en-US"/>
        </w:rPr>
        <w:t>A</w:t>
      </w:r>
      <w:r w:rsidRPr="009948AE">
        <w:rPr>
          <w:b w:val="0"/>
          <w:lang w:val="en-US"/>
        </w:rPr>
        <w:t xml:space="preserve">., 1995, Ecological </w:t>
      </w:r>
      <w:r>
        <w:rPr>
          <w:b w:val="0"/>
          <w:lang w:val="en-US"/>
        </w:rPr>
        <w:t>relationships</w:t>
      </w:r>
      <w:r w:rsidRPr="009948AE">
        <w:rPr>
          <w:b w:val="0"/>
          <w:lang w:val="en-US"/>
        </w:rPr>
        <w:t xml:space="preserve"> of algae in </w:t>
      </w:r>
      <w:proofErr w:type="spellStart"/>
      <w:r w:rsidRPr="009948AE">
        <w:rPr>
          <w:b w:val="0"/>
          <w:lang w:val="en-US"/>
        </w:rPr>
        <w:t>biocoenoses</w:t>
      </w:r>
      <w:proofErr w:type="spellEnd"/>
      <w:r w:rsidRPr="009948AE">
        <w:rPr>
          <w:b w:val="0"/>
          <w:lang w:val="en-US"/>
        </w:rPr>
        <w:t>,</w:t>
      </w:r>
      <w:r>
        <w:rPr>
          <w:b w:val="0"/>
          <w:lang w:val="en-US"/>
        </w:rPr>
        <w:t xml:space="preserve"> </w:t>
      </w:r>
      <w:proofErr w:type="spellStart"/>
      <w:r>
        <w:rPr>
          <w:b w:val="0"/>
          <w:lang w:val="en-US"/>
        </w:rPr>
        <w:t>Mikrobiologia</w:t>
      </w:r>
      <w:proofErr w:type="spellEnd"/>
      <w:r w:rsidRPr="009948AE">
        <w:rPr>
          <w:b w:val="0"/>
          <w:lang w:val="en-US"/>
        </w:rPr>
        <w:t>, 2, 149-164</w:t>
      </w:r>
      <w:r>
        <w:rPr>
          <w:b w:val="0"/>
          <w:lang w:val="en-US"/>
        </w:rPr>
        <w:t xml:space="preserve"> (in Russian). </w:t>
      </w:r>
      <w:r w:rsidRPr="009948AE">
        <w:rPr>
          <w:b w:val="0"/>
          <w:lang w:val="en-US"/>
        </w:rPr>
        <w:t xml:space="preserve"> </w:t>
      </w:r>
    </w:p>
    <w:sectPr w:rsidR="00AC1DA5" w:rsidRPr="00AC1DA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24" w:rsidRDefault="00197B24" w:rsidP="004F5E36">
      <w:r>
        <w:separator/>
      </w:r>
    </w:p>
  </w:endnote>
  <w:endnote w:type="continuationSeparator" w:id="0">
    <w:p w:rsidR="00197B24" w:rsidRDefault="00197B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24" w:rsidRDefault="00197B24" w:rsidP="004F5E36">
      <w:r>
        <w:separator/>
      </w:r>
    </w:p>
  </w:footnote>
  <w:footnote w:type="continuationSeparator" w:id="0">
    <w:p w:rsidR="00197B24" w:rsidRDefault="00197B2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65EC884E"/>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408CBE96"/>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CFC0B388"/>
    <w:lvl w:ilvl="0">
      <w:start w:val="1"/>
      <w:numFmt w:val="decimal"/>
      <w:pStyle w:val="a"/>
      <w:lvlText w:val="%1."/>
      <w:lvlJc w:val="left"/>
      <w:pPr>
        <w:tabs>
          <w:tab w:val="num" w:pos="643"/>
        </w:tabs>
        <w:ind w:left="643" w:hanging="360"/>
      </w:pPr>
      <w:rPr>
        <w:rFonts w:cs="Times New Roman"/>
      </w:rPr>
    </w:lvl>
  </w:abstractNum>
  <w:abstractNum w:abstractNumId="4">
    <w:nsid w:val="FFFFFF80"/>
    <w:multiLevelType w:val="singleLevel"/>
    <w:tmpl w:val="CA34EB48"/>
    <w:lvl w:ilvl="0">
      <w:start w:val="1"/>
      <w:numFmt w:val="bullet"/>
      <w:pStyle w:val="4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2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CE1A"/>
    <w:lvl w:ilvl="0">
      <w:start w:val="1"/>
      <w:numFmt w:val="bullet"/>
      <w:pStyle w:val="5"/>
      <w:lvlText w:val=""/>
      <w:lvlJc w:val="left"/>
      <w:pPr>
        <w:tabs>
          <w:tab w:val="num" w:pos="360"/>
        </w:tabs>
        <w:ind w:left="360" w:hanging="360"/>
      </w:pPr>
      <w:rPr>
        <w:rFonts w:ascii="Symbol" w:hAnsi="Symbol" w:hint="default"/>
      </w:rPr>
    </w:lvl>
  </w:abstractNum>
  <w:abstractNum w:abstractNumId="10">
    <w:nsid w:val="2438217E"/>
    <w:multiLevelType w:val="multilevel"/>
    <w:tmpl w:val="DFEC1840"/>
    <w:lvl w:ilvl="0">
      <w:start w:val="1"/>
      <w:numFmt w:val="decimal"/>
      <w:pStyle w:val="50"/>
      <w:suff w:val="space"/>
      <w:lvlText w:val="Chapter %1"/>
      <w:lvlJc w:val="left"/>
      <w:rPr>
        <w:rFonts w:cs="Times New Roman" w:hint="default"/>
      </w:rPr>
    </w:lvl>
    <w:lvl w:ilvl="1">
      <w:start w:val="1"/>
      <w:numFmt w:val="decimal"/>
      <w:pStyle w:val="CETHeading1"/>
      <w:suff w:val="space"/>
      <w:lvlText w:val="%2."/>
      <w:lvlJc w:val="left"/>
      <w:rPr>
        <w:rFonts w:cs="Times New Roman" w:hint="default"/>
      </w:rPr>
    </w:lvl>
    <w:lvl w:ilvl="2">
      <w:start w:val="1"/>
      <w:numFmt w:val="decimal"/>
      <w:pStyle w:val="CETheadingx"/>
      <w:suff w:val="space"/>
      <w:lvlText w:val="%2.%3"/>
      <w:lvlJc w:val="left"/>
      <w:rPr>
        <w:rFonts w:cs="Times New Roman" w:hint="default"/>
      </w:rPr>
    </w:lvl>
    <w:lvl w:ilvl="3">
      <w:start w:val="1"/>
      <w:numFmt w:val="decimal"/>
      <w:pStyle w:val="1"/>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1">
    <w:nsid w:val="2D0E36EE"/>
    <w:multiLevelType w:val="hybridMultilevel"/>
    <w:tmpl w:val="B4A23BF4"/>
    <w:lvl w:ilvl="0" w:tplc="55C4A57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rPr>
        <w:rFonts w:cs="Times New Roman" w:hint="default"/>
      </w:rPr>
    </w:lvl>
    <w:lvl w:ilvl="1">
      <w:start w:val="1"/>
      <w:numFmt w:val="decimal"/>
      <w:suff w:val="space"/>
      <w:lvlText w:val="%2."/>
      <w:lvlJc w:val="left"/>
      <w:rPr>
        <w:rFonts w:cs="Times New Roman" w:hint="default"/>
      </w:rPr>
    </w:lvl>
    <w:lvl w:ilvl="2">
      <w:start w:val="1"/>
      <w:numFmt w:val="decimal"/>
      <w:suff w:val="space"/>
      <w:lvlText w:val="%2.%3."/>
      <w:lvlJc w:val="left"/>
      <w:rPr>
        <w:rFonts w:cs="Times New Roman" w:hint="default"/>
      </w:rPr>
    </w:lvl>
    <w:lvl w:ilvl="3">
      <w:start w:val="1"/>
      <w:numFmt w:val="decimal"/>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7"/>
  </w:num>
  <w:num w:numId="33">
    <w:abstractNumId w:val="13"/>
  </w:num>
  <w:num w:numId="34">
    <w:abstractNumId w:val="18"/>
  </w:num>
  <w:num w:numId="35">
    <w:abstractNumId w:val="20"/>
  </w:num>
  <w:num w:numId="36">
    <w:abstractNumId w:val="19"/>
  </w:num>
  <w:num w:numId="37">
    <w:abstractNumId w:val="12"/>
  </w:num>
  <w:num w:numId="38">
    <w:abstractNumId w:val="13"/>
    <w:lvlOverride w:ilvl="0">
      <w:startOverride w:val="1"/>
    </w:lvlOverride>
  </w:num>
  <w:num w:numId="39">
    <w:abstractNumId w:val="16"/>
  </w:num>
  <w:num w:numId="40">
    <w:abstractNumId w:val="15"/>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474"/>
    <w:rsid w:val="000052FB"/>
    <w:rsid w:val="000059FD"/>
    <w:rsid w:val="00010F40"/>
    <w:rsid w:val="000117CB"/>
    <w:rsid w:val="00020D22"/>
    <w:rsid w:val="00030FAB"/>
    <w:rsid w:val="0003148D"/>
    <w:rsid w:val="00035358"/>
    <w:rsid w:val="00047D7F"/>
    <w:rsid w:val="00051566"/>
    <w:rsid w:val="00062A9A"/>
    <w:rsid w:val="00063344"/>
    <w:rsid w:val="00065058"/>
    <w:rsid w:val="00074D56"/>
    <w:rsid w:val="00075D17"/>
    <w:rsid w:val="00086C39"/>
    <w:rsid w:val="000872CF"/>
    <w:rsid w:val="00096B2A"/>
    <w:rsid w:val="000A03B2"/>
    <w:rsid w:val="000A3B79"/>
    <w:rsid w:val="000B50E8"/>
    <w:rsid w:val="000D34BE"/>
    <w:rsid w:val="000E102F"/>
    <w:rsid w:val="000E36F1"/>
    <w:rsid w:val="000E3A73"/>
    <w:rsid w:val="000E414A"/>
    <w:rsid w:val="000F093C"/>
    <w:rsid w:val="000F16BD"/>
    <w:rsid w:val="000F787B"/>
    <w:rsid w:val="0012091F"/>
    <w:rsid w:val="00125327"/>
    <w:rsid w:val="00126BC2"/>
    <w:rsid w:val="00127C21"/>
    <w:rsid w:val="001308B6"/>
    <w:rsid w:val="0013121F"/>
    <w:rsid w:val="00131FAB"/>
    <w:rsid w:val="00131FE6"/>
    <w:rsid w:val="0013263F"/>
    <w:rsid w:val="00134DE4"/>
    <w:rsid w:val="00137FD3"/>
    <w:rsid w:val="0014034D"/>
    <w:rsid w:val="00150E59"/>
    <w:rsid w:val="00152DE3"/>
    <w:rsid w:val="00162642"/>
    <w:rsid w:val="00164CF9"/>
    <w:rsid w:val="00172261"/>
    <w:rsid w:val="00180FB2"/>
    <w:rsid w:val="00184AD6"/>
    <w:rsid w:val="00190986"/>
    <w:rsid w:val="00193C45"/>
    <w:rsid w:val="00197B24"/>
    <w:rsid w:val="001A1666"/>
    <w:rsid w:val="001B0349"/>
    <w:rsid w:val="001B079A"/>
    <w:rsid w:val="001B65C1"/>
    <w:rsid w:val="001C684B"/>
    <w:rsid w:val="001D057F"/>
    <w:rsid w:val="001D53FC"/>
    <w:rsid w:val="001E7A14"/>
    <w:rsid w:val="001F42A5"/>
    <w:rsid w:val="001F7B9D"/>
    <w:rsid w:val="00213D9B"/>
    <w:rsid w:val="002161CD"/>
    <w:rsid w:val="00216344"/>
    <w:rsid w:val="002224B4"/>
    <w:rsid w:val="00225A73"/>
    <w:rsid w:val="00227D15"/>
    <w:rsid w:val="002447EF"/>
    <w:rsid w:val="00251550"/>
    <w:rsid w:val="00252C1A"/>
    <w:rsid w:val="00263B05"/>
    <w:rsid w:val="0027167A"/>
    <w:rsid w:val="00271839"/>
    <w:rsid w:val="0027221A"/>
    <w:rsid w:val="00275B61"/>
    <w:rsid w:val="00282656"/>
    <w:rsid w:val="00296B83"/>
    <w:rsid w:val="002A126F"/>
    <w:rsid w:val="002B78CE"/>
    <w:rsid w:val="002C2205"/>
    <w:rsid w:val="002C2FB6"/>
    <w:rsid w:val="002D4E77"/>
    <w:rsid w:val="002D5BCD"/>
    <w:rsid w:val="003009B7"/>
    <w:rsid w:val="00300E56"/>
    <w:rsid w:val="00304409"/>
    <w:rsid w:val="0030469C"/>
    <w:rsid w:val="00307C79"/>
    <w:rsid w:val="00310EE7"/>
    <w:rsid w:val="00321CA6"/>
    <w:rsid w:val="0032438A"/>
    <w:rsid w:val="00334C09"/>
    <w:rsid w:val="003365E3"/>
    <w:rsid w:val="003371AF"/>
    <w:rsid w:val="003723D4"/>
    <w:rsid w:val="0038022E"/>
    <w:rsid w:val="00382F7B"/>
    <w:rsid w:val="003832B4"/>
    <w:rsid w:val="00384CC8"/>
    <w:rsid w:val="003871FD"/>
    <w:rsid w:val="00394A4D"/>
    <w:rsid w:val="003976C4"/>
    <w:rsid w:val="003A1E30"/>
    <w:rsid w:val="003A7D1C"/>
    <w:rsid w:val="003B304B"/>
    <w:rsid w:val="003B3146"/>
    <w:rsid w:val="003B60F3"/>
    <w:rsid w:val="003F015E"/>
    <w:rsid w:val="00400414"/>
    <w:rsid w:val="0041446B"/>
    <w:rsid w:val="00415D7F"/>
    <w:rsid w:val="0041698A"/>
    <w:rsid w:val="00430533"/>
    <w:rsid w:val="004325FC"/>
    <w:rsid w:val="0044329C"/>
    <w:rsid w:val="00454DAA"/>
    <w:rsid w:val="00455F10"/>
    <w:rsid w:val="0045753F"/>
    <w:rsid w:val="004577FE"/>
    <w:rsid w:val="00457B9C"/>
    <w:rsid w:val="0046164A"/>
    <w:rsid w:val="004628D2"/>
    <w:rsid w:val="00462DCD"/>
    <w:rsid w:val="004648AD"/>
    <w:rsid w:val="004703A9"/>
    <w:rsid w:val="004760DE"/>
    <w:rsid w:val="00485177"/>
    <w:rsid w:val="004A004E"/>
    <w:rsid w:val="004A24CF"/>
    <w:rsid w:val="004A389B"/>
    <w:rsid w:val="004A50A2"/>
    <w:rsid w:val="004B290E"/>
    <w:rsid w:val="004B6721"/>
    <w:rsid w:val="004C3D1D"/>
    <w:rsid w:val="004C7913"/>
    <w:rsid w:val="004D4A68"/>
    <w:rsid w:val="004D58A8"/>
    <w:rsid w:val="004E4DD6"/>
    <w:rsid w:val="004F5E36"/>
    <w:rsid w:val="00507B47"/>
    <w:rsid w:val="00507CC9"/>
    <w:rsid w:val="005119A5"/>
    <w:rsid w:val="00511EC6"/>
    <w:rsid w:val="00520664"/>
    <w:rsid w:val="005278B7"/>
    <w:rsid w:val="00532016"/>
    <w:rsid w:val="005346C8"/>
    <w:rsid w:val="00540978"/>
    <w:rsid w:val="00543E7D"/>
    <w:rsid w:val="00543F0F"/>
    <w:rsid w:val="00545C39"/>
    <w:rsid w:val="00546B05"/>
    <w:rsid w:val="00547A68"/>
    <w:rsid w:val="005531C9"/>
    <w:rsid w:val="00583672"/>
    <w:rsid w:val="00585F08"/>
    <w:rsid w:val="0059192C"/>
    <w:rsid w:val="005B09CD"/>
    <w:rsid w:val="005B2110"/>
    <w:rsid w:val="005B43E5"/>
    <w:rsid w:val="005B61E6"/>
    <w:rsid w:val="005C77E1"/>
    <w:rsid w:val="005D6A2F"/>
    <w:rsid w:val="005E1A82"/>
    <w:rsid w:val="005E1ABC"/>
    <w:rsid w:val="005E5CED"/>
    <w:rsid w:val="005E794C"/>
    <w:rsid w:val="005F0A28"/>
    <w:rsid w:val="005F0E5E"/>
    <w:rsid w:val="00600535"/>
    <w:rsid w:val="00610CD6"/>
    <w:rsid w:val="00615E13"/>
    <w:rsid w:val="00620DEE"/>
    <w:rsid w:val="00621F92"/>
    <w:rsid w:val="00625639"/>
    <w:rsid w:val="00631B33"/>
    <w:rsid w:val="0064184D"/>
    <w:rsid w:val="006422CC"/>
    <w:rsid w:val="006477F4"/>
    <w:rsid w:val="006553C2"/>
    <w:rsid w:val="00660E3E"/>
    <w:rsid w:val="00662E74"/>
    <w:rsid w:val="0066498D"/>
    <w:rsid w:val="00680C23"/>
    <w:rsid w:val="0069030C"/>
    <w:rsid w:val="00693766"/>
    <w:rsid w:val="00697846"/>
    <w:rsid w:val="006A3281"/>
    <w:rsid w:val="006B4888"/>
    <w:rsid w:val="006C2E45"/>
    <w:rsid w:val="006C3399"/>
    <w:rsid w:val="006C359C"/>
    <w:rsid w:val="006C39C6"/>
    <w:rsid w:val="006C5579"/>
    <w:rsid w:val="006E737D"/>
    <w:rsid w:val="006F6155"/>
    <w:rsid w:val="0070195D"/>
    <w:rsid w:val="00720A24"/>
    <w:rsid w:val="00732386"/>
    <w:rsid w:val="00732B09"/>
    <w:rsid w:val="007447F3"/>
    <w:rsid w:val="00750B7E"/>
    <w:rsid w:val="0075368D"/>
    <w:rsid w:val="00753FFB"/>
    <w:rsid w:val="0075499F"/>
    <w:rsid w:val="00754BE9"/>
    <w:rsid w:val="007661C8"/>
    <w:rsid w:val="0077098D"/>
    <w:rsid w:val="00776211"/>
    <w:rsid w:val="007931FA"/>
    <w:rsid w:val="007A7BBA"/>
    <w:rsid w:val="007B0C50"/>
    <w:rsid w:val="007B2B90"/>
    <w:rsid w:val="007C1A43"/>
    <w:rsid w:val="007C1F9A"/>
    <w:rsid w:val="007D6BA6"/>
    <w:rsid w:val="007E1DC6"/>
    <w:rsid w:val="007F5671"/>
    <w:rsid w:val="007F67B1"/>
    <w:rsid w:val="007F6E80"/>
    <w:rsid w:val="008047D4"/>
    <w:rsid w:val="00813288"/>
    <w:rsid w:val="008168FC"/>
    <w:rsid w:val="00826271"/>
    <w:rsid w:val="00830996"/>
    <w:rsid w:val="0083247C"/>
    <w:rsid w:val="008345F1"/>
    <w:rsid w:val="00865B07"/>
    <w:rsid w:val="008667EA"/>
    <w:rsid w:val="0087637F"/>
    <w:rsid w:val="00876527"/>
    <w:rsid w:val="008904B9"/>
    <w:rsid w:val="00892AD5"/>
    <w:rsid w:val="00893B08"/>
    <w:rsid w:val="008A1512"/>
    <w:rsid w:val="008A5B5C"/>
    <w:rsid w:val="008C6F12"/>
    <w:rsid w:val="008C78C1"/>
    <w:rsid w:val="008D32B9"/>
    <w:rsid w:val="008D433B"/>
    <w:rsid w:val="008E2075"/>
    <w:rsid w:val="008E566E"/>
    <w:rsid w:val="0090161A"/>
    <w:rsid w:val="00901EA3"/>
    <w:rsid w:val="00901EB6"/>
    <w:rsid w:val="00904C62"/>
    <w:rsid w:val="00924DAC"/>
    <w:rsid w:val="00927058"/>
    <w:rsid w:val="009450CE"/>
    <w:rsid w:val="00946C52"/>
    <w:rsid w:val="00947179"/>
    <w:rsid w:val="0095164B"/>
    <w:rsid w:val="00954090"/>
    <w:rsid w:val="009573E7"/>
    <w:rsid w:val="009635B9"/>
    <w:rsid w:val="00963E05"/>
    <w:rsid w:val="00967D54"/>
    <w:rsid w:val="00982050"/>
    <w:rsid w:val="009831C3"/>
    <w:rsid w:val="0098723A"/>
    <w:rsid w:val="009948AE"/>
    <w:rsid w:val="00996483"/>
    <w:rsid w:val="00996F5A"/>
    <w:rsid w:val="009A0A3E"/>
    <w:rsid w:val="009B041A"/>
    <w:rsid w:val="009C4632"/>
    <w:rsid w:val="009C7C86"/>
    <w:rsid w:val="009D2FF7"/>
    <w:rsid w:val="009E7884"/>
    <w:rsid w:val="009E788A"/>
    <w:rsid w:val="009F062E"/>
    <w:rsid w:val="009F0E08"/>
    <w:rsid w:val="009F39D0"/>
    <w:rsid w:val="00A04EAC"/>
    <w:rsid w:val="00A15FAA"/>
    <w:rsid w:val="00A1763D"/>
    <w:rsid w:val="00A17CEC"/>
    <w:rsid w:val="00A26E9E"/>
    <w:rsid w:val="00A27EF0"/>
    <w:rsid w:val="00A43824"/>
    <w:rsid w:val="00A50640"/>
    <w:rsid w:val="00A50B20"/>
    <w:rsid w:val="00A51390"/>
    <w:rsid w:val="00A57036"/>
    <w:rsid w:val="00A60D13"/>
    <w:rsid w:val="00A72745"/>
    <w:rsid w:val="00A7416A"/>
    <w:rsid w:val="00A76EFC"/>
    <w:rsid w:val="00A8169A"/>
    <w:rsid w:val="00A91010"/>
    <w:rsid w:val="00A97F29"/>
    <w:rsid w:val="00AA702E"/>
    <w:rsid w:val="00AB0964"/>
    <w:rsid w:val="00AB5011"/>
    <w:rsid w:val="00AB6781"/>
    <w:rsid w:val="00AC1DA5"/>
    <w:rsid w:val="00AC320C"/>
    <w:rsid w:val="00AC5673"/>
    <w:rsid w:val="00AC7368"/>
    <w:rsid w:val="00AD16B9"/>
    <w:rsid w:val="00AE377D"/>
    <w:rsid w:val="00B17FBD"/>
    <w:rsid w:val="00B23408"/>
    <w:rsid w:val="00B315A6"/>
    <w:rsid w:val="00B31813"/>
    <w:rsid w:val="00B33365"/>
    <w:rsid w:val="00B447BF"/>
    <w:rsid w:val="00B550B0"/>
    <w:rsid w:val="00B57B36"/>
    <w:rsid w:val="00B636D9"/>
    <w:rsid w:val="00B8686D"/>
    <w:rsid w:val="00B94AE3"/>
    <w:rsid w:val="00BA3C25"/>
    <w:rsid w:val="00BC0437"/>
    <w:rsid w:val="00BC30C9"/>
    <w:rsid w:val="00BC6E7D"/>
    <w:rsid w:val="00BE3E58"/>
    <w:rsid w:val="00BF7641"/>
    <w:rsid w:val="00C01616"/>
    <w:rsid w:val="00C0162B"/>
    <w:rsid w:val="00C054F1"/>
    <w:rsid w:val="00C177D9"/>
    <w:rsid w:val="00C345B1"/>
    <w:rsid w:val="00C40142"/>
    <w:rsid w:val="00C57182"/>
    <w:rsid w:val="00C57863"/>
    <w:rsid w:val="00C655FD"/>
    <w:rsid w:val="00C870A8"/>
    <w:rsid w:val="00C94434"/>
    <w:rsid w:val="00C95875"/>
    <w:rsid w:val="00CA0D75"/>
    <w:rsid w:val="00CA181A"/>
    <w:rsid w:val="00CA1C95"/>
    <w:rsid w:val="00CA5A9C"/>
    <w:rsid w:val="00CC0DFE"/>
    <w:rsid w:val="00CC587B"/>
    <w:rsid w:val="00CC5CCC"/>
    <w:rsid w:val="00CC7FCF"/>
    <w:rsid w:val="00CD3517"/>
    <w:rsid w:val="00CD5A00"/>
    <w:rsid w:val="00CD5FE2"/>
    <w:rsid w:val="00CD6CE5"/>
    <w:rsid w:val="00CE0E56"/>
    <w:rsid w:val="00CE7C68"/>
    <w:rsid w:val="00CF40CF"/>
    <w:rsid w:val="00D00C77"/>
    <w:rsid w:val="00D02B4C"/>
    <w:rsid w:val="00D040C4"/>
    <w:rsid w:val="00D07F6F"/>
    <w:rsid w:val="00D26F60"/>
    <w:rsid w:val="00D35BC7"/>
    <w:rsid w:val="00D40DBE"/>
    <w:rsid w:val="00D43A3F"/>
    <w:rsid w:val="00D505D0"/>
    <w:rsid w:val="00D5765B"/>
    <w:rsid w:val="00D57C84"/>
    <w:rsid w:val="00D6057D"/>
    <w:rsid w:val="00D71234"/>
    <w:rsid w:val="00D753B5"/>
    <w:rsid w:val="00D77C72"/>
    <w:rsid w:val="00D84576"/>
    <w:rsid w:val="00D861EE"/>
    <w:rsid w:val="00D90FE9"/>
    <w:rsid w:val="00DA1399"/>
    <w:rsid w:val="00DA24C6"/>
    <w:rsid w:val="00DA4D7B"/>
    <w:rsid w:val="00DE264A"/>
    <w:rsid w:val="00DF2F0C"/>
    <w:rsid w:val="00E02D18"/>
    <w:rsid w:val="00E041E7"/>
    <w:rsid w:val="00E23CA1"/>
    <w:rsid w:val="00E25314"/>
    <w:rsid w:val="00E260D8"/>
    <w:rsid w:val="00E26995"/>
    <w:rsid w:val="00E3766C"/>
    <w:rsid w:val="00E409A8"/>
    <w:rsid w:val="00E42997"/>
    <w:rsid w:val="00E50C12"/>
    <w:rsid w:val="00E50D8D"/>
    <w:rsid w:val="00E61AC5"/>
    <w:rsid w:val="00E65B91"/>
    <w:rsid w:val="00E7209D"/>
    <w:rsid w:val="00E77223"/>
    <w:rsid w:val="00E81DB8"/>
    <w:rsid w:val="00E845B2"/>
    <w:rsid w:val="00E8528B"/>
    <w:rsid w:val="00E85B94"/>
    <w:rsid w:val="00E86005"/>
    <w:rsid w:val="00E978D0"/>
    <w:rsid w:val="00E9790C"/>
    <w:rsid w:val="00EA1531"/>
    <w:rsid w:val="00EA4613"/>
    <w:rsid w:val="00EA7F91"/>
    <w:rsid w:val="00EB1523"/>
    <w:rsid w:val="00EC0C8D"/>
    <w:rsid w:val="00EC0E49"/>
    <w:rsid w:val="00ED0DA6"/>
    <w:rsid w:val="00EE0131"/>
    <w:rsid w:val="00EE1BA1"/>
    <w:rsid w:val="00EE36F4"/>
    <w:rsid w:val="00F155B2"/>
    <w:rsid w:val="00F30C64"/>
    <w:rsid w:val="00F32CDB"/>
    <w:rsid w:val="00F5490B"/>
    <w:rsid w:val="00F63A70"/>
    <w:rsid w:val="00F773AE"/>
    <w:rsid w:val="00F87D4B"/>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aliases w:val="CET Top_page"/>
    <w:qFormat/>
    <w:rsid w:val="00620DEE"/>
    <w:pPr>
      <w:tabs>
        <w:tab w:val="right" w:pos="7100"/>
      </w:tabs>
      <w:spacing w:line="264" w:lineRule="auto"/>
      <w:jc w:val="both"/>
    </w:pPr>
    <w:rPr>
      <w:rFonts w:ascii="Arial" w:eastAsia="Times New Roman" w:hAnsi="Arial"/>
      <w:sz w:val="18"/>
      <w:szCs w:val="20"/>
      <w:lang w:val="en-GB" w:eastAsia="en-US"/>
    </w:rPr>
  </w:style>
  <w:style w:type="paragraph" w:styleId="10">
    <w:name w:val="heading 1"/>
    <w:basedOn w:val="CETHeading1"/>
    <w:next w:val="a1"/>
    <w:link w:val="11"/>
    <w:uiPriority w:val="99"/>
    <w:qFormat/>
    <w:rsid w:val="004F5E36"/>
    <w:pPr>
      <w:tabs>
        <w:tab w:val="clear" w:pos="360"/>
        <w:tab w:val="right" w:pos="7100"/>
      </w:tabs>
      <w:jc w:val="both"/>
      <w:outlineLvl w:val="0"/>
    </w:pPr>
    <w:rPr>
      <w:lang w:val="en-GB"/>
    </w:rPr>
  </w:style>
  <w:style w:type="paragraph" w:styleId="21">
    <w:name w:val="heading 2"/>
    <w:basedOn w:val="a1"/>
    <w:next w:val="a1"/>
    <w:link w:val="22"/>
    <w:uiPriority w:val="99"/>
    <w:qFormat/>
    <w:rsid w:val="0003148D"/>
    <w:pPr>
      <w:keepNext/>
      <w:keepLines/>
      <w:spacing w:before="200"/>
      <w:outlineLvl w:val="1"/>
    </w:pPr>
    <w:rPr>
      <w:rFonts w:ascii="Cambria" w:eastAsia="SimSun" w:hAnsi="Cambria"/>
      <w:b/>
      <w:bCs/>
      <w:color w:val="4F81BD"/>
      <w:sz w:val="26"/>
      <w:szCs w:val="26"/>
    </w:rPr>
  </w:style>
  <w:style w:type="paragraph" w:styleId="31">
    <w:name w:val="heading 3"/>
    <w:basedOn w:val="a1"/>
    <w:next w:val="a1"/>
    <w:link w:val="32"/>
    <w:uiPriority w:val="99"/>
    <w:qFormat/>
    <w:rsid w:val="0003148D"/>
    <w:pPr>
      <w:keepNext/>
      <w:keepLines/>
      <w:spacing w:before="200"/>
      <w:outlineLvl w:val="2"/>
    </w:pPr>
    <w:rPr>
      <w:rFonts w:ascii="Cambria" w:eastAsia="SimSun" w:hAnsi="Cambria"/>
      <w:b/>
      <w:bCs/>
      <w:color w:val="4F81BD"/>
    </w:rPr>
  </w:style>
  <w:style w:type="paragraph" w:styleId="41">
    <w:name w:val="heading 4"/>
    <w:basedOn w:val="a1"/>
    <w:next w:val="a1"/>
    <w:link w:val="42"/>
    <w:uiPriority w:val="99"/>
    <w:qFormat/>
    <w:rsid w:val="0003148D"/>
    <w:pPr>
      <w:keepNext/>
      <w:keepLines/>
      <w:spacing w:before="200"/>
      <w:outlineLvl w:val="3"/>
    </w:pPr>
    <w:rPr>
      <w:rFonts w:ascii="Cambria" w:eastAsia="SimSun" w:hAnsi="Cambria"/>
      <w:b/>
      <w:bCs/>
      <w:i/>
      <w:iCs/>
      <w:color w:val="4F81BD"/>
    </w:rPr>
  </w:style>
  <w:style w:type="paragraph" w:styleId="51">
    <w:name w:val="heading 5"/>
    <w:basedOn w:val="a1"/>
    <w:next w:val="a1"/>
    <w:link w:val="52"/>
    <w:uiPriority w:val="99"/>
    <w:qFormat/>
    <w:rsid w:val="0003148D"/>
    <w:pPr>
      <w:keepNext/>
      <w:keepLines/>
      <w:spacing w:before="200"/>
      <w:outlineLvl w:val="4"/>
    </w:pPr>
    <w:rPr>
      <w:rFonts w:ascii="Cambria" w:eastAsia="SimSun" w:hAnsi="Cambria"/>
      <w:color w:val="243F60"/>
    </w:rPr>
  </w:style>
  <w:style w:type="paragraph" w:styleId="6">
    <w:name w:val="heading 6"/>
    <w:basedOn w:val="a1"/>
    <w:next w:val="a1"/>
    <w:link w:val="60"/>
    <w:uiPriority w:val="99"/>
    <w:qFormat/>
    <w:rsid w:val="0003148D"/>
    <w:pPr>
      <w:keepNext/>
      <w:keepLines/>
      <w:spacing w:before="200"/>
      <w:outlineLvl w:val="5"/>
    </w:pPr>
    <w:rPr>
      <w:rFonts w:ascii="Cambria" w:eastAsia="SimSun" w:hAnsi="Cambria"/>
      <w:i/>
      <w:iCs/>
      <w:color w:val="243F60"/>
    </w:rPr>
  </w:style>
  <w:style w:type="paragraph" w:styleId="7">
    <w:name w:val="heading 7"/>
    <w:basedOn w:val="a1"/>
    <w:next w:val="a1"/>
    <w:link w:val="70"/>
    <w:uiPriority w:val="99"/>
    <w:qFormat/>
    <w:rsid w:val="0003148D"/>
    <w:pPr>
      <w:keepNext/>
      <w:keepLines/>
      <w:spacing w:before="200"/>
      <w:outlineLvl w:val="6"/>
    </w:pPr>
    <w:rPr>
      <w:rFonts w:ascii="Cambria" w:eastAsia="SimSun" w:hAnsi="Cambria"/>
      <w:i/>
      <w:iCs/>
      <w:color w:val="404040"/>
    </w:rPr>
  </w:style>
  <w:style w:type="paragraph" w:styleId="8">
    <w:name w:val="heading 8"/>
    <w:basedOn w:val="a1"/>
    <w:next w:val="a1"/>
    <w:link w:val="80"/>
    <w:uiPriority w:val="99"/>
    <w:qFormat/>
    <w:rsid w:val="0003148D"/>
    <w:pPr>
      <w:keepNext/>
      <w:keepLines/>
      <w:spacing w:before="200"/>
      <w:outlineLvl w:val="7"/>
    </w:pPr>
    <w:rPr>
      <w:rFonts w:ascii="Cambria" w:eastAsia="SimSun" w:hAnsi="Cambria"/>
      <w:color w:val="404040"/>
    </w:rPr>
  </w:style>
  <w:style w:type="paragraph" w:styleId="9">
    <w:name w:val="heading 9"/>
    <w:basedOn w:val="a1"/>
    <w:next w:val="a1"/>
    <w:link w:val="90"/>
    <w:uiPriority w:val="99"/>
    <w:qFormat/>
    <w:rsid w:val="0003148D"/>
    <w:pPr>
      <w:keepNext/>
      <w:keepLines/>
      <w:spacing w:before="200"/>
      <w:outlineLvl w:val="8"/>
    </w:pPr>
    <w:rPr>
      <w:rFonts w:ascii="Cambria" w:eastAsia="SimSun" w:hAnsi="Cambria"/>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4F5E36"/>
    <w:rPr>
      <w:rFonts w:ascii="Arial" w:hAnsi="Arial" w:cs="Times New Roman"/>
      <w:b/>
      <w:sz w:val="20"/>
      <w:szCs w:val="20"/>
      <w:lang w:val="en-GB"/>
    </w:rPr>
  </w:style>
  <w:style w:type="character" w:customStyle="1" w:styleId="22">
    <w:name w:val="Заголовок 2 Знак"/>
    <w:basedOn w:val="a2"/>
    <w:link w:val="21"/>
    <w:uiPriority w:val="99"/>
    <w:semiHidden/>
    <w:locked/>
    <w:rsid w:val="0003148D"/>
    <w:rPr>
      <w:rFonts w:ascii="Cambria" w:eastAsia="SimSun" w:hAnsi="Cambria" w:cs="Times New Roman"/>
      <w:b/>
      <w:bCs/>
      <w:color w:val="4F81BD"/>
      <w:sz w:val="26"/>
      <w:szCs w:val="26"/>
    </w:rPr>
  </w:style>
  <w:style w:type="character" w:customStyle="1" w:styleId="32">
    <w:name w:val="Заголовок 3 Знак"/>
    <w:basedOn w:val="a2"/>
    <w:link w:val="31"/>
    <w:uiPriority w:val="99"/>
    <w:semiHidden/>
    <w:locked/>
    <w:rsid w:val="0003148D"/>
    <w:rPr>
      <w:rFonts w:ascii="Cambria" w:eastAsia="SimSun" w:hAnsi="Cambria" w:cs="Times New Roman"/>
      <w:b/>
      <w:bCs/>
      <w:color w:val="4F81BD"/>
    </w:rPr>
  </w:style>
  <w:style w:type="character" w:customStyle="1" w:styleId="42">
    <w:name w:val="Заголовок 4 Знак"/>
    <w:basedOn w:val="a2"/>
    <w:link w:val="41"/>
    <w:uiPriority w:val="99"/>
    <w:semiHidden/>
    <w:locked/>
    <w:rsid w:val="0003148D"/>
    <w:rPr>
      <w:rFonts w:ascii="Cambria" w:eastAsia="SimSun" w:hAnsi="Cambria" w:cs="Times New Roman"/>
      <w:b/>
      <w:bCs/>
      <w:i/>
      <w:iCs/>
      <w:color w:val="4F81BD"/>
    </w:rPr>
  </w:style>
  <w:style w:type="character" w:customStyle="1" w:styleId="52">
    <w:name w:val="Заголовок 5 Знак"/>
    <w:basedOn w:val="a2"/>
    <w:link w:val="51"/>
    <w:uiPriority w:val="99"/>
    <w:semiHidden/>
    <w:locked/>
    <w:rsid w:val="0003148D"/>
    <w:rPr>
      <w:rFonts w:ascii="Cambria" w:eastAsia="SimSun" w:hAnsi="Cambria" w:cs="Times New Roman"/>
      <w:color w:val="243F60"/>
    </w:rPr>
  </w:style>
  <w:style w:type="character" w:customStyle="1" w:styleId="60">
    <w:name w:val="Заголовок 6 Знак"/>
    <w:basedOn w:val="a2"/>
    <w:link w:val="6"/>
    <w:uiPriority w:val="99"/>
    <w:semiHidden/>
    <w:locked/>
    <w:rsid w:val="0003148D"/>
    <w:rPr>
      <w:rFonts w:ascii="Cambria" w:eastAsia="SimSun" w:hAnsi="Cambria" w:cs="Times New Roman"/>
      <w:i/>
      <w:iCs/>
      <w:color w:val="243F60"/>
    </w:rPr>
  </w:style>
  <w:style w:type="character" w:customStyle="1" w:styleId="70">
    <w:name w:val="Заголовок 7 Знак"/>
    <w:basedOn w:val="a2"/>
    <w:link w:val="7"/>
    <w:uiPriority w:val="99"/>
    <w:semiHidden/>
    <w:locked/>
    <w:rsid w:val="0003148D"/>
    <w:rPr>
      <w:rFonts w:ascii="Cambria" w:eastAsia="SimSun" w:hAnsi="Cambria" w:cs="Times New Roman"/>
      <w:i/>
      <w:iCs/>
      <w:color w:val="404040"/>
    </w:rPr>
  </w:style>
  <w:style w:type="character" w:customStyle="1" w:styleId="80">
    <w:name w:val="Заголовок 8 Знак"/>
    <w:basedOn w:val="a2"/>
    <w:link w:val="8"/>
    <w:uiPriority w:val="99"/>
    <w:semiHidden/>
    <w:locked/>
    <w:rsid w:val="0003148D"/>
    <w:rPr>
      <w:rFonts w:ascii="Cambria" w:eastAsia="SimSun" w:hAnsi="Cambria" w:cs="Times New Roman"/>
      <w:color w:val="404040"/>
      <w:sz w:val="20"/>
      <w:szCs w:val="20"/>
    </w:rPr>
  </w:style>
  <w:style w:type="character" w:customStyle="1" w:styleId="90">
    <w:name w:val="Заголовок 9 Знак"/>
    <w:basedOn w:val="a2"/>
    <w:link w:val="9"/>
    <w:uiPriority w:val="99"/>
    <w:semiHidden/>
    <w:locked/>
    <w:rsid w:val="0003148D"/>
    <w:rPr>
      <w:rFonts w:ascii="Cambria" w:eastAsia="SimSun" w:hAnsi="Cambria" w:cs="Times New Roman"/>
      <w:i/>
      <w:iCs/>
      <w:color w:val="404040"/>
      <w:sz w:val="20"/>
      <w:szCs w:val="20"/>
    </w:rPr>
  </w:style>
  <w:style w:type="paragraph" w:customStyle="1" w:styleId="CETAuthors">
    <w:name w:val="CET Authors"/>
    <w:basedOn w:val="CETBodytext"/>
    <w:link w:val="CETAuthorsCarattere"/>
    <w:uiPriority w:val="99"/>
    <w:rsid w:val="000E414A"/>
    <w:pPr>
      <w:keepNext/>
      <w:suppressAutoHyphens/>
      <w:spacing w:after="120"/>
    </w:pPr>
    <w:rPr>
      <w:noProof/>
      <w:sz w:val="24"/>
      <w:szCs w:val="20"/>
      <w:lang w:val="en-GB"/>
    </w:rPr>
  </w:style>
  <w:style w:type="paragraph" w:customStyle="1" w:styleId="CETTitle">
    <w:name w:val="CET Title"/>
    <w:next w:val="CETAuthors"/>
    <w:link w:val="CETTitleCarattere"/>
    <w:uiPriority w:val="99"/>
    <w:rsid w:val="00FB730C"/>
    <w:pPr>
      <w:suppressAutoHyphens/>
      <w:spacing w:before="480" w:after="120" w:line="264" w:lineRule="auto"/>
      <w:jc w:val="center"/>
      <w:outlineLvl w:val="0"/>
    </w:pPr>
    <w:rPr>
      <w:rFonts w:ascii="Arial" w:eastAsia="Times New Roman" w:hAnsi="Arial"/>
      <w:sz w:val="32"/>
      <w:lang w:val="en-GB"/>
    </w:rPr>
  </w:style>
  <w:style w:type="character" w:customStyle="1" w:styleId="CETAuthorsCarattere">
    <w:name w:val="CET Authors Carattere"/>
    <w:link w:val="CETAuthors"/>
    <w:uiPriority w:val="99"/>
    <w:locked/>
    <w:rsid w:val="009E788A"/>
    <w:rPr>
      <w:rFonts w:ascii="Arial" w:hAnsi="Arial"/>
      <w:noProof/>
      <w:sz w:val="20"/>
      <w:lang w:val="en-GB"/>
    </w:rPr>
  </w:style>
  <w:style w:type="character" w:customStyle="1" w:styleId="CETTitleCarattere">
    <w:name w:val="CET Title Carattere"/>
    <w:link w:val="CETTitle"/>
    <w:uiPriority w:val="99"/>
    <w:locked/>
    <w:rsid w:val="00FB730C"/>
    <w:rPr>
      <w:rFonts w:ascii="Arial" w:hAnsi="Arial"/>
      <w:sz w:val="22"/>
      <w:lang w:val="en-GB"/>
    </w:rPr>
  </w:style>
  <w:style w:type="paragraph" w:customStyle="1" w:styleId="CETHeading1">
    <w:name w:val="CET Heading1"/>
    <w:next w:val="CETBodytext"/>
    <w:uiPriority w:val="99"/>
    <w:rsid w:val="009E788A"/>
    <w:pPr>
      <w:keepNext/>
      <w:numPr>
        <w:ilvl w:val="1"/>
        <w:numId w:val="21"/>
      </w:numPr>
      <w:tabs>
        <w:tab w:val="num" w:pos="360"/>
      </w:tabs>
      <w:suppressAutoHyphens/>
      <w:spacing w:before="240" w:after="120"/>
    </w:pPr>
    <w:rPr>
      <w:rFonts w:ascii="Arial" w:eastAsia="Times New Roman" w:hAnsi="Arial"/>
      <w:b/>
      <w:sz w:val="20"/>
      <w:szCs w:val="20"/>
      <w:lang w:val="en-US" w:eastAsia="en-US"/>
    </w:rPr>
  </w:style>
  <w:style w:type="paragraph" w:customStyle="1" w:styleId="CETBodytext">
    <w:name w:val="CET Body text"/>
    <w:link w:val="CETBodytextCarattere"/>
    <w:uiPriority w:val="99"/>
    <w:rsid w:val="000E414A"/>
    <w:pPr>
      <w:tabs>
        <w:tab w:val="right" w:pos="7100"/>
      </w:tabs>
      <w:spacing w:line="264" w:lineRule="auto"/>
      <w:jc w:val="both"/>
    </w:pPr>
    <w:rPr>
      <w:rFonts w:ascii="Arial" w:eastAsia="Times New Roman" w:hAnsi="Arial"/>
      <w:sz w:val="18"/>
      <w:lang w:val="en-US"/>
    </w:rPr>
  </w:style>
  <w:style w:type="paragraph" w:customStyle="1" w:styleId="CETheadingx">
    <w:name w:val="CET headingx"/>
    <w:next w:val="CETBodytext"/>
    <w:link w:val="CETheadingxCarattere"/>
    <w:autoRedefine/>
    <w:uiPriority w:val="99"/>
    <w:rsid w:val="00876527"/>
    <w:pPr>
      <w:keepNext/>
      <w:numPr>
        <w:ilvl w:val="2"/>
        <w:numId w:val="21"/>
      </w:numPr>
      <w:suppressAutoHyphens/>
      <w:spacing w:before="120" w:after="120"/>
    </w:pPr>
    <w:rPr>
      <w:rFonts w:ascii="Arial" w:eastAsia="Times New Roman" w:hAnsi="Arial"/>
      <w:b/>
      <w:sz w:val="18"/>
      <w:lang w:val="en-US"/>
    </w:rPr>
  </w:style>
  <w:style w:type="paragraph" w:customStyle="1" w:styleId="CETAddress">
    <w:name w:val="CET Address"/>
    <w:link w:val="CETAddressCarattere"/>
    <w:uiPriority w:val="99"/>
    <w:rsid w:val="009E788A"/>
    <w:pPr>
      <w:keepNext/>
      <w:suppressAutoHyphens/>
      <w:spacing w:line="276" w:lineRule="auto"/>
      <w:contextualSpacing/>
    </w:pPr>
    <w:rPr>
      <w:rFonts w:ascii="Arial" w:eastAsia="Times New Roman" w:hAnsi="Arial"/>
      <w:noProof/>
      <w:sz w:val="16"/>
      <w:szCs w:val="20"/>
      <w:lang w:val="en-GB" w:eastAsia="en-US"/>
    </w:rPr>
  </w:style>
  <w:style w:type="table" w:styleId="1">
    <w:name w:val="Table Simple 1"/>
    <w:basedOn w:val="a3"/>
    <w:uiPriority w:val="99"/>
    <w:semiHidden/>
    <w:rsid w:val="000E414A"/>
    <w:pPr>
      <w:numPr>
        <w:ilvl w:val="3"/>
        <w:numId w:val="21"/>
      </w:numPr>
      <w:spacing w:line="264" w:lineRule="auto"/>
      <w:jc w:val="both"/>
    </w:pPr>
    <w:rPr>
      <w:rFonts w:ascii="Times New Roman" w:eastAsia="Times New Roman" w:hAnsi="Times New Roman"/>
      <w:sz w:val="20"/>
      <w:szCs w:val="20"/>
      <w:lang w:eastAsia="it-I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locked/>
    <w:rsid w:val="000E414A"/>
    <w:rPr>
      <w:rFonts w:ascii="Arial" w:hAnsi="Arial"/>
      <w:sz w:val="22"/>
      <w:lang w:val="en-US"/>
    </w:rPr>
  </w:style>
  <w:style w:type="paragraph" w:customStyle="1" w:styleId="CETReference">
    <w:name w:val="CET Reference"/>
    <w:uiPriority w:val="99"/>
    <w:rsid w:val="00FC2695"/>
    <w:pPr>
      <w:spacing w:before="200" w:after="120"/>
    </w:pPr>
    <w:rPr>
      <w:rFonts w:ascii="Arial" w:eastAsia="Times New Roman" w:hAnsi="Arial"/>
      <w:b/>
      <w:sz w:val="18"/>
      <w:szCs w:val="20"/>
      <w:lang w:val="en-GB" w:eastAsia="en-US"/>
    </w:rPr>
  </w:style>
  <w:style w:type="paragraph" w:customStyle="1" w:styleId="CETCaption">
    <w:name w:val="CET Caption"/>
    <w:link w:val="CETCaptionCarattere"/>
    <w:uiPriority w:val="99"/>
    <w:rsid w:val="009E788A"/>
    <w:pPr>
      <w:spacing w:before="240" w:after="240" w:line="264" w:lineRule="auto"/>
      <w:jc w:val="both"/>
    </w:pPr>
    <w:rPr>
      <w:rFonts w:ascii="Arial" w:eastAsia="Times New Roman" w:hAnsi="Arial"/>
      <w:i/>
      <w:sz w:val="18"/>
      <w:lang w:val="en-GB"/>
    </w:rPr>
  </w:style>
  <w:style w:type="character" w:customStyle="1" w:styleId="CETheadingxCarattere">
    <w:name w:val="CET headingx Carattere"/>
    <w:link w:val="CETheadingx"/>
    <w:uiPriority w:val="99"/>
    <w:locked/>
    <w:rsid w:val="00876527"/>
    <w:rPr>
      <w:rFonts w:ascii="Arial" w:eastAsia="Times New Roman" w:hAnsi="Arial"/>
      <w:b/>
      <w:sz w:val="18"/>
      <w:lang w:val="en-US"/>
    </w:rPr>
  </w:style>
  <w:style w:type="character" w:customStyle="1" w:styleId="CETCaptionCarattere">
    <w:name w:val="CET Caption Carattere"/>
    <w:link w:val="CETCaption"/>
    <w:uiPriority w:val="99"/>
    <w:locked/>
    <w:rsid w:val="009E788A"/>
    <w:rPr>
      <w:rFonts w:ascii="Arial" w:hAnsi="Arial"/>
      <w:i/>
      <w:sz w:val="22"/>
      <w:lang w:val="en-GB"/>
    </w:rPr>
  </w:style>
  <w:style w:type="paragraph" w:customStyle="1" w:styleId="CETBodytextItalic">
    <w:name w:val="CET Body text (Italic)"/>
    <w:basedOn w:val="CETBodytext"/>
    <w:uiPriority w:val="99"/>
    <w:rsid w:val="004F5E36"/>
    <w:rPr>
      <w:i/>
      <w:lang w:val="en-GB"/>
    </w:rPr>
  </w:style>
  <w:style w:type="character" w:styleId="a5">
    <w:name w:val="annotation reference"/>
    <w:basedOn w:val="a2"/>
    <w:uiPriority w:val="99"/>
    <w:semiHidden/>
    <w:rsid w:val="004577FE"/>
    <w:rPr>
      <w:rFonts w:cs="Times New Roman"/>
      <w:sz w:val="16"/>
      <w:szCs w:val="16"/>
    </w:rPr>
  </w:style>
  <w:style w:type="paragraph" w:styleId="a6">
    <w:name w:val="Balloon Text"/>
    <w:basedOn w:val="a1"/>
    <w:link w:val="a7"/>
    <w:uiPriority w:val="99"/>
    <w:semiHidden/>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locked/>
    <w:rsid w:val="000D34BE"/>
    <w:rPr>
      <w:rFonts w:ascii="Tahoma" w:hAnsi="Tahoma" w:cs="Tahoma"/>
      <w:sz w:val="16"/>
      <w:szCs w:val="16"/>
    </w:rPr>
  </w:style>
  <w:style w:type="paragraph" w:styleId="a8">
    <w:name w:val="Bibliography"/>
    <w:basedOn w:val="CETReferencetext"/>
    <w:uiPriority w:val="99"/>
    <w:rsid w:val="00631B33"/>
    <w:pPr>
      <w:spacing w:line="240" w:lineRule="auto"/>
      <w:ind w:left="720" w:hanging="720"/>
    </w:pPr>
  </w:style>
  <w:style w:type="paragraph" w:styleId="23">
    <w:name w:val="Body Text 2"/>
    <w:basedOn w:val="a1"/>
    <w:link w:val="24"/>
    <w:uiPriority w:val="99"/>
    <w:semiHidden/>
    <w:rsid w:val="0003148D"/>
    <w:pPr>
      <w:spacing w:after="120" w:line="480" w:lineRule="auto"/>
    </w:pPr>
  </w:style>
  <w:style w:type="character" w:customStyle="1" w:styleId="24">
    <w:name w:val="Основной текст 2 Знак"/>
    <w:basedOn w:val="a2"/>
    <w:link w:val="23"/>
    <w:uiPriority w:val="99"/>
    <w:semiHidden/>
    <w:locked/>
    <w:rsid w:val="0003148D"/>
    <w:rPr>
      <w:rFonts w:cs="Times New Roman"/>
    </w:rPr>
  </w:style>
  <w:style w:type="paragraph" w:styleId="33">
    <w:name w:val="Body Text 3"/>
    <w:basedOn w:val="a1"/>
    <w:link w:val="34"/>
    <w:uiPriority w:val="99"/>
    <w:semiHidden/>
    <w:rsid w:val="0003148D"/>
    <w:pPr>
      <w:spacing w:after="120"/>
    </w:pPr>
    <w:rPr>
      <w:sz w:val="16"/>
      <w:szCs w:val="16"/>
    </w:rPr>
  </w:style>
  <w:style w:type="character" w:customStyle="1" w:styleId="34">
    <w:name w:val="Основной текст 3 Знак"/>
    <w:basedOn w:val="a2"/>
    <w:link w:val="33"/>
    <w:uiPriority w:val="99"/>
    <w:semiHidden/>
    <w:locked/>
    <w:rsid w:val="0003148D"/>
    <w:rPr>
      <w:rFonts w:cs="Times New Roman"/>
      <w:sz w:val="16"/>
      <w:szCs w:val="16"/>
    </w:rPr>
  </w:style>
  <w:style w:type="paragraph" w:styleId="a9">
    <w:name w:val="Body Text"/>
    <w:basedOn w:val="a1"/>
    <w:link w:val="aa"/>
    <w:uiPriority w:val="99"/>
    <w:semiHidden/>
    <w:rsid w:val="0003148D"/>
    <w:pPr>
      <w:spacing w:after="120"/>
    </w:pPr>
  </w:style>
  <w:style w:type="character" w:customStyle="1" w:styleId="aa">
    <w:name w:val="Основной текст Знак"/>
    <w:basedOn w:val="a2"/>
    <w:link w:val="a9"/>
    <w:uiPriority w:val="99"/>
    <w:semiHidden/>
    <w:locked/>
    <w:rsid w:val="0003148D"/>
    <w:rPr>
      <w:rFonts w:cs="Times New Roman"/>
    </w:rPr>
  </w:style>
  <w:style w:type="paragraph" w:styleId="ab">
    <w:name w:val="Date"/>
    <w:basedOn w:val="a1"/>
    <w:next w:val="a1"/>
    <w:link w:val="ac"/>
    <w:uiPriority w:val="99"/>
    <w:semiHidden/>
    <w:rsid w:val="0003148D"/>
  </w:style>
  <w:style w:type="character" w:customStyle="1" w:styleId="ac">
    <w:name w:val="Дата Знак"/>
    <w:basedOn w:val="a2"/>
    <w:link w:val="ab"/>
    <w:uiPriority w:val="99"/>
    <w:semiHidden/>
    <w:locked/>
    <w:rsid w:val="0003148D"/>
    <w:rPr>
      <w:rFonts w:cs="Times New Roman"/>
    </w:rPr>
  </w:style>
  <w:style w:type="paragraph" w:styleId="ad">
    <w:name w:val="caption"/>
    <w:basedOn w:val="a1"/>
    <w:next w:val="a1"/>
    <w:uiPriority w:val="99"/>
    <w:qFormat/>
    <w:rsid w:val="0003148D"/>
    <w:pPr>
      <w:spacing w:line="240" w:lineRule="auto"/>
    </w:pPr>
    <w:rPr>
      <w:b/>
      <w:bCs/>
      <w:color w:val="4F81BD"/>
      <w:szCs w:val="18"/>
    </w:rPr>
  </w:style>
  <w:style w:type="paragraph" w:styleId="ae">
    <w:name w:val="List"/>
    <w:basedOn w:val="a1"/>
    <w:uiPriority w:val="99"/>
    <w:semiHidden/>
    <w:rsid w:val="0003148D"/>
    <w:pPr>
      <w:ind w:left="283" w:hanging="283"/>
      <w:contextualSpacing/>
    </w:pPr>
  </w:style>
  <w:style w:type="paragraph" w:styleId="25">
    <w:name w:val="List 2"/>
    <w:basedOn w:val="a1"/>
    <w:uiPriority w:val="99"/>
    <w:semiHidden/>
    <w:rsid w:val="0003148D"/>
    <w:pPr>
      <w:ind w:left="566" w:hanging="283"/>
      <w:contextualSpacing/>
    </w:pPr>
  </w:style>
  <w:style w:type="paragraph" w:styleId="35">
    <w:name w:val="List 3"/>
    <w:basedOn w:val="a1"/>
    <w:uiPriority w:val="99"/>
    <w:semiHidden/>
    <w:rsid w:val="0003148D"/>
    <w:pPr>
      <w:ind w:left="849" w:hanging="283"/>
      <w:contextualSpacing/>
    </w:pPr>
  </w:style>
  <w:style w:type="paragraph" w:styleId="43">
    <w:name w:val="List 4"/>
    <w:basedOn w:val="a1"/>
    <w:uiPriority w:val="99"/>
    <w:semiHidden/>
    <w:rsid w:val="0003148D"/>
    <w:pPr>
      <w:ind w:left="1132" w:hanging="283"/>
      <w:contextualSpacing/>
    </w:pPr>
  </w:style>
  <w:style w:type="paragraph" w:styleId="53">
    <w:name w:val="List 5"/>
    <w:basedOn w:val="a1"/>
    <w:uiPriority w:val="99"/>
    <w:semiHidden/>
    <w:rsid w:val="0003148D"/>
    <w:pPr>
      <w:ind w:left="1415" w:hanging="283"/>
      <w:contextualSpacing/>
    </w:pPr>
  </w:style>
  <w:style w:type="paragraph" w:styleId="af">
    <w:name w:val="List Continue"/>
    <w:basedOn w:val="a1"/>
    <w:uiPriority w:val="99"/>
    <w:semiHidden/>
    <w:rsid w:val="0003148D"/>
    <w:pPr>
      <w:spacing w:after="120"/>
      <w:ind w:left="283"/>
      <w:contextualSpacing/>
    </w:pPr>
  </w:style>
  <w:style w:type="paragraph" w:styleId="26">
    <w:name w:val="List Continue 2"/>
    <w:basedOn w:val="a1"/>
    <w:uiPriority w:val="99"/>
    <w:semiHidden/>
    <w:rsid w:val="0003148D"/>
    <w:pPr>
      <w:spacing w:after="120"/>
      <w:ind w:left="566"/>
      <w:contextualSpacing/>
    </w:pPr>
  </w:style>
  <w:style w:type="paragraph" w:styleId="36">
    <w:name w:val="List Continue 3"/>
    <w:basedOn w:val="a1"/>
    <w:uiPriority w:val="99"/>
    <w:semiHidden/>
    <w:rsid w:val="0003148D"/>
    <w:pPr>
      <w:spacing w:after="120"/>
      <w:ind w:left="849"/>
      <w:contextualSpacing/>
    </w:pPr>
  </w:style>
  <w:style w:type="paragraph" w:styleId="44">
    <w:name w:val="List Continue 4"/>
    <w:basedOn w:val="a1"/>
    <w:uiPriority w:val="99"/>
    <w:semiHidden/>
    <w:rsid w:val="0003148D"/>
    <w:pPr>
      <w:spacing w:after="120"/>
      <w:ind w:left="1132"/>
      <w:contextualSpacing/>
    </w:pPr>
  </w:style>
  <w:style w:type="paragraph" w:styleId="54">
    <w:name w:val="List Continue 5"/>
    <w:basedOn w:val="a1"/>
    <w:uiPriority w:val="99"/>
    <w:semiHidden/>
    <w:rsid w:val="0003148D"/>
    <w:pPr>
      <w:spacing w:after="120"/>
      <w:ind w:left="1415"/>
      <w:contextualSpacing/>
    </w:pPr>
  </w:style>
  <w:style w:type="paragraph" w:styleId="af0">
    <w:name w:val="Signature"/>
    <w:basedOn w:val="a1"/>
    <w:link w:val="af1"/>
    <w:uiPriority w:val="99"/>
    <w:semiHidden/>
    <w:rsid w:val="0003148D"/>
    <w:pPr>
      <w:spacing w:line="240" w:lineRule="auto"/>
      <w:ind w:left="4252"/>
    </w:pPr>
  </w:style>
  <w:style w:type="character" w:customStyle="1" w:styleId="af1">
    <w:name w:val="Подпись Знак"/>
    <w:basedOn w:val="a2"/>
    <w:link w:val="af0"/>
    <w:uiPriority w:val="99"/>
    <w:semiHidden/>
    <w:locked/>
    <w:rsid w:val="0003148D"/>
    <w:rPr>
      <w:rFonts w:cs="Times New Roman"/>
    </w:rPr>
  </w:style>
  <w:style w:type="paragraph" w:styleId="af2">
    <w:name w:val="E-mail Signature"/>
    <w:basedOn w:val="a1"/>
    <w:link w:val="af3"/>
    <w:uiPriority w:val="99"/>
    <w:semiHidden/>
    <w:rsid w:val="0003148D"/>
    <w:pPr>
      <w:spacing w:line="240" w:lineRule="auto"/>
    </w:pPr>
  </w:style>
  <w:style w:type="character" w:customStyle="1" w:styleId="af3">
    <w:name w:val="Электронная подпись Знак"/>
    <w:basedOn w:val="a2"/>
    <w:link w:val="af2"/>
    <w:uiPriority w:val="99"/>
    <w:semiHidden/>
    <w:locked/>
    <w:rsid w:val="0003148D"/>
    <w:rPr>
      <w:rFonts w:cs="Times New Roman"/>
    </w:rPr>
  </w:style>
  <w:style w:type="paragraph" w:styleId="af4">
    <w:name w:val="Salutation"/>
    <w:basedOn w:val="a1"/>
    <w:next w:val="a1"/>
    <w:link w:val="af5"/>
    <w:uiPriority w:val="99"/>
    <w:semiHidden/>
    <w:rsid w:val="0003148D"/>
  </w:style>
  <w:style w:type="character" w:customStyle="1" w:styleId="af5">
    <w:name w:val="Приветствие Знак"/>
    <w:basedOn w:val="a2"/>
    <w:link w:val="af4"/>
    <w:uiPriority w:val="99"/>
    <w:semiHidden/>
    <w:locked/>
    <w:rsid w:val="0003148D"/>
    <w:rPr>
      <w:rFonts w:cs="Times New Roman"/>
    </w:rPr>
  </w:style>
  <w:style w:type="paragraph" w:styleId="af6">
    <w:name w:val="Closing"/>
    <w:basedOn w:val="a1"/>
    <w:link w:val="af7"/>
    <w:uiPriority w:val="99"/>
    <w:semiHidden/>
    <w:rsid w:val="0003148D"/>
    <w:pPr>
      <w:spacing w:line="240" w:lineRule="auto"/>
      <w:ind w:left="4252"/>
    </w:pPr>
  </w:style>
  <w:style w:type="character" w:customStyle="1" w:styleId="af7">
    <w:name w:val="Прощание Знак"/>
    <w:basedOn w:val="a2"/>
    <w:link w:val="af6"/>
    <w:uiPriority w:val="99"/>
    <w:semiHidden/>
    <w:locked/>
    <w:rsid w:val="0003148D"/>
    <w:rPr>
      <w:rFonts w:cs="Times New Roman"/>
    </w:rPr>
  </w:style>
  <w:style w:type="paragraph" w:styleId="12">
    <w:name w:val="index 1"/>
    <w:basedOn w:val="a1"/>
    <w:next w:val="a1"/>
    <w:autoRedefine/>
    <w:uiPriority w:val="99"/>
    <w:semiHidden/>
    <w:rsid w:val="0003148D"/>
    <w:pPr>
      <w:spacing w:line="240" w:lineRule="auto"/>
      <w:ind w:left="220" w:hanging="220"/>
    </w:pPr>
  </w:style>
  <w:style w:type="paragraph" w:styleId="27">
    <w:name w:val="index 2"/>
    <w:basedOn w:val="a1"/>
    <w:next w:val="a1"/>
    <w:autoRedefine/>
    <w:uiPriority w:val="99"/>
    <w:semiHidden/>
    <w:rsid w:val="0003148D"/>
    <w:pPr>
      <w:spacing w:line="240" w:lineRule="auto"/>
      <w:ind w:left="440" w:hanging="220"/>
    </w:pPr>
  </w:style>
  <w:style w:type="paragraph" w:styleId="37">
    <w:name w:val="index 3"/>
    <w:basedOn w:val="a1"/>
    <w:next w:val="a1"/>
    <w:autoRedefine/>
    <w:uiPriority w:val="99"/>
    <w:semiHidden/>
    <w:rsid w:val="0003148D"/>
    <w:pPr>
      <w:spacing w:line="240" w:lineRule="auto"/>
      <w:ind w:left="660" w:hanging="220"/>
    </w:pPr>
  </w:style>
  <w:style w:type="paragraph" w:styleId="45">
    <w:name w:val="index 4"/>
    <w:basedOn w:val="a1"/>
    <w:next w:val="a1"/>
    <w:autoRedefine/>
    <w:uiPriority w:val="99"/>
    <w:semiHidden/>
    <w:rsid w:val="0003148D"/>
    <w:pPr>
      <w:spacing w:line="240" w:lineRule="auto"/>
      <w:ind w:left="880" w:hanging="220"/>
    </w:pPr>
  </w:style>
  <w:style w:type="paragraph" w:styleId="55">
    <w:name w:val="index 5"/>
    <w:basedOn w:val="a1"/>
    <w:next w:val="a1"/>
    <w:autoRedefine/>
    <w:uiPriority w:val="99"/>
    <w:semiHidden/>
    <w:rsid w:val="0003148D"/>
    <w:pPr>
      <w:spacing w:line="240" w:lineRule="auto"/>
      <w:ind w:left="1100" w:hanging="220"/>
    </w:pPr>
  </w:style>
  <w:style w:type="paragraph" w:styleId="61">
    <w:name w:val="index 6"/>
    <w:basedOn w:val="a1"/>
    <w:next w:val="a1"/>
    <w:autoRedefine/>
    <w:uiPriority w:val="99"/>
    <w:semiHidden/>
    <w:rsid w:val="0003148D"/>
    <w:pPr>
      <w:spacing w:line="240" w:lineRule="auto"/>
      <w:ind w:left="1320" w:hanging="220"/>
    </w:pPr>
  </w:style>
  <w:style w:type="paragraph" w:styleId="71">
    <w:name w:val="index 7"/>
    <w:basedOn w:val="a1"/>
    <w:next w:val="a1"/>
    <w:autoRedefine/>
    <w:uiPriority w:val="99"/>
    <w:semiHidden/>
    <w:rsid w:val="0003148D"/>
    <w:pPr>
      <w:spacing w:line="240" w:lineRule="auto"/>
      <w:ind w:left="1540" w:hanging="220"/>
    </w:pPr>
  </w:style>
  <w:style w:type="paragraph" w:styleId="81">
    <w:name w:val="index 8"/>
    <w:basedOn w:val="a1"/>
    <w:next w:val="a1"/>
    <w:autoRedefine/>
    <w:uiPriority w:val="99"/>
    <w:semiHidden/>
    <w:rsid w:val="0003148D"/>
    <w:pPr>
      <w:spacing w:line="240" w:lineRule="auto"/>
      <w:ind w:left="1760" w:hanging="220"/>
    </w:pPr>
  </w:style>
  <w:style w:type="paragraph" w:styleId="91">
    <w:name w:val="index 9"/>
    <w:basedOn w:val="a1"/>
    <w:next w:val="a1"/>
    <w:autoRedefine/>
    <w:uiPriority w:val="99"/>
    <w:semiHidden/>
    <w:rsid w:val="0003148D"/>
    <w:pPr>
      <w:spacing w:line="240" w:lineRule="auto"/>
      <w:ind w:left="1980" w:hanging="220"/>
    </w:pPr>
  </w:style>
  <w:style w:type="paragraph" w:styleId="af8">
    <w:name w:val="table of figures"/>
    <w:basedOn w:val="a1"/>
    <w:next w:val="a1"/>
    <w:uiPriority w:val="99"/>
    <w:semiHidden/>
    <w:rsid w:val="0003148D"/>
  </w:style>
  <w:style w:type="paragraph" w:styleId="af9">
    <w:name w:val="table of authorities"/>
    <w:basedOn w:val="a1"/>
    <w:next w:val="a1"/>
    <w:uiPriority w:val="99"/>
    <w:semiHidden/>
    <w:rsid w:val="0003148D"/>
    <w:pPr>
      <w:ind w:left="220" w:hanging="220"/>
    </w:pPr>
  </w:style>
  <w:style w:type="paragraph" w:styleId="afa">
    <w:name w:val="envelope address"/>
    <w:basedOn w:val="a1"/>
    <w:uiPriority w:val="99"/>
    <w:semiHidden/>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HTML">
    <w:name w:val="HTML Address"/>
    <w:basedOn w:val="a1"/>
    <w:link w:val="HTML0"/>
    <w:uiPriority w:val="99"/>
    <w:semiHidden/>
    <w:rsid w:val="0003148D"/>
    <w:pPr>
      <w:spacing w:line="240" w:lineRule="auto"/>
    </w:pPr>
    <w:rPr>
      <w:i/>
      <w:iCs/>
    </w:rPr>
  </w:style>
  <w:style w:type="character" w:customStyle="1" w:styleId="HTML0">
    <w:name w:val="Адрес HTML Знак"/>
    <w:basedOn w:val="a2"/>
    <w:link w:val="HTML"/>
    <w:uiPriority w:val="99"/>
    <w:semiHidden/>
    <w:locked/>
    <w:rsid w:val="0003148D"/>
    <w:rPr>
      <w:rFonts w:cs="Times New Roman"/>
      <w:i/>
      <w:iCs/>
    </w:rPr>
  </w:style>
  <w:style w:type="paragraph" w:styleId="28">
    <w:name w:val="envelope return"/>
    <w:basedOn w:val="a1"/>
    <w:uiPriority w:val="99"/>
    <w:semiHidden/>
    <w:rsid w:val="0003148D"/>
    <w:pPr>
      <w:spacing w:line="240" w:lineRule="auto"/>
    </w:pPr>
    <w:rPr>
      <w:rFonts w:ascii="Cambria" w:eastAsia="SimSun" w:hAnsi="Cambria"/>
    </w:rPr>
  </w:style>
  <w:style w:type="paragraph" w:styleId="afb">
    <w:name w:val="Message Header"/>
    <w:basedOn w:val="a1"/>
    <w:link w:val="afc"/>
    <w:uiPriority w:val="99"/>
    <w:semiHidden/>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afc">
    <w:name w:val="Шапка Знак"/>
    <w:basedOn w:val="a2"/>
    <w:link w:val="afb"/>
    <w:uiPriority w:val="99"/>
    <w:semiHidden/>
    <w:locked/>
    <w:rsid w:val="0003148D"/>
    <w:rPr>
      <w:rFonts w:ascii="Cambria" w:eastAsia="SimSun" w:hAnsi="Cambria" w:cs="Times New Roman"/>
      <w:sz w:val="24"/>
      <w:szCs w:val="24"/>
      <w:shd w:val="pct20" w:color="auto" w:fill="auto"/>
    </w:rPr>
  </w:style>
  <w:style w:type="paragraph" w:styleId="afd">
    <w:name w:val="Note Heading"/>
    <w:basedOn w:val="a1"/>
    <w:next w:val="a1"/>
    <w:link w:val="afe"/>
    <w:uiPriority w:val="99"/>
    <w:semiHidden/>
    <w:rsid w:val="0003148D"/>
    <w:pPr>
      <w:spacing w:line="240" w:lineRule="auto"/>
    </w:pPr>
  </w:style>
  <w:style w:type="character" w:customStyle="1" w:styleId="afe">
    <w:name w:val="Заголовок записки Знак"/>
    <w:basedOn w:val="a2"/>
    <w:link w:val="afd"/>
    <w:uiPriority w:val="99"/>
    <w:semiHidden/>
    <w:locked/>
    <w:rsid w:val="0003148D"/>
    <w:rPr>
      <w:rFonts w:cs="Times New Roman"/>
    </w:rPr>
  </w:style>
  <w:style w:type="paragraph" w:styleId="aff">
    <w:name w:val="Document Map"/>
    <w:basedOn w:val="a1"/>
    <w:link w:val="aff0"/>
    <w:uiPriority w:val="99"/>
    <w:semiHidden/>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locked/>
    <w:rsid w:val="0003148D"/>
    <w:rPr>
      <w:rFonts w:ascii="Tahoma" w:hAnsi="Tahoma" w:cs="Tahoma"/>
      <w:sz w:val="16"/>
      <w:szCs w:val="16"/>
    </w:rPr>
  </w:style>
  <w:style w:type="paragraph" w:styleId="aff1">
    <w:name w:val="Normal (Web)"/>
    <w:basedOn w:val="a1"/>
    <w:uiPriority w:val="99"/>
    <w:semiHidden/>
    <w:rsid w:val="0003148D"/>
    <w:rPr>
      <w:sz w:val="24"/>
      <w:szCs w:val="24"/>
    </w:rPr>
  </w:style>
  <w:style w:type="paragraph" w:styleId="a">
    <w:name w:val="List Number"/>
    <w:basedOn w:val="a1"/>
    <w:uiPriority w:val="99"/>
    <w:semiHidden/>
    <w:rsid w:val="0003148D"/>
    <w:pPr>
      <w:numPr>
        <w:numId w:val="12"/>
      </w:numPr>
      <w:tabs>
        <w:tab w:val="clear" w:pos="643"/>
        <w:tab w:val="num" w:pos="360"/>
      </w:tabs>
      <w:ind w:left="360"/>
      <w:contextualSpacing/>
    </w:pPr>
  </w:style>
  <w:style w:type="paragraph" w:styleId="2">
    <w:name w:val="List Number 2"/>
    <w:basedOn w:val="a1"/>
    <w:uiPriority w:val="99"/>
    <w:semiHidden/>
    <w:rsid w:val="0003148D"/>
    <w:pPr>
      <w:numPr>
        <w:numId w:val="13"/>
      </w:numPr>
      <w:tabs>
        <w:tab w:val="clear" w:pos="926"/>
        <w:tab w:val="num" w:pos="643"/>
      </w:tabs>
      <w:ind w:left="643"/>
      <w:contextualSpacing/>
    </w:pPr>
  </w:style>
  <w:style w:type="paragraph" w:styleId="3">
    <w:name w:val="List Number 3"/>
    <w:basedOn w:val="a1"/>
    <w:uiPriority w:val="99"/>
    <w:semiHidden/>
    <w:rsid w:val="0003148D"/>
    <w:pPr>
      <w:numPr>
        <w:numId w:val="14"/>
      </w:numPr>
      <w:tabs>
        <w:tab w:val="clear" w:pos="1209"/>
        <w:tab w:val="num" w:pos="926"/>
      </w:tabs>
      <w:ind w:left="926"/>
      <w:contextualSpacing/>
    </w:pPr>
  </w:style>
  <w:style w:type="paragraph" w:styleId="4">
    <w:name w:val="List Number 4"/>
    <w:basedOn w:val="a1"/>
    <w:uiPriority w:val="99"/>
    <w:semiHidden/>
    <w:rsid w:val="0003148D"/>
    <w:pPr>
      <w:numPr>
        <w:numId w:val="15"/>
      </w:numPr>
      <w:tabs>
        <w:tab w:val="clear" w:pos="1492"/>
        <w:tab w:val="num" w:pos="1209"/>
      </w:tabs>
      <w:ind w:left="1209"/>
      <w:contextualSpacing/>
    </w:pPr>
  </w:style>
  <w:style w:type="paragraph" w:styleId="5">
    <w:name w:val="List Number 5"/>
    <w:basedOn w:val="a1"/>
    <w:uiPriority w:val="99"/>
    <w:semiHidden/>
    <w:rsid w:val="0003148D"/>
    <w:pPr>
      <w:numPr>
        <w:numId w:val="16"/>
      </w:numPr>
      <w:tabs>
        <w:tab w:val="clear" w:pos="360"/>
        <w:tab w:val="num" w:pos="1492"/>
      </w:tabs>
      <w:ind w:left="1492"/>
      <w:contextualSpacing/>
    </w:pPr>
  </w:style>
  <w:style w:type="paragraph" w:styleId="HTML1">
    <w:name w:val="HTML Preformatted"/>
    <w:basedOn w:val="a1"/>
    <w:link w:val="HTML2"/>
    <w:uiPriority w:val="99"/>
    <w:semiHidden/>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locked/>
    <w:rsid w:val="0003148D"/>
    <w:rPr>
      <w:rFonts w:ascii="Consolas" w:hAnsi="Consolas" w:cs="Consolas"/>
      <w:sz w:val="20"/>
      <w:szCs w:val="20"/>
    </w:rPr>
  </w:style>
  <w:style w:type="paragraph" w:styleId="aff2">
    <w:name w:val="Body Text First Indent"/>
    <w:basedOn w:val="a9"/>
    <w:link w:val="aff3"/>
    <w:uiPriority w:val="99"/>
    <w:semiHidden/>
    <w:rsid w:val="0003148D"/>
    <w:pPr>
      <w:spacing w:after="200"/>
      <w:ind w:firstLine="360"/>
    </w:pPr>
  </w:style>
  <w:style w:type="character" w:customStyle="1" w:styleId="aff3">
    <w:name w:val="Красная строка Знак"/>
    <w:basedOn w:val="aa"/>
    <w:link w:val="aff2"/>
    <w:uiPriority w:val="99"/>
    <w:semiHidden/>
    <w:locked/>
    <w:rsid w:val="0003148D"/>
    <w:rPr>
      <w:rFonts w:cs="Times New Roman"/>
    </w:rPr>
  </w:style>
  <w:style w:type="paragraph" w:styleId="aff4">
    <w:name w:val="Body Text Indent"/>
    <w:basedOn w:val="a1"/>
    <w:link w:val="aff5"/>
    <w:uiPriority w:val="99"/>
    <w:semiHidden/>
    <w:rsid w:val="0003148D"/>
    <w:pPr>
      <w:spacing w:after="120"/>
      <w:ind w:left="283"/>
    </w:pPr>
  </w:style>
  <w:style w:type="character" w:customStyle="1" w:styleId="aff5">
    <w:name w:val="Основной текст с отступом Знак"/>
    <w:basedOn w:val="a2"/>
    <w:link w:val="aff4"/>
    <w:uiPriority w:val="99"/>
    <w:semiHidden/>
    <w:locked/>
    <w:rsid w:val="0003148D"/>
    <w:rPr>
      <w:rFonts w:cs="Times New Roman"/>
    </w:rPr>
  </w:style>
  <w:style w:type="paragraph" w:styleId="29">
    <w:name w:val="Body Text First Indent 2"/>
    <w:basedOn w:val="aff4"/>
    <w:link w:val="2a"/>
    <w:uiPriority w:val="99"/>
    <w:semiHidden/>
    <w:rsid w:val="0003148D"/>
    <w:pPr>
      <w:spacing w:after="200"/>
      <w:ind w:left="360" w:firstLine="360"/>
    </w:pPr>
  </w:style>
  <w:style w:type="character" w:customStyle="1" w:styleId="2a">
    <w:name w:val="Красная строка 2 Знак"/>
    <w:basedOn w:val="aff5"/>
    <w:link w:val="29"/>
    <w:uiPriority w:val="99"/>
    <w:semiHidden/>
    <w:locked/>
    <w:rsid w:val="0003148D"/>
    <w:rPr>
      <w:rFonts w:cs="Times New Roman"/>
    </w:rPr>
  </w:style>
  <w:style w:type="paragraph" w:styleId="a0">
    <w:name w:val="List Bullet"/>
    <w:basedOn w:val="a1"/>
    <w:uiPriority w:val="99"/>
    <w:semiHidden/>
    <w:rsid w:val="0003148D"/>
    <w:pPr>
      <w:numPr>
        <w:numId w:val="17"/>
      </w:numPr>
      <w:tabs>
        <w:tab w:val="clear" w:pos="643"/>
        <w:tab w:val="num" w:pos="360"/>
      </w:tabs>
      <w:ind w:left="360"/>
      <w:contextualSpacing/>
    </w:pPr>
  </w:style>
  <w:style w:type="paragraph" w:styleId="20">
    <w:name w:val="List Bullet 2"/>
    <w:basedOn w:val="a1"/>
    <w:uiPriority w:val="99"/>
    <w:semiHidden/>
    <w:rsid w:val="0003148D"/>
    <w:pPr>
      <w:numPr>
        <w:numId w:val="18"/>
      </w:numPr>
      <w:tabs>
        <w:tab w:val="clear" w:pos="926"/>
        <w:tab w:val="num" w:pos="643"/>
      </w:tabs>
      <w:ind w:left="643"/>
      <w:contextualSpacing/>
    </w:pPr>
  </w:style>
  <w:style w:type="paragraph" w:styleId="30">
    <w:name w:val="List Bullet 3"/>
    <w:basedOn w:val="a1"/>
    <w:uiPriority w:val="99"/>
    <w:semiHidden/>
    <w:rsid w:val="0003148D"/>
    <w:pPr>
      <w:numPr>
        <w:numId w:val="19"/>
      </w:numPr>
      <w:tabs>
        <w:tab w:val="clear" w:pos="1209"/>
        <w:tab w:val="num" w:pos="926"/>
      </w:tabs>
      <w:ind w:left="926"/>
      <w:contextualSpacing/>
    </w:pPr>
  </w:style>
  <w:style w:type="paragraph" w:styleId="40">
    <w:name w:val="List Bullet 4"/>
    <w:basedOn w:val="a1"/>
    <w:uiPriority w:val="99"/>
    <w:semiHidden/>
    <w:rsid w:val="0003148D"/>
    <w:pPr>
      <w:numPr>
        <w:numId w:val="20"/>
      </w:numPr>
      <w:tabs>
        <w:tab w:val="clear" w:pos="1492"/>
        <w:tab w:val="num" w:pos="1209"/>
      </w:tabs>
      <w:ind w:left="1209"/>
      <w:contextualSpacing/>
    </w:pPr>
  </w:style>
  <w:style w:type="paragraph" w:styleId="50">
    <w:name w:val="List Bullet 5"/>
    <w:basedOn w:val="a1"/>
    <w:uiPriority w:val="99"/>
    <w:semiHidden/>
    <w:rsid w:val="0003148D"/>
    <w:pPr>
      <w:numPr>
        <w:numId w:val="21"/>
      </w:numPr>
      <w:tabs>
        <w:tab w:val="num" w:pos="1492"/>
      </w:tabs>
      <w:ind w:left="1492" w:hanging="360"/>
      <w:contextualSpacing/>
    </w:pPr>
  </w:style>
  <w:style w:type="paragraph" w:styleId="2b">
    <w:name w:val="Body Text Indent 2"/>
    <w:basedOn w:val="a1"/>
    <w:link w:val="2c"/>
    <w:uiPriority w:val="99"/>
    <w:semiHidden/>
    <w:rsid w:val="0003148D"/>
    <w:pPr>
      <w:spacing w:after="120" w:line="480" w:lineRule="auto"/>
      <w:ind w:left="283"/>
    </w:pPr>
  </w:style>
  <w:style w:type="character" w:customStyle="1" w:styleId="2c">
    <w:name w:val="Основной текст с отступом 2 Знак"/>
    <w:basedOn w:val="a2"/>
    <w:link w:val="2b"/>
    <w:uiPriority w:val="99"/>
    <w:semiHidden/>
    <w:locked/>
    <w:rsid w:val="0003148D"/>
    <w:rPr>
      <w:rFonts w:cs="Times New Roman"/>
    </w:rPr>
  </w:style>
  <w:style w:type="paragraph" w:styleId="38">
    <w:name w:val="Body Text Indent 3"/>
    <w:basedOn w:val="a1"/>
    <w:link w:val="39"/>
    <w:uiPriority w:val="99"/>
    <w:semiHidden/>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locked/>
    <w:rsid w:val="0003148D"/>
    <w:rPr>
      <w:rFonts w:cs="Times New Roman"/>
      <w:sz w:val="16"/>
      <w:szCs w:val="16"/>
    </w:rPr>
  </w:style>
  <w:style w:type="paragraph" w:styleId="aff6">
    <w:name w:val="Normal Indent"/>
    <w:basedOn w:val="a1"/>
    <w:uiPriority w:val="99"/>
    <w:semiHidden/>
    <w:rsid w:val="0003148D"/>
    <w:pPr>
      <w:ind w:left="720"/>
    </w:pPr>
  </w:style>
  <w:style w:type="paragraph" w:styleId="aff7">
    <w:name w:val="annotation text"/>
    <w:basedOn w:val="a1"/>
    <w:link w:val="aff8"/>
    <w:uiPriority w:val="99"/>
    <w:rsid w:val="0003148D"/>
    <w:pPr>
      <w:spacing w:line="240" w:lineRule="auto"/>
    </w:pPr>
  </w:style>
  <w:style w:type="character" w:customStyle="1" w:styleId="aff8">
    <w:name w:val="Текст примечания Знак"/>
    <w:basedOn w:val="a2"/>
    <w:link w:val="aff7"/>
    <w:uiPriority w:val="99"/>
    <w:locked/>
    <w:rsid w:val="0003148D"/>
    <w:rPr>
      <w:rFonts w:cs="Times New Roman"/>
      <w:sz w:val="20"/>
      <w:szCs w:val="20"/>
    </w:rPr>
  </w:style>
  <w:style w:type="paragraph" w:styleId="aff9">
    <w:name w:val="annotation subject"/>
    <w:basedOn w:val="aff7"/>
    <w:next w:val="aff7"/>
    <w:link w:val="affa"/>
    <w:uiPriority w:val="99"/>
    <w:semiHidden/>
    <w:rsid w:val="0003148D"/>
    <w:rPr>
      <w:b/>
      <w:bCs/>
    </w:rPr>
  </w:style>
  <w:style w:type="character" w:customStyle="1" w:styleId="affa">
    <w:name w:val="Тема примечания Знак"/>
    <w:basedOn w:val="aff8"/>
    <w:link w:val="aff9"/>
    <w:uiPriority w:val="99"/>
    <w:semiHidden/>
    <w:locked/>
    <w:rsid w:val="0003148D"/>
    <w:rPr>
      <w:rFonts w:cs="Times New Roman"/>
      <w:b/>
      <w:bCs/>
      <w:sz w:val="20"/>
      <w:szCs w:val="20"/>
    </w:rPr>
  </w:style>
  <w:style w:type="paragraph" w:styleId="13">
    <w:name w:val="toc 1"/>
    <w:basedOn w:val="a1"/>
    <w:next w:val="a1"/>
    <w:autoRedefine/>
    <w:uiPriority w:val="99"/>
    <w:semiHidden/>
    <w:rsid w:val="0003148D"/>
    <w:pPr>
      <w:spacing w:after="100"/>
    </w:pPr>
  </w:style>
  <w:style w:type="paragraph" w:styleId="2d">
    <w:name w:val="toc 2"/>
    <w:basedOn w:val="a1"/>
    <w:next w:val="a1"/>
    <w:autoRedefine/>
    <w:uiPriority w:val="99"/>
    <w:semiHidden/>
    <w:rsid w:val="0003148D"/>
    <w:pPr>
      <w:spacing w:after="100"/>
      <w:ind w:left="220"/>
    </w:pPr>
  </w:style>
  <w:style w:type="paragraph" w:styleId="3a">
    <w:name w:val="toc 3"/>
    <w:basedOn w:val="a1"/>
    <w:next w:val="a1"/>
    <w:autoRedefine/>
    <w:uiPriority w:val="99"/>
    <w:semiHidden/>
    <w:rsid w:val="0003148D"/>
    <w:pPr>
      <w:spacing w:after="100"/>
      <w:ind w:left="440"/>
    </w:pPr>
  </w:style>
  <w:style w:type="paragraph" w:styleId="46">
    <w:name w:val="toc 4"/>
    <w:basedOn w:val="a1"/>
    <w:next w:val="a1"/>
    <w:autoRedefine/>
    <w:uiPriority w:val="99"/>
    <w:semiHidden/>
    <w:rsid w:val="0003148D"/>
    <w:pPr>
      <w:spacing w:after="100"/>
      <w:ind w:left="660"/>
    </w:pPr>
  </w:style>
  <w:style w:type="paragraph" w:styleId="56">
    <w:name w:val="toc 5"/>
    <w:basedOn w:val="a1"/>
    <w:next w:val="a1"/>
    <w:autoRedefine/>
    <w:uiPriority w:val="99"/>
    <w:semiHidden/>
    <w:rsid w:val="0003148D"/>
    <w:pPr>
      <w:spacing w:after="100"/>
      <w:ind w:left="880"/>
    </w:pPr>
  </w:style>
  <w:style w:type="paragraph" w:styleId="62">
    <w:name w:val="toc 6"/>
    <w:basedOn w:val="a1"/>
    <w:next w:val="a1"/>
    <w:autoRedefine/>
    <w:uiPriority w:val="99"/>
    <w:semiHidden/>
    <w:rsid w:val="0003148D"/>
    <w:pPr>
      <w:spacing w:after="100"/>
      <w:ind w:left="1100"/>
    </w:pPr>
  </w:style>
  <w:style w:type="paragraph" w:styleId="72">
    <w:name w:val="toc 7"/>
    <w:basedOn w:val="a1"/>
    <w:next w:val="a1"/>
    <w:autoRedefine/>
    <w:uiPriority w:val="99"/>
    <w:semiHidden/>
    <w:rsid w:val="0003148D"/>
    <w:pPr>
      <w:spacing w:after="100"/>
      <w:ind w:left="1320"/>
    </w:pPr>
  </w:style>
  <w:style w:type="paragraph" w:styleId="82">
    <w:name w:val="toc 8"/>
    <w:basedOn w:val="a1"/>
    <w:next w:val="a1"/>
    <w:autoRedefine/>
    <w:uiPriority w:val="99"/>
    <w:semiHidden/>
    <w:rsid w:val="0003148D"/>
    <w:pPr>
      <w:spacing w:after="100"/>
      <w:ind w:left="1540"/>
    </w:pPr>
  </w:style>
  <w:style w:type="paragraph" w:styleId="92">
    <w:name w:val="toc 9"/>
    <w:basedOn w:val="a1"/>
    <w:next w:val="a1"/>
    <w:autoRedefine/>
    <w:uiPriority w:val="99"/>
    <w:semiHidden/>
    <w:rsid w:val="0003148D"/>
    <w:pPr>
      <w:spacing w:after="100"/>
      <w:ind w:left="1760"/>
    </w:pPr>
  </w:style>
  <w:style w:type="paragraph" w:styleId="affb">
    <w:name w:val="Block Text"/>
    <w:basedOn w:val="a1"/>
    <w:uiPriority w:val="99"/>
    <w:semiHidden/>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affc">
    <w:name w:val="macro"/>
    <w:link w:val="affd"/>
    <w:uiPriority w:val="99"/>
    <w:semiHidden/>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20"/>
      <w:szCs w:val="20"/>
      <w:lang w:val="it-IT" w:eastAsia="en-US"/>
    </w:rPr>
  </w:style>
  <w:style w:type="character" w:customStyle="1" w:styleId="affd">
    <w:name w:val="Текст макроса Знак"/>
    <w:basedOn w:val="a2"/>
    <w:link w:val="affc"/>
    <w:uiPriority w:val="99"/>
    <w:semiHidden/>
    <w:locked/>
    <w:rsid w:val="0003148D"/>
    <w:rPr>
      <w:rFonts w:ascii="Consolas" w:hAnsi="Consolas" w:cs="Consolas"/>
      <w:lang w:val="it-IT" w:eastAsia="en-US" w:bidi="ar-SA"/>
    </w:rPr>
  </w:style>
  <w:style w:type="paragraph" w:styleId="affe">
    <w:name w:val="Plain Text"/>
    <w:basedOn w:val="a1"/>
    <w:link w:val="afff"/>
    <w:uiPriority w:val="99"/>
    <w:semiHidden/>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locked/>
    <w:rsid w:val="0003148D"/>
    <w:rPr>
      <w:rFonts w:ascii="Consolas" w:hAnsi="Consolas" w:cs="Consolas"/>
      <w:sz w:val="21"/>
      <w:szCs w:val="21"/>
    </w:rPr>
  </w:style>
  <w:style w:type="paragraph" w:styleId="afff0">
    <w:name w:val="footnote text"/>
    <w:basedOn w:val="a1"/>
    <w:link w:val="afff1"/>
    <w:uiPriority w:val="99"/>
    <w:semiHidden/>
    <w:rsid w:val="0003148D"/>
    <w:pPr>
      <w:spacing w:line="240" w:lineRule="auto"/>
    </w:pPr>
  </w:style>
  <w:style w:type="character" w:customStyle="1" w:styleId="afff1">
    <w:name w:val="Текст сноски Знак"/>
    <w:basedOn w:val="a2"/>
    <w:link w:val="afff0"/>
    <w:uiPriority w:val="99"/>
    <w:semiHidden/>
    <w:locked/>
    <w:rsid w:val="0003148D"/>
    <w:rPr>
      <w:rFonts w:cs="Times New Roman"/>
      <w:sz w:val="20"/>
      <w:szCs w:val="20"/>
    </w:rPr>
  </w:style>
  <w:style w:type="paragraph" w:styleId="afff2">
    <w:name w:val="endnote text"/>
    <w:basedOn w:val="a1"/>
    <w:link w:val="afff3"/>
    <w:uiPriority w:val="99"/>
    <w:semiHidden/>
    <w:rsid w:val="0003148D"/>
    <w:pPr>
      <w:spacing w:line="240" w:lineRule="auto"/>
    </w:pPr>
  </w:style>
  <w:style w:type="character" w:customStyle="1" w:styleId="afff3">
    <w:name w:val="Текст концевой сноски Знак"/>
    <w:basedOn w:val="a2"/>
    <w:link w:val="afff2"/>
    <w:uiPriority w:val="99"/>
    <w:semiHidden/>
    <w:locked/>
    <w:rsid w:val="0003148D"/>
    <w:rPr>
      <w:rFonts w:cs="Times New Roman"/>
      <w:sz w:val="20"/>
      <w:szCs w:val="20"/>
    </w:rPr>
  </w:style>
  <w:style w:type="paragraph" w:styleId="afff4">
    <w:name w:val="index heading"/>
    <w:basedOn w:val="a1"/>
    <w:next w:val="12"/>
    <w:uiPriority w:val="99"/>
    <w:semiHidden/>
    <w:rsid w:val="0003148D"/>
    <w:rPr>
      <w:rFonts w:ascii="Cambria" w:eastAsia="SimSun" w:hAnsi="Cambria"/>
      <w:b/>
      <w:bCs/>
    </w:rPr>
  </w:style>
  <w:style w:type="paragraph" w:styleId="afff5">
    <w:name w:val="toa heading"/>
    <w:basedOn w:val="a1"/>
    <w:next w:val="a1"/>
    <w:uiPriority w:val="99"/>
    <w:semiHidden/>
    <w:rsid w:val="0003148D"/>
    <w:pPr>
      <w:spacing w:before="120"/>
    </w:pPr>
    <w:rPr>
      <w:rFonts w:ascii="Cambria" w:eastAsia="SimSun" w:hAnsi="Cambria"/>
      <w:b/>
      <w:bCs/>
      <w:sz w:val="24"/>
      <w:szCs w:val="24"/>
    </w:rPr>
  </w:style>
  <w:style w:type="paragraph" w:styleId="afff6">
    <w:name w:val="TOC Heading"/>
    <w:basedOn w:val="10"/>
    <w:next w:val="a1"/>
    <w:uiPriority w:val="99"/>
    <w:qFormat/>
    <w:rsid w:val="0003148D"/>
    <w:pPr>
      <w:outlineLvl w:val="9"/>
    </w:pPr>
  </w:style>
  <w:style w:type="paragraph" w:customStyle="1" w:styleId="CETemail">
    <w:name w:val="CET email"/>
    <w:next w:val="CETBodytext"/>
    <w:uiPriority w:val="99"/>
    <w:rsid w:val="009E788A"/>
    <w:pPr>
      <w:spacing w:after="240" w:line="276" w:lineRule="auto"/>
    </w:pPr>
    <w:rPr>
      <w:rFonts w:ascii="Arial" w:eastAsia="Times New Roman" w:hAnsi="Arial"/>
      <w:noProof/>
      <w:sz w:val="16"/>
      <w:szCs w:val="20"/>
      <w:lang w:val="en-GB" w:eastAsia="en-US"/>
    </w:rPr>
  </w:style>
  <w:style w:type="character" w:customStyle="1" w:styleId="CETAddressCarattere">
    <w:name w:val="CET Address Carattere"/>
    <w:basedOn w:val="a2"/>
    <w:link w:val="CETAddress"/>
    <w:uiPriority w:val="99"/>
    <w:locked/>
    <w:rsid w:val="009E788A"/>
    <w:rPr>
      <w:rFonts w:ascii="Arial" w:hAnsi="Arial" w:cs="Times New Roman"/>
      <w:noProof/>
      <w:sz w:val="16"/>
      <w:lang w:val="en-GB" w:eastAsia="en-US" w:bidi="ar-SA"/>
    </w:rPr>
  </w:style>
  <w:style w:type="paragraph" w:customStyle="1" w:styleId="CETBodytextBold">
    <w:name w:val="CET Body text (Bold)"/>
    <w:basedOn w:val="CETBodytext"/>
    <w:uiPriority w:val="99"/>
    <w:rsid w:val="00901EB6"/>
    <w:rPr>
      <w:b/>
    </w:rPr>
  </w:style>
  <w:style w:type="paragraph" w:customStyle="1" w:styleId="CETnumberingbullets">
    <w:name w:val="CET numbering (bullets)"/>
    <w:uiPriority w:val="99"/>
    <w:rsid w:val="008D433B"/>
    <w:pPr>
      <w:spacing w:line="264" w:lineRule="auto"/>
      <w:ind w:left="340" w:hanging="227"/>
    </w:pPr>
    <w:rPr>
      <w:rFonts w:ascii="Arial" w:eastAsia="Times New Roman" w:hAnsi="Arial"/>
      <w:sz w:val="18"/>
      <w:szCs w:val="20"/>
      <w:lang w:val="en-GB" w:eastAsia="en-US"/>
    </w:rPr>
  </w:style>
  <w:style w:type="paragraph" w:customStyle="1" w:styleId="CETnumbering1">
    <w:name w:val="CET numbering (1"/>
    <w:aliases w:val="2..)"/>
    <w:uiPriority w:val="99"/>
    <w:rsid w:val="00B57B36"/>
    <w:pPr>
      <w:numPr>
        <w:numId w:val="34"/>
      </w:numPr>
      <w:spacing w:line="264" w:lineRule="auto"/>
      <w:ind w:left="340" w:hanging="227"/>
    </w:pPr>
    <w:rPr>
      <w:rFonts w:ascii="Arial" w:eastAsia="Times New Roman" w:hAnsi="Arial"/>
      <w:sz w:val="18"/>
      <w:szCs w:val="20"/>
      <w:lang w:val="en-US" w:eastAsia="en-US"/>
    </w:rPr>
  </w:style>
  <w:style w:type="paragraph" w:customStyle="1" w:styleId="CETnumberinga">
    <w:name w:val="CET numbering (a"/>
    <w:aliases w:val="b,..)"/>
    <w:uiPriority w:val="99"/>
    <w:rsid w:val="00B57B36"/>
    <w:pPr>
      <w:numPr>
        <w:numId w:val="35"/>
      </w:numPr>
      <w:spacing w:line="264" w:lineRule="auto"/>
    </w:pPr>
    <w:rPr>
      <w:rFonts w:ascii="Arial" w:eastAsia="Times New Roman" w:hAnsi="Arial"/>
      <w:sz w:val="18"/>
      <w:szCs w:val="20"/>
      <w:lang w:val="en-GB" w:eastAsia="en-US"/>
    </w:rPr>
  </w:style>
  <w:style w:type="paragraph" w:styleId="afff7">
    <w:name w:val="header"/>
    <w:basedOn w:val="a1"/>
    <w:link w:val="afff8"/>
    <w:uiPriority w:val="99"/>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locked/>
    <w:rsid w:val="005278B7"/>
    <w:rPr>
      <w:rFonts w:ascii="Arial" w:hAnsi="Arial" w:cs="Times New Roman"/>
      <w:sz w:val="20"/>
      <w:szCs w:val="20"/>
      <w:lang w:val="en-GB"/>
    </w:rPr>
  </w:style>
  <w:style w:type="paragraph" w:styleId="afff9">
    <w:name w:val="footer"/>
    <w:basedOn w:val="a1"/>
    <w:link w:val="afffa"/>
    <w:uiPriority w:val="99"/>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locked/>
    <w:rsid w:val="005278B7"/>
    <w:rPr>
      <w:rFonts w:ascii="Arial" w:hAnsi="Arial" w:cs="Times New Roman"/>
      <w:sz w:val="20"/>
      <w:szCs w:val="20"/>
      <w:lang w:val="en-GB"/>
    </w:rPr>
  </w:style>
  <w:style w:type="table" w:styleId="afffb">
    <w:name w:val="Table Grid"/>
    <w:basedOn w:val="a3"/>
    <w:uiPriority w:val="99"/>
    <w:rsid w:val="00660E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rsid w:val="00904C62"/>
    <w:rPr>
      <w:rFonts w:cs="Times New Roman"/>
      <w:color w:val="0000FF"/>
      <w:u w:val="single"/>
    </w:rPr>
  </w:style>
  <w:style w:type="character" w:customStyle="1" w:styleId="eudoraheader">
    <w:name w:val="eudoraheader"/>
    <w:basedOn w:val="a2"/>
    <w:uiPriority w:val="99"/>
    <w:rsid w:val="00904C62"/>
    <w:rPr>
      <w:rFonts w:cs="Times New Roman"/>
    </w:rPr>
  </w:style>
  <w:style w:type="paragraph" w:customStyle="1" w:styleId="CETListbullets">
    <w:name w:val="CET List bullets"/>
    <w:uiPriority w:val="99"/>
    <w:rsid w:val="004577FE"/>
    <w:pPr>
      <w:spacing w:line="264" w:lineRule="auto"/>
      <w:ind w:left="340" w:hanging="227"/>
      <w:jc w:val="both"/>
    </w:pPr>
    <w:rPr>
      <w:rFonts w:ascii="Arial" w:eastAsia="Times New Roman" w:hAnsi="Arial"/>
      <w:sz w:val="18"/>
      <w:szCs w:val="20"/>
      <w:lang w:val="en-GB" w:eastAsia="en-US"/>
    </w:rPr>
  </w:style>
  <w:style w:type="paragraph" w:customStyle="1" w:styleId="CETReferencetext">
    <w:name w:val="CET Reference text"/>
    <w:uiPriority w:val="99"/>
    <w:rsid w:val="00600535"/>
    <w:pPr>
      <w:spacing w:line="264" w:lineRule="auto"/>
      <w:ind w:left="284" w:hanging="284"/>
      <w:jc w:val="both"/>
    </w:pPr>
    <w:rPr>
      <w:rFonts w:ascii="Arial" w:eastAsia="Times New Roman" w:hAnsi="Arial"/>
      <w:sz w:val="18"/>
      <w:szCs w:val="20"/>
      <w:lang w:val="en-GB" w:eastAsia="en-US"/>
    </w:rPr>
  </w:style>
  <w:style w:type="paragraph" w:customStyle="1" w:styleId="CETTabletitle">
    <w:name w:val="CET Table title"/>
    <w:uiPriority w:val="99"/>
    <w:rsid w:val="00600535"/>
    <w:pPr>
      <w:keepNext/>
      <w:spacing w:before="240" w:after="80" w:line="240" w:lineRule="exact"/>
    </w:pPr>
    <w:rPr>
      <w:rFonts w:ascii="Arial" w:eastAsia="Times New Roman" w:hAnsi="Arial"/>
      <w:i/>
      <w:sz w:val="18"/>
      <w:szCs w:val="20"/>
      <w:lang w:val="en-GB" w:eastAsia="en-US"/>
    </w:rPr>
  </w:style>
  <w:style w:type="paragraph" w:customStyle="1" w:styleId="CETAcknowledgementstitle">
    <w:name w:val="CET Acknowledgements title"/>
    <w:next w:val="CETBodytext"/>
    <w:uiPriority w:val="99"/>
    <w:rsid w:val="00600535"/>
    <w:pPr>
      <w:spacing w:before="200" w:after="120" w:line="276" w:lineRule="auto"/>
    </w:pPr>
    <w:rPr>
      <w:rFonts w:ascii="Arial" w:eastAsia="Times New Roman" w:hAnsi="Arial"/>
      <w:b/>
      <w:sz w:val="18"/>
      <w:szCs w:val="20"/>
      <w:lang w:val="en-GB" w:eastAsia="en-US"/>
    </w:rPr>
  </w:style>
  <w:style w:type="paragraph" w:customStyle="1" w:styleId="CETEquation">
    <w:name w:val="CET Equation"/>
    <w:basedOn w:val="CETBodytext"/>
    <w:next w:val="CETBodytext"/>
    <w:uiPriority w:val="99"/>
    <w:rsid w:val="00600535"/>
    <w:pPr>
      <w:spacing w:before="120" w:after="120"/>
      <w:jc w:val="left"/>
    </w:pPr>
    <w:rPr>
      <w:lang w:val="en-GB"/>
    </w:rPr>
  </w:style>
  <w:style w:type="paragraph" w:customStyle="1" w:styleId="CETHeadingxx">
    <w:name w:val="CET Headingxx"/>
    <w:basedOn w:val="CETheadingx"/>
    <w:link w:val="CETHeadingxxChar"/>
    <w:uiPriority w:val="99"/>
    <w:rsid w:val="00252C1A"/>
    <w:pPr>
      <w:numPr>
        <w:ilvl w:val="0"/>
        <w:numId w:val="0"/>
      </w:numPr>
      <w:spacing w:after="0"/>
    </w:pPr>
  </w:style>
  <w:style w:type="character" w:customStyle="1" w:styleId="CETHeadingxxChar">
    <w:name w:val="CET Headingxx Char"/>
    <w:basedOn w:val="CETheadingxCarattere"/>
    <w:link w:val="CETHeadingxx"/>
    <w:uiPriority w:val="99"/>
    <w:locked/>
    <w:rsid w:val="00252C1A"/>
    <w:rPr>
      <w:rFonts w:ascii="Arial" w:eastAsia="Times New Roman" w:hAnsi="Arial" w:cs="Times New Roman"/>
      <w:b/>
      <w:sz w:val="20"/>
      <w:szCs w:val="20"/>
      <w:lang w:val="en-US" w:bidi="ar-SA"/>
    </w:rPr>
  </w:style>
  <w:style w:type="paragraph" w:customStyle="1" w:styleId="3b">
    <w:name w:val="Абзац списка3"/>
    <w:basedOn w:val="a1"/>
    <w:uiPriority w:val="99"/>
    <w:rsid w:val="00430533"/>
    <w:pPr>
      <w:tabs>
        <w:tab w:val="clear" w:pos="7100"/>
      </w:tabs>
      <w:spacing w:after="160" w:line="259" w:lineRule="auto"/>
      <w:ind w:left="720"/>
      <w:contextualSpacing/>
      <w:jc w:val="left"/>
    </w:pPr>
    <w:rPr>
      <w:rFonts w:ascii="Calibri" w:eastAsia="Calibri" w:hAnsi="Calibri"/>
      <w:sz w:val="22"/>
      <w:szCs w:val="22"/>
      <w:lang w:val="ru-RU"/>
    </w:rPr>
  </w:style>
  <w:style w:type="paragraph" w:styleId="2e">
    <w:name w:val="Quote"/>
    <w:basedOn w:val="a1"/>
    <w:next w:val="a1"/>
    <w:link w:val="2f"/>
    <w:uiPriority w:val="29"/>
    <w:qFormat/>
    <w:rsid w:val="00CF40CF"/>
    <w:rPr>
      <w:i/>
      <w:iCs/>
      <w:color w:val="000000" w:themeColor="text1"/>
    </w:rPr>
  </w:style>
  <w:style w:type="character" w:customStyle="1" w:styleId="2f">
    <w:name w:val="Цитата 2 Знак"/>
    <w:basedOn w:val="a2"/>
    <w:link w:val="2e"/>
    <w:uiPriority w:val="29"/>
    <w:rsid w:val="00CF40CF"/>
    <w:rPr>
      <w:rFonts w:ascii="Arial" w:eastAsia="Times New Roman" w:hAnsi="Arial"/>
      <w:i/>
      <w:iCs/>
      <w:color w:val="000000" w:themeColor="text1"/>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2269">
      <w:bodyDiv w:val="1"/>
      <w:marLeft w:val="0"/>
      <w:marRight w:val="0"/>
      <w:marTop w:val="0"/>
      <w:marBottom w:val="0"/>
      <w:divBdr>
        <w:top w:val="none" w:sz="0" w:space="0" w:color="auto"/>
        <w:left w:val="none" w:sz="0" w:space="0" w:color="auto"/>
        <w:bottom w:val="none" w:sz="0" w:space="0" w:color="auto"/>
        <w:right w:val="none" w:sz="0" w:space="0" w:color="auto"/>
      </w:divBdr>
    </w:div>
    <w:div w:id="1217475847">
      <w:bodyDiv w:val="1"/>
      <w:marLeft w:val="0"/>
      <w:marRight w:val="0"/>
      <w:marTop w:val="0"/>
      <w:marBottom w:val="0"/>
      <w:divBdr>
        <w:top w:val="none" w:sz="0" w:space="0" w:color="auto"/>
        <w:left w:val="none" w:sz="0" w:space="0" w:color="auto"/>
        <w:bottom w:val="none" w:sz="0" w:space="0" w:color="auto"/>
        <w:right w:val="none" w:sz="0" w:space="0" w:color="auto"/>
      </w:divBdr>
    </w:div>
    <w:div w:id="1480724913">
      <w:bodyDiv w:val="1"/>
      <w:marLeft w:val="0"/>
      <w:marRight w:val="0"/>
      <w:marTop w:val="0"/>
      <w:marBottom w:val="0"/>
      <w:divBdr>
        <w:top w:val="none" w:sz="0" w:space="0" w:color="auto"/>
        <w:left w:val="none" w:sz="0" w:space="0" w:color="auto"/>
        <w:bottom w:val="none" w:sz="0" w:space="0" w:color="auto"/>
        <w:right w:val="none" w:sz="0" w:space="0" w:color="auto"/>
      </w:divBdr>
    </w:div>
    <w:div w:id="1960142360">
      <w:marLeft w:val="0"/>
      <w:marRight w:val="0"/>
      <w:marTop w:val="0"/>
      <w:marBottom w:val="0"/>
      <w:divBdr>
        <w:top w:val="none" w:sz="0" w:space="0" w:color="auto"/>
        <w:left w:val="none" w:sz="0" w:space="0" w:color="auto"/>
        <w:bottom w:val="none" w:sz="0" w:space="0" w:color="auto"/>
        <w:right w:val="none" w:sz="0" w:space="0" w:color="auto"/>
      </w:divBdr>
      <w:divsChild>
        <w:div w:id="1960142368">
          <w:marLeft w:val="0"/>
          <w:marRight w:val="0"/>
          <w:marTop w:val="0"/>
          <w:marBottom w:val="0"/>
          <w:divBdr>
            <w:top w:val="none" w:sz="0" w:space="0" w:color="auto"/>
            <w:left w:val="none" w:sz="0" w:space="0" w:color="auto"/>
            <w:bottom w:val="none" w:sz="0" w:space="0" w:color="auto"/>
            <w:right w:val="none" w:sz="0" w:space="0" w:color="auto"/>
          </w:divBdr>
          <w:divsChild>
            <w:div w:id="1960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362">
      <w:marLeft w:val="0"/>
      <w:marRight w:val="0"/>
      <w:marTop w:val="0"/>
      <w:marBottom w:val="0"/>
      <w:divBdr>
        <w:top w:val="none" w:sz="0" w:space="0" w:color="auto"/>
        <w:left w:val="none" w:sz="0" w:space="0" w:color="auto"/>
        <w:bottom w:val="none" w:sz="0" w:space="0" w:color="auto"/>
        <w:right w:val="none" w:sz="0" w:space="0" w:color="auto"/>
      </w:divBdr>
      <w:divsChild>
        <w:div w:id="1960142371">
          <w:marLeft w:val="720"/>
          <w:marRight w:val="720"/>
          <w:marTop w:val="100"/>
          <w:marBottom w:val="100"/>
          <w:divBdr>
            <w:top w:val="none" w:sz="0" w:space="0" w:color="auto"/>
            <w:left w:val="none" w:sz="0" w:space="0" w:color="auto"/>
            <w:bottom w:val="none" w:sz="0" w:space="0" w:color="auto"/>
            <w:right w:val="none" w:sz="0" w:space="0" w:color="auto"/>
          </w:divBdr>
        </w:div>
      </w:divsChild>
    </w:div>
    <w:div w:id="1960142363">
      <w:marLeft w:val="0"/>
      <w:marRight w:val="0"/>
      <w:marTop w:val="0"/>
      <w:marBottom w:val="0"/>
      <w:divBdr>
        <w:top w:val="none" w:sz="0" w:space="0" w:color="auto"/>
        <w:left w:val="none" w:sz="0" w:space="0" w:color="auto"/>
        <w:bottom w:val="none" w:sz="0" w:space="0" w:color="auto"/>
        <w:right w:val="none" w:sz="0" w:space="0" w:color="auto"/>
      </w:divBdr>
      <w:divsChild>
        <w:div w:id="1960142361">
          <w:marLeft w:val="0"/>
          <w:marRight w:val="0"/>
          <w:marTop w:val="0"/>
          <w:marBottom w:val="0"/>
          <w:divBdr>
            <w:top w:val="none" w:sz="0" w:space="0" w:color="auto"/>
            <w:left w:val="none" w:sz="0" w:space="0" w:color="auto"/>
            <w:bottom w:val="none" w:sz="0" w:space="0" w:color="auto"/>
            <w:right w:val="none" w:sz="0" w:space="0" w:color="auto"/>
          </w:divBdr>
          <w:divsChild>
            <w:div w:id="19601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367">
      <w:marLeft w:val="0"/>
      <w:marRight w:val="0"/>
      <w:marTop w:val="0"/>
      <w:marBottom w:val="0"/>
      <w:divBdr>
        <w:top w:val="none" w:sz="0" w:space="0" w:color="auto"/>
        <w:left w:val="none" w:sz="0" w:space="0" w:color="auto"/>
        <w:bottom w:val="none" w:sz="0" w:space="0" w:color="auto"/>
        <w:right w:val="none" w:sz="0" w:space="0" w:color="auto"/>
      </w:divBdr>
      <w:divsChild>
        <w:div w:id="1960142372">
          <w:marLeft w:val="0"/>
          <w:marRight w:val="0"/>
          <w:marTop w:val="0"/>
          <w:marBottom w:val="0"/>
          <w:divBdr>
            <w:top w:val="none" w:sz="0" w:space="0" w:color="auto"/>
            <w:left w:val="none" w:sz="0" w:space="0" w:color="auto"/>
            <w:bottom w:val="none" w:sz="0" w:space="0" w:color="auto"/>
            <w:right w:val="none" w:sz="0" w:space="0" w:color="auto"/>
          </w:divBdr>
          <w:divsChild>
            <w:div w:id="19601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370">
      <w:marLeft w:val="0"/>
      <w:marRight w:val="0"/>
      <w:marTop w:val="0"/>
      <w:marBottom w:val="0"/>
      <w:divBdr>
        <w:top w:val="none" w:sz="0" w:space="0" w:color="auto"/>
        <w:left w:val="none" w:sz="0" w:space="0" w:color="auto"/>
        <w:bottom w:val="none" w:sz="0" w:space="0" w:color="auto"/>
        <w:right w:val="none" w:sz="0" w:space="0" w:color="auto"/>
      </w:divBdr>
      <w:divsChild>
        <w:div w:id="1960142366">
          <w:marLeft w:val="0"/>
          <w:marRight w:val="0"/>
          <w:marTop w:val="0"/>
          <w:marBottom w:val="0"/>
          <w:divBdr>
            <w:top w:val="none" w:sz="0" w:space="0" w:color="auto"/>
            <w:left w:val="none" w:sz="0" w:space="0" w:color="auto"/>
            <w:bottom w:val="none" w:sz="0" w:space="0" w:color="auto"/>
            <w:right w:val="none" w:sz="0" w:space="0" w:color="auto"/>
          </w:divBdr>
        </w:div>
      </w:divsChild>
    </w:div>
    <w:div w:id="1960142373">
      <w:marLeft w:val="0"/>
      <w:marRight w:val="0"/>
      <w:marTop w:val="0"/>
      <w:marBottom w:val="0"/>
      <w:divBdr>
        <w:top w:val="none" w:sz="0" w:space="0" w:color="auto"/>
        <w:left w:val="none" w:sz="0" w:space="0" w:color="auto"/>
        <w:bottom w:val="none" w:sz="0" w:space="0" w:color="auto"/>
        <w:right w:val="none" w:sz="0" w:space="0" w:color="auto"/>
      </w:divBdr>
      <w:divsChild>
        <w:div w:id="196014236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0%20ZIV%201%2027.06.12\DDS\0%20&#1053;&#1072;&#1091;&#1082;&#1072;\&#1052;&#1086;&#1080;%20&#1057;&#1090;&#1072;&#1090;&#1100;&#1080;,%20&#1090;&#1077;&#1079;&#1080;&#1089;&#1099;%202019\ICheap-14\&#1076;&#1080;&#1072;&#1075;&#1088;&#1072;&#1084;&#1084;&#1072;%20las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7711286089238873"/>
          <c:y val="8.3171636332343715E-2"/>
          <c:w val="0.74037841936424664"/>
          <c:h val="0.65536829930157148"/>
        </c:manualLayout>
      </c:layout>
      <c:barChart>
        <c:barDir val="col"/>
        <c:grouping val="clustered"/>
        <c:varyColors val="0"/>
        <c:ser>
          <c:idx val="0"/>
          <c:order val="0"/>
          <c:tx>
            <c:v>I=7 kLx, 24/0</c:v>
          </c:tx>
          <c:invertIfNegative val="0"/>
          <c:val>
            <c:numRef>
              <c:f>Лист3!$F$1:$F$5</c:f>
              <c:numCache>
                <c:formatCode>General</c:formatCode>
                <c:ptCount val="5"/>
                <c:pt idx="0">
                  <c:v>283.33333333333337</c:v>
                </c:pt>
                <c:pt idx="1">
                  <c:v>420</c:v>
                </c:pt>
                <c:pt idx="2">
                  <c:v>170.00000000000003</c:v>
                </c:pt>
                <c:pt idx="3">
                  <c:v>120</c:v>
                </c:pt>
                <c:pt idx="4">
                  <c:v>73.333333333333272</c:v>
                </c:pt>
              </c:numCache>
            </c:numRef>
          </c:val>
        </c:ser>
        <c:ser>
          <c:idx val="1"/>
          <c:order val="1"/>
          <c:tx>
            <c:v>I=7 kLx, 12/12</c:v>
          </c:tx>
          <c:invertIfNegative val="0"/>
          <c:val>
            <c:numRef>
              <c:f>Лист3!$G$1:$G$5</c:f>
              <c:numCache>
                <c:formatCode>General</c:formatCode>
                <c:ptCount val="5"/>
                <c:pt idx="0">
                  <c:v>23.333333333333304</c:v>
                </c:pt>
                <c:pt idx="1">
                  <c:v>206.66666666666654</c:v>
                </c:pt>
                <c:pt idx="2">
                  <c:v>63.333333333333343</c:v>
                </c:pt>
                <c:pt idx="3">
                  <c:v>53.333333333333336</c:v>
                </c:pt>
                <c:pt idx="4">
                  <c:v>0</c:v>
                </c:pt>
              </c:numCache>
            </c:numRef>
          </c:val>
        </c:ser>
        <c:ser>
          <c:idx val="2"/>
          <c:order val="2"/>
          <c:tx>
            <c:v>I=0 kLx, 0/24</c:v>
          </c:tx>
          <c:invertIfNegative val="0"/>
          <c:val>
            <c:numRef>
              <c:f>Лист3!$H$1:$H$5</c:f>
              <c:numCache>
                <c:formatCode>General</c:formatCode>
                <c:ptCount val="5"/>
                <c:pt idx="0">
                  <c:v>13.333333333333334</c:v>
                </c:pt>
                <c:pt idx="1">
                  <c:v>73.333333333333272</c:v>
                </c:pt>
                <c:pt idx="2">
                  <c:v>36.6666666666666</c:v>
                </c:pt>
                <c:pt idx="3">
                  <c:v>20</c:v>
                </c:pt>
                <c:pt idx="4">
                  <c:v>0</c:v>
                </c:pt>
              </c:numCache>
            </c:numRef>
          </c:val>
        </c:ser>
        <c:dLbls>
          <c:showLegendKey val="0"/>
          <c:showVal val="0"/>
          <c:showCatName val="0"/>
          <c:showSerName val="0"/>
          <c:showPercent val="0"/>
          <c:showBubbleSize val="0"/>
        </c:dLbls>
        <c:gapWidth val="150"/>
        <c:axId val="114864128"/>
        <c:axId val="114866048"/>
      </c:barChart>
      <c:catAx>
        <c:axId val="114864128"/>
        <c:scaling>
          <c:orientation val="minMax"/>
        </c:scaling>
        <c:delete val="0"/>
        <c:axPos val="b"/>
        <c:title>
          <c:tx>
            <c:rich>
              <a:bodyPr/>
              <a:lstStyle/>
              <a:p>
                <a:pPr>
                  <a:defRPr/>
                </a:pPr>
                <a:r>
                  <a:rPr lang="en-US"/>
                  <a:t>Exometabolites</a:t>
                </a:r>
              </a:p>
            </c:rich>
          </c:tx>
          <c:layout>
            <c:manualLayout>
              <c:xMode val="edge"/>
              <c:yMode val="edge"/>
              <c:x val="0.42281224846894183"/>
              <c:y val="0.81302353599242716"/>
            </c:manualLayout>
          </c:layout>
          <c:overlay val="0"/>
        </c:title>
        <c:numFmt formatCode="General" sourceLinked="1"/>
        <c:majorTickMark val="out"/>
        <c:minorTickMark val="none"/>
        <c:tickLblPos val="nextTo"/>
        <c:txPr>
          <a:bodyPr rot="0" vert="horz"/>
          <a:lstStyle/>
          <a:p>
            <a:pPr>
              <a:defRPr/>
            </a:pPr>
            <a:endParaRPr lang="ru-RU"/>
          </a:p>
        </c:txPr>
        <c:crossAx val="114866048"/>
        <c:crosses val="autoZero"/>
        <c:auto val="1"/>
        <c:lblAlgn val="ctr"/>
        <c:lblOffset val="100"/>
        <c:tickLblSkip val="1"/>
        <c:tickMarkSkip val="1"/>
        <c:noMultiLvlLbl val="0"/>
      </c:catAx>
      <c:valAx>
        <c:axId val="114866048"/>
        <c:scaling>
          <c:orientation val="minMax"/>
        </c:scaling>
        <c:delete val="0"/>
        <c:axPos val="l"/>
        <c:majorGridlines/>
        <c:title>
          <c:tx>
            <c:rich>
              <a:bodyPr/>
              <a:lstStyle/>
              <a:p>
                <a:pPr>
                  <a:defRPr/>
                </a:pPr>
                <a:r>
                  <a:rPr lang="en-US"/>
                  <a:t>Inhibition zone, (%)</a:t>
                </a:r>
                <a:endParaRPr lang="ru-RU"/>
              </a:p>
            </c:rich>
          </c:tx>
          <c:layout>
            <c:manualLayout>
              <c:xMode val="edge"/>
              <c:yMode val="edge"/>
              <c:x val="2.4489705453485024E-2"/>
              <c:y val="0.15480263327739802"/>
            </c:manualLayout>
          </c:layout>
          <c:overlay val="0"/>
        </c:title>
        <c:numFmt formatCode="General" sourceLinked="1"/>
        <c:majorTickMark val="out"/>
        <c:minorTickMark val="none"/>
        <c:tickLblPos val="nextTo"/>
        <c:txPr>
          <a:bodyPr rot="0" vert="horz"/>
          <a:lstStyle/>
          <a:p>
            <a:pPr>
              <a:defRPr/>
            </a:pPr>
            <a:endParaRPr lang="ru-RU"/>
          </a:p>
        </c:txPr>
        <c:crossAx val="114864128"/>
        <c:crosses val="autoZero"/>
        <c:crossBetween val="between"/>
      </c:valAx>
    </c:plotArea>
    <c:legend>
      <c:legendPos val="r"/>
      <c:layout>
        <c:manualLayout>
          <c:xMode val="edge"/>
          <c:yMode val="edge"/>
          <c:x val="5.6735608048993913E-2"/>
          <c:y val="0.88872905640893385"/>
          <c:w val="0.80721119860017565"/>
          <c:h val="7.6836624930080671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7A247-1125-4CB2-81E6-5565598F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Dipartimento CMIC - Politecnico di Milano</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dv</cp:lastModifiedBy>
  <cp:revision>4</cp:revision>
  <cp:lastPrinted>2019-04-12T11:31:00Z</cp:lastPrinted>
  <dcterms:created xsi:type="dcterms:W3CDTF">2019-04-13T09:28:00Z</dcterms:created>
  <dcterms:modified xsi:type="dcterms:W3CDTF">2019-04-13T09:53:00Z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