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3A2F6BF" w14:textId="77777777">
        <w:trPr>
          <w:trHeight w:val="852"/>
          <w:jc w:val="center"/>
        </w:trPr>
        <w:tc>
          <w:tcPr>
            <w:tcW w:w="6946" w:type="dxa"/>
            <w:vMerge w:val="restart"/>
            <w:tcBorders>
              <w:right w:val="single" w:sz="4" w:space="0" w:color="auto"/>
            </w:tcBorders>
          </w:tcPr>
          <w:p w14:paraId="68D39AB4"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1C809B5A" wp14:editId="0CD4874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8E2E035"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2C00B8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C87DFD7" w14:textId="77777777" w:rsidR="000A03B2" w:rsidRPr="00B57B36" w:rsidRDefault="000A03B2" w:rsidP="00CD5FE2">
            <w:pPr>
              <w:jc w:val="right"/>
            </w:pPr>
            <w:r w:rsidRPr="00B57B36">
              <w:rPr>
                <w:noProof/>
                <w:lang w:val="pt-BR" w:eastAsia="pt-BR"/>
              </w:rPr>
              <w:drawing>
                <wp:inline distT="0" distB="0" distL="0" distR="0" wp14:anchorId="5055FEB0" wp14:editId="0E188E9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7850E06" w14:textId="77777777">
        <w:trPr>
          <w:trHeight w:val="567"/>
          <w:jc w:val="center"/>
        </w:trPr>
        <w:tc>
          <w:tcPr>
            <w:tcW w:w="6946" w:type="dxa"/>
            <w:vMerge/>
            <w:tcBorders>
              <w:right w:val="single" w:sz="4" w:space="0" w:color="auto"/>
            </w:tcBorders>
          </w:tcPr>
          <w:p w14:paraId="4DE0EDB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90BF705"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B10527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C392674"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69D2DA57" w14:textId="77777777">
        <w:trPr>
          <w:trHeight w:val="68"/>
          <w:jc w:val="center"/>
        </w:trPr>
        <w:tc>
          <w:tcPr>
            <w:tcW w:w="8789" w:type="dxa"/>
            <w:gridSpan w:val="2"/>
          </w:tcPr>
          <w:p w14:paraId="7677ECF2"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71C9E7E9"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90F2FD1"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36AA5A90" w14:textId="77777777" w:rsidR="00E978D0" w:rsidRPr="00B57B36" w:rsidRDefault="00F163D1" w:rsidP="00E978D0">
      <w:pPr>
        <w:pStyle w:val="CETTitle"/>
      </w:pPr>
      <w:r>
        <w:lastRenderedPageBreak/>
        <w:t>Numerical Simulation of New Uniform Circular Obstacle</w:t>
      </w:r>
      <w:r w:rsidR="006550BB">
        <w:t>s</w:t>
      </w:r>
      <w:r>
        <w:t xml:space="preserve"> Cross-Flow Micromixers</w:t>
      </w:r>
    </w:p>
    <w:p w14:paraId="406126E5" w14:textId="77777777" w:rsidR="00E978D0" w:rsidRPr="00F163D1" w:rsidRDefault="00F163D1" w:rsidP="00AB5011">
      <w:pPr>
        <w:pStyle w:val="CETAuthors"/>
        <w:rPr>
          <w:lang w:val="pt-BR"/>
        </w:rPr>
      </w:pPr>
      <w:r w:rsidRPr="00F163D1">
        <w:rPr>
          <w:lang w:val="pt-BR"/>
        </w:rPr>
        <w:t>João L. Silva Jr., J.L.</w:t>
      </w:r>
      <w:r w:rsidR="00600535" w:rsidRPr="00F163D1">
        <w:rPr>
          <w:vertAlign w:val="superscript"/>
          <w:lang w:val="pt-BR"/>
        </w:rPr>
        <w:t>a</w:t>
      </w:r>
      <w:r w:rsidR="00600535" w:rsidRPr="00F163D1">
        <w:rPr>
          <w:lang w:val="pt-BR"/>
        </w:rPr>
        <w:t xml:space="preserve">, </w:t>
      </w:r>
      <w:r w:rsidRPr="00F163D1">
        <w:rPr>
          <w:lang w:val="pt-BR"/>
        </w:rPr>
        <w:t>Harrson S. Santana</w:t>
      </w:r>
      <w:r w:rsidR="00600535" w:rsidRPr="00F163D1">
        <w:rPr>
          <w:vertAlign w:val="superscript"/>
          <w:lang w:val="pt-BR"/>
        </w:rPr>
        <w:t>b,</w:t>
      </w:r>
      <w:r w:rsidR="00600535" w:rsidRPr="00F163D1">
        <w:rPr>
          <w:lang w:val="pt-BR"/>
        </w:rPr>
        <w:t xml:space="preserve">*, </w:t>
      </w:r>
      <w:r w:rsidRPr="00F163D1">
        <w:rPr>
          <w:lang w:val="pt-BR"/>
        </w:rPr>
        <w:t>Osvaldir P. Taranto</w:t>
      </w:r>
      <w:r w:rsidRPr="00F163D1">
        <w:rPr>
          <w:vertAlign w:val="superscript"/>
          <w:lang w:val="pt-BR"/>
        </w:rPr>
        <w:t>b</w:t>
      </w:r>
    </w:p>
    <w:p w14:paraId="6A1DFE33" w14:textId="77777777" w:rsidR="00E978D0" w:rsidRPr="00B57B36" w:rsidRDefault="00E978D0" w:rsidP="00E978D0">
      <w:pPr>
        <w:pStyle w:val="CETAddress"/>
      </w:pPr>
      <w:r w:rsidRPr="00B57B36">
        <w:rPr>
          <w:vertAlign w:val="superscript"/>
        </w:rPr>
        <w:t>a</w:t>
      </w:r>
      <w:r w:rsidR="00F163D1">
        <w:t xml:space="preserve"> </w:t>
      </w:r>
      <w:r w:rsidR="00F163D1" w:rsidRPr="00F163D1">
        <w:t>Federal Institute of Education, Science and Technolog</w:t>
      </w:r>
      <w:r w:rsidR="00F163D1">
        <w:t>y of South of Minas Gerais, 37560-260, Pouso Alegre, MG, Brazil</w:t>
      </w:r>
      <w:r w:rsidRPr="00B57B36">
        <w:t xml:space="preserve"> </w:t>
      </w:r>
    </w:p>
    <w:p w14:paraId="1BADD0A8" w14:textId="77777777" w:rsidR="00E978D0" w:rsidRPr="00B57B36" w:rsidRDefault="00E978D0" w:rsidP="00E978D0">
      <w:pPr>
        <w:pStyle w:val="CETAddress"/>
      </w:pPr>
      <w:r w:rsidRPr="00B57B36">
        <w:rPr>
          <w:vertAlign w:val="superscript"/>
        </w:rPr>
        <w:t>b</w:t>
      </w:r>
      <w:r w:rsidR="00F163D1">
        <w:t xml:space="preserve"> School </w:t>
      </w:r>
      <w:r w:rsidR="00F163D1" w:rsidRPr="00F163D1">
        <w:t>of Chemical Engineering, University of Campinas, 13083</w:t>
      </w:r>
      <w:r w:rsidR="00F163D1">
        <w:t>-852, Campinas, SP, Brazil</w:t>
      </w:r>
      <w:r w:rsidRPr="00B57B36">
        <w:t xml:space="preserve"> </w:t>
      </w:r>
    </w:p>
    <w:p w14:paraId="762A869C" w14:textId="77777777" w:rsidR="00E978D0" w:rsidRPr="00B57B36" w:rsidRDefault="00AB5011" w:rsidP="00E978D0">
      <w:pPr>
        <w:pStyle w:val="CETemail"/>
      </w:pPr>
      <w:r>
        <w:t xml:space="preserve"> </w:t>
      </w:r>
      <w:r w:rsidR="00F163D1" w:rsidRPr="00F163D1">
        <w:t>harrison.santana@gmail.com</w:t>
      </w:r>
    </w:p>
    <w:p w14:paraId="51F8F042" w14:textId="4B8A775D" w:rsidR="00FE6C3F" w:rsidRDefault="007E1838" w:rsidP="00FE6C3F">
      <w:pPr>
        <w:pStyle w:val="CETBodytext"/>
        <w:rPr>
          <w:lang w:val="en-GB"/>
        </w:rPr>
      </w:pPr>
      <w:r w:rsidRPr="007E1838">
        <w:rPr>
          <w:lang w:val="en-GB"/>
        </w:rPr>
        <w:t>A new micromixer design based on uniform circular obstacles and cross flow (UCCFM) of the fluid streams was proposed. Water-ethanol and oil-ethanol mixing was assessed for</w:t>
      </w:r>
      <w:r w:rsidR="008C4552">
        <w:rPr>
          <w:lang w:val="en-GB"/>
        </w:rPr>
        <w:t xml:space="preserve"> Reynolds numbers ranging</w:t>
      </w:r>
      <w:r w:rsidRPr="007E1838">
        <w:rPr>
          <w:lang w:val="en-GB"/>
        </w:rPr>
        <w:t xml:space="preserve"> </w:t>
      </w:r>
      <w:r w:rsidR="008C4552">
        <w:rPr>
          <w:lang w:val="en-GB"/>
        </w:rPr>
        <w:t>from</w:t>
      </w:r>
      <w:r w:rsidRPr="007E1838">
        <w:rPr>
          <w:lang w:val="en-GB"/>
        </w:rPr>
        <w:t xml:space="preserve"> 0.1 to 100 </w:t>
      </w:r>
      <w:r w:rsidR="008C4552">
        <w:rPr>
          <w:lang w:val="en-GB"/>
        </w:rPr>
        <w:t>by</w:t>
      </w:r>
      <w:r w:rsidRPr="007E1838">
        <w:rPr>
          <w:lang w:val="en-GB"/>
        </w:rPr>
        <w:t xml:space="preserve"> CFD simulations. The performance index was evaluated providing the ratio of fluid mixing degree (MI) to the unit of pressure drop</w:t>
      </w:r>
      <w:r w:rsidR="008C4552">
        <w:rPr>
          <w:lang w:val="en-GB"/>
        </w:rPr>
        <w:t xml:space="preserve"> along the </w:t>
      </w:r>
      <w:r w:rsidR="008C4552" w:rsidRPr="007E1838">
        <w:rPr>
          <w:lang w:val="en-GB"/>
        </w:rPr>
        <w:t>micromixer</w:t>
      </w:r>
      <w:r w:rsidRPr="007E1838">
        <w:rPr>
          <w:lang w:val="en-GB"/>
        </w:rPr>
        <w:t>.  For both systems, the highest performance inde</w:t>
      </w:r>
      <w:r w:rsidR="00F54859">
        <w:rPr>
          <w:lang w:val="en-GB"/>
        </w:rPr>
        <w:t>xes were noticed at Re = 0.01, a flow regime characterized by m</w:t>
      </w:r>
      <w:r w:rsidRPr="007E1838">
        <w:rPr>
          <w:lang w:val="en-GB"/>
        </w:rPr>
        <w:t>olecular diffusion controll</w:t>
      </w:r>
      <w:r w:rsidR="00F54859">
        <w:rPr>
          <w:lang w:val="en-GB"/>
        </w:rPr>
        <w:t xml:space="preserve">ing the </w:t>
      </w:r>
      <w:r w:rsidRPr="007E1838">
        <w:rPr>
          <w:lang w:val="en-GB"/>
        </w:rPr>
        <w:t xml:space="preserve">mass transfer. The UCCFM design with diameter = 600 μm allowed good fluid mixing for water-ethanol at Re = 0.01 (MI = 0.815) with </w:t>
      </w:r>
      <w:r w:rsidR="00F54859">
        <w:rPr>
          <w:lang w:val="en-GB"/>
        </w:rPr>
        <w:t xml:space="preserve">a </w:t>
      </w:r>
      <w:r w:rsidRPr="007E1838">
        <w:rPr>
          <w:lang w:val="en-GB"/>
        </w:rPr>
        <w:t xml:space="preserve">very low pressure drop of 0.123 Pa. For oil-ethanol mixing, the MI = 0.693 was obtained with a pressure drop of 76.06 Pa. </w:t>
      </w:r>
      <w:r w:rsidR="00FE6C3F" w:rsidRPr="00812D8A">
        <w:t>The UCCFM presented a superior MI in low Reynolds number regarding other micromixer designs in literature.</w:t>
      </w:r>
    </w:p>
    <w:p w14:paraId="6D0049D3" w14:textId="77777777" w:rsidR="00600535" w:rsidRPr="00B57B36" w:rsidRDefault="00600535" w:rsidP="00600535">
      <w:pPr>
        <w:pStyle w:val="CETHeading1"/>
        <w:rPr>
          <w:lang w:val="en-GB"/>
        </w:rPr>
      </w:pPr>
      <w:r w:rsidRPr="00B57B36">
        <w:rPr>
          <w:lang w:val="en-GB"/>
        </w:rPr>
        <w:t>Introduction</w:t>
      </w:r>
      <w:r w:rsidR="005C02C1">
        <w:rPr>
          <w:lang w:val="en-GB"/>
        </w:rPr>
        <w:t xml:space="preserve"> </w:t>
      </w:r>
    </w:p>
    <w:p w14:paraId="3F1D0E94" w14:textId="5ABF1366" w:rsidR="00652F74" w:rsidRPr="00652F74" w:rsidRDefault="00652F74" w:rsidP="00652F74">
      <w:pPr>
        <w:pStyle w:val="CETBodytext"/>
      </w:pPr>
      <w:r w:rsidRPr="00652F74">
        <w:t xml:space="preserve">Recently, Microfluidics, defined as the science and technology area handling fluid flow in micrometric </w:t>
      </w:r>
      <w:r w:rsidRPr="00553777">
        <w:t xml:space="preserve">channels, has receiving great attention. The potential </w:t>
      </w:r>
      <w:r w:rsidR="00553777" w:rsidRPr="00553777">
        <w:t>application of microstructured devices includes</w:t>
      </w:r>
      <w:r w:rsidRPr="00553777">
        <w:t xml:space="preserve"> chemical and pharmaceutical synthesis, biological </w:t>
      </w:r>
      <w:r w:rsidRPr="00A335BE">
        <w:t>analysis</w:t>
      </w:r>
      <w:r w:rsidR="005C02C1" w:rsidRPr="00A335BE">
        <w:t>, nanoencapsulation</w:t>
      </w:r>
      <w:r w:rsidR="00F54859" w:rsidRPr="00A335BE">
        <w:t xml:space="preserve"> (</w:t>
      </w:r>
      <w:r w:rsidR="005C02C1" w:rsidRPr="00A335BE">
        <w:t>Cerbelli et al., 2017</w:t>
      </w:r>
      <w:r w:rsidR="00F54859" w:rsidRPr="00A335BE">
        <w:t>)</w:t>
      </w:r>
      <w:r w:rsidRPr="00A335BE">
        <w:t>, microsensors</w:t>
      </w:r>
      <w:r w:rsidR="005C02C1">
        <w:t>, micro heat-exchangers (Silva et al., 2017)</w:t>
      </w:r>
      <w:r w:rsidRPr="00553777">
        <w:t xml:space="preserve"> and microchannel reactors (</w:t>
      </w:r>
      <w:r w:rsidR="009D4A97">
        <w:t>Santana et al., 2015</w:t>
      </w:r>
      <w:r w:rsidRPr="00553777">
        <w:t>; Castell et al.</w:t>
      </w:r>
      <w:r w:rsidR="009D4A97">
        <w:t>,</w:t>
      </w:r>
      <w:bookmarkStart w:id="0" w:name="_GoBack"/>
      <w:bookmarkEnd w:id="0"/>
      <w:r w:rsidRPr="00553777">
        <w:t xml:space="preserve"> 2009; Whitesides, 2006). The characteristic length scale results in high surface area-to-volume ratio, providing enhanced heat and mass transfer rates. Other advantages of microdevices are easiness of temperature control, subproducts minimization, low amount of reagents and samples, short residence times required and greater safety in the processing of flammable and toxic substances (Pohar e Plazl, 2009; Whitesides, 2006). Another benefit of microdevices is the possibility of a simple integration </w:t>
      </w:r>
      <w:r w:rsidR="00E952F3">
        <w:t>to other operation</w:t>
      </w:r>
      <w:r w:rsidRPr="00553777">
        <w:t xml:space="preserve"> units. The main disadvantage is the relative low flow rate, however, several efforts have been performed in scale-up and numbering-up (multiplication of an optimized microdevice for continuous parallel operation) (Zhou et al. 2017; Pistoresi et al., 2015) to overcome this issue. These advantages stand out the great potential of Microfluidics for chemical </w:t>
      </w:r>
      <w:r w:rsidR="00DB5AC3">
        <w:t>p</w:t>
      </w:r>
      <w:r w:rsidRPr="00553777">
        <w:t xml:space="preserve">rocess </w:t>
      </w:r>
      <w:r w:rsidR="00DB5AC3">
        <w:t>i</w:t>
      </w:r>
      <w:r w:rsidRPr="00553777">
        <w:t xml:space="preserve">ntensification. The Computational Fluid Dynamics (CFD) can also be employed as a </w:t>
      </w:r>
      <w:r w:rsidR="00DB5AC3">
        <w:t>process i</w:t>
      </w:r>
      <w:r w:rsidRPr="00553777">
        <w:t>ntensification tool. The CFD allows design and evaluation of different geometr</w:t>
      </w:r>
      <w:r w:rsidR="00E952F3">
        <w:t>ies</w:t>
      </w:r>
      <w:r w:rsidRPr="00553777">
        <w:t xml:space="preserve"> with a relative low cost and reduced time, since the design performance evaluation can be carried out before manufacturing of the physical prototype and the prediction of flow field in severe operating conditions, where </w:t>
      </w:r>
      <w:r w:rsidRPr="00652F74">
        <w:t xml:space="preserve">physical experimentation would be very difficult or even impracticable. However, since CFD is a numerical technique, inherent errors of numerical approximations and mathematical model assumptions should always take into account in the results evaluation. Currently, </w:t>
      </w:r>
      <w:r w:rsidR="00D63727">
        <w:t xml:space="preserve">the </w:t>
      </w:r>
      <w:r w:rsidRPr="00652F74">
        <w:t xml:space="preserve">development and optimization of micromixers has receiving great attention in order to scale-up the devices from micro to milli scale without missing the advantageous transport phenomena characteristics of microscale, however, allowing </w:t>
      </w:r>
      <w:r w:rsidR="002A09ED">
        <w:t xml:space="preserve">the </w:t>
      </w:r>
      <w:r w:rsidRPr="00652F74">
        <w:t xml:space="preserve">operation </w:t>
      </w:r>
      <w:r w:rsidR="002A09ED">
        <w:t>under</w:t>
      </w:r>
      <w:r w:rsidRPr="00652F74">
        <w:t xml:space="preserve"> higher flow rates. Micromixers consist in channel zones with static obstacles, promoting a passive fluid mixing, usually inducing split and recombination of streams and chaotic advection (local turbulence by vortex generation), using the own fluid flow energy in the mixing process. An efficient or optimal micromixer must promote high fluid mixing with a minimum pressure drop. In this context, micromixers with cross flow were</w:t>
      </w:r>
      <w:r w:rsidR="00D63727">
        <w:t xml:space="preserve"> proposed and </w:t>
      </w:r>
      <w:r w:rsidR="00A335BE">
        <w:t>their</w:t>
      </w:r>
      <w:r w:rsidR="00D63727">
        <w:t xml:space="preserve"> performance were</w:t>
      </w:r>
      <w:r w:rsidRPr="00652F74">
        <w:t xml:space="preserve"> assessed for two </w:t>
      </w:r>
      <w:r w:rsidRPr="00652F74">
        <w:lastRenderedPageBreak/>
        <w:t xml:space="preserve">distinct flow systems: water-ethanol and vegetable oil-ethanol, for the range of Reynolds number from 0.01 to 100. CFD simulations were accomplished and the performance </w:t>
      </w:r>
      <w:r w:rsidR="00D63727" w:rsidRPr="00652F74">
        <w:t xml:space="preserve">index, the ratio of mixing degree </w:t>
      </w:r>
      <w:r w:rsidR="00D63727">
        <w:t>to the microdevice unit</w:t>
      </w:r>
      <w:r w:rsidR="00D63727" w:rsidRPr="00652F74">
        <w:t xml:space="preserve"> pressure drop was</w:t>
      </w:r>
      <w:r w:rsidRPr="00652F74">
        <w:t xml:space="preserve"> evaluated.</w:t>
      </w:r>
    </w:p>
    <w:p w14:paraId="58C50D6B" w14:textId="77777777" w:rsidR="00600535" w:rsidRDefault="00342267" w:rsidP="00600535">
      <w:pPr>
        <w:pStyle w:val="CETHeading1"/>
        <w:tabs>
          <w:tab w:val="clear" w:pos="360"/>
          <w:tab w:val="right" w:pos="7100"/>
        </w:tabs>
        <w:jc w:val="both"/>
        <w:rPr>
          <w:lang w:val="en-GB"/>
        </w:rPr>
      </w:pPr>
      <w:r>
        <w:rPr>
          <w:lang w:val="en-GB"/>
        </w:rPr>
        <w:t>Methodology</w:t>
      </w:r>
    </w:p>
    <w:p w14:paraId="1AA0B0EB" w14:textId="77777777" w:rsidR="00652F74" w:rsidRPr="00652F74" w:rsidRDefault="00652F74" w:rsidP="00652F74">
      <w:pPr>
        <w:pStyle w:val="CETheadingx"/>
      </w:pPr>
      <w:r w:rsidRPr="00652F74">
        <w:t>Case Description and Mathematical Modeling</w:t>
      </w:r>
    </w:p>
    <w:p w14:paraId="21AFE231" w14:textId="77777777" w:rsidR="00652F74" w:rsidRDefault="00652F74" w:rsidP="00652F74">
      <w:pPr>
        <w:pStyle w:val="CETBodytext"/>
      </w:pPr>
      <w:r w:rsidRPr="00652F74">
        <w:t xml:space="preserve">The mixing performance was </w:t>
      </w:r>
      <w:r w:rsidR="00D63727">
        <w:t>accomplished</w:t>
      </w:r>
      <w:r w:rsidRPr="00652F74">
        <w:t xml:space="preserve"> using Computational Fluid Dynamics. The Ansys CFX 17.2 code was used. Binary mixtures were considered for both systems: 1 – water/ethanol; 2 - vegetable oil/ethanol. The first one presents relative low viscosity and good miscibility. For this system, both feeds were considered entering the micromixer with same velocity. In contrast, oil phase is highly viscous, presenting low miscibility with ethyl alcohol. Often, vegetable oil and ethanol are employed in alkaline-media biodiesel synthesis using microreactors as demonstrated by Santana et al. (2017, 2016). For </w:t>
      </w:r>
      <w:r w:rsidR="00D63727">
        <w:t>such</w:t>
      </w:r>
      <w:r w:rsidRPr="00652F74">
        <w:t xml:space="preserve"> system, the </w:t>
      </w:r>
      <w:r w:rsidR="00B30A9D">
        <w:t>alcohol</w:t>
      </w:r>
      <w:r w:rsidRPr="00652F74">
        <w:t>/oil molar ratio of 9 was considered in the inlet boundary condition, based on the superior biodiesel yield obtained by Santana et al. (2017). The following assumptions were made in mathematical modeling: incompressible l</w:t>
      </w:r>
      <w:r w:rsidR="00B30A9D">
        <w:t xml:space="preserve">aminar flow, steady-state, </w:t>
      </w:r>
      <w:r w:rsidRPr="00652F74">
        <w:t xml:space="preserve">isothermal conditions at 50 ºC and no chemical reaction occurrence (only mixing of fluids). Accordingly, the CFD model consisted in the multicomponent approach, solving a single set of continuity (Eq. 1) and Navier-Stokes (Eq. 2) equations. In addition, individual chemical species mass balances are solved (Eq. 3) </w:t>
      </w:r>
      <w:r w:rsidR="006550BB">
        <w:t>jointly with</w:t>
      </w:r>
      <w:r w:rsidRPr="00652F74">
        <w:t xml:space="preserve"> </w:t>
      </w:r>
      <w:r w:rsidR="006550BB">
        <w:t>a</w:t>
      </w:r>
      <w:r w:rsidRPr="00652F74">
        <w:t xml:space="preserve"> mass fraction restriction (Eq. 4):</w:t>
      </w:r>
    </w:p>
    <w:tbl>
      <w:tblPr>
        <w:tblW w:w="5000" w:type="pct"/>
        <w:tblLook w:val="04A0" w:firstRow="1" w:lastRow="0" w:firstColumn="1" w:lastColumn="0" w:noHBand="0" w:noVBand="1"/>
      </w:tblPr>
      <w:tblGrid>
        <w:gridCol w:w="7988"/>
        <w:gridCol w:w="799"/>
      </w:tblGrid>
      <w:tr w:rsidR="00652F74" w:rsidRPr="00B57B36" w14:paraId="31A7BDC9" w14:textId="77777777" w:rsidTr="00652F74">
        <w:tc>
          <w:tcPr>
            <w:tcW w:w="8188" w:type="dxa"/>
            <w:shd w:val="clear" w:color="auto" w:fill="auto"/>
            <w:vAlign w:val="center"/>
          </w:tcPr>
          <w:p w14:paraId="73853BD4" w14:textId="77777777" w:rsidR="00652F74" w:rsidRPr="00030D43" w:rsidRDefault="00652F74" w:rsidP="005D316C">
            <w:pPr>
              <w:pStyle w:val="CETEquation"/>
            </w:pPr>
            <w:r w:rsidRPr="006952F9">
              <w:object w:dxaOrig="920" w:dyaOrig="279" w14:anchorId="5F23E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o:ole="">
                  <v:imagedata r:id="rId10" o:title=""/>
                </v:shape>
                <o:OLEObject Type="Embed" ProgID="Equation.3" ShapeID="_x0000_i1025" DrawAspect="Content" ObjectID="_1609935730" r:id="rId11"/>
              </w:object>
            </w:r>
          </w:p>
        </w:tc>
        <w:tc>
          <w:tcPr>
            <w:tcW w:w="815" w:type="dxa"/>
            <w:shd w:val="clear" w:color="auto" w:fill="auto"/>
            <w:vAlign w:val="center"/>
          </w:tcPr>
          <w:p w14:paraId="59551F89" w14:textId="77777777" w:rsidR="00652F74" w:rsidRPr="00B57B36" w:rsidRDefault="00652F74" w:rsidP="005D316C">
            <w:pPr>
              <w:pStyle w:val="CETEquation"/>
              <w:jc w:val="right"/>
            </w:pPr>
            <w:r w:rsidRPr="00B57B36">
              <w:t>(1)</w:t>
            </w:r>
          </w:p>
        </w:tc>
      </w:tr>
      <w:tr w:rsidR="00652F74" w:rsidRPr="00B57B36" w14:paraId="17CA96C8" w14:textId="77777777" w:rsidTr="00652F74">
        <w:tc>
          <w:tcPr>
            <w:tcW w:w="8188" w:type="dxa"/>
            <w:shd w:val="clear" w:color="auto" w:fill="auto"/>
            <w:vAlign w:val="center"/>
          </w:tcPr>
          <w:p w14:paraId="0B289AE5" w14:textId="77777777" w:rsidR="00652F74" w:rsidRPr="006952F9" w:rsidRDefault="00652F74" w:rsidP="005D316C">
            <w:pPr>
              <w:pStyle w:val="CETEquation"/>
            </w:pPr>
            <w:r w:rsidRPr="006952F9">
              <w:rPr>
                <w:position w:val="-10"/>
              </w:rPr>
              <w:object w:dxaOrig="3260" w:dyaOrig="380" w14:anchorId="0055B17A">
                <v:shape id="_x0000_i1026" type="#_x0000_t75" style="width:164.25pt;height:18pt" o:ole="">
                  <v:imagedata r:id="rId12" o:title=""/>
                </v:shape>
                <o:OLEObject Type="Embed" ProgID="Equation.3" ShapeID="_x0000_i1026" DrawAspect="Content" ObjectID="_1609935731" r:id="rId13"/>
              </w:object>
            </w:r>
          </w:p>
        </w:tc>
        <w:tc>
          <w:tcPr>
            <w:tcW w:w="815" w:type="dxa"/>
            <w:shd w:val="clear" w:color="auto" w:fill="auto"/>
            <w:vAlign w:val="center"/>
          </w:tcPr>
          <w:p w14:paraId="2FCAF29F" w14:textId="77777777" w:rsidR="00652F74" w:rsidRPr="00B57B36" w:rsidRDefault="00652F74" w:rsidP="005D316C">
            <w:pPr>
              <w:pStyle w:val="CETEquation"/>
              <w:jc w:val="right"/>
            </w:pPr>
            <w:r>
              <w:t>(2)</w:t>
            </w:r>
          </w:p>
        </w:tc>
      </w:tr>
      <w:tr w:rsidR="00652F74" w:rsidRPr="00B57B36" w14:paraId="1B390F61" w14:textId="77777777" w:rsidTr="00652F74">
        <w:tc>
          <w:tcPr>
            <w:tcW w:w="8188" w:type="dxa"/>
            <w:shd w:val="clear" w:color="auto" w:fill="auto"/>
            <w:vAlign w:val="center"/>
          </w:tcPr>
          <w:p w14:paraId="5207220A" w14:textId="77777777" w:rsidR="00652F74" w:rsidRPr="006952F9" w:rsidRDefault="00652F74" w:rsidP="005D316C">
            <w:pPr>
              <w:pStyle w:val="CETEquation"/>
              <w:rPr>
                <w:position w:val="-10"/>
              </w:rPr>
            </w:pPr>
            <w:r w:rsidRPr="006952F9">
              <w:rPr>
                <w:position w:val="-10"/>
              </w:rPr>
              <w:object w:dxaOrig="2560" w:dyaOrig="380" w14:anchorId="72863AA2">
                <v:shape id="_x0000_i1027" type="#_x0000_t75" style="width:129pt;height:18pt" o:ole="">
                  <v:imagedata r:id="rId14" o:title=""/>
                </v:shape>
                <o:OLEObject Type="Embed" ProgID="Equation.3" ShapeID="_x0000_i1027" DrawAspect="Content" ObjectID="_1609935732" r:id="rId15"/>
              </w:object>
            </w:r>
          </w:p>
        </w:tc>
        <w:tc>
          <w:tcPr>
            <w:tcW w:w="815" w:type="dxa"/>
            <w:shd w:val="clear" w:color="auto" w:fill="auto"/>
            <w:vAlign w:val="center"/>
          </w:tcPr>
          <w:p w14:paraId="76B1B9FD" w14:textId="77777777" w:rsidR="00652F74" w:rsidRDefault="00652F74" w:rsidP="005D316C">
            <w:pPr>
              <w:pStyle w:val="CETEquation"/>
              <w:jc w:val="right"/>
            </w:pPr>
            <w:r>
              <w:t>(3)</w:t>
            </w:r>
          </w:p>
        </w:tc>
      </w:tr>
      <w:tr w:rsidR="00652F74" w:rsidRPr="00B57B36" w14:paraId="392D1E7A" w14:textId="77777777" w:rsidTr="00652F74">
        <w:tc>
          <w:tcPr>
            <w:tcW w:w="8188" w:type="dxa"/>
            <w:shd w:val="clear" w:color="auto" w:fill="auto"/>
            <w:vAlign w:val="center"/>
          </w:tcPr>
          <w:p w14:paraId="770FC870" w14:textId="77777777" w:rsidR="00652F74" w:rsidRPr="006952F9" w:rsidRDefault="00652F74" w:rsidP="005D316C">
            <w:pPr>
              <w:pStyle w:val="CETEquation"/>
              <w:rPr>
                <w:position w:val="-10"/>
              </w:rPr>
            </w:pPr>
            <w:r w:rsidRPr="006952F9">
              <w:rPr>
                <w:position w:val="-10"/>
              </w:rPr>
              <w:object w:dxaOrig="1120" w:dyaOrig="340" w14:anchorId="2284443A">
                <v:shape id="_x0000_i1028" type="#_x0000_t75" style="width:56.25pt;height:15.75pt" o:ole="">
                  <v:imagedata r:id="rId16" o:title=""/>
                </v:shape>
                <o:OLEObject Type="Embed" ProgID="Equation.3" ShapeID="_x0000_i1028" DrawAspect="Content" ObjectID="_1609935733" r:id="rId17"/>
              </w:object>
            </w:r>
          </w:p>
        </w:tc>
        <w:tc>
          <w:tcPr>
            <w:tcW w:w="815" w:type="dxa"/>
            <w:shd w:val="clear" w:color="auto" w:fill="auto"/>
            <w:vAlign w:val="center"/>
          </w:tcPr>
          <w:p w14:paraId="3389667A" w14:textId="77777777" w:rsidR="00652F74" w:rsidRDefault="00652F74" w:rsidP="005D316C">
            <w:pPr>
              <w:pStyle w:val="CETEquation"/>
              <w:jc w:val="right"/>
            </w:pPr>
            <w:r>
              <w:t>(4)</w:t>
            </w:r>
          </w:p>
        </w:tc>
      </w:tr>
    </w:tbl>
    <w:p w14:paraId="12F70517" w14:textId="77777777" w:rsidR="00652F74" w:rsidRPr="00724D0F" w:rsidRDefault="00652F74" w:rsidP="00652F74">
      <w:pPr>
        <w:pStyle w:val="CETBodytext"/>
      </w:pPr>
      <w:r>
        <w:t>w</w:t>
      </w:r>
      <w:r w:rsidRPr="006952F9">
        <w:t xml:space="preserve">here </w:t>
      </w:r>
      <w:r w:rsidRPr="00724D0F">
        <w:rPr>
          <w:i/>
        </w:rPr>
        <w:t>U</w:t>
      </w:r>
      <w:r w:rsidR="004809E2">
        <w:t xml:space="preserve"> is the velocity, in m </w:t>
      </w:r>
      <w:r w:rsidRPr="006952F9">
        <w:t>s</w:t>
      </w:r>
      <w:r w:rsidR="004809E2" w:rsidRPr="004809E2">
        <w:rPr>
          <w:vertAlign w:val="superscript"/>
        </w:rPr>
        <w:t>-1</w:t>
      </w:r>
      <w:r w:rsidRPr="006952F9">
        <w:t xml:space="preserve">, </w:t>
      </w:r>
      <w:r w:rsidRPr="00724D0F">
        <w:rPr>
          <w:i/>
        </w:rPr>
        <w:t>ρ</w:t>
      </w:r>
      <w:r w:rsidR="004809E2">
        <w:t xml:space="preserve"> is the specific mass, in kg </w:t>
      </w:r>
      <w:r>
        <w:t>m</w:t>
      </w:r>
      <w:r w:rsidR="004809E2" w:rsidRPr="004809E2">
        <w:rPr>
          <w:vertAlign w:val="superscript"/>
        </w:rPr>
        <w:t>-</w:t>
      </w:r>
      <w:r w:rsidRPr="00724D0F">
        <w:rPr>
          <w:vertAlign w:val="superscript"/>
        </w:rPr>
        <w:t>3</w:t>
      </w:r>
      <w:r>
        <w:t xml:space="preserve">, </w:t>
      </w:r>
      <w:r w:rsidRPr="00724D0F">
        <w:rPr>
          <w:i/>
        </w:rPr>
        <w:t>p</w:t>
      </w:r>
      <w:r w:rsidRPr="006952F9">
        <w:t xml:space="preserve"> is the pressure, in Pa, </w:t>
      </w:r>
      <w:r w:rsidRPr="00724D0F">
        <w:rPr>
          <w:i/>
        </w:rPr>
        <w:t>μ</w:t>
      </w:r>
      <w:r w:rsidRPr="006952F9">
        <w:t xml:space="preserve"> is the dynamic viscosity, in </w:t>
      </w:r>
      <w:r w:rsidR="004809E2">
        <w:t xml:space="preserve">Pa </w:t>
      </w:r>
      <w:r w:rsidRPr="00724D0F">
        <w:t>s</w:t>
      </w:r>
      <w:r w:rsidR="004809E2" w:rsidRPr="004809E2">
        <w:rPr>
          <w:vertAlign w:val="superscript"/>
        </w:rPr>
        <w:t>-1</w:t>
      </w:r>
      <w:r w:rsidRPr="006952F9">
        <w:t xml:space="preserve">, </w:t>
      </w:r>
      <w:r w:rsidRPr="00724D0F">
        <w:rPr>
          <w:i/>
        </w:rPr>
        <w:t>g</w:t>
      </w:r>
      <w:r w:rsidRPr="006952F9">
        <w:t xml:space="preserve"> is the gravity acceleration, in m</w:t>
      </w:r>
      <w:r w:rsidR="004809E2">
        <w:t xml:space="preserve"> </w:t>
      </w:r>
      <w:r w:rsidRPr="006952F9">
        <w:t>s</w:t>
      </w:r>
      <w:r w:rsidR="004809E2" w:rsidRPr="004809E2">
        <w:rPr>
          <w:vertAlign w:val="superscript"/>
        </w:rPr>
        <w:t>-</w:t>
      </w:r>
      <w:r w:rsidRPr="004809E2">
        <w:rPr>
          <w:vertAlign w:val="superscript"/>
        </w:rPr>
        <w:t>2</w:t>
      </w:r>
      <w:r w:rsidRPr="006952F9">
        <w:t xml:space="preserve">, </w:t>
      </w:r>
      <w:r w:rsidRPr="00724D0F">
        <w:rPr>
          <w:i/>
        </w:rPr>
        <w:t>Y</w:t>
      </w:r>
      <w:r>
        <w:t xml:space="preserve"> is the chemical species mass fraction, </w:t>
      </w:r>
      <w:r w:rsidRPr="00724D0F">
        <w:rPr>
          <w:i/>
        </w:rPr>
        <w:t>D</w:t>
      </w:r>
      <w:r w:rsidRPr="00724D0F">
        <w:rPr>
          <w:i/>
          <w:vertAlign w:val="subscript"/>
        </w:rPr>
        <w:t>AB</w:t>
      </w:r>
      <w:r>
        <w:t xml:space="preserve"> is the mass diffusivity coefficient for the binary mixture, in m</w:t>
      </w:r>
      <w:r w:rsidRPr="00724D0F">
        <w:rPr>
          <w:vertAlign w:val="superscript"/>
        </w:rPr>
        <w:t>2</w:t>
      </w:r>
      <w:r w:rsidR="004809E2">
        <w:rPr>
          <w:vertAlign w:val="superscript"/>
        </w:rPr>
        <w:t xml:space="preserve"> </w:t>
      </w:r>
      <w:r>
        <w:t>s</w:t>
      </w:r>
      <w:r w:rsidR="004809E2" w:rsidRPr="004809E2">
        <w:rPr>
          <w:vertAlign w:val="superscript"/>
        </w:rPr>
        <w:t>-1</w:t>
      </w:r>
      <w:r>
        <w:t xml:space="preserve">, estimated from </w:t>
      </w:r>
      <w:r w:rsidRPr="005D513C">
        <w:t>Wilke-Chang</w:t>
      </w:r>
      <w:r>
        <w:t xml:space="preserve"> correlation. The mixture transport properties </w:t>
      </w:r>
      <w:r w:rsidRPr="00724D0F">
        <w:rPr>
          <w:i/>
        </w:rPr>
        <w:t>ρ</w:t>
      </w:r>
      <w:r>
        <w:rPr>
          <w:i/>
        </w:rPr>
        <w:t xml:space="preserve"> </w:t>
      </w:r>
      <w:r>
        <w:t xml:space="preserve">and </w:t>
      </w:r>
      <w:r w:rsidRPr="00724D0F">
        <w:rPr>
          <w:i/>
        </w:rPr>
        <w:t>μ</w:t>
      </w:r>
      <w:r>
        <w:rPr>
          <w:i/>
        </w:rPr>
        <w:t xml:space="preserve"> </w:t>
      </w:r>
      <w:r>
        <w:t>were weighted by the local species mass fraction.</w:t>
      </w:r>
    </w:p>
    <w:p w14:paraId="298B03DF" w14:textId="77777777" w:rsidR="00553777" w:rsidRDefault="00652F74" w:rsidP="00553777">
      <w:pPr>
        <w:pStyle w:val="CETBodytext"/>
      </w:pPr>
      <w:r>
        <w:t>The proposed micromixer designs were based in cross flow between the fluids, being designated as Uniform Circular Cross Flow Micromixers (UCCFM) (details</w:t>
      </w:r>
      <w:r w:rsidR="006550BB">
        <w:t xml:space="preserve"> are</w:t>
      </w:r>
      <w:r>
        <w:t xml:space="preserve"> given in Figure 1). The design was conceived to achieve a fast mixing between reagents and homogeneous catalyst. Microchannel reactors could be coupled </w:t>
      </w:r>
      <w:r w:rsidR="006550BB">
        <w:t>at the</w:t>
      </w:r>
      <w:r>
        <w:t xml:space="preserve"> UCCFM outlet channel to complete the chemical reaction. All proposed designs present inlet and outlet channels dimensions</w:t>
      </w:r>
      <w:r w:rsidR="00D63727">
        <w:t xml:space="preserve"> of</w:t>
      </w:r>
      <w:r>
        <w:t xml:space="preserve">: H = </w:t>
      </w:r>
      <w:r w:rsidRPr="00816120">
        <w:t xml:space="preserve">200 </w:t>
      </w:r>
      <w:r w:rsidRPr="0039120E">
        <w:t>μ</w:t>
      </w:r>
      <w:r w:rsidRPr="00816120">
        <w:t>m (height)</w:t>
      </w:r>
      <w:r>
        <w:t xml:space="preserve"> x</w:t>
      </w:r>
      <w:r w:rsidRPr="00816120">
        <w:t xml:space="preserve"> W = 750 </w:t>
      </w:r>
      <w:r w:rsidRPr="0039120E">
        <w:t>μ</w:t>
      </w:r>
      <w:r w:rsidRPr="00816120">
        <w:t>m</w:t>
      </w:r>
      <w:r>
        <w:t xml:space="preserve"> (width) x </w:t>
      </w:r>
      <w:r w:rsidRPr="00945C0D">
        <w:t>L = 5000 μm (length). Circular</w:t>
      </w:r>
      <w:r>
        <w:t xml:space="preserve"> obstacles were arranged in equilateral triangular pitch of 3d, where d is the</w:t>
      </w:r>
      <w:r w:rsidR="006550BB">
        <w:t xml:space="preserve"> circular obstacle</w:t>
      </w:r>
      <w:r>
        <w:t xml:space="preserve"> </w:t>
      </w:r>
      <w:r w:rsidR="006550BB">
        <w:t>diameter</w:t>
      </w:r>
      <w:r>
        <w:t>. Three obstacle diameters were used</w:t>
      </w:r>
      <w:r w:rsidRPr="00816120">
        <w:t>:</w:t>
      </w:r>
      <w:r>
        <w:t xml:space="preserve"> Geometry 1</w:t>
      </w:r>
      <w:r w:rsidRPr="00816120">
        <w:t xml:space="preserve">: d = 150 </w:t>
      </w:r>
      <w:r w:rsidRPr="0039120E">
        <w:t>μ</w:t>
      </w:r>
      <w:r w:rsidRPr="00816120">
        <w:t xml:space="preserve">m; </w:t>
      </w:r>
      <w:r>
        <w:t xml:space="preserve">Geometry </w:t>
      </w:r>
      <w:r w:rsidRPr="00816120">
        <w:t xml:space="preserve">2: d = 450 </w:t>
      </w:r>
      <w:r w:rsidRPr="0039120E">
        <w:t>μ</w:t>
      </w:r>
      <w:r w:rsidRPr="00816120">
        <w:t xml:space="preserve">m; </w:t>
      </w:r>
      <w:r>
        <w:t xml:space="preserve">Geometry </w:t>
      </w:r>
      <w:r w:rsidRPr="00816120">
        <w:t xml:space="preserve">3: d = 600 </w:t>
      </w:r>
      <w:r w:rsidRPr="0039120E">
        <w:t>μ</w:t>
      </w:r>
      <w:r w:rsidRPr="00816120">
        <w:t xml:space="preserve">m. </w:t>
      </w:r>
    </w:p>
    <w:p w14:paraId="5520448C" w14:textId="77777777" w:rsidR="0017788E" w:rsidRDefault="00553777" w:rsidP="00553777">
      <w:pPr>
        <w:pStyle w:val="CETBodytext"/>
      </w:pPr>
      <w:r>
        <w:t>The transport properties of sunflower (</w:t>
      </w:r>
      <w:r w:rsidRPr="00553777">
        <w:t>vegetable) oil were taken from Santana et al. (2017). The transport</w:t>
      </w:r>
      <w:r>
        <w:t xml:space="preserve"> properties for water and ethanol were taken from the material properties library of Ansys CFX. The boundary conditions used are detailed</w:t>
      </w:r>
      <w:r w:rsidR="0017788E">
        <w:t xml:space="preserve"> in Table 1 and Figure 1</w:t>
      </w:r>
      <w:r>
        <w:t xml:space="preserve">. High order schemes were used in numerical solution and a </w:t>
      </w:r>
      <w:r w:rsidR="00403F3B">
        <w:t>residual target of 1</w:t>
      </w:r>
      <w:r>
        <w:t>0</w:t>
      </w:r>
      <w:r w:rsidRPr="008C099C">
        <w:rPr>
          <w:vertAlign w:val="superscript"/>
        </w:rPr>
        <w:t>-5</w:t>
      </w:r>
      <w:r w:rsidR="00403F3B">
        <w:rPr>
          <w:vertAlign w:val="superscript"/>
        </w:rPr>
        <w:t xml:space="preserve"> </w:t>
      </w:r>
      <w:r w:rsidR="00403F3B" w:rsidRPr="00403F3B">
        <w:t>(RMS)</w:t>
      </w:r>
      <w:r>
        <w:t xml:space="preserve"> was defined for steady-state solving procedure by 500 to 5000 iterations</w:t>
      </w:r>
    </w:p>
    <w:p w14:paraId="51F29416" w14:textId="77777777" w:rsidR="0017788E" w:rsidRDefault="0017788E" w:rsidP="0017788E">
      <w:pPr>
        <w:pStyle w:val="CETTabletitle"/>
      </w:pPr>
      <w:r w:rsidRPr="00B57B36">
        <w:t xml:space="preserve">Table 1: </w:t>
      </w:r>
      <w:r>
        <w:t>Boundary conditions used in CFD simulations</w:t>
      </w:r>
      <w:r w:rsidRPr="00AE36C9">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4961"/>
      </w:tblGrid>
      <w:tr w:rsidR="00D52DC1" w:rsidRPr="00B57B36" w14:paraId="6F8E5DEA" w14:textId="77777777" w:rsidTr="0017788E">
        <w:tc>
          <w:tcPr>
            <w:tcW w:w="1418" w:type="dxa"/>
            <w:tcBorders>
              <w:top w:val="single" w:sz="12" w:space="0" w:color="008000"/>
              <w:bottom w:val="nil"/>
            </w:tcBorders>
            <w:shd w:val="clear" w:color="auto" w:fill="FFFFFF"/>
          </w:tcPr>
          <w:p w14:paraId="6227F90A" w14:textId="77777777" w:rsidR="00D52DC1" w:rsidRPr="00B57B36" w:rsidRDefault="00D52DC1" w:rsidP="006014B2">
            <w:pPr>
              <w:pStyle w:val="CETBodytext"/>
              <w:spacing w:line="240" w:lineRule="auto"/>
              <w:rPr>
                <w:lang w:val="en-GB"/>
              </w:rPr>
            </w:pPr>
            <w:r>
              <w:rPr>
                <w:lang w:val="en-GB"/>
              </w:rPr>
              <w:t>Boundary</w:t>
            </w:r>
          </w:p>
        </w:tc>
        <w:tc>
          <w:tcPr>
            <w:tcW w:w="4961" w:type="dxa"/>
            <w:tcBorders>
              <w:top w:val="single" w:sz="12" w:space="0" w:color="008000"/>
              <w:bottom w:val="nil"/>
            </w:tcBorders>
            <w:shd w:val="clear" w:color="auto" w:fill="FFFFFF"/>
          </w:tcPr>
          <w:p w14:paraId="3289E7CC" w14:textId="77777777" w:rsidR="00D52DC1" w:rsidRPr="00B57B36" w:rsidRDefault="00D52DC1" w:rsidP="006014B2">
            <w:pPr>
              <w:pStyle w:val="CETBodytext"/>
              <w:spacing w:line="240" w:lineRule="auto"/>
              <w:rPr>
                <w:rFonts w:cs="Arial"/>
                <w:szCs w:val="18"/>
                <w:lang w:val="en-GB"/>
              </w:rPr>
            </w:pPr>
            <w:r>
              <w:rPr>
                <w:lang w:val="en-GB"/>
              </w:rPr>
              <w:t>Condition</w:t>
            </w:r>
          </w:p>
        </w:tc>
      </w:tr>
      <w:tr w:rsidR="00D52DC1" w:rsidRPr="00B57B36" w14:paraId="6F19B74A" w14:textId="77777777" w:rsidTr="0017788E">
        <w:tc>
          <w:tcPr>
            <w:tcW w:w="1418" w:type="dxa"/>
            <w:tcBorders>
              <w:top w:val="single" w:sz="4" w:space="0" w:color="auto"/>
            </w:tcBorders>
            <w:shd w:val="clear" w:color="auto" w:fill="FFFFFF"/>
          </w:tcPr>
          <w:p w14:paraId="43B5CDEC" w14:textId="77777777" w:rsidR="00D52DC1" w:rsidRDefault="00D52DC1" w:rsidP="006014B2">
            <w:pPr>
              <w:pStyle w:val="CETBodytext"/>
              <w:spacing w:line="240" w:lineRule="auto"/>
              <w:rPr>
                <w:lang w:val="en-GB"/>
              </w:rPr>
            </w:pPr>
            <w:r>
              <w:rPr>
                <w:lang w:val="en-GB"/>
              </w:rPr>
              <w:t>Inlet 1</w:t>
            </w:r>
          </w:p>
        </w:tc>
        <w:tc>
          <w:tcPr>
            <w:tcW w:w="4961" w:type="dxa"/>
            <w:tcBorders>
              <w:top w:val="single" w:sz="4" w:space="0" w:color="auto"/>
            </w:tcBorders>
            <w:shd w:val="clear" w:color="auto" w:fill="FFFFFF"/>
          </w:tcPr>
          <w:p w14:paraId="30A9B093" w14:textId="77777777" w:rsidR="00D52DC1" w:rsidRDefault="00D52DC1" w:rsidP="00D52DC1">
            <w:pPr>
              <w:widowControl w:val="0"/>
              <w:autoSpaceDE w:val="0"/>
              <w:autoSpaceDN w:val="0"/>
              <w:adjustRightInd w:val="0"/>
              <w:spacing w:line="240" w:lineRule="auto"/>
              <w:ind w:right="62"/>
              <w:jc w:val="left"/>
              <w:rPr>
                <w:rFonts w:cs="Arial"/>
                <w:lang w:val="en-US"/>
              </w:rPr>
            </w:pPr>
            <w:r>
              <w:rPr>
                <w:rFonts w:cs="Arial"/>
                <w:lang w:val="en-US"/>
              </w:rPr>
              <w:t xml:space="preserve">Prescribed velocity according to </w:t>
            </w:r>
            <w:r w:rsidR="0017788E">
              <w:rPr>
                <w:rFonts w:cs="Arial"/>
                <w:lang w:val="en-US"/>
              </w:rPr>
              <w:t xml:space="preserve">the </w:t>
            </w:r>
            <w:r>
              <w:rPr>
                <w:rFonts w:cs="Arial"/>
                <w:lang w:val="en-US"/>
              </w:rPr>
              <w:t>Reynolds</w:t>
            </w:r>
            <w:r w:rsidR="0017788E">
              <w:rPr>
                <w:rFonts w:cs="Arial"/>
                <w:lang w:val="en-US"/>
              </w:rPr>
              <w:t xml:space="preserve"> number</w:t>
            </w:r>
          </w:p>
          <w:p w14:paraId="78E7C912" w14:textId="77777777" w:rsidR="00D52DC1" w:rsidRPr="000B103B" w:rsidRDefault="00D52DC1" w:rsidP="00D52DC1">
            <w:pPr>
              <w:widowControl w:val="0"/>
              <w:autoSpaceDE w:val="0"/>
              <w:autoSpaceDN w:val="0"/>
              <w:adjustRightInd w:val="0"/>
              <w:spacing w:line="240" w:lineRule="auto"/>
              <w:ind w:right="62"/>
              <w:jc w:val="left"/>
              <w:rPr>
                <w:rFonts w:cs="Arial"/>
                <w:lang w:val="en-US"/>
              </w:rPr>
            </w:pPr>
            <w:r>
              <w:rPr>
                <w:rFonts w:cs="Arial"/>
                <w:lang w:val="en-US"/>
              </w:rPr>
              <w:t>Pure water or pure vegetable oil</w:t>
            </w:r>
          </w:p>
        </w:tc>
      </w:tr>
      <w:tr w:rsidR="0017788E" w:rsidRPr="00B57B36" w14:paraId="1DCE70B2" w14:textId="77777777" w:rsidTr="00B7726D">
        <w:tc>
          <w:tcPr>
            <w:tcW w:w="1418" w:type="dxa"/>
            <w:shd w:val="clear" w:color="auto" w:fill="FFFFFF"/>
          </w:tcPr>
          <w:p w14:paraId="4899868C" w14:textId="77777777" w:rsidR="0017788E" w:rsidRPr="00B57B36" w:rsidRDefault="0017788E" w:rsidP="00D52DC1">
            <w:pPr>
              <w:pStyle w:val="CETBodytext"/>
              <w:spacing w:line="240" w:lineRule="auto"/>
              <w:rPr>
                <w:lang w:val="en-GB"/>
              </w:rPr>
            </w:pPr>
            <w:r>
              <w:rPr>
                <w:lang w:val="en-GB"/>
              </w:rPr>
              <w:t>Inlets 2 and 3</w:t>
            </w:r>
          </w:p>
        </w:tc>
        <w:tc>
          <w:tcPr>
            <w:tcW w:w="4961" w:type="dxa"/>
            <w:shd w:val="clear" w:color="auto" w:fill="FFFFFF"/>
            <w:vAlign w:val="center"/>
          </w:tcPr>
          <w:p w14:paraId="44CB7BA8" w14:textId="77777777" w:rsidR="0017788E" w:rsidRDefault="0017788E" w:rsidP="0017788E">
            <w:pPr>
              <w:widowControl w:val="0"/>
              <w:autoSpaceDE w:val="0"/>
              <w:autoSpaceDN w:val="0"/>
              <w:adjustRightInd w:val="0"/>
              <w:spacing w:line="240" w:lineRule="auto"/>
              <w:ind w:right="62"/>
              <w:jc w:val="left"/>
              <w:rPr>
                <w:rFonts w:cs="Arial"/>
                <w:lang w:val="en-US"/>
              </w:rPr>
            </w:pPr>
            <w:r>
              <w:rPr>
                <w:rFonts w:cs="Arial"/>
                <w:lang w:val="en-US"/>
              </w:rPr>
              <w:t>Prescribed velocity according to the Reynolds number</w:t>
            </w:r>
          </w:p>
          <w:p w14:paraId="4D53AADB" w14:textId="77777777" w:rsidR="0017788E" w:rsidRPr="000B103B" w:rsidRDefault="0017788E" w:rsidP="0017788E">
            <w:pPr>
              <w:widowControl w:val="0"/>
              <w:autoSpaceDE w:val="0"/>
              <w:autoSpaceDN w:val="0"/>
              <w:adjustRightInd w:val="0"/>
              <w:spacing w:line="240" w:lineRule="auto"/>
              <w:ind w:right="62"/>
              <w:jc w:val="left"/>
              <w:rPr>
                <w:rFonts w:cs="Arial"/>
                <w:lang w:val="en-US"/>
              </w:rPr>
            </w:pPr>
            <w:r>
              <w:rPr>
                <w:rFonts w:cs="Arial"/>
                <w:lang w:val="en-US"/>
              </w:rPr>
              <w:t>Pure ethanol</w:t>
            </w:r>
          </w:p>
        </w:tc>
      </w:tr>
      <w:tr w:rsidR="0017788E" w:rsidRPr="00B57B36" w14:paraId="34DCD784" w14:textId="77777777" w:rsidTr="007824B2">
        <w:tc>
          <w:tcPr>
            <w:tcW w:w="1418" w:type="dxa"/>
            <w:shd w:val="clear" w:color="auto" w:fill="FFFFFF"/>
          </w:tcPr>
          <w:p w14:paraId="13C62E0A" w14:textId="77777777" w:rsidR="0017788E" w:rsidRDefault="0017788E" w:rsidP="00D52DC1">
            <w:pPr>
              <w:pStyle w:val="CETBodytext"/>
              <w:spacing w:line="240" w:lineRule="auto"/>
              <w:rPr>
                <w:lang w:val="en-GB"/>
              </w:rPr>
            </w:pPr>
            <w:r>
              <w:rPr>
                <w:lang w:val="en-GB"/>
              </w:rPr>
              <w:t>Outlet</w:t>
            </w:r>
          </w:p>
        </w:tc>
        <w:tc>
          <w:tcPr>
            <w:tcW w:w="4961" w:type="dxa"/>
            <w:shd w:val="clear" w:color="auto" w:fill="FFFFFF"/>
            <w:vAlign w:val="center"/>
          </w:tcPr>
          <w:p w14:paraId="34E0F326" w14:textId="77777777" w:rsidR="0017788E" w:rsidRPr="000B103B" w:rsidRDefault="0017788E" w:rsidP="006014B2">
            <w:pPr>
              <w:widowControl w:val="0"/>
              <w:autoSpaceDE w:val="0"/>
              <w:autoSpaceDN w:val="0"/>
              <w:adjustRightInd w:val="0"/>
              <w:spacing w:line="240" w:lineRule="auto"/>
              <w:ind w:right="62"/>
              <w:jc w:val="left"/>
              <w:rPr>
                <w:rFonts w:cs="Arial"/>
                <w:lang w:val="en-US"/>
              </w:rPr>
            </w:pPr>
            <w:r>
              <w:rPr>
                <w:rFonts w:cs="Arial"/>
                <w:lang w:val="en-US"/>
              </w:rPr>
              <w:t>Relative pressure zero (domain reference pressure of 1 atm)</w:t>
            </w:r>
          </w:p>
        </w:tc>
      </w:tr>
      <w:tr w:rsidR="0017788E" w:rsidRPr="00B57B36" w14:paraId="136D9E01" w14:textId="77777777" w:rsidTr="00097CB1">
        <w:tc>
          <w:tcPr>
            <w:tcW w:w="1418" w:type="dxa"/>
            <w:shd w:val="clear" w:color="auto" w:fill="FFFFFF"/>
          </w:tcPr>
          <w:p w14:paraId="1744AD36" w14:textId="77777777" w:rsidR="0017788E" w:rsidRDefault="0017788E" w:rsidP="00D52DC1">
            <w:pPr>
              <w:pStyle w:val="CETBodytext"/>
              <w:spacing w:line="240" w:lineRule="auto"/>
              <w:rPr>
                <w:lang w:val="en-GB"/>
              </w:rPr>
            </w:pPr>
            <w:r>
              <w:rPr>
                <w:lang w:val="en-GB"/>
              </w:rPr>
              <w:t>Wall</w:t>
            </w:r>
          </w:p>
        </w:tc>
        <w:tc>
          <w:tcPr>
            <w:tcW w:w="4961" w:type="dxa"/>
            <w:shd w:val="clear" w:color="auto" w:fill="FFFFFF"/>
            <w:vAlign w:val="center"/>
          </w:tcPr>
          <w:p w14:paraId="40B5A451" w14:textId="77777777" w:rsidR="0017788E" w:rsidRPr="000B103B" w:rsidRDefault="0017788E" w:rsidP="0017788E">
            <w:pPr>
              <w:widowControl w:val="0"/>
              <w:autoSpaceDE w:val="0"/>
              <w:autoSpaceDN w:val="0"/>
              <w:adjustRightInd w:val="0"/>
              <w:spacing w:line="240" w:lineRule="auto"/>
              <w:ind w:right="62"/>
              <w:jc w:val="left"/>
              <w:rPr>
                <w:rFonts w:cs="Arial"/>
                <w:lang w:val="en-US"/>
              </w:rPr>
            </w:pPr>
            <w:r>
              <w:rPr>
                <w:rFonts w:cs="Arial"/>
                <w:lang w:val="en-US"/>
              </w:rPr>
              <w:t xml:space="preserve">No-slip </w:t>
            </w:r>
          </w:p>
        </w:tc>
      </w:tr>
    </w:tbl>
    <w:p w14:paraId="6F535963" w14:textId="77777777" w:rsidR="00652F74" w:rsidRDefault="00652F74" w:rsidP="00652F74">
      <w:pPr>
        <w:pStyle w:val="CETBodytext"/>
      </w:pPr>
    </w:p>
    <w:p w14:paraId="6B9920AD" w14:textId="77777777" w:rsidR="00553777" w:rsidRDefault="00553777" w:rsidP="00553777">
      <w:pPr>
        <w:pStyle w:val="CETCaption"/>
      </w:pPr>
      <w:r w:rsidRPr="00F07365">
        <w:rPr>
          <w:noProof/>
          <w:lang w:val="pt-BR" w:eastAsia="pt-BR"/>
        </w:rPr>
        <w:lastRenderedPageBreak/>
        <w:drawing>
          <wp:inline distT="0" distB="0" distL="0" distR="0" wp14:anchorId="473A322C" wp14:editId="1EA3984E">
            <wp:extent cx="5328000" cy="2902175"/>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000" cy="2902175"/>
                    </a:xfrm>
                    <a:prstGeom prst="rect">
                      <a:avLst/>
                    </a:prstGeom>
                    <a:noFill/>
                    <a:ln w="12700">
                      <a:noFill/>
                    </a:ln>
                  </pic:spPr>
                </pic:pic>
              </a:graphicData>
            </a:graphic>
          </wp:inline>
        </w:drawing>
      </w:r>
    </w:p>
    <w:p w14:paraId="6C877479" w14:textId="77777777" w:rsidR="00553777" w:rsidRDefault="00553777" w:rsidP="00553777">
      <w:pPr>
        <w:pStyle w:val="CETCaption"/>
      </w:pPr>
      <w:r>
        <w:t>Figure 1 – (a) UCCFM design; (b) inlet/outlet channels cross section; (c) detail of the inlet/outlet length – d: circular obstacle diameter; H = height; W = width; L = length.</w:t>
      </w:r>
    </w:p>
    <w:p w14:paraId="238C27E4" w14:textId="77777777" w:rsidR="00553777" w:rsidRPr="00652F74" w:rsidRDefault="00553777" w:rsidP="00553777">
      <w:pPr>
        <w:pStyle w:val="CETheadingx"/>
      </w:pPr>
      <w:r>
        <w:t>Spatial Discretization Independence Mesh Test</w:t>
      </w:r>
    </w:p>
    <w:p w14:paraId="52E318E3" w14:textId="77777777" w:rsidR="00553777" w:rsidRPr="00553777" w:rsidRDefault="00553777" w:rsidP="00553777">
      <w:pPr>
        <w:pStyle w:val="CETBodytext"/>
      </w:pPr>
      <w:r w:rsidRPr="00553777">
        <w:t xml:space="preserve">Firstly, the solution dependence on the spatial discretization was evaluated. Five grid refinement </w:t>
      </w:r>
      <w:r w:rsidRPr="005D4661">
        <w:t xml:space="preserve">levels were generated and tested for geometry 2 (d = 450 μm), resulting in tridimensional meshes with about </w:t>
      </w:r>
      <w:r w:rsidR="005D4661" w:rsidRPr="005D4661">
        <w:t>760</w:t>
      </w:r>
      <w:r w:rsidR="005D4661">
        <w:t>,</w:t>
      </w:r>
      <w:r w:rsidR="005D4661" w:rsidRPr="005D4661">
        <w:t>000; 1</w:t>
      </w:r>
      <w:r w:rsidR="005D4661">
        <w:t>,</w:t>
      </w:r>
      <w:r w:rsidR="005D4661" w:rsidRPr="005D4661">
        <w:t>600</w:t>
      </w:r>
      <w:r w:rsidR="005D4661">
        <w:t>,</w:t>
      </w:r>
      <w:r w:rsidR="005D4661" w:rsidRPr="005D4661">
        <w:t>000; 2</w:t>
      </w:r>
      <w:r w:rsidR="005D4661">
        <w:t>,</w:t>
      </w:r>
      <w:r w:rsidR="005D4661" w:rsidRPr="005D4661">
        <w:t>460</w:t>
      </w:r>
      <w:r w:rsidR="005D4661">
        <w:t>,</w:t>
      </w:r>
      <w:r w:rsidR="005D4661" w:rsidRPr="005D4661">
        <w:t>000; 3</w:t>
      </w:r>
      <w:r w:rsidR="005D4661">
        <w:t>,</w:t>
      </w:r>
      <w:r w:rsidR="005D4661" w:rsidRPr="005D4661">
        <w:t>500</w:t>
      </w:r>
      <w:r w:rsidR="005D4661">
        <w:t>,</w:t>
      </w:r>
      <w:r w:rsidR="005D4661" w:rsidRPr="005D4661">
        <w:t>000 and 4</w:t>
      </w:r>
      <w:r w:rsidR="005D4661">
        <w:t>,</w:t>
      </w:r>
      <w:r w:rsidR="005D4661" w:rsidRPr="005D4661">
        <w:t>300</w:t>
      </w:r>
      <w:r w:rsidR="005D4661">
        <w:t>,</w:t>
      </w:r>
      <w:r w:rsidR="005D4661" w:rsidRPr="005D4661">
        <w:t xml:space="preserve">000 </w:t>
      </w:r>
      <w:r w:rsidRPr="00030D43">
        <w:t>control volumes</w:t>
      </w:r>
      <w:r>
        <w:t>.</w:t>
      </w:r>
      <w:r w:rsidRPr="00553777">
        <w:t xml:space="preserve"> The mesh independence was investigated using the </w:t>
      </w:r>
      <w:r w:rsidR="00E75F75">
        <w:t xml:space="preserve">micromixer </w:t>
      </w:r>
      <w:r w:rsidRPr="00553777">
        <w:t xml:space="preserve">pressure drop and the velocity profile at the outlet channel for the Reynolds number of 100 (advection predominant laminar flow). </w:t>
      </w:r>
    </w:p>
    <w:p w14:paraId="6D3EAC1B" w14:textId="77777777" w:rsidR="00553777" w:rsidRDefault="00553777" w:rsidP="00553777">
      <w:pPr>
        <w:pStyle w:val="CETBodytext"/>
      </w:pPr>
      <w:r w:rsidRPr="00553777">
        <w:t xml:space="preserve">Usually, design and optimization studies of devices require simulation and performance analyses of several different geometries, becoming the numerical independence mesh test impracticable for all proposed designs and operating conditions. In this context, the present study performed the numerical independence mesh test based on the geometry with intermediate dimensions, extending the use of </w:t>
      </w:r>
      <w:r w:rsidR="00E75F75">
        <w:t>independent-</w:t>
      </w:r>
      <w:r w:rsidRPr="00553777">
        <w:t xml:space="preserve">grid parameters for the other designs. The average size of the independent grid, </w:t>
      </w:r>
      <w:r w:rsidRPr="00553777">
        <w:rPr>
          <w:i/>
        </w:rPr>
        <w:t>h</w:t>
      </w:r>
      <w:r w:rsidRPr="00553777">
        <w:rPr>
          <w:i/>
          <w:vertAlign w:val="subscript"/>
        </w:rPr>
        <w:t>grid</w:t>
      </w:r>
      <w:r w:rsidRPr="00553777">
        <w:t xml:space="preserve">, was estimated as proposed by Celik et al. (2008) (Eq. 5). Therefore, all other numerical meshes were generated using </w:t>
      </w:r>
      <w:r w:rsidRPr="00553777">
        <w:rPr>
          <w:i/>
        </w:rPr>
        <w:t>h</w:t>
      </w:r>
      <w:r w:rsidRPr="00553777">
        <w:rPr>
          <w:i/>
          <w:vertAlign w:val="subscript"/>
        </w:rPr>
        <w:t>grid</w:t>
      </w:r>
      <w:r w:rsidRPr="00553777">
        <w:t>, in order to standardize the average element size on all geometries.</w:t>
      </w:r>
    </w:p>
    <w:tbl>
      <w:tblPr>
        <w:tblW w:w="5000" w:type="pct"/>
        <w:tblLook w:val="04A0" w:firstRow="1" w:lastRow="0" w:firstColumn="1" w:lastColumn="0" w:noHBand="0" w:noVBand="1"/>
      </w:tblPr>
      <w:tblGrid>
        <w:gridCol w:w="8188"/>
        <w:gridCol w:w="815"/>
      </w:tblGrid>
      <w:tr w:rsidR="00553777" w:rsidRPr="00B57B36" w14:paraId="27DF2600" w14:textId="77777777" w:rsidTr="00553777">
        <w:tc>
          <w:tcPr>
            <w:tcW w:w="8188" w:type="dxa"/>
            <w:shd w:val="clear" w:color="auto" w:fill="auto"/>
            <w:vAlign w:val="center"/>
          </w:tcPr>
          <w:p w14:paraId="185D7A60" w14:textId="77777777" w:rsidR="00553777" w:rsidRPr="00030D43" w:rsidRDefault="00553777" w:rsidP="005D316C">
            <w:pPr>
              <w:pStyle w:val="CETEquation"/>
            </w:pPr>
            <w:r w:rsidRPr="001E4255">
              <w:object w:dxaOrig="2620" w:dyaOrig="900" w14:anchorId="0516A568">
                <v:shape id="_x0000_i1029" type="#_x0000_t75" style="width:131.25pt;height:44.25pt" o:ole="">
                  <v:imagedata r:id="rId19" o:title=""/>
                </v:shape>
                <o:OLEObject Type="Embed" ProgID="Equation.3" ShapeID="_x0000_i1029" DrawAspect="Content" ObjectID="_1609935734" r:id="rId20"/>
              </w:object>
            </w:r>
          </w:p>
        </w:tc>
        <w:tc>
          <w:tcPr>
            <w:tcW w:w="815" w:type="dxa"/>
            <w:shd w:val="clear" w:color="auto" w:fill="auto"/>
            <w:vAlign w:val="center"/>
          </w:tcPr>
          <w:p w14:paraId="552C845F" w14:textId="77777777" w:rsidR="00553777" w:rsidRPr="00B57B36" w:rsidRDefault="00553777" w:rsidP="00553777">
            <w:pPr>
              <w:pStyle w:val="CETEquation"/>
              <w:jc w:val="right"/>
            </w:pPr>
            <w:r w:rsidRPr="00B57B36">
              <w:t>(</w:t>
            </w:r>
            <w:r>
              <w:t>5</w:t>
            </w:r>
            <w:r w:rsidRPr="00B57B36">
              <w:t>)</w:t>
            </w:r>
          </w:p>
        </w:tc>
      </w:tr>
    </w:tbl>
    <w:p w14:paraId="36C1A0A6" w14:textId="77777777" w:rsidR="00553777" w:rsidRPr="00553777" w:rsidRDefault="00553777" w:rsidP="00553777">
      <w:pPr>
        <w:pStyle w:val="CETBodytext"/>
      </w:pPr>
      <w:r w:rsidRPr="00553777">
        <w:rPr>
          <w:b/>
          <w:bCs/>
          <w:sz w:val="28"/>
          <w:szCs w:val="28"/>
        </w:rPr>
        <w:tab/>
      </w:r>
      <w:r w:rsidRPr="00553777">
        <w:t xml:space="preserve">where </w:t>
      </w:r>
      <w:r w:rsidRPr="00553777">
        <w:rPr>
          <w:i/>
        </w:rPr>
        <w:t>N</w:t>
      </w:r>
      <w:r w:rsidRPr="00553777">
        <w:rPr>
          <w:i/>
          <w:vertAlign w:val="subscript"/>
        </w:rPr>
        <w:t>grid</w:t>
      </w:r>
      <w:r w:rsidRPr="00553777">
        <w:t xml:space="preserve"> is the total number of tridimensional elements and the summation of individual element volume</w:t>
      </w:r>
      <w:r w:rsidR="00E75F75">
        <w:t>s</w:t>
      </w:r>
      <w:r w:rsidRPr="00553777">
        <w:t>, Δ</w:t>
      </w:r>
      <w:r w:rsidRPr="00553777">
        <w:rPr>
          <w:i/>
        </w:rPr>
        <w:t>V</w:t>
      </w:r>
      <w:r w:rsidRPr="00553777">
        <w:rPr>
          <w:i/>
          <w:vertAlign w:val="subscript"/>
        </w:rPr>
        <w:t>i</w:t>
      </w:r>
      <w:r w:rsidRPr="00553777">
        <w:t xml:space="preserve">, provides the total </w:t>
      </w:r>
      <w:r w:rsidR="00E75F75">
        <w:t xml:space="preserve">fluid domain </w:t>
      </w:r>
      <w:r w:rsidRPr="00553777">
        <w:t>volume.</w:t>
      </w:r>
    </w:p>
    <w:p w14:paraId="3D3CC131" w14:textId="77777777" w:rsidR="00652F74" w:rsidRPr="00553777" w:rsidRDefault="00652F74" w:rsidP="00652F74">
      <w:pPr>
        <w:pStyle w:val="CETBodytext"/>
      </w:pPr>
    </w:p>
    <w:p w14:paraId="5ECC5A2D" w14:textId="77777777" w:rsidR="00D02531" w:rsidRPr="00652F74" w:rsidRDefault="00D02531" w:rsidP="00D02531">
      <w:pPr>
        <w:pStyle w:val="CETheadingx"/>
      </w:pPr>
      <w:r>
        <w:t>Mixing Performance Evaluation</w:t>
      </w:r>
    </w:p>
    <w:p w14:paraId="60AC6755" w14:textId="77777777" w:rsidR="00D02531" w:rsidRPr="00D02531" w:rsidRDefault="00D02531" w:rsidP="00D02531">
      <w:pPr>
        <w:pStyle w:val="CETBodytext"/>
      </w:pPr>
      <w:r w:rsidRPr="00D02531">
        <w:t xml:space="preserve">The design performance was evaluated using the concept of Performance Index, </w:t>
      </w:r>
      <w:r w:rsidRPr="00812D8A">
        <w:t>PI</w:t>
      </w:r>
      <w:r w:rsidR="004809E2">
        <w:t xml:space="preserve">, (Eq. 6, in % </w:t>
      </w:r>
      <w:r w:rsidRPr="00D02531">
        <w:t>Pa</w:t>
      </w:r>
      <w:r w:rsidR="004809E2" w:rsidRPr="004809E2">
        <w:rPr>
          <w:vertAlign w:val="superscript"/>
        </w:rPr>
        <w:t>-1</w:t>
      </w:r>
      <w:r w:rsidRPr="00D02531">
        <w:t>), given as the ratio of</w:t>
      </w:r>
      <w:r w:rsidR="00E75F75">
        <w:t xml:space="preserve"> the</w:t>
      </w:r>
      <w:r w:rsidRPr="00D02531">
        <w:t xml:space="preserve"> Mixing Index, </w:t>
      </w:r>
      <w:r w:rsidRPr="00812D8A">
        <w:t>MI</w:t>
      </w:r>
      <w:r w:rsidRPr="00D02531">
        <w:rPr>
          <w:i/>
        </w:rPr>
        <w:t>,</w:t>
      </w:r>
      <w:r w:rsidRPr="00D02531">
        <w:t xml:space="preserve"> (Eq. 7) to </w:t>
      </w:r>
      <w:r w:rsidR="00E75F75">
        <w:t xml:space="preserve">the </w:t>
      </w:r>
      <w:r w:rsidRPr="00D02531">
        <w:t>pressure drop (Δ</w:t>
      </w:r>
      <w:r w:rsidRPr="00D02531">
        <w:rPr>
          <w:i/>
        </w:rPr>
        <w:t>P</w:t>
      </w:r>
      <w:r w:rsidRPr="00D02531">
        <w:t xml:space="preserve"> = </w:t>
      </w:r>
      <w:r w:rsidRPr="00D02531">
        <w:rPr>
          <w:i/>
        </w:rPr>
        <w:t>P</w:t>
      </w:r>
      <w:r w:rsidRPr="00D02531">
        <w:rPr>
          <w:i/>
          <w:vertAlign w:val="subscript"/>
        </w:rPr>
        <w:t>in</w:t>
      </w:r>
      <w:r w:rsidRPr="00D02531">
        <w:t xml:space="preserve"> - </w:t>
      </w:r>
      <w:r w:rsidRPr="00D02531">
        <w:rPr>
          <w:i/>
        </w:rPr>
        <w:t>P</w:t>
      </w:r>
      <w:r w:rsidRPr="00D02531">
        <w:rPr>
          <w:i/>
          <w:vertAlign w:val="subscript"/>
        </w:rPr>
        <w:t>out</w:t>
      </w:r>
      <w:r w:rsidRPr="00D02531">
        <w:t>):</w:t>
      </w:r>
    </w:p>
    <w:tbl>
      <w:tblPr>
        <w:tblW w:w="5000" w:type="pct"/>
        <w:tblLook w:val="04A0" w:firstRow="1" w:lastRow="0" w:firstColumn="1" w:lastColumn="0" w:noHBand="0" w:noVBand="1"/>
      </w:tblPr>
      <w:tblGrid>
        <w:gridCol w:w="8188"/>
        <w:gridCol w:w="815"/>
      </w:tblGrid>
      <w:tr w:rsidR="00D02531" w:rsidRPr="00B57B36" w14:paraId="3C060D6A" w14:textId="77777777" w:rsidTr="005D316C">
        <w:tc>
          <w:tcPr>
            <w:tcW w:w="8188" w:type="dxa"/>
            <w:shd w:val="clear" w:color="auto" w:fill="auto"/>
            <w:vAlign w:val="center"/>
          </w:tcPr>
          <w:p w14:paraId="510512CD" w14:textId="77777777" w:rsidR="00D02531" w:rsidRPr="00030D43" w:rsidRDefault="00812D8A" w:rsidP="005D316C">
            <w:pPr>
              <w:pStyle w:val="CETEquation"/>
            </w:pPr>
            <w:r w:rsidRPr="00FA11DD">
              <w:rPr>
                <w:rFonts w:ascii="Times New Roman" w:hAnsi="Times New Roman"/>
                <w:b/>
                <w:bCs/>
                <w:position w:val="-30"/>
                <w:sz w:val="28"/>
                <w:szCs w:val="28"/>
              </w:rPr>
              <w:object w:dxaOrig="1579" w:dyaOrig="720" w14:anchorId="50D43BAE">
                <v:shape id="_x0000_i1030" type="#_x0000_t75" style="width:78pt;height:36pt" o:ole="">
                  <v:imagedata r:id="rId21" o:title=""/>
                </v:shape>
                <o:OLEObject Type="Embed" ProgID="Equation.DSMT4" ShapeID="_x0000_i1030" DrawAspect="Content" ObjectID="_1609935735" r:id="rId22"/>
              </w:object>
            </w:r>
          </w:p>
        </w:tc>
        <w:tc>
          <w:tcPr>
            <w:tcW w:w="815" w:type="dxa"/>
            <w:shd w:val="clear" w:color="auto" w:fill="auto"/>
            <w:vAlign w:val="center"/>
          </w:tcPr>
          <w:p w14:paraId="4AAF2407" w14:textId="77777777" w:rsidR="00D02531" w:rsidRPr="00B57B36" w:rsidRDefault="00D02531" w:rsidP="00D02531">
            <w:pPr>
              <w:pStyle w:val="CETEquation"/>
              <w:jc w:val="right"/>
            </w:pPr>
            <w:r w:rsidRPr="00B57B36">
              <w:t>(</w:t>
            </w:r>
            <w:r>
              <w:t>6</w:t>
            </w:r>
            <w:r w:rsidRPr="00B57B36">
              <w:t>)</w:t>
            </w:r>
          </w:p>
        </w:tc>
      </w:tr>
      <w:tr w:rsidR="00D02531" w:rsidRPr="00B57B36" w14:paraId="6A654304" w14:textId="77777777" w:rsidTr="00D02531">
        <w:tc>
          <w:tcPr>
            <w:tcW w:w="8188" w:type="dxa"/>
            <w:shd w:val="clear" w:color="auto" w:fill="auto"/>
            <w:vAlign w:val="center"/>
          </w:tcPr>
          <w:p w14:paraId="4F3D726D" w14:textId="77777777" w:rsidR="00D02531" w:rsidRPr="00D02531" w:rsidRDefault="00812D8A" w:rsidP="005D316C">
            <w:pPr>
              <w:pStyle w:val="CETEquation"/>
              <w:rPr>
                <w:rFonts w:ascii="Times New Roman" w:hAnsi="Times New Roman"/>
                <w:b/>
                <w:bCs/>
                <w:position w:val="-30"/>
                <w:sz w:val="28"/>
                <w:szCs w:val="28"/>
              </w:rPr>
            </w:pPr>
            <w:r w:rsidRPr="00D02531">
              <w:rPr>
                <w:rFonts w:ascii="Times New Roman" w:hAnsi="Times New Roman"/>
                <w:b/>
                <w:bCs/>
                <w:position w:val="-32"/>
                <w:sz w:val="28"/>
                <w:szCs w:val="28"/>
              </w:rPr>
              <w:object w:dxaOrig="4599" w:dyaOrig="859" w14:anchorId="79026530">
                <v:shape id="_x0000_i1031" type="#_x0000_t75" style="width:229.5pt;height:42.75pt" o:ole="">
                  <v:imagedata r:id="rId23" o:title=""/>
                </v:shape>
                <o:OLEObject Type="Embed" ProgID="Equation.DSMT4" ShapeID="_x0000_i1031" DrawAspect="Content" ObjectID="_1609935736" r:id="rId24"/>
              </w:object>
            </w:r>
          </w:p>
        </w:tc>
        <w:tc>
          <w:tcPr>
            <w:tcW w:w="815" w:type="dxa"/>
            <w:shd w:val="clear" w:color="auto" w:fill="auto"/>
            <w:vAlign w:val="center"/>
          </w:tcPr>
          <w:p w14:paraId="035B8E0D" w14:textId="77777777" w:rsidR="00D02531" w:rsidRPr="00B57B36" w:rsidRDefault="00D02531" w:rsidP="005D316C">
            <w:pPr>
              <w:pStyle w:val="CETEquation"/>
              <w:jc w:val="right"/>
            </w:pPr>
            <w:r w:rsidRPr="00B57B36">
              <w:t>(</w:t>
            </w:r>
            <w:r>
              <w:t>7</w:t>
            </w:r>
            <w:r w:rsidRPr="00B57B36">
              <w:t>)</w:t>
            </w:r>
          </w:p>
        </w:tc>
      </w:tr>
    </w:tbl>
    <w:p w14:paraId="49C8D66E" w14:textId="77777777" w:rsidR="00D02531" w:rsidRDefault="00D02531" w:rsidP="00D02531">
      <w:pPr>
        <w:pStyle w:val="CETBodytext"/>
      </w:pPr>
      <w:r>
        <w:lastRenderedPageBreak/>
        <w:t>w</w:t>
      </w:r>
      <w:r w:rsidRPr="00FA11DD">
        <w:t xml:space="preserve">here </w:t>
      </w:r>
      <w:r w:rsidRPr="00716AF0">
        <w:rPr>
          <w:i/>
        </w:rPr>
        <w:t>MI</w:t>
      </w:r>
      <w:r>
        <w:rPr>
          <w:i/>
        </w:rPr>
        <w:t xml:space="preserve"> </w:t>
      </w:r>
      <w:r>
        <w:t xml:space="preserve">quantifies the </w:t>
      </w:r>
      <w:r w:rsidR="00E75F75">
        <w:t>mixing degree of a chemical species in a</w:t>
      </w:r>
      <w:r w:rsidRPr="00716AF0">
        <w:t xml:space="preserve"> cross section</w:t>
      </w:r>
      <w:r>
        <w:t xml:space="preserve">, </w:t>
      </w:r>
      <w:r w:rsidRPr="00716AF0">
        <w:rPr>
          <w:i/>
        </w:rPr>
        <w:t>σ</w:t>
      </w:r>
      <w:r w:rsidRPr="00FA11DD">
        <w:t xml:space="preserve"> is the standard deviation of mass fraction, </w:t>
      </w:r>
      <w:r w:rsidRPr="00716AF0">
        <w:rPr>
          <w:i/>
        </w:rPr>
        <w:t>Y</w:t>
      </w:r>
      <w:r w:rsidRPr="00716AF0">
        <w:rPr>
          <w:i/>
          <w:vertAlign w:val="subscript"/>
        </w:rPr>
        <w:t>n</w:t>
      </w:r>
      <w:r w:rsidRPr="00FA11DD">
        <w:t xml:space="preserve"> is the local</w:t>
      </w:r>
      <w:r>
        <w:t xml:space="preserve"> mass fraction</w:t>
      </w:r>
      <w:r w:rsidRPr="00FA11DD">
        <w:t xml:space="preserve">, </w:t>
      </w:r>
      <w:r w:rsidRPr="00716AF0">
        <w:rPr>
          <w:i/>
        </w:rPr>
        <w:t>Y</w:t>
      </w:r>
      <w:r w:rsidRPr="00716AF0">
        <w:rPr>
          <w:i/>
          <w:vertAlign w:val="subscript"/>
        </w:rPr>
        <w:t>ave</w:t>
      </w:r>
      <w:r w:rsidRPr="00FA11DD">
        <w:t xml:space="preserve"> is the average mass fraction in </w:t>
      </w:r>
      <w:r>
        <w:t xml:space="preserve">cross section, </w:t>
      </w:r>
      <w:r w:rsidRPr="00716AF0">
        <w:rPr>
          <w:i/>
        </w:rPr>
        <w:t>N</w:t>
      </w:r>
      <w:r>
        <w:t xml:space="preserve"> is the number of samples, </w:t>
      </w:r>
      <w:r w:rsidRPr="00716AF0">
        <w:rPr>
          <w:i/>
        </w:rPr>
        <w:t>σ</w:t>
      </w:r>
      <w:r w:rsidRPr="00716AF0">
        <w:rPr>
          <w:i/>
          <w:vertAlign w:val="subscript"/>
        </w:rPr>
        <w:t>max</w:t>
      </w:r>
      <w:r w:rsidRPr="00DC357B">
        <w:t xml:space="preserve"> is the </w:t>
      </w:r>
      <w:r>
        <w:t xml:space="preserve">maximum deviation of mass fraction, </w:t>
      </w:r>
      <w:r w:rsidRPr="00716AF0">
        <w:rPr>
          <w:i/>
        </w:rPr>
        <w:t>P</w:t>
      </w:r>
      <w:r w:rsidRPr="00716AF0">
        <w:rPr>
          <w:i/>
          <w:vertAlign w:val="subscript"/>
        </w:rPr>
        <w:t>in</w:t>
      </w:r>
      <w:r>
        <w:t xml:space="preserve"> is the inlet pressure and </w:t>
      </w:r>
      <w:r w:rsidRPr="00716AF0">
        <w:rPr>
          <w:i/>
        </w:rPr>
        <w:t>P</w:t>
      </w:r>
      <w:r w:rsidRPr="00716AF0">
        <w:rPr>
          <w:i/>
          <w:vertAlign w:val="subscript"/>
        </w:rPr>
        <w:t>out</w:t>
      </w:r>
      <w:r>
        <w:t xml:space="preserve"> is the outlet pressure. The mixing index ranges from 0 (total segregation of fluids) to 1 (perfect fluid mixing). The optimal design performance is given by higher values of performance index, i.e. high mixing indexes with lower pressure drops. The mixing performance was carried out ranging the Reynolds of the non-alcoholic fluid (water and oil) from 0.01 to 100.</w:t>
      </w:r>
    </w:p>
    <w:p w14:paraId="38D71BF8" w14:textId="77777777" w:rsidR="00030D43" w:rsidRDefault="00030D43" w:rsidP="00030D43">
      <w:pPr>
        <w:pStyle w:val="CETHeading1"/>
        <w:tabs>
          <w:tab w:val="clear" w:pos="360"/>
          <w:tab w:val="right" w:pos="7100"/>
        </w:tabs>
        <w:jc w:val="both"/>
        <w:rPr>
          <w:lang w:val="en-GB"/>
        </w:rPr>
      </w:pPr>
      <w:r>
        <w:rPr>
          <w:lang w:val="en-GB"/>
        </w:rPr>
        <w:t>Results and Discussion</w:t>
      </w:r>
    </w:p>
    <w:p w14:paraId="2F58C30D" w14:textId="77777777" w:rsidR="00E75F75" w:rsidRPr="00652F74" w:rsidRDefault="00E75F75" w:rsidP="00E75F75">
      <w:pPr>
        <w:pStyle w:val="CETheadingx"/>
      </w:pPr>
      <w:r>
        <w:t>Independence Mesh Test Results</w:t>
      </w:r>
    </w:p>
    <w:p w14:paraId="7B3F87E9" w14:textId="77777777" w:rsidR="005D4661" w:rsidRPr="005D4661" w:rsidRDefault="005D4661" w:rsidP="005D4661">
      <w:pPr>
        <w:pStyle w:val="CETBodytext"/>
      </w:pPr>
      <w:r w:rsidRPr="005D4661">
        <w:t>This step was accomplished by the analysis of pressure drop and axial velocity p</w:t>
      </w:r>
      <w:r w:rsidR="0017788E">
        <w:t>rofile for both systems. Table 2</w:t>
      </w:r>
      <w:r w:rsidRPr="005D4661">
        <w:t xml:space="preserve"> summarizes the pressure drop deviation based on the prediction provided by </w:t>
      </w:r>
      <w:r w:rsidR="004809E2">
        <w:t xml:space="preserve">the </w:t>
      </w:r>
      <w:r w:rsidRPr="005D4661">
        <w:t>most refined grid. Figure 2 presents the axial velocity profile in the outlet channel for water-ethanol flow (Figure 2a) and oil-ethanol flow (Figure 2b), for an o</w:t>
      </w:r>
      <w:r w:rsidR="004809E2">
        <w:t>perating condition of Re = 100</w:t>
      </w:r>
      <w:r w:rsidRPr="005D4661">
        <w:t>.</w:t>
      </w:r>
    </w:p>
    <w:p w14:paraId="4F4DECB4" w14:textId="7D096B96" w:rsidR="00AE36C9" w:rsidRDefault="00AE36C9" w:rsidP="00AE36C9">
      <w:pPr>
        <w:pStyle w:val="CETTabletitle"/>
      </w:pPr>
      <w:r w:rsidRPr="00B57B36">
        <w:t xml:space="preserve">Table </w:t>
      </w:r>
      <w:r w:rsidR="0017788E">
        <w:t>2</w:t>
      </w:r>
      <w:r w:rsidRPr="00B57B36">
        <w:t xml:space="preserve">: </w:t>
      </w:r>
      <w:r w:rsidRPr="00AE36C9">
        <w:t>Relative deviations (from most refined mesh</w:t>
      </w:r>
      <w:r w:rsidR="00221D8E">
        <w:t xml:space="preserve"> </w:t>
      </w:r>
      <w:r w:rsidR="00221D8E" w:rsidRPr="00221D8E">
        <w:rPr>
          <w:i w:val="0"/>
        </w:rPr>
        <w:t>-</w:t>
      </w:r>
      <w:r w:rsidR="00221D8E">
        <w:t xml:space="preserve"> </w:t>
      </w:r>
      <w:r w:rsidR="00221D8E" w:rsidRPr="00221D8E">
        <w:rPr>
          <w:i w:val="0"/>
        </w:rPr>
        <w:t>4,300,000</w:t>
      </w:r>
      <w:r w:rsidRPr="00AE36C9">
        <w:t>) of pressure drop (%) predicted by different grid refinement levels.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850"/>
        <w:gridCol w:w="1134"/>
        <w:gridCol w:w="1134"/>
        <w:gridCol w:w="1134"/>
      </w:tblGrid>
      <w:tr w:rsidR="00AE36C9" w:rsidRPr="00B57B36" w14:paraId="7487C1FD" w14:textId="77777777" w:rsidTr="000B103B">
        <w:tc>
          <w:tcPr>
            <w:tcW w:w="1418" w:type="dxa"/>
            <w:tcBorders>
              <w:top w:val="single" w:sz="12" w:space="0" w:color="008000"/>
              <w:bottom w:val="nil"/>
            </w:tcBorders>
            <w:shd w:val="clear" w:color="auto" w:fill="FFFFFF"/>
          </w:tcPr>
          <w:p w14:paraId="7B7EA75A" w14:textId="77777777" w:rsidR="00AE36C9" w:rsidRPr="00B57B36" w:rsidRDefault="00AE36C9" w:rsidP="006550BB">
            <w:pPr>
              <w:pStyle w:val="CETBodytext"/>
              <w:spacing w:line="240" w:lineRule="auto"/>
              <w:rPr>
                <w:lang w:val="en-GB"/>
              </w:rPr>
            </w:pPr>
            <w:r>
              <w:rPr>
                <w:lang w:val="en-GB"/>
              </w:rPr>
              <w:t>Flow System</w:t>
            </w:r>
          </w:p>
        </w:tc>
        <w:tc>
          <w:tcPr>
            <w:tcW w:w="4252" w:type="dxa"/>
            <w:gridSpan w:val="4"/>
            <w:tcBorders>
              <w:top w:val="single" w:sz="12" w:space="0" w:color="008000"/>
              <w:bottom w:val="nil"/>
            </w:tcBorders>
            <w:shd w:val="clear" w:color="auto" w:fill="FFFFFF"/>
          </w:tcPr>
          <w:p w14:paraId="44E73276" w14:textId="77777777" w:rsidR="00AE36C9" w:rsidRPr="00B57B36" w:rsidRDefault="00AE36C9" w:rsidP="006550BB">
            <w:pPr>
              <w:pStyle w:val="CETBodytext"/>
              <w:spacing w:line="240" w:lineRule="auto"/>
              <w:rPr>
                <w:rFonts w:cs="Arial"/>
                <w:szCs w:val="18"/>
                <w:lang w:val="en-GB"/>
              </w:rPr>
            </w:pPr>
            <w:r>
              <w:rPr>
                <w:lang w:val="en-GB"/>
              </w:rPr>
              <w:t>Numerical grid (</w:t>
            </w:r>
            <w:r w:rsidR="006550BB">
              <w:rPr>
                <w:lang w:val="en-GB"/>
              </w:rPr>
              <w:t xml:space="preserve">number of </w:t>
            </w:r>
            <w:r>
              <w:rPr>
                <w:lang w:val="en-GB"/>
              </w:rPr>
              <w:t>control volumes)</w:t>
            </w:r>
          </w:p>
        </w:tc>
      </w:tr>
      <w:tr w:rsidR="00AE36C9" w:rsidRPr="00B57B36" w14:paraId="041A5A2C" w14:textId="77777777" w:rsidTr="000B103B">
        <w:tc>
          <w:tcPr>
            <w:tcW w:w="1418" w:type="dxa"/>
            <w:tcBorders>
              <w:top w:val="nil"/>
              <w:bottom w:val="single" w:sz="4" w:space="0" w:color="auto"/>
            </w:tcBorders>
            <w:shd w:val="clear" w:color="auto" w:fill="FFFFFF"/>
          </w:tcPr>
          <w:p w14:paraId="172A010C" w14:textId="77777777" w:rsidR="00AE36C9" w:rsidRPr="00B57B36" w:rsidRDefault="00AE36C9" w:rsidP="006550BB">
            <w:pPr>
              <w:pStyle w:val="CETBodytext"/>
              <w:spacing w:line="240" w:lineRule="auto"/>
              <w:rPr>
                <w:lang w:val="en-GB"/>
              </w:rPr>
            </w:pPr>
          </w:p>
        </w:tc>
        <w:tc>
          <w:tcPr>
            <w:tcW w:w="850" w:type="dxa"/>
            <w:tcBorders>
              <w:top w:val="nil"/>
              <w:bottom w:val="single" w:sz="4" w:space="0" w:color="auto"/>
            </w:tcBorders>
            <w:shd w:val="clear" w:color="auto" w:fill="FFFFFF"/>
          </w:tcPr>
          <w:p w14:paraId="4176DFD5" w14:textId="77777777" w:rsidR="00AE36C9" w:rsidRPr="00B57B36" w:rsidRDefault="00AE36C9" w:rsidP="006550BB">
            <w:pPr>
              <w:pStyle w:val="CETBodytext"/>
              <w:spacing w:line="240" w:lineRule="auto"/>
              <w:rPr>
                <w:lang w:val="en-GB"/>
              </w:rPr>
            </w:pPr>
            <w:r>
              <w:rPr>
                <w:lang w:val="en-GB"/>
              </w:rPr>
              <w:t>760,000</w:t>
            </w:r>
          </w:p>
        </w:tc>
        <w:tc>
          <w:tcPr>
            <w:tcW w:w="1134" w:type="dxa"/>
            <w:tcBorders>
              <w:top w:val="nil"/>
              <w:bottom w:val="single" w:sz="4" w:space="0" w:color="auto"/>
            </w:tcBorders>
            <w:shd w:val="clear" w:color="auto" w:fill="FFFFFF"/>
          </w:tcPr>
          <w:p w14:paraId="0875CA3F" w14:textId="77777777" w:rsidR="00AE36C9" w:rsidRPr="00B57B36" w:rsidRDefault="00AE36C9" w:rsidP="006550BB">
            <w:pPr>
              <w:pStyle w:val="CETBodytext"/>
              <w:spacing w:line="240" w:lineRule="auto"/>
              <w:rPr>
                <w:lang w:val="en-GB"/>
              </w:rPr>
            </w:pPr>
            <w:r>
              <w:rPr>
                <w:lang w:val="en-GB"/>
              </w:rPr>
              <w:t>1,600,000</w:t>
            </w:r>
          </w:p>
        </w:tc>
        <w:tc>
          <w:tcPr>
            <w:tcW w:w="1134" w:type="dxa"/>
            <w:tcBorders>
              <w:top w:val="nil"/>
              <w:bottom w:val="single" w:sz="4" w:space="0" w:color="auto"/>
            </w:tcBorders>
            <w:shd w:val="clear" w:color="auto" w:fill="FFFFFF"/>
          </w:tcPr>
          <w:p w14:paraId="29DC7A87" w14:textId="77777777" w:rsidR="00AE36C9" w:rsidRPr="00B57B36" w:rsidRDefault="00AE36C9" w:rsidP="006550BB">
            <w:pPr>
              <w:pStyle w:val="CETBodytext"/>
              <w:spacing w:line="240" w:lineRule="auto"/>
              <w:ind w:right="-1"/>
              <w:rPr>
                <w:rFonts w:cs="Arial"/>
                <w:szCs w:val="18"/>
                <w:lang w:val="en-GB"/>
              </w:rPr>
            </w:pPr>
            <w:r>
              <w:rPr>
                <w:rFonts w:cs="Arial"/>
                <w:szCs w:val="18"/>
                <w:lang w:val="en-GB"/>
              </w:rPr>
              <w:t>2,460,000</w:t>
            </w:r>
          </w:p>
        </w:tc>
        <w:tc>
          <w:tcPr>
            <w:tcW w:w="1134" w:type="dxa"/>
            <w:tcBorders>
              <w:top w:val="nil"/>
              <w:bottom w:val="single" w:sz="4" w:space="0" w:color="auto"/>
            </w:tcBorders>
            <w:shd w:val="clear" w:color="auto" w:fill="FFFFFF"/>
          </w:tcPr>
          <w:p w14:paraId="0A5543E5" w14:textId="77777777" w:rsidR="00AE36C9" w:rsidRPr="00B57B36" w:rsidRDefault="00AE36C9" w:rsidP="006550BB">
            <w:pPr>
              <w:pStyle w:val="CETBodytext"/>
              <w:spacing w:line="240" w:lineRule="auto"/>
              <w:ind w:right="-1"/>
              <w:rPr>
                <w:rFonts w:cs="Arial"/>
                <w:szCs w:val="18"/>
                <w:lang w:val="en-GB"/>
              </w:rPr>
            </w:pPr>
            <w:r>
              <w:rPr>
                <w:rFonts w:cs="Arial"/>
                <w:szCs w:val="18"/>
                <w:lang w:val="en-GB"/>
              </w:rPr>
              <w:t>3,500,000</w:t>
            </w:r>
          </w:p>
        </w:tc>
      </w:tr>
      <w:tr w:rsidR="00AE36C9" w:rsidRPr="00B57B36" w14:paraId="0189E54B" w14:textId="77777777" w:rsidTr="006550BB">
        <w:tc>
          <w:tcPr>
            <w:tcW w:w="1418" w:type="dxa"/>
            <w:tcBorders>
              <w:top w:val="single" w:sz="4" w:space="0" w:color="auto"/>
            </w:tcBorders>
            <w:shd w:val="clear" w:color="auto" w:fill="FFFFFF"/>
          </w:tcPr>
          <w:p w14:paraId="02020362" w14:textId="77777777" w:rsidR="00AE36C9" w:rsidRDefault="00AE36C9" w:rsidP="006550BB">
            <w:pPr>
              <w:pStyle w:val="CETBodytext"/>
              <w:spacing w:line="240" w:lineRule="auto"/>
              <w:rPr>
                <w:lang w:val="en-GB"/>
              </w:rPr>
            </w:pPr>
            <w:r>
              <w:rPr>
                <w:lang w:val="en-GB"/>
              </w:rPr>
              <w:t>Water-Ethanol</w:t>
            </w:r>
          </w:p>
        </w:tc>
        <w:tc>
          <w:tcPr>
            <w:tcW w:w="850" w:type="dxa"/>
            <w:tcBorders>
              <w:top w:val="single" w:sz="4" w:space="0" w:color="auto"/>
            </w:tcBorders>
            <w:shd w:val="clear" w:color="auto" w:fill="FFFFFF"/>
          </w:tcPr>
          <w:p w14:paraId="22487F53"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14.99</w:t>
            </w:r>
          </w:p>
        </w:tc>
        <w:tc>
          <w:tcPr>
            <w:tcW w:w="1134" w:type="dxa"/>
            <w:tcBorders>
              <w:top w:val="single" w:sz="4" w:space="0" w:color="auto"/>
            </w:tcBorders>
            <w:shd w:val="clear" w:color="auto" w:fill="FFFFFF"/>
            <w:vAlign w:val="center"/>
          </w:tcPr>
          <w:p w14:paraId="524959E3"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5.53</w:t>
            </w:r>
          </w:p>
        </w:tc>
        <w:tc>
          <w:tcPr>
            <w:tcW w:w="1134" w:type="dxa"/>
            <w:tcBorders>
              <w:top w:val="single" w:sz="4" w:space="0" w:color="auto"/>
            </w:tcBorders>
            <w:shd w:val="clear" w:color="auto" w:fill="FFFFFF"/>
            <w:vAlign w:val="center"/>
          </w:tcPr>
          <w:p w14:paraId="630A35ED"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6.66</w:t>
            </w:r>
          </w:p>
        </w:tc>
        <w:tc>
          <w:tcPr>
            <w:tcW w:w="1134" w:type="dxa"/>
            <w:tcBorders>
              <w:top w:val="single" w:sz="4" w:space="0" w:color="auto"/>
            </w:tcBorders>
            <w:shd w:val="clear" w:color="auto" w:fill="FFFFFF"/>
            <w:vAlign w:val="center"/>
          </w:tcPr>
          <w:p w14:paraId="19C3A47C"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3.43</w:t>
            </w:r>
          </w:p>
        </w:tc>
      </w:tr>
      <w:tr w:rsidR="00AE36C9" w:rsidRPr="00B57B36" w14:paraId="60F58F79" w14:textId="77777777" w:rsidTr="000B103B">
        <w:tc>
          <w:tcPr>
            <w:tcW w:w="1418" w:type="dxa"/>
            <w:shd w:val="clear" w:color="auto" w:fill="FFFFFF"/>
          </w:tcPr>
          <w:p w14:paraId="222E2339" w14:textId="77777777" w:rsidR="00AE36C9" w:rsidRPr="00B57B36" w:rsidRDefault="00AE36C9" w:rsidP="006550BB">
            <w:pPr>
              <w:pStyle w:val="CETBodytext"/>
              <w:spacing w:line="240" w:lineRule="auto"/>
              <w:rPr>
                <w:lang w:val="en-GB"/>
              </w:rPr>
            </w:pPr>
            <w:r>
              <w:rPr>
                <w:lang w:val="en-GB"/>
              </w:rPr>
              <w:t>Oil-Ethanol</w:t>
            </w:r>
          </w:p>
        </w:tc>
        <w:tc>
          <w:tcPr>
            <w:tcW w:w="850" w:type="dxa"/>
            <w:shd w:val="clear" w:color="auto" w:fill="FFFFFF"/>
            <w:vAlign w:val="center"/>
          </w:tcPr>
          <w:p w14:paraId="5F0A054B"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15.69</w:t>
            </w:r>
          </w:p>
        </w:tc>
        <w:tc>
          <w:tcPr>
            <w:tcW w:w="1134" w:type="dxa"/>
            <w:shd w:val="clear" w:color="auto" w:fill="FFFFFF"/>
            <w:vAlign w:val="center"/>
          </w:tcPr>
          <w:p w14:paraId="1E79ED72"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5.86</w:t>
            </w:r>
          </w:p>
        </w:tc>
        <w:tc>
          <w:tcPr>
            <w:tcW w:w="1134" w:type="dxa"/>
            <w:shd w:val="clear" w:color="auto" w:fill="FFFFFF"/>
            <w:vAlign w:val="center"/>
          </w:tcPr>
          <w:p w14:paraId="4696EC74"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8.13</w:t>
            </w:r>
          </w:p>
        </w:tc>
        <w:tc>
          <w:tcPr>
            <w:tcW w:w="1134" w:type="dxa"/>
            <w:shd w:val="clear" w:color="auto" w:fill="FFFFFF"/>
            <w:vAlign w:val="center"/>
          </w:tcPr>
          <w:p w14:paraId="26FA0744" w14:textId="77777777" w:rsidR="00AE36C9" w:rsidRPr="000B103B" w:rsidRDefault="00AE36C9" w:rsidP="006550BB">
            <w:pPr>
              <w:widowControl w:val="0"/>
              <w:autoSpaceDE w:val="0"/>
              <w:autoSpaceDN w:val="0"/>
              <w:adjustRightInd w:val="0"/>
              <w:spacing w:line="240" w:lineRule="auto"/>
              <w:ind w:right="62"/>
              <w:jc w:val="left"/>
              <w:rPr>
                <w:rFonts w:cs="Arial"/>
                <w:lang w:val="en-US"/>
              </w:rPr>
            </w:pPr>
            <w:r w:rsidRPr="000B103B">
              <w:rPr>
                <w:rFonts w:cs="Arial"/>
                <w:lang w:val="en-US"/>
              </w:rPr>
              <w:t>3.37</w:t>
            </w:r>
          </w:p>
        </w:tc>
      </w:tr>
    </w:tbl>
    <w:p w14:paraId="478DF1A5" w14:textId="77777777" w:rsidR="005D4661" w:rsidRDefault="005D4661" w:rsidP="005D4661">
      <w:pPr>
        <w:pStyle w:val="CETCaption"/>
        <w:rPr>
          <w:lang w:val="en-US"/>
        </w:rPr>
      </w:pPr>
      <w:r>
        <w:rPr>
          <w:noProof/>
          <w:lang w:val="pt-BR" w:eastAsia="pt-BR"/>
        </w:rPr>
        <w:drawing>
          <wp:inline distT="0" distB="0" distL="0" distR="0" wp14:anchorId="6BF0E09D" wp14:editId="12E5E2BF">
            <wp:extent cx="5580000" cy="2171027"/>
            <wp:effectExtent l="0" t="0" r="1905" b="127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0000" cy="2171027"/>
                    </a:xfrm>
                    <a:prstGeom prst="rect">
                      <a:avLst/>
                    </a:prstGeom>
                    <a:noFill/>
                    <a:ln>
                      <a:noFill/>
                    </a:ln>
                  </pic:spPr>
                </pic:pic>
              </a:graphicData>
            </a:graphic>
          </wp:inline>
        </w:drawing>
      </w:r>
    </w:p>
    <w:p w14:paraId="2B7C14DE" w14:textId="77777777" w:rsidR="005D4661" w:rsidRDefault="005D4661" w:rsidP="005D4661">
      <w:pPr>
        <w:pStyle w:val="CETCaption"/>
        <w:rPr>
          <w:lang w:val="en-US"/>
        </w:rPr>
      </w:pPr>
      <w:r w:rsidRPr="00C65D51">
        <w:rPr>
          <w:lang w:val="en-US"/>
        </w:rPr>
        <w:t>Figure</w:t>
      </w:r>
      <w:r>
        <w:rPr>
          <w:lang w:val="en-US"/>
        </w:rPr>
        <w:t xml:space="preserve"> 2</w:t>
      </w:r>
      <w:r w:rsidRPr="00C65D51">
        <w:rPr>
          <w:lang w:val="en-US"/>
        </w:rPr>
        <w:t xml:space="preserve"> – </w:t>
      </w:r>
      <w:r>
        <w:rPr>
          <w:lang w:val="en-US"/>
        </w:rPr>
        <w:t xml:space="preserve">Axial velocity profiles at outlet channel predicted by different grid refinement levels for: </w:t>
      </w:r>
      <w:r w:rsidRPr="00C65D51">
        <w:rPr>
          <w:lang w:val="en-US"/>
        </w:rPr>
        <w:t xml:space="preserve">(a) </w:t>
      </w:r>
      <w:r>
        <w:rPr>
          <w:lang w:val="en-US"/>
        </w:rPr>
        <w:t>water-ethanol flow; (b) oil-ethanol flow.</w:t>
      </w:r>
    </w:p>
    <w:p w14:paraId="52395EE4" w14:textId="77777777" w:rsidR="00E75F75" w:rsidRDefault="00E75F75" w:rsidP="00E75F75">
      <w:pPr>
        <w:pStyle w:val="CETBodytext"/>
      </w:pPr>
      <w:r>
        <w:t xml:space="preserve">The numerical solution independence on spatial discretization was noticed from </w:t>
      </w:r>
      <w:r w:rsidR="0017788E">
        <w:t>3,500,000 elements. From Table 2</w:t>
      </w:r>
      <w:r>
        <w:t xml:space="preserve"> was noticed that this refinement level provided the closest pressure drop </w:t>
      </w:r>
      <w:r w:rsidR="000D09D3">
        <w:t xml:space="preserve">concerning </w:t>
      </w:r>
      <w:r>
        <w:t xml:space="preserve">the most refined grid (reference mesh) for both systems, resulting in deviations </w:t>
      </w:r>
      <w:r w:rsidR="004809E2">
        <w:t>of</w:t>
      </w:r>
      <w:r>
        <w:t xml:space="preserve"> pressure drop below 3.5%. Moreover, analyzing the axial velocity profiles for both systems (Figure 2), the grid composed by 3.5 million elements also presented the closest approximation to the most refined mesh. </w:t>
      </w:r>
      <w:r w:rsidR="000D09D3">
        <w:t>The c</w:t>
      </w:r>
      <w:r>
        <w:t xml:space="preserve">oarser meshes resulted in higher deviations, not achieving </w:t>
      </w:r>
      <w:r w:rsidR="000D09D3">
        <w:t>spatial</w:t>
      </w:r>
      <w:r>
        <w:t xml:space="preserve"> discretization independence. Despite the higher differences in the velocity profile of both systems, once the flow rate required for oil-ethanol was higher for same Reynolds number, the grid composed by 3,500,000 control volumes provided spatial discretization independence for both flow systems. Based on these results, the 3.5 x 10</w:t>
      </w:r>
      <w:r w:rsidRPr="00D60FF3">
        <w:rPr>
          <w:vertAlign w:val="superscript"/>
        </w:rPr>
        <w:t>6</w:t>
      </w:r>
      <w:r>
        <w:t xml:space="preserve"> elements mesh was chosen for further analyses. The </w:t>
      </w:r>
      <w:r w:rsidRPr="00775418">
        <w:rPr>
          <w:i/>
        </w:rPr>
        <w:t>h</w:t>
      </w:r>
      <w:r w:rsidRPr="00775418">
        <w:rPr>
          <w:i/>
          <w:vertAlign w:val="subscript"/>
        </w:rPr>
        <w:t>grid</w:t>
      </w:r>
      <w:r>
        <w:t xml:space="preserve"> from this mesh was 18.16 μm, resulting in grids composed </w:t>
      </w:r>
      <w:r w:rsidR="000D09D3">
        <w:t>by</w:t>
      </w:r>
      <w:r>
        <w:t xml:space="preserve"> about </w:t>
      </w:r>
      <w:r w:rsidRPr="00775418">
        <w:rPr>
          <w:i/>
        </w:rPr>
        <w:t>N</w:t>
      </w:r>
      <w:r w:rsidRPr="00775418">
        <w:rPr>
          <w:i/>
          <w:vertAlign w:val="subscript"/>
        </w:rPr>
        <w:t>grid</w:t>
      </w:r>
      <w:r>
        <w:t xml:space="preserve"> = 3.6 x 10</w:t>
      </w:r>
      <w:r w:rsidRPr="00D60FF3">
        <w:rPr>
          <w:vertAlign w:val="superscript"/>
        </w:rPr>
        <w:t>6</w:t>
      </w:r>
      <w:r>
        <w:rPr>
          <w:vertAlign w:val="superscript"/>
        </w:rPr>
        <w:t xml:space="preserve"> </w:t>
      </w:r>
      <w:r>
        <w:t>(geometry 1, d = 150 μm) and 3.34 x 10</w:t>
      </w:r>
      <w:r w:rsidRPr="00D60FF3">
        <w:rPr>
          <w:vertAlign w:val="superscript"/>
        </w:rPr>
        <w:t>6</w:t>
      </w:r>
      <w:r>
        <w:rPr>
          <w:vertAlign w:val="superscript"/>
        </w:rPr>
        <w:t xml:space="preserve"> </w:t>
      </w:r>
      <w:r>
        <w:t>(geometry 3, d = 600 μm).</w:t>
      </w:r>
    </w:p>
    <w:p w14:paraId="7DFA2D49" w14:textId="77777777" w:rsidR="000D09D3" w:rsidRDefault="000D09D3" w:rsidP="00E75F75">
      <w:pPr>
        <w:pStyle w:val="CETBodytext"/>
      </w:pPr>
    </w:p>
    <w:p w14:paraId="01A84F45" w14:textId="77777777" w:rsidR="00E75F75" w:rsidRPr="00652F74" w:rsidRDefault="00E75F75" w:rsidP="00E75F75">
      <w:pPr>
        <w:pStyle w:val="CETheadingx"/>
      </w:pPr>
      <w:r>
        <w:lastRenderedPageBreak/>
        <w:t>Fluid Mixing Analysis</w:t>
      </w:r>
    </w:p>
    <w:p w14:paraId="30F5C663" w14:textId="77777777" w:rsidR="00E75F75" w:rsidRDefault="00E75F75" w:rsidP="00E75F75">
      <w:pPr>
        <w:pStyle w:val="CETBodytext"/>
      </w:pPr>
      <w:r w:rsidRPr="00E75F75">
        <w:t xml:space="preserve">The fluids mixing performance was evaluated by ranging the water-based Reynolds number from 0.01 to 100. Figure </w:t>
      </w:r>
      <w:r w:rsidR="004809E2">
        <w:t>3</w:t>
      </w:r>
      <w:r w:rsidRPr="00E75F75">
        <w:t xml:space="preserve">(a,b) presents the predicted Mixing Index (MI) at the outlet channel for </w:t>
      </w:r>
      <w:r w:rsidR="004809E2">
        <w:t>the water-ethanol flow. Figure 3</w:t>
      </w:r>
      <w:r w:rsidRPr="00E75F75">
        <w:t>(c,d) presents the results for oil-ethanol flow</w:t>
      </w:r>
      <w:r w:rsidR="006045B7">
        <w:t xml:space="preserve">. The PI results are summarized in Table </w:t>
      </w:r>
      <w:r w:rsidR="0017788E">
        <w:t>3</w:t>
      </w:r>
      <w:r w:rsidR="006045B7">
        <w:t>.</w:t>
      </w:r>
    </w:p>
    <w:p w14:paraId="5FC87FE8" w14:textId="7AA327CD" w:rsidR="006045B7" w:rsidRPr="00160955" w:rsidRDefault="006045B7" w:rsidP="00F07365">
      <w:pPr>
        <w:pStyle w:val="CETCaption"/>
        <w:rPr>
          <w:lang w:val="en-US"/>
        </w:rPr>
      </w:pPr>
      <w:r w:rsidRPr="00160955">
        <w:rPr>
          <w:noProof/>
          <w:lang w:val="pt-BR" w:eastAsia="pt-BR"/>
        </w:rPr>
        <w:drawing>
          <wp:inline distT="0" distB="0" distL="0" distR="0" wp14:anchorId="6CFD0584" wp14:editId="41C97890">
            <wp:extent cx="5580000" cy="3132097"/>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a:extLst>
                        <a:ext uri="{28A0092B-C50C-407E-A947-70E740481C1C}">
                          <a14:useLocalDpi xmlns:a14="http://schemas.microsoft.com/office/drawing/2010/main" val="0"/>
                        </a:ext>
                      </a:extLst>
                    </a:blip>
                    <a:srcRect l="1567" r="998"/>
                    <a:stretch/>
                  </pic:blipFill>
                  <pic:spPr bwMode="auto">
                    <a:xfrm>
                      <a:off x="0" y="0"/>
                      <a:ext cx="5580000" cy="3132097"/>
                    </a:xfrm>
                    <a:prstGeom prst="rect">
                      <a:avLst/>
                    </a:prstGeom>
                    <a:noFill/>
                    <a:ln>
                      <a:noFill/>
                    </a:ln>
                    <a:extLst>
                      <a:ext uri="{53640926-AAD7-44D8-BBD7-CCE9431645EC}">
                        <a14:shadowObscured xmlns:a14="http://schemas.microsoft.com/office/drawing/2010/main"/>
                      </a:ext>
                    </a:extLst>
                  </pic:spPr>
                </pic:pic>
              </a:graphicData>
            </a:graphic>
          </wp:inline>
        </w:drawing>
      </w:r>
    </w:p>
    <w:p w14:paraId="0B85BB6E" w14:textId="034F6BC9" w:rsidR="006045B7" w:rsidRDefault="006045B7" w:rsidP="006045B7">
      <w:pPr>
        <w:pStyle w:val="CETCaption"/>
      </w:pPr>
      <w:r w:rsidRPr="00160955">
        <w:rPr>
          <w:lang w:val="en-US"/>
        </w:rPr>
        <w:t xml:space="preserve">Figure </w:t>
      </w:r>
      <w:r w:rsidR="004809E2">
        <w:rPr>
          <w:lang w:val="en-US"/>
        </w:rPr>
        <w:t>3</w:t>
      </w:r>
      <w:r w:rsidRPr="00160955">
        <w:rPr>
          <w:lang w:val="en-US"/>
        </w:rPr>
        <w:t xml:space="preserve"> – Mixing Index (MI) obtained for: (a) water-ethanol (Re: 0.01 to 100); (b) water-ethanol (lower Re: 0.01 to 1); (c) oil-ethanol (Re: 0.01 to 100); (d) oil-ethanol (lower Re: 0.01 to 1).</w:t>
      </w:r>
    </w:p>
    <w:p w14:paraId="1A75ACBE" w14:textId="5EEAE05C" w:rsidR="00FE6C3F" w:rsidRDefault="006045B7" w:rsidP="006045B7">
      <w:pPr>
        <w:pStyle w:val="CETBodytext"/>
        <w:rPr>
          <w:bCs/>
          <w:szCs w:val="28"/>
        </w:rPr>
      </w:pPr>
      <w:r w:rsidRPr="00812D8A">
        <w:t xml:space="preserve">For oil-ethanol system, the mixing index dependence on Reynolds number decrease until the minimum at Re = 10. All three geometries promoted similar results, with slight differences. The higher mixing indexes were 0.693 (PI = </w:t>
      </w:r>
      <w:r w:rsidRPr="00F07365">
        <w:rPr>
          <w:szCs w:val="24"/>
          <w:lang w:eastAsia="pt-BR"/>
        </w:rPr>
        <w:t>9.11 x 10</w:t>
      </w:r>
      <w:r w:rsidRPr="00F07365">
        <w:rPr>
          <w:szCs w:val="24"/>
          <w:vertAlign w:val="superscript"/>
          <w:lang w:eastAsia="pt-BR"/>
        </w:rPr>
        <w:t>-3</w:t>
      </w:r>
      <w:r w:rsidRPr="00812D8A">
        <w:rPr>
          <w:vertAlign w:val="superscript"/>
          <w:lang w:eastAsia="pt-BR"/>
        </w:rPr>
        <w:t xml:space="preserve"> </w:t>
      </w:r>
      <w:r w:rsidR="004809E2" w:rsidRPr="00812D8A">
        <w:rPr>
          <w:lang w:eastAsia="pt-BR"/>
        </w:rPr>
        <w:t xml:space="preserve">% </w:t>
      </w:r>
      <w:r w:rsidRPr="00812D8A">
        <w:t>Pa</w:t>
      </w:r>
      <w:r w:rsidRPr="00812D8A">
        <w:rPr>
          <w:vertAlign w:val="superscript"/>
        </w:rPr>
        <w:t>-1</w:t>
      </w:r>
      <w:r w:rsidRPr="00812D8A">
        <w:t xml:space="preserve">), 0.689 (PI = </w:t>
      </w:r>
      <w:r w:rsidRPr="00F07365">
        <w:rPr>
          <w:szCs w:val="24"/>
          <w:lang w:eastAsia="pt-BR"/>
        </w:rPr>
        <w:t>9.22 x 10</w:t>
      </w:r>
      <w:r w:rsidRPr="00F07365">
        <w:rPr>
          <w:szCs w:val="24"/>
          <w:vertAlign w:val="superscript"/>
          <w:lang w:eastAsia="pt-BR"/>
        </w:rPr>
        <w:t>-3</w:t>
      </w:r>
      <w:r w:rsidRPr="00812D8A">
        <w:rPr>
          <w:vertAlign w:val="superscript"/>
          <w:lang w:eastAsia="pt-BR"/>
        </w:rPr>
        <w:t xml:space="preserve"> </w:t>
      </w:r>
      <w:r w:rsidR="00812D8A" w:rsidRPr="00812D8A">
        <w:rPr>
          <w:lang w:eastAsia="pt-BR"/>
        </w:rPr>
        <w:t xml:space="preserve">% </w:t>
      </w:r>
      <w:r w:rsidRPr="00812D8A">
        <w:t>Pa</w:t>
      </w:r>
      <w:r w:rsidRPr="00812D8A">
        <w:rPr>
          <w:vertAlign w:val="superscript"/>
        </w:rPr>
        <w:t>-1</w:t>
      </w:r>
      <w:r w:rsidRPr="00812D8A">
        <w:t xml:space="preserve">) and 0.688 (PI = </w:t>
      </w:r>
      <w:r w:rsidRPr="00F07365">
        <w:rPr>
          <w:szCs w:val="24"/>
          <w:lang w:eastAsia="pt-BR"/>
        </w:rPr>
        <w:t>9.10 x 10</w:t>
      </w:r>
      <w:r w:rsidRPr="00F07365">
        <w:rPr>
          <w:szCs w:val="24"/>
          <w:vertAlign w:val="superscript"/>
          <w:lang w:eastAsia="pt-BR"/>
        </w:rPr>
        <w:t>-3</w:t>
      </w:r>
      <w:r w:rsidRPr="00812D8A">
        <w:t xml:space="preserve"> </w:t>
      </w:r>
      <w:r w:rsidR="004D4446" w:rsidRPr="00812D8A">
        <w:rPr>
          <w:lang w:eastAsia="pt-BR"/>
        </w:rPr>
        <w:t xml:space="preserve">% </w:t>
      </w:r>
      <w:r w:rsidRPr="00812D8A">
        <w:t>Pa</w:t>
      </w:r>
      <w:r w:rsidRPr="00812D8A">
        <w:rPr>
          <w:vertAlign w:val="superscript"/>
        </w:rPr>
        <w:t>-1</w:t>
      </w:r>
      <w:r w:rsidRPr="00812D8A">
        <w:t xml:space="preserve">) for the obstacle diameters of 150 µm, 450 µm and 600 µm, respectively (Figure </w:t>
      </w:r>
      <w:r w:rsidR="004809E2" w:rsidRPr="00812D8A">
        <w:t>3</w:t>
      </w:r>
      <w:r w:rsidRPr="00812D8A">
        <w:t xml:space="preserve">c,d). Increasing the Reynolds number from 10 to 100, MI slightly increased from about 0.63 to 0.64, however, the PI decrease from about </w:t>
      </w:r>
      <w:r w:rsidRPr="00812D8A">
        <w:rPr>
          <w:lang w:eastAsia="pt-BR"/>
        </w:rPr>
        <w:t>8.6</w:t>
      </w:r>
      <w:r w:rsidRPr="00F07365">
        <w:rPr>
          <w:szCs w:val="24"/>
          <w:lang w:eastAsia="pt-BR"/>
        </w:rPr>
        <w:t xml:space="preserve"> x 10</w:t>
      </w:r>
      <w:r w:rsidRPr="00F07365">
        <w:rPr>
          <w:szCs w:val="24"/>
          <w:vertAlign w:val="superscript"/>
          <w:lang w:eastAsia="pt-BR"/>
        </w:rPr>
        <w:t>-</w:t>
      </w:r>
      <w:r w:rsidR="004809E2" w:rsidRPr="00812D8A">
        <w:rPr>
          <w:vertAlign w:val="superscript"/>
          <w:lang w:eastAsia="pt-BR"/>
        </w:rPr>
        <w:t>4</w:t>
      </w:r>
      <w:r w:rsidRPr="00812D8A">
        <w:rPr>
          <w:vertAlign w:val="superscript"/>
          <w:lang w:eastAsia="pt-BR"/>
        </w:rPr>
        <w:t xml:space="preserve"> </w:t>
      </w:r>
      <w:r w:rsidR="004809E2" w:rsidRPr="00812D8A">
        <w:rPr>
          <w:lang w:eastAsia="pt-BR"/>
        </w:rPr>
        <w:t xml:space="preserve">% </w:t>
      </w:r>
      <w:r w:rsidRPr="00812D8A">
        <w:t>Pa</w:t>
      </w:r>
      <w:r w:rsidRPr="00812D8A">
        <w:rPr>
          <w:vertAlign w:val="superscript"/>
        </w:rPr>
        <w:t>-1</w:t>
      </w:r>
      <w:r w:rsidRPr="00812D8A">
        <w:t xml:space="preserve"> to </w:t>
      </w:r>
      <w:r w:rsidRPr="00F07365">
        <w:rPr>
          <w:szCs w:val="24"/>
          <w:lang w:eastAsia="pt-BR"/>
        </w:rPr>
        <w:t>7.</w:t>
      </w:r>
      <w:r w:rsidRPr="00812D8A">
        <w:rPr>
          <w:lang w:eastAsia="pt-BR"/>
        </w:rPr>
        <w:t>7</w:t>
      </w:r>
      <w:r w:rsidRPr="00F07365">
        <w:rPr>
          <w:szCs w:val="24"/>
          <w:lang w:eastAsia="pt-BR"/>
        </w:rPr>
        <w:t xml:space="preserve"> x 10</w:t>
      </w:r>
      <w:r w:rsidRPr="00F07365">
        <w:rPr>
          <w:szCs w:val="24"/>
          <w:vertAlign w:val="superscript"/>
          <w:lang w:eastAsia="pt-BR"/>
        </w:rPr>
        <w:t>-</w:t>
      </w:r>
      <w:r w:rsidR="004809E2" w:rsidRPr="00812D8A">
        <w:rPr>
          <w:szCs w:val="24"/>
          <w:vertAlign w:val="superscript"/>
          <w:lang w:eastAsia="pt-BR"/>
        </w:rPr>
        <w:t>3</w:t>
      </w:r>
      <w:r w:rsidRPr="00812D8A">
        <w:rPr>
          <w:vertAlign w:val="superscript"/>
          <w:lang w:eastAsia="pt-BR"/>
        </w:rPr>
        <w:t xml:space="preserve"> </w:t>
      </w:r>
      <w:r w:rsidR="004809E2" w:rsidRPr="00812D8A">
        <w:rPr>
          <w:lang w:eastAsia="pt-BR"/>
        </w:rPr>
        <w:t xml:space="preserve">% </w:t>
      </w:r>
      <w:r w:rsidRPr="00812D8A">
        <w:t>Pa</w:t>
      </w:r>
      <w:r w:rsidRPr="00812D8A">
        <w:rPr>
          <w:vertAlign w:val="superscript"/>
        </w:rPr>
        <w:t>-1</w:t>
      </w:r>
      <w:r w:rsidRPr="00812D8A">
        <w:t xml:space="preserve"> (average PI from the geometries) due to the pressure drop increment. The minimum pressure drop of 74.5 Pa was noticed for the geometry 2 (d = 450 µm). The increment of Reynolds number provided shorter residence time for the fluids, not increasing the fluid mixing. </w:t>
      </w:r>
      <w:r w:rsidRPr="00812D8A">
        <w:rPr>
          <w:bCs/>
          <w:szCs w:val="28"/>
        </w:rPr>
        <w:t xml:space="preserve">In general, the PI decreased with the Reynolds number. Above Re = 10, the three designs presented similar performance. The superior performance index was provided by the geometry 3 (d = 600 </w:t>
      </w:r>
      <w:r w:rsidRPr="00812D8A">
        <w:rPr>
          <w:szCs w:val="22"/>
          <w:lang w:eastAsia="pt-BR"/>
        </w:rPr>
        <w:t>μm</w:t>
      </w:r>
      <w:r w:rsidRPr="00812D8A">
        <w:rPr>
          <w:bCs/>
          <w:szCs w:val="28"/>
        </w:rPr>
        <w:t xml:space="preserve">) for water-ethanol flow. For the viscous oil-ethanol flow, the </w:t>
      </w:r>
      <w:r w:rsidRPr="00F07365">
        <w:rPr>
          <w:bCs/>
          <w:szCs w:val="28"/>
        </w:rPr>
        <w:t>PI</w:t>
      </w:r>
      <w:r w:rsidRPr="00812D8A">
        <w:rPr>
          <w:bCs/>
          <w:szCs w:val="28"/>
        </w:rPr>
        <w:t xml:space="preserve"> is very low compared to water-ethanol flow, since the pressure drop increased about 600 times. The UCCFM design with d = 600 </w:t>
      </w:r>
      <w:r w:rsidRPr="00812D8A">
        <w:rPr>
          <w:szCs w:val="22"/>
          <w:lang w:eastAsia="pt-BR"/>
        </w:rPr>
        <w:t>μm</w:t>
      </w:r>
      <w:r w:rsidRPr="00812D8A">
        <w:rPr>
          <w:bCs/>
          <w:szCs w:val="28"/>
        </w:rPr>
        <w:t xml:space="preserve"> allowed a good fluid mixing for the water-ethanol at Re = 0.01 with a very low pressure drop of 0.123 Pa. </w:t>
      </w:r>
    </w:p>
    <w:p w14:paraId="24742DE0" w14:textId="0DB823B6" w:rsidR="006045B7" w:rsidRPr="00812D8A" w:rsidRDefault="006045B7" w:rsidP="006045B7">
      <w:pPr>
        <w:pStyle w:val="CETBodytext"/>
      </w:pPr>
      <w:r w:rsidRPr="00812D8A">
        <w:t xml:space="preserve">The UCCFM presented a superior MI in low Reynolds number regarding other micromixer designs in literature. As example, the MSE micromixer provided higher mixing index, mostly at elevated Reynolds numbers for the same fluid flow systems (oil-ethanol, Santana </w:t>
      </w:r>
      <w:r w:rsidRPr="00F07365">
        <w:t>et al</w:t>
      </w:r>
      <w:r w:rsidR="00812D8A" w:rsidRPr="00812D8A">
        <w:t>.</w:t>
      </w:r>
      <w:r w:rsidRPr="00F07365">
        <w:t>,</w:t>
      </w:r>
      <w:r w:rsidRPr="00812D8A">
        <w:t xml:space="preserve"> 2017), achieving MI = 0.41 at Re = 0.1. </w:t>
      </w:r>
      <w:r w:rsidR="00BF1176">
        <w:t>For Re = 0.01,</w:t>
      </w:r>
      <w:r w:rsidR="00702F14">
        <w:t xml:space="preserve"> the</w:t>
      </w:r>
      <w:r w:rsidR="00BF1176">
        <w:t xml:space="preserve"> </w:t>
      </w:r>
      <w:r w:rsidRPr="00812D8A">
        <w:t xml:space="preserve">UCCFM provided MI = 0.683, 0.685 and 0.680 for obstacle diameters of 150 µm, 450 µm and 600 µm, respectively. Another advantage of UCCFM is the total size of the micromixer for its manufacturing. The MSE micromixer was manufactured using the soft lithography technique, requiring a total area of about 2500 mm². Using the same technique, the UCCFM microdevice requires only about 511 mm², reinforcing the efficiency of these new micromixers. </w:t>
      </w:r>
      <w:r w:rsidRPr="00812D8A">
        <w:rPr>
          <w:bCs/>
          <w:szCs w:val="28"/>
        </w:rPr>
        <w:t xml:space="preserve">Comparing the </w:t>
      </w:r>
      <w:r w:rsidRPr="00F07365">
        <w:rPr>
          <w:bCs/>
          <w:szCs w:val="28"/>
        </w:rPr>
        <w:t>PI</w:t>
      </w:r>
      <w:r w:rsidRPr="00812D8A">
        <w:rPr>
          <w:bCs/>
          <w:szCs w:val="28"/>
        </w:rPr>
        <w:t xml:space="preserve"> of UCCFM with the obtained by Santana et al. (2017) for the MSE design, the UCCFM presented a performance index (PI</w:t>
      </w:r>
      <w:r w:rsidRPr="00812D8A">
        <w:rPr>
          <w:bCs/>
          <w:szCs w:val="28"/>
          <w:vertAlign w:val="subscript"/>
        </w:rPr>
        <w:t>UCCFM</w:t>
      </w:r>
      <w:r w:rsidRPr="00812D8A">
        <w:rPr>
          <w:bCs/>
          <w:szCs w:val="28"/>
        </w:rPr>
        <w:t xml:space="preserve"> = 9.45 x 10</w:t>
      </w:r>
      <w:r w:rsidR="00BF1176">
        <w:rPr>
          <w:bCs/>
          <w:szCs w:val="28"/>
          <w:vertAlign w:val="superscript"/>
        </w:rPr>
        <w:t>-2</w:t>
      </w:r>
      <w:r w:rsidRPr="00812D8A">
        <w:rPr>
          <w:bCs/>
          <w:szCs w:val="28"/>
        </w:rPr>
        <w:t>) 12 times superior than MSE (PI</w:t>
      </w:r>
      <w:r w:rsidRPr="00812D8A">
        <w:rPr>
          <w:bCs/>
          <w:szCs w:val="28"/>
          <w:vertAlign w:val="subscript"/>
        </w:rPr>
        <w:t>MSE</w:t>
      </w:r>
      <w:r w:rsidRPr="00812D8A">
        <w:rPr>
          <w:bCs/>
          <w:szCs w:val="28"/>
        </w:rPr>
        <w:t xml:space="preserve"> = 7.74 x 10</w:t>
      </w:r>
      <w:r w:rsidRPr="00812D8A">
        <w:rPr>
          <w:bCs/>
          <w:szCs w:val="28"/>
          <w:vertAlign w:val="superscript"/>
        </w:rPr>
        <w:t>-</w:t>
      </w:r>
      <w:r w:rsidR="00BF1176">
        <w:rPr>
          <w:bCs/>
          <w:szCs w:val="28"/>
          <w:vertAlign w:val="superscript"/>
        </w:rPr>
        <w:t>3</w:t>
      </w:r>
      <w:r w:rsidRPr="00812D8A">
        <w:rPr>
          <w:bCs/>
          <w:szCs w:val="28"/>
        </w:rPr>
        <w:t>), showing again the efficiency of the proposed micromixer for a Re = 0.1.</w:t>
      </w:r>
      <w:r w:rsidRPr="00812D8A">
        <w:rPr>
          <w:szCs w:val="22"/>
          <w:lang w:eastAsia="pt-BR"/>
        </w:rPr>
        <w:t xml:space="preserve"> In order to</w:t>
      </w:r>
      <w:r w:rsidRPr="00812D8A">
        <w:rPr>
          <w:bCs/>
          <w:szCs w:val="28"/>
        </w:rPr>
        <w:t xml:space="preserve"> use the UCCFM in operation with higher flow rates or with highly viscous fluids, the micromixer design should be optimized, as for example, using of alternate circular obstacles to reduce more the flow cross section, increasing the velocity and then inducing an effective split and recombination mechanism. </w:t>
      </w:r>
    </w:p>
    <w:p w14:paraId="51B2584A" w14:textId="77777777" w:rsidR="000B103B" w:rsidRDefault="0017788E" w:rsidP="000B103B">
      <w:pPr>
        <w:pStyle w:val="CETTabletitle"/>
      </w:pPr>
      <w:r>
        <w:lastRenderedPageBreak/>
        <w:t>Table 3</w:t>
      </w:r>
      <w:r w:rsidR="000B103B" w:rsidRPr="00B57B36">
        <w:t xml:space="preserve">: </w:t>
      </w:r>
      <w:r w:rsidR="000B103B" w:rsidRPr="000B103B">
        <w:t>Performance index</w:t>
      </w:r>
      <w:r w:rsidR="000B103B">
        <w:t>es</w:t>
      </w:r>
      <w:r w:rsidR="000B103B" w:rsidRPr="000B103B">
        <w:t>, PI</w:t>
      </w:r>
      <w:r w:rsidR="00BF1176">
        <w:t xml:space="preserve"> in % Pa</w:t>
      </w:r>
      <w:r w:rsidR="00BF1176" w:rsidRPr="00BF1176">
        <w:rPr>
          <w:vertAlign w:val="superscript"/>
        </w:rPr>
        <w:t>-1</w:t>
      </w:r>
      <w:r w:rsidR="000B103B" w:rsidRPr="000B103B">
        <w:t>, obtained for both flow systems in all UCCFM designs.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6550BB" w:rsidRPr="00B57B36" w14:paraId="2EC7A101" w14:textId="77777777" w:rsidTr="006550BB">
        <w:tc>
          <w:tcPr>
            <w:tcW w:w="1134" w:type="dxa"/>
            <w:tcBorders>
              <w:top w:val="single" w:sz="12" w:space="0" w:color="008000"/>
              <w:bottom w:val="single" w:sz="6" w:space="0" w:color="008000"/>
            </w:tcBorders>
            <w:shd w:val="clear" w:color="auto" w:fill="FFFFFF"/>
          </w:tcPr>
          <w:p w14:paraId="41F1DD8F" w14:textId="77777777" w:rsidR="006550BB" w:rsidRPr="006550BB" w:rsidRDefault="006550BB" w:rsidP="005D316C">
            <w:pPr>
              <w:pStyle w:val="CETBodytext"/>
              <w:rPr>
                <w:rFonts w:cs="Arial"/>
                <w:szCs w:val="18"/>
                <w:lang w:val="en-GB"/>
              </w:rPr>
            </w:pPr>
            <w:r w:rsidRPr="006550BB">
              <w:rPr>
                <w:rFonts w:cs="Arial"/>
                <w:szCs w:val="18"/>
                <w:lang w:val="en-GB"/>
              </w:rPr>
              <w:t xml:space="preserve">Flow system </w:t>
            </w:r>
          </w:p>
        </w:tc>
        <w:tc>
          <w:tcPr>
            <w:tcW w:w="3402" w:type="dxa"/>
            <w:gridSpan w:val="3"/>
            <w:tcBorders>
              <w:top w:val="single" w:sz="12" w:space="0" w:color="008000"/>
              <w:bottom w:val="single" w:sz="6" w:space="0" w:color="008000"/>
            </w:tcBorders>
            <w:shd w:val="clear" w:color="auto" w:fill="FFFFFF"/>
          </w:tcPr>
          <w:p w14:paraId="76CD8625" w14:textId="77777777" w:rsidR="006550BB" w:rsidRPr="006550BB" w:rsidRDefault="006550BB" w:rsidP="005D316C">
            <w:pPr>
              <w:pStyle w:val="CETBodytext"/>
              <w:ind w:right="-1"/>
              <w:rPr>
                <w:rFonts w:cs="Arial"/>
                <w:szCs w:val="18"/>
                <w:lang w:val="en-GB"/>
              </w:rPr>
            </w:pPr>
            <w:r w:rsidRPr="006550BB">
              <w:rPr>
                <w:rFonts w:cs="Arial"/>
                <w:szCs w:val="18"/>
                <w:lang w:val="en-GB"/>
              </w:rPr>
              <w:t>Water-Ethanol</w:t>
            </w:r>
          </w:p>
        </w:tc>
        <w:tc>
          <w:tcPr>
            <w:tcW w:w="3402" w:type="dxa"/>
            <w:gridSpan w:val="3"/>
            <w:tcBorders>
              <w:top w:val="single" w:sz="12" w:space="0" w:color="008000"/>
              <w:bottom w:val="single" w:sz="6" w:space="0" w:color="008000"/>
            </w:tcBorders>
            <w:shd w:val="clear" w:color="auto" w:fill="FFFFFF"/>
          </w:tcPr>
          <w:p w14:paraId="45A0396B" w14:textId="77777777" w:rsidR="006550BB" w:rsidRPr="006550BB" w:rsidRDefault="006550BB" w:rsidP="005D316C">
            <w:pPr>
              <w:pStyle w:val="CETBodytext"/>
              <w:ind w:right="-1"/>
              <w:rPr>
                <w:rFonts w:cs="Arial"/>
                <w:szCs w:val="18"/>
                <w:lang w:val="en-GB"/>
              </w:rPr>
            </w:pPr>
            <w:r w:rsidRPr="006550BB">
              <w:rPr>
                <w:rFonts w:cs="Arial"/>
                <w:szCs w:val="18"/>
                <w:lang w:val="en-GB"/>
              </w:rPr>
              <w:t>Oil-Ethanol</w:t>
            </w:r>
          </w:p>
        </w:tc>
      </w:tr>
      <w:tr w:rsidR="006550BB" w:rsidRPr="00B57B36" w14:paraId="56D80CD1" w14:textId="77777777" w:rsidTr="006550BB">
        <w:tc>
          <w:tcPr>
            <w:tcW w:w="1134" w:type="dxa"/>
            <w:tcBorders>
              <w:top w:val="single" w:sz="12" w:space="0" w:color="008000"/>
              <w:bottom w:val="single" w:sz="6" w:space="0" w:color="008000"/>
            </w:tcBorders>
            <w:shd w:val="clear" w:color="auto" w:fill="FFFFFF"/>
          </w:tcPr>
          <w:p w14:paraId="3B7862C1" w14:textId="77777777" w:rsidR="006550BB" w:rsidRPr="006550BB" w:rsidRDefault="006550BB" w:rsidP="005D316C">
            <w:pPr>
              <w:pStyle w:val="CETBodytext"/>
              <w:rPr>
                <w:rFonts w:cs="Arial"/>
                <w:szCs w:val="18"/>
                <w:lang w:val="en-GB"/>
              </w:rPr>
            </w:pPr>
            <w:r w:rsidRPr="006550BB">
              <w:rPr>
                <w:rFonts w:cs="Arial"/>
                <w:szCs w:val="18"/>
                <w:lang w:val="en-GB"/>
              </w:rPr>
              <w:t>Re</w:t>
            </w:r>
          </w:p>
        </w:tc>
        <w:tc>
          <w:tcPr>
            <w:tcW w:w="1134" w:type="dxa"/>
            <w:tcBorders>
              <w:top w:val="single" w:sz="12" w:space="0" w:color="008000"/>
              <w:bottom w:val="single" w:sz="6" w:space="0" w:color="008000"/>
            </w:tcBorders>
            <w:shd w:val="clear" w:color="auto" w:fill="FFFFFF"/>
            <w:vAlign w:val="center"/>
          </w:tcPr>
          <w:p w14:paraId="14715338" w14:textId="77777777" w:rsidR="006550BB" w:rsidRPr="006550BB" w:rsidRDefault="006550BB" w:rsidP="005D316C">
            <w:pPr>
              <w:spacing w:line="336" w:lineRule="auto"/>
              <w:jc w:val="center"/>
              <w:rPr>
                <w:rFonts w:cs="Arial"/>
                <w:color w:val="000000"/>
                <w:szCs w:val="18"/>
                <w:lang w:eastAsia="pt-BR"/>
              </w:rPr>
            </w:pPr>
            <w:r w:rsidRPr="006550BB">
              <w:rPr>
                <w:rFonts w:cs="Arial"/>
                <w:color w:val="000000"/>
                <w:szCs w:val="18"/>
                <w:lang w:eastAsia="pt-BR"/>
              </w:rPr>
              <w:t>d = 150 μm</w:t>
            </w:r>
          </w:p>
        </w:tc>
        <w:tc>
          <w:tcPr>
            <w:tcW w:w="1134" w:type="dxa"/>
            <w:tcBorders>
              <w:top w:val="single" w:sz="12" w:space="0" w:color="008000"/>
              <w:bottom w:val="single" w:sz="6" w:space="0" w:color="008000"/>
            </w:tcBorders>
            <w:shd w:val="clear" w:color="auto" w:fill="FFFFFF"/>
            <w:vAlign w:val="center"/>
          </w:tcPr>
          <w:p w14:paraId="5A923B4C" w14:textId="77777777" w:rsidR="006550BB" w:rsidRPr="006550BB" w:rsidRDefault="006550BB" w:rsidP="005D316C">
            <w:pPr>
              <w:spacing w:line="336" w:lineRule="auto"/>
              <w:jc w:val="center"/>
              <w:rPr>
                <w:rFonts w:cs="Arial"/>
                <w:color w:val="000000"/>
                <w:szCs w:val="18"/>
                <w:lang w:eastAsia="pt-BR"/>
              </w:rPr>
            </w:pPr>
            <w:r w:rsidRPr="006550BB">
              <w:rPr>
                <w:rFonts w:cs="Arial"/>
                <w:color w:val="000000"/>
                <w:szCs w:val="18"/>
                <w:lang w:eastAsia="pt-BR"/>
              </w:rPr>
              <w:t>d = 450 μm</w:t>
            </w:r>
          </w:p>
        </w:tc>
        <w:tc>
          <w:tcPr>
            <w:tcW w:w="1134" w:type="dxa"/>
            <w:tcBorders>
              <w:top w:val="single" w:sz="12" w:space="0" w:color="008000"/>
              <w:bottom w:val="single" w:sz="6" w:space="0" w:color="008000"/>
            </w:tcBorders>
            <w:shd w:val="clear" w:color="auto" w:fill="FFFFFF"/>
            <w:vAlign w:val="center"/>
          </w:tcPr>
          <w:p w14:paraId="36F9B60A" w14:textId="77777777" w:rsidR="006550BB" w:rsidRPr="006550BB" w:rsidRDefault="006550BB" w:rsidP="005D316C">
            <w:pPr>
              <w:spacing w:line="336" w:lineRule="auto"/>
              <w:jc w:val="center"/>
              <w:rPr>
                <w:rFonts w:cs="Arial"/>
                <w:color w:val="000000"/>
                <w:szCs w:val="18"/>
                <w:lang w:eastAsia="pt-BR"/>
              </w:rPr>
            </w:pPr>
            <w:r w:rsidRPr="006550BB">
              <w:rPr>
                <w:rFonts w:cs="Arial"/>
                <w:color w:val="000000"/>
                <w:szCs w:val="18"/>
                <w:lang w:eastAsia="pt-BR"/>
              </w:rPr>
              <w:t>d = 600 μm</w:t>
            </w:r>
          </w:p>
        </w:tc>
        <w:tc>
          <w:tcPr>
            <w:tcW w:w="1134" w:type="dxa"/>
            <w:tcBorders>
              <w:top w:val="single" w:sz="12" w:space="0" w:color="008000"/>
              <w:bottom w:val="single" w:sz="6" w:space="0" w:color="008000"/>
            </w:tcBorders>
            <w:shd w:val="clear" w:color="auto" w:fill="FFFFFF"/>
            <w:vAlign w:val="center"/>
          </w:tcPr>
          <w:p w14:paraId="24C978E6" w14:textId="77777777" w:rsidR="006550BB" w:rsidRPr="006550BB" w:rsidRDefault="006550BB" w:rsidP="005D316C">
            <w:pPr>
              <w:spacing w:line="336" w:lineRule="auto"/>
              <w:jc w:val="center"/>
              <w:rPr>
                <w:rFonts w:cs="Arial"/>
                <w:color w:val="000000"/>
                <w:szCs w:val="18"/>
                <w:lang w:eastAsia="pt-BR"/>
              </w:rPr>
            </w:pPr>
            <w:r w:rsidRPr="006550BB">
              <w:rPr>
                <w:rFonts w:cs="Arial"/>
                <w:color w:val="000000"/>
                <w:szCs w:val="18"/>
                <w:lang w:eastAsia="pt-BR"/>
              </w:rPr>
              <w:t>d = 150 μm</w:t>
            </w:r>
          </w:p>
        </w:tc>
        <w:tc>
          <w:tcPr>
            <w:tcW w:w="1134" w:type="dxa"/>
            <w:tcBorders>
              <w:top w:val="single" w:sz="12" w:space="0" w:color="008000"/>
              <w:bottom w:val="single" w:sz="6" w:space="0" w:color="008000"/>
            </w:tcBorders>
            <w:shd w:val="clear" w:color="auto" w:fill="FFFFFF"/>
            <w:vAlign w:val="center"/>
          </w:tcPr>
          <w:p w14:paraId="602FCC2C" w14:textId="77777777" w:rsidR="006550BB" w:rsidRPr="006550BB" w:rsidRDefault="006550BB" w:rsidP="005D316C">
            <w:pPr>
              <w:spacing w:line="336" w:lineRule="auto"/>
              <w:jc w:val="center"/>
              <w:rPr>
                <w:rFonts w:cs="Arial"/>
                <w:color w:val="000000"/>
                <w:szCs w:val="18"/>
                <w:lang w:eastAsia="pt-BR"/>
              </w:rPr>
            </w:pPr>
            <w:r w:rsidRPr="006550BB">
              <w:rPr>
                <w:rFonts w:cs="Arial"/>
                <w:color w:val="000000"/>
                <w:szCs w:val="18"/>
                <w:lang w:eastAsia="pt-BR"/>
              </w:rPr>
              <w:t>d = 450 μm</w:t>
            </w:r>
          </w:p>
        </w:tc>
        <w:tc>
          <w:tcPr>
            <w:tcW w:w="1134" w:type="dxa"/>
            <w:tcBorders>
              <w:top w:val="single" w:sz="12" w:space="0" w:color="008000"/>
              <w:bottom w:val="single" w:sz="6" w:space="0" w:color="008000"/>
            </w:tcBorders>
            <w:shd w:val="clear" w:color="auto" w:fill="FFFFFF"/>
            <w:vAlign w:val="center"/>
          </w:tcPr>
          <w:p w14:paraId="24B88BCD" w14:textId="77777777" w:rsidR="006550BB" w:rsidRPr="006550BB" w:rsidRDefault="006550BB" w:rsidP="005D316C">
            <w:pPr>
              <w:spacing w:line="336" w:lineRule="auto"/>
              <w:jc w:val="center"/>
              <w:rPr>
                <w:rFonts w:cs="Arial"/>
                <w:color w:val="000000"/>
                <w:szCs w:val="18"/>
                <w:lang w:eastAsia="pt-BR"/>
              </w:rPr>
            </w:pPr>
            <w:r w:rsidRPr="006550BB">
              <w:rPr>
                <w:rFonts w:cs="Arial"/>
                <w:color w:val="000000"/>
                <w:szCs w:val="18"/>
                <w:lang w:eastAsia="pt-BR"/>
              </w:rPr>
              <w:t>d = 600 μm</w:t>
            </w:r>
          </w:p>
        </w:tc>
      </w:tr>
      <w:tr w:rsidR="006550BB" w:rsidRPr="00B57B36" w14:paraId="59934BDE" w14:textId="77777777" w:rsidTr="006550BB">
        <w:tc>
          <w:tcPr>
            <w:tcW w:w="1134" w:type="dxa"/>
            <w:shd w:val="clear" w:color="auto" w:fill="FFFFFF"/>
            <w:vAlign w:val="center"/>
          </w:tcPr>
          <w:p w14:paraId="3970837F"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0.01</w:t>
            </w:r>
          </w:p>
        </w:tc>
        <w:tc>
          <w:tcPr>
            <w:tcW w:w="1134" w:type="dxa"/>
            <w:shd w:val="clear" w:color="auto" w:fill="FFFFFF"/>
            <w:vAlign w:val="center"/>
          </w:tcPr>
          <w:p w14:paraId="2C716340"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613.63</w:t>
            </w:r>
          </w:p>
        </w:tc>
        <w:tc>
          <w:tcPr>
            <w:tcW w:w="1134" w:type="dxa"/>
            <w:shd w:val="clear" w:color="auto" w:fill="FFFFFF"/>
            <w:vAlign w:val="center"/>
          </w:tcPr>
          <w:p w14:paraId="14F94600"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641.12</w:t>
            </w:r>
          </w:p>
        </w:tc>
        <w:tc>
          <w:tcPr>
            <w:tcW w:w="1134" w:type="dxa"/>
            <w:shd w:val="clear" w:color="auto" w:fill="FFFFFF"/>
            <w:vAlign w:val="center"/>
          </w:tcPr>
          <w:p w14:paraId="39FF26DF"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661.69</w:t>
            </w:r>
          </w:p>
        </w:tc>
        <w:tc>
          <w:tcPr>
            <w:tcW w:w="1134" w:type="dxa"/>
            <w:shd w:val="clear" w:color="auto" w:fill="FFFFFF"/>
            <w:vAlign w:val="bottom"/>
          </w:tcPr>
          <w:p w14:paraId="0C830DAF"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9.11 x 10</w:t>
            </w:r>
            <w:r w:rsidRPr="006550BB">
              <w:rPr>
                <w:rFonts w:cs="Arial"/>
                <w:color w:val="000000"/>
                <w:szCs w:val="18"/>
                <w:vertAlign w:val="superscript"/>
                <w:lang w:eastAsia="pt-BR"/>
              </w:rPr>
              <w:t>-1</w:t>
            </w:r>
          </w:p>
        </w:tc>
        <w:tc>
          <w:tcPr>
            <w:tcW w:w="1134" w:type="dxa"/>
            <w:shd w:val="clear" w:color="auto" w:fill="FFFFFF"/>
            <w:vAlign w:val="bottom"/>
          </w:tcPr>
          <w:p w14:paraId="1AB0AFCB"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9.22 x 10</w:t>
            </w:r>
            <w:r w:rsidRPr="006550BB">
              <w:rPr>
                <w:rFonts w:cs="Arial"/>
                <w:color w:val="000000"/>
                <w:szCs w:val="18"/>
                <w:vertAlign w:val="superscript"/>
                <w:lang w:eastAsia="pt-BR"/>
              </w:rPr>
              <w:t>-1</w:t>
            </w:r>
          </w:p>
        </w:tc>
        <w:tc>
          <w:tcPr>
            <w:tcW w:w="1134" w:type="dxa"/>
            <w:shd w:val="clear" w:color="auto" w:fill="FFFFFF"/>
            <w:vAlign w:val="bottom"/>
          </w:tcPr>
          <w:p w14:paraId="0754C196"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9.10 x 10</w:t>
            </w:r>
            <w:r w:rsidRPr="006550BB">
              <w:rPr>
                <w:rFonts w:cs="Arial"/>
                <w:color w:val="000000"/>
                <w:szCs w:val="18"/>
                <w:vertAlign w:val="superscript"/>
                <w:lang w:eastAsia="pt-BR"/>
              </w:rPr>
              <w:t>-1</w:t>
            </w:r>
          </w:p>
        </w:tc>
      </w:tr>
      <w:tr w:rsidR="006550BB" w:rsidRPr="00B57B36" w14:paraId="28A9A024" w14:textId="77777777" w:rsidTr="006550BB">
        <w:tc>
          <w:tcPr>
            <w:tcW w:w="1134" w:type="dxa"/>
            <w:shd w:val="clear" w:color="auto" w:fill="FFFFFF"/>
            <w:vAlign w:val="center"/>
          </w:tcPr>
          <w:p w14:paraId="02D25C38"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0.1</w:t>
            </w:r>
          </w:p>
        </w:tc>
        <w:tc>
          <w:tcPr>
            <w:tcW w:w="1134" w:type="dxa"/>
            <w:shd w:val="clear" w:color="auto" w:fill="FFFFFF"/>
            <w:vAlign w:val="center"/>
          </w:tcPr>
          <w:p w14:paraId="5B287847"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57.17</w:t>
            </w:r>
          </w:p>
        </w:tc>
        <w:tc>
          <w:tcPr>
            <w:tcW w:w="1134" w:type="dxa"/>
            <w:shd w:val="clear" w:color="auto" w:fill="FFFFFF"/>
            <w:vAlign w:val="center"/>
          </w:tcPr>
          <w:p w14:paraId="3A9B34E1"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58.04</w:t>
            </w:r>
          </w:p>
        </w:tc>
        <w:tc>
          <w:tcPr>
            <w:tcW w:w="1134" w:type="dxa"/>
            <w:shd w:val="clear" w:color="auto" w:fill="FFFFFF"/>
            <w:vAlign w:val="center"/>
          </w:tcPr>
          <w:p w14:paraId="6F487A98"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56.28</w:t>
            </w:r>
          </w:p>
        </w:tc>
        <w:tc>
          <w:tcPr>
            <w:tcW w:w="1134" w:type="dxa"/>
            <w:shd w:val="clear" w:color="auto" w:fill="FFFFFF"/>
            <w:vAlign w:val="bottom"/>
          </w:tcPr>
          <w:p w14:paraId="4A9417C6"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9.27 x 10</w:t>
            </w:r>
            <w:r w:rsidRPr="006550BB">
              <w:rPr>
                <w:rFonts w:cs="Arial"/>
                <w:color w:val="000000"/>
                <w:szCs w:val="18"/>
                <w:vertAlign w:val="superscript"/>
                <w:lang w:eastAsia="pt-BR"/>
              </w:rPr>
              <w:t>-2</w:t>
            </w:r>
          </w:p>
        </w:tc>
        <w:tc>
          <w:tcPr>
            <w:tcW w:w="1134" w:type="dxa"/>
            <w:shd w:val="clear" w:color="auto" w:fill="FFFFFF"/>
            <w:vAlign w:val="bottom"/>
          </w:tcPr>
          <w:p w14:paraId="2E60D8D4"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9.45 x 10</w:t>
            </w:r>
            <w:r w:rsidRPr="006550BB">
              <w:rPr>
                <w:rFonts w:cs="Arial"/>
                <w:color w:val="000000"/>
                <w:szCs w:val="18"/>
                <w:vertAlign w:val="superscript"/>
                <w:lang w:eastAsia="pt-BR"/>
              </w:rPr>
              <w:t>-2</w:t>
            </w:r>
          </w:p>
        </w:tc>
        <w:tc>
          <w:tcPr>
            <w:tcW w:w="1134" w:type="dxa"/>
            <w:shd w:val="clear" w:color="auto" w:fill="FFFFFF"/>
            <w:vAlign w:val="bottom"/>
          </w:tcPr>
          <w:p w14:paraId="546B04F2"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9.24 x 10</w:t>
            </w:r>
            <w:r w:rsidRPr="006550BB">
              <w:rPr>
                <w:rFonts w:cs="Arial"/>
                <w:color w:val="000000"/>
                <w:szCs w:val="18"/>
                <w:vertAlign w:val="superscript"/>
                <w:lang w:eastAsia="pt-BR"/>
              </w:rPr>
              <w:t>-2</w:t>
            </w:r>
          </w:p>
        </w:tc>
      </w:tr>
      <w:tr w:rsidR="006550BB" w:rsidRPr="00B57B36" w14:paraId="646F9FFC" w14:textId="77777777" w:rsidTr="006550BB">
        <w:tc>
          <w:tcPr>
            <w:tcW w:w="1134" w:type="dxa"/>
            <w:shd w:val="clear" w:color="auto" w:fill="FFFFFF"/>
            <w:vAlign w:val="center"/>
          </w:tcPr>
          <w:p w14:paraId="0E7151F5"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1</w:t>
            </w:r>
          </w:p>
        </w:tc>
        <w:tc>
          <w:tcPr>
            <w:tcW w:w="1134" w:type="dxa"/>
            <w:shd w:val="clear" w:color="auto" w:fill="FFFFFF"/>
            <w:vAlign w:val="center"/>
          </w:tcPr>
          <w:p w14:paraId="2C61E56B"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5.44</w:t>
            </w:r>
          </w:p>
        </w:tc>
        <w:tc>
          <w:tcPr>
            <w:tcW w:w="1134" w:type="dxa"/>
            <w:shd w:val="clear" w:color="auto" w:fill="FFFFFF"/>
            <w:vAlign w:val="center"/>
          </w:tcPr>
          <w:p w14:paraId="42AB034D"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5.61</w:t>
            </w:r>
          </w:p>
        </w:tc>
        <w:tc>
          <w:tcPr>
            <w:tcW w:w="1134" w:type="dxa"/>
            <w:shd w:val="clear" w:color="auto" w:fill="FFFFFF"/>
            <w:vAlign w:val="center"/>
          </w:tcPr>
          <w:p w14:paraId="35AA7B1D"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5.45</w:t>
            </w:r>
          </w:p>
        </w:tc>
        <w:tc>
          <w:tcPr>
            <w:tcW w:w="1134" w:type="dxa"/>
            <w:shd w:val="clear" w:color="auto" w:fill="FFFFFF"/>
            <w:vAlign w:val="bottom"/>
          </w:tcPr>
          <w:p w14:paraId="6841CEB7"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8.78 x 10</w:t>
            </w:r>
            <w:r w:rsidRPr="006550BB">
              <w:rPr>
                <w:rFonts w:cs="Arial"/>
                <w:color w:val="000000"/>
                <w:szCs w:val="18"/>
                <w:vertAlign w:val="superscript"/>
                <w:lang w:eastAsia="pt-BR"/>
              </w:rPr>
              <w:t>-3</w:t>
            </w:r>
          </w:p>
        </w:tc>
        <w:tc>
          <w:tcPr>
            <w:tcW w:w="1134" w:type="dxa"/>
            <w:shd w:val="clear" w:color="auto" w:fill="FFFFFF"/>
            <w:vAlign w:val="bottom"/>
          </w:tcPr>
          <w:p w14:paraId="3FA431C0"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8.91 x 10</w:t>
            </w:r>
            <w:r w:rsidRPr="006550BB">
              <w:rPr>
                <w:rFonts w:cs="Arial"/>
                <w:color w:val="000000"/>
                <w:szCs w:val="18"/>
                <w:vertAlign w:val="superscript"/>
                <w:lang w:eastAsia="pt-BR"/>
              </w:rPr>
              <w:t>-3</w:t>
            </w:r>
          </w:p>
        </w:tc>
        <w:tc>
          <w:tcPr>
            <w:tcW w:w="1134" w:type="dxa"/>
            <w:shd w:val="clear" w:color="auto" w:fill="FFFFFF"/>
            <w:vAlign w:val="bottom"/>
          </w:tcPr>
          <w:p w14:paraId="1915627A"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8.76 x 10</w:t>
            </w:r>
            <w:r w:rsidRPr="006550BB">
              <w:rPr>
                <w:rFonts w:cs="Arial"/>
                <w:color w:val="000000"/>
                <w:szCs w:val="18"/>
                <w:vertAlign w:val="superscript"/>
                <w:lang w:eastAsia="pt-BR"/>
              </w:rPr>
              <w:t>-3</w:t>
            </w:r>
          </w:p>
        </w:tc>
      </w:tr>
      <w:tr w:rsidR="006550BB" w:rsidRPr="00B57B36" w14:paraId="77E22E39" w14:textId="77777777" w:rsidTr="006550BB">
        <w:tc>
          <w:tcPr>
            <w:tcW w:w="1134" w:type="dxa"/>
            <w:shd w:val="clear" w:color="auto" w:fill="FFFFFF"/>
            <w:vAlign w:val="center"/>
          </w:tcPr>
          <w:p w14:paraId="29597332"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10</w:t>
            </w:r>
          </w:p>
        </w:tc>
        <w:tc>
          <w:tcPr>
            <w:tcW w:w="1134" w:type="dxa"/>
            <w:shd w:val="clear" w:color="auto" w:fill="FFFFFF"/>
            <w:vAlign w:val="center"/>
          </w:tcPr>
          <w:p w14:paraId="67A5072C"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0.51</w:t>
            </w:r>
          </w:p>
        </w:tc>
        <w:tc>
          <w:tcPr>
            <w:tcW w:w="1134" w:type="dxa"/>
            <w:shd w:val="clear" w:color="auto" w:fill="FFFFFF"/>
            <w:vAlign w:val="center"/>
          </w:tcPr>
          <w:p w14:paraId="41112429"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0.53</w:t>
            </w:r>
          </w:p>
        </w:tc>
        <w:tc>
          <w:tcPr>
            <w:tcW w:w="1134" w:type="dxa"/>
            <w:shd w:val="clear" w:color="auto" w:fill="FFFFFF"/>
            <w:vAlign w:val="center"/>
          </w:tcPr>
          <w:p w14:paraId="49A5186E"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0.51</w:t>
            </w:r>
          </w:p>
        </w:tc>
        <w:tc>
          <w:tcPr>
            <w:tcW w:w="1134" w:type="dxa"/>
            <w:shd w:val="clear" w:color="auto" w:fill="FFFFFF"/>
            <w:vAlign w:val="bottom"/>
          </w:tcPr>
          <w:p w14:paraId="5DA6FE23"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8.61 x 10</w:t>
            </w:r>
            <w:r w:rsidRPr="006550BB">
              <w:rPr>
                <w:rFonts w:cs="Arial"/>
                <w:color w:val="000000"/>
                <w:szCs w:val="18"/>
                <w:vertAlign w:val="superscript"/>
                <w:lang w:eastAsia="pt-BR"/>
              </w:rPr>
              <w:t>-4</w:t>
            </w:r>
          </w:p>
        </w:tc>
        <w:tc>
          <w:tcPr>
            <w:tcW w:w="1134" w:type="dxa"/>
            <w:shd w:val="clear" w:color="auto" w:fill="FFFFFF"/>
            <w:vAlign w:val="bottom"/>
          </w:tcPr>
          <w:p w14:paraId="6A707E2C"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8.75 x 10</w:t>
            </w:r>
            <w:r w:rsidRPr="006550BB">
              <w:rPr>
                <w:rFonts w:cs="Arial"/>
                <w:color w:val="000000"/>
                <w:szCs w:val="18"/>
                <w:vertAlign w:val="superscript"/>
                <w:lang w:eastAsia="pt-BR"/>
              </w:rPr>
              <w:t>-4</w:t>
            </w:r>
          </w:p>
        </w:tc>
        <w:tc>
          <w:tcPr>
            <w:tcW w:w="1134" w:type="dxa"/>
            <w:shd w:val="clear" w:color="auto" w:fill="FFFFFF"/>
            <w:vAlign w:val="bottom"/>
          </w:tcPr>
          <w:p w14:paraId="78A548AE"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8.59 x 10</w:t>
            </w:r>
            <w:r w:rsidRPr="006550BB">
              <w:rPr>
                <w:rFonts w:cs="Arial"/>
                <w:color w:val="000000"/>
                <w:szCs w:val="18"/>
                <w:vertAlign w:val="superscript"/>
                <w:lang w:eastAsia="pt-BR"/>
              </w:rPr>
              <w:t>-4</w:t>
            </w:r>
          </w:p>
        </w:tc>
      </w:tr>
      <w:tr w:rsidR="006550BB" w:rsidRPr="00B57B36" w14:paraId="399402C0" w14:textId="77777777" w:rsidTr="006550BB">
        <w:tc>
          <w:tcPr>
            <w:tcW w:w="1134" w:type="dxa"/>
            <w:shd w:val="clear" w:color="auto" w:fill="FFFFFF"/>
            <w:vAlign w:val="center"/>
          </w:tcPr>
          <w:p w14:paraId="3B143A04"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50</w:t>
            </w:r>
          </w:p>
        </w:tc>
        <w:tc>
          <w:tcPr>
            <w:tcW w:w="1134" w:type="dxa"/>
            <w:shd w:val="clear" w:color="auto" w:fill="FFFFFF"/>
            <w:vAlign w:val="center"/>
          </w:tcPr>
          <w:p w14:paraId="1202884B"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0.09</w:t>
            </w:r>
          </w:p>
        </w:tc>
        <w:tc>
          <w:tcPr>
            <w:tcW w:w="1134" w:type="dxa"/>
            <w:shd w:val="clear" w:color="auto" w:fill="FFFFFF"/>
            <w:vAlign w:val="center"/>
          </w:tcPr>
          <w:p w14:paraId="06335AC0"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0.09</w:t>
            </w:r>
          </w:p>
        </w:tc>
        <w:tc>
          <w:tcPr>
            <w:tcW w:w="1134" w:type="dxa"/>
            <w:shd w:val="clear" w:color="auto" w:fill="FFFFFF"/>
            <w:vAlign w:val="center"/>
          </w:tcPr>
          <w:p w14:paraId="7B2D1F62"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0.09</w:t>
            </w:r>
          </w:p>
        </w:tc>
        <w:tc>
          <w:tcPr>
            <w:tcW w:w="1134" w:type="dxa"/>
            <w:shd w:val="clear" w:color="auto" w:fill="FFFFFF"/>
            <w:vAlign w:val="bottom"/>
          </w:tcPr>
          <w:p w14:paraId="0D19F62E"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1.64 x 10</w:t>
            </w:r>
            <w:r w:rsidRPr="006550BB">
              <w:rPr>
                <w:rFonts w:cs="Arial"/>
                <w:color w:val="000000"/>
                <w:szCs w:val="18"/>
                <w:vertAlign w:val="superscript"/>
                <w:lang w:eastAsia="pt-BR"/>
              </w:rPr>
              <w:t>-4</w:t>
            </w:r>
          </w:p>
        </w:tc>
        <w:tc>
          <w:tcPr>
            <w:tcW w:w="1134" w:type="dxa"/>
            <w:shd w:val="clear" w:color="auto" w:fill="FFFFFF"/>
            <w:vAlign w:val="bottom"/>
          </w:tcPr>
          <w:p w14:paraId="3805F4B0"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1.68 x 10</w:t>
            </w:r>
            <w:r w:rsidRPr="006550BB">
              <w:rPr>
                <w:rFonts w:cs="Arial"/>
                <w:color w:val="000000"/>
                <w:szCs w:val="18"/>
                <w:vertAlign w:val="superscript"/>
                <w:lang w:eastAsia="pt-BR"/>
              </w:rPr>
              <w:t>-4</w:t>
            </w:r>
          </w:p>
        </w:tc>
        <w:tc>
          <w:tcPr>
            <w:tcW w:w="1134" w:type="dxa"/>
            <w:shd w:val="clear" w:color="auto" w:fill="FFFFFF"/>
            <w:vAlign w:val="bottom"/>
          </w:tcPr>
          <w:p w14:paraId="5788E3B2"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1.64 x 10</w:t>
            </w:r>
            <w:r w:rsidRPr="006550BB">
              <w:rPr>
                <w:rFonts w:cs="Arial"/>
                <w:color w:val="000000"/>
                <w:szCs w:val="18"/>
                <w:vertAlign w:val="superscript"/>
                <w:lang w:eastAsia="pt-BR"/>
              </w:rPr>
              <w:t>-4</w:t>
            </w:r>
          </w:p>
        </w:tc>
      </w:tr>
      <w:tr w:rsidR="006550BB" w:rsidRPr="00B57B36" w14:paraId="3B40C3B7" w14:textId="77777777" w:rsidTr="006550BB">
        <w:tc>
          <w:tcPr>
            <w:tcW w:w="1134" w:type="dxa"/>
            <w:shd w:val="clear" w:color="auto" w:fill="FFFFFF"/>
            <w:vAlign w:val="center"/>
          </w:tcPr>
          <w:p w14:paraId="7E3A467B"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100</w:t>
            </w:r>
          </w:p>
        </w:tc>
        <w:tc>
          <w:tcPr>
            <w:tcW w:w="1134" w:type="dxa"/>
            <w:shd w:val="clear" w:color="auto" w:fill="FFFFFF"/>
            <w:vAlign w:val="center"/>
          </w:tcPr>
          <w:p w14:paraId="1CAEC882"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0.04</w:t>
            </w:r>
          </w:p>
        </w:tc>
        <w:tc>
          <w:tcPr>
            <w:tcW w:w="1134" w:type="dxa"/>
            <w:shd w:val="clear" w:color="auto" w:fill="FFFFFF"/>
            <w:vAlign w:val="center"/>
          </w:tcPr>
          <w:p w14:paraId="784EE563"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0.04</w:t>
            </w:r>
          </w:p>
        </w:tc>
        <w:tc>
          <w:tcPr>
            <w:tcW w:w="1134" w:type="dxa"/>
            <w:shd w:val="clear" w:color="auto" w:fill="FFFFFF"/>
            <w:vAlign w:val="center"/>
          </w:tcPr>
          <w:p w14:paraId="05C2EFB8"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0.04</w:t>
            </w:r>
          </w:p>
        </w:tc>
        <w:tc>
          <w:tcPr>
            <w:tcW w:w="1134" w:type="dxa"/>
            <w:shd w:val="clear" w:color="auto" w:fill="FFFFFF"/>
            <w:vAlign w:val="bottom"/>
          </w:tcPr>
          <w:p w14:paraId="227316ED"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7.67 x 10</w:t>
            </w:r>
            <w:r w:rsidRPr="006550BB">
              <w:rPr>
                <w:rFonts w:cs="Arial"/>
                <w:color w:val="000000"/>
                <w:szCs w:val="18"/>
                <w:vertAlign w:val="superscript"/>
                <w:lang w:eastAsia="pt-BR"/>
              </w:rPr>
              <w:t>-5</w:t>
            </w:r>
          </w:p>
        </w:tc>
        <w:tc>
          <w:tcPr>
            <w:tcW w:w="1134" w:type="dxa"/>
            <w:shd w:val="clear" w:color="auto" w:fill="FFFFFF"/>
            <w:vAlign w:val="bottom"/>
          </w:tcPr>
          <w:p w14:paraId="3443349A"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7.91 x 10</w:t>
            </w:r>
            <w:r w:rsidRPr="006550BB">
              <w:rPr>
                <w:rFonts w:cs="Arial"/>
                <w:color w:val="000000"/>
                <w:szCs w:val="18"/>
                <w:vertAlign w:val="superscript"/>
                <w:lang w:eastAsia="pt-BR"/>
              </w:rPr>
              <w:t>-5</w:t>
            </w:r>
          </w:p>
        </w:tc>
        <w:tc>
          <w:tcPr>
            <w:tcW w:w="1134" w:type="dxa"/>
            <w:shd w:val="clear" w:color="auto" w:fill="FFFFFF"/>
            <w:vAlign w:val="bottom"/>
          </w:tcPr>
          <w:p w14:paraId="1145BBC2" w14:textId="77777777" w:rsidR="006550BB" w:rsidRPr="006550BB" w:rsidRDefault="006550BB" w:rsidP="006550BB">
            <w:pPr>
              <w:spacing w:line="336" w:lineRule="auto"/>
              <w:jc w:val="left"/>
              <w:rPr>
                <w:rFonts w:cs="Arial"/>
                <w:color w:val="000000"/>
                <w:szCs w:val="18"/>
                <w:lang w:eastAsia="pt-BR"/>
              </w:rPr>
            </w:pPr>
            <w:r w:rsidRPr="006550BB">
              <w:rPr>
                <w:rFonts w:cs="Arial"/>
                <w:color w:val="000000"/>
                <w:szCs w:val="18"/>
                <w:lang w:eastAsia="pt-BR"/>
              </w:rPr>
              <w:t>7.74 x 10</w:t>
            </w:r>
            <w:r w:rsidRPr="006550BB">
              <w:rPr>
                <w:rFonts w:cs="Arial"/>
                <w:color w:val="000000"/>
                <w:szCs w:val="18"/>
                <w:vertAlign w:val="superscript"/>
                <w:lang w:eastAsia="pt-BR"/>
              </w:rPr>
              <w:t>-5</w:t>
            </w:r>
          </w:p>
        </w:tc>
      </w:tr>
    </w:tbl>
    <w:p w14:paraId="3EA10CD6" w14:textId="77777777" w:rsidR="00936D37" w:rsidRDefault="00936D37" w:rsidP="00D02531">
      <w:pPr>
        <w:pStyle w:val="CETBodytext"/>
      </w:pPr>
    </w:p>
    <w:p w14:paraId="437640EA" w14:textId="77777777" w:rsidR="00030D43" w:rsidRPr="00B57B36" w:rsidRDefault="00030D43" w:rsidP="00030D43">
      <w:pPr>
        <w:pStyle w:val="CETHeading1"/>
        <w:tabs>
          <w:tab w:val="clear" w:pos="360"/>
          <w:tab w:val="right" w:pos="7100"/>
        </w:tabs>
        <w:jc w:val="both"/>
        <w:rPr>
          <w:lang w:val="en-GB"/>
        </w:rPr>
      </w:pPr>
      <w:r>
        <w:rPr>
          <w:lang w:val="en-GB"/>
        </w:rPr>
        <w:t>Conclusion</w:t>
      </w:r>
    </w:p>
    <w:p w14:paraId="2AA51C50" w14:textId="77777777" w:rsidR="00030D43" w:rsidRDefault="00030D43" w:rsidP="00342267">
      <w:pPr>
        <w:pStyle w:val="CETBodytext"/>
      </w:pPr>
      <w:r w:rsidRPr="00030D43">
        <w:t xml:space="preserve">Cross flow micromixers with circular obstacles were proposed. Water-ethanol and oil-ethanol mixing performance were evaluated ranging the Reynolds number from 0.01 to 100. For both systems, the highest performance indexes were noticed at Re = 0.01, flow </w:t>
      </w:r>
      <w:r w:rsidR="00B30A9D">
        <w:t>regime</w:t>
      </w:r>
      <w:r w:rsidRPr="00030D43">
        <w:t xml:space="preserve"> </w:t>
      </w:r>
      <w:r w:rsidR="00B30A9D">
        <w:t xml:space="preserve">where </w:t>
      </w:r>
      <w:r w:rsidRPr="00030D43">
        <w:t xml:space="preserve">molecular diffusion controls </w:t>
      </w:r>
      <w:r w:rsidR="00BF1176">
        <w:t xml:space="preserve">the </w:t>
      </w:r>
      <w:r w:rsidRPr="00030D43">
        <w:t>mass transfer between the species. The UCCFM design with d = 600 μm allowed a good fluid mixing for water-ethanol at Re = 0.01 (MI = 0.815) with a very low pressure drop of 0.123 Pa. For oil-ethanol mixing, the MI = 0.693 was obtained for a pressure drop of 76.06 Pa. The application of UCCFM in higher flow rates or with viscous mixtures requires further optimization, as for example, using of alternate circular obstacles or other static obstacles inducing effective advection and sp</w:t>
      </w:r>
      <w:r w:rsidR="00B30A9D">
        <w:t>lit and recombination mechanism</w:t>
      </w:r>
      <w:r w:rsidRPr="00030D43">
        <w:t>.</w:t>
      </w:r>
    </w:p>
    <w:p w14:paraId="1B3BF198" w14:textId="77777777" w:rsidR="00600535" w:rsidRPr="00B57B36" w:rsidRDefault="00600535" w:rsidP="00600535">
      <w:pPr>
        <w:pStyle w:val="CETAcknowledgementstitle"/>
      </w:pPr>
      <w:r w:rsidRPr="00B57B36">
        <w:t>Acknowledgments</w:t>
      </w:r>
    </w:p>
    <w:p w14:paraId="65B02776" w14:textId="08EDBB37" w:rsidR="00030D43" w:rsidRPr="00160955" w:rsidRDefault="00030D43" w:rsidP="00F07365">
      <w:pPr>
        <w:pStyle w:val="CETBodytext"/>
      </w:pPr>
      <w:r w:rsidRPr="00160955">
        <w:t xml:space="preserve">The authors </w:t>
      </w:r>
      <w:r>
        <w:t xml:space="preserve">acknowledge </w:t>
      </w:r>
      <w:r w:rsidRPr="00160955">
        <w:t>the financial support provided by CNPq (National Council for Scientific and Technological Develop</w:t>
      </w:r>
      <w:r w:rsidR="00CF1129">
        <w:t>ment, Process 404760/2016-3),</w:t>
      </w:r>
      <w:r w:rsidRPr="00160955">
        <w:t xml:space="preserve"> FAPEMIG (</w:t>
      </w:r>
      <w:r w:rsidRPr="00160955">
        <w:rPr>
          <w:shd w:val="clear" w:color="auto" w:fill="FFFFFF"/>
        </w:rPr>
        <w:t xml:space="preserve">Minas Gerais </w:t>
      </w:r>
      <w:r w:rsidRPr="00160955">
        <w:t>Research Foundation</w:t>
      </w:r>
      <w:r w:rsidRPr="00160955">
        <w:rPr>
          <w:shd w:val="clear" w:color="auto" w:fill="FFFFFF"/>
        </w:rPr>
        <w:t>, Process APQ-02144-17</w:t>
      </w:r>
      <w:r w:rsidR="00CF1129">
        <w:t xml:space="preserve">) and </w:t>
      </w:r>
      <w:r w:rsidR="00CF1129" w:rsidRPr="00CF1129">
        <w:rPr>
          <w:rFonts w:cs="Arial"/>
          <w:color w:val="000000" w:themeColor="text1"/>
          <w:szCs w:val="18"/>
        </w:rPr>
        <w:t>FAPESP (São Paulo Research Foundation, Process 2016/20842-4)</w:t>
      </w:r>
      <w:r w:rsidR="00CF1129">
        <w:rPr>
          <w:rFonts w:cs="Arial"/>
          <w:color w:val="000000" w:themeColor="text1"/>
          <w:szCs w:val="18"/>
        </w:rPr>
        <w:t>.</w:t>
      </w:r>
    </w:p>
    <w:p w14:paraId="31E6D281" w14:textId="77777777" w:rsidR="00600535" w:rsidRPr="008C4552" w:rsidRDefault="00600535" w:rsidP="00600535">
      <w:pPr>
        <w:pStyle w:val="CETReference"/>
        <w:rPr>
          <w:lang w:val="en-US"/>
        </w:rPr>
      </w:pPr>
      <w:r w:rsidRPr="008C4552">
        <w:rPr>
          <w:lang w:val="en-US"/>
        </w:rPr>
        <w:t>References</w:t>
      </w:r>
    </w:p>
    <w:p w14:paraId="7F266345" w14:textId="77777777" w:rsidR="00B7729D" w:rsidRDefault="00B7729D" w:rsidP="00B7729D">
      <w:pPr>
        <w:pStyle w:val="CETReferencetext"/>
        <w:rPr>
          <w:rFonts w:cs="Arial"/>
          <w:lang w:val="en-US"/>
        </w:rPr>
      </w:pPr>
      <w:r w:rsidRPr="00B7729D">
        <w:rPr>
          <w:rFonts w:cs="Arial"/>
          <w:lang w:val="en-US"/>
        </w:rPr>
        <w:t>Castell O.K., Allender C.J., Barrow D.A., 2009, Liquid–liquid phase separation: characterisation of a novel device capable of separating particle carrying multiphase flows. Lab on a Chip, 9, 388-396.</w:t>
      </w:r>
    </w:p>
    <w:p w14:paraId="7EBB480C" w14:textId="77777777" w:rsidR="00B7729D" w:rsidRDefault="00B7729D" w:rsidP="00B7729D">
      <w:pPr>
        <w:pStyle w:val="CETReferencetext"/>
        <w:rPr>
          <w:rFonts w:cs="Arial"/>
          <w:lang w:val="en-US"/>
        </w:rPr>
      </w:pPr>
      <w:r w:rsidRPr="00B7729D">
        <w:rPr>
          <w:rFonts w:cs="Arial"/>
          <w:lang w:val="en-US"/>
        </w:rPr>
        <w:t>Celik I</w:t>
      </w:r>
      <w:r>
        <w:rPr>
          <w:rFonts w:cs="Arial"/>
          <w:lang w:val="en-US"/>
        </w:rPr>
        <w:t>.</w:t>
      </w:r>
      <w:r w:rsidRPr="00B7729D">
        <w:rPr>
          <w:rFonts w:cs="Arial"/>
          <w:lang w:val="en-US"/>
        </w:rPr>
        <w:t>B</w:t>
      </w:r>
      <w:r>
        <w:rPr>
          <w:rFonts w:cs="Arial"/>
          <w:lang w:val="en-US"/>
        </w:rPr>
        <w:t>.</w:t>
      </w:r>
      <w:r w:rsidRPr="00B7729D">
        <w:rPr>
          <w:rFonts w:cs="Arial"/>
          <w:lang w:val="en-US"/>
        </w:rPr>
        <w:t>, Ghia U</w:t>
      </w:r>
      <w:r>
        <w:rPr>
          <w:rFonts w:cs="Arial"/>
          <w:lang w:val="en-US"/>
        </w:rPr>
        <w:t>.</w:t>
      </w:r>
      <w:r w:rsidRPr="00B7729D">
        <w:rPr>
          <w:rFonts w:cs="Arial"/>
          <w:lang w:val="en-US"/>
        </w:rPr>
        <w:t>, Roache P</w:t>
      </w:r>
      <w:r>
        <w:rPr>
          <w:rFonts w:cs="Arial"/>
          <w:lang w:val="en-US"/>
        </w:rPr>
        <w:t>.</w:t>
      </w:r>
      <w:r w:rsidRPr="00B7729D">
        <w:rPr>
          <w:rFonts w:cs="Arial"/>
          <w:lang w:val="en-US"/>
        </w:rPr>
        <w:t>J</w:t>
      </w:r>
      <w:r>
        <w:rPr>
          <w:rFonts w:cs="Arial"/>
          <w:lang w:val="en-US"/>
        </w:rPr>
        <w:t>.</w:t>
      </w:r>
      <w:r w:rsidRPr="00B7729D">
        <w:rPr>
          <w:rFonts w:cs="Arial"/>
          <w:lang w:val="en-US"/>
        </w:rPr>
        <w:t>, Freitas C</w:t>
      </w:r>
      <w:r>
        <w:rPr>
          <w:rFonts w:cs="Arial"/>
          <w:lang w:val="en-US"/>
        </w:rPr>
        <w:t>.</w:t>
      </w:r>
      <w:r w:rsidRPr="00B7729D">
        <w:rPr>
          <w:rFonts w:cs="Arial"/>
          <w:lang w:val="en-US"/>
        </w:rPr>
        <w:t>J</w:t>
      </w:r>
      <w:r>
        <w:rPr>
          <w:rFonts w:cs="Arial"/>
          <w:lang w:val="en-US"/>
        </w:rPr>
        <w:t>.</w:t>
      </w:r>
      <w:r w:rsidRPr="00B7729D">
        <w:rPr>
          <w:rFonts w:cs="Arial"/>
          <w:lang w:val="en-US"/>
        </w:rPr>
        <w:t>, Coleman H</w:t>
      </w:r>
      <w:r>
        <w:rPr>
          <w:rFonts w:cs="Arial"/>
          <w:lang w:val="en-US"/>
        </w:rPr>
        <w:t>.</w:t>
      </w:r>
      <w:r w:rsidRPr="00B7729D">
        <w:rPr>
          <w:rFonts w:cs="Arial"/>
          <w:lang w:val="en-US"/>
        </w:rPr>
        <w:t>, Raad P</w:t>
      </w:r>
      <w:r>
        <w:rPr>
          <w:rFonts w:cs="Arial"/>
          <w:lang w:val="en-US"/>
        </w:rPr>
        <w:t>.</w:t>
      </w:r>
      <w:r w:rsidRPr="00B7729D">
        <w:rPr>
          <w:rFonts w:cs="Arial"/>
          <w:lang w:val="en-US"/>
        </w:rPr>
        <w:t>E</w:t>
      </w:r>
      <w:r>
        <w:rPr>
          <w:rFonts w:cs="Arial"/>
          <w:lang w:val="en-US"/>
        </w:rPr>
        <w:t>.</w:t>
      </w:r>
      <w:r w:rsidRPr="00B7729D">
        <w:rPr>
          <w:rFonts w:cs="Arial"/>
          <w:lang w:val="en-US"/>
        </w:rPr>
        <w:t>,</w:t>
      </w:r>
      <w:r>
        <w:rPr>
          <w:rFonts w:cs="Arial"/>
          <w:lang w:val="en-US"/>
        </w:rPr>
        <w:t xml:space="preserve"> 2008.</w:t>
      </w:r>
      <w:r w:rsidRPr="00B7729D">
        <w:rPr>
          <w:rFonts w:cs="Arial"/>
          <w:lang w:val="en-US"/>
        </w:rPr>
        <w:t xml:space="preserve"> Procedure for Estimation and Reporting of Uncertainty Due to Discretization in CFD Applications. J</w:t>
      </w:r>
      <w:r>
        <w:rPr>
          <w:rFonts w:cs="Arial"/>
          <w:lang w:val="en-US"/>
        </w:rPr>
        <w:t>ournal of</w:t>
      </w:r>
      <w:r w:rsidRPr="00B7729D">
        <w:rPr>
          <w:rFonts w:cs="Arial"/>
          <w:lang w:val="en-US"/>
        </w:rPr>
        <w:t xml:space="preserve"> Fluids Eng</w:t>
      </w:r>
      <w:r>
        <w:rPr>
          <w:rFonts w:cs="Arial"/>
          <w:lang w:val="en-US"/>
        </w:rPr>
        <w:t>ineering</w:t>
      </w:r>
      <w:r w:rsidRPr="00B7729D">
        <w:rPr>
          <w:rFonts w:cs="Arial"/>
          <w:lang w:val="en-US"/>
        </w:rPr>
        <w:t>, 130,</w:t>
      </w:r>
      <w:r>
        <w:rPr>
          <w:rFonts w:cs="Arial"/>
          <w:lang w:val="en-US"/>
        </w:rPr>
        <w:t xml:space="preserve"> 078001-1-4</w:t>
      </w:r>
      <w:r w:rsidRPr="00B7729D">
        <w:rPr>
          <w:rFonts w:cs="Arial"/>
          <w:lang w:val="en-US"/>
        </w:rPr>
        <w:t>.</w:t>
      </w:r>
    </w:p>
    <w:p w14:paraId="71C7E978" w14:textId="77777777" w:rsidR="002565B0" w:rsidRPr="00030D43" w:rsidRDefault="002565B0" w:rsidP="002565B0">
      <w:pPr>
        <w:pStyle w:val="CETReferencetext"/>
      </w:pPr>
      <w:r w:rsidRPr="00DB0B76">
        <w:rPr>
          <w:lang w:val="en-US"/>
        </w:rPr>
        <w:t>Cerbelli, S., Borgogna, A., Murmura, M.A., Annesini, M.C., Palocci, C., Bramosanti, M., Chronopoulou</w:t>
      </w:r>
      <w:r>
        <w:rPr>
          <w:lang w:val="en-US"/>
        </w:rPr>
        <w:t xml:space="preserve">, L., 2017, </w:t>
      </w:r>
      <w:r>
        <w:t>A Tunable Microfluidic Device to Investigate the Influence of Fluid-Dynamics on Polymer Nanoprecipitation</w:t>
      </w:r>
      <w:r>
        <w:rPr>
          <w:lang w:val="en-US"/>
        </w:rPr>
        <w:t xml:space="preserve">, </w:t>
      </w:r>
      <w:r w:rsidRPr="00DB0B76">
        <w:rPr>
          <w:lang w:val="en-US"/>
        </w:rPr>
        <w:t xml:space="preserve">Chemical Engineering Transactions, 57, </w:t>
      </w:r>
      <w:r>
        <w:t>853-858</w:t>
      </w:r>
    </w:p>
    <w:p w14:paraId="1D549D34" w14:textId="77777777" w:rsidR="00B7729D" w:rsidRPr="00B7729D" w:rsidRDefault="00B7729D" w:rsidP="00B7729D">
      <w:pPr>
        <w:pStyle w:val="CETReferencetext"/>
        <w:rPr>
          <w:rFonts w:cs="Arial"/>
          <w:lang w:val="en-US"/>
        </w:rPr>
      </w:pPr>
      <w:r w:rsidRPr="00B7729D">
        <w:rPr>
          <w:rFonts w:cs="Arial"/>
          <w:lang w:val="en-US"/>
        </w:rPr>
        <w:t>Pistoresi C</w:t>
      </w:r>
      <w:r>
        <w:rPr>
          <w:rFonts w:cs="Arial"/>
          <w:lang w:val="en-US"/>
        </w:rPr>
        <w:t>.</w:t>
      </w:r>
      <w:r w:rsidRPr="00B7729D">
        <w:rPr>
          <w:rFonts w:cs="Arial"/>
          <w:lang w:val="en-US"/>
        </w:rPr>
        <w:t>, Fan Y</w:t>
      </w:r>
      <w:r>
        <w:rPr>
          <w:rFonts w:cs="Arial"/>
          <w:lang w:val="en-US"/>
        </w:rPr>
        <w:t>.</w:t>
      </w:r>
      <w:r w:rsidRPr="00B7729D">
        <w:rPr>
          <w:rFonts w:cs="Arial"/>
          <w:lang w:val="en-US"/>
        </w:rPr>
        <w:t>, Luo L</w:t>
      </w:r>
      <w:r>
        <w:rPr>
          <w:rFonts w:cs="Arial"/>
          <w:lang w:val="en-US"/>
        </w:rPr>
        <w:t>.</w:t>
      </w:r>
      <w:r w:rsidRPr="00B7729D">
        <w:rPr>
          <w:rFonts w:cs="Arial"/>
          <w:lang w:val="en-US"/>
        </w:rPr>
        <w:t>,</w:t>
      </w:r>
      <w:r>
        <w:rPr>
          <w:rFonts w:cs="Arial"/>
          <w:lang w:val="en-US"/>
        </w:rPr>
        <w:t xml:space="preserve"> 2015,</w:t>
      </w:r>
      <w:r w:rsidRPr="00B7729D">
        <w:rPr>
          <w:rFonts w:cs="Arial"/>
          <w:lang w:val="en-US"/>
        </w:rPr>
        <w:t xml:space="preserve"> Numerical study on the improvement of flow distribution uniformity among parallel mini-channels. Chem</w:t>
      </w:r>
      <w:r>
        <w:rPr>
          <w:rFonts w:cs="Arial"/>
          <w:lang w:val="en-US"/>
        </w:rPr>
        <w:t>incal Engineering and Processing,</w:t>
      </w:r>
      <w:r w:rsidRPr="00B7729D">
        <w:rPr>
          <w:rFonts w:cs="Arial"/>
          <w:lang w:val="en-US"/>
        </w:rPr>
        <w:t xml:space="preserve"> 95, 63-71.</w:t>
      </w:r>
    </w:p>
    <w:p w14:paraId="521F8A10" w14:textId="5F9EEFBB" w:rsidR="00B7729D" w:rsidRDefault="00B7729D" w:rsidP="00B7729D">
      <w:pPr>
        <w:pStyle w:val="CETReferencetext"/>
        <w:rPr>
          <w:rFonts w:cs="Arial"/>
          <w:lang w:val="en-US"/>
        </w:rPr>
      </w:pPr>
      <w:r w:rsidRPr="00B7729D">
        <w:rPr>
          <w:rFonts w:cs="Arial"/>
          <w:lang w:val="en-US"/>
        </w:rPr>
        <w:t>Pohar A</w:t>
      </w:r>
      <w:r>
        <w:rPr>
          <w:rFonts w:cs="Arial"/>
          <w:lang w:val="en-US"/>
        </w:rPr>
        <w:t>.</w:t>
      </w:r>
      <w:r w:rsidRPr="00B7729D">
        <w:rPr>
          <w:rFonts w:cs="Arial"/>
          <w:lang w:val="en-US"/>
        </w:rPr>
        <w:t>, Plazl I</w:t>
      </w:r>
      <w:r>
        <w:rPr>
          <w:rFonts w:cs="Arial"/>
          <w:lang w:val="en-US"/>
        </w:rPr>
        <w:t>., 2009,</w:t>
      </w:r>
      <w:r w:rsidRPr="00B7729D">
        <w:rPr>
          <w:rFonts w:cs="Arial"/>
          <w:lang w:val="en-US"/>
        </w:rPr>
        <w:t xml:space="preserve"> Process Intensification through Microreactor Application, Chem</w:t>
      </w:r>
      <w:r>
        <w:rPr>
          <w:rFonts w:cs="Arial"/>
          <w:lang w:val="en-US"/>
        </w:rPr>
        <w:t>ical and</w:t>
      </w:r>
      <w:r w:rsidRPr="00B7729D">
        <w:rPr>
          <w:rFonts w:cs="Arial"/>
          <w:lang w:val="en-US"/>
        </w:rPr>
        <w:t xml:space="preserve"> Biochem</w:t>
      </w:r>
      <w:r>
        <w:rPr>
          <w:rFonts w:cs="Arial"/>
          <w:lang w:val="en-US"/>
        </w:rPr>
        <w:t>ical Engineer</w:t>
      </w:r>
      <w:r w:rsidR="00A221F8">
        <w:rPr>
          <w:rFonts w:cs="Arial"/>
          <w:lang w:val="en-US"/>
        </w:rPr>
        <w:t>ing</w:t>
      </w:r>
      <w:r>
        <w:rPr>
          <w:rFonts w:cs="Arial"/>
          <w:lang w:val="en-US"/>
        </w:rPr>
        <w:t xml:space="preserve"> Qua</w:t>
      </w:r>
      <w:r w:rsidR="00A221F8">
        <w:rPr>
          <w:rFonts w:cs="Arial"/>
          <w:lang w:val="en-US"/>
        </w:rPr>
        <w:t>r</w:t>
      </w:r>
      <w:r>
        <w:rPr>
          <w:rFonts w:cs="Arial"/>
          <w:lang w:val="en-US"/>
        </w:rPr>
        <w:t>terly,</w:t>
      </w:r>
      <w:r w:rsidRPr="00B7729D">
        <w:rPr>
          <w:rFonts w:cs="Arial"/>
          <w:lang w:val="en-US"/>
        </w:rPr>
        <w:t xml:space="preserve"> 23,</w:t>
      </w:r>
      <w:r>
        <w:rPr>
          <w:rFonts w:cs="Arial"/>
          <w:lang w:val="en-US"/>
        </w:rPr>
        <w:t xml:space="preserve"> </w:t>
      </w:r>
      <w:r w:rsidRPr="00B7729D">
        <w:rPr>
          <w:rFonts w:cs="Arial"/>
          <w:lang w:val="en-US"/>
        </w:rPr>
        <w:t>537-544.</w:t>
      </w:r>
    </w:p>
    <w:p w14:paraId="6F5FD2B1" w14:textId="3ABA32D2" w:rsidR="00732463" w:rsidRPr="00B7729D" w:rsidRDefault="00732463" w:rsidP="00B7729D">
      <w:pPr>
        <w:pStyle w:val="CETReferencetext"/>
        <w:rPr>
          <w:rFonts w:cs="Arial"/>
          <w:lang w:val="en-US"/>
        </w:rPr>
      </w:pPr>
      <w:r>
        <w:rPr>
          <w:rFonts w:cs="Arial"/>
          <w:lang w:val="en-US"/>
        </w:rPr>
        <w:t>Santana H.S., Amaral R.L., Taranto O.P., 2015, Numerical study of mixing and reaction for biodiesel production in spiral microchannel. Chemical Engineering Transactions, 43, 1663-1668.</w:t>
      </w:r>
    </w:p>
    <w:p w14:paraId="1F006E2B" w14:textId="77777777" w:rsidR="00B7729D" w:rsidRPr="00B7729D" w:rsidRDefault="00B7729D" w:rsidP="00B7729D">
      <w:pPr>
        <w:pStyle w:val="CETReferencetext"/>
        <w:rPr>
          <w:rFonts w:cs="Arial"/>
          <w:lang w:val="en-US"/>
        </w:rPr>
      </w:pPr>
      <w:r w:rsidRPr="00B7729D">
        <w:rPr>
          <w:rFonts w:cs="Arial"/>
          <w:lang w:val="en-US"/>
        </w:rPr>
        <w:t>Santana H.S., Tortola D.S., Silva Jr. J</w:t>
      </w:r>
      <w:r>
        <w:rPr>
          <w:rFonts w:cs="Arial"/>
          <w:lang w:val="en-US"/>
        </w:rPr>
        <w:t>.</w:t>
      </w:r>
      <w:r w:rsidRPr="00B7729D">
        <w:rPr>
          <w:rFonts w:cs="Arial"/>
          <w:lang w:val="en-US"/>
        </w:rPr>
        <w:t>L</w:t>
      </w:r>
      <w:r>
        <w:rPr>
          <w:rFonts w:cs="Arial"/>
          <w:lang w:val="en-US"/>
        </w:rPr>
        <w:t>.</w:t>
      </w:r>
      <w:r w:rsidRPr="00B7729D">
        <w:rPr>
          <w:rFonts w:cs="Arial"/>
          <w:lang w:val="en-US"/>
        </w:rPr>
        <w:t>, Taranto O</w:t>
      </w:r>
      <w:r>
        <w:rPr>
          <w:rFonts w:cs="Arial"/>
          <w:lang w:val="en-US"/>
        </w:rPr>
        <w:t>.</w:t>
      </w:r>
      <w:r w:rsidRPr="00B7729D">
        <w:rPr>
          <w:rFonts w:cs="Arial"/>
          <w:lang w:val="en-US"/>
        </w:rPr>
        <w:t>P</w:t>
      </w:r>
      <w:r>
        <w:rPr>
          <w:rFonts w:cs="Arial"/>
          <w:lang w:val="en-US"/>
        </w:rPr>
        <w:t>.</w:t>
      </w:r>
      <w:r w:rsidRPr="00B7729D">
        <w:rPr>
          <w:rFonts w:cs="Arial"/>
          <w:lang w:val="en-US"/>
        </w:rPr>
        <w:t>,</w:t>
      </w:r>
      <w:r>
        <w:rPr>
          <w:rFonts w:cs="Arial"/>
          <w:lang w:val="en-US"/>
        </w:rPr>
        <w:t xml:space="preserve"> 2017,</w:t>
      </w:r>
      <w:r w:rsidRPr="00B7729D">
        <w:rPr>
          <w:rFonts w:cs="Arial"/>
          <w:lang w:val="en-US"/>
        </w:rPr>
        <w:t xml:space="preserve"> Biodiesel synthesis in micromixer with static elements. </w:t>
      </w:r>
      <w:r w:rsidRPr="00030D43">
        <w:t>Energy Conversion and Management</w:t>
      </w:r>
      <w:r w:rsidRPr="00B7729D">
        <w:rPr>
          <w:rFonts w:cs="Arial"/>
          <w:lang w:val="en-US"/>
        </w:rPr>
        <w:t>, 141, 28-39.</w:t>
      </w:r>
    </w:p>
    <w:p w14:paraId="6E8F1FBD" w14:textId="77777777" w:rsidR="00B7729D" w:rsidRDefault="00B7729D" w:rsidP="00B7729D">
      <w:pPr>
        <w:pStyle w:val="CETReferencetext"/>
        <w:rPr>
          <w:rFonts w:cs="Arial"/>
          <w:lang w:val="en-US"/>
        </w:rPr>
      </w:pPr>
      <w:r w:rsidRPr="00B7729D">
        <w:rPr>
          <w:rFonts w:cs="Arial"/>
          <w:lang w:val="en-US"/>
        </w:rPr>
        <w:t>Santana H.S., Tortola D.S., Reis E.M., Silva Jr. J</w:t>
      </w:r>
      <w:r>
        <w:rPr>
          <w:rFonts w:cs="Arial"/>
          <w:lang w:val="en-US"/>
        </w:rPr>
        <w:t>.</w:t>
      </w:r>
      <w:r w:rsidRPr="00B7729D">
        <w:rPr>
          <w:rFonts w:cs="Arial"/>
          <w:lang w:val="en-US"/>
        </w:rPr>
        <w:t>L</w:t>
      </w:r>
      <w:r>
        <w:rPr>
          <w:rFonts w:cs="Arial"/>
          <w:lang w:val="en-US"/>
        </w:rPr>
        <w:t>.</w:t>
      </w:r>
      <w:r w:rsidRPr="00B7729D">
        <w:rPr>
          <w:rFonts w:cs="Arial"/>
          <w:lang w:val="en-US"/>
        </w:rPr>
        <w:t>, Taranto O</w:t>
      </w:r>
      <w:r>
        <w:rPr>
          <w:rFonts w:cs="Arial"/>
          <w:lang w:val="en-US"/>
        </w:rPr>
        <w:t>.</w:t>
      </w:r>
      <w:r w:rsidRPr="00B7729D">
        <w:rPr>
          <w:rFonts w:cs="Arial"/>
          <w:lang w:val="en-US"/>
        </w:rPr>
        <w:t>P</w:t>
      </w:r>
      <w:r>
        <w:rPr>
          <w:rFonts w:cs="Arial"/>
          <w:lang w:val="en-US"/>
        </w:rPr>
        <w:t>.</w:t>
      </w:r>
      <w:r w:rsidRPr="00B7729D">
        <w:rPr>
          <w:rFonts w:cs="Arial"/>
          <w:lang w:val="en-US"/>
        </w:rPr>
        <w:t>,</w:t>
      </w:r>
      <w:r>
        <w:rPr>
          <w:rFonts w:cs="Arial"/>
          <w:lang w:val="en-US"/>
        </w:rPr>
        <w:t xml:space="preserve"> 2016,</w:t>
      </w:r>
      <w:r w:rsidRPr="00B7729D">
        <w:rPr>
          <w:rFonts w:cs="Arial"/>
          <w:lang w:val="en-US"/>
        </w:rPr>
        <w:t xml:space="preserve"> Transesterification reaction of sunflower oil and ethanol for biodiesel synthesis in microchannel reactor: Experimental and simulation studies. </w:t>
      </w:r>
      <w:r>
        <w:rPr>
          <w:rFonts w:cs="Arial"/>
          <w:lang w:val="en-US"/>
        </w:rPr>
        <w:t>Chemical</w:t>
      </w:r>
      <w:r w:rsidRPr="00B7729D">
        <w:rPr>
          <w:rFonts w:cs="Arial"/>
          <w:lang w:val="en-US"/>
        </w:rPr>
        <w:t xml:space="preserve"> Eng</w:t>
      </w:r>
      <w:r>
        <w:rPr>
          <w:rFonts w:cs="Arial"/>
          <w:lang w:val="en-US"/>
        </w:rPr>
        <w:t>ineering</w:t>
      </w:r>
      <w:r w:rsidRPr="00B7729D">
        <w:rPr>
          <w:rFonts w:cs="Arial"/>
          <w:lang w:val="en-US"/>
        </w:rPr>
        <w:t xml:space="preserve"> J</w:t>
      </w:r>
      <w:r>
        <w:rPr>
          <w:rFonts w:cs="Arial"/>
          <w:lang w:val="en-US"/>
        </w:rPr>
        <w:t>ournal</w:t>
      </w:r>
      <w:r w:rsidRPr="00B7729D">
        <w:rPr>
          <w:rFonts w:cs="Arial"/>
          <w:lang w:val="en-US"/>
        </w:rPr>
        <w:t>,</w:t>
      </w:r>
      <w:r>
        <w:rPr>
          <w:rFonts w:cs="Arial"/>
          <w:lang w:val="en-US"/>
        </w:rPr>
        <w:t xml:space="preserve"> 302, 752-762</w:t>
      </w:r>
      <w:r w:rsidRPr="00B7729D">
        <w:rPr>
          <w:rFonts w:cs="Arial"/>
          <w:lang w:val="en-US"/>
        </w:rPr>
        <w:t>.</w:t>
      </w:r>
    </w:p>
    <w:p w14:paraId="03C197BD" w14:textId="77777777" w:rsidR="00DB0B76" w:rsidRPr="00A335BE" w:rsidRDefault="00A335BE" w:rsidP="00A335BE">
      <w:pPr>
        <w:pStyle w:val="CETReferencetext"/>
        <w:rPr>
          <w:rFonts w:cs="Arial"/>
          <w:b/>
          <w:bCs/>
          <w:sz w:val="28"/>
          <w:szCs w:val="28"/>
          <w:lang w:val="en-US"/>
        </w:rPr>
      </w:pPr>
      <w:r w:rsidRPr="00A335BE">
        <w:rPr>
          <w:rFonts w:eastAsia="STIXGeneral-Regular" w:cs="Arial"/>
          <w:lang w:val="en-US"/>
        </w:rPr>
        <w:t>Silva</w:t>
      </w:r>
      <w:r>
        <w:rPr>
          <w:rFonts w:eastAsia="STIXGeneral-Regular" w:cs="Arial"/>
          <w:lang w:val="en-US"/>
        </w:rPr>
        <w:t xml:space="preserve"> Jr., </w:t>
      </w:r>
      <w:r w:rsidRPr="00A335BE">
        <w:rPr>
          <w:rFonts w:eastAsia="STIXGeneral-Regular" w:cs="Arial"/>
          <w:lang w:val="en-US"/>
        </w:rPr>
        <w:t>J.</w:t>
      </w:r>
      <w:r>
        <w:rPr>
          <w:rFonts w:eastAsia="STIXGeneral-Regular" w:cs="Arial"/>
          <w:lang w:val="en-US"/>
        </w:rPr>
        <w:t>L., Santana, H.</w:t>
      </w:r>
      <w:r w:rsidRPr="00A335BE">
        <w:rPr>
          <w:rFonts w:eastAsia="STIXGeneral-Regular" w:cs="Arial"/>
          <w:lang w:val="en-US"/>
        </w:rPr>
        <w:t>S., Sa</w:t>
      </w:r>
      <w:r>
        <w:rPr>
          <w:rFonts w:eastAsia="STIXGeneral-Regular" w:cs="Arial"/>
          <w:lang w:val="en-US"/>
        </w:rPr>
        <w:t>nchez, G.</w:t>
      </w:r>
      <w:r w:rsidRPr="00A335BE">
        <w:rPr>
          <w:rFonts w:eastAsia="STIXGeneral-Regular" w:cs="Arial"/>
          <w:lang w:val="en-US"/>
        </w:rPr>
        <w:t xml:space="preserve">B., Taranto, O.P., 2017, Numerical </w:t>
      </w:r>
      <w:r>
        <w:rPr>
          <w:rFonts w:eastAsia="STIXGeneral-Regular" w:cs="Arial"/>
          <w:lang w:val="en-US"/>
        </w:rPr>
        <w:t>s</w:t>
      </w:r>
      <w:r w:rsidRPr="00A335BE">
        <w:rPr>
          <w:rFonts w:eastAsia="STIXGeneral-Regular" w:cs="Arial"/>
          <w:lang w:val="en-US"/>
        </w:rPr>
        <w:t xml:space="preserve">imulation of </w:t>
      </w:r>
      <w:r>
        <w:rPr>
          <w:rFonts w:eastAsia="STIXGeneral-Regular" w:cs="Arial"/>
          <w:lang w:val="en-US"/>
        </w:rPr>
        <w:t>e</w:t>
      </w:r>
      <w:r w:rsidRPr="00A335BE">
        <w:rPr>
          <w:rFonts w:eastAsia="STIXGeneral-Regular" w:cs="Arial"/>
          <w:lang w:val="en-US"/>
        </w:rPr>
        <w:t xml:space="preserve">xcess </w:t>
      </w:r>
      <w:r>
        <w:rPr>
          <w:rFonts w:eastAsia="STIXGeneral-Regular" w:cs="Arial"/>
          <w:lang w:val="en-US"/>
        </w:rPr>
        <w:t>e</w:t>
      </w:r>
      <w:r w:rsidRPr="00A335BE">
        <w:rPr>
          <w:rFonts w:eastAsia="STIXGeneral-Regular" w:cs="Arial"/>
          <w:lang w:val="en-US"/>
        </w:rPr>
        <w:t xml:space="preserve">thanol </w:t>
      </w:r>
      <w:r>
        <w:rPr>
          <w:rFonts w:eastAsia="STIXGeneral-Regular" w:cs="Arial"/>
          <w:lang w:val="en-US"/>
        </w:rPr>
        <w:t>e</w:t>
      </w:r>
      <w:r w:rsidRPr="00A335BE">
        <w:rPr>
          <w:rFonts w:eastAsia="STIXGeneral-Regular" w:cs="Arial"/>
          <w:lang w:val="en-US"/>
        </w:rPr>
        <w:t xml:space="preserve">vaporation from </w:t>
      </w:r>
      <w:r>
        <w:rPr>
          <w:rFonts w:eastAsia="STIXGeneral-Regular" w:cs="Arial"/>
          <w:lang w:val="en-US"/>
        </w:rPr>
        <w:t>b</w:t>
      </w:r>
      <w:r w:rsidRPr="00A335BE">
        <w:rPr>
          <w:rFonts w:eastAsia="STIXGeneral-Regular" w:cs="Arial"/>
          <w:lang w:val="en-US"/>
        </w:rPr>
        <w:t xml:space="preserve">iodiesel in a </w:t>
      </w:r>
      <w:r>
        <w:rPr>
          <w:rFonts w:eastAsia="STIXGeneral-Regular" w:cs="Arial"/>
          <w:lang w:val="en-US"/>
        </w:rPr>
        <w:t>micro he</w:t>
      </w:r>
      <w:r w:rsidRPr="00A335BE">
        <w:rPr>
          <w:rFonts w:eastAsia="STIXGeneral-Regular" w:cs="Arial"/>
          <w:lang w:val="en-US"/>
        </w:rPr>
        <w:t>at-</w:t>
      </w:r>
      <w:r>
        <w:rPr>
          <w:rFonts w:eastAsia="STIXGeneral-Regular" w:cs="Arial"/>
          <w:lang w:val="en-US"/>
        </w:rPr>
        <w:t>e</w:t>
      </w:r>
      <w:r w:rsidRPr="00A335BE">
        <w:rPr>
          <w:rFonts w:eastAsia="STIXGeneral-Regular" w:cs="Arial"/>
          <w:lang w:val="en-US"/>
        </w:rPr>
        <w:t xml:space="preserve">xchanger. </w:t>
      </w:r>
      <w:r w:rsidRPr="00A335BE">
        <w:rPr>
          <w:rFonts w:eastAsia="STIXGeneral-Regular" w:cs="Arial"/>
          <w:iCs/>
          <w:lang w:val="en-US"/>
        </w:rPr>
        <w:t>Chemical Engineering Transactions</w:t>
      </w:r>
      <w:r w:rsidRPr="00A335BE">
        <w:rPr>
          <w:rFonts w:eastAsia="STIXGeneral-Regular" w:cs="Arial"/>
          <w:lang w:val="en-US"/>
        </w:rPr>
        <w:t xml:space="preserve">, </w:t>
      </w:r>
      <w:r w:rsidRPr="00A335BE">
        <w:rPr>
          <w:rFonts w:eastAsia="STIXGeneral-Regular" w:cs="Arial"/>
          <w:iCs/>
          <w:lang w:val="en-US"/>
        </w:rPr>
        <w:t>57</w:t>
      </w:r>
      <w:r w:rsidRPr="00A335BE">
        <w:rPr>
          <w:rFonts w:eastAsia="STIXGeneral-Regular" w:cs="Arial"/>
          <w:lang w:val="en-US"/>
        </w:rPr>
        <w:t>, 1123</w:t>
      </w:r>
      <w:r>
        <w:rPr>
          <w:rFonts w:eastAsia="STIXGeneral-Regular" w:cs="Arial"/>
          <w:lang w:val="en-US"/>
        </w:rPr>
        <w:t>-</w:t>
      </w:r>
      <w:r w:rsidRPr="00A335BE">
        <w:rPr>
          <w:rFonts w:eastAsia="STIXGeneral-Regular" w:cs="Arial"/>
          <w:lang w:val="en-US"/>
        </w:rPr>
        <w:t>1128.</w:t>
      </w:r>
    </w:p>
    <w:p w14:paraId="1A3AB7AA" w14:textId="77777777" w:rsidR="00B7729D" w:rsidRPr="00B7729D" w:rsidRDefault="00B7729D" w:rsidP="00B7729D">
      <w:pPr>
        <w:pStyle w:val="CETReferencetext"/>
        <w:rPr>
          <w:rFonts w:cs="Arial"/>
          <w:lang w:val="en-US"/>
        </w:rPr>
      </w:pPr>
      <w:r w:rsidRPr="00B7729D">
        <w:rPr>
          <w:rFonts w:cs="Arial"/>
          <w:lang w:val="en-US"/>
        </w:rPr>
        <w:t>Whitesides G</w:t>
      </w:r>
      <w:r>
        <w:rPr>
          <w:rFonts w:cs="Arial"/>
          <w:lang w:val="en-US"/>
        </w:rPr>
        <w:t>.</w:t>
      </w:r>
      <w:r w:rsidRPr="00B7729D">
        <w:rPr>
          <w:rFonts w:cs="Arial"/>
          <w:lang w:val="en-US"/>
        </w:rPr>
        <w:t>M</w:t>
      </w:r>
      <w:r>
        <w:rPr>
          <w:rFonts w:cs="Arial"/>
          <w:lang w:val="en-US"/>
        </w:rPr>
        <w:t>.</w:t>
      </w:r>
      <w:r w:rsidRPr="00B7729D">
        <w:rPr>
          <w:rFonts w:cs="Arial"/>
          <w:lang w:val="en-US"/>
        </w:rPr>
        <w:t xml:space="preserve"> </w:t>
      </w:r>
      <w:bookmarkStart w:id="1" w:name="atl"/>
      <w:bookmarkEnd w:id="1"/>
      <w:r w:rsidRPr="00B7729D">
        <w:rPr>
          <w:rFonts w:cs="Arial"/>
          <w:lang w:val="en-US"/>
        </w:rPr>
        <w:t>The origins a</w:t>
      </w:r>
      <w:r>
        <w:rPr>
          <w:rFonts w:cs="Arial"/>
          <w:lang w:val="en-US"/>
        </w:rPr>
        <w:t xml:space="preserve">nd the future of microfluidics., 2006, </w:t>
      </w:r>
      <w:r w:rsidRPr="00B7729D">
        <w:rPr>
          <w:rFonts w:cs="Arial"/>
          <w:lang w:val="en-US"/>
        </w:rPr>
        <w:t xml:space="preserve">Nature, 442, </w:t>
      </w:r>
      <w:r>
        <w:rPr>
          <w:rFonts w:cs="Arial"/>
          <w:lang w:val="en-US"/>
        </w:rPr>
        <w:t>368-373</w:t>
      </w:r>
      <w:r w:rsidRPr="00B7729D">
        <w:rPr>
          <w:rFonts w:cs="Arial"/>
          <w:lang w:val="en-US"/>
        </w:rPr>
        <w:t>.</w:t>
      </w:r>
    </w:p>
    <w:p w14:paraId="59A4A5FC" w14:textId="77777777" w:rsidR="005C02C1" w:rsidRDefault="00B7729D" w:rsidP="00D52DC1">
      <w:pPr>
        <w:pStyle w:val="CETReferencetext"/>
      </w:pPr>
      <w:r>
        <w:t>Zhou</w:t>
      </w:r>
      <w:r w:rsidRPr="00030D43">
        <w:t xml:space="preserve"> T</w:t>
      </w:r>
      <w:r>
        <w:t>.</w:t>
      </w:r>
      <w:r w:rsidRPr="00030D43">
        <w:t>, L</w:t>
      </w:r>
      <w:r>
        <w:t>iu</w:t>
      </w:r>
      <w:r w:rsidRPr="00030D43">
        <w:t xml:space="preserve"> T</w:t>
      </w:r>
      <w:r>
        <w:t>.</w:t>
      </w:r>
      <w:r w:rsidRPr="00030D43">
        <w:t>, D</w:t>
      </w:r>
      <w:r>
        <w:t>eng</w:t>
      </w:r>
      <w:r w:rsidRPr="00030D43">
        <w:t xml:space="preserve"> Y</w:t>
      </w:r>
      <w:r>
        <w:t>.</w:t>
      </w:r>
      <w:r w:rsidRPr="00030D43">
        <w:t>, C</w:t>
      </w:r>
      <w:r>
        <w:t>hen</w:t>
      </w:r>
      <w:r w:rsidRPr="00030D43">
        <w:t xml:space="preserve"> L</w:t>
      </w:r>
      <w:r>
        <w:t>.</w:t>
      </w:r>
      <w:r w:rsidRPr="00030D43">
        <w:t>, Q</w:t>
      </w:r>
      <w:r>
        <w:t>ian</w:t>
      </w:r>
      <w:r w:rsidRPr="00030D43">
        <w:t xml:space="preserve"> S</w:t>
      </w:r>
      <w:r>
        <w:t>.</w:t>
      </w:r>
      <w:r w:rsidRPr="00030D43">
        <w:t>, L</w:t>
      </w:r>
      <w:r>
        <w:t>iu</w:t>
      </w:r>
      <w:r w:rsidRPr="00030D43">
        <w:t xml:space="preserve"> Z</w:t>
      </w:r>
      <w:r>
        <w:t>.</w:t>
      </w:r>
      <w:r w:rsidRPr="00030D43">
        <w:t>,</w:t>
      </w:r>
      <w:r>
        <w:t xml:space="preserve"> 2017,</w:t>
      </w:r>
      <w:r w:rsidRPr="00030D43">
        <w:t xml:space="preserve"> Design of microfluidic channel networks with specified output flow rates using the CFD</w:t>
      </w:r>
      <w:r w:rsidRPr="00030D43">
        <w:rPr>
          <w:rFonts w:ascii="MS Gothic" w:eastAsia="MS Gothic" w:hAnsi="MS Gothic" w:cs="MS Gothic" w:hint="eastAsia"/>
        </w:rPr>
        <w:t>‑</w:t>
      </w:r>
      <w:r w:rsidRPr="00030D43">
        <w:t xml:space="preserve">based </w:t>
      </w:r>
      <w:r>
        <w:t xml:space="preserve">optimization method. Microfluidics and </w:t>
      </w:r>
      <w:r w:rsidRPr="00030D43">
        <w:t>Nanofluid</w:t>
      </w:r>
      <w:r>
        <w:t>ics,  21:11</w:t>
      </w:r>
      <w:r w:rsidRPr="00030D43">
        <w:t>.</w:t>
      </w:r>
    </w:p>
    <w:sectPr w:rsidR="005C02C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B8B8" w14:textId="77777777" w:rsidR="0027577C" w:rsidRDefault="0027577C" w:rsidP="004F5E36">
      <w:r>
        <w:separator/>
      </w:r>
    </w:p>
  </w:endnote>
  <w:endnote w:type="continuationSeparator" w:id="0">
    <w:p w14:paraId="6E442F35" w14:textId="77777777" w:rsidR="0027577C" w:rsidRDefault="0027577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TIXGeneral-Regular">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4410" w14:textId="77777777" w:rsidR="0027577C" w:rsidRDefault="0027577C" w:rsidP="004F5E36">
      <w:r>
        <w:separator/>
      </w:r>
    </w:p>
  </w:footnote>
  <w:footnote w:type="continuationSeparator" w:id="0">
    <w:p w14:paraId="592BC441" w14:textId="77777777" w:rsidR="0027577C" w:rsidRDefault="0027577C"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8D6733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0D43"/>
    <w:rsid w:val="0003148D"/>
    <w:rsid w:val="00047D7F"/>
    <w:rsid w:val="00051566"/>
    <w:rsid w:val="00062A9A"/>
    <w:rsid w:val="00065058"/>
    <w:rsid w:val="000755A2"/>
    <w:rsid w:val="00086C39"/>
    <w:rsid w:val="000A03B2"/>
    <w:rsid w:val="000A3B79"/>
    <w:rsid w:val="000B103B"/>
    <w:rsid w:val="000C08A5"/>
    <w:rsid w:val="000D09D3"/>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7788E"/>
    <w:rsid w:val="00184AD6"/>
    <w:rsid w:val="00194761"/>
    <w:rsid w:val="001B0349"/>
    <w:rsid w:val="001B65C1"/>
    <w:rsid w:val="001C684B"/>
    <w:rsid w:val="001D53FC"/>
    <w:rsid w:val="001F42A5"/>
    <w:rsid w:val="001F7B9D"/>
    <w:rsid w:val="00221D8E"/>
    <w:rsid w:val="002224B4"/>
    <w:rsid w:val="002447EF"/>
    <w:rsid w:val="00251550"/>
    <w:rsid w:val="002516C1"/>
    <w:rsid w:val="00252C1A"/>
    <w:rsid w:val="002565B0"/>
    <w:rsid w:val="00263B05"/>
    <w:rsid w:val="0027221A"/>
    <w:rsid w:val="0027577C"/>
    <w:rsid w:val="00275B61"/>
    <w:rsid w:val="00282656"/>
    <w:rsid w:val="00296B83"/>
    <w:rsid w:val="002A09ED"/>
    <w:rsid w:val="002B78CE"/>
    <w:rsid w:val="002C2FB6"/>
    <w:rsid w:val="002D5BCD"/>
    <w:rsid w:val="003009B7"/>
    <w:rsid w:val="00300E56"/>
    <w:rsid w:val="0030469C"/>
    <w:rsid w:val="00321CA6"/>
    <w:rsid w:val="00334C09"/>
    <w:rsid w:val="003365E3"/>
    <w:rsid w:val="00342267"/>
    <w:rsid w:val="003723D4"/>
    <w:rsid w:val="00384CC8"/>
    <w:rsid w:val="003871FD"/>
    <w:rsid w:val="0039253D"/>
    <w:rsid w:val="003A1E30"/>
    <w:rsid w:val="003A7D1C"/>
    <w:rsid w:val="003B304B"/>
    <w:rsid w:val="003B3146"/>
    <w:rsid w:val="003B60F3"/>
    <w:rsid w:val="003F015E"/>
    <w:rsid w:val="00400414"/>
    <w:rsid w:val="00403F3B"/>
    <w:rsid w:val="0041446B"/>
    <w:rsid w:val="0044329C"/>
    <w:rsid w:val="004577FE"/>
    <w:rsid w:val="00457B9C"/>
    <w:rsid w:val="0046164A"/>
    <w:rsid w:val="004628D2"/>
    <w:rsid w:val="00462DCD"/>
    <w:rsid w:val="004648AD"/>
    <w:rsid w:val="004703A9"/>
    <w:rsid w:val="004760DE"/>
    <w:rsid w:val="004809E2"/>
    <w:rsid w:val="004A004E"/>
    <w:rsid w:val="004A24CF"/>
    <w:rsid w:val="004B6721"/>
    <w:rsid w:val="004C3D1D"/>
    <w:rsid w:val="004C7913"/>
    <w:rsid w:val="004D4446"/>
    <w:rsid w:val="004E4DD6"/>
    <w:rsid w:val="004F5E36"/>
    <w:rsid w:val="00507B47"/>
    <w:rsid w:val="00507CC9"/>
    <w:rsid w:val="005119A5"/>
    <w:rsid w:val="005278B7"/>
    <w:rsid w:val="00532016"/>
    <w:rsid w:val="005346C8"/>
    <w:rsid w:val="00543E7D"/>
    <w:rsid w:val="00546B05"/>
    <w:rsid w:val="00547A68"/>
    <w:rsid w:val="005531C9"/>
    <w:rsid w:val="00553777"/>
    <w:rsid w:val="00566CAD"/>
    <w:rsid w:val="005A7AE6"/>
    <w:rsid w:val="005B2110"/>
    <w:rsid w:val="005B61E6"/>
    <w:rsid w:val="005C02C1"/>
    <w:rsid w:val="005C77E1"/>
    <w:rsid w:val="005D4661"/>
    <w:rsid w:val="005D6A2F"/>
    <w:rsid w:val="005E1A82"/>
    <w:rsid w:val="005E794C"/>
    <w:rsid w:val="005F0A28"/>
    <w:rsid w:val="005F0E5E"/>
    <w:rsid w:val="00600535"/>
    <w:rsid w:val="006045B7"/>
    <w:rsid w:val="00610CD6"/>
    <w:rsid w:val="00620DEE"/>
    <w:rsid w:val="00621F92"/>
    <w:rsid w:val="00625639"/>
    <w:rsid w:val="00631B33"/>
    <w:rsid w:val="0064184D"/>
    <w:rsid w:val="006422CC"/>
    <w:rsid w:val="00652F74"/>
    <w:rsid w:val="006550BB"/>
    <w:rsid w:val="00660E3E"/>
    <w:rsid w:val="00662E74"/>
    <w:rsid w:val="00680C23"/>
    <w:rsid w:val="00693766"/>
    <w:rsid w:val="006A3281"/>
    <w:rsid w:val="006B4888"/>
    <w:rsid w:val="006C2E45"/>
    <w:rsid w:val="006C359C"/>
    <w:rsid w:val="006C5579"/>
    <w:rsid w:val="006E737D"/>
    <w:rsid w:val="006F62BD"/>
    <w:rsid w:val="0070195D"/>
    <w:rsid w:val="00702F14"/>
    <w:rsid w:val="00720A24"/>
    <w:rsid w:val="00732386"/>
    <w:rsid w:val="00732463"/>
    <w:rsid w:val="007447F3"/>
    <w:rsid w:val="0075499F"/>
    <w:rsid w:val="007661C8"/>
    <w:rsid w:val="0077098D"/>
    <w:rsid w:val="007931FA"/>
    <w:rsid w:val="007A7BBA"/>
    <w:rsid w:val="007B0C50"/>
    <w:rsid w:val="007C1A43"/>
    <w:rsid w:val="007E1838"/>
    <w:rsid w:val="007E1DC6"/>
    <w:rsid w:val="00812D8A"/>
    <w:rsid w:val="00813288"/>
    <w:rsid w:val="008168FC"/>
    <w:rsid w:val="00830996"/>
    <w:rsid w:val="008345F1"/>
    <w:rsid w:val="00865B07"/>
    <w:rsid w:val="008667EA"/>
    <w:rsid w:val="0087637F"/>
    <w:rsid w:val="008904B9"/>
    <w:rsid w:val="00892AD5"/>
    <w:rsid w:val="008A1512"/>
    <w:rsid w:val="008C4552"/>
    <w:rsid w:val="008C78C1"/>
    <w:rsid w:val="008D32B9"/>
    <w:rsid w:val="008D433B"/>
    <w:rsid w:val="008E566E"/>
    <w:rsid w:val="0090161A"/>
    <w:rsid w:val="00901EB6"/>
    <w:rsid w:val="00904C62"/>
    <w:rsid w:val="00924DAC"/>
    <w:rsid w:val="00927058"/>
    <w:rsid w:val="00936D37"/>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D4A97"/>
    <w:rsid w:val="009E7884"/>
    <w:rsid w:val="009E788A"/>
    <w:rsid w:val="009F0E08"/>
    <w:rsid w:val="00A1763D"/>
    <w:rsid w:val="00A17CEC"/>
    <w:rsid w:val="00A221F8"/>
    <w:rsid w:val="00A27EF0"/>
    <w:rsid w:val="00A335BE"/>
    <w:rsid w:val="00A50B20"/>
    <w:rsid w:val="00A51390"/>
    <w:rsid w:val="00A60D13"/>
    <w:rsid w:val="00A72745"/>
    <w:rsid w:val="00A76EFC"/>
    <w:rsid w:val="00A91010"/>
    <w:rsid w:val="00A97F29"/>
    <w:rsid w:val="00AA702E"/>
    <w:rsid w:val="00AB0964"/>
    <w:rsid w:val="00AB5011"/>
    <w:rsid w:val="00AC7368"/>
    <w:rsid w:val="00AD16B9"/>
    <w:rsid w:val="00AE36C9"/>
    <w:rsid w:val="00AE377D"/>
    <w:rsid w:val="00AE64A8"/>
    <w:rsid w:val="00B17FBD"/>
    <w:rsid w:val="00B30A9D"/>
    <w:rsid w:val="00B315A6"/>
    <w:rsid w:val="00B31813"/>
    <w:rsid w:val="00B33365"/>
    <w:rsid w:val="00B34BEE"/>
    <w:rsid w:val="00B57B36"/>
    <w:rsid w:val="00B7729D"/>
    <w:rsid w:val="00B8686D"/>
    <w:rsid w:val="00BC30C9"/>
    <w:rsid w:val="00BE3E58"/>
    <w:rsid w:val="00BF1176"/>
    <w:rsid w:val="00C01616"/>
    <w:rsid w:val="00C0162B"/>
    <w:rsid w:val="00C345B1"/>
    <w:rsid w:val="00C40142"/>
    <w:rsid w:val="00C57182"/>
    <w:rsid w:val="00C57863"/>
    <w:rsid w:val="00C655FD"/>
    <w:rsid w:val="00C870A8"/>
    <w:rsid w:val="00C94434"/>
    <w:rsid w:val="00CA0D75"/>
    <w:rsid w:val="00CA1C95"/>
    <w:rsid w:val="00CA5A9C"/>
    <w:rsid w:val="00CD3517"/>
    <w:rsid w:val="00CD5A00"/>
    <w:rsid w:val="00CD5FE2"/>
    <w:rsid w:val="00CE7C68"/>
    <w:rsid w:val="00CF1129"/>
    <w:rsid w:val="00D02531"/>
    <w:rsid w:val="00D02AF2"/>
    <w:rsid w:val="00D02B4C"/>
    <w:rsid w:val="00D040C4"/>
    <w:rsid w:val="00D52DC1"/>
    <w:rsid w:val="00D57C84"/>
    <w:rsid w:val="00D6057D"/>
    <w:rsid w:val="00D63727"/>
    <w:rsid w:val="00D84576"/>
    <w:rsid w:val="00DA1399"/>
    <w:rsid w:val="00DA24C6"/>
    <w:rsid w:val="00DA4D7B"/>
    <w:rsid w:val="00DB0B76"/>
    <w:rsid w:val="00DB5AC3"/>
    <w:rsid w:val="00DE1B92"/>
    <w:rsid w:val="00DE264A"/>
    <w:rsid w:val="00E02D18"/>
    <w:rsid w:val="00E041E7"/>
    <w:rsid w:val="00E23CA1"/>
    <w:rsid w:val="00E26995"/>
    <w:rsid w:val="00E409A8"/>
    <w:rsid w:val="00E50C12"/>
    <w:rsid w:val="00E65B91"/>
    <w:rsid w:val="00E7209D"/>
    <w:rsid w:val="00E75F75"/>
    <w:rsid w:val="00E77223"/>
    <w:rsid w:val="00E8528B"/>
    <w:rsid w:val="00E85B94"/>
    <w:rsid w:val="00E863C0"/>
    <w:rsid w:val="00E952F3"/>
    <w:rsid w:val="00E978D0"/>
    <w:rsid w:val="00EA4613"/>
    <w:rsid w:val="00EA7F91"/>
    <w:rsid w:val="00EB1523"/>
    <w:rsid w:val="00EC0E49"/>
    <w:rsid w:val="00EE0131"/>
    <w:rsid w:val="00F07365"/>
    <w:rsid w:val="00F155B2"/>
    <w:rsid w:val="00F163D1"/>
    <w:rsid w:val="00F30C64"/>
    <w:rsid w:val="00F32CDB"/>
    <w:rsid w:val="00F54859"/>
    <w:rsid w:val="00F63A70"/>
    <w:rsid w:val="00FA21D0"/>
    <w:rsid w:val="00FA5F5F"/>
    <w:rsid w:val="00FB730C"/>
    <w:rsid w:val="00FC2695"/>
    <w:rsid w:val="00FC3E03"/>
    <w:rsid w:val="00FC3FC1"/>
    <w:rsid w:val="00FE6C3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BEE31"/>
  <w15:docId w15:val="{9EB235B5-8856-4865-B7BC-3BF257DF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52F74"/>
    <w:pPr>
      <w:keepNext/>
      <w:numPr>
        <w:ilvl w:val="2"/>
        <w:numId w:val="1"/>
      </w:numPr>
      <w:suppressAutoHyphens/>
      <w:spacing w:before="120" w:after="120" w:line="240" w:lineRule="auto"/>
    </w:pPr>
    <w:rPr>
      <w:rFonts w:ascii="Arial" w:eastAsia="Times New Roman" w:hAnsi="Arial" w:cs="Arial"/>
      <w:b/>
      <w:bCs/>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52F74"/>
    <w:rPr>
      <w:rFonts w:ascii="Arial" w:eastAsia="Times New Roman" w:hAnsi="Arial" w:cs="Arial"/>
      <w:b/>
      <w:bCs/>
      <w:sz w:val="18"/>
      <w:szCs w:val="18"/>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bCs/>
      <w:sz w:val="18"/>
      <w:szCs w:val="20"/>
      <w:lang w:val="en-US"/>
    </w:rPr>
  </w:style>
  <w:style w:type="paragraph" w:customStyle="1" w:styleId="paragraph">
    <w:name w:val="paragraph"/>
    <w:basedOn w:val="Normal"/>
    <w:qFormat/>
    <w:rsid w:val="00030D43"/>
    <w:pPr>
      <w:tabs>
        <w:tab w:val="clear" w:pos="7100"/>
      </w:tabs>
      <w:spacing w:before="120" w:after="120" w:line="240" w:lineRule="auto"/>
      <w:jc w:val="left"/>
    </w:pPr>
    <w:rPr>
      <w:rFonts w:ascii="Palatino Linotype" w:hAnsi="Palatino Linotype"/>
      <w:color w:val="00000A"/>
      <w:lang w:eastAsia="de-AT"/>
    </w:rPr>
  </w:style>
  <w:style w:type="paragraph" w:styleId="PargrafodaLista">
    <w:name w:val="List Paragraph"/>
    <w:basedOn w:val="Normal"/>
    <w:uiPriority w:val="34"/>
    <w:rsid w:val="00652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C922-18CE-42BE-B175-AAED6340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3040</Words>
  <Characters>16418</Characters>
  <Application>Microsoft Office Word</Application>
  <DocSecurity>0</DocSecurity>
  <Lines>136</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Harrison Silva Santana</cp:lastModifiedBy>
  <cp:revision>2</cp:revision>
  <cp:lastPrinted>2019-01-22T13:17:00Z</cp:lastPrinted>
  <dcterms:created xsi:type="dcterms:W3CDTF">2019-01-25T17:34:00Z</dcterms:created>
  <dcterms:modified xsi:type="dcterms:W3CDTF">2019-01-25T17:34:00Z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