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4055D8">
        <w:trPr>
          <w:trHeight w:val="852"/>
          <w:jc w:val="center"/>
        </w:trPr>
        <w:tc>
          <w:tcPr>
            <w:tcW w:w="6946" w:type="dxa"/>
            <w:vMerge w:val="restart"/>
            <w:tcBorders>
              <w:right w:val="single" w:sz="4" w:space="0" w:color="auto"/>
            </w:tcBorders>
          </w:tcPr>
          <w:p w:rsidR="000A03B2" w:rsidRPr="00C00A4C" w:rsidRDefault="00EF4F22" w:rsidP="00DE264A">
            <w:pPr>
              <w:tabs>
                <w:tab w:val="left" w:pos="-108"/>
              </w:tabs>
              <w:ind w:left="-108"/>
              <w:jc w:val="left"/>
              <w:rPr>
                <w:rFonts w:cs="Arial"/>
                <w:b/>
                <w:bCs/>
                <w:i/>
                <w:iCs/>
                <w:color w:val="000066"/>
                <w:sz w:val="12"/>
                <w:szCs w:val="12"/>
                <w:lang w:eastAsia="it-IT"/>
              </w:rPr>
            </w:pPr>
            <w:bookmarkStart w:id="0" w:name="_GoBack"/>
            <w:bookmarkEnd w:id="0"/>
            <w:r w:rsidRPr="00C00A4C">
              <w:rPr>
                <w:rFonts w:ascii="AdvP6960" w:hAnsi="AdvP6960" w:cs="AdvP6960"/>
                <w:noProof/>
                <w:color w:val="241F20"/>
                <w:szCs w:val="18"/>
                <w:lang w:val="en-US"/>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51676"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F77866">
              <w:rPr>
                <w:rFonts w:ascii="AdvP6960" w:hAnsi="AdvP6960" w:cs="AdvP6960"/>
                <w:color w:val="241F20"/>
                <w:szCs w:val="18"/>
                <w:lang w:eastAsia="it-IT"/>
              </w:rPr>
              <w:t xml:space="preserve"> </w:t>
            </w:r>
            <w:r w:rsidRPr="00F77866">
              <w:rPr>
                <w:rFonts w:cs="Arial"/>
                <w:b/>
                <w:bCs/>
                <w:i/>
                <w:iCs/>
                <w:color w:val="000066"/>
                <w:sz w:val="24"/>
                <w:szCs w:val="24"/>
                <w:lang w:eastAsia="it-IT"/>
              </w:rPr>
              <w:t>CHEMICAL ENGINEERING</w:t>
            </w:r>
            <w:r w:rsidRPr="00F77866">
              <w:rPr>
                <w:rFonts w:cs="Arial"/>
                <w:b/>
                <w:bCs/>
                <w:i/>
                <w:iCs/>
                <w:color w:val="0033FF"/>
                <w:sz w:val="24"/>
                <w:szCs w:val="24"/>
                <w:lang w:eastAsia="it-IT"/>
              </w:rPr>
              <w:t xml:space="preserve"> </w:t>
            </w:r>
            <w:r w:rsidRPr="00501B1C">
              <w:rPr>
                <w:rFonts w:cs="Arial"/>
                <w:b/>
                <w:bCs/>
                <w:i/>
                <w:iCs/>
                <w:color w:val="666666"/>
                <w:sz w:val="24"/>
                <w:szCs w:val="24"/>
                <w:lang w:eastAsia="it-IT"/>
              </w:rPr>
              <w:t>TRANSACTIONS</w:t>
            </w:r>
            <w:r w:rsidRPr="007F3EA9">
              <w:rPr>
                <w:color w:val="333333"/>
                <w:sz w:val="24"/>
                <w:szCs w:val="24"/>
                <w:lang w:eastAsia="it-IT"/>
              </w:rPr>
              <w:t xml:space="preserve"> </w:t>
            </w:r>
            <w:r w:rsidRPr="00C00A4C">
              <w:rPr>
                <w:rFonts w:cs="Arial"/>
                <w:b/>
                <w:bCs/>
                <w:i/>
                <w:iCs/>
                <w:color w:val="000066"/>
                <w:sz w:val="27"/>
                <w:szCs w:val="27"/>
                <w:lang w:eastAsia="it-IT"/>
              </w:rPr>
              <w:br/>
            </w:r>
          </w:p>
          <w:p w:rsidR="000A03B2" w:rsidRPr="00C00A4C" w:rsidRDefault="00EF4F22" w:rsidP="009635B9">
            <w:pPr>
              <w:tabs>
                <w:tab w:val="left" w:pos="-108"/>
              </w:tabs>
              <w:ind w:left="-108"/>
              <w:rPr>
                <w:rFonts w:cs="Arial"/>
                <w:b/>
                <w:bCs/>
                <w:i/>
                <w:iCs/>
                <w:color w:val="000066"/>
                <w:sz w:val="22"/>
                <w:szCs w:val="22"/>
                <w:lang w:eastAsia="it-IT"/>
              </w:rPr>
            </w:pPr>
            <w:r w:rsidRPr="00C00A4C">
              <w:rPr>
                <w:rFonts w:cs="Arial"/>
                <w:b/>
                <w:bCs/>
                <w:i/>
                <w:iCs/>
                <w:color w:val="000066"/>
                <w:sz w:val="22"/>
                <w:szCs w:val="22"/>
                <w:lang w:eastAsia="it-IT"/>
              </w:rPr>
              <w:t xml:space="preserve">VOL. </w:t>
            </w:r>
            <w:r w:rsidR="007931FA" w:rsidRPr="00C00A4C">
              <w:rPr>
                <w:rFonts w:cs="Arial"/>
                <w:b/>
                <w:bCs/>
                <w:i/>
                <w:iCs/>
                <w:color w:val="000066"/>
                <w:sz w:val="22"/>
                <w:szCs w:val="22"/>
                <w:lang w:eastAsia="it-IT"/>
              </w:rPr>
              <w:t>7</w:t>
            </w:r>
            <w:r w:rsidR="009635B9" w:rsidRPr="00C00A4C">
              <w:rPr>
                <w:rFonts w:cs="Arial"/>
                <w:b/>
                <w:bCs/>
                <w:i/>
                <w:iCs/>
                <w:color w:val="000066"/>
                <w:sz w:val="22"/>
                <w:szCs w:val="22"/>
                <w:lang w:eastAsia="it-IT"/>
              </w:rPr>
              <w:t>6</w:t>
            </w:r>
            <w:r w:rsidR="00FA5F5F" w:rsidRPr="00C00A4C">
              <w:rPr>
                <w:rFonts w:cs="Arial"/>
                <w:b/>
                <w:bCs/>
                <w:i/>
                <w:iCs/>
                <w:color w:val="000066"/>
                <w:sz w:val="22"/>
                <w:szCs w:val="22"/>
                <w:lang w:eastAsia="it-IT"/>
              </w:rPr>
              <w:t>, 201</w:t>
            </w:r>
            <w:r w:rsidR="007931FA" w:rsidRPr="00C00A4C">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C00A4C" w:rsidRDefault="00EF4F22" w:rsidP="00CD5FE2">
            <w:pPr>
              <w:spacing w:line="140" w:lineRule="atLeast"/>
              <w:jc w:val="right"/>
              <w:rPr>
                <w:rFonts w:cs="Arial"/>
                <w:sz w:val="14"/>
                <w:szCs w:val="14"/>
              </w:rPr>
            </w:pPr>
            <w:r w:rsidRPr="00C00A4C">
              <w:rPr>
                <w:rFonts w:cs="Arial"/>
                <w:sz w:val="14"/>
                <w:szCs w:val="14"/>
              </w:rPr>
              <w:t>A publication of</w:t>
            </w:r>
          </w:p>
          <w:p w:rsidR="000A03B2" w:rsidRPr="00F77866" w:rsidRDefault="00EF4F22" w:rsidP="00CD5FE2">
            <w:pPr>
              <w:jc w:val="right"/>
            </w:pPr>
            <w:r w:rsidRPr="00C00A4C">
              <w:rPr>
                <w:noProof/>
                <w:lang w:val="en-US"/>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74622"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4055D8">
        <w:trPr>
          <w:trHeight w:val="567"/>
          <w:jc w:val="center"/>
        </w:trPr>
        <w:tc>
          <w:tcPr>
            <w:tcW w:w="6946" w:type="dxa"/>
            <w:vMerge/>
            <w:tcBorders>
              <w:right w:val="single" w:sz="4" w:space="0" w:color="auto"/>
            </w:tcBorders>
          </w:tcPr>
          <w:p w:rsidR="000A03B2" w:rsidRPr="00C00A4C" w:rsidRDefault="000A03B2" w:rsidP="00CD5FE2">
            <w:pPr>
              <w:tabs>
                <w:tab w:val="left" w:pos="-108"/>
              </w:tabs>
            </w:pPr>
          </w:p>
        </w:tc>
        <w:tc>
          <w:tcPr>
            <w:tcW w:w="1843" w:type="dxa"/>
            <w:tcBorders>
              <w:left w:val="single" w:sz="4" w:space="0" w:color="auto"/>
              <w:bottom w:val="nil"/>
              <w:right w:val="single" w:sz="4" w:space="0" w:color="auto"/>
            </w:tcBorders>
          </w:tcPr>
          <w:p w:rsidR="000A03B2" w:rsidRPr="00C00A4C" w:rsidRDefault="00EF4F22" w:rsidP="00CD5FE2">
            <w:pPr>
              <w:spacing w:line="140" w:lineRule="atLeast"/>
              <w:jc w:val="right"/>
              <w:rPr>
                <w:rFonts w:cs="Arial"/>
                <w:sz w:val="14"/>
                <w:szCs w:val="14"/>
              </w:rPr>
            </w:pPr>
            <w:r w:rsidRPr="00C00A4C">
              <w:rPr>
                <w:rFonts w:cs="Arial"/>
                <w:sz w:val="14"/>
                <w:szCs w:val="14"/>
              </w:rPr>
              <w:t>The Italian Association</w:t>
            </w:r>
          </w:p>
          <w:p w:rsidR="000A03B2" w:rsidRPr="00C00A4C" w:rsidRDefault="00EF4F22" w:rsidP="00CD5FE2">
            <w:pPr>
              <w:spacing w:line="140" w:lineRule="atLeast"/>
              <w:jc w:val="right"/>
              <w:rPr>
                <w:rFonts w:cs="Arial"/>
                <w:sz w:val="14"/>
                <w:szCs w:val="14"/>
              </w:rPr>
            </w:pPr>
            <w:r w:rsidRPr="00C00A4C">
              <w:rPr>
                <w:rFonts w:cs="Arial"/>
                <w:sz w:val="14"/>
                <w:szCs w:val="14"/>
              </w:rPr>
              <w:t>of Chemical Engineering</w:t>
            </w:r>
          </w:p>
          <w:p w:rsidR="000A03B2" w:rsidRPr="00C00A4C" w:rsidRDefault="00EF4F22" w:rsidP="00CD5FE2">
            <w:pPr>
              <w:spacing w:line="140" w:lineRule="atLeast"/>
              <w:jc w:val="right"/>
              <w:rPr>
                <w:rFonts w:cs="Arial"/>
                <w:sz w:val="14"/>
                <w:szCs w:val="14"/>
              </w:rPr>
            </w:pPr>
            <w:r w:rsidRPr="00C00A4C">
              <w:rPr>
                <w:rFonts w:cs="Arial"/>
                <w:sz w:val="14"/>
                <w:szCs w:val="14"/>
              </w:rPr>
              <w:t xml:space="preserve">Online at </w:t>
            </w:r>
            <w:r w:rsidR="00892AD5" w:rsidRPr="00C00A4C">
              <w:rPr>
                <w:rFonts w:cs="Arial"/>
                <w:sz w:val="14"/>
                <w:szCs w:val="14"/>
              </w:rPr>
              <w:t>www.aidic.it/</w:t>
            </w:r>
            <w:r w:rsidR="00892AD5" w:rsidRPr="00F42AC8">
              <w:rPr>
                <w:rFonts w:cs="Arial"/>
                <w:noProof/>
                <w:sz w:val="14"/>
                <w:szCs w:val="14"/>
              </w:rPr>
              <w:t>cet</w:t>
            </w:r>
          </w:p>
        </w:tc>
      </w:tr>
      <w:tr w:rsidR="004055D8">
        <w:trPr>
          <w:trHeight w:val="68"/>
          <w:jc w:val="center"/>
        </w:trPr>
        <w:tc>
          <w:tcPr>
            <w:tcW w:w="8789" w:type="dxa"/>
            <w:gridSpan w:val="2"/>
          </w:tcPr>
          <w:p w:rsidR="00300E56" w:rsidRPr="00C00A4C" w:rsidRDefault="00EF4F22" w:rsidP="003365E3">
            <w:pPr>
              <w:ind w:left="-107"/>
            </w:pPr>
            <w:r w:rsidRPr="00C00A4C">
              <w:rPr>
                <w:rFonts w:ascii="Tahoma" w:hAnsi="Tahoma" w:cs="Tahoma"/>
                <w:iCs/>
                <w:color w:val="333333"/>
                <w:sz w:val="14"/>
                <w:szCs w:val="14"/>
                <w:lang w:eastAsia="it-IT"/>
              </w:rPr>
              <w:t>Guest Editors:</w:t>
            </w:r>
            <w:r w:rsidR="00904C62" w:rsidRPr="00C00A4C">
              <w:rPr>
                <w:rFonts w:ascii="Tahoma" w:hAnsi="Tahoma" w:cs="Tahoma"/>
                <w:iCs/>
                <w:color w:val="333333"/>
                <w:sz w:val="14"/>
                <w:szCs w:val="14"/>
                <w:lang w:eastAsia="it-IT"/>
              </w:rPr>
              <w:t xml:space="preserve"> </w:t>
            </w:r>
            <w:r w:rsidR="009635B9" w:rsidRPr="00C00A4C">
              <w:rPr>
                <w:rFonts w:ascii="Tahoma" w:hAnsi="Tahoma" w:cs="Tahoma"/>
                <w:sz w:val="14"/>
                <w:szCs w:val="14"/>
              </w:rPr>
              <w:t>Sauro Pierucci,</w:t>
            </w:r>
            <w:r w:rsidR="003B60F3" w:rsidRPr="00C00A4C">
              <w:rPr>
                <w:rFonts w:ascii="Tahoma" w:hAnsi="Tahoma" w:cs="Tahoma"/>
                <w:sz w:val="14"/>
                <w:szCs w:val="14"/>
              </w:rPr>
              <w:t xml:space="preserve"> </w:t>
            </w:r>
            <w:r w:rsidR="00047D7F" w:rsidRPr="00C00A4C">
              <w:rPr>
                <w:rFonts w:ascii="Tahoma" w:hAnsi="Tahoma" w:cs="Tahoma"/>
                <w:sz w:val="14"/>
                <w:szCs w:val="14"/>
                <w:shd w:val="clear" w:color="auto" w:fill="FFFFFF"/>
              </w:rPr>
              <w:t>Jiří Jaromír Klemeš</w:t>
            </w:r>
            <w:r w:rsidR="00252C1A" w:rsidRPr="00C00A4C">
              <w:rPr>
                <w:rFonts w:ascii="Tahoma" w:hAnsi="Tahoma" w:cs="Tahoma"/>
                <w:sz w:val="14"/>
                <w:szCs w:val="14"/>
                <w:shd w:val="clear" w:color="auto" w:fill="FFFFFF"/>
              </w:rPr>
              <w:t>, Laura Piazza</w:t>
            </w:r>
          </w:p>
          <w:p w:rsidR="000A03B2" w:rsidRPr="00C00A4C" w:rsidRDefault="00EF4F22" w:rsidP="00131FAB">
            <w:pPr>
              <w:tabs>
                <w:tab w:val="left" w:pos="-108"/>
              </w:tabs>
              <w:spacing w:line="140" w:lineRule="atLeast"/>
              <w:ind w:left="-107"/>
              <w:jc w:val="left"/>
            </w:pPr>
            <w:r w:rsidRPr="00F77866">
              <w:rPr>
                <w:rFonts w:ascii="Tahoma" w:hAnsi="Tahoma" w:cs="Tahoma"/>
                <w:iCs/>
                <w:color w:val="333333"/>
                <w:sz w:val="14"/>
                <w:szCs w:val="14"/>
                <w:lang w:eastAsia="it-IT"/>
              </w:rPr>
              <w:t>Copyright © 201</w:t>
            </w:r>
            <w:r w:rsidR="007931FA" w:rsidRPr="00F77866">
              <w:rPr>
                <w:rFonts w:ascii="Tahoma" w:hAnsi="Tahoma" w:cs="Tahoma"/>
                <w:iCs/>
                <w:color w:val="333333"/>
                <w:sz w:val="14"/>
                <w:szCs w:val="14"/>
                <w:lang w:eastAsia="it-IT"/>
              </w:rPr>
              <w:t>9</w:t>
            </w:r>
            <w:r w:rsidR="00904C62" w:rsidRPr="00F77866">
              <w:rPr>
                <w:rFonts w:ascii="Tahoma" w:hAnsi="Tahoma" w:cs="Tahoma"/>
                <w:iCs/>
                <w:color w:val="333333"/>
                <w:sz w:val="14"/>
                <w:szCs w:val="14"/>
                <w:lang w:eastAsia="it-IT"/>
              </w:rPr>
              <w:t>, AIDIC Servizi S.r.l.</w:t>
            </w:r>
            <w:r w:rsidR="00300E56" w:rsidRPr="00501B1C">
              <w:rPr>
                <w:rFonts w:ascii="Tahoma" w:hAnsi="Tahoma" w:cs="Tahoma"/>
                <w:iCs/>
                <w:color w:val="333333"/>
                <w:sz w:val="14"/>
                <w:szCs w:val="14"/>
                <w:lang w:eastAsia="it-IT"/>
              </w:rPr>
              <w:br/>
            </w:r>
            <w:r w:rsidR="00300E56" w:rsidRPr="00C00A4C">
              <w:rPr>
                <w:rFonts w:ascii="Tahoma" w:hAnsi="Tahoma" w:cs="Tahoma"/>
                <w:b/>
                <w:iCs/>
                <w:color w:val="000000"/>
                <w:sz w:val="14"/>
                <w:szCs w:val="14"/>
                <w:lang w:eastAsia="it-IT"/>
              </w:rPr>
              <w:t>ISBN</w:t>
            </w:r>
            <w:r w:rsidR="00300E56" w:rsidRPr="00C00A4C">
              <w:rPr>
                <w:rFonts w:ascii="Tahoma" w:hAnsi="Tahoma" w:cs="Tahoma"/>
                <w:iCs/>
                <w:color w:val="000000"/>
                <w:sz w:val="14"/>
                <w:szCs w:val="14"/>
                <w:lang w:eastAsia="it-IT"/>
              </w:rPr>
              <w:t xml:space="preserve"> </w:t>
            </w:r>
            <w:r w:rsidR="008D32B9" w:rsidRPr="00C00A4C">
              <w:rPr>
                <w:rFonts w:ascii="Tahoma" w:hAnsi="Tahoma" w:cs="Tahoma"/>
                <w:sz w:val="14"/>
                <w:szCs w:val="14"/>
              </w:rPr>
              <w:t>978-88-95608-</w:t>
            </w:r>
            <w:r w:rsidR="009635B9" w:rsidRPr="00C00A4C">
              <w:rPr>
                <w:rFonts w:ascii="Tahoma" w:hAnsi="Tahoma" w:cs="Tahoma"/>
                <w:sz w:val="14"/>
                <w:szCs w:val="14"/>
              </w:rPr>
              <w:t>73</w:t>
            </w:r>
            <w:r w:rsidR="008D32B9" w:rsidRPr="00C00A4C">
              <w:rPr>
                <w:rFonts w:ascii="Tahoma" w:hAnsi="Tahoma" w:cs="Tahoma"/>
                <w:sz w:val="14"/>
                <w:szCs w:val="14"/>
              </w:rPr>
              <w:t>-</w:t>
            </w:r>
            <w:r w:rsidR="009635B9" w:rsidRPr="00C00A4C">
              <w:rPr>
                <w:rFonts w:ascii="Tahoma" w:hAnsi="Tahoma" w:cs="Tahoma"/>
                <w:sz w:val="14"/>
                <w:szCs w:val="14"/>
              </w:rPr>
              <w:t>0</w:t>
            </w:r>
            <w:r w:rsidR="00300E56" w:rsidRPr="00C00A4C">
              <w:rPr>
                <w:rFonts w:ascii="Tahoma" w:hAnsi="Tahoma" w:cs="Tahoma"/>
                <w:iCs/>
                <w:color w:val="333333"/>
                <w:sz w:val="14"/>
                <w:szCs w:val="14"/>
                <w:lang w:eastAsia="it-IT"/>
              </w:rPr>
              <w:t xml:space="preserve">; </w:t>
            </w:r>
            <w:r w:rsidR="00300E56" w:rsidRPr="00C00A4C">
              <w:rPr>
                <w:rFonts w:ascii="Tahoma" w:hAnsi="Tahoma" w:cs="Tahoma"/>
                <w:b/>
                <w:iCs/>
                <w:color w:val="333333"/>
                <w:sz w:val="14"/>
                <w:szCs w:val="14"/>
                <w:lang w:eastAsia="it-IT"/>
              </w:rPr>
              <w:t>ISSN</w:t>
            </w:r>
            <w:r w:rsidR="00300E56" w:rsidRPr="00C00A4C">
              <w:rPr>
                <w:rFonts w:ascii="Tahoma" w:hAnsi="Tahoma" w:cs="Tahoma"/>
                <w:iCs/>
                <w:color w:val="333333"/>
                <w:sz w:val="14"/>
                <w:szCs w:val="14"/>
                <w:lang w:eastAsia="it-IT"/>
              </w:rPr>
              <w:t xml:space="preserve"> 2283-9216</w:t>
            </w:r>
          </w:p>
        </w:tc>
      </w:tr>
    </w:tbl>
    <w:p w:rsidR="000A03B2" w:rsidRPr="00C00A4C" w:rsidRDefault="000A03B2" w:rsidP="000A03B2">
      <w:pPr>
        <w:pStyle w:val="CETAuthors"/>
        <w:sectPr w:rsidR="000A03B2" w:rsidRPr="00C00A4C">
          <w:type w:val="continuous"/>
          <w:pgSz w:w="11906" w:h="16838" w:code="9"/>
          <w:pgMar w:top="1701" w:right="1418" w:bottom="1701" w:left="1701" w:header="1701" w:footer="0" w:gutter="0"/>
          <w:cols w:space="708"/>
          <w:titlePg/>
          <w:docGrid w:linePitch="360"/>
        </w:sectPr>
      </w:pPr>
    </w:p>
    <w:p w:rsidR="00E978D0" w:rsidRPr="00C00A4C" w:rsidRDefault="00EF4F22" w:rsidP="00E978D0">
      <w:pPr>
        <w:pStyle w:val="CETTitle"/>
      </w:pPr>
      <w:r>
        <w:t>The Effect of pH and Temperature on Biological Sulphate Reduction</w:t>
      </w:r>
    </w:p>
    <w:p w:rsidR="00E978D0" w:rsidRPr="00C00A4C" w:rsidRDefault="00EF4F22" w:rsidP="00AB5011">
      <w:pPr>
        <w:pStyle w:val="CETAuthors"/>
        <w:rPr>
          <w:vertAlign w:val="superscript"/>
        </w:rPr>
      </w:pPr>
      <w:r w:rsidRPr="00C00A4C">
        <w:t>Mukhethwa J. Mukwevho</w:t>
      </w:r>
      <w:r w:rsidR="00600535" w:rsidRPr="00C00A4C">
        <w:rPr>
          <w:vertAlign w:val="superscript"/>
        </w:rPr>
        <w:t>a</w:t>
      </w:r>
      <w:r w:rsidR="005701E0" w:rsidRPr="00C00A4C">
        <w:rPr>
          <w:vertAlign w:val="superscript"/>
        </w:rPr>
        <w:t>,</w:t>
      </w:r>
      <w:r w:rsidR="005701E0" w:rsidRPr="00C00A4C">
        <w:t>*</w:t>
      </w:r>
      <w:r w:rsidRPr="00C00A4C">
        <w:t>, Evans M. N. Chirwa</w:t>
      </w:r>
      <w:r w:rsidR="00737525" w:rsidRPr="00C00A4C">
        <w:rPr>
          <w:vertAlign w:val="superscript"/>
        </w:rPr>
        <w:t>a</w:t>
      </w:r>
      <w:r w:rsidR="00600535" w:rsidRPr="00C00A4C">
        <w:t>,</w:t>
      </w:r>
      <w:r w:rsidR="00737525" w:rsidRPr="00C00A4C">
        <w:t xml:space="preserve"> Dheepak </w:t>
      </w:r>
      <w:r w:rsidR="00737525" w:rsidRPr="004D0C64">
        <w:t>Maharajh</w:t>
      </w:r>
      <w:r w:rsidR="00737525" w:rsidRPr="004D0C64">
        <w:rPr>
          <w:vertAlign w:val="superscript"/>
        </w:rPr>
        <w:t>b</w:t>
      </w:r>
    </w:p>
    <w:p w:rsidR="00E978D0" w:rsidRPr="00C00A4C" w:rsidRDefault="00EF4F22" w:rsidP="00E978D0">
      <w:pPr>
        <w:pStyle w:val="CETAddress"/>
      </w:pPr>
      <w:r w:rsidRPr="00C00A4C">
        <w:rPr>
          <w:vertAlign w:val="superscript"/>
        </w:rPr>
        <w:t>a</w:t>
      </w:r>
      <w:r w:rsidR="00737525" w:rsidRPr="00C00A4C">
        <w:t>Water and Enviro</w:t>
      </w:r>
      <w:r w:rsidR="003535E9">
        <w:t>nme</w:t>
      </w:r>
      <w:r w:rsidR="00737525" w:rsidRPr="00C00A4C">
        <w:t xml:space="preserve">ntal Engineering Division, </w:t>
      </w:r>
      <w:r w:rsidR="003535E9">
        <w:t xml:space="preserve">Department of Chemical Engineering, </w:t>
      </w:r>
      <w:r w:rsidR="00737525" w:rsidRPr="00C00A4C">
        <w:t>University of Pretoria, Pretoria 0002, South Africa</w:t>
      </w:r>
    </w:p>
    <w:p w:rsidR="00E978D0" w:rsidRPr="00C00A4C" w:rsidRDefault="00EF4F22" w:rsidP="00E978D0">
      <w:pPr>
        <w:pStyle w:val="CETAddress"/>
      </w:pPr>
      <w:r w:rsidRPr="004D0C64">
        <w:rPr>
          <w:vertAlign w:val="superscript"/>
        </w:rPr>
        <w:t>b</w:t>
      </w:r>
      <w:r w:rsidR="00737525" w:rsidRPr="004D0C64">
        <w:t>Biotechnology</w:t>
      </w:r>
      <w:r w:rsidR="00737525" w:rsidRPr="00C00A4C">
        <w:t xml:space="preserve"> Division, Mintek, Private Bag X3015, Randburg 2125, South Africa</w:t>
      </w:r>
      <w:r w:rsidRPr="00C00A4C">
        <w:t xml:space="preserve"> </w:t>
      </w:r>
    </w:p>
    <w:p w:rsidR="00E978D0" w:rsidRPr="00C00A4C" w:rsidRDefault="00EF4F22" w:rsidP="00E978D0">
      <w:pPr>
        <w:pStyle w:val="CETemail"/>
      </w:pPr>
      <w:r w:rsidRPr="00C00A4C">
        <w:t xml:space="preserve"> </w:t>
      </w:r>
      <w:r w:rsidR="005268B5" w:rsidRPr="00C00A4C">
        <w:t>mukhethwa.judy@gmail.com</w:t>
      </w:r>
    </w:p>
    <w:p w:rsidR="006221B2" w:rsidRDefault="00EF4F22" w:rsidP="00600535">
      <w:pPr>
        <w:pStyle w:val="CETBodytext"/>
        <w:rPr>
          <w:lang w:val="en-GB"/>
        </w:rPr>
      </w:pPr>
      <w:r>
        <w:rPr>
          <w:lang w:val="en-GB"/>
        </w:rPr>
        <w:t>Acid mine drainage (AMD)</w:t>
      </w:r>
      <w:r w:rsidR="00767FD9">
        <w:rPr>
          <w:lang w:val="en-GB"/>
        </w:rPr>
        <w:t xml:space="preserve"> is</w:t>
      </w:r>
      <w:r w:rsidR="00B926E0">
        <w:rPr>
          <w:lang w:val="en-GB"/>
        </w:rPr>
        <w:t xml:space="preserve"> a</w:t>
      </w:r>
      <w:r w:rsidR="00767FD9">
        <w:rPr>
          <w:lang w:val="en-GB"/>
        </w:rPr>
        <w:t xml:space="preserve"> worldwide problem caused mainly by mining activities</w:t>
      </w:r>
      <w:r w:rsidR="00AE1720">
        <w:rPr>
          <w:lang w:val="en-GB"/>
        </w:rPr>
        <w:t xml:space="preserve"> and</w:t>
      </w:r>
      <w:r w:rsidR="00C83D3B">
        <w:rPr>
          <w:lang w:val="en-GB"/>
        </w:rPr>
        <w:t xml:space="preserve"> </w:t>
      </w:r>
      <w:r w:rsidR="00767FD9">
        <w:rPr>
          <w:lang w:val="en-GB"/>
        </w:rPr>
        <w:t>is known for its adverse impacts on the environment due to low pH, high metal content and high sulphate concentrations.</w:t>
      </w:r>
      <w:r w:rsidR="005B0AD6">
        <w:rPr>
          <w:lang w:val="en-GB"/>
        </w:rPr>
        <w:t xml:space="preserve"> Lime neutralisation is a conventional way of treating AMD, </w:t>
      </w:r>
      <w:r w:rsidR="005B0AD6" w:rsidRPr="00FA13F3">
        <w:rPr>
          <w:noProof/>
          <w:lang w:val="en-GB"/>
        </w:rPr>
        <w:t>however</w:t>
      </w:r>
      <w:r w:rsidR="005B0AD6">
        <w:rPr>
          <w:lang w:val="en-GB"/>
        </w:rPr>
        <w:t>, this method</w:t>
      </w:r>
      <w:r w:rsidR="001C5401">
        <w:rPr>
          <w:lang w:val="en-GB"/>
        </w:rPr>
        <w:t xml:space="preserve"> is costly and produces sludge that is difficult to dispose of. </w:t>
      </w:r>
      <w:r w:rsidR="006B2F97">
        <w:rPr>
          <w:lang w:val="en-GB"/>
        </w:rPr>
        <w:t>Biological treatment of AMD using sulphate reducing bacteria has been identified</w:t>
      </w:r>
      <w:r w:rsidR="0003426D">
        <w:rPr>
          <w:lang w:val="en-GB"/>
        </w:rPr>
        <w:t xml:space="preserve"> a</w:t>
      </w:r>
      <w:r w:rsidR="005F5D5B">
        <w:rPr>
          <w:lang w:val="en-GB"/>
        </w:rPr>
        <w:t>s a</w:t>
      </w:r>
      <w:r w:rsidR="0003426D">
        <w:rPr>
          <w:lang w:val="en-GB"/>
        </w:rPr>
        <w:t xml:space="preserve"> </w:t>
      </w:r>
      <w:r w:rsidR="0003426D" w:rsidRPr="004D0C64">
        <w:rPr>
          <w:noProof/>
          <w:lang w:val="en-GB"/>
        </w:rPr>
        <w:t>cost</w:t>
      </w:r>
      <w:r w:rsidR="004D0C64" w:rsidRPr="004D0C64">
        <w:rPr>
          <w:noProof/>
          <w:lang w:val="en-GB"/>
        </w:rPr>
        <w:t>-</w:t>
      </w:r>
      <w:r w:rsidR="0003426D" w:rsidRPr="004D0C64">
        <w:rPr>
          <w:noProof/>
          <w:lang w:val="en-GB"/>
        </w:rPr>
        <w:t>effective</w:t>
      </w:r>
      <w:r w:rsidR="006B2F97">
        <w:rPr>
          <w:lang w:val="en-GB"/>
        </w:rPr>
        <w:t xml:space="preserve"> alternative treatment method due </w:t>
      </w:r>
      <w:r w:rsidR="00E2270E">
        <w:rPr>
          <w:lang w:val="en-GB"/>
        </w:rPr>
        <w:t>to its advantages that include</w:t>
      </w:r>
      <w:r w:rsidR="006B2F97">
        <w:rPr>
          <w:lang w:val="en-GB"/>
        </w:rPr>
        <w:t xml:space="preserve"> simultaneously precipitating metal</w:t>
      </w:r>
      <w:r w:rsidR="005F5D5B">
        <w:rPr>
          <w:lang w:val="en-GB"/>
        </w:rPr>
        <w:t>s</w:t>
      </w:r>
      <w:r w:rsidR="006B2F97">
        <w:rPr>
          <w:lang w:val="en-GB"/>
        </w:rPr>
        <w:t>, reducing sulphate</w:t>
      </w:r>
      <w:r w:rsidR="005F5D5B">
        <w:rPr>
          <w:lang w:val="en-GB"/>
        </w:rPr>
        <w:t xml:space="preserve"> concentration</w:t>
      </w:r>
      <w:r w:rsidR="006B2F97">
        <w:rPr>
          <w:lang w:val="en-GB"/>
        </w:rPr>
        <w:t xml:space="preserve"> and increasing pH.</w:t>
      </w:r>
      <w:r w:rsidR="006C43F6">
        <w:rPr>
          <w:lang w:val="en-GB"/>
        </w:rPr>
        <w:t xml:space="preserve"> In this study, the effect of temperature and pH using complex organic compounds as substrates in a </w:t>
      </w:r>
      <w:r w:rsidR="00563C1E" w:rsidRPr="00FA13F3">
        <w:rPr>
          <w:noProof/>
          <w:lang w:val="en-GB"/>
        </w:rPr>
        <w:t>downflow</w:t>
      </w:r>
      <w:r w:rsidR="006C43F6">
        <w:rPr>
          <w:lang w:val="en-GB"/>
        </w:rPr>
        <w:t xml:space="preserve"> packed bed reactor was investigated.</w:t>
      </w:r>
      <w:r w:rsidR="0096671C">
        <w:rPr>
          <w:lang w:val="en-GB"/>
        </w:rPr>
        <w:t xml:space="preserve"> </w:t>
      </w:r>
      <w:r w:rsidR="009C161F" w:rsidRPr="003C0DA4">
        <w:rPr>
          <w:noProof/>
          <w:lang w:val="en-GB"/>
        </w:rPr>
        <w:t>Temperature</w:t>
      </w:r>
      <w:r w:rsidR="009C161F">
        <w:rPr>
          <w:lang w:val="en-GB"/>
        </w:rPr>
        <w:t xml:space="preserve"> was found to have a major </w:t>
      </w:r>
      <w:r w:rsidR="005574BC">
        <w:rPr>
          <w:lang w:val="en-GB"/>
        </w:rPr>
        <w:t>impact on sulphate reduction. S</w:t>
      </w:r>
      <w:r w:rsidR="009C161F">
        <w:rPr>
          <w:lang w:val="en-GB"/>
        </w:rPr>
        <w:t xml:space="preserve">ulphate reduction dropped from about 88 % to about 67 % when the </w:t>
      </w:r>
      <w:r w:rsidR="009C161F" w:rsidRPr="003C0DA4">
        <w:rPr>
          <w:noProof/>
          <w:lang w:val="en-GB"/>
        </w:rPr>
        <w:t>temperature</w:t>
      </w:r>
      <w:r w:rsidR="009C161F">
        <w:rPr>
          <w:lang w:val="en-GB"/>
        </w:rPr>
        <w:t xml:space="preserve"> was</w:t>
      </w:r>
      <w:r w:rsidR="00D35733">
        <w:rPr>
          <w:lang w:val="en-GB"/>
        </w:rPr>
        <w:t xml:space="preserve"> slowly</w:t>
      </w:r>
      <w:r w:rsidR="009C161F">
        <w:rPr>
          <w:lang w:val="en-GB"/>
        </w:rPr>
        <w:t xml:space="preserve"> decreased from 30 </w:t>
      </w:r>
      <w:r w:rsidR="009C161F" w:rsidRPr="007F3EA9">
        <w:rPr>
          <w:rFonts w:cs="Arial"/>
          <w:lang w:val="en-GB"/>
        </w:rPr>
        <w:t>°</w:t>
      </w:r>
      <w:r w:rsidR="009C161F" w:rsidRPr="007F3EA9">
        <w:rPr>
          <w:lang w:val="en-GB"/>
        </w:rPr>
        <w:t>C</w:t>
      </w:r>
      <w:r w:rsidR="009C161F">
        <w:rPr>
          <w:lang w:val="en-GB"/>
        </w:rPr>
        <w:t xml:space="preserve"> to 10 </w:t>
      </w:r>
      <w:r w:rsidR="009C161F" w:rsidRPr="007F3EA9">
        <w:rPr>
          <w:rFonts w:cs="Arial"/>
          <w:lang w:val="en-GB"/>
        </w:rPr>
        <w:t>°</w:t>
      </w:r>
      <w:r w:rsidR="009C161F" w:rsidRPr="007F3EA9">
        <w:rPr>
          <w:lang w:val="en-GB"/>
        </w:rPr>
        <w:t>C</w:t>
      </w:r>
      <w:r w:rsidR="00DE4229">
        <w:rPr>
          <w:lang w:val="en-GB"/>
        </w:rPr>
        <w:t>.</w:t>
      </w:r>
      <w:r w:rsidR="005574BC">
        <w:rPr>
          <w:lang w:val="en-GB"/>
        </w:rPr>
        <w:t xml:space="preserve"> The decrease in pH from pH 6 to pH 5 was observed to have </w:t>
      </w:r>
      <w:r w:rsidR="00B73E2D">
        <w:rPr>
          <w:lang w:val="en-GB"/>
        </w:rPr>
        <w:t xml:space="preserve">minimal </w:t>
      </w:r>
      <w:r w:rsidR="005574BC">
        <w:rPr>
          <w:lang w:val="en-GB"/>
        </w:rPr>
        <w:t>effect on sulphate reduction.</w:t>
      </w:r>
    </w:p>
    <w:p w:rsidR="00600535" w:rsidRPr="00C00A4C" w:rsidRDefault="00EF4F22" w:rsidP="00600535">
      <w:pPr>
        <w:pStyle w:val="CETHeading1"/>
        <w:rPr>
          <w:lang w:val="en-GB"/>
        </w:rPr>
      </w:pPr>
      <w:r w:rsidRPr="00C00A4C">
        <w:rPr>
          <w:lang w:val="en-GB"/>
        </w:rPr>
        <w:t>Introduction</w:t>
      </w:r>
    </w:p>
    <w:p w:rsidR="002952C4" w:rsidRPr="00C00A4C" w:rsidRDefault="00EF4F22" w:rsidP="00CC142C">
      <w:pPr>
        <w:pStyle w:val="CETBodytext"/>
        <w:rPr>
          <w:lang w:val="en-GB"/>
        </w:rPr>
      </w:pPr>
      <w:r w:rsidRPr="00C00A4C">
        <w:rPr>
          <w:lang w:val="en-GB"/>
        </w:rPr>
        <w:t>Acid mine drainage (AMD) is a worldwide problem known for its adverse impacts on the environment</w:t>
      </w:r>
      <w:r w:rsidR="007611F6" w:rsidRPr="00C00A4C">
        <w:rPr>
          <w:lang w:val="en-GB"/>
        </w:rPr>
        <w:t xml:space="preserve"> and</w:t>
      </w:r>
      <w:r w:rsidR="003D1B6E" w:rsidRPr="00C00A4C">
        <w:rPr>
          <w:lang w:val="en-GB"/>
        </w:rPr>
        <w:t xml:space="preserve"> is characterised by low pH, high metal content and sulphate concentrations. The main cause of AMD is</w:t>
      </w:r>
      <w:r w:rsidR="006C7017" w:rsidRPr="00C00A4C">
        <w:rPr>
          <w:lang w:val="en-GB"/>
        </w:rPr>
        <w:t xml:space="preserve"> </w:t>
      </w:r>
      <w:r w:rsidR="007611F6" w:rsidRPr="00C00A4C">
        <w:rPr>
          <w:lang w:val="en-GB"/>
        </w:rPr>
        <w:t>current and past mining activities</w:t>
      </w:r>
      <w:r w:rsidR="008C76B3" w:rsidRPr="00C00A4C">
        <w:rPr>
          <w:lang w:val="en-GB"/>
        </w:rPr>
        <w:t xml:space="preserve"> </w:t>
      </w:r>
      <w:r w:rsidR="008C76B3" w:rsidRPr="00C00A4C">
        <w:rPr>
          <w:lang w:val="en-GB"/>
        </w:rPr>
        <w:fldChar w:fldCharType="begin"/>
      </w:r>
      <w:r w:rsidR="00CC0DDC">
        <w:rPr>
          <w:lang w:val="en-GB"/>
        </w:rPr>
        <w:instrText xml:space="preserve"> ADDIN EN.CITE &lt;EndNote&gt;&lt;Cite&gt;&lt;Author&gt;Akcil&lt;/Author&gt;&lt;Year&gt;2006&lt;/Year&gt;&lt;RecNum&gt;4&lt;/RecNum&gt;&lt;DisplayText&gt;(Akcil and Koldas, 2006)&lt;/DisplayText&gt;&lt;record&gt;&lt;rec-number&gt;4&lt;/rec-number&gt;&lt;foreign-keys&gt;&lt;key app="EN" db-id="x0xrxsape2ae5ge5zwexzsz1a0fwdva5zvpe" timestamp="1548709635"&gt;4&lt;/key&gt;&lt;key app="ENWeb" db-id=""&gt;0&lt;/key&gt;&lt;/foreign-keys&gt;&lt;ref-type name="Journal Article"&gt;17&lt;/ref-type&gt;&lt;contributors&gt;&lt;authors&gt;&lt;author&gt;Akcil, Ata&lt;/author&gt;&lt;author&gt;Koldas, Soner&lt;/author&gt;&lt;/authors&gt;&lt;/contributors&gt;&lt;titles&gt;&lt;title&gt;Acid Mine Drainage (AMD): causes, treatment and case studies&lt;/title&gt;&lt;secondary-title&gt;Journal of Cleaner Production&lt;/secondary-title&gt;&lt;/titles&gt;&lt;periodical&gt;&lt;full-title&gt;Journal of Cleaner Production&lt;/full-title&gt;&lt;/periodical&gt;&lt;pages&gt;1139-1145&lt;/pages&gt;&lt;volume&gt;14&lt;/volume&gt;&lt;number&gt;12-13&lt;/number&gt;&lt;dates&gt;&lt;year&gt;2006&lt;/year&gt;&lt;/dates&gt;&lt;isbn&gt;09596526&lt;/isbn&gt;&lt;urls&gt;&lt;/urls&gt;&lt;electronic-resource-num&gt;10.1016/j.jclepro.2004.09.006&lt;/electronic-resource-num&gt;&lt;/record&gt;&lt;/Cite&gt;&lt;/EndNote&gt;</w:instrText>
      </w:r>
      <w:r w:rsidR="008C76B3" w:rsidRPr="00C00A4C">
        <w:rPr>
          <w:lang w:val="en-GB"/>
        </w:rPr>
        <w:fldChar w:fldCharType="separate"/>
      </w:r>
      <w:r w:rsidR="008C76B3" w:rsidRPr="00C00A4C">
        <w:rPr>
          <w:noProof/>
          <w:lang w:val="en-GB"/>
        </w:rPr>
        <w:t>(Akcil and Koldas, 2006)</w:t>
      </w:r>
      <w:r w:rsidR="008C76B3" w:rsidRPr="00C00A4C">
        <w:rPr>
          <w:lang w:val="en-GB"/>
        </w:rPr>
        <w:fldChar w:fldCharType="end"/>
      </w:r>
      <w:r w:rsidR="0016188D" w:rsidRPr="00C00A4C">
        <w:rPr>
          <w:lang w:val="en-GB"/>
        </w:rPr>
        <w:t>.</w:t>
      </w:r>
      <w:r w:rsidR="003D1B6E" w:rsidRPr="00C00A4C">
        <w:rPr>
          <w:lang w:val="en-GB"/>
        </w:rPr>
        <w:t xml:space="preserve"> </w:t>
      </w:r>
      <w:r w:rsidR="0016188D" w:rsidRPr="00C00A4C">
        <w:rPr>
          <w:lang w:val="en-GB"/>
        </w:rPr>
        <w:t>AMD is</w:t>
      </w:r>
      <w:r w:rsidR="00590D9C" w:rsidRPr="00C00A4C">
        <w:rPr>
          <w:lang w:val="en-GB"/>
        </w:rPr>
        <w:t xml:space="preserve"> formed when sulphide-bearing minerals, such as pyrite, chalcopyrite, </w:t>
      </w:r>
      <w:r w:rsidR="008C76B3" w:rsidRPr="00C00A4C">
        <w:rPr>
          <w:lang w:val="en-GB"/>
        </w:rPr>
        <w:t xml:space="preserve">chalcocite and </w:t>
      </w:r>
      <w:r w:rsidR="00A75B34" w:rsidRPr="00C00A4C">
        <w:rPr>
          <w:lang w:val="en-GB"/>
        </w:rPr>
        <w:t>arsenopyrite</w:t>
      </w:r>
      <w:r w:rsidR="00590D9C" w:rsidRPr="00C00A4C">
        <w:rPr>
          <w:lang w:val="en-GB"/>
        </w:rPr>
        <w:t xml:space="preserve"> are exposed to oxygen and water</w:t>
      </w:r>
      <w:r w:rsidR="00AB29CA">
        <w:rPr>
          <w:lang w:val="en-GB"/>
        </w:rPr>
        <w:t xml:space="preserve"> </w:t>
      </w:r>
      <w:r w:rsidR="00AB29CA" w:rsidRPr="00C00A4C">
        <w:rPr>
          <w:lang w:val="en-GB"/>
        </w:rPr>
        <w:fldChar w:fldCharType="begin"/>
      </w:r>
      <w:r w:rsidR="00AB29CA">
        <w:rPr>
          <w:lang w:val="en-GB"/>
        </w:rPr>
        <w:instrText xml:space="preserve"> ADDIN EN.CITE &lt;EndNote&gt;&lt;Cite&gt;&lt;Author&gt;Othman&lt;/Author&gt;&lt;Year&gt;2017&lt;/Year&gt;&lt;RecNum&gt;80&lt;/RecNum&gt;&lt;DisplayText&gt;(Othman et al., 2017)&lt;/DisplayText&gt;&lt;record&gt;&lt;rec-number&gt;80&lt;/rec-number&gt;&lt;foreign-keys&gt;&lt;key app="EN" db-id="x0xrxsape2ae5ge5zwexzsz1a0fwdva5zvpe" timestamp="1548709693"&gt;80&lt;/key&gt;&lt;/foreign-keys&gt;&lt;ref-type name="Journal Article"&gt;17&lt;/ref-type&gt;&lt;contributors&gt;&lt;authors&gt;&lt;author&gt;Othman, Anuar&lt;/author&gt;&lt;author&gt;Sulaiman, A&lt;/author&gt;&lt;author&gt;Sulaiman, SK&lt;/author&gt;&lt;/authors&gt;&lt;/contributors&gt;&lt;titles&gt;&lt;title&gt;The Use of Quicklime in Acid Mine Drainage Treatment&lt;/title&gt;&lt;secondary-title&gt;Chemical Engineering Transactions&lt;/secondary-title&gt;&lt;/titles&gt;&lt;periodical&gt;&lt;full-title&gt;Chemical engineering transactions&lt;/full-title&gt;&lt;/periodical&gt;&lt;pages&gt;1585-1590&lt;/pages&gt;&lt;volume&gt;56&lt;/volume&gt;&lt;dates&gt;&lt;year&gt;2017&lt;/year&gt;&lt;/dates&gt;&lt;isbn&gt;2283-9216&lt;/isbn&gt;&lt;urls&gt;&lt;/urls&gt;&lt;/record&gt;&lt;/Cite&gt;&lt;/EndNote&gt;</w:instrText>
      </w:r>
      <w:r w:rsidR="00AB29CA" w:rsidRPr="00C00A4C">
        <w:rPr>
          <w:lang w:val="en-GB"/>
        </w:rPr>
        <w:fldChar w:fldCharType="separate"/>
      </w:r>
      <w:r w:rsidR="00AB29CA" w:rsidRPr="00C00A4C">
        <w:rPr>
          <w:noProof/>
          <w:lang w:val="en-GB"/>
        </w:rPr>
        <w:t>(Othman et al., 2017)</w:t>
      </w:r>
      <w:r w:rsidR="00AB29CA" w:rsidRPr="00C00A4C">
        <w:rPr>
          <w:lang w:val="en-GB"/>
        </w:rPr>
        <w:fldChar w:fldCharType="end"/>
      </w:r>
      <w:r w:rsidR="00B5561F" w:rsidRPr="00C00A4C">
        <w:rPr>
          <w:lang w:val="en-GB"/>
        </w:rPr>
        <w:t xml:space="preserve">. </w:t>
      </w:r>
      <w:r w:rsidR="00B73E2D">
        <w:rPr>
          <w:lang w:val="en-GB"/>
        </w:rPr>
        <w:t xml:space="preserve">From </w:t>
      </w:r>
      <w:r w:rsidR="00B5561F" w:rsidRPr="00C00A4C">
        <w:rPr>
          <w:lang w:val="en-GB"/>
        </w:rPr>
        <w:t xml:space="preserve">the </w:t>
      </w:r>
      <w:r w:rsidR="00B5561F" w:rsidRPr="00F42AC8">
        <w:rPr>
          <w:noProof/>
          <w:lang w:val="en-GB"/>
        </w:rPr>
        <w:t>above</w:t>
      </w:r>
      <w:r w:rsidR="00F42AC8">
        <w:rPr>
          <w:noProof/>
          <w:lang w:val="en-GB"/>
        </w:rPr>
        <w:t>-</w:t>
      </w:r>
      <w:r w:rsidR="00B5561F" w:rsidRPr="00F42AC8">
        <w:rPr>
          <w:noProof/>
          <w:lang w:val="en-GB"/>
        </w:rPr>
        <w:t>mentioned</w:t>
      </w:r>
      <w:r w:rsidR="00B5561F" w:rsidRPr="00C00A4C">
        <w:rPr>
          <w:lang w:val="en-GB"/>
        </w:rPr>
        <w:t xml:space="preserve"> sulphide minerals, pyrite is the most abundant mineral on the planet and </w:t>
      </w:r>
      <w:r w:rsidRPr="00C00A4C">
        <w:rPr>
          <w:lang w:val="en-GB"/>
        </w:rPr>
        <w:t>it</w:t>
      </w:r>
      <w:r w:rsidR="00B5561F" w:rsidRPr="00C00A4C">
        <w:rPr>
          <w:lang w:val="en-GB"/>
        </w:rPr>
        <w:t xml:space="preserve"> </w:t>
      </w:r>
      <w:r w:rsidR="00B73E2D">
        <w:rPr>
          <w:lang w:val="en-GB"/>
        </w:rPr>
        <w:t>can</w:t>
      </w:r>
      <w:r w:rsidR="00B5561F" w:rsidRPr="00C00A4C">
        <w:rPr>
          <w:lang w:val="en-GB"/>
        </w:rPr>
        <w:t xml:space="preserve"> be associated </w:t>
      </w:r>
      <w:r w:rsidR="00F42AC8" w:rsidRPr="00290A8B">
        <w:rPr>
          <w:noProof/>
          <w:lang w:val="en-GB"/>
        </w:rPr>
        <w:t>with</w:t>
      </w:r>
      <w:r w:rsidR="00B5561F" w:rsidRPr="00C00A4C">
        <w:rPr>
          <w:lang w:val="en-GB"/>
        </w:rPr>
        <w:t xml:space="preserve"> the formation of AMD </w:t>
      </w:r>
      <w:r w:rsidR="00B5561F" w:rsidRPr="00C00A4C">
        <w:rPr>
          <w:lang w:val="en-GB"/>
        </w:rPr>
        <w:fldChar w:fldCharType="begin"/>
      </w:r>
      <w:r w:rsidR="002E220E">
        <w:rPr>
          <w:lang w:val="en-GB"/>
        </w:rPr>
        <w:instrText xml:space="preserve"> ADDIN EN.CITE &lt;EndNote&gt;&lt;Cite&gt;&lt;Author&gt;Johnson&lt;/Author&gt;&lt;Year&gt;2005&lt;/Year&gt;&lt;RecNum&gt;3&lt;/RecNum&gt;&lt;DisplayText&gt;(Johnson and Hallberg, 2005)&lt;/DisplayText&gt;&lt;record&gt;&lt;rec-number&gt;3&lt;/rec-number&gt;&lt;foreign-keys&gt;&lt;key app="EN" db-id="x0xrxsape2ae5ge5zwexzsz1a0fwdva5zvpe" timestamp="1523541281"&gt;3&lt;/key&gt;&lt;key app="ENWeb" db-id=""&gt;0&lt;/key&gt;&lt;/foreign-keys&gt;&lt;ref-type name="Journal Article"&gt;17&lt;/ref-type&gt;&lt;contributors&gt;&lt;authors&gt;&lt;author&gt;Johnson, D. B.&lt;/author&gt;&lt;author&gt;Hallberg, K. B.&lt;/author&gt;&lt;/authors&gt;&lt;/contributors&gt;&lt;auth-address&gt;School of Biological Sciences, University of Wales, Bangor LL57 2UW, UK. d.b.johnson@bangor.ac.uk&lt;/auth-address&gt;&lt;titles&gt;&lt;title&gt;Acid mine drainage remediation options: a review&lt;/title&gt;&lt;secondary-title&gt;Sci Total Environ&lt;/secondary-title&gt;&lt;/titles&gt;&lt;periodical&gt;&lt;full-title&gt;Sci Total Environ&lt;/full-title&gt;&lt;/periodical&gt;&lt;pages&gt;3-14&lt;/pages&gt;&lt;volume&gt;338&lt;/volume&gt;&lt;number&gt;1-2&lt;/number&gt;&lt;keywords&gt;&lt;keyword&gt;Aerobiosis&lt;/keyword&gt;&lt;keyword&gt;Bacteria/metabolism&lt;/keyword&gt;&lt;keyword&gt;Bioreactors&lt;/keyword&gt;&lt;keyword&gt;Biotechnology/*methods&lt;/keyword&gt;&lt;keyword&gt;Ecosystem&lt;/keyword&gt;&lt;keyword&gt;Iron/metabolism&lt;/keyword&gt;&lt;keyword&gt;*Mining&lt;/keyword&gt;&lt;keyword&gt;Oxidation-Reduction&lt;/keyword&gt;&lt;keyword&gt;Permeability&lt;/keyword&gt;&lt;keyword&gt;Refuse Disposal/*methods&lt;/keyword&gt;&lt;keyword&gt;Soil&lt;/keyword&gt;&lt;keyword&gt;Sulfides/metabolism&lt;/keyword&gt;&lt;keyword&gt;Water Pollutants, Chemical/isolation &amp;amp; purification/*metabolism&lt;/keyword&gt;&lt;/keywords&gt;&lt;dates&gt;&lt;year&gt;2005&lt;/year&gt;&lt;pub-dates&gt;&lt;date&gt;Feb 1&lt;/date&gt;&lt;/pub-dates&gt;&lt;/dates&gt;&lt;isbn&gt;0048-9697 (Print)&amp;#xD;0048-9697 (Linking)&lt;/isbn&gt;&lt;accession-num&gt;15680622&lt;/accession-num&gt;&lt;urls&gt;&lt;related-urls&gt;&lt;url&gt;https://www.ncbi.nlm.nih.gov/pubmed/15680622&lt;/url&gt;&lt;/related-urls&gt;&lt;/urls&gt;&lt;electronic-resource-num&gt;10.1016/j.scitotenv.2004.09.002&lt;/electronic-resource-num&gt;&lt;/record&gt;&lt;/Cite&gt;&lt;/EndNote&gt;</w:instrText>
      </w:r>
      <w:r w:rsidR="00B5561F" w:rsidRPr="00C00A4C">
        <w:rPr>
          <w:lang w:val="en-GB"/>
        </w:rPr>
        <w:fldChar w:fldCharType="separate"/>
      </w:r>
      <w:r w:rsidR="00B5561F" w:rsidRPr="00C00A4C">
        <w:rPr>
          <w:noProof/>
          <w:lang w:val="en-GB"/>
        </w:rPr>
        <w:t>(Johnson and Hallberg, 2005)</w:t>
      </w:r>
      <w:r w:rsidR="00B5561F" w:rsidRPr="00C00A4C">
        <w:rPr>
          <w:lang w:val="en-GB"/>
        </w:rPr>
        <w:fldChar w:fldCharType="end"/>
      </w:r>
      <w:r w:rsidR="00B5561F" w:rsidRPr="00C00A4C">
        <w:rPr>
          <w:lang w:val="en-GB"/>
        </w:rPr>
        <w:t xml:space="preserve">. </w:t>
      </w:r>
      <w:r w:rsidR="004F42FE" w:rsidRPr="00C00A4C">
        <w:rPr>
          <w:lang w:val="en-GB"/>
        </w:rPr>
        <w:t>The overall pyrite oxidation equat</w:t>
      </w:r>
      <w:r w:rsidR="00092214" w:rsidRPr="00C00A4C">
        <w:rPr>
          <w:lang w:val="en-GB"/>
        </w:rPr>
        <w:t>ion is shown in Eq(1)</w:t>
      </w:r>
      <w:r w:rsidR="009B32CF" w:rsidRPr="00C00A4C">
        <w:rPr>
          <w:lang w:val="en-GB"/>
        </w:rPr>
        <w:t xml:space="preserve"> </w:t>
      </w:r>
      <w:r w:rsidR="009B32CF" w:rsidRPr="00C00A4C">
        <w:rPr>
          <w:lang w:val="en-GB"/>
        </w:rPr>
        <w:fldChar w:fldCharType="begin"/>
      </w:r>
      <w:r w:rsidR="009B32CF" w:rsidRPr="00C00A4C">
        <w:rPr>
          <w:lang w:val="en-GB"/>
        </w:rPr>
        <w:instrText xml:space="preserve"> ADDIN EN.CITE &lt;EndNote&gt;&lt;Cite&gt;&lt;Author&gt;Kaksonen&lt;/Author&gt;&lt;Year&gt;2007&lt;/Year&gt;&lt;RecNum&gt;37&lt;/RecNum&gt;&lt;DisplayText&gt;(Kaksonen and Puhakka, 2007)&lt;/DisplayText&gt;&lt;record&gt;&lt;rec-number&gt;37&lt;/rec-number&gt;&lt;foreign-keys&gt;&lt;key app="EN" db-id="x0xrxsape2ae5ge5zwexzsz1a0fwdva5zvpe" timestamp="1528846974"&gt;37&lt;/key&gt;&lt;key app="ENWeb" db-id=""&gt;0&lt;/key&gt;&lt;/foreign-keys&gt;&lt;ref-type name="Journal Article"&gt;17&lt;/ref-type&gt;&lt;contributors&gt;&lt;authors&gt;&lt;author&gt;Kaksonen, A. H.&lt;/author&gt;&lt;author&gt;Puhakka, J. A.&lt;/author&gt;&lt;/authors&gt;&lt;/contributors&gt;&lt;titles&gt;&lt;title&gt;Sulfate Reduction Based Bioprocesses for the Treatment of Acid Mine Drainage and the Recovery of Metals&lt;/title&gt;&lt;secondary-title&gt;Engineering in Life Sciences&lt;/secondary-title&gt;&lt;/titles&gt;&lt;periodical&gt;&lt;full-title&gt;Engineering in Life Sciences&lt;/full-title&gt;&lt;/periodical&gt;&lt;pages&gt;541-564&lt;/pages&gt;&lt;volume&gt;7&lt;/volume&gt;&lt;number&gt;6&lt;/number&gt;&lt;section&gt;541&lt;/section&gt;&lt;dates&gt;&lt;year&gt;2007&lt;/year&gt;&lt;/dates&gt;&lt;isbn&gt;16180240&amp;#xD;16182863&lt;/isbn&gt;&lt;urls&gt;&lt;/urls&gt;&lt;electronic-resource-num&gt;10.1002/elsc.200720216&lt;/electronic-resource-num&gt;&lt;/record&gt;&lt;/Cite&gt;&lt;/EndNote&gt;</w:instrText>
      </w:r>
      <w:r w:rsidR="009B32CF" w:rsidRPr="00C00A4C">
        <w:rPr>
          <w:lang w:val="en-GB"/>
        </w:rPr>
        <w:fldChar w:fldCharType="separate"/>
      </w:r>
      <w:r w:rsidR="009B32CF" w:rsidRPr="00C00A4C">
        <w:rPr>
          <w:noProof/>
          <w:lang w:val="en-GB"/>
        </w:rPr>
        <w:t>(Kaksonen and Puhakka, 2007)</w:t>
      </w:r>
      <w:r w:rsidR="009B32CF" w:rsidRPr="00C00A4C">
        <w:rPr>
          <w:lang w:val="en-GB"/>
        </w:rPr>
        <w:fldChar w:fldCharType="end"/>
      </w:r>
      <w:r w:rsidR="009B32CF" w:rsidRPr="00C00A4C">
        <w:rPr>
          <w:lang w:val="en-GB"/>
        </w:rPr>
        <w:t>:</w:t>
      </w:r>
    </w:p>
    <w:tbl>
      <w:tblPr>
        <w:tblW w:w="5000" w:type="pct"/>
        <w:tblLook w:val="04A0" w:firstRow="1" w:lastRow="0" w:firstColumn="1" w:lastColumn="0" w:noHBand="0" w:noVBand="1"/>
      </w:tblPr>
      <w:tblGrid>
        <w:gridCol w:w="7983"/>
        <w:gridCol w:w="804"/>
      </w:tblGrid>
      <w:tr w:rsidR="004055D8" w:rsidTr="00DC3A18">
        <w:tc>
          <w:tcPr>
            <w:tcW w:w="8188" w:type="dxa"/>
            <w:shd w:val="clear" w:color="auto" w:fill="auto"/>
            <w:vAlign w:val="center"/>
          </w:tcPr>
          <w:p w:rsidR="002952C4" w:rsidRPr="00C00A4C" w:rsidRDefault="00EF4F22" w:rsidP="000B6B6E">
            <w:pPr>
              <w:pStyle w:val="CETEquation"/>
            </w:pPr>
            <w:r w:rsidRPr="00C00A4C">
              <w:t>4FeS</w:t>
            </w:r>
            <w:r w:rsidRPr="00C00A4C">
              <w:rPr>
                <w:vertAlign w:val="subscript"/>
              </w:rPr>
              <w:t>2</w:t>
            </w:r>
            <w:r w:rsidRPr="00C00A4C">
              <w:t xml:space="preserve"> +</w:t>
            </w:r>
            <w:r w:rsidR="000B6B6E" w:rsidRPr="00C00A4C">
              <w:t xml:space="preserve"> 14H</w:t>
            </w:r>
            <w:r w:rsidR="000B6B6E" w:rsidRPr="00C00A4C">
              <w:rPr>
                <w:vertAlign w:val="subscript"/>
              </w:rPr>
              <w:t>2</w:t>
            </w:r>
            <w:r w:rsidR="000B6B6E" w:rsidRPr="00C00A4C">
              <w:t>O +</w:t>
            </w:r>
            <w:r w:rsidRPr="00C00A4C">
              <w:t xml:space="preserve"> 15O</w:t>
            </w:r>
            <w:r w:rsidRPr="00C00A4C">
              <w:rPr>
                <w:vertAlign w:val="subscript"/>
              </w:rPr>
              <w:t>2</w:t>
            </w:r>
            <w:r w:rsidR="000B6B6E" w:rsidRPr="00C00A4C">
              <w:t xml:space="preserve"> </w:t>
            </w:r>
            <w:r w:rsidR="004F42FE" w:rsidRPr="00C00A4C">
              <w:t>→</w:t>
            </w:r>
            <w:r w:rsidRPr="00C00A4C">
              <w:t xml:space="preserve"> 4Fe(OH)</w:t>
            </w:r>
            <w:r w:rsidRPr="00C00A4C">
              <w:rPr>
                <w:vertAlign w:val="subscript"/>
              </w:rPr>
              <w:t>3</w:t>
            </w:r>
            <w:r w:rsidRPr="00C00A4C">
              <w:t xml:space="preserve"> + 8SO</w:t>
            </w:r>
            <w:r w:rsidRPr="00C00A4C">
              <w:rPr>
                <w:vertAlign w:val="subscript"/>
              </w:rPr>
              <w:t>4</w:t>
            </w:r>
            <w:r w:rsidRPr="00C00A4C">
              <w:rPr>
                <w:vertAlign w:val="superscript"/>
              </w:rPr>
              <w:t>2-</w:t>
            </w:r>
            <w:r w:rsidRPr="00C00A4C">
              <w:t xml:space="preserve"> + 16H</w:t>
            </w:r>
            <w:r w:rsidRPr="00C00A4C">
              <w:rPr>
                <w:vertAlign w:val="superscript"/>
              </w:rPr>
              <w:t>+</w:t>
            </w:r>
            <w:r w:rsidRPr="00C00A4C">
              <w:t xml:space="preserve"> </w:t>
            </w:r>
          </w:p>
        </w:tc>
        <w:tc>
          <w:tcPr>
            <w:tcW w:w="815" w:type="dxa"/>
            <w:shd w:val="clear" w:color="auto" w:fill="auto"/>
            <w:vAlign w:val="center"/>
          </w:tcPr>
          <w:p w:rsidR="002952C4" w:rsidRPr="00C00A4C" w:rsidRDefault="00EF4F22" w:rsidP="00DC3A18">
            <w:pPr>
              <w:pStyle w:val="CETEquation"/>
              <w:jc w:val="right"/>
            </w:pPr>
            <w:r w:rsidRPr="00C00A4C">
              <w:t>(1)</w:t>
            </w:r>
          </w:p>
        </w:tc>
      </w:tr>
    </w:tbl>
    <w:p w:rsidR="00B61652" w:rsidRPr="00C00A4C" w:rsidRDefault="00EF4F22" w:rsidP="00CC142C">
      <w:pPr>
        <w:pStyle w:val="CETBodytext"/>
        <w:rPr>
          <w:lang w:val="en-GB"/>
        </w:rPr>
      </w:pPr>
      <w:r w:rsidRPr="00C00A4C">
        <w:rPr>
          <w:lang w:val="en-GB"/>
        </w:rPr>
        <w:t>In South Africa, sulphate</w:t>
      </w:r>
      <w:r w:rsidR="001542CC" w:rsidRPr="00C00A4C">
        <w:rPr>
          <w:lang w:val="en-GB"/>
        </w:rPr>
        <w:t xml:space="preserve"> concentration</w:t>
      </w:r>
      <w:r w:rsidR="00B73064">
        <w:rPr>
          <w:lang w:val="en-GB"/>
        </w:rPr>
        <w:t>s</w:t>
      </w:r>
      <w:r w:rsidR="001542CC" w:rsidRPr="00C00A4C">
        <w:rPr>
          <w:lang w:val="en-GB"/>
        </w:rPr>
        <w:t xml:space="preserve"> </w:t>
      </w:r>
      <w:r w:rsidRPr="00C00A4C">
        <w:rPr>
          <w:lang w:val="en-GB"/>
        </w:rPr>
        <w:t>in AMD are</w:t>
      </w:r>
      <w:r w:rsidR="00155082" w:rsidRPr="00C00A4C">
        <w:rPr>
          <w:lang w:val="en-GB"/>
        </w:rPr>
        <w:t xml:space="preserve"> </w:t>
      </w:r>
      <w:r w:rsidR="00AF46A5" w:rsidRPr="00C00A4C">
        <w:rPr>
          <w:lang w:val="en-GB"/>
        </w:rPr>
        <w:t xml:space="preserve">typically </w:t>
      </w:r>
      <w:r w:rsidR="001542CC" w:rsidRPr="00C00A4C">
        <w:rPr>
          <w:lang w:val="en-GB"/>
        </w:rPr>
        <w:t>abov</w:t>
      </w:r>
      <w:r w:rsidR="00294562" w:rsidRPr="00C00A4C">
        <w:rPr>
          <w:lang w:val="en-GB"/>
        </w:rPr>
        <w:t>e 2000 mg/L and the required sulphate concentration</w:t>
      </w:r>
      <w:r w:rsidR="00B73064">
        <w:rPr>
          <w:lang w:val="en-GB"/>
        </w:rPr>
        <w:t xml:space="preserve"> for</w:t>
      </w:r>
      <w:r w:rsidR="004735FC" w:rsidRPr="00C00A4C">
        <w:rPr>
          <w:lang w:val="en-GB"/>
        </w:rPr>
        <w:t xml:space="preserve"> discharge</w:t>
      </w:r>
      <w:r w:rsidR="00116D88" w:rsidRPr="00C00A4C">
        <w:rPr>
          <w:lang w:val="en-GB"/>
        </w:rPr>
        <w:t xml:space="preserve"> </w:t>
      </w:r>
      <w:r w:rsidR="006C71A0" w:rsidRPr="00C00A4C">
        <w:rPr>
          <w:lang w:val="en-GB"/>
        </w:rPr>
        <w:t xml:space="preserve">is </w:t>
      </w:r>
      <w:r w:rsidR="00294562" w:rsidRPr="00C00A4C">
        <w:rPr>
          <w:lang w:val="en-GB"/>
        </w:rPr>
        <w:t>200 – 600 mg/L</w:t>
      </w:r>
      <w:r w:rsidR="00AF46A5" w:rsidRPr="00C00A4C">
        <w:rPr>
          <w:lang w:val="en-GB"/>
        </w:rPr>
        <w:t>.</w:t>
      </w:r>
      <w:r w:rsidR="004735FC" w:rsidRPr="00C00A4C">
        <w:rPr>
          <w:lang w:val="en-GB"/>
        </w:rPr>
        <w:t xml:space="preserve"> </w:t>
      </w:r>
      <w:r w:rsidR="00AF46A5" w:rsidRPr="00C00A4C">
        <w:rPr>
          <w:lang w:val="en-GB"/>
        </w:rPr>
        <w:t>S</w:t>
      </w:r>
      <w:r w:rsidR="006C71A0" w:rsidRPr="00C00A4C">
        <w:rPr>
          <w:lang w:val="en-GB"/>
        </w:rPr>
        <w:t>imilarly,</w:t>
      </w:r>
      <w:r w:rsidR="004735FC" w:rsidRPr="00C00A4C">
        <w:rPr>
          <w:lang w:val="en-GB"/>
        </w:rPr>
        <w:t xml:space="preserve"> </w:t>
      </w:r>
      <w:r w:rsidR="00B73E2D">
        <w:rPr>
          <w:lang w:val="en-GB"/>
        </w:rPr>
        <w:t xml:space="preserve">the </w:t>
      </w:r>
      <w:r w:rsidR="004735FC" w:rsidRPr="00C00A4C">
        <w:rPr>
          <w:lang w:val="en-GB"/>
        </w:rPr>
        <w:t xml:space="preserve">World Health Organisation recommends 250 mg/L for drinking water </w:t>
      </w:r>
      <w:r w:rsidR="004735FC" w:rsidRPr="00C00A4C">
        <w:rPr>
          <w:lang w:val="en-GB"/>
        </w:rPr>
        <w:fldChar w:fldCharType="begin"/>
      </w:r>
      <w:r w:rsidR="002E220E">
        <w:rPr>
          <w:lang w:val="en-GB"/>
        </w:rPr>
        <w:instrText xml:space="preserve"> ADDIN EN.CITE &lt;EndNote&gt;&lt;Cite&gt;&lt;Author&gt;Arnold&lt;/Author&gt;&lt;Year&gt;2016&lt;/Year&gt;&lt;RecNum&gt;28&lt;/RecNum&gt;&lt;DisplayText&gt;(Arnold et al., 2016)&lt;/DisplayText&gt;&lt;record&gt;&lt;rec-number&gt;28&lt;/rec-number&gt;&lt;foreign-keys&gt;&lt;key app="EN" db-id="x0xrxsape2ae5ge5zwexzsz1a0fwdva5zvpe" timestamp="1525377819"&gt;28&lt;/key&gt;&lt;key app="ENWeb" db-id=""&gt;0&lt;/key&gt;&lt;/foreign-keys&gt;&lt;ref-type name="Journal Article"&gt;17&lt;/ref-type&gt;&lt;contributors&gt;&lt;authors&gt;&lt;author&gt;Mona Arnold&lt;/author&gt;&lt;author&gt;Mariekie, Gericke&lt;/author&gt;&lt;author&gt;Ritva, Muhlbauer&lt;/author&gt;&lt;/authors&gt;&lt;/contributors&gt;&lt;titles&gt;&lt;title&gt;Technologies for sulphate removal with valorisation options &lt;/title&gt;&lt;secondary-title&gt;International Mine Water Association&lt;/secondary-title&gt;&lt;/titles&gt;&lt;periodical&gt;&lt;full-title&gt;International Mine Water Association&lt;/full-title&gt;&lt;/periodical&gt;&lt;pages&gt; 1343 – 1345&lt;/pages&gt;&lt;section&gt;1343 &lt;/section&gt;&lt;dates&gt;&lt;year&gt;2016&lt;/year&gt;&lt;/dates&gt;&lt;urls&gt;&lt;/urls&gt;&lt;/record&gt;&lt;/Cite&gt;&lt;/EndNote&gt;</w:instrText>
      </w:r>
      <w:r w:rsidR="004735FC" w:rsidRPr="00C00A4C">
        <w:rPr>
          <w:lang w:val="en-GB"/>
        </w:rPr>
        <w:fldChar w:fldCharType="separate"/>
      </w:r>
      <w:r w:rsidR="004735FC" w:rsidRPr="00C00A4C">
        <w:rPr>
          <w:noProof/>
          <w:lang w:val="en-GB"/>
        </w:rPr>
        <w:t>(Arnold et al., 2016)</w:t>
      </w:r>
      <w:r w:rsidR="004735FC" w:rsidRPr="00C00A4C">
        <w:rPr>
          <w:lang w:val="en-GB"/>
        </w:rPr>
        <w:fldChar w:fldCharType="end"/>
      </w:r>
      <w:r w:rsidR="00294562" w:rsidRPr="00C00A4C">
        <w:rPr>
          <w:lang w:val="en-GB"/>
        </w:rPr>
        <w:t>.</w:t>
      </w:r>
      <w:r w:rsidR="001542CC" w:rsidRPr="00C00A4C">
        <w:rPr>
          <w:lang w:val="en-GB"/>
        </w:rPr>
        <w:t xml:space="preserve"> </w:t>
      </w:r>
      <w:r w:rsidR="006F6567" w:rsidRPr="00C00A4C">
        <w:rPr>
          <w:lang w:val="en-GB"/>
        </w:rPr>
        <w:t xml:space="preserve"> </w:t>
      </w:r>
    </w:p>
    <w:p w:rsidR="0058794E" w:rsidRPr="00C00A4C" w:rsidRDefault="00EF4F22" w:rsidP="00CC142C">
      <w:pPr>
        <w:pStyle w:val="CETBodytext"/>
        <w:rPr>
          <w:lang w:val="en-GB"/>
        </w:rPr>
      </w:pPr>
      <w:r w:rsidRPr="00C00A4C">
        <w:rPr>
          <w:lang w:val="en-GB"/>
        </w:rPr>
        <w:t>A more conventional way of treating AMD is the application of a chemical neutralising agent such as lime, calcium carbonate and sodium hydroxide</w:t>
      </w:r>
      <w:r w:rsidR="00B73E2D">
        <w:rPr>
          <w:lang w:val="en-GB"/>
        </w:rPr>
        <w:t xml:space="preserve">, </w:t>
      </w:r>
      <w:r w:rsidR="00B73E2D" w:rsidRPr="004D0C64">
        <w:rPr>
          <w:noProof/>
          <w:lang w:val="en-GB"/>
        </w:rPr>
        <w:t>with l</w:t>
      </w:r>
      <w:r w:rsidRPr="004D0C64">
        <w:rPr>
          <w:noProof/>
          <w:lang w:val="en-GB"/>
        </w:rPr>
        <w:t>ime</w:t>
      </w:r>
      <w:r w:rsidRPr="00C00A4C">
        <w:rPr>
          <w:lang w:val="en-GB"/>
        </w:rPr>
        <w:t xml:space="preserve"> neutralisation </w:t>
      </w:r>
      <w:r w:rsidR="00B73E2D">
        <w:rPr>
          <w:lang w:val="en-GB"/>
        </w:rPr>
        <w:t>being</w:t>
      </w:r>
      <w:r w:rsidR="00B73E2D" w:rsidRPr="00C00A4C">
        <w:rPr>
          <w:lang w:val="en-GB"/>
        </w:rPr>
        <w:t xml:space="preserve"> </w:t>
      </w:r>
      <w:r w:rsidRPr="00C00A4C">
        <w:rPr>
          <w:lang w:val="en-GB"/>
        </w:rPr>
        <w:t xml:space="preserve">the </w:t>
      </w:r>
      <w:r w:rsidR="005873A1" w:rsidRPr="00C00A4C">
        <w:rPr>
          <w:lang w:val="en-GB"/>
        </w:rPr>
        <w:t>m</w:t>
      </w:r>
      <w:r w:rsidRPr="00C00A4C">
        <w:rPr>
          <w:lang w:val="en-GB"/>
        </w:rPr>
        <w:t xml:space="preserve">ost commonly used chemical treatment in South Africa. </w:t>
      </w:r>
      <w:r w:rsidR="00AF46A5" w:rsidRPr="00C00A4C">
        <w:rPr>
          <w:lang w:val="en-GB"/>
        </w:rPr>
        <w:t xml:space="preserve">Although </w:t>
      </w:r>
      <w:r w:rsidR="001F10F0">
        <w:rPr>
          <w:lang w:val="en-GB"/>
        </w:rPr>
        <w:t>t</w:t>
      </w:r>
      <w:r w:rsidR="00564BFF" w:rsidRPr="00C00A4C">
        <w:rPr>
          <w:lang w:val="en-GB"/>
        </w:rPr>
        <w:t>his method</w:t>
      </w:r>
      <w:r w:rsidR="00797526" w:rsidRPr="00C00A4C">
        <w:rPr>
          <w:lang w:val="en-GB"/>
        </w:rPr>
        <w:t xml:space="preserve"> has been successful in</w:t>
      </w:r>
      <w:r w:rsidR="00E50DC8" w:rsidRPr="00C00A4C">
        <w:rPr>
          <w:lang w:val="en-GB"/>
        </w:rPr>
        <w:t xml:space="preserve"> neutrali</w:t>
      </w:r>
      <w:r w:rsidR="00797526" w:rsidRPr="00C00A4C">
        <w:rPr>
          <w:lang w:val="en-GB"/>
        </w:rPr>
        <w:t>sing</w:t>
      </w:r>
      <w:r w:rsidR="00B2585B" w:rsidRPr="00C00A4C">
        <w:rPr>
          <w:lang w:val="en-GB"/>
        </w:rPr>
        <w:t xml:space="preserve"> AMD and precipi</w:t>
      </w:r>
      <w:r w:rsidR="00DD3ACC" w:rsidRPr="00C00A4C">
        <w:rPr>
          <w:lang w:val="en-GB"/>
        </w:rPr>
        <w:t>tating</w:t>
      </w:r>
      <w:r w:rsidR="00CF4506" w:rsidRPr="00C00A4C">
        <w:rPr>
          <w:lang w:val="en-GB"/>
        </w:rPr>
        <w:t xml:space="preserve"> metals</w:t>
      </w:r>
      <w:r w:rsidR="00AF46A5" w:rsidRPr="00C00A4C">
        <w:rPr>
          <w:lang w:val="en-GB"/>
        </w:rPr>
        <w:t>,</w:t>
      </w:r>
      <w:r w:rsidR="00CF4506" w:rsidRPr="00C00A4C">
        <w:rPr>
          <w:lang w:val="en-GB"/>
        </w:rPr>
        <w:t xml:space="preserve"> </w:t>
      </w:r>
      <w:r w:rsidR="00AF46A5" w:rsidRPr="00C00A4C">
        <w:rPr>
          <w:lang w:val="en-GB"/>
        </w:rPr>
        <w:t>it</w:t>
      </w:r>
      <w:r w:rsidR="00CF4506" w:rsidRPr="00C00A4C">
        <w:rPr>
          <w:lang w:val="en-GB"/>
        </w:rPr>
        <w:t xml:space="preserve"> </w:t>
      </w:r>
      <w:r w:rsidR="00564BFF" w:rsidRPr="00C00A4C">
        <w:rPr>
          <w:lang w:val="en-GB"/>
        </w:rPr>
        <w:t xml:space="preserve">has not been </w:t>
      </w:r>
      <w:r w:rsidR="00564BFF" w:rsidRPr="00FA13F3">
        <w:rPr>
          <w:noProof/>
          <w:lang w:val="en-GB"/>
        </w:rPr>
        <w:t>efficient</w:t>
      </w:r>
      <w:r w:rsidR="00564BFF" w:rsidRPr="00C00A4C">
        <w:rPr>
          <w:lang w:val="en-GB"/>
        </w:rPr>
        <w:t xml:space="preserve"> in reducing sulphate</w:t>
      </w:r>
      <w:r w:rsidR="00D80B8E" w:rsidRPr="00C00A4C">
        <w:rPr>
          <w:lang w:val="en-GB"/>
        </w:rPr>
        <w:t xml:space="preserve"> concentrations</w:t>
      </w:r>
      <w:r w:rsidR="00901E3E" w:rsidRPr="00C00A4C">
        <w:rPr>
          <w:lang w:val="en-GB"/>
        </w:rPr>
        <w:t xml:space="preserve"> </w:t>
      </w:r>
      <w:r w:rsidR="000E3D3C" w:rsidRPr="00C00A4C">
        <w:rPr>
          <w:lang w:val="en-GB"/>
        </w:rPr>
        <w:fldChar w:fldCharType="begin"/>
      </w:r>
      <w:r w:rsidR="002E220E">
        <w:rPr>
          <w:lang w:val="en-GB"/>
        </w:rPr>
        <w:instrText xml:space="preserve"> ADDIN EN.CITE &lt;EndNote&gt;&lt;Cite&gt;&lt;Author&gt;Arnold&lt;/Author&gt;&lt;Year&gt;2016&lt;/Year&gt;&lt;RecNum&gt;28&lt;/RecNum&gt;&lt;DisplayText&gt;(Arnold et al., 2016)&lt;/DisplayText&gt;&lt;record&gt;&lt;rec-number&gt;28&lt;/rec-number&gt;&lt;foreign-keys&gt;&lt;key app="EN" db-id="x0xrxsape2ae5ge5zwexzsz1a0fwdva5zvpe" timestamp="1525377819"&gt;28&lt;/key&gt;&lt;key app="ENWeb" db-id=""&gt;0&lt;/key&gt;&lt;/foreign-keys&gt;&lt;ref-type name="Journal Article"&gt;17&lt;/ref-type&gt;&lt;contributors&gt;&lt;authors&gt;&lt;author&gt;Mona Arnold&lt;/author&gt;&lt;author&gt;Mariekie, Gericke&lt;/author&gt;&lt;author&gt;Ritva, Muhlbauer&lt;/author&gt;&lt;/authors&gt;&lt;/contributors&gt;&lt;titles&gt;&lt;title&gt;Technologies for sulphate removal with valorisation options &lt;/title&gt;&lt;secondary-title&gt;International Mine Water Association&lt;/secondary-title&gt;&lt;/titles&gt;&lt;periodical&gt;&lt;full-title&gt;International Mine Water Association&lt;/full-title&gt;&lt;/periodical&gt;&lt;pages&gt; 1343 – 1345&lt;/pages&gt;&lt;section&gt;1343 &lt;/section&gt;&lt;dates&gt;&lt;year&gt;2016&lt;/year&gt;&lt;/dates&gt;&lt;urls&gt;&lt;/urls&gt;&lt;/record&gt;&lt;/Cite&gt;&lt;/EndNote&gt;</w:instrText>
      </w:r>
      <w:r w:rsidR="000E3D3C" w:rsidRPr="00C00A4C">
        <w:rPr>
          <w:lang w:val="en-GB"/>
        </w:rPr>
        <w:fldChar w:fldCharType="separate"/>
      </w:r>
      <w:r w:rsidR="000E3D3C" w:rsidRPr="00C00A4C">
        <w:rPr>
          <w:noProof/>
          <w:lang w:val="en-GB"/>
        </w:rPr>
        <w:t>(Arnold et al., 2016)</w:t>
      </w:r>
      <w:r w:rsidR="000E3D3C" w:rsidRPr="00C00A4C">
        <w:rPr>
          <w:lang w:val="en-GB"/>
        </w:rPr>
        <w:fldChar w:fldCharType="end"/>
      </w:r>
      <w:r w:rsidR="003A3E6A" w:rsidRPr="00C00A4C">
        <w:rPr>
          <w:lang w:val="en-GB"/>
        </w:rPr>
        <w:t>.</w:t>
      </w:r>
      <w:r w:rsidR="00797526" w:rsidRPr="00C00A4C">
        <w:rPr>
          <w:lang w:val="en-GB"/>
        </w:rPr>
        <w:t xml:space="preserve"> </w:t>
      </w:r>
      <w:r w:rsidR="00ED6FDE" w:rsidRPr="00C00A4C">
        <w:rPr>
          <w:lang w:val="en-GB"/>
        </w:rPr>
        <w:t>Moreove</w:t>
      </w:r>
      <w:r w:rsidR="00797526" w:rsidRPr="00C00A4C">
        <w:rPr>
          <w:lang w:val="en-GB"/>
        </w:rPr>
        <w:t xml:space="preserve">r, this method has proven to be costly and produces </w:t>
      </w:r>
      <w:r w:rsidR="00C92A0E" w:rsidRPr="00C00A4C">
        <w:rPr>
          <w:lang w:val="en-GB"/>
        </w:rPr>
        <w:t xml:space="preserve">large </w:t>
      </w:r>
      <w:r w:rsidR="00797526" w:rsidRPr="00C00A4C">
        <w:rPr>
          <w:lang w:val="en-GB"/>
        </w:rPr>
        <w:t xml:space="preserve">sludge </w:t>
      </w:r>
      <w:r w:rsidR="00C92A0E" w:rsidRPr="00C00A4C">
        <w:rPr>
          <w:lang w:val="en-GB"/>
        </w:rPr>
        <w:t>volumes that are</w:t>
      </w:r>
      <w:r w:rsidR="00797526" w:rsidRPr="00C00A4C">
        <w:rPr>
          <w:lang w:val="en-GB"/>
        </w:rPr>
        <w:t xml:space="preserve"> difficult to dispose of</w:t>
      </w:r>
      <w:r w:rsidR="00D80B8E" w:rsidRPr="00C00A4C">
        <w:rPr>
          <w:lang w:val="en-GB"/>
        </w:rPr>
        <w:t>.</w:t>
      </w:r>
      <w:r w:rsidR="00817480" w:rsidRPr="00C00A4C">
        <w:rPr>
          <w:lang w:val="en-GB"/>
        </w:rPr>
        <w:t xml:space="preserve"> </w:t>
      </w:r>
      <w:r w:rsidR="00454F2D" w:rsidRPr="00C00A4C">
        <w:rPr>
          <w:lang w:val="en-GB"/>
        </w:rPr>
        <w:t>In addition to chemical treatment, physical treatment of AMD has also been used</w:t>
      </w:r>
      <w:r w:rsidR="00B73E2D">
        <w:rPr>
          <w:lang w:val="en-GB"/>
        </w:rPr>
        <w:t xml:space="preserve"> which</w:t>
      </w:r>
      <w:r w:rsidR="00454F2D" w:rsidRPr="00C00A4C">
        <w:rPr>
          <w:lang w:val="en-GB"/>
        </w:rPr>
        <w:t xml:space="preserve"> include</w:t>
      </w:r>
      <w:r w:rsidR="00AF46A5" w:rsidRPr="00C00A4C">
        <w:rPr>
          <w:lang w:val="en-GB"/>
        </w:rPr>
        <w:t>s</w:t>
      </w:r>
      <w:r w:rsidR="00454F2D" w:rsidRPr="00C00A4C">
        <w:rPr>
          <w:lang w:val="en-GB"/>
        </w:rPr>
        <w:t xml:space="preserve"> ion exchange and membrane filtration. Although these methods are efficient, they require </w:t>
      </w:r>
      <w:r w:rsidR="008C76B3" w:rsidRPr="00C00A4C">
        <w:rPr>
          <w:lang w:val="en-GB"/>
        </w:rPr>
        <w:t>pre-treatment</w:t>
      </w:r>
      <w:r w:rsidR="00454F2D" w:rsidRPr="00C00A4C">
        <w:rPr>
          <w:lang w:val="en-GB"/>
        </w:rPr>
        <w:t xml:space="preserve"> of AMD </w:t>
      </w:r>
      <w:r w:rsidR="00454F2D" w:rsidRPr="00C00A4C">
        <w:rPr>
          <w:lang w:val="en-GB"/>
        </w:rPr>
        <w:fldChar w:fldCharType="begin"/>
      </w:r>
      <w:r w:rsidR="00CF741A" w:rsidRPr="00C00A4C">
        <w:rPr>
          <w:lang w:val="en-GB"/>
        </w:rPr>
        <w:instrText xml:space="preserve"> ADDIN EN.CITE &lt;EndNote&gt;&lt;Cite&gt;&lt;Author&gt;Luptakova&lt;/Author&gt;&lt;Year&gt;2013&lt;/Year&gt;&lt;RecNum&gt;78&lt;/RecNum&gt;&lt;DisplayText&gt;(Luptakova et al., 2013)&lt;/DisplayText&gt;&lt;record&gt;&lt;rec-number&gt;78&lt;/rec-number&gt;&lt;foreign-keys&gt;&lt;key app="EN" db-id="x0xrxsape2ae5ge5zwexzsz1a0fwdva5zvpe" timestamp="1548098040"&gt;78&lt;/key&gt;&lt;/foreign-keys&gt;&lt;ref-type name="Journal Article"&gt;17&lt;/ref-type&gt;&lt;contributors&gt;&lt;authors&gt;&lt;author&gt;Luptakova, A&lt;/author&gt;&lt;author&gt;Kotulicova, I&lt;/author&gt;&lt;author&gt;Macingova, E&lt;/author&gt;&lt;author&gt;Jencarova, J&lt;/author&gt;&lt;/authors&gt;&lt;/contributors&gt;&lt;titles&gt;&lt;title&gt;Bacterial elimination of sulphates from mine waters&lt;/title&gt;&lt;secondary-title&gt;Chemical engineering transactions&lt;/secondary-title&gt;&lt;/titles&gt;&lt;periodical&gt;&lt;full-title&gt;Chemical engineering transactions&lt;/full-title&gt;&lt;/periodical&gt;&lt;pages&gt;853-858&lt;/pages&gt;&lt;volume&gt;35&lt;/volume&gt;&lt;dates&gt;&lt;year&gt;2013&lt;/year&gt;&lt;/dates&gt;&lt;urls&gt;&lt;/urls&gt;&lt;/record&gt;&lt;/Cite&gt;&lt;/EndNote&gt;</w:instrText>
      </w:r>
      <w:r w:rsidR="00454F2D" w:rsidRPr="00C00A4C">
        <w:rPr>
          <w:lang w:val="en-GB"/>
        </w:rPr>
        <w:fldChar w:fldCharType="separate"/>
      </w:r>
      <w:r w:rsidR="00454F2D" w:rsidRPr="00C00A4C">
        <w:rPr>
          <w:noProof/>
          <w:lang w:val="en-GB"/>
        </w:rPr>
        <w:t>(Luptakova et al., 2013)</w:t>
      </w:r>
      <w:r w:rsidR="00454F2D" w:rsidRPr="00C00A4C">
        <w:rPr>
          <w:lang w:val="en-GB"/>
        </w:rPr>
        <w:fldChar w:fldCharType="end"/>
      </w:r>
      <w:r w:rsidR="00454F2D" w:rsidRPr="00C00A4C">
        <w:rPr>
          <w:lang w:val="en-GB"/>
        </w:rPr>
        <w:t>.</w:t>
      </w:r>
    </w:p>
    <w:p w:rsidR="002D6B87" w:rsidRPr="00C00A4C" w:rsidRDefault="00EF4F22" w:rsidP="002D6B87">
      <w:pPr>
        <w:pStyle w:val="CETBodytext"/>
        <w:rPr>
          <w:lang w:val="en-GB"/>
        </w:rPr>
      </w:pPr>
      <w:r w:rsidRPr="00C00A4C">
        <w:rPr>
          <w:lang w:val="en-GB"/>
        </w:rPr>
        <w:t>B</w:t>
      </w:r>
      <w:r w:rsidR="003A3E6A" w:rsidRPr="00C00A4C">
        <w:rPr>
          <w:lang w:val="en-GB"/>
        </w:rPr>
        <w:t>iological sulphate reduction (BSR) has been identified as an alternative</w:t>
      </w:r>
      <w:r w:rsidR="003868FC" w:rsidRPr="00C00A4C">
        <w:rPr>
          <w:lang w:val="en-GB"/>
        </w:rPr>
        <w:t>,</w:t>
      </w:r>
      <w:r w:rsidR="003A3E6A" w:rsidRPr="00C00A4C">
        <w:rPr>
          <w:lang w:val="en-GB"/>
        </w:rPr>
        <w:t xml:space="preserve"> sustainable and </w:t>
      </w:r>
      <w:r w:rsidR="003A3E6A" w:rsidRPr="00290A8B">
        <w:rPr>
          <w:noProof/>
          <w:lang w:val="en-GB"/>
        </w:rPr>
        <w:t>cost</w:t>
      </w:r>
      <w:r w:rsidR="0061108A" w:rsidRPr="00290A8B">
        <w:rPr>
          <w:noProof/>
          <w:lang w:val="en-GB"/>
        </w:rPr>
        <w:t>-</w:t>
      </w:r>
      <w:r w:rsidR="003A3E6A" w:rsidRPr="00290A8B">
        <w:rPr>
          <w:noProof/>
          <w:lang w:val="en-GB"/>
        </w:rPr>
        <w:t>effective</w:t>
      </w:r>
      <w:r w:rsidR="003A3E6A" w:rsidRPr="00C00A4C">
        <w:rPr>
          <w:lang w:val="en-GB"/>
        </w:rPr>
        <w:t xml:space="preserve"> method for</w:t>
      </w:r>
      <w:r w:rsidR="008977B9" w:rsidRPr="00C00A4C">
        <w:rPr>
          <w:lang w:val="en-GB"/>
        </w:rPr>
        <w:t xml:space="preserve"> the</w:t>
      </w:r>
      <w:r w:rsidR="003A3E6A" w:rsidRPr="00C00A4C">
        <w:rPr>
          <w:lang w:val="en-GB"/>
        </w:rPr>
        <w:t xml:space="preserve"> treatment of AMD</w:t>
      </w:r>
      <w:r w:rsidR="003868FC" w:rsidRPr="00C00A4C">
        <w:rPr>
          <w:lang w:val="en-GB"/>
        </w:rPr>
        <w:t xml:space="preserve"> </w:t>
      </w:r>
      <w:r w:rsidR="003868FC" w:rsidRPr="00C00A4C">
        <w:rPr>
          <w:lang w:val="en-GB"/>
        </w:rPr>
        <w:fldChar w:fldCharType="begin"/>
      </w:r>
      <w:r w:rsidR="003868FC" w:rsidRPr="00C00A4C">
        <w:rPr>
          <w:lang w:val="en-GB"/>
        </w:rPr>
        <w:instrText xml:space="preserve"> ADDIN EN.CITE &lt;EndNote&gt;&lt;Cite&gt;&lt;Author&gt;Neale&lt;/Author&gt;&lt;Year&gt;2017&lt;/Year&gt;&lt;RecNum&gt;19&lt;/RecNum&gt;&lt;DisplayText&gt;(Neale et al., 2017)&lt;/DisplayText&gt;&lt;record&gt;&lt;rec-number&gt;19&lt;/rec-number&gt;&lt;foreign-keys&gt;&lt;key app="EN" db-id="x0xrxsape2ae5ge5zwexzsz1a0fwdva5zvpe" timestamp="1525118377"&gt;19&lt;/key&gt;&lt;key app="ENWeb" db-id=""&gt;0&lt;/key&gt;&lt;/foreign-keys&gt;&lt;ref-type name="Journal Article"&gt;17&lt;/ref-type&gt;&lt;contributors&gt;&lt;authors&gt;&lt;author&gt;John William Neale &lt;/author&gt;&lt;author&gt;Heinrich Hagspihl Muller &lt;/author&gt;&lt;author&gt;Mariekie Gericke &lt;/author&gt;&lt;author&gt;Ritva Muhlbauer &lt;/author&gt;&lt;/authors&gt;&lt;/contributors&gt;&lt;titles&gt;&lt;title&gt;Low-Cost Biological Treatment of Metal- and Sulphate-Contaminated Mine Waters&lt;/title&gt;&lt;secondary-title&gt;International Mine Water Association&lt;/secondary-title&gt;&lt;/titles&gt;&lt;periodical&gt;&lt;full-title&gt;International Mine Water Association&lt;/full-title&gt;&lt;/periodical&gt;&lt;pages&gt;453 - 460&lt;/pages&gt;&lt;volume&gt;1&lt;/volume&gt;&lt;dates&gt;&lt;year&gt;2017&lt;/year&gt;&lt;/dates&gt;&lt;urls&gt;&lt;/urls&gt;&lt;/record&gt;&lt;/Cite&gt;&lt;/EndNote&gt;</w:instrText>
      </w:r>
      <w:r w:rsidR="003868FC" w:rsidRPr="00C00A4C">
        <w:rPr>
          <w:lang w:val="en-GB"/>
        </w:rPr>
        <w:fldChar w:fldCharType="separate"/>
      </w:r>
      <w:r w:rsidR="003868FC" w:rsidRPr="00C00A4C">
        <w:rPr>
          <w:noProof/>
          <w:lang w:val="en-GB"/>
        </w:rPr>
        <w:t>(Neale et al., 2017)</w:t>
      </w:r>
      <w:r w:rsidR="003868FC" w:rsidRPr="00C00A4C">
        <w:rPr>
          <w:lang w:val="en-GB"/>
        </w:rPr>
        <w:fldChar w:fldCharType="end"/>
      </w:r>
      <w:r w:rsidR="003A3E6A" w:rsidRPr="00C00A4C">
        <w:rPr>
          <w:lang w:val="en-GB"/>
        </w:rPr>
        <w:t xml:space="preserve">. BSR is a </w:t>
      </w:r>
      <w:r w:rsidR="00B81C76" w:rsidRPr="00C00A4C">
        <w:rPr>
          <w:lang w:val="en-GB"/>
        </w:rPr>
        <w:t>semi-</w:t>
      </w:r>
      <w:r w:rsidR="003A3E6A" w:rsidRPr="00C00A4C">
        <w:rPr>
          <w:lang w:val="en-GB"/>
        </w:rPr>
        <w:t>passive remediation technology that uses sulphate reducing bacteria (SRB) to metabolically reduce sulphate to sulphide</w:t>
      </w:r>
      <w:r w:rsidR="00923545" w:rsidRPr="00C00A4C">
        <w:rPr>
          <w:lang w:val="en-GB"/>
        </w:rPr>
        <w:t>.</w:t>
      </w:r>
      <w:r w:rsidRPr="00C00A4C">
        <w:rPr>
          <w:lang w:val="en-GB"/>
        </w:rPr>
        <w:t xml:space="preserve"> </w:t>
      </w:r>
      <w:r w:rsidR="00711CEB" w:rsidRPr="00C00A4C">
        <w:rPr>
          <w:lang w:val="en-GB"/>
        </w:rPr>
        <w:t xml:space="preserve"> T</w:t>
      </w:r>
      <w:r w:rsidR="004E4213" w:rsidRPr="00C00A4C">
        <w:rPr>
          <w:lang w:val="en-GB"/>
        </w:rPr>
        <w:t>his treatm</w:t>
      </w:r>
      <w:r w:rsidR="00711CEB" w:rsidRPr="00C00A4C">
        <w:rPr>
          <w:lang w:val="en-GB"/>
        </w:rPr>
        <w:t>e</w:t>
      </w:r>
      <w:r w:rsidR="00842EFE" w:rsidRPr="00C00A4C">
        <w:rPr>
          <w:lang w:val="en-GB"/>
        </w:rPr>
        <w:t>n</w:t>
      </w:r>
      <w:r w:rsidR="00711CEB" w:rsidRPr="00C00A4C">
        <w:rPr>
          <w:lang w:val="en-GB"/>
        </w:rPr>
        <w:t xml:space="preserve">t process has </w:t>
      </w:r>
      <w:r w:rsidRPr="00C00A4C">
        <w:rPr>
          <w:lang w:val="en-GB"/>
        </w:rPr>
        <w:t>advantage</w:t>
      </w:r>
      <w:r w:rsidR="00DA4F9F">
        <w:rPr>
          <w:lang w:val="en-GB"/>
        </w:rPr>
        <w:t>s</w:t>
      </w:r>
      <w:r w:rsidRPr="00C00A4C">
        <w:rPr>
          <w:lang w:val="en-GB"/>
        </w:rPr>
        <w:t xml:space="preserve"> over other treatment processes because it removes sulphates while simultaneously removing metals as</w:t>
      </w:r>
      <w:r w:rsidR="00C15D28">
        <w:rPr>
          <w:lang w:val="en-GB"/>
        </w:rPr>
        <w:t xml:space="preserve"> </w:t>
      </w:r>
      <w:r w:rsidRPr="00C00A4C">
        <w:rPr>
          <w:lang w:val="en-GB"/>
        </w:rPr>
        <w:lastRenderedPageBreak/>
        <w:t xml:space="preserve">sulphide precipitates and increasing pH </w:t>
      </w:r>
      <w:r w:rsidRPr="00C00A4C">
        <w:rPr>
          <w:lang w:val="en-GB"/>
        </w:rPr>
        <w:fldChar w:fldCharType="begin"/>
      </w:r>
      <w:r w:rsidR="00CF741A" w:rsidRPr="00C00A4C">
        <w:rPr>
          <w:lang w:val="en-GB"/>
        </w:rPr>
        <w:instrText xml:space="preserve"> ADDIN EN.CITE &lt;EndNote&gt;&lt;Cite&gt;&lt;Author&gt;Luptakova&lt;/Author&gt;&lt;Year&gt;2013&lt;/Year&gt;&lt;RecNum&gt;78&lt;/RecNum&gt;&lt;DisplayText&gt;(Luptakova et al., 2013)&lt;/DisplayText&gt;&lt;record&gt;&lt;rec-number&gt;78&lt;/rec-number&gt;&lt;foreign-keys&gt;&lt;key app="EN" db-id="x0xrxsape2ae5ge5zwexzsz1a0fwdva5zvpe" timestamp="1548098040"&gt;78&lt;/key&gt;&lt;/foreign-keys&gt;&lt;ref-type name="Journal Article"&gt;17&lt;/ref-type&gt;&lt;contributors&gt;&lt;authors&gt;&lt;author&gt;Luptakova, A&lt;/author&gt;&lt;author&gt;Kotulicova, I&lt;/author&gt;&lt;author&gt;Macingova, E&lt;/author&gt;&lt;author&gt;Jencarova, J&lt;/author&gt;&lt;/authors&gt;&lt;/contributors&gt;&lt;titles&gt;&lt;title&gt;Bacterial elimination of sulphates from mine waters&lt;/title&gt;&lt;secondary-title&gt;Chemical engineering transactions&lt;/secondary-title&gt;&lt;/titles&gt;&lt;periodical&gt;&lt;full-title&gt;Chemical engineering transactions&lt;/full-title&gt;&lt;/periodical&gt;&lt;pages&gt;853-858&lt;/pages&gt;&lt;volume&gt;35&lt;/volume&gt;&lt;dates&gt;&lt;year&gt;2013&lt;/year&gt;&lt;/dates&gt;&lt;urls&gt;&lt;/urls&gt;&lt;/record&gt;&lt;/Cite&gt;&lt;/EndNote&gt;</w:instrText>
      </w:r>
      <w:r w:rsidRPr="00C00A4C">
        <w:rPr>
          <w:lang w:val="en-GB"/>
        </w:rPr>
        <w:fldChar w:fldCharType="separate"/>
      </w:r>
      <w:r w:rsidRPr="00C00A4C">
        <w:rPr>
          <w:noProof/>
          <w:lang w:val="en-GB"/>
        </w:rPr>
        <w:t>(Luptakova et al., 2013)</w:t>
      </w:r>
      <w:r w:rsidRPr="00C00A4C">
        <w:rPr>
          <w:lang w:val="en-GB"/>
        </w:rPr>
        <w:fldChar w:fldCharType="end"/>
      </w:r>
      <w:r w:rsidRPr="00C00A4C">
        <w:rPr>
          <w:lang w:val="en-GB"/>
        </w:rPr>
        <w:t xml:space="preserve">. </w:t>
      </w:r>
      <w:r w:rsidR="0059305C" w:rsidRPr="00C00A4C">
        <w:rPr>
          <w:lang w:val="en-GB"/>
        </w:rPr>
        <w:t xml:space="preserve">The successfulness of this process solely depends on the activity of the microorganisms which is governed by operating conditions, of which the most critical ones </w:t>
      </w:r>
      <w:r w:rsidR="0071117D" w:rsidRPr="00C00A4C">
        <w:rPr>
          <w:lang w:val="en-GB"/>
        </w:rPr>
        <w:t>are temperature</w:t>
      </w:r>
      <w:r w:rsidR="0059305C" w:rsidRPr="00C00A4C">
        <w:rPr>
          <w:lang w:val="en-GB"/>
        </w:rPr>
        <w:t xml:space="preserve">, pH and the availability of carbon source as </w:t>
      </w:r>
      <w:r w:rsidR="0061108A">
        <w:rPr>
          <w:lang w:val="en-GB"/>
        </w:rPr>
        <w:t xml:space="preserve">an </w:t>
      </w:r>
      <w:r w:rsidR="0059305C" w:rsidRPr="00F42AC8">
        <w:rPr>
          <w:noProof/>
          <w:lang w:val="en-GB"/>
        </w:rPr>
        <w:t>electron</w:t>
      </w:r>
      <w:r w:rsidR="0059305C" w:rsidRPr="00C00A4C">
        <w:rPr>
          <w:lang w:val="en-GB"/>
        </w:rPr>
        <w:t xml:space="preserve"> donor.</w:t>
      </w:r>
      <w:r w:rsidR="002F12D3" w:rsidRPr="00C00A4C">
        <w:rPr>
          <w:lang w:val="en-GB"/>
        </w:rPr>
        <w:t xml:space="preserve"> </w:t>
      </w:r>
      <w:r w:rsidR="0059305C" w:rsidRPr="00C00A4C">
        <w:rPr>
          <w:lang w:val="en-GB"/>
        </w:rPr>
        <w:t xml:space="preserve"> </w:t>
      </w:r>
      <w:r w:rsidR="002F12D3" w:rsidRPr="00C00A4C">
        <w:rPr>
          <w:lang w:val="en-GB"/>
        </w:rPr>
        <w:fldChar w:fldCharType="begin"/>
      </w:r>
      <w:r w:rsidR="0071117D" w:rsidRPr="00C00A4C">
        <w:rPr>
          <w:lang w:val="en-GB"/>
        </w:rPr>
        <w:instrText xml:space="preserve"> ADDIN EN.CITE &lt;EndNote&gt;&lt;Cite AuthorYear="1"&gt;&lt;Author&gt;Sheoran&lt;/Author&gt;&lt;Year&gt;2010&lt;/Year&gt;&lt;RecNum&gt;52&lt;/RecNum&gt;&lt;DisplayText&gt;Sheoran et al. (2010)&lt;/DisplayText&gt;&lt;record&gt;&lt;rec-number&gt;52&lt;/rec-number&gt;&lt;foreign-keys&gt;&lt;key app="EN" db-id="x0xrxsape2ae5ge5zwexzsz1a0fwdva5zvpe" timestamp="1529247388"&gt;52&lt;/key&gt;&lt;key app="ENWeb" db-id=""&gt;0&lt;/key&gt;&lt;/foreign-keys&gt;&lt;ref-type name="Journal Article"&gt;17&lt;/ref-type&gt;&lt;contributors&gt;&lt;authors&gt;&lt;author&gt;Sheoran, A. S.&lt;/author&gt;&lt;author&gt;Sheoran, V.&lt;/author&gt;&lt;author&gt;Choudhary, R. P.&lt;/author&gt;&lt;/authors&gt;&lt;/contributors&gt;&lt;titles&gt;&lt;title&gt;Bioremediation of acid-rock drainage by sulphate-reducing prokaryotes: A review&lt;/title&gt;&lt;secondary-title&gt;Minerals Engineering&lt;/secondary-title&gt;&lt;/titles&gt;&lt;periodical&gt;&lt;full-title&gt;Minerals Engineering&lt;/full-title&gt;&lt;/periodical&gt;&lt;pages&gt;1073-1100&lt;/pages&gt;&lt;volume&gt;23&lt;/volume&gt;&lt;number&gt;14&lt;/number&gt;&lt;dates&gt;&lt;year&gt;2010&lt;/year&gt;&lt;/dates&gt;&lt;isbn&gt;08926875&lt;/isbn&gt;&lt;urls&gt;&lt;/urls&gt;&lt;electronic-resource-num&gt;10.1016/j.mineng.2010.07.001&lt;/electronic-resource-num&gt;&lt;/record&gt;&lt;/Cite&gt;&lt;/EndNote&gt;</w:instrText>
      </w:r>
      <w:r w:rsidR="002F12D3" w:rsidRPr="00C00A4C">
        <w:rPr>
          <w:lang w:val="en-GB"/>
        </w:rPr>
        <w:fldChar w:fldCharType="separate"/>
      </w:r>
      <w:r w:rsidR="0071117D" w:rsidRPr="00C00A4C">
        <w:rPr>
          <w:noProof/>
          <w:lang w:val="en-GB"/>
        </w:rPr>
        <w:t>Sheoran et al. (2010)</w:t>
      </w:r>
      <w:r w:rsidR="002F12D3" w:rsidRPr="00C00A4C">
        <w:rPr>
          <w:lang w:val="en-GB"/>
        </w:rPr>
        <w:fldChar w:fldCharType="end"/>
      </w:r>
      <w:r w:rsidR="002F12D3" w:rsidRPr="00C00A4C">
        <w:rPr>
          <w:lang w:val="en-GB"/>
        </w:rPr>
        <w:t xml:space="preserve"> explicitly </w:t>
      </w:r>
      <w:r w:rsidR="002F12D3" w:rsidRPr="00290A8B">
        <w:rPr>
          <w:noProof/>
          <w:lang w:val="en-GB"/>
        </w:rPr>
        <w:t>review</w:t>
      </w:r>
      <w:r w:rsidR="002F12D3" w:rsidRPr="00C00A4C">
        <w:rPr>
          <w:lang w:val="en-GB"/>
        </w:rPr>
        <w:t xml:space="preserve"> most of these factors. </w:t>
      </w:r>
    </w:p>
    <w:p w:rsidR="00ED3E7E" w:rsidRPr="00C00A4C" w:rsidRDefault="00EF4F22" w:rsidP="00CC142C">
      <w:pPr>
        <w:pStyle w:val="CETBodytext"/>
        <w:rPr>
          <w:lang w:val="en-GB"/>
        </w:rPr>
      </w:pPr>
      <w:r w:rsidRPr="00C00A4C">
        <w:rPr>
          <w:lang w:val="en-GB"/>
        </w:rPr>
        <w:t>SRB</w:t>
      </w:r>
      <w:r w:rsidR="00B22FB1" w:rsidRPr="00C00A4C">
        <w:rPr>
          <w:lang w:val="en-GB"/>
        </w:rPr>
        <w:t xml:space="preserve"> utilises sulphate present in AMD as the terminal electron acceptor</w:t>
      </w:r>
      <w:r w:rsidR="00024F51" w:rsidRPr="00C00A4C">
        <w:rPr>
          <w:lang w:val="en-GB"/>
        </w:rPr>
        <w:t xml:space="preserve"> to</w:t>
      </w:r>
      <w:r w:rsidR="001A111A" w:rsidRPr="00C00A4C">
        <w:rPr>
          <w:lang w:val="en-GB"/>
        </w:rPr>
        <w:t xml:space="preserve"> metabolise organic matter </w:t>
      </w:r>
      <w:r w:rsidR="00DA4F9F">
        <w:rPr>
          <w:lang w:val="en-GB"/>
        </w:rPr>
        <w:t>resulting in</w:t>
      </w:r>
      <w:r w:rsidR="00DA4F9F" w:rsidRPr="00C00A4C">
        <w:rPr>
          <w:lang w:val="en-GB"/>
        </w:rPr>
        <w:t xml:space="preserve"> </w:t>
      </w:r>
      <w:r w:rsidR="00085047" w:rsidRPr="00C00A4C">
        <w:rPr>
          <w:lang w:val="en-GB"/>
        </w:rPr>
        <w:t>sulphate</w:t>
      </w:r>
      <w:r w:rsidR="001A111A" w:rsidRPr="00C00A4C">
        <w:rPr>
          <w:lang w:val="en-GB"/>
        </w:rPr>
        <w:t xml:space="preserve"> </w:t>
      </w:r>
      <w:r w:rsidR="00DA4F9F">
        <w:rPr>
          <w:lang w:val="en-GB"/>
        </w:rPr>
        <w:t>being</w:t>
      </w:r>
      <w:r w:rsidR="00DA4F9F" w:rsidRPr="00C00A4C">
        <w:rPr>
          <w:lang w:val="en-GB"/>
        </w:rPr>
        <w:t xml:space="preserve"> </w:t>
      </w:r>
      <w:r w:rsidR="001A111A" w:rsidRPr="00C00A4C">
        <w:rPr>
          <w:lang w:val="en-GB"/>
        </w:rPr>
        <w:t>reduced to sulphide under anaerobic conditions</w:t>
      </w:r>
      <w:r w:rsidRPr="00C00A4C">
        <w:rPr>
          <w:lang w:val="en-GB"/>
        </w:rPr>
        <w:t xml:space="preserve"> </w:t>
      </w:r>
      <w:r w:rsidR="00563704" w:rsidRPr="00C00A4C">
        <w:rPr>
          <w:lang w:val="en-GB"/>
        </w:rPr>
        <w:fldChar w:fldCharType="begin"/>
      </w:r>
      <w:r w:rsidR="00563704" w:rsidRPr="00C00A4C">
        <w:rPr>
          <w:lang w:val="en-GB"/>
        </w:rPr>
        <w:instrText xml:space="preserve"> ADDIN EN.CITE &lt;EndNote&gt;&lt;Cite&gt;&lt;Author&gt;Macingova&lt;/Author&gt;&lt;Year&gt;2012&lt;/Year&gt;&lt;RecNum&gt;75&lt;/RecNum&gt;&lt;DisplayText&gt;(Macingova and Luptakova, 2012)&lt;/DisplayText&gt;&lt;record&gt;&lt;rec-number&gt;75&lt;/rec-number&gt;&lt;foreign-keys&gt;&lt;key app="EN" db-id="x0xrxsape2ae5ge5zwexzsz1a0fwdva5zvpe" timestamp="1548015627"&gt;75&lt;/key&gt;&lt;/foreign-keys&gt;&lt;ref-type name="Journal Article"&gt;17&lt;/ref-type&gt;&lt;contributors&gt;&lt;authors&gt;&lt;author&gt;Macingova, Eva&lt;/author&gt;&lt;author&gt;Luptakova, Alena&lt;/author&gt;&lt;/authors&gt;&lt;/contributors&gt;&lt;titles&gt;&lt;title&gt;Recovery of metals from acid mine drainage&lt;/title&gt;&lt;secondary-title&gt;Chemical Engineering&lt;/secondary-title&gt;&lt;/titles&gt;&lt;periodical&gt;&lt;full-title&gt;Chemical Engineering&lt;/full-title&gt;&lt;/periodical&gt;&lt;pages&gt;109 - 114&lt;/pages&gt;&lt;volume&gt;28&lt;/volume&gt;&lt;dates&gt;&lt;year&gt;2012&lt;/year&gt;&lt;/dates&gt;&lt;urls&gt;&lt;/urls&gt;&lt;/record&gt;&lt;/Cite&gt;&lt;/EndNote&gt;</w:instrText>
      </w:r>
      <w:r w:rsidR="00563704" w:rsidRPr="00C00A4C">
        <w:rPr>
          <w:lang w:val="en-GB"/>
        </w:rPr>
        <w:fldChar w:fldCharType="separate"/>
      </w:r>
      <w:r w:rsidR="00563704" w:rsidRPr="00C00A4C">
        <w:rPr>
          <w:noProof/>
          <w:lang w:val="en-GB"/>
        </w:rPr>
        <w:t>(Macingova and Luptakova, 2012)</w:t>
      </w:r>
      <w:r w:rsidR="00563704" w:rsidRPr="00C00A4C">
        <w:rPr>
          <w:lang w:val="en-GB"/>
        </w:rPr>
        <w:fldChar w:fldCharType="end"/>
      </w:r>
      <w:r w:rsidR="001A111A" w:rsidRPr="00C00A4C">
        <w:rPr>
          <w:lang w:val="en-GB"/>
        </w:rPr>
        <w:t>.</w:t>
      </w:r>
      <w:r w:rsidR="00B22FB1" w:rsidRPr="00C00A4C">
        <w:rPr>
          <w:lang w:val="en-GB"/>
        </w:rPr>
        <w:t xml:space="preserve"> </w:t>
      </w:r>
      <w:r w:rsidR="001A111A" w:rsidRPr="00C00A4C">
        <w:rPr>
          <w:lang w:val="en-GB"/>
        </w:rPr>
        <w:t>SRB uses a</w:t>
      </w:r>
      <w:r w:rsidR="00B22FB1" w:rsidRPr="00C00A4C">
        <w:rPr>
          <w:lang w:val="en-GB"/>
        </w:rPr>
        <w:t xml:space="preserve"> wide range of substrates such as simple organic compounds (acetate, lactate, molasses, butyrate</w:t>
      </w:r>
      <w:r w:rsidR="00AA1058" w:rsidRPr="00C00A4C">
        <w:rPr>
          <w:lang w:val="en-GB"/>
        </w:rPr>
        <w:t>, propionate</w:t>
      </w:r>
      <w:r w:rsidR="00FA7D4A" w:rsidRPr="00C00A4C">
        <w:rPr>
          <w:lang w:val="en-GB"/>
        </w:rPr>
        <w:t>, hydrogen</w:t>
      </w:r>
      <w:r w:rsidR="00AA1058" w:rsidRPr="00C00A4C">
        <w:rPr>
          <w:lang w:val="en-GB"/>
        </w:rPr>
        <w:t xml:space="preserve">), alcohols (methanol, ethanol) </w:t>
      </w:r>
      <w:r w:rsidR="00AA1058" w:rsidRPr="00C00A4C">
        <w:rPr>
          <w:lang w:val="en-GB"/>
        </w:rPr>
        <w:fldChar w:fldCharType="begin"/>
      </w:r>
      <w:r w:rsidR="002E220E">
        <w:rPr>
          <w:lang w:val="en-GB"/>
        </w:rPr>
        <w:instrText xml:space="preserve"> ADDIN EN.CITE &lt;EndNote&gt;&lt;Cite&gt;&lt;Author&gt;Liamleam&lt;/Author&gt;&lt;Year&gt;2007&lt;/Year&gt;&lt;RecNum&gt;24&lt;/RecNum&gt;&lt;DisplayText&gt;(Liamleam and Annachhatre, 2007)&lt;/DisplayText&gt;&lt;record&gt;&lt;rec-number&gt;24&lt;/rec-number&gt;&lt;foreign-keys&gt;&lt;key app="EN" db-id="x0xrxsape2ae5ge5zwexzsz1a0fwdva5zvpe" timestamp="1525362953"&gt;24&lt;/key&gt;&lt;key app="ENWeb" db-id=""&gt;0&lt;/key&gt;&lt;/foreign-keys&gt;&lt;ref-type name="Journal Article"&gt;17&lt;/ref-type&gt;&lt;contributors&gt;&lt;authors&gt;&lt;author&gt;Liamleam, W.&lt;/author&gt;&lt;author&gt;Annachhatre, A. P.&lt;/author&gt;&lt;/authors&gt;&lt;/contributors&gt;&lt;auth-address&gt;Environmental Engineering and Management, Asian Institute of Technology, PO Box 4, Klongluang, Pathumthani 12120, Thailand.&lt;/auth-address&gt;&lt;titles&gt;&lt;title&gt;Electron donors for biological sulfate reduction&lt;/title&gt;&lt;secondary-title&gt;Biotechnol Adv&lt;/secondary-title&gt;&lt;/titles&gt;&lt;periodical&gt;&lt;full-title&gt;Biotechnol Adv&lt;/full-title&gt;&lt;/periodical&gt;&lt;pages&gt;452-63&lt;/pages&gt;&lt;volume&gt;25&lt;/volume&gt;&lt;number&gt;5&lt;/number&gt;&lt;keywords&gt;&lt;keyword&gt;Biochemistry/methods&lt;/keyword&gt;&lt;keyword&gt;*Biodegradation, Environmental&lt;/keyword&gt;&lt;keyword&gt;Biotechnology/*methods&lt;/keyword&gt;&lt;keyword&gt;*Electrons&lt;/keyword&gt;&lt;keyword&gt;Environmental Restoration and Remediation/*methods&lt;/keyword&gt;&lt;keyword&gt;Hydrogen/chemistry&lt;/keyword&gt;&lt;keyword&gt;Hydrogen-Ion Concentration&lt;/keyword&gt;&lt;keyword&gt;Models, Chemical&lt;/keyword&gt;&lt;keyword&gt;Mutagenesis&lt;/keyword&gt;&lt;keyword&gt;Sulfates/*chemistry&lt;/keyword&gt;&lt;keyword&gt;Sulfides/chemistry&lt;/keyword&gt;&lt;keyword&gt;Sulfur-Reducing Bacteria/metabolism&lt;/keyword&gt;&lt;/keywords&gt;&lt;dates&gt;&lt;year&gt;2007&lt;/year&gt;&lt;pub-dates&gt;&lt;date&gt;Sep-Oct&lt;/date&gt;&lt;/pub-dates&gt;&lt;/dates&gt;&lt;isbn&gt;0734-9750 (Print)&amp;#xD;0734-9750 (Linking)&lt;/isbn&gt;&lt;accession-num&gt;17572039&lt;/accession-num&gt;&lt;urls&gt;&lt;related-urls&gt;&lt;url&gt;https://www.ncbi.nlm.nih.gov/pubmed/17572039&lt;/url&gt;&lt;/related-urls&gt;&lt;/urls&gt;&lt;electronic-resource-num&gt;10.1016/j.biotechadv.2007.05.002&lt;/electronic-resource-num&gt;&lt;/record&gt;&lt;/Cite&gt;&lt;/EndNote&gt;</w:instrText>
      </w:r>
      <w:r w:rsidR="00AA1058" w:rsidRPr="00C00A4C">
        <w:rPr>
          <w:lang w:val="en-GB"/>
        </w:rPr>
        <w:fldChar w:fldCharType="separate"/>
      </w:r>
      <w:r w:rsidR="00AA1058" w:rsidRPr="00C00A4C">
        <w:rPr>
          <w:noProof/>
          <w:lang w:val="en-GB"/>
        </w:rPr>
        <w:t>(Liamleam and Annachhatre, 2007)</w:t>
      </w:r>
      <w:r w:rsidR="00AA1058" w:rsidRPr="00C00A4C">
        <w:rPr>
          <w:lang w:val="en-GB"/>
        </w:rPr>
        <w:fldChar w:fldCharType="end"/>
      </w:r>
      <w:r w:rsidRPr="00C00A4C">
        <w:rPr>
          <w:lang w:val="en-GB"/>
        </w:rPr>
        <w:t xml:space="preserve"> and </w:t>
      </w:r>
      <w:r w:rsidR="00092FEB" w:rsidRPr="00C00A4C">
        <w:rPr>
          <w:lang w:val="en-GB"/>
        </w:rPr>
        <w:t xml:space="preserve">complex organic sources (cow manure, goat manure, buffalo </w:t>
      </w:r>
      <w:r w:rsidR="00140220" w:rsidRPr="00C00A4C">
        <w:rPr>
          <w:lang w:val="en-GB"/>
        </w:rPr>
        <w:t>ma</w:t>
      </w:r>
      <w:r w:rsidR="00092FEB" w:rsidRPr="00C00A4C">
        <w:rPr>
          <w:lang w:val="en-GB"/>
        </w:rPr>
        <w:t>nure, sawdust)</w:t>
      </w:r>
      <w:r w:rsidR="0084344B" w:rsidRPr="00C00A4C">
        <w:rPr>
          <w:lang w:val="en-GB"/>
        </w:rPr>
        <w:t xml:space="preserve"> as</w:t>
      </w:r>
      <w:r w:rsidR="00092FEB" w:rsidRPr="00C00A4C">
        <w:rPr>
          <w:lang w:val="en-GB"/>
        </w:rPr>
        <w:t xml:space="preserve"> electron donors</w:t>
      </w:r>
      <w:r w:rsidR="00305FD3" w:rsidRPr="00C00A4C">
        <w:rPr>
          <w:lang w:val="en-GB"/>
        </w:rPr>
        <w:t xml:space="preserve"> </w:t>
      </w:r>
    </w:p>
    <w:p w:rsidR="00DC7819" w:rsidRDefault="00EF4F22" w:rsidP="00CC142C">
      <w:pPr>
        <w:pStyle w:val="CETBodytext"/>
        <w:rPr>
          <w:lang w:val="en-GB"/>
        </w:rPr>
      </w:pPr>
      <w:r w:rsidRPr="00C00A4C">
        <w:rPr>
          <w:lang w:val="en-GB"/>
        </w:rPr>
        <w:t>Eq(2)</w:t>
      </w:r>
      <w:r w:rsidR="009D1068" w:rsidRPr="00C00A4C">
        <w:rPr>
          <w:lang w:val="en-GB"/>
        </w:rPr>
        <w:t xml:space="preserve"> </w:t>
      </w:r>
      <w:r w:rsidRPr="00C00A4C">
        <w:rPr>
          <w:lang w:val="en-GB"/>
        </w:rPr>
        <w:t xml:space="preserve">shows how SRB </w:t>
      </w:r>
      <w:r w:rsidR="00377CBD" w:rsidRPr="00C00A4C">
        <w:rPr>
          <w:lang w:val="en-GB"/>
        </w:rPr>
        <w:t>oxidise</w:t>
      </w:r>
      <w:r w:rsidR="00844E7D" w:rsidRPr="00C00A4C">
        <w:rPr>
          <w:lang w:val="en-GB"/>
        </w:rPr>
        <w:t>s an organic substrate</w:t>
      </w:r>
      <w:r w:rsidR="00377CBD" w:rsidRPr="00C00A4C">
        <w:rPr>
          <w:lang w:val="en-GB"/>
        </w:rPr>
        <w:t xml:space="preserve"> (CH</w:t>
      </w:r>
      <w:r w:rsidR="00377CBD" w:rsidRPr="00C00A4C">
        <w:rPr>
          <w:vertAlign w:val="subscript"/>
          <w:lang w:val="en-GB"/>
        </w:rPr>
        <w:t>2</w:t>
      </w:r>
      <w:r w:rsidR="00377CBD" w:rsidRPr="00C00A4C">
        <w:rPr>
          <w:lang w:val="en-GB"/>
        </w:rPr>
        <w:t xml:space="preserve">O) </w:t>
      </w:r>
      <w:r w:rsidR="00D774E6" w:rsidRPr="00C00A4C">
        <w:rPr>
          <w:lang w:val="en-GB"/>
        </w:rPr>
        <w:t>while red</w:t>
      </w:r>
      <w:r w:rsidR="00066556" w:rsidRPr="00C00A4C">
        <w:rPr>
          <w:lang w:val="en-GB"/>
        </w:rPr>
        <w:t>ucing s</w:t>
      </w:r>
      <w:r w:rsidR="00844E7D" w:rsidRPr="00C00A4C">
        <w:rPr>
          <w:lang w:val="en-GB"/>
        </w:rPr>
        <w:t>ulphate</w:t>
      </w:r>
      <w:r w:rsidR="00B202F1" w:rsidRPr="00F42AC8">
        <w:rPr>
          <w:noProof/>
          <w:lang w:val="en-GB"/>
        </w:rPr>
        <w:t>,</w:t>
      </w:r>
      <w:r w:rsidR="00F42AC8">
        <w:rPr>
          <w:noProof/>
          <w:lang w:val="en-GB"/>
        </w:rPr>
        <w:t xml:space="preserve"> </w:t>
      </w:r>
      <w:r w:rsidR="00844E7D" w:rsidRPr="00F42AC8">
        <w:rPr>
          <w:noProof/>
          <w:lang w:val="en-GB"/>
        </w:rPr>
        <w:t>produce</w:t>
      </w:r>
      <w:r w:rsidR="00844E7D" w:rsidRPr="00C00A4C">
        <w:rPr>
          <w:lang w:val="en-GB"/>
        </w:rPr>
        <w:t xml:space="preserve"> alkalinity which raises the pH and hydrogen sulphid</w:t>
      </w:r>
      <w:r w:rsidR="00244A90" w:rsidRPr="00C00A4C">
        <w:rPr>
          <w:lang w:val="en-GB"/>
        </w:rPr>
        <w:t>e which precipitates the metals as metal sulphides Eq</w:t>
      </w:r>
      <w:r w:rsidR="00D97B66" w:rsidRPr="00C00A4C">
        <w:rPr>
          <w:lang w:val="en-GB"/>
        </w:rPr>
        <w:t>(3)</w:t>
      </w:r>
      <w:r w:rsidR="007535EE">
        <w:rPr>
          <w:lang w:val="en-GB"/>
        </w:rPr>
        <w:fldChar w:fldCharType="begin"/>
      </w:r>
      <w:r w:rsidR="007535EE">
        <w:rPr>
          <w:lang w:val="en-GB"/>
        </w:rPr>
        <w:instrText xml:space="preserve"> ADDIN EN.CITE &lt;EndNote&gt;&lt;Cite&gt;&lt;Author&gt;Dvorak&lt;/Author&gt;&lt;Year&gt;1992&lt;/Year&gt;&lt;RecNum&gt;85&lt;/RecNum&gt;&lt;DisplayText&gt;(Dvorak et al., 1992)&lt;/DisplayText&gt;&lt;record&gt;&lt;rec-number&gt;85&lt;/rec-number&gt;&lt;foreign-keys&gt;&lt;key app="EN" db-id="x0xrxsape2ae5ge5zwexzsz1a0fwdva5zvpe" timestamp="1554413314"&gt;85&lt;/key&gt;&lt;/foreign-keys&gt;&lt;ref-type name="Journal Article"&gt;17&lt;/ref-type&gt;&lt;contributors&gt;&lt;authors&gt;&lt;author&gt;Dvorak, Darryl H&lt;/author&gt;&lt;author&gt;Hedin, Robert S&lt;/author&gt;&lt;author&gt;Edenborn, Harry M&lt;/author&gt;&lt;author&gt;McIntire, Pamela E&lt;/author&gt;&lt;/authors&gt;&lt;/contributors&gt;&lt;titles&gt;&lt;title&gt;Treatment of metal</w:instrText>
      </w:r>
      <w:r w:rsidR="007535EE">
        <w:rPr>
          <w:rFonts w:ascii="Cambria Math" w:hAnsi="Cambria Math" w:cs="Cambria Math"/>
          <w:lang w:val="en-GB"/>
        </w:rPr>
        <w:instrText>‐</w:instrText>
      </w:r>
      <w:r w:rsidR="007535EE">
        <w:rPr>
          <w:lang w:val="en-GB"/>
        </w:rPr>
        <w:instrText>contaminated water using bacterial sulfate reduction: Results from pilot</w:instrText>
      </w:r>
      <w:r w:rsidR="007535EE">
        <w:rPr>
          <w:rFonts w:ascii="Cambria Math" w:hAnsi="Cambria Math" w:cs="Cambria Math"/>
          <w:lang w:val="en-GB"/>
        </w:rPr>
        <w:instrText>‐</w:instrText>
      </w:r>
      <w:r w:rsidR="007535EE">
        <w:rPr>
          <w:lang w:val="en-GB"/>
        </w:rPr>
        <w:instrText>scale reactors&lt;/title&gt;&lt;secondary-title&gt;Biotechnology and bioengineering&lt;/secondary-title&gt;&lt;/titles&gt;&lt;periodical&gt;&lt;full-title&gt;Biotechnology and bioengineering&lt;/full-title&gt;&lt;/periodical&gt;&lt;pages&gt;609-616&lt;/pages&gt;&lt;volume&gt;40&lt;/volume&gt;&lt;number&gt;5&lt;/number&gt;&lt;dates&gt;&lt;year&gt;1992&lt;/year&gt;&lt;/dates&gt;&lt;isbn&gt;0006-3592&lt;/isbn&gt;&lt;urls&gt;&lt;/urls&gt;&lt;/record&gt;&lt;/Cite&gt;&lt;/EndNote&gt;</w:instrText>
      </w:r>
      <w:r w:rsidR="007535EE">
        <w:rPr>
          <w:lang w:val="en-GB"/>
        </w:rPr>
        <w:fldChar w:fldCharType="separate"/>
      </w:r>
      <w:r w:rsidR="007535EE">
        <w:rPr>
          <w:noProof/>
          <w:lang w:val="en-GB"/>
        </w:rPr>
        <w:t>(Dvorak et al., 1992)</w:t>
      </w:r>
      <w:r w:rsidR="007535EE">
        <w:rPr>
          <w:lang w:val="en-GB"/>
        </w:rPr>
        <w:fldChar w:fldCharType="end"/>
      </w:r>
      <w:r w:rsidR="00F3027E">
        <w:rPr>
          <w:lang w:val="en-GB"/>
        </w:rPr>
        <w:t>:</w:t>
      </w:r>
    </w:p>
    <w:tbl>
      <w:tblPr>
        <w:tblW w:w="5000" w:type="pct"/>
        <w:tblLook w:val="04A0" w:firstRow="1" w:lastRow="0" w:firstColumn="1" w:lastColumn="0" w:noHBand="0" w:noVBand="1"/>
      </w:tblPr>
      <w:tblGrid>
        <w:gridCol w:w="7982"/>
        <w:gridCol w:w="805"/>
      </w:tblGrid>
      <w:tr w:rsidR="004055D8" w:rsidTr="002D37A2">
        <w:tc>
          <w:tcPr>
            <w:tcW w:w="7983" w:type="dxa"/>
            <w:shd w:val="clear" w:color="auto" w:fill="auto"/>
            <w:vAlign w:val="center"/>
          </w:tcPr>
          <w:p w:rsidR="006D474D" w:rsidRPr="007F3EA9" w:rsidRDefault="00EF4F22" w:rsidP="00DC3A18">
            <w:pPr>
              <w:pStyle w:val="CETEquation"/>
            </w:pPr>
            <w:r w:rsidRPr="00C00A4C">
              <w:rPr>
                <w:noProof/>
                <w:lang w:val="en-US"/>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151765</wp:posOffset>
                      </wp:positionV>
                      <wp:extent cx="500380" cy="0"/>
                      <wp:effectExtent l="0" t="76200" r="13970" b="114300"/>
                      <wp:wrapNone/>
                      <wp:docPr id="14" name="Straight Arrow Connector 14"/>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14" o:spid="_x0000_s1025" type="#_x0000_t32" style="width:39.4pt;height:0;margin-top:11.95pt;margin-left:66.35pt;mso-height-percent:0;mso-height-relative:margin;mso-width-percent:0;mso-width-relative:margin;mso-wrap-distance-bottom:0;mso-wrap-distance-left:9pt;mso-wrap-distance-right:9pt;mso-wrap-distance-top:0;mso-wrap-style:square;position:absolute;visibility:visible;z-index:251661312" strokecolor="black">
                      <v:stroke endarrow="open"/>
                    </v:shape>
                  </w:pict>
                </mc:Fallback>
              </mc:AlternateContent>
            </w:r>
            <w:r w:rsidR="00244A90" w:rsidRPr="00C00A4C">
              <w:rPr>
                <w:noProof/>
                <w:lang w:val="en-US"/>
              </w:rPr>
              <mc:AlternateContent>
                <mc:Choice Requires="wps">
                  <w:drawing>
                    <wp:anchor distT="0" distB="0" distL="114300" distR="114300" simplePos="0" relativeHeight="251658240" behindDoc="0" locked="0" layoutInCell="1" allowOverlap="1">
                      <wp:simplePos x="0" y="0"/>
                      <wp:positionH relativeFrom="column">
                        <wp:posOffset>871855</wp:posOffset>
                      </wp:positionH>
                      <wp:positionV relativeFrom="paragraph">
                        <wp:posOffset>-34290</wp:posOffset>
                      </wp:positionV>
                      <wp:extent cx="647700" cy="257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AE" w:rsidRPr="00244A90" w:rsidRDefault="00EF4F22" w:rsidP="00244A90">
                                  <w:pPr>
                                    <w:pStyle w:val="CETBodytext"/>
                                  </w:pPr>
                                  <w:r w:rsidRPr="00244A90">
                                    <w:t>SRB</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8.65pt;margin-top:-2.7pt;width:5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" filled="f" stroked="f" strokeweight=".5pt">
                      <v:textbox>
                        <w:txbxContent>
                          <w:p w:rsidR="004D34AE" w:rsidRPr="00244A90" w:rsidRDefault="00EF4F22" w:rsidP="00244A90">
                            <w:pPr>
                              <w:pStyle w:val="CETBodytext"/>
                            </w:pPr>
                            <w:r w:rsidRPr="00244A90">
                              <w:t>SRB</w:t>
                            </w:r>
                          </w:p>
                        </w:txbxContent>
                      </v:textbox>
                    </v:shape>
                  </w:pict>
                </mc:Fallback>
              </mc:AlternateContent>
            </w:r>
            <w:r w:rsidR="006D474D" w:rsidRPr="00F77866">
              <w:t>2CH</w:t>
            </w:r>
            <w:r w:rsidR="006D474D" w:rsidRPr="00F77866">
              <w:rPr>
                <w:vertAlign w:val="subscript"/>
              </w:rPr>
              <w:t>2</w:t>
            </w:r>
            <w:r w:rsidR="006D474D" w:rsidRPr="00F77866">
              <w:t>O + SO</w:t>
            </w:r>
            <w:r w:rsidR="006D474D" w:rsidRPr="00501B1C">
              <w:rPr>
                <w:vertAlign w:val="subscript"/>
              </w:rPr>
              <w:t>4</w:t>
            </w:r>
            <w:r w:rsidR="006D474D" w:rsidRPr="00501B1C">
              <w:rPr>
                <w:vertAlign w:val="superscript"/>
              </w:rPr>
              <w:t>2-</w:t>
            </w:r>
            <w:r w:rsidR="00244A90" w:rsidRPr="00501B1C">
              <w:t xml:space="preserve">                    </w:t>
            </w:r>
            <w:r w:rsidR="006D474D" w:rsidRPr="00501B1C">
              <w:t xml:space="preserve"> 2HCO</w:t>
            </w:r>
            <w:r w:rsidR="006D474D" w:rsidRPr="007F3EA9">
              <w:rPr>
                <w:vertAlign w:val="subscript"/>
              </w:rPr>
              <w:t>3</w:t>
            </w:r>
            <w:r w:rsidR="006D474D" w:rsidRPr="007F3EA9">
              <w:rPr>
                <w:vertAlign w:val="superscript"/>
              </w:rPr>
              <w:t>-</w:t>
            </w:r>
            <w:r w:rsidR="006D474D" w:rsidRPr="007F3EA9">
              <w:t xml:space="preserve"> + H</w:t>
            </w:r>
            <w:r w:rsidR="006D474D" w:rsidRPr="007F3EA9">
              <w:rPr>
                <w:vertAlign w:val="subscript"/>
              </w:rPr>
              <w:t>2</w:t>
            </w:r>
            <w:r w:rsidR="006D474D" w:rsidRPr="007F3EA9">
              <w:t>S</w:t>
            </w:r>
          </w:p>
        </w:tc>
        <w:tc>
          <w:tcPr>
            <w:tcW w:w="804" w:type="dxa"/>
            <w:shd w:val="clear" w:color="auto" w:fill="auto"/>
            <w:vAlign w:val="center"/>
          </w:tcPr>
          <w:p w:rsidR="006D474D" w:rsidRPr="00C00A4C" w:rsidRDefault="00EF4F22" w:rsidP="00DC3A18">
            <w:pPr>
              <w:pStyle w:val="CETEquation"/>
              <w:jc w:val="right"/>
            </w:pPr>
            <w:r w:rsidRPr="00C00A4C">
              <w:t>(2)</w:t>
            </w:r>
          </w:p>
        </w:tc>
      </w:tr>
      <w:tr w:rsidR="004055D8" w:rsidTr="002D37A2">
        <w:tc>
          <w:tcPr>
            <w:tcW w:w="7982" w:type="dxa"/>
            <w:shd w:val="clear" w:color="auto" w:fill="auto"/>
            <w:vAlign w:val="center"/>
          </w:tcPr>
          <w:p w:rsidR="00244A90" w:rsidRPr="00F77866" w:rsidRDefault="00EF4F22" w:rsidP="00DC3A18">
            <w:pPr>
              <w:pStyle w:val="CETEquation"/>
              <w:rPr>
                <w:vertAlign w:val="superscript"/>
              </w:rPr>
            </w:pPr>
            <w:r w:rsidRPr="00C00A4C">
              <w:rPr>
                <w:noProof/>
                <w:lang w:val="en-US"/>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142875</wp:posOffset>
                      </wp:positionV>
                      <wp:extent cx="500380" cy="0"/>
                      <wp:effectExtent l="0" t="76200" r="13970" b="114300"/>
                      <wp:wrapNone/>
                      <wp:docPr id="3" name="Straight Arrow Connector 3"/>
                      <wp:cNvGraphicFramePr/>
                      <a:graphic xmlns:a="http://schemas.openxmlformats.org/drawingml/2006/main">
                        <a:graphicData uri="http://schemas.microsoft.com/office/word/2010/wordprocessingShape">
                          <wps:wsp>
                            <wps:cNvCnPr/>
                            <wps:spPr>
                              <a:xfrm>
                                <a:off x="0" y="0"/>
                                <a:ext cx="5003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3" o:spid="_x0000_s1027" type="#_x0000_t32" style="width:39.4pt;height:0;margin-top:11.25pt;margin-left:46.5pt;mso-height-percent:0;mso-height-relative:margin;mso-width-percent:0;mso-width-relative:margin;mso-wrap-distance-bottom:0;mso-wrap-distance-left:9pt;mso-wrap-distance-right:9pt;mso-wrap-distance-top:0;mso-wrap-style:square;position:absolute;visibility:visible;z-index:251663360" strokecolor="black">
                      <v:stroke endarrow="open"/>
                    </v:shape>
                  </w:pict>
                </mc:Fallback>
              </mc:AlternateContent>
            </w:r>
            <w:r w:rsidRPr="00C00A4C">
              <w:rPr>
                <w:noProof/>
              </w:rPr>
              <w:t>H</w:t>
            </w:r>
            <w:r w:rsidRPr="00C00A4C">
              <w:rPr>
                <w:noProof/>
                <w:vertAlign w:val="subscript"/>
              </w:rPr>
              <w:t>2</w:t>
            </w:r>
            <w:r w:rsidRPr="00C00A4C">
              <w:rPr>
                <w:noProof/>
              </w:rPr>
              <w:t>S + M</w:t>
            </w:r>
            <w:r w:rsidRPr="00C00A4C">
              <w:rPr>
                <w:noProof/>
                <w:vertAlign w:val="superscript"/>
              </w:rPr>
              <w:t>2+</w:t>
            </w:r>
            <w:r w:rsidRPr="00C00A4C">
              <w:rPr>
                <w:noProof/>
              </w:rPr>
              <w:t xml:space="preserve">                     MS + 2H</w:t>
            </w:r>
            <w:r w:rsidRPr="00C00A4C">
              <w:rPr>
                <w:noProof/>
                <w:vertAlign w:val="superscript"/>
              </w:rPr>
              <w:t>+</w:t>
            </w:r>
          </w:p>
        </w:tc>
        <w:tc>
          <w:tcPr>
            <w:tcW w:w="805" w:type="dxa"/>
            <w:shd w:val="clear" w:color="auto" w:fill="auto"/>
            <w:vAlign w:val="center"/>
          </w:tcPr>
          <w:p w:rsidR="00244A90" w:rsidRPr="00C00A4C" w:rsidRDefault="00EF4F22" w:rsidP="00DC3A18">
            <w:pPr>
              <w:pStyle w:val="CETEquation"/>
              <w:jc w:val="right"/>
            </w:pPr>
            <w:r w:rsidRPr="00C00A4C">
              <w:t>(3)</w:t>
            </w:r>
          </w:p>
        </w:tc>
      </w:tr>
    </w:tbl>
    <w:p w:rsidR="00CC142C" w:rsidRDefault="00EF4F22" w:rsidP="00CC142C">
      <w:pPr>
        <w:pStyle w:val="CETBodytext"/>
        <w:rPr>
          <w:lang w:val="en-GB"/>
        </w:rPr>
      </w:pPr>
      <w:r w:rsidRPr="00C00A4C">
        <w:rPr>
          <w:lang w:val="en-GB"/>
        </w:rPr>
        <w:t>where M represents metals.</w:t>
      </w:r>
    </w:p>
    <w:p w:rsidR="000C4E6D" w:rsidRPr="00C00A4C" w:rsidRDefault="00FE58C5" w:rsidP="00BE6CC6">
      <w:pPr>
        <w:pStyle w:val="CETBodytext"/>
        <w:rPr>
          <w:lang w:val="en-GB"/>
        </w:rPr>
      </w:pPr>
      <w:r>
        <w:rPr>
          <w:lang w:val="en-GB"/>
        </w:rPr>
        <w:t xml:space="preserve">Most research that has been done so far has been focussed on metal removal in AMD. Those that focus on sulphate reduction are mostly conducted at optimum conditions and they mostly use simple compounds such as methanol, ethanol, lactate and acetate as substrates, which are costly. </w:t>
      </w:r>
      <w:r w:rsidR="00EF4F22" w:rsidRPr="00C00A4C">
        <w:rPr>
          <w:lang w:val="en-GB"/>
        </w:rPr>
        <w:t xml:space="preserve">Mintek has conducted </w:t>
      </w:r>
      <w:r w:rsidR="00EF4F22" w:rsidRPr="00290A8B">
        <w:rPr>
          <w:noProof/>
          <w:lang w:val="en-GB"/>
        </w:rPr>
        <w:t>bench</w:t>
      </w:r>
      <w:r w:rsidR="0061108A" w:rsidRPr="00290A8B">
        <w:rPr>
          <w:noProof/>
          <w:lang w:val="en-GB"/>
        </w:rPr>
        <w:t>-</w:t>
      </w:r>
      <w:r w:rsidR="00EF4F22" w:rsidRPr="00290A8B">
        <w:rPr>
          <w:noProof/>
          <w:lang w:val="en-GB"/>
        </w:rPr>
        <w:t>scale</w:t>
      </w:r>
      <w:r w:rsidR="00EF4F22" w:rsidRPr="00C00A4C">
        <w:rPr>
          <w:lang w:val="en-GB"/>
        </w:rPr>
        <w:t xml:space="preserve"> tests on biological sulphate reduction that led to the commissioning of a pilot plant at a coal mine in Mpumalanga province, South Africa </w:t>
      </w:r>
      <w:r w:rsidR="00EF4F22" w:rsidRPr="00C00A4C">
        <w:rPr>
          <w:lang w:val="en-GB"/>
        </w:rPr>
        <w:fldChar w:fldCharType="begin"/>
      </w:r>
      <w:r w:rsidR="00EF4F22" w:rsidRPr="00C00A4C">
        <w:rPr>
          <w:lang w:val="en-GB"/>
        </w:rPr>
        <w:instrText xml:space="preserve"> ADDIN EN.CITE &lt;EndNote&gt;&lt;Cite&gt;&lt;Author&gt;Neale&lt;/Author&gt;&lt;Year&gt;2017&lt;/Year&gt;&lt;RecNum&gt;19&lt;/RecNum&gt;&lt;DisplayText&gt;(Neale et al., 2017)&lt;/DisplayText&gt;&lt;record&gt;&lt;rec-number&gt;19&lt;/rec-number&gt;&lt;foreign-keys&gt;&lt;key app="EN" db-id="x0xrxsape2ae5ge5zwexzsz1a0fwdva5zvpe" timestamp="1525118377"&gt;19&lt;/key&gt;&lt;key app="ENWeb" db-id=""&gt;0&lt;/key&gt;&lt;/foreign-keys&gt;&lt;ref-type name="Journal Article"&gt;17&lt;/ref-type&gt;&lt;contributors&gt;&lt;authors&gt;&lt;author&gt;John William Neale &lt;/author&gt;&lt;author&gt;Heinrich Hagspihl Muller &lt;/author&gt;&lt;author&gt;Mariekie Gericke &lt;/author&gt;&lt;author&gt;Ritva Muhlbauer &lt;/author&gt;&lt;/authors&gt;&lt;/contributors&gt;&lt;titles&gt;&lt;title&gt;Low-Cost Biological Treatment of Metal- and Sulphate-Contaminated Mine Waters&lt;/title&gt;&lt;secondary-title&gt;International Mine Water Association&lt;/secondary-title&gt;&lt;/titles&gt;&lt;periodical&gt;&lt;full-title&gt;International Mine Water Association&lt;/full-title&gt;&lt;/periodical&gt;&lt;pages&gt;453 - 460&lt;/pages&gt;&lt;volume&gt;1&lt;/volume&gt;&lt;dates&gt;&lt;year&gt;2017&lt;/year&gt;&lt;/dates&gt;&lt;urls&gt;&lt;/urls&gt;&lt;/record&gt;&lt;/Cite&gt;&lt;/EndNote&gt;</w:instrText>
      </w:r>
      <w:r w:rsidR="00EF4F22" w:rsidRPr="00C00A4C">
        <w:rPr>
          <w:lang w:val="en-GB"/>
        </w:rPr>
        <w:fldChar w:fldCharType="separate"/>
      </w:r>
      <w:r w:rsidR="00EF4F22" w:rsidRPr="00C00A4C">
        <w:rPr>
          <w:noProof/>
          <w:lang w:val="en-GB"/>
        </w:rPr>
        <w:t>(Neale et al., 2017)</w:t>
      </w:r>
      <w:r w:rsidR="00EF4F22" w:rsidRPr="00C00A4C">
        <w:rPr>
          <w:lang w:val="en-GB"/>
        </w:rPr>
        <w:fldChar w:fldCharType="end"/>
      </w:r>
      <w:r w:rsidR="00EF4F22" w:rsidRPr="00C00A4C">
        <w:rPr>
          <w:lang w:val="en-GB"/>
        </w:rPr>
        <w:t xml:space="preserve">. It was observed that the amount of </w:t>
      </w:r>
      <w:r w:rsidR="00EF4F22" w:rsidRPr="0061108A">
        <w:rPr>
          <w:noProof/>
          <w:lang w:val="en-GB"/>
        </w:rPr>
        <w:t>lime</w:t>
      </w:r>
      <w:r w:rsidR="00EF4F22" w:rsidRPr="00C00A4C">
        <w:rPr>
          <w:lang w:val="en-GB"/>
        </w:rPr>
        <w:t xml:space="preserve"> needed to </w:t>
      </w:r>
      <w:r w:rsidR="00780F32">
        <w:rPr>
          <w:lang w:val="en-GB"/>
        </w:rPr>
        <w:t xml:space="preserve">adjust </w:t>
      </w:r>
      <w:r w:rsidR="00EF4F22" w:rsidRPr="00C00A4C">
        <w:rPr>
          <w:lang w:val="en-GB"/>
        </w:rPr>
        <w:t xml:space="preserve">AMD to </w:t>
      </w:r>
      <w:r w:rsidR="00DA4F9F">
        <w:rPr>
          <w:lang w:val="en-GB"/>
        </w:rPr>
        <w:t xml:space="preserve">a </w:t>
      </w:r>
      <w:r w:rsidR="00EF4F22" w:rsidRPr="00C00A4C">
        <w:rPr>
          <w:lang w:val="en-GB"/>
        </w:rPr>
        <w:t xml:space="preserve">comfortable pH (pH &gt; 5), is considerable and results in an excessive amount of sludge. It was also observed that during winter seasons the performance of the plant decreased. For this reason, the purpose of this study was to determine </w:t>
      </w:r>
      <w:r w:rsidR="00EF4F22" w:rsidRPr="00230049">
        <w:rPr>
          <w:lang w:val="en-GB"/>
        </w:rPr>
        <w:t>the</w:t>
      </w:r>
      <w:r w:rsidR="00230049" w:rsidRPr="00230049">
        <w:rPr>
          <w:lang w:val="en-GB"/>
        </w:rPr>
        <w:t xml:space="preserve"> effect of decreasing </w:t>
      </w:r>
      <w:r w:rsidR="00EF4F22" w:rsidRPr="00230049">
        <w:rPr>
          <w:lang w:val="en-GB"/>
        </w:rPr>
        <w:t>pH</w:t>
      </w:r>
      <w:r w:rsidR="00EF4F22" w:rsidRPr="00C00A4C">
        <w:rPr>
          <w:lang w:val="en-GB"/>
        </w:rPr>
        <w:t xml:space="preserve"> with the intention of minimising the amount of lime used in the </w:t>
      </w:r>
      <w:r w:rsidR="00F90706">
        <w:rPr>
          <w:lang w:val="en-GB"/>
        </w:rPr>
        <w:t>pH adjustment</w:t>
      </w:r>
      <w:r w:rsidR="00F90706" w:rsidRPr="00C00A4C">
        <w:rPr>
          <w:lang w:val="en-GB"/>
        </w:rPr>
        <w:t xml:space="preserve"> </w:t>
      </w:r>
      <w:r w:rsidR="00EF4F22" w:rsidRPr="00C00A4C">
        <w:rPr>
          <w:lang w:val="en-GB"/>
        </w:rPr>
        <w:t>step as well as to understand the process’ robustness with changing temperature.</w:t>
      </w:r>
      <w:r w:rsidR="00C177EF">
        <w:rPr>
          <w:lang w:val="en-GB"/>
        </w:rPr>
        <w:t xml:space="preserve"> </w:t>
      </w:r>
      <w:r w:rsidR="00EF4F22">
        <w:rPr>
          <w:lang w:val="en-GB"/>
        </w:rPr>
        <w:t>This study sheds new lig</w:t>
      </w:r>
      <w:r w:rsidR="001758AE">
        <w:rPr>
          <w:lang w:val="en-GB"/>
        </w:rPr>
        <w:t>ht to the BSR process and how it</w:t>
      </w:r>
      <w:r w:rsidR="00EF4F22">
        <w:rPr>
          <w:lang w:val="en-GB"/>
        </w:rPr>
        <w:t xml:space="preserve"> is likely to be impacted by environmental conditions</w:t>
      </w:r>
      <w:r w:rsidR="006A2A1A">
        <w:rPr>
          <w:lang w:val="en-GB"/>
        </w:rPr>
        <w:t xml:space="preserve"> while using complex organic compounds as substrates</w:t>
      </w:r>
      <w:r w:rsidR="000603CC">
        <w:rPr>
          <w:lang w:val="en-GB"/>
        </w:rPr>
        <w:t xml:space="preserve"> which </w:t>
      </w:r>
      <w:r w:rsidR="00E92C9B">
        <w:rPr>
          <w:lang w:val="en-GB"/>
        </w:rPr>
        <w:t>are</w:t>
      </w:r>
      <w:r w:rsidR="000603CC">
        <w:rPr>
          <w:lang w:val="en-GB"/>
        </w:rPr>
        <w:t xml:space="preserve"> </w:t>
      </w:r>
      <w:r w:rsidR="0076026B">
        <w:rPr>
          <w:lang w:val="en-GB"/>
        </w:rPr>
        <w:t xml:space="preserve">less expensive </w:t>
      </w:r>
      <w:r w:rsidR="0076026B">
        <w:rPr>
          <w:lang w:val="en-GB"/>
        </w:rPr>
        <w:fldChar w:fldCharType="begin"/>
      </w:r>
      <w:r w:rsidR="0076026B">
        <w:rPr>
          <w:lang w:val="en-GB"/>
        </w:rPr>
        <w:instrText xml:space="preserve"> ADDIN EN.CITE &lt;EndNote&gt;&lt;Cite&gt;&lt;Author&gt;Zagury&lt;/Author&gt;&lt;Year&gt;2007&lt;/Year&gt;&lt;RecNum&gt;34&lt;/RecNum&gt;&lt;DisplayText&gt;(Zagury et al., 2007)&lt;/DisplayText&gt;&lt;record&gt;&lt;rec-number&gt;34&lt;/rec-number&gt;&lt;foreign-keys&gt;&lt;key app="EN" db-id="x0xrxsape2ae5ge5zwexzsz1a0fwdva5zvpe" timestamp="1528301114"&gt;34&lt;/key&gt;&lt;/foreign-keys&gt;&lt;ref-type name="Journal Article"&gt;17&lt;/ref-type&gt;&lt;contributors&gt;&lt;authors&gt;&lt;author&gt;Zagury, GJ&lt;/author&gt;&lt;author&gt;Neculita, C&lt;/author&gt;&lt;author&gt;Bussiere, B&lt;/author&gt;&lt;/authors&gt;&lt;/contributors&gt;&lt;titles&gt;&lt;title&gt;Passive treatment of acid mine drainage in bioreactors: short review, applications, and research needs&lt;/title&gt;&lt;secondary-title&gt;Ottawa Geo2007&lt;/secondary-title&gt;&lt;/titles&gt;&lt;periodical&gt;&lt;full-title&gt;Ottawa Geo2007&lt;/full-title&gt;&lt;/periodical&gt;&lt;pages&gt;14439-14446&lt;/pages&gt;&lt;dates&gt;&lt;year&gt;2007&lt;/year&gt;&lt;/dates&gt;&lt;urls&gt;&lt;/urls&gt;&lt;/record&gt;&lt;/Cite&gt;&lt;/EndNote&gt;</w:instrText>
      </w:r>
      <w:r w:rsidR="0076026B">
        <w:rPr>
          <w:lang w:val="en-GB"/>
        </w:rPr>
        <w:fldChar w:fldCharType="separate"/>
      </w:r>
      <w:r w:rsidR="0076026B">
        <w:rPr>
          <w:noProof/>
          <w:lang w:val="en-GB"/>
        </w:rPr>
        <w:t>(Zagury et al., 2007)</w:t>
      </w:r>
      <w:r w:rsidR="0076026B">
        <w:rPr>
          <w:lang w:val="en-GB"/>
        </w:rPr>
        <w:fldChar w:fldCharType="end"/>
      </w:r>
      <w:r w:rsidR="00EF4F22">
        <w:rPr>
          <w:lang w:val="en-GB"/>
        </w:rPr>
        <w:t>.</w:t>
      </w:r>
      <w:r w:rsidR="001758AE">
        <w:rPr>
          <w:lang w:val="en-GB"/>
        </w:rPr>
        <w:t xml:space="preserve"> </w:t>
      </w:r>
    </w:p>
    <w:p w:rsidR="00A937BB" w:rsidRPr="00C00A4C" w:rsidRDefault="00EF4F22" w:rsidP="0071117D">
      <w:pPr>
        <w:pStyle w:val="CETHeading1"/>
        <w:rPr>
          <w:lang w:val="en-GB"/>
        </w:rPr>
      </w:pPr>
      <w:r w:rsidRPr="00C00A4C">
        <w:rPr>
          <w:lang w:val="en-GB"/>
        </w:rPr>
        <w:t>Materials and methods</w:t>
      </w:r>
    </w:p>
    <w:p w:rsidR="00F144D8" w:rsidRPr="00C00A4C" w:rsidRDefault="00EF4F22" w:rsidP="0071117D">
      <w:pPr>
        <w:pStyle w:val="CETheadingx"/>
        <w:rPr>
          <w:lang w:val="en-GB"/>
        </w:rPr>
      </w:pPr>
      <w:r w:rsidRPr="00C00A4C">
        <w:rPr>
          <w:lang w:val="en-GB"/>
        </w:rPr>
        <w:t>Acid Mine Drainage</w:t>
      </w:r>
    </w:p>
    <w:p w:rsidR="00DF573E" w:rsidRPr="00C00A4C" w:rsidRDefault="00EF4F22" w:rsidP="00F144D8">
      <w:pPr>
        <w:pStyle w:val="CETBodytext"/>
        <w:rPr>
          <w:lang w:val="en-GB"/>
        </w:rPr>
      </w:pPr>
      <w:r w:rsidRPr="00C00A4C">
        <w:rPr>
          <w:lang w:val="en-GB"/>
        </w:rPr>
        <w:t>The experiments were carried out using raw AMD from a coal mine in Mpumalanga province, South Africa</w:t>
      </w:r>
      <w:r w:rsidR="00AC2492" w:rsidRPr="00C00A4C">
        <w:rPr>
          <w:lang w:val="en-GB"/>
        </w:rPr>
        <w:t>.</w:t>
      </w:r>
      <w:r w:rsidR="00041406" w:rsidRPr="00C00A4C">
        <w:rPr>
          <w:lang w:val="en-GB"/>
        </w:rPr>
        <w:t xml:space="preserve"> </w:t>
      </w:r>
      <w:r w:rsidR="004C73B6" w:rsidRPr="00C00A4C">
        <w:rPr>
          <w:lang w:val="en-GB"/>
        </w:rPr>
        <w:t xml:space="preserve">Table 1 shows </w:t>
      </w:r>
      <w:r w:rsidR="004C73B6" w:rsidRPr="0002492A">
        <w:rPr>
          <w:lang w:val="en-GB"/>
        </w:rPr>
        <w:t xml:space="preserve">the </w:t>
      </w:r>
      <w:r w:rsidR="00B93EAF" w:rsidRPr="00485673">
        <w:rPr>
          <w:lang w:val="en-GB"/>
        </w:rPr>
        <w:t>typical composition of</w:t>
      </w:r>
      <w:r w:rsidR="00A95D29" w:rsidRPr="00485673">
        <w:rPr>
          <w:lang w:val="en-GB"/>
        </w:rPr>
        <w:t xml:space="preserve"> the</w:t>
      </w:r>
      <w:r w:rsidR="00A95D29" w:rsidRPr="00C00A4C">
        <w:rPr>
          <w:lang w:val="en-GB"/>
        </w:rPr>
        <w:t xml:space="preserve"> AMD discharged </w:t>
      </w:r>
      <w:r w:rsidR="00EB617D" w:rsidRPr="00C00A4C">
        <w:rPr>
          <w:lang w:val="en-GB"/>
        </w:rPr>
        <w:t>from the coal mine</w:t>
      </w:r>
      <w:r w:rsidR="00EA5217" w:rsidRPr="00C00A4C">
        <w:rPr>
          <w:lang w:val="en-GB"/>
        </w:rPr>
        <w:t xml:space="preserve"> and the allowable discharge </w:t>
      </w:r>
      <w:r w:rsidR="00B93EAF" w:rsidRPr="00C00A4C">
        <w:rPr>
          <w:lang w:val="en-GB"/>
        </w:rPr>
        <w:t>limits</w:t>
      </w:r>
      <w:r w:rsidR="004D0F5C">
        <w:rPr>
          <w:lang w:val="en-GB"/>
        </w:rPr>
        <w:t xml:space="preserve"> into a water source</w:t>
      </w:r>
      <w:r w:rsidR="004D0F5C" w:rsidRPr="00F77866">
        <w:rPr>
          <w:rStyle w:val="CommentReference"/>
          <w:lang w:val="en-GB"/>
        </w:rPr>
        <w:t xml:space="preserve"> </w:t>
      </w:r>
      <w:r w:rsidR="004D0F5C">
        <w:rPr>
          <w:rStyle w:val="CommentReference"/>
          <w:lang w:val="en-GB"/>
        </w:rPr>
        <w:t>i</w:t>
      </w:r>
      <w:r w:rsidR="00AD6E91" w:rsidRPr="00C00A4C">
        <w:rPr>
          <w:lang w:val="en-GB"/>
        </w:rPr>
        <w:t xml:space="preserve">n South Africa </w:t>
      </w:r>
      <w:r w:rsidR="00CC0DDC">
        <w:rPr>
          <w:lang w:val="en-GB"/>
        </w:rPr>
        <w:fldChar w:fldCharType="begin"/>
      </w:r>
      <w:r w:rsidR="00286E6F">
        <w:rPr>
          <w:lang w:val="en-GB"/>
        </w:rPr>
        <w:instrText xml:space="preserve"> ADDIN EN.CITE &lt;EndNote&gt;&lt;Cite&gt;&lt;Author&gt;DWAF&lt;/Author&gt;&lt;Year&gt;2013&lt;/Year&gt;&lt;RecNum&gt;81&lt;/RecNum&gt;&lt;DisplayText&gt;(DWAF, 2013)&lt;/DisplayText&gt;&lt;record&gt;&lt;rec-number&gt;81&lt;/rec-number&gt;&lt;foreign-keys&gt;&lt;key app="EN" db-id="x0xrxsape2ae5ge5zwexzsz1a0fwdva5zvpe" timestamp="1548709702"&gt;81&lt;/key&gt;&lt;/foreign-keys&gt;&lt;ref-type name="Journal Article"&gt;17&lt;/ref-type&gt;&lt;contributors&gt;&lt;authors&gt;&lt;author&gt;DWAF&lt;/author&gt;&lt;/authors&gt;&lt;/contributors&gt;&lt;titles&gt;&lt;title&gt;Revision of general authorisations in terms of Section 39 of the National Water Act, 1998 (Act No. 36 of 1998), No. 665&lt;/title&gt;&lt;secondary-title&gt;Government Gazette&lt;/secondary-title&gt;&lt;/titles&gt;&lt;periodical&gt;&lt;full-title&gt;Government Gazette&lt;/full-title&gt;&lt;/periodical&gt;&lt;number&gt;36820&lt;/number&gt;&lt;dates&gt;&lt;year&gt;2013&lt;/year&gt;&lt;/dates&gt;&lt;urls&gt;&lt;/urls&gt;&lt;/record&gt;&lt;/Cite&gt;&lt;/EndNote&gt;</w:instrText>
      </w:r>
      <w:r w:rsidR="00CC0DDC">
        <w:rPr>
          <w:lang w:val="en-GB"/>
        </w:rPr>
        <w:fldChar w:fldCharType="separate"/>
      </w:r>
      <w:r w:rsidR="00CC0DDC">
        <w:rPr>
          <w:noProof/>
          <w:lang w:val="en-GB"/>
        </w:rPr>
        <w:t>(DWAF, 2013)</w:t>
      </w:r>
      <w:r w:rsidR="00CC0DDC">
        <w:rPr>
          <w:lang w:val="en-GB"/>
        </w:rPr>
        <w:fldChar w:fldCharType="end"/>
      </w:r>
      <w:r w:rsidR="00F26DB4">
        <w:rPr>
          <w:lang w:val="en-GB"/>
        </w:rPr>
        <w:t>.</w:t>
      </w:r>
    </w:p>
    <w:p w:rsidR="004C73B6" w:rsidRPr="00501B1C" w:rsidRDefault="00EF4F22" w:rsidP="004C73B6">
      <w:pPr>
        <w:pStyle w:val="CETTabletitle"/>
      </w:pPr>
      <w:r w:rsidRPr="00F77866">
        <w:t xml:space="preserve">Table 1: </w:t>
      </w:r>
      <w:r w:rsidR="00B93EAF" w:rsidRPr="00F77866">
        <w:t>Typical AMD composition</w:t>
      </w:r>
      <w:r w:rsidR="002928BB" w:rsidRPr="00F77866">
        <w:t xml:space="preserve"> from</w:t>
      </w:r>
      <w:r w:rsidR="002928BB" w:rsidRPr="00501B1C">
        <w:t xml:space="preserve"> coal mine</w:t>
      </w:r>
      <w:r w:rsidR="00B93EAF" w:rsidRPr="00501B1C">
        <w:t xml:space="preserve"> and allowable discharge limits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9"/>
        <w:gridCol w:w="1089"/>
        <w:gridCol w:w="1079"/>
        <w:gridCol w:w="1106"/>
        <w:gridCol w:w="1101"/>
        <w:gridCol w:w="1101"/>
        <w:gridCol w:w="1096"/>
        <w:gridCol w:w="1096"/>
      </w:tblGrid>
      <w:tr w:rsidR="004055D8" w:rsidTr="007D10AD">
        <w:tc>
          <w:tcPr>
            <w:tcW w:w="1119" w:type="dxa"/>
            <w:tcBorders>
              <w:top w:val="single" w:sz="12" w:space="0" w:color="008000"/>
              <w:bottom w:val="single" w:sz="4" w:space="0" w:color="008000"/>
            </w:tcBorders>
            <w:shd w:val="clear" w:color="auto" w:fill="FFFFFF"/>
          </w:tcPr>
          <w:p w:rsidR="007E1301" w:rsidRPr="009B3E08" w:rsidRDefault="00EF4F22" w:rsidP="00DC3A18">
            <w:pPr>
              <w:pStyle w:val="CETBodytext"/>
              <w:rPr>
                <w:lang w:val="en-GB"/>
              </w:rPr>
            </w:pPr>
            <w:r w:rsidRPr="009B3E08">
              <w:rPr>
                <w:lang w:val="en-GB"/>
              </w:rPr>
              <w:t xml:space="preserve">Parameter </w:t>
            </w:r>
          </w:p>
        </w:tc>
        <w:tc>
          <w:tcPr>
            <w:tcW w:w="1089" w:type="dxa"/>
            <w:tcBorders>
              <w:top w:val="single" w:sz="12" w:space="0" w:color="008000"/>
              <w:bottom w:val="single" w:sz="4" w:space="0" w:color="008000"/>
            </w:tcBorders>
            <w:shd w:val="clear" w:color="auto" w:fill="FFFFFF"/>
          </w:tcPr>
          <w:p w:rsidR="007E1301" w:rsidRPr="00E03A3A" w:rsidRDefault="00EF4F22" w:rsidP="00DC3A18">
            <w:pPr>
              <w:pStyle w:val="CETBodytext"/>
              <w:rPr>
                <w:lang w:val="en-GB"/>
              </w:rPr>
            </w:pPr>
            <w:r w:rsidRPr="00E03A3A">
              <w:rPr>
                <w:lang w:val="en-GB"/>
              </w:rPr>
              <w:t>pH</w:t>
            </w:r>
          </w:p>
          <w:p w:rsidR="00E04F9F" w:rsidRPr="00E03A3A" w:rsidRDefault="00E04F9F" w:rsidP="00DC3A18">
            <w:pPr>
              <w:pStyle w:val="CETBodytext"/>
              <w:rPr>
                <w:lang w:val="en-GB"/>
              </w:rPr>
            </w:pPr>
          </w:p>
        </w:tc>
        <w:tc>
          <w:tcPr>
            <w:tcW w:w="1079" w:type="dxa"/>
            <w:tcBorders>
              <w:top w:val="single" w:sz="12" w:space="0" w:color="008000"/>
              <w:bottom w:val="single" w:sz="4" w:space="0" w:color="008000"/>
            </w:tcBorders>
            <w:shd w:val="clear" w:color="auto" w:fill="FFFFFF"/>
          </w:tcPr>
          <w:p w:rsidR="007E1301" w:rsidRPr="00E03A3A" w:rsidRDefault="00EF4F22" w:rsidP="00DC3A18">
            <w:pPr>
              <w:pStyle w:val="CETBodytext"/>
              <w:rPr>
                <w:vertAlign w:val="superscript"/>
                <w:lang w:val="en-GB"/>
              </w:rPr>
            </w:pPr>
            <w:r w:rsidRPr="00E03A3A">
              <w:rPr>
                <w:lang w:val="en-GB"/>
              </w:rPr>
              <w:t>SO</w:t>
            </w:r>
            <w:r w:rsidRPr="00E03A3A">
              <w:rPr>
                <w:vertAlign w:val="subscript"/>
                <w:lang w:val="en-GB"/>
              </w:rPr>
              <w:t>4</w:t>
            </w:r>
            <w:r w:rsidRPr="00E03A3A">
              <w:rPr>
                <w:vertAlign w:val="superscript"/>
                <w:lang w:val="en-GB"/>
              </w:rPr>
              <w:t>2-</w:t>
            </w:r>
          </w:p>
          <w:p w:rsidR="00E04F9F" w:rsidRPr="00E03A3A" w:rsidRDefault="00EF4F22" w:rsidP="00DC3A18">
            <w:pPr>
              <w:pStyle w:val="CETBodytext"/>
              <w:rPr>
                <w:lang w:val="en-GB"/>
              </w:rPr>
            </w:pPr>
            <w:r w:rsidRPr="00E03A3A">
              <w:rPr>
                <w:lang w:val="en-GB"/>
              </w:rPr>
              <w:t>mg/L</w:t>
            </w:r>
          </w:p>
        </w:tc>
        <w:tc>
          <w:tcPr>
            <w:tcW w:w="1106" w:type="dxa"/>
            <w:tcBorders>
              <w:top w:val="single" w:sz="12" w:space="0" w:color="008000"/>
              <w:bottom w:val="single" w:sz="4" w:space="0" w:color="008000"/>
            </w:tcBorders>
            <w:shd w:val="clear" w:color="auto" w:fill="FFFFFF"/>
          </w:tcPr>
          <w:p w:rsidR="007E1301" w:rsidRPr="006804CD" w:rsidRDefault="00EF4F22" w:rsidP="00DC3A18">
            <w:pPr>
              <w:pStyle w:val="CETBodytext"/>
              <w:rPr>
                <w:lang w:val="en-GB"/>
              </w:rPr>
            </w:pPr>
            <w:r w:rsidRPr="007D0677">
              <w:rPr>
                <w:lang w:val="en-GB"/>
              </w:rPr>
              <w:t>Mg</w:t>
            </w:r>
          </w:p>
          <w:p w:rsidR="00E04F9F" w:rsidRPr="006804CD" w:rsidRDefault="00EF4F22" w:rsidP="00DC3A18">
            <w:pPr>
              <w:pStyle w:val="CETBodytext"/>
              <w:rPr>
                <w:lang w:val="en-GB"/>
              </w:rPr>
            </w:pPr>
            <w:r w:rsidRPr="006804CD">
              <w:rPr>
                <w:lang w:val="en-GB"/>
              </w:rPr>
              <w:t>mg/L</w:t>
            </w:r>
          </w:p>
        </w:tc>
        <w:tc>
          <w:tcPr>
            <w:tcW w:w="1101" w:type="dxa"/>
            <w:tcBorders>
              <w:top w:val="single" w:sz="12" w:space="0" w:color="008000"/>
              <w:bottom w:val="single" w:sz="4" w:space="0" w:color="008000"/>
            </w:tcBorders>
            <w:shd w:val="clear" w:color="auto" w:fill="FFFFFF"/>
          </w:tcPr>
          <w:p w:rsidR="007E1301" w:rsidRPr="00D203A1" w:rsidRDefault="00EF4F22" w:rsidP="00DC3A18">
            <w:pPr>
              <w:pStyle w:val="CETBodytext"/>
              <w:rPr>
                <w:lang w:val="en-GB"/>
              </w:rPr>
            </w:pPr>
            <w:r w:rsidRPr="003F4D31">
              <w:rPr>
                <w:lang w:val="en-GB"/>
              </w:rPr>
              <w:t>Al</w:t>
            </w:r>
          </w:p>
          <w:p w:rsidR="00E04F9F" w:rsidRPr="00D203A1" w:rsidRDefault="00EF4F22" w:rsidP="00DC3A18">
            <w:pPr>
              <w:pStyle w:val="CETBodytext"/>
              <w:rPr>
                <w:lang w:val="en-GB"/>
              </w:rPr>
            </w:pPr>
            <w:r w:rsidRPr="00D203A1">
              <w:rPr>
                <w:lang w:val="en-GB"/>
              </w:rPr>
              <w:t>mg/L</w:t>
            </w:r>
          </w:p>
        </w:tc>
        <w:tc>
          <w:tcPr>
            <w:tcW w:w="1101" w:type="dxa"/>
            <w:tcBorders>
              <w:top w:val="single" w:sz="12" w:space="0" w:color="008000"/>
              <w:bottom w:val="single" w:sz="4" w:space="0" w:color="008000"/>
            </w:tcBorders>
            <w:shd w:val="clear" w:color="auto" w:fill="FFFFFF"/>
          </w:tcPr>
          <w:p w:rsidR="007E1301" w:rsidRPr="00D203A1" w:rsidRDefault="00EF4F22" w:rsidP="00DC3A18">
            <w:pPr>
              <w:pStyle w:val="CETBodytext"/>
              <w:ind w:right="-1"/>
              <w:rPr>
                <w:rFonts w:cs="Arial"/>
                <w:szCs w:val="18"/>
                <w:lang w:val="en-GB"/>
              </w:rPr>
            </w:pPr>
            <w:r w:rsidRPr="00D203A1">
              <w:rPr>
                <w:rFonts w:cs="Arial"/>
                <w:szCs w:val="18"/>
                <w:lang w:val="en-GB"/>
              </w:rPr>
              <w:t>Mn</w:t>
            </w:r>
          </w:p>
          <w:p w:rsidR="00E04F9F" w:rsidRPr="00D203A1" w:rsidRDefault="00EF4F22" w:rsidP="00DC3A18">
            <w:pPr>
              <w:pStyle w:val="CETBodytext"/>
              <w:ind w:right="-1"/>
              <w:rPr>
                <w:rFonts w:cs="Arial"/>
                <w:szCs w:val="18"/>
                <w:lang w:val="en-GB"/>
              </w:rPr>
            </w:pPr>
            <w:r w:rsidRPr="00D203A1">
              <w:rPr>
                <w:lang w:val="en-GB"/>
              </w:rPr>
              <w:t>mg/L</w:t>
            </w:r>
          </w:p>
        </w:tc>
        <w:tc>
          <w:tcPr>
            <w:tcW w:w="1096" w:type="dxa"/>
            <w:tcBorders>
              <w:top w:val="single" w:sz="12" w:space="0" w:color="008000"/>
              <w:bottom w:val="single" w:sz="4" w:space="0" w:color="008000"/>
            </w:tcBorders>
            <w:shd w:val="clear" w:color="auto" w:fill="FFFFFF"/>
          </w:tcPr>
          <w:p w:rsidR="007E1301" w:rsidRPr="00F77866" w:rsidRDefault="00EF4F22" w:rsidP="00DC3A18">
            <w:pPr>
              <w:pStyle w:val="CETBodytext"/>
              <w:ind w:right="-1"/>
              <w:rPr>
                <w:rFonts w:cs="Arial"/>
                <w:szCs w:val="18"/>
                <w:lang w:val="en-GB"/>
              </w:rPr>
            </w:pPr>
            <w:r w:rsidRPr="00F77866">
              <w:rPr>
                <w:rFonts w:cs="Arial"/>
                <w:szCs w:val="18"/>
                <w:lang w:val="en-GB"/>
              </w:rPr>
              <w:t>Cu</w:t>
            </w:r>
          </w:p>
          <w:p w:rsidR="00E04F9F" w:rsidRPr="00F77866" w:rsidRDefault="00EF4F22" w:rsidP="00DC3A18">
            <w:pPr>
              <w:pStyle w:val="CETBodytext"/>
              <w:ind w:right="-1"/>
              <w:rPr>
                <w:rFonts w:cs="Arial"/>
                <w:szCs w:val="18"/>
                <w:lang w:val="en-GB"/>
              </w:rPr>
            </w:pPr>
            <w:r w:rsidRPr="00F77866">
              <w:rPr>
                <w:lang w:val="en-GB"/>
              </w:rPr>
              <w:t>mg/L</w:t>
            </w:r>
          </w:p>
        </w:tc>
        <w:tc>
          <w:tcPr>
            <w:tcW w:w="1096" w:type="dxa"/>
            <w:tcBorders>
              <w:top w:val="single" w:sz="12" w:space="0" w:color="008000"/>
              <w:bottom w:val="single" w:sz="4" w:space="0" w:color="008000"/>
            </w:tcBorders>
            <w:shd w:val="clear" w:color="auto" w:fill="FFFFFF"/>
          </w:tcPr>
          <w:p w:rsidR="007E1301" w:rsidRPr="00F77866" w:rsidRDefault="00EF4F22" w:rsidP="00DC3A18">
            <w:pPr>
              <w:pStyle w:val="CETBodytext"/>
              <w:ind w:right="-1"/>
              <w:rPr>
                <w:rFonts w:cs="Arial"/>
                <w:szCs w:val="18"/>
                <w:lang w:val="en-GB"/>
              </w:rPr>
            </w:pPr>
            <w:r w:rsidRPr="00F77866">
              <w:rPr>
                <w:rFonts w:cs="Arial"/>
                <w:szCs w:val="18"/>
                <w:lang w:val="en-GB"/>
              </w:rPr>
              <w:t>Zn</w:t>
            </w:r>
          </w:p>
          <w:p w:rsidR="00E04F9F" w:rsidRPr="00F77866" w:rsidRDefault="00EF4F22" w:rsidP="00DC3A18">
            <w:pPr>
              <w:pStyle w:val="CETBodytext"/>
              <w:ind w:right="-1"/>
              <w:rPr>
                <w:rFonts w:cs="Arial"/>
                <w:szCs w:val="18"/>
                <w:lang w:val="en-GB"/>
              </w:rPr>
            </w:pPr>
            <w:r w:rsidRPr="00F77866">
              <w:rPr>
                <w:lang w:val="en-GB"/>
              </w:rPr>
              <w:t>mg/L</w:t>
            </w:r>
          </w:p>
        </w:tc>
      </w:tr>
      <w:tr w:rsidR="004055D8" w:rsidTr="007D10AD">
        <w:tc>
          <w:tcPr>
            <w:tcW w:w="1119" w:type="dxa"/>
            <w:tcBorders>
              <w:top w:val="single" w:sz="4" w:space="0" w:color="008000"/>
              <w:bottom w:val="single" w:sz="6" w:space="0" w:color="008000"/>
            </w:tcBorders>
            <w:shd w:val="clear" w:color="auto" w:fill="FFFFFF"/>
          </w:tcPr>
          <w:p w:rsidR="007E1301" w:rsidRPr="00F77866" w:rsidRDefault="00EF4F22" w:rsidP="00DC3A18">
            <w:pPr>
              <w:pStyle w:val="CETBodytext"/>
              <w:rPr>
                <w:lang w:val="en-GB"/>
              </w:rPr>
            </w:pPr>
            <w:r w:rsidRPr="00F77866">
              <w:rPr>
                <w:lang w:val="en-GB"/>
              </w:rPr>
              <w:t>Value</w:t>
            </w:r>
            <w:r w:rsidR="00E04F9F" w:rsidRPr="00F77866">
              <w:rPr>
                <w:lang w:val="en-GB"/>
              </w:rPr>
              <w:t xml:space="preserve"> </w:t>
            </w:r>
          </w:p>
        </w:tc>
        <w:tc>
          <w:tcPr>
            <w:tcW w:w="1089" w:type="dxa"/>
            <w:tcBorders>
              <w:top w:val="single" w:sz="4" w:space="0" w:color="008000"/>
              <w:bottom w:val="single" w:sz="6" w:space="0" w:color="008000"/>
            </w:tcBorders>
            <w:shd w:val="clear" w:color="auto" w:fill="FFFFFF"/>
          </w:tcPr>
          <w:p w:rsidR="007E1301" w:rsidRPr="00F77866" w:rsidRDefault="00EF4F22" w:rsidP="00DC3A18">
            <w:pPr>
              <w:pStyle w:val="CETBodytext"/>
              <w:rPr>
                <w:lang w:val="en-GB"/>
              </w:rPr>
            </w:pPr>
            <w:r w:rsidRPr="00F77866">
              <w:rPr>
                <w:lang w:val="en-GB"/>
              </w:rPr>
              <w:t>3</w:t>
            </w:r>
          </w:p>
        </w:tc>
        <w:tc>
          <w:tcPr>
            <w:tcW w:w="1079" w:type="dxa"/>
            <w:tcBorders>
              <w:top w:val="single" w:sz="4" w:space="0" w:color="008000"/>
              <w:bottom w:val="single" w:sz="6" w:space="0" w:color="008000"/>
            </w:tcBorders>
            <w:shd w:val="clear" w:color="auto" w:fill="FFFFFF"/>
          </w:tcPr>
          <w:p w:rsidR="007E1301" w:rsidRPr="00F77866" w:rsidRDefault="00EF4F22" w:rsidP="00DC3A18">
            <w:pPr>
              <w:pStyle w:val="CETBodytext"/>
              <w:rPr>
                <w:lang w:val="en-GB"/>
              </w:rPr>
            </w:pPr>
            <w:r w:rsidRPr="00F77866">
              <w:rPr>
                <w:lang w:val="en-GB"/>
              </w:rPr>
              <w:t>3000</w:t>
            </w:r>
          </w:p>
        </w:tc>
        <w:tc>
          <w:tcPr>
            <w:tcW w:w="1106" w:type="dxa"/>
            <w:tcBorders>
              <w:top w:val="single" w:sz="4" w:space="0" w:color="008000"/>
              <w:bottom w:val="single" w:sz="6" w:space="0" w:color="008000"/>
            </w:tcBorders>
            <w:shd w:val="clear" w:color="auto" w:fill="FFFFFF"/>
          </w:tcPr>
          <w:p w:rsidR="007E1301" w:rsidRPr="00F77866" w:rsidRDefault="00EF4F22" w:rsidP="00DC3A18">
            <w:pPr>
              <w:pStyle w:val="CETBodytext"/>
              <w:rPr>
                <w:lang w:val="en-GB"/>
              </w:rPr>
            </w:pPr>
            <w:r w:rsidRPr="00F77866">
              <w:rPr>
                <w:lang w:val="en-GB"/>
              </w:rPr>
              <w:t>204.62</w:t>
            </w:r>
          </w:p>
        </w:tc>
        <w:tc>
          <w:tcPr>
            <w:tcW w:w="1101" w:type="dxa"/>
            <w:tcBorders>
              <w:top w:val="single" w:sz="4" w:space="0" w:color="008000"/>
              <w:bottom w:val="single" w:sz="6" w:space="0" w:color="008000"/>
            </w:tcBorders>
            <w:shd w:val="clear" w:color="auto" w:fill="FFFFFF"/>
          </w:tcPr>
          <w:p w:rsidR="007E1301" w:rsidRPr="00F77866" w:rsidRDefault="00EF4F22" w:rsidP="00DC3A18">
            <w:pPr>
              <w:pStyle w:val="CETBodytext"/>
              <w:rPr>
                <w:lang w:val="en-GB"/>
              </w:rPr>
            </w:pPr>
            <w:r w:rsidRPr="00F77866">
              <w:rPr>
                <w:lang w:val="en-GB"/>
              </w:rPr>
              <w:t>61.79</w:t>
            </w:r>
          </w:p>
        </w:tc>
        <w:tc>
          <w:tcPr>
            <w:tcW w:w="1101" w:type="dxa"/>
            <w:tcBorders>
              <w:top w:val="single" w:sz="4" w:space="0" w:color="008000"/>
              <w:bottom w:val="single" w:sz="6" w:space="0" w:color="008000"/>
            </w:tcBorders>
            <w:shd w:val="clear" w:color="auto" w:fill="FFFFFF"/>
          </w:tcPr>
          <w:p w:rsidR="007E1301" w:rsidRPr="00F77866" w:rsidRDefault="00EF4F22" w:rsidP="00DC3A18">
            <w:pPr>
              <w:pStyle w:val="CETBodytext"/>
              <w:ind w:right="-1"/>
              <w:rPr>
                <w:rFonts w:cs="Arial"/>
                <w:szCs w:val="18"/>
                <w:lang w:val="en-GB"/>
              </w:rPr>
            </w:pPr>
            <w:r w:rsidRPr="00F77866">
              <w:rPr>
                <w:rFonts w:cs="Arial"/>
                <w:szCs w:val="18"/>
                <w:lang w:val="en-GB"/>
              </w:rPr>
              <w:t>28.84</w:t>
            </w:r>
          </w:p>
        </w:tc>
        <w:tc>
          <w:tcPr>
            <w:tcW w:w="1096" w:type="dxa"/>
            <w:tcBorders>
              <w:top w:val="single" w:sz="4" w:space="0" w:color="008000"/>
              <w:bottom w:val="single" w:sz="6" w:space="0" w:color="008000"/>
            </w:tcBorders>
            <w:shd w:val="clear" w:color="auto" w:fill="FFFFFF"/>
          </w:tcPr>
          <w:p w:rsidR="007E1301" w:rsidRPr="00F77866" w:rsidRDefault="00EF4F22" w:rsidP="00DC3A18">
            <w:pPr>
              <w:pStyle w:val="CETBodytext"/>
              <w:ind w:right="-1"/>
              <w:rPr>
                <w:rFonts w:cs="Arial"/>
                <w:szCs w:val="18"/>
                <w:lang w:val="en-GB"/>
              </w:rPr>
            </w:pPr>
            <w:r w:rsidRPr="00F77866">
              <w:rPr>
                <w:rFonts w:cs="Arial"/>
                <w:szCs w:val="18"/>
                <w:lang w:val="en-GB"/>
              </w:rPr>
              <w:t>3.24</w:t>
            </w:r>
          </w:p>
        </w:tc>
        <w:tc>
          <w:tcPr>
            <w:tcW w:w="1096" w:type="dxa"/>
            <w:tcBorders>
              <w:top w:val="single" w:sz="4" w:space="0" w:color="008000"/>
              <w:bottom w:val="single" w:sz="6" w:space="0" w:color="008000"/>
            </w:tcBorders>
            <w:shd w:val="clear" w:color="auto" w:fill="FFFFFF"/>
          </w:tcPr>
          <w:p w:rsidR="007E1301" w:rsidRPr="00F77866" w:rsidRDefault="00EF4F22" w:rsidP="00DC3A18">
            <w:pPr>
              <w:pStyle w:val="CETBodytext"/>
              <w:ind w:right="-1"/>
              <w:rPr>
                <w:rFonts w:cs="Arial"/>
                <w:szCs w:val="18"/>
                <w:lang w:val="en-GB"/>
              </w:rPr>
            </w:pPr>
            <w:r w:rsidRPr="00F77866">
              <w:rPr>
                <w:rFonts w:cs="Arial"/>
                <w:szCs w:val="18"/>
                <w:lang w:val="en-GB"/>
              </w:rPr>
              <w:t>2.21</w:t>
            </w:r>
          </w:p>
        </w:tc>
      </w:tr>
      <w:tr w:rsidR="004055D8" w:rsidTr="007D10AD">
        <w:tc>
          <w:tcPr>
            <w:tcW w:w="1119" w:type="dxa"/>
            <w:shd w:val="clear" w:color="auto" w:fill="FFFFFF"/>
          </w:tcPr>
          <w:p w:rsidR="007E1301" w:rsidRPr="00E03A3A" w:rsidRDefault="00EF4F22" w:rsidP="008E08FC">
            <w:pPr>
              <w:pStyle w:val="CETBodytext"/>
              <w:rPr>
                <w:lang w:val="en-GB"/>
              </w:rPr>
            </w:pPr>
            <w:r w:rsidRPr="00485673">
              <w:rPr>
                <w:lang w:val="en-GB"/>
              </w:rPr>
              <w:t>Value</w:t>
            </w:r>
            <w:r w:rsidR="004D0F5C" w:rsidRPr="00485673">
              <w:rPr>
                <w:vertAlign w:val="superscript"/>
                <w:lang w:val="en-GB"/>
              </w:rPr>
              <w:t>1</w:t>
            </w:r>
            <w:r w:rsidR="00E04F9F" w:rsidRPr="00E03A3A">
              <w:rPr>
                <w:lang w:val="en-GB"/>
              </w:rPr>
              <w:t xml:space="preserve"> </w:t>
            </w:r>
          </w:p>
        </w:tc>
        <w:tc>
          <w:tcPr>
            <w:tcW w:w="1089" w:type="dxa"/>
            <w:shd w:val="clear" w:color="auto" w:fill="FFFFFF"/>
          </w:tcPr>
          <w:p w:rsidR="007E1301" w:rsidRPr="00E03A3A" w:rsidRDefault="00EF4F22" w:rsidP="00DC3A18">
            <w:pPr>
              <w:pStyle w:val="CETBodytext"/>
              <w:rPr>
                <w:lang w:val="en-GB"/>
              </w:rPr>
            </w:pPr>
            <w:r w:rsidRPr="00E03A3A">
              <w:rPr>
                <w:lang w:val="en-GB"/>
              </w:rPr>
              <w:t>5.5-9.5</w:t>
            </w:r>
          </w:p>
        </w:tc>
        <w:tc>
          <w:tcPr>
            <w:tcW w:w="1079" w:type="dxa"/>
            <w:shd w:val="clear" w:color="auto" w:fill="FFFFFF"/>
          </w:tcPr>
          <w:p w:rsidR="007E1301" w:rsidRPr="00E03A3A" w:rsidRDefault="00EF4F22" w:rsidP="00DC3A18">
            <w:pPr>
              <w:pStyle w:val="CETBodytext"/>
              <w:rPr>
                <w:lang w:val="en-GB"/>
              </w:rPr>
            </w:pPr>
            <w:r w:rsidRPr="00E03A3A">
              <w:rPr>
                <w:lang w:val="en-GB"/>
              </w:rPr>
              <w:t>200-600</w:t>
            </w:r>
          </w:p>
        </w:tc>
        <w:tc>
          <w:tcPr>
            <w:tcW w:w="1106" w:type="dxa"/>
            <w:shd w:val="clear" w:color="auto" w:fill="FFFFFF"/>
          </w:tcPr>
          <w:p w:rsidR="007E1301" w:rsidRPr="007D0677" w:rsidRDefault="00EF4F22" w:rsidP="00DC3A18">
            <w:pPr>
              <w:pStyle w:val="CETBodytext"/>
              <w:rPr>
                <w:lang w:val="en-GB"/>
              </w:rPr>
            </w:pPr>
            <w:r>
              <w:rPr>
                <w:lang w:val="en-GB"/>
              </w:rPr>
              <w:t>100</w:t>
            </w:r>
          </w:p>
        </w:tc>
        <w:tc>
          <w:tcPr>
            <w:tcW w:w="1101" w:type="dxa"/>
            <w:shd w:val="clear" w:color="auto" w:fill="FFFFFF"/>
          </w:tcPr>
          <w:p w:rsidR="007E1301" w:rsidRPr="006804CD" w:rsidRDefault="00EF4F22" w:rsidP="00DC3A18">
            <w:pPr>
              <w:pStyle w:val="CETBodytext"/>
              <w:rPr>
                <w:lang w:val="en-GB"/>
              </w:rPr>
            </w:pPr>
            <w:r>
              <w:rPr>
                <w:lang w:val="en-GB"/>
              </w:rPr>
              <w:t>0.1</w:t>
            </w:r>
          </w:p>
        </w:tc>
        <w:tc>
          <w:tcPr>
            <w:tcW w:w="1101" w:type="dxa"/>
            <w:shd w:val="clear" w:color="auto" w:fill="FFFFFF"/>
          </w:tcPr>
          <w:p w:rsidR="007E1301" w:rsidRPr="006804CD" w:rsidRDefault="00EF4F22" w:rsidP="00DC3A18">
            <w:pPr>
              <w:pStyle w:val="CETBodytext"/>
              <w:ind w:right="-1"/>
              <w:rPr>
                <w:rFonts w:cs="Arial"/>
                <w:szCs w:val="18"/>
                <w:lang w:val="en-GB"/>
              </w:rPr>
            </w:pPr>
            <w:r w:rsidRPr="006804CD">
              <w:rPr>
                <w:rFonts w:cs="Arial"/>
                <w:szCs w:val="18"/>
                <w:lang w:val="en-GB"/>
              </w:rPr>
              <w:t>0.1</w:t>
            </w:r>
          </w:p>
        </w:tc>
        <w:tc>
          <w:tcPr>
            <w:tcW w:w="1096" w:type="dxa"/>
            <w:shd w:val="clear" w:color="auto" w:fill="FFFFFF"/>
          </w:tcPr>
          <w:p w:rsidR="007E1301" w:rsidRPr="00D203A1" w:rsidRDefault="00EF4F22" w:rsidP="00DC3A18">
            <w:pPr>
              <w:pStyle w:val="CETBodytext"/>
              <w:ind w:right="-1"/>
              <w:rPr>
                <w:rFonts w:cs="Arial"/>
                <w:szCs w:val="18"/>
                <w:lang w:val="en-GB"/>
              </w:rPr>
            </w:pPr>
            <w:r w:rsidRPr="003F4D31">
              <w:rPr>
                <w:rFonts w:cs="Arial"/>
                <w:szCs w:val="18"/>
                <w:lang w:val="en-GB"/>
              </w:rPr>
              <w:t>0.01</w:t>
            </w:r>
          </w:p>
        </w:tc>
        <w:tc>
          <w:tcPr>
            <w:tcW w:w="1096" w:type="dxa"/>
            <w:shd w:val="clear" w:color="auto" w:fill="FFFFFF"/>
          </w:tcPr>
          <w:p w:rsidR="007E1301" w:rsidRPr="00D203A1" w:rsidRDefault="00EF4F22" w:rsidP="00DC3A18">
            <w:pPr>
              <w:pStyle w:val="CETBodytext"/>
              <w:ind w:right="-1"/>
              <w:rPr>
                <w:rFonts w:cs="Arial"/>
                <w:szCs w:val="18"/>
                <w:lang w:val="en-GB"/>
              </w:rPr>
            </w:pPr>
            <w:r w:rsidRPr="00D203A1">
              <w:rPr>
                <w:rFonts w:cs="Arial"/>
                <w:szCs w:val="18"/>
                <w:lang w:val="en-GB"/>
              </w:rPr>
              <w:t>0.1</w:t>
            </w:r>
          </w:p>
        </w:tc>
      </w:tr>
    </w:tbl>
    <w:p w:rsidR="004D0F5C" w:rsidRPr="00873B68" w:rsidRDefault="00EF4F22" w:rsidP="00873B68">
      <w:pPr>
        <w:pStyle w:val="CETBodytext"/>
        <w:rPr>
          <w:lang w:val="en-GB"/>
        </w:rPr>
      </w:pPr>
      <w:r>
        <w:rPr>
          <w:vertAlign w:val="superscript"/>
          <w:lang w:val="en-GB"/>
        </w:rPr>
        <w:t>1</w:t>
      </w:r>
      <w:r>
        <w:rPr>
          <w:lang w:val="en-GB"/>
        </w:rPr>
        <w:t>Allowable discharge limits into a water source in South Africa.</w:t>
      </w:r>
    </w:p>
    <w:p w:rsidR="00A11D3D" w:rsidRPr="00C00A4C" w:rsidRDefault="00EF4F22" w:rsidP="00A11D3D">
      <w:pPr>
        <w:pStyle w:val="CETheadingx"/>
        <w:rPr>
          <w:lang w:val="en-GB"/>
        </w:rPr>
      </w:pPr>
      <w:r w:rsidRPr="00C00A4C">
        <w:rPr>
          <w:lang w:val="en-GB"/>
        </w:rPr>
        <w:t>Inoculum</w:t>
      </w:r>
    </w:p>
    <w:p w:rsidR="00A11D3D" w:rsidRPr="008330B1" w:rsidRDefault="00EF4F22" w:rsidP="008330B1">
      <w:pPr>
        <w:pStyle w:val="CETBodytext"/>
        <w:rPr>
          <w:lang w:val="en-GB"/>
        </w:rPr>
      </w:pPr>
      <w:r w:rsidRPr="00F77866">
        <w:rPr>
          <w:lang w:val="en-GB"/>
        </w:rPr>
        <w:t xml:space="preserve">The anaerobic mixed sulphate reducing culture used was collected from one of the reactors at the pilot plant that has been running in </w:t>
      </w:r>
      <w:r w:rsidRPr="00C00A4C">
        <w:rPr>
          <w:lang w:val="en-GB"/>
        </w:rPr>
        <w:t>a coal mine in Mpumalanga province, South Africa. To inoculate the reactors, the inoculum was mixed with mine water that w</w:t>
      </w:r>
      <w:r w:rsidRPr="009B3E08">
        <w:rPr>
          <w:lang w:val="en-GB"/>
        </w:rPr>
        <w:t xml:space="preserve">as </w:t>
      </w:r>
      <w:r w:rsidR="00DA4F9F">
        <w:rPr>
          <w:lang w:val="en-GB"/>
        </w:rPr>
        <w:t>adjusted</w:t>
      </w:r>
      <w:r w:rsidR="00DA4F9F" w:rsidRPr="009B3E08">
        <w:rPr>
          <w:lang w:val="en-GB"/>
        </w:rPr>
        <w:t xml:space="preserve"> </w:t>
      </w:r>
      <w:r w:rsidRPr="009B3E08">
        <w:rPr>
          <w:lang w:val="en-GB"/>
        </w:rPr>
        <w:t>to pH approximately 6.5. The reactors were inoculated using 30% inoculum and 70% neutralised</w:t>
      </w:r>
      <w:r w:rsidRPr="00E03A3A">
        <w:rPr>
          <w:lang w:val="en-GB"/>
        </w:rPr>
        <w:t xml:space="preserve"> mine water.</w:t>
      </w:r>
    </w:p>
    <w:p w:rsidR="00A11D3D" w:rsidRPr="007F3EA9" w:rsidRDefault="00EF4F22" w:rsidP="00A11D3D">
      <w:pPr>
        <w:pStyle w:val="CETheadingx"/>
        <w:rPr>
          <w:lang w:val="en-GB"/>
        </w:rPr>
      </w:pPr>
      <w:r w:rsidRPr="00C00A4C">
        <w:rPr>
          <w:lang w:val="en-GB"/>
        </w:rPr>
        <w:t>Analytical methods</w:t>
      </w:r>
    </w:p>
    <w:p w:rsidR="00A11D3D" w:rsidRPr="007F3EA9" w:rsidRDefault="00EF4F22" w:rsidP="00A11D3D">
      <w:pPr>
        <w:pStyle w:val="CETBodytext"/>
        <w:rPr>
          <w:rFonts w:cs="Arial"/>
          <w:lang w:val="en-GB"/>
        </w:rPr>
      </w:pPr>
      <w:r w:rsidRPr="007F3EA9">
        <w:rPr>
          <w:lang w:val="en-GB"/>
        </w:rPr>
        <w:t xml:space="preserve">The turbidimetric method was used to measure sulphate concentrations using a Merck </w:t>
      </w:r>
      <w:r w:rsidRPr="007F3EA9">
        <w:rPr>
          <w:rFonts w:cs="Arial"/>
          <w:lang w:val="en-GB"/>
        </w:rPr>
        <w:t>Spectroquant</w:t>
      </w:r>
      <w:r w:rsidRPr="007F3EA9">
        <w:rPr>
          <w:rFonts w:cs="Arial"/>
          <w:vertAlign w:val="superscript"/>
          <w:lang w:val="en-GB"/>
        </w:rPr>
        <w:t>®</w:t>
      </w:r>
      <w:r w:rsidRPr="007F3EA9">
        <w:rPr>
          <w:rFonts w:cs="Arial"/>
          <w:lang w:val="en-GB"/>
        </w:rPr>
        <w:t xml:space="preserve"> Prove 300. All sulphate samples were filtered using 0.22 µm membrane syringe filters to prevent suspended solids from interfering with the results. </w:t>
      </w:r>
      <w:r w:rsidR="00DA4F9F">
        <w:rPr>
          <w:rFonts w:cs="Arial"/>
          <w:lang w:val="en-GB"/>
        </w:rPr>
        <w:t xml:space="preserve">The </w:t>
      </w:r>
      <w:r w:rsidRPr="007F3EA9">
        <w:rPr>
          <w:rFonts w:cs="Arial"/>
          <w:lang w:val="en-GB"/>
        </w:rPr>
        <w:t>pH w</w:t>
      </w:r>
      <w:r w:rsidR="00454E74" w:rsidRPr="007F3EA9">
        <w:rPr>
          <w:rFonts w:cs="Arial"/>
          <w:lang w:val="en-GB"/>
        </w:rPr>
        <w:t>as</w:t>
      </w:r>
      <w:r w:rsidRPr="007F3EA9">
        <w:rPr>
          <w:rFonts w:cs="Arial"/>
          <w:lang w:val="en-GB"/>
        </w:rPr>
        <w:t xml:space="preserve"> measured using a Metrohm pH sensor </w:t>
      </w:r>
      <w:r w:rsidR="00C00A4C">
        <w:rPr>
          <w:rFonts w:cs="Arial"/>
          <w:lang w:val="en-GB"/>
        </w:rPr>
        <w:t>and a Hamilton redox sensor was used for redox potential measurements</w:t>
      </w:r>
      <w:r w:rsidRPr="00485673">
        <w:rPr>
          <w:rFonts w:cs="Arial"/>
          <w:lang w:val="en-GB"/>
        </w:rPr>
        <w:t>. Metal concentrations were</w:t>
      </w:r>
      <w:r w:rsidR="00B9217C" w:rsidRPr="00485673">
        <w:rPr>
          <w:rFonts w:cs="Arial"/>
          <w:lang w:val="en-GB"/>
        </w:rPr>
        <w:t xml:space="preserve"> </w:t>
      </w:r>
      <w:r w:rsidR="0002492A" w:rsidRPr="00485673">
        <w:rPr>
          <w:rFonts w:cs="Arial"/>
          <w:lang w:val="en-GB"/>
        </w:rPr>
        <w:t>analysed</w:t>
      </w:r>
      <w:r w:rsidR="00AB72C8" w:rsidRPr="00485673">
        <w:rPr>
          <w:rFonts w:cs="Arial"/>
          <w:lang w:val="en-GB"/>
        </w:rPr>
        <w:t xml:space="preserve"> using </w:t>
      </w:r>
      <w:r w:rsidR="00186E17" w:rsidRPr="00485673">
        <w:rPr>
          <w:rFonts w:cs="Arial"/>
          <w:lang w:val="en-GB"/>
        </w:rPr>
        <w:t xml:space="preserve">a Thermo Icap Q </w:t>
      </w:r>
      <w:r w:rsidR="00AB72C8" w:rsidRPr="00485673">
        <w:rPr>
          <w:rFonts w:cs="Arial"/>
          <w:lang w:val="en-GB"/>
        </w:rPr>
        <w:t>ICP-MS</w:t>
      </w:r>
      <w:r w:rsidR="00186E17" w:rsidRPr="00485673">
        <w:rPr>
          <w:rFonts w:cs="Arial"/>
          <w:lang w:val="en-GB"/>
        </w:rPr>
        <w:t xml:space="preserve"> eq</w:t>
      </w:r>
      <w:r w:rsidR="00186E17">
        <w:rPr>
          <w:rFonts w:cs="Arial"/>
          <w:lang w:val="en-GB"/>
        </w:rPr>
        <w:t>uipped with a Perfluoroalkoxy (PFA) nebuliser, a quarts spray chamber and a 2.5 mm internal d</w:t>
      </w:r>
      <w:r w:rsidR="00B9217C">
        <w:rPr>
          <w:rFonts w:cs="Arial"/>
          <w:lang w:val="en-GB"/>
        </w:rPr>
        <w:t>iameter quartz injector</w:t>
      </w:r>
      <w:r w:rsidR="00186E17">
        <w:rPr>
          <w:rFonts w:cs="Arial"/>
          <w:lang w:val="en-GB"/>
        </w:rPr>
        <w:t>.</w:t>
      </w:r>
    </w:p>
    <w:p w:rsidR="00A11D3D" w:rsidRPr="007F3EA9" w:rsidRDefault="00EF4F22" w:rsidP="006974FE">
      <w:pPr>
        <w:pStyle w:val="CETheadingx"/>
      </w:pPr>
      <w:r w:rsidRPr="007F3EA9">
        <w:lastRenderedPageBreak/>
        <w:t>Experimental setup and operation.</w:t>
      </w:r>
    </w:p>
    <w:p w:rsidR="00A11D3D" w:rsidRPr="007F3EA9" w:rsidRDefault="00EF4F22" w:rsidP="00A11D3D">
      <w:pPr>
        <w:pStyle w:val="CETBodytext"/>
        <w:rPr>
          <w:lang w:val="en-GB"/>
        </w:rPr>
      </w:pPr>
      <w:r w:rsidRPr="007F3EA9">
        <w:rPr>
          <w:lang w:val="en-GB"/>
        </w:rPr>
        <w:t xml:space="preserve">Three water jacketed packed bed reactors were operated in parallel in a continuous </w:t>
      </w:r>
      <w:r w:rsidRPr="00FA13F3">
        <w:rPr>
          <w:noProof/>
          <w:lang w:val="en-GB"/>
        </w:rPr>
        <w:t>downflow</w:t>
      </w:r>
      <w:r w:rsidRPr="007F3EA9">
        <w:rPr>
          <w:lang w:val="en-GB"/>
        </w:rPr>
        <w:t xml:space="preserve"> mode. </w:t>
      </w:r>
      <w:r w:rsidRPr="003C0DA4">
        <w:rPr>
          <w:noProof/>
          <w:lang w:val="en-GB"/>
        </w:rPr>
        <w:t>M</w:t>
      </w:r>
      <w:r w:rsidR="00545734" w:rsidRPr="003C0DA4">
        <w:rPr>
          <w:noProof/>
          <w:lang w:val="en-GB"/>
        </w:rPr>
        <w:t>ine</w:t>
      </w:r>
      <w:r w:rsidRPr="007F3EA9">
        <w:rPr>
          <w:lang w:val="en-GB"/>
        </w:rPr>
        <w:t xml:space="preserve"> water was fed at the top of the reactors at a speed of </w:t>
      </w:r>
      <w:r w:rsidR="008E08FC" w:rsidRPr="007F3EA9">
        <w:rPr>
          <w:lang w:val="en-GB"/>
        </w:rPr>
        <w:t>5.6</w:t>
      </w:r>
      <w:r w:rsidRPr="007F3EA9">
        <w:rPr>
          <w:lang w:val="en-GB"/>
        </w:rPr>
        <w:t xml:space="preserve"> rpm</w:t>
      </w:r>
      <w:r w:rsidR="00F77866">
        <w:rPr>
          <w:lang w:val="en-GB"/>
        </w:rPr>
        <w:t xml:space="preserve">. </w:t>
      </w:r>
      <w:r w:rsidRPr="007F3EA9">
        <w:rPr>
          <w:lang w:val="en-GB"/>
        </w:rPr>
        <w:t>A PolyScience Whipspercool heater/chiller was used to control the reactor temperatures. The working volume of each reactor was 8 L. Initially, each reactor was packed with woodchips, wood shavings, hay, lucerne straw and cow manure as support for the SRB biofilm.</w:t>
      </w:r>
      <w:r w:rsidR="008330B1">
        <w:rPr>
          <w:lang w:val="en-GB"/>
        </w:rPr>
        <w:t xml:space="preserve"> </w:t>
      </w:r>
      <w:r w:rsidR="008330B1" w:rsidRPr="00C00A4C">
        <w:rPr>
          <w:lang w:val="en-GB"/>
        </w:rPr>
        <w:t>Complex organic substrates, namely cow manure and lucerne pellets were used</w:t>
      </w:r>
      <w:r w:rsidR="008330B1">
        <w:rPr>
          <w:lang w:val="en-GB"/>
        </w:rPr>
        <w:t xml:space="preserve"> as main substrates</w:t>
      </w:r>
      <w:r w:rsidR="008330B1" w:rsidRPr="00C00A4C">
        <w:rPr>
          <w:lang w:val="en-GB"/>
        </w:rPr>
        <w:t xml:space="preserve"> for these experiments and they were replenished once every week.</w:t>
      </w:r>
      <w:r w:rsidRPr="007F3EA9">
        <w:rPr>
          <w:lang w:val="en-GB"/>
        </w:rPr>
        <w:t xml:space="preserve"> </w:t>
      </w:r>
      <w:r w:rsidR="00E74A03" w:rsidRPr="007F3EA9">
        <w:rPr>
          <w:lang w:val="en-GB"/>
        </w:rPr>
        <w:t xml:space="preserve">During </w:t>
      </w:r>
      <w:r w:rsidR="00E74A03" w:rsidRPr="00ED220A">
        <w:rPr>
          <w:noProof/>
          <w:lang w:val="en-GB"/>
        </w:rPr>
        <w:t>startup</w:t>
      </w:r>
      <w:r w:rsidR="00E74A03" w:rsidRPr="007F3EA9">
        <w:rPr>
          <w:lang w:val="en-GB"/>
        </w:rPr>
        <w:t>, the reactors were operated</w:t>
      </w:r>
      <w:r w:rsidR="00F32418" w:rsidRPr="007F3EA9">
        <w:rPr>
          <w:lang w:val="en-GB"/>
        </w:rPr>
        <w:t xml:space="preserve"> in a batch mode at 30 </w:t>
      </w:r>
      <w:r w:rsidR="00F32418" w:rsidRPr="007F3EA9">
        <w:rPr>
          <w:rFonts w:cs="Arial"/>
          <w:lang w:val="en-GB"/>
        </w:rPr>
        <w:t>°</w:t>
      </w:r>
      <w:r w:rsidR="00F32418" w:rsidRPr="007F3EA9">
        <w:rPr>
          <w:lang w:val="en-GB"/>
        </w:rPr>
        <w:t xml:space="preserve">C for 10 days. </w:t>
      </w:r>
      <w:r w:rsidR="009A1998" w:rsidRPr="007F3EA9">
        <w:rPr>
          <w:lang w:val="en-GB"/>
        </w:rPr>
        <w:t>R</w:t>
      </w:r>
      <w:r w:rsidR="00BA194D" w:rsidRPr="007F3EA9">
        <w:rPr>
          <w:lang w:val="en-GB"/>
        </w:rPr>
        <w:t>ecirculation was introduced for a week</w:t>
      </w:r>
      <w:r w:rsidR="009A1998" w:rsidRPr="007F3EA9">
        <w:rPr>
          <w:lang w:val="en-GB"/>
        </w:rPr>
        <w:t xml:space="preserve"> after the 10</w:t>
      </w:r>
      <w:r w:rsidR="009A1998" w:rsidRPr="007F3EA9">
        <w:rPr>
          <w:vertAlign w:val="superscript"/>
          <w:lang w:val="en-GB"/>
        </w:rPr>
        <w:t>th</w:t>
      </w:r>
      <w:r w:rsidR="009A1998" w:rsidRPr="007F3EA9">
        <w:rPr>
          <w:lang w:val="en-GB"/>
        </w:rPr>
        <w:t xml:space="preserve"> day</w:t>
      </w:r>
      <w:r w:rsidR="00BA194D" w:rsidRPr="007F3EA9">
        <w:rPr>
          <w:lang w:val="en-GB"/>
        </w:rPr>
        <w:t>.</w:t>
      </w:r>
      <w:r w:rsidR="009A1998" w:rsidRPr="007F3EA9">
        <w:rPr>
          <w:lang w:val="en-GB"/>
        </w:rPr>
        <w:t xml:space="preserve"> Due to the depletion of sulphate (which was proof that SRB </w:t>
      </w:r>
      <w:r w:rsidR="00C81FFB">
        <w:rPr>
          <w:noProof/>
          <w:lang w:val="en-GB"/>
        </w:rPr>
        <w:t>were</w:t>
      </w:r>
      <w:r w:rsidR="009A1998" w:rsidRPr="007F3EA9">
        <w:rPr>
          <w:lang w:val="en-GB"/>
        </w:rPr>
        <w:t xml:space="preserve"> active) recirculation was sto</w:t>
      </w:r>
      <w:r w:rsidR="00F77866" w:rsidRPr="007F3EA9">
        <w:rPr>
          <w:lang w:val="en-GB"/>
        </w:rPr>
        <w:t>p</w:t>
      </w:r>
      <w:r w:rsidR="009A1998" w:rsidRPr="007F3EA9">
        <w:rPr>
          <w:lang w:val="en-GB"/>
        </w:rPr>
        <w:t xml:space="preserve">ped and neutralised </w:t>
      </w:r>
      <w:r w:rsidR="00F77866" w:rsidRPr="007F3EA9">
        <w:rPr>
          <w:lang w:val="en-GB"/>
        </w:rPr>
        <w:t>AMD</w:t>
      </w:r>
      <w:r w:rsidR="000B6A18">
        <w:rPr>
          <w:lang w:val="en-GB"/>
        </w:rPr>
        <w:t xml:space="preserve"> (at pH 6)</w:t>
      </w:r>
      <w:r w:rsidR="009A1998" w:rsidRPr="007F3EA9">
        <w:rPr>
          <w:lang w:val="en-GB"/>
        </w:rPr>
        <w:t xml:space="preserve"> was fed slowly while si</w:t>
      </w:r>
      <w:r w:rsidR="00DF3119" w:rsidRPr="00DF3119">
        <w:rPr>
          <w:lang w:val="en-GB"/>
        </w:rPr>
        <w:t>multaneously g</w:t>
      </w:r>
      <w:r w:rsidR="009A1998" w:rsidRPr="007F3EA9">
        <w:rPr>
          <w:lang w:val="en-GB"/>
        </w:rPr>
        <w:t>etting the reactors to the</w:t>
      </w:r>
      <w:r w:rsidR="00DF3119">
        <w:rPr>
          <w:lang w:val="en-GB"/>
        </w:rPr>
        <w:t xml:space="preserve"> desired</w:t>
      </w:r>
      <w:r w:rsidR="009A1998" w:rsidRPr="007F3EA9">
        <w:rPr>
          <w:lang w:val="en-GB"/>
        </w:rPr>
        <w:t xml:space="preserve"> operating conditions shown in Table 2. </w:t>
      </w:r>
      <w:r w:rsidR="00BA194D" w:rsidRPr="007F3EA9">
        <w:rPr>
          <w:lang w:val="en-GB"/>
        </w:rPr>
        <w:t xml:space="preserve"> </w:t>
      </w:r>
      <w:r w:rsidR="00FB7313">
        <w:rPr>
          <w:lang w:val="en-GB"/>
        </w:rPr>
        <w:t>This was achieved after 60 days from the day the reactors started operating.</w:t>
      </w:r>
    </w:p>
    <w:p w:rsidR="00DF573E" w:rsidRPr="00F77866" w:rsidRDefault="00EF4F22" w:rsidP="007D10AD">
      <w:pPr>
        <w:pStyle w:val="CETTabletitle"/>
      </w:pPr>
      <w:r w:rsidRPr="00F77866">
        <w:t>Table 2: Operating conditions for each reactor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35"/>
        <w:gridCol w:w="1601"/>
        <w:gridCol w:w="1418"/>
        <w:gridCol w:w="1701"/>
      </w:tblGrid>
      <w:tr w:rsidR="004055D8" w:rsidTr="007D10AD">
        <w:trPr>
          <w:trHeight w:val="264"/>
        </w:trPr>
        <w:tc>
          <w:tcPr>
            <w:tcW w:w="2935" w:type="dxa"/>
            <w:tcBorders>
              <w:top w:val="single" w:sz="12" w:space="0" w:color="008000"/>
              <w:bottom w:val="single" w:sz="4" w:space="0" w:color="008000"/>
            </w:tcBorders>
            <w:shd w:val="clear" w:color="auto" w:fill="FFFFFF"/>
          </w:tcPr>
          <w:p w:rsidR="00DF573E" w:rsidRPr="009B3E08" w:rsidRDefault="00DF573E" w:rsidP="00DC3A18">
            <w:pPr>
              <w:pStyle w:val="CETBodytext"/>
              <w:rPr>
                <w:lang w:val="en-GB"/>
              </w:rPr>
            </w:pPr>
          </w:p>
        </w:tc>
        <w:tc>
          <w:tcPr>
            <w:tcW w:w="1601" w:type="dxa"/>
            <w:tcBorders>
              <w:top w:val="single" w:sz="12" w:space="0" w:color="008000"/>
              <w:bottom w:val="single" w:sz="4" w:space="0" w:color="008000"/>
            </w:tcBorders>
            <w:shd w:val="clear" w:color="auto" w:fill="FFFFFF"/>
          </w:tcPr>
          <w:p w:rsidR="00DF573E" w:rsidRPr="009B3E08" w:rsidRDefault="00EF4F22" w:rsidP="00DC3A18">
            <w:pPr>
              <w:pStyle w:val="CETBodytext"/>
              <w:rPr>
                <w:lang w:val="en-GB"/>
              </w:rPr>
            </w:pPr>
            <w:r w:rsidRPr="009B3E08">
              <w:rPr>
                <w:lang w:val="en-GB"/>
              </w:rPr>
              <w:t>Reactor  1</w:t>
            </w:r>
          </w:p>
        </w:tc>
        <w:tc>
          <w:tcPr>
            <w:tcW w:w="1418" w:type="dxa"/>
            <w:tcBorders>
              <w:top w:val="single" w:sz="12" w:space="0" w:color="008000"/>
              <w:bottom w:val="single" w:sz="4" w:space="0" w:color="008000"/>
            </w:tcBorders>
            <w:shd w:val="clear" w:color="auto" w:fill="FFFFFF"/>
          </w:tcPr>
          <w:p w:rsidR="00DF573E" w:rsidRPr="00E03A3A" w:rsidRDefault="00EF4F22" w:rsidP="00DC3A18">
            <w:pPr>
              <w:pStyle w:val="CETBodytext"/>
              <w:rPr>
                <w:lang w:val="en-GB"/>
              </w:rPr>
            </w:pPr>
            <w:r w:rsidRPr="00E03A3A">
              <w:rPr>
                <w:lang w:val="en-GB"/>
              </w:rPr>
              <w:t>Reactor 2</w:t>
            </w:r>
          </w:p>
        </w:tc>
        <w:tc>
          <w:tcPr>
            <w:tcW w:w="1701" w:type="dxa"/>
            <w:tcBorders>
              <w:top w:val="single" w:sz="12" w:space="0" w:color="008000"/>
              <w:bottom w:val="single" w:sz="4" w:space="0" w:color="008000"/>
            </w:tcBorders>
            <w:shd w:val="clear" w:color="auto" w:fill="FFFFFF"/>
          </w:tcPr>
          <w:p w:rsidR="00DF573E" w:rsidRPr="00E03A3A" w:rsidRDefault="00EF4F22" w:rsidP="00DC3A18">
            <w:pPr>
              <w:pStyle w:val="CETBodytext"/>
              <w:ind w:right="-1"/>
              <w:rPr>
                <w:rFonts w:cs="Arial"/>
                <w:szCs w:val="18"/>
                <w:lang w:val="en-GB"/>
              </w:rPr>
            </w:pPr>
            <w:r w:rsidRPr="00E03A3A">
              <w:rPr>
                <w:rFonts w:cs="Arial"/>
                <w:szCs w:val="18"/>
                <w:lang w:val="en-GB"/>
              </w:rPr>
              <w:t>Reactor 3</w:t>
            </w:r>
          </w:p>
        </w:tc>
      </w:tr>
      <w:tr w:rsidR="004055D8" w:rsidTr="007D10AD">
        <w:trPr>
          <w:trHeight w:val="264"/>
        </w:trPr>
        <w:tc>
          <w:tcPr>
            <w:tcW w:w="2935" w:type="dxa"/>
            <w:tcBorders>
              <w:top w:val="single" w:sz="4" w:space="0" w:color="008000"/>
            </w:tcBorders>
            <w:shd w:val="clear" w:color="auto" w:fill="FFFFFF"/>
          </w:tcPr>
          <w:p w:rsidR="00DF573E" w:rsidRPr="00F77866" w:rsidRDefault="00EF4F22" w:rsidP="00DC3A18">
            <w:pPr>
              <w:pStyle w:val="CETBodytext"/>
              <w:rPr>
                <w:lang w:val="en-GB"/>
              </w:rPr>
            </w:pPr>
            <w:r w:rsidRPr="003F4D31">
              <w:rPr>
                <w:lang w:val="en-GB"/>
              </w:rPr>
              <w:t>Temperature (</w:t>
            </w:r>
            <w:r w:rsidR="00A137FD" w:rsidRPr="007F3EA9">
              <w:rPr>
                <w:rFonts w:cs="Arial"/>
                <w:lang w:val="en-GB"/>
              </w:rPr>
              <w:t>°</w:t>
            </w:r>
            <w:r w:rsidR="00A137FD" w:rsidRPr="007F3EA9">
              <w:rPr>
                <w:lang w:val="en-GB"/>
              </w:rPr>
              <w:t>C</w:t>
            </w:r>
            <w:r w:rsidRPr="00F77866">
              <w:rPr>
                <w:lang w:val="en-GB"/>
              </w:rPr>
              <w:t>)</w:t>
            </w:r>
          </w:p>
        </w:tc>
        <w:tc>
          <w:tcPr>
            <w:tcW w:w="1601" w:type="dxa"/>
            <w:tcBorders>
              <w:top w:val="single" w:sz="4" w:space="0" w:color="008000"/>
            </w:tcBorders>
            <w:shd w:val="clear" w:color="auto" w:fill="FFFFFF"/>
          </w:tcPr>
          <w:p w:rsidR="00DF573E" w:rsidRPr="009B3E08" w:rsidRDefault="00EF4F22" w:rsidP="00DC3A18">
            <w:pPr>
              <w:pStyle w:val="CETBodytext"/>
              <w:rPr>
                <w:lang w:val="en-GB"/>
              </w:rPr>
            </w:pPr>
            <w:r w:rsidRPr="009B3E08">
              <w:rPr>
                <w:lang w:val="en-GB"/>
              </w:rPr>
              <w:t>30</w:t>
            </w:r>
          </w:p>
        </w:tc>
        <w:tc>
          <w:tcPr>
            <w:tcW w:w="1418" w:type="dxa"/>
            <w:tcBorders>
              <w:top w:val="single" w:sz="4" w:space="0" w:color="008000"/>
            </w:tcBorders>
            <w:shd w:val="clear" w:color="auto" w:fill="FFFFFF"/>
          </w:tcPr>
          <w:p w:rsidR="00DF573E" w:rsidRPr="009B3E08" w:rsidRDefault="00EF4F22" w:rsidP="00DC3A18">
            <w:pPr>
              <w:pStyle w:val="CETBodytext"/>
              <w:rPr>
                <w:lang w:val="en-GB"/>
              </w:rPr>
            </w:pPr>
            <w:r w:rsidRPr="009B3E08">
              <w:rPr>
                <w:lang w:val="en-GB"/>
              </w:rPr>
              <w:t>30</w:t>
            </w:r>
          </w:p>
        </w:tc>
        <w:tc>
          <w:tcPr>
            <w:tcW w:w="1701" w:type="dxa"/>
            <w:tcBorders>
              <w:top w:val="single" w:sz="4" w:space="0" w:color="008000"/>
            </w:tcBorders>
            <w:shd w:val="clear" w:color="auto" w:fill="FFFFFF"/>
          </w:tcPr>
          <w:p w:rsidR="00DF573E" w:rsidRPr="00E03A3A" w:rsidRDefault="00EF4F22" w:rsidP="00DC3A18">
            <w:pPr>
              <w:pStyle w:val="CETBodytext"/>
              <w:ind w:right="-1"/>
              <w:rPr>
                <w:rFonts w:cs="Arial"/>
                <w:szCs w:val="18"/>
                <w:lang w:val="en-GB"/>
              </w:rPr>
            </w:pPr>
            <w:r w:rsidRPr="00E03A3A">
              <w:rPr>
                <w:rFonts w:cs="Arial"/>
                <w:szCs w:val="18"/>
                <w:lang w:val="en-GB"/>
              </w:rPr>
              <w:t>10</w:t>
            </w:r>
          </w:p>
        </w:tc>
      </w:tr>
      <w:tr w:rsidR="004055D8" w:rsidTr="007D10AD">
        <w:trPr>
          <w:trHeight w:val="264"/>
        </w:trPr>
        <w:tc>
          <w:tcPr>
            <w:tcW w:w="2935" w:type="dxa"/>
            <w:shd w:val="clear" w:color="auto" w:fill="FFFFFF"/>
          </w:tcPr>
          <w:p w:rsidR="00DF573E" w:rsidRPr="00F77866" w:rsidRDefault="00EF4F22" w:rsidP="00DC3A18">
            <w:pPr>
              <w:pStyle w:val="CETBodytext"/>
              <w:rPr>
                <w:lang w:val="en-GB"/>
              </w:rPr>
            </w:pPr>
            <w:r w:rsidRPr="00F77866">
              <w:rPr>
                <w:lang w:val="en-GB"/>
              </w:rPr>
              <w:t>pH</w:t>
            </w:r>
          </w:p>
        </w:tc>
        <w:tc>
          <w:tcPr>
            <w:tcW w:w="1601" w:type="dxa"/>
            <w:shd w:val="clear" w:color="auto" w:fill="FFFFFF"/>
          </w:tcPr>
          <w:p w:rsidR="00DF573E" w:rsidRPr="00F77866" w:rsidRDefault="00EF4F22" w:rsidP="00DC3A18">
            <w:pPr>
              <w:pStyle w:val="CETBodytext"/>
              <w:rPr>
                <w:lang w:val="en-GB"/>
              </w:rPr>
            </w:pPr>
            <w:r w:rsidRPr="00F77866">
              <w:rPr>
                <w:lang w:val="en-GB"/>
              </w:rPr>
              <w:t>6</w:t>
            </w:r>
          </w:p>
        </w:tc>
        <w:tc>
          <w:tcPr>
            <w:tcW w:w="1418" w:type="dxa"/>
            <w:shd w:val="clear" w:color="auto" w:fill="FFFFFF"/>
          </w:tcPr>
          <w:p w:rsidR="00DF573E" w:rsidRPr="00F77866" w:rsidRDefault="00EF4F22" w:rsidP="00DC3A18">
            <w:pPr>
              <w:pStyle w:val="CETBodytext"/>
              <w:rPr>
                <w:lang w:val="en-GB"/>
              </w:rPr>
            </w:pPr>
            <w:r w:rsidRPr="00F77866">
              <w:rPr>
                <w:lang w:val="en-GB"/>
              </w:rPr>
              <w:t>5</w:t>
            </w:r>
          </w:p>
        </w:tc>
        <w:tc>
          <w:tcPr>
            <w:tcW w:w="1701" w:type="dxa"/>
            <w:shd w:val="clear" w:color="auto" w:fill="FFFFFF"/>
          </w:tcPr>
          <w:p w:rsidR="00DF573E" w:rsidRPr="00F77866" w:rsidRDefault="00EF4F22" w:rsidP="00DC3A18">
            <w:pPr>
              <w:pStyle w:val="CETBodytext"/>
              <w:ind w:right="-1"/>
              <w:rPr>
                <w:rFonts w:cs="Arial"/>
                <w:szCs w:val="18"/>
                <w:lang w:val="en-GB"/>
              </w:rPr>
            </w:pPr>
            <w:r w:rsidRPr="00F77866">
              <w:rPr>
                <w:rFonts w:cs="Arial"/>
                <w:szCs w:val="18"/>
                <w:lang w:val="en-GB"/>
              </w:rPr>
              <w:t>5</w:t>
            </w:r>
          </w:p>
        </w:tc>
      </w:tr>
      <w:tr w:rsidR="004055D8" w:rsidTr="007D10AD">
        <w:trPr>
          <w:trHeight w:val="281"/>
        </w:trPr>
        <w:tc>
          <w:tcPr>
            <w:tcW w:w="2935" w:type="dxa"/>
            <w:shd w:val="clear" w:color="auto" w:fill="FFFFFF"/>
          </w:tcPr>
          <w:p w:rsidR="00DF573E" w:rsidRPr="00F77866" w:rsidRDefault="00EF4F22" w:rsidP="00DC3A18">
            <w:pPr>
              <w:pStyle w:val="CETBodytext"/>
              <w:ind w:right="-1"/>
              <w:rPr>
                <w:rFonts w:cs="Arial"/>
                <w:szCs w:val="18"/>
                <w:lang w:val="en-GB"/>
              </w:rPr>
            </w:pPr>
            <w:r w:rsidRPr="00F77866">
              <w:rPr>
                <w:lang w:val="en-GB"/>
              </w:rPr>
              <w:t>Hydraulic residence time</w:t>
            </w:r>
            <w:r w:rsidR="00A137FD" w:rsidRPr="00F77866">
              <w:rPr>
                <w:lang w:val="en-GB"/>
              </w:rPr>
              <w:t xml:space="preserve"> (days)</w:t>
            </w:r>
          </w:p>
        </w:tc>
        <w:tc>
          <w:tcPr>
            <w:tcW w:w="1601" w:type="dxa"/>
            <w:shd w:val="clear" w:color="auto" w:fill="FFFFFF"/>
          </w:tcPr>
          <w:p w:rsidR="00DF573E" w:rsidRPr="00F77866" w:rsidRDefault="00EF4F22" w:rsidP="00DC3A18">
            <w:pPr>
              <w:pStyle w:val="CETBodytext"/>
              <w:ind w:right="-1"/>
              <w:rPr>
                <w:rFonts w:cs="Arial"/>
                <w:szCs w:val="18"/>
                <w:lang w:val="en-GB"/>
              </w:rPr>
            </w:pPr>
            <w:r w:rsidRPr="00F77866">
              <w:rPr>
                <w:rFonts w:cs="Arial"/>
                <w:szCs w:val="18"/>
                <w:lang w:val="en-GB"/>
              </w:rPr>
              <w:t>7</w:t>
            </w:r>
          </w:p>
        </w:tc>
        <w:tc>
          <w:tcPr>
            <w:tcW w:w="1418" w:type="dxa"/>
            <w:shd w:val="clear" w:color="auto" w:fill="FFFFFF"/>
          </w:tcPr>
          <w:p w:rsidR="00DF573E" w:rsidRPr="00F77866" w:rsidRDefault="00EF4F22" w:rsidP="00DC3A18">
            <w:pPr>
              <w:pStyle w:val="CETBodytext"/>
              <w:ind w:right="-1"/>
              <w:rPr>
                <w:rFonts w:cs="Arial"/>
                <w:szCs w:val="18"/>
                <w:lang w:val="en-GB"/>
              </w:rPr>
            </w:pPr>
            <w:r w:rsidRPr="00F77866">
              <w:rPr>
                <w:rFonts w:cs="Arial"/>
                <w:szCs w:val="18"/>
                <w:lang w:val="en-GB"/>
              </w:rPr>
              <w:t>7</w:t>
            </w:r>
          </w:p>
        </w:tc>
        <w:tc>
          <w:tcPr>
            <w:tcW w:w="1701" w:type="dxa"/>
            <w:shd w:val="clear" w:color="auto" w:fill="FFFFFF"/>
          </w:tcPr>
          <w:p w:rsidR="00DF573E" w:rsidRPr="00F77866" w:rsidRDefault="00EF4F22" w:rsidP="00DC3A18">
            <w:pPr>
              <w:pStyle w:val="CETBodytext"/>
              <w:ind w:right="-1"/>
              <w:rPr>
                <w:rFonts w:cs="Arial"/>
                <w:szCs w:val="18"/>
                <w:lang w:val="en-GB"/>
              </w:rPr>
            </w:pPr>
            <w:r w:rsidRPr="00F77866">
              <w:rPr>
                <w:rFonts w:cs="Arial"/>
                <w:szCs w:val="18"/>
                <w:lang w:val="en-GB"/>
              </w:rPr>
              <w:t>7</w:t>
            </w:r>
          </w:p>
        </w:tc>
      </w:tr>
    </w:tbl>
    <w:p w:rsidR="00086E13" w:rsidRPr="007F3EA9" w:rsidRDefault="00EF4F22" w:rsidP="007D10AD">
      <w:pPr>
        <w:pStyle w:val="CETHeading1"/>
        <w:rPr>
          <w:lang w:val="en-GB"/>
        </w:rPr>
      </w:pPr>
      <w:r w:rsidRPr="007F3EA9">
        <w:rPr>
          <w:lang w:val="en-GB"/>
        </w:rPr>
        <w:t>Results and discussion</w:t>
      </w:r>
    </w:p>
    <w:p w:rsidR="00B42596" w:rsidRDefault="00EF4F22" w:rsidP="007D10AD">
      <w:pPr>
        <w:pStyle w:val="CETheadingx"/>
        <w:rPr>
          <w:lang w:val="en-GB"/>
        </w:rPr>
      </w:pPr>
      <w:r w:rsidRPr="007F3EA9">
        <w:rPr>
          <w:lang w:val="en-GB"/>
        </w:rPr>
        <w:t>The effect of temperature</w:t>
      </w:r>
    </w:p>
    <w:p w:rsidR="00175E6F" w:rsidRDefault="00EF4F22" w:rsidP="00175E6F">
      <w:pPr>
        <w:pStyle w:val="CETBodytext"/>
        <w:rPr>
          <w:lang w:val="en-GB"/>
        </w:rPr>
      </w:pPr>
      <w:r>
        <w:rPr>
          <w:lang w:val="en-GB"/>
        </w:rPr>
        <w:t>Temperature</w:t>
      </w:r>
      <w:r w:rsidR="00FE6E71">
        <w:rPr>
          <w:lang w:val="en-GB"/>
        </w:rPr>
        <w:t xml:space="preserve"> is</w:t>
      </w:r>
      <w:r>
        <w:rPr>
          <w:lang w:val="en-GB"/>
        </w:rPr>
        <w:t xml:space="preserve"> one of the factors that affect the efficiency of biological sulphate reduction. Bacterial growth and activity are highly affected by temperature with low temperature known for slowing down the</w:t>
      </w:r>
      <w:r w:rsidR="006179F3">
        <w:rPr>
          <w:lang w:val="en-GB"/>
        </w:rPr>
        <w:t>ir</w:t>
      </w:r>
      <w:r>
        <w:rPr>
          <w:lang w:val="en-GB"/>
        </w:rPr>
        <w:t xml:space="preserve"> </w:t>
      </w:r>
      <w:r w:rsidR="00DA4F9F">
        <w:rPr>
          <w:lang w:val="en-GB"/>
        </w:rPr>
        <w:t xml:space="preserve">metabolic </w:t>
      </w:r>
      <w:r>
        <w:rPr>
          <w:lang w:val="en-GB"/>
        </w:rPr>
        <w:t xml:space="preserve">activity  </w:t>
      </w:r>
      <w:r w:rsidR="002E220E">
        <w:rPr>
          <w:lang w:val="en-GB"/>
        </w:rPr>
        <w:fldChar w:fldCharType="begin"/>
      </w:r>
      <w:r w:rsidR="002E220E">
        <w:rPr>
          <w:lang w:val="en-GB"/>
        </w:rPr>
        <w:instrText xml:space="preserve"> ADDIN EN.CITE &lt;EndNote&gt;&lt;Cite&gt;&lt;Author&gt;Doshi&lt;/Author&gt;&lt;Year&gt;2006&lt;/Year&gt;&lt;RecNum&gt;84&lt;/RecNum&gt;&lt;DisplayText&gt;(Doshi, 2006)&lt;/DisplayText&gt;&lt;record&gt;&lt;rec-number&gt;84&lt;/rec-number&gt;&lt;foreign-keys&gt;&lt;key app="EN" db-id="x0xrxsape2ae5ge5zwexzsz1a0fwdva5zvpe" timestamp="1554411231"&gt;84&lt;/key&gt;&lt;/foreign-keys&gt;&lt;ref-type name="Journal Article"&gt;17&lt;/ref-type&gt;&lt;contributors&gt;&lt;authors&gt;&lt;author&gt;Doshi, Sheela M&lt;/author&gt;&lt;/authors&gt;&lt;/contributors&gt;&lt;titles&gt;&lt;title&gt;Bioremediation of acid mine drainage using sulfate-reducing bacteria&lt;/title&gt;&lt;secondary-title&gt;US Environmental Protection Agency, Office of Solid Waste and Emergency Response and Office of Superfund Remediation and Technology Innovation&lt;/secondary-title&gt;&lt;/titles&gt;&lt;periodical&gt;&lt;full-title&gt;US Environmental Protection Agency, Office of Solid Waste and Emergency Response and Office of Superfund Remediation and Technology Innovation&lt;/full-title&gt;&lt;/periodical&gt;&lt;volume&gt;65&lt;/volume&gt;&lt;dates&gt;&lt;year&gt;2006&lt;/year&gt;&lt;/dates&gt;&lt;urls&gt;&lt;/urls&gt;&lt;/record&gt;&lt;/Cite&gt;&lt;/EndNote&gt;</w:instrText>
      </w:r>
      <w:r w:rsidR="002E220E">
        <w:rPr>
          <w:lang w:val="en-GB"/>
        </w:rPr>
        <w:fldChar w:fldCharType="separate"/>
      </w:r>
      <w:r w:rsidR="002E220E">
        <w:rPr>
          <w:noProof/>
          <w:lang w:val="en-GB"/>
        </w:rPr>
        <w:t>(Doshi, 2006)</w:t>
      </w:r>
      <w:r w:rsidR="002E220E">
        <w:rPr>
          <w:lang w:val="en-GB"/>
        </w:rPr>
        <w:fldChar w:fldCharType="end"/>
      </w:r>
      <w:r>
        <w:rPr>
          <w:lang w:val="en-GB"/>
        </w:rPr>
        <w:t>.</w:t>
      </w:r>
      <w:r w:rsidR="00032595">
        <w:rPr>
          <w:lang w:val="en-GB"/>
        </w:rPr>
        <w:t xml:space="preserve"> </w:t>
      </w:r>
      <w:r w:rsidRPr="007F3EA9">
        <w:rPr>
          <w:lang w:val="en-GB"/>
        </w:rPr>
        <w:t xml:space="preserve">Redox potential is an important indicator of the overall reducing capacity in biological sulphate reduction. For biological sulphate reduction to occur, a minimum of at </w:t>
      </w:r>
      <w:r w:rsidRPr="00A0462E">
        <w:rPr>
          <w:lang w:val="en-GB"/>
        </w:rPr>
        <w:t xml:space="preserve">least -150 mV is </w:t>
      </w:r>
      <w:r w:rsidRPr="00ED220A">
        <w:rPr>
          <w:noProof/>
          <w:lang w:val="en-GB"/>
        </w:rPr>
        <w:t>required with</w:t>
      </w:r>
      <w:r w:rsidRPr="00A0462E">
        <w:rPr>
          <w:lang w:val="en-GB"/>
        </w:rPr>
        <w:t xml:space="preserve"> -300 mV being a good indicator of </w:t>
      </w:r>
      <w:r w:rsidR="001F0881" w:rsidRPr="003C0DA4">
        <w:rPr>
          <w:noProof/>
          <w:lang w:val="en-GB"/>
        </w:rPr>
        <w:t>a strong</w:t>
      </w:r>
      <w:r w:rsidR="001F0881" w:rsidRPr="00A0462E">
        <w:rPr>
          <w:lang w:val="en-GB"/>
        </w:rPr>
        <w:t xml:space="preserve"> reducing environment</w:t>
      </w:r>
      <w:r w:rsidRPr="007F3EA9">
        <w:rPr>
          <w:lang w:val="en-GB"/>
        </w:rPr>
        <w:t xml:space="preserve"> </w:t>
      </w:r>
      <w:r w:rsidRPr="007F3EA9">
        <w:rPr>
          <w:lang w:val="en-GB"/>
        </w:rPr>
        <w:fldChar w:fldCharType="begin"/>
      </w:r>
      <w:r w:rsidRPr="007F3EA9">
        <w:rPr>
          <w:lang w:val="en-GB"/>
        </w:rPr>
        <w:instrText xml:space="preserve"> ADDIN EN.CITE &lt;EndNote&gt;&lt;Cite&gt;&lt;Author&gt;Salo&lt;/Author&gt;&lt;Year&gt;2017&lt;/Year&gt;&lt;RecNum&gt;20&lt;/RecNum&gt;&lt;DisplayText&gt;(Salo et al., 2017)&lt;/DisplayText&gt;&lt;record&gt;&lt;rec-number&gt;20&lt;/rec-number&gt;&lt;foreign-keys&gt;&lt;key app="EN" db-id="x0xrxsape2ae5ge5zwexzsz1a0fwdva5zvpe" timestamp="1525119087"&gt;20&lt;/key&gt;&lt;key app="ENWeb" db-id=""&gt;0&lt;/key&gt;&lt;/foreign-keys&gt;&lt;ref-type name="Journal Article"&gt;17&lt;/ref-type&gt;&lt;contributors&gt;&lt;authors&gt;&lt;author&gt;Marja Salo&lt;/author&gt;&lt;author&gt;Malin Bomberg&lt;/author&gt;&lt;author&gt;Tamsyn Grewar&lt;/author&gt;&lt;author&gt;Lerato Seepei&lt;/author&gt;&lt;author&gt;Mariekie, Gericke&lt;/author&gt;&lt;author&gt;Mona Arnold&lt;/author&gt;&lt;/authors&gt;&lt;/contributors&gt;&lt;titles&gt;&lt;title&gt;Compositions of the Microbial Consortia Present in Biological Sulphate Reduction Processes During Mine Effluent Treatment&lt;/title&gt;&lt;secondary-title&gt;International Mine Water Association&lt;/secondary-title&gt;&lt;/titles&gt;&lt;periodical&gt;&lt;full-title&gt;International Mine Water Association&lt;/full-title&gt;&lt;/periodical&gt;&lt;pages&gt;14 - 21&lt;/pages&gt;&lt;volume&gt;1&lt;/volume&gt;&lt;dates&gt;&lt;year&gt;2017&lt;/year&gt;&lt;/dates&gt;&lt;urls&gt;&lt;/urls&gt;&lt;/record&gt;&lt;/Cite&gt;&lt;/EndNote&gt;</w:instrText>
      </w:r>
      <w:r w:rsidRPr="007F3EA9">
        <w:rPr>
          <w:lang w:val="en-GB"/>
        </w:rPr>
        <w:fldChar w:fldCharType="separate"/>
      </w:r>
      <w:r w:rsidRPr="007F3EA9">
        <w:rPr>
          <w:noProof/>
          <w:lang w:val="en-GB"/>
        </w:rPr>
        <w:t>(Salo et al., 2017)</w:t>
      </w:r>
      <w:r w:rsidRPr="007F3EA9">
        <w:rPr>
          <w:lang w:val="en-GB"/>
        </w:rPr>
        <w:fldChar w:fldCharType="end"/>
      </w:r>
      <w:r w:rsidRPr="007F3EA9">
        <w:rPr>
          <w:lang w:val="en-GB"/>
        </w:rPr>
        <w:t xml:space="preserve">. Figure 1 shows how the effluent pH and effluent redox potential varied while operating at 30 </w:t>
      </w:r>
      <w:r w:rsidRPr="007F3EA9">
        <w:rPr>
          <w:rFonts w:cs="Arial"/>
          <w:lang w:val="en-GB"/>
        </w:rPr>
        <w:t>°</w:t>
      </w:r>
      <w:r w:rsidRPr="007F3EA9">
        <w:rPr>
          <w:lang w:val="en-GB"/>
        </w:rPr>
        <w:t xml:space="preserve">C and 10 </w:t>
      </w:r>
      <w:r w:rsidRPr="007F3EA9">
        <w:rPr>
          <w:rFonts w:cs="Arial"/>
          <w:lang w:val="en-GB"/>
        </w:rPr>
        <w:t>°</w:t>
      </w:r>
      <w:r w:rsidRPr="007F3EA9">
        <w:rPr>
          <w:lang w:val="en-GB"/>
        </w:rPr>
        <w:t xml:space="preserve">C with the feed AMD at pH 5. </w:t>
      </w:r>
    </w:p>
    <w:p w:rsidR="00AB0B8F" w:rsidRDefault="00AB0B8F" w:rsidP="00175E6F">
      <w:pPr>
        <w:pStyle w:val="CETBodytext"/>
        <w:rPr>
          <w:lang w:val="en-GB"/>
        </w:rPr>
      </w:pPr>
    </w:p>
    <w:p w:rsidR="00AB5439" w:rsidRDefault="00EF4F22">
      <w:pPr>
        <w:pStyle w:val="CETBodytext"/>
        <w:rPr>
          <w:lang w:val="en-GB"/>
        </w:rPr>
      </w:pPr>
      <w:r w:rsidRPr="00113D61">
        <w:rPr>
          <w:noProof/>
        </w:rPr>
        <w:drawing>
          <wp:inline distT="0" distB="0" distL="0" distR="0">
            <wp:extent cx="5505450" cy="31527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5E6F" w:rsidRDefault="00EF4F22" w:rsidP="00FF5241">
      <w:pPr>
        <w:pStyle w:val="CETCaption"/>
      </w:pPr>
      <w:r w:rsidRPr="00F77866">
        <w:t xml:space="preserve">Figure 1: Changes in effluent pH and redox potential </w:t>
      </w:r>
      <w:r w:rsidRPr="00DF3119">
        <w:t xml:space="preserve"> </w:t>
      </w:r>
    </w:p>
    <w:p w:rsidR="00932B9C" w:rsidRDefault="00EF4F22" w:rsidP="0069745A">
      <w:pPr>
        <w:pStyle w:val="CETBodytext"/>
        <w:rPr>
          <w:lang w:val="en-GB"/>
        </w:rPr>
      </w:pPr>
      <w:r w:rsidRPr="0069745A">
        <w:rPr>
          <w:lang w:val="en-GB"/>
        </w:rPr>
        <w:t xml:space="preserve">The redox potential at 30 </w:t>
      </w:r>
      <w:r w:rsidRPr="0069745A">
        <w:rPr>
          <w:rFonts w:cs="Arial"/>
          <w:lang w:val="en-GB"/>
        </w:rPr>
        <w:t>°</w:t>
      </w:r>
      <w:r w:rsidR="002A1AD0">
        <w:rPr>
          <w:lang w:val="en-GB"/>
        </w:rPr>
        <w:t xml:space="preserve">C was </w:t>
      </w:r>
      <w:r w:rsidRPr="0069745A">
        <w:rPr>
          <w:lang w:val="en-GB"/>
        </w:rPr>
        <w:t>below -400 mV</w:t>
      </w:r>
      <w:r w:rsidR="006F535B" w:rsidRPr="0069745A">
        <w:rPr>
          <w:lang w:val="en-GB"/>
        </w:rPr>
        <w:t xml:space="preserve"> through</w:t>
      </w:r>
      <w:r w:rsidR="001629D7">
        <w:rPr>
          <w:lang w:val="en-GB"/>
        </w:rPr>
        <w:t>out</w:t>
      </w:r>
      <w:r w:rsidR="006F535B" w:rsidRPr="0069745A">
        <w:rPr>
          <w:lang w:val="en-GB"/>
        </w:rPr>
        <w:t xml:space="preserve"> the experiment</w:t>
      </w:r>
      <w:r w:rsidRPr="0069745A">
        <w:rPr>
          <w:lang w:val="en-GB"/>
        </w:rPr>
        <w:t xml:space="preserve"> which </w:t>
      </w:r>
      <w:r w:rsidR="0058048B">
        <w:rPr>
          <w:lang w:val="en-GB"/>
        </w:rPr>
        <w:t xml:space="preserve">demonstrates </w:t>
      </w:r>
      <w:r w:rsidRPr="0069745A">
        <w:rPr>
          <w:lang w:val="en-GB"/>
        </w:rPr>
        <w:t>that the</w:t>
      </w:r>
      <w:r w:rsidR="00CE690C">
        <w:rPr>
          <w:lang w:val="en-GB"/>
        </w:rPr>
        <w:t xml:space="preserve"> </w:t>
      </w:r>
      <w:r w:rsidR="006179F3">
        <w:rPr>
          <w:lang w:val="en-GB"/>
        </w:rPr>
        <w:t>reducing conditions</w:t>
      </w:r>
      <w:r w:rsidR="001150BD">
        <w:rPr>
          <w:lang w:val="en-GB"/>
        </w:rPr>
        <w:t xml:space="preserve"> were </w:t>
      </w:r>
      <w:r w:rsidR="0058048B">
        <w:rPr>
          <w:lang w:val="en-GB"/>
        </w:rPr>
        <w:t>successfully attained</w:t>
      </w:r>
      <w:r w:rsidR="00D07838" w:rsidRPr="00E72E8A">
        <w:rPr>
          <w:lang w:val="en-GB"/>
        </w:rPr>
        <w:t>.</w:t>
      </w:r>
      <w:r w:rsidR="00F26474">
        <w:rPr>
          <w:lang w:val="en-GB"/>
        </w:rPr>
        <w:t xml:space="preserve"> </w:t>
      </w:r>
      <w:r w:rsidR="006179F3">
        <w:rPr>
          <w:lang w:val="en-GB"/>
        </w:rPr>
        <w:t xml:space="preserve">This is evident from the </w:t>
      </w:r>
      <w:r w:rsidR="000104D2">
        <w:rPr>
          <w:lang w:val="en-GB"/>
        </w:rPr>
        <w:t>e</w:t>
      </w:r>
      <w:r w:rsidR="00F26474">
        <w:rPr>
          <w:lang w:val="en-GB"/>
        </w:rPr>
        <w:t>ffluent pH</w:t>
      </w:r>
      <w:r w:rsidR="006179F3">
        <w:rPr>
          <w:lang w:val="en-GB"/>
        </w:rPr>
        <w:t xml:space="preserve"> </w:t>
      </w:r>
      <w:r w:rsidR="000104D2">
        <w:rPr>
          <w:lang w:val="en-GB"/>
        </w:rPr>
        <w:t>which</w:t>
      </w:r>
      <w:r w:rsidR="006179F3">
        <w:rPr>
          <w:lang w:val="en-GB"/>
        </w:rPr>
        <w:t xml:space="preserve"> </w:t>
      </w:r>
      <w:r w:rsidR="0058048B">
        <w:rPr>
          <w:lang w:val="en-GB"/>
        </w:rPr>
        <w:t xml:space="preserve">steadied </w:t>
      </w:r>
      <w:r w:rsidR="006179F3">
        <w:rPr>
          <w:lang w:val="en-GB"/>
        </w:rPr>
        <w:t>above 7 due to the alkalinity produced in the reactor</w:t>
      </w:r>
      <w:r w:rsidR="000872AD">
        <w:rPr>
          <w:lang w:val="en-GB"/>
        </w:rPr>
        <w:t xml:space="preserve">, as shown in Eq(2). </w:t>
      </w:r>
      <w:r w:rsidR="00473218" w:rsidRPr="00E72E8A">
        <w:rPr>
          <w:lang w:val="en-GB"/>
        </w:rPr>
        <w:t xml:space="preserve">At 10 </w:t>
      </w:r>
      <w:r w:rsidR="00473218" w:rsidRPr="00E72E8A">
        <w:rPr>
          <w:rFonts w:cs="Arial"/>
          <w:lang w:val="en-GB"/>
        </w:rPr>
        <w:t>°</w:t>
      </w:r>
      <w:r w:rsidR="00473218" w:rsidRPr="00E72E8A">
        <w:rPr>
          <w:lang w:val="en-GB"/>
        </w:rPr>
        <w:t xml:space="preserve">C however, the redox potential </w:t>
      </w:r>
      <w:r w:rsidR="00473218">
        <w:rPr>
          <w:lang w:val="en-GB"/>
        </w:rPr>
        <w:t>increased</w:t>
      </w:r>
      <w:r w:rsidR="00473218" w:rsidRPr="00E72E8A">
        <w:rPr>
          <w:lang w:val="en-GB"/>
        </w:rPr>
        <w:t xml:space="preserve"> over time stabilizing between -400 mV and -350 mV after day 73.</w:t>
      </w:r>
      <w:r w:rsidR="002A1AD0">
        <w:rPr>
          <w:lang w:val="en-GB"/>
        </w:rPr>
        <w:t xml:space="preserve"> </w:t>
      </w:r>
      <w:r w:rsidR="00726129">
        <w:rPr>
          <w:lang w:val="en-GB"/>
        </w:rPr>
        <w:t xml:space="preserve">Although reductive conditions were reached, </w:t>
      </w:r>
      <w:r w:rsidR="00726129">
        <w:rPr>
          <w:lang w:val="en-GB"/>
        </w:rPr>
        <w:lastRenderedPageBreak/>
        <w:t xml:space="preserve">due </w:t>
      </w:r>
      <w:r w:rsidR="00DA6EA5">
        <w:rPr>
          <w:lang w:val="en-GB"/>
        </w:rPr>
        <w:t>to the low</w:t>
      </w:r>
      <w:r w:rsidR="00E95DF2">
        <w:rPr>
          <w:lang w:val="en-GB"/>
        </w:rPr>
        <w:t xml:space="preserve"> temperature and subsequent decrease in</w:t>
      </w:r>
      <w:r w:rsidR="008B3B2B">
        <w:rPr>
          <w:lang w:val="en-GB"/>
        </w:rPr>
        <w:t xml:space="preserve"> SRB metabolic activity,</w:t>
      </w:r>
      <w:r w:rsidR="00E95DF2">
        <w:rPr>
          <w:lang w:val="en-GB"/>
        </w:rPr>
        <w:t xml:space="preserve"> the biochemical cycle required for sulphate reduction was not efficient.</w:t>
      </w:r>
      <w:r w:rsidR="00E328D4">
        <w:rPr>
          <w:lang w:val="en-GB"/>
        </w:rPr>
        <w:t xml:space="preserve"> </w:t>
      </w:r>
      <w:r w:rsidR="005C4898">
        <w:rPr>
          <w:lang w:val="en-GB"/>
        </w:rPr>
        <w:t>The decrease in the metabolic activity of SRB</w:t>
      </w:r>
      <w:r w:rsidR="00E67F1D">
        <w:rPr>
          <w:lang w:val="en-GB"/>
        </w:rPr>
        <w:t xml:space="preserve"> </w:t>
      </w:r>
      <w:r w:rsidR="005C4898">
        <w:rPr>
          <w:lang w:val="en-GB"/>
        </w:rPr>
        <w:t xml:space="preserve">resulted in less alkalinity being produced which explains </w:t>
      </w:r>
      <w:r w:rsidR="00E02D6B">
        <w:rPr>
          <w:lang w:val="en-GB"/>
        </w:rPr>
        <w:t>the decrease in effluent pH at this temperature.</w:t>
      </w:r>
      <w:r w:rsidR="005C4898">
        <w:rPr>
          <w:lang w:val="en-GB"/>
        </w:rPr>
        <w:t xml:space="preserve"> </w:t>
      </w:r>
    </w:p>
    <w:p w:rsidR="00E03E18" w:rsidRDefault="00EF4F22" w:rsidP="0069745A">
      <w:pPr>
        <w:pStyle w:val="CETBodytext"/>
        <w:rPr>
          <w:lang w:val="en-GB"/>
        </w:rPr>
      </w:pPr>
      <w:r>
        <w:rPr>
          <w:lang w:val="en-GB"/>
        </w:rPr>
        <w:t>S</w:t>
      </w:r>
      <w:r w:rsidR="002A1AD0">
        <w:rPr>
          <w:lang w:val="en-GB"/>
        </w:rPr>
        <w:t xml:space="preserve">ulphate reduction </w:t>
      </w:r>
      <w:r w:rsidR="002A1AD0" w:rsidRPr="00E72E8A">
        <w:rPr>
          <w:lang w:val="en-GB"/>
        </w:rPr>
        <w:t xml:space="preserve">was </w:t>
      </w:r>
      <w:r w:rsidR="002A1AD0">
        <w:rPr>
          <w:lang w:val="en-GB"/>
        </w:rPr>
        <w:t>maintained</w:t>
      </w:r>
      <w:r w:rsidR="003B3396">
        <w:rPr>
          <w:lang w:val="en-GB"/>
        </w:rPr>
        <w:t xml:space="preserve"> above 90 % remaining fairly constant</w:t>
      </w:r>
      <w:r w:rsidR="002A1AD0" w:rsidRPr="00E72E8A">
        <w:rPr>
          <w:lang w:val="en-GB"/>
        </w:rPr>
        <w:t xml:space="preserve"> around 99 % after day 75</w:t>
      </w:r>
      <w:r>
        <w:rPr>
          <w:lang w:val="en-GB"/>
        </w:rPr>
        <w:t xml:space="preserve"> at 30 </w:t>
      </w:r>
      <w:r w:rsidRPr="00E72E8A">
        <w:rPr>
          <w:rFonts w:cs="Arial"/>
          <w:lang w:val="en-GB"/>
        </w:rPr>
        <w:t>°</w:t>
      </w:r>
      <w:r w:rsidRPr="00E72E8A">
        <w:rPr>
          <w:lang w:val="en-GB"/>
        </w:rPr>
        <w:t>C</w:t>
      </w:r>
      <w:r w:rsidR="002A1AD0">
        <w:rPr>
          <w:lang w:val="en-GB"/>
        </w:rPr>
        <w:t xml:space="preserve">, </w:t>
      </w:r>
      <w:r w:rsidR="0058048B">
        <w:rPr>
          <w:lang w:val="en-GB"/>
        </w:rPr>
        <w:t xml:space="preserve">as depicted </w:t>
      </w:r>
      <w:r w:rsidR="002A1AD0">
        <w:rPr>
          <w:lang w:val="en-GB"/>
        </w:rPr>
        <w:t>in Figure 2</w:t>
      </w:r>
      <w:r w:rsidR="00CA781F">
        <w:rPr>
          <w:lang w:val="en-GB"/>
        </w:rPr>
        <w:t xml:space="preserve">. This </w:t>
      </w:r>
      <w:r w:rsidR="00817751">
        <w:rPr>
          <w:lang w:val="en-GB"/>
        </w:rPr>
        <w:t xml:space="preserve">can be </w:t>
      </w:r>
      <w:r w:rsidR="008E6B6A">
        <w:rPr>
          <w:lang w:val="en-GB"/>
        </w:rPr>
        <w:t xml:space="preserve">attributed to the </w:t>
      </w:r>
      <w:r w:rsidR="008E6B6A" w:rsidRPr="003C0DA4">
        <w:rPr>
          <w:noProof/>
          <w:lang w:val="en-GB"/>
        </w:rPr>
        <w:t>optimal</w:t>
      </w:r>
      <w:r w:rsidR="008E6B6A">
        <w:rPr>
          <w:lang w:val="en-GB"/>
        </w:rPr>
        <w:t xml:space="preserve"> metabolic performance of SRB at this temperature</w:t>
      </w:r>
      <w:r w:rsidR="00F42F25">
        <w:rPr>
          <w:noProof/>
          <w:lang w:val="en-GB"/>
        </w:rPr>
        <w:t>.</w:t>
      </w:r>
      <w:r w:rsidR="00F42F25" w:rsidRPr="00E72E8A">
        <w:rPr>
          <w:lang w:val="en-GB"/>
        </w:rPr>
        <w:t xml:space="preserve"> </w:t>
      </w:r>
      <w:r w:rsidR="00934F08">
        <w:rPr>
          <w:lang w:val="en-GB"/>
        </w:rPr>
        <w:t xml:space="preserve">At </w:t>
      </w:r>
      <w:r w:rsidR="00CE0B7F" w:rsidRPr="00E72E8A">
        <w:rPr>
          <w:lang w:val="en-GB"/>
        </w:rPr>
        <w:t xml:space="preserve">10 </w:t>
      </w:r>
      <w:r w:rsidR="00CE0B7F" w:rsidRPr="00E72E8A">
        <w:rPr>
          <w:rFonts w:cs="Arial"/>
          <w:lang w:val="en-GB"/>
        </w:rPr>
        <w:t>°</w:t>
      </w:r>
      <w:r w:rsidR="00CE0B7F" w:rsidRPr="00E72E8A">
        <w:rPr>
          <w:lang w:val="en-GB"/>
        </w:rPr>
        <w:t>C</w:t>
      </w:r>
      <w:r w:rsidR="00934F08">
        <w:rPr>
          <w:lang w:val="en-GB"/>
        </w:rPr>
        <w:t>, sulphate reduction</w:t>
      </w:r>
      <w:r w:rsidR="00CE0B7F" w:rsidRPr="00E72E8A">
        <w:rPr>
          <w:lang w:val="en-GB"/>
        </w:rPr>
        <w:t xml:space="preserve"> also indicated</w:t>
      </w:r>
      <w:r w:rsidR="00060B00">
        <w:rPr>
          <w:lang w:val="en-GB"/>
        </w:rPr>
        <w:t xml:space="preserve"> a </w:t>
      </w:r>
      <w:r w:rsidR="00CE0B7F" w:rsidRPr="00E72E8A">
        <w:rPr>
          <w:lang w:val="en-GB"/>
        </w:rPr>
        <w:t xml:space="preserve">decrease in SRB activity </w:t>
      </w:r>
      <w:r w:rsidR="001F6DC0">
        <w:rPr>
          <w:lang w:val="en-GB"/>
        </w:rPr>
        <w:t xml:space="preserve">as evident from the decline in </w:t>
      </w:r>
      <w:r w:rsidR="00742E2C" w:rsidRPr="006C25E9">
        <w:rPr>
          <w:lang w:val="en-GB"/>
        </w:rPr>
        <w:t xml:space="preserve">sulphate reduction </w:t>
      </w:r>
      <w:r w:rsidR="00CE0B7F" w:rsidRPr="006C25E9">
        <w:rPr>
          <w:lang w:val="en-GB"/>
        </w:rPr>
        <w:t>from 88 % at day 61 to 67 % at da</w:t>
      </w:r>
      <w:r w:rsidR="00742E2C" w:rsidRPr="006C25E9">
        <w:rPr>
          <w:lang w:val="en-GB"/>
        </w:rPr>
        <w:t>y</w:t>
      </w:r>
      <w:r w:rsidR="00CE0B7F" w:rsidRPr="004B5469">
        <w:rPr>
          <w:lang w:val="en-GB"/>
        </w:rPr>
        <w:t xml:space="preserve"> 81. </w:t>
      </w:r>
      <w:r w:rsidR="0054238B" w:rsidRPr="004B5469">
        <w:rPr>
          <w:lang w:val="en-GB"/>
        </w:rPr>
        <w:t xml:space="preserve">After day 81, the sulphate reduction increased from 67 % to about 74 %. </w:t>
      </w:r>
      <w:r w:rsidR="00E72E8A">
        <w:rPr>
          <w:lang w:val="en-GB"/>
        </w:rPr>
        <w:t>This might have been due to SRB acclimatising</w:t>
      </w:r>
      <w:r w:rsidR="0054238B" w:rsidRPr="00E72E8A">
        <w:rPr>
          <w:lang w:val="en-GB"/>
        </w:rPr>
        <w:t xml:space="preserve"> to the low temperature and hence the increase in sulphate reduction.</w:t>
      </w:r>
      <w:r w:rsidR="006A37BD">
        <w:rPr>
          <w:lang w:val="en-GB"/>
        </w:rPr>
        <w:t xml:space="preserve"> </w:t>
      </w:r>
      <w:r w:rsidR="007D0677" w:rsidRPr="0069745A">
        <w:rPr>
          <w:lang w:val="en-GB"/>
        </w:rPr>
        <w:t xml:space="preserve">From the results presented, it is </w:t>
      </w:r>
      <w:r w:rsidR="00FF6D26">
        <w:rPr>
          <w:lang w:val="en-GB"/>
        </w:rPr>
        <w:t>can be seen that the decrease in</w:t>
      </w:r>
      <w:r w:rsidR="007D0677" w:rsidRPr="0069745A">
        <w:rPr>
          <w:lang w:val="en-GB"/>
        </w:rPr>
        <w:t xml:space="preserve"> temperature ha</w:t>
      </w:r>
      <w:r w:rsidR="005D00BC">
        <w:rPr>
          <w:lang w:val="en-GB"/>
        </w:rPr>
        <w:t>s a</w:t>
      </w:r>
      <w:r w:rsidR="00EA34AF">
        <w:rPr>
          <w:lang w:val="en-GB"/>
        </w:rPr>
        <w:t xml:space="preserve"> notable</w:t>
      </w:r>
      <w:r w:rsidR="005D00BC">
        <w:rPr>
          <w:lang w:val="en-GB"/>
        </w:rPr>
        <w:t xml:space="preserve"> impact on SRB activity</w:t>
      </w:r>
      <w:r w:rsidR="001C5401">
        <w:rPr>
          <w:lang w:val="en-GB"/>
        </w:rPr>
        <w:t>.</w:t>
      </w:r>
    </w:p>
    <w:p w:rsidR="00E03E18" w:rsidRPr="0069745A" w:rsidRDefault="00E03E18" w:rsidP="0069745A">
      <w:pPr>
        <w:pStyle w:val="CETBodytext"/>
        <w:rPr>
          <w:lang w:val="en-GB"/>
        </w:rPr>
      </w:pPr>
    </w:p>
    <w:p w:rsidR="00B300CC" w:rsidRPr="001F2409" w:rsidRDefault="00EF4F22">
      <w:pPr>
        <w:pStyle w:val="CETBodytext"/>
        <w:rPr>
          <w:lang w:val="en-GB"/>
        </w:rPr>
      </w:pPr>
      <w:r w:rsidRPr="001F2409">
        <w:rPr>
          <w:noProof/>
        </w:rPr>
        <w:drawing>
          <wp:inline distT="0" distB="0" distL="0" distR="0">
            <wp:extent cx="5524500" cy="30003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6A7A" w:rsidRDefault="00EF4F22" w:rsidP="003F6EBD">
      <w:pPr>
        <w:pStyle w:val="CETCaption"/>
      </w:pPr>
      <w:r w:rsidRPr="00F77866">
        <w:t xml:space="preserve">Figure </w:t>
      </w:r>
      <w:r w:rsidR="00E579E0">
        <w:t>2</w:t>
      </w:r>
      <w:r w:rsidRPr="00F77866">
        <w:t xml:space="preserve">: </w:t>
      </w:r>
      <w:r w:rsidR="00442FC5">
        <w:t>Temperature effect</w:t>
      </w:r>
      <w:r w:rsidRPr="00F77866">
        <w:t xml:space="preserve"> on sulphate reduction</w:t>
      </w:r>
      <w:r w:rsidR="000610E9">
        <w:t>.</w:t>
      </w:r>
      <w:r w:rsidRPr="00F77866">
        <w:t xml:space="preserve"> </w:t>
      </w:r>
    </w:p>
    <w:p w:rsidR="002B3860" w:rsidRDefault="00EF4F22" w:rsidP="002B3860">
      <w:pPr>
        <w:pStyle w:val="CETheadingx"/>
      </w:pPr>
      <w:r>
        <w:t>The effect of pH</w:t>
      </w:r>
    </w:p>
    <w:p w:rsidR="002B3860" w:rsidRDefault="00EF4F22" w:rsidP="00950E53">
      <w:pPr>
        <w:pStyle w:val="CETBodytext"/>
        <w:rPr>
          <w:lang w:val="en-GB"/>
        </w:rPr>
      </w:pPr>
      <w:r>
        <w:rPr>
          <w:lang w:val="en-GB"/>
        </w:rPr>
        <w:t xml:space="preserve">As mentioned before, the two reactors were operated at the same conditions during </w:t>
      </w:r>
      <w:r w:rsidRPr="0096565E">
        <w:rPr>
          <w:noProof/>
          <w:lang w:val="en-GB"/>
        </w:rPr>
        <w:t>startup</w:t>
      </w:r>
      <w:r>
        <w:rPr>
          <w:lang w:val="en-GB"/>
        </w:rPr>
        <w:t xml:space="preserve">. The pH in reactor 2 was reduced from pH 6 to pH 5 a week before day 61, the sulphate reduction before the drop was </w:t>
      </w:r>
      <w:r w:rsidRPr="003C0DA4">
        <w:rPr>
          <w:noProof/>
          <w:lang w:val="en-GB"/>
        </w:rPr>
        <w:t>stable</w:t>
      </w:r>
      <w:r w:rsidR="00545734">
        <w:rPr>
          <w:noProof/>
          <w:lang w:val="en-GB"/>
        </w:rPr>
        <w:t xml:space="preserve"> at</w:t>
      </w:r>
      <w:r>
        <w:rPr>
          <w:lang w:val="en-GB"/>
        </w:rPr>
        <w:t xml:space="preserve"> 98 % (data not shown). Due to this drop in pH, sulphate reduction decreased to 92.5 % but started to increase gradually reaching maximum on day 74 as shown in Figure 3. </w:t>
      </w:r>
      <w:r>
        <w:rPr>
          <w:lang w:val="en-GB"/>
        </w:rPr>
        <w:fldChar w:fldCharType="begin"/>
      </w:r>
      <w:r>
        <w:rPr>
          <w:lang w:val="en-GB"/>
        </w:rPr>
        <w:instrText xml:space="preserve"> ADDIN EN.CITE &lt;EndNote&gt;&lt;Cite AuthorYear="1"&gt;&lt;Author&gt;Jong&lt;/Author&gt;&lt;Year&gt;2006&lt;/Year&gt;&lt;RecNum&gt;67&lt;/RecNum&gt;&lt;DisplayText&gt;Jong and Parry (2006)&lt;/DisplayText&gt;&lt;record&gt;&lt;rec-number&gt;67&lt;/rec-number&gt;&lt;foreign-keys&gt;&lt;key app="EN" db-id="x0xrxsape2ae5ge5zwexzsz1a0fwdva5zvpe" timestamp="1532507744"&gt;67&lt;/key&gt;&lt;key app="ENWeb" db-id=""&gt;0&lt;/key&gt;&lt;/foreign-keys&gt;&lt;ref-type name="Journal Article"&gt;17&lt;/ref-type&gt;&lt;contributors&gt;&lt;authors&gt;&lt;author&gt;Jong, T.&lt;/author&gt;&lt;author&gt;Parry, D. L.&lt;/author&gt;&lt;/authors&gt;&lt;/contributors&gt;&lt;auth-address&gt;Environmental Analytical Chemistry Unit, School of Science, Faculty of Education, Health and Science, Charles Darwin University, Darwin, Northern Territory 0909, Australia. t.jong@uq.edu.au&lt;/auth-address&gt;&lt;titles&gt;&lt;title&gt;Microbial sulfate reduction under sequentially acidic conditions in an upflow anaerobic packed bed bioreactor&lt;/title&gt;&lt;secondary-title&gt;Water Res&lt;/secondary-title&gt;&lt;/titles&gt;&lt;periodical&gt;&lt;full-title&gt;Water Res&lt;/full-title&gt;&lt;/periodical&gt;&lt;pages&gt;2561-71&lt;/pages&gt;&lt;volume&gt;40&lt;/volume&gt;&lt;number&gt;13&lt;/number&gt;&lt;edition&gt;2006/07/04&lt;/edition&gt;&lt;keywords&gt;&lt;keyword&gt;Acids/*pharmacology&lt;/keyword&gt;&lt;keyword&gt;Bacteria, Anaerobic/metabolism&lt;/keyword&gt;&lt;keyword&gt;*Biodegradation, Environmental&lt;/keyword&gt;&lt;keyword&gt;Bioreactors/*microbiology&lt;/keyword&gt;&lt;keyword&gt;Conductometry&lt;/keyword&gt;&lt;keyword&gt;Efficiency&lt;/keyword&gt;&lt;keyword&gt;Lactic Acid/metabolism&lt;/keyword&gt;&lt;keyword&gt;Oxidation-Reduction&lt;/keyword&gt;&lt;keyword&gt;Quality Control&lt;/keyword&gt;&lt;keyword&gt;Sulfates/*metabolism&lt;/keyword&gt;&lt;keyword&gt;Sulfides/metabolism&lt;/keyword&gt;&lt;keyword&gt;Sulfur-Reducing Bacteria/*growth &amp;amp; development/*metabolism&lt;/keyword&gt;&lt;/keywords&gt;&lt;dates&gt;&lt;year&gt;2006&lt;/year&gt;&lt;pub-dates&gt;&lt;date&gt;Jul&lt;/date&gt;&lt;/pub-dates&gt;&lt;/dates&gt;&lt;isbn&gt;0043-1354 (Print)&amp;#xD;0043-1354 (Linking)&lt;/isbn&gt;&lt;accession-num&gt;16814360&lt;/accession-num&gt;&lt;urls&gt;&lt;related-urls&gt;&lt;url&gt;https://www.ncbi.nlm.nih.gov/pubmed/16814360&lt;/url&gt;&lt;/related-urls&gt;&lt;/urls&gt;&lt;electronic-resource-num&gt;10.1016/j.watres.2006.05.001&lt;/electronic-resource-num&gt;&lt;/record&gt;&lt;/Cite&gt;&lt;/EndNote&gt;</w:instrText>
      </w:r>
      <w:r>
        <w:rPr>
          <w:lang w:val="en-GB"/>
        </w:rPr>
        <w:fldChar w:fldCharType="separate"/>
      </w:r>
      <w:r>
        <w:rPr>
          <w:noProof/>
          <w:lang w:val="en-GB"/>
        </w:rPr>
        <w:t>Jong and Parry (2006)</w:t>
      </w:r>
      <w:r>
        <w:rPr>
          <w:lang w:val="en-GB"/>
        </w:rPr>
        <w:fldChar w:fldCharType="end"/>
      </w:r>
      <w:r>
        <w:rPr>
          <w:lang w:val="en-GB"/>
        </w:rPr>
        <w:t xml:space="preserve"> observed the same trend when they decreased the pH in their study. This was because an adaptation period was required </w:t>
      </w:r>
      <w:r w:rsidRPr="009916C1">
        <w:t>by</w:t>
      </w:r>
      <w:r>
        <w:rPr>
          <w:lang w:val="en-GB"/>
        </w:rPr>
        <w:t xml:space="preserve"> SRB to adjust to the new pH environment. After acclimatisation, sulphate reduction increased and </w:t>
      </w:r>
      <w:r w:rsidR="007D718F">
        <w:rPr>
          <w:lang w:val="en-GB"/>
        </w:rPr>
        <w:t>stabilised between</w:t>
      </w:r>
      <w:r>
        <w:rPr>
          <w:lang w:val="en-GB"/>
        </w:rPr>
        <w:t xml:space="preserve"> 98 % and 99 % after day 75. Sulphate reduction in reactor 1</w:t>
      </w:r>
      <w:r w:rsidR="00AB7BE6">
        <w:rPr>
          <w:lang w:val="en-GB"/>
        </w:rPr>
        <w:t xml:space="preserve"> (pH 6)</w:t>
      </w:r>
      <w:r>
        <w:rPr>
          <w:lang w:val="en-GB"/>
        </w:rPr>
        <w:t xml:space="preserve"> remained fairly constant between 97 % and 99 % throughout the experiment. Comparing sulphate reduction at pH 5 and pH 6, it can be seen that there was little impact due to the drop in pH. Given enough time, SRB </w:t>
      </w:r>
      <w:r w:rsidRPr="003C0DA4">
        <w:rPr>
          <w:noProof/>
          <w:lang w:val="en-GB"/>
        </w:rPr>
        <w:t>acclimatise</w:t>
      </w:r>
      <w:r w:rsidR="00545734">
        <w:rPr>
          <w:noProof/>
          <w:lang w:val="en-GB"/>
        </w:rPr>
        <w:t>s</w:t>
      </w:r>
      <w:r>
        <w:rPr>
          <w:lang w:val="en-GB"/>
        </w:rPr>
        <w:t xml:space="preserve"> to the new conditions sufficiently to return to </w:t>
      </w:r>
      <w:r w:rsidRPr="001A2DD7">
        <w:rPr>
          <w:lang w:val="en-GB"/>
        </w:rPr>
        <w:t xml:space="preserve">similar </w:t>
      </w:r>
      <w:r w:rsidRPr="00767F1C">
        <w:rPr>
          <w:lang w:val="en-GB"/>
        </w:rPr>
        <w:t>sulphate reduction performances of higher a pH</w:t>
      </w:r>
      <w:r w:rsidRPr="001A2DD7">
        <w:rPr>
          <w:lang w:val="en-GB"/>
        </w:rPr>
        <w:t>.</w:t>
      </w:r>
      <w:r>
        <w:rPr>
          <w:lang w:val="en-GB"/>
        </w:rPr>
        <w:t xml:space="preserve"> After acclimatising to the new conditions, reactor 2 is seen to be performing marginally better than reactor 1 although the difference does not appear to be significant (p = 0.06, for </w:t>
      </w:r>
      <w:r w:rsidR="00F31A88">
        <w:rPr>
          <w:lang w:val="en-GB"/>
        </w:rPr>
        <w:t xml:space="preserve">a </w:t>
      </w:r>
      <w:r w:rsidRPr="003C0DA4">
        <w:rPr>
          <w:noProof/>
          <w:lang w:val="en-GB"/>
        </w:rPr>
        <w:t>period</w:t>
      </w:r>
      <w:r>
        <w:rPr>
          <w:lang w:val="en-GB"/>
        </w:rPr>
        <w:t xml:space="preserve"> of stable reduction values). From the results presented in Figure 3, it can be concluded that pH 5 and pH 6 yields similar sulphate reduction efficiency, with pH 5 yielding higher sulphate reduction. This was expected as the studied pHs falls within the optimum pH for SRB.</w:t>
      </w:r>
    </w:p>
    <w:p w:rsidR="003F6EBD" w:rsidRDefault="00EF4F22" w:rsidP="00950E53">
      <w:pPr>
        <w:pStyle w:val="CETBodytext"/>
      </w:pPr>
      <w:r w:rsidRPr="00C00A4C">
        <w:rPr>
          <w:noProof/>
        </w:rPr>
        <w:lastRenderedPageBreak/>
        <w:drawing>
          <wp:inline distT="0" distB="0" distL="0" distR="0">
            <wp:extent cx="5486400" cy="29718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F6EBD" w:rsidRPr="006974FE" w:rsidRDefault="00EF4F22" w:rsidP="003F6EBD">
      <w:pPr>
        <w:pStyle w:val="CETCaption"/>
      </w:pPr>
      <w:r>
        <w:t>Figure 3: pH effect of sulphate reduction</w:t>
      </w:r>
    </w:p>
    <w:p w:rsidR="00D203A1" w:rsidRDefault="00EF4F22" w:rsidP="00D203A1">
      <w:pPr>
        <w:pStyle w:val="CETheadingx"/>
      </w:pPr>
      <w:r>
        <w:t>Metal removal</w:t>
      </w:r>
    </w:p>
    <w:p w:rsidR="006974FE" w:rsidRPr="00153382" w:rsidRDefault="00EF4F22" w:rsidP="006974FE">
      <w:pPr>
        <w:pStyle w:val="CETBodytext"/>
        <w:rPr>
          <w:lang w:val="en-GB"/>
        </w:rPr>
      </w:pPr>
      <w:r w:rsidRPr="00153382">
        <w:rPr>
          <w:lang w:val="en-GB"/>
        </w:rPr>
        <w:t xml:space="preserve">Metal </w:t>
      </w:r>
      <w:r w:rsidR="00A12E21">
        <w:rPr>
          <w:lang w:val="en-GB"/>
        </w:rPr>
        <w:t>concentration</w:t>
      </w:r>
      <w:r w:rsidR="00C05E98">
        <w:rPr>
          <w:lang w:val="en-GB"/>
        </w:rPr>
        <w:t>s</w:t>
      </w:r>
      <w:r w:rsidRPr="00153382">
        <w:rPr>
          <w:lang w:val="en-GB"/>
        </w:rPr>
        <w:t xml:space="preserve"> after </w:t>
      </w:r>
      <w:r w:rsidR="00DC36F3">
        <w:rPr>
          <w:lang w:val="en-GB"/>
        </w:rPr>
        <w:t>pH adjustment</w:t>
      </w:r>
      <w:r w:rsidR="00DC36F3" w:rsidRPr="00153382">
        <w:rPr>
          <w:lang w:val="en-GB"/>
        </w:rPr>
        <w:t xml:space="preserve"> </w:t>
      </w:r>
      <w:r w:rsidRPr="00153382">
        <w:rPr>
          <w:lang w:val="en-GB"/>
        </w:rPr>
        <w:t xml:space="preserve">and at the end of each experiment are </w:t>
      </w:r>
      <w:r w:rsidR="009416ED" w:rsidRPr="00153382">
        <w:rPr>
          <w:lang w:val="en-GB"/>
        </w:rPr>
        <w:t>presented</w:t>
      </w:r>
      <w:r w:rsidRPr="00153382">
        <w:rPr>
          <w:lang w:val="en-GB"/>
        </w:rPr>
        <w:t xml:space="preserve"> in Table </w:t>
      </w:r>
      <w:r w:rsidR="00092929">
        <w:rPr>
          <w:lang w:val="en-GB"/>
        </w:rPr>
        <w:t>3</w:t>
      </w:r>
      <w:r w:rsidRPr="00153382">
        <w:rPr>
          <w:lang w:val="en-GB"/>
        </w:rPr>
        <w:t>.</w:t>
      </w:r>
      <w:r w:rsidR="002862C6" w:rsidRPr="00153382">
        <w:rPr>
          <w:lang w:val="en-GB"/>
        </w:rPr>
        <w:t xml:space="preserve"> </w:t>
      </w:r>
      <w:r w:rsidR="00153382">
        <w:rPr>
          <w:lang w:val="en-GB"/>
        </w:rPr>
        <w:t>It is evident that</w:t>
      </w:r>
      <w:r w:rsidR="00A12E21">
        <w:rPr>
          <w:lang w:val="en-GB"/>
        </w:rPr>
        <w:t xml:space="preserve"> biological sulphate reduction process</w:t>
      </w:r>
      <w:r w:rsidR="00153382">
        <w:rPr>
          <w:lang w:val="en-GB"/>
        </w:rPr>
        <w:t xml:space="preserve"> has the potential to remove metals such as Mn, Cu and Zn</w:t>
      </w:r>
      <w:r w:rsidR="00DA546E">
        <w:rPr>
          <w:lang w:val="en-GB"/>
        </w:rPr>
        <w:t>.</w:t>
      </w:r>
      <w:r w:rsidR="00C05E98">
        <w:rPr>
          <w:lang w:val="en-GB"/>
        </w:rPr>
        <w:t xml:space="preserve"> </w:t>
      </w:r>
      <w:r w:rsidR="0064459E">
        <w:rPr>
          <w:lang w:val="en-GB"/>
        </w:rPr>
        <w:t>Reactor 1</w:t>
      </w:r>
      <w:r w:rsidR="00D26BAE">
        <w:rPr>
          <w:lang w:val="en-GB"/>
        </w:rPr>
        <w:t xml:space="preserve"> (30 </w:t>
      </w:r>
      <w:r w:rsidR="00D26BAE" w:rsidRPr="00E72E8A">
        <w:rPr>
          <w:rFonts w:cs="Arial"/>
          <w:lang w:val="en-GB"/>
        </w:rPr>
        <w:t>°</w:t>
      </w:r>
      <w:r w:rsidR="00D26BAE" w:rsidRPr="00E72E8A">
        <w:rPr>
          <w:lang w:val="en-GB"/>
        </w:rPr>
        <w:t>C</w:t>
      </w:r>
      <w:r w:rsidR="00D26BAE">
        <w:rPr>
          <w:lang w:val="en-GB"/>
        </w:rPr>
        <w:t>, pH 6)</w:t>
      </w:r>
      <w:r w:rsidR="0064459E">
        <w:rPr>
          <w:lang w:val="en-GB"/>
        </w:rPr>
        <w:t>, 2</w:t>
      </w:r>
      <w:r w:rsidR="00D26BAE">
        <w:rPr>
          <w:lang w:val="en-GB"/>
        </w:rPr>
        <w:t xml:space="preserve"> (30 </w:t>
      </w:r>
      <w:r w:rsidR="00D26BAE" w:rsidRPr="00E72E8A">
        <w:rPr>
          <w:rFonts w:cs="Arial"/>
          <w:lang w:val="en-GB"/>
        </w:rPr>
        <w:t>°</w:t>
      </w:r>
      <w:r w:rsidR="00D26BAE" w:rsidRPr="00E72E8A">
        <w:rPr>
          <w:lang w:val="en-GB"/>
        </w:rPr>
        <w:t>C</w:t>
      </w:r>
      <w:r w:rsidR="00D26BAE">
        <w:rPr>
          <w:lang w:val="en-GB"/>
        </w:rPr>
        <w:t>, pH 5)</w:t>
      </w:r>
      <w:r w:rsidR="0064459E">
        <w:rPr>
          <w:lang w:val="en-GB"/>
        </w:rPr>
        <w:t xml:space="preserve"> and 3</w:t>
      </w:r>
      <w:r w:rsidR="00D26BAE">
        <w:rPr>
          <w:lang w:val="en-GB"/>
        </w:rPr>
        <w:t xml:space="preserve"> (10 </w:t>
      </w:r>
      <w:r w:rsidR="00D26BAE" w:rsidRPr="00E72E8A">
        <w:rPr>
          <w:rFonts w:cs="Arial"/>
          <w:lang w:val="en-GB"/>
        </w:rPr>
        <w:t>°</w:t>
      </w:r>
      <w:r w:rsidR="00D26BAE" w:rsidRPr="00E72E8A">
        <w:rPr>
          <w:lang w:val="en-GB"/>
        </w:rPr>
        <w:t>C</w:t>
      </w:r>
      <w:r w:rsidR="00D26BAE">
        <w:rPr>
          <w:lang w:val="en-GB"/>
        </w:rPr>
        <w:t>, pH 5)</w:t>
      </w:r>
      <w:r w:rsidR="0064459E">
        <w:rPr>
          <w:lang w:val="en-GB"/>
        </w:rPr>
        <w:t xml:space="preserve"> achieved </w:t>
      </w:r>
      <w:r w:rsidR="0080268D">
        <w:rPr>
          <w:lang w:val="en-GB"/>
        </w:rPr>
        <w:t>85.9</w:t>
      </w:r>
      <w:r w:rsidR="0064459E">
        <w:rPr>
          <w:lang w:val="en-GB"/>
        </w:rPr>
        <w:t>%, 80.7% and 74.8% Mn removal</w:t>
      </w:r>
      <w:r w:rsidR="007613A6">
        <w:rPr>
          <w:lang w:val="en-GB"/>
        </w:rPr>
        <w:t xml:space="preserve"> </w:t>
      </w:r>
      <w:r w:rsidR="0064459E">
        <w:rPr>
          <w:lang w:val="en-GB"/>
        </w:rPr>
        <w:t xml:space="preserve">respectively. </w:t>
      </w:r>
      <w:r w:rsidR="007613A6">
        <w:rPr>
          <w:lang w:val="en-GB"/>
        </w:rPr>
        <w:t>Reactor 1 show</w:t>
      </w:r>
      <w:r w:rsidR="006626C2">
        <w:rPr>
          <w:lang w:val="en-GB"/>
        </w:rPr>
        <w:t>ed better performance</w:t>
      </w:r>
      <w:r w:rsidR="007613A6">
        <w:rPr>
          <w:lang w:val="en-GB"/>
        </w:rPr>
        <w:t xml:space="preserve"> due to </w:t>
      </w:r>
      <w:r w:rsidR="009851D8">
        <w:rPr>
          <w:lang w:val="en-GB"/>
        </w:rPr>
        <w:t>the favourable conditions under which it was operating</w:t>
      </w:r>
      <w:r w:rsidR="004C2D17">
        <w:rPr>
          <w:lang w:val="en-GB"/>
        </w:rPr>
        <w:t xml:space="preserve">. </w:t>
      </w:r>
      <w:r w:rsidR="008E5B94">
        <w:rPr>
          <w:lang w:val="en-GB"/>
        </w:rPr>
        <w:t>Most</w:t>
      </w:r>
      <w:r w:rsidR="004C2D17">
        <w:rPr>
          <w:lang w:val="en-GB"/>
        </w:rPr>
        <w:t xml:space="preserve"> of the Al, Cu and Zn was precipitated during the </w:t>
      </w:r>
      <w:r w:rsidR="00CC33DA">
        <w:rPr>
          <w:lang w:val="en-GB"/>
        </w:rPr>
        <w:t xml:space="preserve">adjustment </w:t>
      </w:r>
      <w:r w:rsidR="004C2D17">
        <w:rPr>
          <w:lang w:val="en-GB"/>
        </w:rPr>
        <w:t>step</w:t>
      </w:r>
      <w:r w:rsidR="009851D8">
        <w:rPr>
          <w:lang w:val="en-GB"/>
        </w:rPr>
        <w:t xml:space="preserve"> probably </w:t>
      </w:r>
      <w:r w:rsidR="006626C2">
        <w:rPr>
          <w:lang w:val="en-GB"/>
        </w:rPr>
        <w:t xml:space="preserve">as </w:t>
      </w:r>
      <w:r w:rsidR="009851D8">
        <w:rPr>
          <w:lang w:val="en-GB"/>
        </w:rPr>
        <w:t xml:space="preserve">hydroxides or oxyhydroxides </w:t>
      </w:r>
      <w:r w:rsidR="00F80826">
        <w:rPr>
          <w:lang w:val="en-GB"/>
        </w:rPr>
        <w:fldChar w:fldCharType="begin"/>
      </w:r>
      <w:r w:rsidR="00F80826">
        <w:rPr>
          <w:lang w:val="en-GB"/>
        </w:rPr>
        <w:instrText xml:space="preserve"> ADDIN EN.CITE &lt;EndNote&gt;&lt;Cite&gt;&lt;Author&gt;Lee&lt;/Author&gt;&lt;Year&gt;2002&lt;/Year&gt;&lt;RecNum&gt;82&lt;/RecNum&gt;&lt;DisplayText&gt;(Lee et al., 2002)&lt;/DisplayText&gt;&lt;record&gt;&lt;rec-number&gt;82&lt;/rec-number&gt;&lt;foreign-keys&gt;&lt;key app="EN" db-id="x0xrxsape2ae5ge5zwexzsz1a0fwdva5zvpe" timestamp="1548710307"&gt;82&lt;/key&gt;&lt;/foreign-keys&gt;&lt;ref-type name="Journal Article"&gt;17&lt;/ref-type&gt;&lt;contributors&gt;&lt;authors&gt;&lt;author&gt;Lee, Giehyeon&lt;/author&gt;&lt;author&gt;Bigham, Jerry M&lt;/author&gt;&lt;author&gt;Faure, Gunter&lt;/author&gt;&lt;/authors&gt;&lt;/contributors&gt;&lt;titles&gt;&lt;title&gt;Removal of trace metals by coprecipitation with Fe, Al and Mn from natural waters contaminated with acid mine drainage in the Ducktown Mining District, Tennessee&lt;/title&gt;&lt;secondary-title&gt;Applied Geochemistry&lt;/secondary-title&gt;&lt;/titles&gt;&lt;periodical&gt;&lt;full-title&gt;Applied Geochemistry&lt;/full-title&gt;&lt;/periodical&gt;&lt;pages&gt;569-581&lt;/pages&gt;&lt;volume&gt;17&lt;/volume&gt;&lt;number&gt;5&lt;/number&gt;&lt;dates&gt;&lt;year&gt;2002&lt;/year&gt;&lt;/dates&gt;&lt;isbn&gt;0883-2927&lt;/isbn&gt;&lt;urls&gt;&lt;/urls&gt;&lt;/record&gt;&lt;/Cite&gt;&lt;/EndNote&gt;</w:instrText>
      </w:r>
      <w:r w:rsidR="00F80826">
        <w:rPr>
          <w:lang w:val="en-GB"/>
        </w:rPr>
        <w:fldChar w:fldCharType="separate"/>
      </w:r>
      <w:r w:rsidR="00F80826">
        <w:rPr>
          <w:noProof/>
          <w:lang w:val="en-GB"/>
        </w:rPr>
        <w:t>(Lee et al., 2002)</w:t>
      </w:r>
      <w:r w:rsidR="00F80826">
        <w:rPr>
          <w:lang w:val="en-GB"/>
        </w:rPr>
        <w:fldChar w:fldCharType="end"/>
      </w:r>
      <w:r w:rsidR="004C2D17">
        <w:rPr>
          <w:lang w:val="en-GB"/>
        </w:rPr>
        <w:t xml:space="preserve">. </w:t>
      </w:r>
      <w:r w:rsidR="00BE7F68">
        <w:rPr>
          <w:lang w:val="en-GB"/>
        </w:rPr>
        <w:t>Conversely</w:t>
      </w:r>
      <w:r w:rsidR="008E5B94">
        <w:rPr>
          <w:lang w:val="en-GB"/>
        </w:rPr>
        <w:t xml:space="preserve">, </w:t>
      </w:r>
      <w:r w:rsidR="001751DE">
        <w:rPr>
          <w:lang w:val="en-GB"/>
        </w:rPr>
        <w:t xml:space="preserve">adjusting </w:t>
      </w:r>
      <w:r w:rsidR="007E6495">
        <w:rPr>
          <w:lang w:val="en-GB"/>
        </w:rPr>
        <w:t xml:space="preserve">the </w:t>
      </w:r>
      <w:r w:rsidR="008E5B94">
        <w:rPr>
          <w:lang w:val="en-GB"/>
        </w:rPr>
        <w:t>AMD</w:t>
      </w:r>
      <w:r w:rsidR="001751DE">
        <w:rPr>
          <w:lang w:val="en-GB"/>
        </w:rPr>
        <w:t xml:space="preserve"> pH</w:t>
      </w:r>
      <w:r w:rsidR="008E5B94">
        <w:rPr>
          <w:lang w:val="en-GB"/>
        </w:rPr>
        <w:t xml:space="preserve"> seems to increase the Mg concentration. </w:t>
      </w:r>
      <w:r w:rsidR="002724DE">
        <w:rPr>
          <w:lang w:val="en-GB"/>
        </w:rPr>
        <w:t xml:space="preserve">Mg concentration before AMD </w:t>
      </w:r>
      <w:r w:rsidR="00C90E38">
        <w:rPr>
          <w:lang w:val="en-GB"/>
        </w:rPr>
        <w:t xml:space="preserve">pH adjustment </w:t>
      </w:r>
      <w:r w:rsidR="002724DE">
        <w:rPr>
          <w:lang w:val="en-GB"/>
        </w:rPr>
        <w:t xml:space="preserve">was </w:t>
      </w:r>
      <w:r w:rsidR="008E5B94">
        <w:rPr>
          <w:lang w:val="en-GB"/>
        </w:rPr>
        <w:t>204.62 mg/L</w:t>
      </w:r>
      <w:r w:rsidR="00941F13">
        <w:rPr>
          <w:lang w:val="en-GB"/>
        </w:rPr>
        <w:t xml:space="preserve"> </w:t>
      </w:r>
      <w:r w:rsidR="008E5B94">
        <w:rPr>
          <w:lang w:val="en-GB"/>
        </w:rPr>
        <w:t xml:space="preserve">but </w:t>
      </w:r>
      <w:r w:rsidR="00C05E98">
        <w:rPr>
          <w:lang w:val="en-GB"/>
        </w:rPr>
        <w:t xml:space="preserve">after </w:t>
      </w:r>
      <w:r w:rsidR="00506A76">
        <w:rPr>
          <w:lang w:val="en-GB"/>
        </w:rPr>
        <w:t xml:space="preserve">adjusting </w:t>
      </w:r>
      <w:r w:rsidR="00C05E98">
        <w:rPr>
          <w:lang w:val="en-GB"/>
        </w:rPr>
        <w:t xml:space="preserve">to pH 5 and pH 6, </w:t>
      </w:r>
      <w:r w:rsidR="00941F13">
        <w:rPr>
          <w:lang w:val="en-GB"/>
        </w:rPr>
        <w:t>the</w:t>
      </w:r>
      <w:r w:rsidR="002724DE">
        <w:rPr>
          <w:lang w:val="en-GB"/>
        </w:rPr>
        <w:t xml:space="preserve"> </w:t>
      </w:r>
      <w:r w:rsidR="00C05E98">
        <w:rPr>
          <w:lang w:val="en-GB"/>
        </w:rPr>
        <w:t xml:space="preserve">concentration increased to </w:t>
      </w:r>
      <w:r w:rsidR="008E5B94">
        <w:rPr>
          <w:lang w:val="en-GB"/>
        </w:rPr>
        <w:t xml:space="preserve">249.06 mg/L and 225.36 mg/L </w:t>
      </w:r>
      <w:r w:rsidR="00C05E98">
        <w:rPr>
          <w:lang w:val="en-GB"/>
        </w:rPr>
        <w:t>r</w:t>
      </w:r>
      <w:r w:rsidR="00817611">
        <w:rPr>
          <w:lang w:val="en-GB"/>
        </w:rPr>
        <w:t>espectively.</w:t>
      </w:r>
      <w:r w:rsidR="005C456E">
        <w:rPr>
          <w:lang w:val="en-GB"/>
        </w:rPr>
        <w:t xml:space="preserve"> The observed increase of Mg in all the reactor’s effluents</w:t>
      </w:r>
      <w:r w:rsidR="009343CA">
        <w:rPr>
          <w:lang w:val="en-GB"/>
        </w:rPr>
        <w:t xml:space="preserve"> </w:t>
      </w:r>
      <w:r w:rsidR="00605CC5">
        <w:rPr>
          <w:lang w:val="en-GB"/>
        </w:rPr>
        <w:t>is</w:t>
      </w:r>
      <w:r w:rsidR="00EF7211">
        <w:rPr>
          <w:lang w:val="en-GB"/>
        </w:rPr>
        <w:t xml:space="preserve"> presumably due to leaching from the substrates</w:t>
      </w:r>
      <w:r w:rsidR="00A57FF6">
        <w:rPr>
          <w:lang w:val="en-GB"/>
        </w:rPr>
        <w:t>.</w:t>
      </w:r>
      <w:r w:rsidR="008715C1">
        <w:rPr>
          <w:lang w:val="en-GB"/>
        </w:rPr>
        <w:t xml:space="preserve"> </w:t>
      </w:r>
      <w:r w:rsidR="008715C1">
        <w:rPr>
          <w:lang w:val="en-GB"/>
        </w:rPr>
        <w:fldChar w:fldCharType="begin"/>
      </w:r>
      <w:r w:rsidR="008715C1">
        <w:rPr>
          <w:lang w:val="en-GB"/>
        </w:rPr>
        <w:instrText xml:space="preserve"> ADDIN EN.CITE &lt;EndNote&gt;&lt;Cite AuthorYear="1"&gt;&lt;Author&gt;Jong&lt;/Author&gt;&lt;Year&gt;2003&lt;/Year&gt;&lt;RecNum&gt;79&lt;/RecNum&gt;&lt;DisplayText&gt;Jong and Parry (2003)&lt;/DisplayText&gt;&lt;record&gt;&lt;rec-number&gt;79&lt;/rec-number&gt;&lt;foreign-keys&gt;&lt;key app="EN" db-id="x0xrxsape2ae5ge5zwexzsz1a0fwdva5zvpe" timestamp="1548614509"&gt;79&lt;/key&gt;&lt;/foreign-keys&gt;&lt;ref-type name="Journal Article"&gt;17&lt;/ref-type&gt;&lt;contributors&gt;&lt;authors&gt;&lt;author&gt;Jong, Tony&lt;/author&gt;&lt;author&gt;Parry, David L&lt;/author&gt;&lt;/authors&gt;&lt;/contributors&gt;&lt;titles&gt;&lt;title&gt;Removal of sulfate and heavy metals by sulfate reducing bacteria in short-term bench scale upflow anaerobic packed bed reactor runs&lt;/title&gt;&lt;secondary-title&gt;Water research&lt;/secondary-title&gt;&lt;/titles&gt;&lt;periodical&gt;&lt;full-title&gt;Water Research&lt;/full-title&gt;&lt;/periodical&gt;&lt;pages&gt;3379-3389&lt;/pages&gt;&lt;volume&gt;37&lt;/volume&gt;&lt;number&gt;14&lt;/number&gt;&lt;dates&gt;&lt;year&gt;2003&lt;/year&gt;&lt;/dates&gt;&lt;isbn&gt;0043-1354&lt;/isbn&gt;&lt;urls&gt;&lt;/urls&gt;&lt;/record&gt;&lt;/Cite&gt;&lt;/EndNote&gt;</w:instrText>
      </w:r>
      <w:r w:rsidR="008715C1">
        <w:rPr>
          <w:lang w:val="en-GB"/>
        </w:rPr>
        <w:fldChar w:fldCharType="separate"/>
      </w:r>
      <w:r w:rsidR="008715C1">
        <w:rPr>
          <w:noProof/>
          <w:lang w:val="en-GB"/>
        </w:rPr>
        <w:t>Jong and Parry (2003)</w:t>
      </w:r>
      <w:r w:rsidR="008715C1">
        <w:rPr>
          <w:lang w:val="en-GB"/>
        </w:rPr>
        <w:fldChar w:fldCharType="end"/>
      </w:r>
      <w:r w:rsidR="008715C1">
        <w:rPr>
          <w:lang w:val="en-GB"/>
        </w:rPr>
        <w:t xml:space="preserve"> found that biological sulphate reduction process </w:t>
      </w:r>
      <w:r w:rsidR="005C456E">
        <w:rPr>
          <w:lang w:val="en-GB"/>
        </w:rPr>
        <w:t xml:space="preserve">was not effective </w:t>
      </w:r>
      <w:r w:rsidR="008715C1">
        <w:rPr>
          <w:lang w:val="en-GB"/>
        </w:rPr>
        <w:t>in removing Mg</w:t>
      </w:r>
      <w:r w:rsidR="00B04171">
        <w:rPr>
          <w:lang w:val="en-GB"/>
        </w:rPr>
        <w:t>.</w:t>
      </w:r>
    </w:p>
    <w:p w:rsidR="00D203A1" w:rsidRPr="00153382" w:rsidRDefault="00EF4F22" w:rsidP="00D203A1">
      <w:pPr>
        <w:pStyle w:val="CETCaption"/>
      </w:pPr>
      <w:r w:rsidRPr="00153382">
        <w:t xml:space="preserve">Table 3: Metal concentration before </w:t>
      </w:r>
      <w:r w:rsidR="00DC36F3">
        <w:t>pH adjustment</w:t>
      </w:r>
      <w:r w:rsidRPr="00153382">
        <w:t xml:space="preserve">, after </w:t>
      </w:r>
      <w:r w:rsidR="00DC36F3">
        <w:t>pH adjustment</w:t>
      </w:r>
      <w:r w:rsidR="00DC36F3" w:rsidRPr="00153382">
        <w:t xml:space="preserve"> </w:t>
      </w:r>
      <w:r w:rsidRPr="00153382">
        <w:t>and in each reactor effluent</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10"/>
        <w:gridCol w:w="1440"/>
        <w:gridCol w:w="1530"/>
        <w:gridCol w:w="1440"/>
        <w:gridCol w:w="1350"/>
        <w:gridCol w:w="1317"/>
      </w:tblGrid>
      <w:tr w:rsidR="004055D8" w:rsidTr="00371CD2">
        <w:trPr>
          <w:trHeight w:val="278"/>
        </w:trPr>
        <w:tc>
          <w:tcPr>
            <w:tcW w:w="1710" w:type="dxa"/>
            <w:tcBorders>
              <w:top w:val="single" w:sz="12" w:space="0" w:color="008000"/>
              <w:bottom w:val="single" w:sz="6" w:space="0" w:color="008000"/>
            </w:tcBorders>
            <w:shd w:val="clear" w:color="auto" w:fill="FFFFFF"/>
          </w:tcPr>
          <w:p w:rsidR="006804CD" w:rsidRPr="00F4053C" w:rsidRDefault="006804CD" w:rsidP="001132D0">
            <w:pPr>
              <w:pStyle w:val="CETBodytext"/>
              <w:rPr>
                <w:lang w:val="en-GB"/>
              </w:rPr>
            </w:pPr>
          </w:p>
        </w:tc>
        <w:tc>
          <w:tcPr>
            <w:tcW w:w="1440" w:type="dxa"/>
            <w:tcBorders>
              <w:top w:val="single" w:sz="12" w:space="0" w:color="008000"/>
              <w:bottom w:val="single" w:sz="6" w:space="0" w:color="008000"/>
            </w:tcBorders>
            <w:shd w:val="clear" w:color="auto" w:fill="FFFFFF"/>
          </w:tcPr>
          <w:p w:rsidR="006804CD" w:rsidRDefault="00EF4F22" w:rsidP="001132D0">
            <w:pPr>
              <w:pStyle w:val="CETBodytext"/>
              <w:rPr>
                <w:lang w:val="en-GB"/>
              </w:rPr>
            </w:pPr>
            <w:r>
              <w:rPr>
                <w:lang w:val="en-GB"/>
              </w:rPr>
              <w:t>Mg</w:t>
            </w:r>
          </w:p>
          <w:p w:rsidR="006804CD" w:rsidRPr="00F4053C" w:rsidRDefault="00EF4F22" w:rsidP="001132D0">
            <w:pPr>
              <w:pStyle w:val="CETBodytext"/>
              <w:rPr>
                <w:lang w:val="en-GB"/>
              </w:rPr>
            </w:pPr>
            <w:r>
              <w:rPr>
                <w:lang w:val="en-GB"/>
              </w:rPr>
              <w:t>mg/L</w:t>
            </w:r>
          </w:p>
        </w:tc>
        <w:tc>
          <w:tcPr>
            <w:tcW w:w="1530" w:type="dxa"/>
            <w:tcBorders>
              <w:top w:val="single" w:sz="12" w:space="0" w:color="008000"/>
              <w:bottom w:val="single" w:sz="6" w:space="0" w:color="008000"/>
            </w:tcBorders>
            <w:shd w:val="clear" w:color="auto" w:fill="FFFFFF"/>
          </w:tcPr>
          <w:p w:rsidR="006804CD" w:rsidRDefault="00EF4F22" w:rsidP="001132D0">
            <w:pPr>
              <w:pStyle w:val="CETBodytext"/>
              <w:rPr>
                <w:lang w:val="en-GB"/>
              </w:rPr>
            </w:pPr>
            <w:r>
              <w:rPr>
                <w:lang w:val="en-GB"/>
              </w:rPr>
              <w:t>Al</w:t>
            </w:r>
          </w:p>
          <w:p w:rsidR="006804CD" w:rsidRPr="00F4053C" w:rsidRDefault="00EF4F22" w:rsidP="001132D0">
            <w:pPr>
              <w:pStyle w:val="CETBodytext"/>
              <w:rPr>
                <w:lang w:val="en-GB"/>
              </w:rPr>
            </w:pPr>
            <w:r>
              <w:rPr>
                <w:lang w:val="en-GB"/>
              </w:rPr>
              <w:t>mg/L</w:t>
            </w:r>
          </w:p>
        </w:tc>
        <w:tc>
          <w:tcPr>
            <w:tcW w:w="1440" w:type="dxa"/>
            <w:tcBorders>
              <w:top w:val="single" w:sz="12" w:space="0" w:color="008000"/>
              <w:bottom w:val="single" w:sz="6" w:space="0" w:color="008000"/>
            </w:tcBorders>
            <w:shd w:val="clear" w:color="auto" w:fill="FFFFFF"/>
          </w:tcPr>
          <w:p w:rsidR="006804CD" w:rsidRDefault="00EF4F22" w:rsidP="001132D0">
            <w:pPr>
              <w:pStyle w:val="CETBodytext"/>
              <w:ind w:right="-1"/>
              <w:rPr>
                <w:rFonts w:cs="Arial"/>
                <w:szCs w:val="18"/>
                <w:lang w:val="en-GB"/>
              </w:rPr>
            </w:pPr>
            <w:r>
              <w:rPr>
                <w:rFonts w:cs="Arial"/>
                <w:szCs w:val="18"/>
                <w:lang w:val="en-GB"/>
              </w:rPr>
              <w:t>Mn</w:t>
            </w:r>
          </w:p>
          <w:p w:rsidR="006804CD" w:rsidRPr="00F4053C" w:rsidRDefault="00EF4F22" w:rsidP="001132D0">
            <w:pPr>
              <w:pStyle w:val="CETBodytext"/>
              <w:ind w:right="-1"/>
              <w:rPr>
                <w:rFonts w:cs="Arial"/>
                <w:szCs w:val="18"/>
                <w:lang w:val="en-GB"/>
              </w:rPr>
            </w:pPr>
            <w:r>
              <w:rPr>
                <w:lang w:val="en-GB"/>
              </w:rPr>
              <w:t>mg/L</w:t>
            </w:r>
          </w:p>
        </w:tc>
        <w:tc>
          <w:tcPr>
            <w:tcW w:w="1350" w:type="dxa"/>
            <w:tcBorders>
              <w:top w:val="single" w:sz="12" w:space="0" w:color="008000"/>
              <w:bottom w:val="single" w:sz="6" w:space="0" w:color="008000"/>
            </w:tcBorders>
            <w:shd w:val="clear" w:color="auto" w:fill="FFFFFF"/>
          </w:tcPr>
          <w:p w:rsidR="006804CD" w:rsidRDefault="00EF4F22" w:rsidP="001132D0">
            <w:pPr>
              <w:pStyle w:val="CETBodytext"/>
              <w:ind w:right="-1"/>
              <w:rPr>
                <w:rFonts w:cs="Arial"/>
                <w:szCs w:val="18"/>
                <w:lang w:val="en-GB"/>
              </w:rPr>
            </w:pPr>
            <w:r>
              <w:rPr>
                <w:rFonts w:cs="Arial"/>
                <w:szCs w:val="18"/>
                <w:lang w:val="en-GB"/>
              </w:rPr>
              <w:t>Cu</w:t>
            </w:r>
          </w:p>
          <w:p w:rsidR="006804CD" w:rsidRPr="00F4053C" w:rsidRDefault="00EF4F22" w:rsidP="001132D0">
            <w:pPr>
              <w:pStyle w:val="CETBodytext"/>
              <w:ind w:right="-1"/>
              <w:rPr>
                <w:rFonts w:cs="Arial"/>
                <w:szCs w:val="18"/>
                <w:lang w:val="en-GB"/>
              </w:rPr>
            </w:pPr>
            <w:r>
              <w:rPr>
                <w:lang w:val="en-GB"/>
              </w:rPr>
              <w:t>mg/L</w:t>
            </w:r>
          </w:p>
        </w:tc>
        <w:tc>
          <w:tcPr>
            <w:tcW w:w="1317" w:type="dxa"/>
            <w:tcBorders>
              <w:top w:val="single" w:sz="12" w:space="0" w:color="008000"/>
              <w:bottom w:val="single" w:sz="6" w:space="0" w:color="008000"/>
            </w:tcBorders>
            <w:shd w:val="clear" w:color="auto" w:fill="FFFFFF"/>
          </w:tcPr>
          <w:p w:rsidR="006804CD" w:rsidRDefault="00EF4F22" w:rsidP="001132D0">
            <w:pPr>
              <w:pStyle w:val="CETBodytext"/>
              <w:ind w:right="-1"/>
              <w:rPr>
                <w:rFonts w:cs="Arial"/>
                <w:szCs w:val="18"/>
                <w:lang w:val="en-GB"/>
              </w:rPr>
            </w:pPr>
            <w:r>
              <w:rPr>
                <w:rFonts w:cs="Arial"/>
                <w:szCs w:val="18"/>
                <w:lang w:val="en-GB"/>
              </w:rPr>
              <w:t>Zn</w:t>
            </w:r>
          </w:p>
          <w:p w:rsidR="006804CD" w:rsidRPr="00F4053C" w:rsidRDefault="00EF4F22" w:rsidP="001132D0">
            <w:pPr>
              <w:pStyle w:val="CETBodytext"/>
              <w:ind w:right="-1"/>
              <w:rPr>
                <w:rFonts w:cs="Arial"/>
                <w:szCs w:val="18"/>
                <w:lang w:val="en-GB"/>
              </w:rPr>
            </w:pPr>
            <w:r>
              <w:rPr>
                <w:lang w:val="en-GB"/>
              </w:rPr>
              <w:t>mg/L</w:t>
            </w:r>
          </w:p>
        </w:tc>
      </w:tr>
      <w:tr w:rsidR="004055D8" w:rsidTr="00371CD2">
        <w:trPr>
          <w:trHeight w:val="278"/>
        </w:trPr>
        <w:tc>
          <w:tcPr>
            <w:tcW w:w="1710" w:type="dxa"/>
            <w:shd w:val="clear" w:color="auto" w:fill="FFFFFF"/>
          </w:tcPr>
          <w:p w:rsidR="006804CD" w:rsidRPr="00873B68" w:rsidRDefault="00EF4F22" w:rsidP="001132D0">
            <w:pPr>
              <w:pStyle w:val="CETBodytext"/>
              <w:rPr>
                <w:vertAlign w:val="superscript"/>
                <w:lang w:val="en-GB"/>
              </w:rPr>
            </w:pPr>
            <w:r>
              <w:rPr>
                <w:lang w:val="en-GB"/>
              </w:rPr>
              <w:t>Feed before</w:t>
            </w:r>
            <w:r>
              <w:rPr>
                <w:vertAlign w:val="superscript"/>
                <w:lang w:val="en-GB"/>
              </w:rPr>
              <w:t>1</w:t>
            </w:r>
          </w:p>
        </w:tc>
        <w:tc>
          <w:tcPr>
            <w:tcW w:w="1440" w:type="dxa"/>
            <w:shd w:val="clear" w:color="auto" w:fill="FFFFFF"/>
          </w:tcPr>
          <w:p w:rsidR="006804CD" w:rsidRPr="00F4053C" w:rsidRDefault="00EF4F22" w:rsidP="001132D0">
            <w:pPr>
              <w:pStyle w:val="CETBodytext"/>
              <w:rPr>
                <w:lang w:val="en-GB"/>
              </w:rPr>
            </w:pPr>
            <w:r>
              <w:rPr>
                <w:lang w:val="en-GB"/>
              </w:rPr>
              <w:t>204.62</w:t>
            </w:r>
          </w:p>
        </w:tc>
        <w:tc>
          <w:tcPr>
            <w:tcW w:w="1530" w:type="dxa"/>
            <w:shd w:val="clear" w:color="auto" w:fill="FFFFFF"/>
          </w:tcPr>
          <w:p w:rsidR="006804CD" w:rsidRPr="00F4053C" w:rsidRDefault="00EF4F22" w:rsidP="001132D0">
            <w:pPr>
              <w:pStyle w:val="CETBodytext"/>
              <w:rPr>
                <w:lang w:val="en-GB"/>
              </w:rPr>
            </w:pPr>
            <w:r>
              <w:rPr>
                <w:lang w:val="en-GB"/>
              </w:rPr>
              <w:t>61.79</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28.84</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3.241</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2.211</w:t>
            </w:r>
          </w:p>
        </w:tc>
      </w:tr>
      <w:tr w:rsidR="004055D8" w:rsidTr="00371CD2">
        <w:trPr>
          <w:trHeight w:val="296"/>
        </w:trPr>
        <w:tc>
          <w:tcPr>
            <w:tcW w:w="1710" w:type="dxa"/>
            <w:shd w:val="clear" w:color="auto" w:fill="FFFFFF"/>
          </w:tcPr>
          <w:p w:rsidR="006804CD" w:rsidRPr="00873B68" w:rsidRDefault="00EF4F22" w:rsidP="001132D0">
            <w:pPr>
              <w:pStyle w:val="CETBodytext"/>
              <w:rPr>
                <w:vertAlign w:val="superscript"/>
                <w:lang w:val="en-GB"/>
              </w:rPr>
            </w:pPr>
            <w:r>
              <w:rPr>
                <w:lang w:val="en-GB"/>
              </w:rPr>
              <w:t>Feed after</w:t>
            </w:r>
            <w:r w:rsidR="009343CA">
              <w:rPr>
                <w:lang w:val="en-GB"/>
              </w:rPr>
              <w:t>,</w:t>
            </w:r>
            <w:r>
              <w:rPr>
                <w:lang w:val="en-GB"/>
              </w:rPr>
              <w:t xml:space="preserve"> pH 5</w:t>
            </w:r>
            <w:r>
              <w:rPr>
                <w:vertAlign w:val="superscript"/>
                <w:lang w:val="en-GB"/>
              </w:rPr>
              <w:t>2</w:t>
            </w:r>
          </w:p>
        </w:tc>
        <w:tc>
          <w:tcPr>
            <w:tcW w:w="1440" w:type="dxa"/>
            <w:shd w:val="clear" w:color="auto" w:fill="FFFFFF"/>
          </w:tcPr>
          <w:p w:rsidR="006804CD" w:rsidRPr="00F4053C" w:rsidRDefault="00EF4F22" w:rsidP="001132D0">
            <w:pPr>
              <w:pStyle w:val="CETBodytext"/>
              <w:rPr>
                <w:lang w:val="en-GB"/>
              </w:rPr>
            </w:pPr>
            <w:r>
              <w:rPr>
                <w:lang w:val="en-GB"/>
              </w:rPr>
              <w:t>249.06</w:t>
            </w:r>
          </w:p>
        </w:tc>
        <w:tc>
          <w:tcPr>
            <w:tcW w:w="1530" w:type="dxa"/>
            <w:shd w:val="clear" w:color="auto" w:fill="FFFFFF"/>
          </w:tcPr>
          <w:p w:rsidR="006804CD" w:rsidRPr="00F4053C" w:rsidRDefault="00EF4F22" w:rsidP="001132D0">
            <w:pPr>
              <w:pStyle w:val="CETBodytext"/>
              <w:rPr>
                <w:lang w:val="en-GB"/>
              </w:rPr>
            </w:pPr>
            <w:r>
              <w:rPr>
                <w:lang w:val="en-GB"/>
              </w:rPr>
              <w:t>5.46</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27.40</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2.388</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1.437</w:t>
            </w:r>
          </w:p>
        </w:tc>
      </w:tr>
      <w:tr w:rsidR="004055D8" w:rsidTr="00371CD2">
        <w:trPr>
          <w:trHeight w:val="296"/>
        </w:trPr>
        <w:tc>
          <w:tcPr>
            <w:tcW w:w="1710" w:type="dxa"/>
            <w:shd w:val="clear" w:color="auto" w:fill="FFFFFF"/>
          </w:tcPr>
          <w:p w:rsidR="006804CD" w:rsidRPr="00873B68" w:rsidRDefault="00EF4F22" w:rsidP="001132D0">
            <w:pPr>
              <w:pStyle w:val="CETBodytext"/>
              <w:rPr>
                <w:vertAlign w:val="superscript"/>
                <w:lang w:val="en-GB"/>
              </w:rPr>
            </w:pPr>
            <w:r>
              <w:rPr>
                <w:lang w:val="en-GB"/>
              </w:rPr>
              <w:t>Feed after</w:t>
            </w:r>
            <w:r w:rsidR="009343CA">
              <w:rPr>
                <w:lang w:val="en-GB"/>
              </w:rPr>
              <w:t>,</w:t>
            </w:r>
            <w:r>
              <w:rPr>
                <w:lang w:val="en-GB"/>
              </w:rPr>
              <w:t xml:space="preserve"> pH 6</w:t>
            </w:r>
            <w:r>
              <w:rPr>
                <w:vertAlign w:val="superscript"/>
                <w:lang w:val="en-GB"/>
              </w:rPr>
              <w:t>3</w:t>
            </w:r>
          </w:p>
        </w:tc>
        <w:tc>
          <w:tcPr>
            <w:tcW w:w="1440" w:type="dxa"/>
            <w:shd w:val="clear" w:color="auto" w:fill="FFFFFF"/>
          </w:tcPr>
          <w:p w:rsidR="006804CD" w:rsidRPr="00F4053C" w:rsidRDefault="00EF4F22" w:rsidP="001132D0">
            <w:pPr>
              <w:pStyle w:val="CETBodytext"/>
              <w:rPr>
                <w:lang w:val="en-GB"/>
              </w:rPr>
            </w:pPr>
            <w:r>
              <w:rPr>
                <w:lang w:val="en-GB"/>
              </w:rPr>
              <w:t>225.36</w:t>
            </w:r>
          </w:p>
        </w:tc>
        <w:tc>
          <w:tcPr>
            <w:tcW w:w="1530" w:type="dxa"/>
            <w:shd w:val="clear" w:color="auto" w:fill="FFFFFF"/>
          </w:tcPr>
          <w:p w:rsidR="006804CD" w:rsidRPr="00F4053C" w:rsidRDefault="00EF4F22" w:rsidP="001132D0">
            <w:pPr>
              <w:pStyle w:val="CETBodytext"/>
              <w:rPr>
                <w:lang w:val="en-GB"/>
              </w:rPr>
            </w:pPr>
            <w:r>
              <w:rPr>
                <w:lang w:val="en-GB"/>
              </w:rPr>
              <w:t>2.33</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24.49</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0.471</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0.639</w:t>
            </w:r>
          </w:p>
        </w:tc>
      </w:tr>
      <w:tr w:rsidR="004055D8" w:rsidTr="00371CD2">
        <w:trPr>
          <w:trHeight w:val="296"/>
        </w:trPr>
        <w:tc>
          <w:tcPr>
            <w:tcW w:w="1710" w:type="dxa"/>
            <w:shd w:val="clear" w:color="auto" w:fill="FFFFFF"/>
          </w:tcPr>
          <w:p w:rsidR="006804CD" w:rsidRDefault="00EF4F22" w:rsidP="001132D0">
            <w:pPr>
              <w:pStyle w:val="CETBodytext"/>
              <w:rPr>
                <w:lang w:val="en-GB"/>
              </w:rPr>
            </w:pPr>
            <w:r>
              <w:rPr>
                <w:lang w:val="en-GB"/>
              </w:rPr>
              <w:t>Reactor 1 effluent</w:t>
            </w:r>
          </w:p>
        </w:tc>
        <w:tc>
          <w:tcPr>
            <w:tcW w:w="1440" w:type="dxa"/>
            <w:shd w:val="clear" w:color="auto" w:fill="FFFFFF"/>
          </w:tcPr>
          <w:p w:rsidR="006804CD" w:rsidRPr="00F4053C" w:rsidRDefault="00EF4F22" w:rsidP="001132D0">
            <w:pPr>
              <w:pStyle w:val="CETBodytext"/>
              <w:rPr>
                <w:lang w:val="en-GB"/>
              </w:rPr>
            </w:pPr>
            <w:r>
              <w:rPr>
                <w:lang w:val="en-GB"/>
              </w:rPr>
              <w:t>502.72</w:t>
            </w:r>
          </w:p>
        </w:tc>
        <w:tc>
          <w:tcPr>
            <w:tcW w:w="1530" w:type="dxa"/>
            <w:shd w:val="clear" w:color="auto" w:fill="FFFFFF"/>
          </w:tcPr>
          <w:p w:rsidR="006804CD" w:rsidRPr="00F4053C" w:rsidRDefault="00EF4F22" w:rsidP="001132D0">
            <w:pPr>
              <w:pStyle w:val="CETBodytext"/>
              <w:rPr>
                <w:lang w:val="en-GB"/>
              </w:rPr>
            </w:pPr>
            <w:r>
              <w:rPr>
                <w:lang w:val="en-GB"/>
              </w:rPr>
              <w:t>1.97</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3.46</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0.099</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0.301</w:t>
            </w:r>
          </w:p>
        </w:tc>
      </w:tr>
      <w:tr w:rsidR="004055D8" w:rsidTr="00371CD2">
        <w:trPr>
          <w:trHeight w:val="296"/>
        </w:trPr>
        <w:tc>
          <w:tcPr>
            <w:tcW w:w="1710" w:type="dxa"/>
            <w:shd w:val="clear" w:color="auto" w:fill="FFFFFF"/>
          </w:tcPr>
          <w:p w:rsidR="006804CD" w:rsidRDefault="00EF4F22" w:rsidP="001132D0">
            <w:pPr>
              <w:pStyle w:val="CETBodytext"/>
              <w:rPr>
                <w:lang w:val="en-GB"/>
              </w:rPr>
            </w:pPr>
            <w:r>
              <w:rPr>
                <w:lang w:val="en-GB"/>
              </w:rPr>
              <w:t>Reactor 2 effluent</w:t>
            </w:r>
          </w:p>
        </w:tc>
        <w:tc>
          <w:tcPr>
            <w:tcW w:w="1440" w:type="dxa"/>
            <w:shd w:val="clear" w:color="auto" w:fill="FFFFFF"/>
          </w:tcPr>
          <w:p w:rsidR="006804CD" w:rsidRPr="00F4053C" w:rsidRDefault="00EF4F22" w:rsidP="001132D0">
            <w:pPr>
              <w:pStyle w:val="CETBodytext"/>
              <w:rPr>
                <w:lang w:val="en-GB"/>
              </w:rPr>
            </w:pPr>
            <w:r>
              <w:rPr>
                <w:lang w:val="en-GB"/>
              </w:rPr>
              <w:t>408.08</w:t>
            </w:r>
          </w:p>
        </w:tc>
        <w:tc>
          <w:tcPr>
            <w:tcW w:w="1530" w:type="dxa"/>
            <w:shd w:val="clear" w:color="auto" w:fill="FFFFFF"/>
          </w:tcPr>
          <w:p w:rsidR="006804CD" w:rsidRPr="00F4053C" w:rsidRDefault="00EF4F22" w:rsidP="001132D0">
            <w:pPr>
              <w:pStyle w:val="CETBodytext"/>
              <w:rPr>
                <w:lang w:val="en-GB"/>
              </w:rPr>
            </w:pPr>
            <w:r>
              <w:rPr>
                <w:lang w:val="en-GB"/>
              </w:rPr>
              <w:t>2.10</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5.29</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0.106</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0.276</w:t>
            </w:r>
          </w:p>
        </w:tc>
      </w:tr>
      <w:tr w:rsidR="004055D8" w:rsidTr="00371CD2">
        <w:trPr>
          <w:trHeight w:val="278"/>
        </w:trPr>
        <w:tc>
          <w:tcPr>
            <w:tcW w:w="1710" w:type="dxa"/>
            <w:shd w:val="clear" w:color="auto" w:fill="FFFFFF"/>
          </w:tcPr>
          <w:p w:rsidR="006804CD" w:rsidRPr="00F4053C" w:rsidRDefault="00EF4F22" w:rsidP="001132D0">
            <w:pPr>
              <w:pStyle w:val="CETBodytext"/>
              <w:ind w:right="-1"/>
              <w:rPr>
                <w:rFonts w:cs="Arial"/>
                <w:szCs w:val="18"/>
                <w:lang w:val="en-GB"/>
              </w:rPr>
            </w:pPr>
            <w:r>
              <w:rPr>
                <w:lang w:val="en-GB"/>
              </w:rPr>
              <w:t>Reactor 3 effluent</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502.35</w:t>
            </w:r>
          </w:p>
        </w:tc>
        <w:tc>
          <w:tcPr>
            <w:tcW w:w="153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0.96</w:t>
            </w:r>
          </w:p>
        </w:tc>
        <w:tc>
          <w:tcPr>
            <w:tcW w:w="144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6.9</w:t>
            </w:r>
            <w:r w:rsidR="00DE2803">
              <w:rPr>
                <w:rFonts w:cs="Arial"/>
                <w:szCs w:val="18"/>
                <w:lang w:val="en-GB"/>
              </w:rPr>
              <w:t>0</w:t>
            </w:r>
          </w:p>
        </w:tc>
        <w:tc>
          <w:tcPr>
            <w:tcW w:w="1350"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0,029</w:t>
            </w:r>
          </w:p>
        </w:tc>
        <w:tc>
          <w:tcPr>
            <w:tcW w:w="1317" w:type="dxa"/>
            <w:shd w:val="clear" w:color="auto" w:fill="FFFFFF"/>
          </w:tcPr>
          <w:p w:rsidR="006804CD" w:rsidRPr="00F4053C" w:rsidRDefault="00EF4F22" w:rsidP="001132D0">
            <w:pPr>
              <w:pStyle w:val="CETBodytext"/>
              <w:ind w:right="-1"/>
              <w:rPr>
                <w:rFonts w:cs="Arial"/>
                <w:szCs w:val="18"/>
                <w:lang w:val="en-GB"/>
              </w:rPr>
            </w:pPr>
            <w:r>
              <w:rPr>
                <w:rFonts w:cs="Arial"/>
                <w:szCs w:val="18"/>
                <w:lang w:val="en-GB"/>
              </w:rPr>
              <w:t>0.633</w:t>
            </w:r>
          </w:p>
        </w:tc>
      </w:tr>
    </w:tbl>
    <w:p w:rsidR="00B300CC" w:rsidRDefault="00EF4F22">
      <w:pPr>
        <w:pStyle w:val="CETBodytext"/>
        <w:rPr>
          <w:lang w:val="en-GB"/>
        </w:rPr>
      </w:pPr>
      <w:r>
        <w:rPr>
          <w:vertAlign w:val="superscript"/>
          <w:lang w:val="en-GB"/>
        </w:rPr>
        <w:t>1</w:t>
      </w:r>
      <w:r>
        <w:rPr>
          <w:lang w:val="en-GB"/>
        </w:rPr>
        <w:t>Raw AMD</w:t>
      </w:r>
    </w:p>
    <w:p w:rsidR="006804CD" w:rsidRDefault="00EF4F22">
      <w:pPr>
        <w:pStyle w:val="CETBodytext"/>
        <w:rPr>
          <w:lang w:val="en-GB"/>
        </w:rPr>
      </w:pPr>
      <w:r>
        <w:rPr>
          <w:vertAlign w:val="superscript"/>
          <w:lang w:val="en-GB"/>
        </w:rPr>
        <w:t>2</w:t>
      </w:r>
      <w:r>
        <w:rPr>
          <w:lang w:val="en-GB"/>
        </w:rPr>
        <w:t xml:space="preserve">AMD after </w:t>
      </w:r>
      <w:r w:rsidR="0004292C">
        <w:rPr>
          <w:lang w:val="en-GB"/>
        </w:rPr>
        <w:t xml:space="preserve">adjusting </w:t>
      </w:r>
      <w:r>
        <w:rPr>
          <w:lang w:val="en-GB"/>
        </w:rPr>
        <w:t>to pH 5</w:t>
      </w:r>
    </w:p>
    <w:p w:rsidR="00F43C6B" w:rsidRDefault="00EF4F22">
      <w:pPr>
        <w:pStyle w:val="CETBodytext"/>
        <w:rPr>
          <w:lang w:val="en-GB"/>
        </w:rPr>
      </w:pPr>
      <w:r>
        <w:rPr>
          <w:vertAlign w:val="superscript"/>
          <w:lang w:val="en-GB"/>
        </w:rPr>
        <w:t>3</w:t>
      </w:r>
      <w:r>
        <w:rPr>
          <w:lang w:val="en-GB"/>
        </w:rPr>
        <w:t xml:space="preserve">AMD after </w:t>
      </w:r>
      <w:r w:rsidR="0004292C">
        <w:rPr>
          <w:lang w:val="en-GB"/>
        </w:rPr>
        <w:t xml:space="preserve">adjusting </w:t>
      </w:r>
      <w:r>
        <w:rPr>
          <w:lang w:val="en-GB"/>
        </w:rPr>
        <w:t>to pH 6</w:t>
      </w:r>
    </w:p>
    <w:p w:rsidR="00F43C6B" w:rsidRDefault="00EF4F22" w:rsidP="00873B68">
      <w:pPr>
        <w:pStyle w:val="CETHeading1"/>
      </w:pPr>
      <w:r>
        <w:t>Conclusions</w:t>
      </w:r>
    </w:p>
    <w:p w:rsidR="0004292C" w:rsidRDefault="00EF4F22">
      <w:pPr>
        <w:pStyle w:val="CETBodytext"/>
        <w:rPr>
          <w:lang w:val="en-GB"/>
        </w:rPr>
      </w:pPr>
      <w:r>
        <w:t>In this study, the effect of pH and temperature</w:t>
      </w:r>
      <w:r w:rsidR="00E231E6">
        <w:t xml:space="preserve"> on biological sulphate reduction</w:t>
      </w:r>
      <w:r>
        <w:t xml:space="preserve"> was investigated.</w:t>
      </w:r>
      <w:r w:rsidR="0022489B">
        <w:t xml:space="preserve"> A decrease in t</w:t>
      </w:r>
      <w:r>
        <w:t xml:space="preserve">emperature showed a </w:t>
      </w:r>
      <w:r w:rsidR="00072399">
        <w:t xml:space="preserve">notable </w:t>
      </w:r>
      <w:r>
        <w:t xml:space="preserve">drop in sulphate reduction which was due to the decrease in SRB </w:t>
      </w:r>
      <w:r w:rsidR="00836B89">
        <w:t xml:space="preserve">metabolic </w:t>
      </w:r>
      <w:r>
        <w:t xml:space="preserve">activity. </w:t>
      </w:r>
      <w:r w:rsidR="00786A9B">
        <w:t xml:space="preserve">The decrease in </w:t>
      </w:r>
      <w:r w:rsidR="00425253">
        <w:t xml:space="preserve">pH showed little effect on sulphate reduction, however decreasing pH </w:t>
      </w:r>
      <w:r w:rsidR="00DC21B9">
        <w:t>required</w:t>
      </w:r>
      <w:r w:rsidR="00425253">
        <w:t xml:space="preserve"> an adaptation period for </w:t>
      </w:r>
      <w:r w:rsidR="001A741D">
        <w:t>SRB</w:t>
      </w:r>
      <w:r w:rsidR="00425253">
        <w:t xml:space="preserve"> to get used to the new pH</w:t>
      </w:r>
      <w:r w:rsidR="00DC21B9">
        <w:t>. Metals were also removed in the reactors operating at different conditions</w:t>
      </w:r>
      <w:r w:rsidR="00304C4B">
        <w:t xml:space="preserve">. </w:t>
      </w:r>
      <w:r w:rsidR="00304C4B">
        <w:rPr>
          <w:lang w:val="en-GB"/>
        </w:rPr>
        <w:t>85.9%, 80.7% and 74.8% Mn w</w:t>
      </w:r>
      <w:r w:rsidR="0050520A">
        <w:rPr>
          <w:lang w:val="en-GB"/>
        </w:rPr>
        <w:t>ere</w:t>
      </w:r>
      <w:r w:rsidR="00304C4B">
        <w:rPr>
          <w:lang w:val="en-GB"/>
        </w:rPr>
        <w:t xml:space="preserve"> removed in reactor 1, 2 and 3 respectively.</w:t>
      </w:r>
      <w:r w:rsidR="00786A9B">
        <w:rPr>
          <w:lang w:val="en-GB"/>
        </w:rPr>
        <w:t xml:space="preserve"> Some of the </w:t>
      </w:r>
      <w:r w:rsidR="00786A9B">
        <w:rPr>
          <w:lang w:val="en-GB"/>
        </w:rPr>
        <w:lastRenderedPageBreak/>
        <w:t xml:space="preserve">metals such as Al, Cu and Zn were precipitated during the </w:t>
      </w:r>
      <w:r w:rsidR="001F3110">
        <w:rPr>
          <w:lang w:val="en-GB"/>
        </w:rPr>
        <w:t xml:space="preserve">pH adjustment </w:t>
      </w:r>
      <w:r w:rsidR="00786A9B">
        <w:rPr>
          <w:lang w:val="en-GB"/>
        </w:rPr>
        <w:t>step</w:t>
      </w:r>
      <w:r w:rsidR="0050520A">
        <w:rPr>
          <w:lang w:val="en-GB"/>
        </w:rPr>
        <w:t xml:space="preserve">, </w:t>
      </w:r>
      <w:r w:rsidR="0050520A" w:rsidRPr="003C0DA4">
        <w:rPr>
          <w:noProof/>
          <w:lang w:val="en-GB"/>
        </w:rPr>
        <w:t>however</w:t>
      </w:r>
      <w:r w:rsidR="003C0DA4">
        <w:rPr>
          <w:noProof/>
          <w:lang w:val="en-GB"/>
        </w:rPr>
        <w:t>,</w:t>
      </w:r>
      <w:r w:rsidR="00206EF7">
        <w:rPr>
          <w:lang w:val="en-GB"/>
        </w:rPr>
        <w:t xml:space="preserve"> Mg concentration</w:t>
      </w:r>
      <w:r w:rsidR="009D7FF3">
        <w:rPr>
          <w:lang w:val="en-GB"/>
        </w:rPr>
        <w:t>s were found to increase in the</w:t>
      </w:r>
      <w:r w:rsidR="00206EF7">
        <w:rPr>
          <w:lang w:val="en-GB"/>
        </w:rPr>
        <w:t xml:space="preserve"> re</w:t>
      </w:r>
      <w:r w:rsidR="001F44C9">
        <w:rPr>
          <w:lang w:val="en-GB"/>
        </w:rPr>
        <w:t>a</w:t>
      </w:r>
      <w:r w:rsidR="00206EF7">
        <w:rPr>
          <w:lang w:val="en-GB"/>
        </w:rPr>
        <w:t>ctors’ effluent w</w:t>
      </w:r>
      <w:r w:rsidR="00BC2DA0">
        <w:rPr>
          <w:lang w:val="en-GB"/>
        </w:rPr>
        <w:t>h</w:t>
      </w:r>
      <w:r w:rsidR="00206EF7">
        <w:rPr>
          <w:lang w:val="en-GB"/>
        </w:rPr>
        <w:t xml:space="preserve">ich </w:t>
      </w:r>
      <w:r w:rsidR="00FA7F84">
        <w:rPr>
          <w:lang w:val="en-GB"/>
        </w:rPr>
        <w:t xml:space="preserve">could be </w:t>
      </w:r>
      <w:r w:rsidR="00206EF7">
        <w:rPr>
          <w:lang w:val="en-GB"/>
        </w:rPr>
        <w:t>attributed to leaching from</w:t>
      </w:r>
      <w:r w:rsidR="001F44C9">
        <w:rPr>
          <w:lang w:val="en-GB"/>
        </w:rPr>
        <w:t xml:space="preserve"> the</w:t>
      </w:r>
      <w:r w:rsidR="00206EF7">
        <w:rPr>
          <w:lang w:val="en-GB"/>
        </w:rPr>
        <w:t xml:space="preserve"> substrates that were used.</w:t>
      </w:r>
      <w:r w:rsidR="00BF273B">
        <w:rPr>
          <w:lang w:val="en-GB"/>
        </w:rPr>
        <w:t xml:space="preserve"> </w:t>
      </w:r>
      <w:r w:rsidR="00FB398C">
        <w:rPr>
          <w:lang w:val="en-GB"/>
        </w:rPr>
        <w:t>Based on these results, it can be seen that sulphate reduction is possible at low</w:t>
      </w:r>
      <w:r w:rsidR="0050520A">
        <w:rPr>
          <w:lang w:val="en-GB"/>
        </w:rPr>
        <w:t>er</w:t>
      </w:r>
      <w:r w:rsidR="00FB398C">
        <w:rPr>
          <w:lang w:val="en-GB"/>
        </w:rPr>
        <w:t xml:space="preserve"> temperature</w:t>
      </w:r>
      <w:r w:rsidR="0050520A">
        <w:rPr>
          <w:lang w:val="en-GB"/>
        </w:rPr>
        <w:t xml:space="preserve"> albeit at </w:t>
      </w:r>
      <w:r w:rsidR="0050520A" w:rsidRPr="00FA13F3">
        <w:rPr>
          <w:noProof/>
          <w:lang w:val="en-GB"/>
        </w:rPr>
        <w:t>much-reduced</w:t>
      </w:r>
      <w:r w:rsidR="0050520A">
        <w:rPr>
          <w:lang w:val="en-GB"/>
        </w:rPr>
        <w:t xml:space="preserve"> efficiencies. There are currently </w:t>
      </w:r>
      <w:r w:rsidR="00FB398C">
        <w:rPr>
          <w:lang w:val="en-GB"/>
        </w:rPr>
        <w:t xml:space="preserve">further studies </w:t>
      </w:r>
      <w:r w:rsidR="0050520A">
        <w:rPr>
          <w:lang w:val="en-GB"/>
        </w:rPr>
        <w:t>being conducted</w:t>
      </w:r>
      <w:r w:rsidR="00FB398C">
        <w:rPr>
          <w:lang w:val="en-GB"/>
        </w:rPr>
        <w:t xml:space="preserve"> to investigate how the </w:t>
      </w:r>
      <w:r w:rsidR="0050520A">
        <w:rPr>
          <w:lang w:val="en-GB"/>
        </w:rPr>
        <w:t xml:space="preserve">interaction between temperature and pH </w:t>
      </w:r>
      <w:r w:rsidR="008F37F9">
        <w:rPr>
          <w:lang w:val="en-GB"/>
        </w:rPr>
        <w:t xml:space="preserve">influence </w:t>
      </w:r>
      <w:r w:rsidR="0050520A">
        <w:rPr>
          <w:lang w:val="en-GB"/>
        </w:rPr>
        <w:t xml:space="preserve">sulphate reduction, which </w:t>
      </w:r>
      <w:r w:rsidR="0050520A" w:rsidRPr="003C0DA4">
        <w:rPr>
          <w:noProof/>
          <w:lang w:val="en-GB"/>
        </w:rPr>
        <w:t>provide</w:t>
      </w:r>
      <w:r w:rsidR="003C0DA4">
        <w:rPr>
          <w:noProof/>
          <w:lang w:val="en-GB"/>
        </w:rPr>
        <w:t>s</w:t>
      </w:r>
      <w:r w:rsidR="0050520A">
        <w:rPr>
          <w:lang w:val="en-GB"/>
        </w:rPr>
        <w:t xml:space="preserve"> more insight on how operating conditions can be manipulated to minimise the impact of environmental variables.</w:t>
      </w:r>
    </w:p>
    <w:p w:rsidR="00EC3AEA" w:rsidRDefault="00EF4F22" w:rsidP="00873B68">
      <w:pPr>
        <w:pStyle w:val="CETAcknowledgementstitle"/>
      </w:pPr>
      <w:r>
        <w:t>Acknowledgement</w:t>
      </w:r>
    </w:p>
    <w:p w:rsidR="00086E13" w:rsidRPr="00C00A4C" w:rsidRDefault="00EF4F22" w:rsidP="00A11D3D">
      <w:pPr>
        <w:pStyle w:val="CETBodytext"/>
        <w:rPr>
          <w:lang w:val="en-GB"/>
        </w:rPr>
      </w:pPr>
      <w:r>
        <w:rPr>
          <w:lang w:val="en-GB"/>
        </w:rPr>
        <w:t>The authors gratefully acknowledge the support and funding provided by Mintek during the course of this study.</w:t>
      </w:r>
    </w:p>
    <w:p w:rsidR="007611F6" w:rsidRPr="00F77866" w:rsidRDefault="00EF4F22" w:rsidP="007611F6">
      <w:pPr>
        <w:pStyle w:val="CETReference"/>
      </w:pPr>
      <w:r w:rsidRPr="00F77866">
        <w:t>References</w:t>
      </w:r>
    </w:p>
    <w:p w:rsidR="00390449" w:rsidRPr="00390449" w:rsidRDefault="00EF4F22" w:rsidP="00390449">
      <w:pPr>
        <w:pStyle w:val="EndNoteBibliography"/>
        <w:ind w:left="720" w:hanging="720"/>
        <w:jc w:val="both"/>
        <w:rPr>
          <w:sz w:val="18"/>
          <w:szCs w:val="18"/>
        </w:rPr>
      </w:pPr>
      <w:r w:rsidRPr="00390449">
        <w:rPr>
          <w:sz w:val="18"/>
          <w:szCs w:val="18"/>
        </w:rPr>
        <w:fldChar w:fldCharType="begin"/>
      </w:r>
      <w:r w:rsidRPr="00390449">
        <w:rPr>
          <w:sz w:val="18"/>
          <w:szCs w:val="18"/>
        </w:rPr>
        <w:instrText xml:space="preserve"> ADDIN EN.REFLIST </w:instrText>
      </w:r>
      <w:r w:rsidRPr="00390449">
        <w:rPr>
          <w:sz w:val="18"/>
          <w:szCs w:val="18"/>
        </w:rPr>
        <w:fldChar w:fldCharType="separate"/>
      </w:r>
      <w:r w:rsidR="00390449" w:rsidRPr="00390449">
        <w:rPr>
          <w:sz w:val="18"/>
          <w:szCs w:val="18"/>
        </w:rPr>
        <w:t>Akcil, A. &amp; Koldas, S., 2006. Acid Mine Drainage (AMD): causes, treatment and case studies, Journal of Cleaner Production, 14</w:t>
      </w:r>
      <w:r w:rsidR="00390449" w:rsidRPr="00390449">
        <w:rPr>
          <w:b/>
          <w:sz w:val="18"/>
          <w:szCs w:val="18"/>
        </w:rPr>
        <w:t>,</w:t>
      </w:r>
      <w:r w:rsidR="00390449" w:rsidRPr="00390449">
        <w:rPr>
          <w:sz w:val="18"/>
          <w:szCs w:val="18"/>
        </w:rPr>
        <w:t xml:space="preserve"> 1139-1145.</w:t>
      </w:r>
    </w:p>
    <w:p w:rsidR="00390449" w:rsidRPr="00390449" w:rsidRDefault="00390449" w:rsidP="00390449">
      <w:pPr>
        <w:pStyle w:val="EndNoteBibliography"/>
        <w:ind w:left="720" w:hanging="720"/>
        <w:jc w:val="both"/>
        <w:rPr>
          <w:sz w:val="18"/>
          <w:szCs w:val="18"/>
        </w:rPr>
      </w:pPr>
      <w:r w:rsidRPr="00390449">
        <w:rPr>
          <w:sz w:val="18"/>
          <w:szCs w:val="18"/>
        </w:rPr>
        <w:t>Arnold, M., Mariekie, G. &amp; Ritva, M., 2016. Technologies for sulphate removal with valorisation options International Mine Water Association</w:t>
      </w:r>
      <w:r w:rsidRPr="00390449">
        <w:rPr>
          <w:b/>
          <w:sz w:val="18"/>
          <w:szCs w:val="18"/>
        </w:rPr>
        <w:t>,</w:t>
      </w:r>
      <w:r w:rsidRPr="00390449">
        <w:rPr>
          <w:sz w:val="18"/>
          <w:szCs w:val="18"/>
        </w:rPr>
        <w:t xml:space="preserve"> 1343 – 1345.</w:t>
      </w:r>
    </w:p>
    <w:p w:rsidR="00390449" w:rsidRPr="00390449" w:rsidRDefault="00390449" w:rsidP="00390449">
      <w:pPr>
        <w:pStyle w:val="EndNoteBibliography"/>
        <w:ind w:left="720" w:hanging="720"/>
        <w:jc w:val="both"/>
        <w:rPr>
          <w:sz w:val="18"/>
          <w:szCs w:val="18"/>
        </w:rPr>
      </w:pPr>
      <w:r w:rsidRPr="00390449">
        <w:rPr>
          <w:sz w:val="18"/>
          <w:szCs w:val="18"/>
        </w:rPr>
        <w:t>Doshi, S. M., 2006. Bioremediation of acid mine drainage using sulfate-reducing bacteria, US Environmental Protection Agency, Office of Solid Waste and Emergency Response and Office of Superfund Remediation and Technology Innovation, 65.</w:t>
      </w:r>
    </w:p>
    <w:p w:rsidR="00390449" w:rsidRPr="00390449" w:rsidRDefault="00390449" w:rsidP="00390449">
      <w:pPr>
        <w:pStyle w:val="EndNoteBibliography"/>
        <w:ind w:left="720" w:hanging="720"/>
        <w:jc w:val="both"/>
        <w:rPr>
          <w:sz w:val="18"/>
          <w:szCs w:val="18"/>
        </w:rPr>
      </w:pPr>
      <w:r w:rsidRPr="00390449">
        <w:rPr>
          <w:sz w:val="18"/>
          <w:szCs w:val="18"/>
        </w:rPr>
        <w:t>Dvorak, D. H., Hedin, R. S., Edenborn, H. M. &amp; Mcintire, P. E., 1992. Treatment of metal</w:t>
      </w:r>
      <w:r w:rsidRPr="00390449">
        <w:rPr>
          <w:rFonts w:ascii="Cambria Math" w:hAnsi="Cambria Math" w:cs="Cambria Math"/>
          <w:sz w:val="18"/>
          <w:szCs w:val="18"/>
        </w:rPr>
        <w:t>‐</w:t>
      </w:r>
      <w:r w:rsidRPr="00390449">
        <w:rPr>
          <w:sz w:val="18"/>
          <w:szCs w:val="18"/>
        </w:rPr>
        <w:t>contaminated water using bacterial sulfate reduction: Results from pilot</w:t>
      </w:r>
      <w:r w:rsidRPr="00390449">
        <w:rPr>
          <w:rFonts w:ascii="Cambria Math" w:hAnsi="Cambria Math" w:cs="Cambria Math"/>
          <w:sz w:val="18"/>
          <w:szCs w:val="18"/>
        </w:rPr>
        <w:t>‐</w:t>
      </w:r>
      <w:r w:rsidRPr="00390449">
        <w:rPr>
          <w:sz w:val="18"/>
          <w:szCs w:val="18"/>
        </w:rPr>
        <w:t>scale reactors, Biotechnology and bioengineering, 40</w:t>
      </w:r>
      <w:r w:rsidRPr="00390449">
        <w:rPr>
          <w:b/>
          <w:sz w:val="18"/>
          <w:szCs w:val="18"/>
        </w:rPr>
        <w:t>,</w:t>
      </w:r>
      <w:r w:rsidRPr="00390449">
        <w:rPr>
          <w:sz w:val="18"/>
          <w:szCs w:val="18"/>
        </w:rPr>
        <w:t xml:space="preserve"> 609-616.</w:t>
      </w:r>
    </w:p>
    <w:p w:rsidR="00390449" w:rsidRPr="00390449" w:rsidRDefault="00390449" w:rsidP="00390449">
      <w:pPr>
        <w:pStyle w:val="EndNoteBibliography"/>
        <w:ind w:left="720" w:hanging="720"/>
        <w:jc w:val="both"/>
        <w:rPr>
          <w:sz w:val="18"/>
          <w:szCs w:val="18"/>
        </w:rPr>
      </w:pPr>
      <w:r w:rsidRPr="00390449">
        <w:rPr>
          <w:sz w:val="18"/>
          <w:szCs w:val="18"/>
        </w:rPr>
        <w:t>Dwaf, 2013. Revision of general authorisations in terms of Section 39 of the National Water Act, 1998 (Act No. 36 of 1998), No. 665, Government Gazette.</w:t>
      </w:r>
    </w:p>
    <w:p w:rsidR="00390449" w:rsidRPr="00390449" w:rsidRDefault="00390449" w:rsidP="00390449">
      <w:pPr>
        <w:pStyle w:val="EndNoteBibliography"/>
        <w:ind w:left="720" w:hanging="720"/>
        <w:jc w:val="both"/>
        <w:rPr>
          <w:sz w:val="18"/>
          <w:szCs w:val="18"/>
        </w:rPr>
      </w:pPr>
      <w:r w:rsidRPr="00390449">
        <w:rPr>
          <w:sz w:val="18"/>
          <w:szCs w:val="18"/>
        </w:rPr>
        <w:t>Johnson, D. B. &amp; Hallberg, K. B., 2005. Acid mine drainage remediation options: a review, Sci Total Environ, 338</w:t>
      </w:r>
      <w:r w:rsidRPr="00390449">
        <w:rPr>
          <w:b/>
          <w:sz w:val="18"/>
          <w:szCs w:val="18"/>
        </w:rPr>
        <w:t>,</w:t>
      </w:r>
      <w:r w:rsidRPr="00390449">
        <w:rPr>
          <w:sz w:val="18"/>
          <w:szCs w:val="18"/>
        </w:rPr>
        <w:t xml:space="preserve"> 3-14.</w:t>
      </w:r>
    </w:p>
    <w:p w:rsidR="00390449" w:rsidRPr="00390449" w:rsidRDefault="00390449" w:rsidP="00390449">
      <w:pPr>
        <w:pStyle w:val="EndNoteBibliography"/>
        <w:ind w:left="720" w:hanging="720"/>
        <w:jc w:val="both"/>
        <w:rPr>
          <w:sz w:val="18"/>
          <w:szCs w:val="18"/>
        </w:rPr>
      </w:pPr>
      <w:r w:rsidRPr="00390449">
        <w:rPr>
          <w:sz w:val="18"/>
          <w:szCs w:val="18"/>
        </w:rPr>
        <w:t>Jong, T. &amp; Parry, D. L., 2003. Removal of sulfate and heavy metals by sulfate reducing bacteria in short-term bench scale upflow anaerobic packed bed reactor runs, Water research, 37</w:t>
      </w:r>
      <w:r w:rsidRPr="00390449">
        <w:rPr>
          <w:b/>
          <w:sz w:val="18"/>
          <w:szCs w:val="18"/>
        </w:rPr>
        <w:t>,</w:t>
      </w:r>
      <w:r w:rsidRPr="00390449">
        <w:rPr>
          <w:sz w:val="18"/>
          <w:szCs w:val="18"/>
        </w:rPr>
        <w:t xml:space="preserve"> 3379-3389.</w:t>
      </w:r>
    </w:p>
    <w:p w:rsidR="00390449" w:rsidRPr="00390449" w:rsidRDefault="00390449" w:rsidP="00390449">
      <w:pPr>
        <w:pStyle w:val="EndNoteBibliography"/>
        <w:ind w:left="720" w:hanging="720"/>
        <w:jc w:val="both"/>
        <w:rPr>
          <w:sz w:val="18"/>
          <w:szCs w:val="18"/>
        </w:rPr>
      </w:pPr>
      <w:r w:rsidRPr="00390449">
        <w:rPr>
          <w:sz w:val="18"/>
          <w:szCs w:val="18"/>
        </w:rPr>
        <w:t>Jong, T. &amp; Parry, D. L., 2006. Microbial sulfate reduction under sequentially acidic conditions in an upflow anaerobic packed bed bioreactor, Water Res, 40</w:t>
      </w:r>
      <w:r w:rsidRPr="00390449">
        <w:rPr>
          <w:b/>
          <w:sz w:val="18"/>
          <w:szCs w:val="18"/>
        </w:rPr>
        <w:t>,</w:t>
      </w:r>
      <w:r w:rsidRPr="00390449">
        <w:rPr>
          <w:sz w:val="18"/>
          <w:szCs w:val="18"/>
        </w:rPr>
        <w:t xml:space="preserve"> 2561-71.</w:t>
      </w:r>
    </w:p>
    <w:p w:rsidR="00390449" w:rsidRPr="00390449" w:rsidRDefault="00390449" w:rsidP="00390449">
      <w:pPr>
        <w:pStyle w:val="EndNoteBibliography"/>
        <w:ind w:left="720" w:hanging="720"/>
        <w:jc w:val="both"/>
        <w:rPr>
          <w:sz w:val="18"/>
          <w:szCs w:val="18"/>
        </w:rPr>
      </w:pPr>
      <w:r w:rsidRPr="00390449">
        <w:rPr>
          <w:sz w:val="18"/>
          <w:szCs w:val="18"/>
        </w:rPr>
        <w:t>Kaksonen, A. H. &amp; Puhakka, J. A., 2007. Sulfate Reduction Based Bioprocesses for the Treatment of Acid Mine Drainage and the Recovery of Metals, Engineering in Life Sciences, 7</w:t>
      </w:r>
      <w:r w:rsidRPr="00390449">
        <w:rPr>
          <w:b/>
          <w:sz w:val="18"/>
          <w:szCs w:val="18"/>
        </w:rPr>
        <w:t>,</w:t>
      </w:r>
      <w:r w:rsidRPr="00390449">
        <w:rPr>
          <w:sz w:val="18"/>
          <w:szCs w:val="18"/>
        </w:rPr>
        <w:t xml:space="preserve"> 541-564.</w:t>
      </w:r>
    </w:p>
    <w:p w:rsidR="00390449" w:rsidRPr="00390449" w:rsidRDefault="00390449" w:rsidP="00390449">
      <w:pPr>
        <w:pStyle w:val="EndNoteBibliography"/>
        <w:ind w:left="720" w:hanging="720"/>
        <w:jc w:val="both"/>
        <w:rPr>
          <w:sz w:val="18"/>
          <w:szCs w:val="18"/>
        </w:rPr>
      </w:pPr>
      <w:r w:rsidRPr="00390449">
        <w:rPr>
          <w:sz w:val="18"/>
          <w:szCs w:val="18"/>
        </w:rPr>
        <w:t>Lee, G., Bigham, J. M. &amp; Faure, G., 2002. Removal of trace metals by coprecipitation with Fe, Al and Mn from natural waters contaminated with acid mine drainage in the Ducktown Mining District, Tennessee, Applied Geochemistry, 17</w:t>
      </w:r>
      <w:r w:rsidRPr="00390449">
        <w:rPr>
          <w:b/>
          <w:sz w:val="18"/>
          <w:szCs w:val="18"/>
        </w:rPr>
        <w:t>,</w:t>
      </w:r>
      <w:r w:rsidRPr="00390449">
        <w:rPr>
          <w:sz w:val="18"/>
          <w:szCs w:val="18"/>
        </w:rPr>
        <w:t xml:space="preserve"> 569-581.</w:t>
      </w:r>
    </w:p>
    <w:p w:rsidR="00390449" w:rsidRPr="00390449" w:rsidRDefault="00390449" w:rsidP="00390449">
      <w:pPr>
        <w:pStyle w:val="EndNoteBibliography"/>
        <w:ind w:left="720" w:hanging="720"/>
        <w:jc w:val="both"/>
        <w:rPr>
          <w:sz w:val="18"/>
          <w:szCs w:val="18"/>
        </w:rPr>
      </w:pPr>
      <w:r w:rsidRPr="00390449">
        <w:rPr>
          <w:sz w:val="18"/>
          <w:szCs w:val="18"/>
        </w:rPr>
        <w:t>Liamleam, W. &amp; Annachhatre, A. P., 2007. Electron donors for biological sulfate reduction, Biotechnol Adv, 25</w:t>
      </w:r>
      <w:r w:rsidRPr="00390449">
        <w:rPr>
          <w:b/>
          <w:sz w:val="18"/>
          <w:szCs w:val="18"/>
        </w:rPr>
        <w:t>,</w:t>
      </w:r>
      <w:r w:rsidRPr="00390449">
        <w:rPr>
          <w:sz w:val="18"/>
          <w:szCs w:val="18"/>
        </w:rPr>
        <w:t xml:space="preserve"> 452-63.</w:t>
      </w:r>
    </w:p>
    <w:p w:rsidR="00390449" w:rsidRPr="00390449" w:rsidRDefault="00390449" w:rsidP="00390449">
      <w:pPr>
        <w:pStyle w:val="EndNoteBibliography"/>
        <w:ind w:left="720" w:hanging="720"/>
        <w:jc w:val="both"/>
        <w:rPr>
          <w:sz w:val="18"/>
          <w:szCs w:val="18"/>
        </w:rPr>
      </w:pPr>
      <w:r w:rsidRPr="00390449">
        <w:rPr>
          <w:sz w:val="18"/>
          <w:szCs w:val="18"/>
        </w:rPr>
        <w:t>Luptakova, A., Kotulicova, I., Macingova, E. &amp; Jencarova, J., 2013. Bacterial elimination of sulphates from mine waters, Chemical engineering transactions, 35</w:t>
      </w:r>
      <w:r w:rsidRPr="00390449">
        <w:rPr>
          <w:b/>
          <w:sz w:val="18"/>
          <w:szCs w:val="18"/>
        </w:rPr>
        <w:t>,</w:t>
      </w:r>
      <w:r w:rsidRPr="00390449">
        <w:rPr>
          <w:sz w:val="18"/>
          <w:szCs w:val="18"/>
        </w:rPr>
        <w:t xml:space="preserve"> 853-858.</w:t>
      </w:r>
    </w:p>
    <w:p w:rsidR="00390449" w:rsidRPr="00390449" w:rsidRDefault="00390449" w:rsidP="00390449">
      <w:pPr>
        <w:pStyle w:val="EndNoteBibliography"/>
        <w:ind w:left="720" w:hanging="720"/>
        <w:jc w:val="both"/>
        <w:rPr>
          <w:sz w:val="18"/>
          <w:szCs w:val="18"/>
        </w:rPr>
      </w:pPr>
      <w:r w:rsidRPr="00390449">
        <w:rPr>
          <w:sz w:val="18"/>
          <w:szCs w:val="18"/>
        </w:rPr>
        <w:t>Macingova, E. &amp; Luptakova, A., 2012. Recovery of metals from acid mine drainage, Chemical Engineering, 28</w:t>
      </w:r>
      <w:r w:rsidRPr="00390449">
        <w:rPr>
          <w:b/>
          <w:sz w:val="18"/>
          <w:szCs w:val="18"/>
        </w:rPr>
        <w:t>,</w:t>
      </w:r>
      <w:r w:rsidRPr="00390449">
        <w:rPr>
          <w:sz w:val="18"/>
          <w:szCs w:val="18"/>
        </w:rPr>
        <w:t xml:space="preserve"> 109 - 114.</w:t>
      </w:r>
    </w:p>
    <w:p w:rsidR="00390449" w:rsidRPr="00390449" w:rsidRDefault="00390449" w:rsidP="00390449">
      <w:pPr>
        <w:pStyle w:val="EndNoteBibliography"/>
        <w:ind w:left="720" w:hanging="720"/>
        <w:jc w:val="both"/>
        <w:rPr>
          <w:sz w:val="18"/>
          <w:szCs w:val="18"/>
        </w:rPr>
      </w:pPr>
      <w:r w:rsidRPr="00390449">
        <w:rPr>
          <w:sz w:val="18"/>
          <w:szCs w:val="18"/>
        </w:rPr>
        <w:t>Neale, J. W., Muller, H. H., Gericke, M. &amp; Muhlbauer, R., 2017. Low-Cost Biological Treatment of Metal- and Sulphate-Contaminated Mine Waters, International Mine Water Association, 1</w:t>
      </w:r>
      <w:r w:rsidRPr="00390449">
        <w:rPr>
          <w:b/>
          <w:sz w:val="18"/>
          <w:szCs w:val="18"/>
        </w:rPr>
        <w:t>,</w:t>
      </w:r>
      <w:r w:rsidRPr="00390449">
        <w:rPr>
          <w:sz w:val="18"/>
          <w:szCs w:val="18"/>
        </w:rPr>
        <w:t xml:space="preserve"> 453 - 460.</w:t>
      </w:r>
    </w:p>
    <w:p w:rsidR="00390449" w:rsidRPr="00390449" w:rsidRDefault="00390449" w:rsidP="00390449">
      <w:pPr>
        <w:pStyle w:val="EndNoteBibliography"/>
        <w:ind w:left="720" w:hanging="720"/>
        <w:jc w:val="both"/>
        <w:rPr>
          <w:sz w:val="18"/>
          <w:szCs w:val="18"/>
        </w:rPr>
      </w:pPr>
      <w:r w:rsidRPr="00390449">
        <w:rPr>
          <w:sz w:val="18"/>
          <w:szCs w:val="18"/>
        </w:rPr>
        <w:t>Othman, A., Sulaiman, A. &amp; Sulaiman, S., 2017. The Use of Quicklime in Acid Mine Drainage Treatment, Chemical Engineering Transactions, 56</w:t>
      </w:r>
      <w:r w:rsidRPr="00390449">
        <w:rPr>
          <w:b/>
          <w:sz w:val="18"/>
          <w:szCs w:val="18"/>
        </w:rPr>
        <w:t>,</w:t>
      </w:r>
      <w:r w:rsidRPr="00390449">
        <w:rPr>
          <w:sz w:val="18"/>
          <w:szCs w:val="18"/>
        </w:rPr>
        <w:t xml:space="preserve"> 1585-1590.</w:t>
      </w:r>
    </w:p>
    <w:p w:rsidR="00390449" w:rsidRPr="00390449" w:rsidRDefault="00390449" w:rsidP="00390449">
      <w:pPr>
        <w:pStyle w:val="EndNoteBibliography"/>
        <w:ind w:left="720" w:hanging="720"/>
        <w:jc w:val="both"/>
        <w:rPr>
          <w:sz w:val="18"/>
          <w:szCs w:val="18"/>
        </w:rPr>
      </w:pPr>
      <w:r w:rsidRPr="00390449">
        <w:rPr>
          <w:sz w:val="18"/>
          <w:szCs w:val="18"/>
        </w:rPr>
        <w:t>Salo, M., Bomberg, M., Grewar, T., Seepei, L., Mariekie, G. &amp; Arnold, M., 2017. Compositions of the Microbial Consortia Present in Biological Sulphate Reduction Processes During Mine Effluent Treatment, International Mine Water Association, 1</w:t>
      </w:r>
      <w:r w:rsidRPr="00390449">
        <w:rPr>
          <w:b/>
          <w:sz w:val="18"/>
          <w:szCs w:val="18"/>
        </w:rPr>
        <w:t>,</w:t>
      </w:r>
      <w:r w:rsidRPr="00390449">
        <w:rPr>
          <w:sz w:val="18"/>
          <w:szCs w:val="18"/>
        </w:rPr>
        <w:t xml:space="preserve"> 14 - 21.</w:t>
      </w:r>
    </w:p>
    <w:p w:rsidR="00390449" w:rsidRPr="00390449" w:rsidRDefault="00390449" w:rsidP="00390449">
      <w:pPr>
        <w:pStyle w:val="EndNoteBibliography"/>
        <w:ind w:left="720" w:hanging="720"/>
        <w:jc w:val="both"/>
        <w:rPr>
          <w:sz w:val="18"/>
          <w:szCs w:val="18"/>
        </w:rPr>
      </w:pPr>
      <w:r w:rsidRPr="00390449">
        <w:rPr>
          <w:sz w:val="18"/>
          <w:szCs w:val="18"/>
        </w:rPr>
        <w:t>Sheoran, A. S., Sheoran, V. &amp; Choudhary, R. P., 2010. Bioremediation of acid-rock drainage by sulphate-reducing prokaryotes: A review, Minerals Engineering, 23</w:t>
      </w:r>
      <w:r w:rsidRPr="00390449">
        <w:rPr>
          <w:b/>
          <w:sz w:val="18"/>
          <w:szCs w:val="18"/>
        </w:rPr>
        <w:t>,</w:t>
      </w:r>
      <w:r w:rsidRPr="00390449">
        <w:rPr>
          <w:sz w:val="18"/>
          <w:szCs w:val="18"/>
        </w:rPr>
        <w:t xml:space="preserve"> 1073-1100.</w:t>
      </w:r>
    </w:p>
    <w:p w:rsidR="00390449" w:rsidRPr="00390449" w:rsidRDefault="00390449" w:rsidP="00390449">
      <w:pPr>
        <w:pStyle w:val="EndNoteBibliography"/>
        <w:ind w:left="720" w:hanging="720"/>
        <w:jc w:val="both"/>
        <w:rPr>
          <w:sz w:val="18"/>
          <w:szCs w:val="18"/>
        </w:rPr>
      </w:pPr>
      <w:r w:rsidRPr="00390449">
        <w:rPr>
          <w:sz w:val="18"/>
          <w:szCs w:val="18"/>
        </w:rPr>
        <w:t>Zagury, G., Neculita, C. &amp; Bussiere, B., 2007. Passive treatment of acid mine drainage in bioreactors: short review, applications, and research needs, Ottawa Geo2007</w:t>
      </w:r>
      <w:r w:rsidRPr="00390449">
        <w:rPr>
          <w:b/>
          <w:sz w:val="18"/>
          <w:szCs w:val="18"/>
        </w:rPr>
        <w:t>,</w:t>
      </w:r>
      <w:r w:rsidRPr="00390449">
        <w:rPr>
          <w:sz w:val="18"/>
          <w:szCs w:val="18"/>
        </w:rPr>
        <w:t xml:space="preserve"> 14439-14446.</w:t>
      </w:r>
    </w:p>
    <w:p w:rsidR="004628D2" w:rsidRPr="00873B68" w:rsidRDefault="00EF4F22" w:rsidP="00390449">
      <w:pPr>
        <w:pStyle w:val="CETReferencetext"/>
      </w:pPr>
      <w:r w:rsidRPr="00390449">
        <w:rPr>
          <w:rFonts w:cs="Arial"/>
          <w:szCs w:val="18"/>
        </w:rPr>
        <w:fldChar w:fldCharType="end"/>
      </w:r>
    </w:p>
    <w:sectPr w:rsidR="004628D2" w:rsidRPr="00873B68"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FA" w:rsidRDefault="00BC78FA" w:rsidP="00291C79">
      <w:pPr>
        <w:spacing w:line="240" w:lineRule="auto"/>
      </w:pPr>
      <w:r>
        <w:separator/>
      </w:r>
    </w:p>
  </w:endnote>
  <w:endnote w:type="continuationSeparator" w:id="0">
    <w:p w:rsidR="00BC78FA" w:rsidRDefault="00BC78FA" w:rsidP="00291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FA" w:rsidRDefault="00BC78FA" w:rsidP="00291C79">
      <w:pPr>
        <w:spacing w:line="240" w:lineRule="auto"/>
      </w:pPr>
      <w:r>
        <w:separator/>
      </w:r>
    </w:p>
  </w:footnote>
  <w:footnote w:type="continuationSeparator" w:id="0">
    <w:p w:rsidR="00BC78FA" w:rsidRDefault="00BC78FA" w:rsidP="00291C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920E0F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95C05676">
      <w:start w:val="1"/>
      <w:numFmt w:val="bullet"/>
      <w:lvlText w:val=""/>
      <w:lvlJc w:val="left"/>
      <w:pPr>
        <w:ind w:left="720" w:hanging="360"/>
      </w:pPr>
      <w:rPr>
        <w:rFonts w:ascii="Symbol" w:hAnsi="Symbol" w:hint="default"/>
      </w:rPr>
    </w:lvl>
    <w:lvl w:ilvl="1" w:tplc="691600EE" w:tentative="1">
      <w:start w:val="1"/>
      <w:numFmt w:val="bullet"/>
      <w:lvlText w:val="o"/>
      <w:lvlJc w:val="left"/>
      <w:pPr>
        <w:ind w:left="1440" w:hanging="360"/>
      </w:pPr>
      <w:rPr>
        <w:rFonts w:ascii="Courier New" w:hAnsi="Courier New" w:cs="Courier New" w:hint="default"/>
      </w:rPr>
    </w:lvl>
    <w:lvl w:ilvl="2" w:tplc="0986D0B2" w:tentative="1">
      <w:start w:val="1"/>
      <w:numFmt w:val="bullet"/>
      <w:lvlText w:val=""/>
      <w:lvlJc w:val="left"/>
      <w:pPr>
        <w:ind w:left="2160" w:hanging="360"/>
      </w:pPr>
      <w:rPr>
        <w:rFonts w:ascii="Wingdings" w:hAnsi="Wingdings" w:hint="default"/>
      </w:rPr>
    </w:lvl>
    <w:lvl w:ilvl="3" w:tplc="D35ABEAA" w:tentative="1">
      <w:start w:val="1"/>
      <w:numFmt w:val="bullet"/>
      <w:lvlText w:val=""/>
      <w:lvlJc w:val="left"/>
      <w:pPr>
        <w:ind w:left="2880" w:hanging="360"/>
      </w:pPr>
      <w:rPr>
        <w:rFonts w:ascii="Symbol" w:hAnsi="Symbol" w:hint="default"/>
      </w:rPr>
    </w:lvl>
    <w:lvl w:ilvl="4" w:tplc="157ECCE4" w:tentative="1">
      <w:start w:val="1"/>
      <w:numFmt w:val="bullet"/>
      <w:lvlText w:val="o"/>
      <w:lvlJc w:val="left"/>
      <w:pPr>
        <w:ind w:left="3600" w:hanging="360"/>
      </w:pPr>
      <w:rPr>
        <w:rFonts w:ascii="Courier New" w:hAnsi="Courier New" w:cs="Courier New" w:hint="default"/>
      </w:rPr>
    </w:lvl>
    <w:lvl w:ilvl="5" w:tplc="F04A0E30" w:tentative="1">
      <w:start w:val="1"/>
      <w:numFmt w:val="bullet"/>
      <w:lvlText w:val=""/>
      <w:lvlJc w:val="left"/>
      <w:pPr>
        <w:ind w:left="4320" w:hanging="360"/>
      </w:pPr>
      <w:rPr>
        <w:rFonts w:ascii="Wingdings" w:hAnsi="Wingdings" w:hint="default"/>
      </w:rPr>
    </w:lvl>
    <w:lvl w:ilvl="6" w:tplc="94842B5A" w:tentative="1">
      <w:start w:val="1"/>
      <w:numFmt w:val="bullet"/>
      <w:lvlText w:val=""/>
      <w:lvlJc w:val="left"/>
      <w:pPr>
        <w:ind w:left="5040" w:hanging="360"/>
      </w:pPr>
      <w:rPr>
        <w:rFonts w:ascii="Symbol" w:hAnsi="Symbol" w:hint="default"/>
      </w:rPr>
    </w:lvl>
    <w:lvl w:ilvl="7" w:tplc="7F345DA4" w:tentative="1">
      <w:start w:val="1"/>
      <w:numFmt w:val="bullet"/>
      <w:lvlText w:val="o"/>
      <w:lvlJc w:val="left"/>
      <w:pPr>
        <w:ind w:left="5760" w:hanging="360"/>
      </w:pPr>
      <w:rPr>
        <w:rFonts w:ascii="Courier New" w:hAnsi="Courier New" w:cs="Courier New" w:hint="default"/>
      </w:rPr>
    </w:lvl>
    <w:lvl w:ilvl="8" w:tplc="E59E87C6"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0DC4CE4">
      <w:start w:val="1"/>
      <w:numFmt w:val="bullet"/>
      <w:pStyle w:val="CETnumberingbullets"/>
      <w:lvlText w:val=""/>
      <w:lvlJc w:val="left"/>
      <w:pPr>
        <w:ind w:left="340" w:hanging="227"/>
      </w:pPr>
      <w:rPr>
        <w:rFonts w:ascii="Symbol" w:hAnsi="Symbol" w:hint="default"/>
      </w:rPr>
    </w:lvl>
    <w:lvl w:ilvl="1" w:tplc="47480FBA" w:tentative="1">
      <w:start w:val="1"/>
      <w:numFmt w:val="bullet"/>
      <w:lvlText w:val="o"/>
      <w:lvlJc w:val="left"/>
      <w:pPr>
        <w:ind w:left="1440" w:hanging="360"/>
      </w:pPr>
      <w:rPr>
        <w:rFonts w:ascii="Courier New" w:hAnsi="Courier New" w:cs="Courier New" w:hint="default"/>
      </w:rPr>
    </w:lvl>
    <w:lvl w:ilvl="2" w:tplc="C422E46E" w:tentative="1">
      <w:start w:val="1"/>
      <w:numFmt w:val="bullet"/>
      <w:lvlText w:val=""/>
      <w:lvlJc w:val="left"/>
      <w:pPr>
        <w:ind w:left="2160" w:hanging="360"/>
      </w:pPr>
      <w:rPr>
        <w:rFonts w:ascii="Wingdings" w:hAnsi="Wingdings" w:hint="default"/>
      </w:rPr>
    </w:lvl>
    <w:lvl w:ilvl="3" w:tplc="01741BF8" w:tentative="1">
      <w:start w:val="1"/>
      <w:numFmt w:val="bullet"/>
      <w:lvlText w:val=""/>
      <w:lvlJc w:val="left"/>
      <w:pPr>
        <w:ind w:left="2880" w:hanging="360"/>
      </w:pPr>
      <w:rPr>
        <w:rFonts w:ascii="Symbol" w:hAnsi="Symbol" w:hint="default"/>
      </w:rPr>
    </w:lvl>
    <w:lvl w:ilvl="4" w:tplc="721406E4" w:tentative="1">
      <w:start w:val="1"/>
      <w:numFmt w:val="bullet"/>
      <w:lvlText w:val="o"/>
      <w:lvlJc w:val="left"/>
      <w:pPr>
        <w:ind w:left="3600" w:hanging="360"/>
      </w:pPr>
      <w:rPr>
        <w:rFonts w:ascii="Courier New" w:hAnsi="Courier New" w:cs="Courier New" w:hint="default"/>
      </w:rPr>
    </w:lvl>
    <w:lvl w:ilvl="5" w:tplc="C53E7490" w:tentative="1">
      <w:start w:val="1"/>
      <w:numFmt w:val="bullet"/>
      <w:lvlText w:val=""/>
      <w:lvlJc w:val="left"/>
      <w:pPr>
        <w:ind w:left="4320" w:hanging="360"/>
      </w:pPr>
      <w:rPr>
        <w:rFonts w:ascii="Wingdings" w:hAnsi="Wingdings" w:hint="default"/>
      </w:rPr>
    </w:lvl>
    <w:lvl w:ilvl="6" w:tplc="4614D428" w:tentative="1">
      <w:start w:val="1"/>
      <w:numFmt w:val="bullet"/>
      <w:lvlText w:val=""/>
      <w:lvlJc w:val="left"/>
      <w:pPr>
        <w:ind w:left="5040" w:hanging="360"/>
      </w:pPr>
      <w:rPr>
        <w:rFonts w:ascii="Symbol" w:hAnsi="Symbol" w:hint="default"/>
      </w:rPr>
    </w:lvl>
    <w:lvl w:ilvl="7" w:tplc="BEA2F69C" w:tentative="1">
      <w:start w:val="1"/>
      <w:numFmt w:val="bullet"/>
      <w:lvlText w:val="o"/>
      <w:lvlJc w:val="left"/>
      <w:pPr>
        <w:ind w:left="5760" w:hanging="360"/>
      </w:pPr>
      <w:rPr>
        <w:rFonts w:ascii="Courier New" w:hAnsi="Courier New" w:cs="Courier New" w:hint="default"/>
      </w:rPr>
    </w:lvl>
    <w:lvl w:ilvl="8" w:tplc="4A447360"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790C3C94">
      <w:start w:val="1"/>
      <w:numFmt w:val="decimal"/>
      <w:lvlText w:val="%1)"/>
      <w:lvlJc w:val="left"/>
      <w:pPr>
        <w:ind w:left="720" w:hanging="360"/>
      </w:pPr>
      <w:rPr>
        <w:rFonts w:hint="default"/>
      </w:rPr>
    </w:lvl>
    <w:lvl w:ilvl="1" w:tplc="8E5850FE" w:tentative="1">
      <w:start w:val="1"/>
      <w:numFmt w:val="lowerLetter"/>
      <w:lvlText w:val="%2."/>
      <w:lvlJc w:val="left"/>
      <w:pPr>
        <w:ind w:left="1440" w:hanging="360"/>
      </w:pPr>
    </w:lvl>
    <w:lvl w:ilvl="2" w:tplc="727681BE" w:tentative="1">
      <w:start w:val="1"/>
      <w:numFmt w:val="lowerRoman"/>
      <w:lvlText w:val="%3."/>
      <w:lvlJc w:val="right"/>
      <w:pPr>
        <w:ind w:left="2160" w:hanging="180"/>
      </w:pPr>
    </w:lvl>
    <w:lvl w:ilvl="3" w:tplc="F6F22224" w:tentative="1">
      <w:start w:val="1"/>
      <w:numFmt w:val="decimal"/>
      <w:lvlText w:val="%4."/>
      <w:lvlJc w:val="left"/>
      <w:pPr>
        <w:ind w:left="2880" w:hanging="360"/>
      </w:pPr>
    </w:lvl>
    <w:lvl w:ilvl="4" w:tplc="44B0636E" w:tentative="1">
      <w:start w:val="1"/>
      <w:numFmt w:val="lowerLetter"/>
      <w:lvlText w:val="%5."/>
      <w:lvlJc w:val="left"/>
      <w:pPr>
        <w:ind w:left="3600" w:hanging="360"/>
      </w:pPr>
    </w:lvl>
    <w:lvl w:ilvl="5" w:tplc="E94A6986" w:tentative="1">
      <w:start w:val="1"/>
      <w:numFmt w:val="lowerRoman"/>
      <w:lvlText w:val="%6."/>
      <w:lvlJc w:val="right"/>
      <w:pPr>
        <w:ind w:left="4320" w:hanging="180"/>
      </w:pPr>
    </w:lvl>
    <w:lvl w:ilvl="6" w:tplc="9762053A" w:tentative="1">
      <w:start w:val="1"/>
      <w:numFmt w:val="decimal"/>
      <w:lvlText w:val="%7."/>
      <w:lvlJc w:val="left"/>
      <w:pPr>
        <w:ind w:left="5040" w:hanging="360"/>
      </w:pPr>
    </w:lvl>
    <w:lvl w:ilvl="7" w:tplc="DE9C9664" w:tentative="1">
      <w:start w:val="1"/>
      <w:numFmt w:val="lowerLetter"/>
      <w:lvlText w:val="%8."/>
      <w:lvlJc w:val="left"/>
      <w:pPr>
        <w:ind w:left="5760" w:hanging="360"/>
      </w:pPr>
    </w:lvl>
    <w:lvl w:ilvl="8" w:tplc="F94C5EFE"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8DEADED6">
      <w:start w:val="1"/>
      <w:numFmt w:val="bullet"/>
      <w:lvlText w:val=""/>
      <w:lvlJc w:val="left"/>
      <w:pPr>
        <w:ind w:left="340" w:hanging="227"/>
      </w:pPr>
      <w:rPr>
        <w:rFonts w:ascii="Symbol" w:hAnsi="Symbol" w:hint="default"/>
      </w:rPr>
    </w:lvl>
    <w:lvl w:ilvl="1" w:tplc="5C56C368" w:tentative="1">
      <w:start w:val="1"/>
      <w:numFmt w:val="bullet"/>
      <w:lvlText w:val="o"/>
      <w:lvlJc w:val="left"/>
      <w:pPr>
        <w:ind w:left="1440" w:hanging="360"/>
      </w:pPr>
      <w:rPr>
        <w:rFonts w:ascii="Courier New" w:hAnsi="Courier New" w:cs="Courier New" w:hint="default"/>
      </w:rPr>
    </w:lvl>
    <w:lvl w:ilvl="2" w:tplc="ECECCDAE" w:tentative="1">
      <w:start w:val="1"/>
      <w:numFmt w:val="bullet"/>
      <w:lvlText w:val=""/>
      <w:lvlJc w:val="left"/>
      <w:pPr>
        <w:ind w:left="2160" w:hanging="360"/>
      </w:pPr>
      <w:rPr>
        <w:rFonts w:ascii="Wingdings" w:hAnsi="Wingdings" w:hint="default"/>
      </w:rPr>
    </w:lvl>
    <w:lvl w:ilvl="3" w:tplc="1A7A40C2" w:tentative="1">
      <w:start w:val="1"/>
      <w:numFmt w:val="bullet"/>
      <w:lvlText w:val=""/>
      <w:lvlJc w:val="left"/>
      <w:pPr>
        <w:ind w:left="2880" w:hanging="360"/>
      </w:pPr>
      <w:rPr>
        <w:rFonts w:ascii="Symbol" w:hAnsi="Symbol" w:hint="default"/>
      </w:rPr>
    </w:lvl>
    <w:lvl w:ilvl="4" w:tplc="E4841F86" w:tentative="1">
      <w:start w:val="1"/>
      <w:numFmt w:val="bullet"/>
      <w:lvlText w:val="o"/>
      <w:lvlJc w:val="left"/>
      <w:pPr>
        <w:ind w:left="3600" w:hanging="360"/>
      </w:pPr>
      <w:rPr>
        <w:rFonts w:ascii="Courier New" w:hAnsi="Courier New" w:cs="Courier New" w:hint="default"/>
      </w:rPr>
    </w:lvl>
    <w:lvl w:ilvl="5" w:tplc="A92EFE94" w:tentative="1">
      <w:start w:val="1"/>
      <w:numFmt w:val="bullet"/>
      <w:lvlText w:val=""/>
      <w:lvlJc w:val="left"/>
      <w:pPr>
        <w:ind w:left="4320" w:hanging="360"/>
      </w:pPr>
      <w:rPr>
        <w:rFonts w:ascii="Wingdings" w:hAnsi="Wingdings" w:hint="default"/>
      </w:rPr>
    </w:lvl>
    <w:lvl w:ilvl="6" w:tplc="0596B556" w:tentative="1">
      <w:start w:val="1"/>
      <w:numFmt w:val="bullet"/>
      <w:lvlText w:val=""/>
      <w:lvlJc w:val="left"/>
      <w:pPr>
        <w:ind w:left="5040" w:hanging="360"/>
      </w:pPr>
      <w:rPr>
        <w:rFonts w:ascii="Symbol" w:hAnsi="Symbol" w:hint="default"/>
      </w:rPr>
    </w:lvl>
    <w:lvl w:ilvl="7" w:tplc="4E80DFA4" w:tentative="1">
      <w:start w:val="1"/>
      <w:numFmt w:val="bullet"/>
      <w:lvlText w:val="o"/>
      <w:lvlJc w:val="left"/>
      <w:pPr>
        <w:ind w:left="5760" w:hanging="360"/>
      </w:pPr>
      <w:rPr>
        <w:rFonts w:ascii="Courier New" w:hAnsi="Courier New" w:cs="Courier New" w:hint="default"/>
      </w:rPr>
    </w:lvl>
    <w:lvl w:ilvl="8" w:tplc="249A9CA8"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7736AD32">
      <w:start w:val="1"/>
      <w:numFmt w:val="decimal"/>
      <w:lvlText w:val="%1)"/>
      <w:lvlJc w:val="left"/>
      <w:pPr>
        <w:ind w:left="340" w:hanging="227"/>
      </w:pPr>
      <w:rPr>
        <w:rFonts w:hint="default"/>
      </w:rPr>
    </w:lvl>
    <w:lvl w:ilvl="1" w:tplc="CE3C8E8C" w:tentative="1">
      <w:start w:val="1"/>
      <w:numFmt w:val="bullet"/>
      <w:lvlText w:val="o"/>
      <w:lvlJc w:val="left"/>
      <w:pPr>
        <w:ind w:left="1440" w:hanging="360"/>
      </w:pPr>
      <w:rPr>
        <w:rFonts w:ascii="Courier New" w:hAnsi="Courier New" w:cs="Courier New" w:hint="default"/>
      </w:rPr>
    </w:lvl>
    <w:lvl w:ilvl="2" w:tplc="1D665466" w:tentative="1">
      <w:start w:val="1"/>
      <w:numFmt w:val="bullet"/>
      <w:lvlText w:val=""/>
      <w:lvlJc w:val="left"/>
      <w:pPr>
        <w:ind w:left="2160" w:hanging="360"/>
      </w:pPr>
      <w:rPr>
        <w:rFonts w:ascii="Wingdings" w:hAnsi="Wingdings" w:hint="default"/>
      </w:rPr>
    </w:lvl>
    <w:lvl w:ilvl="3" w:tplc="585ACDEE" w:tentative="1">
      <w:start w:val="1"/>
      <w:numFmt w:val="bullet"/>
      <w:lvlText w:val=""/>
      <w:lvlJc w:val="left"/>
      <w:pPr>
        <w:ind w:left="2880" w:hanging="360"/>
      </w:pPr>
      <w:rPr>
        <w:rFonts w:ascii="Symbol" w:hAnsi="Symbol" w:hint="default"/>
      </w:rPr>
    </w:lvl>
    <w:lvl w:ilvl="4" w:tplc="B70A8D7C" w:tentative="1">
      <w:start w:val="1"/>
      <w:numFmt w:val="bullet"/>
      <w:lvlText w:val="o"/>
      <w:lvlJc w:val="left"/>
      <w:pPr>
        <w:ind w:left="3600" w:hanging="360"/>
      </w:pPr>
      <w:rPr>
        <w:rFonts w:ascii="Courier New" w:hAnsi="Courier New" w:cs="Courier New" w:hint="default"/>
      </w:rPr>
    </w:lvl>
    <w:lvl w:ilvl="5" w:tplc="59DE1630" w:tentative="1">
      <w:start w:val="1"/>
      <w:numFmt w:val="bullet"/>
      <w:lvlText w:val=""/>
      <w:lvlJc w:val="left"/>
      <w:pPr>
        <w:ind w:left="4320" w:hanging="360"/>
      </w:pPr>
      <w:rPr>
        <w:rFonts w:ascii="Wingdings" w:hAnsi="Wingdings" w:hint="default"/>
      </w:rPr>
    </w:lvl>
    <w:lvl w:ilvl="6" w:tplc="7B3AC074" w:tentative="1">
      <w:start w:val="1"/>
      <w:numFmt w:val="bullet"/>
      <w:lvlText w:val=""/>
      <w:lvlJc w:val="left"/>
      <w:pPr>
        <w:ind w:left="5040" w:hanging="360"/>
      </w:pPr>
      <w:rPr>
        <w:rFonts w:ascii="Symbol" w:hAnsi="Symbol" w:hint="default"/>
      </w:rPr>
    </w:lvl>
    <w:lvl w:ilvl="7" w:tplc="9F1A12E0" w:tentative="1">
      <w:start w:val="1"/>
      <w:numFmt w:val="bullet"/>
      <w:lvlText w:val="o"/>
      <w:lvlJc w:val="left"/>
      <w:pPr>
        <w:ind w:left="5760" w:hanging="360"/>
      </w:pPr>
      <w:rPr>
        <w:rFonts w:ascii="Courier New" w:hAnsi="Courier New" w:cs="Courier New" w:hint="default"/>
      </w:rPr>
    </w:lvl>
    <w:lvl w:ilvl="8" w:tplc="A0BAB170"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5F1E6E52">
      <w:start w:val="1"/>
      <w:numFmt w:val="decimal"/>
      <w:pStyle w:val="CETnumbering1"/>
      <w:lvlText w:val="%1."/>
      <w:lvlJc w:val="left"/>
      <w:pPr>
        <w:ind w:left="720" w:hanging="360"/>
      </w:pPr>
    </w:lvl>
    <w:lvl w:ilvl="1" w:tplc="DE62EECC" w:tentative="1">
      <w:start w:val="1"/>
      <w:numFmt w:val="lowerLetter"/>
      <w:lvlText w:val="%2."/>
      <w:lvlJc w:val="left"/>
      <w:pPr>
        <w:ind w:left="1440" w:hanging="360"/>
      </w:pPr>
    </w:lvl>
    <w:lvl w:ilvl="2" w:tplc="99FCC074" w:tentative="1">
      <w:start w:val="1"/>
      <w:numFmt w:val="lowerRoman"/>
      <w:lvlText w:val="%3."/>
      <w:lvlJc w:val="right"/>
      <w:pPr>
        <w:ind w:left="2160" w:hanging="180"/>
      </w:pPr>
    </w:lvl>
    <w:lvl w:ilvl="3" w:tplc="DCA088C0" w:tentative="1">
      <w:start w:val="1"/>
      <w:numFmt w:val="decimal"/>
      <w:lvlText w:val="%4."/>
      <w:lvlJc w:val="left"/>
      <w:pPr>
        <w:ind w:left="2880" w:hanging="360"/>
      </w:pPr>
    </w:lvl>
    <w:lvl w:ilvl="4" w:tplc="A1ACD374" w:tentative="1">
      <w:start w:val="1"/>
      <w:numFmt w:val="lowerLetter"/>
      <w:lvlText w:val="%5."/>
      <w:lvlJc w:val="left"/>
      <w:pPr>
        <w:ind w:left="3600" w:hanging="360"/>
      </w:pPr>
    </w:lvl>
    <w:lvl w:ilvl="5" w:tplc="8F0C2112" w:tentative="1">
      <w:start w:val="1"/>
      <w:numFmt w:val="lowerRoman"/>
      <w:lvlText w:val="%6."/>
      <w:lvlJc w:val="right"/>
      <w:pPr>
        <w:ind w:left="4320" w:hanging="180"/>
      </w:pPr>
    </w:lvl>
    <w:lvl w:ilvl="6" w:tplc="12E08848" w:tentative="1">
      <w:start w:val="1"/>
      <w:numFmt w:val="decimal"/>
      <w:lvlText w:val="%7."/>
      <w:lvlJc w:val="left"/>
      <w:pPr>
        <w:ind w:left="5040" w:hanging="360"/>
      </w:pPr>
    </w:lvl>
    <w:lvl w:ilvl="7" w:tplc="97982A16" w:tentative="1">
      <w:start w:val="1"/>
      <w:numFmt w:val="lowerLetter"/>
      <w:lvlText w:val="%8."/>
      <w:lvlJc w:val="left"/>
      <w:pPr>
        <w:ind w:left="5760" w:hanging="360"/>
      </w:pPr>
    </w:lvl>
    <w:lvl w:ilvl="8" w:tplc="E7FA178C"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B378ACDC">
      <w:start w:val="1"/>
      <w:numFmt w:val="bullet"/>
      <w:lvlText w:val=""/>
      <w:lvlJc w:val="left"/>
      <w:pPr>
        <w:ind w:left="720" w:hanging="360"/>
      </w:pPr>
      <w:rPr>
        <w:rFonts w:ascii="Symbol" w:hAnsi="Symbol" w:hint="default"/>
      </w:rPr>
    </w:lvl>
    <w:lvl w:ilvl="1" w:tplc="FFBC642A" w:tentative="1">
      <w:start w:val="1"/>
      <w:numFmt w:val="bullet"/>
      <w:lvlText w:val="o"/>
      <w:lvlJc w:val="left"/>
      <w:pPr>
        <w:ind w:left="1440" w:hanging="360"/>
      </w:pPr>
      <w:rPr>
        <w:rFonts w:ascii="Courier New" w:hAnsi="Courier New" w:cs="Courier New" w:hint="default"/>
      </w:rPr>
    </w:lvl>
    <w:lvl w:ilvl="2" w:tplc="28B4E0F0" w:tentative="1">
      <w:start w:val="1"/>
      <w:numFmt w:val="bullet"/>
      <w:lvlText w:val=""/>
      <w:lvlJc w:val="left"/>
      <w:pPr>
        <w:ind w:left="2160" w:hanging="360"/>
      </w:pPr>
      <w:rPr>
        <w:rFonts w:ascii="Wingdings" w:hAnsi="Wingdings" w:hint="default"/>
      </w:rPr>
    </w:lvl>
    <w:lvl w:ilvl="3" w:tplc="147E9892" w:tentative="1">
      <w:start w:val="1"/>
      <w:numFmt w:val="bullet"/>
      <w:lvlText w:val=""/>
      <w:lvlJc w:val="left"/>
      <w:pPr>
        <w:ind w:left="2880" w:hanging="360"/>
      </w:pPr>
      <w:rPr>
        <w:rFonts w:ascii="Symbol" w:hAnsi="Symbol" w:hint="default"/>
      </w:rPr>
    </w:lvl>
    <w:lvl w:ilvl="4" w:tplc="95EE4F42" w:tentative="1">
      <w:start w:val="1"/>
      <w:numFmt w:val="bullet"/>
      <w:lvlText w:val="o"/>
      <w:lvlJc w:val="left"/>
      <w:pPr>
        <w:ind w:left="3600" w:hanging="360"/>
      </w:pPr>
      <w:rPr>
        <w:rFonts w:ascii="Courier New" w:hAnsi="Courier New" w:cs="Courier New" w:hint="default"/>
      </w:rPr>
    </w:lvl>
    <w:lvl w:ilvl="5" w:tplc="F3280090" w:tentative="1">
      <w:start w:val="1"/>
      <w:numFmt w:val="bullet"/>
      <w:lvlText w:val=""/>
      <w:lvlJc w:val="left"/>
      <w:pPr>
        <w:ind w:left="4320" w:hanging="360"/>
      </w:pPr>
      <w:rPr>
        <w:rFonts w:ascii="Wingdings" w:hAnsi="Wingdings" w:hint="default"/>
      </w:rPr>
    </w:lvl>
    <w:lvl w:ilvl="6" w:tplc="03AC27E6" w:tentative="1">
      <w:start w:val="1"/>
      <w:numFmt w:val="bullet"/>
      <w:lvlText w:val=""/>
      <w:lvlJc w:val="left"/>
      <w:pPr>
        <w:ind w:left="5040" w:hanging="360"/>
      </w:pPr>
      <w:rPr>
        <w:rFonts w:ascii="Symbol" w:hAnsi="Symbol" w:hint="default"/>
      </w:rPr>
    </w:lvl>
    <w:lvl w:ilvl="7" w:tplc="05A049B0" w:tentative="1">
      <w:start w:val="1"/>
      <w:numFmt w:val="bullet"/>
      <w:lvlText w:val="o"/>
      <w:lvlJc w:val="left"/>
      <w:pPr>
        <w:ind w:left="5760" w:hanging="360"/>
      </w:pPr>
      <w:rPr>
        <w:rFonts w:ascii="Courier New" w:hAnsi="Courier New" w:cs="Courier New" w:hint="default"/>
      </w:rPr>
    </w:lvl>
    <w:lvl w:ilvl="8" w:tplc="511626F0"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880CA768">
      <w:start w:val="1"/>
      <w:numFmt w:val="lowerLetter"/>
      <w:pStyle w:val="CETnumberinga"/>
      <w:lvlText w:val="%1."/>
      <w:lvlJc w:val="left"/>
      <w:pPr>
        <w:ind w:left="340" w:hanging="227"/>
      </w:pPr>
      <w:rPr>
        <w:rFonts w:hint="default"/>
      </w:rPr>
    </w:lvl>
    <w:lvl w:ilvl="1" w:tplc="BA46ADA8" w:tentative="1">
      <w:start w:val="1"/>
      <w:numFmt w:val="bullet"/>
      <w:lvlText w:val="o"/>
      <w:lvlJc w:val="left"/>
      <w:pPr>
        <w:ind w:left="1440" w:hanging="360"/>
      </w:pPr>
      <w:rPr>
        <w:rFonts w:ascii="Courier New" w:hAnsi="Courier New" w:cs="Courier New" w:hint="default"/>
      </w:rPr>
    </w:lvl>
    <w:lvl w:ilvl="2" w:tplc="98F2FB9C" w:tentative="1">
      <w:start w:val="1"/>
      <w:numFmt w:val="bullet"/>
      <w:lvlText w:val=""/>
      <w:lvlJc w:val="left"/>
      <w:pPr>
        <w:ind w:left="2160" w:hanging="360"/>
      </w:pPr>
      <w:rPr>
        <w:rFonts w:ascii="Wingdings" w:hAnsi="Wingdings" w:hint="default"/>
      </w:rPr>
    </w:lvl>
    <w:lvl w:ilvl="3" w:tplc="2646C022" w:tentative="1">
      <w:start w:val="1"/>
      <w:numFmt w:val="bullet"/>
      <w:lvlText w:val=""/>
      <w:lvlJc w:val="left"/>
      <w:pPr>
        <w:ind w:left="2880" w:hanging="360"/>
      </w:pPr>
      <w:rPr>
        <w:rFonts w:ascii="Symbol" w:hAnsi="Symbol" w:hint="default"/>
      </w:rPr>
    </w:lvl>
    <w:lvl w:ilvl="4" w:tplc="8812C1E8" w:tentative="1">
      <w:start w:val="1"/>
      <w:numFmt w:val="bullet"/>
      <w:lvlText w:val="o"/>
      <w:lvlJc w:val="left"/>
      <w:pPr>
        <w:ind w:left="3600" w:hanging="360"/>
      </w:pPr>
      <w:rPr>
        <w:rFonts w:ascii="Courier New" w:hAnsi="Courier New" w:cs="Courier New" w:hint="default"/>
      </w:rPr>
    </w:lvl>
    <w:lvl w:ilvl="5" w:tplc="6D5CE14A" w:tentative="1">
      <w:start w:val="1"/>
      <w:numFmt w:val="bullet"/>
      <w:lvlText w:val=""/>
      <w:lvlJc w:val="left"/>
      <w:pPr>
        <w:ind w:left="4320" w:hanging="360"/>
      </w:pPr>
      <w:rPr>
        <w:rFonts w:ascii="Wingdings" w:hAnsi="Wingdings" w:hint="default"/>
      </w:rPr>
    </w:lvl>
    <w:lvl w:ilvl="6" w:tplc="91F4CAB6" w:tentative="1">
      <w:start w:val="1"/>
      <w:numFmt w:val="bullet"/>
      <w:lvlText w:val=""/>
      <w:lvlJc w:val="left"/>
      <w:pPr>
        <w:ind w:left="5040" w:hanging="360"/>
      </w:pPr>
      <w:rPr>
        <w:rFonts w:ascii="Symbol" w:hAnsi="Symbol" w:hint="default"/>
      </w:rPr>
    </w:lvl>
    <w:lvl w:ilvl="7" w:tplc="55DA19E4" w:tentative="1">
      <w:start w:val="1"/>
      <w:numFmt w:val="bullet"/>
      <w:lvlText w:val="o"/>
      <w:lvlJc w:val="left"/>
      <w:pPr>
        <w:ind w:left="5760" w:hanging="360"/>
      </w:pPr>
      <w:rPr>
        <w:rFonts w:ascii="Courier New" w:hAnsi="Courier New" w:cs="Courier New" w:hint="default"/>
      </w:rPr>
    </w:lvl>
    <w:lvl w:ilvl="8" w:tplc="7DAE1844" w:tentative="1">
      <w:start w:val="1"/>
      <w:numFmt w:val="bullet"/>
      <w:lvlText w:val=""/>
      <w:lvlJc w:val="left"/>
      <w:pPr>
        <w:ind w:left="6480" w:hanging="360"/>
      </w:pPr>
      <w:rPr>
        <w:rFonts w:ascii="Wingdings" w:hAnsi="Wingdings" w:hint="default"/>
      </w:rPr>
    </w:lvl>
  </w:abstractNum>
  <w:abstractNum w:abstractNumId="20" w15:restartNumberingAfterBreak="0">
    <w:nsid w:val="6CB249E6"/>
    <w:multiLevelType w:val="hybridMultilevel"/>
    <w:tmpl w:val="666E0FB8"/>
    <w:lvl w:ilvl="0" w:tplc="594AF6F0">
      <w:start w:val="1"/>
      <w:numFmt w:val="decimal"/>
      <w:lvlText w:val="%1."/>
      <w:lvlJc w:val="left"/>
      <w:pPr>
        <w:ind w:left="720" w:hanging="360"/>
      </w:pPr>
    </w:lvl>
    <w:lvl w:ilvl="1" w:tplc="F7D8D1CE" w:tentative="1">
      <w:start w:val="1"/>
      <w:numFmt w:val="lowerLetter"/>
      <w:lvlText w:val="%2."/>
      <w:lvlJc w:val="left"/>
      <w:pPr>
        <w:ind w:left="1440" w:hanging="360"/>
      </w:pPr>
    </w:lvl>
    <w:lvl w:ilvl="2" w:tplc="7CF8B92E" w:tentative="1">
      <w:start w:val="1"/>
      <w:numFmt w:val="lowerRoman"/>
      <w:lvlText w:val="%3."/>
      <w:lvlJc w:val="right"/>
      <w:pPr>
        <w:ind w:left="2160" w:hanging="180"/>
      </w:pPr>
    </w:lvl>
    <w:lvl w:ilvl="3" w:tplc="9560F0D4" w:tentative="1">
      <w:start w:val="1"/>
      <w:numFmt w:val="decimal"/>
      <w:lvlText w:val="%4."/>
      <w:lvlJc w:val="left"/>
      <w:pPr>
        <w:ind w:left="2880" w:hanging="360"/>
      </w:pPr>
    </w:lvl>
    <w:lvl w:ilvl="4" w:tplc="BA4EEF9E" w:tentative="1">
      <w:start w:val="1"/>
      <w:numFmt w:val="lowerLetter"/>
      <w:lvlText w:val="%5."/>
      <w:lvlJc w:val="left"/>
      <w:pPr>
        <w:ind w:left="3600" w:hanging="360"/>
      </w:pPr>
    </w:lvl>
    <w:lvl w:ilvl="5" w:tplc="21225762" w:tentative="1">
      <w:start w:val="1"/>
      <w:numFmt w:val="lowerRoman"/>
      <w:lvlText w:val="%6."/>
      <w:lvlJc w:val="right"/>
      <w:pPr>
        <w:ind w:left="4320" w:hanging="180"/>
      </w:pPr>
    </w:lvl>
    <w:lvl w:ilvl="6" w:tplc="C2ACC5E6" w:tentative="1">
      <w:start w:val="1"/>
      <w:numFmt w:val="decimal"/>
      <w:lvlText w:val="%7."/>
      <w:lvlJc w:val="left"/>
      <w:pPr>
        <w:ind w:left="5040" w:hanging="360"/>
      </w:pPr>
    </w:lvl>
    <w:lvl w:ilvl="7" w:tplc="BD2AADBA" w:tentative="1">
      <w:start w:val="1"/>
      <w:numFmt w:val="lowerLetter"/>
      <w:lvlText w:val="%8."/>
      <w:lvlJc w:val="left"/>
      <w:pPr>
        <w:ind w:left="5760" w:hanging="360"/>
      </w:pPr>
    </w:lvl>
    <w:lvl w:ilvl="8" w:tplc="61042D7E"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styleLockTheme/>
  <w:styleLockQFSet/>
  <w:defaultTabStop w:val="708"/>
  <w:hyphenationZone w:val="283"/>
  <w:clickAndTypeStyle w:val="CET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tKgFAGLlPFQt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xrxsape2ae5ge5zwexzsz1a0fwdva5zvpe&quot;&gt;My EndNote Library-Saved&lt;record-ids&gt;&lt;item&gt;3&lt;/item&gt;&lt;item&gt;4&lt;/item&gt;&lt;item&gt;19&lt;/item&gt;&lt;item&gt;20&lt;/item&gt;&lt;item&gt;24&lt;/item&gt;&lt;item&gt;28&lt;/item&gt;&lt;item&gt;34&lt;/item&gt;&lt;item&gt;37&lt;/item&gt;&lt;item&gt;52&lt;/item&gt;&lt;item&gt;67&lt;/item&gt;&lt;item&gt;75&lt;/item&gt;&lt;item&gt;78&lt;/item&gt;&lt;item&gt;79&lt;/item&gt;&lt;item&gt;80&lt;/item&gt;&lt;item&gt;81&lt;/item&gt;&lt;item&gt;82&lt;/item&gt;&lt;item&gt;84&lt;/item&gt;&lt;item&gt;85&lt;/item&gt;&lt;/record-ids&gt;&lt;/item&gt;&lt;/Libraries&gt;"/>
  </w:docVars>
  <w:rsids>
    <w:rsidRoot w:val="000E414A"/>
    <w:rsid w:val="00000A5C"/>
    <w:rsid w:val="000027C0"/>
    <w:rsid w:val="000052FB"/>
    <w:rsid w:val="000104D2"/>
    <w:rsid w:val="00010F40"/>
    <w:rsid w:val="000117CB"/>
    <w:rsid w:val="000137C1"/>
    <w:rsid w:val="00014867"/>
    <w:rsid w:val="00015D1D"/>
    <w:rsid w:val="00020CAA"/>
    <w:rsid w:val="00022370"/>
    <w:rsid w:val="00023496"/>
    <w:rsid w:val="00024417"/>
    <w:rsid w:val="0002492A"/>
    <w:rsid w:val="00024F51"/>
    <w:rsid w:val="00025819"/>
    <w:rsid w:val="0003148D"/>
    <w:rsid w:val="00032595"/>
    <w:rsid w:val="00032B1E"/>
    <w:rsid w:val="000341B9"/>
    <w:rsid w:val="0003426D"/>
    <w:rsid w:val="00041406"/>
    <w:rsid w:val="000423FE"/>
    <w:rsid w:val="00042532"/>
    <w:rsid w:val="0004292C"/>
    <w:rsid w:val="00043BB8"/>
    <w:rsid w:val="00047D7F"/>
    <w:rsid w:val="00051566"/>
    <w:rsid w:val="00053A18"/>
    <w:rsid w:val="000603CC"/>
    <w:rsid w:val="00060B00"/>
    <w:rsid w:val="000610E9"/>
    <w:rsid w:val="00062A9A"/>
    <w:rsid w:val="00065058"/>
    <w:rsid w:val="00065C5B"/>
    <w:rsid w:val="00066556"/>
    <w:rsid w:val="00072399"/>
    <w:rsid w:val="00073EBF"/>
    <w:rsid w:val="000779B2"/>
    <w:rsid w:val="000838CD"/>
    <w:rsid w:val="00085047"/>
    <w:rsid w:val="00086C39"/>
    <w:rsid w:val="00086E13"/>
    <w:rsid w:val="00087058"/>
    <w:rsid w:val="000872AD"/>
    <w:rsid w:val="00091310"/>
    <w:rsid w:val="00092214"/>
    <w:rsid w:val="00092929"/>
    <w:rsid w:val="00092FEB"/>
    <w:rsid w:val="00095BB5"/>
    <w:rsid w:val="000A03B2"/>
    <w:rsid w:val="000A3B79"/>
    <w:rsid w:val="000A7E1C"/>
    <w:rsid w:val="000B5737"/>
    <w:rsid w:val="000B6A18"/>
    <w:rsid w:val="000B6A89"/>
    <w:rsid w:val="000B6B6E"/>
    <w:rsid w:val="000C4E6D"/>
    <w:rsid w:val="000C724D"/>
    <w:rsid w:val="000D34BE"/>
    <w:rsid w:val="000E102F"/>
    <w:rsid w:val="000E2904"/>
    <w:rsid w:val="000E36F1"/>
    <w:rsid w:val="000E3A73"/>
    <w:rsid w:val="000E3D3C"/>
    <w:rsid w:val="000E414A"/>
    <w:rsid w:val="000E54CE"/>
    <w:rsid w:val="000F093C"/>
    <w:rsid w:val="000F16BD"/>
    <w:rsid w:val="000F43AC"/>
    <w:rsid w:val="000F685B"/>
    <w:rsid w:val="000F787B"/>
    <w:rsid w:val="00100B23"/>
    <w:rsid w:val="00100BCA"/>
    <w:rsid w:val="0010359A"/>
    <w:rsid w:val="001132D0"/>
    <w:rsid w:val="00113D61"/>
    <w:rsid w:val="00114C84"/>
    <w:rsid w:val="001150BD"/>
    <w:rsid w:val="00115900"/>
    <w:rsid w:val="001159E5"/>
    <w:rsid w:val="00116D88"/>
    <w:rsid w:val="0012091F"/>
    <w:rsid w:val="00123ABB"/>
    <w:rsid w:val="00125F1B"/>
    <w:rsid w:val="00126BC2"/>
    <w:rsid w:val="001308B6"/>
    <w:rsid w:val="0013121F"/>
    <w:rsid w:val="00131FAB"/>
    <w:rsid w:val="00131FE6"/>
    <w:rsid w:val="0013263F"/>
    <w:rsid w:val="00132A37"/>
    <w:rsid w:val="00133736"/>
    <w:rsid w:val="00134DE4"/>
    <w:rsid w:val="00136D08"/>
    <w:rsid w:val="00140220"/>
    <w:rsid w:val="0014034D"/>
    <w:rsid w:val="001478D5"/>
    <w:rsid w:val="00150E59"/>
    <w:rsid w:val="00151EDF"/>
    <w:rsid w:val="00152DE3"/>
    <w:rsid w:val="00153382"/>
    <w:rsid w:val="001542CC"/>
    <w:rsid w:val="001546B0"/>
    <w:rsid w:val="00155082"/>
    <w:rsid w:val="00155230"/>
    <w:rsid w:val="00157FB8"/>
    <w:rsid w:val="00160F62"/>
    <w:rsid w:val="0016188D"/>
    <w:rsid w:val="001629D7"/>
    <w:rsid w:val="001637B4"/>
    <w:rsid w:val="00164CF9"/>
    <w:rsid w:val="001670F5"/>
    <w:rsid w:val="00170FB8"/>
    <w:rsid w:val="00174894"/>
    <w:rsid w:val="001751DE"/>
    <w:rsid w:val="001758AE"/>
    <w:rsid w:val="00175E6F"/>
    <w:rsid w:val="00184AD6"/>
    <w:rsid w:val="00186E17"/>
    <w:rsid w:val="001A111A"/>
    <w:rsid w:val="001A2095"/>
    <w:rsid w:val="001A2DD7"/>
    <w:rsid w:val="001A4F97"/>
    <w:rsid w:val="001A60CF"/>
    <w:rsid w:val="001A741D"/>
    <w:rsid w:val="001A7844"/>
    <w:rsid w:val="001B0349"/>
    <w:rsid w:val="001B1DC2"/>
    <w:rsid w:val="001B41B0"/>
    <w:rsid w:val="001B65C1"/>
    <w:rsid w:val="001B7A2C"/>
    <w:rsid w:val="001C4094"/>
    <w:rsid w:val="001C40B6"/>
    <w:rsid w:val="001C5401"/>
    <w:rsid w:val="001C5F00"/>
    <w:rsid w:val="001C684B"/>
    <w:rsid w:val="001D0A8F"/>
    <w:rsid w:val="001D53FC"/>
    <w:rsid w:val="001D6F4E"/>
    <w:rsid w:val="001E0020"/>
    <w:rsid w:val="001F0881"/>
    <w:rsid w:val="001F10F0"/>
    <w:rsid w:val="001F2409"/>
    <w:rsid w:val="001F3110"/>
    <w:rsid w:val="001F42A5"/>
    <w:rsid w:val="001F44C9"/>
    <w:rsid w:val="001F6DC0"/>
    <w:rsid w:val="001F7B9D"/>
    <w:rsid w:val="00201207"/>
    <w:rsid w:val="002016F2"/>
    <w:rsid w:val="00204FDA"/>
    <w:rsid w:val="00206EF7"/>
    <w:rsid w:val="002208C6"/>
    <w:rsid w:val="002224B4"/>
    <w:rsid w:val="0022489B"/>
    <w:rsid w:val="0022584C"/>
    <w:rsid w:val="002279FF"/>
    <w:rsid w:val="00230049"/>
    <w:rsid w:val="0024399D"/>
    <w:rsid w:val="00243A60"/>
    <w:rsid w:val="00243A68"/>
    <w:rsid w:val="002447EF"/>
    <w:rsid w:val="00244A90"/>
    <w:rsid w:val="00245035"/>
    <w:rsid w:val="00245927"/>
    <w:rsid w:val="002468E2"/>
    <w:rsid w:val="00247727"/>
    <w:rsid w:val="00247C57"/>
    <w:rsid w:val="00251550"/>
    <w:rsid w:val="002522BC"/>
    <w:rsid w:val="00252C1A"/>
    <w:rsid w:val="002560D6"/>
    <w:rsid w:val="00261926"/>
    <w:rsid w:val="00261AFD"/>
    <w:rsid w:val="00263B05"/>
    <w:rsid w:val="0027221A"/>
    <w:rsid w:val="002724DE"/>
    <w:rsid w:val="00272BE3"/>
    <w:rsid w:val="00273792"/>
    <w:rsid w:val="0027529C"/>
    <w:rsid w:val="00275B61"/>
    <w:rsid w:val="002761E8"/>
    <w:rsid w:val="0027698C"/>
    <w:rsid w:val="0027725E"/>
    <w:rsid w:val="002802BE"/>
    <w:rsid w:val="00282656"/>
    <w:rsid w:val="002862C6"/>
    <w:rsid w:val="00286461"/>
    <w:rsid w:val="00286E6F"/>
    <w:rsid w:val="00290A8B"/>
    <w:rsid w:val="00290EC1"/>
    <w:rsid w:val="00291C79"/>
    <w:rsid w:val="002928BB"/>
    <w:rsid w:val="00294562"/>
    <w:rsid w:val="002952C4"/>
    <w:rsid w:val="00295723"/>
    <w:rsid w:val="00296B83"/>
    <w:rsid w:val="002A12D6"/>
    <w:rsid w:val="002A1AD0"/>
    <w:rsid w:val="002B046A"/>
    <w:rsid w:val="002B2B27"/>
    <w:rsid w:val="002B32A6"/>
    <w:rsid w:val="002B3860"/>
    <w:rsid w:val="002B4095"/>
    <w:rsid w:val="002B48F0"/>
    <w:rsid w:val="002B4D76"/>
    <w:rsid w:val="002B6A7F"/>
    <w:rsid w:val="002B78CE"/>
    <w:rsid w:val="002B7B92"/>
    <w:rsid w:val="002C2FB6"/>
    <w:rsid w:val="002D01E6"/>
    <w:rsid w:val="002D37A2"/>
    <w:rsid w:val="002D5BCD"/>
    <w:rsid w:val="002D5F73"/>
    <w:rsid w:val="002D6B87"/>
    <w:rsid w:val="002D7D88"/>
    <w:rsid w:val="002E19B6"/>
    <w:rsid w:val="002E1BA1"/>
    <w:rsid w:val="002E220E"/>
    <w:rsid w:val="002E5185"/>
    <w:rsid w:val="002E61BC"/>
    <w:rsid w:val="002F1171"/>
    <w:rsid w:val="002F12D3"/>
    <w:rsid w:val="002F7B19"/>
    <w:rsid w:val="003009B7"/>
    <w:rsid w:val="00300E56"/>
    <w:rsid w:val="00303379"/>
    <w:rsid w:val="0030469C"/>
    <w:rsid w:val="00304C4B"/>
    <w:rsid w:val="0030512F"/>
    <w:rsid w:val="003057A1"/>
    <w:rsid w:val="00305BCE"/>
    <w:rsid w:val="00305FD3"/>
    <w:rsid w:val="00306745"/>
    <w:rsid w:val="00312E24"/>
    <w:rsid w:val="00313C5B"/>
    <w:rsid w:val="0031654F"/>
    <w:rsid w:val="00316B90"/>
    <w:rsid w:val="00317407"/>
    <w:rsid w:val="00320738"/>
    <w:rsid w:val="00321CA6"/>
    <w:rsid w:val="003231ED"/>
    <w:rsid w:val="00334C09"/>
    <w:rsid w:val="003365E3"/>
    <w:rsid w:val="00343F42"/>
    <w:rsid w:val="003535E9"/>
    <w:rsid w:val="003538AB"/>
    <w:rsid w:val="003544FE"/>
    <w:rsid w:val="00355C00"/>
    <w:rsid w:val="003711C5"/>
    <w:rsid w:val="00371CD2"/>
    <w:rsid w:val="003723D4"/>
    <w:rsid w:val="003739B6"/>
    <w:rsid w:val="00377CBD"/>
    <w:rsid w:val="00384CC8"/>
    <w:rsid w:val="00386571"/>
    <w:rsid w:val="003868FC"/>
    <w:rsid w:val="003871FD"/>
    <w:rsid w:val="00390449"/>
    <w:rsid w:val="00392E1B"/>
    <w:rsid w:val="003A1E30"/>
    <w:rsid w:val="003A203A"/>
    <w:rsid w:val="003A3E6A"/>
    <w:rsid w:val="003A5335"/>
    <w:rsid w:val="003A54F5"/>
    <w:rsid w:val="003A5980"/>
    <w:rsid w:val="003A7D1C"/>
    <w:rsid w:val="003A7EE9"/>
    <w:rsid w:val="003B304B"/>
    <w:rsid w:val="003B3146"/>
    <w:rsid w:val="003B3396"/>
    <w:rsid w:val="003B4D05"/>
    <w:rsid w:val="003B60F3"/>
    <w:rsid w:val="003C0DA4"/>
    <w:rsid w:val="003C2B3E"/>
    <w:rsid w:val="003C4B8F"/>
    <w:rsid w:val="003C5A2E"/>
    <w:rsid w:val="003C76C7"/>
    <w:rsid w:val="003D1B6E"/>
    <w:rsid w:val="003D1C2F"/>
    <w:rsid w:val="003D33B3"/>
    <w:rsid w:val="003D37E6"/>
    <w:rsid w:val="003E0E84"/>
    <w:rsid w:val="003E4F13"/>
    <w:rsid w:val="003E54BC"/>
    <w:rsid w:val="003E78BB"/>
    <w:rsid w:val="003F015E"/>
    <w:rsid w:val="003F02F5"/>
    <w:rsid w:val="003F492A"/>
    <w:rsid w:val="003F4D31"/>
    <w:rsid w:val="003F6EBD"/>
    <w:rsid w:val="003F7D21"/>
    <w:rsid w:val="00400414"/>
    <w:rsid w:val="00400863"/>
    <w:rsid w:val="004030B7"/>
    <w:rsid w:val="004030D2"/>
    <w:rsid w:val="004055D8"/>
    <w:rsid w:val="00407D97"/>
    <w:rsid w:val="00410C66"/>
    <w:rsid w:val="0041206F"/>
    <w:rsid w:val="00413A33"/>
    <w:rsid w:val="0041446B"/>
    <w:rsid w:val="0041510F"/>
    <w:rsid w:val="00420754"/>
    <w:rsid w:val="00425253"/>
    <w:rsid w:val="004264D5"/>
    <w:rsid w:val="00426987"/>
    <w:rsid w:val="00434A3A"/>
    <w:rsid w:val="00435772"/>
    <w:rsid w:val="0043634C"/>
    <w:rsid w:val="00442FC5"/>
    <w:rsid w:val="0044329C"/>
    <w:rsid w:val="004455B5"/>
    <w:rsid w:val="00446C49"/>
    <w:rsid w:val="00447077"/>
    <w:rsid w:val="00447D3B"/>
    <w:rsid w:val="00447E89"/>
    <w:rsid w:val="0045372C"/>
    <w:rsid w:val="00454E74"/>
    <w:rsid w:val="00454F2D"/>
    <w:rsid w:val="00455798"/>
    <w:rsid w:val="0045618E"/>
    <w:rsid w:val="004577FE"/>
    <w:rsid w:val="00457B9C"/>
    <w:rsid w:val="00460EEF"/>
    <w:rsid w:val="0046164A"/>
    <w:rsid w:val="004628D2"/>
    <w:rsid w:val="00462DCD"/>
    <w:rsid w:val="004648AD"/>
    <w:rsid w:val="004703A9"/>
    <w:rsid w:val="0047084C"/>
    <w:rsid w:val="00473218"/>
    <w:rsid w:val="004735FC"/>
    <w:rsid w:val="004760DE"/>
    <w:rsid w:val="00485673"/>
    <w:rsid w:val="004909E8"/>
    <w:rsid w:val="004945B2"/>
    <w:rsid w:val="0049521F"/>
    <w:rsid w:val="004A004E"/>
    <w:rsid w:val="004A24CF"/>
    <w:rsid w:val="004A489E"/>
    <w:rsid w:val="004A4EFB"/>
    <w:rsid w:val="004A5BB5"/>
    <w:rsid w:val="004B5469"/>
    <w:rsid w:val="004B575D"/>
    <w:rsid w:val="004B6721"/>
    <w:rsid w:val="004B6A2D"/>
    <w:rsid w:val="004B7AF7"/>
    <w:rsid w:val="004C2D17"/>
    <w:rsid w:val="004C3A3C"/>
    <w:rsid w:val="004C3D1D"/>
    <w:rsid w:val="004C4D89"/>
    <w:rsid w:val="004C5DD1"/>
    <w:rsid w:val="004C73B6"/>
    <w:rsid w:val="004C7913"/>
    <w:rsid w:val="004D0C64"/>
    <w:rsid w:val="004D0F5C"/>
    <w:rsid w:val="004D34AE"/>
    <w:rsid w:val="004E212A"/>
    <w:rsid w:val="004E4213"/>
    <w:rsid w:val="004E4DD6"/>
    <w:rsid w:val="004F1A74"/>
    <w:rsid w:val="004F36CA"/>
    <w:rsid w:val="004F42FE"/>
    <w:rsid w:val="004F5E36"/>
    <w:rsid w:val="00501B1C"/>
    <w:rsid w:val="00504489"/>
    <w:rsid w:val="0050520A"/>
    <w:rsid w:val="00505A4D"/>
    <w:rsid w:val="005064B9"/>
    <w:rsid w:val="00506A76"/>
    <w:rsid w:val="00507B47"/>
    <w:rsid w:val="00507CC9"/>
    <w:rsid w:val="005119A5"/>
    <w:rsid w:val="00513B42"/>
    <w:rsid w:val="005166E0"/>
    <w:rsid w:val="00516A7A"/>
    <w:rsid w:val="00516B80"/>
    <w:rsid w:val="00516C5F"/>
    <w:rsid w:val="00517C58"/>
    <w:rsid w:val="00521C0B"/>
    <w:rsid w:val="005268B5"/>
    <w:rsid w:val="005278B7"/>
    <w:rsid w:val="00532016"/>
    <w:rsid w:val="005346C8"/>
    <w:rsid w:val="00537555"/>
    <w:rsid w:val="00537BE2"/>
    <w:rsid w:val="0054238B"/>
    <w:rsid w:val="00543E7D"/>
    <w:rsid w:val="00545734"/>
    <w:rsid w:val="00546617"/>
    <w:rsid w:val="00546B05"/>
    <w:rsid w:val="00547A68"/>
    <w:rsid w:val="00550D06"/>
    <w:rsid w:val="00551EDC"/>
    <w:rsid w:val="005531C9"/>
    <w:rsid w:val="00553FB0"/>
    <w:rsid w:val="005574BC"/>
    <w:rsid w:val="0056152B"/>
    <w:rsid w:val="00563704"/>
    <w:rsid w:val="00563C1E"/>
    <w:rsid w:val="00564BFF"/>
    <w:rsid w:val="005662E4"/>
    <w:rsid w:val="00566EDC"/>
    <w:rsid w:val="005701E0"/>
    <w:rsid w:val="00573DA0"/>
    <w:rsid w:val="005743C1"/>
    <w:rsid w:val="00575196"/>
    <w:rsid w:val="0058048B"/>
    <w:rsid w:val="005850FF"/>
    <w:rsid w:val="005873A1"/>
    <w:rsid w:val="0058794E"/>
    <w:rsid w:val="00590D9C"/>
    <w:rsid w:val="0059305C"/>
    <w:rsid w:val="005A2285"/>
    <w:rsid w:val="005A7323"/>
    <w:rsid w:val="005B09BB"/>
    <w:rsid w:val="005B0AD6"/>
    <w:rsid w:val="005B2110"/>
    <w:rsid w:val="005B5225"/>
    <w:rsid w:val="005B61E6"/>
    <w:rsid w:val="005C456E"/>
    <w:rsid w:val="005C4898"/>
    <w:rsid w:val="005C77E1"/>
    <w:rsid w:val="005D00BC"/>
    <w:rsid w:val="005D115C"/>
    <w:rsid w:val="005D379C"/>
    <w:rsid w:val="005D6A2F"/>
    <w:rsid w:val="005E1A82"/>
    <w:rsid w:val="005E4FE0"/>
    <w:rsid w:val="005E794C"/>
    <w:rsid w:val="005E7F04"/>
    <w:rsid w:val="005F0A28"/>
    <w:rsid w:val="005F0E5E"/>
    <w:rsid w:val="005F1FEC"/>
    <w:rsid w:val="005F5D5B"/>
    <w:rsid w:val="005F7113"/>
    <w:rsid w:val="00600535"/>
    <w:rsid w:val="00601A5F"/>
    <w:rsid w:val="00603221"/>
    <w:rsid w:val="00605CC5"/>
    <w:rsid w:val="00610CD6"/>
    <w:rsid w:val="0061108A"/>
    <w:rsid w:val="006153BF"/>
    <w:rsid w:val="006174B2"/>
    <w:rsid w:val="006179F3"/>
    <w:rsid w:val="00620DEE"/>
    <w:rsid w:val="00621F92"/>
    <w:rsid w:val="006221B2"/>
    <w:rsid w:val="00622C5D"/>
    <w:rsid w:val="00623A70"/>
    <w:rsid w:val="00625639"/>
    <w:rsid w:val="00627F76"/>
    <w:rsid w:val="00630B8F"/>
    <w:rsid w:val="0063119E"/>
    <w:rsid w:val="00631B33"/>
    <w:rsid w:val="00634BD4"/>
    <w:rsid w:val="00636235"/>
    <w:rsid w:val="00640639"/>
    <w:rsid w:val="00640A76"/>
    <w:rsid w:val="0064184D"/>
    <w:rsid w:val="006422CC"/>
    <w:rsid w:val="0064459E"/>
    <w:rsid w:val="00644C25"/>
    <w:rsid w:val="00646785"/>
    <w:rsid w:val="00650AEC"/>
    <w:rsid w:val="00653FF2"/>
    <w:rsid w:val="00655295"/>
    <w:rsid w:val="00660E3E"/>
    <w:rsid w:val="00661B03"/>
    <w:rsid w:val="006626C2"/>
    <w:rsid w:val="00662E74"/>
    <w:rsid w:val="00670CF5"/>
    <w:rsid w:val="006804CD"/>
    <w:rsid w:val="00680C23"/>
    <w:rsid w:val="0068550B"/>
    <w:rsid w:val="00693766"/>
    <w:rsid w:val="00696BF8"/>
    <w:rsid w:val="00697244"/>
    <w:rsid w:val="0069745A"/>
    <w:rsid w:val="006974FE"/>
    <w:rsid w:val="006A1D44"/>
    <w:rsid w:val="006A2A1A"/>
    <w:rsid w:val="006A3281"/>
    <w:rsid w:val="006A35AD"/>
    <w:rsid w:val="006A37BD"/>
    <w:rsid w:val="006A38C7"/>
    <w:rsid w:val="006B0CCE"/>
    <w:rsid w:val="006B2F97"/>
    <w:rsid w:val="006B4888"/>
    <w:rsid w:val="006B58CA"/>
    <w:rsid w:val="006B5987"/>
    <w:rsid w:val="006C05AF"/>
    <w:rsid w:val="006C0641"/>
    <w:rsid w:val="006C25E9"/>
    <w:rsid w:val="006C2E45"/>
    <w:rsid w:val="006C359C"/>
    <w:rsid w:val="006C43F6"/>
    <w:rsid w:val="006C5579"/>
    <w:rsid w:val="006C6913"/>
    <w:rsid w:val="006C7017"/>
    <w:rsid w:val="006C71A0"/>
    <w:rsid w:val="006D2DB2"/>
    <w:rsid w:val="006D474D"/>
    <w:rsid w:val="006D6BA3"/>
    <w:rsid w:val="006E1E35"/>
    <w:rsid w:val="006E2990"/>
    <w:rsid w:val="006E2EF8"/>
    <w:rsid w:val="006E4762"/>
    <w:rsid w:val="006E737D"/>
    <w:rsid w:val="006F1AC1"/>
    <w:rsid w:val="006F535B"/>
    <w:rsid w:val="006F6567"/>
    <w:rsid w:val="006F7620"/>
    <w:rsid w:val="0070119F"/>
    <w:rsid w:val="0070195D"/>
    <w:rsid w:val="00703CBB"/>
    <w:rsid w:val="0071117D"/>
    <w:rsid w:val="00711255"/>
    <w:rsid w:val="0071125C"/>
    <w:rsid w:val="00711CEB"/>
    <w:rsid w:val="007169C7"/>
    <w:rsid w:val="00720A24"/>
    <w:rsid w:val="00720D2C"/>
    <w:rsid w:val="00722916"/>
    <w:rsid w:val="00726129"/>
    <w:rsid w:val="00730FE7"/>
    <w:rsid w:val="00732386"/>
    <w:rsid w:val="00732656"/>
    <w:rsid w:val="007350F6"/>
    <w:rsid w:val="00737525"/>
    <w:rsid w:val="00741D30"/>
    <w:rsid w:val="00742E2C"/>
    <w:rsid w:val="0074475A"/>
    <w:rsid w:val="007447F3"/>
    <w:rsid w:val="00747085"/>
    <w:rsid w:val="007535EE"/>
    <w:rsid w:val="0075499F"/>
    <w:rsid w:val="00754D0B"/>
    <w:rsid w:val="0076026B"/>
    <w:rsid w:val="007611F6"/>
    <w:rsid w:val="007613A6"/>
    <w:rsid w:val="00762369"/>
    <w:rsid w:val="00762643"/>
    <w:rsid w:val="00762914"/>
    <w:rsid w:val="007661C8"/>
    <w:rsid w:val="0076641C"/>
    <w:rsid w:val="00767F1C"/>
    <w:rsid w:val="00767FD9"/>
    <w:rsid w:val="0077098D"/>
    <w:rsid w:val="00780F32"/>
    <w:rsid w:val="007819AD"/>
    <w:rsid w:val="00784ED3"/>
    <w:rsid w:val="0078546A"/>
    <w:rsid w:val="00786A9B"/>
    <w:rsid w:val="007912CE"/>
    <w:rsid w:val="007931FA"/>
    <w:rsid w:val="007933C3"/>
    <w:rsid w:val="00797526"/>
    <w:rsid w:val="00797D47"/>
    <w:rsid w:val="007A557B"/>
    <w:rsid w:val="007A7BBA"/>
    <w:rsid w:val="007B0C50"/>
    <w:rsid w:val="007B1328"/>
    <w:rsid w:val="007B65D3"/>
    <w:rsid w:val="007C1A43"/>
    <w:rsid w:val="007C2714"/>
    <w:rsid w:val="007D0677"/>
    <w:rsid w:val="007D10AD"/>
    <w:rsid w:val="007D2B59"/>
    <w:rsid w:val="007D39E8"/>
    <w:rsid w:val="007D5603"/>
    <w:rsid w:val="007D718F"/>
    <w:rsid w:val="007D7EB8"/>
    <w:rsid w:val="007E1301"/>
    <w:rsid w:val="007E1DC6"/>
    <w:rsid w:val="007E240F"/>
    <w:rsid w:val="007E6495"/>
    <w:rsid w:val="007E68C8"/>
    <w:rsid w:val="007E7195"/>
    <w:rsid w:val="007F00DF"/>
    <w:rsid w:val="007F091D"/>
    <w:rsid w:val="007F3EA9"/>
    <w:rsid w:val="007F3F7E"/>
    <w:rsid w:val="007F685E"/>
    <w:rsid w:val="007F7BC6"/>
    <w:rsid w:val="00800C47"/>
    <w:rsid w:val="0080268D"/>
    <w:rsid w:val="008102AD"/>
    <w:rsid w:val="00813288"/>
    <w:rsid w:val="008168FC"/>
    <w:rsid w:val="00817480"/>
    <w:rsid w:val="00817611"/>
    <w:rsid w:val="00817751"/>
    <w:rsid w:val="00822C76"/>
    <w:rsid w:val="00822CA8"/>
    <w:rsid w:val="00824380"/>
    <w:rsid w:val="0082477F"/>
    <w:rsid w:val="00826486"/>
    <w:rsid w:val="00830996"/>
    <w:rsid w:val="008330B1"/>
    <w:rsid w:val="008345F1"/>
    <w:rsid w:val="00836B89"/>
    <w:rsid w:val="00842EFE"/>
    <w:rsid w:val="0084344B"/>
    <w:rsid w:val="00844E7D"/>
    <w:rsid w:val="00852717"/>
    <w:rsid w:val="00852F2F"/>
    <w:rsid w:val="00855521"/>
    <w:rsid w:val="00857816"/>
    <w:rsid w:val="00861A97"/>
    <w:rsid w:val="008621D6"/>
    <w:rsid w:val="00865B07"/>
    <w:rsid w:val="008667EA"/>
    <w:rsid w:val="008715C1"/>
    <w:rsid w:val="00873B68"/>
    <w:rsid w:val="00874613"/>
    <w:rsid w:val="00874A4B"/>
    <w:rsid w:val="0087637F"/>
    <w:rsid w:val="008836F8"/>
    <w:rsid w:val="008870A0"/>
    <w:rsid w:val="008904B9"/>
    <w:rsid w:val="00892AD5"/>
    <w:rsid w:val="008933AC"/>
    <w:rsid w:val="008977B9"/>
    <w:rsid w:val="008A1512"/>
    <w:rsid w:val="008B3B2B"/>
    <w:rsid w:val="008B4A3D"/>
    <w:rsid w:val="008C0E67"/>
    <w:rsid w:val="008C6E9B"/>
    <w:rsid w:val="008C76B3"/>
    <w:rsid w:val="008C78C1"/>
    <w:rsid w:val="008C7B90"/>
    <w:rsid w:val="008D11ED"/>
    <w:rsid w:val="008D32B9"/>
    <w:rsid w:val="008D433B"/>
    <w:rsid w:val="008D48C6"/>
    <w:rsid w:val="008D57A8"/>
    <w:rsid w:val="008E08FC"/>
    <w:rsid w:val="008E0A40"/>
    <w:rsid w:val="008E48E6"/>
    <w:rsid w:val="008E566E"/>
    <w:rsid w:val="008E5B94"/>
    <w:rsid w:val="008E6B6A"/>
    <w:rsid w:val="008F09F1"/>
    <w:rsid w:val="008F16C5"/>
    <w:rsid w:val="008F37F9"/>
    <w:rsid w:val="0090161A"/>
    <w:rsid w:val="00901E3E"/>
    <w:rsid w:val="00901EB6"/>
    <w:rsid w:val="00902D6E"/>
    <w:rsid w:val="00904327"/>
    <w:rsid w:val="00904C62"/>
    <w:rsid w:val="009117DC"/>
    <w:rsid w:val="00912576"/>
    <w:rsid w:val="009142FA"/>
    <w:rsid w:val="00917792"/>
    <w:rsid w:val="00917ECC"/>
    <w:rsid w:val="00923545"/>
    <w:rsid w:val="00924DAC"/>
    <w:rsid w:val="00927058"/>
    <w:rsid w:val="00931B33"/>
    <w:rsid w:val="00932B9C"/>
    <w:rsid w:val="009343CA"/>
    <w:rsid w:val="00934F08"/>
    <w:rsid w:val="00940682"/>
    <w:rsid w:val="009416ED"/>
    <w:rsid w:val="00941F13"/>
    <w:rsid w:val="009450CE"/>
    <w:rsid w:val="00947179"/>
    <w:rsid w:val="00947F3C"/>
    <w:rsid w:val="00950B4A"/>
    <w:rsid w:val="00950E53"/>
    <w:rsid w:val="009514EE"/>
    <w:rsid w:val="0095164B"/>
    <w:rsid w:val="009535C6"/>
    <w:rsid w:val="00954090"/>
    <w:rsid w:val="009573E7"/>
    <w:rsid w:val="009635B9"/>
    <w:rsid w:val="00963E05"/>
    <w:rsid w:val="0096565E"/>
    <w:rsid w:val="00965C76"/>
    <w:rsid w:val="0096671C"/>
    <w:rsid w:val="00967D54"/>
    <w:rsid w:val="00973D97"/>
    <w:rsid w:val="009805B9"/>
    <w:rsid w:val="009851D8"/>
    <w:rsid w:val="00986B02"/>
    <w:rsid w:val="009872C6"/>
    <w:rsid w:val="009916C1"/>
    <w:rsid w:val="009933D5"/>
    <w:rsid w:val="00995E58"/>
    <w:rsid w:val="00996483"/>
    <w:rsid w:val="00996F5A"/>
    <w:rsid w:val="009A02AA"/>
    <w:rsid w:val="009A0A3E"/>
    <w:rsid w:val="009A1998"/>
    <w:rsid w:val="009A366F"/>
    <w:rsid w:val="009A54AF"/>
    <w:rsid w:val="009A6779"/>
    <w:rsid w:val="009A7DED"/>
    <w:rsid w:val="009B0010"/>
    <w:rsid w:val="009B041A"/>
    <w:rsid w:val="009B32CF"/>
    <w:rsid w:val="009B3E08"/>
    <w:rsid w:val="009B61A0"/>
    <w:rsid w:val="009B7550"/>
    <w:rsid w:val="009C161F"/>
    <w:rsid w:val="009C3806"/>
    <w:rsid w:val="009C459B"/>
    <w:rsid w:val="009C696B"/>
    <w:rsid w:val="009C7C86"/>
    <w:rsid w:val="009D1068"/>
    <w:rsid w:val="009D2FF7"/>
    <w:rsid w:val="009D5CFB"/>
    <w:rsid w:val="009D7FF3"/>
    <w:rsid w:val="009E5437"/>
    <w:rsid w:val="009E5B1F"/>
    <w:rsid w:val="009E7884"/>
    <w:rsid w:val="009E788A"/>
    <w:rsid w:val="009E7FEC"/>
    <w:rsid w:val="009F0C10"/>
    <w:rsid w:val="009F0E08"/>
    <w:rsid w:val="009F1B89"/>
    <w:rsid w:val="009F2EC3"/>
    <w:rsid w:val="00A009CF"/>
    <w:rsid w:val="00A00B66"/>
    <w:rsid w:val="00A0221B"/>
    <w:rsid w:val="00A0462E"/>
    <w:rsid w:val="00A061A9"/>
    <w:rsid w:val="00A108E5"/>
    <w:rsid w:val="00A11D3D"/>
    <w:rsid w:val="00A12B1B"/>
    <w:rsid w:val="00A12E21"/>
    <w:rsid w:val="00A137FD"/>
    <w:rsid w:val="00A15ADC"/>
    <w:rsid w:val="00A1763D"/>
    <w:rsid w:val="00A17CEC"/>
    <w:rsid w:val="00A20DD3"/>
    <w:rsid w:val="00A214F2"/>
    <w:rsid w:val="00A23BED"/>
    <w:rsid w:val="00A272BA"/>
    <w:rsid w:val="00A27EF0"/>
    <w:rsid w:val="00A30FA6"/>
    <w:rsid w:val="00A315F3"/>
    <w:rsid w:val="00A344DC"/>
    <w:rsid w:val="00A40238"/>
    <w:rsid w:val="00A50B20"/>
    <w:rsid w:val="00A50B96"/>
    <w:rsid w:val="00A51390"/>
    <w:rsid w:val="00A56A9E"/>
    <w:rsid w:val="00A57FF6"/>
    <w:rsid w:val="00A60D13"/>
    <w:rsid w:val="00A65BC7"/>
    <w:rsid w:val="00A72745"/>
    <w:rsid w:val="00A73FE6"/>
    <w:rsid w:val="00A75B34"/>
    <w:rsid w:val="00A76EFC"/>
    <w:rsid w:val="00A83355"/>
    <w:rsid w:val="00A83D61"/>
    <w:rsid w:val="00A8764C"/>
    <w:rsid w:val="00A90372"/>
    <w:rsid w:val="00A91010"/>
    <w:rsid w:val="00A9280B"/>
    <w:rsid w:val="00A937BB"/>
    <w:rsid w:val="00A953F0"/>
    <w:rsid w:val="00A95D29"/>
    <w:rsid w:val="00A95D88"/>
    <w:rsid w:val="00A9625F"/>
    <w:rsid w:val="00A96CB1"/>
    <w:rsid w:val="00A97F29"/>
    <w:rsid w:val="00AA1058"/>
    <w:rsid w:val="00AA2D11"/>
    <w:rsid w:val="00AA5EA2"/>
    <w:rsid w:val="00AA702E"/>
    <w:rsid w:val="00AA7F01"/>
    <w:rsid w:val="00AB0964"/>
    <w:rsid w:val="00AB0B8F"/>
    <w:rsid w:val="00AB29CA"/>
    <w:rsid w:val="00AB3C08"/>
    <w:rsid w:val="00AB5011"/>
    <w:rsid w:val="00AB5439"/>
    <w:rsid w:val="00AB72C8"/>
    <w:rsid w:val="00AB7BE6"/>
    <w:rsid w:val="00AC1C85"/>
    <w:rsid w:val="00AC2492"/>
    <w:rsid w:val="00AC7368"/>
    <w:rsid w:val="00AD16B9"/>
    <w:rsid w:val="00AD19D7"/>
    <w:rsid w:val="00AD6E91"/>
    <w:rsid w:val="00AE1720"/>
    <w:rsid w:val="00AE377D"/>
    <w:rsid w:val="00AE5DE0"/>
    <w:rsid w:val="00AF1092"/>
    <w:rsid w:val="00AF27C1"/>
    <w:rsid w:val="00AF2872"/>
    <w:rsid w:val="00AF46A5"/>
    <w:rsid w:val="00AF6E6E"/>
    <w:rsid w:val="00B007A8"/>
    <w:rsid w:val="00B036C5"/>
    <w:rsid w:val="00B04171"/>
    <w:rsid w:val="00B13EA3"/>
    <w:rsid w:val="00B14975"/>
    <w:rsid w:val="00B16CB0"/>
    <w:rsid w:val="00B17B3E"/>
    <w:rsid w:val="00B17FBD"/>
    <w:rsid w:val="00B202F1"/>
    <w:rsid w:val="00B22FB1"/>
    <w:rsid w:val="00B2585B"/>
    <w:rsid w:val="00B26461"/>
    <w:rsid w:val="00B26D00"/>
    <w:rsid w:val="00B27674"/>
    <w:rsid w:val="00B300CC"/>
    <w:rsid w:val="00B315A6"/>
    <w:rsid w:val="00B31813"/>
    <w:rsid w:val="00B33365"/>
    <w:rsid w:val="00B42596"/>
    <w:rsid w:val="00B5561F"/>
    <w:rsid w:val="00B57B36"/>
    <w:rsid w:val="00B61652"/>
    <w:rsid w:val="00B62FD0"/>
    <w:rsid w:val="00B63A08"/>
    <w:rsid w:val="00B63A9C"/>
    <w:rsid w:val="00B709BC"/>
    <w:rsid w:val="00B71AAC"/>
    <w:rsid w:val="00B73064"/>
    <w:rsid w:val="00B73E2D"/>
    <w:rsid w:val="00B81C76"/>
    <w:rsid w:val="00B8686D"/>
    <w:rsid w:val="00B90B14"/>
    <w:rsid w:val="00B9217C"/>
    <w:rsid w:val="00B926E0"/>
    <w:rsid w:val="00B92777"/>
    <w:rsid w:val="00B93EAF"/>
    <w:rsid w:val="00B94763"/>
    <w:rsid w:val="00B94A96"/>
    <w:rsid w:val="00BA0394"/>
    <w:rsid w:val="00BA0C5A"/>
    <w:rsid w:val="00BA194D"/>
    <w:rsid w:val="00BA434B"/>
    <w:rsid w:val="00BA4CB3"/>
    <w:rsid w:val="00BA5B5F"/>
    <w:rsid w:val="00BB0C86"/>
    <w:rsid w:val="00BB4DFF"/>
    <w:rsid w:val="00BC2DA0"/>
    <w:rsid w:val="00BC30C9"/>
    <w:rsid w:val="00BC3517"/>
    <w:rsid w:val="00BC78FA"/>
    <w:rsid w:val="00BD666E"/>
    <w:rsid w:val="00BE3302"/>
    <w:rsid w:val="00BE3E58"/>
    <w:rsid w:val="00BE502B"/>
    <w:rsid w:val="00BE50B3"/>
    <w:rsid w:val="00BE5E85"/>
    <w:rsid w:val="00BE6CC6"/>
    <w:rsid w:val="00BE7F68"/>
    <w:rsid w:val="00BF2217"/>
    <w:rsid w:val="00BF273B"/>
    <w:rsid w:val="00BF5364"/>
    <w:rsid w:val="00C00A4C"/>
    <w:rsid w:val="00C01616"/>
    <w:rsid w:val="00C0162B"/>
    <w:rsid w:val="00C043CC"/>
    <w:rsid w:val="00C05E98"/>
    <w:rsid w:val="00C07C27"/>
    <w:rsid w:val="00C11EF5"/>
    <w:rsid w:val="00C15D28"/>
    <w:rsid w:val="00C177EF"/>
    <w:rsid w:val="00C17E3A"/>
    <w:rsid w:val="00C2113E"/>
    <w:rsid w:val="00C22B6C"/>
    <w:rsid w:val="00C26C19"/>
    <w:rsid w:val="00C30EBC"/>
    <w:rsid w:val="00C345B1"/>
    <w:rsid w:val="00C40142"/>
    <w:rsid w:val="00C416F6"/>
    <w:rsid w:val="00C50A59"/>
    <w:rsid w:val="00C57182"/>
    <w:rsid w:val="00C57863"/>
    <w:rsid w:val="00C61727"/>
    <w:rsid w:val="00C62F9D"/>
    <w:rsid w:val="00C655FD"/>
    <w:rsid w:val="00C74C43"/>
    <w:rsid w:val="00C81A89"/>
    <w:rsid w:val="00C81FFB"/>
    <w:rsid w:val="00C83D3B"/>
    <w:rsid w:val="00C846B9"/>
    <w:rsid w:val="00C870A8"/>
    <w:rsid w:val="00C90E38"/>
    <w:rsid w:val="00C91CA2"/>
    <w:rsid w:val="00C92A0E"/>
    <w:rsid w:val="00C94434"/>
    <w:rsid w:val="00CA013A"/>
    <w:rsid w:val="00CA0D75"/>
    <w:rsid w:val="00CA1C95"/>
    <w:rsid w:val="00CA21BC"/>
    <w:rsid w:val="00CA5A9C"/>
    <w:rsid w:val="00CA781F"/>
    <w:rsid w:val="00CA7EF5"/>
    <w:rsid w:val="00CB50ED"/>
    <w:rsid w:val="00CB5F8E"/>
    <w:rsid w:val="00CB6F3A"/>
    <w:rsid w:val="00CC0DDC"/>
    <w:rsid w:val="00CC142C"/>
    <w:rsid w:val="00CC3052"/>
    <w:rsid w:val="00CC33DA"/>
    <w:rsid w:val="00CC4F36"/>
    <w:rsid w:val="00CC6A34"/>
    <w:rsid w:val="00CD14A7"/>
    <w:rsid w:val="00CD3517"/>
    <w:rsid w:val="00CD5A00"/>
    <w:rsid w:val="00CD5FE2"/>
    <w:rsid w:val="00CD7F2A"/>
    <w:rsid w:val="00CE0B7F"/>
    <w:rsid w:val="00CE1771"/>
    <w:rsid w:val="00CE690C"/>
    <w:rsid w:val="00CE7C68"/>
    <w:rsid w:val="00CE7FAC"/>
    <w:rsid w:val="00CF14BB"/>
    <w:rsid w:val="00CF28CA"/>
    <w:rsid w:val="00CF4506"/>
    <w:rsid w:val="00CF741A"/>
    <w:rsid w:val="00D02B4C"/>
    <w:rsid w:val="00D0310B"/>
    <w:rsid w:val="00D032B3"/>
    <w:rsid w:val="00D040C4"/>
    <w:rsid w:val="00D07838"/>
    <w:rsid w:val="00D07E07"/>
    <w:rsid w:val="00D11163"/>
    <w:rsid w:val="00D111FE"/>
    <w:rsid w:val="00D137B6"/>
    <w:rsid w:val="00D203A1"/>
    <w:rsid w:val="00D26BAE"/>
    <w:rsid w:val="00D27FAE"/>
    <w:rsid w:val="00D3199A"/>
    <w:rsid w:val="00D31EC7"/>
    <w:rsid w:val="00D35733"/>
    <w:rsid w:val="00D3635F"/>
    <w:rsid w:val="00D36D1C"/>
    <w:rsid w:val="00D37ECA"/>
    <w:rsid w:val="00D405DC"/>
    <w:rsid w:val="00D41FCC"/>
    <w:rsid w:val="00D52049"/>
    <w:rsid w:val="00D560CA"/>
    <w:rsid w:val="00D57C84"/>
    <w:rsid w:val="00D6057D"/>
    <w:rsid w:val="00D65D9B"/>
    <w:rsid w:val="00D71398"/>
    <w:rsid w:val="00D73CFE"/>
    <w:rsid w:val="00D73DF7"/>
    <w:rsid w:val="00D774E6"/>
    <w:rsid w:val="00D80AC4"/>
    <w:rsid w:val="00D80B8E"/>
    <w:rsid w:val="00D84576"/>
    <w:rsid w:val="00D8568E"/>
    <w:rsid w:val="00D878B6"/>
    <w:rsid w:val="00D951AE"/>
    <w:rsid w:val="00D977FC"/>
    <w:rsid w:val="00D97B66"/>
    <w:rsid w:val="00DA035B"/>
    <w:rsid w:val="00DA1085"/>
    <w:rsid w:val="00DA1399"/>
    <w:rsid w:val="00DA206A"/>
    <w:rsid w:val="00DA24C6"/>
    <w:rsid w:val="00DA2F91"/>
    <w:rsid w:val="00DA4D7B"/>
    <w:rsid w:val="00DA4F9F"/>
    <w:rsid w:val="00DA546E"/>
    <w:rsid w:val="00DA6EA5"/>
    <w:rsid w:val="00DB0F91"/>
    <w:rsid w:val="00DB3ADD"/>
    <w:rsid w:val="00DB6146"/>
    <w:rsid w:val="00DC1356"/>
    <w:rsid w:val="00DC21B9"/>
    <w:rsid w:val="00DC36F3"/>
    <w:rsid w:val="00DC3A18"/>
    <w:rsid w:val="00DC3EC8"/>
    <w:rsid w:val="00DC682D"/>
    <w:rsid w:val="00DC7819"/>
    <w:rsid w:val="00DD08B8"/>
    <w:rsid w:val="00DD0B74"/>
    <w:rsid w:val="00DD2A0A"/>
    <w:rsid w:val="00DD2F39"/>
    <w:rsid w:val="00DD3ACC"/>
    <w:rsid w:val="00DD6C4F"/>
    <w:rsid w:val="00DE264A"/>
    <w:rsid w:val="00DE2803"/>
    <w:rsid w:val="00DE4229"/>
    <w:rsid w:val="00DE4DF9"/>
    <w:rsid w:val="00DF3119"/>
    <w:rsid w:val="00DF55C9"/>
    <w:rsid w:val="00DF573E"/>
    <w:rsid w:val="00DF7746"/>
    <w:rsid w:val="00E02D18"/>
    <w:rsid w:val="00E02D6B"/>
    <w:rsid w:val="00E03A3A"/>
    <w:rsid w:val="00E03E18"/>
    <w:rsid w:val="00E041E7"/>
    <w:rsid w:val="00E04F9F"/>
    <w:rsid w:val="00E16B68"/>
    <w:rsid w:val="00E2270E"/>
    <w:rsid w:val="00E231E6"/>
    <w:rsid w:val="00E23CA1"/>
    <w:rsid w:val="00E253A7"/>
    <w:rsid w:val="00E328D4"/>
    <w:rsid w:val="00E33BF6"/>
    <w:rsid w:val="00E36774"/>
    <w:rsid w:val="00E409A8"/>
    <w:rsid w:val="00E50C12"/>
    <w:rsid w:val="00E50DC8"/>
    <w:rsid w:val="00E51233"/>
    <w:rsid w:val="00E51C5C"/>
    <w:rsid w:val="00E53206"/>
    <w:rsid w:val="00E537A7"/>
    <w:rsid w:val="00E579E0"/>
    <w:rsid w:val="00E65B91"/>
    <w:rsid w:val="00E67F1D"/>
    <w:rsid w:val="00E70478"/>
    <w:rsid w:val="00E7209D"/>
    <w:rsid w:val="00E7297D"/>
    <w:rsid w:val="00E72E8A"/>
    <w:rsid w:val="00E74A03"/>
    <w:rsid w:val="00E75A42"/>
    <w:rsid w:val="00E7610D"/>
    <w:rsid w:val="00E764DF"/>
    <w:rsid w:val="00E77223"/>
    <w:rsid w:val="00E84EAB"/>
    <w:rsid w:val="00E8528B"/>
    <w:rsid w:val="00E85B94"/>
    <w:rsid w:val="00E86EDB"/>
    <w:rsid w:val="00E922AF"/>
    <w:rsid w:val="00E92C9B"/>
    <w:rsid w:val="00E93C3F"/>
    <w:rsid w:val="00E95627"/>
    <w:rsid w:val="00E95DF2"/>
    <w:rsid w:val="00E95E2C"/>
    <w:rsid w:val="00E976A1"/>
    <w:rsid w:val="00E978D0"/>
    <w:rsid w:val="00EA34AF"/>
    <w:rsid w:val="00EA4613"/>
    <w:rsid w:val="00EA4C59"/>
    <w:rsid w:val="00EA5217"/>
    <w:rsid w:val="00EA6604"/>
    <w:rsid w:val="00EA7B84"/>
    <w:rsid w:val="00EA7F91"/>
    <w:rsid w:val="00EB1523"/>
    <w:rsid w:val="00EB601F"/>
    <w:rsid w:val="00EB617D"/>
    <w:rsid w:val="00EC0E49"/>
    <w:rsid w:val="00EC200A"/>
    <w:rsid w:val="00EC2BB7"/>
    <w:rsid w:val="00EC3AEA"/>
    <w:rsid w:val="00EC5622"/>
    <w:rsid w:val="00ED0305"/>
    <w:rsid w:val="00ED0E5E"/>
    <w:rsid w:val="00ED220A"/>
    <w:rsid w:val="00ED2427"/>
    <w:rsid w:val="00ED3E7E"/>
    <w:rsid w:val="00ED48F4"/>
    <w:rsid w:val="00ED5925"/>
    <w:rsid w:val="00ED5EE1"/>
    <w:rsid w:val="00ED6FDE"/>
    <w:rsid w:val="00ED71F8"/>
    <w:rsid w:val="00EE0131"/>
    <w:rsid w:val="00EE4072"/>
    <w:rsid w:val="00EF0122"/>
    <w:rsid w:val="00EF2D84"/>
    <w:rsid w:val="00EF4F22"/>
    <w:rsid w:val="00EF7211"/>
    <w:rsid w:val="00F02FB8"/>
    <w:rsid w:val="00F0431F"/>
    <w:rsid w:val="00F144D8"/>
    <w:rsid w:val="00F155B2"/>
    <w:rsid w:val="00F20E53"/>
    <w:rsid w:val="00F237AB"/>
    <w:rsid w:val="00F26474"/>
    <w:rsid w:val="00F26DB4"/>
    <w:rsid w:val="00F3027E"/>
    <w:rsid w:val="00F30C64"/>
    <w:rsid w:val="00F31A88"/>
    <w:rsid w:val="00F32418"/>
    <w:rsid w:val="00F32CDB"/>
    <w:rsid w:val="00F34069"/>
    <w:rsid w:val="00F366D0"/>
    <w:rsid w:val="00F4053C"/>
    <w:rsid w:val="00F42AC8"/>
    <w:rsid w:val="00F42F25"/>
    <w:rsid w:val="00F43C6B"/>
    <w:rsid w:val="00F451FB"/>
    <w:rsid w:val="00F46EC9"/>
    <w:rsid w:val="00F55D76"/>
    <w:rsid w:val="00F61D19"/>
    <w:rsid w:val="00F63A70"/>
    <w:rsid w:val="00F63FFA"/>
    <w:rsid w:val="00F667CE"/>
    <w:rsid w:val="00F77866"/>
    <w:rsid w:val="00F80826"/>
    <w:rsid w:val="00F8482E"/>
    <w:rsid w:val="00F851DC"/>
    <w:rsid w:val="00F8609C"/>
    <w:rsid w:val="00F8710C"/>
    <w:rsid w:val="00F90706"/>
    <w:rsid w:val="00F91ECD"/>
    <w:rsid w:val="00F96E7E"/>
    <w:rsid w:val="00FA13F3"/>
    <w:rsid w:val="00FA21D0"/>
    <w:rsid w:val="00FA27AD"/>
    <w:rsid w:val="00FA5F5F"/>
    <w:rsid w:val="00FA697F"/>
    <w:rsid w:val="00FA7D4A"/>
    <w:rsid w:val="00FA7F84"/>
    <w:rsid w:val="00FB398C"/>
    <w:rsid w:val="00FB47B5"/>
    <w:rsid w:val="00FB730C"/>
    <w:rsid w:val="00FB7313"/>
    <w:rsid w:val="00FC17D8"/>
    <w:rsid w:val="00FC2695"/>
    <w:rsid w:val="00FC38E8"/>
    <w:rsid w:val="00FC3971"/>
    <w:rsid w:val="00FC3E03"/>
    <w:rsid w:val="00FC3FC1"/>
    <w:rsid w:val="00FE27DE"/>
    <w:rsid w:val="00FE4890"/>
    <w:rsid w:val="00FE58C5"/>
    <w:rsid w:val="00FE67E0"/>
    <w:rsid w:val="00FE6E71"/>
    <w:rsid w:val="00FF16A4"/>
    <w:rsid w:val="00FF209F"/>
    <w:rsid w:val="00FF231B"/>
    <w:rsid w:val="00FF5241"/>
    <w:rsid w:val="00FF5A0F"/>
    <w:rsid w:val="00FF6442"/>
    <w:rsid w:val="00FF6D26"/>
    <w:rsid w:val="00FF6DC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175E6F"/>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E407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175E6F"/>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E407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customStyle="1" w:styleId="EndNoteBibliographyTitle">
    <w:name w:val="EndNote Bibliography Title"/>
    <w:basedOn w:val="Normal"/>
    <w:link w:val="EndNoteBibliographyTitleChar"/>
    <w:rsid w:val="007611F6"/>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7611F6"/>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7611F6"/>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7611F6"/>
    <w:rPr>
      <w:rFonts w:ascii="Arial" w:eastAsia="Times New Roman" w:hAnsi="Arial" w:cs="Arial"/>
      <w:noProof/>
      <w:sz w:val="20"/>
      <w:szCs w:val="20"/>
      <w:lang w:val="en-US"/>
    </w:rPr>
  </w:style>
  <w:style w:type="paragraph" w:styleId="Revision">
    <w:name w:val="Revision"/>
    <w:hidden/>
    <w:uiPriority w:val="99"/>
    <w:semiHidden/>
    <w:rsid w:val="0002441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khetwa\Dropbox\AMD\Sulfate\Data\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khetwa\Dropbox\AMD\Sulfate\Data\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8991635561126"/>
          <c:y val="4.4310171198388724E-2"/>
          <c:w val="0.76931894758829888"/>
          <c:h val="0.63794942550610179"/>
        </c:manualLayout>
      </c:layout>
      <c:scatterChart>
        <c:scatterStyle val="smoothMarker"/>
        <c:varyColors val="0"/>
        <c:ser>
          <c:idx val="0"/>
          <c:order val="0"/>
          <c:tx>
            <c:v>30 °C (Effluent pH)</c:v>
          </c:tx>
          <c:spPr>
            <a:ln w="19050" cap="rnd">
              <a:solidFill>
                <a:schemeClr val="accent1"/>
              </a:solidFill>
              <a:round/>
            </a:ln>
            <a:effectLst/>
          </c:spPr>
          <c:marker>
            <c:symbol val="square"/>
            <c:size val="5"/>
            <c:spPr>
              <a:solidFill>
                <a:schemeClr val="accent1"/>
              </a:solidFill>
              <a:ln w="9525">
                <a:solidFill>
                  <a:schemeClr val="accent1"/>
                </a:solidFill>
              </a:ln>
              <a:effectLst/>
            </c:spPr>
          </c:marker>
          <c:xVal>
            <c:numRef>
              <c:f>Presentation!$AI$4:$AI$13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Presentation!$AL$4:$AL$13</c:f>
              <c:numCache>
                <c:formatCode>General</c:formatCode>
                <c:ptCount val="10"/>
                <c:pt idx="0">
                  <c:v>7.4</c:v>
                </c:pt>
                <c:pt idx="1">
                  <c:v>7.35</c:v>
                </c:pt>
                <c:pt idx="2">
                  <c:v>7.33</c:v>
                </c:pt>
                <c:pt idx="3">
                  <c:v>7.31</c:v>
                </c:pt>
                <c:pt idx="5">
                  <c:v>7.39</c:v>
                </c:pt>
                <c:pt idx="6">
                  <c:v>7.42</c:v>
                </c:pt>
                <c:pt idx="7">
                  <c:v>7.47</c:v>
                </c:pt>
                <c:pt idx="8">
                  <c:v>7.48</c:v>
                </c:pt>
                <c:pt idx="9">
                  <c:v>7.42</c:v>
                </c:pt>
              </c:numCache>
            </c:numRef>
          </c:yVal>
          <c:smooth val="1"/>
        </c:ser>
        <c:ser>
          <c:idx val="1"/>
          <c:order val="1"/>
          <c:tx>
            <c:v>10 °C (Effluent pH)</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Presentation!$AI$4:$AI$13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Presentation!$AM$4:$AM$13</c:f>
              <c:numCache>
                <c:formatCode>General</c:formatCode>
                <c:ptCount val="10"/>
                <c:pt idx="0">
                  <c:v>7.36</c:v>
                </c:pt>
                <c:pt idx="1">
                  <c:v>7.02</c:v>
                </c:pt>
                <c:pt idx="2">
                  <c:v>6.98</c:v>
                </c:pt>
                <c:pt idx="3">
                  <c:v>6.74</c:v>
                </c:pt>
                <c:pt idx="5">
                  <c:v>6.71</c:v>
                </c:pt>
                <c:pt idx="6">
                  <c:v>6.6</c:v>
                </c:pt>
                <c:pt idx="7">
                  <c:v>6.47</c:v>
                </c:pt>
                <c:pt idx="8">
                  <c:v>6.49</c:v>
                </c:pt>
                <c:pt idx="9">
                  <c:v>6.46</c:v>
                </c:pt>
              </c:numCache>
            </c:numRef>
          </c:yVal>
          <c:smooth val="1"/>
        </c:ser>
        <c:dLbls>
          <c:showLegendKey val="0"/>
          <c:showVal val="0"/>
          <c:showCatName val="0"/>
          <c:showSerName val="0"/>
          <c:showPercent val="0"/>
          <c:showBubbleSize val="0"/>
        </c:dLbls>
        <c:axId val="865045312"/>
        <c:axId val="865061088"/>
      </c:scatterChart>
      <c:scatterChart>
        <c:scatterStyle val="smoothMarker"/>
        <c:varyColors val="0"/>
        <c:ser>
          <c:idx val="2"/>
          <c:order val="2"/>
          <c:tx>
            <c:v>30 °C (Effluent redox potential)</c:v>
          </c:tx>
          <c:spPr>
            <a:ln w="19050" cap="rnd">
              <a:solidFill>
                <a:schemeClr val="accent1"/>
              </a:solidFill>
              <a:prstDash val="dash"/>
              <a:round/>
            </a:ln>
            <a:effectLst/>
          </c:spPr>
          <c:marker>
            <c:symbol val="square"/>
            <c:size val="5"/>
            <c:spPr>
              <a:solidFill>
                <a:schemeClr val="accent1">
                  <a:alpha val="96000"/>
                </a:schemeClr>
              </a:solidFill>
              <a:ln w="9525">
                <a:solidFill>
                  <a:schemeClr val="accent1"/>
                </a:solidFill>
              </a:ln>
              <a:effectLst/>
            </c:spPr>
          </c:marker>
          <c:xVal>
            <c:numRef>
              <c:f>Presentation!$AI$4:$AI$13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Presentation!$AJ$4:$AJ$13</c:f>
              <c:numCache>
                <c:formatCode>0.00</c:formatCode>
                <c:ptCount val="10"/>
                <c:pt idx="0">
                  <c:v>-437</c:v>
                </c:pt>
                <c:pt idx="1">
                  <c:v>-407</c:v>
                </c:pt>
                <c:pt idx="2">
                  <c:v>-444</c:v>
                </c:pt>
                <c:pt idx="3">
                  <c:v>-434</c:v>
                </c:pt>
                <c:pt idx="5">
                  <c:v>-427</c:v>
                </c:pt>
                <c:pt idx="6">
                  <c:v>-435</c:v>
                </c:pt>
                <c:pt idx="7">
                  <c:v>-433</c:v>
                </c:pt>
                <c:pt idx="8">
                  <c:v>-444</c:v>
                </c:pt>
                <c:pt idx="9">
                  <c:v>-433</c:v>
                </c:pt>
              </c:numCache>
            </c:numRef>
          </c:yVal>
          <c:smooth val="1"/>
        </c:ser>
        <c:ser>
          <c:idx val="3"/>
          <c:order val="3"/>
          <c:tx>
            <c:v>10 °C (Effluent redox potential)</c:v>
          </c:tx>
          <c:spPr>
            <a:ln w="19050" cap="rnd">
              <a:solidFill>
                <a:schemeClr val="accent2"/>
              </a:solidFill>
              <a:prstDash val="dash"/>
              <a:round/>
            </a:ln>
            <a:effectLst/>
          </c:spPr>
          <c:marker>
            <c:symbol val="circle"/>
            <c:size val="5"/>
            <c:spPr>
              <a:solidFill>
                <a:schemeClr val="accent2"/>
              </a:solidFill>
              <a:ln w="9525">
                <a:solidFill>
                  <a:schemeClr val="accent2"/>
                </a:solidFill>
              </a:ln>
              <a:effectLst/>
            </c:spPr>
          </c:marker>
          <c:xVal>
            <c:numRef>
              <c:f>Presentation!$AI$4:$AI$13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Presentation!$AK$4:$AK$13</c:f>
              <c:numCache>
                <c:formatCode>0.00</c:formatCode>
                <c:ptCount val="10"/>
                <c:pt idx="0">
                  <c:v>-434</c:v>
                </c:pt>
                <c:pt idx="1">
                  <c:v>-390</c:v>
                </c:pt>
                <c:pt idx="2">
                  <c:v>-417</c:v>
                </c:pt>
                <c:pt idx="3">
                  <c:v>-392</c:v>
                </c:pt>
                <c:pt idx="5">
                  <c:v>-368</c:v>
                </c:pt>
                <c:pt idx="6">
                  <c:v>-387</c:v>
                </c:pt>
                <c:pt idx="7">
                  <c:v>-379</c:v>
                </c:pt>
                <c:pt idx="8">
                  <c:v>-389</c:v>
                </c:pt>
                <c:pt idx="9">
                  <c:v>-376</c:v>
                </c:pt>
              </c:numCache>
            </c:numRef>
          </c:yVal>
          <c:smooth val="1"/>
        </c:ser>
        <c:dLbls>
          <c:showLegendKey val="0"/>
          <c:showVal val="0"/>
          <c:showCatName val="0"/>
          <c:showSerName val="0"/>
          <c:showPercent val="0"/>
          <c:showBubbleSize val="0"/>
        </c:dLbls>
        <c:axId val="865040960"/>
        <c:axId val="865052928"/>
      </c:scatterChart>
      <c:valAx>
        <c:axId val="865045312"/>
        <c:scaling>
          <c:orientation val="minMax"/>
          <c:min val="6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61088"/>
        <c:crosses val="autoZero"/>
        <c:crossBetween val="midCat"/>
      </c:valAx>
      <c:valAx>
        <c:axId val="86506108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t>Effluent pH</a:t>
                </a:r>
              </a:p>
            </c:rich>
          </c:tx>
          <c:layout>
            <c:manualLayout>
              <c:xMode val="edge"/>
              <c:yMode val="edge"/>
              <c:x val="1.3888888888888888E-2"/>
              <c:y val="0.249679571303587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45312"/>
        <c:crosses val="autoZero"/>
        <c:crossBetween val="midCat"/>
      </c:valAx>
      <c:valAx>
        <c:axId val="865052928"/>
        <c:scaling>
          <c:orientation val="minMax"/>
          <c:max val="-200"/>
          <c:min val="-50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Redox Potential (mV)</a:t>
                </a:r>
              </a:p>
            </c:rich>
          </c:tx>
          <c:layout>
            <c:manualLayout>
              <c:xMode val="edge"/>
              <c:yMode val="edge"/>
              <c:x val="0.94975532956938846"/>
              <c:y val="0.156160927335683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40960"/>
        <c:crosses val="max"/>
        <c:crossBetween val="midCat"/>
        <c:majorUnit val="50"/>
      </c:valAx>
      <c:valAx>
        <c:axId val="865040960"/>
        <c:scaling>
          <c:orientation val="minMax"/>
        </c:scaling>
        <c:delete val="1"/>
        <c:axPos val="b"/>
        <c:numFmt formatCode="General" sourceLinked="1"/>
        <c:majorTickMark val="out"/>
        <c:minorTickMark val="none"/>
        <c:tickLblPos val="nextTo"/>
        <c:crossAx val="865052928"/>
        <c:crosses val="autoZero"/>
        <c:crossBetween val="midCat"/>
      </c:valAx>
      <c:spPr>
        <a:noFill/>
        <a:ln>
          <a:solidFill>
            <a:schemeClr val="bg1">
              <a:lumMod val="8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8905783328811"/>
          <c:y val="7.1041786443361246E-2"/>
          <c:w val="0.76118255045705496"/>
          <c:h val="0.6957950256217974"/>
        </c:manualLayout>
      </c:layout>
      <c:scatterChart>
        <c:scatterStyle val="smoothMarker"/>
        <c:varyColors val="0"/>
        <c:ser>
          <c:idx val="0"/>
          <c:order val="0"/>
          <c:tx>
            <c:v>30 °C</c:v>
          </c:tx>
          <c:spPr>
            <a:ln w="19050" cap="rnd">
              <a:solidFill>
                <a:schemeClr val="accent1"/>
              </a:solidFill>
              <a:round/>
            </a:ln>
            <a:effectLst/>
          </c:spPr>
          <c:marker>
            <c:symbol val="square"/>
            <c:size val="5"/>
            <c:spPr>
              <a:solidFill>
                <a:schemeClr val="accent1"/>
              </a:solidFill>
              <a:ln w="9525">
                <a:solidFill>
                  <a:schemeClr val="accent1"/>
                </a:solidFill>
              </a:ln>
              <a:effectLst/>
            </c:spPr>
          </c:marker>
          <c:xVal>
            <c:numRef>
              <c:f>Presentation!$C$4:$C$13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Presentation!$D$4:$D$13</c:f>
              <c:numCache>
                <c:formatCode>0.00</c:formatCode>
                <c:ptCount val="10"/>
                <c:pt idx="0">
                  <c:v>92.410256410256409</c:v>
                </c:pt>
                <c:pt idx="1">
                  <c:v>98.051282051282058</c:v>
                </c:pt>
                <c:pt idx="2">
                  <c:v>94.147692307692296</c:v>
                </c:pt>
                <c:pt idx="3">
                  <c:v>98.398048780487798</c:v>
                </c:pt>
                <c:pt idx="5">
                  <c:v>98.985365853658536</c:v>
                </c:pt>
                <c:pt idx="6">
                  <c:v>98.706341463414631</c:v>
                </c:pt>
                <c:pt idx="7">
                  <c:v>98.948292682926848</c:v>
                </c:pt>
                <c:pt idx="8">
                  <c:v>98.764878048780474</c:v>
                </c:pt>
                <c:pt idx="9">
                  <c:v>98.920975609756084</c:v>
                </c:pt>
              </c:numCache>
            </c:numRef>
          </c:yVal>
          <c:smooth val="1"/>
        </c:ser>
        <c:ser>
          <c:idx val="1"/>
          <c:order val="1"/>
          <c:tx>
            <c:v>10 °C</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Presentation!$C$4:$C$13</c:f>
              <c:numCache>
                <c:formatCode>General</c:formatCode>
                <c:ptCount val="10"/>
                <c:pt idx="0">
                  <c:v>61</c:v>
                </c:pt>
                <c:pt idx="1">
                  <c:v>66</c:v>
                </c:pt>
                <c:pt idx="2">
                  <c:v>69</c:v>
                </c:pt>
                <c:pt idx="3">
                  <c:v>73</c:v>
                </c:pt>
                <c:pt idx="4">
                  <c:v>74</c:v>
                </c:pt>
                <c:pt idx="5">
                  <c:v>75</c:v>
                </c:pt>
                <c:pt idx="6">
                  <c:v>77</c:v>
                </c:pt>
                <c:pt idx="7">
                  <c:v>81</c:v>
                </c:pt>
                <c:pt idx="8">
                  <c:v>82</c:v>
                </c:pt>
                <c:pt idx="9">
                  <c:v>83</c:v>
                </c:pt>
              </c:numCache>
            </c:numRef>
          </c:xVal>
          <c:yVal>
            <c:numRef>
              <c:f>Presentation!$E$4:$E$13</c:f>
              <c:numCache>
                <c:formatCode>0.00</c:formatCode>
                <c:ptCount val="10"/>
                <c:pt idx="0">
                  <c:v>87.589743589743591</c:v>
                </c:pt>
                <c:pt idx="1">
                  <c:v>79.384615384615387</c:v>
                </c:pt>
                <c:pt idx="2">
                  <c:v>81.230769230769226</c:v>
                </c:pt>
                <c:pt idx="3">
                  <c:v>75.804878048780495</c:v>
                </c:pt>
                <c:pt idx="5">
                  <c:v>72.780487804878049</c:v>
                </c:pt>
                <c:pt idx="6">
                  <c:v>71.804878048780481</c:v>
                </c:pt>
                <c:pt idx="7">
                  <c:v>66.731707317073173</c:v>
                </c:pt>
                <c:pt idx="8">
                  <c:v>71.121951219512198</c:v>
                </c:pt>
                <c:pt idx="9">
                  <c:v>73.756097560975604</c:v>
                </c:pt>
              </c:numCache>
            </c:numRef>
          </c:yVal>
          <c:smooth val="1"/>
        </c:ser>
        <c:dLbls>
          <c:showLegendKey val="0"/>
          <c:showVal val="0"/>
          <c:showCatName val="0"/>
          <c:showSerName val="0"/>
          <c:showPercent val="0"/>
          <c:showBubbleSize val="0"/>
        </c:dLbls>
        <c:axId val="865048032"/>
        <c:axId val="865054016"/>
      </c:scatterChart>
      <c:valAx>
        <c:axId val="865048032"/>
        <c:scaling>
          <c:orientation val="minMax"/>
          <c:min val="6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(d)</a:t>
                </a:r>
              </a:p>
            </c:rich>
          </c:tx>
          <c:layout>
            <c:manualLayout>
              <c:xMode val="edge"/>
              <c:yMode val="edge"/>
              <c:x val="0.45401415052696631"/>
              <c:y val="0.8427576581516242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54016"/>
        <c:crosses val="autoZero"/>
        <c:crossBetween val="midCat"/>
      </c:valAx>
      <c:valAx>
        <c:axId val="865054016"/>
        <c:scaling>
          <c:orientation val="minMax"/>
          <c:max val="100"/>
          <c:min val="65"/>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Sulphate reduction (%)</a:t>
                </a:r>
              </a:p>
            </c:rich>
          </c:tx>
          <c:layout>
            <c:manualLayout>
              <c:xMode val="edge"/>
              <c:yMode val="edge"/>
              <c:x val="2.7681962168522038E-2"/>
              <c:y val="0.220331125276007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48032"/>
        <c:crosses val="autoZero"/>
        <c:crossBetween val="midCat"/>
      </c:valAx>
      <c:spPr>
        <a:noFill/>
        <a:ln>
          <a:solidFill>
            <a:schemeClr val="bg1">
              <a:lumMod val="85000"/>
            </a:schemeClr>
          </a:solidFill>
        </a:ln>
        <a:effectLst/>
      </c:spPr>
    </c:plotArea>
    <c:legend>
      <c:legendPos val="b"/>
      <c:layout>
        <c:manualLayout>
          <c:xMode val="edge"/>
          <c:yMode val="edge"/>
          <c:x val="0.37142040003620236"/>
          <c:y val="0.9155575553055868"/>
          <c:w val="0.257159018915739"/>
          <c:h val="6.751122776319626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3003791192768"/>
          <c:y val="0.10402483343428227"/>
          <c:w val="0.76712726013414989"/>
          <c:h val="0.67813076250084126"/>
        </c:manualLayout>
      </c:layout>
      <c:scatterChart>
        <c:scatterStyle val="smoothMarker"/>
        <c:varyColors val="0"/>
        <c:ser>
          <c:idx val="0"/>
          <c:order val="0"/>
          <c:tx>
            <c:v>pH 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Presentation!$I$4:$I$12</c:f>
              <c:numCache>
                <c:formatCode>General</c:formatCode>
                <c:ptCount val="9"/>
                <c:pt idx="0">
                  <c:v>61</c:v>
                </c:pt>
                <c:pt idx="1">
                  <c:v>66</c:v>
                </c:pt>
                <c:pt idx="2">
                  <c:v>69</c:v>
                </c:pt>
                <c:pt idx="3">
                  <c:v>73</c:v>
                </c:pt>
                <c:pt idx="4">
                  <c:v>74</c:v>
                </c:pt>
                <c:pt idx="5">
                  <c:v>75</c:v>
                </c:pt>
                <c:pt idx="6">
                  <c:v>77</c:v>
                </c:pt>
                <c:pt idx="7">
                  <c:v>81</c:v>
                </c:pt>
                <c:pt idx="8">
                  <c:v>82</c:v>
                </c:pt>
              </c:numCache>
            </c:numRef>
          </c:xVal>
          <c:yVal>
            <c:numRef>
              <c:f>Presentation!$K$4:$K$12</c:f>
              <c:numCache>
                <c:formatCode>0.00</c:formatCode>
                <c:ptCount val="9"/>
                <c:pt idx="0">
                  <c:v>92.410256410256409</c:v>
                </c:pt>
                <c:pt idx="1">
                  <c:v>93.1</c:v>
                </c:pt>
                <c:pt idx="2">
                  <c:v>94.147692307692296</c:v>
                </c:pt>
                <c:pt idx="3">
                  <c:v>98.398048780487798</c:v>
                </c:pt>
                <c:pt idx="4">
                  <c:v>99.061463414634147</c:v>
                </c:pt>
                <c:pt idx="5">
                  <c:v>98.985365853658536</c:v>
                </c:pt>
                <c:pt idx="6">
                  <c:v>98.706341463414631</c:v>
                </c:pt>
                <c:pt idx="7">
                  <c:v>98.948292682926848</c:v>
                </c:pt>
                <c:pt idx="8">
                  <c:v>98.764878048780474</c:v>
                </c:pt>
              </c:numCache>
            </c:numRef>
          </c:yVal>
          <c:smooth val="1"/>
        </c:ser>
        <c:ser>
          <c:idx val="1"/>
          <c:order val="1"/>
          <c:tx>
            <c:v>pH 6</c:v>
          </c:tx>
          <c:spPr>
            <a:ln w="19050" cap="rnd">
              <a:solidFill>
                <a:schemeClr val="accent1"/>
              </a:solidFill>
              <a:round/>
            </a:ln>
            <a:effectLst/>
          </c:spPr>
          <c:marker>
            <c:symbol val="square"/>
            <c:size val="5"/>
            <c:spPr>
              <a:solidFill>
                <a:schemeClr val="accent1"/>
              </a:solidFill>
              <a:ln w="9525">
                <a:solidFill>
                  <a:schemeClr val="accent1"/>
                </a:solidFill>
              </a:ln>
              <a:effectLst/>
            </c:spPr>
          </c:marker>
          <c:xVal>
            <c:numRef>
              <c:f>Presentation!$I$4:$I$12</c:f>
              <c:numCache>
                <c:formatCode>General</c:formatCode>
                <c:ptCount val="9"/>
                <c:pt idx="0">
                  <c:v>61</c:v>
                </c:pt>
                <c:pt idx="1">
                  <c:v>66</c:v>
                </c:pt>
                <c:pt idx="2">
                  <c:v>69</c:v>
                </c:pt>
                <c:pt idx="3">
                  <c:v>73</c:v>
                </c:pt>
                <c:pt idx="4">
                  <c:v>74</c:v>
                </c:pt>
                <c:pt idx="5">
                  <c:v>75</c:v>
                </c:pt>
                <c:pt idx="6">
                  <c:v>77</c:v>
                </c:pt>
                <c:pt idx="7">
                  <c:v>81</c:v>
                </c:pt>
                <c:pt idx="8">
                  <c:v>82</c:v>
                </c:pt>
              </c:numCache>
            </c:numRef>
          </c:xVal>
          <c:yVal>
            <c:numRef>
              <c:f>Presentation!$J$4:$J$12</c:f>
              <c:numCache>
                <c:formatCode>0.00</c:formatCode>
                <c:ptCount val="9"/>
                <c:pt idx="0">
                  <c:v>98.15384615384616</c:v>
                </c:pt>
                <c:pt idx="1">
                  <c:v>98.15384615384616</c:v>
                </c:pt>
                <c:pt idx="2">
                  <c:v>98.617435897435897</c:v>
                </c:pt>
                <c:pt idx="3">
                  <c:v>97.574634146341452</c:v>
                </c:pt>
                <c:pt idx="4">
                  <c:v>98.575609756097563</c:v>
                </c:pt>
                <c:pt idx="5">
                  <c:v>98.760975609756102</c:v>
                </c:pt>
                <c:pt idx="6">
                  <c:v>98.407804878048779</c:v>
                </c:pt>
                <c:pt idx="7">
                  <c:v>98.360975609756096</c:v>
                </c:pt>
                <c:pt idx="8">
                  <c:v>98.731707317073173</c:v>
                </c:pt>
              </c:numCache>
            </c:numRef>
          </c:yVal>
          <c:smooth val="1"/>
        </c:ser>
        <c:dLbls>
          <c:showLegendKey val="0"/>
          <c:showVal val="0"/>
          <c:showCatName val="0"/>
          <c:showSerName val="0"/>
          <c:showPercent val="0"/>
          <c:showBubbleSize val="0"/>
        </c:dLbls>
        <c:axId val="865072512"/>
        <c:axId val="865071424"/>
      </c:scatterChart>
      <c:valAx>
        <c:axId val="865072512"/>
        <c:scaling>
          <c:orientation val="minMax"/>
          <c:min val="6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Time (d)</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71424"/>
        <c:crosses val="autoZero"/>
        <c:crossBetween val="midCat"/>
      </c:valAx>
      <c:valAx>
        <c:axId val="8650714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rPr>
                  <a:t>Sulphate reduction (%)</a:t>
                </a:r>
              </a:p>
            </c:rich>
          </c:tx>
          <c:layout>
            <c:manualLayout>
              <c:xMode val="edge"/>
              <c:yMode val="edge"/>
              <c:x val="3.7962962962962955E-2"/>
              <c:y val="0.222955447876707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5072512"/>
        <c:crosses val="autoZero"/>
        <c:crossBetween val="midCat"/>
      </c:valAx>
      <c:spPr>
        <a:noFill/>
        <a:ln>
          <a:solidFill>
            <a:schemeClr val="bg1">
              <a:lumMod val="85000"/>
            </a:schemeClr>
          </a:solidFill>
        </a:ln>
        <a:effectLst/>
      </c:spPr>
    </c:plotArea>
    <c:legend>
      <c:legendPos val="b"/>
      <c:layout>
        <c:manualLayout>
          <c:xMode val="edge"/>
          <c:yMode val="edge"/>
          <c:x val="0.10842775958878269"/>
          <c:y val="0.92868414029572022"/>
          <c:w val="0.7831444808224346"/>
          <c:h val="7.131585970427981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span"/>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282-B403-480D-8DD4-F153FF8F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6083</Words>
  <Characters>34677</Characters>
  <Application>Microsoft Office Word</Application>
  <DocSecurity>0</DocSecurity>
  <Lines>288</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Mukhethwa Mukwevho</cp:lastModifiedBy>
  <cp:revision>16</cp:revision>
  <cp:lastPrinted>2015-05-12T18:31:00Z</cp:lastPrinted>
  <dcterms:created xsi:type="dcterms:W3CDTF">2019-04-13T22:18:00Z</dcterms:created>
  <dcterms:modified xsi:type="dcterms:W3CDTF">2019-04-14T15:00:00Z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