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0C3327">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753620B8"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AD0278">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AD0278">
              <w:rPr>
                <w:rFonts w:cs="Arial"/>
                <w:b/>
                <w:bCs/>
                <w:i/>
                <w:iCs/>
                <w:color w:val="000066"/>
                <w:sz w:val="22"/>
                <w:szCs w:val="22"/>
                <w:lang w:eastAsia="it-IT"/>
              </w:rPr>
              <w:t>6</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0C3327">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0C3327">
        <w:trPr>
          <w:trHeight w:val="68"/>
          <w:jc w:val="center"/>
        </w:trPr>
        <w:tc>
          <w:tcPr>
            <w:tcW w:w="8782" w:type="dxa"/>
            <w:gridSpan w:val="2"/>
          </w:tcPr>
          <w:p w14:paraId="1D8DD3C9" w14:textId="252289FB" w:rsidR="00AA7D26" w:rsidRPr="00005884" w:rsidRDefault="004A5E57" w:rsidP="004A5E57">
            <w:pPr>
              <w:ind w:left="-107"/>
              <w:outlineLvl w:val="2"/>
              <w:rPr>
                <w:rFonts w:ascii="Tahoma" w:hAnsi="Tahoma" w:cs="Tahoma"/>
                <w:bCs/>
                <w:color w:val="000000"/>
                <w:sz w:val="14"/>
                <w:szCs w:val="14"/>
                <w:lang w:val="it-IT" w:eastAsia="it-IT"/>
              </w:rPr>
            </w:pPr>
            <w:r w:rsidRPr="004A5E57">
              <w:rPr>
                <w:rFonts w:ascii="Tahoma" w:hAnsi="Tahoma" w:cs="Tahoma"/>
                <w:iCs/>
                <w:color w:val="333333"/>
                <w:sz w:val="14"/>
                <w:szCs w:val="14"/>
                <w:lang w:val="it-IT" w:eastAsia="it-IT"/>
              </w:rPr>
              <w:t>Guest Editors:</w:t>
            </w:r>
            <w:r w:rsidRPr="004A5E57">
              <w:rPr>
                <w:rFonts w:ascii="Tahoma" w:hAnsi="Tahoma" w:cs="Tahoma"/>
                <w:color w:val="000000"/>
                <w:sz w:val="14"/>
                <w:szCs w:val="14"/>
                <w:shd w:val="clear" w:color="auto" w:fill="FFFFFF"/>
                <w:lang w:val="it-IT"/>
              </w:rPr>
              <w:t xml:space="preserve"> </w:t>
            </w:r>
            <w:r w:rsidR="00005884" w:rsidRPr="00005884">
              <w:rPr>
                <w:rFonts w:ascii="Tahoma" w:hAnsi="Tahoma" w:cs="Tahoma"/>
                <w:color w:val="000000"/>
                <w:sz w:val="14"/>
                <w:szCs w:val="14"/>
                <w:shd w:val="clear" w:color="auto" w:fill="FFFFFF"/>
                <w:lang w:val="it-IT"/>
              </w:rPr>
              <w:t xml:space="preserve">Marco Bravi, Antonio </w:t>
            </w:r>
            <w:proofErr w:type="spellStart"/>
            <w:r w:rsidR="00005884" w:rsidRPr="00005884">
              <w:rPr>
                <w:rFonts w:ascii="Tahoma" w:hAnsi="Tahoma" w:cs="Tahoma"/>
                <w:color w:val="000000"/>
                <w:sz w:val="14"/>
                <w:szCs w:val="14"/>
                <w:shd w:val="clear" w:color="auto" w:fill="FFFFFF"/>
                <w:lang w:val="it-IT"/>
              </w:rPr>
              <w:t>Marzocchella</w:t>
            </w:r>
            <w:proofErr w:type="spellEnd"/>
            <w:r w:rsidR="00005884" w:rsidRPr="00005884">
              <w:rPr>
                <w:rFonts w:ascii="Tahoma" w:hAnsi="Tahoma" w:cs="Tahoma"/>
                <w:color w:val="000000"/>
                <w:sz w:val="14"/>
                <w:szCs w:val="14"/>
                <w:shd w:val="clear" w:color="auto" w:fill="FFFFFF"/>
                <w:lang w:val="it-IT"/>
              </w:rPr>
              <w:t>, Giuseppe Caputo</w:t>
            </w:r>
          </w:p>
          <w:p w14:paraId="1B0F1814" w14:textId="710B7B96"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005884">
              <w:rPr>
                <w:rFonts w:ascii="Tahoma" w:hAnsi="Tahoma" w:cs="Tahoma"/>
                <w:iCs/>
                <w:color w:val="333333"/>
                <w:sz w:val="14"/>
                <w:szCs w:val="14"/>
                <w:lang w:eastAsia="it-IT"/>
              </w:rPr>
              <w:t>6</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D2582C" w:rsidRPr="000562A9">
              <w:rPr>
                <w:rFonts w:ascii="Tahoma" w:hAnsi="Tahoma" w:cs="Tahoma"/>
                <w:sz w:val="14"/>
                <w:szCs w:val="14"/>
              </w:rPr>
              <w:t>97</w:t>
            </w:r>
            <w:r w:rsidR="00D2582C">
              <w:rPr>
                <w:rFonts w:ascii="Tahoma" w:hAnsi="Tahoma" w:cs="Tahoma"/>
                <w:sz w:val="14"/>
                <w:szCs w:val="14"/>
              </w:rPr>
              <w:t>9</w:t>
            </w:r>
            <w:r w:rsidR="00D2582C" w:rsidRPr="000562A9">
              <w:rPr>
                <w:rFonts w:ascii="Tahoma" w:hAnsi="Tahoma" w:cs="Tahoma"/>
                <w:sz w:val="14"/>
                <w:szCs w:val="14"/>
              </w:rPr>
              <w:t>-</w:t>
            </w:r>
            <w:r w:rsidR="00D2582C">
              <w:rPr>
                <w:rFonts w:ascii="Tahoma" w:hAnsi="Tahoma" w:cs="Tahoma"/>
                <w:sz w:val="14"/>
                <w:szCs w:val="14"/>
              </w:rPr>
              <w:t>12</w:t>
            </w:r>
            <w:r w:rsidR="00D2582C" w:rsidRPr="000562A9">
              <w:rPr>
                <w:rFonts w:ascii="Tahoma" w:hAnsi="Tahoma" w:cs="Tahoma"/>
                <w:sz w:val="14"/>
                <w:szCs w:val="14"/>
              </w:rPr>
              <w:t>-</w:t>
            </w:r>
            <w:r w:rsidR="00D2582C">
              <w:rPr>
                <w:rFonts w:ascii="Tahoma" w:hAnsi="Tahoma" w:cs="Tahoma"/>
                <w:sz w:val="14"/>
                <w:szCs w:val="14"/>
              </w:rPr>
              <w:t>81206-</w:t>
            </w:r>
            <w:r w:rsidR="00005884">
              <w:rPr>
                <w:rFonts w:ascii="Tahoma" w:hAnsi="Tahoma" w:cs="Tahoma"/>
                <w:sz w:val="14"/>
                <w:szCs w:val="14"/>
              </w:rPr>
              <w:t>xx</w:t>
            </w:r>
            <w:r w:rsidR="009041F8">
              <w:rPr>
                <w:rFonts w:ascii="Tahoma" w:hAnsi="Tahoma" w:cs="Tahoma"/>
                <w:sz w:val="14"/>
                <w:szCs w:val="14"/>
              </w:rPr>
              <w:t>-</w:t>
            </w:r>
            <w:r w:rsidR="00005884">
              <w:rPr>
                <w:rFonts w:ascii="Tahoma" w:hAnsi="Tahoma" w:cs="Tahoma"/>
                <w:sz w:val="14"/>
                <w:szCs w:val="14"/>
              </w:rPr>
              <w:t>x</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2E667253" w14:textId="7A9FE824" w:rsidR="00E978D0" w:rsidRPr="00E83F81" w:rsidRDefault="000C3327" w:rsidP="00E978D0">
      <w:pPr>
        <w:pStyle w:val="CETTitle"/>
      </w:pPr>
      <w:r w:rsidRPr="00E83F81">
        <w:t xml:space="preserve">Sustainability </w:t>
      </w:r>
      <w:r w:rsidR="00690B53" w:rsidRPr="00E83F81">
        <w:t>of</w:t>
      </w:r>
      <w:r w:rsidRPr="00E83F81">
        <w:t xml:space="preserve"> The Alcoholic Fermentation </w:t>
      </w:r>
      <w:r w:rsidR="00AF0741" w:rsidRPr="00E83F81">
        <w:t>in</w:t>
      </w:r>
      <w:r w:rsidRPr="00E83F81">
        <w:t xml:space="preserve"> </w:t>
      </w:r>
      <w:proofErr w:type="spellStart"/>
      <w:r w:rsidRPr="00E83F81">
        <w:rPr>
          <w:i/>
          <w:iCs/>
        </w:rPr>
        <w:t>Catarratto</w:t>
      </w:r>
      <w:proofErr w:type="spellEnd"/>
      <w:r w:rsidRPr="00E83F81">
        <w:t xml:space="preserve"> and </w:t>
      </w:r>
      <w:r w:rsidRPr="00E83F81">
        <w:rPr>
          <w:i/>
          <w:iCs/>
        </w:rPr>
        <w:t>Inzolia</w:t>
      </w:r>
      <w:r w:rsidRPr="00E83F81">
        <w:t xml:space="preserve"> Grapes (</w:t>
      </w:r>
      <w:r w:rsidRPr="00E83F81">
        <w:rPr>
          <w:i/>
          <w:iCs/>
        </w:rPr>
        <w:t xml:space="preserve">V. vinifera </w:t>
      </w:r>
      <w:r w:rsidRPr="00E83F81">
        <w:t>L.)</w:t>
      </w:r>
    </w:p>
    <w:p w14:paraId="56028494" w14:textId="0FA926F1" w:rsidR="00792550" w:rsidRDefault="000C3327" w:rsidP="000C3327">
      <w:pPr>
        <w:pStyle w:val="CETAuthors"/>
        <w:rPr>
          <w:vertAlign w:val="superscript"/>
          <w:lang w:val="it-IT"/>
        </w:rPr>
      </w:pPr>
      <w:r w:rsidRPr="000C3327">
        <w:rPr>
          <w:lang w:val="it-IT"/>
        </w:rPr>
        <w:t>Clara Vitaggio</w:t>
      </w:r>
      <w:r w:rsidRPr="000C3327">
        <w:rPr>
          <w:vertAlign w:val="superscript"/>
          <w:lang w:val="it-IT"/>
        </w:rPr>
        <w:t>a</w:t>
      </w:r>
      <w:r w:rsidRPr="000C3327">
        <w:rPr>
          <w:lang w:val="it-IT"/>
        </w:rPr>
        <w:t>, Matteo Pollon</w:t>
      </w:r>
      <w:r w:rsidRPr="000C3327">
        <w:rPr>
          <w:vertAlign w:val="superscript"/>
          <w:lang w:val="it-IT"/>
        </w:rPr>
        <w:t>a</w:t>
      </w:r>
      <w:r w:rsidR="00B86632">
        <w:rPr>
          <w:vertAlign w:val="superscript"/>
          <w:lang w:val="it-IT"/>
        </w:rPr>
        <w:t>*</w:t>
      </w:r>
      <w:r>
        <w:rPr>
          <w:lang w:val="it-IT"/>
        </w:rPr>
        <w:t xml:space="preserve">, </w:t>
      </w:r>
      <w:r w:rsidR="00792550" w:rsidRPr="00690B53">
        <w:rPr>
          <w:lang w:val="it-IT"/>
        </w:rPr>
        <w:t>Manuel</w:t>
      </w:r>
      <w:r w:rsidR="00792550" w:rsidRPr="00690B53">
        <w:rPr>
          <w:spacing w:val="-5"/>
          <w:lang w:val="it-IT"/>
        </w:rPr>
        <w:t xml:space="preserve"> </w:t>
      </w:r>
      <w:r w:rsidR="00792550" w:rsidRPr="00690B53">
        <w:rPr>
          <w:lang w:val="it-IT"/>
        </w:rPr>
        <w:t>Schnitter</w:t>
      </w:r>
      <w:r w:rsidR="00792550" w:rsidRPr="00690B53">
        <w:rPr>
          <w:vertAlign w:val="superscript"/>
          <w:lang w:val="it-IT"/>
        </w:rPr>
        <w:t xml:space="preserve">a, </w:t>
      </w:r>
      <w:r>
        <w:rPr>
          <w:lang w:val="it-IT"/>
        </w:rPr>
        <w:t>Valeria Guarrasi</w:t>
      </w:r>
      <w:r w:rsidR="00330DD5">
        <w:rPr>
          <w:vertAlign w:val="superscript"/>
          <w:lang w:val="it-IT"/>
        </w:rPr>
        <w:t>b</w:t>
      </w:r>
      <w:r>
        <w:rPr>
          <w:lang w:val="it-IT"/>
        </w:rPr>
        <w:t xml:space="preserve">, </w:t>
      </w:r>
      <w:r w:rsidR="00792550" w:rsidRPr="00690B53">
        <w:rPr>
          <w:lang w:val="it-IT"/>
        </w:rPr>
        <w:t>Luigi Picariello</w:t>
      </w:r>
      <w:r w:rsidR="00330DD5">
        <w:rPr>
          <w:vertAlign w:val="superscript"/>
          <w:lang w:val="it-IT"/>
        </w:rPr>
        <w:t>c</w:t>
      </w:r>
      <w:r w:rsidR="00792550" w:rsidRPr="00690B53">
        <w:rPr>
          <w:lang w:val="it-IT"/>
        </w:rPr>
        <w:t xml:space="preserve">, </w:t>
      </w:r>
      <w:r>
        <w:rPr>
          <w:lang w:val="it-IT"/>
        </w:rPr>
        <w:t>Diego Planeta</w:t>
      </w:r>
      <w:r w:rsidRPr="000C3327">
        <w:rPr>
          <w:vertAlign w:val="superscript"/>
          <w:lang w:val="it-IT"/>
        </w:rPr>
        <w:t>a</w:t>
      </w:r>
      <w:r>
        <w:rPr>
          <w:lang w:val="it-IT"/>
        </w:rPr>
        <w:t>, Angelita Gambuti</w:t>
      </w:r>
      <w:r w:rsidR="00330DD5">
        <w:rPr>
          <w:vertAlign w:val="superscript"/>
          <w:lang w:val="it-IT"/>
        </w:rPr>
        <w:t>c</w:t>
      </w:r>
      <w:r>
        <w:rPr>
          <w:lang w:val="it-IT"/>
        </w:rPr>
        <w:t xml:space="preserve">, </w:t>
      </w:r>
      <w:r w:rsidRPr="000C3327">
        <w:rPr>
          <w:lang w:val="it-IT"/>
        </w:rPr>
        <w:t>Luciano Cinquanta</w:t>
      </w:r>
      <w:r w:rsidRPr="000C3327">
        <w:rPr>
          <w:vertAlign w:val="superscript"/>
          <w:lang w:val="it-IT"/>
        </w:rPr>
        <w:t>a</w:t>
      </w:r>
      <w:r w:rsidRPr="000C3327">
        <w:rPr>
          <w:lang w:val="it-IT"/>
        </w:rPr>
        <w:t>, Onofrio Corona</w:t>
      </w:r>
      <w:r w:rsidRPr="000C3327">
        <w:rPr>
          <w:vertAlign w:val="superscript"/>
          <w:lang w:val="it-IT"/>
        </w:rPr>
        <w:t>a</w:t>
      </w:r>
    </w:p>
    <w:p w14:paraId="15C4CBE6" w14:textId="4C5ABDA8" w:rsidR="00533338" w:rsidRPr="00533338" w:rsidRDefault="000C3327" w:rsidP="00533338">
      <w:pPr>
        <w:pStyle w:val="CETemail"/>
        <w:spacing w:after="0" w:line="240" w:lineRule="auto"/>
      </w:pPr>
      <w:r w:rsidRPr="00B57B36">
        <w:rPr>
          <w:vertAlign w:val="superscript"/>
        </w:rPr>
        <w:t>a</w:t>
      </w:r>
      <w:r w:rsidR="00330DD5">
        <w:rPr>
          <w:vertAlign w:val="superscript"/>
        </w:rPr>
        <w:t xml:space="preserve"> </w:t>
      </w:r>
      <w:r>
        <w:t>Department of Agricultural, Food and Forest Sciences, University of Palermo, (Palermo), Viale delle Scienze 13, 90128 Palermo, Italy</w:t>
      </w:r>
    </w:p>
    <w:p w14:paraId="4470A19B" w14:textId="2E3D4955" w:rsidR="000C3327" w:rsidRDefault="000C3327" w:rsidP="00533338">
      <w:pPr>
        <w:pStyle w:val="CETemail"/>
        <w:spacing w:after="0" w:line="240" w:lineRule="auto"/>
      </w:pPr>
      <w:r w:rsidRPr="00B57B36">
        <w:rPr>
          <w:vertAlign w:val="superscript"/>
        </w:rPr>
        <w:t>b</w:t>
      </w:r>
      <w:r w:rsidR="00330DD5">
        <w:rPr>
          <w:vertAlign w:val="superscript"/>
        </w:rPr>
        <w:t xml:space="preserve"> </w:t>
      </w:r>
      <w:r w:rsidR="00330DD5">
        <w:t xml:space="preserve">Institute of Biophysics at Palermo, Italian National Research Council, Via U. La Malfa 153, 90146 Palermo, Italy </w:t>
      </w:r>
    </w:p>
    <w:p w14:paraId="4030B584" w14:textId="4B1D76EE" w:rsidR="00330DD5" w:rsidRDefault="000C3327" w:rsidP="00330DD5">
      <w:pPr>
        <w:pStyle w:val="CETemail"/>
        <w:spacing w:after="0" w:line="240" w:lineRule="auto"/>
      </w:pPr>
      <w:r w:rsidRPr="000C3327">
        <w:rPr>
          <w:vertAlign w:val="superscript"/>
        </w:rPr>
        <w:t>c</w:t>
      </w:r>
      <w:r w:rsidR="00330DD5">
        <w:rPr>
          <w:vertAlign w:val="superscript"/>
        </w:rPr>
        <w:t xml:space="preserve"> </w:t>
      </w:r>
      <w:r w:rsidR="00330DD5">
        <w:t>Department of Agricultural Sciences, University of Naples Federico II, Portici,Italy</w:t>
      </w:r>
    </w:p>
    <w:p w14:paraId="7742C2E2" w14:textId="23440251" w:rsidR="00330DD5" w:rsidRDefault="00B86632" w:rsidP="00330DD5">
      <w:pPr>
        <w:pStyle w:val="CETemail"/>
        <w:spacing w:after="0" w:line="240" w:lineRule="auto"/>
      </w:pPr>
      <w:r>
        <w:t>matteo.pollon</w:t>
      </w:r>
      <w:r w:rsidR="00330DD5">
        <w:t xml:space="preserve">@unipa.it </w:t>
      </w:r>
    </w:p>
    <w:p w14:paraId="6D9B202A" w14:textId="77777777" w:rsidR="00533338" w:rsidRPr="00533338" w:rsidRDefault="00533338" w:rsidP="00533338">
      <w:pPr>
        <w:pStyle w:val="CETBodytext"/>
        <w:rPr>
          <w:lang w:val="en-GB"/>
        </w:rPr>
      </w:pPr>
    </w:p>
    <w:p w14:paraId="53BF5C5B" w14:textId="6AC85BA4" w:rsidR="006E6498" w:rsidRPr="006E6498" w:rsidRDefault="00650082" w:rsidP="00650082">
      <w:pPr>
        <w:pStyle w:val="CETBodytext"/>
        <w:rPr>
          <w:rFonts w:cs="Arial"/>
        </w:rPr>
      </w:pPr>
      <w:r w:rsidRPr="00C75C2B">
        <w:rPr>
          <w:rFonts w:cs="Arial"/>
          <w:lang w:val="en-GB"/>
        </w:rPr>
        <w:t>Improving environmental sustainability in winemaking involves reducing the energy required for thermal control during alcoholic fermentation, while preserving the fruity character of wines. This study evaluated two white grape cultivars (</w:t>
      </w:r>
      <w:proofErr w:type="spellStart"/>
      <w:r w:rsidRPr="003325DA">
        <w:rPr>
          <w:rFonts w:cs="Arial"/>
          <w:i/>
          <w:iCs/>
          <w:lang w:val="en-GB"/>
        </w:rPr>
        <w:t>Catarratto</w:t>
      </w:r>
      <w:proofErr w:type="spellEnd"/>
      <w:r w:rsidRPr="00C75C2B">
        <w:rPr>
          <w:rFonts w:cs="Arial"/>
          <w:lang w:val="en-GB"/>
        </w:rPr>
        <w:t xml:space="preserve"> and </w:t>
      </w:r>
      <w:r w:rsidRPr="003325DA">
        <w:rPr>
          <w:rFonts w:cs="Arial"/>
          <w:i/>
          <w:iCs/>
          <w:lang w:val="en-GB"/>
        </w:rPr>
        <w:t>Inzolia</w:t>
      </w:r>
      <w:r w:rsidRPr="00C75C2B">
        <w:rPr>
          <w:rFonts w:cs="Arial"/>
          <w:lang w:val="en-GB"/>
        </w:rPr>
        <w:t xml:space="preserve">), fermented at two temperatures (15 °C and 20 °C) using two </w:t>
      </w:r>
      <w:r w:rsidRPr="006E6498">
        <w:rPr>
          <w:rFonts w:cs="Arial"/>
          <w:i/>
          <w:iCs/>
          <w:lang w:val="en-GB"/>
        </w:rPr>
        <w:t>Saccharomyces cerevisiae</w:t>
      </w:r>
      <w:r w:rsidRPr="00C75C2B">
        <w:rPr>
          <w:rFonts w:cs="Arial"/>
          <w:lang w:val="en-GB"/>
        </w:rPr>
        <w:t xml:space="preserve"> strains (</w:t>
      </w:r>
      <w:proofErr w:type="spellStart"/>
      <w:r w:rsidRPr="00C75C2B">
        <w:rPr>
          <w:rFonts w:cs="Arial"/>
          <w:lang w:val="en-GB"/>
        </w:rPr>
        <w:t>SafOeno</w:t>
      </w:r>
      <w:proofErr w:type="spellEnd"/>
      <w:r w:rsidRPr="00C75C2B">
        <w:rPr>
          <w:rFonts w:cs="Arial"/>
          <w:lang w:val="en-GB"/>
        </w:rPr>
        <w:t xml:space="preserve">™ SC22 and </w:t>
      </w:r>
      <w:proofErr w:type="spellStart"/>
      <w:r w:rsidRPr="00C75C2B">
        <w:rPr>
          <w:rFonts w:cs="Arial"/>
          <w:lang w:val="en-GB"/>
        </w:rPr>
        <w:t>SafOeno</w:t>
      </w:r>
      <w:proofErr w:type="spellEnd"/>
      <w:r w:rsidRPr="00C75C2B">
        <w:rPr>
          <w:rFonts w:cs="Arial"/>
          <w:lang w:val="en-GB"/>
        </w:rPr>
        <w:t>™ BC S103). Fermentation at 20 °C led to significantly faster sugar consumption, concluding 2.2 days earlier than fermentations at 15 °C. No major differences in fermentation kinetics were observed between the yeast strains. Volatile ester concentrations were generally higher at 15 °C, particularly with BC S103, although varietal effects were evident. Acetaldehyde levels were slightly higher at 20 °C (</w:t>
      </w:r>
      <w:r w:rsidR="006E6498">
        <w:rPr>
          <w:rFonts w:cs="Arial"/>
          <w:lang w:val="en-GB"/>
        </w:rPr>
        <w:t xml:space="preserve">below </w:t>
      </w:r>
      <w:r w:rsidRPr="00C75C2B">
        <w:rPr>
          <w:rFonts w:cs="Arial"/>
          <w:lang w:val="en-GB"/>
        </w:rPr>
        <w:t xml:space="preserve">10%), particularly with BC S103, while acetoin </w:t>
      </w:r>
      <w:r w:rsidR="0087762C">
        <w:rPr>
          <w:rFonts w:cs="Arial"/>
          <w:lang w:val="en-GB"/>
        </w:rPr>
        <w:t>was</w:t>
      </w:r>
      <w:r w:rsidRPr="00C75C2B">
        <w:rPr>
          <w:rFonts w:cs="Arial"/>
          <w:lang w:val="en-GB"/>
        </w:rPr>
        <w:t xml:space="preserve"> more abundant at 15 °C. However, all carbonyl compounds with potential odo</w:t>
      </w:r>
      <w:r w:rsidR="00180A9A">
        <w:rPr>
          <w:rFonts w:cs="Arial"/>
          <w:lang w:val="en-GB"/>
        </w:rPr>
        <w:t>u</w:t>
      </w:r>
      <w:r w:rsidRPr="00C75C2B">
        <w:rPr>
          <w:rFonts w:cs="Arial"/>
          <w:lang w:val="en-GB"/>
        </w:rPr>
        <w:t xml:space="preserve">r impact remained below sensory thresholds. Sensory analysis indicated that the choice of yeast strain had a greater influence on aroma than fermentation temperature, suggesting that fermenting at 20 °C does not compromise wine quality. </w:t>
      </w:r>
      <w:r w:rsidRPr="00C75C2B">
        <w:rPr>
          <w:rFonts w:cs="Arial"/>
        </w:rPr>
        <w:t xml:space="preserve">A cost analysis highlighted that fermentation at 20 °C significantly lowers production costs compared to 15 °C, mainly due to reduced energy and labor inputs. The </w:t>
      </w:r>
      <w:r w:rsidRPr="00E83F81">
        <w:rPr>
          <w:rFonts w:cs="Arial"/>
        </w:rPr>
        <w:t xml:space="preserve">lowest </w:t>
      </w:r>
      <w:r w:rsidR="00EF61CC" w:rsidRPr="00E83F81">
        <w:rPr>
          <w:rFonts w:cs="Arial"/>
        </w:rPr>
        <w:t xml:space="preserve">estimated </w:t>
      </w:r>
      <w:r w:rsidRPr="00E83F81">
        <w:rPr>
          <w:rFonts w:cs="Arial"/>
        </w:rPr>
        <w:t xml:space="preserve">cost </w:t>
      </w:r>
      <w:r w:rsidRPr="00C75C2B">
        <w:rPr>
          <w:rFonts w:cs="Arial"/>
        </w:rPr>
        <w:t>was observed for BC S103 at 20 °C (5.30 € hL</w:t>
      </w:r>
      <w:r w:rsidRPr="00C75C2B">
        <w:rPr>
          <w:rFonts w:ascii="Cambria Math" w:hAnsi="Cambria Math" w:cs="Cambria Math"/>
        </w:rPr>
        <w:t>⁻</w:t>
      </w:r>
      <w:r w:rsidRPr="00C75C2B">
        <w:rPr>
          <w:rFonts w:cs="Arial"/>
        </w:rPr>
        <w:t xml:space="preserve">¹), indicating that moderate fermentation temperatures combined with low-nutrient yeast strains offer a cost-effective and sustainable strategy for white wine production. </w:t>
      </w:r>
    </w:p>
    <w:p w14:paraId="476B2F2E" w14:textId="77777777" w:rsidR="00600535" w:rsidRPr="00B57B36" w:rsidRDefault="00600535" w:rsidP="00600535">
      <w:pPr>
        <w:pStyle w:val="CETHeading1"/>
        <w:rPr>
          <w:lang w:val="en-GB"/>
        </w:rPr>
      </w:pPr>
      <w:r w:rsidRPr="00B57B36">
        <w:rPr>
          <w:lang w:val="en-GB"/>
        </w:rPr>
        <w:t>Introduction</w:t>
      </w:r>
    </w:p>
    <w:p w14:paraId="2E4FF5B5" w14:textId="72497831" w:rsidR="003408E1" w:rsidRPr="00C75C2B" w:rsidRDefault="009416FC" w:rsidP="003408E1">
      <w:pPr>
        <w:pStyle w:val="paragraph"/>
        <w:jc w:val="both"/>
        <w:textAlignment w:val="baseline"/>
        <w:rPr>
          <w:rStyle w:val="eop"/>
          <w:rFonts w:ascii="Arial" w:hAnsi="Arial" w:cs="Arial"/>
          <w:sz w:val="18"/>
          <w:szCs w:val="18"/>
          <w:lang w:val="en-US"/>
        </w:rPr>
      </w:pPr>
      <w:r w:rsidRPr="00C75C2B">
        <w:rPr>
          <w:rStyle w:val="normaltextrun"/>
          <w:rFonts w:ascii="Arial" w:hAnsi="Arial" w:cs="Arial"/>
          <w:sz w:val="18"/>
          <w:szCs w:val="18"/>
          <w:lang w:val="en-US"/>
        </w:rPr>
        <w:t>Modern enolog</w:t>
      </w:r>
      <w:r w:rsidR="005F3445">
        <w:rPr>
          <w:rStyle w:val="normaltextrun"/>
          <w:rFonts w:ascii="Arial" w:hAnsi="Arial" w:cs="Arial"/>
          <w:sz w:val="18"/>
          <w:szCs w:val="18"/>
          <w:lang w:val="en-US"/>
        </w:rPr>
        <w:t>y</w:t>
      </w:r>
      <w:r w:rsidRPr="00C75C2B">
        <w:rPr>
          <w:rStyle w:val="normaltextrun"/>
          <w:rFonts w:ascii="Arial" w:hAnsi="Arial" w:cs="Arial"/>
          <w:sz w:val="18"/>
          <w:szCs w:val="18"/>
          <w:lang w:val="en-US"/>
        </w:rPr>
        <w:t xml:space="preserve"> must aim not only at the aspects of healthiness and sensorial quality but also to reduce the environmental impact of the processes as much as possible </w:t>
      </w:r>
      <w:r w:rsidR="00DB3A3F">
        <w:rPr>
          <w:rStyle w:val="normaltextrun"/>
          <w:rFonts w:ascii="Arial" w:hAnsi="Arial" w:cs="Arial"/>
          <w:sz w:val="18"/>
          <w:szCs w:val="18"/>
          <w:lang w:val="en-US"/>
        </w:rPr>
        <w:fldChar w:fldCharType="begin"/>
      </w:r>
      <w:r w:rsidR="00DB3A3F">
        <w:rPr>
          <w:rStyle w:val="normaltextrun"/>
          <w:rFonts w:ascii="Arial" w:hAnsi="Arial" w:cs="Arial"/>
          <w:sz w:val="18"/>
          <w:szCs w:val="18"/>
          <w:lang w:val="en-US"/>
        </w:rPr>
        <w:instrText xml:space="preserve"> ADDIN ZOTERO_ITEM CSL_CITATION {"citationID":"GX8bKQmR","properties":{"formattedCitation":"(Christ e Burritt 2013)","plainCitation":"(Christ e Burritt 2013)","noteIndex":0},"citationItems":[{"id":951,"uris":["http://zotero.org/users/local/fTTxJexU/items/5NN8B2U6"],"itemData":{"id":951,"type":"article-journal","abstract":"Despite the wine industry's reputation as being environmentally safe, prior research has shown the cultivation of wine grapes and production of wine to be associated with a large number of environmental concerns. The present study utilised an integrative literature review to investigate key areas of environmental concern currently faced by organisations in the global wine industry. Concerns discussed include water use and quality, the generation and management of organic and inorganic waste streams, energy use and the production of greenhouse gas emissions, chemical use, land use issues and the impact on ecosystems. The review reveals current practice within wine organisations to be largely unexplored and inadequate. Practice is characterised by a lack of the quantitative environmental data required if the industry is to bring about lasting environmental improvement to operational processes, products, and towards economically and environmentally improved performance.","container-title":"Journal of Cleaner Production","DOI":"10.1016/j.jclepro.2013.04.007","ISSN":"0959-6526","journalAbbreviation":"Journal of Cleaner Production","page":"232-242","source":"ScienceDirect","title":"Critical environmental concerns in wine production: an integrative review","title-short":"Critical environmental concerns in wine production","volume":"53","author":[{"family":"Christ","given":"Katherine L."},{"family":"Burritt","given":"Roger L."}],"issued":{"date-parts":[["2013",8,15]]}}}],"schema":"https://github.com/citation-style-language/schema/raw/master/csl-citation.json"} </w:instrText>
      </w:r>
      <w:r w:rsidR="00DB3A3F">
        <w:rPr>
          <w:rStyle w:val="normaltextrun"/>
          <w:rFonts w:ascii="Arial" w:hAnsi="Arial" w:cs="Arial"/>
          <w:sz w:val="18"/>
          <w:szCs w:val="18"/>
          <w:lang w:val="en-US"/>
        </w:rPr>
        <w:fldChar w:fldCharType="separate"/>
      </w:r>
      <w:r w:rsidR="00DB3A3F">
        <w:rPr>
          <w:rStyle w:val="normaltextrun"/>
          <w:rFonts w:ascii="Arial" w:hAnsi="Arial" w:cs="Arial"/>
          <w:noProof/>
          <w:sz w:val="18"/>
          <w:szCs w:val="18"/>
          <w:lang w:val="en-US"/>
        </w:rPr>
        <w:t>(Christ e Burritt 2013)</w:t>
      </w:r>
      <w:r w:rsidR="00DB3A3F">
        <w:rPr>
          <w:rStyle w:val="normaltextrun"/>
          <w:rFonts w:ascii="Arial" w:hAnsi="Arial" w:cs="Arial"/>
          <w:sz w:val="18"/>
          <w:szCs w:val="18"/>
          <w:lang w:val="en-US"/>
        </w:rPr>
        <w:fldChar w:fldCharType="end"/>
      </w:r>
      <w:r w:rsidR="00DB3A3F">
        <w:rPr>
          <w:rStyle w:val="normaltextrun"/>
          <w:rFonts w:ascii="Arial" w:hAnsi="Arial" w:cs="Arial"/>
          <w:sz w:val="18"/>
          <w:szCs w:val="18"/>
          <w:lang w:val="en-US"/>
        </w:rPr>
        <w:t xml:space="preserve">. </w:t>
      </w:r>
      <w:r w:rsidRPr="00C75C2B">
        <w:rPr>
          <w:rStyle w:val="normaltextrun"/>
          <w:rFonts w:ascii="Arial" w:hAnsi="Arial" w:cs="Arial"/>
          <w:sz w:val="18"/>
          <w:szCs w:val="18"/>
          <w:lang w:val="en-US"/>
        </w:rPr>
        <w:t>Must fermentation is an exergonic process: it is estimated that </w:t>
      </w:r>
      <w:r w:rsidRPr="00C75C2B">
        <w:rPr>
          <w:rStyle w:val="normaltextrun"/>
          <w:rFonts w:ascii="Arial" w:hAnsi="Arial" w:cs="Arial"/>
          <w:i/>
          <w:iCs/>
          <w:sz w:val="18"/>
          <w:szCs w:val="18"/>
          <w:lang w:val="en-US"/>
        </w:rPr>
        <w:t>S. cerevisiae</w:t>
      </w:r>
      <w:r w:rsidRPr="00C75C2B">
        <w:rPr>
          <w:rStyle w:val="normaltextrun"/>
          <w:rFonts w:ascii="Arial" w:hAnsi="Arial" w:cs="Arial"/>
          <w:sz w:val="18"/>
          <w:szCs w:val="18"/>
          <w:lang w:val="en-US"/>
        </w:rPr>
        <w:t> releases 101.2 kJ per mole of consumed hexose</w:t>
      </w:r>
      <w:r w:rsidR="00DB3A3F">
        <w:rPr>
          <w:rStyle w:val="normaltextrun"/>
          <w:rFonts w:ascii="Arial" w:hAnsi="Arial" w:cs="Arial"/>
          <w:sz w:val="18"/>
          <w:szCs w:val="18"/>
          <w:lang w:val="en-US"/>
        </w:rPr>
        <w:t xml:space="preserve"> </w:t>
      </w:r>
      <w:r w:rsidR="00DB3A3F">
        <w:rPr>
          <w:rStyle w:val="normaltextrun"/>
          <w:rFonts w:ascii="Arial" w:hAnsi="Arial" w:cs="Arial"/>
          <w:sz w:val="18"/>
          <w:szCs w:val="18"/>
          <w:lang w:val="en-US"/>
        </w:rPr>
        <w:fldChar w:fldCharType="begin"/>
      </w:r>
      <w:r w:rsidR="00DB3A3F">
        <w:rPr>
          <w:rStyle w:val="normaltextrun"/>
          <w:rFonts w:ascii="Arial" w:hAnsi="Arial" w:cs="Arial"/>
          <w:sz w:val="18"/>
          <w:szCs w:val="18"/>
          <w:lang w:val="en-US"/>
        </w:rPr>
        <w:instrText xml:space="preserve"> ADDIN ZOTERO_ITEM CSL_CITATION {"citationID":"n0sZ1Voj","properties":{"formattedCitation":"(Boulton et al. 1999)","plainCitation":"(Boulton et al. 1999)","noteIndex":0},"citationItems":[{"id":60,"uris":["http://zotero.org/users/local/fTTxJexU/items/9NB6KY9I"],"itemData":{"id":60,"type":"chapter","abstract":"The transformation of grape juice into wine is essentially a microbial process. As such, it is important for the enologist to have an understanding of yeast and fermentation biochemistry as the fundamental basis of the winemaking profession. The alcoholic fermentation, the conversion of the principal grape sugars glucose and fructose to ethanol and carbon dioxide, is conducted by yeasts of the genus Saccharomyces, generally by S. cerevisiae and S. bayanus. The current use of the old term bayanus for the yeast closely related to S. cerevisiae is controversial (see Section A3c); but we expect bayanus to become once more an accepted appellation (Vaughn-Martini and Kurtzman 1985).","container-title":"Principles and Practices of Winemaking","event-place":"Boston, MA","ISBN":"978-1-4757-6255-6","language":"en","note":"DOI: 10.1007/978-1-4757-6255-6_4","page":"102-192","publisher":"Springer US","publisher-place":"Boston, MA","source":"Springer Link","title":"Yeast and Biochemistry of Ethanol Fermentation","URL":"https://doi.org/10.1007/978-1-4757-6255-6_4","author":[{"family":"Boulton","given":"Roger B."},{"family":"Singleton","given":"Vernon L."},{"family":"Bisson","given":"Linda F."},{"family":"Kunkee","given":"Ralph E."}],"editor":[{"family":"Boulton","given":"Roger B."},{"family":"Singleton","given":"Vernon L."},{"family":"Bisson","given":"Linda F."},{"family":"Kunkee","given":"Ralph E."}],"accessed":{"date-parts":[["2024",9,27]]},"issued":{"date-parts":[["1999"]]}}}],"schema":"https://github.com/citation-style-language/schema/raw/master/csl-citation.json"} </w:instrText>
      </w:r>
      <w:r w:rsidR="00DB3A3F">
        <w:rPr>
          <w:rStyle w:val="normaltextrun"/>
          <w:rFonts w:ascii="Arial" w:hAnsi="Arial" w:cs="Arial"/>
          <w:sz w:val="18"/>
          <w:szCs w:val="18"/>
          <w:lang w:val="en-US"/>
        </w:rPr>
        <w:fldChar w:fldCharType="separate"/>
      </w:r>
      <w:r w:rsidR="00DB3A3F">
        <w:rPr>
          <w:rStyle w:val="normaltextrun"/>
          <w:rFonts w:ascii="Arial" w:hAnsi="Arial" w:cs="Arial"/>
          <w:noProof/>
          <w:sz w:val="18"/>
          <w:szCs w:val="18"/>
          <w:lang w:val="en-US"/>
        </w:rPr>
        <w:t>(Boulton et al. 1999)</w:t>
      </w:r>
      <w:r w:rsidR="00DB3A3F">
        <w:rPr>
          <w:rStyle w:val="normaltextrun"/>
          <w:rFonts w:ascii="Arial" w:hAnsi="Arial" w:cs="Arial"/>
          <w:sz w:val="18"/>
          <w:szCs w:val="18"/>
          <w:lang w:val="en-US"/>
        </w:rPr>
        <w:fldChar w:fldCharType="end"/>
      </w:r>
      <w:r w:rsidR="00DB3A3F">
        <w:rPr>
          <w:rStyle w:val="normaltextrun"/>
          <w:rFonts w:ascii="Arial" w:hAnsi="Arial" w:cs="Arial"/>
          <w:sz w:val="18"/>
          <w:szCs w:val="18"/>
          <w:lang w:val="en-US"/>
        </w:rPr>
        <w:t xml:space="preserve">. </w:t>
      </w:r>
      <w:r w:rsidRPr="00C75C2B">
        <w:rPr>
          <w:rStyle w:val="normaltextrun"/>
          <w:rFonts w:ascii="Arial" w:hAnsi="Arial" w:cs="Arial"/>
          <w:sz w:val="18"/>
          <w:szCs w:val="18"/>
          <w:lang w:val="en-US"/>
        </w:rPr>
        <w:t xml:space="preserve">If this energy is not fully exchanged with the external environment it causes an increase in the must's temperature with significant consequences on both the kinetics of fermentation and the chemical composition of </w:t>
      </w:r>
      <w:r w:rsidRPr="00E83F81">
        <w:rPr>
          <w:rStyle w:val="normaltextrun"/>
          <w:rFonts w:ascii="Arial" w:hAnsi="Arial" w:cs="Arial"/>
          <w:sz w:val="18"/>
          <w:szCs w:val="18"/>
          <w:lang w:val="en-US"/>
        </w:rPr>
        <w:t>the</w:t>
      </w:r>
      <w:r w:rsidR="00EF61CC" w:rsidRPr="00E83F81">
        <w:rPr>
          <w:rStyle w:val="normaltextrun"/>
          <w:rFonts w:ascii="Arial" w:hAnsi="Arial" w:cs="Arial"/>
          <w:sz w:val="18"/>
          <w:szCs w:val="18"/>
          <w:lang w:val="en-US"/>
        </w:rPr>
        <w:t xml:space="preserve"> white</w:t>
      </w:r>
      <w:r w:rsidRPr="00E83F81">
        <w:rPr>
          <w:rStyle w:val="normaltextrun"/>
          <w:rFonts w:ascii="Arial" w:hAnsi="Arial" w:cs="Arial"/>
          <w:sz w:val="18"/>
          <w:szCs w:val="18"/>
          <w:lang w:val="en-US"/>
        </w:rPr>
        <w:t xml:space="preserve"> wines. Particularly, higher fermentation temperatures yield wines with lower ratio between fermentative esters and fusel alcohols compared</w:t>
      </w:r>
      <w:r w:rsidR="003325DA" w:rsidRPr="00E83F81">
        <w:rPr>
          <w:rStyle w:val="normaltextrun"/>
          <w:rFonts w:ascii="Arial" w:hAnsi="Arial" w:cs="Arial"/>
          <w:sz w:val="18"/>
          <w:szCs w:val="18"/>
          <w:lang w:val="en-US"/>
        </w:rPr>
        <w:t xml:space="preserve"> </w:t>
      </w:r>
      <w:r w:rsidRPr="00E83F81">
        <w:rPr>
          <w:rStyle w:val="normaltextrun"/>
          <w:rFonts w:ascii="Arial" w:hAnsi="Arial" w:cs="Arial"/>
          <w:sz w:val="18"/>
          <w:szCs w:val="18"/>
          <w:lang w:val="en-US"/>
        </w:rPr>
        <w:t>to minor temperatures, with a possible fruity note alteration </w:t>
      </w:r>
      <w:r w:rsidR="00DB3A3F" w:rsidRPr="00E83F81">
        <w:rPr>
          <w:rStyle w:val="normaltextrun"/>
          <w:rFonts w:ascii="Arial" w:hAnsi="Arial" w:cs="Arial"/>
          <w:sz w:val="18"/>
          <w:szCs w:val="18"/>
          <w:lang w:val="en-US"/>
        </w:rPr>
        <w:fldChar w:fldCharType="begin"/>
      </w:r>
      <w:r w:rsidR="00DB3A3F" w:rsidRPr="00E83F81">
        <w:rPr>
          <w:rStyle w:val="normaltextrun"/>
          <w:rFonts w:ascii="Arial" w:hAnsi="Arial" w:cs="Arial"/>
          <w:sz w:val="18"/>
          <w:szCs w:val="18"/>
          <w:lang w:val="en-US"/>
        </w:rPr>
        <w:instrText xml:space="preserve"> ADDIN ZOTERO_ITEM CSL_CITATION {"citationID":"UEY4kPEE","properties":{"formattedCitation":"(Mouret et al. 2014)","plainCitation":"(Mouret et al. 2014)","noteIndex":0},"citationItems":[{"id":953,"uris":["http://zotero.org/users/local/fTTxJexU/items/8E7I364U"],"itemData":{"id":953,"type":"article-journal","abstract":"The impact of temperature and assimilable nitrogen on synthesis of the principal fermentative aromas by yeasts was evaluated with an online GC system. Kinetic parameters and gas–liquid balances were precisely calculated, making it possible to differentiate between the biological and physical consequences of temperature shifts. The lower liquid concentrations of esters at high temperature resulted mostly from large losses by evaporation, with only limited changes in yeast metabolism. Nitrogen availability was the main fermentation parameter affecting the kinetics of higher alcohol and ester synthesis, but the magnitude of this effect depended on temperature. The production of fermentative aromas was closely linked to central carbon metabolism, except for propanol. Indeed, two successive linear production phases (with yields dependent on initial nitrogen content and temperature) were obtained when volatile compound synthesis was plotted against sugar consumption. Overall and specific rates of isobutanol and isoamyl alcohol production were affected differently by nitrogen and temperature, indicating major differences in the regulation of synthesis for these two compounds, despite their partially shared metabolic pathways. Finally, propanol was produced exclusively during the nitrogen consumption phase, and the amount produced increased with initial nitrogen concentration. This compound was, therefore, identified as a quantitative, metabolic marker of the availability of intracellular nitrogen.","container-title":"Food Research International","DOI":"10.1016/j.foodres.2014.02.044","ISSN":"0963-9969","journalAbbreviation":"Food Research International","page":"1-10","source":"ScienceDirect","title":"Kinetic analysis and gas–liquid balances of the production of fermentative aromas during winemaking fermentations: Effect of assimilable nitrogen and temperature","title-short":"Kinetic analysis and gas–liquid balances of the production of fermentative aromas during winemaking fermentations","volume":"62","author":[{"family":"Mouret","given":"J. R."},{"family":"Camarasa","given":"C."},{"family":"Angenieux","given":"M."},{"family":"Aguera","given":"E."},{"family":"Perez","given":"M."},{"family":"Farines","given":"V."},{"family":"Sablayrolles","given":"J. M."}],"issued":{"date-parts":[["2014",8,1]]}}}],"schema":"https://github.com/citation-style-language/schema/raw/master/csl-citation.json"} </w:instrText>
      </w:r>
      <w:r w:rsidR="00DB3A3F" w:rsidRPr="00E83F81">
        <w:rPr>
          <w:rStyle w:val="normaltextrun"/>
          <w:rFonts w:ascii="Arial" w:hAnsi="Arial" w:cs="Arial"/>
          <w:sz w:val="18"/>
          <w:szCs w:val="18"/>
          <w:lang w:val="en-US"/>
        </w:rPr>
        <w:fldChar w:fldCharType="separate"/>
      </w:r>
      <w:r w:rsidR="00DB3A3F" w:rsidRPr="00E83F81">
        <w:rPr>
          <w:rStyle w:val="normaltextrun"/>
          <w:rFonts w:ascii="Arial" w:hAnsi="Arial" w:cs="Arial"/>
          <w:noProof/>
          <w:sz w:val="18"/>
          <w:szCs w:val="18"/>
          <w:lang w:val="en-US"/>
        </w:rPr>
        <w:t>(</w:t>
      </w:r>
      <w:r w:rsidR="00180A9A" w:rsidRPr="00180A9A">
        <w:rPr>
          <w:rStyle w:val="normaltextrun"/>
          <w:rFonts w:ascii="Arial" w:hAnsi="Arial" w:cs="Arial"/>
          <w:noProof/>
          <w:sz w:val="18"/>
          <w:szCs w:val="18"/>
          <w:lang w:val="en-US"/>
        </w:rPr>
        <w:t>Pollon et al.</w:t>
      </w:r>
      <w:r w:rsidR="00180A9A">
        <w:rPr>
          <w:rStyle w:val="normaltextrun"/>
          <w:rFonts w:ascii="Arial" w:hAnsi="Arial" w:cs="Arial"/>
          <w:noProof/>
          <w:sz w:val="18"/>
          <w:szCs w:val="18"/>
          <w:lang w:val="en-US"/>
        </w:rPr>
        <w:t xml:space="preserve"> </w:t>
      </w:r>
      <w:r w:rsidR="00180A9A" w:rsidRPr="00180A9A">
        <w:rPr>
          <w:rStyle w:val="normaltextrun"/>
          <w:rFonts w:ascii="Arial" w:hAnsi="Arial" w:cs="Arial"/>
          <w:noProof/>
          <w:sz w:val="18"/>
          <w:szCs w:val="18"/>
          <w:lang w:val="en-US"/>
        </w:rPr>
        <w:t>2025)</w:t>
      </w:r>
      <w:r w:rsidR="00DB3A3F" w:rsidRPr="00E83F81">
        <w:rPr>
          <w:rStyle w:val="normaltextrun"/>
          <w:rFonts w:ascii="Arial" w:hAnsi="Arial" w:cs="Arial"/>
          <w:sz w:val="18"/>
          <w:szCs w:val="18"/>
          <w:lang w:val="en-US"/>
        </w:rPr>
        <w:fldChar w:fldCharType="end"/>
      </w:r>
      <w:r w:rsidRPr="00C75C2B">
        <w:rPr>
          <w:rStyle w:val="normaltextrun"/>
          <w:rFonts w:ascii="Arial" w:hAnsi="Arial" w:cs="Arial"/>
          <w:sz w:val="18"/>
          <w:szCs w:val="18"/>
          <w:lang w:val="en-US"/>
        </w:rPr>
        <w:t>. However, the accumulation of fermentative esters and fusel alcohols in wines also depends on other variables such as yeast strain, nitrogen profile and amount in the grape juice, turbidity of the musts, and the concentration of fatty acids in the must itself (strongly dependent on the quantity of suspended solids in the musts</w:t>
      </w:r>
      <w:r w:rsidR="00DB3A3F">
        <w:rPr>
          <w:rStyle w:val="normaltextrun"/>
          <w:rFonts w:ascii="Arial" w:hAnsi="Arial" w:cs="Arial"/>
          <w:sz w:val="18"/>
          <w:szCs w:val="18"/>
          <w:lang w:val="en-US"/>
        </w:rPr>
        <w:t>)</w:t>
      </w:r>
      <w:r w:rsidRPr="00C75C2B">
        <w:rPr>
          <w:rStyle w:val="normaltextrun"/>
          <w:rFonts w:ascii="Arial" w:hAnsi="Arial" w:cs="Arial"/>
          <w:sz w:val="18"/>
          <w:szCs w:val="18"/>
          <w:lang w:val="en-US"/>
        </w:rPr>
        <w:t xml:space="preserve"> </w:t>
      </w:r>
      <w:r w:rsidR="00DB3A3F">
        <w:rPr>
          <w:rStyle w:val="normaltextrun"/>
          <w:rFonts w:ascii="Arial" w:hAnsi="Arial" w:cs="Arial"/>
          <w:sz w:val="18"/>
          <w:szCs w:val="18"/>
          <w:lang w:val="en-US"/>
        </w:rPr>
        <w:fldChar w:fldCharType="begin"/>
      </w:r>
      <w:r w:rsidR="0024734B">
        <w:rPr>
          <w:rStyle w:val="normaltextrun"/>
          <w:rFonts w:ascii="Arial" w:hAnsi="Arial" w:cs="Arial"/>
          <w:sz w:val="18"/>
          <w:szCs w:val="18"/>
          <w:lang w:val="en-US"/>
        </w:rPr>
        <w:instrText xml:space="preserve"> ADDIN ZOTERO_ITEM CSL_CITATION {"citationID":"MdTYrrJI","properties":{"formattedCitation":"(Guittin et al. 2021)","plainCitation":"(Guittin et al. 2021)","dontUpdate":true,"noteIndex":0},"citationItems":[{"id":54,"uris":["http://zotero.org/users/local/fTTxJexU/items/MZBR7QTN"],"itemData":{"id":54,"type":"article-journal","abstract":"In Cognac, the musts are rich in grape solids and fermentations are usually run with turbidities ranging between 500 and 1500 NTU (nephelometric turbidity unit). These conditions, considered favourable for generating the desired organoleptic profiles of the final Eaux-de-vies, are unusual in winemaking, and, consequently, their impact on yeast metabolism is poorly understood. This study aims to better describe and understand the synthesis of fermentative aromas in such lipid-excess conditions, while integrating the effect of two other very important parameters: the initial concentration of assimilable nitrogen and the temperature of fermentation. To reach this objective, a Box–Behnken design was implemented to describe and model the simple effects of these factors as well as their interactions. Although the lipid concentration was very high, impacts on the production of fermentative aromas were observed. Indeed, high lipid levels promoted the synthesis of higher alcohols. Observing this effect was surprising because there is no metabolic connection between the anabolic pathways of production of these alcohols and the lipid pathway. This effect may be partly explained by impairment in the activity of alcohol acetyl transferases in the presence of lipids, which catalyse the conversion of higher alcohols into the corresponding esters. Therefore, in this study, the negative impact of turbidity was very significant on acetate esters related to the production of acetyl-CoA, which was the main molecule disturbed by the strong presence of lipids. Finally, and more surprisingly, lipid intake did not impact the synthesis of ethyl esters, which depended on the concentration of exogenous lipids.","container-title":"Applied Microbiology and Biotechnology","DOI":"10.1007/s00253-021-11479-5","ISSN":"1432-0614","issue":"16","journalAbbreviation":"Appl Microbiol Biotechnol","language":"en","page":"6435-6449","source":"Springer Link","title":"Impact of high lipid contents on the production of fermentative aromas during white wine fermentation","volume":"105","author":[{"family":"Guittin","given":"Charlie"},{"family":"Maçna","given":"Faïza"},{"family":"Sanchez","given":"Isabelle"},{"family":"Poitou","given":"Xavier"},{"family":"Sablayrolles","given":"Jean-Marie"},{"family":"Mouret","given":"Jean-Roch"},{"family":"Farines","given":"Vincent"}],"issued":{"date-parts":[["2021",8,1]]}}}],"schema":"https://github.com/citation-style-language/schema/raw/master/csl-citation.json"} </w:instrText>
      </w:r>
      <w:r w:rsidR="00DB3A3F">
        <w:rPr>
          <w:rStyle w:val="normaltextrun"/>
          <w:rFonts w:ascii="Arial" w:hAnsi="Arial" w:cs="Arial"/>
          <w:sz w:val="18"/>
          <w:szCs w:val="18"/>
          <w:lang w:val="en-US"/>
        </w:rPr>
        <w:fldChar w:fldCharType="separate"/>
      </w:r>
      <w:r w:rsidR="005C4E5C" w:rsidRPr="00690B53">
        <w:rPr>
          <w:rStyle w:val="normaltextrun"/>
          <w:rFonts w:ascii="Arial" w:hAnsi="Arial" w:cs="Arial"/>
          <w:noProof/>
          <w:sz w:val="18"/>
          <w:szCs w:val="18"/>
          <w:lang w:val="en-CA"/>
        </w:rPr>
        <w:t>(Guittin et al. 2021</w:t>
      </w:r>
      <w:r w:rsidR="00DB3A3F">
        <w:rPr>
          <w:rStyle w:val="normaltextrun"/>
          <w:rFonts w:ascii="Arial" w:hAnsi="Arial" w:cs="Arial"/>
          <w:sz w:val="18"/>
          <w:szCs w:val="18"/>
          <w:lang w:val="en-US"/>
        </w:rPr>
        <w:fldChar w:fldCharType="end"/>
      </w:r>
      <w:r w:rsidR="00DB3A3F">
        <w:rPr>
          <w:rStyle w:val="normaltextrun"/>
          <w:rFonts w:ascii="Arial" w:hAnsi="Arial" w:cs="Arial"/>
          <w:sz w:val="18"/>
          <w:szCs w:val="18"/>
          <w:lang w:val="en-US"/>
        </w:rPr>
        <w:t>;</w:t>
      </w:r>
      <w:r w:rsidR="00DB3A3F" w:rsidRPr="00690B53">
        <w:rPr>
          <w:rStyle w:val="normaltextrun"/>
          <w:rFonts w:ascii="Arial" w:hAnsi="Arial" w:cs="Arial"/>
          <w:sz w:val="18"/>
          <w:szCs w:val="18"/>
          <w:lang w:val="en-CA"/>
        </w:rPr>
        <w:t xml:space="preserve"> </w:t>
      </w:r>
      <w:r w:rsidR="00DB3A3F">
        <w:rPr>
          <w:rStyle w:val="normaltextrun"/>
          <w:rFonts w:ascii="Arial" w:hAnsi="Arial" w:cs="Arial"/>
          <w:sz w:val="18"/>
          <w:szCs w:val="18"/>
          <w:lang w:val="en-US"/>
        </w:rPr>
        <w:fldChar w:fldCharType="begin"/>
      </w:r>
      <w:r w:rsidR="0024734B" w:rsidRPr="00690B53">
        <w:rPr>
          <w:rStyle w:val="normaltextrun"/>
          <w:rFonts w:ascii="Arial" w:hAnsi="Arial" w:cs="Arial"/>
          <w:sz w:val="18"/>
          <w:szCs w:val="18"/>
          <w:lang w:val="en-CA"/>
        </w:rPr>
        <w:instrText xml:space="preserve"> ADDIN ZOTERO_ITEM CSL_CITATION {"citationID":"9XNv2qYF","properties":{"formattedCitation":"(Nicolini et al., s.d.)","plainCitation":"(Nicolini et al., s.d.)","dontUpdate":true,"noteIndex":0},"citationItems":[{"id":957,"uris":["http://zotero.org/users/local/fTTxJexU/items/JX343IP8"],"itemData":{"id":957,"type":"article-journal","language":"en","source":"Zotero","title":"Effect of juice turbidity on fermentative volatile compounds in white wines","author":[{"family":"Nicolini","given":"G"},{"family":"Moser","given":"S"},{"family":"Román","given":"T"},{"family":"Mazzi","given":"E"},{"family":"Larcher","given":"R"}]}}],"schema":"https://github.com/citation-style-language/schema/raw/master/csl-citation.json"} </w:instrText>
      </w:r>
      <w:r w:rsidR="00DB3A3F">
        <w:rPr>
          <w:rStyle w:val="normaltextrun"/>
          <w:rFonts w:ascii="Arial" w:hAnsi="Arial" w:cs="Arial"/>
          <w:sz w:val="18"/>
          <w:szCs w:val="18"/>
          <w:lang w:val="en-US"/>
        </w:rPr>
        <w:fldChar w:fldCharType="separate"/>
      </w:r>
      <w:r w:rsidR="005C4E5C" w:rsidRPr="00690B53">
        <w:rPr>
          <w:rStyle w:val="normaltextrun"/>
          <w:rFonts w:ascii="Arial" w:hAnsi="Arial" w:cs="Arial"/>
          <w:noProof/>
          <w:sz w:val="18"/>
          <w:szCs w:val="18"/>
          <w:lang w:val="en-CA"/>
        </w:rPr>
        <w:t>Nicolini et al., 2011)</w:t>
      </w:r>
      <w:r w:rsidR="00DB3A3F">
        <w:rPr>
          <w:rStyle w:val="normaltextrun"/>
          <w:rFonts w:ascii="Arial" w:hAnsi="Arial" w:cs="Arial"/>
          <w:sz w:val="18"/>
          <w:szCs w:val="18"/>
          <w:lang w:val="en-US"/>
        </w:rPr>
        <w:fldChar w:fldCharType="end"/>
      </w:r>
      <w:r w:rsidRPr="00690B53">
        <w:rPr>
          <w:rStyle w:val="normaltextrun"/>
          <w:rFonts w:ascii="Arial" w:hAnsi="Arial" w:cs="Arial"/>
          <w:sz w:val="18"/>
          <w:szCs w:val="18"/>
          <w:lang w:val="en-CA"/>
        </w:rPr>
        <w:t>.</w:t>
      </w:r>
      <w:r w:rsidRPr="00690B53">
        <w:rPr>
          <w:rStyle w:val="eop"/>
          <w:rFonts w:ascii="Arial" w:hAnsi="Arial" w:cs="Arial"/>
          <w:sz w:val="18"/>
          <w:szCs w:val="18"/>
          <w:lang w:val="en-CA"/>
        </w:rPr>
        <w:t> </w:t>
      </w:r>
      <w:r w:rsidRPr="00C75C2B">
        <w:rPr>
          <w:rStyle w:val="normaltextrun"/>
          <w:rFonts w:ascii="Arial" w:hAnsi="Arial" w:cs="Arial"/>
          <w:sz w:val="18"/>
          <w:szCs w:val="18"/>
          <w:lang w:val="en-US"/>
        </w:rPr>
        <w:t xml:space="preserve">The study conducted tested the possibility of limiting the amount of refrigeration for temperature control in the process of wine fermentation in white wines produced in Sicily (Italy), while preserving their fruity aroma. Two grape </w:t>
      </w:r>
      <w:r w:rsidR="0087762C">
        <w:rPr>
          <w:rStyle w:val="normaltextrun"/>
          <w:rFonts w:ascii="Arial" w:hAnsi="Arial" w:cs="Arial"/>
          <w:sz w:val="18"/>
          <w:szCs w:val="18"/>
          <w:lang w:val="en-US"/>
        </w:rPr>
        <w:t>varieties</w:t>
      </w:r>
      <w:r w:rsidRPr="00C75C2B">
        <w:rPr>
          <w:rStyle w:val="normaltextrun"/>
          <w:rFonts w:ascii="Arial" w:hAnsi="Arial" w:cs="Arial"/>
          <w:sz w:val="18"/>
          <w:szCs w:val="18"/>
          <w:lang w:val="en-US"/>
        </w:rPr>
        <w:t xml:space="preserve"> were used: </w:t>
      </w:r>
      <w:proofErr w:type="spellStart"/>
      <w:r w:rsidRPr="00C75C2B">
        <w:rPr>
          <w:rStyle w:val="normaltextrun"/>
          <w:rFonts w:ascii="Arial" w:hAnsi="Arial" w:cs="Arial"/>
          <w:i/>
          <w:iCs/>
          <w:sz w:val="18"/>
          <w:szCs w:val="18"/>
          <w:lang w:val="en-US"/>
        </w:rPr>
        <w:t>Catarratto</w:t>
      </w:r>
      <w:proofErr w:type="spellEnd"/>
      <w:r w:rsidRPr="00C75C2B">
        <w:rPr>
          <w:rStyle w:val="normaltextrun"/>
          <w:rFonts w:ascii="Arial" w:hAnsi="Arial" w:cs="Arial"/>
          <w:sz w:val="18"/>
          <w:szCs w:val="18"/>
          <w:lang w:val="en-US"/>
        </w:rPr>
        <w:t> and </w:t>
      </w:r>
      <w:r w:rsidRPr="00C75C2B">
        <w:rPr>
          <w:rStyle w:val="normaltextrun"/>
          <w:rFonts w:ascii="Arial" w:hAnsi="Arial" w:cs="Arial"/>
          <w:i/>
          <w:iCs/>
          <w:sz w:val="18"/>
          <w:szCs w:val="18"/>
          <w:lang w:val="en-US"/>
        </w:rPr>
        <w:t>Inzolia</w:t>
      </w:r>
      <w:r w:rsidRPr="00C75C2B">
        <w:rPr>
          <w:rStyle w:val="normaltextrun"/>
          <w:rFonts w:ascii="Arial" w:hAnsi="Arial" w:cs="Arial"/>
          <w:sz w:val="18"/>
          <w:szCs w:val="18"/>
          <w:lang w:val="en-US"/>
        </w:rPr>
        <w:t>, fermented with two different strains of </w:t>
      </w:r>
      <w:r w:rsidRPr="00C75C2B">
        <w:rPr>
          <w:rStyle w:val="normaltextrun"/>
          <w:rFonts w:ascii="Arial" w:hAnsi="Arial" w:cs="Arial"/>
          <w:i/>
          <w:iCs/>
          <w:sz w:val="18"/>
          <w:szCs w:val="18"/>
          <w:lang w:val="en-US"/>
        </w:rPr>
        <w:t>S. cerevisiae</w:t>
      </w:r>
      <w:r w:rsidRPr="00C75C2B">
        <w:rPr>
          <w:rStyle w:val="normaltextrun"/>
          <w:rFonts w:ascii="Arial" w:hAnsi="Arial" w:cs="Arial"/>
          <w:sz w:val="18"/>
          <w:szCs w:val="18"/>
          <w:lang w:val="en-US"/>
        </w:rPr>
        <w:t xml:space="preserve"> </w:t>
      </w:r>
      <w:r w:rsidR="0087762C" w:rsidRPr="0087762C">
        <w:rPr>
          <w:rStyle w:val="normaltextrun"/>
          <w:rFonts w:ascii="Arial" w:hAnsi="Arial" w:cs="Arial"/>
          <w:sz w:val="18"/>
          <w:szCs w:val="18"/>
          <w:lang w:val="en-US"/>
        </w:rPr>
        <w:t>(</w:t>
      </w:r>
      <w:proofErr w:type="spellStart"/>
      <w:r w:rsidR="0087762C" w:rsidRPr="0087762C">
        <w:rPr>
          <w:rStyle w:val="normaltextrun"/>
          <w:rFonts w:ascii="Arial" w:hAnsi="Arial" w:cs="Arial"/>
          <w:sz w:val="18"/>
          <w:szCs w:val="18"/>
          <w:lang w:val="en-US"/>
        </w:rPr>
        <w:t>SafOeno</w:t>
      </w:r>
      <w:proofErr w:type="spellEnd"/>
      <w:r w:rsidR="0087762C" w:rsidRPr="0087762C">
        <w:rPr>
          <w:rStyle w:val="normaltextrun"/>
          <w:rFonts w:ascii="Arial" w:hAnsi="Arial" w:cs="Arial"/>
          <w:sz w:val="18"/>
          <w:szCs w:val="18"/>
          <w:lang w:val="en-US"/>
        </w:rPr>
        <w:t xml:space="preserve">™ BC S103 and </w:t>
      </w:r>
      <w:proofErr w:type="spellStart"/>
      <w:r w:rsidR="0087762C" w:rsidRPr="0087762C">
        <w:rPr>
          <w:rStyle w:val="normaltextrun"/>
          <w:rFonts w:ascii="Arial" w:hAnsi="Arial" w:cs="Arial"/>
          <w:sz w:val="18"/>
          <w:szCs w:val="18"/>
          <w:lang w:val="en-US"/>
        </w:rPr>
        <w:t>SafOeno</w:t>
      </w:r>
      <w:proofErr w:type="spellEnd"/>
      <w:r w:rsidR="0087762C" w:rsidRPr="0087762C">
        <w:rPr>
          <w:rStyle w:val="normaltextrun"/>
          <w:rFonts w:ascii="Arial" w:hAnsi="Arial" w:cs="Arial"/>
          <w:sz w:val="18"/>
          <w:szCs w:val="18"/>
          <w:lang w:val="en-US"/>
        </w:rPr>
        <w:t xml:space="preserve">™ SC 22) </w:t>
      </w:r>
      <w:r w:rsidRPr="00C75C2B">
        <w:rPr>
          <w:rStyle w:val="normaltextrun"/>
          <w:rFonts w:ascii="Arial" w:hAnsi="Arial" w:cs="Arial"/>
          <w:sz w:val="18"/>
          <w:szCs w:val="18"/>
          <w:lang w:val="en-US"/>
        </w:rPr>
        <w:t>at two different temperatures</w:t>
      </w:r>
      <w:r w:rsidR="0087762C">
        <w:rPr>
          <w:rStyle w:val="normaltextrun"/>
          <w:rFonts w:ascii="Arial" w:hAnsi="Arial" w:cs="Arial"/>
          <w:sz w:val="18"/>
          <w:szCs w:val="18"/>
          <w:lang w:val="en-US"/>
        </w:rPr>
        <w:t xml:space="preserve"> (</w:t>
      </w:r>
      <w:r w:rsidRPr="00C75C2B">
        <w:rPr>
          <w:rStyle w:val="normaltextrun"/>
          <w:rFonts w:ascii="Arial" w:hAnsi="Arial" w:cs="Arial"/>
          <w:sz w:val="18"/>
          <w:szCs w:val="18"/>
          <w:lang w:val="en-US"/>
        </w:rPr>
        <w:t>15 and 20 °C</w:t>
      </w:r>
      <w:r w:rsidR="0087762C">
        <w:rPr>
          <w:rStyle w:val="normaltextrun"/>
          <w:rFonts w:ascii="Arial" w:hAnsi="Arial" w:cs="Arial"/>
          <w:sz w:val="18"/>
          <w:szCs w:val="18"/>
          <w:lang w:val="en-US"/>
        </w:rPr>
        <w:t>)</w:t>
      </w:r>
      <w:r w:rsidRPr="00C75C2B">
        <w:rPr>
          <w:rStyle w:val="normaltextrun"/>
          <w:rFonts w:ascii="Arial" w:hAnsi="Arial" w:cs="Arial"/>
          <w:sz w:val="18"/>
          <w:szCs w:val="18"/>
          <w:lang w:val="en-US"/>
        </w:rPr>
        <w:t>.</w:t>
      </w:r>
      <w:r w:rsidRPr="00C75C2B">
        <w:rPr>
          <w:rStyle w:val="eop"/>
          <w:rFonts w:ascii="Arial" w:hAnsi="Arial" w:cs="Arial"/>
          <w:sz w:val="18"/>
          <w:szCs w:val="18"/>
          <w:lang w:val="en-US"/>
        </w:rPr>
        <w:t xml:space="preserve"> </w:t>
      </w:r>
      <w:r w:rsidR="00E43F13">
        <w:rPr>
          <w:rStyle w:val="eop"/>
          <w:rFonts w:ascii="Arial" w:hAnsi="Arial" w:cs="Arial"/>
          <w:sz w:val="18"/>
          <w:szCs w:val="18"/>
          <w:lang w:val="en-US"/>
        </w:rPr>
        <w:t>For this reason, t</w:t>
      </w:r>
      <w:r w:rsidR="0087762C">
        <w:rPr>
          <w:rStyle w:val="eop"/>
          <w:rFonts w:ascii="Arial" w:hAnsi="Arial" w:cs="Arial"/>
          <w:sz w:val="18"/>
          <w:szCs w:val="18"/>
          <w:lang w:val="en-US"/>
        </w:rPr>
        <w:t>he</w:t>
      </w:r>
      <w:r w:rsidR="00E43F13">
        <w:rPr>
          <w:rStyle w:val="eop"/>
          <w:rFonts w:ascii="Arial" w:hAnsi="Arial" w:cs="Arial"/>
          <w:sz w:val="18"/>
          <w:szCs w:val="18"/>
          <w:lang w:val="en-US"/>
        </w:rPr>
        <w:t xml:space="preserve"> fermentation kinetics, the wine </w:t>
      </w:r>
      <w:proofErr w:type="spellStart"/>
      <w:r w:rsidR="0087762C">
        <w:rPr>
          <w:rStyle w:val="eop"/>
          <w:rFonts w:ascii="Arial" w:hAnsi="Arial" w:cs="Arial"/>
          <w:sz w:val="18"/>
          <w:szCs w:val="18"/>
          <w:lang w:val="en-US"/>
        </w:rPr>
        <w:t>physico</w:t>
      </w:r>
      <w:proofErr w:type="spellEnd"/>
      <w:r w:rsidR="0087762C">
        <w:rPr>
          <w:rStyle w:val="eop"/>
          <w:rFonts w:ascii="Arial" w:hAnsi="Arial" w:cs="Arial"/>
          <w:sz w:val="18"/>
          <w:szCs w:val="18"/>
          <w:lang w:val="en-US"/>
        </w:rPr>
        <w:t xml:space="preserve">-chemical </w:t>
      </w:r>
      <w:r w:rsidR="00E43F13">
        <w:rPr>
          <w:rStyle w:val="eop"/>
          <w:rFonts w:ascii="Arial" w:hAnsi="Arial" w:cs="Arial"/>
          <w:sz w:val="18"/>
          <w:szCs w:val="18"/>
          <w:lang w:val="en-US"/>
        </w:rPr>
        <w:t xml:space="preserve">parameters, the volatile </w:t>
      </w:r>
      <w:r w:rsidR="0087762C">
        <w:rPr>
          <w:rStyle w:val="eop"/>
          <w:rFonts w:ascii="Arial" w:hAnsi="Arial" w:cs="Arial"/>
          <w:sz w:val="18"/>
          <w:szCs w:val="18"/>
          <w:lang w:val="en-US"/>
        </w:rPr>
        <w:t xml:space="preserve">organic </w:t>
      </w:r>
      <w:r w:rsidR="00E43F13">
        <w:rPr>
          <w:rStyle w:val="eop"/>
          <w:rFonts w:ascii="Arial" w:hAnsi="Arial" w:cs="Arial"/>
          <w:sz w:val="18"/>
          <w:szCs w:val="18"/>
          <w:lang w:val="en-US"/>
        </w:rPr>
        <w:t xml:space="preserve">composition, </w:t>
      </w:r>
      <w:r w:rsidR="0087762C">
        <w:rPr>
          <w:rStyle w:val="eop"/>
          <w:rFonts w:ascii="Arial" w:hAnsi="Arial" w:cs="Arial"/>
          <w:sz w:val="18"/>
          <w:szCs w:val="18"/>
          <w:lang w:val="en-US"/>
        </w:rPr>
        <w:t xml:space="preserve">the carbonyl compounds, </w:t>
      </w:r>
      <w:r w:rsidR="00E43F13">
        <w:rPr>
          <w:rStyle w:val="eop"/>
          <w:rFonts w:ascii="Arial" w:hAnsi="Arial" w:cs="Arial"/>
          <w:sz w:val="18"/>
          <w:szCs w:val="18"/>
          <w:lang w:val="en-US"/>
        </w:rPr>
        <w:t xml:space="preserve">and the sensory </w:t>
      </w:r>
      <w:r w:rsidR="00E43F13">
        <w:rPr>
          <w:rStyle w:val="eop"/>
          <w:rFonts w:ascii="Arial" w:hAnsi="Arial" w:cs="Arial"/>
          <w:sz w:val="18"/>
          <w:szCs w:val="18"/>
          <w:lang w:val="en-US"/>
        </w:rPr>
        <w:lastRenderedPageBreak/>
        <w:t xml:space="preserve">profiles of the wines were evaluated. </w:t>
      </w:r>
      <w:r w:rsidR="0079489E" w:rsidRPr="00C75C2B">
        <w:rPr>
          <w:rFonts w:ascii="Arial" w:hAnsi="Arial" w:cs="Arial"/>
          <w:sz w:val="18"/>
          <w:szCs w:val="18"/>
          <w:lang w:val="en-US"/>
        </w:rPr>
        <w:t>Moreover, a comparative analysis of fermentation costs was conducted to evaluate energy consumption, labor requirements, and overall process efficiency.</w:t>
      </w:r>
    </w:p>
    <w:p w14:paraId="19C4FC68" w14:textId="3B0C584E" w:rsidR="004628D2" w:rsidRDefault="00B758B4" w:rsidP="00B758B4">
      <w:pPr>
        <w:pStyle w:val="CETHeading1"/>
      </w:pPr>
      <w:r>
        <w:t xml:space="preserve">Materials and Methods </w:t>
      </w:r>
    </w:p>
    <w:p w14:paraId="3770BD8C" w14:textId="603CB56F" w:rsidR="00B758B4" w:rsidRPr="00FE2D25" w:rsidRDefault="00FE2D25" w:rsidP="007C115D">
      <w:pPr>
        <w:pStyle w:val="CETheadingx"/>
        <w:spacing w:before="0" w:after="0"/>
        <w:rPr>
          <w:b/>
          <w:bCs w:val="0"/>
        </w:rPr>
      </w:pPr>
      <w:r>
        <w:rPr>
          <w:b/>
          <w:bCs w:val="0"/>
        </w:rPr>
        <w:t xml:space="preserve">2.1 </w:t>
      </w:r>
      <w:r w:rsidR="007762EC" w:rsidRPr="00FE2D25">
        <w:rPr>
          <w:b/>
          <w:bCs w:val="0"/>
        </w:rPr>
        <w:t>Winemaking process</w:t>
      </w:r>
    </w:p>
    <w:p w14:paraId="58804815" w14:textId="4F294B8C" w:rsidR="007C115D" w:rsidRPr="007C115D" w:rsidRDefault="00FE2D25" w:rsidP="007C115D">
      <w:pPr>
        <w:pStyle w:val="CETheadingx"/>
        <w:spacing w:before="0" w:after="0"/>
      </w:pPr>
      <w:proofErr w:type="spellStart"/>
      <w:r w:rsidRPr="003325DA">
        <w:rPr>
          <w:i/>
          <w:iCs/>
        </w:rPr>
        <w:t>Catarratto</w:t>
      </w:r>
      <w:proofErr w:type="spellEnd"/>
      <w:r w:rsidRPr="00FE2D25">
        <w:t xml:space="preserve"> and </w:t>
      </w:r>
      <w:r w:rsidRPr="003325DA">
        <w:rPr>
          <w:i/>
          <w:iCs/>
        </w:rPr>
        <w:t>Inzolia</w:t>
      </w:r>
      <w:r w:rsidRPr="00FE2D25">
        <w:t xml:space="preserve"> grapes (250 kg) harvested in Marsala at 20 °Brix were vinified in triplicate (5</w:t>
      </w:r>
      <w:r w:rsidR="00792550">
        <w:t>0</w:t>
      </w:r>
      <w:r w:rsidRPr="00FE2D25">
        <w:t xml:space="preserve"> L tanks) at the University of Palermo experimental winery. </w:t>
      </w:r>
      <w:r w:rsidR="00C13E23">
        <w:t>After SO</w:t>
      </w:r>
      <w:r w:rsidR="00C13E23">
        <w:rPr>
          <w:rFonts w:ascii="Cambria Math" w:hAnsi="Cambria Math" w:cs="Cambria Math"/>
        </w:rPr>
        <w:t>₂</w:t>
      </w:r>
      <w:r w:rsidR="00C13E23">
        <w:t xml:space="preserve"> addition, enzymatic treatment, and cold settling, fermentations were conducted at 15 and 20 °C using two commercial </w:t>
      </w:r>
      <w:r w:rsidR="00C13E23">
        <w:rPr>
          <w:rStyle w:val="Enfasicorsivo"/>
        </w:rPr>
        <w:t>S. cerevisiae</w:t>
      </w:r>
      <w:r w:rsidR="00C13E23">
        <w:t xml:space="preserve"> strains, with nitrogen supplementation applied at 60 g/</w:t>
      </w:r>
      <w:proofErr w:type="spellStart"/>
      <w:r w:rsidR="00C13E23">
        <w:t>hL</w:t>
      </w:r>
      <w:proofErr w:type="spellEnd"/>
      <w:r w:rsidR="00C13E23">
        <w:t xml:space="preserve"> for SC22 and 50 g/</w:t>
      </w:r>
      <w:proofErr w:type="spellStart"/>
      <w:r w:rsidR="00C13E23">
        <w:t>hL</w:t>
      </w:r>
      <w:proofErr w:type="spellEnd"/>
      <w:r w:rsidR="00C13E23">
        <w:t xml:space="preserve"> for BC S103</w:t>
      </w:r>
      <w:r w:rsidRPr="00FE2D25">
        <w:t>. Fermentation was considered complete at &lt;</w:t>
      </w:r>
      <w:r w:rsidR="00D339F7">
        <w:t xml:space="preserve"> </w:t>
      </w:r>
      <w:r w:rsidRPr="00FE2D25">
        <w:t>2 g L</w:t>
      </w:r>
      <w:r w:rsidRPr="00FE2D25">
        <w:rPr>
          <w:rFonts w:ascii="Cambria Math" w:hAnsi="Cambria Math" w:cs="Cambria Math"/>
        </w:rPr>
        <w:t>⁻</w:t>
      </w:r>
      <w:r w:rsidRPr="00FE2D25">
        <w:t>¹ reducing sugars, and wines were racked and adjusted to 30 mg L</w:t>
      </w:r>
      <w:r w:rsidRPr="00FE2D25">
        <w:rPr>
          <w:rFonts w:ascii="Cambria Math" w:hAnsi="Cambria Math" w:cs="Cambria Math"/>
        </w:rPr>
        <w:t>⁻</w:t>
      </w:r>
      <w:r w:rsidRPr="00FE2D25">
        <w:t>¹ free SO</w:t>
      </w:r>
      <w:r w:rsidRPr="00FE2D25">
        <w:rPr>
          <w:rFonts w:ascii="Cambria Math" w:hAnsi="Cambria Math" w:cs="Cambria Math"/>
        </w:rPr>
        <w:t>₂</w:t>
      </w:r>
      <w:r w:rsidRPr="00FE2D25">
        <w:t>.</w:t>
      </w:r>
    </w:p>
    <w:p w14:paraId="6E02B225" w14:textId="49BB279F" w:rsidR="00810741" w:rsidRPr="00FE2D25" w:rsidRDefault="00FE2D25" w:rsidP="007C115D">
      <w:pPr>
        <w:pStyle w:val="CETheadingx"/>
        <w:spacing w:after="0"/>
        <w:rPr>
          <w:b/>
          <w:bCs w:val="0"/>
        </w:rPr>
      </w:pPr>
      <w:r>
        <w:rPr>
          <w:b/>
          <w:bCs w:val="0"/>
        </w:rPr>
        <w:t xml:space="preserve">2.2 </w:t>
      </w:r>
      <w:proofErr w:type="spellStart"/>
      <w:r w:rsidR="00986822" w:rsidRPr="00FE2D25">
        <w:rPr>
          <w:b/>
          <w:bCs w:val="0"/>
        </w:rPr>
        <w:t>Physico</w:t>
      </w:r>
      <w:proofErr w:type="spellEnd"/>
      <w:r w:rsidR="00986822" w:rsidRPr="00FE2D25">
        <w:rPr>
          <w:b/>
          <w:bCs w:val="0"/>
        </w:rPr>
        <w:t>-chemical</w:t>
      </w:r>
      <w:r w:rsidR="007762EC" w:rsidRPr="00FE2D25">
        <w:rPr>
          <w:b/>
          <w:bCs w:val="0"/>
        </w:rPr>
        <w:t xml:space="preserve"> </w:t>
      </w:r>
      <w:r w:rsidR="00072B9F" w:rsidRPr="00FE2D25">
        <w:rPr>
          <w:b/>
          <w:bCs w:val="0"/>
        </w:rPr>
        <w:t xml:space="preserve">analyses </w:t>
      </w:r>
    </w:p>
    <w:p w14:paraId="6F03AB24" w14:textId="7E4406F5" w:rsidR="00801A6A" w:rsidRPr="00810741" w:rsidRDefault="00801A6A" w:rsidP="007C115D">
      <w:pPr>
        <w:pStyle w:val="CETBodytext"/>
        <w:rPr>
          <w:b/>
          <w:bCs/>
        </w:rPr>
      </w:pPr>
      <w:r w:rsidRPr="0079489E">
        <w:rPr>
          <w:rFonts w:cs="Arial"/>
          <w:szCs w:val="18"/>
          <w:lang w:eastAsia="it-IT"/>
        </w:rPr>
        <w:t>Alcohol content (%v/v), reducing sugars (</w:t>
      </w:r>
      <w:r w:rsidRPr="00C75C2B">
        <w:rPr>
          <w:rFonts w:cs="Arial"/>
          <w:szCs w:val="18"/>
          <w:lang w:eastAsia="it-IT"/>
        </w:rPr>
        <w:t>g L</w:t>
      </w:r>
      <w:r w:rsidRPr="00C75C2B">
        <w:rPr>
          <w:rFonts w:cs="Arial"/>
          <w:szCs w:val="18"/>
          <w:vertAlign w:val="superscript"/>
          <w:lang w:eastAsia="it-IT"/>
        </w:rPr>
        <w:t>-1</w:t>
      </w:r>
      <w:r w:rsidRPr="0079489E">
        <w:rPr>
          <w:rFonts w:cs="Arial"/>
          <w:szCs w:val="18"/>
          <w:lang w:eastAsia="it-IT"/>
        </w:rPr>
        <w:t>),</w:t>
      </w:r>
      <w:r w:rsidRPr="00C75C2B">
        <w:rPr>
          <w:rFonts w:cs="Arial"/>
          <w:szCs w:val="18"/>
          <w:lang w:eastAsia="it-IT"/>
        </w:rPr>
        <w:t xml:space="preserve"> titratable acidity </w:t>
      </w:r>
      <w:r w:rsidRPr="0079489E">
        <w:rPr>
          <w:rFonts w:cs="Arial"/>
          <w:szCs w:val="18"/>
          <w:lang w:eastAsia="it-IT"/>
        </w:rPr>
        <w:t>(</w:t>
      </w:r>
      <w:r w:rsidRPr="00C75C2B">
        <w:rPr>
          <w:rFonts w:cs="Arial"/>
          <w:szCs w:val="18"/>
          <w:lang w:eastAsia="it-IT"/>
        </w:rPr>
        <w:t>g L</w:t>
      </w:r>
      <w:r w:rsidRPr="00C75C2B">
        <w:rPr>
          <w:rFonts w:cs="Arial"/>
          <w:szCs w:val="18"/>
          <w:vertAlign w:val="superscript"/>
          <w:lang w:eastAsia="it-IT"/>
        </w:rPr>
        <w:t>-1</w:t>
      </w:r>
      <w:r w:rsidR="00C97258">
        <w:rPr>
          <w:rFonts w:cs="Arial"/>
          <w:szCs w:val="18"/>
          <w:vertAlign w:val="superscript"/>
          <w:lang w:eastAsia="it-IT"/>
        </w:rPr>
        <w:t xml:space="preserve"> </w:t>
      </w:r>
      <w:r w:rsidR="00C97258">
        <w:rPr>
          <w:rFonts w:cs="Arial"/>
          <w:szCs w:val="18"/>
          <w:lang w:eastAsia="it-IT"/>
        </w:rPr>
        <w:t>as tartaric acid</w:t>
      </w:r>
      <w:r w:rsidRPr="0079489E">
        <w:rPr>
          <w:rFonts w:cs="Arial"/>
          <w:szCs w:val="18"/>
          <w:lang w:eastAsia="it-IT"/>
        </w:rPr>
        <w:t>),</w:t>
      </w:r>
      <w:r w:rsidRPr="00C75C2B">
        <w:rPr>
          <w:rFonts w:cs="Arial"/>
          <w:szCs w:val="18"/>
          <w:lang w:eastAsia="it-IT"/>
        </w:rPr>
        <w:t xml:space="preserve"> </w:t>
      </w:r>
      <w:r w:rsidRPr="0079489E">
        <w:rPr>
          <w:rFonts w:cs="Arial"/>
          <w:szCs w:val="18"/>
          <w:lang w:eastAsia="it-IT"/>
        </w:rPr>
        <w:t>volatile acidity (</w:t>
      </w:r>
      <w:r w:rsidRPr="00C75C2B">
        <w:rPr>
          <w:rFonts w:cs="Arial"/>
          <w:szCs w:val="18"/>
          <w:lang w:eastAsia="it-IT"/>
        </w:rPr>
        <w:t>g L</w:t>
      </w:r>
      <w:r w:rsidRPr="00C75C2B">
        <w:rPr>
          <w:rFonts w:cs="Arial"/>
          <w:szCs w:val="18"/>
          <w:vertAlign w:val="superscript"/>
          <w:lang w:eastAsia="it-IT"/>
        </w:rPr>
        <w:t>-1</w:t>
      </w:r>
      <w:r w:rsidR="00C97258">
        <w:rPr>
          <w:rFonts w:cs="Arial"/>
          <w:szCs w:val="18"/>
          <w:vertAlign w:val="superscript"/>
          <w:lang w:eastAsia="it-IT"/>
        </w:rPr>
        <w:t xml:space="preserve"> </w:t>
      </w:r>
      <w:r w:rsidR="00C97258">
        <w:rPr>
          <w:rFonts w:cs="Arial"/>
          <w:szCs w:val="18"/>
          <w:lang w:eastAsia="it-IT"/>
        </w:rPr>
        <w:t>as acetic acid</w:t>
      </w:r>
      <w:r w:rsidRPr="0079489E">
        <w:rPr>
          <w:rFonts w:cs="Arial"/>
          <w:szCs w:val="18"/>
          <w:lang w:eastAsia="it-IT"/>
        </w:rPr>
        <w:t xml:space="preserve">), and pH were determined by means of Fourier-transform infrared (FTIR) technology through a </w:t>
      </w:r>
      <w:proofErr w:type="spellStart"/>
      <w:r w:rsidRPr="0079489E">
        <w:rPr>
          <w:rFonts w:cs="Arial"/>
          <w:szCs w:val="18"/>
          <w:lang w:eastAsia="it-IT"/>
        </w:rPr>
        <w:t>WinescanTM</w:t>
      </w:r>
      <w:proofErr w:type="spellEnd"/>
      <w:r w:rsidRPr="0079489E">
        <w:rPr>
          <w:rFonts w:cs="Arial"/>
          <w:szCs w:val="18"/>
          <w:lang w:eastAsia="it-IT"/>
        </w:rPr>
        <w:t xml:space="preserve"> FT 120 Fa. Instrument (FOSS, </w:t>
      </w:r>
      <w:proofErr w:type="spellStart"/>
      <w:r w:rsidRPr="0079489E">
        <w:rPr>
          <w:rFonts w:cs="Arial"/>
          <w:szCs w:val="18"/>
          <w:lang w:eastAsia="it-IT"/>
        </w:rPr>
        <w:t>Hillerød</w:t>
      </w:r>
      <w:proofErr w:type="spellEnd"/>
      <w:r w:rsidRPr="0079489E">
        <w:rPr>
          <w:rFonts w:cs="Arial"/>
          <w:szCs w:val="18"/>
          <w:lang w:eastAsia="it-IT"/>
        </w:rPr>
        <w:t xml:space="preserve">, Denmark) </w:t>
      </w:r>
      <w:r w:rsidR="00072B9F">
        <w:rPr>
          <w:rFonts w:cs="Arial"/>
          <w:szCs w:val="18"/>
          <w:lang w:eastAsia="it-IT"/>
        </w:rPr>
        <w:t>acc</w:t>
      </w:r>
      <w:r w:rsidR="00EF61CC">
        <w:rPr>
          <w:rFonts w:cs="Arial"/>
          <w:szCs w:val="18"/>
          <w:lang w:eastAsia="it-IT"/>
        </w:rPr>
        <w:t>o</w:t>
      </w:r>
      <w:r w:rsidR="00072B9F">
        <w:rPr>
          <w:rFonts w:cs="Arial"/>
          <w:szCs w:val="18"/>
          <w:lang w:eastAsia="it-IT"/>
        </w:rPr>
        <w:t xml:space="preserve">rding to the OIV Compendium of International Methods of </w:t>
      </w:r>
      <w:proofErr w:type="spellStart"/>
      <w:r w:rsidR="00072B9F">
        <w:rPr>
          <w:rFonts w:cs="Arial"/>
          <w:szCs w:val="18"/>
          <w:lang w:eastAsia="it-IT"/>
        </w:rPr>
        <w:t>Analsyis</w:t>
      </w:r>
      <w:proofErr w:type="spellEnd"/>
      <w:r w:rsidR="00072B9F">
        <w:rPr>
          <w:rFonts w:cs="Arial"/>
          <w:szCs w:val="18"/>
          <w:lang w:eastAsia="it-IT"/>
        </w:rPr>
        <w:t xml:space="preserve"> of Wine and Musts (2</w:t>
      </w:r>
      <w:r w:rsidR="00986822">
        <w:rPr>
          <w:rFonts w:cs="Arial"/>
          <w:szCs w:val="18"/>
          <w:lang w:eastAsia="it-IT"/>
        </w:rPr>
        <w:t>0</w:t>
      </w:r>
      <w:r w:rsidR="00072B9F">
        <w:rPr>
          <w:rFonts w:cs="Arial"/>
          <w:szCs w:val="18"/>
          <w:lang w:eastAsia="it-IT"/>
        </w:rPr>
        <w:t xml:space="preserve">07). </w:t>
      </w:r>
    </w:p>
    <w:p w14:paraId="450A293A" w14:textId="2A227095" w:rsidR="008B319C" w:rsidRPr="008B319C" w:rsidRDefault="00FE2D25" w:rsidP="008B319C">
      <w:pPr>
        <w:pStyle w:val="CETheadingx"/>
        <w:spacing w:after="0"/>
        <w:rPr>
          <w:b/>
          <w:bCs w:val="0"/>
        </w:rPr>
      </w:pPr>
      <w:r>
        <w:rPr>
          <w:b/>
          <w:bCs w:val="0"/>
        </w:rPr>
        <w:t xml:space="preserve">2.3 </w:t>
      </w:r>
      <w:r w:rsidR="00986822" w:rsidRPr="00FE2D25">
        <w:rPr>
          <w:b/>
          <w:bCs w:val="0"/>
        </w:rPr>
        <w:t>Volatile organic compounds (VOCs)</w:t>
      </w:r>
    </w:p>
    <w:p w14:paraId="5356C7F4" w14:textId="7AB3290D" w:rsidR="00C75C2B" w:rsidRDefault="00072B9F" w:rsidP="00EF61CC">
      <w:pPr>
        <w:pStyle w:val="CETBodytext"/>
        <w:rPr>
          <w:rFonts w:cs="Arial"/>
        </w:rPr>
      </w:pPr>
      <w:r>
        <w:rPr>
          <w:rFonts w:cs="Arial"/>
        </w:rPr>
        <w:t>V</w:t>
      </w:r>
      <w:r w:rsidRPr="00072B9F">
        <w:rPr>
          <w:rFonts w:cs="Arial"/>
        </w:rPr>
        <w:t>olatiles organic compounds (VOCs) were determined on 25 mL of wine, through an elution on 1 g C18</w:t>
      </w:r>
      <w:r w:rsidR="000C05EC">
        <w:rPr>
          <w:rFonts w:cs="Arial"/>
        </w:rPr>
        <w:t xml:space="preserve"> </w:t>
      </w:r>
      <w:r w:rsidRPr="00072B9F">
        <w:rPr>
          <w:rFonts w:cs="Arial"/>
        </w:rPr>
        <w:t>cartridge (</w:t>
      </w:r>
      <w:proofErr w:type="spellStart"/>
      <w:r w:rsidRPr="00072B9F">
        <w:rPr>
          <w:rFonts w:cs="Arial"/>
        </w:rPr>
        <w:t>Isolute</w:t>
      </w:r>
      <w:proofErr w:type="spellEnd"/>
      <w:r w:rsidRPr="00072B9F">
        <w:rPr>
          <w:rFonts w:cs="Arial"/>
        </w:rPr>
        <w:t xml:space="preserve">, SPE Columns), with gas chromatography (Perkin Elmer </w:t>
      </w:r>
      <w:proofErr w:type="spellStart"/>
      <w:r w:rsidRPr="00072B9F">
        <w:rPr>
          <w:rFonts w:cs="Arial"/>
        </w:rPr>
        <w:t>Autosystem</w:t>
      </w:r>
      <w:proofErr w:type="spellEnd"/>
      <w:r w:rsidRPr="00072B9F">
        <w:rPr>
          <w:rFonts w:cs="Arial"/>
        </w:rPr>
        <w:t xml:space="preserve"> XL) and gas</w:t>
      </w:r>
      <w:r w:rsidR="000C05EC">
        <w:rPr>
          <w:rFonts w:cs="Arial"/>
        </w:rPr>
        <w:t xml:space="preserve"> </w:t>
      </w:r>
      <w:r w:rsidRPr="00072B9F">
        <w:rPr>
          <w:rFonts w:cs="Arial"/>
        </w:rPr>
        <w:t xml:space="preserve">chromatography-mass spectrometry (Agilent 6890 Series GC system, Agilent 5973 Net Work Mass Selective </w:t>
      </w:r>
      <w:r w:rsidR="00EF61CC">
        <w:rPr>
          <w:rFonts w:cs="Arial"/>
        </w:rPr>
        <w:t xml:space="preserve"> </w:t>
      </w:r>
      <w:r w:rsidRPr="00072B9F">
        <w:rPr>
          <w:rFonts w:cs="Arial"/>
        </w:rPr>
        <w:t xml:space="preserve">Detector), both equipped with a DB-WAX column (Agilent Technologies, 30 m, 0.250 mm </w:t>
      </w:r>
      <w:proofErr w:type="spellStart"/>
      <w:r w:rsidRPr="00072B9F">
        <w:rPr>
          <w:rFonts w:cs="Arial"/>
        </w:rPr>
        <w:t>i.d.</w:t>
      </w:r>
      <w:proofErr w:type="spellEnd"/>
      <w:r w:rsidRPr="00072B9F">
        <w:rPr>
          <w:rFonts w:cs="Arial"/>
        </w:rPr>
        <w:t>,</w:t>
      </w:r>
      <w:r w:rsidR="00533338">
        <w:rPr>
          <w:rFonts w:cs="Arial"/>
        </w:rPr>
        <w:t xml:space="preserve"> </w:t>
      </w:r>
      <w:r w:rsidRPr="00072B9F">
        <w:rPr>
          <w:rFonts w:cs="Arial"/>
        </w:rPr>
        <w:t xml:space="preserve">film thickness </w:t>
      </w:r>
      <w:r w:rsidR="00EF61CC">
        <w:rPr>
          <w:rFonts w:cs="Arial"/>
        </w:rPr>
        <w:t xml:space="preserve"> </w:t>
      </w:r>
      <w:r w:rsidRPr="00072B9F">
        <w:rPr>
          <w:rFonts w:cs="Arial"/>
        </w:rPr>
        <w:t xml:space="preserve">0.25 </w:t>
      </w:r>
      <w:proofErr w:type="spellStart"/>
      <w:r w:rsidRPr="00072B9F">
        <w:rPr>
          <w:rFonts w:cs="Arial"/>
        </w:rPr>
        <w:t>μm</w:t>
      </w:r>
      <w:proofErr w:type="spellEnd"/>
      <w:r w:rsidRPr="00072B9F">
        <w:rPr>
          <w:rFonts w:cs="Arial"/>
        </w:rPr>
        <w:t xml:space="preserve">), as described by </w:t>
      </w:r>
      <w:r w:rsidR="00767B6A">
        <w:rPr>
          <w:rFonts w:cs="Arial"/>
        </w:rPr>
        <w:fldChar w:fldCharType="begin"/>
      </w:r>
      <w:r w:rsidR="00767B6A">
        <w:rPr>
          <w:rFonts w:cs="Arial"/>
        </w:rPr>
        <w:instrText xml:space="preserve"> ADDIN ZOTERO_ITEM CSL_CITATION {"citationID":"tL72Zpee","properties":{"formattedCitation":"(Corona 2010)","plainCitation":"(Corona 2010)","noteIndex":0},"citationItems":[{"id":103,"uris":["http://zotero.org/users/local/fTTxJexU/items/Y82GDXG2"],"itemData":{"id":103,"type":"article-journal","container-title":"South African Journal of Enology and Viticulture","DOI":"10.21548/31-1-1401","ISSN":"22247904","issue":"1","journalAbbreviation":"SAJEV","language":"en","source":"DOI.org (Crossref)","title":"Wine-making with Protection of Must against Oxidation in a Warm, Semi-arid Terroir","URL":"http://www.journals.ac.za/index.php/sajev/article/view/1401","volume":"31","author":[{"family":"Corona","given":"O."}],"accessed":{"date-parts":[["2024",10,28]]},"issued":{"date-parts":[["2010",12]]}}}],"schema":"https://github.com/citation-style-language/schema/raw/master/csl-citation.json"} </w:instrText>
      </w:r>
      <w:r w:rsidR="00767B6A">
        <w:rPr>
          <w:rFonts w:cs="Arial"/>
        </w:rPr>
        <w:fldChar w:fldCharType="separate"/>
      </w:r>
      <w:r w:rsidR="00767B6A">
        <w:rPr>
          <w:rFonts w:cs="Arial"/>
          <w:noProof/>
        </w:rPr>
        <w:t>Corona</w:t>
      </w:r>
      <w:r w:rsidR="00EF61CC">
        <w:rPr>
          <w:rFonts w:cs="Arial"/>
          <w:noProof/>
        </w:rPr>
        <w:t>,</w:t>
      </w:r>
      <w:r w:rsidR="00767B6A">
        <w:rPr>
          <w:rFonts w:cs="Arial"/>
          <w:noProof/>
        </w:rPr>
        <w:t xml:space="preserve"> 2010</w:t>
      </w:r>
      <w:r w:rsidR="00767B6A">
        <w:rPr>
          <w:rFonts w:cs="Arial"/>
        </w:rPr>
        <w:fldChar w:fldCharType="end"/>
      </w:r>
      <w:r w:rsidR="00767B6A">
        <w:rPr>
          <w:rFonts w:cs="Arial"/>
        </w:rPr>
        <w:t>.</w:t>
      </w:r>
    </w:p>
    <w:p w14:paraId="34FEA785" w14:textId="46791A4A" w:rsidR="00FE2D25" w:rsidRPr="00FE2D25" w:rsidRDefault="00FE2D25" w:rsidP="007C115D">
      <w:pPr>
        <w:pStyle w:val="CETHeading1"/>
        <w:numPr>
          <w:ilvl w:val="0"/>
          <w:numId w:val="0"/>
        </w:numPr>
        <w:spacing w:after="0"/>
        <w:rPr>
          <w:sz w:val="18"/>
          <w:szCs w:val="18"/>
        </w:rPr>
      </w:pPr>
      <w:r>
        <w:rPr>
          <w:sz w:val="18"/>
          <w:szCs w:val="18"/>
        </w:rPr>
        <w:t xml:space="preserve">2.4 </w:t>
      </w:r>
      <w:r w:rsidRPr="00FE2D25">
        <w:rPr>
          <w:sz w:val="18"/>
          <w:szCs w:val="18"/>
        </w:rPr>
        <w:t>Determination of Carbonyls by High-Performance Liquid Chromatography</w:t>
      </w:r>
    </w:p>
    <w:p w14:paraId="35FCC79F" w14:textId="78EE6640" w:rsidR="00FE2D25" w:rsidRDefault="00FE2D25" w:rsidP="007C115D">
      <w:pPr>
        <w:pStyle w:val="CETBodytext"/>
      </w:pPr>
      <w:r>
        <w:t>Total acetaldehyde, acetoin, pyruvic acid, and α-</w:t>
      </w:r>
      <w:proofErr w:type="spellStart"/>
      <w:r>
        <w:t>ketobutyric</w:t>
      </w:r>
      <w:proofErr w:type="spellEnd"/>
      <w:r>
        <w:t xml:space="preserve"> acid were determined according to </w:t>
      </w:r>
      <w:r w:rsidR="005C4E5C">
        <w:fldChar w:fldCharType="begin"/>
      </w:r>
      <w:r w:rsidR="0024734B">
        <w:instrText xml:space="preserve"> ADDIN ZOTERO_ITEM CSL_CITATION {"citationID":"CevY9XuC","properties":{"formattedCitation":"(Han et al. 2015)","plainCitation":"(Han et al. 2015)","dontUpdate":true,"noteIndex":0},"citationItems":[{"id":976,"uris":["http://zotero.org/users/local/fTTxJexU/items/MFHBU9M3"],"itemData":{"id":976,"type":"article-journal","abstract":"The rhodium(III)-catalyzed site-selective C–H alkylation of various N-heterocycles, such as indolines, carbazoles, and pyrroles with readily available allylic alcohols is described. This protocol allows the generation of a heterocyclic scaffold containing a β-aryl carbonyl moiety, which is known to be a crucial structural unit of biologically active compounds.","container-title":"The Journal of Organic Chemistry","DOI":"10.1021/acs.joc.5b01696","ISSN":"0022-3263","issue":"21","journalAbbreviation":"J. Org. Chem.","note":"publisher: American Chemical Society","page":"11092-11099","source":"ACS Publications","title":"Rhodium-Catalyzed C–H Alkylation of Indolines with Allylic Alcohols: Direct Access to β-Aryl Carbonyl Compounds","title-short":"Rhodium-Catalyzed C–H Alkylation of Indolines with Allylic Alcohols","volume":"80","author":[{"family":"Han","given":"Sang Hoon"},{"family":"Choi","given":"Miji"},{"family":"Jeong","given":"Taejoo"},{"family":"Sharma","given":"Satyasheel"},{"family":"Mishra","given":"Neeraj Kumar"},{"family":"Park","given":"Jihye"},{"family":"Oh","given":"Joa Sub"},{"family":"Kim","given":"Woo Jung"},{"family":"Lee","given":"Jong Suk"},{"family":"Kim","given":"In Su"}],"issued":{"date-parts":[["2015",11,6]]}}}],"schema":"https://github.com/citation-style-language/schema/raw/master/csl-citation.json"} </w:instrText>
      </w:r>
      <w:r w:rsidR="005C4E5C">
        <w:fldChar w:fldCharType="separate"/>
      </w:r>
      <w:r w:rsidR="005C4E5C">
        <w:rPr>
          <w:noProof/>
        </w:rPr>
        <w:t>Han et al. (2015)</w:t>
      </w:r>
      <w:r w:rsidR="005C4E5C">
        <w:fldChar w:fldCharType="end"/>
      </w:r>
      <w:r>
        <w:t xml:space="preserve"> with minor modifications. Wine samples were derivatized with </w:t>
      </w:r>
      <w:r w:rsidRPr="005C4E5C">
        <w:rPr>
          <w:rStyle w:val="Enfasigrassetto"/>
          <w:b w:val="0"/>
          <w:bCs w:val="0"/>
        </w:rPr>
        <w:t>DNPH</w:t>
      </w:r>
      <w:r>
        <w:t xml:space="preserve">, incubated at 65 °C for 15 min, and analyzed by </w:t>
      </w:r>
      <w:r w:rsidRPr="005C4E5C">
        <w:rPr>
          <w:rStyle w:val="Enfasigrassetto"/>
          <w:b w:val="0"/>
          <w:bCs w:val="0"/>
        </w:rPr>
        <w:t>HPLC (Shimadzu LC-10 ADVP)</w:t>
      </w:r>
      <w:r>
        <w:t xml:space="preserve"> on a Waters </w:t>
      </w:r>
      <w:proofErr w:type="spellStart"/>
      <w:r>
        <w:t>Spherisorb</w:t>
      </w:r>
      <w:proofErr w:type="spellEnd"/>
      <w:r>
        <w:t xml:space="preserve"> column using a water/formic acid–acetonitrile gradient. Compounds were identified with DNPH-acetaldehyde standards and quantified by external calibration curves.</w:t>
      </w:r>
    </w:p>
    <w:p w14:paraId="51ACE5BD" w14:textId="77777777" w:rsidR="00FE2D25" w:rsidRPr="007762EC" w:rsidRDefault="00FE2D25" w:rsidP="00072B9F">
      <w:pPr>
        <w:pStyle w:val="CETBodytext"/>
        <w:rPr>
          <w:b/>
          <w:bCs/>
        </w:rPr>
      </w:pPr>
    </w:p>
    <w:p w14:paraId="50E0C8CB" w14:textId="18F0C241" w:rsidR="003325DA" w:rsidRDefault="007762EC" w:rsidP="00B758B4">
      <w:pPr>
        <w:pStyle w:val="CETBodytext"/>
        <w:rPr>
          <w:b/>
          <w:bCs/>
        </w:rPr>
      </w:pPr>
      <w:r w:rsidRPr="007762EC">
        <w:rPr>
          <w:b/>
          <w:bCs/>
        </w:rPr>
        <w:t>2.</w:t>
      </w:r>
      <w:r w:rsidR="002B2640">
        <w:rPr>
          <w:b/>
          <w:bCs/>
        </w:rPr>
        <w:t>5</w:t>
      </w:r>
      <w:r w:rsidRPr="007762EC">
        <w:rPr>
          <w:b/>
          <w:bCs/>
        </w:rPr>
        <w:t xml:space="preserve"> Sensory analysis </w:t>
      </w:r>
    </w:p>
    <w:p w14:paraId="1270EA9B" w14:textId="4CFA29F7" w:rsidR="00986822" w:rsidRDefault="00986822" w:rsidP="00B758B4">
      <w:pPr>
        <w:pStyle w:val="CETBodytext"/>
        <w:rPr>
          <w:rFonts w:cs="Arial"/>
          <w:szCs w:val="18"/>
        </w:rPr>
      </w:pPr>
      <w:r w:rsidRPr="00986822">
        <w:rPr>
          <w:rFonts w:cs="Arial"/>
          <w:szCs w:val="18"/>
        </w:rPr>
        <w:t xml:space="preserve">Wines were evaluated by qualitative sensory analysis using a panel of 11 trained judges previously calibrated to develop a common vocabulary and evaluation procedure. A descriptive method was applied. Fifteen descriptors (citation frequency &gt;60%) were selected, including visual, </w:t>
      </w:r>
      <w:proofErr w:type="gramStart"/>
      <w:r w:rsidRPr="00986822">
        <w:rPr>
          <w:rFonts w:cs="Arial"/>
          <w:szCs w:val="18"/>
        </w:rPr>
        <w:t>olfactory</w:t>
      </w:r>
      <w:proofErr w:type="gramEnd"/>
      <w:r w:rsidRPr="00986822">
        <w:rPr>
          <w:rFonts w:cs="Arial"/>
          <w:szCs w:val="18"/>
        </w:rPr>
        <w:t xml:space="preserve"> and gustatory attributes, as well as gustatory persistence and overall satisfaction. Samples were evaluated in random order using a 9-point intensity scale (1 = absence; 9 = extremely intense).</w:t>
      </w:r>
    </w:p>
    <w:p w14:paraId="1B4446A3" w14:textId="77777777" w:rsidR="007B5FF7" w:rsidRPr="007B5FF7" w:rsidRDefault="007B5FF7" w:rsidP="00B758B4">
      <w:pPr>
        <w:pStyle w:val="CETBodytext"/>
        <w:rPr>
          <w:rFonts w:cs="Arial"/>
          <w:szCs w:val="18"/>
        </w:rPr>
      </w:pPr>
    </w:p>
    <w:p w14:paraId="32F6E24B" w14:textId="4C225A17" w:rsidR="007762EC" w:rsidRPr="008C581F" w:rsidRDefault="007762EC" w:rsidP="00B758B4">
      <w:pPr>
        <w:pStyle w:val="CETBodytext"/>
        <w:rPr>
          <w:b/>
          <w:bCs/>
        </w:rPr>
      </w:pPr>
      <w:r w:rsidRPr="008C581F">
        <w:rPr>
          <w:b/>
          <w:bCs/>
        </w:rPr>
        <w:t>2.</w:t>
      </w:r>
      <w:r w:rsidR="002B2640">
        <w:rPr>
          <w:b/>
          <w:bCs/>
        </w:rPr>
        <w:t>6</w:t>
      </w:r>
      <w:r w:rsidR="00FF4AB4" w:rsidRPr="008C581F">
        <w:rPr>
          <w:b/>
          <w:bCs/>
        </w:rPr>
        <w:t xml:space="preserve"> </w:t>
      </w:r>
      <w:r w:rsidR="008D7E95" w:rsidRPr="008C581F">
        <w:rPr>
          <w:b/>
          <w:bCs/>
        </w:rPr>
        <w:t xml:space="preserve">Fermentation cost analysis </w:t>
      </w:r>
    </w:p>
    <w:p w14:paraId="4526A5AB" w14:textId="2D15B27C" w:rsidR="00EF1825" w:rsidRDefault="00EF1825" w:rsidP="00B758B4">
      <w:pPr>
        <w:pStyle w:val="CETBodytext"/>
      </w:pPr>
      <w:r>
        <w:t>Fermentation costs were estimated considering key process expenses: energy, yeast inoculum, additives, labor, and tank depreciation. Energy costs reflected cooling needs during fermentation, while labor and tank depreciation depended on fermentation duration. Yeast and additive costs were based on supplier prices and normalized to processed volume.</w:t>
      </w:r>
    </w:p>
    <w:p w14:paraId="5755488D" w14:textId="77777777" w:rsidR="00FE2D25" w:rsidRPr="00FE2D25" w:rsidRDefault="00FE2D25" w:rsidP="00B758B4">
      <w:pPr>
        <w:pStyle w:val="CETBodytext"/>
      </w:pPr>
    </w:p>
    <w:p w14:paraId="6058971F" w14:textId="271CB109" w:rsidR="007F7953" w:rsidRPr="007B5FF7" w:rsidRDefault="007F7953" w:rsidP="00B758B4">
      <w:pPr>
        <w:pStyle w:val="CETBodytext"/>
        <w:rPr>
          <w:rFonts w:cs="Arial"/>
          <w:b/>
          <w:bCs/>
        </w:rPr>
      </w:pPr>
      <w:r w:rsidRPr="007B5FF7">
        <w:rPr>
          <w:rFonts w:cs="Arial"/>
          <w:b/>
          <w:bCs/>
        </w:rPr>
        <w:t>2.</w:t>
      </w:r>
      <w:r w:rsidR="002B2640">
        <w:rPr>
          <w:rFonts w:cs="Arial"/>
          <w:b/>
          <w:bCs/>
        </w:rPr>
        <w:t>7</w:t>
      </w:r>
      <w:r w:rsidRPr="007B5FF7">
        <w:rPr>
          <w:rFonts w:cs="Arial"/>
          <w:b/>
          <w:bCs/>
        </w:rPr>
        <w:t xml:space="preserve"> </w:t>
      </w:r>
      <w:r w:rsidR="00D27366" w:rsidRPr="007B5FF7">
        <w:rPr>
          <w:rFonts w:cs="Arial"/>
          <w:b/>
          <w:bCs/>
        </w:rPr>
        <w:t>Data</w:t>
      </w:r>
      <w:r w:rsidRPr="007B5FF7">
        <w:rPr>
          <w:rFonts w:cs="Arial"/>
          <w:b/>
          <w:bCs/>
        </w:rPr>
        <w:t xml:space="preserve"> analysis </w:t>
      </w:r>
    </w:p>
    <w:p w14:paraId="4417947D" w14:textId="6CCDC69C" w:rsidR="003254FD" w:rsidRDefault="00D27366" w:rsidP="00B758B4">
      <w:pPr>
        <w:pStyle w:val="CETBodytext"/>
        <w:rPr>
          <w:rFonts w:cs="Arial"/>
        </w:rPr>
      </w:pPr>
      <w:r w:rsidRPr="007B5FF7">
        <w:rPr>
          <w:rFonts w:cs="Arial"/>
        </w:rPr>
        <w:t xml:space="preserve">Fermentation kinetics were described by modelling reducing sugar concentration using a five-parameter logistic regression (5PLR) implemented in </w:t>
      </w:r>
      <w:r w:rsidRPr="007B5FF7">
        <w:rPr>
          <w:rStyle w:val="whitespace-normal"/>
          <w:rFonts w:cs="Arial"/>
        </w:rPr>
        <w:t>R</w:t>
      </w:r>
      <w:r w:rsidRPr="007B5FF7">
        <w:rPr>
          <w:rFonts w:cs="Arial"/>
        </w:rPr>
        <w:t xml:space="preserve"> (v.4.0.3) with the </w:t>
      </w:r>
      <w:proofErr w:type="spellStart"/>
      <w:r w:rsidRPr="007B5FF7">
        <w:rPr>
          <w:rStyle w:val="whitespace-normal"/>
          <w:rFonts w:cs="Arial"/>
        </w:rPr>
        <w:t>drc</w:t>
      </w:r>
      <w:proofErr w:type="spellEnd"/>
      <w:r w:rsidRPr="007B5FF7">
        <w:rPr>
          <w:rFonts w:cs="Arial"/>
        </w:rPr>
        <w:t xml:space="preserve"> package</w:t>
      </w:r>
      <w:r w:rsidR="008F0D5A">
        <w:rPr>
          <w:rFonts w:cs="Arial"/>
        </w:rPr>
        <w:t xml:space="preserve"> </w:t>
      </w:r>
      <w:r w:rsidR="003254FD" w:rsidRPr="007B5FF7">
        <w:rPr>
          <w:rFonts w:cs="Arial"/>
        </w:rPr>
        <w:t xml:space="preserve">as described </w:t>
      </w:r>
      <w:r w:rsidR="00EF1825" w:rsidRPr="007B5FF7">
        <w:rPr>
          <w:rFonts w:cs="Arial"/>
        </w:rPr>
        <w:t xml:space="preserve">by </w:t>
      </w:r>
      <w:r w:rsidR="008F0D5A">
        <w:rPr>
          <w:rFonts w:cs="Arial"/>
        </w:rPr>
        <w:fldChar w:fldCharType="begin"/>
      </w:r>
      <w:r w:rsidR="0024734B">
        <w:rPr>
          <w:rFonts w:cs="Arial"/>
        </w:rPr>
        <w:instrText xml:space="preserve"> ADDIN ZOTERO_ITEM CSL_CITATION {"citationID":"SWbTdVH8","properties":{"formattedCitation":"(Pollon et al. 2025)","plainCitation":"(Pollon et al. 2025)","dontUpdate":true,"noteIndex":0},"citationItems":[{"id":946,"uris":["http://zotero.org/users/local/fTTxJexU/items/JPL5XEVR"],"itemData":{"id":946,"type":"article-journal","abstract":"The Avaferm® automatic yeast nutrition system was tested in comparison to manual nutrition management during the fermentation of white wines. To evaluate the two approaches, a factorial experimental design with interaction was established consisting of the two ways of nutrition (Avaferm® and Control) and two white grape varieties (Catarratto and Chardonnay). The experiments were conducted on an industrial scale, ensuring the practical relevance of the findings. The parameters that underwent evaluation encompassed a wide range of aspects, including the fermentation kinetics of sugars, the use of α-amino nitrogen and ammonium, as well as the technological and aromatic volatile composition of the wines.\nTo study the sugar consumption kinetics during fermentation, a new use of the 5-parameter logistic regression was applied to fit these compounds. The automatic nutrition showed a substantial similarity in the fermentative kinetics and in all cases, we have reached adequate sugar depletion (almost no residual fermentable sugars). Moreover, with regards to the composition of the wines, the two methods were found to be similar, although with a slightly higher concentration of residual YAN in the control nitrogen management. The wines obtained with Avaferm® showed a greater concentration in 3-oxo-α-ionol and a slightly lesser concentration in butanoic hexanoic, octanoic and decanoic acids as well as ethyl hexanoate, ethyl octanoate and ethyl decanoate. The variety factor as expected showed several differences, which can be explained by the chemical composition of the different grape musts.","container-title":"OENO One","DOI":"10.20870/oeno-one.2025.59.1.7750","ISSN":"2494-1271","issue":"1","language":"en","license":"Copyright (c) 2025 Matteo Pollon, Paola Bambina, Clara Vitaggio, Diego De Filippi, Filippo Amato, Luciano Cinquanta, Onofrio Corona (Author)","source":"oeno-one.eu","title":"An automatic fermentation nutrition system compared to a traditional one: fermentation performances and composition of white wines","title-short":"An automatic fermentation nutrition system compared to a traditional one","URL":"https://oeno-one.eu/article/view/7750","volume":"59","author":[{"family":"Pollon","given":"Matteo"},{"family":"Vitaggio","given":"Clara"},{"family":"Ghinolfi","given":"Fabrizio"},{"family":"Amato","given":"Filippo"},{"family":"Cinquanta","given":"Luciano"},{"family":"Corona","given":"Onofrio"}],"accessed":{"date-parts":[["2026",3,15]]},"issued":{"date-parts":[["2025",1,22]]}}}],"schema":"https://github.com/citation-style-language/schema/raw/master/csl-citation.json"} </w:instrText>
      </w:r>
      <w:r w:rsidR="008F0D5A">
        <w:rPr>
          <w:rFonts w:cs="Arial"/>
        </w:rPr>
        <w:fldChar w:fldCharType="separate"/>
      </w:r>
      <w:r w:rsidR="005C4E5C">
        <w:rPr>
          <w:rFonts w:cs="Arial"/>
          <w:noProof/>
        </w:rPr>
        <w:t>Pollon et al. (2025)</w:t>
      </w:r>
      <w:r w:rsidR="008F0D5A">
        <w:rPr>
          <w:rFonts w:cs="Arial"/>
        </w:rPr>
        <w:fldChar w:fldCharType="end"/>
      </w:r>
      <w:r w:rsidR="008F0D5A">
        <w:rPr>
          <w:rFonts w:cs="Arial"/>
        </w:rPr>
        <w:t>:</w:t>
      </w:r>
    </w:p>
    <w:p w14:paraId="20FD430F" w14:textId="77777777" w:rsidR="00B41C5B" w:rsidRPr="007B5FF7" w:rsidRDefault="00B41C5B" w:rsidP="00B758B4">
      <w:pPr>
        <w:pStyle w:val="CETBodytext"/>
        <w:rPr>
          <w:rFonts w:cs="Arial"/>
        </w:rPr>
      </w:pPr>
    </w:p>
    <w:p w14:paraId="7212AB4C" w14:textId="5E09EC50" w:rsidR="003254FD" w:rsidRDefault="003254FD" w:rsidP="001A25F8">
      <w:pPr>
        <w:pStyle w:val="CETBodytext"/>
        <w:jc w:val="center"/>
        <w:rPr>
          <w:rFonts w:cs="Arial"/>
        </w:rPr>
      </w:pPr>
      <m:oMath>
        <m:r>
          <w:rPr>
            <w:rFonts w:ascii="Cambria Math" w:hAnsi="Cambria Math" w:cs="Arial"/>
          </w:rPr>
          <m:t xml:space="preserve">S=c+ </m:t>
        </m:r>
        <m:f>
          <m:fPr>
            <m:ctrlPr>
              <w:rPr>
                <w:rFonts w:ascii="Cambria Math" w:hAnsi="Cambria Math" w:cs="Arial"/>
                <w:i/>
              </w:rPr>
            </m:ctrlPr>
          </m:fPr>
          <m:num>
            <m:r>
              <w:rPr>
                <w:rFonts w:ascii="Cambria Math" w:hAnsi="Cambria Math" w:cs="Arial"/>
              </w:rPr>
              <m:t>d-c</m:t>
            </m:r>
          </m:num>
          <m:den>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1+</m:t>
                    </m:r>
                    <m:sSup>
                      <m:sSupPr>
                        <m:ctrlPr>
                          <w:rPr>
                            <w:rFonts w:ascii="Cambria Math" w:hAnsi="Cambria Math" w:cs="Arial"/>
                            <w:i/>
                          </w:rPr>
                        </m:ctrlPr>
                      </m:sSupPr>
                      <m:e>
                        <m:r>
                          <w:rPr>
                            <w:rFonts w:ascii="Cambria Math" w:hAnsi="Cambria Math" w:cs="Arial"/>
                          </w:rPr>
                          <m:t>e</m:t>
                        </m:r>
                      </m:e>
                      <m:sup>
                        <m:r>
                          <w:rPr>
                            <w:rFonts w:ascii="Cambria Math" w:hAnsi="Cambria Math" w:cs="Arial"/>
                          </w:rPr>
                          <m:t>b</m:t>
                        </m:r>
                        <m:d>
                          <m:dPr>
                            <m:ctrlPr>
                              <w:rPr>
                                <w:rFonts w:ascii="Cambria Math" w:hAnsi="Cambria Math" w:cs="Arial"/>
                                <w:i/>
                              </w:rPr>
                            </m:ctrlPr>
                          </m:dPr>
                          <m:e>
                            <m:r>
                              <w:rPr>
                                <w:rFonts w:ascii="Cambria Math" w:hAnsi="Cambria Math" w:cs="Arial"/>
                              </w:rPr>
                              <m:t>t-ε</m:t>
                            </m:r>
                          </m:e>
                        </m:d>
                      </m:sup>
                    </m:sSup>
                  </m:e>
                </m:d>
              </m:e>
              <m:sup>
                <m:r>
                  <w:rPr>
                    <w:rFonts w:ascii="Cambria Math" w:hAnsi="Cambria Math" w:cs="Arial"/>
                  </w:rPr>
                  <m:t>f</m:t>
                </m:r>
              </m:sup>
            </m:sSup>
          </m:den>
        </m:f>
      </m:oMath>
      <w:r w:rsidR="00810741" w:rsidRPr="007B5FF7">
        <w:rPr>
          <w:rFonts w:cs="Arial"/>
        </w:rPr>
        <w:t xml:space="preserve"> (1)</w:t>
      </w:r>
    </w:p>
    <w:p w14:paraId="7B62A2AC" w14:textId="77777777" w:rsidR="00B41C5B" w:rsidRPr="007B5FF7" w:rsidRDefault="00B41C5B" w:rsidP="00B758B4">
      <w:pPr>
        <w:pStyle w:val="CETBodytext"/>
        <w:rPr>
          <w:rFonts w:cs="Arial"/>
        </w:rPr>
      </w:pPr>
    </w:p>
    <w:p w14:paraId="6C15B4C7" w14:textId="4080D47D" w:rsidR="003254FD" w:rsidRDefault="003254FD" w:rsidP="00B758B4">
      <w:pPr>
        <w:pStyle w:val="CETBodytext"/>
        <w:rPr>
          <w:rFonts w:cs="Arial"/>
        </w:rPr>
      </w:pPr>
      <w:r w:rsidRPr="007B5FF7">
        <w:rPr>
          <w:rFonts w:cs="Arial"/>
          <w:lang w:val="en-GB"/>
        </w:rPr>
        <w:t>W</w:t>
      </w:r>
      <w:r w:rsidRPr="007B5FF7">
        <w:rPr>
          <w:rFonts w:cs="Arial"/>
        </w:rPr>
        <w:t>here</w:t>
      </w:r>
      <w:r w:rsidR="00EF1825" w:rsidRPr="007B5FF7">
        <w:rPr>
          <w:rFonts w:cs="Arial"/>
        </w:rPr>
        <w:t xml:space="preserve"> </w:t>
      </w:r>
      <w:r w:rsidRPr="00CF2136">
        <w:rPr>
          <w:rFonts w:cs="Arial"/>
          <w:i/>
          <w:iCs/>
        </w:rPr>
        <w:t>S</w:t>
      </w:r>
      <w:r w:rsidRPr="007B5FF7">
        <w:rPr>
          <w:rFonts w:cs="Arial"/>
        </w:rPr>
        <w:t xml:space="preserve"> = the reducing sugar concentration </w:t>
      </w:r>
      <w:r w:rsidR="00EF1825" w:rsidRPr="007B5FF7">
        <w:rPr>
          <w:rFonts w:cs="Arial"/>
        </w:rPr>
        <w:t>(</w:t>
      </w:r>
      <w:r w:rsidRPr="007B5FF7">
        <w:rPr>
          <w:rFonts w:cs="Arial"/>
        </w:rPr>
        <w:t>g L</w:t>
      </w:r>
      <w:r w:rsidRPr="007B5FF7">
        <w:rPr>
          <w:rFonts w:cs="Arial"/>
          <w:vertAlign w:val="superscript"/>
        </w:rPr>
        <w:t>-1</w:t>
      </w:r>
      <w:r w:rsidR="00EF1825" w:rsidRPr="007B5FF7">
        <w:rPr>
          <w:rFonts w:cs="Arial"/>
        </w:rPr>
        <w:t xml:space="preserve">) and </w:t>
      </w:r>
      <w:proofErr w:type="spellStart"/>
      <w:r w:rsidR="00EF1825" w:rsidRPr="00CF2136">
        <w:rPr>
          <w:rFonts w:cs="Arial"/>
          <w:i/>
          <w:iCs/>
        </w:rPr>
        <w:t>t</w:t>
      </w:r>
      <w:proofErr w:type="spellEnd"/>
      <w:r w:rsidR="00EF1825" w:rsidRPr="007B5FF7">
        <w:rPr>
          <w:rFonts w:cs="Arial"/>
        </w:rPr>
        <w:t xml:space="preserve"> is time (days)</w:t>
      </w:r>
    </w:p>
    <w:p w14:paraId="562A402F" w14:textId="77777777" w:rsidR="00B41C5B" w:rsidRPr="007B5FF7" w:rsidRDefault="00B41C5B" w:rsidP="00B758B4">
      <w:pPr>
        <w:pStyle w:val="CETBodytext"/>
        <w:rPr>
          <w:rFonts w:cs="Arial"/>
        </w:rPr>
      </w:pPr>
    </w:p>
    <w:p w14:paraId="1E6A7FAA" w14:textId="5045F91D" w:rsidR="00B41C5B" w:rsidRPr="007B5FF7" w:rsidRDefault="00EF1825" w:rsidP="00EF1825">
      <w:pPr>
        <w:pStyle w:val="CETBodytext"/>
        <w:rPr>
          <w:rFonts w:cs="Arial"/>
        </w:rPr>
      </w:pPr>
      <w:r w:rsidRPr="007B5FF7">
        <w:rPr>
          <w:rFonts w:cs="Arial"/>
        </w:rPr>
        <w:t>Six standard time points were calculated to compare fermentation kinetics: 1 g L</w:t>
      </w:r>
      <w:r w:rsidRPr="007B5FF7">
        <w:rPr>
          <w:rFonts w:ascii="Cambria Math" w:hAnsi="Cambria Math" w:cs="Cambria Math"/>
        </w:rPr>
        <w:t>⁻</w:t>
      </w:r>
      <w:r w:rsidRPr="007B5FF7">
        <w:rPr>
          <w:rFonts w:cs="Arial"/>
        </w:rPr>
        <w:t>¹ fermented and 25%, 50%, 75% and 100% of initial sugars consumed.</w:t>
      </w:r>
      <w:r w:rsidR="00810741" w:rsidRPr="007B5FF7">
        <w:rPr>
          <w:rFonts w:cs="Arial"/>
        </w:rPr>
        <w:t xml:space="preserve"> </w:t>
      </w:r>
      <w:r w:rsidRPr="007B5FF7">
        <w:rPr>
          <w:rFonts w:cs="Arial"/>
        </w:rPr>
        <w:t xml:space="preserve">The fermentation inflection point was determined by setting the second derivative of </w:t>
      </w:r>
      <w:r w:rsidRPr="007B5FF7">
        <w:rPr>
          <w:rFonts w:cs="Arial"/>
          <w:i/>
          <w:iCs/>
        </w:rPr>
        <w:t>S</w:t>
      </w:r>
      <w:r w:rsidRPr="007B5FF7">
        <w:rPr>
          <w:rFonts w:cs="Arial"/>
        </w:rPr>
        <w:t xml:space="preserve"> with respect to</w:t>
      </w:r>
      <w:r w:rsidRPr="007B5FF7">
        <w:rPr>
          <w:rFonts w:cs="Arial"/>
          <w:i/>
          <w:iCs/>
        </w:rPr>
        <w:t xml:space="preserve"> t</w:t>
      </w:r>
      <w:r w:rsidRPr="007B5FF7">
        <w:rPr>
          <w:rFonts w:cs="Arial"/>
        </w:rPr>
        <w:t xml:space="preserve"> equal to zero: </w:t>
      </w:r>
    </w:p>
    <w:p w14:paraId="5694AD88" w14:textId="1FBD805A" w:rsidR="00EF1825" w:rsidRPr="001A25F8" w:rsidRDefault="00000000" w:rsidP="00A75726">
      <w:pPr>
        <w:pStyle w:val="CETBodytext"/>
        <w:jc w:val="center"/>
        <w:rPr>
          <w:rFonts w:cs="Arial"/>
        </w:rPr>
      </w:pPr>
      <m:oMathPara>
        <m:oMath>
          <m:sSub>
            <m:sSubPr>
              <m:ctrlPr>
                <w:rPr>
                  <w:rFonts w:ascii="Cambria Math" w:hAnsi="Cambria Math" w:cs="Arial"/>
                  <w:i/>
                </w:rPr>
              </m:ctrlPr>
            </m:sSubPr>
            <m:e>
              <m:d>
                <m:dPr>
                  <m:begChr m:val=""/>
                  <m:endChr m:val="|"/>
                  <m:ctrlPr>
                    <w:rPr>
                      <w:rFonts w:ascii="Cambria Math" w:hAnsi="Cambria Math" w:cs="Arial"/>
                      <w:i/>
                    </w:rPr>
                  </m:ctrlPr>
                </m:dPr>
                <m:e>
                  <m:r>
                    <w:rPr>
                      <w:rFonts w:ascii="Cambria Math" w:hAnsi="Cambria Math" w:cs="Arial"/>
                    </w:rPr>
                    <m:t>ε-</m:t>
                  </m:r>
                  <m:f>
                    <m:fPr>
                      <m:ctrlPr>
                        <w:rPr>
                          <w:rFonts w:ascii="Cambria Math" w:hAnsi="Cambria Math" w:cs="Arial"/>
                          <w:i/>
                        </w:rPr>
                      </m:ctrlPr>
                    </m:fPr>
                    <m:num>
                      <m:func>
                        <m:funcPr>
                          <m:ctrlPr>
                            <w:rPr>
                              <w:rFonts w:ascii="Cambria Math" w:hAnsi="Cambria Math" w:cs="Arial"/>
                              <w:i/>
                            </w:rPr>
                          </m:ctrlPr>
                        </m:funcPr>
                        <m:fName>
                          <m:r>
                            <m:rPr>
                              <m:sty m:val="p"/>
                            </m:rPr>
                            <w:rPr>
                              <w:rFonts w:ascii="Cambria Math" w:hAnsi="Cambria Math" w:cs="Arial"/>
                            </w:rPr>
                            <m:t>ln</m:t>
                          </m:r>
                        </m:fName>
                        <m:e>
                          <m:d>
                            <m:dPr>
                              <m:ctrlPr>
                                <w:rPr>
                                  <w:rFonts w:ascii="Cambria Math" w:hAnsi="Cambria Math" w:cs="Arial"/>
                                  <w:i/>
                                </w:rPr>
                              </m:ctrlPr>
                            </m:dPr>
                            <m:e>
                              <m:r>
                                <w:rPr>
                                  <w:rFonts w:ascii="Cambria Math" w:hAnsi="Cambria Math" w:cs="Arial"/>
                                </w:rPr>
                                <m:t>f</m:t>
                              </m:r>
                            </m:e>
                          </m:d>
                        </m:e>
                      </m:func>
                    </m:num>
                    <m:den>
                      <m:r>
                        <w:rPr>
                          <w:rFonts w:ascii="Cambria Math" w:hAnsi="Cambria Math" w:cs="Arial"/>
                        </w:rPr>
                        <m:t>b</m:t>
                      </m:r>
                    </m:den>
                  </m:f>
                </m:e>
              </m:d>
              <m:r>
                <w:rPr>
                  <w:rFonts w:ascii="Cambria Math" w:hAnsi="Cambria Math" w:cs="Arial"/>
                </w:rPr>
                <m:t>t</m:t>
              </m:r>
            </m:e>
            <m:sub>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d</m:t>
                      </m:r>
                    </m:e>
                    <m:sup>
                      <m:r>
                        <w:rPr>
                          <w:rFonts w:ascii="Cambria Math" w:hAnsi="Cambria Math" w:cs="Arial"/>
                        </w:rPr>
                        <m:t>2</m:t>
                      </m:r>
                    </m:sup>
                  </m:sSup>
                  <m:r>
                    <w:rPr>
                      <w:rFonts w:ascii="Cambria Math" w:hAnsi="Cambria Math" w:cs="Arial"/>
                    </w:rPr>
                    <m:t>S</m:t>
                  </m:r>
                </m:num>
                <m:den>
                  <m:r>
                    <w:rPr>
                      <w:rFonts w:ascii="Cambria Math" w:hAnsi="Cambria Math" w:cs="Arial"/>
                    </w:rPr>
                    <m:t>d</m:t>
                  </m:r>
                  <m:sSup>
                    <m:sSupPr>
                      <m:ctrlPr>
                        <w:rPr>
                          <w:rFonts w:ascii="Cambria Math" w:hAnsi="Cambria Math" w:cs="Arial"/>
                          <w:i/>
                        </w:rPr>
                      </m:ctrlPr>
                    </m:sSupPr>
                    <m:e>
                      <m:r>
                        <w:rPr>
                          <w:rFonts w:ascii="Cambria Math" w:hAnsi="Cambria Math" w:cs="Arial"/>
                        </w:rPr>
                        <m:t>t</m:t>
                      </m:r>
                    </m:e>
                    <m:sup>
                      <m:r>
                        <w:rPr>
                          <w:rFonts w:ascii="Cambria Math" w:hAnsi="Cambria Math" w:cs="Arial"/>
                        </w:rPr>
                        <m:t>2</m:t>
                      </m:r>
                    </m:sup>
                  </m:sSup>
                </m:den>
              </m:f>
              <m:r>
                <w:rPr>
                  <w:rFonts w:ascii="Cambria Math" w:hAnsi="Cambria Math" w:cs="Arial"/>
                </w:rPr>
                <m:t>=0</m:t>
              </m:r>
            </m:sub>
          </m:sSub>
          <m:r>
            <w:rPr>
              <w:rFonts w:ascii="Cambria Math" w:hAnsi="Cambria Math" w:cs="Arial"/>
            </w:rPr>
            <m:t xml:space="preserve">  (2)</m:t>
          </m:r>
        </m:oMath>
      </m:oMathPara>
    </w:p>
    <w:p w14:paraId="51618D64" w14:textId="470BFB0B" w:rsidR="00EF1825" w:rsidRPr="007B5FF7" w:rsidRDefault="0057328B" w:rsidP="00EF1825">
      <w:pPr>
        <w:pStyle w:val="CETBodytext"/>
        <w:rPr>
          <w:rFonts w:cs="Arial"/>
        </w:rPr>
      </w:pPr>
      <w:r w:rsidRPr="007B5FF7">
        <w:rPr>
          <w:rFonts w:cs="Arial"/>
        </w:rPr>
        <w:t>After fitting the 5PLR model, the inverse form of Eq. (1) was used to estimate the time corresponding to the selected sugar concentrations:</w:t>
      </w:r>
    </w:p>
    <w:p w14:paraId="1CED03A5" w14:textId="56AD6745" w:rsidR="00810741" w:rsidRPr="007B5FF7" w:rsidRDefault="00810741" w:rsidP="00CB5CB9">
      <w:pPr>
        <w:pStyle w:val="CETBodytext"/>
        <w:jc w:val="center"/>
        <w:rPr>
          <w:rFonts w:cs="Arial"/>
        </w:rPr>
      </w:pPr>
      <m:oMath>
        <m:r>
          <w:rPr>
            <w:rFonts w:ascii="Cambria Math" w:hAnsi="Cambria Math" w:cs="Arial"/>
          </w:rPr>
          <w:lastRenderedPageBreak/>
          <m:t xml:space="preserve">t= </m:t>
        </m:r>
        <m:f>
          <m:fPr>
            <m:ctrlPr>
              <w:rPr>
                <w:rFonts w:ascii="Cambria Math" w:hAnsi="Cambria Math" w:cs="Arial"/>
                <w:i/>
              </w:rPr>
            </m:ctrlPr>
          </m:fPr>
          <m:num>
            <m:r>
              <w:rPr>
                <w:rFonts w:ascii="Cambria Math" w:hAnsi="Cambria Math" w:cs="Arial"/>
              </w:rPr>
              <m:t>bε+</m:t>
            </m:r>
            <m:func>
              <m:funcPr>
                <m:ctrlPr>
                  <w:rPr>
                    <w:rFonts w:ascii="Cambria Math" w:hAnsi="Cambria Math" w:cs="Arial"/>
                    <w:i/>
                  </w:rPr>
                </m:ctrlPr>
              </m:funcPr>
              <m:fName>
                <m:r>
                  <m:rPr>
                    <m:sty m:val="p"/>
                  </m:rPr>
                  <w:rPr>
                    <w:rFonts w:ascii="Cambria Math" w:hAnsi="Cambria Math" w:cs="Arial"/>
                  </w:rPr>
                  <m:t>ln</m:t>
                </m:r>
              </m:fName>
              <m:e>
                <m:d>
                  <m:dPr>
                    <m:ctrlPr>
                      <w:rPr>
                        <w:rFonts w:ascii="Cambria Math" w:hAnsi="Cambria Math" w:cs="Arial"/>
                        <w:i/>
                      </w:rPr>
                    </m:ctrlPr>
                  </m:dPr>
                  <m:e>
                    <m:sSup>
                      <m:sSupPr>
                        <m:ctrlPr>
                          <w:rPr>
                            <w:rFonts w:ascii="Cambria Math" w:hAnsi="Cambria Math" w:cs="Arial"/>
                            <w:i/>
                          </w:rPr>
                        </m:ctrlPr>
                      </m:sSupPr>
                      <m:e>
                        <m:d>
                          <m:dPr>
                            <m:ctrlPr>
                              <w:rPr>
                                <w:rFonts w:ascii="Cambria Math" w:hAnsi="Cambria Math" w:cs="Arial"/>
                                <w:i/>
                              </w:rPr>
                            </m:ctrlPr>
                          </m:dPr>
                          <m:e>
                            <m:f>
                              <m:fPr>
                                <m:ctrlPr>
                                  <w:rPr>
                                    <w:rFonts w:ascii="Cambria Math" w:hAnsi="Cambria Math" w:cs="Arial"/>
                                    <w:i/>
                                  </w:rPr>
                                </m:ctrlPr>
                              </m:fPr>
                              <m:num>
                                <m:r>
                                  <w:rPr>
                                    <w:rFonts w:ascii="Cambria Math" w:hAnsi="Cambria Math" w:cs="Arial"/>
                                  </w:rPr>
                                  <m:t>c-d</m:t>
                                </m:r>
                              </m:num>
                              <m:den>
                                <m:r>
                                  <w:rPr>
                                    <w:rFonts w:ascii="Cambria Math" w:hAnsi="Cambria Math" w:cs="Arial"/>
                                  </w:rPr>
                                  <m:t>c-S</m:t>
                                </m:r>
                              </m:den>
                            </m:f>
                          </m:e>
                        </m:d>
                      </m:e>
                      <m:sup>
                        <m:f>
                          <m:fPr>
                            <m:ctrlPr>
                              <w:rPr>
                                <w:rFonts w:ascii="Cambria Math" w:hAnsi="Cambria Math" w:cs="Arial"/>
                                <w:i/>
                              </w:rPr>
                            </m:ctrlPr>
                          </m:fPr>
                          <m:num>
                            <m:r>
                              <w:rPr>
                                <w:rFonts w:ascii="Cambria Math" w:hAnsi="Cambria Math" w:cs="Arial"/>
                              </w:rPr>
                              <m:t>1</m:t>
                            </m:r>
                          </m:num>
                          <m:den>
                            <m:r>
                              <w:rPr>
                                <w:rFonts w:ascii="Cambria Math" w:hAnsi="Cambria Math" w:cs="Arial"/>
                              </w:rPr>
                              <m:t>f</m:t>
                            </m:r>
                          </m:den>
                        </m:f>
                      </m:sup>
                    </m:sSup>
                    <m:r>
                      <w:rPr>
                        <w:rFonts w:ascii="Cambria Math" w:hAnsi="Cambria Math" w:cs="Arial"/>
                      </w:rPr>
                      <m:t>-1</m:t>
                    </m:r>
                  </m:e>
                </m:d>
              </m:e>
            </m:func>
          </m:num>
          <m:den>
            <m:r>
              <w:rPr>
                <w:rFonts w:ascii="Cambria Math" w:hAnsi="Cambria Math" w:cs="Arial"/>
              </w:rPr>
              <m:t>b</m:t>
            </m:r>
          </m:den>
        </m:f>
      </m:oMath>
      <w:r w:rsidR="00533338" w:rsidRPr="007B5FF7">
        <w:rPr>
          <w:rFonts w:cs="Arial"/>
        </w:rPr>
        <w:t xml:space="preserve">  (3)</w:t>
      </w:r>
    </w:p>
    <w:p w14:paraId="3A4219D0" w14:textId="65AEFE62" w:rsidR="00EF1825" w:rsidRPr="008F0D5A" w:rsidRDefault="00533338" w:rsidP="00EF1825">
      <w:pPr>
        <w:pStyle w:val="CETBodytext"/>
        <w:rPr>
          <w:rFonts w:cs="Arial"/>
        </w:rPr>
      </w:pPr>
      <w:r w:rsidRPr="007B5FF7">
        <w:rPr>
          <w:rFonts w:cs="Arial"/>
        </w:rPr>
        <w:t xml:space="preserve">The calculated time points, inflection point, and maximum sugar consumption rate (minimum </w:t>
      </w:r>
      <w:proofErr w:type="spellStart"/>
      <w:r w:rsidRPr="007B5FF7">
        <w:rPr>
          <w:rStyle w:val="Enfasicorsivo"/>
          <w:rFonts w:cs="Arial"/>
        </w:rPr>
        <w:t>dS</w:t>
      </w:r>
      <w:proofErr w:type="spellEnd"/>
      <w:r w:rsidRPr="007B5FF7">
        <w:rPr>
          <w:rStyle w:val="Enfasicorsivo"/>
          <w:rFonts w:cs="Arial"/>
        </w:rPr>
        <w:t>/dt</w:t>
      </w:r>
      <w:r w:rsidRPr="007B5FF7">
        <w:rPr>
          <w:rFonts w:cs="Arial"/>
        </w:rPr>
        <w:t>) were used as kinetic variables</w:t>
      </w:r>
      <w:r>
        <w:t xml:space="preserve">. </w:t>
      </w:r>
      <w:r w:rsidRPr="00533338">
        <w:t xml:space="preserve">All data were </w:t>
      </w:r>
      <w:proofErr w:type="spellStart"/>
      <w:r w:rsidRPr="00533338">
        <w:t>analysed</w:t>
      </w:r>
      <w:proofErr w:type="spellEnd"/>
      <w:r w:rsidRPr="00533338">
        <w:t xml:space="preserve"> by factorial ANOVA including the interaction between variety and nutrition using R 4.0.3. When significant differences were detected (p &lt; 0.05), means were separated using Tukey’s HSD test (α = 0.05) with the </w:t>
      </w:r>
      <w:proofErr w:type="spellStart"/>
      <w:r w:rsidRPr="00A75726">
        <w:rPr>
          <w:i/>
          <w:iCs/>
        </w:rPr>
        <w:t>agricolae</w:t>
      </w:r>
      <w:proofErr w:type="spellEnd"/>
      <w:r w:rsidRPr="00533338">
        <w:t xml:space="preserve"> package</w:t>
      </w:r>
      <w:r w:rsidR="008F0D5A">
        <w:t xml:space="preserve">. </w:t>
      </w:r>
      <w:r w:rsidR="0070643F" w:rsidRPr="008F0D5A">
        <w:rPr>
          <w:rFonts w:cs="Arial"/>
          <w:lang w:val="en-GB"/>
        </w:rPr>
        <w:t xml:space="preserve">All measurements were performed in duplicate experimental replicates, each </w:t>
      </w:r>
      <w:proofErr w:type="spellStart"/>
      <w:r w:rsidR="0070643F" w:rsidRPr="008F0D5A">
        <w:rPr>
          <w:rFonts w:cs="Arial"/>
          <w:lang w:val="en-GB"/>
        </w:rPr>
        <w:t>analyzed</w:t>
      </w:r>
      <w:proofErr w:type="spellEnd"/>
      <w:r w:rsidR="0070643F" w:rsidRPr="008F0D5A">
        <w:rPr>
          <w:rFonts w:cs="Arial"/>
          <w:lang w:val="en-GB"/>
        </w:rPr>
        <w:t xml:space="preserve"> with two analytical replicates.</w:t>
      </w:r>
    </w:p>
    <w:p w14:paraId="2017E888" w14:textId="0540269B" w:rsidR="007762EC" w:rsidRDefault="003408E1" w:rsidP="00CF6E97">
      <w:pPr>
        <w:pStyle w:val="CETHeading1"/>
      </w:pPr>
      <w:r>
        <w:t xml:space="preserve">Results </w:t>
      </w:r>
      <w:r w:rsidR="002539F3">
        <w:t>and discussion</w:t>
      </w:r>
    </w:p>
    <w:p w14:paraId="0F17BA9D" w14:textId="6CC133A0" w:rsidR="00B42037" w:rsidRDefault="00D009B0" w:rsidP="00CF6E97">
      <w:pPr>
        <w:pStyle w:val="CETBodytext"/>
        <w:rPr>
          <w:rStyle w:val="normaltextrun"/>
          <w:szCs w:val="18"/>
        </w:rPr>
      </w:pPr>
      <w:r w:rsidRPr="00D009B0">
        <w:rPr>
          <w:rStyle w:val="normaltextrun"/>
          <w:szCs w:val="18"/>
        </w:rPr>
        <w:t>The results showed significant differences related to temperature and sugar consumption kinetics. As expected, fermentative kinetics at 20 °C exhibit a higher sugar consumption rate in all phases, achieving fermentative dryness 2.2 days earlier compared to fermentations conducted at 15 °C with a respective maximum fermentative </w:t>
      </w:r>
      <w:r w:rsidR="00106C16" w:rsidRPr="00D009B0">
        <w:rPr>
          <w:rStyle w:val="normaltextrun"/>
          <w:szCs w:val="18"/>
        </w:rPr>
        <w:t>vigor</w:t>
      </w:r>
      <w:r w:rsidRPr="00D009B0">
        <w:rPr>
          <w:rStyle w:val="normaltextrun"/>
          <w:szCs w:val="18"/>
        </w:rPr>
        <w:t> of -94 ± 3 g L</w:t>
      </w:r>
      <w:r w:rsidRPr="00D009B0">
        <w:rPr>
          <w:rStyle w:val="normaltextrun"/>
          <w:szCs w:val="18"/>
          <w:vertAlign w:val="superscript"/>
        </w:rPr>
        <w:t>-1</w:t>
      </w:r>
      <w:r w:rsidRPr="00D009B0">
        <w:rPr>
          <w:rStyle w:val="normaltextrun"/>
          <w:szCs w:val="18"/>
        </w:rPr>
        <w:t> day</w:t>
      </w:r>
      <w:r w:rsidRPr="00D009B0">
        <w:rPr>
          <w:rStyle w:val="normaltextrun"/>
          <w:szCs w:val="18"/>
          <w:vertAlign w:val="superscript"/>
        </w:rPr>
        <w:t>-1</w:t>
      </w:r>
      <w:r w:rsidRPr="00D009B0">
        <w:rPr>
          <w:rStyle w:val="normaltextrun"/>
          <w:szCs w:val="18"/>
        </w:rPr>
        <w:t> versus -50 ± 2 g L</w:t>
      </w:r>
      <w:r w:rsidRPr="00D009B0">
        <w:rPr>
          <w:rStyle w:val="normaltextrun"/>
          <w:szCs w:val="18"/>
          <w:vertAlign w:val="superscript"/>
        </w:rPr>
        <w:t>-1</w:t>
      </w:r>
      <w:r w:rsidRPr="00D009B0">
        <w:rPr>
          <w:rStyle w:val="normaltextrun"/>
          <w:szCs w:val="18"/>
        </w:rPr>
        <w:t> day</w:t>
      </w:r>
      <w:r w:rsidRPr="00D009B0">
        <w:rPr>
          <w:rStyle w:val="normaltextrun"/>
          <w:szCs w:val="18"/>
          <w:vertAlign w:val="superscript"/>
        </w:rPr>
        <w:t>-1</w:t>
      </w:r>
      <w:r w:rsidRPr="00D009B0">
        <w:rPr>
          <w:rStyle w:val="normaltextrun"/>
          <w:szCs w:val="18"/>
        </w:rPr>
        <w:t>, resulting in different kinetics of energy release (Figure 1).</w:t>
      </w:r>
      <w:r w:rsidR="00525CCA">
        <w:rPr>
          <w:rStyle w:val="normaltextrun"/>
          <w:szCs w:val="18"/>
        </w:rPr>
        <w:t xml:space="preserve"> </w:t>
      </w:r>
      <w:r w:rsidR="005E0E37">
        <w:t>However, no significant differences were observed between the two yeast strains in sugar consumption kinetics.</w:t>
      </w:r>
    </w:p>
    <w:p w14:paraId="054F5043" w14:textId="6977B93F" w:rsidR="00946409" w:rsidRDefault="00FF6A8B" w:rsidP="00CF6E97">
      <w:pPr>
        <w:pStyle w:val="CETBodytext"/>
        <w:rPr>
          <w:rStyle w:val="normaltextrun"/>
          <w:szCs w:val="18"/>
        </w:rPr>
      </w:pPr>
      <w:r>
        <w:rPr>
          <w:noProof/>
          <w:szCs w:val="18"/>
        </w:rPr>
        <w:drawing>
          <wp:inline distT="0" distB="0" distL="0" distR="0" wp14:anchorId="310A8B91" wp14:editId="3F09A150">
            <wp:extent cx="3861881" cy="2416807"/>
            <wp:effectExtent l="0" t="0" r="0" b="0"/>
            <wp:docPr id="77867137" name="Immagine 1" descr="Immagine che contiene testo, schermata, diagramm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67137" name="Immagine 1" descr="Immagine che contiene testo, schermata, diagramma, Diagramma&#10;&#10;Descrizione generata automaticamente"/>
                    <pic:cNvPicPr/>
                  </pic:nvPicPr>
                  <pic:blipFill>
                    <a:blip r:embed="rId10"/>
                    <a:stretch>
                      <a:fillRect/>
                    </a:stretch>
                  </pic:blipFill>
                  <pic:spPr>
                    <a:xfrm>
                      <a:off x="0" y="0"/>
                      <a:ext cx="3875521" cy="2425343"/>
                    </a:xfrm>
                    <a:prstGeom prst="rect">
                      <a:avLst/>
                    </a:prstGeom>
                  </pic:spPr>
                </pic:pic>
              </a:graphicData>
            </a:graphic>
          </wp:inline>
        </w:drawing>
      </w:r>
    </w:p>
    <w:p w14:paraId="58A84C48" w14:textId="5C824943" w:rsidR="00300A14" w:rsidRPr="00A75726" w:rsidRDefault="001D48F9" w:rsidP="00A75726">
      <w:pPr>
        <w:pStyle w:val="CETBodytext"/>
        <w:rPr>
          <w:b/>
          <w:bCs/>
          <w:i/>
          <w:iCs/>
        </w:rPr>
      </w:pPr>
      <w:r w:rsidRPr="00A75726">
        <w:rPr>
          <w:i/>
          <w:iCs/>
        </w:rPr>
        <w:t>Figure</w:t>
      </w:r>
      <w:r w:rsidR="00DB3A3F" w:rsidRPr="00A75726">
        <w:rPr>
          <w:i/>
          <w:iCs/>
        </w:rPr>
        <w:t xml:space="preserve"> 1</w:t>
      </w:r>
      <w:r w:rsidR="008D7E95" w:rsidRPr="00A75726">
        <w:rPr>
          <w:i/>
          <w:iCs/>
        </w:rPr>
        <w:t>:</w:t>
      </w:r>
      <w:r w:rsidR="00805A40" w:rsidRPr="00A75726">
        <w:rPr>
          <w:i/>
          <w:iCs/>
        </w:rPr>
        <w:t xml:space="preserve"> Fermentation kinetics. </w:t>
      </w:r>
      <w:r w:rsidR="00805A40" w:rsidRPr="00FF6A8B">
        <w:rPr>
          <w:rStyle w:val="Enfasigrassetto"/>
          <w:rFonts w:cs="Arial"/>
          <w:b w:val="0"/>
          <w:bCs w:val="0"/>
          <w:i/>
          <w:iCs/>
          <w:color w:val="000000" w:themeColor="text1"/>
        </w:rPr>
        <w:t>Left</w:t>
      </w:r>
      <w:r w:rsidR="00805A40" w:rsidRPr="00FF6A8B">
        <w:rPr>
          <w:rStyle w:val="Enfasigrassetto"/>
          <w:rFonts w:cs="Arial"/>
          <w:i/>
          <w:iCs/>
          <w:color w:val="000000" w:themeColor="text1"/>
        </w:rPr>
        <w:t>:</w:t>
      </w:r>
      <w:r w:rsidR="00805A40" w:rsidRPr="00A75726">
        <w:rPr>
          <w:i/>
          <w:iCs/>
        </w:rPr>
        <w:t xml:space="preserve"> Time required to reach 25%, 50%, 75% </w:t>
      </w:r>
      <w:r w:rsidR="00DD50EB" w:rsidRPr="00A75726">
        <w:rPr>
          <w:i/>
          <w:iCs/>
        </w:rPr>
        <w:t xml:space="preserve">and 100% </w:t>
      </w:r>
      <w:r w:rsidR="00805A40" w:rsidRPr="00A75726">
        <w:rPr>
          <w:i/>
          <w:iCs/>
        </w:rPr>
        <w:t>sugar consumption and to attain 1 g L</w:t>
      </w:r>
      <w:r w:rsidR="00805A40" w:rsidRPr="00A75726">
        <w:rPr>
          <w:rFonts w:ascii="Cambria Math" w:hAnsi="Cambria Math" w:cs="Cambria Math"/>
          <w:i/>
          <w:iCs/>
        </w:rPr>
        <w:t>⁻</w:t>
      </w:r>
      <w:r w:rsidR="00805A40" w:rsidRPr="00A75726">
        <w:rPr>
          <w:i/>
          <w:iCs/>
        </w:rPr>
        <w:t xml:space="preserve">¹ residual sugar during fermentations conducted. </w:t>
      </w:r>
      <w:r w:rsidR="00805A40" w:rsidRPr="00FF6A8B">
        <w:rPr>
          <w:rStyle w:val="Enfasigrassetto"/>
          <w:rFonts w:cs="Arial"/>
          <w:b w:val="0"/>
          <w:bCs w:val="0"/>
          <w:i/>
          <w:iCs/>
          <w:color w:val="000000" w:themeColor="text1"/>
        </w:rPr>
        <w:t>Right</w:t>
      </w:r>
      <w:r w:rsidR="00805A40" w:rsidRPr="00FF6A8B">
        <w:rPr>
          <w:rStyle w:val="Enfasigrassetto"/>
          <w:rFonts w:cs="Arial"/>
          <w:i/>
          <w:iCs/>
          <w:color w:val="000000" w:themeColor="text1"/>
        </w:rPr>
        <w:t>:</w:t>
      </w:r>
      <w:r w:rsidR="00805A40" w:rsidRPr="00A75726">
        <w:rPr>
          <w:i/>
          <w:iCs/>
        </w:rPr>
        <w:t xml:space="preserve"> Maximum fermentation rate observed at the two temperatures. </w:t>
      </w:r>
      <w:r w:rsidR="009323C6" w:rsidRPr="00A75726">
        <w:rPr>
          <w:i/>
          <w:iCs/>
        </w:rPr>
        <w:t xml:space="preserve">Fermentation kinetics </w:t>
      </w:r>
      <w:r w:rsidR="001B3101" w:rsidRPr="00A75726">
        <w:rPr>
          <w:i/>
          <w:iCs/>
        </w:rPr>
        <w:t xml:space="preserve">at different temperatures (A) and different yeast strain (C) </w:t>
      </w:r>
      <w:r w:rsidR="009323C6" w:rsidRPr="00A75726">
        <w:rPr>
          <w:i/>
          <w:iCs/>
        </w:rPr>
        <w:t>and Maximum fermentation</w:t>
      </w:r>
      <w:r w:rsidR="001B3101" w:rsidRPr="00A75726">
        <w:rPr>
          <w:i/>
          <w:iCs/>
        </w:rPr>
        <w:t xml:space="preserve"> at different temperatures (B) and different yeast strain (D).</w:t>
      </w:r>
      <w:r w:rsidR="009323C6" w:rsidRPr="00A75726">
        <w:rPr>
          <w:i/>
          <w:iCs/>
        </w:rPr>
        <w:t xml:space="preserve"> </w:t>
      </w:r>
      <w:r w:rsidR="00805A40" w:rsidRPr="00A75726">
        <w:rPr>
          <w:i/>
          <w:iCs/>
        </w:rPr>
        <w:t>Sign. =ANOVA, ns = not significant, * = 90 % of significance, ** = 99 % of significance, *** = 99 % of significance.</w:t>
      </w:r>
    </w:p>
    <w:p w14:paraId="6583469B" w14:textId="77777777" w:rsidR="00300A14" w:rsidRPr="00300A14" w:rsidRDefault="00300A14" w:rsidP="00300A14"/>
    <w:p w14:paraId="7A8367EA" w14:textId="348085DF" w:rsidR="00DC5804" w:rsidRDefault="00DC5804" w:rsidP="00300A14">
      <w:pPr>
        <w:pStyle w:val="CETBodytext"/>
        <w:rPr>
          <w:lang w:val="en-GB"/>
        </w:rPr>
      </w:pPr>
      <w:r w:rsidRPr="00DC5804">
        <w:rPr>
          <w:lang w:val="en-GB"/>
        </w:rPr>
        <w:t>As has already been observed, the increase in fermentation temperature causes an increase in the production of glycerol and fermentative acid</w:t>
      </w:r>
      <w:r>
        <w:rPr>
          <w:lang w:val="en-GB"/>
        </w:rPr>
        <w:t xml:space="preserve">s </w:t>
      </w:r>
      <w:r>
        <w:rPr>
          <w:lang w:val="en-GB"/>
        </w:rPr>
        <w:fldChar w:fldCharType="begin"/>
      </w:r>
      <w:r>
        <w:rPr>
          <w:lang w:val="en-GB"/>
        </w:rPr>
        <w:instrText xml:space="preserve"> ADDIN ZOTERO_ITEM CSL_CITATION {"citationID":"2BU21BQQ","properties":{"formattedCitation":"(Gao et al. 2019)","plainCitation":"(Gao et al. 2019)","noteIndex":0},"citationItems":[{"id":977,"uris":["http://zotero.org/users/local/fTTxJexU/items/QXDPQCLT"],"itemData":{"id":977,"type":"article-journal","abstract":"Increasing glycerol production in low-temperature wine fermentation is of concern for winemakers to improve the quality of wines. The objective of this study was to investigate the effect of 10 different Saccharomyces cerevisiae on the kinetics of production of glycerol, ethanol and the activities of glycerol-3-phosphate dehydrogenase (GPD) and alcohol dehydrogenase (ADH) in low-temperature fermentation. Ethanol production was influenced by temperature, and it was slightly higher at 13 °C than at 25 °C. Glycerol yields were significantly affected by both temperature and strains. More glycerol was produced at 25 °C than at 13 °C because the activity of GPD was higher at 25 °C than at 13 °C. Glycerol production of the different yeast strains was up to 3.19 and 3.18 g L−1 at 25 and 13 °C, respectively. Therefore, isolating the yeast strains with high glycerol production and adaptation to low-temperature fermentation is still the best method in winemaking.","container-title":"International Journal of Food Science and Technology","DOI":"10.1111/ijfs.13910","ISSN":"0950-5423","issue":"1","journalAbbreviation":"Int J Food Sci Tech","page":"102-110","source":"Silverchair","title":"The glycerol and ethanol production kinetics in low-temperature wine fermentation using Saccharomyces cerevisiae yeast strains","volume":"54","author":[{"family":"Gao","given":"Yu-Ting"},{"family":"Zhang","given":"Yu-Shu"},{"family":"Wen","given":"Xiang"},{"family":"Song","given":"Xiao-Wan"},{"family":"Meng","given":"Dan"},{"family":"Li","given":"Bing-Juan"},{"family":"Wang","given":"Mei-Yan"},{"family":"Tao","given":"Yong-Qing"},{"family":"Zhao","given":"Hui"},{"family":"Guan","given":"Wen-Qiang"},{"family":"Du","given":"Gang"}],"issued":{"date-parts":[["2019",1,1]]}}}],"schema":"https://github.com/citation-style-language/schema/raw/master/csl-citation.json"} </w:instrText>
      </w:r>
      <w:r>
        <w:rPr>
          <w:lang w:val="en-GB"/>
        </w:rPr>
        <w:fldChar w:fldCharType="separate"/>
      </w:r>
      <w:r>
        <w:rPr>
          <w:noProof/>
          <w:lang w:val="en-GB"/>
        </w:rPr>
        <w:t>(Gao et al. 2019)</w:t>
      </w:r>
      <w:r>
        <w:rPr>
          <w:lang w:val="en-GB"/>
        </w:rPr>
        <w:fldChar w:fldCharType="end"/>
      </w:r>
      <w:r>
        <w:rPr>
          <w:lang w:val="en-GB"/>
        </w:rPr>
        <w:t>, w</w:t>
      </w:r>
      <w:r w:rsidRPr="00DC5804">
        <w:rPr>
          <w:lang w:val="en-GB"/>
        </w:rPr>
        <w:t>hile the different yeasts did not affect the technological parameters of the wines processed</w:t>
      </w:r>
      <w:r>
        <w:rPr>
          <w:lang w:val="en-GB"/>
        </w:rPr>
        <w:t xml:space="preserve">. </w:t>
      </w:r>
    </w:p>
    <w:p w14:paraId="4B86B2D5" w14:textId="77777777" w:rsidR="00DC5804" w:rsidRPr="00DC5804" w:rsidRDefault="00DC5804" w:rsidP="00300A14">
      <w:pPr>
        <w:pStyle w:val="CETBodytext"/>
        <w:rPr>
          <w:lang w:val="en-GB"/>
        </w:rPr>
      </w:pPr>
    </w:p>
    <w:p w14:paraId="2A421415" w14:textId="77777777" w:rsidR="00300A14" w:rsidRPr="008D7E95" w:rsidRDefault="00300A14" w:rsidP="00300A14">
      <w:pPr>
        <w:pStyle w:val="Didascalia"/>
        <w:keepNext/>
        <w:rPr>
          <w:b w:val="0"/>
          <w:bCs w:val="0"/>
          <w:i/>
          <w:iCs/>
          <w:color w:val="000000" w:themeColor="text1"/>
        </w:rPr>
      </w:pPr>
      <w:r w:rsidRPr="008D7E95">
        <w:rPr>
          <w:b w:val="0"/>
          <w:bCs w:val="0"/>
          <w:i/>
          <w:iCs/>
          <w:color w:val="000000" w:themeColor="text1"/>
        </w:rPr>
        <w:t xml:space="preserve">Table </w:t>
      </w:r>
      <w:r w:rsidRPr="008D7E95">
        <w:rPr>
          <w:b w:val="0"/>
          <w:bCs w:val="0"/>
          <w:i/>
          <w:iCs/>
          <w:color w:val="000000" w:themeColor="text1"/>
        </w:rPr>
        <w:fldChar w:fldCharType="begin"/>
      </w:r>
      <w:r w:rsidRPr="008D7E95">
        <w:rPr>
          <w:b w:val="0"/>
          <w:bCs w:val="0"/>
          <w:i/>
          <w:iCs/>
          <w:color w:val="000000" w:themeColor="text1"/>
        </w:rPr>
        <w:instrText xml:space="preserve"> SEQ Table \* ARABIC </w:instrText>
      </w:r>
      <w:r w:rsidRPr="008D7E95">
        <w:rPr>
          <w:b w:val="0"/>
          <w:bCs w:val="0"/>
          <w:i/>
          <w:iCs/>
          <w:color w:val="000000" w:themeColor="text1"/>
        </w:rPr>
        <w:fldChar w:fldCharType="separate"/>
      </w:r>
      <w:r w:rsidRPr="008D7E95">
        <w:rPr>
          <w:b w:val="0"/>
          <w:bCs w:val="0"/>
          <w:i/>
          <w:iCs/>
          <w:noProof/>
          <w:color w:val="000000" w:themeColor="text1"/>
        </w:rPr>
        <w:t>1</w:t>
      </w:r>
      <w:r w:rsidRPr="008D7E95">
        <w:rPr>
          <w:b w:val="0"/>
          <w:bCs w:val="0"/>
          <w:i/>
          <w:iCs/>
          <w:color w:val="000000" w:themeColor="text1"/>
        </w:rPr>
        <w:fldChar w:fldCharType="end"/>
      </w:r>
      <w:r>
        <w:rPr>
          <w:b w:val="0"/>
          <w:bCs w:val="0"/>
          <w:i/>
          <w:iCs/>
          <w:color w:val="000000" w:themeColor="text1"/>
        </w:rPr>
        <w:t>:</w:t>
      </w:r>
      <w:r w:rsidRPr="008D7E95">
        <w:rPr>
          <w:b w:val="0"/>
          <w:bCs w:val="0"/>
          <w:i/>
          <w:iCs/>
          <w:color w:val="000000" w:themeColor="text1"/>
        </w:rPr>
        <w:t xml:space="preserve"> Wine physical-chemical composition</w:t>
      </w:r>
    </w:p>
    <w:tbl>
      <w:tblPr>
        <w:tblW w:w="9445" w:type="dxa"/>
        <w:tblCellMar>
          <w:left w:w="70" w:type="dxa"/>
          <w:right w:w="70" w:type="dxa"/>
        </w:tblCellMar>
        <w:tblLook w:val="04A0" w:firstRow="1" w:lastRow="0" w:firstColumn="1" w:lastColumn="0" w:noHBand="0" w:noVBand="1"/>
      </w:tblPr>
      <w:tblGrid>
        <w:gridCol w:w="1188"/>
        <w:gridCol w:w="978"/>
        <w:gridCol w:w="1404"/>
        <w:gridCol w:w="735"/>
        <w:gridCol w:w="239"/>
        <w:gridCol w:w="1223"/>
        <w:gridCol w:w="1334"/>
        <w:gridCol w:w="1134"/>
        <w:gridCol w:w="1007"/>
        <w:gridCol w:w="203"/>
      </w:tblGrid>
      <w:tr w:rsidR="00300A14" w:rsidRPr="001669FB" w14:paraId="7733B4D3" w14:textId="77777777" w:rsidTr="00B45861">
        <w:trPr>
          <w:gridAfter w:val="1"/>
          <w:wAfter w:w="204" w:type="dxa"/>
          <w:trHeight w:val="509"/>
        </w:trPr>
        <w:tc>
          <w:tcPr>
            <w:tcW w:w="1188" w:type="dxa"/>
            <w:vMerge w:val="restart"/>
            <w:tcBorders>
              <w:top w:val="single" w:sz="4" w:space="0" w:color="auto"/>
              <w:left w:val="nil"/>
              <w:bottom w:val="single" w:sz="4" w:space="0" w:color="000000"/>
              <w:right w:val="nil"/>
            </w:tcBorders>
            <w:noWrap/>
            <w:vAlign w:val="center"/>
            <w:hideMark/>
          </w:tcPr>
          <w:p w14:paraId="4409245F" w14:textId="77777777" w:rsidR="00300A14" w:rsidRPr="001669FB" w:rsidRDefault="00300A14" w:rsidP="00B45861">
            <w:pPr>
              <w:tabs>
                <w:tab w:val="clear" w:pos="7100"/>
              </w:tabs>
              <w:spacing w:line="240" w:lineRule="auto"/>
              <w:jc w:val="center"/>
              <w:rPr>
                <w:rFonts w:cs="Arial"/>
                <w:color w:val="000000"/>
                <w:szCs w:val="18"/>
                <w:lang w:val="it-IT" w:eastAsia="it-IT"/>
              </w:rPr>
            </w:pPr>
            <w:proofErr w:type="spellStart"/>
            <w:r w:rsidRPr="001669FB">
              <w:rPr>
                <w:rFonts w:cs="Arial"/>
                <w:color w:val="000000"/>
                <w:szCs w:val="18"/>
                <w:lang w:val="it-IT" w:eastAsia="it-IT"/>
              </w:rPr>
              <w:t>Factor</w:t>
            </w:r>
            <w:proofErr w:type="spellEnd"/>
          </w:p>
        </w:tc>
        <w:tc>
          <w:tcPr>
            <w:tcW w:w="978" w:type="dxa"/>
            <w:vMerge w:val="restart"/>
            <w:tcBorders>
              <w:top w:val="single" w:sz="4" w:space="0" w:color="auto"/>
              <w:left w:val="nil"/>
              <w:bottom w:val="single" w:sz="4" w:space="0" w:color="000000"/>
              <w:right w:val="nil"/>
            </w:tcBorders>
            <w:noWrap/>
            <w:vAlign w:val="center"/>
            <w:hideMark/>
          </w:tcPr>
          <w:p w14:paraId="2DC539F0" w14:textId="77777777" w:rsidR="00300A14" w:rsidRDefault="00300A14" w:rsidP="00B45861">
            <w:pPr>
              <w:tabs>
                <w:tab w:val="clear" w:pos="7100"/>
              </w:tabs>
              <w:spacing w:line="240" w:lineRule="auto"/>
              <w:jc w:val="center"/>
              <w:rPr>
                <w:rFonts w:cs="Arial"/>
                <w:color w:val="000000"/>
                <w:szCs w:val="18"/>
                <w:lang w:val="it-IT" w:eastAsia="it-IT"/>
              </w:rPr>
            </w:pPr>
            <w:r w:rsidRPr="001669FB">
              <w:rPr>
                <w:rFonts w:cs="Arial"/>
                <w:color w:val="000000"/>
                <w:szCs w:val="18"/>
                <w:lang w:val="it-IT" w:eastAsia="it-IT"/>
              </w:rPr>
              <w:t xml:space="preserve">Alcohol </w:t>
            </w:r>
          </w:p>
          <w:p w14:paraId="024C7579" w14:textId="77777777" w:rsidR="00300A14" w:rsidRPr="001669FB" w:rsidRDefault="00300A14" w:rsidP="00B45861">
            <w:pPr>
              <w:tabs>
                <w:tab w:val="clear" w:pos="7100"/>
              </w:tabs>
              <w:spacing w:line="240" w:lineRule="auto"/>
              <w:jc w:val="center"/>
              <w:rPr>
                <w:rFonts w:cs="Arial"/>
                <w:color w:val="000000"/>
                <w:szCs w:val="18"/>
                <w:lang w:val="it-IT" w:eastAsia="it-IT"/>
              </w:rPr>
            </w:pPr>
            <w:r w:rsidRPr="001669FB">
              <w:rPr>
                <w:rFonts w:cs="Arial"/>
                <w:color w:val="000000"/>
                <w:szCs w:val="18"/>
                <w:lang w:val="it-IT" w:eastAsia="it-IT"/>
              </w:rPr>
              <w:t xml:space="preserve">(% </w:t>
            </w:r>
            <w:proofErr w:type="spellStart"/>
            <w:r w:rsidRPr="001669FB">
              <w:rPr>
                <w:rFonts w:cs="Arial"/>
                <w:color w:val="000000"/>
                <w:szCs w:val="18"/>
                <w:lang w:val="it-IT" w:eastAsia="it-IT"/>
              </w:rPr>
              <w:t>vol</w:t>
            </w:r>
            <w:proofErr w:type="spellEnd"/>
            <w:r w:rsidRPr="001669FB">
              <w:rPr>
                <w:rFonts w:cs="Arial"/>
                <w:color w:val="000000"/>
                <w:szCs w:val="18"/>
                <w:lang w:val="it-IT" w:eastAsia="it-IT"/>
              </w:rPr>
              <w:t>)</w:t>
            </w:r>
          </w:p>
        </w:tc>
        <w:tc>
          <w:tcPr>
            <w:tcW w:w="1404" w:type="dxa"/>
            <w:vMerge w:val="restart"/>
            <w:tcBorders>
              <w:top w:val="single" w:sz="4" w:space="0" w:color="auto"/>
              <w:left w:val="nil"/>
              <w:bottom w:val="single" w:sz="4" w:space="0" w:color="000000"/>
              <w:right w:val="nil"/>
            </w:tcBorders>
            <w:noWrap/>
            <w:vAlign w:val="center"/>
            <w:hideMark/>
          </w:tcPr>
          <w:p w14:paraId="4A4348CC" w14:textId="77777777" w:rsidR="00300A14" w:rsidRPr="001669FB" w:rsidRDefault="00300A14" w:rsidP="00B45861">
            <w:pPr>
              <w:tabs>
                <w:tab w:val="clear" w:pos="7100"/>
              </w:tabs>
              <w:spacing w:line="240" w:lineRule="auto"/>
              <w:jc w:val="center"/>
              <w:rPr>
                <w:rFonts w:cs="Arial"/>
                <w:color w:val="000000"/>
                <w:szCs w:val="18"/>
                <w:lang w:val="it-IT" w:eastAsia="it-IT"/>
              </w:rPr>
            </w:pPr>
            <w:proofErr w:type="spellStart"/>
            <w:r w:rsidRPr="001669FB">
              <w:rPr>
                <w:rFonts w:cs="Arial"/>
                <w:color w:val="000000"/>
                <w:szCs w:val="18"/>
                <w:lang w:val="it-IT" w:eastAsia="it-IT"/>
              </w:rPr>
              <w:t>Reducing</w:t>
            </w:r>
            <w:proofErr w:type="spellEnd"/>
            <w:r w:rsidRPr="001669FB">
              <w:rPr>
                <w:rFonts w:cs="Arial"/>
                <w:color w:val="000000"/>
                <w:szCs w:val="18"/>
                <w:lang w:val="it-IT" w:eastAsia="it-IT"/>
              </w:rPr>
              <w:t xml:space="preserve"> sugar (g L</w:t>
            </w:r>
            <w:r w:rsidRPr="001669FB">
              <w:rPr>
                <w:rFonts w:cs="Arial"/>
                <w:color w:val="000000"/>
                <w:szCs w:val="18"/>
                <w:vertAlign w:val="superscript"/>
                <w:lang w:val="it-IT" w:eastAsia="it-IT"/>
              </w:rPr>
              <w:t>-1</w:t>
            </w:r>
            <w:r w:rsidRPr="001669FB">
              <w:rPr>
                <w:rFonts w:cs="Arial"/>
                <w:color w:val="000000"/>
                <w:szCs w:val="18"/>
                <w:lang w:val="it-IT" w:eastAsia="it-IT"/>
              </w:rPr>
              <w:t>)</w:t>
            </w:r>
          </w:p>
        </w:tc>
        <w:tc>
          <w:tcPr>
            <w:tcW w:w="735" w:type="dxa"/>
            <w:vMerge w:val="restart"/>
            <w:tcBorders>
              <w:top w:val="single" w:sz="4" w:space="0" w:color="auto"/>
              <w:left w:val="nil"/>
              <w:bottom w:val="single" w:sz="4" w:space="0" w:color="000000"/>
              <w:right w:val="nil"/>
            </w:tcBorders>
            <w:noWrap/>
            <w:vAlign w:val="center"/>
            <w:hideMark/>
          </w:tcPr>
          <w:p w14:paraId="124C898A" w14:textId="77777777" w:rsidR="00300A14" w:rsidRPr="001669FB" w:rsidRDefault="00300A14" w:rsidP="00B45861">
            <w:pPr>
              <w:tabs>
                <w:tab w:val="clear" w:pos="7100"/>
              </w:tabs>
              <w:spacing w:line="240" w:lineRule="auto"/>
              <w:jc w:val="center"/>
              <w:rPr>
                <w:rFonts w:cs="Arial"/>
                <w:color w:val="000000"/>
                <w:szCs w:val="18"/>
                <w:lang w:val="it-IT" w:eastAsia="it-IT"/>
              </w:rPr>
            </w:pPr>
            <w:r w:rsidRPr="001669FB">
              <w:rPr>
                <w:rFonts w:cs="Arial"/>
                <w:color w:val="000000"/>
                <w:szCs w:val="18"/>
                <w:lang w:val="it-IT" w:eastAsia="it-IT"/>
              </w:rPr>
              <w:t>pH</w:t>
            </w:r>
          </w:p>
        </w:tc>
        <w:tc>
          <w:tcPr>
            <w:tcW w:w="1461" w:type="dxa"/>
            <w:gridSpan w:val="2"/>
            <w:vMerge w:val="restart"/>
            <w:tcBorders>
              <w:top w:val="single" w:sz="4" w:space="0" w:color="auto"/>
              <w:left w:val="nil"/>
              <w:bottom w:val="single" w:sz="4" w:space="0" w:color="000000"/>
              <w:right w:val="nil"/>
            </w:tcBorders>
            <w:noWrap/>
            <w:vAlign w:val="center"/>
            <w:hideMark/>
          </w:tcPr>
          <w:p w14:paraId="1D452BEE" w14:textId="77777777" w:rsidR="00300A14" w:rsidRPr="001669FB" w:rsidRDefault="00300A14" w:rsidP="00B45861">
            <w:pPr>
              <w:tabs>
                <w:tab w:val="clear" w:pos="7100"/>
              </w:tabs>
              <w:spacing w:line="240" w:lineRule="auto"/>
              <w:jc w:val="center"/>
              <w:rPr>
                <w:rFonts w:cs="Arial"/>
                <w:color w:val="000000"/>
                <w:szCs w:val="18"/>
                <w:lang w:val="it-IT" w:eastAsia="it-IT"/>
              </w:rPr>
            </w:pPr>
            <w:proofErr w:type="spellStart"/>
            <w:r w:rsidRPr="001669FB">
              <w:rPr>
                <w:rFonts w:cs="Arial"/>
                <w:color w:val="000000"/>
                <w:szCs w:val="18"/>
                <w:lang w:val="it-IT" w:eastAsia="it-IT"/>
              </w:rPr>
              <w:t>Titratable</w:t>
            </w:r>
            <w:proofErr w:type="spellEnd"/>
            <w:r w:rsidRPr="001669FB">
              <w:rPr>
                <w:rFonts w:cs="Arial"/>
                <w:color w:val="000000"/>
                <w:szCs w:val="18"/>
                <w:lang w:val="it-IT" w:eastAsia="it-IT"/>
              </w:rPr>
              <w:t xml:space="preserve"> </w:t>
            </w:r>
            <w:proofErr w:type="spellStart"/>
            <w:r w:rsidRPr="001669FB">
              <w:rPr>
                <w:rFonts w:cs="Arial"/>
                <w:color w:val="000000"/>
                <w:szCs w:val="18"/>
                <w:lang w:val="it-IT" w:eastAsia="it-IT"/>
              </w:rPr>
              <w:t>acidity</w:t>
            </w:r>
            <w:proofErr w:type="spellEnd"/>
            <w:r w:rsidRPr="001669FB">
              <w:rPr>
                <w:rFonts w:cs="Arial"/>
                <w:color w:val="000000"/>
                <w:szCs w:val="18"/>
                <w:lang w:val="it-IT" w:eastAsia="it-IT"/>
              </w:rPr>
              <w:t xml:space="preserve"> (g L</w:t>
            </w:r>
            <w:r w:rsidRPr="001669FB">
              <w:rPr>
                <w:rFonts w:cs="Arial"/>
                <w:color w:val="000000"/>
                <w:szCs w:val="18"/>
                <w:vertAlign w:val="superscript"/>
                <w:lang w:val="it-IT" w:eastAsia="it-IT"/>
              </w:rPr>
              <w:t>-1</w:t>
            </w:r>
            <w:r w:rsidRPr="001669FB">
              <w:rPr>
                <w:rFonts w:cs="Arial"/>
                <w:color w:val="000000"/>
                <w:szCs w:val="18"/>
                <w:lang w:val="it-IT" w:eastAsia="it-IT"/>
              </w:rPr>
              <w:t>)</w:t>
            </w:r>
          </w:p>
        </w:tc>
        <w:tc>
          <w:tcPr>
            <w:tcW w:w="1334" w:type="dxa"/>
            <w:vMerge w:val="restart"/>
            <w:tcBorders>
              <w:top w:val="single" w:sz="4" w:space="0" w:color="auto"/>
              <w:left w:val="nil"/>
              <w:bottom w:val="single" w:sz="4" w:space="0" w:color="000000"/>
              <w:right w:val="nil"/>
            </w:tcBorders>
            <w:noWrap/>
            <w:vAlign w:val="center"/>
            <w:hideMark/>
          </w:tcPr>
          <w:p w14:paraId="01B3172A" w14:textId="77777777" w:rsidR="00300A14" w:rsidRPr="001669FB" w:rsidRDefault="00300A14" w:rsidP="00B45861">
            <w:pPr>
              <w:tabs>
                <w:tab w:val="clear" w:pos="7100"/>
              </w:tabs>
              <w:spacing w:line="240" w:lineRule="auto"/>
              <w:jc w:val="center"/>
              <w:rPr>
                <w:rFonts w:cs="Arial"/>
                <w:color w:val="000000"/>
                <w:szCs w:val="18"/>
                <w:lang w:val="it-IT" w:eastAsia="it-IT"/>
              </w:rPr>
            </w:pPr>
            <w:r w:rsidRPr="001669FB">
              <w:rPr>
                <w:rFonts w:cs="Arial"/>
                <w:color w:val="000000"/>
                <w:szCs w:val="18"/>
                <w:lang w:val="it-IT" w:eastAsia="it-IT"/>
              </w:rPr>
              <w:t xml:space="preserve">Volatile </w:t>
            </w:r>
            <w:proofErr w:type="spellStart"/>
            <w:r w:rsidRPr="001669FB">
              <w:rPr>
                <w:rFonts w:cs="Arial"/>
                <w:color w:val="000000"/>
                <w:szCs w:val="18"/>
                <w:lang w:val="it-IT" w:eastAsia="it-IT"/>
              </w:rPr>
              <w:t>acidity</w:t>
            </w:r>
            <w:proofErr w:type="spellEnd"/>
            <w:r w:rsidRPr="001669FB">
              <w:rPr>
                <w:rFonts w:cs="Arial"/>
                <w:color w:val="000000"/>
                <w:szCs w:val="18"/>
                <w:lang w:val="it-IT" w:eastAsia="it-IT"/>
              </w:rPr>
              <w:t xml:space="preserve"> (g L</w:t>
            </w:r>
            <w:r w:rsidRPr="001669FB">
              <w:rPr>
                <w:rFonts w:cs="Arial"/>
                <w:color w:val="000000"/>
                <w:szCs w:val="18"/>
                <w:vertAlign w:val="superscript"/>
                <w:lang w:val="it-IT" w:eastAsia="it-IT"/>
              </w:rPr>
              <w:t>-1</w:t>
            </w:r>
            <w:r w:rsidRPr="001669FB">
              <w:rPr>
                <w:rFonts w:cs="Arial"/>
                <w:color w:val="000000"/>
                <w:szCs w:val="18"/>
                <w:lang w:val="it-IT" w:eastAsia="it-IT"/>
              </w:rPr>
              <w:t>)</w:t>
            </w:r>
          </w:p>
        </w:tc>
        <w:tc>
          <w:tcPr>
            <w:tcW w:w="1134" w:type="dxa"/>
            <w:vMerge w:val="restart"/>
            <w:tcBorders>
              <w:top w:val="single" w:sz="4" w:space="0" w:color="auto"/>
              <w:left w:val="nil"/>
              <w:bottom w:val="single" w:sz="4" w:space="0" w:color="000000"/>
              <w:right w:val="nil"/>
            </w:tcBorders>
            <w:noWrap/>
            <w:vAlign w:val="center"/>
            <w:hideMark/>
          </w:tcPr>
          <w:p w14:paraId="4E8C6798" w14:textId="77777777" w:rsidR="00300A14" w:rsidRDefault="00300A14" w:rsidP="00B45861">
            <w:pPr>
              <w:tabs>
                <w:tab w:val="clear" w:pos="7100"/>
              </w:tabs>
              <w:spacing w:line="240" w:lineRule="auto"/>
              <w:jc w:val="center"/>
              <w:rPr>
                <w:rFonts w:cs="Arial"/>
                <w:color w:val="000000"/>
                <w:szCs w:val="18"/>
                <w:lang w:val="it-IT" w:eastAsia="it-IT"/>
              </w:rPr>
            </w:pPr>
            <w:r w:rsidRPr="001669FB">
              <w:rPr>
                <w:rFonts w:cs="Arial"/>
                <w:color w:val="000000"/>
                <w:szCs w:val="18"/>
                <w:lang w:val="it-IT" w:eastAsia="it-IT"/>
              </w:rPr>
              <w:t xml:space="preserve">Dry </w:t>
            </w:r>
            <w:proofErr w:type="spellStart"/>
            <w:r w:rsidRPr="001669FB">
              <w:rPr>
                <w:rFonts w:cs="Arial"/>
                <w:color w:val="000000"/>
                <w:szCs w:val="18"/>
                <w:lang w:val="it-IT" w:eastAsia="it-IT"/>
              </w:rPr>
              <w:t>extract</w:t>
            </w:r>
            <w:proofErr w:type="spellEnd"/>
            <w:r w:rsidRPr="001669FB">
              <w:rPr>
                <w:rFonts w:cs="Arial"/>
                <w:color w:val="000000"/>
                <w:szCs w:val="18"/>
                <w:lang w:val="it-IT" w:eastAsia="it-IT"/>
              </w:rPr>
              <w:t xml:space="preserve"> </w:t>
            </w:r>
          </w:p>
          <w:p w14:paraId="7B6F1B0B" w14:textId="77777777" w:rsidR="00300A14" w:rsidRPr="001669FB" w:rsidRDefault="00300A14" w:rsidP="00B45861">
            <w:pPr>
              <w:tabs>
                <w:tab w:val="clear" w:pos="7100"/>
              </w:tabs>
              <w:spacing w:line="240" w:lineRule="auto"/>
              <w:jc w:val="center"/>
              <w:rPr>
                <w:rFonts w:cs="Arial"/>
                <w:color w:val="000000"/>
                <w:szCs w:val="18"/>
                <w:lang w:val="it-IT" w:eastAsia="it-IT"/>
              </w:rPr>
            </w:pPr>
            <w:r w:rsidRPr="001669FB">
              <w:rPr>
                <w:rFonts w:cs="Arial"/>
                <w:color w:val="000000"/>
                <w:szCs w:val="18"/>
                <w:lang w:val="it-IT" w:eastAsia="it-IT"/>
              </w:rPr>
              <w:t>(g L</w:t>
            </w:r>
            <w:r w:rsidRPr="001669FB">
              <w:rPr>
                <w:rFonts w:cs="Arial"/>
                <w:color w:val="000000"/>
                <w:szCs w:val="18"/>
                <w:vertAlign w:val="superscript"/>
                <w:lang w:val="it-IT" w:eastAsia="it-IT"/>
              </w:rPr>
              <w:t>-1</w:t>
            </w:r>
            <w:r w:rsidRPr="001669FB">
              <w:rPr>
                <w:rFonts w:cs="Arial"/>
                <w:color w:val="000000"/>
                <w:szCs w:val="18"/>
                <w:lang w:val="it-IT" w:eastAsia="it-IT"/>
              </w:rPr>
              <w:t>)</w:t>
            </w:r>
          </w:p>
        </w:tc>
        <w:tc>
          <w:tcPr>
            <w:tcW w:w="1007" w:type="dxa"/>
            <w:vMerge w:val="restart"/>
            <w:tcBorders>
              <w:top w:val="single" w:sz="4" w:space="0" w:color="auto"/>
              <w:left w:val="nil"/>
              <w:bottom w:val="single" w:sz="4" w:space="0" w:color="000000"/>
              <w:right w:val="nil"/>
            </w:tcBorders>
            <w:noWrap/>
            <w:vAlign w:val="center"/>
            <w:hideMark/>
          </w:tcPr>
          <w:p w14:paraId="706D6A42" w14:textId="77777777" w:rsidR="00300A14" w:rsidRDefault="00300A14" w:rsidP="00B45861">
            <w:pPr>
              <w:tabs>
                <w:tab w:val="clear" w:pos="7100"/>
              </w:tabs>
              <w:spacing w:line="240" w:lineRule="auto"/>
              <w:jc w:val="center"/>
              <w:rPr>
                <w:rFonts w:cs="Arial"/>
                <w:color w:val="000000"/>
                <w:szCs w:val="18"/>
                <w:lang w:val="it-IT" w:eastAsia="it-IT"/>
              </w:rPr>
            </w:pPr>
            <w:proofErr w:type="spellStart"/>
            <w:r w:rsidRPr="001669FB">
              <w:rPr>
                <w:rFonts w:cs="Arial"/>
                <w:color w:val="000000"/>
                <w:szCs w:val="18"/>
                <w:lang w:val="it-IT" w:eastAsia="it-IT"/>
              </w:rPr>
              <w:t>Glycerol</w:t>
            </w:r>
            <w:proofErr w:type="spellEnd"/>
            <w:r w:rsidRPr="001669FB">
              <w:rPr>
                <w:rFonts w:cs="Arial"/>
                <w:color w:val="000000"/>
                <w:szCs w:val="18"/>
                <w:lang w:val="it-IT" w:eastAsia="it-IT"/>
              </w:rPr>
              <w:t xml:space="preserve"> </w:t>
            </w:r>
          </w:p>
          <w:p w14:paraId="30924A28" w14:textId="77777777" w:rsidR="00300A14" w:rsidRPr="001669FB" w:rsidRDefault="00300A14" w:rsidP="00B45861">
            <w:pPr>
              <w:tabs>
                <w:tab w:val="clear" w:pos="7100"/>
              </w:tabs>
              <w:spacing w:line="240" w:lineRule="auto"/>
              <w:jc w:val="center"/>
              <w:rPr>
                <w:rFonts w:cs="Arial"/>
                <w:color w:val="000000"/>
                <w:szCs w:val="18"/>
                <w:lang w:val="it-IT" w:eastAsia="it-IT"/>
              </w:rPr>
            </w:pPr>
            <w:r w:rsidRPr="001669FB">
              <w:rPr>
                <w:rFonts w:cs="Arial"/>
                <w:color w:val="000000"/>
                <w:szCs w:val="18"/>
                <w:lang w:val="it-IT" w:eastAsia="it-IT"/>
              </w:rPr>
              <w:t>(g L</w:t>
            </w:r>
            <w:r w:rsidRPr="001669FB">
              <w:rPr>
                <w:rFonts w:cs="Arial"/>
                <w:color w:val="000000"/>
                <w:szCs w:val="18"/>
                <w:vertAlign w:val="superscript"/>
                <w:lang w:val="it-IT" w:eastAsia="it-IT"/>
              </w:rPr>
              <w:t>-1</w:t>
            </w:r>
            <w:r w:rsidRPr="001669FB">
              <w:rPr>
                <w:rFonts w:cs="Arial"/>
                <w:color w:val="000000"/>
                <w:szCs w:val="18"/>
                <w:lang w:val="it-IT" w:eastAsia="it-IT"/>
              </w:rPr>
              <w:t>)</w:t>
            </w:r>
          </w:p>
        </w:tc>
      </w:tr>
      <w:tr w:rsidR="00300A14" w:rsidRPr="001669FB" w14:paraId="17532E5A" w14:textId="77777777" w:rsidTr="00B45861">
        <w:trPr>
          <w:trHeight w:val="328"/>
        </w:trPr>
        <w:tc>
          <w:tcPr>
            <w:tcW w:w="1188" w:type="dxa"/>
            <w:vMerge/>
            <w:tcBorders>
              <w:top w:val="single" w:sz="4" w:space="0" w:color="auto"/>
              <w:left w:val="nil"/>
              <w:bottom w:val="single" w:sz="4" w:space="0" w:color="000000"/>
              <w:right w:val="nil"/>
            </w:tcBorders>
            <w:vAlign w:val="center"/>
            <w:hideMark/>
          </w:tcPr>
          <w:p w14:paraId="15ACE9C2" w14:textId="77777777" w:rsidR="00300A14" w:rsidRPr="001669FB" w:rsidRDefault="00300A14" w:rsidP="00B45861">
            <w:pPr>
              <w:tabs>
                <w:tab w:val="clear" w:pos="7100"/>
              </w:tabs>
              <w:spacing w:line="240" w:lineRule="auto"/>
              <w:jc w:val="left"/>
              <w:rPr>
                <w:rFonts w:cs="Arial"/>
                <w:color w:val="000000"/>
                <w:szCs w:val="18"/>
                <w:lang w:val="it-IT" w:eastAsia="it-IT"/>
              </w:rPr>
            </w:pPr>
          </w:p>
        </w:tc>
        <w:tc>
          <w:tcPr>
            <w:tcW w:w="978" w:type="dxa"/>
            <w:vMerge/>
            <w:tcBorders>
              <w:top w:val="single" w:sz="4" w:space="0" w:color="auto"/>
              <w:left w:val="nil"/>
              <w:bottom w:val="single" w:sz="4" w:space="0" w:color="000000"/>
              <w:right w:val="nil"/>
            </w:tcBorders>
            <w:vAlign w:val="center"/>
            <w:hideMark/>
          </w:tcPr>
          <w:p w14:paraId="2590688E" w14:textId="77777777" w:rsidR="00300A14" w:rsidRPr="001669FB" w:rsidRDefault="00300A14" w:rsidP="00B45861">
            <w:pPr>
              <w:tabs>
                <w:tab w:val="clear" w:pos="7100"/>
              </w:tabs>
              <w:spacing w:line="240" w:lineRule="auto"/>
              <w:jc w:val="left"/>
              <w:rPr>
                <w:rFonts w:cs="Arial"/>
                <w:color w:val="000000"/>
                <w:szCs w:val="18"/>
                <w:lang w:val="it-IT" w:eastAsia="it-IT"/>
              </w:rPr>
            </w:pPr>
          </w:p>
        </w:tc>
        <w:tc>
          <w:tcPr>
            <w:tcW w:w="1404" w:type="dxa"/>
            <w:vMerge/>
            <w:tcBorders>
              <w:top w:val="single" w:sz="4" w:space="0" w:color="auto"/>
              <w:left w:val="nil"/>
              <w:bottom w:val="single" w:sz="4" w:space="0" w:color="000000"/>
              <w:right w:val="nil"/>
            </w:tcBorders>
            <w:vAlign w:val="center"/>
            <w:hideMark/>
          </w:tcPr>
          <w:p w14:paraId="3007E874" w14:textId="77777777" w:rsidR="00300A14" w:rsidRPr="001669FB" w:rsidRDefault="00300A14" w:rsidP="00B45861">
            <w:pPr>
              <w:tabs>
                <w:tab w:val="clear" w:pos="7100"/>
              </w:tabs>
              <w:spacing w:line="240" w:lineRule="auto"/>
              <w:jc w:val="left"/>
              <w:rPr>
                <w:rFonts w:cs="Arial"/>
                <w:color w:val="000000"/>
                <w:szCs w:val="18"/>
                <w:lang w:val="it-IT" w:eastAsia="it-IT"/>
              </w:rPr>
            </w:pPr>
          </w:p>
        </w:tc>
        <w:tc>
          <w:tcPr>
            <w:tcW w:w="735" w:type="dxa"/>
            <w:vMerge/>
            <w:tcBorders>
              <w:top w:val="single" w:sz="4" w:space="0" w:color="auto"/>
              <w:left w:val="nil"/>
              <w:bottom w:val="single" w:sz="4" w:space="0" w:color="000000"/>
              <w:right w:val="nil"/>
            </w:tcBorders>
            <w:vAlign w:val="center"/>
            <w:hideMark/>
          </w:tcPr>
          <w:p w14:paraId="3A6D6DF4" w14:textId="77777777" w:rsidR="00300A14" w:rsidRPr="001669FB" w:rsidRDefault="00300A14" w:rsidP="00B45861">
            <w:pPr>
              <w:tabs>
                <w:tab w:val="clear" w:pos="7100"/>
              </w:tabs>
              <w:spacing w:line="240" w:lineRule="auto"/>
              <w:jc w:val="left"/>
              <w:rPr>
                <w:rFonts w:cs="Arial"/>
                <w:color w:val="000000"/>
                <w:szCs w:val="18"/>
                <w:lang w:val="it-IT" w:eastAsia="it-IT"/>
              </w:rPr>
            </w:pPr>
          </w:p>
        </w:tc>
        <w:tc>
          <w:tcPr>
            <w:tcW w:w="1461" w:type="dxa"/>
            <w:gridSpan w:val="2"/>
            <w:vMerge/>
            <w:tcBorders>
              <w:top w:val="single" w:sz="4" w:space="0" w:color="auto"/>
              <w:left w:val="nil"/>
              <w:bottom w:val="single" w:sz="4" w:space="0" w:color="000000"/>
              <w:right w:val="nil"/>
            </w:tcBorders>
            <w:vAlign w:val="center"/>
            <w:hideMark/>
          </w:tcPr>
          <w:p w14:paraId="131FEBE1" w14:textId="77777777" w:rsidR="00300A14" w:rsidRPr="001669FB" w:rsidRDefault="00300A14" w:rsidP="00B45861">
            <w:pPr>
              <w:tabs>
                <w:tab w:val="clear" w:pos="7100"/>
              </w:tabs>
              <w:spacing w:line="240" w:lineRule="auto"/>
              <w:jc w:val="left"/>
              <w:rPr>
                <w:rFonts w:cs="Arial"/>
                <w:color w:val="000000"/>
                <w:szCs w:val="18"/>
                <w:lang w:val="it-IT" w:eastAsia="it-IT"/>
              </w:rPr>
            </w:pPr>
          </w:p>
        </w:tc>
        <w:tc>
          <w:tcPr>
            <w:tcW w:w="1334" w:type="dxa"/>
            <w:vMerge/>
            <w:tcBorders>
              <w:top w:val="single" w:sz="4" w:space="0" w:color="auto"/>
              <w:left w:val="nil"/>
              <w:bottom w:val="single" w:sz="4" w:space="0" w:color="000000"/>
              <w:right w:val="nil"/>
            </w:tcBorders>
            <w:vAlign w:val="center"/>
            <w:hideMark/>
          </w:tcPr>
          <w:p w14:paraId="4AA8E018" w14:textId="77777777" w:rsidR="00300A14" w:rsidRPr="001669FB" w:rsidRDefault="00300A14" w:rsidP="00B45861">
            <w:pPr>
              <w:tabs>
                <w:tab w:val="clear" w:pos="7100"/>
              </w:tabs>
              <w:spacing w:line="240" w:lineRule="auto"/>
              <w:jc w:val="left"/>
              <w:rPr>
                <w:rFonts w:cs="Arial"/>
                <w:color w:val="000000"/>
                <w:szCs w:val="18"/>
                <w:lang w:val="it-IT" w:eastAsia="it-IT"/>
              </w:rPr>
            </w:pPr>
          </w:p>
        </w:tc>
        <w:tc>
          <w:tcPr>
            <w:tcW w:w="1134" w:type="dxa"/>
            <w:vMerge/>
            <w:tcBorders>
              <w:top w:val="single" w:sz="4" w:space="0" w:color="auto"/>
              <w:left w:val="nil"/>
              <w:bottom w:val="single" w:sz="4" w:space="0" w:color="000000"/>
              <w:right w:val="nil"/>
            </w:tcBorders>
            <w:vAlign w:val="center"/>
            <w:hideMark/>
          </w:tcPr>
          <w:p w14:paraId="4BA9CBE4" w14:textId="77777777" w:rsidR="00300A14" w:rsidRPr="001669FB" w:rsidRDefault="00300A14" w:rsidP="00B45861">
            <w:pPr>
              <w:tabs>
                <w:tab w:val="clear" w:pos="7100"/>
              </w:tabs>
              <w:spacing w:line="240" w:lineRule="auto"/>
              <w:jc w:val="left"/>
              <w:rPr>
                <w:rFonts w:cs="Arial"/>
                <w:color w:val="000000"/>
                <w:szCs w:val="18"/>
                <w:lang w:val="it-IT" w:eastAsia="it-IT"/>
              </w:rPr>
            </w:pPr>
          </w:p>
        </w:tc>
        <w:tc>
          <w:tcPr>
            <w:tcW w:w="1007" w:type="dxa"/>
            <w:vMerge/>
            <w:tcBorders>
              <w:top w:val="single" w:sz="4" w:space="0" w:color="auto"/>
              <w:left w:val="nil"/>
              <w:bottom w:val="single" w:sz="4" w:space="0" w:color="000000"/>
              <w:right w:val="nil"/>
            </w:tcBorders>
            <w:vAlign w:val="center"/>
            <w:hideMark/>
          </w:tcPr>
          <w:p w14:paraId="4BFFB521" w14:textId="77777777" w:rsidR="00300A14" w:rsidRPr="001669FB" w:rsidRDefault="00300A14" w:rsidP="00B45861">
            <w:pPr>
              <w:tabs>
                <w:tab w:val="clear" w:pos="7100"/>
              </w:tabs>
              <w:spacing w:line="240" w:lineRule="auto"/>
              <w:jc w:val="left"/>
              <w:rPr>
                <w:rFonts w:cs="Arial"/>
                <w:color w:val="000000"/>
                <w:szCs w:val="18"/>
                <w:lang w:val="it-IT" w:eastAsia="it-IT"/>
              </w:rPr>
            </w:pPr>
          </w:p>
        </w:tc>
        <w:tc>
          <w:tcPr>
            <w:tcW w:w="203" w:type="dxa"/>
            <w:tcBorders>
              <w:top w:val="nil"/>
              <w:left w:val="nil"/>
              <w:bottom w:val="nil"/>
              <w:right w:val="nil"/>
            </w:tcBorders>
            <w:noWrap/>
            <w:vAlign w:val="bottom"/>
            <w:hideMark/>
          </w:tcPr>
          <w:p w14:paraId="2BD4A1E2" w14:textId="77777777" w:rsidR="00300A14" w:rsidRPr="001669FB" w:rsidRDefault="00300A14" w:rsidP="00B45861">
            <w:pPr>
              <w:tabs>
                <w:tab w:val="clear" w:pos="7100"/>
              </w:tabs>
              <w:spacing w:line="240" w:lineRule="auto"/>
              <w:jc w:val="center"/>
              <w:rPr>
                <w:rFonts w:cs="Arial"/>
                <w:color w:val="000000"/>
                <w:szCs w:val="18"/>
                <w:lang w:val="it-IT" w:eastAsia="it-IT"/>
              </w:rPr>
            </w:pPr>
          </w:p>
        </w:tc>
      </w:tr>
      <w:tr w:rsidR="00300A14" w:rsidRPr="001669FB" w14:paraId="59E53F0F" w14:textId="77777777" w:rsidTr="00B45861">
        <w:trPr>
          <w:trHeight w:val="328"/>
        </w:trPr>
        <w:tc>
          <w:tcPr>
            <w:tcW w:w="1188" w:type="dxa"/>
            <w:tcBorders>
              <w:top w:val="nil"/>
              <w:left w:val="nil"/>
              <w:bottom w:val="nil"/>
              <w:right w:val="nil"/>
            </w:tcBorders>
            <w:noWrap/>
            <w:vAlign w:val="center"/>
            <w:hideMark/>
          </w:tcPr>
          <w:p w14:paraId="6D25DE9A" w14:textId="77777777" w:rsidR="00300A14" w:rsidRDefault="00300A14" w:rsidP="00B45861">
            <w:pPr>
              <w:tabs>
                <w:tab w:val="clear" w:pos="7100"/>
              </w:tabs>
              <w:spacing w:line="240" w:lineRule="auto"/>
              <w:jc w:val="center"/>
              <w:rPr>
                <w:rFonts w:cs="Arial"/>
                <w:color w:val="000000"/>
                <w:szCs w:val="18"/>
                <w:lang w:val="it-IT" w:eastAsia="it-IT"/>
              </w:rPr>
            </w:pPr>
            <w:r w:rsidRPr="001669FB">
              <w:rPr>
                <w:rFonts w:cs="Arial"/>
                <w:color w:val="000000"/>
                <w:szCs w:val="18"/>
                <w:lang w:val="it-IT" w:eastAsia="it-IT"/>
              </w:rPr>
              <w:t>Temperature</w:t>
            </w:r>
          </w:p>
          <w:p w14:paraId="60D9A4B7" w14:textId="77777777" w:rsidR="00300A14" w:rsidRPr="001669FB" w:rsidRDefault="00300A14" w:rsidP="00B45861">
            <w:pPr>
              <w:tabs>
                <w:tab w:val="clear" w:pos="7100"/>
              </w:tabs>
              <w:spacing w:line="240" w:lineRule="auto"/>
              <w:jc w:val="center"/>
              <w:rPr>
                <w:rFonts w:cs="Arial"/>
                <w:color w:val="000000"/>
                <w:szCs w:val="18"/>
                <w:lang w:val="it-IT" w:eastAsia="it-IT"/>
              </w:rPr>
            </w:pPr>
            <w:r>
              <w:rPr>
                <w:rFonts w:cs="Arial"/>
                <w:color w:val="000000"/>
                <w:szCs w:val="18"/>
                <w:lang w:val="it-IT" w:eastAsia="it-IT"/>
              </w:rPr>
              <w:t>(n = 8)</w:t>
            </w:r>
          </w:p>
        </w:tc>
        <w:tc>
          <w:tcPr>
            <w:tcW w:w="978" w:type="dxa"/>
            <w:tcBorders>
              <w:top w:val="nil"/>
              <w:left w:val="nil"/>
              <w:bottom w:val="nil"/>
              <w:right w:val="nil"/>
            </w:tcBorders>
            <w:noWrap/>
            <w:vAlign w:val="center"/>
            <w:hideMark/>
          </w:tcPr>
          <w:p w14:paraId="1890FA8B" w14:textId="77777777" w:rsidR="00300A14" w:rsidRPr="001669FB" w:rsidRDefault="00300A14" w:rsidP="00B45861">
            <w:pPr>
              <w:tabs>
                <w:tab w:val="clear" w:pos="7100"/>
              </w:tabs>
              <w:spacing w:line="240" w:lineRule="auto"/>
              <w:jc w:val="center"/>
              <w:rPr>
                <w:rFonts w:cs="Arial"/>
                <w:color w:val="000000"/>
                <w:szCs w:val="18"/>
                <w:lang w:val="it-IT" w:eastAsia="it-IT"/>
              </w:rPr>
            </w:pPr>
          </w:p>
        </w:tc>
        <w:tc>
          <w:tcPr>
            <w:tcW w:w="1404" w:type="dxa"/>
            <w:tcBorders>
              <w:top w:val="nil"/>
              <w:left w:val="nil"/>
              <w:bottom w:val="nil"/>
              <w:right w:val="nil"/>
            </w:tcBorders>
            <w:noWrap/>
            <w:vAlign w:val="center"/>
            <w:hideMark/>
          </w:tcPr>
          <w:p w14:paraId="0CE855DB" w14:textId="77777777" w:rsidR="00300A14" w:rsidRPr="001669FB" w:rsidRDefault="00300A14" w:rsidP="00B45861">
            <w:pPr>
              <w:tabs>
                <w:tab w:val="clear" w:pos="7100"/>
              </w:tabs>
              <w:spacing w:line="240" w:lineRule="auto"/>
              <w:jc w:val="center"/>
              <w:rPr>
                <w:rFonts w:cs="Arial"/>
                <w:szCs w:val="18"/>
                <w:lang w:val="it-IT" w:eastAsia="it-IT"/>
              </w:rPr>
            </w:pPr>
          </w:p>
        </w:tc>
        <w:tc>
          <w:tcPr>
            <w:tcW w:w="974" w:type="dxa"/>
            <w:gridSpan w:val="2"/>
            <w:tcBorders>
              <w:top w:val="nil"/>
              <w:left w:val="nil"/>
              <w:bottom w:val="nil"/>
              <w:right w:val="nil"/>
            </w:tcBorders>
            <w:noWrap/>
            <w:vAlign w:val="center"/>
            <w:hideMark/>
          </w:tcPr>
          <w:p w14:paraId="48325E3E" w14:textId="77777777" w:rsidR="00300A14" w:rsidRPr="001669FB" w:rsidRDefault="00300A14" w:rsidP="00B45861">
            <w:pPr>
              <w:tabs>
                <w:tab w:val="clear" w:pos="7100"/>
              </w:tabs>
              <w:spacing w:line="240" w:lineRule="auto"/>
              <w:jc w:val="center"/>
              <w:rPr>
                <w:rFonts w:cs="Arial"/>
                <w:szCs w:val="18"/>
                <w:lang w:val="it-IT" w:eastAsia="it-IT"/>
              </w:rPr>
            </w:pPr>
          </w:p>
        </w:tc>
        <w:tc>
          <w:tcPr>
            <w:tcW w:w="1223" w:type="dxa"/>
            <w:tcBorders>
              <w:top w:val="nil"/>
              <w:left w:val="nil"/>
              <w:bottom w:val="nil"/>
              <w:right w:val="nil"/>
            </w:tcBorders>
            <w:noWrap/>
            <w:vAlign w:val="center"/>
            <w:hideMark/>
          </w:tcPr>
          <w:p w14:paraId="4F564664" w14:textId="77777777" w:rsidR="00300A14" w:rsidRPr="001669FB" w:rsidRDefault="00300A14" w:rsidP="00B45861">
            <w:pPr>
              <w:tabs>
                <w:tab w:val="clear" w:pos="7100"/>
              </w:tabs>
              <w:spacing w:line="240" w:lineRule="auto"/>
              <w:jc w:val="center"/>
              <w:rPr>
                <w:rFonts w:cs="Arial"/>
                <w:szCs w:val="18"/>
                <w:lang w:val="it-IT" w:eastAsia="it-IT"/>
              </w:rPr>
            </w:pPr>
          </w:p>
        </w:tc>
        <w:tc>
          <w:tcPr>
            <w:tcW w:w="1334" w:type="dxa"/>
            <w:tcBorders>
              <w:top w:val="nil"/>
              <w:left w:val="nil"/>
              <w:bottom w:val="nil"/>
              <w:right w:val="nil"/>
            </w:tcBorders>
            <w:noWrap/>
            <w:vAlign w:val="center"/>
            <w:hideMark/>
          </w:tcPr>
          <w:p w14:paraId="3BD74A50" w14:textId="77777777" w:rsidR="00300A14" w:rsidRPr="001669FB" w:rsidRDefault="00300A14" w:rsidP="00B45861">
            <w:pPr>
              <w:tabs>
                <w:tab w:val="clear" w:pos="7100"/>
              </w:tabs>
              <w:spacing w:line="240" w:lineRule="auto"/>
              <w:jc w:val="center"/>
              <w:rPr>
                <w:rFonts w:cs="Arial"/>
                <w:szCs w:val="18"/>
                <w:lang w:val="it-IT" w:eastAsia="it-IT"/>
              </w:rPr>
            </w:pPr>
          </w:p>
        </w:tc>
        <w:tc>
          <w:tcPr>
            <w:tcW w:w="1134" w:type="dxa"/>
            <w:tcBorders>
              <w:top w:val="nil"/>
              <w:left w:val="nil"/>
              <w:bottom w:val="nil"/>
              <w:right w:val="nil"/>
            </w:tcBorders>
            <w:noWrap/>
            <w:vAlign w:val="center"/>
            <w:hideMark/>
          </w:tcPr>
          <w:p w14:paraId="4D4AACB0" w14:textId="77777777" w:rsidR="00300A14" w:rsidRPr="001669FB" w:rsidRDefault="00300A14" w:rsidP="00B45861">
            <w:pPr>
              <w:tabs>
                <w:tab w:val="clear" w:pos="7100"/>
              </w:tabs>
              <w:spacing w:line="240" w:lineRule="auto"/>
              <w:jc w:val="center"/>
              <w:rPr>
                <w:rFonts w:cs="Arial"/>
                <w:szCs w:val="18"/>
                <w:lang w:val="it-IT" w:eastAsia="it-IT"/>
              </w:rPr>
            </w:pPr>
          </w:p>
        </w:tc>
        <w:tc>
          <w:tcPr>
            <w:tcW w:w="1007" w:type="dxa"/>
            <w:tcBorders>
              <w:top w:val="nil"/>
              <w:left w:val="nil"/>
              <w:bottom w:val="nil"/>
              <w:right w:val="nil"/>
            </w:tcBorders>
            <w:noWrap/>
            <w:vAlign w:val="center"/>
            <w:hideMark/>
          </w:tcPr>
          <w:p w14:paraId="44CFBCAC" w14:textId="77777777" w:rsidR="00300A14" w:rsidRPr="001669FB" w:rsidRDefault="00300A14" w:rsidP="00B45861">
            <w:pPr>
              <w:tabs>
                <w:tab w:val="clear" w:pos="7100"/>
              </w:tabs>
              <w:spacing w:line="240" w:lineRule="auto"/>
              <w:jc w:val="center"/>
              <w:rPr>
                <w:rFonts w:cs="Arial"/>
                <w:szCs w:val="18"/>
                <w:lang w:val="it-IT" w:eastAsia="it-IT"/>
              </w:rPr>
            </w:pPr>
          </w:p>
        </w:tc>
        <w:tc>
          <w:tcPr>
            <w:tcW w:w="203" w:type="dxa"/>
            <w:vAlign w:val="center"/>
            <w:hideMark/>
          </w:tcPr>
          <w:p w14:paraId="7085D910" w14:textId="77777777" w:rsidR="00300A14" w:rsidRPr="001669FB" w:rsidRDefault="00300A14" w:rsidP="00B45861">
            <w:pPr>
              <w:tabs>
                <w:tab w:val="clear" w:pos="7100"/>
              </w:tabs>
              <w:spacing w:line="240" w:lineRule="auto"/>
              <w:jc w:val="left"/>
              <w:rPr>
                <w:rFonts w:cs="Arial"/>
                <w:szCs w:val="18"/>
                <w:lang w:val="it-IT" w:eastAsia="it-IT"/>
              </w:rPr>
            </w:pPr>
          </w:p>
        </w:tc>
      </w:tr>
      <w:tr w:rsidR="00300A14" w:rsidRPr="001669FB" w14:paraId="28619587" w14:textId="77777777" w:rsidTr="00B45861">
        <w:trPr>
          <w:trHeight w:val="328"/>
        </w:trPr>
        <w:tc>
          <w:tcPr>
            <w:tcW w:w="1188" w:type="dxa"/>
            <w:tcBorders>
              <w:top w:val="nil"/>
              <w:left w:val="nil"/>
              <w:bottom w:val="nil"/>
              <w:right w:val="nil"/>
            </w:tcBorders>
            <w:noWrap/>
            <w:vAlign w:val="center"/>
            <w:hideMark/>
          </w:tcPr>
          <w:p w14:paraId="4AB11337" w14:textId="77777777" w:rsidR="00300A14" w:rsidRPr="001669FB" w:rsidRDefault="00300A14" w:rsidP="00B45861">
            <w:pPr>
              <w:tabs>
                <w:tab w:val="clear" w:pos="7100"/>
              </w:tabs>
              <w:spacing w:line="240" w:lineRule="auto"/>
              <w:jc w:val="center"/>
              <w:rPr>
                <w:rFonts w:cs="Arial"/>
                <w:color w:val="000000"/>
                <w:szCs w:val="18"/>
                <w:lang w:val="it-IT" w:eastAsia="it-IT"/>
              </w:rPr>
            </w:pPr>
            <w:proofErr w:type="spellStart"/>
            <w:r w:rsidRPr="001669FB">
              <w:rPr>
                <w:rFonts w:cs="Arial"/>
                <w:color w:val="000000"/>
                <w:szCs w:val="18"/>
                <w:lang w:val="it-IT" w:eastAsia="it-IT"/>
              </w:rPr>
              <w:t>Fifteen</w:t>
            </w:r>
            <w:proofErr w:type="spellEnd"/>
          </w:p>
        </w:tc>
        <w:tc>
          <w:tcPr>
            <w:tcW w:w="978" w:type="dxa"/>
            <w:tcBorders>
              <w:top w:val="nil"/>
              <w:left w:val="nil"/>
              <w:bottom w:val="nil"/>
              <w:right w:val="nil"/>
            </w:tcBorders>
            <w:noWrap/>
            <w:vAlign w:val="center"/>
            <w:hideMark/>
          </w:tcPr>
          <w:p w14:paraId="063B0CFC" w14:textId="77777777" w:rsidR="00300A14" w:rsidRPr="001669FB" w:rsidRDefault="00300A14" w:rsidP="00B45861">
            <w:pPr>
              <w:tabs>
                <w:tab w:val="clear" w:pos="7100"/>
              </w:tabs>
              <w:spacing w:line="240" w:lineRule="auto"/>
              <w:jc w:val="center"/>
              <w:rPr>
                <w:rFonts w:cs="Arial"/>
                <w:color w:val="000000"/>
                <w:szCs w:val="18"/>
                <w:lang w:val="it-IT" w:eastAsia="it-IT"/>
              </w:rPr>
            </w:pPr>
            <w:r w:rsidRPr="001669FB">
              <w:rPr>
                <w:rFonts w:cs="Arial"/>
                <w:color w:val="000000"/>
                <w:szCs w:val="18"/>
                <w:lang w:val="it-IT" w:eastAsia="it-IT"/>
              </w:rPr>
              <w:t>12.2 ± 0.6</w:t>
            </w:r>
          </w:p>
        </w:tc>
        <w:tc>
          <w:tcPr>
            <w:tcW w:w="1404" w:type="dxa"/>
            <w:tcBorders>
              <w:top w:val="nil"/>
              <w:left w:val="nil"/>
              <w:bottom w:val="nil"/>
              <w:right w:val="nil"/>
            </w:tcBorders>
            <w:noWrap/>
            <w:vAlign w:val="center"/>
            <w:hideMark/>
          </w:tcPr>
          <w:p w14:paraId="226DD785" w14:textId="77777777" w:rsidR="00300A14" w:rsidRPr="00E83F81" w:rsidRDefault="00300A14" w:rsidP="00B45861">
            <w:pPr>
              <w:tabs>
                <w:tab w:val="clear" w:pos="7100"/>
              </w:tabs>
              <w:spacing w:line="240" w:lineRule="auto"/>
              <w:jc w:val="center"/>
              <w:rPr>
                <w:rFonts w:cs="Arial"/>
                <w:szCs w:val="18"/>
                <w:lang w:val="it-IT" w:eastAsia="it-IT"/>
              </w:rPr>
            </w:pPr>
            <w:r w:rsidRPr="00E83F81">
              <w:rPr>
                <w:rFonts w:cs="Arial"/>
                <w:szCs w:val="18"/>
                <w:lang w:val="it-IT" w:eastAsia="it-IT"/>
              </w:rPr>
              <w:t>0.21 ± 0.08</w:t>
            </w:r>
          </w:p>
        </w:tc>
        <w:tc>
          <w:tcPr>
            <w:tcW w:w="974" w:type="dxa"/>
            <w:gridSpan w:val="2"/>
            <w:tcBorders>
              <w:top w:val="nil"/>
              <w:left w:val="nil"/>
              <w:bottom w:val="nil"/>
              <w:right w:val="nil"/>
            </w:tcBorders>
            <w:noWrap/>
            <w:vAlign w:val="center"/>
            <w:hideMark/>
          </w:tcPr>
          <w:p w14:paraId="6AF1D717" w14:textId="77777777" w:rsidR="00300A14" w:rsidRPr="00E83F81" w:rsidRDefault="00300A14" w:rsidP="00B45861">
            <w:pPr>
              <w:tabs>
                <w:tab w:val="clear" w:pos="7100"/>
              </w:tabs>
              <w:spacing w:line="240" w:lineRule="auto"/>
              <w:jc w:val="center"/>
              <w:rPr>
                <w:rFonts w:cs="Arial"/>
                <w:szCs w:val="18"/>
                <w:lang w:val="it-IT" w:eastAsia="it-IT"/>
              </w:rPr>
            </w:pPr>
            <w:r w:rsidRPr="00E83F81">
              <w:rPr>
                <w:rFonts w:cs="Arial"/>
                <w:szCs w:val="18"/>
                <w:lang w:val="it-IT" w:eastAsia="it-IT"/>
              </w:rPr>
              <w:t>3.3 ± 0.1</w:t>
            </w:r>
          </w:p>
        </w:tc>
        <w:tc>
          <w:tcPr>
            <w:tcW w:w="1223" w:type="dxa"/>
            <w:tcBorders>
              <w:top w:val="nil"/>
              <w:left w:val="nil"/>
              <w:bottom w:val="nil"/>
              <w:right w:val="nil"/>
            </w:tcBorders>
            <w:noWrap/>
            <w:vAlign w:val="center"/>
            <w:hideMark/>
          </w:tcPr>
          <w:p w14:paraId="5AD57C06" w14:textId="77777777" w:rsidR="00300A14" w:rsidRPr="00E83F81" w:rsidRDefault="00300A14" w:rsidP="00B45861">
            <w:pPr>
              <w:tabs>
                <w:tab w:val="clear" w:pos="7100"/>
              </w:tabs>
              <w:spacing w:line="240" w:lineRule="auto"/>
              <w:jc w:val="center"/>
              <w:rPr>
                <w:rFonts w:cs="Arial"/>
                <w:szCs w:val="18"/>
                <w:lang w:val="it-IT" w:eastAsia="it-IT"/>
              </w:rPr>
            </w:pPr>
            <w:r w:rsidRPr="00E83F81">
              <w:rPr>
                <w:rFonts w:cs="Arial"/>
                <w:szCs w:val="18"/>
                <w:lang w:val="it-IT" w:eastAsia="it-IT"/>
              </w:rPr>
              <w:t>6.5 ± 0.8</w:t>
            </w:r>
          </w:p>
        </w:tc>
        <w:tc>
          <w:tcPr>
            <w:tcW w:w="1334" w:type="dxa"/>
            <w:tcBorders>
              <w:top w:val="nil"/>
              <w:left w:val="nil"/>
              <w:bottom w:val="nil"/>
              <w:right w:val="nil"/>
            </w:tcBorders>
            <w:noWrap/>
            <w:vAlign w:val="center"/>
            <w:hideMark/>
          </w:tcPr>
          <w:p w14:paraId="4B03D6F5" w14:textId="77777777" w:rsidR="00300A14" w:rsidRPr="00E83F81" w:rsidRDefault="00300A14" w:rsidP="00B45861">
            <w:pPr>
              <w:tabs>
                <w:tab w:val="clear" w:pos="7100"/>
              </w:tabs>
              <w:spacing w:line="240" w:lineRule="auto"/>
              <w:jc w:val="center"/>
              <w:rPr>
                <w:rFonts w:cs="Arial"/>
                <w:szCs w:val="18"/>
                <w:lang w:val="it-IT" w:eastAsia="it-IT"/>
              </w:rPr>
            </w:pPr>
            <w:r w:rsidRPr="00E83F81">
              <w:rPr>
                <w:rFonts w:cs="Arial"/>
                <w:szCs w:val="18"/>
                <w:lang w:val="it-IT" w:eastAsia="it-IT"/>
              </w:rPr>
              <w:t>0.11 ± 0.04</w:t>
            </w:r>
          </w:p>
        </w:tc>
        <w:tc>
          <w:tcPr>
            <w:tcW w:w="1134" w:type="dxa"/>
            <w:tcBorders>
              <w:top w:val="nil"/>
              <w:left w:val="nil"/>
              <w:bottom w:val="nil"/>
              <w:right w:val="nil"/>
            </w:tcBorders>
            <w:noWrap/>
            <w:vAlign w:val="center"/>
            <w:hideMark/>
          </w:tcPr>
          <w:p w14:paraId="6D5A5A9B" w14:textId="77777777" w:rsidR="00300A14" w:rsidRPr="00E83F81" w:rsidRDefault="00300A14" w:rsidP="00B45861">
            <w:pPr>
              <w:tabs>
                <w:tab w:val="clear" w:pos="7100"/>
              </w:tabs>
              <w:spacing w:line="240" w:lineRule="auto"/>
              <w:jc w:val="center"/>
              <w:rPr>
                <w:rFonts w:cs="Arial"/>
                <w:szCs w:val="18"/>
                <w:lang w:val="it-IT" w:eastAsia="it-IT"/>
              </w:rPr>
            </w:pPr>
            <w:r w:rsidRPr="00E83F81">
              <w:rPr>
                <w:rFonts w:cs="Arial"/>
                <w:szCs w:val="18"/>
                <w:lang w:val="it-IT" w:eastAsia="it-IT"/>
              </w:rPr>
              <w:t>20.8 ± 0.3</w:t>
            </w:r>
          </w:p>
        </w:tc>
        <w:tc>
          <w:tcPr>
            <w:tcW w:w="1007" w:type="dxa"/>
            <w:tcBorders>
              <w:top w:val="nil"/>
              <w:left w:val="nil"/>
              <w:bottom w:val="nil"/>
              <w:right w:val="nil"/>
            </w:tcBorders>
            <w:noWrap/>
            <w:vAlign w:val="center"/>
            <w:hideMark/>
          </w:tcPr>
          <w:p w14:paraId="3E52D1D6" w14:textId="4BDACFD7" w:rsidR="00300A14" w:rsidRPr="00E83F81" w:rsidRDefault="00300A14" w:rsidP="00B45861">
            <w:pPr>
              <w:tabs>
                <w:tab w:val="clear" w:pos="7100"/>
              </w:tabs>
              <w:spacing w:line="240" w:lineRule="auto"/>
              <w:jc w:val="center"/>
              <w:rPr>
                <w:rFonts w:cs="Arial"/>
                <w:szCs w:val="18"/>
                <w:lang w:val="it-IT" w:eastAsia="it-IT"/>
              </w:rPr>
            </w:pPr>
            <w:r w:rsidRPr="00E83F81">
              <w:rPr>
                <w:rFonts w:cs="Arial"/>
                <w:szCs w:val="18"/>
                <w:lang w:val="it-IT" w:eastAsia="it-IT"/>
              </w:rPr>
              <w:t>5.82 ± .0</w:t>
            </w:r>
            <w:r w:rsidR="00AF0741" w:rsidRPr="00E83F81">
              <w:rPr>
                <w:rFonts w:cs="Arial"/>
                <w:szCs w:val="18"/>
                <w:lang w:val="it-IT" w:eastAsia="it-IT"/>
              </w:rPr>
              <w:t>1</w:t>
            </w:r>
          </w:p>
        </w:tc>
        <w:tc>
          <w:tcPr>
            <w:tcW w:w="203" w:type="dxa"/>
            <w:vAlign w:val="center"/>
            <w:hideMark/>
          </w:tcPr>
          <w:p w14:paraId="0A48DD61" w14:textId="77777777" w:rsidR="00300A14" w:rsidRPr="001669FB" w:rsidRDefault="00300A14" w:rsidP="00B45861">
            <w:pPr>
              <w:tabs>
                <w:tab w:val="clear" w:pos="7100"/>
              </w:tabs>
              <w:spacing w:line="240" w:lineRule="auto"/>
              <w:jc w:val="left"/>
              <w:rPr>
                <w:rFonts w:cs="Arial"/>
                <w:szCs w:val="18"/>
                <w:lang w:val="it-IT" w:eastAsia="it-IT"/>
              </w:rPr>
            </w:pPr>
          </w:p>
        </w:tc>
      </w:tr>
      <w:tr w:rsidR="00300A14" w:rsidRPr="001669FB" w14:paraId="038A3432" w14:textId="77777777" w:rsidTr="00B45861">
        <w:trPr>
          <w:trHeight w:val="328"/>
        </w:trPr>
        <w:tc>
          <w:tcPr>
            <w:tcW w:w="1188" w:type="dxa"/>
            <w:tcBorders>
              <w:top w:val="nil"/>
              <w:left w:val="nil"/>
              <w:bottom w:val="nil"/>
              <w:right w:val="nil"/>
            </w:tcBorders>
            <w:noWrap/>
            <w:vAlign w:val="center"/>
            <w:hideMark/>
          </w:tcPr>
          <w:p w14:paraId="42B213DD" w14:textId="77777777" w:rsidR="00300A14" w:rsidRPr="001669FB" w:rsidRDefault="00300A14" w:rsidP="00B45861">
            <w:pPr>
              <w:tabs>
                <w:tab w:val="clear" w:pos="7100"/>
              </w:tabs>
              <w:spacing w:line="240" w:lineRule="auto"/>
              <w:jc w:val="center"/>
              <w:rPr>
                <w:rFonts w:cs="Arial"/>
                <w:color w:val="000000"/>
                <w:szCs w:val="18"/>
                <w:lang w:val="it-IT" w:eastAsia="it-IT"/>
              </w:rPr>
            </w:pPr>
            <w:proofErr w:type="spellStart"/>
            <w:r w:rsidRPr="001669FB">
              <w:rPr>
                <w:rFonts w:cs="Arial"/>
                <w:color w:val="000000"/>
                <w:szCs w:val="18"/>
                <w:lang w:val="it-IT" w:eastAsia="it-IT"/>
              </w:rPr>
              <w:t>Twenty</w:t>
            </w:r>
            <w:proofErr w:type="spellEnd"/>
          </w:p>
        </w:tc>
        <w:tc>
          <w:tcPr>
            <w:tcW w:w="978" w:type="dxa"/>
            <w:tcBorders>
              <w:top w:val="nil"/>
              <w:left w:val="nil"/>
              <w:bottom w:val="nil"/>
              <w:right w:val="nil"/>
            </w:tcBorders>
            <w:noWrap/>
            <w:vAlign w:val="center"/>
            <w:hideMark/>
          </w:tcPr>
          <w:p w14:paraId="44B0EB7D" w14:textId="77777777" w:rsidR="00300A14" w:rsidRPr="001669FB" w:rsidRDefault="00300A14" w:rsidP="00B45861">
            <w:pPr>
              <w:tabs>
                <w:tab w:val="clear" w:pos="7100"/>
              </w:tabs>
              <w:spacing w:line="240" w:lineRule="auto"/>
              <w:jc w:val="center"/>
              <w:rPr>
                <w:rFonts w:cs="Arial"/>
                <w:color w:val="000000"/>
                <w:szCs w:val="18"/>
                <w:lang w:val="it-IT" w:eastAsia="it-IT"/>
              </w:rPr>
            </w:pPr>
            <w:r w:rsidRPr="001669FB">
              <w:rPr>
                <w:rFonts w:cs="Arial"/>
                <w:color w:val="000000"/>
                <w:szCs w:val="18"/>
                <w:lang w:val="it-IT" w:eastAsia="it-IT"/>
              </w:rPr>
              <w:t>11.9 ± 0.6</w:t>
            </w:r>
          </w:p>
        </w:tc>
        <w:tc>
          <w:tcPr>
            <w:tcW w:w="1404" w:type="dxa"/>
            <w:tcBorders>
              <w:top w:val="nil"/>
              <w:left w:val="nil"/>
              <w:bottom w:val="nil"/>
              <w:right w:val="nil"/>
            </w:tcBorders>
            <w:noWrap/>
            <w:vAlign w:val="center"/>
            <w:hideMark/>
          </w:tcPr>
          <w:p w14:paraId="5246EAF5" w14:textId="77777777" w:rsidR="00300A14" w:rsidRPr="00E83F81" w:rsidRDefault="00300A14" w:rsidP="00B45861">
            <w:pPr>
              <w:tabs>
                <w:tab w:val="clear" w:pos="7100"/>
              </w:tabs>
              <w:spacing w:line="240" w:lineRule="auto"/>
              <w:jc w:val="center"/>
              <w:rPr>
                <w:rFonts w:cs="Arial"/>
                <w:szCs w:val="18"/>
                <w:lang w:val="it-IT" w:eastAsia="it-IT"/>
              </w:rPr>
            </w:pPr>
            <w:r w:rsidRPr="00E83F81">
              <w:rPr>
                <w:rFonts w:cs="Arial"/>
                <w:szCs w:val="18"/>
                <w:lang w:val="it-IT" w:eastAsia="it-IT"/>
              </w:rPr>
              <w:t>0.13 ± 0.07</w:t>
            </w:r>
          </w:p>
        </w:tc>
        <w:tc>
          <w:tcPr>
            <w:tcW w:w="974" w:type="dxa"/>
            <w:gridSpan w:val="2"/>
            <w:tcBorders>
              <w:top w:val="nil"/>
              <w:left w:val="nil"/>
              <w:bottom w:val="nil"/>
              <w:right w:val="nil"/>
            </w:tcBorders>
            <w:noWrap/>
            <w:vAlign w:val="center"/>
            <w:hideMark/>
          </w:tcPr>
          <w:p w14:paraId="05B09CF6" w14:textId="77777777" w:rsidR="00300A14" w:rsidRPr="00E83F81" w:rsidRDefault="00300A14" w:rsidP="00B45861">
            <w:pPr>
              <w:tabs>
                <w:tab w:val="clear" w:pos="7100"/>
              </w:tabs>
              <w:spacing w:line="240" w:lineRule="auto"/>
              <w:jc w:val="center"/>
              <w:rPr>
                <w:rFonts w:cs="Arial"/>
                <w:szCs w:val="18"/>
                <w:lang w:val="it-IT" w:eastAsia="it-IT"/>
              </w:rPr>
            </w:pPr>
            <w:r w:rsidRPr="00E83F81">
              <w:rPr>
                <w:rFonts w:cs="Arial"/>
                <w:szCs w:val="18"/>
                <w:lang w:val="it-IT" w:eastAsia="it-IT"/>
              </w:rPr>
              <w:t>3.3 ± 0.1</w:t>
            </w:r>
          </w:p>
        </w:tc>
        <w:tc>
          <w:tcPr>
            <w:tcW w:w="1223" w:type="dxa"/>
            <w:tcBorders>
              <w:top w:val="nil"/>
              <w:left w:val="nil"/>
              <w:bottom w:val="nil"/>
              <w:right w:val="nil"/>
            </w:tcBorders>
            <w:noWrap/>
            <w:vAlign w:val="center"/>
            <w:hideMark/>
          </w:tcPr>
          <w:p w14:paraId="638248AE" w14:textId="77777777" w:rsidR="00300A14" w:rsidRPr="00E83F81" w:rsidRDefault="00300A14" w:rsidP="00B45861">
            <w:pPr>
              <w:tabs>
                <w:tab w:val="clear" w:pos="7100"/>
              </w:tabs>
              <w:spacing w:line="240" w:lineRule="auto"/>
              <w:jc w:val="center"/>
              <w:rPr>
                <w:rFonts w:cs="Arial"/>
                <w:szCs w:val="18"/>
                <w:lang w:val="it-IT" w:eastAsia="it-IT"/>
              </w:rPr>
            </w:pPr>
            <w:r w:rsidRPr="00E83F81">
              <w:rPr>
                <w:rFonts w:cs="Arial"/>
                <w:szCs w:val="18"/>
                <w:lang w:val="it-IT" w:eastAsia="it-IT"/>
              </w:rPr>
              <w:t>6.6 ± 0.8</w:t>
            </w:r>
          </w:p>
        </w:tc>
        <w:tc>
          <w:tcPr>
            <w:tcW w:w="1334" w:type="dxa"/>
            <w:tcBorders>
              <w:top w:val="nil"/>
              <w:left w:val="nil"/>
              <w:bottom w:val="nil"/>
              <w:right w:val="nil"/>
            </w:tcBorders>
            <w:noWrap/>
            <w:vAlign w:val="center"/>
            <w:hideMark/>
          </w:tcPr>
          <w:p w14:paraId="182B27B6" w14:textId="77777777" w:rsidR="00300A14" w:rsidRPr="00E83F81" w:rsidRDefault="00300A14" w:rsidP="00B45861">
            <w:pPr>
              <w:tabs>
                <w:tab w:val="clear" w:pos="7100"/>
              </w:tabs>
              <w:spacing w:line="240" w:lineRule="auto"/>
              <w:jc w:val="center"/>
              <w:rPr>
                <w:rFonts w:cs="Arial"/>
                <w:szCs w:val="18"/>
                <w:lang w:val="it-IT" w:eastAsia="it-IT"/>
              </w:rPr>
            </w:pPr>
            <w:r w:rsidRPr="00E83F81">
              <w:rPr>
                <w:rFonts w:cs="Arial"/>
                <w:szCs w:val="18"/>
                <w:lang w:val="it-IT" w:eastAsia="it-IT"/>
              </w:rPr>
              <w:t>0.14 ± 0.05</w:t>
            </w:r>
          </w:p>
        </w:tc>
        <w:tc>
          <w:tcPr>
            <w:tcW w:w="1134" w:type="dxa"/>
            <w:tcBorders>
              <w:top w:val="nil"/>
              <w:left w:val="nil"/>
              <w:bottom w:val="nil"/>
              <w:right w:val="nil"/>
            </w:tcBorders>
            <w:noWrap/>
            <w:vAlign w:val="center"/>
            <w:hideMark/>
          </w:tcPr>
          <w:p w14:paraId="4A9F2531" w14:textId="77777777" w:rsidR="00300A14" w:rsidRPr="00E83F81" w:rsidRDefault="00300A14" w:rsidP="00B45861">
            <w:pPr>
              <w:tabs>
                <w:tab w:val="clear" w:pos="7100"/>
              </w:tabs>
              <w:spacing w:line="240" w:lineRule="auto"/>
              <w:jc w:val="center"/>
              <w:rPr>
                <w:rFonts w:cs="Arial"/>
                <w:szCs w:val="18"/>
                <w:lang w:val="it-IT" w:eastAsia="it-IT"/>
              </w:rPr>
            </w:pPr>
            <w:r w:rsidRPr="00E83F81">
              <w:rPr>
                <w:rFonts w:cs="Arial"/>
                <w:szCs w:val="18"/>
                <w:lang w:val="it-IT" w:eastAsia="it-IT"/>
              </w:rPr>
              <w:t>22.1 ± 0.2</w:t>
            </w:r>
          </w:p>
        </w:tc>
        <w:tc>
          <w:tcPr>
            <w:tcW w:w="1007" w:type="dxa"/>
            <w:tcBorders>
              <w:top w:val="nil"/>
              <w:left w:val="nil"/>
              <w:bottom w:val="nil"/>
              <w:right w:val="nil"/>
            </w:tcBorders>
            <w:noWrap/>
            <w:vAlign w:val="center"/>
            <w:hideMark/>
          </w:tcPr>
          <w:p w14:paraId="5662ABDB" w14:textId="77777777" w:rsidR="00300A14" w:rsidRPr="00E83F81" w:rsidRDefault="00300A14" w:rsidP="00B45861">
            <w:pPr>
              <w:tabs>
                <w:tab w:val="clear" w:pos="7100"/>
              </w:tabs>
              <w:spacing w:line="240" w:lineRule="auto"/>
              <w:jc w:val="center"/>
              <w:rPr>
                <w:rFonts w:cs="Arial"/>
                <w:szCs w:val="18"/>
                <w:lang w:val="it-IT" w:eastAsia="it-IT"/>
              </w:rPr>
            </w:pPr>
            <w:r w:rsidRPr="00E83F81">
              <w:rPr>
                <w:rFonts w:cs="Arial"/>
                <w:szCs w:val="18"/>
                <w:lang w:val="it-IT" w:eastAsia="it-IT"/>
              </w:rPr>
              <w:t>6.0 ± 0.2</w:t>
            </w:r>
          </w:p>
        </w:tc>
        <w:tc>
          <w:tcPr>
            <w:tcW w:w="203" w:type="dxa"/>
            <w:vAlign w:val="center"/>
            <w:hideMark/>
          </w:tcPr>
          <w:p w14:paraId="2267CF58" w14:textId="77777777" w:rsidR="00300A14" w:rsidRPr="001669FB" w:rsidRDefault="00300A14" w:rsidP="00B45861">
            <w:pPr>
              <w:tabs>
                <w:tab w:val="clear" w:pos="7100"/>
              </w:tabs>
              <w:spacing w:line="240" w:lineRule="auto"/>
              <w:jc w:val="left"/>
              <w:rPr>
                <w:rFonts w:cs="Arial"/>
                <w:szCs w:val="18"/>
                <w:lang w:val="it-IT" w:eastAsia="it-IT"/>
              </w:rPr>
            </w:pPr>
          </w:p>
        </w:tc>
      </w:tr>
      <w:tr w:rsidR="00300A14" w:rsidRPr="001669FB" w14:paraId="7FE5BD07" w14:textId="77777777" w:rsidTr="00B45861">
        <w:trPr>
          <w:trHeight w:val="328"/>
        </w:trPr>
        <w:tc>
          <w:tcPr>
            <w:tcW w:w="1188" w:type="dxa"/>
            <w:tcBorders>
              <w:top w:val="nil"/>
              <w:left w:val="nil"/>
              <w:bottom w:val="nil"/>
              <w:right w:val="nil"/>
            </w:tcBorders>
            <w:noWrap/>
            <w:vAlign w:val="center"/>
            <w:hideMark/>
          </w:tcPr>
          <w:p w14:paraId="680111BE" w14:textId="77777777" w:rsidR="00300A14" w:rsidRPr="001669FB" w:rsidRDefault="00300A14" w:rsidP="00B45861">
            <w:pPr>
              <w:tabs>
                <w:tab w:val="clear" w:pos="7100"/>
              </w:tabs>
              <w:spacing w:line="240" w:lineRule="auto"/>
              <w:jc w:val="center"/>
              <w:rPr>
                <w:rFonts w:cs="Arial"/>
                <w:color w:val="000000"/>
                <w:szCs w:val="18"/>
                <w:lang w:val="it-IT" w:eastAsia="it-IT"/>
              </w:rPr>
            </w:pPr>
            <w:proofErr w:type="spellStart"/>
            <w:r w:rsidRPr="001669FB">
              <w:rPr>
                <w:rFonts w:cs="Arial"/>
                <w:color w:val="000000"/>
                <w:szCs w:val="18"/>
                <w:lang w:val="it-IT" w:eastAsia="it-IT"/>
              </w:rPr>
              <w:t>Sign</w:t>
            </w:r>
            <w:proofErr w:type="spellEnd"/>
            <w:r w:rsidRPr="001669FB">
              <w:rPr>
                <w:rFonts w:cs="Arial"/>
                <w:color w:val="000000"/>
                <w:szCs w:val="18"/>
                <w:lang w:val="it-IT" w:eastAsia="it-IT"/>
              </w:rPr>
              <w:t>.</w:t>
            </w:r>
          </w:p>
        </w:tc>
        <w:tc>
          <w:tcPr>
            <w:tcW w:w="978" w:type="dxa"/>
            <w:tcBorders>
              <w:top w:val="nil"/>
              <w:left w:val="nil"/>
              <w:bottom w:val="nil"/>
              <w:right w:val="nil"/>
            </w:tcBorders>
            <w:noWrap/>
            <w:vAlign w:val="center"/>
            <w:hideMark/>
          </w:tcPr>
          <w:p w14:paraId="0C128CFA" w14:textId="77777777" w:rsidR="00300A14" w:rsidRPr="001669FB" w:rsidRDefault="00300A14" w:rsidP="00B45861">
            <w:pPr>
              <w:tabs>
                <w:tab w:val="clear" w:pos="7100"/>
              </w:tabs>
              <w:spacing w:line="240" w:lineRule="auto"/>
              <w:jc w:val="center"/>
              <w:rPr>
                <w:rFonts w:cs="Arial"/>
                <w:color w:val="000000"/>
                <w:szCs w:val="18"/>
                <w:lang w:val="it-IT" w:eastAsia="it-IT"/>
              </w:rPr>
            </w:pPr>
            <w:r w:rsidRPr="001669FB">
              <w:rPr>
                <w:rFonts w:cs="Arial"/>
                <w:color w:val="000000"/>
                <w:szCs w:val="18"/>
                <w:lang w:val="it-IT" w:eastAsia="it-IT"/>
              </w:rPr>
              <w:t>ns</w:t>
            </w:r>
          </w:p>
        </w:tc>
        <w:tc>
          <w:tcPr>
            <w:tcW w:w="1404" w:type="dxa"/>
            <w:tcBorders>
              <w:top w:val="nil"/>
              <w:left w:val="nil"/>
              <w:bottom w:val="nil"/>
              <w:right w:val="nil"/>
            </w:tcBorders>
            <w:noWrap/>
            <w:vAlign w:val="center"/>
            <w:hideMark/>
          </w:tcPr>
          <w:p w14:paraId="3EB71C53" w14:textId="77777777" w:rsidR="00300A14" w:rsidRPr="00E83F81" w:rsidRDefault="00300A14" w:rsidP="00B45861">
            <w:pPr>
              <w:tabs>
                <w:tab w:val="clear" w:pos="7100"/>
              </w:tabs>
              <w:spacing w:line="240" w:lineRule="auto"/>
              <w:jc w:val="center"/>
              <w:rPr>
                <w:rFonts w:cs="Arial"/>
                <w:szCs w:val="18"/>
                <w:lang w:val="it-IT" w:eastAsia="it-IT"/>
              </w:rPr>
            </w:pPr>
            <w:r w:rsidRPr="00E83F81">
              <w:rPr>
                <w:rFonts w:cs="Arial"/>
                <w:szCs w:val="18"/>
                <w:lang w:val="it-IT" w:eastAsia="it-IT"/>
              </w:rPr>
              <w:t>ns</w:t>
            </w:r>
          </w:p>
        </w:tc>
        <w:tc>
          <w:tcPr>
            <w:tcW w:w="974" w:type="dxa"/>
            <w:gridSpan w:val="2"/>
            <w:tcBorders>
              <w:top w:val="nil"/>
              <w:left w:val="nil"/>
              <w:bottom w:val="nil"/>
              <w:right w:val="nil"/>
            </w:tcBorders>
            <w:noWrap/>
            <w:vAlign w:val="center"/>
            <w:hideMark/>
          </w:tcPr>
          <w:p w14:paraId="11C67D43" w14:textId="77777777" w:rsidR="00300A14" w:rsidRPr="00E83F81" w:rsidRDefault="00300A14" w:rsidP="00B45861">
            <w:pPr>
              <w:tabs>
                <w:tab w:val="clear" w:pos="7100"/>
              </w:tabs>
              <w:spacing w:line="240" w:lineRule="auto"/>
              <w:jc w:val="center"/>
              <w:rPr>
                <w:rFonts w:cs="Arial"/>
                <w:szCs w:val="18"/>
                <w:lang w:val="it-IT" w:eastAsia="it-IT"/>
              </w:rPr>
            </w:pPr>
            <w:r w:rsidRPr="00E83F81">
              <w:rPr>
                <w:rFonts w:cs="Arial"/>
                <w:szCs w:val="18"/>
                <w:lang w:val="it-IT" w:eastAsia="it-IT"/>
              </w:rPr>
              <w:t>ns</w:t>
            </w:r>
          </w:p>
        </w:tc>
        <w:tc>
          <w:tcPr>
            <w:tcW w:w="1223" w:type="dxa"/>
            <w:tcBorders>
              <w:top w:val="nil"/>
              <w:left w:val="nil"/>
              <w:bottom w:val="nil"/>
              <w:right w:val="nil"/>
            </w:tcBorders>
            <w:noWrap/>
            <w:vAlign w:val="center"/>
            <w:hideMark/>
          </w:tcPr>
          <w:p w14:paraId="06C03668" w14:textId="77777777" w:rsidR="00300A14" w:rsidRPr="00E83F81" w:rsidRDefault="00300A14" w:rsidP="00B45861">
            <w:pPr>
              <w:tabs>
                <w:tab w:val="clear" w:pos="7100"/>
              </w:tabs>
              <w:spacing w:line="240" w:lineRule="auto"/>
              <w:jc w:val="center"/>
              <w:rPr>
                <w:rFonts w:cs="Arial"/>
                <w:szCs w:val="18"/>
                <w:lang w:val="it-IT" w:eastAsia="it-IT"/>
              </w:rPr>
            </w:pPr>
            <w:r w:rsidRPr="00E83F81">
              <w:rPr>
                <w:rFonts w:cs="Arial"/>
                <w:szCs w:val="18"/>
                <w:lang w:val="it-IT" w:eastAsia="it-IT"/>
              </w:rPr>
              <w:t>ns</w:t>
            </w:r>
          </w:p>
        </w:tc>
        <w:tc>
          <w:tcPr>
            <w:tcW w:w="1334" w:type="dxa"/>
            <w:tcBorders>
              <w:top w:val="nil"/>
              <w:left w:val="nil"/>
              <w:bottom w:val="nil"/>
              <w:right w:val="nil"/>
            </w:tcBorders>
            <w:noWrap/>
            <w:vAlign w:val="center"/>
            <w:hideMark/>
          </w:tcPr>
          <w:p w14:paraId="16F3D6B3" w14:textId="77777777" w:rsidR="00300A14" w:rsidRPr="00E83F81" w:rsidRDefault="00300A14" w:rsidP="00B45861">
            <w:pPr>
              <w:tabs>
                <w:tab w:val="clear" w:pos="7100"/>
              </w:tabs>
              <w:spacing w:line="240" w:lineRule="auto"/>
              <w:jc w:val="center"/>
              <w:rPr>
                <w:rFonts w:cs="Arial"/>
                <w:szCs w:val="18"/>
                <w:lang w:val="it-IT" w:eastAsia="it-IT"/>
              </w:rPr>
            </w:pPr>
            <w:r w:rsidRPr="00E83F81">
              <w:rPr>
                <w:rFonts w:cs="Arial"/>
                <w:szCs w:val="18"/>
                <w:lang w:val="it-IT" w:eastAsia="it-IT"/>
              </w:rPr>
              <w:t>ns</w:t>
            </w:r>
          </w:p>
        </w:tc>
        <w:tc>
          <w:tcPr>
            <w:tcW w:w="1134" w:type="dxa"/>
            <w:tcBorders>
              <w:top w:val="nil"/>
              <w:left w:val="nil"/>
              <w:bottom w:val="nil"/>
              <w:right w:val="nil"/>
            </w:tcBorders>
            <w:noWrap/>
            <w:vAlign w:val="center"/>
            <w:hideMark/>
          </w:tcPr>
          <w:p w14:paraId="23805D3B" w14:textId="77777777" w:rsidR="00300A14" w:rsidRPr="00E83F81" w:rsidRDefault="00300A14" w:rsidP="00B45861">
            <w:pPr>
              <w:tabs>
                <w:tab w:val="clear" w:pos="7100"/>
              </w:tabs>
              <w:spacing w:line="240" w:lineRule="auto"/>
              <w:jc w:val="center"/>
              <w:rPr>
                <w:rFonts w:cs="Arial"/>
                <w:szCs w:val="18"/>
                <w:lang w:val="it-IT" w:eastAsia="it-IT"/>
              </w:rPr>
            </w:pPr>
            <w:r w:rsidRPr="00E83F81">
              <w:rPr>
                <w:rFonts w:cs="Arial"/>
                <w:szCs w:val="18"/>
                <w:lang w:val="it-IT" w:eastAsia="it-IT"/>
              </w:rPr>
              <w:t>*</w:t>
            </w:r>
          </w:p>
        </w:tc>
        <w:tc>
          <w:tcPr>
            <w:tcW w:w="1007" w:type="dxa"/>
            <w:tcBorders>
              <w:top w:val="nil"/>
              <w:left w:val="nil"/>
              <w:bottom w:val="nil"/>
              <w:right w:val="nil"/>
            </w:tcBorders>
            <w:noWrap/>
            <w:vAlign w:val="center"/>
            <w:hideMark/>
          </w:tcPr>
          <w:p w14:paraId="0E856FDC" w14:textId="77777777" w:rsidR="00300A14" w:rsidRPr="00E83F81" w:rsidRDefault="00300A14" w:rsidP="00B45861">
            <w:pPr>
              <w:tabs>
                <w:tab w:val="clear" w:pos="7100"/>
              </w:tabs>
              <w:spacing w:line="240" w:lineRule="auto"/>
              <w:jc w:val="center"/>
              <w:rPr>
                <w:rFonts w:cs="Arial"/>
                <w:szCs w:val="18"/>
                <w:lang w:val="it-IT" w:eastAsia="it-IT"/>
              </w:rPr>
            </w:pPr>
            <w:r w:rsidRPr="00E83F81">
              <w:rPr>
                <w:rFonts w:cs="Arial"/>
                <w:szCs w:val="18"/>
                <w:lang w:val="it-IT" w:eastAsia="it-IT"/>
              </w:rPr>
              <w:t>ns</w:t>
            </w:r>
          </w:p>
        </w:tc>
        <w:tc>
          <w:tcPr>
            <w:tcW w:w="203" w:type="dxa"/>
            <w:vAlign w:val="center"/>
            <w:hideMark/>
          </w:tcPr>
          <w:p w14:paraId="30211314" w14:textId="77777777" w:rsidR="00300A14" w:rsidRPr="001669FB" w:rsidRDefault="00300A14" w:rsidP="00B45861">
            <w:pPr>
              <w:tabs>
                <w:tab w:val="clear" w:pos="7100"/>
              </w:tabs>
              <w:spacing w:line="240" w:lineRule="auto"/>
              <w:jc w:val="left"/>
              <w:rPr>
                <w:rFonts w:cs="Arial"/>
                <w:szCs w:val="18"/>
                <w:lang w:val="it-IT" w:eastAsia="it-IT"/>
              </w:rPr>
            </w:pPr>
          </w:p>
        </w:tc>
      </w:tr>
      <w:tr w:rsidR="00300A14" w:rsidRPr="001669FB" w14:paraId="5D7A9503" w14:textId="77777777" w:rsidTr="00B45861">
        <w:trPr>
          <w:trHeight w:val="328"/>
        </w:trPr>
        <w:tc>
          <w:tcPr>
            <w:tcW w:w="1188" w:type="dxa"/>
            <w:tcBorders>
              <w:top w:val="nil"/>
              <w:left w:val="nil"/>
              <w:bottom w:val="nil"/>
              <w:right w:val="nil"/>
            </w:tcBorders>
            <w:vAlign w:val="center"/>
            <w:hideMark/>
          </w:tcPr>
          <w:p w14:paraId="2B91C2C9" w14:textId="77777777" w:rsidR="00300A14" w:rsidRDefault="00300A14" w:rsidP="00B45861">
            <w:pPr>
              <w:tabs>
                <w:tab w:val="clear" w:pos="7100"/>
              </w:tabs>
              <w:spacing w:line="240" w:lineRule="auto"/>
              <w:jc w:val="center"/>
              <w:rPr>
                <w:rFonts w:cs="Arial"/>
                <w:color w:val="000000"/>
                <w:szCs w:val="18"/>
                <w:lang w:val="it-IT" w:eastAsia="it-IT"/>
              </w:rPr>
            </w:pPr>
            <w:proofErr w:type="spellStart"/>
            <w:r w:rsidRPr="001669FB">
              <w:rPr>
                <w:rFonts w:cs="Arial"/>
                <w:color w:val="000000"/>
                <w:szCs w:val="18"/>
                <w:lang w:val="it-IT" w:eastAsia="it-IT"/>
              </w:rPr>
              <w:t>Yeast</w:t>
            </w:r>
            <w:proofErr w:type="spellEnd"/>
          </w:p>
          <w:p w14:paraId="11EA5BA2" w14:textId="77777777" w:rsidR="00300A14" w:rsidRPr="001669FB" w:rsidRDefault="00300A14" w:rsidP="00B45861">
            <w:pPr>
              <w:tabs>
                <w:tab w:val="clear" w:pos="7100"/>
              </w:tabs>
              <w:spacing w:line="240" w:lineRule="auto"/>
              <w:jc w:val="center"/>
              <w:rPr>
                <w:rFonts w:cs="Arial"/>
                <w:color w:val="000000"/>
                <w:szCs w:val="18"/>
                <w:lang w:val="it-IT" w:eastAsia="it-IT"/>
              </w:rPr>
            </w:pPr>
            <w:r>
              <w:rPr>
                <w:rFonts w:cs="Arial"/>
                <w:color w:val="000000"/>
                <w:szCs w:val="18"/>
                <w:lang w:val="it-IT" w:eastAsia="it-IT"/>
              </w:rPr>
              <w:t>(n = 8)</w:t>
            </w:r>
          </w:p>
        </w:tc>
        <w:tc>
          <w:tcPr>
            <w:tcW w:w="978" w:type="dxa"/>
            <w:tcBorders>
              <w:top w:val="nil"/>
              <w:left w:val="nil"/>
              <w:bottom w:val="nil"/>
              <w:right w:val="nil"/>
            </w:tcBorders>
            <w:vAlign w:val="center"/>
            <w:hideMark/>
          </w:tcPr>
          <w:p w14:paraId="66CA1BAF" w14:textId="77777777" w:rsidR="00300A14" w:rsidRPr="001669FB" w:rsidRDefault="00300A14" w:rsidP="00B45861">
            <w:pPr>
              <w:tabs>
                <w:tab w:val="clear" w:pos="7100"/>
              </w:tabs>
              <w:spacing w:line="240" w:lineRule="auto"/>
              <w:jc w:val="center"/>
              <w:rPr>
                <w:rFonts w:cs="Arial"/>
                <w:color w:val="000000"/>
                <w:szCs w:val="18"/>
                <w:lang w:val="it-IT" w:eastAsia="it-IT"/>
              </w:rPr>
            </w:pPr>
          </w:p>
        </w:tc>
        <w:tc>
          <w:tcPr>
            <w:tcW w:w="1404" w:type="dxa"/>
            <w:tcBorders>
              <w:top w:val="nil"/>
              <w:left w:val="nil"/>
              <w:bottom w:val="nil"/>
              <w:right w:val="nil"/>
            </w:tcBorders>
            <w:vAlign w:val="center"/>
            <w:hideMark/>
          </w:tcPr>
          <w:p w14:paraId="7294ED80" w14:textId="77777777" w:rsidR="00300A14" w:rsidRPr="00E83F81" w:rsidRDefault="00300A14" w:rsidP="00B45861">
            <w:pPr>
              <w:tabs>
                <w:tab w:val="clear" w:pos="7100"/>
              </w:tabs>
              <w:spacing w:line="240" w:lineRule="auto"/>
              <w:jc w:val="center"/>
              <w:rPr>
                <w:rFonts w:cs="Arial"/>
                <w:szCs w:val="18"/>
                <w:lang w:val="it-IT" w:eastAsia="it-IT"/>
              </w:rPr>
            </w:pPr>
          </w:p>
        </w:tc>
        <w:tc>
          <w:tcPr>
            <w:tcW w:w="974" w:type="dxa"/>
            <w:gridSpan w:val="2"/>
            <w:tcBorders>
              <w:top w:val="nil"/>
              <w:left w:val="nil"/>
              <w:bottom w:val="nil"/>
              <w:right w:val="nil"/>
            </w:tcBorders>
            <w:vAlign w:val="center"/>
            <w:hideMark/>
          </w:tcPr>
          <w:p w14:paraId="56683B0A" w14:textId="77777777" w:rsidR="00300A14" w:rsidRPr="00E83F81" w:rsidRDefault="00300A14" w:rsidP="00B45861">
            <w:pPr>
              <w:tabs>
                <w:tab w:val="clear" w:pos="7100"/>
              </w:tabs>
              <w:spacing w:line="240" w:lineRule="auto"/>
              <w:jc w:val="center"/>
              <w:rPr>
                <w:rFonts w:cs="Arial"/>
                <w:szCs w:val="18"/>
                <w:lang w:val="it-IT" w:eastAsia="it-IT"/>
              </w:rPr>
            </w:pPr>
          </w:p>
        </w:tc>
        <w:tc>
          <w:tcPr>
            <w:tcW w:w="1223" w:type="dxa"/>
            <w:tcBorders>
              <w:top w:val="nil"/>
              <w:left w:val="nil"/>
              <w:bottom w:val="nil"/>
              <w:right w:val="nil"/>
            </w:tcBorders>
            <w:vAlign w:val="center"/>
            <w:hideMark/>
          </w:tcPr>
          <w:p w14:paraId="77ADCC11" w14:textId="77777777" w:rsidR="00300A14" w:rsidRPr="00E83F81" w:rsidRDefault="00300A14" w:rsidP="00B45861">
            <w:pPr>
              <w:tabs>
                <w:tab w:val="clear" w:pos="7100"/>
              </w:tabs>
              <w:spacing w:line="240" w:lineRule="auto"/>
              <w:jc w:val="center"/>
              <w:rPr>
                <w:rFonts w:cs="Arial"/>
                <w:szCs w:val="18"/>
                <w:lang w:val="it-IT" w:eastAsia="it-IT"/>
              </w:rPr>
            </w:pPr>
          </w:p>
        </w:tc>
        <w:tc>
          <w:tcPr>
            <w:tcW w:w="1334" w:type="dxa"/>
            <w:tcBorders>
              <w:top w:val="nil"/>
              <w:left w:val="nil"/>
              <w:bottom w:val="nil"/>
              <w:right w:val="nil"/>
            </w:tcBorders>
            <w:vAlign w:val="center"/>
            <w:hideMark/>
          </w:tcPr>
          <w:p w14:paraId="617A956B" w14:textId="77777777" w:rsidR="00300A14" w:rsidRPr="00E83F81" w:rsidRDefault="00300A14" w:rsidP="00B45861">
            <w:pPr>
              <w:tabs>
                <w:tab w:val="clear" w:pos="7100"/>
              </w:tabs>
              <w:spacing w:line="240" w:lineRule="auto"/>
              <w:jc w:val="center"/>
              <w:rPr>
                <w:rFonts w:cs="Arial"/>
                <w:szCs w:val="18"/>
                <w:lang w:val="it-IT" w:eastAsia="it-IT"/>
              </w:rPr>
            </w:pPr>
          </w:p>
        </w:tc>
        <w:tc>
          <w:tcPr>
            <w:tcW w:w="1134" w:type="dxa"/>
            <w:tcBorders>
              <w:top w:val="nil"/>
              <w:left w:val="nil"/>
              <w:bottom w:val="nil"/>
              <w:right w:val="nil"/>
            </w:tcBorders>
            <w:vAlign w:val="center"/>
            <w:hideMark/>
          </w:tcPr>
          <w:p w14:paraId="36C323C8" w14:textId="77777777" w:rsidR="00300A14" w:rsidRPr="00E83F81" w:rsidRDefault="00300A14" w:rsidP="00B45861">
            <w:pPr>
              <w:tabs>
                <w:tab w:val="clear" w:pos="7100"/>
              </w:tabs>
              <w:spacing w:line="240" w:lineRule="auto"/>
              <w:jc w:val="center"/>
              <w:rPr>
                <w:rFonts w:cs="Arial"/>
                <w:szCs w:val="18"/>
                <w:lang w:val="it-IT" w:eastAsia="it-IT"/>
              </w:rPr>
            </w:pPr>
          </w:p>
        </w:tc>
        <w:tc>
          <w:tcPr>
            <w:tcW w:w="1007" w:type="dxa"/>
            <w:tcBorders>
              <w:top w:val="nil"/>
              <w:left w:val="nil"/>
              <w:bottom w:val="nil"/>
              <w:right w:val="nil"/>
            </w:tcBorders>
            <w:vAlign w:val="center"/>
            <w:hideMark/>
          </w:tcPr>
          <w:p w14:paraId="7740776F" w14:textId="77777777" w:rsidR="00300A14" w:rsidRPr="00E83F81" w:rsidRDefault="00300A14" w:rsidP="00B45861">
            <w:pPr>
              <w:tabs>
                <w:tab w:val="clear" w:pos="7100"/>
              </w:tabs>
              <w:spacing w:line="240" w:lineRule="auto"/>
              <w:jc w:val="center"/>
              <w:rPr>
                <w:rFonts w:cs="Arial"/>
                <w:szCs w:val="18"/>
                <w:lang w:val="it-IT" w:eastAsia="it-IT"/>
              </w:rPr>
            </w:pPr>
          </w:p>
        </w:tc>
        <w:tc>
          <w:tcPr>
            <w:tcW w:w="203" w:type="dxa"/>
            <w:vAlign w:val="center"/>
            <w:hideMark/>
          </w:tcPr>
          <w:p w14:paraId="7F32DDF9" w14:textId="77777777" w:rsidR="00300A14" w:rsidRPr="001669FB" w:rsidRDefault="00300A14" w:rsidP="00B45861">
            <w:pPr>
              <w:tabs>
                <w:tab w:val="clear" w:pos="7100"/>
              </w:tabs>
              <w:spacing w:line="240" w:lineRule="auto"/>
              <w:jc w:val="left"/>
              <w:rPr>
                <w:rFonts w:cs="Arial"/>
                <w:szCs w:val="18"/>
                <w:lang w:val="it-IT" w:eastAsia="it-IT"/>
              </w:rPr>
            </w:pPr>
          </w:p>
        </w:tc>
      </w:tr>
      <w:tr w:rsidR="00300A14" w:rsidRPr="001669FB" w14:paraId="3FA0BA8D" w14:textId="77777777" w:rsidTr="00B45861">
        <w:trPr>
          <w:trHeight w:val="328"/>
        </w:trPr>
        <w:tc>
          <w:tcPr>
            <w:tcW w:w="1188" w:type="dxa"/>
            <w:tcBorders>
              <w:top w:val="nil"/>
              <w:left w:val="nil"/>
              <w:bottom w:val="nil"/>
              <w:right w:val="nil"/>
            </w:tcBorders>
            <w:vAlign w:val="center"/>
            <w:hideMark/>
          </w:tcPr>
          <w:p w14:paraId="42B38229" w14:textId="77777777" w:rsidR="00300A14" w:rsidRPr="001669FB" w:rsidRDefault="00300A14" w:rsidP="00B45861">
            <w:pPr>
              <w:tabs>
                <w:tab w:val="clear" w:pos="7100"/>
              </w:tabs>
              <w:spacing w:line="240" w:lineRule="auto"/>
              <w:jc w:val="center"/>
              <w:rPr>
                <w:rFonts w:cs="Arial"/>
                <w:color w:val="000000"/>
                <w:szCs w:val="18"/>
                <w:lang w:val="it-IT" w:eastAsia="it-IT"/>
              </w:rPr>
            </w:pPr>
            <w:r w:rsidRPr="001669FB">
              <w:rPr>
                <w:rFonts w:cs="Arial"/>
                <w:color w:val="000000"/>
                <w:szCs w:val="18"/>
                <w:lang w:val="it-IT" w:eastAsia="it-IT"/>
              </w:rPr>
              <w:t>SC22</w:t>
            </w:r>
          </w:p>
        </w:tc>
        <w:tc>
          <w:tcPr>
            <w:tcW w:w="978" w:type="dxa"/>
            <w:tcBorders>
              <w:top w:val="nil"/>
              <w:left w:val="nil"/>
              <w:bottom w:val="nil"/>
              <w:right w:val="nil"/>
            </w:tcBorders>
            <w:vAlign w:val="center"/>
            <w:hideMark/>
          </w:tcPr>
          <w:p w14:paraId="7B953236" w14:textId="77777777" w:rsidR="00300A14" w:rsidRPr="001669FB" w:rsidRDefault="00300A14" w:rsidP="00B45861">
            <w:pPr>
              <w:tabs>
                <w:tab w:val="clear" w:pos="7100"/>
              </w:tabs>
              <w:spacing w:line="240" w:lineRule="auto"/>
              <w:jc w:val="center"/>
              <w:rPr>
                <w:rFonts w:cs="Arial"/>
                <w:color w:val="000000"/>
                <w:szCs w:val="18"/>
                <w:lang w:val="it-IT" w:eastAsia="it-IT"/>
              </w:rPr>
            </w:pPr>
            <w:r w:rsidRPr="001669FB">
              <w:rPr>
                <w:rFonts w:cs="Arial"/>
                <w:color w:val="000000"/>
                <w:szCs w:val="18"/>
                <w:lang w:val="it-IT" w:eastAsia="it-IT"/>
              </w:rPr>
              <w:t>11.9 ± 0.6</w:t>
            </w:r>
          </w:p>
        </w:tc>
        <w:tc>
          <w:tcPr>
            <w:tcW w:w="1404" w:type="dxa"/>
            <w:tcBorders>
              <w:top w:val="nil"/>
              <w:left w:val="nil"/>
              <w:bottom w:val="nil"/>
              <w:right w:val="nil"/>
            </w:tcBorders>
            <w:vAlign w:val="center"/>
            <w:hideMark/>
          </w:tcPr>
          <w:p w14:paraId="25B44139" w14:textId="77777777" w:rsidR="00300A14" w:rsidRPr="00E83F81" w:rsidRDefault="00300A14" w:rsidP="00B45861">
            <w:pPr>
              <w:tabs>
                <w:tab w:val="clear" w:pos="7100"/>
              </w:tabs>
              <w:spacing w:line="240" w:lineRule="auto"/>
              <w:jc w:val="center"/>
              <w:rPr>
                <w:rFonts w:cs="Arial"/>
                <w:szCs w:val="18"/>
                <w:lang w:val="it-IT" w:eastAsia="it-IT"/>
              </w:rPr>
            </w:pPr>
            <w:r w:rsidRPr="00E83F81">
              <w:rPr>
                <w:rFonts w:cs="Arial"/>
                <w:szCs w:val="18"/>
                <w:lang w:val="it-IT" w:eastAsia="it-IT"/>
              </w:rPr>
              <w:t>0.20 ± 0.08</w:t>
            </w:r>
          </w:p>
        </w:tc>
        <w:tc>
          <w:tcPr>
            <w:tcW w:w="974" w:type="dxa"/>
            <w:gridSpan w:val="2"/>
            <w:tcBorders>
              <w:top w:val="nil"/>
              <w:left w:val="nil"/>
              <w:bottom w:val="nil"/>
              <w:right w:val="nil"/>
            </w:tcBorders>
            <w:vAlign w:val="center"/>
            <w:hideMark/>
          </w:tcPr>
          <w:p w14:paraId="0F36E813" w14:textId="77777777" w:rsidR="00300A14" w:rsidRPr="00E83F81" w:rsidRDefault="00300A14" w:rsidP="00B45861">
            <w:pPr>
              <w:tabs>
                <w:tab w:val="clear" w:pos="7100"/>
              </w:tabs>
              <w:spacing w:line="240" w:lineRule="auto"/>
              <w:jc w:val="center"/>
              <w:rPr>
                <w:rFonts w:cs="Arial"/>
                <w:szCs w:val="18"/>
                <w:lang w:val="it-IT" w:eastAsia="it-IT"/>
              </w:rPr>
            </w:pPr>
            <w:r w:rsidRPr="00E83F81">
              <w:rPr>
                <w:rFonts w:cs="Arial"/>
                <w:szCs w:val="18"/>
                <w:lang w:val="it-IT" w:eastAsia="it-IT"/>
              </w:rPr>
              <w:t>3.3 ± 0.1</w:t>
            </w:r>
          </w:p>
        </w:tc>
        <w:tc>
          <w:tcPr>
            <w:tcW w:w="1223" w:type="dxa"/>
            <w:tcBorders>
              <w:top w:val="nil"/>
              <w:left w:val="nil"/>
              <w:bottom w:val="nil"/>
              <w:right w:val="nil"/>
            </w:tcBorders>
            <w:vAlign w:val="center"/>
            <w:hideMark/>
          </w:tcPr>
          <w:p w14:paraId="4871D580" w14:textId="77777777" w:rsidR="00300A14" w:rsidRPr="00E83F81" w:rsidRDefault="00300A14" w:rsidP="00B45861">
            <w:pPr>
              <w:tabs>
                <w:tab w:val="clear" w:pos="7100"/>
              </w:tabs>
              <w:spacing w:line="240" w:lineRule="auto"/>
              <w:jc w:val="center"/>
              <w:rPr>
                <w:rFonts w:cs="Arial"/>
                <w:szCs w:val="18"/>
                <w:lang w:val="it-IT" w:eastAsia="it-IT"/>
              </w:rPr>
            </w:pPr>
            <w:r w:rsidRPr="00E83F81">
              <w:rPr>
                <w:rFonts w:cs="Arial"/>
                <w:szCs w:val="18"/>
                <w:lang w:val="it-IT" w:eastAsia="it-IT"/>
              </w:rPr>
              <w:t>6.5 ± 0.8</w:t>
            </w:r>
          </w:p>
        </w:tc>
        <w:tc>
          <w:tcPr>
            <w:tcW w:w="1334" w:type="dxa"/>
            <w:tcBorders>
              <w:top w:val="nil"/>
              <w:left w:val="nil"/>
              <w:bottom w:val="nil"/>
              <w:right w:val="nil"/>
            </w:tcBorders>
            <w:vAlign w:val="center"/>
            <w:hideMark/>
          </w:tcPr>
          <w:p w14:paraId="52187CF8" w14:textId="77777777" w:rsidR="00300A14" w:rsidRPr="00E83F81" w:rsidRDefault="00300A14" w:rsidP="00B45861">
            <w:pPr>
              <w:tabs>
                <w:tab w:val="clear" w:pos="7100"/>
              </w:tabs>
              <w:spacing w:line="240" w:lineRule="auto"/>
              <w:jc w:val="center"/>
              <w:rPr>
                <w:rFonts w:cs="Arial"/>
                <w:szCs w:val="18"/>
                <w:lang w:val="it-IT" w:eastAsia="it-IT"/>
              </w:rPr>
            </w:pPr>
            <w:r w:rsidRPr="00E83F81">
              <w:rPr>
                <w:rFonts w:cs="Arial"/>
                <w:szCs w:val="18"/>
                <w:lang w:val="it-IT" w:eastAsia="it-IT"/>
              </w:rPr>
              <w:t>0.14 ± 0.06</w:t>
            </w:r>
          </w:p>
        </w:tc>
        <w:tc>
          <w:tcPr>
            <w:tcW w:w="1134" w:type="dxa"/>
            <w:tcBorders>
              <w:top w:val="nil"/>
              <w:left w:val="nil"/>
              <w:bottom w:val="nil"/>
              <w:right w:val="nil"/>
            </w:tcBorders>
            <w:vAlign w:val="center"/>
            <w:hideMark/>
          </w:tcPr>
          <w:p w14:paraId="107F1E66" w14:textId="77777777" w:rsidR="00300A14" w:rsidRPr="00E83F81" w:rsidRDefault="00300A14" w:rsidP="00B45861">
            <w:pPr>
              <w:tabs>
                <w:tab w:val="clear" w:pos="7100"/>
              </w:tabs>
              <w:spacing w:line="240" w:lineRule="auto"/>
              <w:jc w:val="center"/>
              <w:rPr>
                <w:rFonts w:cs="Arial"/>
                <w:szCs w:val="18"/>
                <w:lang w:val="it-IT" w:eastAsia="it-IT"/>
              </w:rPr>
            </w:pPr>
            <w:r w:rsidRPr="00E83F81">
              <w:rPr>
                <w:rFonts w:cs="Arial"/>
                <w:szCs w:val="18"/>
                <w:lang w:val="it-IT" w:eastAsia="it-IT"/>
              </w:rPr>
              <w:t>21.4 ± 0.2</w:t>
            </w:r>
          </w:p>
        </w:tc>
        <w:tc>
          <w:tcPr>
            <w:tcW w:w="1007" w:type="dxa"/>
            <w:tcBorders>
              <w:top w:val="nil"/>
              <w:left w:val="nil"/>
              <w:bottom w:val="nil"/>
              <w:right w:val="nil"/>
            </w:tcBorders>
            <w:vAlign w:val="center"/>
            <w:hideMark/>
          </w:tcPr>
          <w:p w14:paraId="77BDDC88" w14:textId="3485174C" w:rsidR="00300A14" w:rsidRPr="00E83F81" w:rsidRDefault="00300A14" w:rsidP="00B45861">
            <w:pPr>
              <w:tabs>
                <w:tab w:val="clear" w:pos="7100"/>
              </w:tabs>
              <w:spacing w:line="240" w:lineRule="auto"/>
              <w:jc w:val="center"/>
              <w:rPr>
                <w:rFonts w:cs="Arial"/>
                <w:szCs w:val="18"/>
                <w:lang w:val="it-IT" w:eastAsia="it-IT"/>
              </w:rPr>
            </w:pPr>
            <w:r w:rsidRPr="00E83F81">
              <w:rPr>
                <w:rFonts w:cs="Arial"/>
                <w:szCs w:val="18"/>
                <w:lang w:val="it-IT" w:eastAsia="it-IT"/>
              </w:rPr>
              <w:t>5.89 ± 0.</w:t>
            </w:r>
            <w:r w:rsidR="00AF0741" w:rsidRPr="00E83F81">
              <w:rPr>
                <w:rFonts w:cs="Arial"/>
                <w:szCs w:val="18"/>
                <w:lang w:val="it-IT" w:eastAsia="it-IT"/>
              </w:rPr>
              <w:t>1</w:t>
            </w:r>
          </w:p>
        </w:tc>
        <w:tc>
          <w:tcPr>
            <w:tcW w:w="203" w:type="dxa"/>
            <w:vAlign w:val="center"/>
            <w:hideMark/>
          </w:tcPr>
          <w:p w14:paraId="49C2576D" w14:textId="77777777" w:rsidR="00300A14" w:rsidRPr="001669FB" w:rsidRDefault="00300A14" w:rsidP="00B45861">
            <w:pPr>
              <w:tabs>
                <w:tab w:val="clear" w:pos="7100"/>
              </w:tabs>
              <w:spacing w:line="240" w:lineRule="auto"/>
              <w:jc w:val="left"/>
              <w:rPr>
                <w:rFonts w:cs="Arial"/>
                <w:szCs w:val="18"/>
                <w:lang w:val="it-IT" w:eastAsia="it-IT"/>
              </w:rPr>
            </w:pPr>
          </w:p>
        </w:tc>
      </w:tr>
      <w:tr w:rsidR="00300A14" w:rsidRPr="001669FB" w14:paraId="65053DAC" w14:textId="77777777" w:rsidTr="00B45861">
        <w:trPr>
          <w:trHeight w:val="328"/>
        </w:trPr>
        <w:tc>
          <w:tcPr>
            <w:tcW w:w="1188" w:type="dxa"/>
            <w:tcBorders>
              <w:top w:val="nil"/>
              <w:left w:val="nil"/>
              <w:bottom w:val="nil"/>
              <w:right w:val="nil"/>
            </w:tcBorders>
            <w:vAlign w:val="center"/>
            <w:hideMark/>
          </w:tcPr>
          <w:p w14:paraId="142197C8" w14:textId="77777777" w:rsidR="00300A14" w:rsidRPr="001669FB" w:rsidRDefault="00300A14" w:rsidP="00B45861">
            <w:pPr>
              <w:tabs>
                <w:tab w:val="clear" w:pos="7100"/>
              </w:tabs>
              <w:spacing w:line="240" w:lineRule="auto"/>
              <w:jc w:val="center"/>
              <w:rPr>
                <w:rFonts w:cs="Arial"/>
                <w:color w:val="000000"/>
                <w:szCs w:val="18"/>
                <w:lang w:val="it-IT" w:eastAsia="it-IT"/>
              </w:rPr>
            </w:pPr>
            <w:r w:rsidRPr="001669FB">
              <w:rPr>
                <w:rFonts w:cs="Arial"/>
                <w:color w:val="000000"/>
                <w:szCs w:val="18"/>
                <w:lang w:val="it-IT" w:eastAsia="it-IT"/>
              </w:rPr>
              <w:t>BC S103</w:t>
            </w:r>
          </w:p>
        </w:tc>
        <w:tc>
          <w:tcPr>
            <w:tcW w:w="978" w:type="dxa"/>
            <w:tcBorders>
              <w:top w:val="nil"/>
              <w:left w:val="nil"/>
              <w:bottom w:val="nil"/>
              <w:right w:val="nil"/>
            </w:tcBorders>
            <w:vAlign w:val="center"/>
            <w:hideMark/>
          </w:tcPr>
          <w:p w14:paraId="67C87DFD" w14:textId="77777777" w:rsidR="00300A14" w:rsidRPr="001669FB" w:rsidRDefault="00300A14" w:rsidP="00B45861">
            <w:pPr>
              <w:tabs>
                <w:tab w:val="clear" w:pos="7100"/>
              </w:tabs>
              <w:spacing w:line="240" w:lineRule="auto"/>
              <w:jc w:val="center"/>
              <w:rPr>
                <w:rFonts w:cs="Arial"/>
                <w:color w:val="000000"/>
                <w:szCs w:val="18"/>
                <w:lang w:val="it-IT" w:eastAsia="it-IT"/>
              </w:rPr>
            </w:pPr>
            <w:r w:rsidRPr="001669FB">
              <w:rPr>
                <w:rFonts w:cs="Arial"/>
                <w:color w:val="000000"/>
                <w:szCs w:val="18"/>
                <w:lang w:val="it-IT" w:eastAsia="it-IT"/>
              </w:rPr>
              <w:t>12.1 ± 0.6</w:t>
            </w:r>
          </w:p>
        </w:tc>
        <w:tc>
          <w:tcPr>
            <w:tcW w:w="1404" w:type="dxa"/>
            <w:tcBorders>
              <w:top w:val="nil"/>
              <w:left w:val="nil"/>
              <w:bottom w:val="nil"/>
              <w:right w:val="nil"/>
            </w:tcBorders>
            <w:vAlign w:val="center"/>
            <w:hideMark/>
          </w:tcPr>
          <w:p w14:paraId="119644CE" w14:textId="77777777" w:rsidR="00300A14" w:rsidRPr="00E83F81" w:rsidRDefault="00300A14" w:rsidP="00B45861">
            <w:pPr>
              <w:tabs>
                <w:tab w:val="clear" w:pos="7100"/>
              </w:tabs>
              <w:spacing w:line="240" w:lineRule="auto"/>
              <w:jc w:val="center"/>
              <w:rPr>
                <w:rFonts w:cs="Arial"/>
                <w:szCs w:val="18"/>
                <w:lang w:val="it-IT" w:eastAsia="it-IT"/>
              </w:rPr>
            </w:pPr>
            <w:r w:rsidRPr="00E83F81">
              <w:rPr>
                <w:rFonts w:cs="Arial"/>
                <w:szCs w:val="18"/>
                <w:lang w:val="it-IT" w:eastAsia="it-IT"/>
              </w:rPr>
              <w:t>0.14 ± 0.08</w:t>
            </w:r>
          </w:p>
        </w:tc>
        <w:tc>
          <w:tcPr>
            <w:tcW w:w="974" w:type="dxa"/>
            <w:gridSpan w:val="2"/>
            <w:tcBorders>
              <w:top w:val="nil"/>
              <w:left w:val="nil"/>
              <w:bottom w:val="nil"/>
              <w:right w:val="nil"/>
            </w:tcBorders>
            <w:vAlign w:val="center"/>
            <w:hideMark/>
          </w:tcPr>
          <w:p w14:paraId="4CDA49E8" w14:textId="70DB8078" w:rsidR="00300A14" w:rsidRPr="00E83F81" w:rsidRDefault="00300A14" w:rsidP="00B45861">
            <w:pPr>
              <w:tabs>
                <w:tab w:val="clear" w:pos="7100"/>
              </w:tabs>
              <w:spacing w:line="240" w:lineRule="auto"/>
              <w:jc w:val="center"/>
              <w:rPr>
                <w:rFonts w:cs="Arial"/>
                <w:szCs w:val="18"/>
                <w:lang w:val="it-IT" w:eastAsia="it-IT"/>
              </w:rPr>
            </w:pPr>
            <w:r w:rsidRPr="00E83F81">
              <w:rPr>
                <w:rFonts w:cs="Arial"/>
                <w:szCs w:val="18"/>
                <w:lang w:val="it-IT" w:eastAsia="it-IT"/>
              </w:rPr>
              <w:t>3.31 ± 0.1</w:t>
            </w:r>
          </w:p>
        </w:tc>
        <w:tc>
          <w:tcPr>
            <w:tcW w:w="1223" w:type="dxa"/>
            <w:tcBorders>
              <w:top w:val="nil"/>
              <w:left w:val="nil"/>
              <w:bottom w:val="nil"/>
              <w:right w:val="nil"/>
            </w:tcBorders>
            <w:vAlign w:val="center"/>
            <w:hideMark/>
          </w:tcPr>
          <w:p w14:paraId="6D523686" w14:textId="77777777" w:rsidR="00300A14" w:rsidRPr="00E83F81" w:rsidRDefault="00300A14" w:rsidP="00B45861">
            <w:pPr>
              <w:tabs>
                <w:tab w:val="clear" w:pos="7100"/>
              </w:tabs>
              <w:spacing w:line="240" w:lineRule="auto"/>
              <w:jc w:val="center"/>
              <w:rPr>
                <w:rFonts w:cs="Arial"/>
                <w:szCs w:val="18"/>
                <w:lang w:val="it-IT" w:eastAsia="it-IT"/>
              </w:rPr>
            </w:pPr>
            <w:r w:rsidRPr="00E83F81">
              <w:rPr>
                <w:rFonts w:cs="Arial"/>
                <w:szCs w:val="18"/>
                <w:lang w:val="it-IT" w:eastAsia="it-IT"/>
              </w:rPr>
              <w:t>6.5 ± 0.9</w:t>
            </w:r>
          </w:p>
        </w:tc>
        <w:tc>
          <w:tcPr>
            <w:tcW w:w="1334" w:type="dxa"/>
            <w:tcBorders>
              <w:top w:val="nil"/>
              <w:left w:val="nil"/>
              <w:bottom w:val="nil"/>
              <w:right w:val="nil"/>
            </w:tcBorders>
            <w:vAlign w:val="center"/>
            <w:hideMark/>
          </w:tcPr>
          <w:p w14:paraId="0602AC71" w14:textId="77777777" w:rsidR="00300A14" w:rsidRPr="00E83F81" w:rsidRDefault="00300A14" w:rsidP="00B45861">
            <w:pPr>
              <w:tabs>
                <w:tab w:val="clear" w:pos="7100"/>
              </w:tabs>
              <w:spacing w:line="240" w:lineRule="auto"/>
              <w:jc w:val="center"/>
              <w:rPr>
                <w:rFonts w:cs="Arial"/>
                <w:szCs w:val="18"/>
                <w:lang w:val="it-IT" w:eastAsia="it-IT"/>
              </w:rPr>
            </w:pPr>
            <w:r w:rsidRPr="00E83F81">
              <w:rPr>
                <w:rFonts w:cs="Arial"/>
                <w:szCs w:val="18"/>
                <w:lang w:val="it-IT" w:eastAsia="it-IT"/>
              </w:rPr>
              <w:t>0.11 ± 0.03</w:t>
            </w:r>
          </w:p>
        </w:tc>
        <w:tc>
          <w:tcPr>
            <w:tcW w:w="1134" w:type="dxa"/>
            <w:tcBorders>
              <w:top w:val="nil"/>
              <w:left w:val="nil"/>
              <w:bottom w:val="nil"/>
              <w:right w:val="nil"/>
            </w:tcBorders>
            <w:vAlign w:val="center"/>
            <w:hideMark/>
          </w:tcPr>
          <w:p w14:paraId="2F9E24F9" w14:textId="77777777" w:rsidR="00300A14" w:rsidRPr="00E83F81" w:rsidRDefault="00300A14" w:rsidP="00B45861">
            <w:pPr>
              <w:tabs>
                <w:tab w:val="clear" w:pos="7100"/>
              </w:tabs>
              <w:spacing w:line="240" w:lineRule="auto"/>
              <w:jc w:val="center"/>
              <w:rPr>
                <w:rFonts w:cs="Arial"/>
                <w:szCs w:val="18"/>
                <w:lang w:val="it-IT" w:eastAsia="it-IT"/>
              </w:rPr>
            </w:pPr>
            <w:r w:rsidRPr="00E83F81">
              <w:rPr>
                <w:rFonts w:cs="Arial"/>
                <w:szCs w:val="18"/>
                <w:lang w:val="it-IT" w:eastAsia="it-IT"/>
              </w:rPr>
              <w:t>21.5 ± 0.6</w:t>
            </w:r>
          </w:p>
        </w:tc>
        <w:tc>
          <w:tcPr>
            <w:tcW w:w="1007" w:type="dxa"/>
            <w:tcBorders>
              <w:top w:val="nil"/>
              <w:left w:val="nil"/>
              <w:bottom w:val="nil"/>
              <w:right w:val="nil"/>
            </w:tcBorders>
            <w:vAlign w:val="center"/>
            <w:hideMark/>
          </w:tcPr>
          <w:p w14:paraId="60FD2797" w14:textId="77777777" w:rsidR="00300A14" w:rsidRPr="00E83F81" w:rsidRDefault="00300A14" w:rsidP="00B45861">
            <w:pPr>
              <w:tabs>
                <w:tab w:val="clear" w:pos="7100"/>
              </w:tabs>
              <w:spacing w:line="240" w:lineRule="auto"/>
              <w:jc w:val="center"/>
              <w:rPr>
                <w:rFonts w:cs="Arial"/>
                <w:szCs w:val="18"/>
                <w:lang w:val="it-IT" w:eastAsia="it-IT"/>
              </w:rPr>
            </w:pPr>
            <w:r w:rsidRPr="00E83F81">
              <w:rPr>
                <w:rFonts w:cs="Arial"/>
                <w:szCs w:val="18"/>
                <w:lang w:val="it-IT" w:eastAsia="it-IT"/>
              </w:rPr>
              <w:t>5.9 ± 0.2</w:t>
            </w:r>
          </w:p>
        </w:tc>
        <w:tc>
          <w:tcPr>
            <w:tcW w:w="203" w:type="dxa"/>
            <w:vAlign w:val="center"/>
            <w:hideMark/>
          </w:tcPr>
          <w:p w14:paraId="6AE4C277" w14:textId="77777777" w:rsidR="00300A14" w:rsidRPr="001669FB" w:rsidRDefault="00300A14" w:rsidP="00B45861">
            <w:pPr>
              <w:tabs>
                <w:tab w:val="clear" w:pos="7100"/>
              </w:tabs>
              <w:spacing w:line="240" w:lineRule="auto"/>
              <w:jc w:val="left"/>
              <w:rPr>
                <w:rFonts w:cs="Arial"/>
                <w:szCs w:val="18"/>
                <w:lang w:val="it-IT" w:eastAsia="it-IT"/>
              </w:rPr>
            </w:pPr>
          </w:p>
        </w:tc>
      </w:tr>
      <w:tr w:rsidR="00300A14" w:rsidRPr="001669FB" w14:paraId="5CE60F43" w14:textId="77777777" w:rsidTr="00B45861">
        <w:trPr>
          <w:trHeight w:val="328"/>
        </w:trPr>
        <w:tc>
          <w:tcPr>
            <w:tcW w:w="1188" w:type="dxa"/>
            <w:tcBorders>
              <w:top w:val="nil"/>
              <w:left w:val="nil"/>
              <w:bottom w:val="single" w:sz="4" w:space="0" w:color="auto"/>
              <w:right w:val="nil"/>
            </w:tcBorders>
            <w:vAlign w:val="center"/>
            <w:hideMark/>
          </w:tcPr>
          <w:p w14:paraId="151BE5CD" w14:textId="77777777" w:rsidR="00300A14" w:rsidRPr="001669FB" w:rsidRDefault="00300A14" w:rsidP="00B45861">
            <w:pPr>
              <w:tabs>
                <w:tab w:val="clear" w:pos="7100"/>
              </w:tabs>
              <w:spacing w:line="240" w:lineRule="auto"/>
              <w:jc w:val="center"/>
              <w:rPr>
                <w:rFonts w:cs="Arial"/>
                <w:color w:val="000000"/>
                <w:szCs w:val="18"/>
                <w:lang w:val="it-IT" w:eastAsia="it-IT"/>
              </w:rPr>
            </w:pPr>
            <w:proofErr w:type="spellStart"/>
            <w:r w:rsidRPr="001669FB">
              <w:rPr>
                <w:rFonts w:cs="Arial"/>
                <w:color w:val="000000"/>
                <w:szCs w:val="18"/>
                <w:lang w:val="it-IT" w:eastAsia="it-IT"/>
              </w:rPr>
              <w:lastRenderedPageBreak/>
              <w:t>Sign</w:t>
            </w:r>
            <w:proofErr w:type="spellEnd"/>
            <w:r w:rsidRPr="001669FB">
              <w:rPr>
                <w:rFonts w:cs="Arial"/>
                <w:color w:val="000000"/>
                <w:szCs w:val="18"/>
                <w:lang w:val="it-IT" w:eastAsia="it-IT"/>
              </w:rPr>
              <w:t>.</w:t>
            </w:r>
          </w:p>
        </w:tc>
        <w:tc>
          <w:tcPr>
            <w:tcW w:w="978" w:type="dxa"/>
            <w:tcBorders>
              <w:top w:val="nil"/>
              <w:left w:val="nil"/>
              <w:bottom w:val="single" w:sz="4" w:space="0" w:color="auto"/>
              <w:right w:val="nil"/>
            </w:tcBorders>
            <w:vAlign w:val="center"/>
            <w:hideMark/>
          </w:tcPr>
          <w:p w14:paraId="6A4B95AE" w14:textId="77777777" w:rsidR="00300A14" w:rsidRPr="001669FB" w:rsidRDefault="00300A14" w:rsidP="00B45861">
            <w:pPr>
              <w:tabs>
                <w:tab w:val="clear" w:pos="7100"/>
              </w:tabs>
              <w:spacing w:line="240" w:lineRule="auto"/>
              <w:jc w:val="center"/>
              <w:rPr>
                <w:rFonts w:cs="Arial"/>
                <w:color w:val="000000"/>
                <w:szCs w:val="18"/>
                <w:lang w:val="it-IT" w:eastAsia="it-IT"/>
              </w:rPr>
            </w:pPr>
            <w:r w:rsidRPr="001669FB">
              <w:rPr>
                <w:rFonts w:cs="Arial"/>
                <w:color w:val="000000"/>
                <w:szCs w:val="18"/>
                <w:lang w:val="it-IT" w:eastAsia="it-IT"/>
              </w:rPr>
              <w:t>ns</w:t>
            </w:r>
          </w:p>
        </w:tc>
        <w:tc>
          <w:tcPr>
            <w:tcW w:w="1404" w:type="dxa"/>
            <w:tcBorders>
              <w:top w:val="nil"/>
              <w:left w:val="nil"/>
              <w:bottom w:val="single" w:sz="4" w:space="0" w:color="auto"/>
              <w:right w:val="nil"/>
            </w:tcBorders>
            <w:vAlign w:val="center"/>
            <w:hideMark/>
          </w:tcPr>
          <w:p w14:paraId="70BA147E" w14:textId="77777777" w:rsidR="00300A14" w:rsidRPr="001669FB" w:rsidRDefault="00300A14" w:rsidP="00B45861">
            <w:pPr>
              <w:tabs>
                <w:tab w:val="clear" w:pos="7100"/>
              </w:tabs>
              <w:spacing w:line="240" w:lineRule="auto"/>
              <w:jc w:val="center"/>
              <w:rPr>
                <w:rFonts w:cs="Arial"/>
                <w:color w:val="000000"/>
                <w:szCs w:val="18"/>
                <w:lang w:val="it-IT" w:eastAsia="it-IT"/>
              </w:rPr>
            </w:pPr>
            <w:r w:rsidRPr="001669FB">
              <w:rPr>
                <w:rFonts w:cs="Arial"/>
                <w:color w:val="000000"/>
                <w:szCs w:val="18"/>
                <w:lang w:val="it-IT" w:eastAsia="it-IT"/>
              </w:rPr>
              <w:t>ns</w:t>
            </w:r>
          </w:p>
        </w:tc>
        <w:tc>
          <w:tcPr>
            <w:tcW w:w="974" w:type="dxa"/>
            <w:gridSpan w:val="2"/>
            <w:tcBorders>
              <w:top w:val="nil"/>
              <w:left w:val="nil"/>
              <w:bottom w:val="single" w:sz="4" w:space="0" w:color="auto"/>
              <w:right w:val="nil"/>
            </w:tcBorders>
            <w:vAlign w:val="center"/>
            <w:hideMark/>
          </w:tcPr>
          <w:p w14:paraId="2DB10F46" w14:textId="77777777" w:rsidR="00300A14" w:rsidRPr="001669FB" w:rsidRDefault="00300A14" w:rsidP="00B45861">
            <w:pPr>
              <w:tabs>
                <w:tab w:val="clear" w:pos="7100"/>
              </w:tabs>
              <w:spacing w:line="240" w:lineRule="auto"/>
              <w:jc w:val="center"/>
              <w:rPr>
                <w:rFonts w:cs="Arial"/>
                <w:color w:val="000000"/>
                <w:szCs w:val="18"/>
                <w:lang w:val="it-IT" w:eastAsia="it-IT"/>
              </w:rPr>
            </w:pPr>
            <w:r w:rsidRPr="001669FB">
              <w:rPr>
                <w:rFonts w:cs="Arial"/>
                <w:color w:val="000000"/>
                <w:szCs w:val="18"/>
                <w:lang w:val="it-IT" w:eastAsia="it-IT"/>
              </w:rPr>
              <w:t>ns</w:t>
            </w:r>
          </w:p>
        </w:tc>
        <w:tc>
          <w:tcPr>
            <w:tcW w:w="1223" w:type="dxa"/>
            <w:tcBorders>
              <w:top w:val="nil"/>
              <w:left w:val="nil"/>
              <w:bottom w:val="single" w:sz="4" w:space="0" w:color="auto"/>
              <w:right w:val="nil"/>
            </w:tcBorders>
            <w:vAlign w:val="center"/>
            <w:hideMark/>
          </w:tcPr>
          <w:p w14:paraId="7CA3C0AD" w14:textId="77777777" w:rsidR="00300A14" w:rsidRPr="001669FB" w:rsidRDefault="00300A14" w:rsidP="00B45861">
            <w:pPr>
              <w:tabs>
                <w:tab w:val="clear" w:pos="7100"/>
              </w:tabs>
              <w:spacing w:line="240" w:lineRule="auto"/>
              <w:jc w:val="center"/>
              <w:rPr>
                <w:rFonts w:cs="Arial"/>
                <w:color w:val="000000"/>
                <w:szCs w:val="18"/>
                <w:lang w:val="it-IT" w:eastAsia="it-IT"/>
              </w:rPr>
            </w:pPr>
            <w:r w:rsidRPr="001669FB">
              <w:rPr>
                <w:rFonts w:cs="Arial"/>
                <w:color w:val="000000"/>
                <w:szCs w:val="18"/>
                <w:lang w:val="it-IT" w:eastAsia="it-IT"/>
              </w:rPr>
              <w:t>ns</w:t>
            </w:r>
          </w:p>
        </w:tc>
        <w:tc>
          <w:tcPr>
            <w:tcW w:w="1334" w:type="dxa"/>
            <w:tcBorders>
              <w:top w:val="nil"/>
              <w:left w:val="nil"/>
              <w:bottom w:val="single" w:sz="4" w:space="0" w:color="auto"/>
              <w:right w:val="nil"/>
            </w:tcBorders>
            <w:vAlign w:val="center"/>
            <w:hideMark/>
          </w:tcPr>
          <w:p w14:paraId="31239B4B" w14:textId="77777777" w:rsidR="00300A14" w:rsidRPr="001669FB" w:rsidRDefault="00300A14" w:rsidP="00B45861">
            <w:pPr>
              <w:tabs>
                <w:tab w:val="clear" w:pos="7100"/>
              </w:tabs>
              <w:spacing w:line="240" w:lineRule="auto"/>
              <w:jc w:val="center"/>
              <w:rPr>
                <w:rFonts w:cs="Arial"/>
                <w:color w:val="000000"/>
                <w:szCs w:val="18"/>
                <w:lang w:val="it-IT" w:eastAsia="it-IT"/>
              </w:rPr>
            </w:pPr>
            <w:r w:rsidRPr="001669FB">
              <w:rPr>
                <w:rFonts w:cs="Arial"/>
                <w:color w:val="000000"/>
                <w:szCs w:val="18"/>
                <w:lang w:val="it-IT" w:eastAsia="it-IT"/>
              </w:rPr>
              <w:t>ns</w:t>
            </w:r>
          </w:p>
        </w:tc>
        <w:tc>
          <w:tcPr>
            <w:tcW w:w="1134" w:type="dxa"/>
            <w:tcBorders>
              <w:top w:val="nil"/>
              <w:left w:val="nil"/>
              <w:bottom w:val="single" w:sz="4" w:space="0" w:color="auto"/>
              <w:right w:val="nil"/>
            </w:tcBorders>
            <w:vAlign w:val="center"/>
            <w:hideMark/>
          </w:tcPr>
          <w:p w14:paraId="3E095C32" w14:textId="77777777" w:rsidR="00300A14" w:rsidRPr="001669FB" w:rsidRDefault="00300A14" w:rsidP="00B45861">
            <w:pPr>
              <w:tabs>
                <w:tab w:val="clear" w:pos="7100"/>
              </w:tabs>
              <w:spacing w:line="240" w:lineRule="auto"/>
              <w:jc w:val="center"/>
              <w:rPr>
                <w:rFonts w:cs="Arial"/>
                <w:color w:val="000000"/>
                <w:szCs w:val="18"/>
                <w:lang w:val="it-IT" w:eastAsia="it-IT"/>
              </w:rPr>
            </w:pPr>
            <w:r w:rsidRPr="001669FB">
              <w:rPr>
                <w:rFonts w:cs="Arial"/>
                <w:color w:val="000000"/>
                <w:szCs w:val="18"/>
                <w:lang w:val="it-IT" w:eastAsia="it-IT"/>
              </w:rPr>
              <w:t>ns</w:t>
            </w:r>
          </w:p>
        </w:tc>
        <w:tc>
          <w:tcPr>
            <w:tcW w:w="1007" w:type="dxa"/>
            <w:tcBorders>
              <w:top w:val="nil"/>
              <w:left w:val="nil"/>
              <w:bottom w:val="single" w:sz="4" w:space="0" w:color="auto"/>
              <w:right w:val="nil"/>
            </w:tcBorders>
            <w:vAlign w:val="center"/>
            <w:hideMark/>
          </w:tcPr>
          <w:p w14:paraId="0822BCBD" w14:textId="77777777" w:rsidR="00300A14" w:rsidRPr="001669FB" w:rsidRDefault="00300A14" w:rsidP="00B45861">
            <w:pPr>
              <w:tabs>
                <w:tab w:val="clear" w:pos="7100"/>
              </w:tabs>
              <w:spacing w:line="240" w:lineRule="auto"/>
              <w:jc w:val="center"/>
              <w:rPr>
                <w:rFonts w:cs="Arial"/>
                <w:color w:val="000000"/>
                <w:szCs w:val="18"/>
                <w:lang w:val="it-IT" w:eastAsia="it-IT"/>
              </w:rPr>
            </w:pPr>
            <w:r w:rsidRPr="001669FB">
              <w:rPr>
                <w:rFonts w:cs="Arial"/>
                <w:color w:val="000000"/>
                <w:szCs w:val="18"/>
                <w:lang w:val="it-IT" w:eastAsia="it-IT"/>
              </w:rPr>
              <w:t>ns</w:t>
            </w:r>
          </w:p>
        </w:tc>
        <w:tc>
          <w:tcPr>
            <w:tcW w:w="203" w:type="dxa"/>
            <w:vAlign w:val="center"/>
            <w:hideMark/>
          </w:tcPr>
          <w:p w14:paraId="37AF5895" w14:textId="77777777" w:rsidR="00300A14" w:rsidRPr="001669FB" w:rsidRDefault="00300A14" w:rsidP="00B45861">
            <w:pPr>
              <w:tabs>
                <w:tab w:val="clear" w:pos="7100"/>
              </w:tabs>
              <w:spacing w:line="240" w:lineRule="auto"/>
              <w:jc w:val="left"/>
              <w:rPr>
                <w:rFonts w:cs="Arial"/>
                <w:szCs w:val="18"/>
                <w:lang w:val="it-IT" w:eastAsia="it-IT"/>
              </w:rPr>
            </w:pPr>
          </w:p>
        </w:tc>
      </w:tr>
    </w:tbl>
    <w:p w14:paraId="09B017F8" w14:textId="0D416BE1" w:rsidR="00300A14" w:rsidRPr="00300A14" w:rsidRDefault="00300A14" w:rsidP="00A75726">
      <w:pPr>
        <w:pStyle w:val="CETBodytext"/>
      </w:pPr>
      <w:r>
        <w:t>Note: Data are reported as mean plus and minus standard error of the mean. n =number of measurements. Sign. =ANOVA, ns = not significant, * = 90 % of significance, ** = 99 % of significance, *** = 99 % of significance.</w:t>
      </w:r>
    </w:p>
    <w:p w14:paraId="71853CCB" w14:textId="77777777" w:rsidR="00412799" w:rsidRDefault="00412799" w:rsidP="00CF6E97">
      <w:pPr>
        <w:pStyle w:val="CETBodytext"/>
        <w:rPr>
          <w:rStyle w:val="normaltextrun"/>
          <w:szCs w:val="18"/>
        </w:rPr>
      </w:pPr>
    </w:p>
    <w:p w14:paraId="3F2231F0" w14:textId="3F6AF889" w:rsidR="00412799" w:rsidRDefault="00FF6A8B" w:rsidP="00412799">
      <w:pPr>
        <w:pStyle w:val="CETBodytext"/>
        <w:jc w:val="left"/>
      </w:pPr>
      <w:r>
        <w:rPr>
          <w:noProof/>
        </w:rPr>
        <w:drawing>
          <wp:inline distT="0" distB="0" distL="0" distR="0" wp14:anchorId="7BB009A8" wp14:editId="050473AD">
            <wp:extent cx="3138674" cy="3452649"/>
            <wp:effectExtent l="0" t="0" r="0" b="1905"/>
            <wp:docPr id="704329050" name="Immagine 2" descr="Immagine che contiene testo, schermata, diagramma, Parall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329050" name="Immagine 2" descr="Immagine che contiene testo, schermata, diagramma, Parallelo&#10;&#10;Descrizione generata automaticamente"/>
                    <pic:cNvPicPr/>
                  </pic:nvPicPr>
                  <pic:blipFill>
                    <a:blip r:embed="rId11"/>
                    <a:stretch>
                      <a:fillRect/>
                    </a:stretch>
                  </pic:blipFill>
                  <pic:spPr>
                    <a:xfrm>
                      <a:off x="0" y="0"/>
                      <a:ext cx="3171049" cy="3488263"/>
                    </a:xfrm>
                    <a:prstGeom prst="rect">
                      <a:avLst/>
                    </a:prstGeom>
                  </pic:spPr>
                </pic:pic>
              </a:graphicData>
            </a:graphic>
          </wp:inline>
        </w:drawing>
      </w:r>
    </w:p>
    <w:p w14:paraId="26E8C23F" w14:textId="77777777" w:rsidR="00767B6A" w:rsidRDefault="00412799" w:rsidP="00767B6A">
      <w:pPr>
        <w:pStyle w:val="CETBodytext"/>
        <w:jc w:val="left"/>
        <w:rPr>
          <w:rFonts w:cs="Arial"/>
          <w:i/>
          <w:iCs/>
          <w:color w:val="000000" w:themeColor="text1"/>
        </w:rPr>
      </w:pPr>
      <w:r w:rsidRPr="008D7E95">
        <w:rPr>
          <w:rFonts w:cs="Arial"/>
          <w:i/>
          <w:iCs/>
          <w:color w:val="000000" w:themeColor="text1"/>
        </w:rPr>
        <w:t>Figure</w:t>
      </w:r>
      <w:r w:rsidRPr="00412799">
        <w:rPr>
          <w:rFonts w:cs="Arial"/>
          <w:i/>
          <w:iCs/>
          <w:color w:val="000000" w:themeColor="text1"/>
        </w:rPr>
        <w:t xml:space="preserve"> 2</w:t>
      </w:r>
      <w:r>
        <w:rPr>
          <w:rFonts w:cs="Arial"/>
          <w:i/>
          <w:iCs/>
          <w:color w:val="000000" w:themeColor="text1"/>
        </w:rPr>
        <w:t xml:space="preserve">: Volatile organic compounds (VOCs) (fatty acids, ethyl esters, acetate esters, fusel alcohols) in </w:t>
      </w:r>
      <w:proofErr w:type="spellStart"/>
      <w:r>
        <w:rPr>
          <w:rFonts w:cs="Arial"/>
          <w:i/>
          <w:iCs/>
          <w:color w:val="000000" w:themeColor="text1"/>
        </w:rPr>
        <w:t>Catarratto</w:t>
      </w:r>
      <w:proofErr w:type="spellEnd"/>
      <w:r>
        <w:rPr>
          <w:rFonts w:cs="Arial"/>
          <w:i/>
          <w:iCs/>
          <w:color w:val="000000" w:themeColor="text1"/>
        </w:rPr>
        <w:t xml:space="preserve"> and Inzolia wines fermented at different temperatures (A, B, C, D) and with different yeast strain (E, F, G, H.</w:t>
      </w:r>
    </w:p>
    <w:p w14:paraId="300D221E" w14:textId="77777777" w:rsidR="00300A14" w:rsidRDefault="00300A14" w:rsidP="00767B6A">
      <w:pPr>
        <w:pStyle w:val="CETBodytext"/>
        <w:jc w:val="left"/>
        <w:rPr>
          <w:rFonts w:cs="Arial"/>
          <w:i/>
          <w:iCs/>
          <w:color w:val="000000" w:themeColor="text1"/>
        </w:rPr>
      </w:pPr>
    </w:p>
    <w:p w14:paraId="7D882C96" w14:textId="716F94D1" w:rsidR="00FF6A8B" w:rsidRDefault="008F45E4" w:rsidP="00300A14">
      <w:pPr>
        <w:pStyle w:val="CETBodytext"/>
      </w:pPr>
      <w:r>
        <w:t>Aroma plays a key role in defining the overall quality of foods, and in wine it is considered one of the main factors influencing consumer appeal and appreciation</w:t>
      </w:r>
      <w:r w:rsidR="00195272">
        <w:t>.</w:t>
      </w:r>
      <w:r w:rsidR="00533338">
        <w:t xml:space="preserve"> </w:t>
      </w:r>
      <w:r>
        <w:t>The characteristic bouquet and flavor profile of a wine are shaped by multiple elements, including grape cultivar, vintage conditions, degree of fruit ripeness, fermentation process, maturation stage, and the specific winemaking practices applied</w:t>
      </w:r>
      <w:r w:rsidR="00195272">
        <w:t xml:space="preserve"> </w:t>
      </w:r>
      <w:r w:rsidR="008F0D5A">
        <w:fldChar w:fldCharType="begin"/>
      </w:r>
      <w:r w:rsidR="008F0D5A">
        <w:instrText xml:space="preserve"> ADDIN ZOTERO_ITEM CSL_CITATION {"citationID":"1cK1irRU","properties":{"formattedCitation":"(Cejudo-Bastante et al. 2013)","plainCitation":"(Cejudo-Bastante et al. 2013)","noteIndex":0},"citationItems":[{"id":941,"uris":["http://zotero.org/users/local/fTTxJexU/items/DYUR2WXW"],"itemData":{"id":941,"type":"article-journal","abstract":"The effects of time (storage period) and temperature (accelerated aging) on Chardonnay white wines have been evaluated. Attention was focused on a large extent of individual volatile compounds, scarcely previously reported in that kind of wines. On the one hand, several volatile compounds (mainly esters, benzenic compounds, C13-norisoprenoids, acids, and terpenes) showed the same behavior when temperature and time were applied separately. Therefore, the effect of 1 y of storage could be predicted by temperature application during short time, just analyzing those volatile compounds. Moreover, the formation of some volatile compounds (such as dioxanes, dioxolanes, and 1,2-dihydro-1,1,6-trimethylnaphtalene (TDN)) and the disappearance of some alcohols, terpenes, and furanic compounds occurred in both conventional stored and accelerated-aged wines. On the other hand, wines submitted to high temperature differed from 1-y stored wines on several volatile compounds, such as β-damascenone, C6-alcohols, dioxolanes, γ-butyrolactone, and TDN. Therefore, it is possible to assert that the analysis of these compounds could allow checking the possible inadequate handling by employing an excessive temperature.","container-title":"Journal of Food Science","DOI":"10.1111/1750-3841.12077","ISSN":"1750-3841","issue":"4","language":"pt","license":"© 2013 Institute of Food Technologists®","note":"_eprint: https://ift.onlinelibrary.wiley.com/doi/pdf/10.1111/1750-3841.12077","page":"C507-C513","source":"Wiley Online Library","title":"Accelerated Aging against Conventional Storage: Effects on the Volatile Composition of Chardonnay White Wines","title-short":"Accelerated Aging against Conventional Storage","volume":"78","author":[{"family":"Cejudo-Bastante","given":"María Jesús"},{"family":"Hermosín-Gutiérrez","given":"Isidro"},{"family":"Pérez-Coello","given":"María Soledad"}],"issued":{"date-parts":[["2013"]]}}}],"schema":"https://github.com/citation-style-language/schema/raw/master/csl-citation.json"} </w:instrText>
      </w:r>
      <w:r w:rsidR="008F0D5A">
        <w:fldChar w:fldCharType="separate"/>
      </w:r>
      <w:r w:rsidR="008F0D5A">
        <w:rPr>
          <w:noProof/>
        </w:rPr>
        <w:t>(Cejudo-Bastante et al. 2013)</w:t>
      </w:r>
      <w:r w:rsidR="008F0D5A">
        <w:fldChar w:fldCharType="end"/>
      </w:r>
      <w:r w:rsidR="00195272">
        <w:rPr>
          <w:noProof/>
        </w:rPr>
        <w:t>.</w:t>
      </w:r>
      <w:r>
        <w:t xml:space="preserve"> </w:t>
      </w:r>
      <w:r w:rsidR="00AF0741">
        <w:rPr>
          <w:rStyle w:val="normaltextrun"/>
          <w:szCs w:val="18"/>
        </w:rPr>
        <w:t>N</w:t>
      </w:r>
      <w:r w:rsidR="00D009B0" w:rsidRPr="00D009B0">
        <w:rPr>
          <w:rStyle w:val="normaltextrun"/>
          <w:szCs w:val="18"/>
        </w:rPr>
        <w:t>o significant differences were found related to acetate esters, ethyl esters, their related medium-chain fatty acids and fusel alcohols neither for the temperature factor nor for the different yeasts used</w:t>
      </w:r>
      <w:r w:rsidR="00946409">
        <w:rPr>
          <w:rStyle w:val="normaltextrun"/>
          <w:szCs w:val="18"/>
        </w:rPr>
        <w:t xml:space="preserve"> (Figure </w:t>
      </w:r>
      <w:r w:rsidR="005B1D4A">
        <w:rPr>
          <w:rStyle w:val="normaltextrun"/>
          <w:szCs w:val="18"/>
        </w:rPr>
        <w:t>2</w:t>
      </w:r>
      <w:r w:rsidR="00946409">
        <w:rPr>
          <w:rStyle w:val="normaltextrun"/>
          <w:szCs w:val="18"/>
        </w:rPr>
        <w:t>)</w:t>
      </w:r>
      <w:r w:rsidR="00D009B0" w:rsidRPr="00D009B0">
        <w:rPr>
          <w:rStyle w:val="normaltextrun"/>
          <w:szCs w:val="18"/>
        </w:rPr>
        <w:t>.</w:t>
      </w:r>
      <w:r w:rsidR="008639DE">
        <w:rPr>
          <w:rStyle w:val="normaltextrun"/>
          <w:szCs w:val="18"/>
        </w:rPr>
        <w:t xml:space="preserve"> </w:t>
      </w:r>
      <w:r w:rsidR="008639DE">
        <w:t xml:space="preserve">Similarly, </w:t>
      </w:r>
      <w:r w:rsidR="008639DE">
        <w:fldChar w:fldCharType="begin"/>
      </w:r>
      <w:r w:rsidR="009D35FE">
        <w:instrText xml:space="preserve"> ADDIN ZOTERO_ITEM CSL_CITATION {"citationID":"FnbT2xkf","properties":{"formattedCitation":"(Samoticha et al. 2019)","plainCitation":"(Samoticha et al. 2019)","dontUpdate":true,"noteIndex":0},"citationItems":[{"id":944,"uris":["http://zotero.org/users/local/fTTxJexU/items/5FXE5EAM"],"itemData":{"id":944,"type":"article-journal","abstract":"The aim of this study was to investigate the content of phenolics by Ultra Performance Liquid Chromatography–Photodiode Array (UPLC–PDA), and volatile compounds by Gas Chromatography–Mass Spectroscopy (GC–MS), antioxidant capacity by 2,2′-azinobis-(3-ethylbenzothiazoline-6-sulfonic acid) radical cation (ABTS•+) and ferric-reducing antioxidant power (FRAP) assay, and color of Comission Internationale de l’Eclairage system (CIE) L*a*b* cv. Aurora white wine depending on fermentation conditions (a temperature of 12 °C vs. 20 °C and type of natural and commercial yeast (Saccharomyces cerevisiae vs. Saccharomyces bayanus)). The final wine differed in the content of total phenolic compounds (201.0–287.2 mg/L), except for the variants fermented at 20 °C with S. cerevisiae (321.9 and 329.4 mg/L for S. cerevisiae as Challenge Aroma White and SIHA® Cryaroma type, respectively). A decrease in antioxidant activity ranging from 43.3% to 65.4% (ABTS and FRAP assay) in the matured wine vs. must was demonstrated. S. cerevisiae wine was also characterized by the highest content of total volatile compounds (3.7–4.2 mg/L vs. 1.3 mg/L in the must). In general, the wine obtained with S. cerevisiae had higher alcohol content, antioxidant capacity, and was richer in polyphenolic and volatile compounds.","container-title":"Foods","DOI":"10.3390/foods8120599","ISSN":"2304-8158","issue":"12","language":"en","license":"http://creativecommons.org/licenses/by/3.0/","note":"publisher: Multidisciplinary Digital Publishing Institute","page":"599","source":"www.mdpi.com","title":"Effect of Different Yeast Strains and Temperature of Fermentation on Basic Enological Parameters, Polyphenols and Volatile Compounds of Aurore White Wine","volume":"8","author":[{"family":"Samoticha","given":"Justyna"},{"family":"Wojdyło","given":"Aneta"},{"family":"Chmielewska","given":"Joanna"},{"family":"Nofer","given":"Joanna"}],"issued":{"date-parts":[["2019",12]]}}}],"schema":"https://github.com/citation-style-language/schema/raw/master/csl-citation.json"} </w:instrText>
      </w:r>
      <w:r w:rsidR="008639DE">
        <w:fldChar w:fldCharType="separate"/>
      </w:r>
      <w:r w:rsidR="009112B0">
        <w:rPr>
          <w:noProof/>
        </w:rPr>
        <w:t>Samoticha et al. (2019)</w:t>
      </w:r>
      <w:r w:rsidR="008639DE">
        <w:fldChar w:fldCharType="end"/>
      </w:r>
      <w:r w:rsidR="009112B0">
        <w:t xml:space="preserve"> </w:t>
      </w:r>
      <w:r w:rsidR="008639DE">
        <w:t>reported that fermentation temperature did not significantly affect ester formation, whereas yeast strain played a major role in influencing this class of compounds.</w:t>
      </w:r>
      <w:r w:rsidR="00300A14">
        <w:t xml:space="preserve"> </w:t>
      </w:r>
      <w:r w:rsidR="00CF2136" w:rsidRPr="00DD50EB">
        <w:rPr>
          <w:rStyle w:val="normaltextrun"/>
          <w:szCs w:val="18"/>
        </w:rPr>
        <w:t xml:space="preserve">As expected, </w:t>
      </w:r>
      <w:r w:rsidR="00CF2136">
        <w:t xml:space="preserve">acetaldehyde was the predominant carbonyl compound detected in the </w:t>
      </w:r>
      <w:r w:rsidR="00CF2136" w:rsidRPr="00300A14">
        <w:t xml:space="preserve">wines (Table </w:t>
      </w:r>
      <w:r w:rsidR="00300A14" w:rsidRPr="00300A14">
        <w:t>2</w:t>
      </w:r>
      <w:r w:rsidR="00CF2136" w:rsidRPr="00300A14">
        <w:t>),</w:t>
      </w:r>
      <w:r w:rsidR="00CF2136">
        <w:t xml:space="preserve"> acting as a key intermediate in ethanol formation during alcoholic fermentation. In all samples, both free and SO</w:t>
      </w:r>
      <w:r w:rsidR="00CF2136">
        <w:rPr>
          <w:rFonts w:ascii="Cambria Math" w:hAnsi="Cambria Math" w:cs="Cambria Math"/>
        </w:rPr>
        <w:t>₂</w:t>
      </w:r>
      <w:r w:rsidR="00CF2136">
        <w:t>-bound acetaldehyde remained well below the sensory threshold associated with off-</w:t>
      </w:r>
      <w:proofErr w:type="spellStart"/>
      <w:r w:rsidR="00CF2136">
        <w:t>flavours</w:t>
      </w:r>
      <w:proofErr w:type="spellEnd"/>
      <w:r w:rsidR="00CF2136">
        <w:t xml:space="preserve"> (100 mg L</w:t>
      </w:r>
      <w:r w:rsidR="00CF2136">
        <w:rPr>
          <w:rFonts w:ascii="Cambria Math" w:hAnsi="Cambria Math" w:cs="Cambria Math"/>
        </w:rPr>
        <w:t>⁻</w:t>
      </w:r>
      <w:r w:rsidR="00CF2136">
        <w:t xml:space="preserve">¹) </w:t>
      </w:r>
      <w:r w:rsidR="00300A14">
        <w:fldChar w:fldCharType="begin"/>
      </w:r>
      <w:r w:rsidR="00300A14">
        <w:instrText xml:space="preserve"> ADDIN ZOTERO_ITEM CSL_CITATION {"citationID":"k9UjDeOg","properties":{"formattedCitation":"(Coetzee et al. 2018)","plainCitation":"(Coetzee et al. 2018)","noteIndex":0},"citationItems":[{"id":970,"uris":["http://zotero.org/users/local/fTTxJexU/items/FFYA5DWI"],"itemData":{"id":970,"type":"article-journal","container-title":"South African Journal of Enology &amp; Viticulture","DOI":"10.21548/39-2-3156","ISSN":"22247904","issue":"2","journalAbbreviation":"SAJEV","language":"en","source":"DOI.org (Crossref)","title":"Research Note: The Use of SO2 to Bind Acetaldehyde in Wine: Sensory Implications","title-short":"Research Note","URL":"http://www.journals.ac.za/index.php/sajev/article/view/3156","volume":"32","author":[{"family":"Coetzee","given":"C"},{"family":"Buica","given":"A"},{"family":"Du Toit","given":"W.J."}],"accessed":{"date-parts":[["2026",3,16]]},"issued":{"date-parts":[["2018",9]]}}}],"schema":"https://github.com/citation-style-language/schema/raw/master/csl-citation.json"} </w:instrText>
      </w:r>
      <w:r w:rsidR="00300A14">
        <w:fldChar w:fldCharType="separate"/>
      </w:r>
      <w:r w:rsidR="00300A14">
        <w:rPr>
          <w:noProof/>
        </w:rPr>
        <w:t>(</w:t>
      </w:r>
      <w:r w:rsidR="00BA4C4F" w:rsidRPr="00BA4C4F">
        <w:rPr>
          <w:noProof/>
        </w:rPr>
        <w:t xml:space="preserve"> </w:t>
      </w:r>
      <w:r w:rsidR="00BA4C4F">
        <w:rPr>
          <w:noProof/>
        </w:rPr>
        <w:t xml:space="preserve">Russo et al., 2019; </w:t>
      </w:r>
      <w:r w:rsidR="00300A14">
        <w:rPr>
          <w:noProof/>
        </w:rPr>
        <w:t>Coetzee et al. 2018)</w:t>
      </w:r>
      <w:r w:rsidR="00300A14">
        <w:fldChar w:fldCharType="end"/>
      </w:r>
      <w:r w:rsidR="00CF2136">
        <w:t>. Higher free acetaldehyde concentrations were observed in wines fermented with the BC S103 strain, confirming the strong strain dependency of its production</w:t>
      </w:r>
      <w:r w:rsidR="00300A14">
        <w:t xml:space="preserve"> </w:t>
      </w:r>
      <w:r w:rsidR="00300A14">
        <w:fldChar w:fldCharType="begin"/>
      </w:r>
      <w:r w:rsidR="00300A14">
        <w:instrText xml:space="preserve"> ADDIN ZOTERO_ITEM CSL_CITATION {"citationID":"xmJNUVyp","properties":{"formattedCitation":"(Romano et al. 1994)","plainCitation":"(Romano et al. 1994)","noteIndex":0},"citationItems":[{"id":962,"uris":["http://zotero.org/users/local/fTTxJexU/items/W888TV6I"],"itemData":{"id":962,"type":"article-journal","abstract":"Eighty-six strains of Saccharomyces cerevisiae were investigated for their ability to produce acetaldehyde in synthetic medium and in grape must. Acetaldehyde production did not differ significantly between the two media, ranging from a few mg/l to about 60 mg/l, and was found to be a strain characteristic. The fermentation temperature of 30°C considerably increased the acetaldehyde produced. This study allowed us to assign the strains to different phenotypes: low, medium and high acetaldehyde producers. The low and high phenotypes differed considerably also in the production of acetic acid, acetoin and higher alcohols and can be useful for studying acetaldehyde production in S. cerevisiae, both from the technological and genetic point of view.","container-title":"FEMS Microbiology Letters","DOI":"10.1111/j.1574-6968.1994.tb06830.x","ISSN":"0378-1097","issue":"3","journalAbbreviation":"FEMS Microbiol Lett","page":"213-218","source":"Silverchair","title":"Acetaldehyde production in Saccharomyces cerevisiae wine yeasts","volume":"118","author":[{"family":"Romano","given":"Patrizia"},{"family":"Suzzi","given":"Giovanna"},{"family":"Turbanti","given":"Luca"},{"family":"Polsinelli","given":"Mario"}],"issued":{"date-parts":[["1994",5,1]]}}}],"schema":"https://github.com/citation-style-language/schema/raw/master/csl-citation.json"} </w:instrText>
      </w:r>
      <w:r w:rsidR="00300A14">
        <w:fldChar w:fldCharType="separate"/>
      </w:r>
      <w:r w:rsidR="00300A14">
        <w:rPr>
          <w:noProof/>
        </w:rPr>
        <w:t>(Romano et al. 1994)</w:t>
      </w:r>
      <w:r w:rsidR="00300A14">
        <w:fldChar w:fldCharType="end"/>
      </w:r>
      <w:r w:rsidR="00CF2136">
        <w:t xml:space="preserve">. In contrast, fermentation temperature in the tested range (15–20 °C) had only a minor influence on both free and bound acetaldehyde levels. Acetoin, a secondary product of alcoholic fermentation and a precursor of diacetyl and 2,3-butanediol, showed lower concentrations at 20 °C than at 15 °C, while no significant effect of yeast strain was observed. These results suggest that at higher temperatures acetoin may be more rapidly metabolized in downstream reactions leading to 2,3-butanediol formation. Pyruvic acid concentrations were higher at 20 °C, particularly in wines fermented with the BC S103 strain. This compound is typically produced during the early stages of fermentation and subsequently consumed by yeasts as a metabolic intermediate involved in the formation of several carbonyl compounds </w:t>
      </w:r>
      <w:r w:rsidR="00300A14">
        <w:fldChar w:fldCharType="begin"/>
      </w:r>
      <w:r w:rsidR="00300A14">
        <w:instrText xml:space="preserve"> ADDIN ZOTERO_ITEM CSL_CITATION {"citationID":"R56Lo2lj","properties":{"formattedCitation":"(Herzan et al. 2020)","plainCitation":"(Herzan et al. 2020)","noteIndex":0},"citationItems":[{"id":967,"uris":["http://zotero.org/users/local/fTTxJexU/items/W3A8HEBD"],"itemData":{"id":967,"type":"article-journal","abstract":"Carbonyl compounds, especially acetaldehyde in white wines which have a detrimental effect on the aroma and overall stability of wine, were studied.. Seven wine samples of Grüner Veltliner were produced of one input raw material of grapes, all with different dosage of SO2. The sulfur dioxide was maintained at a fixed level during the maturation process and sampled at six months. The grapes were processed, fermented, aged for three months in stainless steel tanks, prepared for bottling, bottled, and then aged in the bottle. In the samples taken, the volume of acetaldehyde, pyruvate, 2-oxoglutarate, diacetyl, and acetoin was determined by HPLC with diode array detection. Individual forms of SO2 were determined by iodometric titration. The wine that was matured on the lees and without the addition of SO2 (variant (0/0/0)) contained the lowest amount of all compounds measured. For example, the volume of acetaldehyde for this wine was 2.7 mg/L at the end of the experiment. The results of the sensory analysis showed that such wine could compete with wines with higher SO2 content without any problems.","container-title":"Food Science &amp; Nutrition","DOI":"10.1002/fsn3.1855","ISSN":"2048-7177","issue":"11","language":"en","license":"© 2020 The Authors. Food Science &amp; Nutrition published by Wiley Periodicals LLC.","note":"_eprint: https://onlinelibrary.wiley.com/doi/pdf/10.1002/fsn3.1855","page":"5850-5859","source":"Wiley Online Library","title":"Study of carbonyl compounds in white wine production","volume":"8","author":[{"family":"Herzan","given":"Jakub"},{"family":"Prokes","given":"Kamil"},{"family":"Baron","given":"Mojmir"},{"family":"Kumsta","given":"Michal"},{"family":"Pavlousek","given":"Pavel"},{"family":"Sochor","given":"Jiri"}],"issued":{"date-parts":[["2020"]]}}}],"schema":"https://github.com/citation-style-language/schema/raw/master/csl-citation.json"} </w:instrText>
      </w:r>
      <w:r w:rsidR="00300A14">
        <w:fldChar w:fldCharType="separate"/>
      </w:r>
      <w:r w:rsidR="00300A14">
        <w:rPr>
          <w:noProof/>
        </w:rPr>
        <w:t>(Herzan et al. 2020)</w:t>
      </w:r>
      <w:r w:rsidR="00300A14">
        <w:fldChar w:fldCharType="end"/>
      </w:r>
      <w:r w:rsidR="00CF2136">
        <w:t>. Finally, α-</w:t>
      </w:r>
      <w:proofErr w:type="spellStart"/>
      <w:r w:rsidR="00CF2136">
        <w:t>ketobutyric</w:t>
      </w:r>
      <w:proofErr w:type="spellEnd"/>
      <w:r w:rsidR="00CF2136">
        <w:t xml:space="preserve"> acid, an intermediate in amino acid metabolism formed during the conversion of threonine into higher alcohols, did not increase with fermentation temperature. This contrasts with conditions that generally </w:t>
      </w:r>
      <w:proofErr w:type="spellStart"/>
      <w:r w:rsidR="00CF2136">
        <w:t>favour</w:t>
      </w:r>
      <w:proofErr w:type="spellEnd"/>
      <w:r w:rsidR="00CF2136">
        <w:t xml:space="preserve"> higher alcohol production, suggesting that the temperature range tested (15–20 °C) was not sufficient to significantly affect its formation</w:t>
      </w:r>
      <w:r w:rsidR="00BA4C4F">
        <w:t xml:space="preserve">. </w:t>
      </w:r>
    </w:p>
    <w:p w14:paraId="0F49D5F8" w14:textId="77777777" w:rsidR="00EC2616" w:rsidRPr="00300A14" w:rsidRDefault="00EC2616" w:rsidP="00EC2616">
      <w:pPr>
        <w:pStyle w:val="CETBodytext"/>
        <w:rPr>
          <w:rStyle w:val="normaltextrun"/>
          <w:rFonts w:cs="Arial"/>
          <w:i/>
          <w:iCs/>
          <w:szCs w:val="18"/>
        </w:rPr>
      </w:pPr>
    </w:p>
    <w:p w14:paraId="1884C05A" w14:textId="2EB8E335" w:rsidR="00EC2616" w:rsidRPr="00300A14" w:rsidRDefault="00300A14" w:rsidP="00300A14">
      <w:pPr>
        <w:rPr>
          <w:rFonts w:cs="Arial"/>
          <w:i/>
          <w:iCs/>
        </w:rPr>
      </w:pPr>
      <w:r w:rsidRPr="00300A14">
        <w:rPr>
          <w:rFonts w:cs="Arial"/>
          <w:i/>
          <w:iCs/>
        </w:rPr>
        <w:lastRenderedPageBreak/>
        <w:t xml:space="preserve">Table 2 shows the content of </w:t>
      </w:r>
      <w:r w:rsidR="00BC3CFD">
        <w:rPr>
          <w:rFonts w:ascii="Times New Roman" w:hAnsi="Times New Roman"/>
          <w:i/>
          <w:iCs/>
        </w:rPr>
        <w:t>α</w:t>
      </w:r>
      <w:r w:rsidRPr="00300A14">
        <w:rPr>
          <w:rFonts w:cs="Arial"/>
          <w:i/>
          <w:iCs/>
        </w:rPr>
        <w:t>-ketoglutaric acid, acetoin, pyruvic acid, and free and total acetaldehyde in the experimental wines.</w:t>
      </w:r>
    </w:p>
    <w:tbl>
      <w:tblPr>
        <w:tblW w:w="8765" w:type="dxa"/>
        <w:tblCellMar>
          <w:left w:w="70" w:type="dxa"/>
          <w:right w:w="70" w:type="dxa"/>
        </w:tblCellMar>
        <w:tblLook w:val="04A0" w:firstRow="1" w:lastRow="0" w:firstColumn="1" w:lastColumn="0" w:noHBand="0" w:noVBand="1"/>
      </w:tblPr>
      <w:tblGrid>
        <w:gridCol w:w="1462"/>
        <w:gridCol w:w="2075"/>
        <w:gridCol w:w="1140"/>
        <w:gridCol w:w="1189"/>
        <w:gridCol w:w="1589"/>
        <w:gridCol w:w="1310"/>
      </w:tblGrid>
      <w:tr w:rsidR="00C52EAB" w:rsidRPr="00810741" w14:paraId="614220B4" w14:textId="77777777" w:rsidTr="00C52EAB">
        <w:trPr>
          <w:trHeight w:val="427"/>
        </w:trPr>
        <w:tc>
          <w:tcPr>
            <w:tcW w:w="1462" w:type="dxa"/>
            <w:tcBorders>
              <w:top w:val="single" w:sz="4" w:space="0" w:color="auto"/>
              <w:left w:val="nil"/>
              <w:bottom w:val="single" w:sz="4" w:space="0" w:color="auto"/>
              <w:right w:val="nil"/>
            </w:tcBorders>
            <w:noWrap/>
            <w:vAlign w:val="center"/>
            <w:hideMark/>
          </w:tcPr>
          <w:p w14:paraId="498A3E7E" w14:textId="77777777" w:rsidR="00C52EAB" w:rsidRPr="000C05EC" w:rsidRDefault="00C52EAB" w:rsidP="000C05EC">
            <w:pPr>
              <w:tabs>
                <w:tab w:val="clear" w:pos="7100"/>
              </w:tabs>
              <w:spacing w:line="240" w:lineRule="auto"/>
              <w:jc w:val="center"/>
              <w:rPr>
                <w:rFonts w:cs="Arial"/>
                <w:color w:val="000000"/>
                <w:szCs w:val="18"/>
                <w:lang w:val="it-IT" w:eastAsia="it-IT"/>
              </w:rPr>
            </w:pPr>
            <w:proofErr w:type="spellStart"/>
            <w:r w:rsidRPr="000C05EC">
              <w:rPr>
                <w:rFonts w:cs="Arial"/>
                <w:color w:val="000000"/>
                <w:szCs w:val="18"/>
                <w:lang w:val="it-IT" w:eastAsia="it-IT"/>
              </w:rPr>
              <w:t>Factor</w:t>
            </w:r>
            <w:proofErr w:type="spellEnd"/>
          </w:p>
        </w:tc>
        <w:tc>
          <w:tcPr>
            <w:tcW w:w="2075" w:type="dxa"/>
            <w:tcBorders>
              <w:top w:val="single" w:sz="4" w:space="0" w:color="auto"/>
              <w:left w:val="nil"/>
              <w:bottom w:val="single" w:sz="4" w:space="0" w:color="auto"/>
              <w:right w:val="nil"/>
            </w:tcBorders>
            <w:noWrap/>
            <w:vAlign w:val="center"/>
            <w:hideMark/>
          </w:tcPr>
          <w:p w14:paraId="0F5B04E3" w14:textId="77777777" w:rsidR="00C52EAB" w:rsidRPr="00810741" w:rsidRDefault="00C52EAB" w:rsidP="000C05EC">
            <w:pPr>
              <w:tabs>
                <w:tab w:val="clear" w:pos="7100"/>
              </w:tabs>
              <w:spacing w:line="240" w:lineRule="auto"/>
              <w:jc w:val="center"/>
              <w:rPr>
                <w:rFonts w:cs="Arial"/>
                <w:color w:val="000000"/>
                <w:szCs w:val="18"/>
                <w:lang w:val="it-IT" w:eastAsia="it-IT"/>
              </w:rPr>
            </w:pPr>
            <w:r w:rsidRPr="000C05EC">
              <w:rPr>
                <w:rFonts w:cs="Arial"/>
                <w:color w:val="000000"/>
                <w:szCs w:val="18"/>
                <w:lang w:val="it-IT" w:eastAsia="it-IT"/>
              </w:rPr>
              <w:t>α-</w:t>
            </w:r>
            <w:proofErr w:type="spellStart"/>
            <w:r w:rsidRPr="000C05EC">
              <w:rPr>
                <w:rFonts w:cs="Arial"/>
                <w:color w:val="000000"/>
                <w:szCs w:val="18"/>
                <w:lang w:val="it-IT" w:eastAsia="it-IT"/>
              </w:rPr>
              <w:t>Ketoglutaric</w:t>
            </w:r>
            <w:proofErr w:type="spellEnd"/>
            <w:r w:rsidRPr="000C05EC">
              <w:rPr>
                <w:rFonts w:cs="Arial"/>
                <w:color w:val="000000"/>
                <w:szCs w:val="18"/>
                <w:lang w:val="it-IT" w:eastAsia="it-IT"/>
              </w:rPr>
              <w:t xml:space="preserve"> acid </w:t>
            </w:r>
          </w:p>
          <w:p w14:paraId="578C5132" w14:textId="3CFC28CB" w:rsidR="00C52EAB" w:rsidRPr="00331828" w:rsidRDefault="00331828" w:rsidP="000C05EC">
            <w:pPr>
              <w:tabs>
                <w:tab w:val="clear" w:pos="7100"/>
              </w:tabs>
              <w:spacing w:line="240" w:lineRule="auto"/>
              <w:jc w:val="center"/>
              <w:rPr>
                <w:rFonts w:cs="Arial"/>
                <w:color w:val="000000"/>
                <w:szCs w:val="18"/>
                <w:lang w:val="it-IT" w:eastAsia="it-IT"/>
              </w:rPr>
            </w:pPr>
            <w:r>
              <w:rPr>
                <w:rFonts w:cs="Arial"/>
                <w:color w:val="000000"/>
                <w:szCs w:val="18"/>
                <w:lang w:val="it-IT" w:eastAsia="it-IT"/>
              </w:rPr>
              <w:t>(</w:t>
            </w:r>
            <w:r w:rsidR="00C52EAB" w:rsidRPr="000C05EC">
              <w:rPr>
                <w:rFonts w:cs="Arial"/>
                <w:color w:val="000000"/>
                <w:szCs w:val="18"/>
                <w:lang w:val="it-IT" w:eastAsia="it-IT"/>
              </w:rPr>
              <w:t>mg L</w:t>
            </w:r>
            <w:r w:rsidR="00C52EAB" w:rsidRPr="000C05EC">
              <w:rPr>
                <w:rFonts w:cs="Arial"/>
                <w:color w:val="000000"/>
                <w:szCs w:val="18"/>
                <w:vertAlign w:val="superscript"/>
                <w:lang w:val="it-IT" w:eastAsia="it-IT"/>
              </w:rPr>
              <w:t>-1</w:t>
            </w:r>
            <w:r>
              <w:rPr>
                <w:rFonts w:cs="Arial"/>
                <w:color w:val="000000"/>
                <w:szCs w:val="18"/>
                <w:lang w:val="it-IT" w:eastAsia="it-IT"/>
              </w:rPr>
              <w:t>)</w:t>
            </w:r>
          </w:p>
        </w:tc>
        <w:tc>
          <w:tcPr>
            <w:tcW w:w="1140" w:type="dxa"/>
            <w:tcBorders>
              <w:top w:val="single" w:sz="4" w:space="0" w:color="auto"/>
              <w:left w:val="nil"/>
              <w:bottom w:val="single" w:sz="4" w:space="0" w:color="auto"/>
              <w:right w:val="nil"/>
            </w:tcBorders>
            <w:noWrap/>
            <w:vAlign w:val="center"/>
            <w:hideMark/>
          </w:tcPr>
          <w:p w14:paraId="292A724A" w14:textId="77777777" w:rsidR="00C52EAB" w:rsidRPr="00810741" w:rsidRDefault="00C52EAB" w:rsidP="000C05EC">
            <w:pPr>
              <w:tabs>
                <w:tab w:val="clear" w:pos="7100"/>
              </w:tabs>
              <w:spacing w:line="240" w:lineRule="auto"/>
              <w:jc w:val="center"/>
              <w:rPr>
                <w:rFonts w:cs="Arial"/>
                <w:color w:val="000000"/>
                <w:szCs w:val="18"/>
                <w:lang w:val="it-IT" w:eastAsia="it-IT"/>
              </w:rPr>
            </w:pPr>
            <w:proofErr w:type="spellStart"/>
            <w:r w:rsidRPr="000C05EC">
              <w:rPr>
                <w:rFonts w:cs="Arial"/>
                <w:color w:val="000000"/>
                <w:szCs w:val="18"/>
                <w:lang w:val="it-IT" w:eastAsia="it-IT"/>
              </w:rPr>
              <w:t>Acetoin</w:t>
            </w:r>
            <w:proofErr w:type="spellEnd"/>
            <w:r w:rsidRPr="000C05EC">
              <w:rPr>
                <w:rFonts w:cs="Arial"/>
                <w:color w:val="000000"/>
                <w:szCs w:val="18"/>
                <w:lang w:val="it-IT" w:eastAsia="it-IT"/>
              </w:rPr>
              <w:t xml:space="preserve"> </w:t>
            </w:r>
          </w:p>
          <w:p w14:paraId="3D13DACF" w14:textId="12B26DB5" w:rsidR="00C52EAB" w:rsidRPr="000C05EC" w:rsidRDefault="00331828" w:rsidP="000C05EC">
            <w:pPr>
              <w:tabs>
                <w:tab w:val="clear" w:pos="7100"/>
              </w:tabs>
              <w:spacing w:line="240" w:lineRule="auto"/>
              <w:jc w:val="center"/>
              <w:rPr>
                <w:rFonts w:cs="Arial"/>
                <w:color w:val="000000"/>
                <w:szCs w:val="18"/>
                <w:lang w:val="it-IT" w:eastAsia="it-IT"/>
              </w:rPr>
            </w:pPr>
            <w:r>
              <w:rPr>
                <w:rFonts w:cs="Arial"/>
                <w:color w:val="000000"/>
                <w:szCs w:val="18"/>
                <w:lang w:val="it-IT" w:eastAsia="it-IT"/>
              </w:rPr>
              <w:t>(</w:t>
            </w:r>
            <w:r w:rsidRPr="000C05EC">
              <w:rPr>
                <w:rFonts w:cs="Arial"/>
                <w:color w:val="000000"/>
                <w:szCs w:val="18"/>
                <w:lang w:val="it-IT" w:eastAsia="it-IT"/>
              </w:rPr>
              <w:t>mg L</w:t>
            </w:r>
            <w:r w:rsidRPr="000C05EC">
              <w:rPr>
                <w:rFonts w:cs="Arial"/>
                <w:color w:val="000000"/>
                <w:szCs w:val="18"/>
                <w:vertAlign w:val="superscript"/>
                <w:lang w:val="it-IT" w:eastAsia="it-IT"/>
              </w:rPr>
              <w:t>-1</w:t>
            </w:r>
            <w:r>
              <w:rPr>
                <w:rFonts w:cs="Arial"/>
                <w:color w:val="000000"/>
                <w:szCs w:val="18"/>
                <w:lang w:val="it-IT" w:eastAsia="it-IT"/>
              </w:rPr>
              <w:t>)</w:t>
            </w:r>
          </w:p>
        </w:tc>
        <w:tc>
          <w:tcPr>
            <w:tcW w:w="1189" w:type="dxa"/>
            <w:tcBorders>
              <w:top w:val="single" w:sz="4" w:space="0" w:color="auto"/>
              <w:left w:val="nil"/>
              <w:bottom w:val="single" w:sz="4" w:space="0" w:color="auto"/>
              <w:right w:val="nil"/>
            </w:tcBorders>
            <w:noWrap/>
            <w:vAlign w:val="center"/>
            <w:hideMark/>
          </w:tcPr>
          <w:p w14:paraId="35BC0B1B" w14:textId="77777777" w:rsidR="00C52EAB" w:rsidRPr="00810741" w:rsidRDefault="00C52EAB" w:rsidP="000C05EC">
            <w:pPr>
              <w:tabs>
                <w:tab w:val="clear" w:pos="7100"/>
              </w:tabs>
              <w:spacing w:line="240" w:lineRule="auto"/>
              <w:jc w:val="center"/>
              <w:rPr>
                <w:rFonts w:cs="Arial"/>
                <w:color w:val="000000"/>
                <w:szCs w:val="18"/>
                <w:lang w:val="it-IT" w:eastAsia="it-IT"/>
              </w:rPr>
            </w:pPr>
            <w:proofErr w:type="spellStart"/>
            <w:r w:rsidRPr="000C05EC">
              <w:rPr>
                <w:rFonts w:cs="Arial"/>
                <w:color w:val="000000"/>
                <w:szCs w:val="18"/>
                <w:lang w:val="it-IT" w:eastAsia="it-IT"/>
              </w:rPr>
              <w:t>Piruvate</w:t>
            </w:r>
            <w:proofErr w:type="spellEnd"/>
            <w:r w:rsidRPr="000C05EC">
              <w:rPr>
                <w:rFonts w:cs="Arial"/>
                <w:color w:val="000000"/>
                <w:szCs w:val="18"/>
                <w:lang w:val="it-IT" w:eastAsia="it-IT"/>
              </w:rPr>
              <w:t xml:space="preserve"> </w:t>
            </w:r>
          </w:p>
          <w:p w14:paraId="3DBE0367" w14:textId="1BD7B779" w:rsidR="00C52EAB" w:rsidRPr="000C05EC" w:rsidRDefault="00331828" w:rsidP="000C05EC">
            <w:pPr>
              <w:tabs>
                <w:tab w:val="clear" w:pos="7100"/>
              </w:tabs>
              <w:spacing w:line="240" w:lineRule="auto"/>
              <w:jc w:val="center"/>
              <w:rPr>
                <w:rFonts w:cs="Arial"/>
                <w:color w:val="000000"/>
                <w:szCs w:val="18"/>
                <w:lang w:val="it-IT" w:eastAsia="it-IT"/>
              </w:rPr>
            </w:pPr>
            <w:r>
              <w:rPr>
                <w:rFonts w:cs="Arial"/>
                <w:color w:val="000000"/>
                <w:szCs w:val="18"/>
                <w:lang w:val="it-IT" w:eastAsia="it-IT"/>
              </w:rPr>
              <w:t>(</w:t>
            </w:r>
            <w:r w:rsidRPr="000C05EC">
              <w:rPr>
                <w:rFonts w:cs="Arial"/>
                <w:color w:val="000000"/>
                <w:szCs w:val="18"/>
                <w:lang w:val="it-IT" w:eastAsia="it-IT"/>
              </w:rPr>
              <w:t>mg L</w:t>
            </w:r>
            <w:r w:rsidRPr="000C05EC">
              <w:rPr>
                <w:rFonts w:cs="Arial"/>
                <w:color w:val="000000"/>
                <w:szCs w:val="18"/>
                <w:vertAlign w:val="superscript"/>
                <w:lang w:val="it-IT" w:eastAsia="it-IT"/>
              </w:rPr>
              <w:t>-1</w:t>
            </w:r>
            <w:r>
              <w:rPr>
                <w:rFonts w:cs="Arial"/>
                <w:color w:val="000000"/>
                <w:szCs w:val="18"/>
                <w:lang w:val="it-IT" w:eastAsia="it-IT"/>
              </w:rPr>
              <w:t>)</w:t>
            </w:r>
          </w:p>
        </w:tc>
        <w:tc>
          <w:tcPr>
            <w:tcW w:w="1589" w:type="dxa"/>
            <w:tcBorders>
              <w:top w:val="single" w:sz="4" w:space="0" w:color="auto"/>
              <w:left w:val="nil"/>
              <w:bottom w:val="single" w:sz="4" w:space="0" w:color="auto"/>
              <w:right w:val="nil"/>
            </w:tcBorders>
            <w:noWrap/>
            <w:vAlign w:val="center"/>
            <w:hideMark/>
          </w:tcPr>
          <w:p w14:paraId="2AEB12E9" w14:textId="4444273D" w:rsidR="00C52EAB" w:rsidRPr="00810741" w:rsidRDefault="00C52EAB" w:rsidP="000C05EC">
            <w:pPr>
              <w:tabs>
                <w:tab w:val="clear" w:pos="7100"/>
              </w:tabs>
              <w:spacing w:line="240" w:lineRule="auto"/>
              <w:jc w:val="center"/>
              <w:rPr>
                <w:rFonts w:cs="Arial"/>
                <w:color w:val="000000"/>
                <w:szCs w:val="18"/>
                <w:lang w:val="it-IT" w:eastAsia="it-IT"/>
              </w:rPr>
            </w:pPr>
            <w:r>
              <w:rPr>
                <w:rFonts w:cs="Arial"/>
                <w:color w:val="000000"/>
                <w:szCs w:val="18"/>
                <w:lang w:val="it-IT" w:eastAsia="it-IT"/>
              </w:rPr>
              <w:t xml:space="preserve">Total </w:t>
            </w:r>
            <w:proofErr w:type="spellStart"/>
            <w:r>
              <w:rPr>
                <w:rFonts w:cs="Arial"/>
                <w:color w:val="000000"/>
                <w:szCs w:val="18"/>
                <w:lang w:val="it-IT" w:eastAsia="it-IT"/>
              </w:rPr>
              <w:t>a</w:t>
            </w:r>
            <w:r w:rsidRPr="000C05EC">
              <w:rPr>
                <w:rFonts w:cs="Arial"/>
                <w:color w:val="000000"/>
                <w:szCs w:val="18"/>
                <w:lang w:val="it-IT" w:eastAsia="it-IT"/>
              </w:rPr>
              <w:t>cetaldehyde</w:t>
            </w:r>
            <w:proofErr w:type="spellEnd"/>
            <w:r w:rsidRPr="000C05EC">
              <w:rPr>
                <w:rFonts w:cs="Arial"/>
                <w:color w:val="000000"/>
                <w:szCs w:val="18"/>
                <w:lang w:val="it-IT" w:eastAsia="it-IT"/>
              </w:rPr>
              <w:t xml:space="preserve"> </w:t>
            </w:r>
          </w:p>
          <w:p w14:paraId="3D9555D8" w14:textId="31CCF3F6" w:rsidR="00C52EAB" w:rsidRPr="000C05EC" w:rsidRDefault="00331828" w:rsidP="000C05EC">
            <w:pPr>
              <w:tabs>
                <w:tab w:val="clear" w:pos="7100"/>
              </w:tabs>
              <w:spacing w:line="240" w:lineRule="auto"/>
              <w:jc w:val="center"/>
              <w:rPr>
                <w:rFonts w:cs="Arial"/>
                <w:color w:val="000000"/>
                <w:szCs w:val="18"/>
                <w:lang w:val="it-IT" w:eastAsia="it-IT"/>
              </w:rPr>
            </w:pPr>
            <w:r>
              <w:rPr>
                <w:rFonts w:cs="Arial"/>
                <w:color w:val="000000"/>
                <w:szCs w:val="18"/>
                <w:lang w:val="it-IT" w:eastAsia="it-IT"/>
              </w:rPr>
              <w:t>(</w:t>
            </w:r>
            <w:r w:rsidRPr="000C05EC">
              <w:rPr>
                <w:rFonts w:cs="Arial"/>
                <w:color w:val="000000"/>
                <w:szCs w:val="18"/>
                <w:lang w:val="it-IT" w:eastAsia="it-IT"/>
              </w:rPr>
              <w:t>mg L</w:t>
            </w:r>
            <w:r w:rsidRPr="000C05EC">
              <w:rPr>
                <w:rFonts w:cs="Arial"/>
                <w:color w:val="000000"/>
                <w:szCs w:val="18"/>
                <w:vertAlign w:val="superscript"/>
                <w:lang w:val="it-IT" w:eastAsia="it-IT"/>
              </w:rPr>
              <w:t>-1</w:t>
            </w:r>
            <w:r>
              <w:rPr>
                <w:rFonts w:cs="Arial"/>
                <w:color w:val="000000"/>
                <w:szCs w:val="18"/>
                <w:lang w:val="it-IT" w:eastAsia="it-IT"/>
              </w:rPr>
              <w:t>)</w:t>
            </w:r>
          </w:p>
        </w:tc>
        <w:tc>
          <w:tcPr>
            <w:tcW w:w="1310" w:type="dxa"/>
            <w:tcBorders>
              <w:top w:val="single" w:sz="4" w:space="0" w:color="auto"/>
              <w:left w:val="nil"/>
              <w:bottom w:val="single" w:sz="4" w:space="0" w:color="auto"/>
              <w:right w:val="nil"/>
            </w:tcBorders>
            <w:noWrap/>
            <w:vAlign w:val="center"/>
            <w:hideMark/>
          </w:tcPr>
          <w:p w14:paraId="33305BE5" w14:textId="11B75EEA" w:rsidR="00C52EAB" w:rsidRPr="000C05EC" w:rsidRDefault="00C52EAB" w:rsidP="000C05EC">
            <w:pPr>
              <w:tabs>
                <w:tab w:val="clear" w:pos="7100"/>
              </w:tabs>
              <w:spacing w:line="240" w:lineRule="auto"/>
              <w:jc w:val="center"/>
              <w:rPr>
                <w:rFonts w:cs="Arial"/>
                <w:color w:val="000000"/>
                <w:szCs w:val="18"/>
                <w:lang w:val="it-IT" w:eastAsia="it-IT"/>
              </w:rPr>
            </w:pPr>
            <w:r w:rsidRPr="000C05EC">
              <w:rPr>
                <w:rFonts w:cs="Arial"/>
                <w:color w:val="000000"/>
                <w:szCs w:val="18"/>
                <w:lang w:val="it-IT" w:eastAsia="it-IT"/>
              </w:rPr>
              <w:t xml:space="preserve">Free </w:t>
            </w:r>
            <w:proofErr w:type="spellStart"/>
            <w:r w:rsidRPr="000C05EC">
              <w:rPr>
                <w:rFonts w:cs="Arial"/>
                <w:color w:val="000000"/>
                <w:szCs w:val="18"/>
                <w:lang w:val="it-IT" w:eastAsia="it-IT"/>
              </w:rPr>
              <w:t>acetaldehyde</w:t>
            </w:r>
            <w:proofErr w:type="spellEnd"/>
            <w:r w:rsidRPr="000C05EC">
              <w:rPr>
                <w:rFonts w:cs="Arial"/>
                <w:color w:val="000000"/>
                <w:szCs w:val="18"/>
                <w:lang w:val="it-IT" w:eastAsia="it-IT"/>
              </w:rPr>
              <w:t xml:space="preserve"> </w:t>
            </w:r>
            <w:r w:rsidR="00331828">
              <w:rPr>
                <w:rFonts w:cs="Arial"/>
                <w:color w:val="000000"/>
                <w:szCs w:val="18"/>
                <w:lang w:val="it-IT" w:eastAsia="it-IT"/>
              </w:rPr>
              <w:t>(</w:t>
            </w:r>
            <w:r w:rsidR="00331828" w:rsidRPr="000C05EC">
              <w:rPr>
                <w:rFonts w:cs="Arial"/>
                <w:color w:val="000000"/>
                <w:szCs w:val="18"/>
                <w:lang w:val="it-IT" w:eastAsia="it-IT"/>
              </w:rPr>
              <w:t>mg L</w:t>
            </w:r>
            <w:r w:rsidR="00331828" w:rsidRPr="000C05EC">
              <w:rPr>
                <w:rFonts w:cs="Arial"/>
                <w:color w:val="000000"/>
                <w:szCs w:val="18"/>
                <w:vertAlign w:val="superscript"/>
                <w:lang w:val="it-IT" w:eastAsia="it-IT"/>
              </w:rPr>
              <w:t>-1</w:t>
            </w:r>
            <w:r w:rsidR="00331828">
              <w:rPr>
                <w:rFonts w:cs="Arial"/>
                <w:color w:val="000000"/>
                <w:szCs w:val="18"/>
                <w:lang w:val="it-IT" w:eastAsia="it-IT"/>
              </w:rPr>
              <w:t>)</w:t>
            </w:r>
          </w:p>
        </w:tc>
      </w:tr>
      <w:tr w:rsidR="00C52EAB" w:rsidRPr="00810741" w14:paraId="5D99FE2E" w14:textId="77777777" w:rsidTr="00C52EAB">
        <w:trPr>
          <w:trHeight w:val="427"/>
        </w:trPr>
        <w:tc>
          <w:tcPr>
            <w:tcW w:w="1462" w:type="dxa"/>
            <w:tcBorders>
              <w:top w:val="nil"/>
              <w:left w:val="nil"/>
              <w:bottom w:val="nil"/>
              <w:right w:val="nil"/>
            </w:tcBorders>
            <w:noWrap/>
            <w:vAlign w:val="center"/>
            <w:hideMark/>
          </w:tcPr>
          <w:p w14:paraId="40ED824A" w14:textId="75D8DE46" w:rsidR="00C52EAB" w:rsidRPr="000C05EC" w:rsidRDefault="00C52EAB" w:rsidP="000C05EC">
            <w:pPr>
              <w:tabs>
                <w:tab w:val="clear" w:pos="7100"/>
              </w:tabs>
              <w:spacing w:line="240" w:lineRule="auto"/>
              <w:jc w:val="center"/>
              <w:rPr>
                <w:rFonts w:cs="Arial"/>
                <w:color w:val="000000"/>
                <w:szCs w:val="18"/>
                <w:lang w:val="it-IT" w:eastAsia="it-IT"/>
              </w:rPr>
            </w:pPr>
            <w:proofErr w:type="spellStart"/>
            <w:r w:rsidRPr="000C05EC">
              <w:rPr>
                <w:rFonts w:cs="Arial"/>
                <w:color w:val="000000"/>
                <w:szCs w:val="18"/>
                <w:lang w:val="it-IT" w:eastAsia="it-IT"/>
              </w:rPr>
              <w:t>Yeast</w:t>
            </w:r>
            <w:proofErr w:type="spellEnd"/>
            <w:r w:rsidRPr="000C05EC">
              <w:rPr>
                <w:rFonts w:cs="Arial"/>
                <w:color w:val="000000"/>
                <w:szCs w:val="18"/>
                <w:lang w:val="it-IT" w:eastAsia="it-IT"/>
              </w:rPr>
              <w:t xml:space="preserve"> </w:t>
            </w:r>
            <w:r w:rsidRPr="00810741">
              <w:rPr>
                <w:rFonts w:cs="Arial"/>
                <w:color w:val="000000"/>
                <w:szCs w:val="18"/>
                <w:lang w:val="it-IT" w:eastAsia="it-IT"/>
              </w:rPr>
              <w:t>(</w:t>
            </w:r>
            <w:r w:rsidRPr="000C05EC">
              <w:rPr>
                <w:rFonts w:cs="Arial"/>
                <w:color w:val="000000"/>
                <w:szCs w:val="18"/>
                <w:lang w:val="it-IT" w:eastAsia="it-IT"/>
              </w:rPr>
              <w:t>n = 8)</w:t>
            </w:r>
          </w:p>
        </w:tc>
        <w:tc>
          <w:tcPr>
            <w:tcW w:w="2075" w:type="dxa"/>
            <w:tcBorders>
              <w:top w:val="nil"/>
              <w:left w:val="nil"/>
              <w:bottom w:val="nil"/>
              <w:right w:val="nil"/>
            </w:tcBorders>
            <w:noWrap/>
            <w:vAlign w:val="bottom"/>
            <w:hideMark/>
          </w:tcPr>
          <w:p w14:paraId="72AC361C" w14:textId="77777777" w:rsidR="00C52EAB" w:rsidRPr="000C05EC" w:rsidRDefault="00C52EAB" w:rsidP="000C05EC">
            <w:pPr>
              <w:tabs>
                <w:tab w:val="clear" w:pos="7100"/>
              </w:tabs>
              <w:spacing w:line="240" w:lineRule="auto"/>
              <w:jc w:val="center"/>
              <w:rPr>
                <w:rFonts w:cs="Arial"/>
                <w:color w:val="000000"/>
                <w:szCs w:val="18"/>
                <w:lang w:val="it-IT" w:eastAsia="it-IT"/>
              </w:rPr>
            </w:pPr>
          </w:p>
        </w:tc>
        <w:tc>
          <w:tcPr>
            <w:tcW w:w="1140" w:type="dxa"/>
            <w:tcBorders>
              <w:top w:val="nil"/>
              <w:left w:val="nil"/>
              <w:bottom w:val="nil"/>
              <w:right w:val="nil"/>
            </w:tcBorders>
            <w:noWrap/>
            <w:vAlign w:val="bottom"/>
            <w:hideMark/>
          </w:tcPr>
          <w:p w14:paraId="53A4B938" w14:textId="77777777" w:rsidR="00C52EAB" w:rsidRPr="000C05EC" w:rsidRDefault="00C52EAB" w:rsidP="000C05EC">
            <w:pPr>
              <w:tabs>
                <w:tab w:val="clear" w:pos="7100"/>
              </w:tabs>
              <w:spacing w:line="240" w:lineRule="auto"/>
              <w:jc w:val="left"/>
              <w:rPr>
                <w:rFonts w:cs="Arial"/>
                <w:szCs w:val="18"/>
                <w:lang w:val="it-IT" w:eastAsia="it-IT"/>
              </w:rPr>
            </w:pPr>
          </w:p>
        </w:tc>
        <w:tc>
          <w:tcPr>
            <w:tcW w:w="1189" w:type="dxa"/>
            <w:tcBorders>
              <w:top w:val="nil"/>
              <w:left w:val="nil"/>
              <w:bottom w:val="nil"/>
              <w:right w:val="nil"/>
            </w:tcBorders>
            <w:noWrap/>
            <w:vAlign w:val="bottom"/>
            <w:hideMark/>
          </w:tcPr>
          <w:p w14:paraId="71628CA8" w14:textId="77777777" w:rsidR="00C52EAB" w:rsidRPr="000C05EC" w:rsidRDefault="00C52EAB" w:rsidP="000C05EC">
            <w:pPr>
              <w:tabs>
                <w:tab w:val="clear" w:pos="7100"/>
              </w:tabs>
              <w:spacing w:line="240" w:lineRule="auto"/>
              <w:jc w:val="left"/>
              <w:rPr>
                <w:rFonts w:cs="Arial"/>
                <w:szCs w:val="18"/>
                <w:lang w:val="it-IT" w:eastAsia="it-IT"/>
              </w:rPr>
            </w:pPr>
          </w:p>
        </w:tc>
        <w:tc>
          <w:tcPr>
            <w:tcW w:w="1589" w:type="dxa"/>
            <w:tcBorders>
              <w:top w:val="nil"/>
              <w:left w:val="nil"/>
              <w:bottom w:val="nil"/>
              <w:right w:val="nil"/>
            </w:tcBorders>
            <w:noWrap/>
            <w:vAlign w:val="bottom"/>
            <w:hideMark/>
          </w:tcPr>
          <w:p w14:paraId="6CBAF7C6" w14:textId="77777777" w:rsidR="00C52EAB" w:rsidRPr="000C05EC" w:rsidRDefault="00C52EAB" w:rsidP="000C05EC">
            <w:pPr>
              <w:tabs>
                <w:tab w:val="clear" w:pos="7100"/>
              </w:tabs>
              <w:spacing w:line="240" w:lineRule="auto"/>
              <w:jc w:val="left"/>
              <w:rPr>
                <w:rFonts w:cs="Arial"/>
                <w:szCs w:val="18"/>
                <w:lang w:val="it-IT" w:eastAsia="it-IT"/>
              </w:rPr>
            </w:pPr>
          </w:p>
        </w:tc>
        <w:tc>
          <w:tcPr>
            <w:tcW w:w="1310" w:type="dxa"/>
            <w:tcBorders>
              <w:top w:val="nil"/>
              <w:left w:val="nil"/>
              <w:bottom w:val="nil"/>
              <w:right w:val="nil"/>
            </w:tcBorders>
            <w:noWrap/>
            <w:vAlign w:val="bottom"/>
            <w:hideMark/>
          </w:tcPr>
          <w:p w14:paraId="7C337846" w14:textId="77777777" w:rsidR="00C52EAB" w:rsidRPr="000C05EC" w:rsidRDefault="00C52EAB" w:rsidP="000C05EC">
            <w:pPr>
              <w:tabs>
                <w:tab w:val="clear" w:pos="7100"/>
              </w:tabs>
              <w:spacing w:line="240" w:lineRule="auto"/>
              <w:jc w:val="left"/>
              <w:rPr>
                <w:rFonts w:cs="Arial"/>
                <w:szCs w:val="18"/>
                <w:lang w:val="it-IT" w:eastAsia="it-IT"/>
              </w:rPr>
            </w:pPr>
          </w:p>
        </w:tc>
      </w:tr>
      <w:tr w:rsidR="00C52EAB" w:rsidRPr="00810741" w14:paraId="4EDBF852" w14:textId="77777777" w:rsidTr="00C52EAB">
        <w:trPr>
          <w:trHeight w:val="427"/>
        </w:trPr>
        <w:tc>
          <w:tcPr>
            <w:tcW w:w="1462" w:type="dxa"/>
            <w:tcBorders>
              <w:top w:val="nil"/>
              <w:left w:val="nil"/>
              <w:bottom w:val="nil"/>
              <w:right w:val="nil"/>
            </w:tcBorders>
            <w:noWrap/>
            <w:hideMark/>
          </w:tcPr>
          <w:p w14:paraId="77B90226" w14:textId="77777777" w:rsidR="00C52EAB" w:rsidRPr="000C05EC" w:rsidRDefault="00C52EAB" w:rsidP="000C05EC">
            <w:pPr>
              <w:tabs>
                <w:tab w:val="clear" w:pos="7100"/>
              </w:tabs>
              <w:spacing w:line="240" w:lineRule="auto"/>
              <w:jc w:val="center"/>
              <w:rPr>
                <w:rFonts w:cs="Arial"/>
                <w:color w:val="000000"/>
                <w:szCs w:val="18"/>
                <w:lang w:val="it-IT" w:eastAsia="it-IT"/>
              </w:rPr>
            </w:pPr>
            <w:r w:rsidRPr="000C05EC">
              <w:rPr>
                <w:rFonts w:cs="Arial"/>
                <w:color w:val="000000"/>
                <w:szCs w:val="18"/>
                <w:lang w:val="it-IT" w:eastAsia="it-IT"/>
              </w:rPr>
              <w:t>SC22</w:t>
            </w:r>
          </w:p>
        </w:tc>
        <w:tc>
          <w:tcPr>
            <w:tcW w:w="2075" w:type="dxa"/>
            <w:tcBorders>
              <w:top w:val="nil"/>
              <w:left w:val="nil"/>
              <w:bottom w:val="nil"/>
              <w:right w:val="nil"/>
            </w:tcBorders>
            <w:noWrap/>
            <w:hideMark/>
          </w:tcPr>
          <w:p w14:paraId="0F946B09" w14:textId="77777777" w:rsidR="00C52EAB" w:rsidRPr="000C05EC" w:rsidRDefault="00C52EAB" w:rsidP="000C05EC">
            <w:pPr>
              <w:tabs>
                <w:tab w:val="clear" w:pos="7100"/>
              </w:tabs>
              <w:spacing w:line="240" w:lineRule="auto"/>
              <w:jc w:val="center"/>
              <w:rPr>
                <w:rFonts w:cs="Arial"/>
                <w:color w:val="000000"/>
                <w:szCs w:val="18"/>
                <w:lang w:val="it-IT" w:eastAsia="it-IT"/>
              </w:rPr>
            </w:pPr>
            <w:r w:rsidRPr="000C05EC">
              <w:rPr>
                <w:rFonts w:cs="Arial"/>
                <w:color w:val="000000"/>
                <w:szCs w:val="18"/>
                <w:lang w:val="it-IT" w:eastAsia="it-IT"/>
              </w:rPr>
              <w:t>30.65 ± 8.05</w:t>
            </w:r>
          </w:p>
        </w:tc>
        <w:tc>
          <w:tcPr>
            <w:tcW w:w="1140" w:type="dxa"/>
            <w:tcBorders>
              <w:top w:val="nil"/>
              <w:left w:val="nil"/>
              <w:bottom w:val="nil"/>
              <w:right w:val="nil"/>
            </w:tcBorders>
            <w:noWrap/>
            <w:hideMark/>
          </w:tcPr>
          <w:p w14:paraId="4BDAFC3B" w14:textId="77777777" w:rsidR="00C52EAB" w:rsidRPr="000C05EC" w:rsidRDefault="00C52EAB" w:rsidP="000C05EC">
            <w:pPr>
              <w:tabs>
                <w:tab w:val="clear" w:pos="7100"/>
              </w:tabs>
              <w:spacing w:line="240" w:lineRule="auto"/>
              <w:jc w:val="center"/>
              <w:rPr>
                <w:rFonts w:cs="Arial"/>
                <w:color w:val="000000"/>
                <w:szCs w:val="18"/>
                <w:lang w:val="it-IT" w:eastAsia="it-IT"/>
              </w:rPr>
            </w:pPr>
            <w:r w:rsidRPr="000C05EC">
              <w:rPr>
                <w:rFonts w:cs="Arial"/>
                <w:color w:val="000000"/>
                <w:szCs w:val="18"/>
                <w:lang w:val="it-IT" w:eastAsia="it-IT"/>
              </w:rPr>
              <w:t>0.13 ± 0.02</w:t>
            </w:r>
          </w:p>
        </w:tc>
        <w:tc>
          <w:tcPr>
            <w:tcW w:w="1189" w:type="dxa"/>
            <w:tcBorders>
              <w:top w:val="nil"/>
              <w:left w:val="nil"/>
              <w:bottom w:val="nil"/>
              <w:right w:val="nil"/>
            </w:tcBorders>
            <w:noWrap/>
            <w:hideMark/>
          </w:tcPr>
          <w:p w14:paraId="2B0B339C" w14:textId="77777777" w:rsidR="00C52EAB" w:rsidRPr="000C05EC" w:rsidRDefault="00C52EAB" w:rsidP="000C05EC">
            <w:pPr>
              <w:tabs>
                <w:tab w:val="clear" w:pos="7100"/>
              </w:tabs>
              <w:spacing w:line="240" w:lineRule="auto"/>
              <w:jc w:val="center"/>
              <w:rPr>
                <w:rFonts w:cs="Arial"/>
                <w:color w:val="000000"/>
                <w:szCs w:val="18"/>
                <w:lang w:val="it-IT" w:eastAsia="it-IT"/>
              </w:rPr>
            </w:pPr>
            <w:r w:rsidRPr="000C05EC">
              <w:rPr>
                <w:rFonts w:cs="Arial"/>
                <w:color w:val="000000"/>
                <w:szCs w:val="18"/>
                <w:lang w:val="it-IT" w:eastAsia="it-IT"/>
              </w:rPr>
              <w:t>11.57 ± 1.76</w:t>
            </w:r>
          </w:p>
        </w:tc>
        <w:tc>
          <w:tcPr>
            <w:tcW w:w="1589" w:type="dxa"/>
            <w:tcBorders>
              <w:top w:val="nil"/>
              <w:left w:val="nil"/>
              <w:bottom w:val="nil"/>
              <w:right w:val="nil"/>
            </w:tcBorders>
            <w:noWrap/>
            <w:hideMark/>
          </w:tcPr>
          <w:p w14:paraId="67C7A8C8" w14:textId="77777777" w:rsidR="00C52EAB" w:rsidRPr="000C05EC" w:rsidRDefault="00C52EAB" w:rsidP="000C05EC">
            <w:pPr>
              <w:tabs>
                <w:tab w:val="clear" w:pos="7100"/>
              </w:tabs>
              <w:spacing w:line="240" w:lineRule="auto"/>
              <w:jc w:val="center"/>
              <w:rPr>
                <w:rFonts w:cs="Arial"/>
                <w:color w:val="000000"/>
                <w:szCs w:val="18"/>
                <w:lang w:val="it-IT" w:eastAsia="it-IT"/>
              </w:rPr>
            </w:pPr>
            <w:r w:rsidRPr="000C05EC">
              <w:rPr>
                <w:rFonts w:cs="Arial"/>
                <w:color w:val="000000"/>
                <w:szCs w:val="18"/>
                <w:lang w:val="it-IT" w:eastAsia="it-IT"/>
              </w:rPr>
              <w:t>43.49 ± 2.08</w:t>
            </w:r>
          </w:p>
        </w:tc>
        <w:tc>
          <w:tcPr>
            <w:tcW w:w="1310" w:type="dxa"/>
            <w:tcBorders>
              <w:top w:val="nil"/>
              <w:left w:val="nil"/>
              <w:bottom w:val="nil"/>
              <w:right w:val="nil"/>
            </w:tcBorders>
            <w:noWrap/>
            <w:hideMark/>
          </w:tcPr>
          <w:p w14:paraId="1481B3D0" w14:textId="594CFFEF" w:rsidR="00C52EAB" w:rsidRPr="000C05EC" w:rsidRDefault="00C52EAB" w:rsidP="000C05EC">
            <w:pPr>
              <w:tabs>
                <w:tab w:val="clear" w:pos="7100"/>
              </w:tabs>
              <w:spacing w:line="240" w:lineRule="auto"/>
              <w:jc w:val="center"/>
              <w:rPr>
                <w:rFonts w:cs="Arial"/>
                <w:color w:val="000000"/>
                <w:szCs w:val="18"/>
                <w:lang w:val="it-IT" w:eastAsia="it-IT"/>
              </w:rPr>
            </w:pPr>
            <w:r>
              <w:rPr>
                <w:rFonts w:cs="Arial"/>
                <w:color w:val="000000"/>
                <w:szCs w:val="18"/>
                <w:lang w:val="it-IT" w:eastAsia="it-IT"/>
              </w:rPr>
              <w:t>4.02</w:t>
            </w:r>
            <w:r w:rsidRPr="000C05EC">
              <w:rPr>
                <w:rFonts w:cs="Arial"/>
                <w:color w:val="000000"/>
                <w:szCs w:val="18"/>
                <w:lang w:val="it-IT" w:eastAsia="it-IT"/>
              </w:rPr>
              <w:t xml:space="preserve"> ± 2.50</w:t>
            </w:r>
          </w:p>
        </w:tc>
      </w:tr>
      <w:tr w:rsidR="00C52EAB" w:rsidRPr="00810741" w14:paraId="7BE65FAD" w14:textId="77777777" w:rsidTr="00C52EAB">
        <w:trPr>
          <w:trHeight w:val="427"/>
        </w:trPr>
        <w:tc>
          <w:tcPr>
            <w:tcW w:w="1462" w:type="dxa"/>
            <w:tcBorders>
              <w:top w:val="nil"/>
              <w:left w:val="nil"/>
              <w:bottom w:val="nil"/>
              <w:right w:val="nil"/>
            </w:tcBorders>
            <w:noWrap/>
            <w:hideMark/>
          </w:tcPr>
          <w:p w14:paraId="67D23FBF" w14:textId="77777777" w:rsidR="00C52EAB" w:rsidRPr="000C05EC" w:rsidRDefault="00C52EAB" w:rsidP="000C05EC">
            <w:pPr>
              <w:tabs>
                <w:tab w:val="clear" w:pos="7100"/>
              </w:tabs>
              <w:spacing w:line="240" w:lineRule="auto"/>
              <w:jc w:val="center"/>
              <w:rPr>
                <w:rFonts w:cs="Arial"/>
                <w:color w:val="000000"/>
                <w:szCs w:val="18"/>
                <w:lang w:val="it-IT" w:eastAsia="it-IT"/>
              </w:rPr>
            </w:pPr>
            <w:r w:rsidRPr="000C05EC">
              <w:rPr>
                <w:rFonts w:cs="Arial"/>
                <w:color w:val="000000"/>
                <w:szCs w:val="18"/>
                <w:lang w:val="it-IT" w:eastAsia="it-IT"/>
              </w:rPr>
              <w:t>BC S103</w:t>
            </w:r>
          </w:p>
        </w:tc>
        <w:tc>
          <w:tcPr>
            <w:tcW w:w="2075" w:type="dxa"/>
            <w:tcBorders>
              <w:top w:val="nil"/>
              <w:left w:val="nil"/>
              <w:bottom w:val="nil"/>
              <w:right w:val="nil"/>
            </w:tcBorders>
            <w:noWrap/>
            <w:hideMark/>
          </w:tcPr>
          <w:p w14:paraId="07E47A0D" w14:textId="77777777" w:rsidR="00C52EAB" w:rsidRPr="000C05EC" w:rsidRDefault="00C52EAB" w:rsidP="000C05EC">
            <w:pPr>
              <w:tabs>
                <w:tab w:val="clear" w:pos="7100"/>
              </w:tabs>
              <w:spacing w:line="240" w:lineRule="auto"/>
              <w:jc w:val="center"/>
              <w:rPr>
                <w:rFonts w:cs="Arial"/>
                <w:color w:val="000000"/>
                <w:szCs w:val="18"/>
                <w:lang w:val="it-IT" w:eastAsia="it-IT"/>
              </w:rPr>
            </w:pPr>
            <w:r w:rsidRPr="000C05EC">
              <w:rPr>
                <w:rFonts w:cs="Arial"/>
                <w:color w:val="000000"/>
                <w:szCs w:val="18"/>
                <w:lang w:val="it-IT" w:eastAsia="it-IT"/>
              </w:rPr>
              <w:t>33.47 ± 7.90</w:t>
            </w:r>
          </w:p>
        </w:tc>
        <w:tc>
          <w:tcPr>
            <w:tcW w:w="1140" w:type="dxa"/>
            <w:tcBorders>
              <w:top w:val="nil"/>
              <w:left w:val="nil"/>
              <w:bottom w:val="nil"/>
              <w:right w:val="nil"/>
            </w:tcBorders>
            <w:noWrap/>
            <w:hideMark/>
          </w:tcPr>
          <w:p w14:paraId="632AFB45" w14:textId="77777777" w:rsidR="00C52EAB" w:rsidRPr="000C05EC" w:rsidRDefault="00C52EAB" w:rsidP="000C05EC">
            <w:pPr>
              <w:tabs>
                <w:tab w:val="clear" w:pos="7100"/>
              </w:tabs>
              <w:spacing w:line="240" w:lineRule="auto"/>
              <w:jc w:val="center"/>
              <w:rPr>
                <w:rFonts w:cs="Arial"/>
                <w:color w:val="000000"/>
                <w:szCs w:val="18"/>
                <w:lang w:val="it-IT" w:eastAsia="it-IT"/>
              </w:rPr>
            </w:pPr>
            <w:r w:rsidRPr="000C05EC">
              <w:rPr>
                <w:rFonts w:cs="Arial"/>
                <w:color w:val="000000"/>
                <w:szCs w:val="18"/>
                <w:lang w:val="it-IT" w:eastAsia="it-IT"/>
              </w:rPr>
              <w:t>0.14 ± 0.01</w:t>
            </w:r>
          </w:p>
        </w:tc>
        <w:tc>
          <w:tcPr>
            <w:tcW w:w="1189" w:type="dxa"/>
            <w:tcBorders>
              <w:top w:val="nil"/>
              <w:left w:val="nil"/>
              <w:bottom w:val="nil"/>
              <w:right w:val="nil"/>
            </w:tcBorders>
            <w:noWrap/>
            <w:hideMark/>
          </w:tcPr>
          <w:p w14:paraId="02F668E7" w14:textId="77777777" w:rsidR="00C52EAB" w:rsidRPr="000C05EC" w:rsidRDefault="00C52EAB" w:rsidP="000C05EC">
            <w:pPr>
              <w:tabs>
                <w:tab w:val="clear" w:pos="7100"/>
              </w:tabs>
              <w:spacing w:line="240" w:lineRule="auto"/>
              <w:jc w:val="center"/>
              <w:rPr>
                <w:rFonts w:cs="Arial"/>
                <w:color w:val="000000"/>
                <w:szCs w:val="18"/>
                <w:lang w:val="it-IT" w:eastAsia="it-IT"/>
              </w:rPr>
            </w:pPr>
            <w:r w:rsidRPr="000C05EC">
              <w:rPr>
                <w:rFonts w:cs="Arial"/>
                <w:color w:val="000000"/>
                <w:szCs w:val="18"/>
                <w:lang w:val="it-IT" w:eastAsia="it-IT"/>
              </w:rPr>
              <w:t>22.51 ± 5.38</w:t>
            </w:r>
          </w:p>
        </w:tc>
        <w:tc>
          <w:tcPr>
            <w:tcW w:w="1589" w:type="dxa"/>
            <w:tcBorders>
              <w:top w:val="nil"/>
              <w:left w:val="nil"/>
              <w:bottom w:val="nil"/>
              <w:right w:val="nil"/>
            </w:tcBorders>
            <w:noWrap/>
            <w:hideMark/>
          </w:tcPr>
          <w:p w14:paraId="4223096F" w14:textId="77777777" w:rsidR="00C52EAB" w:rsidRPr="000C05EC" w:rsidRDefault="00C52EAB" w:rsidP="000C05EC">
            <w:pPr>
              <w:tabs>
                <w:tab w:val="clear" w:pos="7100"/>
              </w:tabs>
              <w:spacing w:line="240" w:lineRule="auto"/>
              <w:jc w:val="center"/>
              <w:rPr>
                <w:rFonts w:cs="Arial"/>
                <w:color w:val="000000"/>
                <w:szCs w:val="18"/>
                <w:lang w:val="it-IT" w:eastAsia="it-IT"/>
              </w:rPr>
            </w:pPr>
            <w:r w:rsidRPr="000C05EC">
              <w:rPr>
                <w:rFonts w:cs="Arial"/>
                <w:color w:val="000000"/>
                <w:szCs w:val="18"/>
                <w:lang w:val="it-IT" w:eastAsia="it-IT"/>
              </w:rPr>
              <w:t>54.95 ± 2.29</w:t>
            </w:r>
          </w:p>
        </w:tc>
        <w:tc>
          <w:tcPr>
            <w:tcW w:w="1310" w:type="dxa"/>
            <w:tcBorders>
              <w:top w:val="nil"/>
              <w:left w:val="nil"/>
              <w:bottom w:val="nil"/>
              <w:right w:val="nil"/>
            </w:tcBorders>
            <w:noWrap/>
            <w:hideMark/>
          </w:tcPr>
          <w:p w14:paraId="57E80A77" w14:textId="77777777" w:rsidR="00C52EAB" w:rsidRPr="000C05EC" w:rsidRDefault="00C52EAB" w:rsidP="000C05EC">
            <w:pPr>
              <w:tabs>
                <w:tab w:val="clear" w:pos="7100"/>
              </w:tabs>
              <w:spacing w:line="240" w:lineRule="auto"/>
              <w:jc w:val="center"/>
              <w:rPr>
                <w:rFonts w:cs="Arial"/>
                <w:color w:val="000000"/>
                <w:szCs w:val="18"/>
                <w:lang w:val="it-IT" w:eastAsia="it-IT"/>
              </w:rPr>
            </w:pPr>
            <w:r w:rsidRPr="000C05EC">
              <w:rPr>
                <w:rFonts w:cs="Arial"/>
                <w:color w:val="000000"/>
                <w:szCs w:val="18"/>
                <w:lang w:val="it-IT" w:eastAsia="it-IT"/>
              </w:rPr>
              <w:t>21.61 ± 2.41</w:t>
            </w:r>
          </w:p>
        </w:tc>
      </w:tr>
      <w:tr w:rsidR="00C52EAB" w:rsidRPr="00810741" w14:paraId="1564BB7B" w14:textId="77777777" w:rsidTr="00C52EAB">
        <w:trPr>
          <w:trHeight w:val="427"/>
        </w:trPr>
        <w:tc>
          <w:tcPr>
            <w:tcW w:w="1462" w:type="dxa"/>
            <w:tcBorders>
              <w:top w:val="nil"/>
              <w:left w:val="nil"/>
              <w:bottom w:val="nil"/>
              <w:right w:val="nil"/>
            </w:tcBorders>
            <w:noWrap/>
            <w:hideMark/>
          </w:tcPr>
          <w:p w14:paraId="4FF177FE" w14:textId="77777777" w:rsidR="00C52EAB" w:rsidRPr="000C05EC" w:rsidRDefault="00C52EAB" w:rsidP="000C05EC">
            <w:pPr>
              <w:tabs>
                <w:tab w:val="clear" w:pos="7100"/>
              </w:tabs>
              <w:spacing w:line="240" w:lineRule="auto"/>
              <w:jc w:val="center"/>
              <w:rPr>
                <w:rFonts w:cs="Arial"/>
                <w:color w:val="000000"/>
                <w:szCs w:val="18"/>
                <w:lang w:val="it-IT" w:eastAsia="it-IT"/>
              </w:rPr>
            </w:pPr>
            <w:proofErr w:type="spellStart"/>
            <w:r w:rsidRPr="000C05EC">
              <w:rPr>
                <w:rFonts w:cs="Arial"/>
                <w:color w:val="000000"/>
                <w:szCs w:val="18"/>
                <w:lang w:val="it-IT" w:eastAsia="it-IT"/>
              </w:rPr>
              <w:t>Sign</w:t>
            </w:r>
            <w:proofErr w:type="spellEnd"/>
            <w:r w:rsidRPr="000C05EC">
              <w:rPr>
                <w:rFonts w:cs="Arial"/>
                <w:color w:val="000000"/>
                <w:szCs w:val="18"/>
                <w:lang w:val="it-IT" w:eastAsia="it-IT"/>
              </w:rPr>
              <w:t>.</w:t>
            </w:r>
          </w:p>
        </w:tc>
        <w:tc>
          <w:tcPr>
            <w:tcW w:w="2075" w:type="dxa"/>
            <w:tcBorders>
              <w:top w:val="nil"/>
              <w:left w:val="nil"/>
              <w:bottom w:val="nil"/>
              <w:right w:val="nil"/>
            </w:tcBorders>
            <w:noWrap/>
            <w:hideMark/>
          </w:tcPr>
          <w:p w14:paraId="7D9526C2" w14:textId="77777777" w:rsidR="00C52EAB" w:rsidRPr="000C05EC" w:rsidRDefault="00C52EAB" w:rsidP="000C05EC">
            <w:pPr>
              <w:tabs>
                <w:tab w:val="clear" w:pos="7100"/>
              </w:tabs>
              <w:spacing w:line="240" w:lineRule="auto"/>
              <w:jc w:val="center"/>
              <w:rPr>
                <w:rFonts w:cs="Arial"/>
                <w:color w:val="000000"/>
                <w:szCs w:val="18"/>
                <w:lang w:val="it-IT" w:eastAsia="it-IT"/>
              </w:rPr>
            </w:pPr>
            <w:r w:rsidRPr="000C05EC">
              <w:rPr>
                <w:rFonts w:cs="Arial"/>
                <w:color w:val="000000"/>
                <w:szCs w:val="18"/>
                <w:lang w:val="it-IT" w:eastAsia="it-IT"/>
              </w:rPr>
              <w:t>ns</w:t>
            </w:r>
          </w:p>
        </w:tc>
        <w:tc>
          <w:tcPr>
            <w:tcW w:w="1140" w:type="dxa"/>
            <w:tcBorders>
              <w:top w:val="nil"/>
              <w:left w:val="nil"/>
              <w:bottom w:val="nil"/>
              <w:right w:val="nil"/>
            </w:tcBorders>
            <w:noWrap/>
            <w:hideMark/>
          </w:tcPr>
          <w:p w14:paraId="5DFCD85C" w14:textId="77777777" w:rsidR="00C52EAB" w:rsidRPr="000C05EC" w:rsidRDefault="00C52EAB" w:rsidP="000C05EC">
            <w:pPr>
              <w:tabs>
                <w:tab w:val="clear" w:pos="7100"/>
              </w:tabs>
              <w:spacing w:line="240" w:lineRule="auto"/>
              <w:jc w:val="center"/>
              <w:rPr>
                <w:rFonts w:cs="Arial"/>
                <w:color w:val="000000"/>
                <w:szCs w:val="18"/>
                <w:lang w:val="it-IT" w:eastAsia="it-IT"/>
              </w:rPr>
            </w:pPr>
            <w:r w:rsidRPr="000C05EC">
              <w:rPr>
                <w:rFonts w:cs="Arial"/>
                <w:color w:val="000000"/>
                <w:szCs w:val="18"/>
                <w:lang w:val="it-IT" w:eastAsia="it-IT"/>
              </w:rPr>
              <w:t>ns</w:t>
            </w:r>
          </w:p>
        </w:tc>
        <w:tc>
          <w:tcPr>
            <w:tcW w:w="1189" w:type="dxa"/>
            <w:tcBorders>
              <w:top w:val="nil"/>
              <w:left w:val="nil"/>
              <w:bottom w:val="nil"/>
              <w:right w:val="nil"/>
            </w:tcBorders>
            <w:noWrap/>
            <w:hideMark/>
          </w:tcPr>
          <w:p w14:paraId="4805333D" w14:textId="77777777" w:rsidR="00C52EAB" w:rsidRPr="000C05EC" w:rsidRDefault="00C52EAB" w:rsidP="000C05EC">
            <w:pPr>
              <w:tabs>
                <w:tab w:val="clear" w:pos="7100"/>
              </w:tabs>
              <w:spacing w:line="240" w:lineRule="auto"/>
              <w:jc w:val="center"/>
              <w:rPr>
                <w:rFonts w:cs="Arial"/>
                <w:color w:val="000000"/>
                <w:szCs w:val="18"/>
                <w:lang w:val="it-IT" w:eastAsia="it-IT"/>
              </w:rPr>
            </w:pPr>
            <w:r w:rsidRPr="000C05EC">
              <w:rPr>
                <w:rFonts w:cs="Arial"/>
                <w:color w:val="000000"/>
                <w:szCs w:val="18"/>
                <w:lang w:val="it-IT" w:eastAsia="it-IT"/>
              </w:rPr>
              <w:t>.</w:t>
            </w:r>
          </w:p>
        </w:tc>
        <w:tc>
          <w:tcPr>
            <w:tcW w:w="1589" w:type="dxa"/>
            <w:tcBorders>
              <w:top w:val="nil"/>
              <w:left w:val="nil"/>
              <w:bottom w:val="nil"/>
              <w:right w:val="nil"/>
            </w:tcBorders>
            <w:noWrap/>
            <w:hideMark/>
          </w:tcPr>
          <w:p w14:paraId="0A8B81A2" w14:textId="77777777" w:rsidR="00C52EAB" w:rsidRPr="000C05EC" w:rsidRDefault="00C52EAB" w:rsidP="000C05EC">
            <w:pPr>
              <w:tabs>
                <w:tab w:val="clear" w:pos="7100"/>
              </w:tabs>
              <w:spacing w:line="240" w:lineRule="auto"/>
              <w:jc w:val="center"/>
              <w:rPr>
                <w:rFonts w:cs="Arial"/>
                <w:color w:val="000000"/>
                <w:szCs w:val="18"/>
                <w:lang w:val="it-IT" w:eastAsia="it-IT"/>
              </w:rPr>
            </w:pPr>
            <w:r w:rsidRPr="000C05EC">
              <w:rPr>
                <w:rFonts w:cs="Arial"/>
                <w:color w:val="000000"/>
                <w:szCs w:val="18"/>
                <w:lang w:val="it-IT" w:eastAsia="it-IT"/>
              </w:rPr>
              <w:t>**</w:t>
            </w:r>
          </w:p>
        </w:tc>
        <w:tc>
          <w:tcPr>
            <w:tcW w:w="1310" w:type="dxa"/>
            <w:tcBorders>
              <w:top w:val="nil"/>
              <w:left w:val="nil"/>
              <w:bottom w:val="nil"/>
              <w:right w:val="nil"/>
            </w:tcBorders>
            <w:noWrap/>
            <w:hideMark/>
          </w:tcPr>
          <w:p w14:paraId="77305CCA" w14:textId="77777777" w:rsidR="00C52EAB" w:rsidRPr="000C05EC" w:rsidRDefault="00C52EAB" w:rsidP="000C05EC">
            <w:pPr>
              <w:tabs>
                <w:tab w:val="clear" w:pos="7100"/>
              </w:tabs>
              <w:spacing w:line="240" w:lineRule="auto"/>
              <w:jc w:val="center"/>
              <w:rPr>
                <w:rFonts w:cs="Arial"/>
                <w:color w:val="000000"/>
                <w:szCs w:val="18"/>
                <w:lang w:val="it-IT" w:eastAsia="it-IT"/>
              </w:rPr>
            </w:pPr>
            <w:r w:rsidRPr="000C05EC">
              <w:rPr>
                <w:rFonts w:cs="Arial"/>
                <w:color w:val="000000"/>
                <w:szCs w:val="18"/>
                <w:lang w:val="it-IT" w:eastAsia="it-IT"/>
              </w:rPr>
              <w:t>***</w:t>
            </w:r>
          </w:p>
        </w:tc>
      </w:tr>
      <w:tr w:rsidR="00C52EAB" w:rsidRPr="00810741" w14:paraId="1A512E00" w14:textId="77777777" w:rsidTr="00C52EAB">
        <w:trPr>
          <w:trHeight w:val="427"/>
        </w:trPr>
        <w:tc>
          <w:tcPr>
            <w:tcW w:w="1462" w:type="dxa"/>
            <w:tcBorders>
              <w:top w:val="nil"/>
              <w:left w:val="nil"/>
              <w:bottom w:val="nil"/>
              <w:right w:val="nil"/>
            </w:tcBorders>
            <w:noWrap/>
            <w:hideMark/>
          </w:tcPr>
          <w:p w14:paraId="3DAA934C" w14:textId="77777777" w:rsidR="00C52EAB" w:rsidRPr="00810741" w:rsidRDefault="00C52EAB" w:rsidP="00E123AB">
            <w:pPr>
              <w:tabs>
                <w:tab w:val="clear" w:pos="7100"/>
              </w:tabs>
              <w:spacing w:line="240" w:lineRule="auto"/>
              <w:jc w:val="center"/>
              <w:rPr>
                <w:rFonts w:cs="Arial"/>
                <w:color w:val="000000"/>
                <w:szCs w:val="18"/>
                <w:lang w:val="it-IT" w:eastAsia="it-IT"/>
              </w:rPr>
            </w:pPr>
            <w:r w:rsidRPr="000C05EC">
              <w:rPr>
                <w:rFonts w:cs="Arial"/>
                <w:color w:val="000000"/>
                <w:szCs w:val="18"/>
                <w:lang w:val="it-IT" w:eastAsia="it-IT"/>
              </w:rPr>
              <w:t xml:space="preserve">Temperature </w:t>
            </w:r>
          </w:p>
          <w:p w14:paraId="5479082B" w14:textId="6BAF4302" w:rsidR="00C52EAB" w:rsidRPr="000C05EC" w:rsidRDefault="00C52EAB" w:rsidP="00E123AB">
            <w:pPr>
              <w:tabs>
                <w:tab w:val="clear" w:pos="7100"/>
              </w:tabs>
              <w:spacing w:line="240" w:lineRule="auto"/>
              <w:jc w:val="center"/>
              <w:rPr>
                <w:rFonts w:cs="Arial"/>
                <w:color w:val="000000"/>
                <w:szCs w:val="18"/>
                <w:lang w:val="it-IT" w:eastAsia="it-IT"/>
              </w:rPr>
            </w:pPr>
            <w:r w:rsidRPr="00810741">
              <w:rPr>
                <w:rFonts w:cs="Arial"/>
                <w:color w:val="000000"/>
                <w:szCs w:val="18"/>
                <w:lang w:val="it-IT" w:eastAsia="it-IT"/>
              </w:rPr>
              <w:t>(</w:t>
            </w:r>
            <w:r w:rsidRPr="000C05EC">
              <w:rPr>
                <w:rFonts w:cs="Arial"/>
                <w:color w:val="000000"/>
                <w:szCs w:val="18"/>
                <w:lang w:val="it-IT" w:eastAsia="it-IT"/>
              </w:rPr>
              <w:t>n = 8)</w:t>
            </w:r>
          </w:p>
        </w:tc>
        <w:tc>
          <w:tcPr>
            <w:tcW w:w="2075" w:type="dxa"/>
            <w:tcBorders>
              <w:top w:val="nil"/>
              <w:left w:val="nil"/>
              <w:bottom w:val="nil"/>
              <w:right w:val="nil"/>
            </w:tcBorders>
            <w:noWrap/>
            <w:hideMark/>
          </w:tcPr>
          <w:p w14:paraId="423B3316" w14:textId="77777777" w:rsidR="00C52EAB" w:rsidRPr="000C05EC" w:rsidRDefault="00C52EAB" w:rsidP="000C05EC">
            <w:pPr>
              <w:tabs>
                <w:tab w:val="clear" w:pos="7100"/>
              </w:tabs>
              <w:spacing w:line="240" w:lineRule="auto"/>
              <w:jc w:val="center"/>
              <w:rPr>
                <w:rFonts w:cs="Arial"/>
                <w:color w:val="000000"/>
                <w:szCs w:val="18"/>
                <w:lang w:val="it-IT" w:eastAsia="it-IT"/>
              </w:rPr>
            </w:pPr>
          </w:p>
        </w:tc>
        <w:tc>
          <w:tcPr>
            <w:tcW w:w="1140" w:type="dxa"/>
            <w:tcBorders>
              <w:top w:val="nil"/>
              <w:left w:val="nil"/>
              <w:bottom w:val="nil"/>
              <w:right w:val="nil"/>
            </w:tcBorders>
            <w:noWrap/>
            <w:hideMark/>
          </w:tcPr>
          <w:p w14:paraId="7423A82F" w14:textId="77777777" w:rsidR="00C52EAB" w:rsidRPr="000C05EC" w:rsidRDefault="00C52EAB" w:rsidP="000C05EC">
            <w:pPr>
              <w:tabs>
                <w:tab w:val="clear" w:pos="7100"/>
              </w:tabs>
              <w:spacing w:line="240" w:lineRule="auto"/>
              <w:jc w:val="center"/>
              <w:rPr>
                <w:rFonts w:cs="Arial"/>
                <w:szCs w:val="18"/>
                <w:lang w:val="it-IT" w:eastAsia="it-IT"/>
              </w:rPr>
            </w:pPr>
          </w:p>
        </w:tc>
        <w:tc>
          <w:tcPr>
            <w:tcW w:w="1189" w:type="dxa"/>
            <w:tcBorders>
              <w:top w:val="nil"/>
              <w:left w:val="nil"/>
              <w:bottom w:val="nil"/>
              <w:right w:val="nil"/>
            </w:tcBorders>
            <w:noWrap/>
            <w:hideMark/>
          </w:tcPr>
          <w:p w14:paraId="16F80112" w14:textId="77777777" w:rsidR="00C52EAB" w:rsidRPr="000C05EC" w:rsidRDefault="00C52EAB" w:rsidP="000C05EC">
            <w:pPr>
              <w:tabs>
                <w:tab w:val="clear" w:pos="7100"/>
              </w:tabs>
              <w:spacing w:line="240" w:lineRule="auto"/>
              <w:jc w:val="center"/>
              <w:rPr>
                <w:rFonts w:cs="Arial"/>
                <w:szCs w:val="18"/>
                <w:lang w:val="it-IT" w:eastAsia="it-IT"/>
              </w:rPr>
            </w:pPr>
          </w:p>
        </w:tc>
        <w:tc>
          <w:tcPr>
            <w:tcW w:w="1589" w:type="dxa"/>
            <w:tcBorders>
              <w:top w:val="nil"/>
              <w:left w:val="nil"/>
              <w:bottom w:val="nil"/>
              <w:right w:val="nil"/>
            </w:tcBorders>
            <w:noWrap/>
            <w:hideMark/>
          </w:tcPr>
          <w:p w14:paraId="434DDBE4" w14:textId="77777777" w:rsidR="00C52EAB" w:rsidRPr="000C05EC" w:rsidRDefault="00C52EAB" w:rsidP="000C05EC">
            <w:pPr>
              <w:tabs>
                <w:tab w:val="clear" w:pos="7100"/>
              </w:tabs>
              <w:spacing w:line="240" w:lineRule="auto"/>
              <w:jc w:val="center"/>
              <w:rPr>
                <w:rFonts w:cs="Arial"/>
                <w:szCs w:val="18"/>
                <w:lang w:val="it-IT" w:eastAsia="it-IT"/>
              </w:rPr>
            </w:pPr>
          </w:p>
        </w:tc>
        <w:tc>
          <w:tcPr>
            <w:tcW w:w="1310" w:type="dxa"/>
            <w:tcBorders>
              <w:top w:val="nil"/>
              <w:left w:val="nil"/>
              <w:bottom w:val="nil"/>
              <w:right w:val="nil"/>
            </w:tcBorders>
            <w:noWrap/>
            <w:hideMark/>
          </w:tcPr>
          <w:p w14:paraId="2E29F2B7" w14:textId="77777777" w:rsidR="00C52EAB" w:rsidRPr="000C05EC" w:rsidRDefault="00C52EAB" w:rsidP="000C05EC">
            <w:pPr>
              <w:tabs>
                <w:tab w:val="clear" w:pos="7100"/>
              </w:tabs>
              <w:spacing w:line="240" w:lineRule="auto"/>
              <w:jc w:val="center"/>
              <w:rPr>
                <w:rFonts w:cs="Arial"/>
                <w:szCs w:val="18"/>
                <w:lang w:val="it-IT" w:eastAsia="it-IT"/>
              </w:rPr>
            </w:pPr>
          </w:p>
        </w:tc>
      </w:tr>
      <w:tr w:rsidR="00C52EAB" w:rsidRPr="00810741" w14:paraId="43218443" w14:textId="77777777" w:rsidTr="00C52EAB">
        <w:trPr>
          <w:trHeight w:val="427"/>
        </w:trPr>
        <w:tc>
          <w:tcPr>
            <w:tcW w:w="1462" w:type="dxa"/>
            <w:tcBorders>
              <w:top w:val="nil"/>
              <w:left w:val="nil"/>
              <w:bottom w:val="nil"/>
              <w:right w:val="nil"/>
            </w:tcBorders>
            <w:noWrap/>
            <w:hideMark/>
          </w:tcPr>
          <w:p w14:paraId="375E6F79" w14:textId="77777777" w:rsidR="00C52EAB" w:rsidRPr="000C05EC" w:rsidRDefault="00C52EAB" w:rsidP="000C05EC">
            <w:pPr>
              <w:tabs>
                <w:tab w:val="clear" w:pos="7100"/>
              </w:tabs>
              <w:spacing w:line="240" w:lineRule="auto"/>
              <w:jc w:val="center"/>
              <w:rPr>
                <w:rFonts w:cs="Arial"/>
                <w:color w:val="000000"/>
                <w:szCs w:val="18"/>
                <w:lang w:val="it-IT" w:eastAsia="it-IT"/>
              </w:rPr>
            </w:pPr>
            <w:r w:rsidRPr="000C05EC">
              <w:rPr>
                <w:rFonts w:cs="Arial"/>
                <w:color w:val="000000"/>
                <w:szCs w:val="18"/>
                <w:lang w:val="it-IT" w:eastAsia="it-IT"/>
              </w:rPr>
              <w:t>15° C</w:t>
            </w:r>
          </w:p>
        </w:tc>
        <w:tc>
          <w:tcPr>
            <w:tcW w:w="2075" w:type="dxa"/>
            <w:tcBorders>
              <w:top w:val="nil"/>
              <w:left w:val="nil"/>
              <w:bottom w:val="nil"/>
              <w:right w:val="nil"/>
            </w:tcBorders>
            <w:noWrap/>
            <w:hideMark/>
          </w:tcPr>
          <w:p w14:paraId="3CE734A6" w14:textId="77777777" w:rsidR="00C52EAB" w:rsidRPr="000C05EC" w:rsidRDefault="00C52EAB" w:rsidP="000C05EC">
            <w:pPr>
              <w:tabs>
                <w:tab w:val="clear" w:pos="7100"/>
              </w:tabs>
              <w:spacing w:line="240" w:lineRule="auto"/>
              <w:jc w:val="center"/>
              <w:rPr>
                <w:rFonts w:cs="Arial"/>
                <w:color w:val="000000"/>
                <w:szCs w:val="18"/>
                <w:lang w:val="it-IT" w:eastAsia="it-IT"/>
              </w:rPr>
            </w:pPr>
            <w:r w:rsidRPr="000C05EC">
              <w:rPr>
                <w:rFonts w:cs="Arial"/>
                <w:color w:val="000000"/>
                <w:szCs w:val="18"/>
                <w:lang w:val="it-IT" w:eastAsia="it-IT"/>
              </w:rPr>
              <w:t>30.92 ± 7.42</w:t>
            </w:r>
          </w:p>
        </w:tc>
        <w:tc>
          <w:tcPr>
            <w:tcW w:w="1140" w:type="dxa"/>
            <w:tcBorders>
              <w:top w:val="nil"/>
              <w:left w:val="nil"/>
              <w:bottom w:val="nil"/>
              <w:right w:val="nil"/>
            </w:tcBorders>
            <w:noWrap/>
            <w:hideMark/>
          </w:tcPr>
          <w:p w14:paraId="0CDB86EB" w14:textId="77777777" w:rsidR="00C52EAB" w:rsidRPr="000C05EC" w:rsidRDefault="00C52EAB" w:rsidP="000C05EC">
            <w:pPr>
              <w:tabs>
                <w:tab w:val="clear" w:pos="7100"/>
              </w:tabs>
              <w:spacing w:line="240" w:lineRule="auto"/>
              <w:jc w:val="center"/>
              <w:rPr>
                <w:rFonts w:cs="Arial"/>
                <w:color w:val="000000"/>
                <w:szCs w:val="18"/>
                <w:lang w:val="it-IT" w:eastAsia="it-IT"/>
              </w:rPr>
            </w:pPr>
            <w:r w:rsidRPr="000C05EC">
              <w:rPr>
                <w:rFonts w:cs="Arial"/>
                <w:color w:val="000000"/>
                <w:szCs w:val="18"/>
                <w:lang w:val="it-IT" w:eastAsia="it-IT"/>
              </w:rPr>
              <w:t>0.16 ± 0.01</w:t>
            </w:r>
          </w:p>
        </w:tc>
        <w:tc>
          <w:tcPr>
            <w:tcW w:w="1189" w:type="dxa"/>
            <w:tcBorders>
              <w:top w:val="nil"/>
              <w:left w:val="nil"/>
              <w:bottom w:val="nil"/>
              <w:right w:val="nil"/>
            </w:tcBorders>
            <w:noWrap/>
            <w:hideMark/>
          </w:tcPr>
          <w:p w14:paraId="5CD3AB34" w14:textId="77777777" w:rsidR="00C52EAB" w:rsidRPr="000C05EC" w:rsidRDefault="00C52EAB" w:rsidP="000C05EC">
            <w:pPr>
              <w:tabs>
                <w:tab w:val="clear" w:pos="7100"/>
              </w:tabs>
              <w:spacing w:line="240" w:lineRule="auto"/>
              <w:jc w:val="center"/>
              <w:rPr>
                <w:rFonts w:cs="Arial"/>
                <w:color w:val="000000"/>
                <w:szCs w:val="18"/>
                <w:lang w:val="it-IT" w:eastAsia="it-IT"/>
              </w:rPr>
            </w:pPr>
            <w:r w:rsidRPr="000C05EC">
              <w:rPr>
                <w:rFonts w:cs="Arial"/>
                <w:color w:val="000000"/>
                <w:szCs w:val="18"/>
                <w:lang w:val="it-IT" w:eastAsia="it-IT"/>
              </w:rPr>
              <w:t>16.93 ± 0.75</w:t>
            </w:r>
          </w:p>
        </w:tc>
        <w:tc>
          <w:tcPr>
            <w:tcW w:w="1589" w:type="dxa"/>
            <w:tcBorders>
              <w:top w:val="nil"/>
              <w:left w:val="nil"/>
              <w:bottom w:val="nil"/>
              <w:right w:val="nil"/>
            </w:tcBorders>
            <w:noWrap/>
            <w:hideMark/>
          </w:tcPr>
          <w:p w14:paraId="3F5BCED2" w14:textId="77777777" w:rsidR="00C52EAB" w:rsidRPr="000C05EC" w:rsidRDefault="00C52EAB" w:rsidP="000C05EC">
            <w:pPr>
              <w:tabs>
                <w:tab w:val="clear" w:pos="7100"/>
              </w:tabs>
              <w:spacing w:line="240" w:lineRule="auto"/>
              <w:jc w:val="center"/>
              <w:rPr>
                <w:rFonts w:cs="Arial"/>
                <w:color w:val="000000"/>
                <w:szCs w:val="18"/>
                <w:lang w:val="it-IT" w:eastAsia="it-IT"/>
              </w:rPr>
            </w:pPr>
            <w:r w:rsidRPr="000C05EC">
              <w:rPr>
                <w:rFonts w:cs="Arial"/>
                <w:color w:val="000000"/>
                <w:szCs w:val="18"/>
                <w:lang w:val="it-IT" w:eastAsia="it-IT"/>
              </w:rPr>
              <w:t>49.61 ± 2.57</w:t>
            </w:r>
          </w:p>
        </w:tc>
        <w:tc>
          <w:tcPr>
            <w:tcW w:w="1310" w:type="dxa"/>
            <w:tcBorders>
              <w:top w:val="nil"/>
              <w:left w:val="nil"/>
              <w:bottom w:val="nil"/>
              <w:right w:val="nil"/>
            </w:tcBorders>
            <w:noWrap/>
            <w:hideMark/>
          </w:tcPr>
          <w:p w14:paraId="449C8184" w14:textId="77777777" w:rsidR="00C52EAB" w:rsidRPr="000C05EC" w:rsidRDefault="00C52EAB" w:rsidP="000C05EC">
            <w:pPr>
              <w:tabs>
                <w:tab w:val="clear" w:pos="7100"/>
              </w:tabs>
              <w:spacing w:line="240" w:lineRule="auto"/>
              <w:jc w:val="center"/>
              <w:rPr>
                <w:rFonts w:cs="Arial"/>
                <w:color w:val="000000"/>
                <w:szCs w:val="18"/>
                <w:lang w:val="it-IT" w:eastAsia="it-IT"/>
              </w:rPr>
            </w:pPr>
            <w:r w:rsidRPr="000C05EC">
              <w:rPr>
                <w:rFonts w:cs="Arial"/>
                <w:color w:val="000000"/>
                <w:szCs w:val="18"/>
                <w:lang w:val="it-IT" w:eastAsia="it-IT"/>
              </w:rPr>
              <w:t>14.03 ± 3.69</w:t>
            </w:r>
          </w:p>
        </w:tc>
      </w:tr>
      <w:tr w:rsidR="00C52EAB" w:rsidRPr="00810741" w14:paraId="15F3D726" w14:textId="77777777" w:rsidTr="00C52EAB">
        <w:trPr>
          <w:trHeight w:val="427"/>
        </w:trPr>
        <w:tc>
          <w:tcPr>
            <w:tcW w:w="1462" w:type="dxa"/>
            <w:tcBorders>
              <w:top w:val="nil"/>
              <w:left w:val="nil"/>
              <w:bottom w:val="nil"/>
              <w:right w:val="nil"/>
            </w:tcBorders>
            <w:noWrap/>
            <w:hideMark/>
          </w:tcPr>
          <w:p w14:paraId="77DBD9F9" w14:textId="77777777" w:rsidR="00C52EAB" w:rsidRPr="000C05EC" w:rsidRDefault="00C52EAB" w:rsidP="000C05EC">
            <w:pPr>
              <w:tabs>
                <w:tab w:val="clear" w:pos="7100"/>
              </w:tabs>
              <w:spacing w:line="240" w:lineRule="auto"/>
              <w:jc w:val="center"/>
              <w:rPr>
                <w:rFonts w:cs="Arial"/>
                <w:color w:val="000000"/>
                <w:szCs w:val="18"/>
                <w:lang w:val="it-IT" w:eastAsia="it-IT"/>
              </w:rPr>
            </w:pPr>
            <w:r w:rsidRPr="000C05EC">
              <w:rPr>
                <w:rFonts w:cs="Arial"/>
                <w:color w:val="000000"/>
                <w:szCs w:val="18"/>
                <w:lang w:val="it-IT" w:eastAsia="it-IT"/>
              </w:rPr>
              <w:t>20° C</w:t>
            </w:r>
          </w:p>
        </w:tc>
        <w:tc>
          <w:tcPr>
            <w:tcW w:w="2075" w:type="dxa"/>
            <w:tcBorders>
              <w:top w:val="nil"/>
              <w:left w:val="nil"/>
              <w:bottom w:val="nil"/>
              <w:right w:val="nil"/>
            </w:tcBorders>
            <w:noWrap/>
            <w:hideMark/>
          </w:tcPr>
          <w:p w14:paraId="48462B47" w14:textId="77777777" w:rsidR="00C52EAB" w:rsidRPr="000C05EC" w:rsidRDefault="00C52EAB" w:rsidP="000C05EC">
            <w:pPr>
              <w:tabs>
                <w:tab w:val="clear" w:pos="7100"/>
              </w:tabs>
              <w:spacing w:line="240" w:lineRule="auto"/>
              <w:jc w:val="center"/>
              <w:rPr>
                <w:rFonts w:cs="Arial"/>
                <w:color w:val="000000"/>
                <w:szCs w:val="18"/>
                <w:lang w:val="it-IT" w:eastAsia="it-IT"/>
              </w:rPr>
            </w:pPr>
            <w:r w:rsidRPr="000C05EC">
              <w:rPr>
                <w:rFonts w:cs="Arial"/>
                <w:color w:val="000000"/>
                <w:szCs w:val="18"/>
                <w:lang w:val="it-IT" w:eastAsia="it-IT"/>
              </w:rPr>
              <w:t>33.20 ± 8.50</w:t>
            </w:r>
          </w:p>
        </w:tc>
        <w:tc>
          <w:tcPr>
            <w:tcW w:w="1140" w:type="dxa"/>
            <w:tcBorders>
              <w:top w:val="nil"/>
              <w:left w:val="nil"/>
              <w:bottom w:val="nil"/>
              <w:right w:val="nil"/>
            </w:tcBorders>
            <w:noWrap/>
            <w:hideMark/>
          </w:tcPr>
          <w:p w14:paraId="46F72C84" w14:textId="77777777" w:rsidR="00C52EAB" w:rsidRPr="000C05EC" w:rsidRDefault="00C52EAB" w:rsidP="000C05EC">
            <w:pPr>
              <w:tabs>
                <w:tab w:val="clear" w:pos="7100"/>
              </w:tabs>
              <w:spacing w:line="240" w:lineRule="auto"/>
              <w:jc w:val="center"/>
              <w:rPr>
                <w:rFonts w:cs="Arial"/>
                <w:color w:val="000000"/>
                <w:szCs w:val="18"/>
                <w:lang w:val="it-IT" w:eastAsia="it-IT"/>
              </w:rPr>
            </w:pPr>
            <w:r w:rsidRPr="000C05EC">
              <w:rPr>
                <w:rFonts w:cs="Arial"/>
                <w:color w:val="000000"/>
                <w:szCs w:val="18"/>
                <w:lang w:val="it-IT" w:eastAsia="it-IT"/>
              </w:rPr>
              <w:t>0.11 ± 0.01</w:t>
            </w:r>
          </w:p>
        </w:tc>
        <w:tc>
          <w:tcPr>
            <w:tcW w:w="1189" w:type="dxa"/>
            <w:tcBorders>
              <w:top w:val="nil"/>
              <w:left w:val="nil"/>
              <w:bottom w:val="nil"/>
              <w:right w:val="nil"/>
            </w:tcBorders>
            <w:noWrap/>
            <w:hideMark/>
          </w:tcPr>
          <w:p w14:paraId="1373A91C" w14:textId="77777777" w:rsidR="00C52EAB" w:rsidRPr="000C05EC" w:rsidRDefault="00C52EAB" w:rsidP="000C05EC">
            <w:pPr>
              <w:tabs>
                <w:tab w:val="clear" w:pos="7100"/>
              </w:tabs>
              <w:spacing w:line="240" w:lineRule="auto"/>
              <w:jc w:val="center"/>
              <w:rPr>
                <w:rFonts w:cs="Arial"/>
                <w:color w:val="000000"/>
                <w:szCs w:val="18"/>
                <w:lang w:val="it-IT" w:eastAsia="it-IT"/>
              </w:rPr>
            </w:pPr>
            <w:r w:rsidRPr="000C05EC">
              <w:rPr>
                <w:rFonts w:cs="Arial"/>
                <w:color w:val="000000"/>
                <w:szCs w:val="18"/>
                <w:lang w:val="it-IT" w:eastAsia="it-IT"/>
              </w:rPr>
              <w:t>17.15 ± 6.33</w:t>
            </w:r>
          </w:p>
        </w:tc>
        <w:tc>
          <w:tcPr>
            <w:tcW w:w="1589" w:type="dxa"/>
            <w:tcBorders>
              <w:top w:val="nil"/>
              <w:left w:val="nil"/>
              <w:bottom w:val="nil"/>
              <w:right w:val="nil"/>
            </w:tcBorders>
            <w:noWrap/>
            <w:hideMark/>
          </w:tcPr>
          <w:p w14:paraId="572B52E3" w14:textId="77777777" w:rsidR="00C52EAB" w:rsidRPr="000C05EC" w:rsidRDefault="00C52EAB" w:rsidP="000C05EC">
            <w:pPr>
              <w:tabs>
                <w:tab w:val="clear" w:pos="7100"/>
              </w:tabs>
              <w:spacing w:line="240" w:lineRule="auto"/>
              <w:jc w:val="center"/>
              <w:rPr>
                <w:rFonts w:cs="Arial"/>
                <w:color w:val="000000"/>
                <w:szCs w:val="18"/>
                <w:lang w:val="it-IT" w:eastAsia="it-IT"/>
              </w:rPr>
            </w:pPr>
            <w:r w:rsidRPr="000C05EC">
              <w:rPr>
                <w:rFonts w:cs="Arial"/>
                <w:color w:val="000000"/>
                <w:szCs w:val="18"/>
                <w:lang w:val="it-IT" w:eastAsia="it-IT"/>
              </w:rPr>
              <w:t>48.84 ± 3.50</w:t>
            </w:r>
          </w:p>
        </w:tc>
        <w:tc>
          <w:tcPr>
            <w:tcW w:w="1310" w:type="dxa"/>
            <w:tcBorders>
              <w:top w:val="nil"/>
              <w:left w:val="nil"/>
              <w:bottom w:val="nil"/>
              <w:right w:val="nil"/>
            </w:tcBorders>
            <w:noWrap/>
            <w:hideMark/>
          </w:tcPr>
          <w:p w14:paraId="0F0A3730" w14:textId="77777777" w:rsidR="00C52EAB" w:rsidRPr="000C05EC" w:rsidRDefault="00C52EAB" w:rsidP="000C05EC">
            <w:pPr>
              <w:tabs>
                <w:tab w:val="clear" w:pos="7100"/>
              </w:tabs>
              <w:spacing w:line="240" w:lineRule="auto"/>
              <w:jc w:val="center"/>
              <w:rPr>
                <w:rFonts w:cs="Arial"/>
                <w:color w:val="000000"/>
                <w:szCs w:val="18"/>
                <w:lang w:val="it-IT" w:eastAsia="it-IT"/>
              </w:rPr>
            </w:pPr>
            <w:r w:rsidRPr="000C05EC">
              <w:rPr>
                <w:rFonts w:cs="Arial"/>
                <w:color w:val="000000"/>
                <w:szCs w:val="18"/>
                <w:lang w:val="it-IT" w:eastAsia="it-IT"/>
              </w:rPr>
              <w:t>9.82 ± 4.89</w:t>
            </w:r>
          </w:p>
        </w:tc>
      </w:tr>
      <w:tr w:rsidR="00C52EAB" w:rsidRPr="00810741" w14:paraId="0D3D0040" w14:textId="77777777" w:rsidTr="00C52EAB">
        <w:trPr>
          <w:trHeight w:val="427"/>
        </w:trPr>
        <w:tc>
          <w:tcPr>
            <w:tcW w:w="1462" w:type="dxa"/>
            <w:tcBorders>
              <w:top w:val="nil"/>
              <w:left w:val="nil"/>
              <w:bottom w:val="single" w:sz="4" w:space="0" w:color="auto"/>
              <w:right w:val="nil"/>
            </w:tcBorders>
            <w:noWrap/>
            <w:hideMark/>
          </w:tcPr>
          <w:p w14:paraId="469194D0" w14:textId="77777777" w:rsidR="00C52EAB" w:rsidRPr="000C05EC" w:rsidRDefault="00C52EAB" w:rsidP="000C05EC">
            <w:pPr>
              <w:tabs>
                <w:tab w:val="clear" w:pos="7100"/>
              </w:tabs>
              <w:spacing w:line="240" w:lineRule="auto"/>
              <w:jc w:val="center"/>
              <w:rPr>
                <w:rFonts w:cs="Arial"/>
                <w:color w:val="000000"/>
                <w:szCs w:val="18"/>
                <w:lang w:val="it-IT" w:eastAsia="it-IT"/>
              </w:rPr>
            </w:pPr>
            <w:proofErr w:type="spellStart"/>
            <w:r w:rsidRPr="000C05EC">
              <w:rPr>
                <w:rFonts w:cs="Arial"/>
                <w:color w:val="000000"/>
                <w:szCs w:val="18"/>
                <w:lang w:val="it-IT" w:eastAsia="it-IT"/>
              </w:rPr>
              <w:t>Sign</w:t>
            </w:r>
            <w:proofErr w:type="spellEnd"/>
            <w:r w:rsidRPr="000C05EC">
              <w:rPr>
                <w:rFonts w:cs="Arial"/>
                <w:color w:val="000000"/>
                <w:szCs w:val="18"/>
                <w:lang w:val="it-IT" w:eastAsia="it-IT"/>
              </w:rPr>
              <w:t>.</w:t>
            </w:r>
          </w:p>
        </w:tc>
        <w:tc>
          <w:tcPr>
            <w:tcW w:w="2075" w:type="dxa"/>
            <w:tcBorders>
              <w:top w:val="nil"/>
              <w:left w:val="nil"/>
              <w:bottom w:val="single" w:sz="4" w:space="0" w:color="auto"/>
              <w:right w:val="nil"/>
            </w:tcBorders>
            <w:noWrap/>
            <w:hideMark/>
          </w:tcPr>
          <w:p w14:paraId="5A06B864" w14:textId="77777777" w:rsidR="00C52EAB" w:rsidRPr="000C05EC" w:rsidRDefault="00C52EAB" w:rsidP="000C05EC">
            <w:pPr>
              <w:tabs>
                <w:tab w:val="clear" w:pos="7100"/>
              </w:tabs>
              <w:spacing w:line="240" w:lineRule="auto"/>
              <w:jc w:val="center"/>
              <w:rPr>
                <w:rFonts w:cs="Arial"/>
                <w:color w:val="000000"/>
                <w:szCs w:val="18"/>
                <w:lang w:val="it-IT" w:eastAsia="it-IT"/>
              </w:rPr>
            </w:pPr>
            <w:r w:rsidRPr="000C05EC">
              <w:rPr>
                <w:rFonts w:cs="Arial"/>
                <w:color w:val="000000"/>
                <w:szCs w:val="18"/>
                <w:lang w:val="it-IT" w:eastAsia="it-IT"/>
              </w:rPr>
              <w:t>ns</w:t>
            </w:r>
          </w:p>
        </w:tc>
        <w:tc>
          <w:tcPr>
            <w:tcW w:w="1140" w:type="dxa"/>
            <w:tcBorders>
              <w:top w:val="nil"/>
              <w:left w:val="nil"/>
              <w:bottom w:val="single" w:sz="4" w:space="0" w:color="auto"/>
              <w:right w:val="nil"/>
            </w:tcBorders>
            <w:noWrap/>
            <w:hideMark/>
          </w:tcPr>
          <w:p w14:paraId="4EDCC372" w14:textId="77777777" w:rsidR="00C52EAB" w:rsidRPr="000C05EC" w:rsidRDefault="00C52EAB" w:rsidP="000C05EC">
            <w:pPr>
              <w:tabs>
                <w:tab w:val="clear" w:pos="7100"/>
              </w:tabs>
              <w:spacing w:line="240" w:lineRule="auto"/>
              <w:jc w:val="center"/>
              <w:rPr>
                <w:rFonts w:cs="Arial"/>
                <w:color w:val="000000"/>
                <w:szCs w:val="18"/>
                <w:lang w:val="it-IT" w:eastAsia="it-IT"/>
              </w:rPr>
            </w:pPr>
            <w:r w:rsidRPr="000C05EC">
              <w:rPr>
                <w:rFonts w:cs="Arial"/>
                <w:color w:val="000000"/>
                <w:szCs w:val="18"/>
                <w:lang w:val="it-IT" w:eastAsia="it-IT"/>
              </w:rPr>
              <w:t>*</w:t>
            </w:r>
          </w:p>
        </w:tc>
        <w:tc>
          <w:tcPr>
            <w:tcW w:w="1189" w:type="dxa"/>
            <w:tcBorders>
              <w:top w:val="nil"/>
              <w:left w:val="nil"/>
              <w:bottom w:val="single" w:sz="4" w:space="0" w:color="auto"/>
              <w:right w:val="nil"/>
            </w:tcBorders>
            <w:noWrap/>
            <w:hideMark/>
          </w:tcPr>
          <w:p w14:paraId="0642D491" w14:textId="77777777" w:rsidR="00C52EAB" w:rsidRPr="000C05EC" w:rsidRDefault="00C52EAB" w:rsidP="000C05EC">
            <w:pPr>
              <w:tabs>
                <w:tab w:val="clear" w:pos="7100"/>
              </w:tabs>
              <w:spacing w:line="240" w:lineRule="auto"/>
              <w:jc w:val="center"/>
              <w:rPr>
                <w:rFonts w:cs="Arial"/>
                <w:color w:val="000000"/>
                <w:szCs w:val="18"/>
                <w:lang w:val="it-IT" w:eastAsia="it-IT"/>
              </w:rPr>
            </w:pPr>
            <w:r w:rsidRPr="000C05EC">
              <w:rPr>
                <w:rFonts w:cs="Arial"/>
                <w:color w:val="000000"/>
                <w:szCs w:val="18"/>
                <w:lang w:val="it-IT" w:eastAsia="it-IT"/>
              </w:rPr>
              <w:t>ns</w:t>
            </w:r>
          </w:p>
        </w:tc>
        <w:tc>
          <w:tcPr>
            <w:tcW w:w="1589" w:type="dxa"/>
            <w:tcBorders>
              <w:top w:val="nil"/>
              <w:left w:val="nil"/>
              <w:bottom w:val="single" w:sz="4" w:space="0" w:color="auto"/>
              <w:right w:val="nil"/>
            </w:tcBorders>
            <w:noWrap/>
            <w:hideMark/>
          </w:tcPr>
          <w:p w14:paraId="4CE18495" w14:textId="77777777" w:rsidR="00C52EAB" w:rsidRPr="000C05EC" w:rsidRDefault="00C52EAB" w:rsidP="000C05EC">
            <w:pPr>
              <w:tabs>
                <w:tab w:val="clear" w:pos="7100"/>
              </w:tabs>
              <w:spacing w:line="240" w:lineRule="auto"/>
              <w:jc w:val="center"/>
              <w:rPr>
                <w:rFonts w:cs="Arial"/>
                <w:color w:val="000000"/>
                <w:szCs w:val="18"/>
                <w:lang w:val="it-IT" w:eastAsia="it-IT"/>
              </w:rPr>
            </w:pPr>
            <w:r w:rsidRPr="000C05EC">
              <w:rPr>
                <w:rFonts w:cs="Arial"/>
                <w:color w:val="000000"/>
                <w:szCs w:val="18"/>
                <w:lang w:val="it-IT" w:eastAsia="it-IT"/>
              </w:rPr>
              <w:t>ns</w:t>
            </w:r>
          </w:p>
        </w:tc>
        <w:tc>
          <w:tcPr>
            <w:tcW w:w="1310" w:type="dxa"/>
            <w:tcBorders>
              <w:top w:val="nil"/>
              <w:left w:val="nil"/>
              <w:bottom w:val="single" w:sz="4" w:space="0" w:color="auto"/>
              <w:right w:val="nil"/>
            </w:tcBorders>
            <w:noWrap/>
            <w:hideMark/>
          </w:tcPr>
          <w:p w14:paraId="09E0B99A" w14:textId="77777777" w:rsidR="00C52EAB" w:rsidRPr="000C05EC" w:rsidRDefault="00C52EAB" w:rsidP="000C05EC">
            <w:pPr>
              <w:tabs>
                <w:tab w:val="clear" w:pos="7100"/>
              </w:tabs>
              <w:spacing w:line="240" w:lineRule="auto"/>
              <w:jc w:val="center"/>
              <w:rPr>
                <w:rFonts w:cs="Arial"/>
                <w:color w:val="000000"/>
                <w:szCs w:val="18"/>
                <w:lang w:val="it-IT" w:eastAsia="it-IT"/>
              </w:rPr>
            </w:pPr>
            <w:r w:rsidRPr="000C05EC">
              <w:rPr>
                <w:rFonts w:cs="Arial"/>
                <w:color w:val="000000"/>
                <w:szCs w:val="18"/>
                <w:lang w:val="it-IT" w:eastAsia="it-IT"/>
              </w:rPr>
              <w:t>ns</w:t>
            </w:r>
          </w:p>
        </w:tc>
      </w:tr>
    </w:tbl>
    <w:p w14:paraId="1A538914" w14:textId="5D6C0787" w:rsidR="007A78ED" w:rsidRDefault="007A78ED" w:rsidP="00CE34CB">
      <w:pPr>
        <w:pStyle w:val="CETBodytext"/>
      </w:pPr>
      <w:r w:rsidRPr="00810741">
        <w:t>Note: Data are reported as mean plus and minus standard error of the mean. n = number of measurements. Sign. =ANOVA, ns = not significant, * = 90 % of significance, ** = 99 % of significance, *** = 99 % of significance.</w:t>
      </w:r>
    </w:p>
    <w:p w14:paraId="4F730A69" w14:textId="77777777" w:rsidR="00CE34CB" w:rsidRPr="00D009B0" w:rsidRDefault="00CE34CB" w:rsidP="00CF6E97">
      <w:pPr>
        <w:pStyle w:val="CETBodytext"/>
        <w:rPr>
          <w:szCs w:val="18"/>
        </w:rPr>
      </w:pPr>
    </w:p>
    <w:p w14:paraId="1B7FEFE5" w14:textId="711C7484" w:rsidR="00B86664" w:rsidRPr="00300A14" w:rsidRDefault="00CF2136" w:rsidP="00300A14">
      <w:pPr>
        <w:pStyle w:val="CETBodytext"/>
        <w:rPr>
          <w:rFonts w:cs="Arial"/>
          <w:i/>
          <w:iCs/>
          <w:color w:val="000000" w:themeColor="text1"/>
        </w:rPr>
      </w:pPr>
      <w:r>
        <w:t xml:space="preserve">From the sensory analysis profile of </w:t>
      </w:r>
      <w:proofErr w:type="spellStart"/>
      <w:r w:rsidRPr="00CE34CB">
        <w:rPr>
          <w:i/>
          <w:iCs/>
        </w:rPr>
        <w:t>Catarratto</w:t>
      </w:r>
      <w:proofErr w:type="spellEnd"/>
      <w:r>
        <w:t xml:space="preserve"> wines, no significant differences were observed among samples for most descriptors, except for fruity intensity. In particular, the SC 22 strain fermented at 15 °C exhibited the highest fruity intensity, while the same strain at 20 °C showed </w:t>
      </w:r>
      <w:r w:rsidRPr="005D2B22">
        <w:t xml:space="preserve">intermediate values (Figure </w:t>
      </w:r>
      <w:r>
        <w:t>3</w:t>
      </w:r>
      <w:r w:rsidRPr="005D2B22">
        <w:t>).</w:t>
      </w:r>
      <w:r>
        <w:t xml:space="preserve"> Conversely, wines produced with the BC S103 strain displayed lower fruity intensity at reminding similar levels at both 15 and 20 °C. The same condition was also observed for the </w:t>
      </w:r>
      <w:r w:rsidRPr="00CE34CB">
        <w:rPr>
          <w:i/>
          <w:iCs/>
        </w:rPr>
        <w:t>Inzolia</w:t>
      </w:r>
      <w:r>
        <w:t xml:space="preserve"> variety, followed the same pattern among yeast strains and fermentation </w:t>
      </w:r>
      <w:r w:rsidRPr="005D2B22">
        <w:t>temperatures (Figure 6).</w:t>
      </w:r>
      <w:r>
        <w:t xml:space="preserve"> These results indicate that differences in fruity perception are primarily attributable to the yeast strain rather than fermentation temperature. </w:t>
      </w:r>
    </w:p>
    <w:p w14:paraId="5300550D" w14:textId="27BAB8F2" w:rsidR="00B86664" w:rsidRDefault="00B86664" w:rsidP="00B86664">
      <w:pPr>
        <w:pStyle w:val="CETBodytext"/>
        <w:jc w:val="center"/>
      </w:pPr>
    </w:p>
    <w:p w14:paraId="79B6BD7C" w14:textId="157ECA0E" w:rsidR="00B86664" w:rsidRDefault="00FF6A8B" w:rsidP="00767B6A">
      <w:pPr>
        <w:pStyle w:val="CETBodytext"/>
        <w:jc w:val="left"/>
      </w:pPr>
      <w:r>
        <w:rPr>
          <w:noProof/>
        </w:rPr>
        <w:drawing>
          <wp:inline distT="0" distB="0" distL="0" distR="0" wp14:anchorId="09B110D7" wp14:editId="45B43696">
            <wp:extent cx="4015274" cy="2396359"/>
            <wp:effectExtent l="0" t="0" r="0" b="4445"/>
            <wp:docPr id="239551392" name="Immagine 3" descr="Immagine che contiene diagramma, testo, Carattere,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551392" name="Immagine 3" descr="Immagine che contiene diagramma, testo, Carattere, linea&#10;&#10;Descrizione generata automaticamente"/>
                    <pic:cNvPicPr/>
                  </pic:nvPicPr>
                  <pic:blipFill>
                    <a:blip r:embed="rId12"/>
                    <a:stretch>
                      <a:fillRect/>
                    </a:stretch>
                  </pic:blipFill>
                  <pic:spPr>
                    <a:xfrm>
                      <a:off x="0" y="0"/>
                      <a:ext cx="4041598" cy="2412069"/>
                    </a:xfrm>
                    <a:prstGeom prst="rect">
                      <a:avLst/>
                    </a:prstGeom>
                  </pic:spPr>
                </pic:pic>
              </a:graphicData>
            </a:graphic>
          </wp:inline>
        </w:drawing>
      </w:r>
    </w:p>
    <w:p w14:paraId="1C9BB58E" w14:textId="4151A74A" w:rsidR="007C115D" w:rsidRDefault="00E123AB" w:rsidP="007C115D">
      <w:pPr>
        <w:pStyle w:val="CETBodytext"/>
        <w:rPr>
          <w:i/>
          <w:iCs/>
        </w:rPr>
      </w:pPr>
      <w:r w:rsidRPr="00E123AB">
        <w:rPr>
          <w:i/>
          <w:iCs/>
        </w:rPr>
        <w:t xml:space="preserve">Figure </w:t>
      </w:r>
      <w:r w:rsidR="00B71485">
        <w:rPr>
          <w:i/>
          <w:iCs/>
        </w:rPr>
        <w:t>3</w:t>
      </w:r>
      <w:r w:rsidRPr="00E123AB">
        <w:rPr>
          <w:i/>
          <w:iCs/>
        </w:rPr>
        <w:t>:</w:t>
      </w:r>
      <w:r>
        <w:t xml:space="preserve"> </w:t>
      </w:r>
      <w:r w:rsidRPr="00E123AB">
        <w:rPr>
          <w:i/>
          <w:iCs/>
        </w:rPr>
        <w:t xml:space="preserve">Sensory evaluation of </w:t>
      </w:r>
      <w:proofErr w:type="spellStart"/>
      <w:r w:rsidRPr="00E123AB">
        <w:rPr>
          <w:i/>
          <w:iCs/>
        </w:rPr>
        <w:t>Catarratto</w:t>
      </w:r>
      <w:proofErr w:type="spellEnd"/>
      <w:r w:rsidR="00AF0741">
        <w:rPr>
          <w:i/>
          <w:iCs/>
        </w:rPr>
        <w:t xml:space="preserve"> </w:t>
      </w:r>
      <w:r>
        <w:rPr>
          <w:i/>
          <w:iCs/>
        </w:rPr>
        <w:t>(A e B)</w:t>
      </w:r>
      <w:r w:rsidRPr="00E123AB">
        <w:rPr>
          <w:i/>
          <w:iCs/>
        </w:rPr>
        <w:t xml:space="preserve"> and Inzolia</w:t>
      </w:r>
      <w:r>
        <w:rPr>
          <w:i/>
          <w:iCs/>
        </w:rPr>
        <w:t xml:space="preserve"> (C e D) </w:t>
      </w:r>
      <w:r w:rsidRPr="00E123AB">
        <w:rPr>
          <w:i/>
          <w:iCs/>
        </w:rPr>
        <w:t xml:space="preserve">wines produced with different yeast strains and fermentation temperatures. Left: Boxplot of fruity intensity scores for wines fermented with SC22 and BC S103 yeast at 15 °C and 20 °C. Different letters indicate statistically significant differences (p &lt; 0.05). Right: Radar plot showing the overall sensory profile. CA = </w:t>
      </w:r>
      <w:proofErr w:type="spellStart"/>
      <w:r w:rsidRPr="00E123AB">
        <w:rPr>
          <w:i/>
          <w:iCs/>
        </w:rPr>
        <w:t>Catarratto</w:t>
      </w:r>
      <w:proofErr w:type="spellEnd"/>
      <w:r>
        <w:rPr>
          <w:i/>
          <w:iCs/>
        </w:rPr>
        <w:t xml:space="preserve"> IN = Inzolia</w:t>
      </w:r>
    </w:p>
    <w:p w14:paraId="19377D1D" w14:textId="77777777" w:rsidR="007C115D" w:rsidRDefault="007C115D" w:rsidP="007C115D">
      <w:pPr>
        <w:pStyle w:val="CETBodytext"/>
        <w:rPr>
          <w:i/>
          <w:iCs/>
        </w:rPr>
      </w:pPr>
    </w:p>
    <w:p w14:paraId="7EB6EE70" w14:textId="2F2C0570" w:rsidR="00A90AFA" w:rsidRDefault="003C6E84" w:rsidP="00A75726">
      <w:pPr>
        <w:pStyle w:val="CETBodytext"/>
      </w:pPr>
      <w:r w:rsidRPr="00BA2653">
        <w:rPr>
          <w:rStyle w:val="eop"/>
          <w:rFonts w:cs="Arial"/>
          <w:szCs w:val="18"/>
        </w:rPr>
        <w:t>Cost analysis of both winemaking processes was also performed, aimed at conducting energy audits and identifying opportunities for process optimization and energy efficiency improvements. Fermentation at 20 °C significantly reduced overall production costs compared to 15 °C, mainly due to lower energy and labor inputs. The lowest cost was observed for the BC S103 strain at 20 °C (5.30 € hL</w:t>
      </w:r>
      <w:r w:rsidRPr="00BA2653">
        <w:rPr>
          <w:rStyle w:val="eop"/>
          <w:rFonts w:ascii="Cambria Math" w:hAnsi="Cambria Math" w:cs="Cambria Math"/>
          <w:szCs w:val="18"/>
        </w:rPr>
        <w:t>⁻</w:t>
      </w:r>
      <w:r w:rsidRPr="00BA2653">
        <w:rPr>
          <w:rStyle w:val="eop"/>
          <w:rFonts w:cs="Arial"/>
          <w:szCs w:val="18"/>
        </w:rPr>
        <w:t>¹) compared to 15 °C (6.20 € hL</w:t>
      </w:r>
      <w:r w:rsidRPr="00BA2653">
        <w:rPr>
          <w:rStyle w:val="eop"/>
          <w:rFonts w:ascii="Cambria Math" w:hAnsi="Cambria Math" w:cs="Cambria Math"/>
          <w:szCs w:val="18"/>
        </w:rPr>
        <w:t>⁻</w:t>
      </w:r>
      <w:r w:rsidRPr="00BA2653">
        <w:rPr>
          <w:rStyle w:val="eop"/>
          <w:rFonts w:cs="Arial"/>
          <w:szCs w:val="18"/>
        </w:rPr>
        <w:t>¹), that moderate fermentation temperatures, when coupled with a yeast characterized by low nutrient requirements, represent an economically and environmentally sustainable strategy in white wine production.</w:t>
      </w:r>
    </w:p>
    <w:p w14:paraId="7C7AD46B" w14:textId="77777777" w:rsidR="00A90AFA" w:rsidRPr="00A90AFA" w:rsidRDefault="00A90AFA" w:rsidP="00A90AFA"/>
    <w:p w14:paraId="01C14F92" w14:textId="231072DD" w:rsidR="00EC1495" w:rsidRPr="00604A0D" w:rsidRDefault="00EC1495" w:rsidP="00EC1495">
      <w:pPr>
        <w:pStyle w:val="Didascalia"/>
        <w:keepNext/>
        <w:rPr>
          <w:b w:val="0"/>
          <w:bCs w:val="0"/>
          <w:i/>
          <w:iCs/>
          <w:color w:val="000000" w:themeColor="text1"/>
        </w:rPr>
      </w:pPr>
      <w:r w:rsidRPr="00604A0D">
        <w:rPr>
          <w:b w:val="0"/>
          <w:bCs w:val="0"/>
          <w:i/>
          <w:iCs/>
          <w:color w:val="000000" w:themeColor="text1"/>
        </w:rPr>
        <w:t xml:space="preserve">Table </w:t>
      </w:r>
      <w:r w:rsidR="00B71485">
        <w:rPr>
          <w:b w:val="0"/>
          <w:bCs w:val="0"/>
          <w:i/>
          <w:iCs/>
          <w:color w:val="000000" w:themeColor="text1"/>
        </w:rPr>
        <w:t>3</w:t>
      </w:r>
      <w:r w:rsidR="00604A0D">
        <w:rPr>
          <w:b w:val="0"/>
          <w:bCs w:val="0"/>
          <w:i/>
          <w:iCs/>
          <w:color w:val="000000" w:themeColor="text1"/>
        </w:rPr>
        <w:t>:</w:t>
      </w:r>
      <w:r w:rsidRPr="00604A0D">
        <w:rPr>
          <w:b w:val="0"/>
          <w:bCs w:val="0"/>
          <w:i/>
          <w:iCs/>
          <w:color w:val="000000" w:themeColor="text1"/>
        </w:rPr>
        <w:t xml:space="preserve"> Comparison of production costs per </w:t>
      </w:r>
      <w:proofErr w:type="spellStart"/>
      <w:r w:rsidRPr="00604A0D">
        <w:rPr>
          <w:b w:val="0"/>
          <w:bCs w:val="0"/>
          <w:i/>
          <w:iCs/>
          <w:color w:val="000000" w:themeColor="text1"/>
        </w:rPr>
        <w:t>hectoliter</w:t>
      </w:r>
      <w:proofErr w:type="spellEnd"/>
      <w:r w:rsidRPr="00604A0D">
        <w:rPr>
          <w:b w:val="0"/>
          <w:bCs w:val="0"/>
          <w:i/>
          <w:iCs/>
          <w:color w:val="000000" w:themeColor="text1"/>
        </w:rPr>
        <w:t xml:space="preserve"> (€/</w:t>
      </w:r>
      <w:proofErr w:type="spellStart"/>
      <w:r w:rsidRPr="00604A0D">
        <w:rPr>
          <w:b w:val="0"/>
          <w:bCs w:val="0"/>
          <w:i/>
          <w:iCs/>
          <w:color w:val="000000" w:themeColor="text1"/>
        </w:rPr>
        <w:t>hL</w:t>
      </w:r>
      <w:proofErr w:type="spellEnd"/>
      <w:r w:rsidRPr="00604A0D">
        <w:rPr>
          <w:b w:val="0"/>
          <w:bCs w:val="0"/>
          <w:i/>
          <w:iCs/>
          <w:color w:val="000000" w:themeColor="text1"/>
        </w:rPr>
        <w:t xml:space="preserve">) for </w:t>
      </w:r>
      <w:r w:rsidRPr="00604A0D">
        <w:rPr>
          <w:rStyle w:val="Enfasicorsivo"/>
          <w:b w:val="0"/>
          <w:bCs w:val="0"/>
          <w:i w:val="0"/>
          <w:iCs w:val="0"/>
          <w:color w:val="000000" w:themeColor="text1"/>
        </w:rPr>
        <w:t>SC 22</w:t>
      </w:r>
      <w:r w:rsidRPr="00604A0D">
        <w:rPr>
          <w:b w:val="0"/>
          <w:bCs w:val="0"/>
          <w:i/>
          <w:iCs/>
          <w:color w:val="000000" w:themeColor="text1"/>
        </w:rPr>
        <w:t xml:space="preserve"> and </w:t>
      </w:r>
      <w:r w:rsidRPr="00604A0D">
        <w:rPr>
          <w:rStyle w:val="Enfasicorsivo"/>
          <w:b w:val="0"/>
          <w:bCs w:val="0"/>
          <w:i w:val="0"/>
          <w:iCs w:val="0"/>
          <w:color w:val="000000" w:themeColor="text1"/>
        </w:rPr>
        <w:t>BC S103</w:t>
      </w:r>
      <w:r w:rsidRPr="00604A0D">
        <w:rPr>
          <w:b w:val="0"/>
          <w:bCs w:val="0"/>
          <w:i/>
          <w:iCs/>
          <w:color w:val="000000" w:themeColor="text1"/>
        </w:rPr>
        <w:t xml:space="preserve"> strains fermented at 15 °C and 20 °C. </w:t>
      </w:r>
    </w:p>
    <w:tbl>
      <w:tblPr>
        <w:tblW w:w="0" w:type="auto"/>
        <w:tblCellMar>
          <w:left w:w="70" w:type="dxa"/>
          <w:right w:w="70" w:type="dxa"/>
        </w:tblCellMar>
        <w:tblLook w:val="04A0" w:firstRow="1" w:lastRow="0" w:firstColumn="1" w:lastColumn="0" w:noHBand="0" w:noVBand="1"/>
      </w:tblPr>
      <w:tblGrid>
        <w:gridCol w:w="1871"/>
        <w:gridCol w:w="1213"/>
        <w:gridCol w:w="1213"/>
        <w:gridCol w:w="1433"/>
        <w:gridCol w:w="1433"/>
      </w:tblGrid>
      <w:tr w:rsidR="00847140" w:rsidRPr="00080CB4" w14:paraId="7F8036E4" w14:textId="77777777" w:rsidTr="00080CB4">
        <w:trPr>
          <w:trHeight w:val="320"/>
        </w:trPr>
        <w:tc>
          <w:tcPr>
            <w:tcW w:w="0" w:type="auto"/>
            <w:tcBorders>
              <w:top w:val="single" w:sz="4" w:space="0" w:color="auto"/>
              <w:bottom w:val="single" w:sz="4" w:space="0" w:color="auto"/>
            </w:tcBorders>
            <w:noWrap/>
            <w:vAlign w:val="center"/>
            <w:hideMark/>
          </w:tcPr>
          <w:p w14:paraId="1195F5BB" w14:textId="77777777" w:rsidR="002B7DAA" w:rsidRPr="00080CB4" w:rsidRDefault="002B7DAA" w:rsidP="00767B6A">
            <w:pPr>
              <w:tabs>
                <w:tab w:val="clear" w:pos="7100"/>
              </w:tabs>
              <w:spacing w:line="240" w:lineRule="auto"/>
              <w:jc w:val="left"/>
              <w:rPr>
                <w:rFonts w:cs="Arial"/>
                <w:color w:val="000000"/>
                <w:szCs w:val="18"/>
                <w:lang w:val="it-IT" w:eastAsia="it-IT"/>
              </w:rPr>
            </w:pPr>
            <w:r w:rsidRPr="00080CB4">
              <w:rPr>
                <w:rFonts w:cs="Arial"/>
                <w:color w:val="000000"/>
                <w:szCs w:val="18"/>
                <w:lang w:val="it-IT" w:eastAsia="it-IT"/>
              </w:rPr>
              <w:t>Costs</w:t>
            </w:r>
          </w:p>
        </w:tc>
        <w:tc>
          <w:tcPr>
            <w:tcW w:w="0" w:type="auto"/>
            <w:tcBorders>
              <w:top w:val="single" w:sz="4" w:space="0" w:color="auto"/>
              <w:left w:val="nil"/>
              <w:bottom w:val="single" w:sz="4" w:space="0" w:color="auto"/>
              <w:right w:val="nil"/>
            </w:tcBorders>
            <w:noWrap/>
            <w:vAlign w:val="center"/>
            <w:hideMark/>
          </w:tcPr>
          <w:p w14:paraId="4100B0BE" w14:textId="77777777" w:rsidR="002B7DAA" w:rsidRPr="00080CB4" w:rsidRDefault="002B7DAA" w:rsidP="00767B6A">
            <w:pPr>
              <w:tabs>
                <w:tab w:val="clear" w:pos="7100"/>
              </w:tabs>
              <w:spacing w:line="240" w:lineRule="auto"/>
              <w:jc w:val="left"/>
              <w:rPr>
                <w:rFonts w:cs="Arial"/>
                <w:color w:val="000000"/>
                <w:szCs w:val="18"/>
                <w:lang w:val="it-IT" w:eastAsia="it-IT"/>
              </w:rPr>
            </w:pPr>
            <w:r w:rsidRPr="00080CB4">
              <w:rPr>
                <w:rFonts w:cs="Arial"/>
                <w:color w:val="000000"/>
                <w:szCs w:val="18"/>
                <w:lang w:val="it-IT" w:eastAsia="it-IT"/>
              </w:rPr>
              <w:t>SC 22 (15°C)</w:t>
            </w:r>
          </w:p>
        </w:tc>
        <w:tc>
          <w:tcPr>
            <w:tcW w:w="0" w:type="auto"/>
            <w:tcBorders>
              <w:top w:val="single" w:sz="4" w:space="0" w:color="auto"/>
              <w:left w:val="nil"/>
              <w:bottom w:val="single" w:sz="4" w:space="0" w:color="auto"/>
              <w:right w:val="nil"/>
            </w:tcBorders>
            <w:noWrap/>
            <w:vAlign w:val="center"/>
            <w:hideMark/>
          </w:tcPr>
          <w:p w14:paraId="52895080" w14:textId="77777777" w:rsidR="002B7DAA" w:rsidRPr="00080CB4" w:rsidRDefault="002B7DAA" w:rsidP="00767B6A">
            <w:pPr>
              <w:tabs>
                <w:tab w:val="clear" w:pos="7100"/>
              </w:tabs>
              <w:spacing w:line="240" w:lineRule="auto"/>
              <w:jc w:val="left"/>
              <w:rPr>
                <w:rFonts w:cs="Arial"/>
                <w:color w:val="000000"/>
                <w:szCs w:val="18"/>
                <w:lang w:val="it-IT" w:eastAsia="it-IT"/>
              </w:rPr>
            </w:pPr>
            <w:r w:rsidRPr="00080CB4">
              <w:rPr>
                <w:rFonts w:cs="Arial"/>
                <w:color w:val="000000"/>
                <w:szCs w:val="18"/>
                <w:lang w:val="it-IT" w:eastAsia="it-IT"/>
              </w:rPr>
              <w:t>SC 22 (20°C)</w:t>
            </w:r>
          </w:p>
        </w:tc>
        <w:tc>
          <w:tcPr>
            <w:tcW w:w="0" w:type="auto"/>
            <w:tcBorders>
              <w:top w:val="single" w:sz="4" w:space="0" w:color="auto"/>
              <w:left w:val="nil"/>
              <w:bottom w:val="single" w:sz="4" w:space="0" w:color="auto"/>
              <w:right w:val="nil"/>
            </w:tcBorders>
            <w:noWrap/>
            <w:vAlign w:val="center"/>
            <w:hideMark/>
          </w:tcPr>
          <w:p w14:paraId="78E2126B" w14:textId="77777777" w:rsidR="002B7DAA" w:rsidRPr="00080CB4" w:rsidRDefault="002B7DAA" w:rsidP="00767B6A">
            <w:pPr>
              <w:tabs>
                <w:tab w:val="clear" w:pos="7100"/>
              </w:tabs>
              <w:spacing w:line="240" w:lineRule="auto"/>
              <w:jc w:val="left"/>
              <w:rPr>
                <w:rFonts w:cs="Arial"/>
                <w:color w:val="000000"/>
                <w:szCs w:val="18"/>
                <w:lang w:val="it-IT" w:eastAsia="it-IT"/>
              </w:rPr>
            </w:pPr>
            <w:r w:rsidRPr="00080CB4">
              <w:rPr>
                <w:rFonts w:cs="Arial"/>
                <w:color w:val="000000"/>
                <w:szCs w:val="18"/>
                <w:lang w:val="it-IT" w:eastAsia="it-IT"/>
              </w:rPr>
              <w:t>BC S103 (15°C)</w:t>
            </w:r>
          </w:p>
        </w:tc>
        <w:tc>
          <w:tcPr>
            <w:tcW w:w="0" w:type="auto"/>
            <w:tcBorders>
              <w:top w:val="single" w:sz="4" w:space="0" w:color="auto"/>
              <w:left w:val="nil"/>
              <w:bottom w:val="single" w:sz="4" w:space="0" w:color="auto"/>
            </w:tcBorders>
            <w:noWrap/>
            <w:vAlign w:val="center"/>
            <w:hideMark/>
          </w:tcPr>
          <w:p w14:paraId="13E97D7F" w14:textId="77777777" w:rsidR="002B7DAA" w:rsidRPr="00080CB4" w:rsidRDefault="002B7DAA" w:rsidP="00767B6A">
            <w:pPr>
              <w:tabs>
                <w:tab w:val="clear" w:pos="7100"/>
              </w:tabs>
              <w:spacing w:line="240" w:lineRule="auto"/>
              <w:jc w:val="left"/>
              <w:rPr>
                <w:rFonts w:cs="Arial"/>
                <w:color w:val="000000"/>
                <w:szCs w:val="18"/>
                <w:lang w:val="it-IT" w:eastAsia="it-IT"/>
              </w:rPr>
            </w:pPr>
            <w:r w:rsidRPr="00080CB4">
              <w:rPr>
                <w:rFonts w:cs="Arial"/>
                <w:color w:val="000000"/>
                <w:szCs w:val="18"/>
                <w:lang w:val="it-IT" w:eastAsia="it-IT"/>
              </w:rPr>
              <w:t>BC S103 (20°C)</w:t>
            </w:r>
          </w:p>
        </w:tc>
      </w:tr>
      <w:tr w:rsidR="002B7DAA" w:rsidRPr="00080CB4" w14:paraId="3EFC5035" w14:textId="77777777" w:rsidTr="00080CB4">
        <w:trPr>
          <w:trHeight w:val="320"/>
        </w:trPr>
        <w:tc>
          <w:tcPr>
            <w:tcW w:w="0" w:type="auto"/>
            <w:tcBorders>
              <w:top w:val="single" w:sz="4" w:space="0" w:color="auto"/>
            </w:tcBorders>
            <w:noWrap/>
            <w:vAlign w:val="center"/>
            <w:hideMark/>
          </w:tcPr>
          <w:p w14:paraId="74C6CD26" w14:textId="77777777" w:rsidR="002B7DAA" w:rsidRPr="00080CB4" w:rsidRDefault="002B7DAA" w:rsidP="00767B6A">
            <w:pPr>
              <w:tabs>
                <w:tab w:val="clear" w:pos="7100"/>
              </w:tabs>
              <w:spacing w:line="240" w:lineRule="auto"/>
              <w:jc w:val="left"/>
              <w:rPr>
                <w:rFonts w:cs="Arial"/>
                <w:color w:val="000000"/>
                <w:szCs w:val="18"/>
                <w:lang w:val="it-IT" w:eastAsia="it-IT"/>
              </w:rPr>
            </w:pPr>
            <w:r w:rsidRPr="00080CB4">
              <w:rPr>
                <w:rFonts w:cs="Arial"/>
                <w:color w:val="000000"/>
                <w:szCs w:val="18"/>
                <w:lang w:val="it-IT" w:eastAsia="it-IT"/>
              </w:rPr>
              <w:t>Energy Cost (€)</w:t>
            </w:r>
          </w:p>
        </w:tc>
        <w:tc>
          <w:tcPr>
            <w:tcW w:w="0" w:type="auto"/>
            <w:tcBorders>
              <w:top w:val="nil"/>
              <w:left w:val="nil"/>
              <w:bottom w:val="nil"/>
              <w:right w:val="nil"/>
            </w:tcBorders>
            <w:noWrap/>
            <w:vAlign w:val="center"/>
            <w:hideMark/>
          </w:tcPr>
          <w:p w14:paraId="09B9229E" w14:textId="77777777" w:rsidR="002B7DAA" w:rsidRPr="00080CB4" w:rsidRDefault="002B7DAA" w:rsidP="00767B6A">
            <w:pPr>
              <w:tabs>
                <w:tab w:val="clear" w:pos="7100"/>
              </w:tabs>
              <w:spacing w:line="240" w:lineRule="auto"/>
              <w:jc w:val="left"/>
              <w:rPr>
                <w:rFonts w:cs="Arial"/>
                <w:color w:val="000000"/>
                <w:szCs w:val="18"/>
                <w:lang w:val="it-IT" w:eastAsia="it-IT"/>
              </w:rPr>
            </w:pPr>
            <w:r w:rsidRPr="00080CB4">
              <w:rPr>
                <w:rFonts w:cs="Arial"/>
                <w:color w:val="000000"/>
                <w:szCs w:val="18"/>
                <w:lang w:val="it-IT" w:eastAsia="it-IT"/>
              </w:rPr>
              <w:t>10.5</w:t>
            </w:r>
          </w:p>
        </w:tc>
        <w:tc>
          <w:tcPr>
            <w:tcW w:w="0" w:type="auto"/>
            <w:tcBorders>
              <w:top w:val="nil"/>
              <w:left w:val="nil"/>
              <w:bottom w:val="nil"/>
              <w:right w:val="nil"/>
            </w:tcBorders>
            <w:noWrap/>
            <w:vAlign w:val="center"/>
            <w:hideMark/>
          </w:tcPr>
          <w:p w14:paraId="1E71CBF6" w14:textId="77777777" w:rsidR="002B7DAA" w:rsidRPr="00080CB4" w:rsidRDefault="002B7DAA" w:rsidP="00767B6A">
            <w:pPr>
              <w:tabs>
                <w:tab w:val="clear" w:pos="7100"/>
              </w:tabs>
              <w:spacing w:line="240" w:lineRule="auto"/>
              <w:jc w:val="left"/>
              <w:rPr>
                <w:rFonts w:cs="Arial"/>
                <w:color w:val="000000"/>
                <w:szCs w:val="18"/>
                <w:lang w:val="it-IT" w:eastAsia="it-IT"/>
              </w:rPr>
            </w:pPr>
            <w:r w:rsidRPr="00080CB4">
              <w:rPr>
                <w:rFonts w:cs="Arial"/>
                <w:color w:val="000000"/>
                <w:szCs w:val="18"/>
                <w:lang w:val="it-IT" w:eastAsia="it-IT"/>
              </w:rPr>
              <w:t>7</w:t>
            </w:r>
          </w:p>
        </w:tc>
        <w:tc>
          <w:tcPr>
            <w:tcW w:w="0" w:type="auto"/>
            <w:tcBorders>
              <w:top w:val="nil"/>
              <w:left w:val="nil"/>
              <w:bottom w:val="nil"/>
              <w:right w:val="nil"/>
            </w:tcBorders>
            <w:noWrap/>
            <w:vAlign w:val="center"/>
            <w:hideMark/>
          </w:tcPr>
          <w:p w14:paraId="0EAA5790" w14:textId="77777777" w:rsidR="002B7DAA" w:rsidRPr="00080CB4" w:rsidRDefault="002B7DAA" w:rsidP="00767B6A">
            <w:pPr>
              <w:tabs>
                <w:tab w:val="clear" w:pos="7100"/>
              </w:tabs>
              <w:spacing w:line="240" w:lineRule="auto"/>
              <w:jc w:val="left"/>
              <w:rPr>
                <w:rFonts w:cs="Arial"/>
                <w:color w:val="000000"/>
                <w:szCs w:val="18"/>
                <w:lang w:val="it-IT" w:eastAsia="it-IT"/>
              </w:rPr>
            </w:pPr>
            <w:r w:rsidRPr="00080CB4">
              <w:rPr>
                <w:rFonts w:cs="Arial"/>
                <w:color w:val="000000"/>
                <w:szCs w:val="18"/>
                <w:lang w:val="it-IT" w:eastAsia="it-IT"/>
              </w:rPr>
              <w:t>11.25</w:t>
            </w:r>
          </w:p>
        </w:tc>
        <w:tc>
          <w:tcPr>
            <w:tcW w:w="0" w:type="auto"/>
            <w:tcBorders>
              <w:top w:val="nil"/>
              <w:left w:val="nil"/>
              <w:bottom w:val="nil"/>
            </w:tcBorders>
            <w:noWrap/>
            <w:vAlign w:val="center"/>
            <w:hideMark/>
          </w:tcPr>
          <w:p w14:paraId="37EDF5D2" w14:textId="77777777" w:rsidR="002B7DAA" w:rsidRPr="00080CB4" w:rsidRDefault="002B7DAA" w:rsidP="00767B6A">
            <w:pPr>
              <w:tabs>
                <w:tab w:val="clear" w:pos="7100"/>
              </w:tabs>
              <w:spacing w:line="240" w:lineRule="auto"/>
              <w:jc w:val="left"/>
              <w:rPr>
                <w:rFonts w:cs="Arial"/>
                <w:color w:val="000000"/>
                <w:szCs w:val="18"/>
                <w:lang w:val="it-IT" w:eastAsia="it-IT"/>
              </w:rPr>
            </w:pPr>
            <w:r w:rsidRPr="00080CB4">
              <w:rPr>
                <w:rFonts w:cs="Arial"/>
                <w:color w:val="000000"/>
                <w:szCs w:val="18"/>
                <w:lang w:val="it-IT" w:eastAsia="it-IT"/>
              </w:rPr>
              <w:t>7.5</w:t>
            </w:r>
          </w:p>
        </w:tc>
      </w:tr>
      <w:tr w:rsidR="002B7DAA" w:rsidRPr="00080CB4" w14:paraId="06DCBABF" w14:textId="77777777" w:rsidTr="00080CB4">
        <w:trPr>
          <w:trHeight w:val="320"/>
        </w:trPr>
        <w:tc>
          <w:tcPr>
            <w:tcW w:w="0" w:type="auto"/>
            <w:noWrap/>
            <w:vAlign w:val="center"/>
            <w:hideMark/>
          </w:tcPr>
          <w:p w14:paraId="709DCFB4" w14:textId="77777777" w:rsidR="002B7DAA" w:rsidRPr="00080CB4" w:rsidRDefault="002B7DAA" w:rsidP="00767B6A">
            <w:pPr>
              <w:tabs>
                <w:tab w:val="clear" w:pos="7100"/>
              </w:tabs>
              <w:spacing w:line="240" w:lineRule="auto"/>
              <w:jc w:val="left"/>
              <w:rPr>
                <w:rFonts w:cs="Arial"/>
                <w:color w:val="000000"/>
                <w:szCs w:val="18"/>
                <w:lang w:val="it-IT" w:eastAsia="it-IT"/>
              </w:rPr>
            </w:pPr>
            <w:proofErr w:type="spellStart"/>
            <w:r w:rsidRPr="00080CB4">
              <w:rPr>
                <w:rFonts w:cs="Arial"/>
                <w:color w:val="000000"/>
                <w:szCs w:val="18"/>
                <w:lang w:val="it-IT" w:eastAsia="it-IT"/>
              </w:rPr>
              <w:t>Yeast</w:t>
            </w:r>
            <w:proofErr w:type="spellEnd"/>
            <w:r w:rsidRPr="00080CB4">
              <w:rPr>
                <w:rFonts w:cs="Arial"/>
                <w:color w:val="000000"/>
                <w:szCs w:val="18"/>
                <w:lang w:val="it-IT" w:eastAsia="it-IT"/>
              </w:rPr>
              <w:t xml:space="preserve"> Cost (€)</w:t>
            </w:r>
          </w:p>
        </w:tc>
        <w:tc>
          <w:tcPr>
            <w:tcW w:w="0" w:type="auto"/>
            <w:tcBorders>
              <w:top w:val="nil"/>
              <w:left w:val="nil"/>
              <w:bottom w:val="nil"/>
              <w:right w:val="nil"/>
            </w:tcBorders>
            <w:noWrap/>
            <w:vAlign w:val="center"/>
            <w:hideMark/>
          </w:tcPr>
          <w:p w14:paraId="71360D0C" w14:textId="77777777" w:rsidR="002B7DAA" w:rsidRPr="00080CB4" w:rsidRDefault="002B7DAA" w:rsidP="00767B6A">
            <w:pPr>
              <w:tabs>
                <w:tab w:val="clear" w:pos="7100"/>
              </w:tabs>
              <w:spacing w:line="240" w:lineRule="auto"/>
              <w:jc w:val="left"/>
              <w:rPr>
                <w:rFonts w:cs="Arial"/>
                <w:color w:val="000000"/>
                <w:szCs w:val="18"/>
                <w:lang w:val="it-IT" w:eastAsia="it-IT"/>
              </w:rPr>
            </w:pPr>
            <w:r w:rsidRPr="00080CB4">
              <w:rPr>
                <w:rFonts w:cs="Arial"/>
                <w:color w:val="000000"/>
                <w:szCs w:val="18"/>
                <w:lang w:val="it-IT" w:eastAsia="it-IT"/>
              </w:rPr>
              <w:t>210.4</w:t>
            </w:r>
          </w:p>
        </w:tc>
        <w:tc>
          <w:tcPr>
            <w:tcW w:w="0" w:type="auto"/>
            <w:tcBorders>
              <w:top w:val="nil"/>
              <w:left w:val="nil"/>
              <w:bottom w:val="nil"/>
              <w:right w:val="nil"/>
            </w:tcBorders>
            <w:noWrap/>
            <w:vAlign w:val="center"/>
            <w:hideMark/>
          </w:tcPr>
          <w:p w14:paraId="419F6B7D" w14:textId="77777777" w:rsidR="002B7DAA" w:rsidRPr="00080CB4" w:rsidRDefault="002B7DAA" w:rsidP="00767B6A">
            <w:pPr>
              <w:tabs>
                <w:tab w:val="clear" w:pos="7100"/>
              </w:tabs>
              <w:spacing w:line="240" w:lineRule="auto"/>
              <w:jc w:val="left"/>
              <w:rPr>
                <w:rFonts w:cs="Arial"/>
                <w:color w:val="000000"/>
                <w:szCs w:val="18"/>
                <w:lang w:val="it-IT" w:eastAsia="it-IT"/>
              </w:rPr>
            </w:pPr>
            <w:r w:rsidRPr="00080CB4">
              <w:rPr>
                <w:rFonts w:cs="Arial"/>
                <w:color w:val="000000"/>
                <w:szCs w:val="18"/>
                <w:lang w:val="it-IT" w:eastAsia="it-IT"/>
              </w:rPr>
              <w:t>210.4</w:t>
            </w:r>
          </w:p>
        </w:tc>
        <w:tc>
          <w:tcPr>
            <w:tcW w:w="0" w:type="auto"/>
            <w:tcBorders>
              <w:top w:val="nil"/>
              <w:left w:val="nil"/>
              <w:bottom w:val="nil"/>
              <w:right w:val="nil"/>
            </w:tcBorders>
            <w:noWrap/>
            <w:vAlign w:val="center"/>
            <w:hideMark/>
          </w:tcPr>
          <w:p w14:paraId="1BEB6411" w14:textId="77777777" w:rsidR="002B7DAA" w:rsidRPr="00080CB4" w:rsidRDefault="002B7DAA" w:rsidP="00767B6A">
            <w:pPr>
              <w:tabs>
                <w:tab w:val="clear" w:pos="7100"/>
              </w:tabs>
              <w:spacing w:line="240" w:lineRule="auto"/>
              <w:jc w:val="left"/>
              <w:rPr>
                <w:rFonts w:cs="Arial"/>
                <w:color w:val="000000"/>
                <w:szCs w:val="18"/>
                <w:lang w:val="it-IT" w:eastAsia="it-IT"/>
              </w:rPr>
            </w:pPr>
            <w:r w:rsidRPr="00080CB4">
              <w:rPr>
                <w:rFonts w:cs="Arial"/>
                <w:color w:val="000000"/>
                <w:szCs w:val="18"/>
                <w:lang w:val="it-IT" w:eastAsia="it-IT"/>
              </w:rPr>
              <w:t>184</w:t>
            </w:r>
          </w:p>
        </w:tc>
        <w:tc>
          <w:tcPr>
            <w:tcW w:w="0" w:type="auto"/>
            <w:tcBorders>
              <w:top w:val="nil"/>
              <w:left w:val="nil"/>
              <w:bottom w:val="nil"/>
            </w:tcBorders>
            <w:noWrap/>
            <w:vAlign w:val="center"/>
            <w:hideMark/>
          </w:tcPr>
          <w:p w14:paraId="306AA8DC" w14:textId="77777777" w:rsidR="002B7DAA" w:rsidRPr="00080CB4" w:rsidRDefault="002B7DAA" w:rsidP="00767B6A">
            <w:pPr>
              <w:tabs>
                <w:tab w:val="clear" w:pos="7100"/>
              </w:tabs>
              <w:spacing w:line="240" w:lineRule="auto"/>
              <w:jc w:val="left"/>
              <w:rPr>
                <w:rFonts w:cs="Arial"/>
                <w:color w:val="000000"/>
                <w:szCs w:val="18"/>
                <w:lang w:val="it-IT" w:eastAsia="it-IT"/>
              </w:rPr>
            </w:pPr>
            <w:r w:rsidRPr="00080CB4">
              <w:rPr>
                <w:rFonts w:cs="Arial"/>
                <w:color w:val="000000"/>
                <w:szCs w:val="18"/>
                <w:lang w:val="it-IT" w:eastAsia="it-IT"/>
              </w:rPr>
              <w:t>184</w:t>
            </w:r>
          </w:p>
        </w:tc>
      </w:tr>
      <w:tr w:rsidR="002B7DAA" w:rsidRPr="00080CB4" w14:paraId="4312FC58" w14:textId="77777777" w:rsidTr="00080CB4">
        <w:trPr>
          <w:trHeight w:val="320"/>
        </w:trPr>
        <w:tc>
          <w:tcPr>
            <w:tcW w:w="0" w:type="auto"/>
            <w:noWrap/>
            <w:vAlign w:val="center"/>
            <w:hideMark/>
          </w:tcPr>
          <w:p w14:paraId="5CF4D50D" w14:textId="5B1F80E6" w:rsidR="002B7DAA" w:rsidRPr="00080CB4" w:rsidRDefault="002B7DAA" w:rsidP="00767B6A">
            <w:pPr>
              <w:tabs>
                <w:tab w:val="clear" w:pos="7100"/>
              </w:tabs>
              <w:spacing w:line="240" w:lineRule="auto"/>
              <w:jc w:val="left"/>
              <w:rPr>
                <w:rFonts w:cs="Arial"/>
                <w:color w:val="000000"/>
                <w:szCs w:val="18"/>
                <w:lang w:val="it-IT" w:eastAsia="it-IT"/>
              </w:rPr>
            </w:pPr>
            <w:r w:rsidRPr="00080CB4">
              <w:rPr>
                <w:rFonts w:cs="Arial"/>
                <w:color w:val="000000"/>
                <w:szCs w:val="18"/>
                <w:lang w:val="it-IT" w:eastAsia="it-IT"/>
              </w:rPr>
              <w:t xml:space="preserve">Additive Cost (€/ </w:t>
            </w:r>
            <w:proofErr w:type="spellStart"/>
            <w:r w:rsidRPr="00080CB4">
              <w:rPr>
                <w:rFonts w:cs="Arial"/>
                <w:color w:val="000000"/>
                <w:szCs w:val="18"/>
                <w:lang w:val="it-IT" w:eastAsia="it-IT"/>
              </w:rPr>
              <w:t>hL</w:t>
            </w:r>
            <w:proofErr w:type="spellEnd"/>
            <w:r w:rsidRPr="00080CB4">
              <w:rPr>
                <w:rFonts w:cs="Arial"/>
                <w:color w:val="000000"/>
                <w:szCs w:val="18"/>
                <w:lang w:val="it-IT" w:eastAsia="it-IT"/>
              </w:rPr>
              <w:t>)</w:t>
            </w:r>
          </w:p>
        </w:tc>
        <w:tc>
          <w:tcPr>
            <w:tcW w:w="0" w:type="auto"/>
            <w:tcBorders>
              <w:top w:val="nil"/>
              <w:left w:val="nil"/>
              <w:bottom w:val="nil"/>
              <w:right w:val="nil"/>
            </w:tcBorders>
            <w:noWrap/>
            <w:vAlign w:val="center"/>
            <w:hideMark/>
          </w:tcPr>
          <w:p w14:paraId="379E3F3F" w14:textId="7FAA3EA5" w:rsidR="002B7DAA" w:rsidRPr="00080CB4" w:rsidRDefault="002B7DAA" w:rsidP="00767B6A">
            <w:pPr>
              <w:tabs>
                <w:tab w:val="clear" w:pos="7100"/>
              </w:tabs>
              <w:spacing w:line="240" w:lineRule="auto"/>
              <w:jc w:val="left"/>
              <w:rPr>
                <w:rFonts w:cs="Arial"/>
                <w:color w:val="000000"/>
                <w:szCs w:val="18"/>
                <w:lang w:val="it-IT" w:eastAsia="it-IT"/>
              </w:rPr>
            </w:pPr>
            <w:r w:rsidRPr="00080CB4">
              <w:rPr>
                <w:rFonts w:cs="Arial"/>
                <w:color w:val="000000"/>
                <w:szCs w:val="18"/>
                <w:lang w:val="it-IT" w:eastAsia="it-IT"/>
              </w:rPr>
              <w:t>2</w:t>
            </w:r>
            <w:r w:rsidR="00EC1495" w:rsidRPr="00080CB4">
              <w:rPr>
                <w:rFonts w:cs="Arial"/>
                <w:color w:val="000000"/>
                <w:szCs w:val="18"/>
                <w:lang w:val="it-IT" w:eastAsia="it-IT"/>
              </w:rPr>
              <w:t>.</w:t>
            </w:r>
            <w:r w:rsidRPr="00080CB4">
              <w:rPr>
                <w:rFonts w:cs="Arial"/>
                <w:color w:val="000000"/>
                <w:szCs w:val="18"/>
                <w:lang w:val="it-IT" w:eastAsia="it-IT"/>
              </w:rPr>
              <w:t>4</w:t>
            </w:r>
          </w:p>
        </w:tc>
        <w:tc>
          <w:tcPr>
            <w:tcW w:w="0" w:type="auto"/>
            <w:tcBorders>
              <w:top w:val="nil"/>
              <w:left w:val="nil"/>
              <w:bottom w:val="nil"/>
              <w:right w:val="nil"/>
            </w:tcBorders>
            <w:noWrap/>
            <w:vAlign w:val="center"/>
            <w:hideMark/>
          </w:tcPr>
          <w:p w14:paraId="4CED2077" w14:textId="3D35DB66" w:rsidR="002B7DAA" w:rsidRPr="00080CB4" w:rsidRDefault="002B7DAA" w:rsidP="00767B6A">
            <w:pPr>
              <w:tabs>
                <w:tab w:val="clear" w:pos="7100"/>
              </w:tabs>
              <w:spacing w:line="240" w:lineRule="auto"/>
              <w:jc w:val="left"/>
              <w:rPr>
                <w:rFonts w:cs="Arial"/>
                <w:color w:val="000000"/>
                <w:szCs w:val="18"/>
                <w:lang w:val="it-IT" w:eastAsia="it-IT"/>
              </w:rPr>
            </w:pPr>
            <w:r w:rsidRPr="00080CB4">
              <w:rPr>
                <w:rFonts w:cs="Arial"/>
                <w:color w:val="000000"/>
                <w:szCs w:val="18"/>
                <w:lang w:val="it-IT" w:eastAsia="it-IT"/>
              </w:rPr>
              <w:t>2</w:t>
            </w:r>
            <w:r w:rsidR="00EC1495" w:rsidRPr="00080CB4">
              <w:rPr>
                <w:rFonts w:cs="Arial"/>
                <w:color w:val="000000"/>
                <w:szCs w:val="18"/>
                <w:lang w:val="it-IT" w:eastAsia="it-IT"/>
              </w:rPr>
              <w:t>.</w:t>
            </w:r>
            <w:r w:rsidRPr="00080CB4">
              <w:rPr>
                <w:rFonts w:cs="Arial"/>
                <w:color w:val="000000"/>
                <w:szCs w:val="18"/>
                <w:lang w:val="it-IT" w:eastAsia="it-IT"/>
              </w:rPr>
              <w:t>4</w:t>
            </w:r>
          </w:p>
        </w:tc>
        <w:tc>
          <w:tcPr>
            <w:tcW w:w="0" w:type="auto"/>
            <w:tcBorders>
              <w:top w:val="nil"/>
              <w:left w:val="nil"/>
              <w:bottom w:val="nil"/>
              <w:right w:val="nil"/>
            </w:tcBorders>
            <w:noWrap/>
            <w:vAlign w:val="center"/>
            <w:hideMark/>
          </w:tcPr>
          <w:p w14:paraId="40034122" w14:textId="54DC38DC" w:rsidR="002B7DAA" w:rsidRPr="00080CB4" w:rsidRDefault="002B7DAA" w:rsidP="00767B6A">
            <w:pPr>
              <w:tabs>
                <w:tab w:val="clear" w:pos="7100"/>
              </w:tabs>
              <w:spacing w:line="240" w:lineRule="auto"/>
              <w:jc w:val="left"/>
              <w:rPr>
                <w:rFonts w:cs="Arial"/>
                <w:color w:val="000000"/>
                <w:szCs w:val="18"/>
                <w:lang w:val="it-IT" w:eastAsia="it-IT"/>
              </w:rPr>
            </w:pPr>
            <w:r w:rsidRPr="00080CB4">
              <w:rPr>
                <w:rFonts w:cs="Arial"/>
                <w:color w:val="000000"/>
                <w:szCs w:val="18"/>
                <w:lang w:val="it-IT" w:eastAsia="it-IT"/>
              </w:rPr>
              <w:t>1</w:t>
            </w:r>
            <w:r w:rsidR="00EC1495" w:rsidRPr="00080CB4">
              <w:rPr>
                <w:rFonts w:cs="Arial"/>
                <w:color w:val="000000"/>
                <w:szCs w:val="18"/>
                <w:lang w:val="it-IT" w:eastAsia="it-IT"/>
              </w:rPr>
              <w:t>.</w:t>
            </w:r>
            <w:r w:rsidRPr="00080CB4">
              <w:rPr>
                <w:rFonts w:cs="Arial"/>
                <w:color w:val="000000"/>
                <w:szCs w:val="18"/>
                <w:lang w:val="it-IT" w:eastAsia="it-IT"/>
              </w:rPr>
              <w:t>6</w:t>
            </w:r>
          </w:p>
        </w:tc>
        <w:tc>
          <w:tcPr>
            <w:tcW w:w="0" w:type="auto"/>
            <w:tcBorders>
              <w:top w:val="nil"/>
              <w:left w:val="nil"/>
              <w:bottom w:val="nil"/>
            </w:tcBorders>
            <w:noWrap/>
            <w:vAlign w:val="center"/>
            <w:hideMark/>
          </w:tcPr>
          <w:p w14:paraId="57E68F44" w14:textId="46514CCC" w:rsidR="002B7DAA" w:rsidRPr="00080CB4" w:rsidRDefault="002B7DAA" w:rsidP="00767B6A">
            <w:pPr>
              <w:tabs>
                <w:tab w:val="clear" w:pos="7100"/>
              </w:tabs>
              <w:spacing w:line="240" w:lineRule="auto"/>
              <w:jc w:val="left"/>
              <w:rPr>
                <w:rFonts w:cs="Arial"/>
                <w:color w:val="000000"/>
                <w:szCs w:val="18"/>
                <w:lang w:val="it-IT" w:eastAsia="it-IT"/>
              </w:rPr>
            </w:pPr>
            <w:r w:rsidRPr="00080CB4">
              <w:rPr>
                <w:rFonts w:cs="Arial"/>
                <w:color w:val="000000"/>
                <w:szCs w:val="18"/>
                <w:lang w:val="it-IT" w:eastAsia="it-IT"/>
              </w:rPr>
              <w:t>1</w:t>
            </w:r>
            <w:r w:rsidR="00EC1495" w:rsidRPr="00080CB4">
              <w:rPr>
                <w:rFonts w:cs="Arial"/>
                <w:color w:val="000000"/>
                <w:szCs w:val="18"/>
                <w:lang w:val="it-IT" w:eastAsia="it-IT"/>
              </w:rPr>
              <w:t>.</w:t>
            </w:r>
            <w:r w:rsidRPr="00080CB4">
              <w:rPr>
                <w:rFonts w:cs="Arial"/>
                <w:color w:val="000000"/>
                <w:szCs w:val="18"/>
                <w:lang w:val="it-IT" w:eastAsia="it-IT"/>
              </w:rPr>
              <w:t>6</w:t>
            </w:r>
          </w:p>
        </w:tc>
      </w:tr>
      <w:tr w:rsidR="002B7DAA" w:rsidRPr="00080CB4" w14:paraId="760C30A4" w14:textId="77777777" w:rsidTr="00080CB4">
        <w:trPr>
          <w:trHeight w:val="320"/>
        </w:trPr>
        <w:tc>
          <w:tcPr>
            <w:tcW w:w="0" w:type="auto"/>
            <w:noWrap/>
            <w:vAlign w:val="center"/>
            <w:hideMark/>
          </w:tcPr>
          <w:p w14:paraId="4A67913D" w14:textId="77777777" w:rsidR="002B7DAA" w:rsidRPr="00080CB4" w:rsidRDefault="002B7DAA" w:rsidP="00767B6A">
            <w:pPr>
              <w:tabs>
                <w:tab w:val="clear" w:pos="7100"/>
              </w:tabs>
              <w:spacing w:line="240" w:lineRule="auto"/>
              <w:jc w:val="left"/>
              <w:rPr>
                <w:rFonts w:cs="Arial"/>
                <w:color w:val="000000"/>
                <w:szCs w:val="18"/>
                <w:lang w:val="it-IT" w:eastAsia="it-IT"/>
              </w:rPr>
            </w:pPr>
            <w:r w:rsidRPr="00080CB4">
              <w:rPr>
                <w:rFonts w:cs="Arial"/>
                <w:color w:val="000000"/>
                <w:szCs w:val="18"/>
                <w:lang w:val="it-IT" w:eastAsia="it-IT"/>
              </w:rPr>
              <w:t>Labour Cost (€)</w:t>
            </w:r>
          </w:p>
        </w:tc>
        <w:tc>
          <w:tcPr>
            <w:tcW w:w="0" w:type="auto"/>
            <w:tcBorders>
              <w:top w:val="nil"/>
              <w:left w:val="nil"/>
              <w:bottom w:val="nil"/>
              <w:right w:val="nil"/>
            </w:tcBorders>
            <w:noWrap/>
            <w:vAlign w:val="center"/>
            <w:hideMark/>
          </w:tcPr>
          <w:p w14:paraId="023B9FC4" w14:textId="77777777" w:rsidR="002B7DAA" w:rsidRPr="00080CB4" w:rsidRDefault="002B7DAA" w:rsidP="00767B6A">
            <w:pPr>
              <w:tabs>
                <w:tab w:val="clear" w:pos="7100"/>
              </w:tabs>
              <w:spacing w:line="240" w:lineRule="auto"/>
              <w:jc w:val="left"/>
              <w:rPr>
                <w:rFonts w:cs="Arial"/>
                <w:color w:val="000000"/>
                <w:szCs w:val="18"/>
                <w:lang w:val="it-IT" w:eastAsia="it-IT"/>
              </w:rPr>
            </w:pPr>
            <w:r w:rsidRPr="00080CB4">
              <w:rPr>
                <w:rFonts w:cs="Arial"/>
                <w:color w:val="000000"/>
                <w:szCs w:val="18"/>
                <w:lang w:val="it-IT" w:eastAsia="it-IT"/>
              </w:rPr>
              <w:t>183.6</w:t>
            </w:r>
          </w:p>
        </w:tc>
        <w:tc>
          <w:tcPr>
            <w:tcW w:w="0" w:type="auto"/>
            <w:tcBorders>
              <w:top w:val="nil"/>
              <w:left w:val="nil"/>
              <w:bottom w:val="nil"/>
              <w:right w:val="nil"/>
            </w:tcBorders>
            <w:noWrap/>
            <w:vAlign w:val="center"/>
            <w:hideMark/>
          </w:tcPr>
          <w:p w14:paraId="446CC412" w14:textId="77777777" w:rsidR="002B7DAA" w:rsidRPr="00080CB4" w:rsidRDefault="002B7DAA" w:rsidP="00767B6A">
            <w:pPr>
              <w:tabs>
                <w:tab w:val="clear" w:pos="7100"/>
              </w:tabs>
              <w:spacing w:line="240" w:lineRule="auto"/>
              <w:jc w:val="left"/>
              <w:rPr>
                <w:rFonts w:cs="Arial"/>
                <w:color w:val="000000"/>
                <w:szCs w:val="18"/>
                <w:lang w:val="it-IT" w:eastAsia="it-IT"/>
              </w:rPr>
            </w:pPr>
            <w:r w:rsidRPr="00080CB4">
              <w:rPr>
                <w:rFonts w:cs="Arial"/>
                <w:color w:val="000000"/>
                <w:szCs w:val="18"/>
                <w:lang w:val="it-IT" w:eastAsia="it-IT"/>
              </w:rPr>
              <w:t>144</w:t>
            </w:r>
          </w:p>
        </w:tc>
        <w:tc>
          <w:tcPr>
            <w:tcW w:w="0" w:type="auto"/>
            <w:tcBorders>
              <w:top w:val="nil"/>
              <w:left w:val="nil"/>
              <w:bottom w:val="nil"/>
              <w:right w:val="nil"/>
            </w:tcBorders>
            <w:noWrap/>
            <w:vAlign w:val="center"/>
            <w:hideMark/>
          </w:tcPr>
          <w:p w14:paraId="1BAAC447" w14:textId="77777777" w:rsidR="002B7DAA" w:rsidRPr="00080CB4" w:rsidRDefault="002B7DAA" w:rsidP="00767B6A">
            <w:pPr>
              <w:tabs>
                <w:tab w:val="clear" w:pos="7100"/>
              </w:tabs>
              <w:spacing w:line="240" w:lineRule="auto"/>
              <w:jc w:val="left"/>
              <w:rPr>
                <w:rFonts w:cs="Arial"/>
                <w:color w:val="000000"/>
                <w:szCs w:val="18"/>
                <w:lang w:val="it-IT" w:eastAsia="it-IT"/>
              </w:rPr>
            </w:pPr>
            <w:r w:rsidRPr="00080CB4">
              <w:rPr>
                <w:rFonts w:cs="Arial"/>
                <w:color w:val="000000"/>
                <w:szCs w:val="18"/>
                <w:lang w:val="it-IT" w:eastAsia="it-IT"/>
              </w:rPr>
              <w:t>192.6</w:t>
            </w:r>
          </w:p>
        </w:tc>
        <w:tc>
          <w:tcPr>
            <w:tcW w:w="0" w:type="auto"/>
            <w:tcBorders>
              <w:top w:val="nil"/>
              <w:left w:val="nil"/>
              <w:bottom w:val="nil"/>
            </w:tcBorders>
            <w:noWrap/>
            <w:vAlign w:val="center"/>
            <w:hideMark/>
          </w:tcPr>
          <w:p w14:paraId="0138AB31" w14:textId="77777777" w:rsidR="002B7DAA" w:rsidRPr="00080CB4" w:rsidRDefault="002B7DAA" w:rsidP="00767B6A">
            <w:pPr>
              <w:tabs>
                <w:tab w:val="clear" w:pos="7100"/>
              </w:tabs>
              <w:spacing w:line="240" w:lineRule="auto"/>
              <w:jc w:val="left"/>
              <w:rPr>
                <w:rFonts w:cs="Arial"/>
                <w:color w:val="000000"/>
                <w:szCs w:val="18"/>
                <w:lang w:val="it-IT" w:eastAsia="it-IT"/>
              </w:rPr>
            </w:pPr>
            <w:r w:rsidRPr="00080CB4">
              <w:rPr>
                <w:rFonts w:cs="Arial"/>
                <w:color w:val="000000"/>
                <w:szCs w:val="18"/>
                <w:lang w:val="it-IT" w:eastAsia="it-IT"/>
              </w:rPr>
              <w:t>153</w:t>
            </w:r>
          </w:p>
        </w:tc>
      </w:tr>
      <w:tr w:rsidR="002B7DAA" w:rsidRPr="00080CB4" w14:paraId="0188EC74" w14:textId="77777777" w:rsidTr="00080CB4">
        <w:trPr>
          <w:trHeight w:val="320"/>
        </w:trPr>
        <w:tc>
          <w:tcPr>
            <w:tcW w:w="0" w:type="auto"/>
            <w:noWrap/>
            <w:vAlign w:val="center"/>
            <w:hideMark/>
          </w:tcPr>
          <w:p w14:paraId="4CB30C79" w14:textId="77777777" w:rsidR="002B7DAA" w:rsidRPr="00080CB4" w:rsidRDefault="002B7DAA" w:rsidP="00767B6A">
            <w:pPr>
              <w:tabs>
                <w:tab w:val="clear" w:pos="7100"/>
              </w:tabs>
              <w:spacing w:line="240" w:lineRule="auto"/>
              <w:jc w:val="left"/>
              <w:rPr>
                <w:rFonts w:cs="Arial"/>
                <w:color w:val="000000"/>
                <w:szCs w:val="18"/>
                <w:lang w:val="it-IT" w:eastAsia="it-IT"/>
              </w:rPr>
            </w:pPr>
            <w:r w:rsidRPr="00080CB4">
              <w:rPr>
                <w:rFonts w:cs="Arial"/>
                <w:color w:val="000000"/>
                <w:szCs w:val="18"/>
                <w:lang w:val="it-IT" w:eastAsia="it-IT"/>
              </w:rPr>
              <w:t xml:space="preserve">Tank </w:t>
            </w:r>
            <w:proofErr w:type="spellStart"/>
            <w:r w:rsidRPr="00080CB4">
              <w:rPr>
                <w:rFonts w:cs="Arial"/>
                <w:color w:val="000000"/>
                <w:szCs w:val="18"/>
                <w:lang w:val="it-IT" w:eastAsia="it-IT"/>
              </w:rPr>
              <w:t>Depreciation</w:t>
            </w:r>
            <w:proofErr w:type="spellEnd"/>
            <w:r w:rsidRPr="00080CB4">
              <w:rPr>
                <w:rFonts w:cs="Arial"/>
                <w:color w:val="000000"/>
                <w:szCs w:val="18"/>
                <w:lang w:val="it-IT" w:eastAsia="it-IT"/>
              </w:rPr>
              <w:t xml:space="preserve"> (€)</w:t>
            </w:r>
          </w:p>
        </w:tc>
        <w:tc>
          <w:tcPr>
            <w:tcW w:w="0" w:type="auto"/>
            <w:tcBorders>
              <w:top w:val="nil"/>
              <w:left w:val="nil"/>
              <w:bottom w:val="nil"/>
              <w:right w:val="nil"/>
            </w:tcBorders>
            <w:noWrap/>
            <w:vAlign w:val="center"/>
            <w:hideMark/>
          </w:tcPr>
          <w:p w14:paraId="0BF25DF2" w14:textId="77777777" w:rsidR="002B7DAA" w:rsidRPr="00080CB4" w:rsidRDefault="002B7DAA" w:rsidP="00767B6A">
            <w:pPr>
              <w:tabs>
                <w:tab w:val="clear" w:pos="7100"/>
              </w:tabs>
              <w:spacing w:line="240" w:lineRule="auto"/>
              <w:jc w:val="left"/>
              <w:rPr>
                <w:rFonts w:cs="Arial"/>
                <w:color w:val="000000"/>
                <w:szCs w:val="18"/>
                <w:lang w:val="it-IT" w:eastAsia="it-IT"/>
              </w:rPr>
            </w:pPr>
            <w:r w:rsidRPr="00080CB4">
              <w:rPr>
                <w:rFonts w:cs="Arial"/>
                <w:color w:val="000000"/>
                <w:szCs w:val="18"/>
                <w:lang w:val="it-IT" w:eastAsia="it-IT"/>
              </w:rPr>
              <w:t>30.6</w:t>
            </w:r>
          </w:p>
        </w:tc>
        <w:tc>
          <w:tcPr>
            <w:tcW w:w="0" w:type="auto"/>
            <w:tcBorders>
              <w:top w:val="nil"/>
              <w:left w:val="nil"/>
              <w:bottom w:val="nil"/>
              <w:right w:val="nil"/>
            </w:tcBorders>
            <w:noWrap/>
            <w:vAlign w:val="center"/>
            <w:hideMark/>
          </w:tcPr>
          <w:p w14:paraId="6C0AB42D" w14:textId="77777777" w:rsidR="002B7DAA" w:rsidRPr="00080CB4" w:rsidRDefault="002B7DAA" w:rsidP="00767B6A">
            <w:pPr>
              <w:tabs>
                <w:tab w:val="clear" w:pos="7100"/>
              </w:tabs>
              <w:spacing w:line="240" w:lineRule="auto"/>
              <w:jc w:val="left"/>
              <w:rPr>
                <w:rFonts w:cs="Arial"/>
                <w:color w:val="000000"/>
                <w:szCs w:val="18"/>
                <w:lang w:val="it-IT" w:eastAsia="it-IT"/>
              </w:rPr>
            </w:pPr>
            <w:r w:rsidRPr="00080CB4">
              <w:rPr>
                <w:rFonts w:cs="Arial"/>
                <w:color w:val="000000"/>
                <w:szCs w:val="18"/>
                <w:lang w:val="it-IT" w:eastAsia="it-IT"/>
              </w:rPr>
              <w:t>24</w:t>
            </w:r>
          </w:p>
        </w:tc>
        <w:tc>
          <w:tcPr>
            <w:tcW w:w="0" w:type="auto"/>
            <w:tcBorders>
              <w:top w:val="nil"/>
              <w:left w:val="nil"/>
              <w:bottom w:val="nil"/>
              <w:right w:val="nil"/>
            </w:tcBorders>
            <w:noWrap/>
            <w:vAlign w:val="center"/>
            <w:hideMark/>
          </w:tcPr>
          <w:p w14:paraId="71AF0314" w14:textId="77777777" w:rsidR="002B7DAA" w:rsidRPr="00080CB4" w:rsidRDefault="002B7DAA" w:rsidP="00767B6A">
            <w:pPr>
              <w:tabs>
                <w:tab w:val="clear" w:pos="7100"/>
              </w:tabs>
              <w:spacing w:line="240" w:lineRule="auto"/>
              <w:jc w:val="left"/>
              <w:rPr>
                <w:rFonts w:cs="Arial"/>
                <w:color w:val="000000"/>
                <w:szCs w:val="18"/>
                <w:lang w:val="it-IT" w:eastAsia="it-IT"/>
              </w:rPr>
            </w:pPr>
            <w:r w:rsidRPr="00080CB4">
              <w:rPr>
                <w:rFonts w:cs="Arial"/>
                <w:color w:val="000000"/>
                <w:szCs w:val="18"/>
                <w:lang w:val="it-IT" w:eastAsia="it-IT"/>
              </w:rPr>
              <w:t>32.1</w:t>
            </w:r>
          </w:p>
        </w:tc>
        <w:tc>
          <w:tcPr>
            <w:tcW w:w="0" w:type="auto"/>
            <w:tcBorders>
              <w:top w:val="nil"/>
              <w:left w:val="nil"/>
              <w:bottom w:val="nil"/>
            </w:tcBorders>
            <w:noWrap/>
            <w:vAlign w:val="center"/>
            <w:hideMark/>
          </w:tcPr>
          <w:p w14:paraId="62160349" w14:textId="77777777" w:rsidR="002B7DAA" w:rsidRPr="00080CB4" w:rsidRDefault="002B7DAA" w:rsidP="00767B6A">
            <w:pPr>
              <w:tabs>
                <w:tab w:val="clear" w:pos="7100"/>
              </w:tabs>
              <w:spacing w:line="240" w:lineRule="auto"/>
              <w:jc w:val="left"/>
              <w:rPr>
                <w:rFonts w:cs="Arial"/>
                <w:color w:val="000000"/>
                <w:szCs w:val="18"/>
                <w:lang w:val="it-IT" w:eastAsia="it-IT"/>
              </w:rPr>
            </w:pPr>
            <w:r w:rsidRPr="00080CB4">
              <w:rPr>
                <w:rFonts w:cs="Arial"/>
                <w:color w:val="000000"/>
                <w:szCs w:val="18"/>
                <w:lang w:val="it-IT" w:eastAsia="it-IT"/>
              </w:rPr>
              <w:t>25.5</w:t>
            </w:r>
          </w:p>
        </w:tc>
      </w:tr>
      <w:tr w:rsidR="002B7DAA" w:rsidRPr="00080CB4" w14:paraId="5388D842" w14:textId="77777777" w:rsidTr="00080CB4">
        <w:trPr>
          <w:trHeight w:val="320"/>
        </w:trPr>
        <w:tc>
          <w:tcPr>
            <w:tcW w:w="0" w:type="auto"/>
            <w:tcBorders>
              <w:bottom w:val="single" w:sz="4" w:space="0" w:color="auto"/>
            </w:tcBorders>
            <w:noWrap/>
            <w:vAlign w:val="center"/>
            <w:hideMark/>
          </w:tcPr>
          <w:p w14:paraId="0A286CC5" w14:textId="57E9BF84" w:rsidR="002B7DAA" w:rsidRPr="00080CB4" w:rsidRDefault="002B7DAA" w:rsidP="00767B6A">
            <w:pPr>
              <w:tabs>
                <w:tab w:val="clear" w:pos="7100"/>
              </w:tabs>
              <w:spacing w:line="240" w:lineRule="auto"/>
              <w:jc w:val="left"/>
              <w:rPr>
                <w:rFonts w:cs="Arial"/>
                <w:color w:val="000000"/>
                <w:szCs w:val="18"/>
                <w:lang w:val="it-IT" w:eastAsia="it-IT"/>
              </w:rPr>
            </w:pPr>
            <w:r w:rsidRPr="00080CB4">
              <w:rPr>
                <w:rFonts w:cs="Arial"/>
                <w:color w:val="000000"/>
                <w:szCs w:val="18"/>
                <w:lang w:val="it-IT" w:eastAsia="it-IT"/>
              </w:rPr>
              <w:t>Cost (€</w:t>
            </w:r>
            <w:r w:rsidR="00BA2653" w:rsidRPr="00080CB4">
              <w:rPr>
                <w:rFonts w:cs="Arial"/>
                <w:color w:val="000000"/>
                <w:szCs w:val="18"/>
                <w:lang w:val="it-IT" w:eastAsia="it-IT"/>
              </w:rPr>
              <w:t>/</w:t>
            </w:r>
            <w:proofErr w:type="spellStart"/>
            <w:r w:rsidR="00BA2653" w:rsidRPr="00080CB4">
              <w:rPr>
                <w:rFonts w:cs="Arial"/>
                <w:color w:val="000000"/>
                <w:szCs w:val="18"/>
                <w:lang w:val="it-IT" w:eastAsia="it-IT"/>
              </w:rPr>
              <w:t>hL</w:t>
            </w:r>
            <w:proofErr w:type="spellEnd"/>
            <w:r w:rsidRPr="00080CB4">
              <w:rPr>
                <w:rFonts w:cs="Arial"/>
                <w:color w:val="000000"/>
                <w:szCs w:val="18"/>
                <w:lang w:val="it-IT" w:eastAsia="it-IT"/>
              </w:rPr>
              <w:t>)</w:t>
            </w:r>
          </w:p>
        </w:tc>
        <w:tc>
          <w:tcPr>
            <w:tcW w:w="0" w:type="auto"/>
            <w:tcBorders>
              <w:top w:val="nil"/>
              <w:left w:val="nil"/>
              <w:bottom w:val="single" w:sz="4" w:space="0" w:color="auto"/>
              <w:right w:val="nil"/>
            </w:tcBorders>
            <w:noWrap/>
            <w:vAlign w:val="center"/>
            <w:hideMark/>
          </w:tcPr>
          <w:p w14:paraId="4BE17BDC" w14:textId="77777777" w:rsidR="002B7DAA" w:rsidRPr="00080CB4" w:rsidRDefault="002B7DAA" w:rsidP="00767B6A">
            <w:pPr>
              <w:tabs>
                <w:tab w:val="clear" w:pos="7100"/>
              </w:tabs>
              <w:spacing w:line="240" w:lineRule="auto"/>
              <w:jc w:val="left"/>
              <w:rPr>
                <w:rFonts w:cs="Arial"/>
                <w:color w:val="000000"/>
                <w:szCs w:val="18"/>
                <w:lang w:val="it-IT" w:eastAsia="it-IT"/>
              </w:rPr>
            </w:pPr>
            <w:r w:rsidRPr="00080CB4">
              <w:rPr>
                <w:rFonts w:cs="Arial"/>
                <w:color w:val="000000"/>
                <w:szCs w:val="18"/>
                <w:lang w:val="it-IT" w:eastAsia="it-IT"/>
              </w:rPr>
              <w:t>6.751</w:t>
            </w:r>
          </w:p>
        </w:tc>
        <w:tc>
          <w:tcPr>
            <w:tcW w:w="0" w:type="auto"/>
            <w:tcBorders>
              <w:top w:val="nil"/>
              <w:left w:val="nil"/>
              <w:bottom w:val="single" w:sz="4" w:space="0" w:color="auto"/>
              <w:right w:val="nil"/>
            </w:tcBorders>
            <w:noWrap/>
            <w:vAlign w:val="center"/>
            <w:hideMark/>
          </w:tcPr>
          <w:p w14:paraId="24598CE7" w14:textId="77777777" w:rsidR="002B7DAA" w:rsidRPr="00080CB4" w:rsidRDefault="002B7DAA" w:rsidP="00767B6A">
            <w:pPr>
              <w:tabs>
                <w:tab w:val="clear" w:pos="7100"/>
              </w:tabs>
              <w:spacing w:line="240" w:lineRule="auto"/>
              <w:jc w:val="left"/>
              <w:rPr>
                <w:rFonts w:cs="Arial"/>
                <w:color w:val="000000"/>
                <w:szCs w:val="18"/>
                <w:lang w:val="it-IT" w:eastAsia="it-IT"/>
              </w:rPr>
            </w:pPr>
            <w:r w:rsidRPr="00080CB4">
              <w:rPr>
                <w:rFonts w:cs="Arial"/>
                <w:color w:val="000000"/>
                <w:szCs w:val="18"/>
                <w:lang w:val="it-IT" w:eastAsia="it-IT"/>
              </w:rPr>
              <w:t>6.254</w:t>
            </w:r>
          </w:p>
        </w:tc>
        <w:tc>
          <w:tcPr>
            <w:tcW w:w="0" w:type="auto"/>
            <w:tcBorders>
              <w:top w:val="nil"/>
              <w:left w:val="nil"/>
              <w:bottom w:val="single" w:sz="4" w:space="0" w:color="auto"/>
              <w:right w:val="nil"/>
            </w:tcBorders>
            <w:noWrap/>
            <w:vAlign w:val="center"/>
            <w:hideMark/>
          </w:tcPr>
          <w:p w14:paraId="1A7F3590" w14:textId="77777777" w:rsidR="002B7DAA" w:rsidRPr="00080CB4" w:rsidRDefault="002B7DAA" w:rsidP="00767B6A">
            <w:pPr>
              <w:tabs>
                <w:tab w:val="clear" w:pos="7100"/>
              </w:tabs>
              <w:spacing w:line="240" w:lineRule="auto"/>
              <w:jc w:val="left"/>
              <w:rPr>
                <w:rFonts w:cs="Arial"/>
                <w:color w:val="000000"/>
                <w:szCs w:val="18"/>
                <w:lang w:val="it-IT" w:eastAsia="it-IT"/>
              </w:rPr>
            </w:pPr>
            <w:r w:rsidRPr="00080CB4">
              <w:rPr>
                <w:rFonts w:cs="Arial"/>
                <w:color w:val="000000"/>
                <w:szCs w:val="18"/>
                <w:lang w:val="it-IT" w:eastAsia="it-IT"/>
              </w:rPr>
              <w:t>5.7995</w:t>
            </w:r>
          </w:p>
        </w:tc>
        <w:tc>
          <w:tcPr>
            <w:tcW w:w="0" w:type="auto"/>
            <w:tcBorders>
              <w:top w:val="nil"/>
              <w:left w:val="nil"/>
              <w:bottom w:val="single" w:sz="4" w:space="0" w:color="auto"/>
            </w:tcBorders>
            <w:noWrap/>
            <w:vAlign w:val="center"/>
            <w:hideMark/>
          </w:tcPr>
          <w:p w14:paraId="1D369F45" w14:textId="77777777" w:rsidR="002B7DAA" w:rsidRPr="00080CB4" w:rsidRDefault="002B7DAA" w:rsidP="00767B6A">
            <w:pPr>
              <w:tabs>
                <w:tab w:val="clear" w:pos="7100"/>
              </w:tabs>
              <w:spacing w:line="240" w:lineRule="auto"/>
              <w:jc w:val="left"/>
              <w:rPr>
                <w:rFonts w:cs="Arial"/>
                <w:color w:val="000000"/>
                <w:szCs w:val="18"/>
                <w:lang w:val="it-IT" w:eastAsia="it-IT"/>
              </w:rPr>
            </w:pPr>
            <w:r w:rsidRPr="00080CB4">
              <w:rPr>
                <w:rFonts w:cs="Arial"/>
                <w:color w:val="000000"/>
                <w:szCs w:val="18"/>
                <w:lang w:val="it-IT" w:eastAsia="it-IT"/>
              </w:rPr>
              <w:t>5.3</w:t>
            </w:r>
          </w:p>
        </w:tc>
      </w:tr>
    </w:tbl>
    <w:p w14:paraId="2A75BBBE" w14:textId="64E6B30E" w:rsidR="00C817FD" w:rsidRDefault="00C817FD" w:rsidP="0024734B">
      <w:pPr>
        <w:pStyle w:val="CETHeading1"/>
      </w:pPr>
      <w:r>
        <w:t>Conclusion</w:t>
      </w:r>
    </w:p>
    <w:p w14:paraId="4E94C5BB" w14:textId="1E99F017" w:rsidR="00C817FD" w:rsidRPr="00C817FD" w:rsidRDefault="007C115D" w:rsidP="00C817FD">
      <w:pPr>
        <w:pStyle w:val="CETBodytext"/>
      </w:pPr>
      <w:r>
        <w:t xml:space="preserve">This study demonstrated that increasing fermentation temperature from 15 °C to 20 °C accelerates fermentation kinetics without negatively affecting the chemical and sensory quality of </w:t>
      </w:r>
      <w:proofErr w:type="spellStart"/>
      <w:r w:rsidRPr="009F00C7">
        <w:rPr>
          <w:i/>
          <w:iCs/>
        </w:rPr>
        <w:t>Catarratto</w:t>
      </w:r>
      <w:proofErr w:type="spellEnd"/>
      <w:r>
        <w:t xml:space="preserve"> and </w:t>
      </w:r>
      <w:r w:rsidRPr="009F00C7">
        <w:rPr>
          <w:i/>
          <w:iCs/>
        </w:rPr>
        <w:t>Inzolia</w:t>
      </w:r>
      <w:r>
        <w:t xml:space="preserve"> wines. The yeast strain had a greater influence on aroma perception than temperature, while volatile and carbonyl compounds remained within acceptable sensory ranges. Importantly, fermentations conducted at 20 °C significantly reduced production costs due to lower energy and labor requirements. These findings suggest that moderate fermentation temperatures, combined with suitable yeast strains, represent a practical strategy to improve both the economic and environmental sustainability of white wine production.</w:t>
      </w:r>
    </w:p>
    <w:p w14:paraId="6057AD15" w14:textId="33316448" w:rsidR="00533338" w:rsidRDefault="00CF6E97" w:rsidP="00533338">
      <w:pPr>
        <w:pStyle w:val="CETHeading1"/>
      </w:pPr>
      <w:r>
        <w:t xml:space="preserve">References </w:t>
      </w:r>
    </w:p>
    <w:p w14:paraId="5A68F858" w14:textId="63D9F656" w:rsidR="007C115D" w:rsidRDefault="0024734B" w:rsidP="009F00C7">
      <w:pPr>
        <w:pStyle w:val="Bibliografia1"/>
        <w:spacing w:after="0"/>
        <w:rPr>
          <w:rFonts w:cs="Arial"/>
        </w:rPr>
      </w:pPr>
      <w:r>
        <w:fldChar w:fldCharType="begin"/>
      </w:r>
      <w:r w:rsidRPr="00F27058">
        <w:rPr>
          <w:lang w:val="en-US"/>
        </w:rPr>
        <w:instrText xml:space="preserve"> ADDIN ZOTERO_BIBL {"uncited":[],"omitted":[],"custom":[]} CSL_BIBLIOGRAPHY </w:instrText>
      </w:r>
      <w:r>
        <w:fldChar w:fldCharType="separate"/>
      </w:r>
      <w:r w:rsidRPr="00F27058">
        <w:rPr>
          <w:rFonts w:cs="Arial"/>
          <w:lang w:val="en-US"/>
        </w:rPr>
        <w:t>Boulton R</w:t>
      </w:r>
      <w:r w:rsidR="00F27058" w:rsidRPr="00F27058">
        <w:rPr>
          <w:rFonts w:cs="Arial"/>
          <w:lang w:val="en-US"/>
        </w:rPr>
        <w:t xml:space="preserve">. </w:t>
      </w:r>
      <w:r w:rsidRPr="00F27058">
        <w:rPr>
          <w:rFonts w:cs="Arial"/>
          <w:lang w:val="en-US"/>
        </w:rPr>
        <w:t>B., Vernon L. S</w:t>
      </w:r>
      <w:r w:rsidR="00F27058" w:rsidRPr="00F27058">
        <w:rPr>
          <w:rFonts w:cs="Arial"/>
          <w:lang w:val="en-US"/>
        </w:rPr>
        <w:t>.</w:t>
      </w:r>
      <w:r w:rsidRPr="00F27058">
        <w:rPr>
          <w:rFonts w:cs="Arial"/>
          <w:lang w:val="en-US"/>
        </w:rPr>
        <w:t>, Linda F. B</w:t>
      </w:r>
      <w:r w:rsidR="00F27058" w:rsidRPr="00F27058">
        <w:rPr>
          <w:rFonts w:cs="Arial"/>
          <w:lang w:val="en-US"/>
        </w:rPr>
        <w:t>.</w:t>
      </w:r>
      <w:r w:rsidRPr="00F27058">
        <w:rPr>
          <w:rFonts w:cs="Arial"/>
          <w:lang w:val="en-US"/>
        </w:rPr>
        <w:t>, e Ralph E.</w:t>
      </w:r>
      <w:r w:rsidR="00F27058" w:rsidRPr="00F27058">
        <w:rPr>
          <w:rFonts w:cs="Arial"/>
          <w:lang w:val="en-US"/>
        </w:rPr>
        <w:t>K</w:t>
      </w:r>
      <w:r w:rsidRPr="00F27058">
        <w:rPr>
          <w:rFonts w:cs="Arial"/>
          <w:lang w:val="en-US"/>
        </w:rPr>
        <w:t>.</w:t>
      </w:r>
      <w:r w:rsidR="00F27058" w:rsidRPr="00F27058">
        <w:rPr>
          <w:rFonts w:cs="Arial"/>
          <w:lang w:val="en-US"/>
        </w:rPr>
        <w:t>,</w:t>
      </w:r>
      <w:r w:rsidRPr="00F27058">
        <w:rPr>
          <w:rFonts w:cs="Arial"/>
          <w:lang w:val="en-US"/>
        </w:rPr>
        <w:t xml:space="preserve"> </w:t>
      </w:r>
      <w:r w:rsidRPr="0024734B">
        <w:rPr>
          <w:rFonts w:cs="Arial"/>
        </w:rPr>
        <w:t>1999</w:t>
      </w:r>
      <w:r w:rsidR="009F00C7">
        <w:rPr>
          <w:rFonts w:cs="Arial"/>
        </w:rPr>
        <w:t xml:space="preserve">, </w:t>
      </w:r>
      <w:r w:rsidRPr="0024734B">
        <w:rPr>
          <w:rFonts w:cs="Arial"/>
        </w:rPr>
        <w:t xml:space="preserve">Yeast and </w:t>
      </w:r>
      <w:r w:rsidR="009F00C7">
        <w:rPr>
          <w:rFonts w:cs="Arial"/>
        </w:rPr>
        <w:t>b</w:t>
      </w:r>
      <w:r w:rsidRPr="0024734B">
        <w:rPr>
          <w:rFonts w:cs="Arial"/>
        </w:rPr>
        <w:t xml:space="preserve">iochemistry of </w:t>
      </w:r>
      <w:r w:rsidR="009F00C7">
        <w:rPr>
          <w:rFonts w:cs="Arial"/>
        </w:rPr>
        <w:t>e</w:t>
      </w:r>
      <w:r w:rsidRPr="0024734B">
        <w:rPr>
          <w:rFonts w:cs="Arial"/>
        </w:rPr>
        <w:t xml:space="preserve">thanol </w:t>
      </w:r>
      <w:r w:rsidR="009F00C7">
        <w:rPr>
          <w:rFonts w:cs="Arial"/>
        </w:rPr>
        <w:t>f</w:t>
      </w:r>
      <w:r w:rsidRPr="0024734B">
        <w:rPr>
          <w:rFonts w:cs="Arial"/>
        </w:rPr>
        <w:t>ermentation</w:t>
      </w:r>
      <w:r w:rsidR="009F00C7">
        <w:rPr>
          <w:rFonts w:cs="Arial"/>
        </w:rPr>
        <w:t>,</w:t>
      </w:r>
      <w:r w:rsidRPr="0024734B">
        <w:rPr>
          <w:rFonts w:cs="Arial"/>
        </w:rPr>
        <w:t xml:space="preserve"> </w:t>
      </w:r>
      <w:r w:rsidRPr="0024734B">
        <w:rPr>
          <w:rFonts w:cs="Arial"/>
          <w:i/>
          <w:iCs/>
        </w:rPr>
        <w:t>Principles and Practices of Winemaking</w:t>
      </w:r>
      <w:r w:rsidRPr="0024734B">
        <w:rPr>
          <w:rFonts w:cs="Arial"/>
        </w:rPr>
        <w:t>, Springer US.</w:t>
      </w:r>
    </w:p>
    <w:p w14:paraId="1EB2BA50" w14:textId="692569FA" w:rsidR="0024734B" w:rsidRPr="0024734B" w:rsidRDefault="0024734B" w:rsidP="007C115D">
      <w:pPr>
        <w:pStyle w:val="Bibliografia1"/>
        <w:spacing w:after="0"/>
        <w:rPr>
          <w:rFonts w:cs="Arial"/>
        </w:rPr>
      </w:pPr>
      <w:r w:rsidRPr="00F27058">
        <w:rPr>
          <w:rFonts w:cs="Arial"/>
          <w:lang w:val="en-US"/>
        </w:rPr>
        <w:t>Cejudo-Bastante</w:t>
      </w:r>
      <w:r w:rsidR="00F27058" w:rsidRPr="00F27058">
        <w:rPr>
          <w:rFonts w:cs="Arial"/>
          <w:lang w:val="en-US"/>
        </w:rPr>
        <w:t xml:space="preserve"> </w:t>
      </w:r>
      <w:r w:rsidRPr="00F27058">
        <w:rPr>
          <w:rFonts w:cs="Arial"/>
          <w:lang w:val="en-US"/>
        </w:rPr>
        <w:t>M</w:t>
      </w:r>
      <w:r w:rsidR="00F27058" w:rsidRPr="00F27058">
        <w:rPr>
          <w:rFonts w:cs="Arial"/>
          <w:lang w:val="en-US"/>
        </w:rPr>
        <w:t>.</w:t>
      </w:r>
      <w:r w:rsidRPr="00F27058">
        <w:rPr>
          <w:rFonts w:cs="Arial"/>
          <w:lang w:val="en-US"/>
        </w:rPr>
        <w:t xml:space="preserve"> J</w:t>
      </w:r>
      <w:r w:rsidR="00F27058" w:rsidRPr="00F27058">
        <w:rPr>
          <w:rFonts w:cs="Arial"/>
          <w:lang w:val="en-US"/>
        </w:rPr>
        <w:t>.</w:t>
      </w:r>
      <w:r w:rsidRPr="00F27058">
        <w:rPr>
          <w:rFonts w:cs="Arial"/>
          <w:lang w:val="en-US"/>
        </w:rPr>
        <w:t>, Isidro H</w:t>
      </w:r>
      <w:r w:rsidR="00F27058" w:rsidRPr="00F27058">
        <w:rPr>
          <w:rFonts w:cs="Arial"/>
          <w:lang w:val="en-US"/>
        </w:rPr>
        <w:t>.</w:t>
      </w:r>
      <w:r w:rsidRPr="00F27058">
        <w:rPr>
          <w:rFonts w:cs="Arial"/>
          <w:lang w:val="en-US"/>
        </w:rPr>
        <w:t>G</w:t>
      </w:r>
      <w:r w:rsidR="00F27058" w:rsidRPr="00F27058">
        <w:rPr>
          <w:rFonts w:cs="Arial"/>
          <w:lang w:val="en-US"/>
        </w:rPr>
        <w:t xml:space="preserve">., </w:t>
      </w:r>
      <w:r w:rsidRPr="00F27058">
        <w:rPr>
          <w:rFonts w:cs="Arial"/>
          <w:lang w:val="en-US"/>
        </w:rPr>
        <w:t>María Soledad P</w:t>
      </w:r>
      <w:r w:rsidR="00F27058" w:rsidRPr="00F27058">
        <w:rPr>
          <w:rFonts w:cs="Arial"/>
          <w:lang w:val="en-US"/>
        </w:rPr>
        <w:t>.</w:t>
      </w:r>
      <w:r w:rsidR="00F27058">
        <w:rPr>
          <w:rFonts w:cs="Arial"/>
          <w:lang w:val="en-US"/>
        </w:rPr>
        <w:t>,</w:t>
      </w:r>
      <w:r w:rsidRPr="00F27058">
        <w:rPr>
          <w:rFonts w:cs="Arial"/>
          <w:lang w:val="en-US"/>
        </w:rPr>
        <w:t xml:space="preserve"> </w:t>
      </w:r>
      <w:r w:rsidRPr="0024734B">
        <w:rPr>
          <w:rFonts w:cs="Arial"/>
        </w:rPr>
        <w:t>2013</w:t>
      </w:r>
      <w:r w:rsidR="009F00C7">
        <w:rPr>
          <w:rFonts w:cs="Arial"/>
        </w:rPr>
        <w:t xml:space="preserve">, </w:t>
      </w:r>
      <w:r w:rsidRPr="0024734B">
        <w:rPr>
          <w:rFonts w:cs="Arial"/>
        </w:rPr>
        <w:t xml:space="preserve">Accelerated </w:t>
      </w:r>
      <w:r w:rsidR="009F00C7">
        <w:rPr>
          <w:rFonts w:cs="Arial"/>
        </w:rPr>
        <w:t>a</w:t>
      </w:r>
      <w:r w:rsidRPr="0024734B">
        <w:rPr>
          <w:rFonts w:cs="Arial"/>
        </w:rPr>
        <w:t xml:space="preserve">ging against </w:t>
      </w:r>
      <w:r w:rsidR="009F00C7">
        <w:rPr>
          <w:rFonts w:cs="Arial"/>
        </w:rPr>
        <w:t>c</w:t>
      </w:r>
      <w:r w:rsidRPr="0024734B">
        <w:rPr>
          <w:rFonts w:cs="Arial"/>
        </w:rPr>
        <w:t xml:space="preserve">onventional </w:t>
      </w:r>
      <w:r w:rsidR="009F00C7">
        <w:rPr>
          <w:rFonts w:cs="Arial"/>
        </w:rPr>
        <w:t>s</w:t>
      </w:r>
      <w:r w:rsidRPr="0024734B">
        <w:rPr>
          <w:rFonts w:cs="Arial"/>
        </w:rPr>
        <w:t xml:space="preserve">torage: </w:t>
      </w:r>
      <w:r w:rsidR="009F00C7">
        <w:rPr>
          <w:rFonts w:cs="Arial"/>
        </w:rPr>
        <w:t>e</w:t>
      </w:r>
      <w:r w:rsidRPr="0024734B">
        <w:rPr>
          <w:rFonts w:cs="Arial"/>
        </w:rPr>
        <w:t xml:space="preserve">ffects on the </w:t>
      </w:r>
      <w:r w:rsidR="009F00C7">
        <w:rPr>
          <w:rFonts w:cs="Arial"/>
        </w:rPr>
        <w:t>v</w:t>
      </w:r>
      <w:r w:rsidRPr="0024734B">
        <w:rPr>
          <w:rFonts w:cs="Arial"/>
        </w:rPr>
        <w:t xml:space="preserve">olatile </w:t>
      </w:r>
      <w:r w:rsidR="009F00C7">
        <w:rPr>
          <w:rFonts w:cs="Arial"/>
        </w:rPr>
        <w:t>c</w:t>
      </w:r>
      <w:r w:rsidRPr="0024734B">
        <w:rPr>
          <w:rFonts w:cs="Arial"/>
        </w:rPr>
        <w:t xml:space="preserve">omposition of Chardonnay </w:t>
      </w:r>
      <w:r w:rsidR="009F00C7">
        <w:rPr>
          <w:rFonts w:cs="Arial"/>
        </w:rPr>
        <w:t>w</w:t>
      </w:r>
      <w:r w:rsidRPr="0024734B">
        <w:rPr>
          <w:rFonts w:cs="Arial"/>
        </w:rPr>
        <w:t xml:space="preserve">hite </w:t>
      </w:r>
      <w:r w:rsidR="009F00C7">
        <w:rPr>
          <w:rFonts w:cs="Arial"/>
        </w:rPr>
        <w:t>w</w:t>
      </w:r>
      <w:r w:rsidRPr="0024734B">
        <w:rPr>
          <w:rFonts w:cs="Arial"/>
        </w:rPr>
        <w:t>ines</w:t>
      </w:r>
      <w:r w:rsidR="009F00C7">
        <w:rPr>
          <w:rFonts w:cs="Arial"/>
        </w:rPr>
        <w:t>,</w:t>
      </w:r>
      <w:r w:rsidRPr="0024734B">
        <w:rPr>
          <w:rFonts w:cs="Arial"/>
        </w:rPr>
        <w:t xml:space="preserve"> </w:t>
      </w:r>
      <w:r w:rsidRPr="0024734B">
        <w:rPr>
          <w:rFonts w:cs="Arial"/>
          <w:i/>
          <w:iCs/>
        </w:rPr>
        <w:t>Journal of Food Science</w:t>
      </w:r>
      <w:r w:rsidR="009F00C7">
        <w:rPr>
          <w:rFonts w:cs="Arial"/>
          <w:i/>
          <w:iCs/>
        </w:rPr>
        <w:t>,</w:t>
      </w:r>
      <w:r w:rsidRPr="0024734B">
        <w:rPr>
          <w:rFonts w:cs="Arial"/>
        </w:rPr>
        <w:t xml:space="preserve"> 78</w:t>
      </w:r>
      <w:r w:rsidR="009F00C7">
        <w:rPr>
          <w:rFonts w:cs="Arial"/>
        </w:rPr>
        <w:t xml:space="preserve">, </w:t>
      </w:r>
      <w:r w:rsidRPr="0024734B">
        <w:rPr>
          <w:rFonts w:cs="Arial"/>
        </w:rPr>
        <w:t>4</w:t>
      </w:r>
      <w:r w:rsidR="009F00C7">
        <w:rPr>
          <w:rFonts w:cs="Arial"/>
        </w:rPr>
        <w:t>,</w:t>
      </w:r>
      <w:r w:rsidRPr="0024734B">
        <w:rPr>
          <w:rFonts w:cs="Arial"/>
        </w:rPr>
        <w:t xml:space="preserve"> C507–13. </w:t>
      </w:r>
    </w:p>
    <w:p w14:paraId="49A25D23" w14:textId="5142BEFE" w:rsidR="0024734B" w:rsidRPr="0024734B" w:rsidRDefault="0024734B" w:rsidP="007C115D">
      <w:pPr>
        <w:pStyle w:val="Bibliografia1"/>
        <w:spacing w:after="0"/>
        <w:rPr>
          <w:rFonts w:cs="Arial"/>
        </w:rPr>
      </w:pPr>
      <w:r w:rsidRPr="0024734B">
        <w:rPr>
          <w:rFonts w:cs="Arial"/>
        </w:rPr>
        <w:t>Christ K</w:t>
      </w:r>
      <w:r w:rsidR="00F27058">
        <w:rPr>
          <w:rFonts w:cs="Arial"/>
        </w:rPr>
        <w:t>.</w:t>
      </w:r>
      <w:r w:rsidRPr="0024734B">
        <w:rPr>
          <w:rFonts w:cs="Arial"/>
        </w:rPr>
        <w:t xml:space="preserve"> L., </w:t>
      </w:r>
      <w:r w:rsidR="00F27058">
        <w:rPr>
          <w:rFonts w:cs="Arial"/>
        </w:rPr>
        <w:t>and</w:t>
      </w:r>
      <w:r w:rsidRPr="0024734B">
        <w:rPr>
          <w:rFonts w:cs="Arial"/>
        </w:rPr>
        <w:t xml:space="preserve"> Roger L. B.</w:t>
      </w:r>
      <w:r w:rsidR="00F27058">
        <w:rPr>
          <w:rFonts w:cs="Arial"/>
        </w:rPr>
        <w:t>,</w:t>
      </w:r>
      <w:r w:rsidRPr="0024734B">
        <w:rPr>
          <w:rFonts w:cs="Arial"/>
        </w:rPr>
        <w:t xml:space="preserve"> 2013</w:t>
      </w:r>
      <w:r w:rsidR="009F00C7">
        <w:rPr>
          <w:rFonts w:cs="Arial"/>
        </w:rPr>
        <w:t xml:space="preserve">, </w:t>
      </w:r>
      <w:r w:rsidRPr="0024734B">
        <w:rPr>
          <w:rFonts w:cs="Arial"/>
        </w:rPr>
        <w:t>Critical environmental concerns in wine production: an integrative review</w:t>
      </w:r>
      <w:r w:rsidR="009F00C7">
        <w:rPr>
          <w:rFonts w:cs="Arial"/>
        </w:rPr>
        <w:t>,</w:t>
      </w:r>
      <w:r w:rsidRPr="0024734B">
        <w:rPr>
          <w:rFonts w:cs="Arial"/>
        </w:rPr>
        <w:t xml:space="preserve"> </w:t>
      </w:r>
      <w:r w:rsidRPr="0024734B">
        <w:rPr>
          <w:rFonts w:cs="Arial"/>
          <w:i/>
          <w:iCs/>
        </w:rPr>
        <w:t>Journal of Cleaner Production</w:t>
      </w:r>
      <w:r w:rsidR="009F00C7">
        <w:rPr>
          <w:rFonts w:cs="Arial"/>
          <w:i/>
          <w:iCs/>
        </w:rPr>
        <w:t>,</w:t>
      </w:r>
      <w:r w:rsidRPr="0024734B">
        <w:rPr>
          <w:rFonts w:cs="Arial"/>
        </w:rPr>
        <w:t xml:space="preserve"> 53</w:t>
      </w:r>
      <w:r w:rsidR="009F00C7">
        <w:rPr>
          <w:rFonts w:cs="Arial"/>
        </w:rPr>
        <w:t>,</w:t>
      </w:r>
      <w:r w:rsidRPr="0024734B">
        <w:rPr>
          <w:rFonts w:cs="Arial"/>
        </w:rPr>
        <w:t xml:space="preserve"> 232–42.</w:t>
      </w:r>
    </w:p>
    <w:p w14:paraId="74DBEBE4" w14:textId="7405E2FC" w:rsidR="0024734B" w:rsidRPr="0024734B" w:rsidRDefault="0024734B" w:rsidP="007C115D">
      <w:pPr>
        <w:pStyle w:val="Bibliografia1"/>
        <w:spacing w:after="0"/>
        <w:rPr>
          <w:rFonts w:cs="Arial"/>
        </w:rPr>
      </w:pPr>
      <w:r w:rsidRPr="009F00C7">
        <w:rPr>
          <w:rFonts w:cs="Arial"/>
          <w:lang w:val="en-US"/>
        </w:rPr>
        <w:t>Coetzee C., Buica</w:t>
      </w:r>
      <w:r w:rsidR="00450BF7">
        <w:rPr>
          <w:rFonts w:cs="Arial"/>
          <w:lang w:val="en-US"/>
        </w:rPr>
        <w:t xml:space="preserve"> A</w:t>
      </w:r>
      <w:r w:rsidRPr="009F00C7">
        <w:rPr>
          <w:rFonts w:cs="Arial"/>
          <w:lang w:val="en-US"/>
        </w:rPr>
        <w:t>, Du Toit</w:t>
      </w:r>
      <w:r w:rsidR="00450BF7">
        <w:rPr>
          <w:rFonts w:cs="Arial"/>
          <w:lang w:val="en-US"/>
        </w:rPr>
        <w:t xml:space="preserve"> </w:t>
      </w:r>
      <w:r w:rsidR="00450BF7" w:rsidRPr="009F00C7">
        <w:rPr>
          <w:rFonts w:cs="Arial"/>
          <w:lang w:val="en-US"/>
        </w:rPr>
        <w:t>W. J.</w:t>
      </w:r>
      <w:r w:rsidR="00450BF7">
        <w:rPr>
          <w:rFonts w:cs="Arial"/>
          <w:lang w:val="en-US"/>
        </w:rPr>
        <w:t>,</w:t>
      </w:r>
      <w:r w:rsidRPr="009F00C7">
        <w:rPr>
          <w:rFonts w:cs="Arial"/>
          <w:lang w:val="en-US"/>
        </w:rPr>
        <w:t xml:space="preserve"> 2018</w:t>
      </w:r>
      <w:r w:rsidR="009F00C7">
        <w:rPr>
          <w:rFonts w:cs="Arial"/>
          <w:lang w:val="en-US"/>
        </w:rPr>
        <w:t xml:space="preserve">, </w:t>
      </w:r>
      <w:r w:rsidRPr="0024734B">
        <w:rPr>
          <w:rFonts w:cs="Arial"/>
        </w:rPr>
        <w:t xml:space="preserve">The </w:t>
      </w:r>
      <w:r w:rsidR="009F00C7">
        <w:rPr>
          <w:rFonts w:cs="Arial"/>
        </w:rPr>
        <w:t>u</w:t>
      </w:r>
      <w:r w:rsidRPr="0024734B">
        <w:rPr>
          <w:rFonts w:cs="Arial"/>
        </w:rPr>
        <w:t>se of SO</w:t>
      </w:r>
      <w:r w:rsidRPr="009F00C7">
        <w:rPr>
          <w:rFonts w:cs="Arial"/>
          <w:vertAlign w:val="subscript"/>
        </w:rPr>
        <w:t>2</w:t>
      </w:r>
      <w:r w:rsidRPr="0024734B">
        <w:rPr>
          <w:rFonts w:cs="Arial"/>
        </w:rPr>
        <w:t xml:space="preserve"> to </w:t>
      </w:r>
      <w:r w:rsidR="009F00C7">
        <w:rPr>
          <w:rFonts w:cs="Arial"/>
        </w:rPr>
        <w:t>b</w:t>
      </w:r>
      <w:r w:rsidRPr="0024734B">
        <w:rPr>
          <w:rFonts w:cs="Arial"/>
        </w:rPr>
        <w:t xml:space="preserve">ind </w:t>
      </w:r>
      <w:r w:rsidR="009F00C7">
        <w:rPr>
          <w:rFonts w:cs="Arial"/>
        </w:rPr>
        <w:t>a</w:t>
      </w:r>
      <w:r w:rsidRPr="0024734B">
        <w:rPr>
          <w:rFonts w:cs="Arial"/>
        </w:rPr>
        <w:t xml:space="preserve">cetaldehyde in </w:t>
      </w:r>
      <w:r w:rsidR="009F00C7">
        <w:rPr>
          <w:rFonts w:cs="Arial"/>
        </w:rPr>
        <w:t>w</w:t>
      </w:r>
      <w:r w:rsidRPr="0024734B">
        <w:rPr>
          <w:rFonts w:cs="Arial"/>
        </w:rPr>
        <w:t xml:space="preserve">ine: </w:t>
      </w:r>
      <w:r w:rsidR="009F00C7">
        <w:rPr>
          <w:rFonts w:cs="Arial"/>
        </w:rPr>
        <w:t>s</w:t>
      </w:r>
      <w:r w:rsidRPr="0024734B">
        <w:rPr>
          <w:rFonts w:cs="Arial"/>
        </w:rPr>
        <w:t xml:space="preserve">ensory </w:t>
      </w:r>
      <w:r w:rsidR="009F00C7">
        <w:rPr>
          <w:rFonts w:cs="Arial"/>
        </w:rPr>
        <w:t>i</w:t>
      </w:r>
      <w:r w:rsidRPr="0024734B">
        <w:rPr>
          <w:rFonts w:cs="Arial"/>
        </w:rPr>
        <w:t xml:space="preserve">mplications». </w:t>
      </w:r>
      <w:r w:rsidRPr="0024734B">
        <w:rPr>
          <w:rFonts w:cs="Arial"/>
          <w:i/>
          <w:iCs/>
        </w:rPr>
        <w:t>South African Journal of Enology &amp; Viticulture</w:t>
      </w:r>
      <w:r w:rsidRPr="0024734B">
        <w:rPr>
          <w:rFonts w:cs="Arial"/>
        </w:rPr>
        <w:t xml:space="preserve"> 32</w:t>
      </w:r>
      <w:r w:rsidR="009F00C7">
        <w:rPr>
          <w:rFonts w:cs="Arial"/>
        </w:rPr>
        <w:t xml:space="preserve">, </w:t>
      </w:r>
      <w:r w:rsidRPr="0024734B">
        <w:rPr>
          <w:rFonts w:cs="Arial"/>
        </w:rPr>
        <w:t>2</w:t>
      </w:r>
      <w:r w:rsidR="009F00C7">
        <w:rPr>
          <w:rFonts w:cs="Arial"/>
        </w:rPr>
        <w:t>.</w:t>
      </w:r>
    </w:p>
    <w:p w14:paraId="33F58469" w14:textId="102AECC9" w:rsidR="0024734B" w:rsidRPr="0024734B" w:rsidRDefault="0024734B" w:rsidP="009F00C7">
      <w:pPr>
        <w:pStyle w:val="Bibliografia1"/>
        <w:spacing w:after="0"/>
        <w:rPr>
          <w:rFonts w:cs="Arial"/>
        </w:rPr>
      </w:pPr>
      <w:r w:rsidRPr="0024734B">
        <w:rPr>
          <w:rFonts w:cs="Arial"/>
        </w:rPr>
        <w:t>Corona O.</w:t>
      </w:r>
      <w:r w:rsidR="00450BF7">
        <w:rPr>
          <w:rFonts w:cs="Arial"/>
        </w:rPr>
        <w:t>,</w:t>
      </w:r>
      <w:r w:rsidRPr="0024734B">
        <w:rPr>
          <w:rFonts w:cs="Arial"/>
        </w:rPr>
        <w:t xml:space="preserve"> 2010</w:t>
      </w:r>
      <w:r w:rsidR="009F00C7">
        <w:rPr>
          <w:rFonts w:cs="Arial"/>
        </w:rPr>
        <w:t xml:space="preserve">, </w:t>
      </w:r>
      <w:r w:rsidRPr="0024734B">
        <w:rPr>
          <w:rFonts w:cs="Arial"/>
        </w:rPr>
        <w:t>Wine-</w:t>
      </w:r>
      <w:r w:rsidR="009F00C7">
        <w:rPr>
          <w:rFonts w:cs="Arial"/>
        </w:rPr>
        <w:t>m</w:t>
      </w:r>
      <w:r w:rsidRPr="0024734B">
        <w:rPr>
          <w:rFonts w:cs="Arial"/>
        </w:rPr>
        <w:t xml:space="preserve">aking with </w:t>
      </w:r>
      <w:r w:rsidR="009F00C7">
        <w:rPr>
          <w:rFonts w:cs="Arial"/>
        </w:rPr>
        <w:t>p</w:t>
      </w:r>
      <w:r w:rsidRPr="0024734B">
        <w:rPr>
          <w:rFonts w:cs="Arial"/>
        </w:rPr>
        <w:t xml:space="preserve">rotection of </w:t>
      </w:r>
      <w:r w:rsidR="009F00C7">
        <w:rPr>
          <w:rFonts w:cs="Arial"/>
        </w:rPr>
        <w:t>m</w:t>
      </w:r>
      <w:r w:rsidRPr="0024734B">
        <w:rPr>
          <w:rFonts w:cs="Arial"/>
        </w:rPr>
        <w:t xml:space="preserve">ust against </w:t>
      </w:r>
      <w:r w:rsidR="009F00C7">
        <w:rPr>
          <w:rFonts w:cs="Arial"/>
        </w:rPr>
        <w:t>o</w:t>
      </w:r>
      <w:r w:rsidRPr="0024734B">
        <w:rPr>
          <w:rFonts w:cs="Arial"/>
        </w:rPr>
        <w:t xml:space="preserve">xidation in a </w:t>
      </w:r>
      <w:r w:rsidR="009F00C7">
        <w:rPr>
          <w:rFonts w:cs="Arial"/>
        </w:rPr>
        <w:t>w</w:t>
      </w:r>
      <w:r w:rsidRPr="0024734B">
        <w:rPr>
          <w:rFonts w:cs="Arial"/>
        </w:rPr>
        <w:t xml:space="preserve">arm, </w:t>
      </w:r>
      <w:r w:rsidR="009F00C7">
        <w:rPr>
          <w:rFonts w:cs="Arial"/>
        </w:rPr>
        <w:t>s</w:t>
      </w:r>
      <w:r w:rsidRPr="0024734B">
        <w:rPr>
          <w:rFonts w:cs="Arial"/>
        </w:rPr>
        <w:t>emi-</w:t>
      </w:r>
      <w:r w:rsidR="009F00C7">
        <w:rPr>
          <w:rFonts w:cs="Arial"/>
        </w:rPr>
        <w:t>a</w:t>
      </w:r>
      <w:r w:rsidRPr="0024734B">
        <w:rPr>
          <w:rFonts w:cs="Arial"/>
        </w:rPr>
        <w:t xml:space="preserve">rid </w:t>
      </w:r>
      <w:r w:rsidR="009F00C7">
        <w:rPr>
          <w:rFonts w:cs="Arial"/>
        </w:rPr>
        <w:t>t</w:t>
      </w:r>
      <w:r w:rsidRPr="0024734B">
        <w:rPr>
          <w:rFonts w:cs="Arial"/>
        </w:rPr>
        <w:t>erroir</w:t>
      </w:r>
      <w:r w:rsidR="009F00C7">
        <w:rPr>
          <w:rFonts w:cs="Arial"/>
        </w:rPr>
        <w:t>,</w:t>
      </w:r>
      <w:r w:rsidRPr="0024734B">
        <w:rPr>
          <w:rFonts w:cs="Arial"/>
        </w:rPr>
        <w:t xml:space="preserve"> </w:t>
      </w:r>
      <w:r w:rsidRPr="0024734B">
        <w:rPr>
          <w:rFonts w:cs="Arial"/>
          <w:i/>
          <w:iCs/>
        </w:rPr>
        <w:t>South African Journal of Enology and Viticulture</w:t>
      </w:r>
      <w:r w:rsidR="009F00C7">
        <w:rPr>
          <w:rFonts w:cs="Arial"/>
          <w:i/>
          <w:iCs/>
        </w:rPr>
        <w:t>,</w:t>
      </w:r>
      <w:r w:rsidRPr="0024734B">
        <w:rPr>
          <w:rFonts w:cs="Arial"/>
        </w:rPr>
        <w:t xml:space="preserve"> 31</w:t>
      </w:r>
      <w:r w:rsidR="009F00C7">
        <w:rPr>
          <w:rFonts w:cs="Arial"/>
        </w:rPr>
        <w:t xml:space="preserve">, </w:t>
      </w:r>
      <w:r w:rsidRPr="0024734B">
        <w:rPr>
          <w:rFonts w:cs="Arial"/>
        </w:rPr>
        <w:t>1.</w:t>
      </w:r>
    </w:p>
    <w:p w14:paraId="6CE59046" w14:textId="22E927BB" w:rsidR="0024734B" w:rsidRPr="0024734B" w:rsidRDefault="0024734B" w:rsidP="007C115D">
      <w:pPr>
        <w:pStyle w:val="Bibliografia1"/>
        <w:spacing w:after="0"/>
        <w:rPr>
          <w:rFonts w:cs="Arial"/>
        </w:rPr>
      </w:pPr>
      <w:r w:rsidRPr="0024734B">
        <w:rPr>
          <w:rFonts w:cs="Arial"/>
        </w:rPr>
        <w:t>Gao Y</w:t>
      </w:r>
      <w:r w:rsidR="00450BF7">
        <w:rPr>
          <w:rFonts w:cs="Arial"/>
        </w:rPr>
        <w:t>.</w:t>
      </w:r>
      <w:r w:rsidRPr="0024734B">
        <w:rPr>
          <w:rFonts w:cs="Arial"/>
        </w:rPr>
        <w:t>, Zhang</w:t>
      </w:r>
      <w:r w:rsidR="00450BF7">
        <w:rPr>
          <w:rFonts w:cs="Arial"/>
        </w:rPr>
        <w:t xml:space="preserve"> Y.</w:t>
      </w:r>
      <w:r w:rsidRPr="0024734B">
        <w:rPr>
          <w:rFonts w:cs="Arial"/>
        </w:rPr>
        <w:t>, Xiang W</w:t>
      </w:r>
      <w:r w:rsidR="00450BF7">
        <w:rPr>
          <w:rFonts w:cs="Arial"/>
        </w:rPr>
        <w:t>.</w:t>
      </w:r>
      <w:r w:rsidRPr="0024734B">
        <w:rPr>
          <w:rFonts w:cs="Arial"/>
        </w:rPr>
        <w:t>, et al.</w:t>
      </w:r>
      <w:r w:rsidR="00450BF7">
        <w:rPr>
          <w:rFonts w:cs="Arial"/>
        </w:rPr>
        <w:t>,</w:t>
      </w:r>
      <w:r w:rsidRPr="0024734B">
        <w:rPr>
          <w:rFonts w:cs="Arial"/>
        </w:rPr>
        <w:t xml:space="preserve"> 2019</w:t>
      </w:r>
      <w:r w:rsidR="009F00C7">
        <w:rPr>
          <w:rFonts w:cs="Arial"/>
        </w:rPr>
        <w:t xml:space="preserve">, </w:t>
      </w:r>
      <w:r w:rsidRPr="0024734B">
        <w:rPr>
          <w:rFonts w:cs="Arial"/>
        </w:rPr>
        <w:t>The glycerol and ethanol production kinetics in low-temperature wine fermentation using Saccharomyces cerevisiae yeast strains</w:t>
      </w:r>
      <w:r w:rsidR="009F00C7">
        <w:rPr>
          <w:rFonts w:cs="Arial"/>
        </w:rPr>
        <w:t>,</w:t>
      </w:r>
      <w:r w:rsidRPr="0024734B">
        <w:rPr>
          <w:rFonts w:cs="Arial"/>
        </w:rPr>
        <w:t xml:space="preserve"> </w:t>
      </w:r>
      <w:r w:rsidRPr="0024734B">
        <w:rPr>
          <w:rFonts w:cs="Arial"/>
          <w:i/>
          <w:iCs/>
        </w:rPr>
        <w:t>International Journal of Food Science and Technology</w:t>
      </w:r>
      <w:r w:rsidR="009F00C7">
        <w:rPr>
          <w:rFonts w:cs="Arial"/>
          <w:i/>
          <w:iCs/>
        </w:rPr>
        <w:t>,</w:t>
      </w:r>
      <w:r w:rsidRPr="0024734B">
        <w:rPr>
          <w:rFonts w:cs="Arial"/>
        </w:rPr>
        <w:t xml:space="preserve"> 54</w:t>
      </w:r>
      <w:r w:rsidR="009F00C7">
        <w:rPr>
          <w:rFonts w:cs="Arial"/>
        </w:rPr>
        <w:t>,</w:t>
      </w:r>
      <w:r w:rsidRPr="0024734B">
        <w:rPr>
          <w:rFonts w:cs="Arial"/>
        </w:rPr>
        <w:t>1</w:t>
      </w:r>
      <w:r w:rsidR="009F00C7">
        <w:rPr>
          <w:rFonts w:cs="Arial"/>
        </w:rPr>
        <w:t>,</w:t>
      </w:r>
      <w:r w:rsidRPr="0024734B">
        <w:rPr>
          <w:rFonts w:cs="Arial"/>
        </w:rPr>
        <w:t>102–10.</w:t>
      </w:r>
    </w:p>
    <w:p w14:paraId="3DDCCF5B" w14:textId="111E8207" w:rsidR="0024734B" w:rsidRPr="0024734B" w:rsidRDefault="0024734B" w:rsidP="007C115D">
      <w:pPr>
        <w:pStyle w:val="Bibliografia1"/>
        <w:spacing w:after="0"/>
        <w:rPr>
          <w:rFonts w:cs="Arial"/>
        </w:rPr>
      </w:pPr>
      <w:r w:rsidRPr="009F00C7">
        <w:rPr>
          <w:rFonts w:cs="Arial"/>
          <w:lang w:val="en-US"/>
        </w:rPr>
        <w:t>Guittin C</w:t>
      </w:r>
      <w:r w:rsidR="00450BF7">
        <w:rPr>
          <w:rFonts w:cs="Arial"/>
          <w:lang w:val="en-US"/>
        </w:rPr>
        <w:t>.</w:t>
      </w:r>
      <w:r w:rsidRPr="009F00C7">
        <w:rPr>
          <w:rFonts w:cs="Arial"/>
          <w:lang w:val="en-US"/>
        </w:rPr>
        <w:t>, Maçna</w:t>
      </w:r>
      <w:r w:rsidR="00450BF7">
        <w:rPr>
          <w:rFonts w:cs="Arial"/>
          <w:lang w:val="en-US"/>
        </w:rPr>
        <w:t xml:space="preserve"> F.</w:t>
      </w:r>
      <w:r w:rsidRPr="009F00C7">
        <w:rPr>
          <w:rFonts w:cs="Arial"/>
          <w:lang w:val="en-US"/>
        </w:rPr>
        <w:t>, Sanchez</w:t>
      </w:r>
      <w:r w:rsidR="00450BF7">
        <w:rPr>
          <w:rFonts w:cs="Arial"/>
          <w:lang w:val="en-US"/>
        </w:rPr>
        <w:t xml:space="preserve"> I.</w:t>
      </w:r>
      <w:r w:rsidRPr="009F00C7">
        <w:rPr>
          <w:rFonts w:cs="Arial"/>
          <w:lang w:val="en-US"/>
        </w:rPr>
        <w:t>, et al. 2021</w:t>
      </w:r>
      <w:r w:rsidR="009F00C7" w:rsidRPr="009F00C7">
        <w:rPr>
          <w:rFonts w:cs="Arial"/>
          <w:lang w:val="en-US"/>
        </w:rPr>
        <w:t>,</w:t>
      </w:r>
      <w:r w:rsidR="009F00C7">
        <w:rPr>
          <w:rFonts w:cs="Arial"/>
          <w:lang w:val="en-US"/>
        </w:rPr>
        <w:t xml:space="preserve"> </w:t>
      </w:r>
      <w:r w:rsidRPr="0024734B">
        <w:rPr>
          <w:rFonts w:cs="Arial"/>
        </w:rPr>
        <w:t xml:space="preserve">Impact of </w:t>
      </w:r>
      <w:r w:rsidR="009F00C7">
        <w:rPr>
          <w:rFonts w:cs="Arial"/>
        </w:rPr>
        <w:t>h</w:t>
      </w:r>
      <w:r w:rsidRPr="0024734B">
        <w:rPr>
          <w:rFonts w:cs="Arial"/>
        </w:rPr>
        <w:t xml:space="preserve">igh </w:t>
      </w:r>
      <w:r w:rsidR="009F00C7">
        <w:rPr>
          <w:rFonts w:cs="Arial"/>
        </w:rPr>
        <w:t>l</w:t>
      </w:r>
      <w:r w:rsidRPr="0024734B">
        <w:rPr>
          <w:rFonts w:cs="Arial"/>
        </w:rPr>
        <w:t xml:space="preserve">ipid </w:t>
      </w:r>
      <w:r w:rsidR="009F00C7">
        <w:rPr>
          <w:rFonts w:cs="Arial"/>
        </w:rPr>
        <w:t>c</w:t>
      </w:r>
      <w:r w:rsidRPr="0024734B">
        <w:rPr>
          <w:rFonts w:cs="Arial"/>
        </w:rPr>
        <w:t xml:space="preserve">ontents on the </w:t>
      </w:r>
      <w:r w:rsidR="009F00C7">
        <w:rPr>
          <w:rFonts w:cs="Arial"/>
        </w:rPr>
        <w:t>p</w:t>
      </w:r>
      <w:r w:rsidRPr="0024734B">
        <w:rPr>
          <w:rFonts w:cs="Arial"/>
        </w:rPr>
        <w:t xml:space="preserve">roduction of </w:t>
      </w:r>
      <w:r w:rsidR="009F00C7">
        <w:rPr>
          <w:rFonts w:cs="Arial"/>
        </w:rPr>
        <w:t>f</w:t>
      </w:r>
      <w:r w:rsidRPr="0024734B">
        <w:rPr>
          <w:rFonts w:cs="Arial"/>
        </w:rPr>
        <w:t xml:space="preserve">ermentative </w:t>
      </w:r>
      <w:r w:rsidR="009F00C7">
        <w:rPr>
          <w:rFonts w:cs="Arial"/>
        </w:rPr>
        <w:t>a</w:t>
      </w:r>
      <w:r w:rsidRPr="0024734B">
        <w:rPr>
          <w:rFonts w:cs="Arial"/>
        </w:rPr>
        <w:t xml:space="preserve">romas during </w:t>
      </w:r>
      <w:r w:rsidR="009F00C7">
        <w:rPr>
          <w:rFonts w:cs="Arial"/>
        </w:rPr>
        <w:t>w</w:t>
      </w:r>
      <w:r w:rsidRPr="0024734B">
        <w:rPr>
          <w:rFonts w:cs="Arial"/>
        </w:rPr>
        <w:t xml:space="preserve">hite </w:t>
      </w:r>
      <w:r w:rsidR="009F00C7">
        <w:rPr>
          <w:rFonts w:cs="Arial"/>
        </w:rPr>
        <w:t>w</w:t>
      </w:r>
      <w:r w:rsidRPr="0024734B">
        <w:rPr>
          <w:rFonts w:cs="Arial"/>
        </w:rPr>
        <w:t xml:space="preserve">ine </w:t>
      </w:r>
      <w:r w:rsidR="009F00C7">
        <w:rPr>
          <w:rFonts w:cs="Arial"/>
        </w:rPr>
        <w:t>f</w:t>
      </w:r>
      <w:r w:rsidRPr="0024734B">
        <w:rPr>
          <w:rFonts w:cs="Arial"/>
        </w:rPr>
        <w:t>ermentation</w:t>
      </w:r>
      <w:r w:rsidR="009F00C7">
        <w:rPr>
          <w:rFonts w:cs="Arial"/>
        </w:rPr>
        <w:t>,</w:t>
      </w:r>
      <w:r w:rsidRPr="0024734B">
        <w:rPr>
          <w:rFonts w:cs="Arial"/>
        </w:rPr>
        <w:t xml:space="preserve"> </w:t>
      </w:r>
      <w:r w:rsidRPr="0024734B">
        <w:rPr>
          <w:rFonts w:cs="Arial"/>
          <w:i/>
          <w:iCs/>
        </w:rPr>
        <w:t>Applied Microbiology and Biotechnology</w:t>
      </w:r>
      <w:r w:rsidR="009F00C7">
        <w:rPr>
          <w:rFonts w:cs="Arial"/>
          <w:i/>
          <w:iCs/>
        </w:rPr>
        <w:t>,</w:t>
      </w:r>
      <w:r w:rsidRPr="0024734B">
        <w:rPr>
          <w:rFonts w:cs="Arial"/>
        </w:rPr>
        <w:t xml:space="preserve"> 105 </w:t>
      </w:r>
      <w:r w:rsidR="009F00C7">
        <w:rPr>
          <w:rFonts w:cs="Arial"/>
        </w:rPr>
        <w:t>,</w:t>
      </w:r>
      <w:r w:rsidRPr="0024734B">
        <w:rPr>
          <w:rFonts w:cs="Arial"/>
        </w:rPr>
        <w:t>16</w:t>
      </w:r>
      <w:r w:rsidR="009F00C7">
        <w:rPr>
          <w:rFonts w:cs="Arial"/>
        </w:rPr>
        <w:t>,</w:t>
      </w:r>
      <w:r w:rsidRPr="0024734B">
        <w:rPr>
          <w:rFonts w:cs="Arial"/>
        </w:rPr>
        <w:t xml:space="preserve"> 6435–49. </w:t>
      </w:r>
    </w:p>
    <w:p w14:paraId="5B0BAEB3" w14:textId="11440174" w:rsidR="0024734B" w:rsidRPr="0024734B" w:rsidRDefault="0024734B" w:rsidP="007C115D">
      <w:pPr>
        <w:pStyle w:val="Bibliografia1"/>
        <w:spacing w:after="0"/>
        <w:rPr>
          <w:rFonts w:cs="Arial"/>
        </w:rPr>
      </w:pPr>
      <w:r w:rsidRPr="0024734B">
        <w:rPr>
          <w:rFonts w:cs="Arial"/>
        </w:rPr>
        <w:t>Han S</w:t>
      </w:r>
      <w:r w:rsidR="00450BF7">
        <w:rPr>
          <w:rFonts w:cs="Arial"/>
        </w:rPr>
        <w:t xml:space="preserve">. </w:t>
      </w:r>
      <w:r w:rsidRPr="0024734B">
        <w:rPr>
          <w:rFonts w:cs="Arial"/>
        </w:rPr>
        <w:t>H</w:t>
      </w:r>
      <w:r w:rsidR="00450BF7">
        <w:rPr>
          <w:rFonts w:cs="Arial"/>
        </w:rPr>
        <w:t>.</w:t>
      </w:r>
      <w:r w:rsidRPr="0024734B">
        <w:rPr>
          <w:rFonts w:cs="Arial"/>
        </w:rPr>
        <w:t>, Choi</w:t>
      </w:r>
      <w:r w:rsidR="00450BF7">
        <w:rPr>
          <w:rFonts w:cs="Arial"/>
        </w:rPr>
        <w:t xml:space="preserve"> M.</w:t>
      </w:r>
      <w:r w:rsidRPr="0024734B">
        <w:rPr>
          <w:rFonts w:cs="Arial"/>
        </w:rPr>
        <w:t>, Jeong</w:t>
      </w:r>
      <w:r w:rsidR="00450BF7">
        <w:rPr>
          <w:rFonts w:cs="Arial"/>
        </w:rPr>
        <w:t xml:space="preserve"> T.</w:t>
      </w:r>
      <w:r w:rsidRPr="0024734B">
        <w:rPr>
          <w:rFonts w:cs="Arial"/>
        </w:rPr>
        <w:t>, et al.</w:t>
      </w:r>
      <w:r w:rsidR="00450BF7">
        <w:rPr>
          <w:rFonts w:cs="Arial"/>
        </w:rPr>
        <w:t>,</w:t>
      </w:r>
      <w:r w:rsidRPr="0024734B">
        <w:rPr>
          <w:rFonts w:cs="Arial"/>
        </w:rPr>
        <w:t xml:space="preserve"> 2015</w:t>
      </w:r>
      <w:r w:rsidR="009F00C7">
        <w:rPr>
          <w:rFonts w:cs="Arial"/>
        </w:rPr>
        <w:t xml:space="preserve">, </w:t>
      </w:r>
      <w:r w:rsidRPr="0024734B">
        <w:rPr>
          <w:rFonts w:cs="Arial"/>
        </w:rPr>
        <w:t>Rhodium-</w:t>
      </w:r>
      <w:r w:rsidR="009F00C7">
        <w:rPr>
          <w:rFonts w:cs="Arial"/>
        </w:rPr>
        <w:t>c</w:t>
      </w:r>
      <w:r w:rsidRPr="0024734B">
        <w:rPr>
          <w:rFonts w:cs="Arial"/>
        </w:rPr>
        <w:t xml:space="preserve">atalyzed C–H </w:t>
      </w:r>
      <w:r w:rsidR="009F00C7">
        <w:rPr>
          <w:rFonts w:cs="Arial"/>
        </w:rPr>
        <w:t>a</w:t>
      </w:r>
      <w:r w:rsidRPr="0024734B">
        <w:rPr>
          <w:rFonts w:cs="Arial"/>
        </w:rPr>
        <w:t xml:space="preserve">lkylation of </w:t>
      </w:r>
      <w:r w:rsidR="009F00C7">
        <w:rPr>
          <w:rFonts w:cs="Arial"/>
        </w:rPr>
        <w:t>i</w:t>
      </w:r>
      <w:r w:rsidRPr="0024734B">
        <w:rPr>
          <w:rFonts w:cs="Arial"/>
        </w:rPr>
        <w:t xml:space="preserve">ndolines with </w:t>
      </w:r>
      <w:r w:rsidR="009F00C7">
        <w:rPr>
          <w:rFonts w:cs="Arial"/>
        </w:rPr>
        <w:t>a</w:t>
      </w:r>
      <w:r w:rsidRPr="0024734B">
        <w:rPr>
          <w:rFonts w:cs="Arial"/>
        </w:rPr>
        <w:t xml:space="preserve">llylic </w:t>
      </w:r>
      <w:r w:rsidR="009F00C7">
        <w:rPr>
          <w:rFonts w:cs="Arial"/>
        </w:rPr>
        <w:t>a</w:t>
      </w:r>
      <w:r w:rsidRPr="0024734B">
        <w:rPr>
          <w:rFonts w:cs="Arial"/>
        </w:rPr>
        <w:t xml:space="preserve">lcohols: </w:t>
      </w:r>
      <w:r w:rsidR="009F00C7">
        <w:rPr>
          <w:rFonts w:cs="Arial"/>
        </w:rPr>
        <w:t>d</w:t>
      </w:r>
      <w:r w:rsidRPr="0024734B">
        <w:rPr>
          <w:rFonts w:cs="Arial"/>
        </w:rPr>
        <w:t xml:space="preserve">irect </w:t>
      </w:r>
      <w:r w:rsidR="009F00C7">
        <w:rPr>
          <w:rFonts w:cs="Arial"/>
        </w:rPr>
        <w:t>a</w:t>
      </w:r>
      <w:r w:rsidRPr="0024734B">
        <w:rPr>
          <w:rFonts w:cs="Arial"/>
        </w:rPr>
        <w:t>ccess to β-</w:t>
      </w:r>
      <w:r w:rsidR="009F00C7">
        <w:rPr>
          <w:rFonts w:cs="Arial"/>
        </w:rPr>
        <w:t>a</w:t>
      </w:r>
      <w:r w:rsidRPr="0024734B">
        <w:rPr>
          <w:rFonts w:cs="Arial"/>
        </w:rPr>
        <w:t xml:space="preserve">ryl </w:t>
      </w:r>
      <w:r w:rsidR="009F00C7">
        <w:rPr>
          <w:rFonts w:cs="Arial"/>
        </w:rPr>
        <w:t>c</w:t>
      </w:r>
      <w:r w:rsidRPr="0024734B">
        <w:rPr>
          <w:rFonts w:cs="Arial"/>
        </w:rPr>
        <w:t xml:space="preserve">arbonyl </w:t>
      </w:r>
      <w:r w:rsidR="009F00C7">
        <w:rPr>
          <w:rFonts w:cs="Arial"/>
        </w:rPr>
        <w:t>c</w:t>
      </w:r>
      <w:r w:rsidRPr="0024734B">
        <w:rPr>
          <w:rFonts w:cs="Arial"/>
        </w:rPr>
        <w:t>ompounds</w:t>
      </w:r>
      <w:r w:rsidR="009F00C7">
        <w:rPr>
          <w:rFonts w:cs="Arial"/>
        </w:rPr>
        <w:t>,</w:t>
      </w:r>
      <w:r w:rsidRPr="0024734B">
        <w:rPr>
          <w:rFonts w:cs="Arial"/>
        </w:rPr>
        <w:t xml:space="preserve"> </w:t>
      </w:r>
      <w:r w:rsidRPr="0024734B">
        <w:rPr>
          <w:rFonts w:cs="Arial"/>
          <w:i/>
          <w:iCs/>
        </w:rPr>
        <w:t>The Journal of Organic Chemistry</w:t>
      </w:r>
      <w:r w:rsidR="009F00C7">
        <w:rPr>
          <w:rFonts w:cs="Arial"/>
          <w:i/>
          <w:iCs/>
        </w:rPr>
        <w:t>,</w:t>
      </w:r>
      <w:r w:rsidRPr="0024734B">
        <w:rPr>
          <w:rFonts w:cs="Arial"/>
        </w:rPr>
        <w:t xml:space="preserve"> 80</w:t>
      </w:r>
      <w:r w:rsidR="009F00C7">
        <w:rPr>
          <w:rFonts w:cs="Arial"/>
        </w:rPr>
        <w:t xml:space="preserve">, </w:t>
      </w:r>
      <w:r w:rsidRPr="0024734B">
        <w:rPr>
          <w:rFonts w:cs="Arial"/>
        </w:rPr>
        <w:t>21</w:t>
      </w:r>
      <w:r w:rsidR="009F00C7">
        <w:rPr>
          <w:rFonts w:cs="Arial"/>
        </w:rPr>
        <w:t>,</w:t>
      </w:r>
      <w:r w:rsidRPr="0024734B">
        <w:rPr>
          <w:rFonts w:cs="Arial"/>
        </w:rPr>
        <w:t xml:space="preserve"> 11092–99.</w:t>
      </w:r>
    </w:p>
    <w:p w14:paraId="6A39DE4B" w14:textId="4DE5C1D8" w:rsidR="0024734B" w:rsidRPr="0024734B" w:rsidRDefault="0024734B" w:rsidP="007C115D">
      <w:pPr>
        <w:pStyle w:val="Bibliografia1"/>
        <w:spacing w:after="0"/>
        <w:rPr>
          <w:rFonts w:cs="Arial"/>
        </w:rPr>
      </w:pPr>
      <w:r w:rsidRPr="0024734B">
        <w:rPr>
          <w:rFonts w:cs="Arial"/>
        </w:rPr>
        <w:t>Herzan J</w:t>
      </w:r>
      <w:r w:rsidR="00450BF7">
        <w:rPr>
          <w:rFonts w:cs="Arial"/>
        </w:rPr>
        <w:t>.</w:t>
      </w:r>
      <w:r w:rsidRPr="0024734B">
        <w:rPr>
          <w:rFonts w:cs="Arial"/>
        </w:rPr>
        <w:t>, Prokes</w:t>
      </w:r>
      <w:r w:rsidR="00450BF7">
        <w:rPr>
          <w:rFonts w:cs="Arial"/>
        </w:rPr>
        <w:t xml:space="preserve"> K.</w:t>
      </w:r>
      <w:r w:rsidRPr="0024734B">
        <w:rPr>
          <w:rFonts w:cs="Arial"/>
        </w:rPr>
        <w:t>, Baron</w:t>
      </w:r>
      <w:r w:rsidR="00450BF7">
        <w:rPr>
          <w:rFonts w:cs="Arial"/>
        </w:rPr>
        <w:t xml:space="preserve"> M.</w:t>
      </w:r>
      <w:r w:rsidRPr="0024734B">
        <w:rPr>
          <w:rFonts w:cs="Arial"/>
        </w:rPr>
        <w:t>, Kumsta</w:t>
      </w:r>
      <w:r w:rsidR="00450BF7">
        <w:rPr>
          <w:rFonts w:cs="Arial"/>
        </w:rPr>
        <w:t xml:space="preserve"> M.</w:t>
      </w:r>
      <w:r w:rsidRPr="0024734B">
        <w:rPr>
          <w:rFonts w:cs="Arial"/>
        </w:rPr>
        <w:t>, Pavlousek</w:t>
      </w:r>
      <w:r w:rsidR="00450BF7">
        <w:rPr>
          <w:rFonts w:cs="Arial"/>
        </w:rPr>
        <w:t xml:space="preserve"> P.</w:t>
      </w:r>
      <w:r w:rsidRPr="0024734B">
        <w:rPr>
          <w:rFonts w:cs="Arial"/>
        </w:rPr>
        <w:t>, Sochor</w:t>
      </w:r>
      <w:r w:rsidR="00450BF7">
        <w:rPr>
          <w:rFonts w:cs="Arial"/>
        </w:rPr>
        <w:t xml:space="preserve"> J.,</w:t>
      </w:r>
      <w:r w:rsidRPr="0024734B">
        <w:rPr>
          <w:rFonts w:cs="Arial"/>
        </w:rPr>
        <w:t xml:space="preserve"> 2020</w:t>
      </w:r>
      <w:r w:rsidR="009F00C7">
        <w:rPr>
          <w:rFonts w:cs="Arial"/>
        </w:rPr>
        <w:t xml:space="preserve">, </w:t>
      </w:r>
      <w:r w:rsidRPr="0024734B">
        <w:rPr>
          <w:rFonts w:cs="Arial"/>
        </w:rPr>
        <w:t xml:space="preserve">Study of </w:t>
      </w:r>
      <w:r w:rsidR="009F00C7">
        <w:rPr>
          <w:rFonts w:cs="Arial"/>
        </w:rPr>
        <w:t>c</w:t>
      </w:r>
      <w:r w:rsidRPr="0024734B">
        <w:rPr>
          <w:rFonts w:cs="Arial"/>
        </w:rPr>
        <w:t xml:space="preserve">arbonyl </w:t>
      </w:r>
      <w:r w:rsidR="009F00C7">
        <w:rPr>
          <w:rFonts w:cs="Arial"/>
        </w:rPr>
        <w:t>c</w:t>
      </w:r>
      <w:r w:rsidRPr="0024734B">
        <w:rPr>
          <w:rFonts w:cs="Arial"/>
        </w:rPr>
        <w:t xml:space="preserve">ompounds in </w:t>
      </w:r>
      <w:r w:rsidR="009F00C7">
        <w:rPr>
          <w:rFonts w:cs="Arial"/>
        </w:rPr>
        <w:t>w</w:t>
      </w:r>
      <w:r w:rsidRPr="0024734B">
        <w:rPr>
          <w:rFonts w:cs="Arial"/>
        </w:rPr>
        <w:t xml:space="preserve">hite </w:t>
      </w:r>
      <w:r w:rsidR="009F00C7">
        <w:rPr>
          <w:rFonts w:cs="Arial"/>
        </w:rPr>
        <w:t>w</w:t>
      </w:r>
      <w:r w:rsidRPr="0024734B">
        <w:rPr>
          <w:rFonts w:cs="Arial"/>
        </w:rPr>
        <w:t xml:space="preserve">ine </w:t>
      </w:r>
      <w:r w:rsidR="009F00C7">
        <w:rPr>
          <w:rFonts w:cs="Arial"/>
        </w:rPr>
        <w:t>p</w:t>
      </w:r>
      <w:r w:rsidRPr="0024734B">
        <w:rPr>
          <w:rFonts w:cs="Arial"/>
        </w:rPr>
        <w:t>roduction</w:t>
      </w:r>
      <w:r w:rsidR="009F00C7">
        <w:rPr>
          <w:rFonts w:cs="Arial"/>
        </w:rPr>
        <w:t>,</w:t>
      </w:r>
      <w:r w:rsidRPr="0024734B">
        <w:rPr>
          <w:rFonts w:cs="Arial"/>
        </w:rPr>
        <w:t xml:space="preserve"> </w:t>
      </w:r>
      <w:r w:rsidRPr="0024734B">
        <w:rPr>
          <w:rFonts w:cs="Arial"/>
          <w:i/>
          <w:iCs/>
        </w:rPr>
        <w:t>Food Science &amp; Nutrition</w:t>
      </w:r>
      <w:r w:rsidR="009F00C7">
        <w:rPr>
          <w:rFonts w:cs="Arial"/>
        </w:rPr>
        <w:t xml:space="preserve">, </w:t>
      </w:r>
      <w:r w:rsidRPr="0024734B">
        <w:rPr>
          <w:rFonts w:cs="Arial"/>
        </w:rPr>
        <w:t>8</w:t>
      </w:r>
      <w:r w:rsidR="009F00C7">
        <w:rPr>
          <w:rFonts w:cs="Arial"/>
        </w:rPr>
        <w:t xml:space="preserve">, </w:t>
      </w:r>
      <w:r w:rsidRPr="0024734B">
        <w:rPr>
          <w:rFonts w:cs="Arial"/>
        </w:rPr>
        <w:t>11</w:t>
      </w:r>
      <w:r w:rsidR="009F00C7">
        <w:rPr>
          <w:rFonts w:cs="Arial"/>
        </w:rPr>
        <w:t xml:space="preserve">, </w:t>
      </w:r>
      <w:r w:rsidRPr="0024734B">
        <w:rPr>
          <w:rFonts w:cs="Arial"/>
        </w:rPr>
        <w:t>5850–59</w:t>
      </w:r>
      <w:r w:rsidR="009F00C7">
        <w:rPr>
          <w:rFonts w:cs="Arial"/>
        </w:rPr>
        <w:t>.</w:t>
      </w:r>
      <w:r w:rsidRPr="0024734B">
        <w:rPr>
          <w:rFonts w:cs="Arial"/>
        </w:rPr>
        <w:t xml:space="preserve"> </w:t>
      </w:r>
    </w:p>
    <w:p w14:paraId="4911D835" w14:textId="024A651F" w:rsidR="0024734B" w:rsidRPr="0024734B" w:rsidRDefault="0024734B" w:rsidP="007C115D">
      <w:pPr>
        <w:pStyle w:val="Bibliografia1"/>
        <w:spacing w:after="0"/>
        <w:rPr>
          <w:rFonts w:cs="Arial"/>
        </w:rPr>
      </w:pPr>
      <w:r w:rsidRPr="0024734B">
        <w:rPr>
          <w:rFonts w:cs="Arial"/>
        </w:rPr>
        <w:t>Mouret J. R., Camarasa</w:t>
      </w:r>
      <w:r w:rsidR="00450BF7">
        <w:rPr>
          <w:rFonts w:cs="Arial"/>
        </w:rPr>
        <w:t xml:space="preserve"> </w:t>
      </w:r>
      <w:r w:rsidR="00450BF7" w:rsidRPr="0024734B">
        <w:rPr>
          <w:rFonts w:cs="Arial"/>
        </w:rPr>
        <w:t>C.</w:t>
      </w:r>
      <w:r w:rsidRPr="0024734B">
        <w:rPr>
          <w:rFonts w:cs="Arial"/>
        </w:rPr>
        <w:t>, Angenieux</w:t>
      </w:r>
      <w:r w:rsidR="00450BF7">
        <w:rPr>
          <w:rFonts w:cs="Arial"/>
        </w:rPr>
        <w:t xml:space="preserve"> </w:t>
      </w:r>
      <w:r w:rsidR="00450BF7" w:rsidRPr="0024734B">
        <w:rPr>
          <w:rFonts w:cs="Arial"/>
        </w:rPr>
        <w:t>M.</w:t>
      </w:r>
      <w:r w:rsidRPr="0024734B">
        <w:rPr>
          <w:rFonts w:cs="Arial"/>
        </w:rPr>
        <w:t>, et al.</w:t>
      </w:r>
      <w:r w:rsidR="00450BF7">
        <w:rPr>
          <w:rFonts w:cs="Arial"/>
        </w:rPr>
        <w:t>,</w:t>
      </w:r>
      <w:r w:rsidRPr="0024734B">
        <w:rPr>
          <w:rFonts w:cs="Arial"/>
        </w:rPr>
        <w:t xml:space="preserve"> 2014</w:t>
      </w:r>
      <w:r w:rsidR="009F00C7">
        <w:rPr>
          <w:rFonts w:cs="Arial"/>
        </w:rPr>
        <w:t xml:space="preserve">, </w:t>
      </w:r>
      <w:r w:rsidRPr="0024734B">
        <w:rPr>
          <w:rFonts w:cs="Arial"/>
        </w:rPr>
        <w:t>Kinetic analysis and gas–liquid balances of the production of fermentative aromas during winemaking fermentations: Effect of assimilable nitrogen and temperature</w:t>
      </w:r>
      <w:r w:rsidR="009F00C7">
        <w:rPr>
          <w:rFonts w:cs="Arial"/>
        </w:rPr>
        <w:t>,</w:t>
      </w:r>
      <w:r w:rsidRPr="0024734B">
        <w:rPr>
          <w:rFonts w:cs="Arial"/>
        </w:rPr>
        <w:t xml:space="preserve"> </w:t>
      </w:r>
      <w:r w:rsidRPr="0024734B">
        <w:rPr>
          <w:rFonts w:cs="Arial"/>
          <w:i/>
          <w:iCs/>
        </w:rPr>
        <w:t>Food Research International</w:t>
      </w:r>
      <w:r w:rsidRPr="0024734B">
        <w:rPr>
          <w:rFonts w:cs="Arial"/>
        </w:rPr>
        <w:t xml:space="preserve"> 62</w:t>
      </w:r>
      <w:r w:rsidR="000311CE">
        <w:rPr>
          <w:rFonts w:cs="Arial"/>
        </w:rPr>
        <w:t>,</w:t>
      </w:r>
      <w:r w:rsidRPr="0024734B">
        <w:rPr>
          <w:rFonts w:cs="Arial"/>
        </w:rPr>
        <w:t xml:space="preserve"> 1–10.</w:t>
      </w:r>
    </w:p>
    <w:p w14:paraId="4CA057D9" w14:textId="3E882D2D" w:rsidR="0024734B" w:rsidRPr="000311CE" w:rsidRDefault="0024734B" w:rsidP="007C115D">
      <w:pPr>
        <w:pStyle w:val="Bibliografia1"/>
        <w:spacing w:after="0"/>
        <w:rPr>
          <w:rFonts w:cs="Arial"/>
        </w:rPr>
      </w:pPr>
      <w:r w:rsidRPr="00450BF7">
        <w:rPr>
          <w:rFonts w:cs="Arial"/>
          <w:lang w:val="en-US"/>
        </w:rPr>
        <w:t>Nicolini</w:t>
      </w:r>
      <w:r w:rsidR="00450BF7" w:rsidRPr="00450BF7">
        <w:rPr>
          <w:rFonts w:cs="Arial"/>
          <w:lang w:val="en-US"/>
        </w:rPr>
        <w:t xml:space="preserve"> </w:t>
      </w:r>
      <w:r w:rsidRPr="00450BF7">
        <w:rPr>
          <w:rFonts w:cs="Arial"/>
          <w:lang w:val="en-US"/>
        </w:rPr>
        <w:t>G., Moser</w:t>
      </w:r>
      <w:r w:rsidR="00450BF7" w:rsidRPr="00450BF7">
        <w:rPr>
          <w:rFonts w:cs="Arial"/>
          <w:lang w:val="en-US"/>
        </w:rPr>
        <w:t xml:space="preserve"> S.</w:t>
      </w:r>
      <w:r w:rsidRPr="00450BF7">
        <w:rPr>
          <w:rFonts w:cs="Arial"/>
          <w:lang w:val="en-US"/>
        </w:rPr>
        <w:t>, Román</w:t>
      </w:r>
      <w:r w:rsidR="00450BF7" w:rsidRPr="00450BF7">
        <w:rPr>
          <w:rFonts w:cs="Arial"/>
          <w:lang w:val="en-US"/>
        </w:rPr>
        <w:t xml:space="preserve"> T.</w:t>
      </w:r>
      <w:r w:rsidRPr="00450BF7">
        <w:rPr>
          <w:rFonts w:cs="Arial"/>
          <w:lang w:val="en-US"/>
        </w:rPr>
        <w:t>, Mazzi</w:t>
      </w:r>
      <w:r w:rsidR="00450BF7" w:rsidRPr="00450BF7">
        <w:rPr>
          <w:rFonts w:cs="Arial"/>
          <w:lang w:val="en-US"/>
        </w:rPr>
        <w:t xml:space="preserve"> E.</w:t>
      </w:r>
      <w:r w:rsidRPr="00450BF7">
        <w:rPr>
          <w:rFonts w:cs="Arial"/>
          <w:lang w:val="en-US"/>
        </w:rPr>
        <w:t>, Larcher</w:t>
      </w:r>
      <w:r w:rsidR="00450BF7" w:rsidRPr="00450BF7">
        <w:rPr>
          <w:rFonts w:cs="Arial"/>
          <w:lang w:val="en-US"/>
        </w:rPr>
        <w:t xml:space="preserve"> R.,</w:t>
      </w:r>
      <w:r w:rsidRPr="00450BF7">
        <w:rPr>
          <w:rFonts w:cs="Arial"/>
          <w:lang w:val="en-US"/>
        </w:rPr>
        <w:t xml:space="preserve"> </w:t>
      </w:r>
      <w:r w:rsidR="000311CE">
        <w:rPr>
          <w:rFonts w:cs="Arial"/>
        </w:rPr>
        <w:t>2011,</w:t>
      </w:r>
      <w:r w:rsidRPr="0024734B">
        <w:rPr>
          <w:rFonts w:cs="Arial"/>
        </w:rPr>
        <w:t xml:space="preserve"> </w:t>
      </w:r>
      <w:r w:rsidRPr="000311CE">
        <w:rPr>
          <w:rFonts w:cs="Arial"/>
        </w:rPr>
        <w:t xml:space="preserve">Effect of </w:t>
      </w:r>
      <w:r w:rsidR="000311CE" w:rsidRPr="000311CE">
        <w:rPr>
          <w:rFonts w:cs="Arial"/>
        </w:rPr>
        <w:t>j</w:t>
      </w:r>
      <w:r w:rsidRPr="000311CE">
        <w:rPr>
          <w:rFonts w:cs="Arial"/>
        </w:rPr>
        <w:t xml:space="preserve">uice </w:t>
      </w:r>
      <w:r w:rsidR="000311CE" w:rsidRPr="000311CE">
        <w:rPr>
          <w:rFonts w:cs="Arial"/>
        </w:rPr>
        <w:t>t</w:t>
      </w:r>
      <w:r w:rsidRPr="000311CE">
        <w:rPr>
          <w:rFonts w:cs="Arial"/>
        </w:rPr>
        <w:t xml:space="preserve">urbidity on </w:t>
      </w:r>
      <w:r w:rsidR="000311CE" w:rsidRPr="000311CE">
        <w:rPr>
          <w:rFonts w:cs="Arial"/>
        </w:rPr>
        <w:t>f</w:t>
      </w:r>
      <w:r w:rsidRPr="000311CE">
        <w:rPr>
          <w:rFonts w:cs="Arial"/>
        </w:rPr>
        <w:t xml:space="preserve">ermentative </w:t>
      </w:r>
      <w:r w:rsidR="000311CE">
        <w:rPr>
          <w:rFonts w:cs="Arial"/>
        </w:rPr>
        <w:t>v</w:t>
      </w:r>
      <w:r w:rsidRPr="000311CE">
        <w:rPr>
          <w:rFonts w:cs="Arial"/>
        </w:rPr>
        <w:t xml:space="preserve">olatile </w:t>
      </w:r>
      <w:r w:rsidR="000311CE">
        <w:rPr>
          <w:rFonts w:cs="Arial"/>
        </w:rPr>
        <w:t>c</w:t>
      </w:r>
      <w:r w:rsidRPr="000311CE">
        <w:rPr>
          <w:rFonts w:cs="Arial"/>
        </w:rPr>
        <w:t xml:space="preserve">ompounds in </w:t>
      </w:r>
      <w:r w:rsidR="000311CE">
        <w:rPr>
          <w:rFonts w:cs="Arial"/>
        </w:rPr>
        <w:t>w</w:t>
      </w:r>
      <w:r w:rsidRPr="000311CE">
        <w:rPr>
          <w:rFonts w:cs="Arial"/>
        </w:rPr>
        <w:t xml:space="preserve">hite </w:t>
      </w:r>
      <w:r w:rsidR="000311CE">
        <w:rPr>
          <w:rFonts w:cs="Arial"/>
        </w:rPr>
        <w:t>w</w:t>
      </w:r>
      <w:r w:rsidRPr="000311CE">
        <w:rPr>
          <w:rFonts w:cs="Arial"/>
        </w:rPr>
        <w:t>ines</w:t>
      </w:r>
      <w:r w:rsidR="000311CE">
        <w:rPr>
          <w:rFonts w:cs="Arial"/>
        </w:rPr>
        <w:t xml:space="preserve">, </w:t>
      </w:r>
      <w:r w:rsidR="000311CE" w:rsidRPr="000311CE">
        <w:rPr>
          <w:rFonts w:cs="Arial"/>
          <w:i/>
          <w:iCs/>
        </w:rPr>
        <w:t>Vitis</w:t>
      </w:r>
      <w:r w:rsidR="000311CE">
        <w:rPr>
          <w:rFonts w:cs="Arial"/>
          <w:i/>
          <w:iCs/>
        </w:rPr>
        <w:t>,</w:t>
      </w:r>
      <w:r w:rsidR="000311CE" w:rsidRPr="000311CE">
        <w:rPr>
          <w:rFonts w:cs="Arial"/>
        </w:rPr>
        <w:t xml:space="preserve"> 50, 3, 131-135.</w:t>
      </w:r>
    </w:p>
    <w:p w14:paraId="7FF4909F" w14:textId="4D9B28B0" w:rsidR="007C115D" w:rsidRDefault="0024734B" w:rsidP="007C115D">
      <w:pPr>
        <w:pStyle w:val="Bibliografia1"/>
        <w:spacing w:after="0"/>
        <w:rPr>
          <w:rFonts w:cs="Arial"/>
        </w:rPr>
      </w:pPr>
      <w:r w:rsidRPr="00450BF7">
        <w:rPr>
          <w:rFonts w:cs="Arial"/>
          <w:lang w:val="en-US"/>
        </w:rPr>
        <w:t>Pollon</w:t>
      </w:r>
      <w:r w:rsidR="00450BF7" w:rsidRPr="00450BF7">
        <w:rPr>
          <w:rFonts w:cs="Arial"/>
          <w:lang w:val="en-US"/>
        </w:rPr>
        <w:t xml:space="preserve"> </w:t>
      </w:r>
      <w:r w:rsidRPr="00450BF7">
        <w:rPr>
          <w:rFonts w:cs="Arial"/>
          <w:lang w:val="en-US"/>
        </w:rPr>
        <w:t>M</w:t>
      </w:r>
      <w:r w:rsidR="00450BF7" w:rsidRPr="00450BF7">
        <w:rPr>
          <w:rFonts w:cs="Arial"/>
          <w:lang w:val="en-US"/>
        </w:rPr>
        <w:t>.</w:t>
      </w:r>
      <w:r w:rsidRPr="00450BF7">
        <w:rPr>
          <w:rFonts w:cs="Arial"/>
          <w:lang w:val="en-US"/>
        </w:rPr>
        <w:t>, Vitaggio</w:t>
      </w:r>
      <w:r w:rsidR="00450BF7" w:rsidRPr="00450BF7">
        <w:rPr>
          <w:rFonts w:cs="Arial"/>
          <w:lang w:val="en-US"/>
        </w:rPr>
        <w:t xml:space="preserve"> C</w:t>
      </w:r>
      <w:r w:rsidRPr="00450BF7">
        <w:rPr>
          <w:rFonts w:cs="Arial"/>
          <w:lang w:val="en-US"/>
        </w:rPr>
        <w:t>, Ghinolfi</w:t>
      </w:r>
      <w:r w:rsidR="00450BF7" w:rsidRPr="00450BF7">
        <w:rPr>
          <w:rFonts w:cs="Arial"/>
          <w:lang w:val="en-US"/>
        </w:rPr>
        <w:t xml:space="preserve"> F.</w:t>
      </w:r>
      <w:r w:rsidRPr="00450BF7">
        <w:rPr>
          <w:rFonts w:cs="Arial"/>
          <w:lang w:val="en-US"/>
        </w:rPr>
        <w:t>, Amato</w:t>
      </w:r>
      <w:r w:rsidR="00450BF7" w:rsidRPr="00450BF7">
        <w:rPr>
          <w:rFonts w:cs="Arial"/>
          <w:lang w:val="en-US"/>
        </w:rPr>
        <w:t xml:space="preserve"> F.</w:t>
      </w:r>
      <w:r w:rsidRPr="00450BF7">
        <w:rPr>
          <w:rFonts w:cs="Arial"/>
          <w:lang w:val="en-US"/>
        </w:rPr>
        <w:t>, Cinquanta</w:t>
      </w:r>
      <w:r w:rsidR="00450BF7" w:rsidRPr="00450BF7">
        <w:rPr>
          <w:rFonts w:cs="Arial"/>
          <w:lang w:val="en-US"/>
        </w:rPr>
        <w:t xml:space="preserve"> L.</w:t>
      </w:r>
      <w:r w:rsidRPr="00450BF7">
        <w:rPr>
          <w:rFonts w:cs="Arial"/>
          <w:lang w:val="en-US"/>
        </w:rPr>
        <w:t>, Corona</w:t>
      </w:r>
      <w:r w:rsidR="00450BF7" w:rsidRPr="00450BF7">
        <w:rPr>
          <w:rFonts w:cs="Arial"/>
          <w:lang w:val="en-US"/>
        </w:rPr>
        <w:t xml:space="preserve"> </w:t>
      </w:r>
      <w:r w:rsidR="00450BF7">
        <w:rPr>
          <w:rFonts w:cs="Arial"/>
          <w:lang w:val="en-US"/>
        </w:rPr>
        <w:t>O.,</w:t>
      </w:r>
      <w:r w:rsidRPr="00450BF7">
        <w:rPr>
          <w:rFonts w:cs="Arial"/>
          <w:lang w:val="en-US"/>
        </w:rPr>
        <w:t xml:space="preserve"> </w:t>
      </w:r>
      <w:r w:rsidRPr="0024734B">
        <w:rPr>
          <w:rFonts w:cs="Arial"/>
        </w:rPr>
        <w:t>2025</w:t>
      </w:r>
      <w:r w:rsidR="000311CE">
        <w:rPr>
          <w:rFonts w:cs="Arial"/>
        </w:rPr>
        <w:t xml:space="preserve">, </w:t>
      </w:r>
      <w:r w:rsidRPr="0024734B">
        <w:rPr>
          <w:rFonts w:cs="Arial"/>
        </w:rPr>
        <w:t xml:space="preserve">An </w:t>
      </w:r>
      <w:r w:rsidR="000311CE">
        <w:rPr>
          <w:rFonts w:cs="Arial"/>
        </w:rPr>
        <w:t>a</w:t>
      </w:r>
      <w:r w:rsidRPr="0024734B">
        <w:rPr>
          <w:rFonts w:cs="Arial"/>
        </w:rPr>
        <w:t xml:space="preserve">utomatic </w:t>
      </w:r>
      <w:r w:rsidR="000311CE">
        <w:rPr>
          <w:rFonts w:cs="Arial"/>
        </w:rPr>
        <w:t>f</w:t>
      </w:r>
      <w:r w:rsidRPr="0024734B">
        <w:rPr>
          <w:rFonts w:cs="Arial"/>
        </w:rPr>
        <w:t xml:space="preserve">ermentation </w:t>
      </w:r>
      <w:r w:rsidR="000311CE">
        <w:rPr>
          <w:rFonts w:cs="Arial"/>
        </w:rPr>
        <w:t>n</w:t>
      </w:r>
      <w:r w:rsidRPr="0024734B">
        <w:rPr>
          <w:rFonts w:cs="Arial"/>
        </w:rPr>
        <w:t xml:space="preserve">utrition </w:t>
      </w:r>
      <w:r w:rsidR="000311CE">
        <w:rPr>
          <w:rFonts w:cs="Arial"/>
        </w:rPr>
        <w:t>s</w:t>
      </w:r>
      <w:r w:rsidRPr="0024734B">
        <w:rPr>
          <w:rFonts w:cs="Arial"/>
        </w:rPr>
        <w:t xml:space="preserve">ystem </w:t>
      </w:r>
      <w:r w:rsidR="000311CE">
        <w:rPr>
          <w:rFonts w:cs="Arial"/>
        </w:rPr>
        <w:t>c</w:t>
      </w:r>
      <w:r w:rsidRPr="0024734B">
        <w:rPr>
          <w:rFonts w:cs="Arial"/>
        </w:rPr>
        <w:t xml:space="preserve">ompared to a </w:t>
      </w:r>
      <w:r w:rsidR="000311CE">
        <w:rPr>
          <w:rFonts w:cs="Arial"/>
        </w:rPr>
        <w:t>t</w:t>
      </w:r>
      <w:r w:rsidRPr="0024734B">
        <w:rPr>
          <w:rFonts w:cs="Arial"/>
        </w:rPr>
        <w:t xml:space="preserve">raditional </w:t>
      </w:r>
      <w:r w:rsidR="000311CE">
        <w:rPr>
          <w:rFonts w:cs="Arial"/>
        </w:rPr>
        <w:t>o</w:t>
      </w:r>
      <w:r w:rsidRPr="0024734B">
        <w:rPr>
          <w:rFonts w:cs="Arial"/>
        </w:rPr>
        <w:t xml:space="preserve">ne: </w:t>
      </w:r>
      <w:r w:rsidR="000311CE">
        <w:rPr>
          <w:rFonts w:cs="Arial"/>
        </w:rPr>
        <w:t>f</w:t>
      </w:r>
      <w:r w:rsidRPr="0024734B">
        <w:rPr>
          <w:rFonts w:cs="Arial"/>
        </w:rPr>
        <w:t xml:space="preserve">ermentation </w:t>
      </w:r>
      <w:r w:rsidR="000311CE">
        <w:rPr>
          <w:rFonts w:cs="Arial"/>
        </w:rPr>
        <w:t>p</w:t>
      </w:r>
      <w:r w:rsidRPr="0024734B">
        <w:rPr>
          <w:rFonts w:cs="Arial"/>
        </w:rPr>
        <w:t xml:space="preserve">erformances and </w:t>
      </w:r>
      <w:r w:rsidR="000311CE">
        <w:rPr>
          <w:rFonts w:cs="Arial"/>
        </w:rPr>
        <w:t>c</w:t>
      </w:r>
      <w:r w:rsidRPr="0024734B">
        <w:rPr>
          <w:rFonts w:cs="Arial"/>
        </w:rPr>
        <w:t xml:space="preserve">omposition of </w:t>
      </w:r>
      <w:r w:rsidR="000311CE">
        <w:rPr>
          <w:rFonts w:cs="Arial"/>
        </w:rPr>
        <w:t>w</w:t>
      </w:r>
      <w:r w:rsidRPr="0024734B">
        <w:rPr>
          <w:rFonts w:cs="Arial"/>
        </w:rPr>
        <w:t xml:space="preserve">hite </w:t>
      </w:r>
      <w:r w:rsidR="000311CE">
        <w:rPr>
          <w:rFonts w:cs="Arial"/>
        </w:rPr>
        <w:t>w</w:t>
      </w:r>
      <w:r w:rsidRPr="0024734B">
        <w:rPr>
          <w:rFonts w:cs="Arial"/>
        </w:rPr>
        <w:t>ines</w:t>
      </w:r>
      <w:r w:rsidR="000311CE">
        <w:rPr>
          <w:rFonts w:cs="Arial"/>
        </w:rPr>
        <w:t>,</w:t>
      </w:r>
      <w:r w:rsidRPr="0024734B">
        <w:rPr>
          <w:rFonts w:cs="Arial"/>
        </w:rPr>
        <w:t xml:space="preserve"> </w:t>
      </w:r>
      <w:r w:rsidRPr="0024734B">
        <w:rPr>
          <w:rFonts w:cs="Arial"/>
          <w:i/>
          <w:iCs/>
        </w:rPr>
        <w:t>OENO One</w:t>
      </w:r>
      <w:r w:rsidR="000311CE">
        <w:rPr>
          <w:rFonts w:cs="Arial"/>
          <w:i/>
          <w:iCs/>
        </w:rPr>
        <w:t>,</w:t>
      </w:r>
      <w:r w:rsidRPr="0024734B">
        <w:rPr>
          <w:rFonts w:cs="Arial"/>
        </w:rPr>
        <w:t xml:space="preserve"> 59</w:t>
      </w:r>
      <w:r w:rsidR="000311CE">
        <w:rPr>
          <w:rFonts w:cs="Arial"/>
        </w:rPr>
        <w:t>,</w:t>
      </w:r>
      <w:r w:rsidRPr="0024734B">
        <w:rPr>
          <w:rFonts w:cs="Arial"/>
        </w:rPr>
        <w:t xml:space="preserve"> 1</w:t>
      </w:r>
      <w:r w:rsidR="000311CE">
        <w:rPr>
          <w:rFonts w:cs="Arial"/>
        </w:rPr>
        <w:t>.</w:t>
      </w:r>
    </w:p>
    <w:p w14:paraId="0814133D" w14:textId="0DD35924" w:rsidR="0024734B" w:rsidRDefault="0024734B" w:rsidP="007C115D">
      <w:pPr>
        <w:pStyle w:val="Bibliografia1"/>
        <w:spacing w:after="0"/>
        <w:rPr>
          <w:rFonts w:cs="Arial"/>
        </w:rPr>
      </w:pPr>
      <w:r w:rsidRPr="00F97344">
        <w:rPr>
          <w:rFonts w:cs="Arial"/>
          <w:lang w:val="en-US"/>
        </w:rPr>
        <w:t>Romano</w:t>
      </w:r>
      <w:r w:rsidR="00F97344" w:rsidRPr="00F97344">
        <w:rPr>
          <w:rFonts w:cs="Arial"/>
          <w:lang w:val="en-US"/>
        </w:rPr>
        <w:t xml:space="preserve"> P.</w:t>
      </w:r>
      <w:r w:rsidRPr="00F97344">
        <w:rPr>
          <w:rFonts w:cs="Arial"/>
          <w:lang w:val="en-US"/>
        </w:rPr>
        <w:t>, Suzzi</w:t>
      </w:r>
      <w:r w:rsidR="00F97344" w:rsidRPr="00F97344">
        <w:rPr>
          <w:rFonts w:cs="Arial"/>
          <w:lang w:val="en-US"/>
        </w:rPr>
        <w:t xml:space="preserve"> G.</w:t>
      </w:r>
      <w:r w:rsidRPr="00F97344">
        <w:rPr>
          <w:rFonts w:cs="Arial"/>
          <w:lang w:val="en-US"/>
        </w:rPr>
        <w:t>,</w:t>
      </w:r>
      <w:r w:rsidR="00F97344" w:rsidRPr="00F97344">
        <w:rPr>
          <w:rFonts w:cs="Arial"/>
          <w:lang w:val="en-US"/>
        </w:rPr>
        <w:t xml:space="preserve"> </w:t>
      </w:r>
      <w:r w:rsidRPr="00F97344">
        <w:rPr>
          <w:rFonts w:cs="Arial"/>
          <w:lang w:val="en-US"/>
        </w:rPr>
        <w:t>Turbanti</w:t>
      </w:r>
      <w:r w:rsidR="00F97344" w:rsidRPr="00F97344">
        <w:rPr>
          <w:rFonts w:cs="Arial"/>
          <w:lang w:val="en-US"/>
        </w:rPr>
        <w:t xml:space="preserve"> L.</w:t>
      </w:r>
      <w:r w:rsidRPr="00F97344">
        <w:rPr>
          <w:rFonts w:cs="Arial"/>
          <w:lang w:val="en-US"/>
        </w:rPr>
        <w:t xml:space="preserve">, </w:t>
      </w:r>
      <w:r w:rsidR="00F97344" w:rsidRPr="00F97344">
        <w:rPr>
          <w:rFonts w:cs="Arial"/>
          <w:lang w:val="en-US"/>
        </w:rPr>
        <w:t>and</w:t>
      </w:r>
      <w:r w:rsidRPr="00F97344">
        <w:rPr>
          <w:rFonts w:cs="Arial"/>
          <w:lang w:val="en-US"/>
        </w:rPr>
        <w:t xml:space="preserve"> Polsinelli</w:t>
      </w:r>
      <w:r w:rsidR="00F97344" w:rsidRPr="00F97344">
        <w:rPr>
          <w:rFonts w:cs="Arial"/>
          <w:lang w:val="en-US"/>
        </w:rPr>
        <w:t xml:space="preserve"> M</w:t>
      </w:r>
      <w:r w:rsidRPr="00F97344">
        <w:rPr>
          <w:rFonts w:cs="Arial"/>
          <w:lang w:val="en-US"/>
        </w:rPr>
        <w:t>.</w:t>
      </w:r>
      <w:r w:rsidR="00F97344" w:rsidRPr="00F97344">
        <w:rPr>
          <w:rFonts w:cs="Arial"/>
          <w:lang w:val="en-US"/>
        </w:rPr>
        <w:t>,</w:t>
      </w:r>
      <w:r w:rsidRPr="00F97344">
        <w:rPr>
          <w:rFonts w:cs="Arial"/>
          <w:lang w:val="en-US"/>
        </w:rPr>
        <w:t xml:space="preserve"> </w:t>
      </w:r>
      <w:r w:rsidRPr="0024734B">
        <w:rPr>
          <w:rFonts w:cs="Arial"/>
        </w:rPr>
        <w:t>1994</w:t>
      </w:r>
      <w:r w:rsidR="000311CE">
        <w:rPr>
          <w:rFonts w:cs="Arial"/>
        </w:rPr>
        <w:t xml:space="preserve">, </w:t>
      </w:r>
      <w:r w:rsidRPr="0024734B">
        <w:rPr>
          <w:rFonts w:cs="Arial"/>
        </w:rPr>
        <w:t>Acetaldehyde production in Saccharomyces cerevisiae wine yeasts</w:t>
      </w:r>
      <w:r w:rsidR="000311CE">
        <w:rPr>
          <w:rFonts w:cs="Arial"/>
        </w:rPr>
        <w:t xml:space="preserve">, </w:t>
      </w:r>
      <w:r w:rsidRPr="0024734B">
        <w:rPr>
          <w:rFonts w:cs="Arial"/>
          <w:i/>
          <w:iCs/>
        </w:rPr>
        <w:t>FEMS Microbiology Letters</w:t>
      </w:r>
      <w:r w:rsidR="000311CE">
        <w:rPr>
          <w:rFonts w:cs="Arial"/>
          <w:i/>
          <w:iCs/>
        </w:rPr>
        <w:t>,</w:t>
      </w:r>
      <w:r w:rsidRPr="0024734B">
        <w:rPr>
          <w:rFonts w:cs="Arial"/>
        </w:rPr>
        <w:t xml:space="preserve"> 118</w:t>
      </w:r>
      <w:r w:rsidR="000311CE">
        <w:rPr>
          <w:rFonts w:cs="Arial"/>
        </w:rPr>
        <w:t>,</w:t>
      </w:r>
      <w:r w:rsidRPr="0024734B">
        <w:rPr>
          <w:rFonts w:cs="Arial"/>
        </w:rPr>
        <w:t xml:space="preserve"> 3</w:t>
      </w:r>
      <w:r w:rsidR="000311CE">
        <w:rPr>
          <w:rFonts w:cs="Arial"/>
        </w:rPr>
        <w:t>,</w:t>
      </w:r>
      <w:r w:rsidRPr="0024734B">
        <w:rPr>
          <w:rFonts w:cs="Arial"/>
        </w:rPr>
        <w:t xml:space="preserve"> 213–18.</w:t>
      </w:r>
    </w:p>
    <w:p w14:paraId="090D5E53" w14:textId="51B8FAAA" w:rsidR="00BF2212" w:rsidRPr="00BF2212" w:rsidRDefault="00BF2212" w:rsidP="007C115D">
      <w:pPr>
        <w:pStyle w:val="Bibliografia1"/>
        <w:spacing w:after="0"/>
        <w:rPr>
          <w:rFonts w:cs="Arial"/>
        </w:rPr>
      </w:pPr>
      <w:r w:rsidRPr="00BF2212">
        <w:rPr>
          <w:rFonts w:cs="Arial"/>
        </w:rPr>
        <w:t>Russo P., Liguori L., Corona O., Albanese D., Matteo M.D., and Cinquanta L., 2019, Combined membrane process for dealcoholization of wines</w:t>
      </w:r>
      <w:r>
        <w:rPr>
          <w:rFonts w:cs="Arial"/>
        </w:rPr>
        <w:t>. Osmotic distillation and reverse osmosis,</w:t>
      </w:r>
      <w:r w:rsidRPr="00BF2212">
        <w:rPr>
          <w:rFonts w:cs="Arial"/>
          <w:i/>
          <w:iCs/>
        </w:rPr>
        <w:t xml:space="preserve"> Chemical Engineering Transaction</w:t>
      </w:r>
      <w:r>
        <w:rPr>
          <w:rFonts w:cs="Arial"/>
        </w:rPr>
        <w:t xml:space="preserve">, 75, 7-12. </w:t>
      </w:r>
    </w:p>
    <w:p w14:paraId="0532C682" w14:textId="3E7D1ECB" w:rsidR="0024734B" w:rsidRPr="0024734B" w:rsidRDefault="0024734B" w:rsidP="007C115D">
      <w:pPr>
        <w:pStyle w:val="Bibliografia1"/>
        <w:spacing w:after="0"/>
        <w:rPr>
          <w:rFonts w:cs="Arial"/>
        </w:rPr>
      </w:pPr>
      <w:r w:rsidRPr="0024734B">
        <w:rPr>
          <w:rFonts w:cs="Arial"/>
        </w:rPr>
        <w:t>Samoticha J</w:t>
      </w:r>
      <w:r w:rsidR="00450BF7">
        <w:rPr>
          <w:rFonts w:cs="Arial"/>
        </w:rPr>
        <w:t>.</w:t>
      </w:r>
      <w:r w:rsidRPr="0024734B">
        <w:rPr>
          <w:rFonts w:cs="Arial"/>
        </w:rPr>
        <w:t>, Wojdyło</w:t>
      </w:r>
      <w:r w:rsidR="00450BF7">
        <w:rPr>
          <w:rFonts w:cs="Arial"/>
        </w:rPr>
        <w:t xml:space="preserve"> A.</w:t>
      </w:r>
      <w:r w:rsidRPr="0024734B">
        <w:rPr>
          <w:rFonts w:cs="Arial"/>
        </w:rPr>
        <w:t>, Chmielewska</w:t>
      </w:r>
      <w:r w:rsidR="00450BF7">
        <w:rPr>
          <w:rFonts w:cs="Arial"/>
        </w:rPr>
        <w:t xml:space="preserve"> J.</w:t>
      </w:r>
      <w:r w:rsidRPr="0024734B">
        <w:rPr>
          <w:rFonts w:cs="Arial"/>
        </w:rPr>
        <w:t>, Nofer</w:t>
      </w:r>
      <w:r w:rsidR="00450BF7">
        <w:rPr>
          <w:rFonts w:cs="Arial"/>
        </w:rPr>
        <w:t xml:space="preserve"> J.,</w:t>
      </w:r>
      <w:r w:rsidRPr="0024734B">
        <w:rPr>
          <w:rFonts w:cs="Arial"/>
        </w:rPr>
        <w:t xml:space="preserve"> 2019</w:t>
      </w:r>
      <w:r w:rsidR="000311CE">
        <w:rPr>
          <w:rFonts w:cs="Arial"/>
        </w:rPr>
        <w:t xml:space="preserve">, </w:t>
      </w:r>
      <w:r w:rsidRPr="0024734B">
        <w:rPr>
          <w:rFonts w:cs="Arial"/>
        </w:rPr>
        <w:t xml:space="preserve">Effect of </w:t>
      </w:r>
      <w:r w:rsidR="000311CE">
        <w:rPr>
          <w:rFonts w:cs="Arial"/>
        </w:rPr>
        <w:t>d</w:t>
      </w:r>
      <w:r w:rsidRPr="0024734B">
        <w:rPr>
          <w:rFonts w:cs="Arial"/>
        </w:rPr>
        <w:t xml:space="preserve">ifferent </w:t>
      </w:r>
      <w:r w:rsidR="000311CE">
        <w:rPr>
          <w:rFonts w:cs="Arial"/>
        </w:rPr>
        <w:t>y</w:t>
      </w:r>
      <w:r w:rsidRPr="0024734B">
        <w:rPr>
          <w:rFonts w:cs="Arial"/>
        </w:rPr>
        <w:t xml:space="preserve">east </w:t>
      </w:r>
      <w:r w:rsidR="000311CE">
        <w:rPr>
          <w:rFonts w:cs="Arial"/>
        </w:rPr>
        <w:t>s</w:t>
      </w:r>
      <w:r w:rsidRPr="0024734B">
        <w:rPr>
          <w:rFonts w:cs="Arial"/>
        </w:rPr>
        <w:t xml:space="preserve">trains and </w:t>
      </w:r>
      <w:r w:rsidR="000311CE">
        <w:rPr>
          <w:rFonts w:cs="Arial"/>
        </w:rPr>
        <w:t>t</w:t>
      </w:r>
      <w:r w:rsidRPr="0024734B">
        <w:rPr>
          <w:rFonts w:cs="Arial"/>
        </w:rPr>
        <w:t xml:space="preserve">emperature of </w:t>
      </w:r>
      <w:r w:rsidR="000311CE">
        <w:rPr>
          <w:rFonts w:cs="Arial"/>
        </w:rPr>
        <w:t>f</w:t>
      </w:r>
      <w:r w:rsidRPr="0024734B">
        <w:rPr>
          <w:rFonts w:cs="Arial"/>
        </w:rPr>
        <w:t xml:space="preserve">ermentation on </w:t>
      </w:r>
      <w:r w:rsidR="000311CE">
        <w:rPr>
          <w:rFonts w:cs="Arial"/>
        </w:rPr>
        <w:t>b</w:t>
      </w:r>
      <w:r w:rsidRPr="0024734B">
        <w:rPr>
          <w:rFonts w:cs="Arial"/>
        </w:rPr>
        <w:t xml:space="preserve">asic </w:t>
      </w:r>
      <w:r w:rsidR="000311CE">
        <w:rPr>
          <w:rFonts w:cs="Arial"/>
        </w:rPr>
        <w:t>e</w:t>
      </w:r>
      <w:r w:rsidRPr="0024734B">
        <w:rPr>
          <w:rFonts w:cs="Arial"/>
        </w:rPr>
        <w:t xml:space="preserve">nological </w:t>
      </w:r>
      <w:r w:rsidR="000311CE">
        <w:rPr>
          <w:rFonts w:cs="Arial"/>
        </w:rPr>
        <w:t>p</w:t>
      </w:r>
      <w:r w:rsidRPr="0024734B">
        <w:rPr>
          <w:rFonts w:cs="Arial"/>
        </w:rPr>
        <w:t xml:space="preserve">arameters, </w:t>
      </w:r>
      <w:r w:rsidR="000311CE">
        <w:rPr>
          <w:rFonts w:cs="Arial"/>
        </w:rPr>
        <w:t>p</w:t>
      </w:r>
      <w:r w:rsidRPr="0024734B">
        <w:rPr>
          <w:rFonts w:cs="Arial"/>
        </w:rPr>
        <w:t xml:space="preserve">olyphenols and </w:t>
      </w:r>
      <w:r w:rsidR="000311CE">
        <w:rPr>
          <w:rFonts w:cs="Arial"/>
        </w:rPr>
        <w:t>v</w:t>
      </w:r>
      <w:r w:rsidRPr="0024734B">
        <w:rPr>
          <w:rFonts w:cs="Arial"/>
        </w:rPr>
        <w:t xml:space="preserve">olatile </w:t>
      </w:r>
      <w:r w:rsidR="000311CE">
        <w:rPr>
          <w:rFonts w:cs="Arial"/>
        </w:rPr>
        <w:t>c</w:t>
      </w:r>
      <w:r w:rsidRPr="0024734B">
        <w:rPr>
          <w:rFonts w:cs="Arial"/>
        </w:rPr>
        <w:t xml:space="preserve">ompounds of </w:t>
      </w:r>
      <w:r w:rsidR="000311CE">
        <w:rPr>
          <w:rFonts w:cs="Arial"/>
        </w:rPr>
        <w:t>a</w:t>
      </w:r>
      <w:r w:rsidRPr="0024734B">
        <w:rPr>
          <w:rFonts w:cs="Arial"/>
        </w:rPr>
        <w:t xml:space="preserve">urore </w:t>
      </w:r>
      <w:r w:rsidR="000311CE">
        <w:rPr>
          <w:rFonts w:cs="Arial"/>
        </w:rPr>
        <w:t>w</w:t>
      </w:r>
      <w:r w:rsidRPr="0024734B">
        <w:rPr>
          <w:rFonts w:cs="Arial"/>
        </w:rPr>
        <w:t xml:space="preserve">hite </w:t>
      </w:r>
      <w:r w:rsidR="000311CE">
        <w:rPr>
          <w:rFonts w:cs="Arial"/>
        </w:rPr>
        <w:t>w</w:t>
      </w:r>
      <w:r w:rsidRPr="0024734B">
        <w:rPr>
          <w:rFonts w:cs="Arial"/>
        </w:rPr>
        <w:t>ine</w:t>
      </w:r>
      <w:r w:rsidR="000311CE">
        <w:rPr>
          <w:rFonts w:cs="Arial"/>
        </w:rPr>
        <w:t>,</w:t>
      </w:r>
      <w:r w:rsidRPr="0024734B">
        <w:rPr>
          <w:rFonts w:cs="Arial"/>
        </w:rPr>
        <w:t xml:space="preserve"> </w:t>
      </w:r>
      <w:r w:rsidRPr="0024734B">
        <w:rPr>
          <w:rFonts w:cs="Arial"/>
          <w:i/>
          <w:iCs/>
        </w:rPr>
        <w:t>Foods</w:t>
      </w:r>
      <w:r w:rsidRPr="0024734B">
        <w:rPr>
          <w:rFonts w:cs="Arial"/>
        </w:rPr>
        <w:t xml:space="preserve"> 8</w:t>
      </w:r>
      <w:r w:rsidR="000311CE">
        <w:rPr>
          <w:rFonts w:cs="Arial"/>
        </w:rPr>
        <w:t xml:space="preserve">, </w:t>
      </w:r>
      <w:r w:rsidRPr="0024734B">
        <w:rPr>
          <w:rFonts w:cs="Arial"/>
        </w:rPr>
        <w:t>12</w:t>
      </w:r>
      <w:r w:rsidR="000311CE">
        <w:rPr>
          <w:rFonts w:cs="Arial"/>
        </w:rPr>
        <w:t>,</w:t>
      </w:r>
      <w:r w:rsidRPr="0024734B">
        <w:rPr>
          <w:rFonts w:cs="Arial"/>
        </w:rPr>
        <w:t xml:space="preserve"> 599. </w:t>
      </w:r>
    </w:p>
    <w:p w14:paraId="53EF90F7" w14:textId="6179B9AE" w:rsidR="007762EC" w:rsidRPr="00C75C2B" w:rsidRDefault="0024734B" w:rsidP="00A75726">
      <w:pPr>
        <w:pStyle w:val="CETBodytext"/>
        <w:spacing w:line="240" w:lineRule="auto"/>
      </w:pPr>
      <w:r>
        <w:fldChar w:fldCharType="end"/>
      </w:r>
    </w:p>
    <w:sectPr w:rsidR="007762EC" w:rsidRPr="00C75C2B" w:rsidSect="008314D7">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3BF059" w14:textId="77777777" w:rsidR="00A412F2" w:rsidRDefault="00A412F2" w:rsidP="004F5E36">
      <w:r>
        <w:separator/>
      </w:r>
    </w:p>
  </w:endnote>
  <w:endnote w:type="continuationSeparator" w:id="0">
    <w:p w14:paraId="4CBD4EC6" w14:textId="77777777" w:rsidR="00A412F2" w:rsidRDefault="00A412F2"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AdvP6960">
    <w:altName w:val="Cambria"/>
    <w:panose1 w:val="020B0604020202020204"/>
    <w:charset w:val="4D"/>
    <w:family w:val="roman"/>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39CD98" w14:textId="77777777" w:rsidR="00A412F2" w:rsidRDefault="00A412F2" w:rsidP="004F5E36">
      <w:r>
        <w:separator/>
      </w:r>
    </w:p>
  </w:footnote>
  <w:footnote w:type="continuationSeparator" w:id="0">
    <w:p w14:paraId="4A869F3A" w14:textId="77777777" w:rsidR="00A412F2" w:rsidRDefault="00A412F2"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0"/>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7"/>
  </w:num>
  <w:num w:numId="13" w16cid:durableId="695733619">
    <w:abstractNumId w:val="12"/>
  </w:num>
  <w:num w:numId="14" w16cid:durableId="145903400">
    <w:abstractNumId w:val="18"/>
  </w:num>
  <w:num w:numId="15" w16cid:durableId="19162326">
    <w:abstractNumId w:val="20"/>
  </w:num>
  <w:num w:numId="16" w16cid:durableId="1977102699">
    <w:abstractNumId w:val="19"/>
  </w:num>
  <w:num w:numId="17" w16cid:durableId="860774865">
    <w:abstractNumId w:val="11"/>
  </w:num>
  <w:num w:numId="18" w16cid:durableId="313221457">
    <w:abstractNumId w:val="12"/>
    <w:lvlOverride w:ilvl="0">
      <w:startOverride w:val="1"/>
    </w:lvlOverride>
  </w:num>
  <w:num w:numId="19" w16cid:durableId="534971577">
    <w:abstractNumId w:val="16"/>
  </w:num>
  <w:num w:numId="20" w16cid:durableId="1150947773">
    <w:abstractNumId w:val="15"/>
  </w:num>
  <w:num w:numId="21" w16cid:durableId="124660497">
    <w:abstractNumId w:val="14"/>
  </w:num>
  <w:num w:numId="22" w16cid:durableId="209986147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884"/>
    <w:rsid w:val="00005A19"/>
    <w:rsid w:val="000117CB"/>
    <w:rsid w:val="0002709B"/>
    <w:rsid w:val="000311CE"/>
    <w:rsid w:val="0003148D"/>
    <w:rsid w:val="00031EEC"/>
    <w:rsid w:val="00051566"/>
    <w:rsid w:val="000562A9"/>
    <w:rsid w:val="0005731C"/>
    <w:rsid w:val="00062A9A"/>
    <w:rsid w:val="00065058"/>
    <w:rsid w:val="00072B9F"/>
    <w:rsid w:val="00080CB4"/>
    <w:rsid w:val="00086C39"/>
    <w:rsid w:val="000A03B2"/>
    <w:rsid w:val="000A1A24"/>
    <w:rsid w:val="000B470B"/>
    <w:rsid w:val="000C0487"/>
    <w:rsid w:val="000C05EC"/>
    <w:rsid w:val="000C3327"/>
    <w:rsid w:val="000D0268"/>
    <w:rsid w:val="000D34BE"/>
    <w:rsid w:val="000E102F"/>
    <w:rsid w:val="000E36F1"/>
    <w:rsid w:val="000E3A73"/>
    <w:rsid w:val="000E414A"/>
    <w:rsid w:val="000E75FD"/>
    <w:rsid w:val="000F093C"/>
    <w:rsid w:val="000F787B"/>
    <w:rsid w:val="00106C16"/>
    <w:rsid w:val="0012091F"/>
    <w:rsid w:val="00124AAD"/>
    <w:rsid w:val="00125F94"/>
    <w:rsid w:val="00126BC2"/>
    <w:rsid w:val="001308B6"/>
    <w:rsid w:val="0013121F"/>
    <w:rsid w:val="00131FE6"/>
    <w:rsid w:val="0013263F"/>
    <w:rsid w:val="001331DF"/>
    <w:rsid w:val="00134DE4"/>
    <w:rsid w:val="001371D3"/>
    <w:rsid w:val="0014034D"/>
    <w:rsid w:val="00140FE3"/>
    <w:rsid w:val="00144D16"/>
    <w:rsid w:val="00150E59"/>
    <w:rsid w:val="00152DE3"/>
    <w:rsid w:val="00152E45"/>
    <w:rsid w:val="00164CF9"/>
    <w:rsid w:val="001667A6"/>
    <w:rsid w:val="001669FB"/>
    <w:rsid w:val="00180A9A"/>
    <w:rsid w:val="00184AD6"/>
    <w:rsid w:val="00195272"/>
    <w:rsid w:val="001A25F8"/>
    <w:rsid w:val="001A4AF7"/>
    <w:rsid w:val="001B0349"/>
    <w:rsid w:val="001B1E93"/>
    <w:rsid w:val="001B3101"/>
    <w:rsid w:val="001B65C1"/>
    <w:rsid w:val="001C260F"/>
    <w:rsid w:val="001C33F1"/>
    <w:rsid w:val="001C684B"/>
    <w:rsid w:val="001D0CFB"/>
    <w:rsid w:val="001D1DA4"/>
    <w:rsid w:val="001D21AF"/>
    <w:rsid w:val="001D48F9"/>
    <w:rsid w:val="001D53FC"/>
    <w:rsid w:val="001F42A5"/>
    <w:rsid w:val="001F7B9D"/>
    <w:rsid w:val="00201C93"/>
    <w:rsid w:val="00215824"/>
    <w:rsid w:val="002224B4"/>
    <w:rsid w:val="002447EF"/>
    <w:rsid w:val="0024734B"/>
    <w:rsid w:val="00247D51"/>
    <w:rsid w:val="00251550"/>
    <w:rsid w:val="002539F3"/>
    <w:rsid w:val="002615B2"/>
    <w:rsid w:val="00263B05"/>
    <w:rsid w:val="0027221A"/>
    <w:rsid w:val="00275B61"/>
    <w:rsid w:val="00280FAF"/>
    <w:rsid w:val="00281041"/>
    <w:rsid w:val="00282656"/>
    <w:rsid w:val="00296B83"/>
    <w:rsid w:val="002B2640"/>
    <w:rsid w:val="002B4015"/>
    <w:rsid w:val="002B78CE"/>
    <w:rsid w:val="002B7DAA"/>
    <w:rsid w:val="002C193F"/>
    <w:rsid w:val="002C2FB6"/>
    <w:rsid w:val="002D44A0"/>
    <w:rsid w:val="002E5FA7"/>
    <w:rsid w:val="002F3309"/>
    <w:rsid w:val="003008CE"/>
    <w:rsid w:val="003009B7"/>
    <w:rsid w:val="00300A14"/>
    <w:rsid w:val="00300E56"/>
    <w:rsid w:val="0030152C"/>
    <w:rsid w:val="0030469C"/>
    <w:rsid w:val="00312379"/>
    <w:rsid w:val="00316E75"/>
    <w:rsid w:val="00321CA6"/>
    <w:rsid w:val="00323763"/>
    <w:rsid w:val="00323C5F"/>
    <w:rsid w:val="003254FD"/>
    <w:rsid w:val="00330DD5"/>
    <w:rsid w:val="00331828"/>
    <w:rsid w:val="003325DA"/>
    <w:rsid w:val="00334C09"/>
    <w:rsid w:val="003408E1"/>
    <w:rsid w:val="003723D4"/>
    <w:rsid w:val="00373809"/>
    <w:rsid w:val="00381905"/>
    <w:rsid w:val="00384CC8"/>
    <w:rsid w:val="003871FD"/>
    <w:rsid w:val="003A1E30"/>
    <w:rsid w:val="003A2829"/>
    <w:rsid w:val="003A7D1C"/>
    <w:rsid w:val="003B22A4"/>
    <w:rsid w:val="003B304B"/>
    <w:rsid w:val="003B3146"/>
    <w:rsid w:val="003C6E84"/>
    <w:rsid w:val="003D1E02"/>
    <w:rsid w:val="003D2742"/>
    <w:rsid w:val="003F015E"/>
    <w:rsid w:val="003F2819"/>
    <w:rsid w:val="003F2D7A"/>
    <w:rsid w:val="00400414"/>
    <w:rsid w:val="004111BF"/>
    <w:rsid w:val="00412599"/>
    <w:rsid w:val="00412799"/>
    <w:rsid w:val="0041446B"/>
    <w:rsid w:val="0044071E"/>
    <w:rsid w:val="0044329C"/>
    <w:rsid w:val="00450BF7"/>
    <w:rsid w:val="00453E24"/>
    <w:rsid w:val="00457456"/>
    <w:rsid w:val="004577FE"/>
    <w:rsid w:val="00457B9C"/>
    <w:rsid w:val="0046164A"/>
    <w:rsid w:val="004628D2"/>
    <w:rsid w:val="00462DCD"/>
    <w:rsid w:val="004648AD"/>
    <w:rsid w:val="004703A9"/>
    <w:rsid w:val="00471262"/>
    <w:rsid w:val="004760DE"/>
    <w:rsid w:val="004763D7"/>
    <w:rsid w:val="004A004E"/>
    <w:rsid w:val="004A24CF"/>
    <w:rsid w:val="004A2FA0"/>
    <w:rsid w:val="004A5E57"/>
    <w:rsid w:val="004C194F"/>
    <w:rsid w:val="004C3D1D"/>
    <w:rsid w:val="004C3D84"/>
    <w:rsid w:val="004C7913"/>
    <w:rsid w:val="004E445A"/>
    <w:rsid w:val="004E4DD6"/>
    <w:rsid w:val="004F56EF"/>
    <w:rsid w:val="004F5E36"/>
    <w:rsid w:val="00507B47"/>
    <w:rsid w:val="00507BEF"/>
    <w:rsid w:val="00507CC9"/>
    <w:rsid w:val="005119A5"/>
    <w:rsid w:val="00521ACF"/>
    <w:rsid w:val="00525CCA"/>
    <w:rsid w:val="005278B7"/>
    <w:rsid w:val="00532016"/>
    <w:rsid w:val="00533338"/>
    <w:rsid w:val="005346C8"/>
    <w:rsid w:val="00543E7D"/>
    <w:rsid w:val="00547A68"/>
    <w:rsid w:val="005531C9"/>
    <w:rsid w:val="005621AF"/>
    <w:rsid w:val="00570C43"/>
    <w:rsid w:val="0057328B"/>
    <w:rsid w:val="0057591E"/>
    <w:rsid w:val="00592274"/>
    <w:rsid w:val="005B1D4A"/>
    <w:rsid w:val="005B2110"/>
    <w:rsid w:val="005B61E6"/>
    <w:rsid w:val="005C4E5C"/>
    <w:rsid w:val="005C77E1"/>
    <w:rsid w:val="005D2B22"/>
    <w:rsid w:val="005D668A"/>
    <w:rsid w:val="005D6A2F"/>
    <w:rsid w:val="005E0592"/>
    <w:rsid w:val="005E0E37"/>
    <w:rsid w:val="005E1A82"/>
    <w:rsid w:val="005E2AD6"/>
    <w:rsid w:val="005E794C"/>
    <w:rsid w:val="005F0A28"/>
    <w:rsid w:val="005F0E5E"/>
    <w:rsid w:val="005F3445"/>
    <w:rsid w:val="00600535"/>
    <w:rsid w:val="00604A0D"/>
    <w:rsid w:val="006104AB"/>
    <w:rsid w:val="00610CD6"/>
    <w:rsid w:val="006158B0"/>
    <w:rsid w:val="00620DEE"/>
    <w:rsid w:val="00621F92"/>
    <w:rsid w:val="0062280A"/>
    <w:rsid w:val="006231E1"/>
    <w:rsid w:val="006237F9"/>
    <w:rsid w:val="00625639"/>
    <w:rsid w:val="00631B33"/>
    <w:rsid w:val="00640AA9"/>
    <w:rsid w:val="0064184D"/>
    <w:rsid w:val="00641E85"/>
    <w:rsid w:val="006422CC"/>
    <w:rsid w:val="00650082"/>
    <w:rsid w:val="00651A9D"/>
    <w:rsid w:val="00651D18"/>
    <w:rsid w:val="00660E3E"/>
    <w:rsid w:val="00662E74"/>
    <w:rsid w:val="00680C23"/>
    <w:rsid w:val="00682F77"/>
    <w:rsid w:val="00683E23"/>
    <w:rsid w:val="00690B53"/>
    <w:rsid w:val="00693766"/>
    <w:rsid w:val="006A3281"/>
    <w:rsid w:val="006A46CA"/>
    <w:rsid w:val="006B076D"/>
    <w:rsid w:val="006B4888"/>
    <w:rsid w:val="006C2E45"/>
    <w:rsid w:val="006C359C"/>
    <w:rsid w:val="006C5579"/>
    <w:rsid w:val="006D1F58"/>
    <w:rsid w:val="006D6E8B"/>
    <w:rsid w:val="006D7209"/>
    <w:rsid w:val="006E6498"/>
    <w:rsid w:val="006E7005"/>
    <w:rsid w:val="006E737D"/>
    <w:rsid w:val="006F22FF"/>
    <w:rsid w:val="0070643F"/>
    <w:rsid w:val="00707DD1"/>
    <w:rsid w:val="00713872"/>
    <w:rsid w:val="00713973"/>
    <w:rsid w:val="0071519A"/>
    <w:rsid w:val="00720A24"/>
    <w:rsid w:val="007212A4"/>
    <w:rsid w:val="00732386"/>
    <w:rsid w:val="0073514D"/>
    <w:rsid w:val="007447F3"/>
    <w:rsid w:val="007516B7"/>
    <w:rsid w:val="0075499F"/>
    <w:rsid w:val="007617CC"/>
    <w:rsid w:val="007661C8"/>
    <w:rsid w:val="00767B6A"/>
    <w:rsid w:val="0077098D"/>
    <w:rsid w:val="007762EC"/>
    <w:rsid w:val="00785BF9"/>
    <w:rsid w:val="00792550"/>
    <w:rsid w:val="007931FA"/>
    <w:rsid w:val="0079489E"/>
    <w:rsid w:val="007A4861"/>
    <w:rsid w:val="007A78ED"/>
    <w:rsid w:val="007A7BBA"/>
    <w:rsid w:val="007B0C50"/>
    <w:rsid w:val="007B48F9"/>
    <w:rsid w:val="007B4F70"/>
    <w:rsid w:val="007B5FF7"/>
    <w:rsid w:val="007C115D"/>
    <w:rsid w:val="007C1A43"/>
    <w:rsid w:val="007C7ECE"/>
    <w:rsid w:val="007D0951"/>
    <w:rsid w:val="007F0807"/>
    <w:rsid w:val="007F27C8"/>
    <w:rsid w:val="007F7953"/>
    <w:rsid w:val="0080013E"/>
    <w:rsid w:val="00801A6A"/>
    <w:rsid w:val="00803B2C"/>
    <w:rsid w:val="00805A40"/>
    <w:rsid w:val="00810741"/>
    <w:rsid w:val="00813288"/>
    <w:rsid w:val="008168FC"/>
    <w:rsid w:val="00830996"/>
    <w:rsid w:val="008314D7"/>
    <w:rsid w:val="008345F1"/>
    <w:rsid w:val="00847140"/>
    <w:rsid w:val="008639DE"/>
    <w:rsid w:val="00865B07"/>
    <w:rsid w:val="008667EA"/>
    <w:rsid w:val="0087637F"/>
    <w:rsid w:val="0087762C"/>
    <w:rsid w:val="00892111"/>
    <w:rsid w:val="00892AD5"/>
    <w:rsid w:val="008A1512"/>
    <w:rsid w:val="008B319C"/>
    <w:rsid w:val="008C581F"/>
    <w:rsid w:val="008D32B9"/>
    <w:rsid w:val="008D433B"/>
    <w:rsid w:val="008D4A16"/>
    <w:rsid w:val="008D7E95"/>
    <w:rsid w:val="008E209A"/>
    <w:rsid w:val="008E45BC"/>
    <w:rsid w:val="008E566E"/>
    <w:rsid w:val="008F0D5A"/>
    <w:rsid w:val="008F45E4"/>
    <w:rsid w:val="008F6C7D"/>
    <w:rsid w:val="0090161A"/>
    <w:rsid w:val="00901EB6"/>
    <w:rsid w:val="009041F8"/>
    <w:rsid w:val="00904C62"/>
    <w:rsid w:val="009112B0"/>
    <w:rsid w:val="00922BA8"/>
    <w:rsid w:val="00924DAC"/>
    <w:rsid w:val="00927058"/>
    <w:rsid w:val="009323C6"/>
    <w:rsid w:val="0093303D"/>
    <w:rsid w:val="009415A7"/>
    <w:rsid w:val="009416FC"/>
    <w:rsid w:val="00942750"/>
    <w:rsid w:val="009450CE"/>
    <w:rsid w:val="009459BB"/>
    <w:rsid w:val="00946409"/>
    <w:rsid w:val="00947179"/>
    <w:rsid w:val="0095164B"/>
    <w:rsid w:val="00954090"/>
    <w:rsid w:val="009573E7"/>
    <w:rsid w:val="00963E05"/>
    <w:rsid w:val="00964A45"/>
    <w:rsid w:val="00967843"/>
    <w:rsid w:val="00967D54"/>
    <w:rsid w:val="00971028"/>
    <w:rsid w:val="00986822"/>
    <w:rsid w:val="00993B84"/>
    <w:rsid w:val="00996483"/>
    <w:rsid w:val="00996F5A"/>
    <w:rsid w:val="009B041A"/>
    <w:rsid w:val="009C37C3"/>
    <w:rsid w:val="009C7C86"/>
    <w:rsid w:val="009D2FF7"/>
    <w:rsid w:val="009D35FE"/>
    <w:rsid w:val="009E7884"/>
    <w:rsid w:val="009E788A"/>
    <w:rsid w:val="009F00C7"/>
    <w:rsid w:val="009F0E08"/>
    <w:rsid w:val="00A079AE"/>
    <w:rsid w:val="00A1763D"/>
    <w:rsid w:val="00A17CEC"/>
    <w:rsid w:val="00A26CBB"/>
    <w:rsid w:val="00A27EF0"/>
    <w:rsid w:val="00A412F2"/>
    <w:rsid w:val="00A42361"/>
    <w:rsid w:val="00A50B20"/>
    <w:rsid w:val="00A51390"/>
    <w:rsid w:val="00A60D13"/>
    <w:rsid w:val="00A7223D"/>
    <w:rsid w:val="00A72745"/>
    <w:rsid w:val="00A75726"/>
    <w:rsid w:val="00A76EFC"/>
    <w:rsid w:val="00A87D50"/>
    <w:rsid w:val="00A90AFA"/>
    <w:rsid w:val="00A91010"/>
    <w:rsid w:val="00A939B0"/>
    <w:rsid w:val="00A97F29"/>
    <w:rsid w:val="00AA702E"/>
    <w:rsid w:val="00AA7D26"/>
    <w:rsid w:val="00AB0964"/>
    <w:rsid w:val="00AB5011"/>
    <w:rsid w:val="00AB5E29"/>
    <w:rsid w:val="00AC7368"/>
    <w:rsid w:val="00AD0278"/>
    <w:rsid w:val="00AD16B9"/>
    <w:rsid w:val="00AE377D"/>
    <w:rsid w:val="00AF0741"/>
    <w:rsid w:val="00AF0EBA"/>
    <w:rsid w:val="00B02C8A"/>
    <w:rsid w:val="00B034A8"/>
    <w:rsid w:val="00B17FBD"/>
    <w:rsid w:val="00B315A6"/>
    <w:rsid w:val="00B31813"/>
    <w:rsid w:val="00B33365"/>
    <w:rsid w:val="00B41C5B"/>
    <w:rsid w:val="00B42037"/>
    <w:rsid w:val="00B4396C"/>
    <w:rsid w:val="00B4614E"/>
    <w:rsid w:val="00B552AE"/>
    <w:rsid w:val="00B57B36"/>
    <w:rsid w:val="00B57E6F"/>
    <w:rsid w:val="00B67E9D"/>
    <w:rsid w:val="00B71485"/>
    <w:rsid w:val="00B758B4"/>
    <w:rsid w:val="00B81FD1"/>
    <w:rsid w:val="00B843D2"/>
    <w:rsid w:val="00B84FD0"/>
    <w:rsid w:val="00B86632"/>
    <w:rsid w:val="00B86664"/>
    <w:rsid w:val="00B8686D"/>
    <w:rsid w:val="00B93F69"/>
    <w:rsid w:val="00BA2653"/>
    <w:rsid w:val="00BA4C4F"/>
    <w:rsid w:val="00BB1DDC"/>
    <w:rsid w:val="00BC0A3C"/>
    <w:rsid w:val="00BC30C9"/>
    <w:rsid w:val="00BC3CFD"/>
    <w:rsid w:val="00BD077D"/>
    <w:rsid w:val="00BE3E58"/>
    <w:rsid w:val="00BF2212"/>
    <w:rsid w:val="00C01616"/>
    <w:rsid w:val="00C0162B"/>
    <w:rsid w:val="00C068ED"/>
    <w:rsid w:val="00C13E23"/>
    <w:rsid w:val="00C208E9"/>
    <w:rsid w:val="00C22E0C"/>
    <w:rsid w:val="00C345B1"/>
    <w:rsid w:val="00C362D1"/>
    <w:rsid w:val="00C40142"/>
    <w:rsid w:val="00C52C3C"/>
    <w:rsid w:val="00C52EAB"/>
    <w:rsid w:val="00C57182"/>
    <w:rsid w:val="00C57863"/>
    <w:rsid w:val="00C640AF"/>
    <w:rsid w:val="00C655FD"/>
    <w:rsid w:val="00C6714D"/>
    <w:rsid w:val="00C673DD"/>
    <w:rsid w:val="00C75407"/>
    <w:rsid w:val="00C75C2B"/>
    <w:rsid w:val="00C817FD"/>
    <w:rsid w:val="00C841C6"/>
    <w:rsid w:val="00C870A8"/>
    <w:rsid w:val="00C94434"/>
    <w:rsid w:val="00C97258"/>
    <w:rsid w:val="00CA0D75"/>
    <w:rsid w:val="00CA1C95"/>
    <w:rsid w:val="00CA5A9C"/>
    <w:rsid w:val="00CB5CB9"/>
    <w:rsid w:val="00CC0D58"/>
    <w:rsid w:val="00CC4C20"/>
    <w:rsid w:val="00CD3517"/>
    <w:rsid w:val="00CD5FE2"/>
    <w:rsid w:val="00CE15AE"/>
    <w:rsid w:val="00CE34CB"/>
    <w:rsid w:val="00CE7C68"/>
    <w:rsid w:val="00CF2136"/>
    <w:rsid w:val="00CF6E97"/>
    <w:rsid w:val="00D009B0"/>
    <w:rsid w:val="00D02B4C"/>
    <w:rsid w:val="00D040C4"/>
    <w:rsid w:val="00D20AD1"/>
    <w:rsid w:val="00D2582C"/>
    <w:rsid w:val="00D27366"/>
    <w:rsid w:val="00D339F7"/>
    <w:rsid w:val="00D356BB"/>
    <w:rsid w:val="00D46B7E"/>
    <w:rsid w:val="00D54B28"/>
    <w:rsid w:val="00D56A80"/>
    <w:rsid w:val="00D57C84"/>
    <w:rsid w:val="00D6057D"/>
    <w:rsid w:val="00D707CF"/>
    <w:rsid w:val="00D71640"/>
    <w:rsid w:val="00D836C5"/>
    <w:rsid w:val="00D84576"/>
    <w:rsid w:val="00DA0EC5"/>
    <w:rsid w:val="00DA1399"/>
    <w:rsid w:val="00DA24C6"/>
    <w:rsid w:val="00DA4D7B"/>
    <w:rsid w:val="00DB3A3F"/>
    <w:rsid w:val="00DB51A1"/>
    <w:rsid w:val="00DC298A"/>
    <w:rsid w:val="00DC5804"/>
    <w:rsid w:val="00DC7A6E"/>
    <w:rsid w:val="00DD271C"/>
    <w:rsid w:val="00DD50EB"/>
    <w:rsid w:val="00DE264A"/>
    <w:rsid w:val="00DF5072"/>
    <w:rsid w:val="00E02D18"/>
    <w:rsid w:val="00E041E7"/>
    <w:rsid w:val="00E123AB"/>
    <w:rsid w:val="00E1703D"/>
    <w:rsid w:val="00E23CA1"/>
    <w:rsid w:val="00E31FB2"/>
    <w:rsid w:val="00E409A8"/>
    <w:rsid w:val="00E41685"/>
    <w:rsid w:val="00E43F13"/>
    <w:rsid w:val="00E47D61"/>
    <w:rsid w:val="00E50C12"/>
    <w:rsid w:val="00E6259A"/>
    <w:rsid w:val="00E65B91"/>
    <w:rsid w:val="00E7209D"/>
    <w:rsid w:val="00E72EAD"/>
    <w:rsid w:val="00E77223"/>
    <w:rsid w:val="00E83F81"/>
    <w:rsid w:val="00E8528B"/>
    <w:rsid w:val="00E85B94"/>
    <w:rsid w:val="00E978D0"/>
    <w:rsid w:val="00EA14A7"/>
    <w:rsid w:val="00EA3E55"/>
    <w:rsid w:val="00EA4613"/>
    <w:rsid w:val="00EA7F91"/>
    <w:rsid w:val="00EB1523"/>
    <w:rsid w:val="00EC0E49"/>
    <w:rsid w:val="00EC101F"/>
    <w:rsid w:val="00EC1495"/>
    <w:rsid w:val="00EC1D9F"/>
    <w:rsid w:val="00EC2616"/>
    <w:rsid w:val="00ED05BA"/>
    <w:rsid w:val="00EE0131"/>
    <w:rsid w:val="00EE17B0"/>
    <w:rsid w:val="00EE68EE"/>
    <w:rsid w:val="00EF06D9"/>
    <w:rsid w:val="00EF0982"/>
    <w:rsid w:val="00EF1825"/>
    <w:rsid w:val="00EF61CC"/>
    <w:rsid w:val="00F03AFD"/>
    <w:rsid w:val="00F1084D"/>
    <w:rsid w:val="00F26820"/>
    <w:rsid w:val="00F27058"/>
    <w:rsid w:val="00F3049E"/>
    <w:rsid w:val="00F30C64"/>
    <w:rsid w:val="00F32BA2"/>
    <w:rsid w:val="00F32CDB"/>
    <w:rsid w:val="00F3348F"/>
    <w:rsid w:val="00F37280"/>
    <w:rsid w:val="00F41EE4"/>
    <w:rsid w:val="00F51823"/>
    <w:rsid w:val="00F565FE"/>
    <w:rsid w:val="00F63A70"/>
    <w:rsid w:val="00F63D8C"/>
    <w:rsid w:val="00F7534E"/>
    <w:rsid w:val="00F8248F"/>
    <w:rsid w:val="00F92F0E"/>
    <w:rsid w:val="00F93EDF"/>
    <w:rsid w:val="00F97344"/>
    <w:rsid w:val="00FA1802"/>
    <w:rsid w:val="00FA21D0"/>
    <w:rsid w:val="00FA5F5F"/>
    <w:rsid w:val="00FB4DB7"/>
    <w:rsid w:val="00FB730C"/>
    <w:rsid w:val="00FC2695"/>
    <w:rsid w:val="00FC3E03"/>
    <w:rsid w:val="00FC3FC1"/>
    <w:rsid w:val="00FE2D25"/>
    <w:rsid w:val="00FE3663"/>
    <w:rsid w:val="00FF1363"/>
    <w:rsid w:val="00FF4AB4"/>
    <w:rsid w:val="00FF6A8B"/>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5:docId w15:val="{7770BA29-A97A-8D45-9CA0-55E03C3CD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E2D25"/>
    <w:pPr>
      <w:keepNext/>
      <w:suppressAutoHyphens/>
      <w:spacing w:before="120" w:after="120" w:line="240" w:lineRule="auto"/>
      <w:jc w:val="both"/>
    </w:pPr>
    <w:rPr>
      <w:rFonts w:ascii="Arial" w:eastAsia="Times New Roman" w:hAnsi="Arial" w:cs="Times New Roman"/>
      <w:bCs/>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E2D25"/>
    <w:rPr>
      <w:rFonts w:ascii="Arial" w:eastAsia="Times New Roman" w:hAnsi="Arial" w:cs="Times New Roman"/>
      <w:bCs/>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style>
  <w:style w:type="character" w:customStyle="1" w:styleId="CETHeadingxxChar">
    <w:name w:val="CET Headingxx Char"/>
    <w:basedOn w:val="CETheadingxCarattere"/>
    <w:link w:val="CETHeadingxx"/>
    <w:rsid w:val="000F787B"/>
    <w:rPr>
      <w:rFonts w:ascii="Arial" w:eastAsia="Times New Roman" w:hAnsi="Arial" w:cs="Times New Roman"/>
      <w:b w:val="0"/>
      <w:bCs/>
      <w:sz w:val="18"/>
      <w:szCs w:val="20"/>
      <w:lang w:val="en-US"/>
    </w:rPr>
  </w:style>
  <w:style w:type="paragraph" w:styleId="Paragrafoelenco">
    <w:name w:val="List Paragraph"/>
    <w:basedOn w:val="Normale"/>
    <w:uiPriority w:val="34"/>
    <w:rsid w:val="00280FAF"/>
    <w:pPr>
      <w:ind w:left="720"/>
      <w:contextualSpacing/>
    </w:pPr>
  </w:style>
  <w:style w:type="character" w:customStyle="1" w:styleId="gmail-apple-converted-space">
    <w:name w:val="gmail-apple-converted-space"/>
    <w:basedOn w:val="Carpredefinitoparagrafo"/>
    <w:rsid w:val="00005A19"/>
  </w:style>
  <w:style w:type="paragraph" w:customStyle="1" w:styleId="paragraph">
    <w:name w:val="paragraph"/>
    <w:basedOn w:val="Normale"/>
    <w:rsid w:val="009416FC"/>
    <w:pPr>
      <w:tabs>
        <w:tab w:val="clear" w:pos="7100"/>
      </w:tabs>
      <w:spacing w:before="100" w:beforeAutospacing="1" w:after="100" w:afterAutospacing="1" w:line="240" w:lineRule="auto"/>
      <w:jc w:val="left"/>
    </w:pPr>
    <w:rPr>
      <w:rFonts w:ascii="Times New Roman" w:hAnsi="Times New Roman"/>
      <w:sz w:val="24"/>
      <w:szCs w:val="24"/>
      <w:lang w:val="it-IT" w:eastAsia="it-IT"/>
    </w:rPr>
  </w:style>
  <w:style w:type="character" w:customStyle="1" w:styleId="normaltextrun">
    <w:name w:val="normaltextrun"/>
    <w:basedOn w:val="Carpredefinitoparagrafo"/>
    <w:rsid w:val="009416FC"/>
  </w:style>
  <w:style w:type="character" w:customStyle="1" w:styleId="eop">
    <w:name w:val="eop"/>
    <w:basedOn w:val="Carpredefinitoparagrafo"/>
    <w:rsid w:val="009416FC"/>
  </w:style>
  <w:style w:type="character" w:styleId="Enfasicorsivo">
    <w:name w:val="Emphasis"/>
    <w:basedOn w:val="Carpredefinitoparagrafo"/>
    <w:uiPriority w:val="20"/>
    <w:qFormat/>
    <w:rsid w:val="00EC1495"/>
    <w:rPr>
      <w:i/>
      <w:iCs/>
    </w:rPr>
  </w:style>
  <w:style w:type="character" w:styleId="Enfasigrassetto">
    <w:name w:val="Strong"/>
    <w:basedOn w:val="Carpredefinitoparagrafo"/>
    <w:uiPriority w:val="22"/>
    <w:qFormat/>
    <w:rsid w:val="00EC1495"/>
    <w:rPr>
      <w:b/>
      <w:bCs/>
    </w:rPr>
  </w:style>
  <w:style w:type="character" w:customStyle="1" w:styleId="whitespace-normal">
    <w:name w:val="whitespace-normal"/>
    <w:basedOn w:val="Carpredefinitoparagrafo"/>
    <w:rsid w:val="00D27366"/>
  </w:style>
  <w:style w:type="character" w:styleId="Testosegnaposto">
    <w:name w:val="Placeholder Text"/>
    <w:basedOn w:val="Carpredefinitoparagrafo"/>
    <w:uiPriority w:val="99"/>
    <w:semiHidden/>
    <w:rsid w:val="003254FD"/>
    <w:rPr>
      <w:color w:val="808080"/>
    </w:rPr>
  </w:style>
  <w:style w:type="paragraph" w:customStyle="1" w:styleId="Bibliografia1">
    <w:name w:val="Bibliografia1"/>
    <w:basedOn w:val="Normale"/>
    <w:link w:val="BibliographyCarattere"/>
    <w:rsid w:val="0024734B"/>
    <w:pPr>
      <w:spacing w:after="240" w:line="240" w:lineRule="auto"/>
      <w:ind w:left="720" w:hanging="720"/>
    </w:pPr>
  </w:style>
  <w:style w:type="character" w:customStyle="1" w:styleId="BibliographyCarattere">
    <w:name w:val="Bibliography Carattere"/>
    <w:basedOn w:val="CETBodytextCarattere"/>
    <w:link w:val="Bibliografia1"/>
    <w:rsid w:val="0024734B"/>
    <w:rPr>
      <w:rFonts w:ascii="Arial" w:eastAsia="Times New Roman" w:hAnsi="Arial" w:cs="Times New Roman"/>
      <w:sz w:val="18"/>
      <w:szCs w:val="20"/>
      <w:lang w:val="en-GB"/>
    </w:rPr>
  </w:style>
  <w:style w:type="paragraph" w:styleId="Revisione">
    <w:name w:val="Revision"/>
    <w:hidden/>
    <w:uiPriority w:val="99"/>
    <w:semiHidden/>
    <w:rsid w:val="00CC0D58"/>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492091">
      <w:bodyDiv w:val="1"/>
      <w:marLeft w:val="0"/>
      <w:marRight w:val="0"/>
      <w:marTop w:val="0"/>
      <w:marBottom w:val="0"/>
      <w:divBdr>
        <w:top w:val="none" w:sz="0" w:space="0" w:color="auto"/>
        <w:left w:val="none" w:sz="0" w:space="0" w:color="auto"/>
        <w:bottom w:val="none" w:sz="0" w:space="0" w:color="auto"/>
        <w:right w:val="none" w:sz="0" w:space="0" w:color="auto"/>
      </w:divBdr>
      <w:divsChild>
        <w:div w:id="1568568335">
          <w:marLeft w:val="0"/>
          <w:marRight w:val="0"/>
          <w:marTop w:val="0"/>
          <w:marBottom w:val="0"/>
          <w:divBdr>
            <w:top w:val="none" w:sz="0" w:space="0" w:color="auto"/>
            <w:left w:val="none" w:sz="0" w:space="0" w:color="auto"/>
            <w:bottom w:val="none" w:sz="0" w:space="0" w:color="auto"/>
            <w:right w:val="none" w:sz="0" w:space="0" w:color="auto"/>
          </w:divBdr>
          <w:divsChild>
            <w:div w:id="1542551096">
              <w:marLeft w:val="0"/>
              <w:marRight w:val="0"/>
              <w:marTop w:val="0"/>
              <w:marBottom w:val="0"/>
              <w:divBdr>
                <w:top w:val="none" w:sz="0" w:space="0" w:color="auto"/>
                <w:left w:val="none" w:sz="0" w:space="0" w:color="auto"/>
                <w:bottom w:val="none" w:sz="0" w:space="0" w:color="auto"/>
                <w:right w:val="none" w:sz="0" w:space="0" w:color="auto"/>
              </w:divBdr>
              <w:divsChild>
                <w:div w:id="170898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1325">
      <w:bodyDiv w:val="1"/>
      <w:marLeft w:val="0"/>
      <w:marRight w:val="0"/>
      <w:marTop w:val="0"/>
      <w:marBottom w:val="0"/>
      <w:divBdr>
        <w:top w:val="none" w:sz="0" w:space="0" w:color="auto"/>
        <w:left w:val="none" w:sz="0" w:space="0" w:color="auto"/>
        <w:bottom w:val="none" w:sz="0" w:space="0" w:color="auto"/>
        <w:right w:val="none" w:sz="0" w:space="0" w:color="auto"/>
      </w:divBdr>
    </w:div>
    <w:div w:id="101658322">
      <w:bodyDiv w:val="1"/>
      <w:marLeft w:val="0"/>
      <w:marRight w:val="0"/>
      <w:marTop w:val="0"/>
      <w:marBottom w:val="0"/>
      <w:divBdr>
        <w:top w:val="none" w:sz="0" w:space="0" w:color="auto"/>
        <w:left w:val="none" w:sz="0" w:space="0" w:color="auto"/>
        <w:bottom w:val="none" w:sz="0" w:space="0" w:color="auto"/>
        <w:right w:val="none" w:sz="0" w:space="0" w:color="auto"/>
      </w:divBdr>
    </w:div>
    <w:div w:id="174345672">
      <w:bodyDiv w:val="1"/>
      <w:marLeft w:val="0"/>
      <w:marRight w:val="0"/>
      <w:marTop w:val="0"/>
      <w:marBottom w:val="0"/>
      <w:divBdr>
        <w:top w:val="none" w:sz="0" w:space="0" w:color="auto"/>
        <w:left w:val="none" w:sz="0" w:space="0" w:color="auto"/>
        <w:bottom w:val="none" w:sz="0" w:space="0" w:color="auto"/>
        <w:right w:val="none" w:sz="0" w:space="0" w:color="auto"/>
      </w:divBdr>
    </w:div>
    <w:div w:id="240674526">
      <w:bodyDiv w:val="1"/>
      <w:marLeft w:val="0"/>
      <w:marRight w:val="0"/>
      <w:marTop w:val="0"/>
      <w:marBottom w:val="0"/>
      <w:divBdr>
        <w:top w:val="none" w:sz="0" w:space="0" w:color="auto"/>
        <w:left w:val="none" w:sz="0" w:space="0" w:color="auto"/>
        <w:bottom w:val="none" w:sz="0" w:space="0" w:color="auto"/>
        <w:right w:val="none" w:sz="0" w:space="0" w:color="auto"/>
      </w:divBdr>
    </w:div>
    <w:div w:id="442117443">
      <w:bodyDiv w:val="1"/>
      <w:marLeft w:val="0"/>
      <w:marRight w:val="0"/>
      <w:marTop w:val="0"/>
      <w:marBottom w:val="0"/>
      <w:divBdr>
        <w:top w:val="none" w:sz="0" w:space="0" w:color="auto"/>
        <w:left w:val="none" w:sz="0" w:space="0" w:color="auto"/>
        <w:bottom w:val="none" w:sz="0" w:space="0" w:color="auto"/>
        <w:right w:val="none" w:sz="0" w:space="0" w:color="auto"/>
      </w:divBdr>
      <w:divsChild>
        <w:div w:id="1177159744">
          <w:marLeft w:val="0"/>
          <w:marRight w:val="0"/>
          <w:marTop w:val="0"/>
          <w:marBottom w:val="0"/>
          <w:divBdr>
            <w:top w:val="none" w:sz="0" w:space="0" w:color="auto"/>
            <w:left w:val="none" w:sz="0" w:space="0" w:color="auto"/>
            <w:bottom w:val="none" w:sz="0" w:space="0" w:color="auto"/>
            <w:right w:val="none" w:sz="0" w:space="0" w:color="auto"/>
          </w:divBdr>
          <w:divsChild>
            <w:div w:id="723256519">
              <w:marLeft w:val="0"/>
              <w:marRight w:val="0"/>
              <w:marTop w:val="0"/>
              <w:marBottom w:val="0"/>
              <w:divBdr>
                <w:top w:val="none" w:sz="0" w:space="0" w:color="auto"/>
                <w:left w:val="none" w:sz="0" w:space="0" w:color="auto"/>
                <w:bottom w:val="none" w:sz="0" w:space="0" w:color="auto"/>
                <w:right w:val="none" w:sz="0" w:space="0" w:color="auto"/>
              </w:divBdr>
              <w:divsChild>
                <w:div w:id="1818373151">
                  <w:marLeft w:val="0"/>
                  <w:marRight w:val="0"/>
                  <w:marTop w:val="0"/>
                  <w:marBottom w:val="0"/>
                  <w:divBdr>
                    <w:top w:val="none" w:sz="0" w:space="0" w:color="auto"/>
                    <w:left w:val="none" w:sz="0" w:space="0" w:color="auto"/>
                    <w:bottom w:val="none" w:sz="0" w:space="0" w:color="auto"/>
                    <w:right w:val="none" w:sz="0" w:space="0" w:color="auto"/>
                  </w:divBdr>
                  <w:divsChild>
                    <w:div w:id="30227096">
                      <w:marLeft w:val="0"/>
                      <w:marRight w:val="0"/>
                      <w:marTop w:val="0"/>
                      <w:marBottom w:val="0"/>
                      <w:divBdr>
                        <w:top w:val="none" w:sz="0" w:space="0" w:color="auto"/>
                        <w:left w:val="none" w:sz="0" w:space="0" w:color="auto"/>
                        <w:bottom w:val="none" w:sz="0" w:space="0" w:color="auto"/>
                        <w:right w:val="none" w:sz="0" w:space="0" w:color="auto"/>
                      </w:divBdr>
                      <w:divsChild>
                        <w:div w:id="1816793863">
                          <w:marLeft w:val="0"/>
                          <w:marRight w:val="0"/>
                          <w:marTop w:val="0"/>
                          <w:marBottom w:val="0"/>
                          <w:divBdr>
                            <w:top w:val="none" w:sz="0" w:space="0" w:color="auto"/>
                            <w:left w:val="none" w:sz="0" w:space="0" w:color="auto"/>
                            <w:bottom w:val="none" w:sz="0" w:space="0" w:color="auto"/>
                            <w:right w:val="none" w:sz="0" w:space="0" w:color="auto"/>
                          </w:divBdr>
                          <w:divsChild>
                            <w:div w:id="149738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9653071">
      <w:bodyDiv w:val="1"/>
      <w:marLeft w:val="0"/>
      <w:marRight w:val="0"/>
      <w:marTop w:val="0"/>
      <w:marBottom w:val="0"/>
      <w:divBdr>
        <w:top w:val="none" w:sz="0" w:space="0" w:color="auto"/>
        <w:left w:val="none" w:sz="0" w:space="0" w:color="auto"/>
        <w:bottom w:val="none" w:sz="0" w:space="0" w:color="auto"/>
        <w:right w:val="none" w:sz="0" w:space="0" w:color="auto"/>
      </w:divBdr>
      <w:divsChild>
        <w:div w:id="1644388399">
          <w:marLeft w:val="0"/>
          <w:marRight w:val="0"/>
          <w:marTop w:val="0"/>
          <w:marBottom w:val="0"/>
          <w:divBdr>
            <w:top w:val="none" w:sz="0" w:space="0" w:color="auto"/>
            <w:left w:val="none" w:sz="0" w:space="0" w:color="auto"/>
            <w:bottom w:val="none" w:sz="0" w:space="0" w:color="auto"/>
            <w:right w:val="none" w:sz="0" w:space="0" w:color="auto"/>
          </w:divBdr>
          <w:divsChild>
            <w:div w:id="550313925">
              <w:marLeft w:val="0"/>
              <w:marRight w:val="0"/>
              <w:marTop w:val="0"/>
              <w:marBottom w:val="0"/>
              <w:divBdr>
                <w:top w:val="none" w:sz="0" w:space="0" w:color="auto"/>
                <w:left w:val="none" w:sz="0" w:space="0" w:color="auto"/>
                <w:bottom w:val="none" w:sz="0" w:space="0" w:color="auto"/>
                <w:right w:val="none" w:sz="0" w:space="0" w:color="auto"/>
              </w:divBdr>
              <w:divsChild>
                <w:div w:id="188409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987374">
      <w:bodyDiv w:val="1"/>
      <w:marLeft w:val="0"/>
      <w:marRight w:val="0"/>
      <w:marTop w:val="0"/>
      <w:marBottom w:val="0"/>
      <w:divBdr>
        <w:top w:val="none" w:sz="0" w:space="0" w:color="auto"/>
        <w:left w:val="none" w:sz="0" w:space="0" w:color="auto"/>
        <w:bottom w:val="none" w:sz="0" w:space="0" w:color="auto"/>
        <w:right w:val="none" w:sz="0" w:space="0" w:color="auto"/>
      </w:divBdr>
      <w:divsChild>
        <w:div w:id="704253050">
          <w:marLeft w:val="0"/>
          <w:marRight w:val="0"/>
          <w:marTop w:val="0"/>
          <w:marBottom w:val="0"/>
          <w:divBdr>
            <w:top w:val="none" w:sz="0" w:space="0" w:color="auto"/>
            <w:left w:val="none" w:sz="0" w:space="0" w:color="auto"/>
            <w:bottom w:val="none" w:sz="0" w:space="0" w:color="auto"/>
            <w:right w:val="none" w:sz="0" w:space="0" w:color="auto"/>
          </w:divBdr>
          <w:divsChild>
            <w:div w:id="518471675">
              <w:marLeft w:val="0"/>
              <w:marRight w:val="0"/>
              <w:marTop w:val="0"/>
              <w:marBottom w:val="0"/>
              <w:divBdr>
                <w:top w:val="none" w:sz="0" w:space="0" w:color="auto"/>
                <w:left w:val="none" w:sz="0" w:space="0" w:color="auto"/>
                <w:bottom w:val="none" w:sz="0" w:space="0" w:color="auto"/>
                <w:right w:val="none" w:sz="0" w:space="0" w:color="auto"/>
              </w:divBdr>
              <w:divsChild>
                <w:div w:id="13646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221283">
      <w:bodyDiv w:val="1"/>
      <w:marLeft w:val="0"/>
      <w:marRight w:val="0"/>
      <w:marTop w:val="0"/>
      <w:marBottom w:val="0"/>
      <w:divBdr>
        <w:top w:val="none" w:sz="0" w:space="0" w:color="auto"/>
        <w:left w:val="none" w:sz="0" w:space="0" w:color="auto"/>
        <w:bottom w:val="none" w:sz="0" w:space="0" w:color="auto"/>
        <w:right w:val="none" w:sz="0" w:space="0" w:color="auto"/>
      </w:divBdr>
      <w:divsChild>
        <w:div w:id="993949035">
          <w:marLeft w:val="0"/>
          <w:marRight w:val="0"/>
          <w:marTop w:val="0"/>
          <w:marBottom w:val="0"/>
          <w:divBdr>
            <w:top w:val="none" w:sz="0" w:space="0" w:color="auto"/>
            <w:left w:val="none" w:sz="0" w:space="0" w:color="auto"/>
            <w:bottom w:val="none" w:sz="0" w:space="0" w:color="auto"/>
            <w:right w:val="none" w:sz="0" w:space="0" w:color="auto"/>
          </w:divBdr>
          <w:divsChild>
            <w:div w:id="1931352091">
              <w:marLeft w:val="0"/>
              <w:marRight w:val="0"/>
              <w:marTop w:val="0"/>
              <w:marBottom w:val="0"/>
              <w:divBdr>
                <w:top w:val="none" w:sz="0" w:space="0" w:color="auto"/>
                <w:left w:val="none" w:sz="0" w:space="0" w:color="auto"/>
                <w:bottom w:val="none" w:sz="0" w:space="0" w:color="auto"/>
                <w:right w:val="none" w:sz="0" w:space="0" w:color="auto"/>
              </w:divBdr>
            </w:div>
            <w:div w:id="1288050597">
              <w:marLeft w:val="0"/>
              <w:marRight w:val="0"/>
              <w:marTop w:val="0"/>
              <w:marBottom w:val="0"/>
              <w:divBdr>
                <w:top w:val="none" w:sz="0" w:space="0" w:color="auto"/>
                <w:left w:val="none" w:sz="0" w:space="0" w:color="auto"/>
                <w:bottom w:val="none" w:sz="0" w:space="0" w:color="auto"/>
                <w:right w:val="none" w:sz="0" w:space="0" w:color="auto"/>
              </w:divBdr>
            </w:div>
            <w:div w:id="1194490362">
              <w:marLeft w:val="0"/>
              <w:marRight w:val="0"/>
              <w:marTop w:val="0"/>
              <w:marBottom w:val="0"/>
              <w:divBdr>
                <w:top w:val="none" w:sz="0" w:space="0" w:color="auto"/>
                <w:left w:val="none" w:sz="0" w:space="0" w:color="auto"/>
                <w:bottom w:val="none" w:sz="0" w:space="0" w:color="auto"/>
                <w:right w:val="none" w:sz="0" w:space="0" w:color="auto"/>
              </w:divBdr>
            </w:div>
            <w:div w:id="716778871">
              <w:marLeft w:val="0"/>
              <w:marRight w:val="0"/>
              <w:marTop w:val="0"/>
              <w:marBottom w:val="0"/>
              <w:divBdr>
                <w:top w:val="none" w:sz="0" w:space="0" w:color="auto"/>
                <w:left w:val="none" w:sz="0" w:space="0" w:color="auto"/>
                <w:bottom w:val="none" w:sz="0" w:space="0" w:color="auto"/>
                <w:right w:val="none" w:sz="0" w:space="0" w:color="auto"/>
              </w:divBdr>
            </w:div>
          </w:divsChild>
        </w:div>
        <w:div w:id="138813093">
          <w:marLeft w:val="0"/>
          <w:marRight w:val="0"/>
          <w:marTop w:val="0"/>
          <w:marBottom w:val="0"/>
          <w:divBdr>
            <w:top w:val="none" w:sz="0" w:space="0" w:color="auto"/>
            <w:left w:val="none" w:sz="0" w:space="0" w:color="auto"/>
            <w:bottom w:val="none" w:sz="0" w:space="0" w:color="auto"/>
            <w:right w:val="none" w:sz="0" w:space="0" w:color="auto"/>
          </w:divBdr>
          <w:divsChild>
            <w:div w:id="601229737">
              <w:marLeft w:val="0"/>
              <w:marRight w:val="0"/>
              <w:marTop w:val="0"/>
              <w:marBottom w:val="0"/>
              <w:divBdr>
                <w:top w:val="none" w:sz="0" w:space="0" w:color="auto"/>
                <w:left w:val="none" w:sz="0" w:space="0" w:color="auto"/>
                <w:bottom w:val="none" w:sz="0" w:space="0" w:color="auto"/>
                <w:right w:val="none" w:sz="0" w:space="0" w:color="auto"/>
              </w:divBdr>
            </w:div>
            <w:div w:id="295839951">
              <w:marLeft w:val="0"/>
              <w:marRight w:val="0"/>
              <w:marTop w:val="0"/>
              <w:marBottom w:val="0"/>
              <w:divBdr>
                <w:top w:val="none" w:sz="0" w:space="0" w:color="auto"/>
                <w:left w:val="none" w:sz="0" w:space="0" w:color="auto"/>
                <w:bottom w:val="none" w:sz="0" w:space="0" w:color="auto"/>
                <w:right w:val="none" w:sz="0" w:space="0" w:color="auto"/>
              </w:divBdr>
            </w:div>
            <w:div w:id="169025600">
              <w:marLeft w:val="0"/>
              <w:marRight w:val="0"/>
              <w:marTop w:val="0"/>
              <w:marBottom w:val="0"/>
              <w:divBdr>
                <w:top w:val="none" w:sz="0" w:space="0" w:color="auto"/>
                <w:left w:val="none" w:sz="0" w:space="0" w:color="auto"/>
                <w:bottom w:val="none" w:sz="0" w:space="0" w:color="auto"/>
                <w:right w:val="none" w:sz="0" w:space="0" w:color="auto"/>
              </w:divBdr>
            </w:div>
            <w:div w:id="1251699594">
              <w:marLeft w:val="0"/>
              <w:marRight w:val="0"/>
              <w:marTop w:val="0"/>
              <w:marBottom w:val="0"/>
              <w:divBdr>
                <w:top w:val="none" w:sz="0" w:space="0" w:color="auto"/>
                <w:left w:val="none" w:sz="0" w:space="0" w:color="auto"/>
                <w:bottom w:val="none" w:sz="0" w:space="0" w:color="auto"/>
                <w:right w:val="none" w:sz="0" w:space="0" w:color="auto"/>
              </w:divBdr>
            </w:div>
            <w:div w:id="33222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759999">
      <w:bodyDiv w:val="1"/>
      <w:marLeft w:val="0"/>
      <w:marRight w:val="0"/>
      <w:marTop w:val="0"/>
      <w:marBottom w:val="0"/>
      <w:divBdr>
        <w:top w:val="none" w:sz="0" w:space="0" w:color="auto"/>
        <w:left w:val="none" w:sz="0" w:space="0" w:color="auto"/>
        <w:bottom w:val="none" w:sz="0" w:space="0" w:color="auto"/>
        <w:right w:val="none" w:sz="0" w:space="0" w:color="auto"/>
      </w:divBdr>
    </w:div>
    <w:div w:id="811020810">
      <w:bodyDiv w:val="1"/>
      <w:marLeft w:val="0"/>
      <w:marRight w:val="0"/>
      <w:marTop w:val="0"/>
      <w:marBottom w:val="0"/>
      <w:divBdr>
        <w:top w:val="none" w:sz="0" w:space="0" w:color="auto"/>
        <w:left w:val="none" w:sz="0" w:space="0" w:color="auto"/>
        <w:bottom w:val="none" w:sz="0" w:space="0" w:color="auto"/>
        <w:right w:val="none" w:sz="0" w:space="0" w:color="auto"/>
      </w:divBdr>
    </w:div>
    <w:div w:id="833883295">
      <w:bodyDiv w:val="1"/>
      <w:marLeft w:val="0"/>
      <w:marRight w:val="0"/>
      <w:marTop w:val="0"/>
      <w:marBottom w:val="0"/>
      <w:divBdr>
        <w:top w:val="none" w:sz="0" w:space="0" w:color="auto"/>
        <w:left w:val="none" w:sz="0" w:space="0" w:color="auto"/>
        <w:bottom w:val="none" w:sz="0" w:space="0" w:color="auto"/>
        <w:right w:val="none" w:sz="0" w:space="0" w:color="auto"/>
      </w:divBdr>
    </w:div>
    <w:div w:id="862405159">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1283758">
      <w:bodyDiv w:val="1"/>
      <w:marLeft w:val="0"/>
      <w:marRight w:val="0"/>
      <w:marTop w:val="0"/>
      <w:marBottom w:val="0"/>
      <w:divBdr>
        <w:top w:val="none" w:sz="0" w:space="0" w:color="auto"/>
        <w:left w:val="none" w:sz="0" w:space="0" w:color="auto"/>
        <w:bottom w:val="none" w:sz="0" w:space="0" w:color="auto"/>
        <w:right w:val="none" w:sz="0" w:space="0" w:color="auto"/>
      </w:divBdr>
      <w:divsChild>
        <w:div w:id="1638678434">
          <w:marLeft w:val="0"/>
          <w:marRight w:val="0"/>
          <w:marTop w:val="0"/>
          <w:marBottom w:val="0"/>
          <w:divBdr>
            <w:top w:val="none" w:sz="0" w:space="0" w:color="auto"/>
            <w:left w:val="none" w:sz="0" w:space="0" w:color="auto"/>
            <w:bottom w:val="none" w:sz="0" w:space="0" w:color="auto"/>
            <w:right w:val="none" w:sz="0" w:space="0" w:color="auto"/>
          </w:divBdr>
          <w:divsChild>
            <w:div w:id="886648914">
              <w:marLeft w:val="0"/>
              <w:marRight w:val="0"/>
              <w:marTop w:val="0"/>
              <w:marBottom w:val="0"/>
              <w:divBdr>
                <w:top w:val="none" w:sz="0" w:space="0" w:color="auto"/>
                <w:left w:val="none" w:sz="0" w:space="0" w:color="auto"/>
                <w:bottom w:val="none" w:sz="0" w:space="0" w:color="auto"/>
                <w:right w:val="none" w:sz="0" w:space="0" w:color="auto"/>
              </w:divBdr>
              <w:divsChild>
                <w:div w:id="168246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546576">
      <w:bodyDiv w:val="1"/>
      <w:marLeft w:val="0"/>
      <w:marRight w:val="0"/>
      <w:marTop w:val="0"/>
      <w:marBottom w:val="0"/>
      <w:divBdr>
        <w:top w:val="none" w:sz="0" w:space="0" w:color="auto"/>
        <w:left w:val="none" w:sz="0" w:space="0" w:color="auto"/>
        <w:bottom w:val="none" w:sz="0" w:space="0" w:color="auto"/>
        <w:right w:val="none" w:sz="0" w:space="0" w:color="auto"/>
      </w:divBdr>
    </w:div>
    <w:div w:id="1012074510">
      <w:bodyDiv w:val="1"/>
      <w:marLeft w:val="0"/>
      <w:marRight w:val="0"/>
      <w:marTop w:val="0"/>
      <w:marBottom w:val="0"/>
      <w:divBdr>
        <w:top w:val="none" w:sz="0" w:space="0" w:color="auto"/>
        <w:left w:val="none" w:sz="0" w:space="0" w:color="auto"/>
        <w:bottom w:val="none" w:sz="0" w:space="0" w:color="auto"/>
        <w:right w:val="none" w:sz="0" w:space="0" w:color="auto"/>
      </w:divBdr>
      <w:divsChild>
        <w:div w:id="2052266194">
          <w:marLeft w:val="0"/>
          <w:marRight w:val="0"/>
          <w:marTop w:val="0"/>
          <w:marBottom w:val="0"/>
          <w:divBdr>
            <w:top w:val="none" w:sz="0" w:space="0" w:color="auto"/>
            <w:left w:val="none" w:sz="0" w:space="0" w:color="auto"/>
            <w:bottom w:val="none" w:sz="0" w:space="0" w:color="auto"/>
            <w:right w:val="none" w:sz="0" w:space="0" w:color="auto"/>
          </w:divBdr>
          <w:divsChild>
            <w:div w:id="2062631166">
              <w:marLeft w:val="0"/>
              <w:marRight w:val="0"/>
              <w:marTop w:val="0"/>
              <w:marBottom w:val="0"/>
              <w:divBdr>
                <w:top w:val="none" w:sz="0" w:space="0" w:color="auto"/>
                <w:left w:val="none" w:sz="0" w:space="0" w:color="auto"/>
                <w:bottom w:val="none" w:sz="0" w:space="0" w:color="auto"/>
                <w:right w:val="none" w:sz="0" w:space="0" w:color="auto"/>
              </w:divBdr>
              <w:divsChild>
                <w:div w:id="194650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250742">
      <w:bodyDiv w:val="1"/>
      <w:marLeft w:val="0"/>
      <w:marRight w:val="0"/>
      <w:marTop w:val="0"/>
      <w:marBottom w:val="0"/>
      <w:divBdr>
        <w:top w:val="none" w:sz="0" w:space="0" w:color="auto"/>
        <w:left w:val="none" w:sz="0" w:space="0" w:color="auto"/>
        <w:bottom w:val="none" w:sz="0" w:space="0" w:color="auto"/>
        <w:right w:val="none" w:sz="0" w:space="0" w:color="auto"/>
      </w:divBdr>
      <w:divsChild>
        <w:div w:id="835998551">
          <w:marLeft w:val="0"/>
          <w:marRight w:val="0"/>
          <w:marTop w:val="0"/>
          <w:marBottom w:val="0"/>
          <w:divBdr>
            <w:top w:val="none" w:sz="0" w:space="0" w:color="auto"/>
            <w:left w:val="none" w:sz="0" w:space="0" w:color="auto"/>
            <w:bottom w:val="none" w:sz="0" w:space="0" w:color="auto"/>
            <w:right w:val="none" w:sz="0" w:space="0" w:color="auto"/>
          </w:divBdr>
          <w:divsChild>
            <w:div w:id="1136293657">
              <w:marLeft w:val="0"/>
              <w:marRight w:val="0"/>
              <w:marTop w:val="0"/>
              <w:marBottom w:val="0"/>
              <w:divBdr>
                <w:top w:val="none" w:sz="0" w:space="0" w:color="auto"/>
                <w:left w:val="none" w:sz="0" w:space="0" w:color="auto"/>
                <w:bottom w:val="none" w:sz="0" w:space="0" w:color="auto"/>
                <w:right w:val="none" w:sz="0" w:space="0" w:color="auto"/>
              </w:divBdr>
              <w:divsChild>
                <w:div w:id="41451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441229">
      <w:bodyDiv w:val="1"/>
      <w:marLeft w:val="0"/>
      <w:marRight w:val="0"/>
      <w:marTop w:val="0"/>
      <w:marBottom w:val="0"/>
      <w:divBdr>
        <w:top w:val="none" w:sz="0" w:space="0" w:color="auto"/>
        <w:left w:val="none" w:sz="0" w:space="0" w:color="auto"/>
        <w:bottom w:val="none" w:sz="0" w:space="0" w:color="auto"/>
        <w:right w:val="none" w:sz="0" w:space="0" w:color="auto"/>
      </w:divBdr>
    </w:div>
    <w:div w:id="1133138037">
      <w:bodyDiv w:val="1"/>
      <w:marLeft w:val="0"/>
      <w:marRight w:val="0"/>
      <w:marTop w:val="0"/>
      <w:marBottom w:val="0"/>
      <w:divBdr>
        <w:top w:val="none" w:sz="0" w:space="0" w:color="auto"/>
        <w:left w:val="none" w:sz="0" w:space="0" w:color="auto"/>
        <w:bottom w:val="none" w:sz="0" w:space="0" w:color="auto"/>
        <w:right w:val="none" w:sz="0" w:space="0" w:color="auto"/>
      </w:divBdr>
      <w:divsChild>
        <w:div w:id="707797403">
          <w:marLeft w:val="0"/>
          <w:marRight w:val="0"/>
          <w:marTop w:val="0"/>
          <w:marBottom w:val="0"/>
          <w:divBdr>
            <w:top w:val="none" w:sz="0" w:space="0" w:color="auto"/>
            <w:left w:val="none" w:sz="0" w:space="0" w:color="auto"/>
            <w:bottom w:val="none" w:sz="0" w:space="0" w:color="auto"/>
            <w:right w:val="none" w:sz="0" w:space="0" w:color="auto"/>
          </w:divBdr>
          <w:divsChild>
            <w:div w:id="462313689">
              <w:marLeft w:val="0"/>
              <w:marRight w:val="0"/>
              <w:marTop w:val="0"/>
              <w:marBottom w:val="0"/>
              <w:divBdr>
                <w:top w:val="none" w:sz="0" w:space="0" w:color="auto"/>
                <w:left w:val="none" w:sz="0" w:space="0" w:color="auto"/>
                <w:bottom w:val="none" w:sz="0" w:space="0" w:color="auto"/>
                <w:right w:val="none" w:sz="0" w:space="0" w:color="auto"/>
              </w:divBdr>
              <w:divsChild>
                <w:div w:id="92904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827323">
      <w:bodyDiv w:val="1"/>
      <w:marLeft w:val="0"/>
      <w:marRight w:val="0"/>
      <w:marTop w:val="0"/>
      <w:marBottom w:val="0"/>
      <w:divBdr>
        <w:top w:val="none" w:sz="0" w:space="0" w:color="auto"/>
        <w:left w:val="none" w:sz="0" w:space="0" w:color="auto"/>
        <w:bottom w:val="none" w:sz="0" w:space="0" w:color="auto"/>
        <w:right w:val="none" w:sz="0" w:space="0" w:color="auto"/>
      </w:divBdr>
    </w:div>
    <w:div w:id="1268270106">
      <w:bodyDiv w:val="1"/>
      <w:marLeft w:val="0"/>
      <w:marRight w:val="0"/>
      <w:marTop w:val="0"/>
      <w:marBottom w:val="0"/>
      <w:divBdr>
        <w:top w:val="none" w:sz="0" w:space="0" w:color="auto"/>
        <w:left w:val="none" w:sz="0" w:space="0" w:color="auto"/>
        <w:bottom w:val="none" w:sz="0" w:space="0" w:color="auto"/>
        <w:right w:val="none" w:sz="0" w:space="0" w:color="auto"/>
      </w:divBdr>
    </w:div>
    <w:div w:id="1318848006">
      <w:bodyDiv w:val="1"/>
      <w:marLeft w:val="0"/>
      <w:marRight w:val="0"/>
      <w:marTop w:val="0"/>
      <w:marBottom w:val="0"/>
      <w:divBdr>
        <w:top w:val="none" w:sz="0" w:space="0" w:color="auto"/>
        <w:left w:val="none" w:sz="0" w:space="0" w:color="auto"/>
        <w:bottom w:val="none" w:sz="0" w:space="0" w:color="auto"/>
        <w:right w:val="none" w:sz="0" w:space="0" w:color="auto"/>
      </w:divBdr>
    </w:div>
    <w:div w:id="1333681295">
      <w:bodyDiv w:val="1"/>
      <w:marLeft w:val="0"/>
      <w:marRight w:val="0"/>
      <w:marTop w:val="0"/>
      <w:marBottom w:val="0"/>
      <w:divBdr>
        <w:top w:val="none" w:sz="0" w:space="0" w:color="auto"/>
        <w:left w:val="none" w:sz="0" w:space="0" w:color="auto"/>
        <w:bottom w:val="none" w:sz="0" w:space="0" w:color="auto"/>
        <w:right w:val="none" w:sz="0" w:space="0" w:color="auto"/>
      </w:divBdr>
    </w:div>
    <w:div w:id="1352415559">
      <w:bodyDiv w:val="1"/>
      <w:marLeft w:val="0"/>
      <w:marRight w:val="0"/>
      <w:marTop w:val="0"/>
      <w:marBottom w:val="0"/>
      <w:divBdr>
        <w:top w:val="none" w:sz="0" w:space="0" w:color="auto"/>
        <w:left w:val="none" w:sz="0" w:space="0" w:color="auto"/>
        <w:bottom w:val="none" w:sz="0" w:space="0" w:color="auto"/>
        <w:right w:val="none" w:sz="0" w:space="0" w:color="auto"/>
      </w:divBdr>
      <w:divsChild>
        <w:div w:id="1026952348">
          <w:marLeft w:val="0"/>
          <w:marRight w:val="0"/>
          <w:marTop w:val="0"/>
          <w:marBottom w:val="0"/>
          <w:divBdr>
            <w:top w:val="none" w:sz="0" w:space="0" w:color="auto"/>
            <w:left w:val="none" w:sz="0" w:space="0" w:color="auto"/>
            <w:bottom w:val="none" w:sz="0" w:space="0" w:color="auto"/>
            <w:right w:val="none" w:sz="0" w:space="0" w:color="auto"/>
          </w:divBdr>
          <w:divsChild>
            <w:div w:id="360932694">
              <w:marLeft w:val="0"/>
              <w:marRight w:val="0"/>
              <w:marTop w:val="0"/>
              <w:marBottom w:val="0"/>
              <w:divBdr>
                <w:top w:val="none" w:sz="0" w:space="0" w:color="auto"/>
                <w:left w:val="none" w:sz="0" w:space="0" w:color="auto"/>
                <w:bottom w:val="none" w:sz="0" w:space="0" w:color="auto"/>
                <w:right w:val="none" w:sz="0" w:space="0" w:color="auto"/>
              </w:divBdr>
              <w:divsChild>
                <w:div w:id="31506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781727">
      <w:bodyDiv w:val="1"/>
      <w:marLeft w:val="0"/>
      <w:marRight w:val="0"/>
      <w:marTop w:val="0"/>
      <w:marBottom w:val="0"/>
      <w:divBdr>
        <w:top w:val="none" w:sz="0" w:space="0" w:color="auto"/>
        <w:left w:val="none" w:sz="0" w:space="0" w:color="auto"/>
        <w:bottom w:val="none" w:sz="0" w:space="0" w:color="auto"/>
        <w:right w:val="none" w:sz="0" w:space="0" w:color="auto"/>
      </w:divBdr>
      <w:divsChild>
        <w:div w:id="1582178689">
          <w:marLeft w:val="0"/>
          <w:marRight w:val="0"/>
          <w:marTop w:val="0"/>
          <w:marBottom w:val="0"/>
          <w:divBdr>
            <w:top w:val="none" w:sz="0" w:space="0" w:color="auto"/>
            <w:left w:val="none" w:sz="0" w:space="0" w:color="auto"/>
            <w:bottom w:val="none" w:sz="0" w:space="0" w:color="auto"/>
            <w:right w:val="none" w:sz="0" w:space="0" w:color="auto"/>
          </w:divBdr>
          <w:divsChild>
            <w:div w:id="1870025920">
              <w:marLeft w:val="0"/>
              <w:marRight w:val="0"/>
              <w:marTop w:val="0"/>
              <w:marBottom w:val="0"/>
              <w:divBdr>
                <w:top w:val="none" w:sz="0" w:space="0" w:color="auto"/>
                <w:left w:val="none" w:sz="0" w:space="0" w:color="auto"/>
                <w:bottom w:val="none" w:sz="0" w:space="0" w:color="auto"/>
                <w:right w:val="none" w:sz="0" w:space="0" w:color="auto"/>
              </w:divBdr>
              <w:divsChild>
                <w:div w:id="134686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300322">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16731573">
      <w:bodyDiv w:val="1"/>
      <w:marLeft w:val="0"/>
      <w:marRight w:val="0"/>
      <w:marTop w:val="0"/>
      <w:marBottom w:val="0"/>
      <w:divBdr>
        <w:top w:val="none" w:sz="0" w:space="0" w:color="auto"/>
        <w:left w:val="none" w:sz="0" w:space="0" w:color="auto"/>
        <w:bottom w:val="none" w:sz="0" w:space="0" w:color="auto"/>
        <w:right w:val="none" w:sz="0" w:space="0" w:color="auto"/>
      </w:divBdr>
    </w:div>
    <w:div w:id="1526820290">
      <w:bodyDiv w:val="1"/>
      <w:marLeft w:val="0"/>
      <w:marRight w:val="0"/>
      <w:marTop w:val="0"/>
      <w:marBottom w:val="0"/>
      <w:divBdr>
        <w:top w:val="none" w:sz="0" w:space="0" w:color="auto"/>
        <w:left w:val="none" w:sz="0" w:space="0" w:color="auto"/>
        <w:bottom w:val="none" w:sz="0" w:space="0" w:color="auto"/>
        <w:right w:val="none" w:sz="0" w:space="0" w:color="auto"/>
      </w:divBdr>
      <w:divsChild>
        <w:div w:id="1332755312">
          <w:marLeft w:val="0"/>
          <w:marRight w:val="0"/>
          <w:marTop w:val="0"/>
          <w:marBottom w:val="0"/>
          <w:divBdr>
            <w:top w:val="none" w:sz="0" w:space="0" w:color="auto"/>
            <w:left w:val="none" w:sz="0" w:space="0" w:color="auto"/>
            <w:bottom w:val="none" w:sz="0" w:space="0" w:color="auto"/>
            <w:right w:val="none" w:sz="0" w:space="0" w:color="auto"/>
          </w:divBdr>
          <w:divsChild>
            <w:div w:id="1327712013">
              <w:marLeft w:val="0"/>
              <w:marRight w:val="0"/>
              <w:marTop w:val="0"/>
              <w:marBottom w:val="0"/>
              <w:divBdr>
                <w:top w:val="none" w:sz="0" w:space="0" w:color="auto"/>
                <w:left w:val="none" w:sz="0" w:space="0" w:color="auto"/>
                <w:bottom w:val="none" w:sz="0" w:space="0" w:color="auto"/>
                <w:right w:val="none" w:sz="0" w:space="0" w:color="auto"/>
              </w:divBdr>
              <w:divsChild>
                <w:div w:id="114532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847855">
      <w:bodyDiv w:val="1"/>
      <w:marLeft w:val="0"/>
      <w:marRight w:val="0"/>
      <w:marTop w:val="0"/>
      <w:marBottom w:val="0"/>
      <w:divBdr>
        <w:top w:val="none" w:sz="0" w:space="0" w:color="auto"/>
        <w:left w:val="none" w:sz="0" w:space="0" w:color="auto"/>
        <w:bottom w:val="none" w:sz="0" w:space="0" w:color="auto"/>
        <w:right w:val="none" w:sz="0" w:space="0" w:color="auto"/>
      </w:divBdr>
    </w:div>
    <w:div w:id="1607543567">
      <w:bodyDiv w:val="1"/>
      <w:marLeft w:val="0"/>
      <w:marRight w:val="0"/>
      <w:marTop w:val="0"/>
      <w:marBottom w:val="0"/>
      <w:divBdr>
        <w:top w:val="none" w:sz="0" w:space="0" w:color="auto"/>
        <w:left w:val="none" w:sz="0" w:space="0" w:color="auto"/>
        <w:bottom w:val="none" w:sz="0" w:space="0" w:color="auto"/>
        <w:right w:val="none" w:sz="0" w:space="0" w:color="auto"/>
      </w:divBdr>
      <w:divsChild>
        <w:div w:id="1095007390">
          <w:marLeft w:val="0"/>
          <w:marRight w:val="0"/>
          <w:marTop w:val="0"/>
          <w:marBottom w:val="0"/>
          <w:divBdr>
            <w:top w:val="none" w:sz="0" w:space="0" w:color="auto"/>
            <w:left w:val="none" w:sz="0" w:space="0" w:color="auto"/>
            <w:bottom w:val="none" w:sz="0" w:space="0" w:color="auto"/>
            <w:right w:val="none" w:sz="0" w:space="0" w:color="auto"/>
          </w:divBdr>
          <w:divsChild>
            <w:div w:id="1894274676">
              <w:marLeft w:val="0"/>
              <w:marRight w:val="0"/>
              <w:marTop w:val="0"/>
              <w:marBottom w:val="0"/>
              <w:divBdr>
                <w:top w:val="none" w:sz="0" w:space="0" w:color="auto"/>
                <w:left w:val="none" w:sz="0" w:space="0" w:color="auto"/>
                <w:bottom w:val="none" w:sz="0" w:space="0" w:color="auto"/>
                <w:right w:val="none" w:sz="0" w:space="0" w:color="auto"/>
              </w:divBdr>
              <w:divsChild>
                <w:div w:id="143251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988123">
      <w:bodyDiv w:val="1"/>
      <w:marLeft w:val="0"/>
      <w:marRight w:val="0"/>
      <w:marTop w:val="0"/>
      <w:marBottom w:val="0"/>
      <w:divBdr>
        <w:top w:val="none" w:sz="0" w:space="0" w:color="auto"/>
        <w:left w:val="none" w:sz="0" w:space="0" w:color="auto"/>
        <w:bottom w:val="none" w:sz="0" w:space="0" w:color="auto"/>
        <w:right w:val="none" w:sz="0" w:space="0" w:color="auto"/>
      </w:divBdr>
      <w:divsChild>
        <w:div w:id="1796752078">
          <w:marLeft w:val="0"/>
          <w:marRight w:val="0"/>
          <w:marTop w:val="0"/>
          <w:marBottom w:val="0"/>
          <w:divBdr>
            <w:top w:val="none" w:sz="0" w:space="0" w:color="auto"/>
            <w:left w:val="none" w:sz="0" w:space="0" w:color="auto"/>
            <w:bottom w:val="none" w:sz="0" w:space="0" w:color="auto"/>
            <w:right w:val="none" w:sz="0" w:space="0" w:color="auto"/>
          </w:divBdr>
          <w:divsChild>
            <w:div w:id="2082823571">
              <w:marLeft w:val="0"/>
              <w:marRight w:val="0"/>
              <w:marTop w:val="0"/>
              <w:marBottom w:val="0"/>
              <w:divBdr>
                <w:top w:val="none" w:sz="0" w:space="0" w:color="auto"/>
                <w:left w:val="none" w:sz="0" w:space="0" w:color="auto"/>
                <w:bottom w:val="none" w:sz="0" w:space="0" w:color="auto"/>
                <w:right w:val="none" w:sz="0" w:space="0" w:color="auto"/>
              </w:divBdr>
              <w:divsChild>
                <w:div w:id="21786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048698">
      <w:bodyDiv w:val="1"/>
      <w:marLeft w:val="0"/>
      <w:marRight w:val="0"/>
      <w:marTop w:val="0"/>
      <w:marBottom w:val="0"/>
      <w:divBdr>
        <w:top w:val="none" w:sz="0" w:space="0" w:color="auto"/>
        <w:left w:val="none" w:sz="0" w:space="0" w:color="auto"/>
        <w:bottom w:val="none" w:sz="0" w:space="0" w:color="auto"/>
        <w:right w:val="none" w:sz="0" w:space="0" w:color="auto"/>
      </w:divBdr>
      <w:divsChild>
        <w:div w:id="1633900192">
          <w:marLeft w:val="0"/>
          <w:marRight w:val="0"/>
          <w:marTop w:val="0"/>
          <w:marBottom w:val="0"/>
          <w:divBdr>
            <w:top w:val="none" w:sz="0" w:space="0" w:color="auto"/>
            <w:left w:val="none" w:sz="0" w:space="0" w:color="auto"/>
            <w:bottom w:val="none" w:sz="0" w:space="0" w:color="auto"/>
            <w:right w:val="none" w:sz="0" w:space="0" w:color="auto"/>
          </w:divBdr>
        </w:div>
        <w:div w:id="1469545471">
          <w:marLeft w:val="0"/>
          <w:marRight w:val="0"/>
          <w:marTop w:val="0"/>
          <w:marBottom w:val="0"/>
          <w:divBdr>
            <w:top w:val="none" w:sz="0" w:space="0" w:color="auto"/>
            <w:left w:val="none" w:sz="0" w:space="0" w:color="auto"/>
            <w:bottom w:val="none" w:sz="0" w:space="0" w:color="auto"/>
            <w:right w:val="none" w:sz="0" w:space="0" w:color="auto"/>
          </w:divBdr>
        </w:div>
        <w:div w:id="136653162">
          <w:marLeft w:val="0"/>
          <w:marRight w:val="0"/>
          <w:marTop w:val="0"/>
          <w:marBottom w:val="0"/>
          <w:divBdr>
            <w:top w:val="none" w:sz="0" w:space="0" w:color="auto"/>
            <w:left w:val="none" w:sz="0" w:space="0" w:color="auto"/>
            <w:bottom w:val="none" w:sz="0" w:space="0" w:color="auto"/>
            <w:right w:val="none" w:sz="0" w:space="0" w:color="auto"/>
          </w:divBdr>
        </w:div>
        <w:div w:id="1558004834">
          <w:marLeft w:val="0"/>
          <w:marRight w:val="0"/>
          <w:marTop w:val="0"/>
          <w:marBottom w:val="0"/>
          <w:divBdr>
            <w:top w:val="none" w:sz="0" w:space="0" w:color="auto"/>
            <w:left w:val="none" w:sz="0" w:space="0" w:color="auto"/>
            <w:bottom w:val="none" w:sz="0" w:space="0" w:color="auto"/>
            <w:right w:val="none" w:sz="0" w:space="0" w:color="auto"/>
          </w:divBdr>
        </w:div>
        <w:div w:id="2023244824">
          <w:marLeft w:val="0"/>
          <w:marRight w:val="0"/>
          <w:marTop w:val="0"/>
          <w:marBottom w:val="0"/>
          <w:divBdr>
            <w:top w:val="none" w:sz="0" w:space="0" w:color="auto"/>
            <w:left w:val="none" w:sz="0" w:space="0" w:color="auto"/>
            <w:bottom w:val="none" w:sz="0" w:space="0" w:color="auto"/>
            <w:right w:val="none" w:sz="0" w:space="0" w:color="auto"/>
          </w:divBdr>
        </w:div>
      </w:divsChild>
    </w:div>
    <w:div w:id="1863738105">
      <w:bodyDiv w:val="1"/>
      <w:marLeft w:val="0"/>
      <w:marRight w:val="0"/>
      <w:marTop w:val="0"/>
      <w:marBottom w:val="0"/>
      <w:divBdr>
        <w:top w:val="none" w:sz="0" w:space="0" w:color="auto"/>
        <w:left w:val="none" w:sz="0" w:space="0" w:color="auto"/>
        <w:bottom w:val="none" w:sz="0" w:space="0" w:color="auto"/>
        <w:right w:val="none" w:sz="0" w:space="0" w:color="auto"/>
      </w:divBdr>
    </w:div>
    <w:div w:id="1948923738">
      <w:bodyDiv w:val="1"/>
      <w:marLeft w:val="0"/>
      <w:marRight w:val="0"/>
      <w:marTop w:val="0"/>
      <w:marBottom w:val="0"/>
      <w:divBdr>
        <w:top w:val="none" w:sz="0" w:space="0" w:color="auto"/>
        <w:left w:val="none" w:sz="0" w:space="0" w:color="auto"/>
        <w:bottom w:val="none" w:sz="0" w:space="0" w:color="auto"/>
        <w:right w:val="none" w:sz="0" w:space="0" w:color="auto"/>
      </w:divBdr>
      <w:divsChild>
        <w:div w:id="1397315239">
          <w:marLeft w:val="0"/>
          <w:marRight w:val="0"/>
          <w:marTop w:val="0"/>
          <w:marBottom w:val="0"/>
          <w:divBdr>
            <w:top w:val="none" w:sz="0" w:space="0" w:color="auto"/>
            <w:left w:val="none" w:sz="0" w:space="0" w:color="auto"/>
            <w:bottom w:val="none" w:sz="0" w:space="0" w:color="auto"/>
            <w:right w:val="none" w:sz="0" w:space="0" w:color="auto"/>
          </w:divBdr>
          <w:divsChild>
            <w:div w:id="498888160">
              <w:marLeft w:val="0"/>
              <w:marRight w:val="0"/>
              <w:marTop w:val="0"/>
              <w:marBottom w:val="0"/>
              <w:divBdr>
                <w:top w:val="none" w:sz="0" w:space="0" w:color="auto"/>
                <w:left w:val="none" w:sz="0" w:space="0" w:color="auto"/>
                <w:bottom w:val="none" w:sz="0" w:space="0" w:color="auto"/>
                <w:right w:val="none" w:sz="0" w:space="0" w:color="auto"/>
              </w:divBdr>
              <w:divsChild>
                <w:div w:id="78762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469228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7161</Words>
  <Characters>40823</Characters>
  <Application>Microsoft Office Word</Application>
  <DocSecurity>0</DocSecurity>
  <Lines>340</Lines>
  <Paragraphs>95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47889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dc:description/>
  <cp:lastModifiedBy>Clara Vitaggio</cp:lastModifiedBy>
  <cp:revision>3</cp:revision>
  <cp:lastPrinted>2015-05-12T18:31:00Z</cp:lastPrinted>
  <dcterms:created xsi:type="dcterms:W3CDTF">2026-04-15T10:36:00Z</dcterms:created>
  <dcterms:modified xsi:type="dcterms:W3CDTF">2026-04-15T10:40:00Z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id="mZENc6UM"/&gt;&lt;style id="http://www.zotero.org/styles/chicago-author-date" locale="it-IT" hasBibliography="1" bibliographyStyleHasBeenSet="1"/&gt;&lt;prefs&gt;&lt;pref name="fieldType" value="Field"/&gt;&lt;pref name</vt:lpwstr>
  </property>
  <property fmtid="{D5CDD505-2E9C-101B-9397-08002B2CF9AE}" pid="3" name="ZOTERO_PREF_2">
    <vt:lpwstr>="storeReferences" value="true"/&gt;&lt;/prefs&gt;&lt;/data&gt;</vt:lpwstr>
  </property>
</Properties>
</file>