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252289FB" w:rsidR="00AA7D26" w:rsidRPr="00005884" w:rsidRDefault="004A5E57" w:rsidP="004A5E57">
            <w:pPr>
              <w:ind w:left="-107"/>
              <w:outlineLvl w:val="2"/>
              <w:rPr>
                <w:rFonts w:ascii="Tahoma" w:hAnsi="Tahoma" w:cs="Tahoma"/>
                <w:bCs/>
                <w:color w:val="000000"/>
                <w:sz w:val="14"/>
                <w:szCs w:val="14"/>
                <w:lang w:val="it-IT" w:eastAsia="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005884" w:rsidRPr="00005884">
              <w:rPr>
                <w:rFonts w:ascii="Tahoma" w:hAnsi="Tahoma" w:cs="Tahoma"/>
                <w:color w:val="000000"/>
                <w:sz w:val="14"/>
                <w:szCs w:val="14"/>
                <w:shd w:val="clear" w:color="auto" w:fill="FFFFFF"/>
                <w:lang w:val="it-IT"/>
              </w:rPr>
              <w:t>Marco Bravi, Antonio Marzocchella, Giuseppe Caputo</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2E667253" w14:textId="4D2CA2D2" w:rsidR="00E978D0" w:rsidRPr="00B57B36" w:rsidRDefault="00D9346A" w:rsidP="00E978D0">
      <w:pPr>
        <w:pStyle w:val="CETTitle"/>
      </w:pPr>
      <w:bookmarkStart w:id="1" w:name="_Hlk221296315"/>
      <w:bookmarkEnd w:id="0"/>
      <w:r w:rsidRPr="00D9346A">
        <w:t>Enhancing Hydrogen Production Efficiency in Alkaline Water Electrolysis Through Biosurfactants, Ultrasound, and Their Synergistic Combination</w:t>
      </w:r>
    </w:p>
    <w:p w14:paraId="0488FED2" w14:textId="07C0A7DB" w:rsidR="00B57E6F" w:rsidRPr="00324A98" w:rsidRDefault="00C160F9" w:rsidP="00B57E6F">
      <w:pPr>
        <w:pStyle w:val="CETAuthors"/>
        <w:rPr>
          <w:lang w:val="pt-BR"/>
        </w:rPr>
      </w:pPr>
      <w:r w:rsidRPr="00324A98">
        <w:rPr>
          <w:lang w:val="pt-BR"/>
        </w:rPr>
        <w:t>Bruno A. Cabral Roque</w:t>
      </w:r>
      <w:r w:rsidR="00B57E6F" w:rsidRPr="00324A98">
        <w:rPr>
          <w:vertAlign w:val="superscript"/>
          <w:lang w:val="pt-BR"/>
        </w:rPr>
        <w:t>a</w:t>
      </w:r>
      <w:r w:rsidR="00C84BE2" w:rsidRPr="00324A98">
        <w:rPr>
          <w:vertAlign w:val="superscript"/>
          <w:lang w:val="pt-BR"/>
        </w:rPr>
        <w:t>,b,</w:t>
      </w:r>
      <w:r w:rsidR="00C84BE2" w:rsidRPr="00324A98">
        <w:rPr>
          <w:lang w:val="pt-BR"/>
        </w:rPr>
        <w:t>*</w:t>
      </w:r>
      <w:r w:rsidR="00B57E6F" w:rsidRPr="00324A98">
        <w:rPr>
          <w:lang w:val="pt-BR"/>
        </w:rPr>
        <w:t>,</w:t>
      </w:r>
      <w:r w:rsidR="001C5E04">
        <w:rPr>
          <w:lang w:val="pt-BR"/>
        </w:rPr>
        <w:t xml:space="preserve"> </w:t>
      </w:r>
      <w:r w:rsidR="00C84BE2" w:rsidRPr="00324A98">
        <w:rPr>
          <w:lang w:val="pt-BR"/>
        </w:rPr>
        <w:t>Mohand Benachour</w:t>
      </w:r>
      <w:r w:rsidR="000068FE" w:rsidRPr="00324A98">
        <w:rPr>
          <w:vertAlign w:val="superscript"/>
          <w:lang w:val="pt-BR"/>
        </w:rPr>
        <w:t>a,b</w:t>
      </w:r>
      <w:r w:rsidR="00C84BE2" w:rsidRPr="00324A98">
        <w:rPr>
          <w:lang w:val="pt-BR"/>
        </w:rPr>
        <w:t>, Leonie A. Sarubbo</w:t>
      </w:r>
      <w:r w:rsidR="000068FE" w:rsidRPr="00324A98">
        <w:rPr>
          <w:vertAlign w:val="superscript"/>
          <w:lang w:val="pt-BR"/>
        </w:rPr>
        <w:t>a,b,c</w:t>
      </w:r>
    </w:p>
    <w:p w14:paraId="6B2D21B3" w14:textId="771F9A78" w:rsidR="00B57E6F" w:rsidRPr="00B57B36" w:rsidRDefault="00B57E6F" w:rsidP="00B57E6F">
      <w:pPr>
        <w:pStyle w:val="CETAddress"/>
      </w:pPr>
      <w:r w:rsidRPr="00B57B36">
        <w:rPr>
          <w:vertAlign w:val="superscript"/>
        </w:rPr>
        <w:t>a</w:t>
      </w:r>
      <w:r w:rsidR="001C5E04">
        <w:rPr>
          <w:vertAlign w:val="superscript"/>
        </w:rPr>
        <w:t xml:space="preserve"> </w:t>
      </w:r>
      <w:r w:rsidR="00C84BE2" w:rsidRPr="00C84BE2">
        <w:t>Department of Chemical Engineering, Federal University of Pernambuco (UFPE), Av. dos Economistas, s/n, ZIP Code 50740-590, Recife, Brazil;</w:t>
      </w:r>
    </w:p>
    <w:p w14:paraId="3D72B0B0" w14:textId="5C34F81F" w:rsidR="00B57E6F" w:rsidRDefault="00B57E6F" w:rsidP="00B57E6F">
      <w:pPr>
        <w:pStyle w:val="CETAddress"/>
      </w:pPr>
      <w:r w:rsidRPr="00B57B36">
        <w:rPr>
          <w:vertAlign w:val="superscript"/>
        </w:rPr>
        <w:t>b</w:t>
      </w:r>
      <w:r w:rsidR="001C5E04">
        <w:rPr>
          <w:vertAlign w:val="superscript"/>
        </w:rPr>
        <w:t xml:space="preserve"> </w:t>
      </w:r>
      <w:r w:rsidR="00C84BE2" w:rsidRPr="00C84BE2">
        <w:t>Advanced Institute of Technology and Innovation (IATI), Rua Potira, 31, ZIP Code 50751-310, Recife, Brazil;</w:t>
      </w:r>
    </w:p>
    <w:p w14:paraId="60BABC17" w14:textId="0440EAEC" w:rsidR="00C84BE2" w:rsidRPr="00B57B36" w:rsidRDefault="00C84BE2" w:rsidP="00B57E6F">
      <w:pPr>
        <w:pStyle w:val="CETAddress"/>
      </w:pPr>
      <w:r>
        <w:rPr>
          <w:vertAlign w:val="superscript"/>
        </w:rPr>
        <w:t>c</w:t>
      </w:r>
      <w:r w:rsidR="000068FE" w:rsidRPr="000068FE">
        <w:t xml:space="preserve"> School of Technology and Communication, Catholic University of Pernambuco (UNICAP), Rua do Príncipe, 526, ZIP Code 50050-900, Recife, Brazil</w:t>
      </w:r>
    </w:p>
    <w:p w14:paraId="73F1267A" w14:textId="50F6FF71" w:rsidR="00B57E6F" w:rsidRPr="00B57B36" w:rsidRDefault="001C5E04" w:rsidP="00B57E6F">
      <w:pPr>
        <w:pStyle w:val="CETemail"/>
      </w:pPr>
      <w:r>
        <w:t xml:space="preserve">* </w:t>
      </w:r>
      <w:r w:rsidR="000068FE" w:rsidRPr="000068FE">
        <w:t>bruno.roque@ufpe.br</w:t>
      </w:r>
    </w:p>
    <w:p w14:paraId="6893AF25" w14:textId="53B1EEFB" w:rsidR="00600535" w:rsidRPr="00B57B36" w:rsidRDefault="007A6FC1" w:rsidP="00600535">
      <w:pPr>
        <w:pStyle w:val="CETBodytext"/>
        <w:rPr>
          <w:lang w:val="en-GB"/>
        </w:rPr>
      </w:pPr>
      <w:r w:rsidRPr="007A6FC1">
        <w:rPr>
          <w:lang w:val="en-GB"/>
        </w:rPr>
        <w:t xml:space="preserve">Alkaline water electrolysis is a key technology for low-carbon hydrogen production; however, its efficiency is constrained by gas bubble accumulation and mass transfer limitations at the electrode–electrolyte interface. This study evaluates ultrasound application and biosurfactant addition as process intensification strategies to enhance hydrogen production under mild alkaline conditions. Experiments were performed in a hermetic tubular bench-scale electrolyzer operating with 1 M KOH, stainless-steel electrodes, and a saponin-based biosurfactant. Ultrasound was applied using an immersion transducer operating at 40 kHz under pulsed and continuous regimes. A </w:t>
      </w:r>
      <w:proofErr w:type="gramStart"/>
      <w:r w:rsidRPr="007A6FC1">
        <w:rPr>
          <w:lang w:val="en-GB"/>
        </w:rPr>
        <w:t>2</w:t>
      </w:r>
      <w:r w:rsidR="002C5088" w:rsidRPr="002C5088">
        <w:rPr>
          <w:vertAlign w:val="superscript"/>
          <w:lang w:val="en-GB"/>
        </w:rPr>
        <w:t>3</w:t>
      </w:r>
      <w:r w:rsidRPr="007A6FC1">
        <w:rPr>
          <w:lang w:val="en-GB"/>
        </w:rPr>
        <w:t xml:space="preserve"> factorial</w:t>
      </w:r>
      <w:proofErr w:type="gramEnd"/>
      <w:r w:rsidRPr="007A6FC1">
        <w:rPr>
          <w:lang w:val="en-GB"/>
        </w:rPr>
        <w:t xml:space="preserve"> design with central points was employed to assess the effects of applied voltage, ultrasound condition, and biosurfactant concentration on the hydrogen volumetric flow rate. Statistical analysis based on ANOVA and response surface methodology identified applied voltage as the dominant factor, with significant quadratic effects defining optimal operating regions. Ultrasound exhibited a voltage-dependent synergistic effect by enhancing bubble detachment and mass transfer, whereas the biosurfactant showed a secondary interfacial effect within a narrow concentration range. These findings highlight ultrasound-assisted alkaline electrolysis as an effective route for performance enhancement without major modifications to electrolyzer architecture.</w:t>
      </w:r>
      <w:r>
        <w:rPr>
          <w:lang w:val="en-GB"/>
        </w:rPr>
        <w:t xml:space="preserve">  </w:t>
      </w:r>
      <w:r w:rsidR="00CB6641">
        <w:rPr>
          <w:lang w:val="en-GB"/>
        </w:rPr>
        <w:tab/>
      </w:r>
    </w:p>
    <w:p w14:paraId="476B2F2E" w14:textId="77777777" w:rsidR="00600535" w:rsidRPr="00B57B36" w:rsidRDefault="00600535" w:rsidP="00600535">
      <w:pPr>
        <w:pStyle w:val="CETHeading1"/>
        <w:rPr>
          <w:lang w:val="en-GB"/>
        </w:rPr>
      </w:pPr>
      <w:r w:rsidRPr="00B57B36">
        <w:rPr>
          <w:lang w:val="en-GB"/>
        </w:rPr>
        <w:t>Introduction</w:t>
      </w:r>
    </w:p>
    <w:p w14:paraId="5E149000" w14:textId="1DBD78A8" w:rsidR="009D0FE8" w:rsidRDefault="009D0FE8" w:rsidP="009D0FE8">
      <w:pPr>
        <w:pStyle w:val="CETBodytext"/>
        <w:rPr>
          <w:lang w:val="en-GB"/>
        </w:rPr>
      </w:pPr>
      <w:r w:rsidRPr="009D0FE8">
        <w:rPr>
          <w:lang w:val="en-GB"/>
        </w:rPr>
        <w:t>The global energy landscape faces increasing challenges associated with resource depletion and environmental concerns. Fossil fuels, the primary contributors to carbon emissions, exacerbate global warming and climate change (Zahra et al., 2026). In this context, hydrogen has emerged as a strategic pathway for decarbonization, offering relevant advantages over fossil-based energy sources, including zero emissions at the point of use, high gravimetric energy density, and long-term storage capability. Moreover, its integration into green energy systems enables clean energy storage and enhances grid flexibility, consolidating hydrogen as a versatile energy carrier (Aditiya</w:t>
      </w:r>
      <w:r w:rsidR="008D2D92" w:rsidRPr="008D2D92">
        <w:rPr>
          <w:lang w:val="en-GB"/>
        </w:rPr>
        <w:t xml:space="preserve"> </w:t>
      </w:r>
      <w:r w:rsidR="008D2D92" w:rsidRPr="009D0FE8">
        <w:rPr>
          <w:lang w:val="en-GB"/>
        </w:rPr>
        <w:t>et al.</w:t>
      </w:r>
      <w:r w:rsidRPr="009D0FE8">
        <w:rPr>
          <w:lang w:val="en-GB"/>
        </w:rPr>
        <w:t>, 2026).</w:t>
      </w:r>
    </w:p>
    <w:p w14:paraId="3041C419" w14:textId="59EBE154" w:rsidR="009D0FE8" w:rsidRDefault="009D0FE8" w:rsidP="009D0FE8">
      <w:pPr>
        <w:pStyle w:val="CETBodytext"/>
        <w:rPr>
          <w:lang w:val="en-GB"/>
        </w:rPr>
      </w:pPr>
      <w:r w:rsidRPr="009D0FE8">
        <w:rPr>
          <w:lang w:val="en-GB"/>
        </w:rPr>
        <w:t>Among low-carbon hydrogen production routes, blue hydrogen and, in particular, green hydrogen stand out as the most promising alternatives. Green hydrogen is produced via water electrolysis powered by renewable energy sources such as solar, wind, and hydropower (Serik</w:t>
      </w:r>
      <w:r w:rsidR="008D2D92" w:rsidRPr="008D2D92">
        <w:rPr>
          <w:lang w:val="en-GB"/>
        </w:rPr>
        <w:t xml:space="preserve"> </w:t>
      </w:r>
      <w:r w:rsidR="008D2D92" w:rsidRPr="009D0FE8">
        <w:rPr>
          <w:lang w:val="en-GB"/>
        </w:rPr>
        <w:t>et al.,</w:t>
      </w:r>
      <w:r w:rsidRPr="009D0FE8">
        <w:rPr>
          <w:lang w:val="en-GB"/>
        </w:rPr>
        <w:t xml:space="preserve"> 2026). Among the available electrolysis technologies, alkaline water electrolysis is distinguished by its technological maturity, high efficiency, and relatively lower cost compared to other electrolyzer technologies</w:t>
      </w:r>
      <w:r w:rsidR="000609D1">
        <w:rPr>
          <w:lang w:val="en-GB"/>
        </w:rPr>
        <w:t xml:space="preserve">. </w:t>
      </w:r>
      <w:r w:rsidRPr="009D0FE8">
        <w:rPr>
          <w:lang w:val="en-GB"/>
        </w:rPr>
        <w:t>This process is based on the decomposition of water into hydrogen and oxygen in the presence of an alkaline electrolyte (Dash et al., 2024).</w:t>
      </w:r>
    </w:p>
    <w:p w14:paraId="6E393DF7" w14:textId="360D1DEC" w:rsidR="009D0FE8" w:rsidRDefault="009D0FE8" w:rsidP="009D0FE8">
      <w:pPr>
        <w:pStyle w:val="CETBodytext"/>
        <w:rPr>
          <w:lang w:val="en-GB"/>
        </w:rPr>
      </w:pPr>
      <w:r w:rsidRPr="009D0FE8">
        <w:rPr>
          <w:lang w:val="en-GB"/>
        </w:rPr>
        <w:t xml:space="preserve">Despite these advantages, the large-scale deployment of alkaline water electrolysis remains constrained by technical challenges related to process efficiency. Bubble dynamics plays a central role by directly affecting mass and charge transfer mechanisms at the electrode–electrolyte interface. In addition, electrolyte flow and concentration influence ionic transport and gas bubble </w:t>
      </w:r>
      <w:proofErr w:type="spellStart"/>
      <w:r w:rsidRPr="009D0FE8">
        <w:rPr>
          <w:lang w:val="en-GB"/>
        </w:rPr>
        <w:t>behavior</w:t>
      </w:r>
      <w:proofErr w:type="spellEnd"/>
      <w:r w:rsidRPr="009D0FE8">
        <w:rPr>
          <w:lang w:val="en-GB"/>
        </w:rPr>
        <w:t xml:space="preserve">, while electrode spacing must be optimized to </w:t>
      </w:r>
      <w:r w:rsidRPr="009D0FE8">
        <w:rPr>
          <w:lang w:val="en-GB"/>
        </w:rPr>
        <w:lastRenderedPageBreak/>
        <w:t>balance ohmic losses and operational stability. The selection of electrode materials and the implementation of surface engineering strategies are also critical to mitigating efficiency losses associated with material limitations and bubble adhesion, thereby improving overall electrolyzer performance (Eldeeb et al., 2026).</w:t>
      </w:r>
    </w:p>
    <w:p w14:paraId="23F86FEF" w14:textId="37F9337E" w:rsidR="00600535" w:rsidRDefault="009D0FE8" w:rsidP="009D0FE8">
      <w:pPr>
        <w:pStyle w:val="CETBodytext"/>
        <w:rPr>
          <w:lang w:val="en-GB"/>
        </w:rPr>
      </w:pPr>
      <w:r w:rsidRPr="009D0FE8">
        <w:rPr>
          <w:lang w:val="en-GB"/>
        </w:rPr>
        <w:t>In this context, the present study aims to evaluate process intensification strategies applied to alkaline water electrolysis, focusing on the use of ultrasound and biosurfactant addition as approaches to enhance hydrogen production efficiency. Ultrasound is investigated as a means to modify bubble dynamics and reduce diffusive resistances, while biosurfactants are explored as interfacial modifiers capable of influencing gas–liquid interactions. The combined application of these strategies seeks to provide insights into the optimization of alkaline electrolyzer performance under moderate operating conditions.</w:t>
      </w:r>
    </w:p>
    <w:p w14:paraId="5741900F" w14:textId="6A523645" w:rsidR="00453E24" w:rsidRDefault="00D573DB" w:rsidP="00453E24">
      <w:pPr>
        <w:pStyle w:val="CETHeading1"/>
      </w:pPr>
      <w:r w:rsidRPr="00D573DB">
        <w:t>Methodology</w:t>
      </w:r>
    </w:p>
    <w:p w14:paraId="0636B784" w14:textId="7BAE5041" w:rsidR="00453E24" w:rsidRDefault="000C7D47" w:rsidP="00453E24">
      <w:pPr>
        <w:pStyle w:val="CETheadingx"/>
      </w:pPr>
      <w:r w:rsidRPr="000C7D47">
        <w:t>Configuration of the alkaline electrolysis experimental system and operating conditions</w:t>
      </w:r>
    </w:p>
    <w:p w14:paraId="7C2B0064" w14:textId="0AEF0D33" w:rsidR="00453E24" w:rsidRPr="00FB7647" w:rsidRDefault="000C7D47" w:rsidP="000C7D47">
      <w:pPr>
        <w:pStyle w:val="CETBodytext"/>
      </w:pPr>
      <w:r>
        <w:tab/>
      </w:r>
      <w:r w:rsidR="00DF4DE8" w:rsidRPr="00DF4DE8">
        <w:rPr>
          <w:lang w:val="en-GB"/>
        </w:rPr>
        <w:t>The experiments were carried out in a bench-scale tubular electrolyzer constructed from polyvinyl chloride (PVC), with a total length of 40 cm and an internal diameter of 2.8 cm, operating with 200 mL of a 1 M potassium hydroxide (KOH) electrolyte prepared with distilled water. When applicable, the electrolyte was supplemented with a plant-derived saponin biosurfactant extracted according to Bezerra et al. (2021). PVC was selected due to its chemical resistance under alkaline conditions, low cost, and ease of laboratory-scale fabrication. The system employed cylindrical stainless-steel electrodes (26.5 cm length, 4 mm diameter), with approximately 17 cm immersed in the electrolyte. Gas removal occurred through an upper outlet, and system tightness was verified prior to experimentation via pressurized air immersion tests. Electrochemical experiments were performed in triplicate using a regulated DC power supply (0–32 V, 0–5 A), with the applied voltage defined by the experimental design. Ultrasound irradiation was provided by an immersion transducer operating at 40 kHz and 300 W, with both the electrolyzer and transducer immersed in a water bath to ensure effective acoustic coupling. Ultrasound conditions included no irradiation, pulsed mode, and continuous mode. Figure 1 illustrates the complete experimental setup and its main components.</w:t>
      </w:r>
    </w:p>
    <w:p w14:paraId="7646843F" w14:textId="77777777" w:rsidR="002B2997" w:rsidRDefault="002B2997" w:rsidP="000C7D47">
      <w:pPr>
        <w:pStyle w:val="CETBodytext"/>
      </w:pPr>
    </w:p>
    <w:p w14:paraId="671DFA93" w14:textId="13151C91" w:rsidR="002B2997" w:rsidRDefault="002B2997" w:rsidP="000C7D47">
      <w:pPr>
        <w:pStyle w:val="CETBodytext"/>
      </w:pPr>
      <w:r>
        <w:rPr>
          <w:noProof/>
        </w:rPr>
        <w:drawing>
          <wp:inline distT="0" distB="0" distL="0" distR="0" wp14:anchorId="45D4ACAE" wp14:editId="006D1E65">
            <wp:extent cx="2285728" cy="2592125"/>
            <wp:effectExtent l="0" t="0" r="635" b="0"/>
            <wp:docPr id="20008970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4086" t="7452" b="21430"/>
                    <a:stretch>
                      <a:fillRect/>
                    </a:stretch>
                  </pic:blipFill>
                  <pic:spPr bwMode="auto">
                    <a:xfrm>
                      <a:off x="0" y="0"/>
                      <a:ext cx="2285728" cy="2592125"/>
                    </a:xfrm>
                    <a:prstGeom prst="rect">
                      <a:avLst/>
                    </a:prstGeom>
                    <a:noFill/>
                    <a:ln>
                      <a:noFill/>
                    </a:ln>
                    <a:extLst>
                      <a:ext uri="{53640926-AAD7-44D8-BBD7-CCE9431645EC}">
                        <a14:shadowObscured xmlns:a14="http://schemas.microsoft.com/office/drawing/2010/main"/>
                      </a:ext>
                    </a:extLst>
                  </pic:spPr>
                </pic:pic>
              </a:graphicData>
            </a:graphic>
          </wp:inline>
        </w:drawing>
      </w:r>
    </w:p>
    <w:p w14:paraId="6B33E2CB" w14:textId="5969189A" w:rsidR="002B2997" w:rsidRDefault="002B2997" w:rsidP="000C7D47">
      <w:pPr>
        <w:pStyle w:val="CETBodytext"/>
        <w:rPr>
          <w:i/>
          <w:iCs/>
        </w:rPr>
      </w:pPr>
      <w:r w:rsidRPr="00FB7647">
        <w:rPr>
          <w:i/>
          <w:iCs/>
        </w:rPr>
        <w:t>Figure 1:</w:t>
      </w:r>
      <w:r w:rsidR="00FB7647" w:rsidRPr="00FB7647">
        <w:rPr>
          <w:i/>
          <w:iCs/>
        </w:rPr>
        <w:t xml:space="preserve"> General view of the experimental setup used in the experimental runs.</w:t>
      </w:r>
    </w:p>
    <w:p w14:paraId="4653025E" w14:textId="77777777" w:rsidR="00A61036" w:rsidRPr="00FB7647" w:rsidRDefault="00A61036" w:rsidP="000C7D47">
      <w:pPr>
        <w:pStyle w:val="CETBodytext"/>
        <w:rPr>
          <w:i/>
          <w:iCs/>
        </w:rPr>
      </w:pPr>
    </w:p>
    <w:p w14:paraId="18BAFA6F" w14:textId="2FBD987F" w:rsidR="00453E24" w:rsidRPr="00B57B36" w:rsidRDefault="000C7D47" w:rsidP="00453E24">
      <w:pPr>
        <w:pStyle w:val="CETheadingx"/>
      </w:pPr>
      <w:r w:rsidRPr="000C7D47">
        <w:t>Gas collection and quantification system</w:t>
      </w:r>
    </w:p>
    <w:p w14:paraId="08A8DE4B" w14:textId="7FE79545" w:rsidR="00453E24" w:rsidRDefault="00DF4DE8" w:rsidP="00453E24">
      <w:pPr>
        <w:pStyle w:val="CETBodytext"/>
        <w:rPr>
          <w:lang w:val="en-GB"/>
        </w:rPr>
      </w:pPr>
      <w:r w:rsidRPr="00DF4DE8">
        <w:rPr>
          <w:lang w:val="en-GB"/>
        </w:rPr>
        <w:t>The volumetric quantification of gases produced during electrolysis was performed using the water displacement method, following Genç and Ayas (2025). The gas stream was routed from the electrolyzer through a gas washing bottle to remove electrolyte-derived aerosols and subsequently collected in a vertically positioned 500 mL graduated syringe submerged in water. Gas volume was measured as a function of time using a digital stopwatch, while temperature was periodically monitored with an infrared thermometer. As gas separation was not implemented, hydrogen and oxygen fractions were estimated based on the stoichiometry of water electrolysis, assuming a 2:1 H</w:t>
      </w:r>
      <w:r w:rsidRPr="00DF4DE8">
        <w:rPr>
          <w:rFonts w:ascii="Cambria Math" w:hAnsi="Cambria Math" w:cs="Cambria Math"/>
          <w:lang w:val="en-GB"/>
        </w:rPr>
        <w:t>₂</w:t>
      </w:r>
      <w:r w:rsidRPr="00DF4DE8">
        <w:rPr>
          <w:lang w:val="en-GB"/>
        </w:rPr>
        <w:t>:O</w:t>
      </w:r>
      <w:r w:rsidRPr="00DF4DE8">
        <w:rPr>
          <w:rFonts w:ascii="Cambria Math" w:hAnsi="Cambria Math" w:cs="Cambria Math"/>
          <w:lang w:val="en-GB"/>
        </w:rPr>
        <w:t>₂</w:t>
      </w:r>
      <w:r w:rsidRPr="00DF4DE8">
        <w:rPr>
          <w:lang w:val="en-GB"/>
        </w:rPr>
        <w:t xml:space="preserve"> molar ratio under near-ambient conditions. Accordingly, hydrogen volume was estimated as two-thirds of the total collected gas, and the hydrogen volumetric flow rate (mL</w:t>
      </w:r>
      <w:r w:rsidRPr="00DF4DE8">
        <w:rPr>
          <w:rFonts w:cs="Arial"/>
          <w:lang w:val="en-GB"/>
        </w:rPr>
        <w:t>·</w:t>
      </w:r>
      <w:r w:rsidRPr="00DF4DE8">
        <w:rPr>
          <w:lang w:val="en-GB"/>
        </w:rPr>
        <w:t>s</w:t>
      </w:r>
      <w:r w:rsidRPr="00DF4DE8">
        <w:rPr>
          <w:rFonts w:ascii="Cambria Math" w:hAnsi="Cambria Math" w:cs="Cambria Math"/>
          <w:lang w:val="en-GB"/>
        </w:rPr>
        <w:t>⁻</w:t>
      </w:r>
      <w:r w:rsidRPr="00DF4DE8">
        <w:rPr>
          <w:rFonts w:cs="Arial"/>
          <w:lang w:val="en-GB"/>
        </w:rPr>
        <w:t>¹</w:t>
      </w:r>
      <w:r w:rsidRPr="00DF4DE8">
        <w:rPr>
          <w:lang w:val="en-GB"/>
        </w:rPr>
        <w:t>) was adopted as the response variable</w:t>
      </w:r>
      <w:r>
        <w:rPr>
          <w:lang w:val="en-GB"/>
        </w:rPr>
        <w:t>.</w:t>
      </w:r>
    </w:p>
    <w:p w14:paraId="677EBFF0" w14:textId="65B4E436" w:rsidR="00600535" w:rsidRPr="00B57B36" w:rsidRDefault="000C7D47" w:rsidP="000C7D47">
      <w:pPr>
        <w:pStyle w:val="CETHeading1"/>
        <w:numPr>
          <w:ilvl w:val="0"/>
          <w:numId w:val="0"/>
        </w:numPr>
        <w:tabs>
          <w:tab w:val="right" w:pos="7100"/>
        </w:tabs>
        <w:jc w:val="both"/>
        <w:rPr>
          <w:lang w:val="en-GB"/>
        </w:rPr>
      </w:pPr>
      <w:r w:rsidRPr="000C7D47">
        <w:rPr>
          <w:lang w:val="en-GB"/>
        </w:rPr>
        <w:lastRenderedPageBreak/>
        <w:t>2.3. Experimental design</w:t>
      </w:r>
    </w:p>
    <w:p w14:paraId="123CB7DF" w14:textId="691FE91C" w:rsidR="00600535" w:rsidRDefault="000C7D47" w:rsidP="00600535">
      <w:pPr>
        <w:pStyle w:val="CETBodytext"/>
        <w:rPr>
          <w:lang w:val="en-GB"/>
        </w:rPr>
      </w:pPr>
      <w:r w:rsidRPr="000C7D47">
        <w:rPr>
          <w:lang w:val="en-GB"/>
        </w:rPr>
        <w:t xml:space="preserve">The statistical evaluation of the process considered three independent variables: ultrasound application, applied voltage, and biosurfactant concentration. The response variable </w:t>
      </w:r>
      <w:proofErr w:type="spellStart"/>
      <w:r w:rsidRPr="000C7D47">
        <w:rPr>
          <w:lang w:val="en-GB"/>
        </w:rPr>
        <w:t>analyzed</w:t>
      </w:r>
      <w:proofErr w:type="spellEnd"/>
      <w:r w:rsidRPr="000C7D47">
        <w:rPr>
          <w:lang w:val="en-GB"/>
        </w:rPr>
        <w:t xml:space="preserve"> was the volumetric hydrogen production rate (mL</w:t>
      </w:r>
      <w:r w:rsidR="00CB6641" w:rsidRPr="00280FAF">
        <w:rPr>
          <w:rFonts w:ascii="Times New Roman" w:eastAsia="SimSun" w:hAnsi="Times New Roman"/>
        </w:rPr>
        <w:t>·</w:t>
      </w:r>
      <w:r w:rsidRPr="000C7D47">
        <w:rPr>
          <w:lang w:val="en-GB"/>
        </w:rPr>
        <w:t>s</w:t>
      </w:r>
      <w:r w:rsidR="0001575E" w:rsidRPr="0001575E">
        <w:rPr>
          <w:vertAlign w:val="superscript"/>
          <w:lang w:val="en-GB"/>
        </w:rPr>
        <w:t>-1</w:t>
      </w:r>
      <w:r w:rsidRPr="000C7D47">
        <w:rPr>
          <w:lang w:val="en-GB"/>
        </w:rPr>
        <w:t xml:space="preserve">). The experimental design was structured as a full factorial design of </w:t>
      </w:r>
      <w:proofErr w:type="gramStart"/>
      <w:r w:rsidRPr="000C7D47">
        <w:rPr>
          <w:lang w:val="en-GB"/>
        </w:rPr>
        <w:t>the 2</w:t>
      </w:r>
      <w:r w:rsidR="00CB6641" w:rsidRPr="00CB6641">
        <w:rPr>
          <w:rFonts w:cs="Arial"/>
          <w:vertAlign w:val="superscript"/>
          <w:lang w:val="en-GB"/>
        </w:rPr>
        <w:t>3</w:t>
      </w:r>
      <w:r w:rsidRPr="000C7D47">
        <w:rPr>
          <w:lang w:val="en-GB"/>
        </w:rPr>
        <w:t xml:space="preserve"> type</w:t>
      </w:r>
      <w:proofErr w:type="gramEnd"/>
      <w:r w:rsidRPr="000C7D47">
        <w:rPr>
          <w:lang w:val="en-GB"/>
        </w:rPr>
        <w:t>, augmented with six replicates at the central point, resulting in a total of 14 experimental runs. This design enabled the assessment of linear effects, factor interactions, and system curvature, thereby allowing the fitting of a second-order polynomial model.</w:t>
      </w:r>
    </w:p>
    <w:p w14:paraId="715DC7BF" w14:textId="77777777" w:rsidR="000C7D47" w:rsidRDefault="000C7D47" w:rsidP="00600535">
      <w:pPr>
        <w:pStyle w:val="CETBodytext"/>
        <w:rPr>
          <w:lang w:val="en-GB"/>
        </w:rPr>
      </w:pPr>
    </w:p>
    <w:p w14:paraId="5506B674" w14:textId="77777777" w:rsidR="000C7D47" w:rsidRPr="000C7D47" w:rsidRDefault="000C7D47" w:rsidP="000C7D47">
      <w:pPr>
        <w:pStyle w:val="CETBodytext"/>
      </w:pPr>
      <w:r w:rsidRPr="000C7D47">
        <w:rPr>
          <w:b/>
          <w:bCs/>
        </w:rPr>
        <w:t>2.3.1. Factor level matrix</w:t>
      </w:r>
    </w:p>
    <w:p w14:paraId="7D926165" w14:textId="0F4872E4" w:rsidR="000C7D47" w:rsidRDefault="008C5BA6" w:rsidP="008C5BA6">
      <w:pPr>
        <w:pStyle w:val="CETBodytext"/>
      </w:pPr>
      <w:r>
        <w:t>The experimental domain was established based on preliminary assays and physicochemical limitations of the system, ensuring that all factor levels were technically feasible and operationally stable within the region of interest. A three-level coding scheme (−1, 0, +1) was employed to allow estimation of linear, interaction, and quadratic effects under a second-order response surface framework. The use of coded variables preserves model orthogonality, enhances numerical stability during regression analysis, and enables direct comparison of effect magnitudes irrespective of the original measurement scales. The coded and corresponding actual levels of the independent variables are summarized in Table 1.</w:t>
      </w:r>
    </w:p>
    <w:p w14:paraId="24AF8B29" w14:textId="77777777" w:rsidR="005D2905" w:rsidRPr="000C7D47" w:rsidRDefault="005D2905" w:rsidP="000C7D47">
      <w:pPr>
        <w:pStyle w:val="CETBodytext"/>
      </w:pPr>
    </w:p>
    <w:p w14:paraId="2E562C00" w14:textId="72A7E9D3" w:rsidR="004577FE" w:rsidRDefault="009B45C5" w:rsidP="000C7D47">
      <w:pPr>
        <w:pStyle w:val="CETListbullets"/>
        <w:ind w:left="0" w:firstLine="0"/>
      </w:pPr>
      <w:r w:rsidRPr="005D2905">
        <w:rPr>
          <w:i/>
          <w:iCs/>
        </w:rPr>
        <w:t xml:space="preserve">Table </w:t>
      </w:r>
      <w:r w:rsidR="00FD6928">
        <w:rPr>
          <w:i/>
          <w:iCs/>
        </w:rPr>
        <w:t>1</w:t>
      </w:r>
      <w:r w:rsidRPr="005D2905">
        <w:rPr>
          <w:i/>
          <w:iCs/>
        </w:rPr>
        <w:t xml:space="preserve">: </w:t>
      </w:r>
      <w:r w:rsidRPr="009B45C5">
        <w:t>Matrix of levels of factorial design</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551"/>
        <w:gridCol w:w="1551"/>
        <w:gridCol w:w="1551"/>
        <w:gridCol w:w="1853"/>
      </w:tblGrid>
      <w:tr w:rsidR="000C7D47" w:rsidRPr="000C7D47" w14:paraId="1B2A3559" w14:textId="77777777" w:rsidTr="000C7D47">
        <w:trPr>
          <w:trHeight w:val="431"/>
        </w:trPr>
        <w:tc>
          <w:tcPr>
            <w:tcW w:w="1551" w:type="dxa"/>
            <w:tcBorders>
              <w:top w:val="single" w:sz="12" w:space="0" w:color="008000"/>
              <w:left w:val="nil"/>
              <w:bottom w:val="single" w:sz="6" w:space="0" w:color="008000"/>
              <w:right w:val="nil"/>
            </w:tcBorders>
            <w:shd w:val="clear" w:color="auto" w:fill="FFFFFF"/>
            <w:vAlign w:val="center"/>
            <w:hideMark/>
          </w:tcPr>
          <w:p w14:paraId="5375ED6C" w14:textId="7C47FA5F" w:rsidR="000C7D47" w:rsidRPr="000C7D47" w:rsidRDefault="000C7D47" w:rsidP="000C7D47">
            <w:pPr>
              <w:pStyle w:val="CETListbullets"/>
              <w:jc w:val="center"/>
            </w:pPr>
            <w:r w:rsidRPr="000C7D47">
              <w:rPr>
                <w:lang w:val="en-US"/>
              </w:rPr>
              <w:t>Level</w:t>
            </w:r>
          </w:p>
        </w:tc>
        <w:tc>
          <w:tcPr>
            <w:tcW w:w="1551" w:type="dxa"/>
            <w:tcBorders>
              <w:top w:val="single" w:sz="12" w:space="0" w:color="008000"/>
              <w:left w:val="nil"/>
              <w:bottom w:val="single" w:sz="6" w:space="0" w:color="008000"/>
              <w:right w:val="nil"/>
            </w:tcBorders>
            <w:shd w:val="clear" w:color="auto" w:fill="FFFFFF"/>
            <w:vAlign w:val="center"/>
            <w:hideMark/>
          </w:tcPr>
          <w:p w14:paraId="6E2224D8" w14:textId="3B9DDFE6" w:rsidR="000C7D47" w:rsidRPr="000C7D47" w:rsidRDefault="000C7D47" w:rsidP="000C7D47">
            <w:pPr>
              <w:pStyle w:val="CETListbullets"/>
              <w:jc w:val="center"/>
            </w:pPr>
            <w:r w:rsidRPr="000C7D47">
              <w:rPr>
                <w:lang w:val="en-US"/>
              </w:rPr>
              <w:t>Ultrasound</w:t>
            </w:r>
          </w:p>
        </w:tc>
        <w:tc>
          <w:tcPr>
            <w:tcW w:w="1551" w:type="dxa"/>
            <w:tcBorders>
              <w:top w:val="single" w:sz="12" w:space="0" w:color="008000"/>
              <w:left w:val="nil"/>
              <w:bottom w:val="single" w:sz="6" w:space="0" w:color="008000"/>
              <w:right w:val="nil"/>
            </w:tcBorders>
            <w:shd w:val="clear" w:color="auto" w:fill="FFFFFF"/>
            <w:vAlign w:val="center"/>
            <w:hideMark/>
          </w:tcPr>
          <w:p w14:paraId="2EEC5FCA" w14:textId="62712CE9" w:rsidR="000C7D47" w:rsidRPr="000C7D47" w:rsidRDefault="000C7D47" w:rsidP="000C7D47">
            <w:pPr>
              <w:pStyle w:val="CETListbullets"/>
              <w:jc w:val="center"/>
            </w:pPr>
            <w:r w:rsidRPr="000C7D47">
              <w:rPr>
                <w:lang w:val="en-US"/>
              </w:rPr>
              <w:t>Voltage (V)</w:t>
            </w:r>
          </w:p>
        </w:tc>
        <w:tc>
          <w:tcPr>
            <w:tcW w:w="1853" w:type="dxa"/>
            <w:tcBorders>
              <w:top w:val="single" w:sz="12" w:space="0" w:color="008000"/>
              <w:left w:val="nil"/>
              <w:bottom w:val="single" w:sz="6" w:space="0" w:color="008000"/>
              <w:right w:val="nil"/>
            </w:tcBorders>
            <w:shd w:val="clear" w:color="auto" w:fill="FFFFFF"/>
            <w:vAlign w:val="center"/>
            <w:hideMark/>
          </w:tcPr>
          <w:p w14:paraId="3D23A2D2" w14:textId="1FFDED63" w:rsidR="000C7D47" w:rsidRPr="000C7D47" w:rsidRDefault="000C7D47" w:rsidP="000C7D47">
            <w:pPr>
              <w:pStyle w:val="CETListbullets"/>
              <w:jc w:val="center"/>
            </w:pPr>
            <w:r w:rsidRPr="000C7D47">
              <w:rPr>
                <w:lang w:val="en-US"/>
              </w:rPr>
              <w:t>Biosurfactant (%)</w:t>
            </w:r>
          </w:p>
        </w:tc>
      </w:tr>
      <w:tr w:rsidR="000C7D47" w:rsidRPr="000C7D47" w14:paraId="245F310D" w14:textId="77777777" w:rsidTr="000C7D47">
        <w:trPr>
          <w:trHeight w:val="257"/>
        </w:trPr>
        <w:tc>
          <w:tcPr>
            <w:tcW w:w="1551" w:type="dxa"/>
            <w:tcBorders>
              <w:top w:val="nil"/>
              <w:left w:val="nil"/>
              <w:bottom w:val="nil"/>
              <w:right w:val="nil"/>
            </w:tcBorders>
            <w:shd w:val="clear" w:color="auto" w:fill="FFFFFF"/>
            <w:vAlign w:val="center"/>
            <w:hideMark/>
          </w:tcPr>
          <w:p w14:paraId="3D4D4FC1" w14:textId="77777777" w:rsidR="000C7D47" w:rsidRPr="000C7D47" w:rsidRDefault="000C7D47" w:rsidP="000C7D47">
            <w:pPr>
              <w:pStyle w:val="CETListbullets"/>
              <w:jc w:val="center"/>
            </w:pPr>
            <w:r w:rsidRPr="000C7D47">
              <w:rPr>
                <w:lang w:val="en-US"/>
              </w:rPr>
              <w:t>-1</w:t>
            </w:r>
          </w:p>
        </w:tc>
        <w:tc>
          <w:tcPr>
            <w:tcW w:w="1551" w:type="dxa"/>
            <w:tcBorders>
              <w:top w:val="nil"/>
              <w:left w:val="nil"/>
              <w:bottom w:val="nil"/>
              <w:right w:val="nil"/>
            </w:tcBorders>
            <w:shd w:val="clear" w:color="auto" w:fill="FFFFFF"/>
            <w:vAlign w:val="center"/>
            <w:hideMark/>
          </w:tcPr>
          <w:p w14:paraId="59F97056" w14:textId="77777777" w:rsidR="000C7D47" w:rsidRPr="000C7D47" w:rsidRDefault="000C7D47" w:rsidP="000C7D47">
            <w:pPr>
              <w:pStyle w:val="CETListbullets"/>
              <w:jc w:val="center"/>
            </w:pPr>
            <w:r w:rsidRPr="000C7D47">
              <w:rPr>
                <w:lang w:val="en-US"/>
              </w:rPr>
              <w:t>OFF</w:t>
            </w:r>
          </w:p>
        </w:tc>
        <w:tc>
          <w:tcPr>
            <w:tcW w:w="1551" w:type="dxa"/>
            <w:tcBorders>
              <w:top w:val="nil"/>
              <w:left w:val="nil"/>
              <w:bottom w:val="nil"/>
              <w:right w:val="nil"/>
            </w:tcBorders>
            <w:shd w:val="clear" w:color="auto" w:fill="FFFFFF"/>
            <w:vAlign w:val="center"/>
            <w:hideMark/>
          </w:tcPr>
          <w:p w14:paraId="5157692F" w14:textId="77777777" w:rsidR="000C7D47" w:rsidRPr="000C7D47" w:rsidRDefault="000C7D47" w:rsidP="000C7D47">
            <w:pPr>
              <w:pStyle w:val="CETListbullets"/>
              <w:jc w:val="center"/>
            </w:pPr>
            <w:r w:rsidRPr="000C7D47">
              <w:rPr>
                <w:lang w:val="en-US"/>
              </w:rPr>
              <w:t>2.0</w:t>
            </w:r>
          </w:p>
        </w:tc>
        <w:tc>
          <w:tcPr>
            <w:tcW w:w="1853" w:type="dxa"/>
            <w:tcBorders>
              <w:top w:val="nil"/>
              <w:left w:val="nil"/>
              <w:bottom w:val="nil"/>
              <w:right w:val="nil"/>
            </w:tcBorders>
            <w:shd w:val="clear" w:color="auto" w:fill="FFFFFF"/>
            <w:vAlign w:val="center"/>
            <w:hideMark/>
          </w:tcPr>
          <w:p w14:paraId="216B1707" w14:textId="77777777" w:rsidR="000C7D47" w:rsidRPr="000C7D47" w:rsidRDefault="000C7D47" w:rsidP="000C7D47">
            <w:pPr>
              <w:pStyle w:val="CETListbullets"/>
              <w:jc w:val="center"/>
            </w:pPr>
            <w:r w:rsidRPr="000C7D47">
              <w:rPr>
                <w:lang w:val="en-US"/>
              </w:rPr>
              <w:t>0.02</w:t>
            </w:r>
          </w:p>
        </w:tc>
      </w:tr>
      <w:tr w:rsidR="000C7D47" w:rsidRPr="000C7D47" w14:paraId="175CFC06" w14:textId="77777777" w:rsidTr="000C7D47">
        <w:trPr>
          <w:trHeight w:val="272"/>
        </w:trPr>
        <w:tc>
          <w:tcPr>
            <w:tcW w:w="1551" w:type="dxa"/>
            <w:tcBorders>
              <w:top w:val="nil"/>
              <w:left w:val="nil"/>
              <w:bottom w:val="nil"/>
              <w:right w:val="nil"/>
            </w:tcBorders>
            <w:shd w:val="clear" w:color="auto" w:fill="FFFFFF"/>
            <w:vAlign w:val="center"/>
            <w:hideMark/>
          </w:tcPr>
          <w:p w14:paraId="72E97A77" w14:textId="77777777" w:rsidR="000C7D47" w:rsidRPr="000C7D47" w:rsidRDefault="000C7D47" w:rsidP="000C7D47">
            <w:pPr>
              <w:pStyle w:val="CETListbullets"/>
              <w:jc w:val="center"/>
            </w:pPr>
            <w:r w:rsidRPr="000C7D47">
              <w:rPr>
                <w:lang w:val="en-US"/>
              </w:rPr>
              <w:t>0</w:t>
            </w:r>
          </w:p>
        </w:tc>
        <w:tc>
          <w:tcPr>
            <w:tcW w:w="1551" w:type="dxa"/>
            <w:tcBorders>
              <w:top w:val="nil"/>
              <w:left w:val="nil"/>
              <w:bottom w:val="nil"/>
              <w:right w:val="nil"/>
            </w:tcBorders>
            <w:shd w:val="clear" w:color="auto" w:fill="FFFFFF"/>
            <w:vAlign w:val="center"/>
            <w:hideMark/>
          </w:tcPr>
          <w:p w14:paraId="020C10A9" w14:textId="6D2BAA7E" w:rsidR="000C7D47" w:rsidRPr="000C7D47" w:rsidRDefault="000C7D47" w:rsidP="000C7D47">
            <w:pPr>
              <w:pStyle w:val="CETListbullets"/>
              <w:jc w:val="center"/>
            </w:pPr>
            <w:r w:rsidRPr="000C7D47">
              <w:rPr>
                <w:lang w:val="en-US"/>
              </w:rPr>
              <w:t>Pulsed</w:t>
            </w:r>
          </w:p>
        </w:tc>
        <w:tc>
          <w:tcPr>
            <w:tcW w:w="1551" w:type="dxa"/>
            <w:tcBorders>
              <w:top w:val="nil"/>
              <w:left w:val="nil"/>
              <w:bottom w:val="nil"/>
              <w:right w:val="nil"/>
            </w:tcBorders>
            <w:shd w:val="clear" w:color="auto" w:fill="FFFFFF"/>
            <w:vAlign w:val="center"/>
            <w:hideMark/>
          </w:tcPr>
          <w:p w14:paraId="23E7C663" w14:textId="77777777" w:rsidR="000C7D47" w:rsidRPr="000C7D47" w:rsidRDefault="000C7D47" w:rsidP="000C7D47">
            <w:pPr>
              <w:pStyle w:val="CETListbullets"/>
              <w:jc w:val="center"/>
            </w:pPr>
            <w:r w:rsidRPr="000C7D47">
              <w:rPr>
                <w:lang w:val="en-US"/>
              </w:rPr>
              <w:t>2.5</w:t>
            </w:r>
          </w:p>
        </w:tc>
        <w:tc>
          <w:tcPr>
            <w:tcW w:w="1853" w:type="dxa"/>
            <w:tcBorders>
              <w:top w:val="nil"/>
              <w:left w:val="nil"/>
              <w:bottom w:val="nil"/>
              <w:right w:val="nil"/>
            </w:tcBorders>
            <w:shd w:val="clear" w:color="auto" w:fill="FFFFFF"/>
            <w:vAlign w:val="center"/>
            <w:hideMark/>
          </w:tcPr>
          <w:p w14:paraId="0DB29724" w14:textId="77777777" w:rsidR="000C7D47" w:rsidRPr="000C7D47" w:rsidRDefault="000C7D47" w:rsidP="000C7D47">
            <w:pPr>
              <w:pStyle w:val="CETListbullets"/>
              <w:jc w:val="center"/>
            </w:pPr>
            <w:r w:rsidRPr="000C7D47">
              <w:rPr>
                <w:lang w:val="en-US"/>
              </w:rPr>
              <w:t>0.06</w:t>
            </w:r>
          </w:p>
        </w:tc>
      </w:tr>
      <w:tr w:rsidR="000C7D47" w:rsidRPr="000C7D47" w14:paraId="4EF01FC3" w14:textId="77777777" w:rsidTr="000C7D47">
        <w:trPr>
          <w:trHeight w:val="272"/>
        </w:trPr>
        <w:tc>
          <w:tcPr>
            <w:tcW w:w="1551" w:type="dxa"/>
            <w:tcBorders>
              <w:top w:val="nil"/>
              <w:left w:val="nil"/>
              <w:bottom w:val="single" w:sz="12" w:space="0" w:color="008000"/>
              <w:right w:val="nil"/>
            </w:tcBorders>
            <w:shd w:val="clear" w:color="auto" w:fill="FFFFFF"/>
            <w:vAlign w:val="center"/>
            <w:hideMark/>
          </w:tcPr>
          <w:p w14:paraId="653D31A4" w14:textId="2FE1AC87" w:rsidR="000C7D47" w:rsidRPr="000C7D47" w:rsidRDefault="00FB7647" w:rsidP="000C7D47">
            <w:pPr>
              <w:pStyle w:val="CETListbullets"/>
              <w:jc w:val="center"/>
              <w:rPr>
                <w:lang w:val="en-US"/>
              </w:rPr>
            </w:pPr>
            <w:r>
              <w:rPr>
                <w:lang w:val="en-US"/>
              </w:rPr>
              <w:t>+</w:t>
            </w:r>
            <w:r w:rsidR="000C7D47" w:rsidRPr="000C7D47">
              <w:rPr>
                <w:lang w:val="en-US"/>
              </w:rPr>
              <w:t>1</w:t>
            </w:r>
          </w:p>
        </w:tc>
        <w:tc>
          <w:tcPr>
            <w:tcW w:w="1551" w:type="dxa"/>
            <w:tcBorders>
              <w:top w:val="nil"/>
              <w:left w:val="nil"/>
              <w:bottom w:val="single" w:sz="12" w:space="0" w:color="008000"/>
              <w:right w:val="nil"/>
            </w:tcBorders>
            <w:shd w:val="clear" w:color="auto" w:fill="FFFFFF"/>
            <w:vAlign w:val="center"/>
            <w:hideMark/>
          </w:tcPr>
          <w:p w14:paraId="77A65B02" w14:textId="66AA0CA4" w:rsidR="000C7D47" w:rsidRPr="000C7D47" w:rsidRDefault="000C7D47" w:rsidP="000C7D47">
            <w:pPr>
              <w:pStyle w:val="CETListbullets"/>
              <w:jc w:val="center"/>
              <w:rPr>
                <w:lang w:val="en-US"/>
              </w:rPr>
            </w:pPr>
            <w:r w:rsidRPr="000C7D47">
              <w:rPr>
                <w:lang w:val="en-US"/>
              </w:rPr>
              <w:t>Continuous</w:t>
            </w:r>
          </w:p>
        </w:tc>
        <w:tc>
          <w:tcPr>
            <w:tcW w:w="1551" w:type="dxa"/>
            <w:tcBorders>
              <w:top w:val="nil"/>
              <w:left w:val="nil"/>
              <w:bottom w:val="single" w:sz="12" w:space="0" w:color="008000"/>
              <w:right w:val="nil"/>
            </w:tcBorders>
            <w:shd w:val="clear" w:color="auto" w:fill="FFFFFF"/>
            <w:vAlign w:val="center"/>
            <w:hideMark/>
          </w:tcPr>
          <w:p w14:paraId="43FE5449" w14:textId="77777777" w:rsidR="000C7D47" w:rsidRPr="000C7D47" w:rsidRDefault="000C7D47" w:rsidP="000C7D47">
            <w:pPr>
              <w:pStyle w:val="CETListbullets"/>
              <w:jc w:val="center"/>
              <w:rPr>
                <w:lang w:val="en-US"/>
              </w:rPr>
            </w:pPr>
            <w:r w:rsidRPr="000C7D47">
              <w:rPr>
                <w:lang w:val="en-US"/>
              </w:rPr>
              <w:t>3.0</w:t>
            </w:r>
          </w:p>
        </w:tc>
        <w:tc>
          <w:tcPr>
            <w:tcW w:w="1853" w:type="dxa"/>
            <w:tcBorders>
              <w:top w:val="nil"/>
              <w:left w:val="nil"/>
              <w:bottom w:val="single" w:sz="12" w:space="0" w:color="008000"/>
              <w:right w:val="nil"/>
            </w:tcBorders>
            <w:shd w:val="clear" w:color="auto" w:fill="FFFFFF"/>
            <w:vAlign w:val="center"/>
            <w:hideMark/>
          </w:tcPr>
          <w:p w14:paraId="0EF45867" w14:textId="77777777" w:rsidR="000C7D47" w:rsidRPr="000C7D47" w:rsidRDefault="000C7D47" w:rsidP="000C7D47">
            <w:pPr>
              <w:pStyle w:val="CETListbullets"/>
              <w:jc w:val="center"/>
              <w:rPr>
                <w:lang w:val="en-US"/>
              </w:rPr>
            </w:pPr>
            <w:r w:rsidRPr="000C7D47">
              <w:rPr>
                <w:lang w:val="en-US"/>
              </w:rPr>
              <w:t>0.10</w:t>
            </w:r>
          </w:p>
        </w:tc>
      </w:tr>
    </w:tbl>
    <w:p w14:paraId="656E583B" w14:textId="77777777" w:rsidR="005D2905" w:rsidRDefault="005D2905" w:rsidP="005D2905">
      <w:pPr>
        <w:pStyle w:val="CETheadingx"/>
        <w:numPr>
          <w:ilvl w:val="0"/>
          <w:numId w:val="0"/>
        </w:numPr>
      </w:pPr>
    </w:p>
    <w:p w14:paraId="1F96CA21" w14:textId="64E2A204" w:rsidR="00600535" w:rsidRPr="00B57B36" w:rsidRDefault="005D2905" w:rsidP="005D2905">
      <w:pPr>
        <w:pStyle w:val="CETheadingx"/>
        <w:numPr>
          <w:ilvl w:val="0"/>
          <w:numId w:val="0"/>
        </w:numPr>
      </w:pPr>
      <w:r w:rsidRPr="005D2905">
        <w:t>2.3.2. Experimental design matrix</w:t>
      </w:r>
    </w:p>
    <w:p w14:paraId="67E7D6BE" w14:textId="317E911D" w:rsidR="00600535" w:rsidRPr="000E67AA" w:rsidRDefault="008C5BA6" w:rsidP="00600535">
      <w:pPr>
        <w:pStyle w:val="CETBodytext"/>
        <w:rPr>
          <w:noProof/>
          <w:lang w:val="en-GB" w:eastAsia="it-IT"/>
        </w:rPr>
      </w:pPr>
      <w:r w:rsidRPr="008C5BA6">
        <w:rPr>
          <w:noProof/>
          <w:lang w:val="en-GB" w:eastAsia="it-IT"/>
        </w:rPr>
        <w:t xml:space="preserve">Table 2 presents the complete experimental matrix of the </w:t>
      </w:r>
      <w:proofErr w:type="gramStart"/>
      <w:r w:rsidRPr="000C7D47">
        <w:rPr>
          <w:lang w:val="en-GB"/>
        </w:rPr>
        <w:t>2</w:t>
      </w:r>
      <w:r w:rsidRPr="00CB6641">
        <w:rPr>
          <w:rFonts w:cs="Arial"/>
          <w:vertAlign w:val="superscript"/>
          <w:lang w:val="en-GB"/>
        </w:rPr>
        <w:t>3</w:t>
      </w:r>
      <w:r>
        <w:rPr>
          <w:rFonts w:cs="Arial"/>
          <w:vertAlign w:val="superscript"/>
          <w:lang w:val="en-GB"/>
        </w:rPr>
        <w:t xml:space="preserve"> </w:t>
      </w:r>
      <w:r w:rsidRPr="008C5BA6">
        <w:rPr>
          <w:noProof/>
          <w:lang w:val="en-GB" w:eastAsia="it-IT"/>
        </w:rPr>
        <w:t>factorial</w:t>
      </w:r>
      <w:proofErr w:type="gramEnd"/>
      <w:r w:rsidRPr="008C5BA6">
        <w:rPr>
          <w:noProof/>
          <w:lang w:val="en-GB" w:eastAsia="it-IT"/>
        </w:rPr>
        <w:t xml:space="preserve"> design, comprising the eight factorial combinations corresponding to the extreme coded levels (−1 and +1) of the three independent variables, as well as six replicates at the central point (0, 0, 0). The factorial portion of the design enables the unbiased estimation of main effects and two-factor interactions, while the replicated central runs provide an independent estimate of pure experimental error and allow for the detection of curvature in the response surface. </w:t>
      </w:r>
    </w:p>
    <w:p w14:paraId="5B091714" w14:textId="77777777" w:rsidR="005D2905" w:rsidRDefault="005D2905" w:rsidP="005D2905">
      <w:pPr>
        <w:pStyle w:val="CETnumberingbullets"/>
        <w:numPr>
          <w:ilvl w:val="0"/>
          <w:numId w:val="0"/>
        </w:numPr>
      </w:pPr>
    </w:p>
    <w:p w14:paraId="58756C6F" w14:textId="78971367" w:rsidR="00B57B36" w:rsidRDefault="005D2905" w:rsidP="005D2905">
      <w:pPr>
        <w:pStyle w:val="CETnumberingbullets"/>
        <w:numPr>
          <w:ilvl w:val="0"/>
          <w:numId w:val="0"/>
        </w:numPr>
        <w:rPr>
          <w:i/>
          <w:iCs/>
        </w:rPr>
      </w:pPr>
      <w:r w:rsidRPr="005D2905">
        <w:rPr>
          <w:i/>
          <w:iCs/>
        </w:rPr>
        <w:t xml:space="preserve">Table 2: Experimental matrix of the </w:t>
      </w:r>
      <w:proofErr w:type="gramStart"/>
      <w:r w:rsidRPr="005D2905">
        <w:rPr>
          <w:i/>
          <w:iCs/>
        </w:rPr>
        <w:t>2</w:t>
      </w:r>
      <w:r w:rsidRPr="005D2905">
        <w:rPr>
          <w:i/>
          <w:iCs/>
          <w:vertAlign w:val="superscript"/>
        </w:rPr>
        <w:t>3</w:t>
      </w:r>
      <w:r w:rsidRPr="005D2905">
        <w:rPr>
          <w:i/>
          <w:iCs/>
        </w:rPr>
        <w:t xml:space="preserve"> factorial</w:t>
      </w:r>
      <w:proofErr w:type="gramEnd"/>
      <w:r w:rsidRPr="005D2905">
        <w:rPr>
          <w:i/>
          <w:iCs/>
        </w:rPr>
        <w:t xml:space="preserve"> design with central points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398"/>
        <w:gridCol w:w="1398"/>
        <w:gridCol w:w="1398"/>
        <w:gridCol w:w="1671"/>
      </w:tblGrid>
      <w:tr w:rsidR="005D2905" w:rsidRPr="005D2905" w14:paraId="71F13971" w14:textId="77777777" w:rsidTr="00DF4DE8">
        <w:trPr>
          <w:trHeight w:val="361"/>
        </w:trPr>
        <w:tc>
          <w:tcPr>
            <w:tcW w:w="1398" w:type="dxa"/>
            <w:tcBorders>
              <w:top w:val="single" w:sz="12" w:space="0" w:color="008000"/>
              <w:left w:val="nil"/>
              <w:bottom w:val="single" w:sz="6" w:space="0" w:color="008000"/>
              <w:right w:val="nil"/>
            </w:tcBorders>
            <w:shd w:val="clear" w:color="auto" w:fill="FFFFFF"/>
            <w:vAlign w:val="center"/>
            <w:hideMark/>
          </w:tcPr>
          <w:p w14:paraId="3F8250C2" w14:textId="446DD0C2" w:rsidR="005D2905" w:rsidRPr="005D2905" w:rsidRDefault="005D2905" w:rsidP="005D2905">
            <w:pPr>
              <w:pStyle w:val="CETnumberingbullets"/>
              <w:numPr>
                <w:ilvl w:val="0"/>
                <w:numId w:val="0"/>
              </w:numPr>
              <w:ind w:left="340" w:hanging="227"/>
              <w:jc w:val="center"/>
              <w:rPr>
                <w:rFonts w:cs="Arial"/>
                <w:szCs w:val="18"/>
              </w:rPr>
            </w:pPr>
            <w:bookmarkStart w:id="2" w:name="_Hlk221109167"/>
            <w:r w:rsidRPr="005D2905">
              <w:rPr>
                <w:rFonts w:cs="Arial"/>
                <w:szCs w:val="18"/>
                <w:lang w:val="en-US"/>
              </w:rPr>
              <w:t>Run</w:t>
            </w:r>
          </w:p>
        </w:tc>
        <w:tc>
          <w:tcPr>
            <w:tcW w:w="1398" w:type="dxa"/>
            <w:tcBorders>
              <w:top w:val="single" w:sz="12" w:space="0" w:color="008000"/>
              <w:left w:val="nil"/>
              <w:bottom w:val="single" w:sz="6" w:space="0" w:color="008000"/>
              <w:right w:val="nil"/>
            </w:tcBorders>
            <w:shd w:val="clear" w:color="auto" w:fill="FFFFFF"/>
            <w:vAlign w:val="center"/>
            <w:hideMark/>
          </w:tcPr>
          <w:p w14:paraId="0560E984" w14:textId="72CA6AEE" w:rsidR="005D2905" w:rsidRPr="005D2905" w:rsidRDefault="005D2905" w:rsidP="005D2905">
            <w:pPr>
              <w:pStyle w:val="CETnumberingbullets"/>
              <w:numPr>
                <w:ilvl w:val="0"/>
                <w:numId w:val="0"/>
              </w:numPr>
              <w:ind w:left="113"/>
              <w:jc w:val="center"/>
              <w:rPr>
                <w:rFonts w:cs="Arial"/>
                <w:szCs w:val="18"/>
              </w:rPr>
            </w:pPr>
            <w:r w:rsidRPr="000C7D47">
              <w:rPr>
                <w:lang w:val="en-US"/>
              </w:rPr>
              <w:t>Ultrasound</w:t>
            </w:r>
          </w:p>
        </w:tc>
        <w:tc>
          <w:tcPr>
            <w:tcW w:w="1398" w:type="dxa"/>
            <w:tcBorders>
              <w:top w:val="single" w:sz="12" w:space="0" w:color="008000"/>
              <w:left w:val="nil"/>
              <w:bottom w:val="single" w:sz="6" w:space="0" w:color="008000"/>
              <w:right w:val="nil"/>
            </w:tcBorders>
            <w:shd w:val="clear" w:color="auto" w:fill="FFFFFF"/>
            <w:vAlign w:val="center"/>
            <w:hideMark/>
          </w:tcPr>
          <w:p w14:paraId="71EB0FF1" w14:textId="5BCC4CAD" w:rsidR="005D2905" w:rsidRPr="005D2905" w:rsidRDefault="005D2905" w:rsidP="005D2905">
            <w:pPr>
              <w:pStyle w:val="CETnumberingbullets"/>
              <w:numPr>
                <w:ilvl w:val="0"/>
                <w:numId w:val="0"/>
              </w:numPr>
              <w:ind w:left="113"/>
              <w:jc w:val="center"/>
              <w:rPr>
                <w:rFonts w:cs="Arial"/>
                <w:szCs w:val="18"/>
              </w:rPr>
            </w:pPr>
            <w:r w:rsidRPr="000C7D47">
              <w:rPr>
                <w:lang w:val="en-US"/>
              </w:rPr>
              <w:t>Voltage (V)</w:t>
            </w:r>
          </w:p>
        </w:tc>
        <w:tc>
          <w:tcPr>
            <w:tcW w:w="1671" w:type="dxa"/>
            <w:tcBorders>
              <w:top w:val="single" w:sz="12" w:space="0" w:color="008000"/>
              <w:left w:val="nil"/>
              <w:bottom w:val="single" w:sz="6" w:space="0" w:color="008000"/>
              <w:right w:val="nil"/>
            </w:tcBorders>
            <w:shd w:val="clear" w:color="auto" w:fill="FFFFFF"/>
            <w:vAlign w:val="center"/>
            <w:hideMark/>
          </w:tcPr>
          <w:p w14:paraId="61CF8A15" w14:textId="57D3CCB3" w:rsidR="005D2905" w:rsidRPr="005D2905" w:rsidRDefault="005D2905" w:rsidP="005D2905">
            <w:pPr>
              <w:pStyle w:val="CETnumberingbullets"/>
              <w:numPr>
                <w:ilvl w:val="0"/>
                <w:numId w:val="0"/>
              </w:numPr>
              <w:ind w:left="113"/>
              <w:jc w:val="center"/>
              <w:rPr>
                <w:rFonts w:cs="Arial"/>
                <w:szCs w:val="18"/>
              </w:rPr>
            </w:pPr>
            <w:r w:rsidRPr="000C7D47">
              <w:rPr>
                <w:lang w:val="en-US"/>
              </w:rPr>
              <w:t>Biosurfactant (%)</w:t>
            </w:r>
          </w:p>
        </w:tc>
      </w:tr>
      <w:tr w:rsidR="005D2905" w:rsidRPr="005D2905" w14:paraId="2C2E134F" w14:textId="77777777" w:rsidTr="00DF4DE8">
        <w:trPr>
          <w:trHeight w:val="215"/>
        </w:trPr>
        <w:tc>
          <w:tcPr>
            <w:tcW w:w="1398" w:type="dxa"/>
            <w:tcBorders>
              <w:top w:val="nil"/>
              <w:left w:val="nil"/>
              <w:bottom w:val="nil"/>
              <w:right w:val="nil"/>
            </w:tcBorders>
            <w:shd w:val="clear" w:color="auto" w:fill="FFFFFF"/>
            <w:vAlign w:val="center"/>
            <w:hideMark/>
          </w:tcPr>
          <w:p w14:paraId="4E35A0E1" w14:textId="77777777" w:rsidR="005D2905" w:rsidRPr="005D2905" w:rsidRDefault="005D2905" w:rsidP="005D2905">
            <w:pPr>
              <w:pStyle w:val="CETnumberingbullets"/>
              <w:numPr>
                <w:ilvl w:val="0"/>
                <w:numId w:val="0"/>
              </w:numPr>
              <w:ind w:left="340" w:hanging="227"/>
              <w:jc w:val="center"/>
              <w:rPr>
                <w:rFonts w:cs="Arial"/>
                <w:szCs w:val="18"/>
              </w:rPr>
            </w:pPr>
            <w:r w:rsidRPr="005D2905">
              <w:rPr>
                <w:rFonts w:cs="Arial"/>
                <w:szCs w:val="18"/>
                <w:lang w:val="en-US"/>
              </w:rPr>
              <w:t>1</w:t>
            </w:r>
          </w:p>
        </w:tc>
        <w:tc>
          <w:tcPr>
            <w:tcW w:w="1398" w:type="dxa"/>
            <w:tcBorders>
              <w:top w:val="nil"/>
              <w:left w:val="nil"/>
              <w:bottom w:val="nil"/>
              <w:right w:val="nil"/>
            </w:tcBorders>
            <w:shd w:val="clear" w:color="auto" w:fill="FFFFFF"/>
            <w:vAlign w:val="center"/>
            <w:hideMark/>
          </w:tcPr>
          <w:p w14:paraId="7A69C940" w14:textId="540F3E67" w:rsidR="005D2905" w:rsidRPr="005D2905" w:rsidRDefault="005D2905" w:rsidP="005D2905">
            <w:pPr>
              <w:pStyle w:val="CETnumberingbullets"/>
              <w:numPr>
                <w:ilvl w:val="0"/>
                <w:numId w:val="0"/>
              </w:numPr>
              <w:ind w:left="113"/>
              <w:jc w:val="center"/>
              <w:rPr>
                <w:rFonts w:cs="Arial"/>
                <w:szCs w:val="18"/>
              </w:rPr>
            </w:pPr>
            <w:r w:rsidRPr="005D2905">
              <w:rPr>
                <w:rFonts w:cs="Arial"/>
                <w:szCs w:val="18"/>
                <w:lang w:val="en-US"/>
              </w:rPr>
              <w:t>−1 (</w:t>
            </w:r>
            <w:r w:rsidRPr="000C7D47">
              <w:rPr>
                <w:lang w:val="en-US"/>
              </w:rPr>
              <w:t>OFF</w:t>
            </w:r>
            <w:r w:rsidRPr="005D2905">
              <w:rPr>
                <w:rFonts w:cs="Arial"/>
                <w:szCs w:val="18"/>
                <w:lang w:val="en-US"/>
              </w:rPr>
              <w:t>)</w:t>
            </w:r>
          </w:p>
        </w:tc>
        <w:tc>
          <w:tcPr>
            <w:tcW w:w="1398" w:type="dxa"/>
            <w:tcBorders>
              <w:top w:val="nil"/>
              <w:left w:val="nil"/>
              <w:bottom w:val="nil"/>
              <w:right w:val="nil"/>
            </w:tcBorders>
            <w:shd w:val="clear" w:color="auto" w:fill="FFFFFF"/>
            <w:vAlign w:val="center"/>
            <w:hideMark/>
          </w:tcPr>
          <w:p w14:paraId="475AA392" w14:textId="77777777" w:rsidR="005D2905" w:rsidRPr="005D2905" w:rsidRDefault="005D2905" w:rsidP="005D2905">
            <w:pPr>
              <w:pStyle w:val="CETnumberingbullets"/>
              <w:numPr>
                <w:ilvl w:val="0"/>
                <w:numId w:val="0"/>
              </w:numPr>
              <w:ind w:left="113"/>
              <w:jc w:val="center"/>
              <w:rPr>
                <w:rFonts w:cs="Arial"/>
                <w:szCs w:val="18"/>
              </w:rPr>
            </w:pPr>
            <w:r w:rsidRPr="005D2905">
              <w:rPr>
                <w:rFonts w:cs="Arial"/>
                <w:szCs w:val="18"/>
                <w:lang w:val="en-US"/>
              </w:rPr>
              <w:t>−1 (2.0 V)</w:t>
            </w:r>
          </w:p>
        </w:tc>
        <w:tc>
          <w:tcPr>
            <w:tcW w:w="1671" w:type="dxa"/>
            <w:tcBorders>
              <w:top w:val="nil"/>
              <w:left w:val="nil"/>
              <w:bottom w:val="nil"/>
              <w:right w:val="nil"/>
            </w:tcBorders>
            <w:shd w:val="clear" w:color="auto" w:fill="FFFFFF"/>
            <w:vAlign w:val="center"/>
            <w:hideMark/>
          </w:tcPr>
          <w:p w14:paraId="7B41F3AC" w14:textId="77777777" w:rsidR="005D2905" w:rsidRPr="005D2905" w:rsidRDefault="005D2905" w:rsidP="005D2905">
            <w:pPr>
              <w:pStyle w:val="CETnumberingbullets"/>
              <w:numPr>
                <w:ilvl w:val="0"/>
                <w:numId w:val="0"/>
              </w:numPr>
              <w:ind w:left="113"/>
              <w:jc w:val="center"/>
              <w:rPr>
                <w:rFonts w:cs="Arial"/>
                <w:szCs w:val="18"/>
              </w:rPr>
            </w:pPr>
            <w:r w:rsidRPr="005D2905">
              <w:rPr>
                <w:rFonts w:cs="Arial"/>
                <w:szCs w:val="18"/>
                <w:lang w:val="en-US"/>
              </w:rPr>
              <w:t>−1 (0.02 %)</w:t>
            </w:r>
          </w:p>
        </w:tc>
      </w:tr>
      <w:tr w:rsidR="005D2905" w:rsidRPr="005D2905" w14:paraId="3372DD51" w14:textId="77777777" w:rsidTr="00DF4DE8">
        <w:trPr>
          <w:trHeight w:val="227"/>
        </w:trPr>
        <w:tc>
          <w:tcPr>
            <w:tcW w:w="1398" w:type="dxa"/>
            <w:tcBorders>
              <w:top w:val="nil"/>
              <w:left w:val="nil"/>
              <w:bottom w:val="nil"/>
              <w:right w:val="nil"/>
            </w:tcBorders>
            <w:shd w:val="clear" w:color="auto" w:fill="FFFFFF"/>
            <w:vAlign w:val="center"/>
            <w:hideMark/>
          </w:tcPr>
          <w:p w14:paraId="7EA7810E" w14:textId="77777777" w:rsidR="005D2905" w:rsidRPr="005D2905" w:rsidRDefault="005D2905" w:rsidP="005D2905">
            <w:pPr>
              <w:pStyle w:val="CETnumberingbullets"/>
              <w:numPr>
                <w:ilvl w:val="0"/>
                <w:numId w:val="0"/>
              </w:numPr>
              <w:ind w:left="340" w:hanging="227"/>
              <w:jc w:val="center"/>
              <w:rPr>
                <w:rFonts w:cs="Arial"/>
                <w:szCs w:val="18"/>
              </w:rPr>
            </w:pPr>
            <w:r w:rsidRPr="005D2905">
              <w:rPr>
                <w:rFonts w:cs="Arial"/>
                <w:szCs w:val="18"/>
                <w:lang w:val="en-US"/>
              </w:rPr>
              <w:t>2</w:t>
            </w:r>
          </w:p>
        </w:tc>
        <w:tc>
          <w:tcPr>
            <w:tcW w:w="1398" w:type="dxa"/>
            <w:tcBorders>
              <w:top w:val="nil"/>
              <w:left w:val="nil"/>
              <w:bottom w:val="nil"/>
              <w:right w:val="nil"/>
            </w:tcBorders>
            <w:shd w:val="clear" w:color="auto" w:fill="FFFFFF"/>
            <w:vAlign w:val="center"/>
            <w:hideMark/>
          </w:tcPr>
          <w:p w14:paraId="7B0F0199" w14:textId="20B4EFE5" w:rsidR="005D2905" w:rsidRPr="005D2905" w:rsidRDefault="005D2905" w:rsidP="005D2905">
            <w:pPr>
              <w:pStyle w:val="CETnumberingbullets"/>
              <w:numPr>
                <w:ilvl w:val="0"/>
                <w:numId w:val="0"/>
              </w:numPr>
              <w:ind w:left="113"/>
              <w:jc w:val="center"/>
              <w:rPr>
                <w:rFonts w:cs="Arial"/>
                <w:szCs w:val="18"/>
              </w:rPr>
            </w:pPr>
            <w:r w:rsidRPr="005D2905">
              <w:rPr>
                <w:rFonts w:cs="Arial"/>
                <w:szCs w:val="18"/>
                <w:lang w:val="en-US"/>
              </w:rPr>
              <w:t>+1 (</w:t>
            </w:r>
            <w:r w:rsidRPr="000C7D47">
              <w:rPr>
                <w:lang w:val="en-US"/>
              </w:rPr>
              <w:t>Continuous</w:t>
            </w:r>
            <w:r w:rsidRPr="005D2905">
              <w:rPr>
                <w:rFonts w:cs="Arial"/>
                <w:szCs w:val="18"/>
                <w:lang w:val="en-US"/>
              </w:rPr>
              <w:t>)</w:t>
            </w:r>
          </w:p>
        </w:tc>
        <w:tc>
          <w:tcPr>
            <w:tcW w:w="1398" w:type="dxa"/>
            <w:tcBorders>
              <w:top w:val="nil"/>
              <w:left w:val="nil"/>
              <w:bottom w:val="nil"/>
              <w:right w:val="nil"/>
            </w:tcBorders>
            <w:shd w:val="clear" w:color="auto" w:fill="FFFFFF"/>
            <w:vAlign w:val="center"/>
            <w:hideMark/>
          </w:tcPr>
          <w:p w14:paraId="09BD532E" w14:textId="77777777" w:rsidR="005D2905" w:rsidRPr="005D2905" w:rsidRDefault="005D2905" w:rsidP="005D2905">
            <w:pPr>
              <w:pStyle w:val="CETnumberingbullets"/>
              <w:numPr>
                <w:ilvl w:val="0"/>
                <w:numId w:val="0"/>
              </w:numPr>
              <w:ind w:left="113"/>
              <w:jc w:val="center"/>
              <w:rPr>
                <w:rFonts w:cs="Arial"/>
                <w:szCs w:val="18"/>
              </w:rPr>
            </w:pPr>
            <w:r w:rsidRPr="005D2905">
              <w:rPr>
                <w:rFonts w:cs="Arial"/>
                <w:szCs w:val="18"/>
                <w:lang w:val="en-US"/>
              </w:rPr>
              <w:t>−1 (2.0 V)</w:t>
            </w:r>
          </w:p>
        </w:tc>
        <w:tc>
          <w:tcPr>
            <w:tcW w:w="1671" w:type="dxa"/>
            <w:tcBorders>
              <w:top w:val="nil"/>
              <w:left w:val="nil"/>
              <w:bottom w:val="nil"/>
              <w:right w:val="nil"/>
            </w:tcBorders>
            <w:shd w:val="clear" w:color="auto" w:fill="FFFFFF"/>
            <w:vAlign w:val="center"/>
            <w:hideMark/>
          </w:tcPr>
          <w:p w14:paraId="3F2CC448" w14:textId="77777777" w:rsidR="005D2905" w:rsidRPr="005D2905" w:rsidRDefault="005D2905" w:rsidP="005D2905">
            <w:pPr>
              <w:pStyle w:val="CETnumberingbullets"/>
              <w:numPr>
                <w:ilvl w:val="0"/>
                <w:numId w:val="0"/>
              </w:numPr>
              <w:ind w:left="113"/>
              <w:jc w:val="center"/>
              <w:rPr>
                <w:rFonts w:cs="Arial"/>
                <w:szCs w:val="18"/>
              </w:rPr>
            </w:pPr>
            <w:r w:rsidRPr="005D2905">
              <w:rPr>
                <w:rFonts w:cs="Arial"/>
                <w:szCs w:val="18"/>
                <w:lang w:val="en-US"/>
              </w:rPr>
              <w:t>−1 (0.02 %)</w:t>
            </w:r>
          </w:p>
        </w:tc>
      </w:tr>
      <w:tr w:rsidR="005D2905" w:rsidRPr="005D2905" w14:paraId="77FBBE95" w14:textId="77777777" w:rsidTr="00DF4DE8">
        <w:trPr>
          <w:trHeight w:val="227"/>
        </w:trPr>
        <w:tc>
          <w:tcPr>
            <w:tcW w:w="1398" w:type="dxa"/>
            <w:tcBorders>
              <w:top w:val="nil"/>
              <w:left w:val="nil"/>
              <w:bottom w:val="nil"/>
              <w:right w:val="nil"/>
            </w:tcBorders>
            <w:shd w:val="clear" w:color="auto" w:fill="FFFFFF"/>
            <w:vAlign w:val="center"/>
            <w:hideMark/>
          </w:tcPr>
          <w:p w14:paraId="58A13A20" w14:textId="77777777" w:rsidR="005D2905" w:rsidRPr="005D2905" w:rsidRDefault="005D2905" w:rsidP="005D2905">
            <w:pPr>
              <w:pStyle w:val="CETnumberingbullets"/>
              <w:numPr>
                <w:ilvl w:val="0"/>
                <w:numId w:val="0"/>
              </w:numPr>
              <w:ind w:left="340" w:hanging="227"/>
              <w:jc w:val="center"/>
              <w:rPr>
                <w:rFonts w:cs="Arial"/>
                <w:szCs w:val="18"/>
                <w:lang w:val="en-US"/>
              </w:rPr>
            </w:pPr>
            <w:r w:rsidRPr="005D2905">
              <w:rPr>
                <w:rFonts w:cs="Arial"/>
                <w:szCs w:val="18"/>
                <w:lang w:val="en-US"/>
              </w:rPr>
              <w:t>3</w:t>
            </w:r>
          </w:p>
        </w:tc>
        <w:tc>
          <w:tcPr>
            <w:tcW w:w="1398" w:type="dxa"/>
            <w:tcBorders>
              <w:top w:val="nil"/>
              <w:left w:val="nil"/>
              <w:bottom w:val="nil"/>
              <w:right w:val="nil"/>
            </w:tcBorders>
            <w:shd w:val="clear" w:color="auto" w:fill="FFFFFF"/>
            <w:vAlign w:val="center"/>
            <w:hideMark/>
          </w:tcPr>
          <w:p w14:paraId="3C3FC554" w14:textId="08714017"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−1 (</w:t>
            </w:r>
            <w:r w:rsidRPr="000C7D47">
              <w:rPr>
                <w:lang w:val="en-US"/>
              </w:rPr>
              <w:t>OFF</w:t>
            </w:r>
            <w:r w:rsidRPr="005D2905">
              <w:rPr>
                <w:rFonts w:cs="Arial"/>
                <w:szCs w:val="18"/>
                <w:lang w:val="en-US"/>
              </w:rPr>
              <w:t>)</w:t>
            </w:r>
          </w:p>
        </w:tc>
        <w:tc>
          <w:tcPr>
            <w:tcW w:w="1398" w:type="dxa"/>
            <w:tcBorders>
              <w:top w:val="nil"/>
              <w:left w:val="nil"/>
              <w:bottom w:val="nil"/>
              <w:right w:val="nil"/>
            </w:tcBorders>
            <w:shd w:val="clear" w:color="auto" w:fill="FFFFFF"/>
            <w:vAlign w:val="center"/>
            <w:hideMark/>
          </w:tcPr>
          <w:p w14:paraId="7581E9F9" w14:textId="77777777"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+1 (3.0 V)</w:t>
            </w:r>
          </w:p>
        </w:tc>
        <w:tc>
          <w:tcPr>
            <w:tcW w:w="1671" w:type="dxa"/>
            <w:tcBorders>
              <w:top w:val="nil"/>
              <w:left w:val="nil"/>
              <w:bottom w:val="nil"/>
              <w:right w:val="nil"/>
            </w:tcBorders>
            <w:shd w:val="clear" w:color="auto" w:fill="FFFFFF"/>
            <w:vAlign w:val="center"/>
            <w:hideMark/>
          </w:tcPr>
          <w:p w14:paraId="13F9FA15" w14:textId="77777777"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−1 (0.02 %)</w:t>
            </w:r>
          </w:p>
        </w:tc>
      </w:tr>
      <w:tr w:rsidR="005D2905" w:rsidRPr="005D2905" w14:paraId="78CFC527" w14:textId="77777777" w:rsidTr="00DF4DE8">
        <w:trPr>
          <w:trHeight w:val="227"/>
        </w:trPr>
        <w:tc>
          <w:tcPr>
            <w:tcW w:w="1398" w:type="dxa"/>
            <w:tcBorders>
              <w:top w:val="nil"/>
              <w:left w:val="nil"/>
              <w:bottom w:val="nil"/>
              <w:right w:val="nil"/>
            </w:tcBorders>
            <w:shd w:val="clear" w:color="auto" w:fill="FFFFFF"/>
            <w:vAlign w:val="center"/>
            <w:hideMark/>
          </w:tcPr>
          <w:p w14:paraId="0FCB5ADC" w14:textId="77777777" w:rsidR="005D2905" w:rsidRPr="005D2905" w:rsidRDefault="005D2905" w:rsidP="005D2905">
            <w:pPr>
              <w:pStyle w:val="CETnumberingbullets"/>
              <w:numPr>
                <w:ilvl w:val="0"/>
                <w:numId w:val="0"/>
              </w:numPr>
              <w:ind w:left="340" w:hanging="227"/>
              <w:jc w:val="center"/>
              <w:rPr>
                <w:rFonts w:cs="Arial"/>
                <w:szCs w:val="18"/>
                <w:lang w:val="en-US"/>
              </w:rPr>
            </w:pPr>
            <w:r w:rsidRPr="005D2905">
              <w:rPr>
                <w:rFonts w:cs="Arial"/>
                <w:szCs w:val="18"/>
                <w:lang w:val="en-US"/>
              </w:rPr>
              <w:t>4</w:t>
            </w:r>
          </w:p>
        </w:tc>
        <w:tc>
          <w:tcPr>
            <w:tcW w:w="1398" w:type="dxa"/>
            <w:tcBorders>
              <w:top w:val="nil"/>
              <w:left w:val="nil"/>
              <w:bottom w:val="nil"/>
              <w:right w:val="nil"/>
            </w:tcBorders>
            <w:shd w:val="clear" w:color="auto" w:fill="FFFFFF"/>
            <w:vAlign w:val="center"/>
            <w:hideMark/>
          </w:tcPr>
          <w:p w14:paraId="07695FCD" w14:textId="1C84D834"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+1 (</w:t>
            </w:r>
            <w:r w:rsidRPr="000C7D47">
              <w:rPr>
                <w:lang w:val="en-US"/>
              </w:rPr>
              <w:t>Continuous</w:t>
            </w:r>
            <w:r w:rsidRPr="005D2905">
              <w:rPr>
                <w:rFonts w:cs="Arial"/>
                <w:szCs w:val="18"/>
                <w:lang w:val="en-US"/>
              </w:rPr>
              <w:t>)</w:t>
            </w:r>
          </w:p>
        </w:tc>
        <w:tc>
          <w:tcPr>
            <w:tcW w:w="1398" w:type="dxa"/>
            <w:tcBorders>
              <w:top w:val="nil"/>
              <w:left w:val="nil"/>
              <w:bottom w:val="nil"/>
              <w:right w:val="nil"/>
            </w:tcBorders>
            <w:shd w:val="clear" w:color="auto" w:fill="FFFFFF"/>
            <w:vAlign w:val="center"/>
            <w:hideMark/>
          </w:tcPr>
          <w:p w14:paraId="708CDF96" w14:textId="77777777"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+1 (3.0 V)</w:t>
            </w:r>
          </w:p>
        </w:tc>
        <w:tc>
          <w:tcPr>
            <w:tcW w:w="1671" w:type="dxa"/>
            <w:tcBorders>
              <w:top w:val="nil"/>
              <w:left w:val="nil"/>
              <w:bottom w:val="nil"/>
              <w:right w:val="nil"/>
            </w:tcBorders>
            <w:shd w:val="clear" w:color="auto" w:fill="FFFFFF"/>
            <w:vAlign w:val="center"/>
            <w:hideMark/>
          </w:tcPr>
          <w:p w14:paraId="676A6C75" w14:textId="77777777"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−1 (0.02 %)</w:t>
            </w:r>
          </w:p>
        </w:tc>
      </w:tr>
      <w:tr w:rsidR="005D2905" w:rsidRPr="005D2905" w14:paraId="249B4DC1" w14:textId="77777777" w:rsidTr="00DF4DE8">
        <w:trPr>
          <w:trHeight w:val="227"/>
        </w:trPr>
        <w:tc>
          <w:tcPr>
            <w:tcW w:w="1398" w:type="dxa"/>
            <w:tcBorders>
              <w:top w:val="nil"/>
              <w:left w:val="nil"/>
              <w:bottom w:val="nil"/>
              <w:right w:val="nil"/>
            </w:tcBorders>
            <w:shd w:val="clear" w:color="auto" w:fill="FFFFFF"/>
            <w:vAlign w:val="center"/>
            <w:hideMark/>
          </w:tcPr>
          <w:p w14:paraId="55CB64A6" w14:textId="77777777" w:rsidR="005D2905" w:rsidRPr="005D2905" w:rsidRDefault="005D2905" w:rsidP="005D2905">
            <w:pPr>
              <w:pStyle w:val="CETnumberingbullets"/>
              <w:numPr>
                <w:ilvl w:val="0"/>
                <w:numId w:val="0"/>
              </w:numPr>
              <w:ind w:left="340" w:hanging="227"/>
              <w:jc w:val="center"/>
              <w:rPr>
                <w:rFonts w:cs="Arial"/>
                <w:szCs w:val="18"/>
                <w:lang w:val="en-US"/>
              </w:rPr>
            </w:pPr>
            <w:r w:rsidRPr="005D2905">
              <w:rPr>
                <w:rFonts w:cs="Arial"/>
                <w:szCs w:val="18"/>
                <w:lang w:val="en-US"/>
              </w:rPr>
              <w:t>5</w:t>
            </w:r>
          </w:p>
        </w:tc>
        <w:tc>
          <w:tcPr>
            <w:tcW w:w="1398" w:type="dxa"/>
            <w:tcBorders>
              <w:top w:val="nil"/>
              <w:left w:val="nil"/>
              <w:bottom w:val="nil"/>
              <w:right w:val="nil"/>
            </w:tcBorders>
            <w:shd w:val="clear" w:color="auto" w:fill="FFFFFF"/>
            <w:vAlign w:val="center"/>
            <w:hideMark/>
          </w:tcPr>
          <w:p w14:paraId="76E11B54" w14:textId="5A16FFFF"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−1 (</w:t>
            </w:r>
            <w:r w:rsidRPr="000C7D47">
              <w:rPr>
                <w:lang w:val="en-US"/>
              </w:rPr>
              <w:t>OFF</w:t>
            </w:r>
            <w:r w:rsidRPr="005D2905">
              <w:rPr>
                <w:rFonts w:cs="Arial"/>
                <w:szCs w:val="18"/>
                <w:lang w:val="en-US"/>
              </w:rPr>
              <w:t>)</w:t>
            </w:r>
          </w:p>
        </w:tc>
        <w:tc>
          <w:tcPr>
            <w:tcW w:w="1398" w:type="dxa"/>
            <w:tcBorders>
              <w:top w:val="nil"/>
              <w:left w:val="nil"/>
              <w:bottom w:val="nil"/>
              <w:right w:val="nil"/>
            </w:tcBorders>
            <w:shd w:val="clear" w:color="auto" w:fill="FFFFFF"/>
            <w:vAlign w:val="center"/>
            <w:hideMark/>
          </w:tcPr>
          <w:p w14:paraId="34E25C5A" w14:textId="77777777"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−1 (2.0 V)</w:t>
            </w:r>
          </w:p>
        </w:tc>
        <w:tc>
          <w:tcPr>
            <w:tcW w:w="1671" w:type="dxa"/>
            <w:tcBorders>
              <w:top w:val="nil"/>
              <w:left w:val="nil"/>
              <w:bottom w:val="nil"/>
              <w:right w:val="nil"/>
            </w:tcBorders>
            <w:shd w:val="clear" w:color="auto" w:fill="FFFFFF"/>
            <w:vAlign w:val="center"/>
            <w:hideMark/>
          </w:tcPr>
          <w:p w14:paraId="6AFDC5D4" w14:textId="77777777"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+1 (0.10 %)</w:t>
            </w:r>
          </w:p>
        </w:tc>
      </w:tr>
      <w:tr w:rsidR="005D2905" w:rsidRPr="005D2905" w14:paraId="1B36EC71" w14:textId="77777777" w:rsidTr="00DF4DE8">
        <w:trPr>
          <w:trHeight w:val="227"/>
        </w:trPr>
        <w:tc>
          <w:tcPr>
            <w:tcW w:w="1398" w:type="dxa"/>
            <w:tcBorders>
              <w:top w:val="nil"/>
              <w:left w:val="nil"/>
              <w:bottom w:val="nil"/>
              <w:right w:val="nil"/>
            </w:tcBorders>
            <w:shd w:val="clear" w:color="auto" w:fill="FFFFFF"/>
            <w:vAlign w:val="center"/>
            <w:hideMark/>
          </w:tcPr>
          <w:p w14:paraId="7502A2C7" w14:textId="77777777" w:rsidR="005D2905" w:rsidRPr="005D2905" w:rsidRDefault="005D2905" w:rsidP="005D2905">
            <w:pPr>
              <w:pStyle w:val="CETnumberingbullets"/>
              <w:numPr>
                <w:ilvl w:val="0"/>
                <w:numId w:val="0"/>
              </w:numPr>
              <w:ind w:left="340" w:hanging="227"/>
              <w:jc w:val="center"/>
              <w:rPr>
                <w:rFonts w:cs="Arial"/>
                <w:szCs w:val="18"/>
                <w:lang w:val="en-US"/>
              </w:rPr>
            </w:pPr>
            <w:r w:rsidRPr="005D2905">
              <w:rPr>
                <w:rFonts w:cs="Arial"/>
                <w:szCs w:val="18"/>
                <w:lang w:val="en-US"/>
              </w:rPr>
              <w:t>6</w:t>
            </w:r>
          </w:p>
        </w:tc>
        <w:tc>
          <w:tcPr>
            <w:tcW w:w="1398" w:type="dxa"/>
            <w:tcBorders>
              <w:top w:val="nil"/>
              <w:left w:val="nil"/>
              <w:bottom w:val="nil"/>
              <w:right w:val="nil"/>
            </w:tcBorders>
            <w:shd w:val="clear" w:color="auto" w:fill="FFFFFF"/>
            <w:vAlign w:val="center"/>
            <w:hideMark/>
          </w:tcPr>
          <w:p w14:paraId="012B98F1" w14:textId="7578417A"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+1 (</w:t>
            </w:r>
            <w:r w:rsidRPr="000C7D47">
              <w:rPr>
                <w:lang w:val="en-US"/>
              </w:rPr>
              <w:t>Continuous</w:t>
            </w:r>
            <w:r w:rsidRPr="005D2905">
              <w:rPr>
                <w:rFonts w:cs="Arial"/>
                <w:szCs w:val="18"/>
                <w:lang w:val="en-US"/>
              </w:rPr>
              <w:t>)</w:t>
            </w:r>
          </w:p>
        </w:tc>
        <w:tc>
          <w:tcPr>
            <w:tcW w:w="1398" w:type="dxa"/>
            <w:tcBorders>
              <w:top w:val="nil"/>
              <w:left w:val="nil"/>
              <w:bottom w:val="nil"/>
              <w:right w:val="nil"/>
            </w:tcBorders>
            <w:shd w:val="clear" w:color="auto" w:fill="FFFFFF"/>
            <w:vAlign w:val="center"/>
            <w:hideMark/>
          </w:tcPr>
          <w:p w14:paraId="009717B7" w14:textId="77777777"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−1 (2.0 V)</w:t>
            </w:r>
          </w:p>
        </w:tc>
        <w:tc>
          <w:tcPr>
            <w:tcW w:w="1671" w:type="dxa"/>
            <w:tcBorders>
              <w:top w:val="nil"/>
              <w:left w:val="nil"/>
              <w:bottom w:val="nil"/>
              <w:right w:val="nil"/>
            </w:tcBorders>
            <w:shd w:val="clear" w:color="auto" w:fill="FFFFFF"/>
            <w:vAlign w:val="center"/>
            <w:hideMark/>
          </w:tcPr>
          <w:p w14:paraId="3F7589DE" w14:textId="77777777"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+1 (0.10 %)</w:t>
            </w:r>
          </w:p>
        </w:tc>
      </w:tr>
      <w:tr w:rsidR="005D2905" w:rsidRPr="005D2905" w14:paraId="165CBC74" w14:textId="77777777" w:rsidTr="00DF4DE8">
        <w:trPr>
          <w:trHeight w:val="227"/>
        </w:trPr>
        <w:tc>
          <w:tcPr>
            <w:tcW w:w="1398" w:type="dxa"/>
            <w:tcBorders>
              <w:top w:val="nil"/>
              <w:left w:val="nil"/>
              <w:bottom w:val="nil"/>
              <w:right w:val="nil"/>
            </w:tcBorders>
            <w:shd w:val="clear" w:color="auto" w:fill="FFFFFF"/>
            <w:vAlign w:val="center"/>
            <w:hideMark/>
          </w:tcPr>
          <w:p w14:paraId="25196DAA" w14:textId="77777777" w:rsidR="005D2905" w:rsidRPr="005D2905" w:rsidRDefault="005D2905" w:rsidP="005D2905">
            <w:pPr>
              <w:pStyle w:val="CETnumberingbullets"/>
              <w:numPr>
                <w:ilvl w:val="0"/>
                <w:numId w:val="0"/>
              </w:numPr>
              <w:ind w:left="340" w:hanging="227"/>
              <w:jc w:val="center"/>
              <w:rPr>
                <w:rFonts w:cs="Arial"/>
                <w:szCs w:val="18"/>
                <w:lang w:val="en-US"/>
              </w:rPr>
            </w:pPr>
            <w:r w:rsidRPr="005D2905">
              <w:rPr>
                <w:rFonts w:cs="Arial"/>
                <w:szCs w:val="18"/>
                <w:lang w:val="en-US"/>
              </w:rPr>
              <w:t>7</w:t>
            </w:r>
          </w:p>
        </w:tc>
        <w:tc>
          <w:tcPr>
            <w:tcW w:w="1398" w:type="dxa"/>
            <w:tcBorders>
              <w:top w:val="nil"/>
              <w:left w:val="nil"/>
              <w:bottom w:val="nil"/>
              <w:right w:val="nil"/>
            </w:tcBorders>
            <w:shd w:val="clear" w:color="auto" w:fill="FFFFFF"/>
            <w:vAlign w:val="center"/>
            <w:hideMark/>
          </w:tcPr>
          <w:p w14:paraId="5B90D897" w14:textId="7EAE8278"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−1 (</w:t>
            </w:r>
            <w:r w:rsidRPr="000C7D47">
              <w:rPr>
                <w:lang w:val="en-US"/>
              </w:rPr>
              <w:t>OFF</w:t>
            </w:r>
            <w:r w:rsidRPr="005D2905">
              <w:rPr>
                <w:rFonts w:cs="Arial"/>
                <w:szCs w:val="18"/>
                <w:lang w:val="en-US"/>
              </w:rPr>
              <w:t>)</w:t>
            </w:r>
          </w:p>
        </w:tc>
        <w:tc>
          <w:tcPr>
            <w:tcW w:w="1398" w:type="dxa"/>
            <w:tcBorders>
              <w:top w:val="nil"/>
              <w:left w:val="nil"/>
              <w:bottom w:val="nil"/>
              <w:right w:val="nil"/>
            </w:tcBorders>
            <w:shd w:val="clear" w:color="auto" w:fill="FFFFFF"/>
            <w:vAlign w:val="center"/>
            <w:hideMark/>
          </w:tcPr>
          <w:p w14:paraId="5ED1FDC8" w14:textId="77777777"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+1 (3.0 V)</w:t>
            </w:r>
          </w:p>
        </w:tc>
        <w:tc>
          <w:tcPr>
            <w:tcW w:w="1671" w:type="dxa"/>
            <w:tcBorders>
              <w:top w:val="nil"/>
              <w:left w:val="nil"/>
              <w:bottom w:val="nil"/>
              <w:right w:val="nil"/>
            </w:tcBorders>
            <w:shd w:val="clear" w:color="auto" w:fill="FFFFFF"/>
            <w:vAlign w:val="center"/>
            <w:hideMark/>
          </w:tcPr>
          <w:p w14:paraId="3901D532" w14:textId="77777777"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+1 (0.10 %)</w:t>
            </w:r>
          </w:p>
        </w:tc>
      </w:tr>
      <w:tr w:rsidR="005D2905" w:rsidRPr="005D2905" w14:paraId="19646685" w14:textId="77777777" w:rsidTr="00DF4DE8">
        <w:trPr>
          <w:trHeight w:val="227"/>
        </w:trPr>
        <w:tc>
          <w:tcPr>
            <w:tcW w:w="1398" w:type="dxa"/>
            <w:tcBorders>
              <w:top w:val="nil"/>
              <w:left w:val="nil"/>
              <w:bottom w:val="nil"/>
              <w:right w:val="nil"/>
            </w:tcBorders>
            <w:shd w:val="clear" w:color="auto" w:fill="FFFFFF"/>
            <w:vAlign w:val="center"/>
            <w:hideMark/>
          </w:tcPr>
          <w:p w14:paraId="7EB66715" w14:textId="77777777" w:rsidR="005D2905" w:rsidRPr="005D2905" w:rsidRDefault="005D2905" w:rsidP="005D2905">
            <w:pPr>
              <w:pStyle w:val="CETnumberingbullets"/>
              <w:numPr>
                <w:ilvl w:val="0"/>
                <w:numId w:val="0"/>
              </w:numPr>
              <w:ind w:left="340" w:hanging="227"/>
              <w:jc w:val="center"/>
              <w:rPr>
                <w:rFonts w:cs="Arial"/>
                <w:szCs w:val="18"/>
                <w:lang w:val="en-US"/>
              </w:rPr>
            </w:pPr>
            <w:r w:rsidRPr="005D2905">
              <w:rPr>
                <w:rFonts w:cs="Arial"/>
                <w:szCs w:val="18"/>
                <w:lang w:val="en-US"/>
              </w:rPr>
              <w:t>8</w:t>
            </w:r>
          </w:p>
        </w:tc>
        <w:tc>
          <w:tcPr>
            <w:tcW w:w="1398" w:type="dxa"/>
            <w:tcBorders>
              <w:top w:val="nil"/>
              <w:left w:val="nil"/>
              <w:bottom w:val="nil"/>
              <w:right w:val="nil"/>
            </w:tcBorders>
            <w:shd w:val="clear" w:color="auto" w:fill="FFFFFF"/>
            <w:vAlign w:val="center"/>
            <w:hideMark/>
          </w:tcPr>
          <w:p w14:paraId="369D92A1" w14:textId="658E9713"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+1 (</w:t>
            </w:r>
            <w:r w:rsidRPr="000C7D47">
              <w:rPr>
                <w:lang w:val="en-US"/>
              </w:rPr>
              <w:t>Continuous</w:t>
            </w:r>
            <w:r w:rsidRPr="005D2905">
              <w:rPr>
                <w:rFonts w:cs="Arial"/>
                <w:szCs w:val="18"/>
                <w:lang w:val="en-US"/>
              </w:rPr>
              <w:t>)</w:t>
            </w:r>
          </w:p>
        </w:tc>
        <w:tc>
          <w:tcPr>
            <w:tcW w:w="1398" w:type="dxa"/>
            <w:tcBorders>
              <w:top w:val="nil"/>
              <w:left w:val="nil"/>
              <w:bottom w:val="nil"/>
              <w:right w:val="nil"/>
            </w:tcBorders>
            <w:shd w:val="clear" w:color="auto" w:fill="FFFFFF"/>
            <w:vAlign w:val="center"/>
            <w:hideMark/>
          </w:tcPr>
          <w:p w14:paraId="560F0A05" w14:textId="77777777"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+1 (3.0 V)</w:t>
            </w:r>
          </w:p>
        </w:tc>
        <w:tc>
          <w:tcPr>
            <w:tcW w:w="1671" w:type="dxa"/>
            <w:tcBorders>
              <w:top w:val="nil"/>
              <w:left w:val="nil"/>
              <w:bottom w:val="nil"/>
              <w:right w:val="nil"/>
            </w:tcBorders>
            <w:shd w:val="clear" w:color="auto" w:fill="FFFFFF"/>
            <w:vAlign w:val="center"/>
            <w:hideMark/>
          </w:tcPr>
          <w:p w14:paraId="1A00525D" w14:textId="77777777"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+1 (0.10 %)</w:t>
            </w:r>
          </w:p>
        </w:tc>
      </w:tr>
      <w:tr w:rsidR="005D2905" w:rsidRPr="005D2905" w14:paraId="722E8A31" w14:textId="77777777" w:rsidTr="00DF4DE8">
        <w:trPr>
          <w:trHeight w:val="227"/>
        </w:trPr>
        <w:tc>
          <w:tcPr>
            <w:tcW w:w="1398" w:type="dxa"/>
            <w:tcBorders>
              <w:top w:val="nil"/>
              <w:left w:val="nil"/>
              <w:bottom w:val="nil"/>
              <w:right w:val="nil"/>
            </w:tcBorders>
            <w:shd w:val="clear" w:color="auto" w:fill="FFFFFF"/>
            <w:vAlign w:val="center"/>
            <w:hideMark/>
          </w:tcPr>
          <w:p w14:paraId="3BBDC0A7" w14:textId="77777777" w:rsidR="005D2905" w:rsidRPr="005D2905" w:rsidRDefault="005D2905" w:rsidP="005D2905">
            <w:pPr>
              <w:pStyle w:val="CETnumberingbullets"/>
              <w:numPr>
                <w:ilvl w:val="0"/>
                <w:numId w:val="0"/>
              </w:numPr>
              <w:ind w:left="340" w:hanging="227"/>
              <w:jc w:val="center"/>
              <w:rPr>
                <w:rFonts w:cs="Arial"/>
                <w:szCs w:val="18"/>
                <w:lang w:val="en-US"/>
              </w:rPr>
            </w:pPr>
            <w:r w:rsidRPr="005D2905">
              <w:rPr>
                <w:rFonts w:cs="Arial"/>
                <w:szCs w:val="18"/>
                <w:lang w:val="en-US"/>
              </w:rPr>
              <w:t>9</w:t>
            </w:r>
          </w:p>
        </w:tc>
        <w:tc>
          <w:tcPr>
            <w:tcW w:w="1398" w:type="dxa"/>
            <w:tcBorders>
              <w:top w:val="nil"/>
              <w:left w:val="nil"/>
              <w:bottom w:val="nil"/>
              <w:right w:val="nil"/>
            </w:tcBorders>
            <w:shd w:val="clear" w:color="auto" w:fill="FFFFFF"/>
            <w:vAlign w:val="center"/>
            <w:hideMark/>
          </w:tcPr>
          <w:p w14:paraId="79949351" w14:textId="2C40A729"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0 (</w:t>
            </w:r>
            <w:r w:rsidRPr="000C7D47">
              <w:rPr>
                <w:lang w:val="en-US"/>
              </w:rPr>
              <w:t>Pulsed</w:t>
            </w:r>
            <w:r w:rsidRPr="005D2905">
              <w:rPr>
                <w:rFonts w:cs="Arial"/>
                <w:szCs w:val="18"/>
                <w:lang w:val="en-US"/>
              </w:rPr>
              <w:t>)</w:t>
            </w:r>
          </w:p>
        </w:tc>
        <w:tc>
          <w:tcPr>
            <w:tcW w:w="1398" w:type="dxa"/>
            <w:tcBorders>
              <w:top w:val="nil"/>
              <w:left w:val="nil"/>
              <w:bottom w:val="nil"/>
              <w:right w:val="nil"/>
            </w:tcBorders>
            <w:shd w:val="clear" w:color="auto" w:fill="FFFFFF"/>
            <w:vAlign w:val="center"/>
            <w:hideMark/>
          </w:tcPr>
          <w:p w14:paraId="53E483A9" w14:textId="77777777"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0 (2.5 V)</w:t>
            </w:r>
          </w:p>
        </w:tc>
        <w:tc>
          <w:tcPr>
            <w:tcW w:w="1671" w:type="dxa"/>
            <w:tcBorders>
              <w:top w:val="nil"/>
              <w:left w:val="nil"/>
              <w:bottom w:val="nil"/>
              <w:right w:val="nil"/>
            </w:tcBorders>
            <w:shd w:val="clear" w:color="auto" w:fill="FFFFFF"/>
            <w:vAlign w:val="center"/>
            <w:hideMark/>
          </w:tcPr>
          <w:p w14:paraId="009BC057" w14:textId="77777777"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0 (0.06 %)</w:t>
            </w:r>
          </w:p>
        </w:tc>
      </w:tr>
      <w:tr w:rsidR="005D2905" w:rsidRPr="005D2905" w14:paraId="7AECC343" w14:textId="77777777" w:rsidTr="00DF4DE8">
        <w:trPr>
          <w:trHeight w:val="227"/>
        </w:trPr>
        <w:tc>
          <w:tcPr>
            <w:tcW w:w="1398" w:type="dxa"/>
            <w:tcBorders>
              <w:top w:val="nil"/>
              <w:left w:val="nil"/>
              <w:bottom w:val="nil"/>
              <w:right w:val="nil"/>
            </w:tcBorders>
            <w:shd w:val="clear" w:color="auto" w:fill="FFFFFF"/>
            <w:vAlign w:val="center"/>
            <w:hideMark/>
          </w:tcPr>
          <w:p w14:paraId="7E7869AB" w14:textId="77777777" w:rsidR="005D2905" w:rsidRPr="005D2905" w:rsidRDefault="005D2905" w:rsidP="005D2905">
            <w:pPr>
              <w:pStyle w:val="CETnumberingbullets"/>
              <w:numPr>
                <w:ilvl w:val="0"/>
                <w:numId w:val="0"/>
              </w:numPr>
              <w:ind w:left="340" w:hanging="227"/>
              <w:jc w:val="center"/>
              <w:rPr>
                <w:rFonts w:cs="Arial"/>
                <w:szCs w:val="18"/>
                <w:lang w:val="en-US"/>
              </w:rPr>
            </w:pPr>
            <w:r w:rsidRPr="005D2905">
              <w:rPr>
                <w:rFonts w:cs="Arial"/>
                <w:szCs w:val="18"/>
                <w:lang w:val="en-US"/>
              </w:rPr>
              <w:t>10</w:t>
            </w:r>
          </w:p>
        </w:tc>
        <w:tc>
          <w:tcPr>
            <w:tcW w:w="1398" w:type="dxa"/>
            <w:tcBorders>
              <w:top w:val="nil"/>
              <w:left w:val="nil"/>
              <w:bottom w:val="nil"/>
              <w:right w:val="nil"/>
            </w:tcBorders>
            <w:shd w:val="clear" w:color="auto" w:fill="FFFFFF"/>
            <w:vAlign w:val="center"/>
            <w:hideMark/>
          </w:tcPr>
          <w:p w14:paraId="6C7AB1D7" w14:textId="39A1C7FD"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0 (</w:t>
            </w:r>
            <w:r w:rsidRPr="000C7D47">
              <w:rPr>
                <w:lang w:val="en-US"/>
              </w:rPr>
              <w:t>Pulsed</w:t>
            </w:r>
            <w:r w:rsidRPr="005D2905">
              <w:rPr>
                <w:rFonts w:cs="Arial"/>
                <w:szCs w:val="18"/>
                <w:lang w:val="en-US"/>
              </w:rPr>
              <w:t>)</w:t>
            </w:r>
          </w:p>
        </w:tc>
        <w:tc>
          <w:tcPr>
            <w:tcW w:w="1398" w:type="dxa"/>
            <w:tcBorders>
              <w:top w:val="nil"/>
              <w:left w:val="nil"/>
              <w:bottom w:val="nil"/>
              <w:right w:val="nil"/>
            </w:tcBorders>
            <w:shd w:val="clear" w:color="auto" w:fill="FFFFFF"/>
            <w:vAlign w:val="center"/>
            <w:hideMark/>
          </w:tcPr>
          <w:p w14:paraId="3A057486" w14:textId="77777777"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0 (2.5 V)</w:t>
            </w:r>
          </w:p>
        </w:tc>
        <w:tc>
          <w:tcPr>
            <w:tcW w:w="1671" w:type="dxa"/>
            <w:tcBorders>
              <w:top w:val="nil"/>
              <w:left w:val="nil"/>
              <w:bottom w:val="nil"/>
              <w:right w:val="nil"/>
            </w:tcBorders>
            <w:shd w:val="clear" w:color="auto" w:fill="FFFFFF"/>
            <w:vAlign w:val="center"/>
            <w:hideMark/>
          </w:tcPr>
          <w:p w14:paraId="7E541669" w14:textId="77777777"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0 (0.06 %)</w:t>
            </w:r>
          </w:p>
        </w:tc>
      </w:tr>
      <w:tr w:rsidR="005D2905" w:rsidRPr="005D2905" w14:paraId="7CF2EE34" w14:textId="77777777" w:rsidTr="00DF4DE8">
        <w:trPr>
          <w:trHeight w:val="227"/>
        </w:trPr>
        <w:tc>
          <w:tcPr>
            <w:tcW w:w="1398" w:type="dxa"/>
            <w:tcBorders>
              <w:top w:val="nil"/>
              <w:left w:val="nil"/>
              <w:bottom w:val="nil"/>
              <w:right w:val="nil"/>
            </w:tcBorders>
            <w:shd w:val="clear" w:color="auto" w:fill="FFFFFF"/>
            <w:vAlign w:val="center"/>
            <w:hideMark/>
          </w:tcPr>
          <w:p w14:paraId="680BCAC3" w14:textId="77777777" w:rsidR="005D2905" w:rsidRPr="005D2905" w:rsidRDefault="005D2905" w:rsidP="005D2905">
            <w:pPr>
              <w:pStyle w:val="CETnumberingbullets"/>
              <w:numPr>
                <w:ilvl w:val="0"/>
                <w:numId w:val="0"/>
              </w:numPr>
              <w:ind w:left="340" w:hanging="227"/>
              <w:jc w:val="center"/>
              <w:rPr>
                <w:rFonts w:cs="Arial"/>
                <w:szCs w:val="18"/>
                <w:lang w:val="en-US"/>
              </w:rPr>
            </w:pPr>
            <w:r w:rsidRPr="005D2905">
              <w:rPr>
                <w:rFonts w:cs="Arial"/>
                <w:szCs w:val="18"/>
                <w:lang w:val="en-US"/>
              </w:rPr>
              <w:t>11</w:t>
            </w:r>
          </w:p>
        </w:tc>
        <w:tc>
          <w:tcPr>
            <w:tcW w:w="1398" w:type="dxa"/>
            <w:tcBorders>
              <w:top w:val="nil"/>
              <w:left w:val="nil"/>
              <w:bottom w:val="nil"/>
              <w:right w:val="nil"/>
            </w:tcBorders>
            <w:shd w:val="clear" w:color="auto" w:fill="FFFFFF"/>
            <w:vAlign w:val="center"/>
            <w:hideMark/>
          </w:tcPr>
          <w:p w14:paraId="276E8A8F" w14:textId="39555C63"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0 (</w:t>
            </w:r>
            <w:r w:rsidRPr="000C7D47">
              <w:rPr>
                <w:lang w:val="en-US"/>
              </w:rPr>
              <w:t>Pulsed</w:t>
            </w:r>
            <w:r w:rsidRPr="005D2905">
              <w:rPr>
                <w:rFonts w:cs="Arial"/>
                <w:szCs w:val="18"/>
                <w:lang w:val="en-US"/>
              </w:rPr>
              <w:t>)</w:t>
            </w:r>
          </w:p>
        </w:tc>
        <w:tc>
          <w:tcPr>
            <w:tcW w:w="1398" w:type="dxa"/>
            <w:tcBorders>
              <w:top w:val="nil"/>
              <w:left w:val="nil"/>
              <w:bottom w:val="nil"/>
              <w:right w:val="nil"/>
            </w:tcBorders>
            <w:shd w:val="clear" w:color="auto" w:fill="FFFFFF"/>
            <w:vAlign w:val="center"/>
            <w:hideMark/>
          </w:tcPr>
          <w:p w14:paraId="56C6631E" w14:textId="77777777"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0 (2.5 V)</w:t>
            </w:r>
          </w:p>
        </w:tc>
        <w:tc>
          <w:tcPr>
            <w:tcW w:w="1671" w:type="dxa"/>
            <w:tcBorders>
              <w:top w:val="nil"/>
              <w:left w:val="nil"/>
              <w:bottom w:val="nil"/>
              <w:right w:val="nil"/>
            </w:tcBorders>
            <w:shd w:val="clear" w:color="auto" w:fill="FFFFFF"/>
            <w:vAlign w:val="center"/>
            <w:hideMark/>
          </w:tcPr>
          <w:p w14:paraId="13D56791" w14:textId="77777777"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0 (0.06 %)</w:t>
            </w:r>
          </w:p>
        </w:tc>
      </w:tr>
      <w:tr w:rsidR="005D2905" w:rsidRPr="005D2905" w14:paraId="5CB56319" w14:textId="77777777" w:rsidTr="00DF4DE8">
        <w:trPr>
          <w:trHeight w:val="227"/>
        </w:trPr>
        <w:tc>
          <w:tcPr>
            <w:tcW w:w="1398" w:type="dxa"/>
            <w:tcBorders>
              <w:top w:val="nil"/>
              <w:left w:val="nil"/>
              <w:bottom w:val="nil"/>
              <w:right w:val="nil"/>
            </w:tcBorders>
            <w:shd w:val="clear" w:color="auto" w:fill="FFFFFF"/>
            <w:vAlign w:val="center"/>
            <w:hideMark/>
          </w:tcPr>
          <w:p w14:paraId="0EA93A81" w14:textId="77777777" w:rsidR="005D2905" w:rsidRPr="005D2905" w:rsidRDefault="005D2905" w:rsidP="005D2905">
            <w:pPr>
              <w:pStyle w:val="CETnumberingbullets"/>
              <w:numPr>
                <w:ilvl w:val="0"/>
                <w:numId w:val="0"/>
              </w:numPr>
              <w:ind w:left="340" w:hanging="227"/>
              <w:jc w:val="center"/>
              <w:rPr>
                <w:rFonts w:cs="Arial"/>
                <w:szCs w:val="18"/>
                <w:lang w:val="en-US"/>
              </w:rPr>
            </w:pPr>
            <w:r w:rsidRPr="005D2905">
              <w:rPr>
                <w:rFonts w:cs="Arial"/>
                <w:szCs w:val="18"/>
                <w:lang w:val="en-US"/>
              </w:rPr>
              <w:t>12</w:t>
            </w:r>
          </w:p>
        </w:tc>
        <w:tc>
          <w:tcPr>
            <w:tcW w:w="1398" w:type="dxa"/>
            <w:tcBorders>
              <w:top w:val="nil"/>
              <w:left w:val="nil"/>
              <w:bottom w:val="nil"/>
              <w:right w:val="nil"/>
            </w:tcBorders>
            <w:shd w:val="clear" w:color="auto" w:fill="FFFFFF"/>
            <w:vAlign w:val="center"/>
            <w:hideMark/>
          </w:tcPr>
          <w:p w14:paraId="0D3612DA" w14:textId="220B89F2"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0 (</w:t>
            </w:r>
            <w:r w:rsidRPr="000C7D47">
              <w:rPr>
                <w:lang w:val="en-US"/>
              </w:rPr>
              <w:t>Pulsed</w:t>
            </w:r>
            <w:r w:rsidRPr="005D2905">
              <w:rPr>
                <w:rFonts w:cs="Arial"/>
                <w:szCs w:val="18"/>
                <w:lang w:val="en-US"/>
              </w:rPr>
              <w:t>)</w:t>
            </w:r>
          </w:p>
        </w:tc>
        <w:tc>
          <w:tcPr>
            <w:tcW w:w="1398" w:type="dxa"/>
            <w:tcBorders>
              <w:top w:val="nil"/>
              <w:left w:val="nil"/>
              <w:bottom w:val="nil"/>
              <w:right w:val="nil"/>
            </w:tcBorders>
            <w:shd w:val="clear" w:color="auto" w:fill="FFFFFF"/>
            <w:vAlign w:val="center"/>
            <w:hideMark/>
          </w:tcPr>
          <w:p w14:paraId="6E7DDA35" w14:textId="77777777"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0 (2.5 V)</w:t>
            </w:r>
          </w:p>
        </w:tc>
        <w:tc>
          <w:tcPr>
            <w:tcW w:w="1671" w:type="dxa"/>
            <w:tcBorders>
              <w:top w:val="nil"/>
              <w:left w:val="nil"/>
              <w:bottom w:val="nil"/>
              <w:right w:val="nil"/>
            </w:tcBorders>
            <w:shd w:val="clear" w:color="auto" w:fill="FFFFFF"/>
            <w:vAlign w:val="center"/>
            <w:hideMark/>
          </w:tcPr>
          <w:p w14:paraId="6D29191D" w14:textId="77777777"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0 (0.06 %)</w:t>
            </w:r>
          </w:p>
        </w:tc>
      </w:tr>
      <w:tr w:rsidR="005D2905" w:rsidRPr="005D2905" w14:paraId="5F49F380" w14:textId="77777777" w:rsidTr="00DF4DE8">
        <w:trPr>
          <w:trHeight w:val="227"/>
        </w:trPr>
        <w:tc>
          <w:tcPr>
            <w:tcW w:w="1398" w:type="dxa"/>
            <w:tcBorders>
              <w:top w:val="nil"/>
              <w:left w:val="nil"/>
              <w:bottom w:val="nil"/>
              <w:right w:val="nil"/>
            </w:tcBorders>
            <w:shd w:val="clear" w:color="auto" w:fill="FFFFFF"/>
            <w:vAlign w:val="center"/>
            <w:hideMark/>
          </w:tcPr>
          <w:p w14:paraId="35A78FC6" w14:textId="77777777" w:rsidR="005D2905" w:rsidRPr="005D2905" w:rsidRDefault="005D2905" w:rsidP="005D2905">
            <w:pPr>
              <w:pStyle w:val="CETnumberingbullets"/>
              <w:numPr>
                <w:ilvl w:val="0"/>
                <w:numId w:val="0"/>
              </w:numPr>
              <w:ind w:left="340" w:hanging="227"/>
              <w:jc w:val="center"/>
              <w:rPr>
                <w:rFonts w:cs="Arial"/>
                <w:szCs w:val="18"/>
                <w:lang w:val="en-US"/>
              </w:rPr>
            </w:pPr>
            <w:r w:rsidRPr="005D2905">
              <w:rPr>
                <w:rFonts w:cs="Arial"/>
                <w:szCs w:val="18"/>
                <w:lang w:val="en-US"/>
              </w:rPr>
              <w:t>13</w:t>
            </w:r>
          </w:p>
        </w:tc>
        <w:tc>
          <w:tcPr>
            <w:tcW w:w="1398" w:type="dxa"/>
            <w:tcBorders>
              <w:top w:val="nil"/>
              <w:left w:val="nil"/>
              <w:bottom w:val="nil"/>
              <w:right w:val="nil"/>
            </w:tcBorders>
            <w:shd w:val="clear" w:color="auto" w:fill="FFFFFF"/>
            <w:vAlign w:val="center"/>
            <w:hideMark/>
          </w:tcPr>
          <w:p w14:paraId="784362A9" w14:textId="37577A64"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0 (</w:t>
            </w:r>
            <w:r w:rsidRPr="000C7D47">
              <w:rPr>
                <w:lang w:val="en-US"/>
              </w:rPr>
              <w:t>Pulsed</w:t>
            </w:r>
            <w:r w:rsidRPr="005D2905">
              <w:rPr>
                <w:rFonts w:cs="Arial"/>
                <w:szCs w:val="18"/>
                <w:lang w:val="en-US"/>
              </w:rPr>
              <w:t>)</w:t>
            </w:r>
          </w:p>
        </w:tc>
        <w:tc>
          <w:tcPr>
            <w:tcW w:w="1398" w:type="dxa"/>
            <w:tcBorders>
              <w:top w:val="nil"/>
              <w:left w:val="nil"/>
              <w:bottom w:val="nil"/>
              <w:right w:val="nil"/>
            </w:tcBorders>
            <w:shd w:val="clear" w:color="auto" w:fill="FFFFFF"/>
            <w:vAlign w:val="center"/>
            <w:hideMark/>
          </w:tcPr>
          <w:p w14:paraId="4C2CF564" w14:textId="77777777"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0 (2.5 V)</w:t>
            </w:r>
          </w:p>
        </w:tc>
        <w:tc>
          <w:tcPr>
            <w:tcW w:w="1671" w:type="dxa"/>
            <w:tcBorders>
              <w:top w:val="nil"/>
              <w:left w:val="nil"/>
              <w:bottom w:val="nil"/>
              <w:right w:val="nil"/>
            </w:tcBorders>
            <w:shd w:val="clear" w:color="auto" w:fill="FFFFFF"/>
            <w:vAlign w:val="center"/>
            <w:hideMark/>
          </w:tcPr>
          <w:p w14:paraId="73CECAE0" w14:textId="77777777"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0 (0.06 %)</w:t>
            </w:r>
          </w:p>
        </w:tc>
      </w:tr>
      <w:tr w:rsidR="005D2905" w:rsidRPr="005D2905" w14:paraId="4B2970B9" w14:textId="77777777" w:rsidTr="00DF4DE8">
        <w:trPr>
          <w:trHeight w:val="227"/>
        </w:trPr>
        <w:tc>
          <w:tcPr>
            <w:tcW w:w="1398" w:type="dxa"/>
            <w:tcBorders>
              <w:top w:val="nil"/>
              <w:left w:val="nil"/>
              <w:bottom w:val="single" w:sz="12" w:space="0" w:color="008000"/>
              <w:right w:val="nil"/>
            </w:tcBorders>
            <w:shd w:val="clear" w:color="auto" w:fill="FFFFFF"/>
            <w:vAlign w:val="center"/>
            <w:hideMark/>
          </w:tcPr>
          <w:p w14:paraId="330F66B8" w14:textId="77777777" w:rsidR="005D2905" w:rsidRPr="005D2905" w:rsidRDefault="005D2905" w:rsidP="005D2905">
            <w:pPr>
              <w:pStyle w:val="CETnumberingbullets"/>
              <w:numPr>
                <w:ilvl w:val="0"/>
                <w:numId w:val="0"/>
              </w:numPr>
              <w:ind w:left="340" w:hanging="227"/>
              <w:jc w:val="center"/>
              <w:rPr>
                <w:rFonts w:cs="Arial"/>
                <w:szCs w:val="18"/>
                <w:lang w:val="en-US"/>
              </w:rPr>
            </w:pPr>
            <w:r w:rsidRPr="005D2905">
              <w:rPr>
                <w:rFonts w:cs="Arial"/>
                <w:szCs w:val="18"/>
                <w:lang w:val="en-US"/>
              </w:rPr>
              <w:t>14</w:t>
            </w:r>
          </w:p>
        </w:tc>
        <w:tc>
          <w:tcPr>
            <w:tcW w:w="1398" w:type="dxa"/>
            <w:tcBorders>
              <w:top w:val="nil"/>
              <w:left w:val="nil"/>
              <w:bottom w:val="single" w:sz="12" w:space="0" w:color="008000"/>
              <w:right w:val="nil"/>
            </w:tcBorders>
            <w:shd w:val="clear" w:color="auto" w:fill="FFFFFF"/>
            <w:vAlign w:val="center"/>
            <w:hideMark/>
          </w:tcPr>
          <w:p w14:paraId="70E465ED" w14:textId="6F08C1A6"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0 (</w:t>
            </w:r>
            <w:r w:rsidRPr="000C7D47">
              <w:rPr>
                <w:lang w:val="en-US"/>
              </w:rPr>
              <w:t>Pulsed</w:t>
            </w:r>
            <w:r w:rsidRPr="005D2905">
              <w:rPr>
                <w:rFonts w:cs="Arial"/>
                <w:szCs w:val="18"/>
                <w:lang w:val="en-US"/>
              </w:rPr>
              <w:t>)</w:t>
            </w:r>
          </w:p>
        </w:tc>
        <w:tc>
          <w:tcPr>
            <w:tcW w:w="1398" w:type="dxa"/>
            <w:tcBorders>
              <w:top w:val="nil"/>
              <w:left w:val="nil"/>
              <w:bottom w:val="single" w:sz="12" w:space="0" w:color="008000"/>
              <w:right w:val="nil"/>
            </w:tcBorders>
            <w:shd w:val="clear" w:color="auto" w:fill="FFFFFF"/>
            <w:vAlign w:val="center"/>
            <w:hideMark/>
          </w:tcPr>
          <w:p w14:paraId="05272113" w14:textId="77777777" w:rsidR="005D2905" w:rsidRPr="005D2905" w:rsidRDefault="005D2905" w:rsidP="005D2905">
            <w:pPr>
              <w:pStyle w:val="CETnumberingbullets"/>
              <w:numPr>
                <w:ilvl w:val="0"/>
                <w:numId w:val="0"/>
              </w:numPr>
              <w:ind w:left="113"/>
              <w:jc w:val="center"/>
              <w:rPr>
                <w:rFonts w:cs="Arial"/>
                <w:szCs w:val="18"/>
                <w:lang w:val="en-US"/>
              </w:rPr>
            </w:pPr>
            <w:r w:rsidRPr="005D2905">
              <w:rPr>
                <w:rFonts w:cs="Arial"/>
                <w:szCs w:val="18"/>
                <w:lang w:val="en-US"/>
              </w:rPr>
              <w:t>0 (2.5 V)</w:t>
            </w:r>
          </w:p>
        </w:tc>
        <w:tc>
          <w:tcPr>
            <w:tcW w:w="1671" w:type="dxa"/>
            <w:tcBorders>
              <w:top w:val="nil"/>
              <w:left w:val="nil"/>
              <w:bottom w:val="single" w:sz="12" w:space="0" w:color="008000"/>
              <w:right w:val="nil"/>
            </w:tcBorders>
            <w:shd w:val="clear" w:color="auto" w:fill="FFFFFF"/>
            <w:vAlign w:val="center"/>
            <w:hideMark/>
          </w:tcPr>
          <w:p w14:paraId="492C7FA3" w14:textId="757BE368" w:rsidR="005D2905" w:rsidRPr="005D2905" w:rsidRDefault="009C2076" w:rsidP="009C2076">
            <w:pPr>
              <w:pStyle w:val="CETnumberingbullets"/>
              <w:numPr>
                <w:ilvl w:val="0"/>
                <w:numId w:val="0"/>
              </w:numPr>
              <w:ind w:left="340" w:hanging="227"/>
              <w:jc w:val="center"/>
              <w:rPr>
                <w:rFonts w:cs="Arial"/>
                <w:szCs w:val="18"/>
                <w:lang w:val="en-US"/>
              </w:rPr>
            </w:pPr>
            <w:r w:rsidRPr="005D2905">
              <w:rPr>
                <w:rFonts w:cs="Arial"/>
                <w:szCs w:val="18"/>
                <w:lang w:val="en-US"/>
              </w:rPr>
              <w:t>0 (0.06 %)</w:t>
            </w:r>
          </w:p>
        </w:tc>
        <w:bookmarkEnd w:id="2"/>
      </w:tr>
    </w:tbl>
    <w:p w14:paraId="7B426561" w14:textId="77777777" w:rsidR="005D2905" w:rsidRDefault="005D2905" w:rsidP="005D2905">
      <w:pPr>
        <w:pStyle w:val="CETnumberingbullets"/>
        <w:numPr>
          <w:ilvl w:val="0"/>
          <w:numId w:val="0"/>
        </w:numPr>
        <w:rPr>
          <w:b/>
          <w:bCs/>
          <w:i/>
          <w:iCs/>
        </w:rPr>
      </w:pPr>
    </w:p>
    <w:p w14:paraId="70894144" w14:textId="1C18B773" w:rsidR="005D2905" w:rsidRPr="005D2905" w:rsidRDefault="005D2905" w:rsidP="005D2905">
      <w:pPr>
        <w:pStyle w:val="CETnumberingbullets"/>
        <w:numPr>
          <w:ilvl w:val="0"/>
          <w:numId w:val="0"/>
        </w:numPr>
        <w:jc w:val="both"/>
        <w:rPr>
          <w:lang w:val="pt-BR"/>
        </w:rPr>
      </w:pPr>
      <w:r w:rsidRPr="005D2905">
        <w:rPr>
          <w:b/>
          <w:bCs/>
          <w:lang w:val="pt-BR"/>
        </w:rPr>
        <w:t xml:space="preserve">2.4. </w:t>
      </w:r>
      <w:proofErr w:type="spellStart"/>
      <w:r w:rsidRPr="005D2905">
        <w:rPr>
          <w:b/>
          <w:bCs/>
          <w:lang w:val="pt-BR"/>
        </w:rPr>
        <w:t>Statistical</w:t>
      </w:r>
      <w:proofErr w:type="spellEnd"/>
      <w:r w:rsidRPr="005D2905">
        <w:rPr>
          <w:b/>
          <w:bCs/>
          <w:lang w:val="pt-BR"/>
        </w:rPr>
        <w:t xml:space="preserve"> data </w:t>
      </w:r>
      <w:proofErr w:type="spellStart"/>
      <w:r w:rsidRPr="005D2905">
        <w:rPr>
          <w:b/>
          <w:bCs/>
          <w:lang w:val="pt-BR"/>
        </w:rPr>
        <w:t>analysis</w:t>
      </w:r>
      <w:proofErr w:type="spellEnd"/>
    </w:p>
    <w:p w14:paraId="04895FFF" w14:textId="5458A5A2" w:rsidR="00312769" w:rsidRDefault="005D2905" w:rsidP="005D2905">
      <w:pPr>
        <w:pStyle w:val="CETnumberingbullets"/>
        <w:numPr>
          <w:ilvl w:val="0"/>
          <w:numId w:val="0"/>
        </w:numPr>
        <w:jc w:val="both"/>
        <w:rPr>
          <w:lang w:val="en-US"/>
        </w:rPr>
      </w:pPr>
      <w:r w:rsidRPr="005D2905">
        <w:rPr>
          <w:lang w:val="en-US"/>
        </w:rPr>
        <w:t xml:space="preserve">The statistical analysis of the results was performed using the Python programming language, supported by scientific libraries for data analysis and statistical modeling. The effects of the independent variables and their </w:t>
      </w:r>
      <w:r w:rsidRPr="005D2905">
        <w:rPr>
          <w:lang w:val="en-US"/>
        </w:rPr>
        <w:lastRenderedPageBreak/>
        <w:t>interactions on the hydrogen volumetric flow rate were evaluated through analysis of variance (ANOVA), adopting a 95% confidence level (p &lt; 0.05). A second-order polynomial model was fitted to the experimental data, enabling the identification of statistically significant terms and the construction of response surfaces. Model adequacy was assessed based on the F-statistic values, p-values, residual error, and the physical consistency of the estimated coefficients.</w:t>
      </w:r>
    </w:p>
    <w:p w14:paraId="3FFF8E49" w14:textId="77777777" w:rsidR="008C5970" w:rsidRDefault="008C5970" w:rsidP="005D2905">
      <w:pPr>
        <w:pStyle w:val="CETnumberingbullets"/>
        <w:numPr>
          <w:ilvl w:val="0"/>
          <w:numId w:val="0"/>
        </w:numPr>
        <w:jc w:val="both"/>
        <w:rPr>
          <w:lang w:val="en-US"/>
        </w:rPr>
      </w:pPr>
    </w:p>
    <w:p w14:paraId="734095A2" w14:textId="77777777" w:rsidR="00F12C46" w:rsidRDefault="00312769" w:rsidP="00312769">
      <w:pPr>
        <w:pStyle w:val="CETHeading1"/>
        <w:rPr>
          <w:lang w:val="en-GB"/>
        </w:rPr>
      </w:pPr>
      <w:r w:rsidRPr="00312769">
        <w:rPr>
          <w:lang w:val="en-GB"/>
        </w:rPr>
        <w:t>Results and Discussion</w:t>
      </w:r>
    </w:p>
    <w:p w14:paraId="5E89B418" w14:textId="50BAE2A7" w:rsidR="00312769" w:rsidRPr="00F12C46" w:rsidRDefault="00312769" w:rsidP="00F12C46">
      <w:pPr>
        <w:pStyle w:val="CETHeading1"/>
        <w:numPr>
          <w:ilvl w:val="0"/>
          <w:numId w:val="0"/>
        </w:numPr>
        <w:rPr>
          <w:lang w:val="en-GB"/>
        </w:rPr>
      </w:pPr>
      <w:r w:rsidRPr="00F12C46">
        <w:rPr>
          <w:bCs/>
        </w:rPr>
        <w:t xml:space="preserve">3.1. </w:t>
      </w:r>
      <w:r w:rsidR="00F12C46" w:rsidRPr="00F12C46">
        <w:rPr>
          <w:bCs/>
          <w:lang w:val="en-GB"/>
        </w:rPr>
        <w:t>Statistical significance of operating variables and model adequacy</w:t>
      </w:r>
    </w:p>
    <w:p w14:paraId="620B5AF4" w14:textId="77777777" w:rsidR="00C60176" w:rsidRDefault="00F12C46" w:rsidP="00C60176">
      <w:pPr>
        <w:pStyle w:val="CETBodytext"/>
        <w:rPr>
          <w:lang w:val="en-GB"/>
        </w:rPr>
      </w:pPr>
      <w:r w:rsidRPr="00F12C46">
        <w:rPr>
          <w:lang w:val="en-GB"/>
        </w:rPr>
        <w:t xml:space="preserve">The influence of applied voltage, ultrasound application, and biosurfactant concentration on the hydrogen volumetric production rate was evaluated using a second-order response surface model derived from a full </w:t>
      </w:r>
      <w:r>
        <w:rPr>
          <w:lang w:val="en-GB"/>
        </w:rPr>
        <w:t>2</w:t>
      </w:r>
      <w:r w:rsidRPr="00F12C46">
        <w:rPr>
          <w:vertAlign w:val="superscript"/>
          <w:lang w:val="en-GB"/>
        </w:rPr>
        <w:t>3</w:t>
      </w:r>
      <w:r>
        <w:rPr>
          <w:lang w:val="en-GB"/>
        </w:rPr>
        <w:t xml:space="preserve"> </w:t>
      </w:r>
      <w:r w:rsidRPr="00F12C46">
        <w:rPr>
          <w:lang w:val="en-GB"/>
        </w:rPr>
        <w:t>factorial design with central point replications. Analysis of variance (ANOVA) confirmed that the model is statistically significant at a 95% confidence level, with low residual variance and adequate predictive capability within the investigated domain.</w:t>
      </w:r>
      <w:r>
        <w:rPr>
          <w:lang w:val="en-GB"/>
        </w:rPr>
        <w:t xml:space="preserve"> </w:t>
      </w:r>
      <w:r w:rsidRPr="00F12C46">
        <w:rPr>
          <w:lang w:val="en-GB"/>
        </w:rPr>
        <w:t>Applied voltage was identified as the dominant factor, exhibiting the highest standardized effect and F-value (F = 1104.9, p &lt; 10</w:t>
      </w:r>
      <w:r w:rsidRPr="00F12C46">
        <w:rPr>
          <w:vertAlign w:val="superscript"/>
          <w:lang w:val="en-GB"/>
        </w:rPr>
        <w:t>-9</w:t>
      </w:r>
      <w:r w:rsidRPr="00F12C46">
        <w:rPr>
          <w:lang w:val="en-GB"/>
        </w:rPr>
        <w:t>), followed by biosurfactant concentration (F = 112.9, p &lt; 10</w:t>
      </w:r>
      <w:r w:rsidRPr="00F12C46">
        <w:rPr>
          <w:vertAlign w:val="superscript"/>
          <w:lang w:val="en-GB"/>
        </w:rPr>
        <w:t>-5</w:t>
      </w:r>
      <w:r w:rsidRPr="00F12C46">
        <w:rPr>
          <w:lang w:val="en-GB"/>
        </w:rPr>
        <w:t>) and ultrasound application (F = 31.7, p &lt; 10</w:t>
      </w:r>
      <w:r w:rsidRPr="00F12C46">
        <w:rPr>
          <w:vertAlign w:val="superscript"/>
          <w:lang w:val="en-GB"/>
        </w:rPr>
        <w:t>-4</w:t>
      </w:r>
      <w:r w:rsidRPr="00F12C46">
        <w:rPr>
          <w:lang w:val="en-GB"/>
        </w:rPr>
        <w:t>). Among the interaction terms, only the interaction between ultrasound and applied voltage was statistically significant (p &lt; 0.01), whereas interactions involving biosurfactant concentration were not, indicating that its effect is predominantly independent. All quadratic terms were highly significant (p &lt; 10</w:t>
      </w:r>
      <w:r w:rsidRPr="00F12C46">
        <w:rPr>
          <w:vertAlign w:val="superscript"/>
          <w:lang w:val="en-GB"/>
        </w:rPr>
        <w:t>-6</w:t>
      </w:r>
      <w:r w:rsidRPr="00F12C46">
        <w:rPr>
          <w:lang w:val="en-GB"/>
        </w:rPr>
        <w:t>), confirming the presence of curvature in the response surface and justifying the adoption of a second-order polynomial model.</w:t>
      </w:r>
      <w:r w:rsidR="00C60176">
        <w:rPr>
          <w:lang w:val="en-GB"/>
        </w:rPr>
        <w:t xml:space="preserve"> </w:t>
      </w:r>
      <w:r w:rsidR="00C60176" w:rsidRPr="0010442A">
        <w:rPr>
          <w:lang w:val="en-GB"/>
        </w:rPr>
        <w:t xml:space="preserve">The dominant effect of applied voltage agrees with the findings of Luo et al. (2024), who state that cell voltage is the key parameter governing hydrogen production performance in alkaline water electrolysis. Similarly, </w:t>
      </w:r>
      <w:proofErr w:type="spellStart"/>
      <w:r w:rsidR="00C60176" w:rsidRPr="0010442A">
        <w:rPr>
          <w:lang w:val="en-GB"/>
        </w:rPr>
        <w:t>Benghanem</w:t>
      </w:r>
      <w:proofErr w:type="spellEnd"/>
      <w:r w:rsidR="00C60176" w:rsidRPr="0010442A">
        <w:rPr>
          <w:lang w:val="en-GB"/>
        </w:rPr>
        <w:t xml:space="preserve"> et al. (2024) reported a direct relationship between increasing electrical driving force and hydrogen generation rate. The statistical relevance of quadratic terms is consistent with the non-linear </w:t>
      </w:r>
      <w:proofErr w:type="spellStart"/>
      <w:r w:rsidR="00C60176" w:rsidRPr="0010442A">
        <w:rPr>
          <w:lang w:val="en-GB"/>
        </w:rPr>
        <w:t>behavior</w:t>
      </w:r>
      <w:proofErr w:type="spellEnd"/>
      <w:r w:rsidR="00C60176" w:rsidRPr="0010442A">
        <w:rPr>
          <w:lang w:val="en-GB"/>
        </w:rPr>
        <w:t xml:space="preserve"> described by </w:t>
      </w:r>
      <w:proofErr w:type="spellStart"/>
      <w:r w:rsidR="00C60176" w:rsidRPr="0010442A">
        <w:rPr>
          <w:lang w:val="en-GB"/>
        </w:rPr>
        <w:t>Mütter</w:t>
      </w:r>
      <w:proofErr w:type="spellEnd"/>
      <w:r w:rsidR="00C60176" w:rsidRPr="0010442A">
        <w:rPr>
          <w:lang w:val="en-GB"/>
        </w:rPr>
        <w:t xml:space="preserve"> et al. (2025), who demonstrated that second-order polynomial models are required to accurately represent electrochemical systems.</w:t>
      </w:r>
    </w:p>
    <w:p w14:paraId="7F7B1A43" w14:textId="77777777" w:rsidR="00F12C46" w:rsidRDefault="00F12C46" w:rsidP="00F12C46">
      <w:pPr>
        <w:pStyle w:val="CETBodytext"/>
      </w:pPr>
      <w:r w:rsidRPr="00F12C46">
        <w:t>The relative importance of the main effects, interaction terms, and quadratic contributions is summarized in Figure 2, which clearly highlights the dominance of applied voltage and the relevance of the ultrasound–voltage interaction in governing hydrogen production.</w:t>
      </w:r>
    </w:p>
    <w:p w14:paraId="5593104F" w14:textId="77777777" w:rsidR="008C5970" w:rsidRDefault="008C5970" w:rsidP="00F12C46">
      <w:pPr>
        <w:pStyle w:val="CETBodytext"/>
      </w:pPr>
    </w:p>
    <w:p w14:paraId="0812406D" w14:textId="706D7F78" w:rsidR="00F12C46" w:rsidRPr="00F12C46" w:rsidRDefault="008C5970" w:rsidP="00F12C46">
      <w:pPr>
        <w:pStyle w:val="CETBodytext"/>
      </w:pPr>
      <w:r>
        <w:rPr>
          <w:noProof/>
        </w:rPr>
        <w:drawing>
          <wp:inline distT="0" distB="0" distL="0" distR="0" wp14:anchorId="08AEF71D" wp14:editId="2AF4680E">
            <wp:extent cx="4286146" cy="2214748"/>
            <wp:effectExtent l="0" t="0" r="635" b="0"/>
            <wp:docPr id="104516380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l="4158" t="3044" b="2576"/>
                    <a:stretch>
                      <a:fillRect/>
                    </a:stretch>
                  </pic:blipFill>
                  <pic:spPr bwMode="auto">
                    <a:xfrm>
                      <a:off x="0" y="0"/>
                      <a:ext cx="4289443" cy="2216451"/>
                    </a:xfrm>
                    <a:prstGeom prst="rect">
                      <a:avLst/>
                    </a:prstGeom>
                    <a:noFill/>
                    <a:ln>
                      <a:noFill/>
                    </a:ln>
                    <a:extLst>
                      <a:ext uri="{53640926-AAD7-44D8-BBD7-CCE9431645EC}">
                        <a14:shadowObscured xmlns:a14="http://schemas.microsoft.com/office/drawing/2010/main"/>
                      </a:ext>
                    </a:extLst>
                  </pic:spPr>
                </pic:pic>
              </a:graphicData>
            </a:graphic>
          </wp:inline>
        </w:drawing>
      </w:r>
    </w:p>
    <w:p w14:paraId="30AB6EC2" w14:textId="58B9CC82" w:rsidR="00F12C46" w:rsidRDefault="00F12C46" w:rsidP="00F12C46">
      <w:pPr>
        <w:pStyle w:val="CETBodytext"/>
        <w:rPr>
          <w:i/>
          <w:iCs/>
        </w:rPr>
      </w:pPr>
      <w:r w:rsidRPr="00F12C46">
        <w:rPr>
          <w:i/>
          <w:iCs/>
        </w:rPr>
        <w:t>Figure 2: Pareto chart of standardized effects for hydrogen volumetric flow rate</w:t>
      </w:r>
      <w:r w:rsidR="008C5970">
        <w:rPr>
          <w:i/>
          <w:iCs/>
        </w:rPr>
        <w:t>.</w:t>
      </w:r>
    </w:p>
    <w:p w14:paraId="6AAF67A2" w14:textId="77777777" w:rsidR="00927C9A" w:rsidRDefault="00927C9A" w:rsidP="00F12C46">
      <w:pPr>
        <w:pStyle w:val="CETBodytext"/>
        <w:rPr>
          <w:i/>
          <w:iCs/>
        </w:rPr>
      </w:pPr>
    </w:p>
    <w:p w14:paraId="593502ED" w14:textId="77777777" w:rsidR="002C5088" w:rsidRDefault="002C5088" w:rsidP="00927C9A">
      <w:pPr>
        <w:pStyle w:val="CETBodytext"/>
        <w:rPr>
          <w:lang w:val="en-GB"/>
        </w:rPr>
      </w:pPr>
    </w:p>
    <w:p w14:paraId="18462CA8" w14:textId="39B881B3" w:rsidR="00312769" w:rsidRDefault="00312769" w:rsidP="00312769">
      <w:pPr>
        <w:pStyle w:val="CETBodytext"/>
        <w:rPr>
          <w:b/>
          <w:bCs/>
          <w:lang w:val="en-GB"/>
        </w:rPr>
      </w:pPr>
      <w:r w:rsidRPr="00312769">
        <w:rPr>
          <w:b/>
          <w:bCs/>
        </w:rPr>
        <w:t>3.</w:t>
      </w:r>
      <w:r>
        <w:rPr>
          <w:b/>
          <w:bCs/>
        </w:rPr>
        <w:t>2</w:t>
      </w:r>
      <w:r w:rsidRPr="00312769">
        <w:rPr>
          <w:b/>
          <w:bCs/>
        </w:rPr>
        <w:t xml:space="preserve">. </w:t>
      </w:r>
      <w:r w:rsidRPr="00312769">
        <w:rPr>
          <w:b/>
          <w:bCs/>
          <w:lang w:val="en-GB"/>
        </w:rPr>
        <w:t>Empirical model and response surface formulation</w:t>
      </w:r>
    </w:p>
    <w:p w14:paraId="45DD3170" w14:textId="75D4B100" w:rsidR="00312769" w:rsidRDefault="00F12C46" w:rsidP="00312769">
      <w:pPr>
        <w:pStyle w:val="CETBodytext"/>
        <w:rPr>
          <w:lang w:val="en-GB"/>
        </w:rPr>
      </w:pPr>
      <w:r w:rsidRPr="00F12C46">
        <w:rPr>
          <w:lang w:val="en-GB"/>
        </w:rPr>
        <w:t>Based on hierarchical reduction and statistical significance, the final second-order model describing the hydrogen volumetric flow rate (</w:t>
      </w:r>
      <m:oMath>
        <m:r>
          <w:rPr>
            <w:rFonts w:ascii="Cambria Math" w:hAnsi="Cambria Math"/>
            <w:lang w:val="en-GB"/>
          </w:rPr>
          <m:t>Y</m:t>
        </m:r>
      </m:oMath>
      <w:r w:rsidRPr="00F12C46">
        <w:rPr>
          <w:lang w:val="en-GB"/>
        </w:rPr>
        <w:t>, mL·s</w:t>
      </w:r>
      <w:r w:rsidRPr="00F12C46">
        <w:rPr>
          <w:rFonts w:ascii="Cambria Math" w:hAnsi="Cambria Math" w:cs="Cambria Math"/>
          <w:lang w:val="en-GB"/>
        </w:rPr>
        <w:t>⁻</w:t>
      </w:r>
      <w:r w:rsidRPr="00F12C46">
        <w:rPr>
          <w:rFonts w:cs="Arial"/>
          <w:lang w:val="en-GB"/>
        </w:rPr>
        <w:t>¹</w:t>
      </w:r>
      <w:r w:rsidRPr="00F12C46">
        <w:rPr>
          <w:lang w:val="en-GB"/>
        </w:rPr>
        <w:t>) is given by Eq. (</w:t>
      </w:r>
      <w:r w:rsidR="0094413C">
        <w:rPr>
          <w:lang w:val="en-GB"/>
        </w:rPr>
        <w:t>1</w:t>
      </w:r>
      <w:r w:rsidRPr="00F12C46">
        <w:rPr>
          <w:lang w:val="en-GB"/>
        </w:rPr>
        <w:t>):</w:t>
      </w:r>
    </w:p>
    <w:tbl>
      <w:tblPr>
        <w:tblW w:w="5000" w:type="pct"/>
        <w:tblLook w:val="04A0" w:firstRow="1" w:lastRow="0" w:firstColumn="1" w:lastColumn="0" w:noHBand="0" w:noVBand="1"/>
      </w:tblPr>
      <w:tblGrid>
        <w:gridCol w:w="7983"/>
        <w:gridCol w:w="804"/>
      </w:tblGrid>
      <w:tr w:rsidR="002C5088" w:rsidRPr="00B57B36" w14:paraId="0D38240B" w14:textId="77777777" w:rsidTr="00C93B41">
        <w:tc>
          <w:tcPr>
            <w:tcW w:w="7983" w:type="dxa"/>
            <w:vAlign w:val="center"/>
          </w:tcPr>
          <w:p w14:paraId="13055C35" w14:textId="1DF504FC" w:rsidR="002C5088" w:rsidRPr="00B57B36" w:rsidRDefault="002C5088" w:rsidP="00A83413">
            <w:pPr>
              <w:pStyle w:val="CETEquation"/>
            </w:pPr>
            <w:r w:rsidRPr="007868C4">
              <w:t>Y= ​0.8477</w:t>
            </w:r>
            <w:r>
              <w:t xml:space="preserve"> </w:t>
            </w:r>
            <w:r w:rsidRPr="007868C4">
              <w:t>+</w:t>
            </w:r>
            <w:r>
              <w:t xml:space="preserve"> </w:t>
            </w:r>
            <w:r w:rsidRPr="007868C4">
              <w:t>0.2089</w:t>
            </w:r>
            <w:r w:rsidRPr="00312769">
              <w:t>V</w:t>
            </w:r>
            <w:r>
              <w:t xml:space="preserve"> </w:t>
            </w:r>
            <w:r w:rsidRPr="007868C4">
              <w:t>−</w:t>
            </w:r>
            <w:r>
              <w:t xml:space="preserve"> </w:t>
            </w:r>
            <w:r w:rsidRPr="007868C4">
              <w:t>0.0450</w:t>
            </w:r>
            <w:r w:rsidRPr="00312769">
              <w:t>V</w:t>
            </w:r>
            <w:r w:rsidRPr="007868C4">
              <w:rPr>
                <w:vertAlign w:val="superscript"/>
              </w:rPr>
              <w:t>2</w:t>
            </w:r>
            <w:r>
              <w:t xml:space="preserve"> </w:t>
            </w:r>
            <w:r w:rsidRPr="007868C4">
              <w:t>−</w:t>
            </w:r>
            <w:r>
              <w:t xml:space="preserve"> </w:t>
            </w:r>
            <w:r w:rsidRPr="007868C4">
              <w:t>0.0354U</w:t>
            </w:r>
            <w:r>
              <w:t xml:space="preserve"> </w:t>
            </w:r>
            <w:r w:rsidRPr="007868C4">
              <w:t>−</w:t>
            </w:r>
            <w:r>
              <w:t xml:space="preserve"> </w:t>
            </w:r>
            <w:r w:rsidRPr="007868C4">
              <w:t>0.0450U</w:t>
            </w:r>
            <w:r w:rsidRPr="007868C4">
              <w:rPr>
                <w:vertAlign w:val="superscript"/>
              </w:rPr>
              <w:t>2</w:t>
            </w:r>
            <w:r>
              <w:t xml:space="preserve"> </w:t>
            </w:r>
            <w:r w:rsidRPr="007868C4">
              <w:t>+</w:t>
            </w:r>
            <w:r>
              <w:t xml:space="preserve"> </w:t>
            </w:r>
            <w:r w:rsidRPr="007868C4">
              <w:t>0.0668B</w:t>
            </w:r>
            <w:r>
              <w:t xml:space="preserve"> </w:t>
            </w:r>
            <w:r w:rsidRPr="007868C4">
              <w:t>−</w:t>
            </w:r>
            <w:r>
              <w:t xml:space="preserve"> </w:t>
            </w:r>
            <w:r w:rsidRPr="007868C4">
              <w:t>0.0450B</w:t>
            </w:r>
            <w:r w:rsidRPr="007868C4">
              <w:rPr>
                <w:vertAlign w:val="superscript"/>
              </w:rPr>
              <w:t>2</w:t>
            </w:r>
            <w:r>
              <w:t xml:space="preserve"> </w:t>
            </w:r>
            <w:r w:rsidRPr="007868C4">
              <w:t>+</w:t>
            </w:r>
            <w:r>
              <w:t xml:space="preserve"> </w:t>
            </w:r>
            <w:r w:rsidRPr="007868C4">
              <w:t>0.0285(U×V)​</w:t>
            </w:r>
          </w:p>
        </w:tc>
        <w:tc>
          <w:tcPr>
            <w:tcW w:w="804" w:type="dxa"/>
            <w:vAlign w:val="center"/>
          </w:tcPr>
          <w:p w14:paraId="4FAF2556" w14:textId="0E00784F" w:rsidR="002C5088" w:rsidRPr="00B57B36" w:rsidRDefault="002C5088" w:rsidP="00A83413">
            <w:pPr>
              <w:pStyle w:val="CETEquation"/>
              <w:jc w:val="right"/>
            </w:pPr>
            <w:r w:rsidRPr="00B57B36">
              <w:t>(</w:t>
            </w:r>
            <w:r w:rsidR="0094413C">
              <w:t>1</w:t>
            </w:r>
            <w:r w:rsidRPr="00B57B36">
              <w:t>)</w:t>
            </w:r>
          </w:p>
        </w:tc>
      </w:tr>
    </w:tbl>
    <w:p w14:paraId="3EE91AA7" w14:textId="13ABC238" w:rsidR="007868C4" w:rsidRDefault="00C93B41" w:rsidP="007868C4">
      <w:pPr>
        <w:pStyle w:val="CETBodytext"/>
        <w:rPr>
          <w:lang w:val="en-GB"/>
        </w:rPr>
      </w:pPr>
      <w:r w:rsidRPr="00C93B41">
        <w:rPr>
          <w:lang w:val="en-GB"/>
        </w:rPr>
        <w:t xml:space="preserve">where </w:t>
      </w:r>
      <w:r w:rsidRPr="00C93B41">
        <w:rPr>
          <w:i/>
          <w:iCs/>
          <w:lang w:val="en-GB"/>
        </w:rPr>
        <w:t>V</w:t>
      </w:r>
      <w:r w:rsidRPr="00C93B41">
        <w:rPr>
          <w:lang w:val="en-GB"/>
        </w:rPr>
        <w:t xml:space="preserve"> is the applied voltage, </w:t>
      </w:r>
      <w:r w:rsidRPr="00C93B41">
        <w:rPr>
          <w:i/>
          <w:iCs/>
          <w:lang w:val="en-GB"/>
        </w:rPr>
        <w:t>U</w:t>
      </w:r>
      <w:r w:rsidRPr="00C93B41">
        <w:rPr>
          <w:lang w:val="en-GB"/>
        </w:rPr>
        <w:t xml:space="preserve"> denotes the ultrasound condition (coded variable), and </w:t>
      </w:r>
      <w:r w:rsidRPr="00C93B41">
        <w:rPr>
          <w:i/>
          <w:iCs/>
          <w:lang w:val="en-GB"/>
        </w:rPr>
        <w:t>B</w:t>
      </w:r>
      <w:r w:rsidRPr="00C93B41">
        <w:rPr>
          <w:lang w:val="en-GB"/>
        </w:rPr>
        <w:t xml:space="preserve"> represents the biosurfactant concentration. The negative quadratic terms indicate the presence of local optima, showing that excessive electrical, acoustic, or surfactant inputs result in diminishing performance. The close agreement </w:t>
      </w:r>
      <w:r w:rsidRPr="00C93B41">
        <w:rPr>
          <w:lang w:val="en-GB"/>
        </w:rPr>
        <w:lastRenderedPageBreak/>
        <w:t xml:space="preserve">between predicted and experimental responses confirms the adequacy of the fitted second-order model within the investigated domain, in line with the predictive performance reported by </w:t>
      </w:r>
      <w:proofErr w:type="spellStart"/>
      <w:r w:rsidRPr="00C93B41">
        <w:rPr>
          <w:lang w:val="en-GB"/>
        </w:rPr>
        <w:t>Mütter</w:t>
      </w:r>
      <w:proofErr w:type="spellEnd"/>
      <w:r w:rsidRPr="00C93B41">
        <w:rPr>
          <w:lang w:val="en-GB"/>
        </w:rPr>
        <w:t xml:space="preserve"> et al. (2025).</w:t>
      </w:r>
    </w:p>
    <w:p w14:paraId="0F3AFB3C" w14:textId="55CA9488" w:rsidR="00834558" w:rsidRDefault="00834558" w:rsidP="00834558">
      <w:pPr>
        <w:pStyle w:val="CETBodytext"/>
        <w:rPr>
          <w:b/>
          <w:bCs/>
          <w:lang w:val="en-GB"/>
        </w:rPr>
      </w:pPr>
      <w:r w:rsidRPr="00312769">
        <w:rPr>
          <w:b/>
          <w:bCs/>
        </w:rPr>
        <w:t>3.</w:t>
      </w:r>
      <w:r>
        <w:rPr>
          <w:b/>
          <w:bCs/>
        </w:rPr>
        <w:t>3</w:t>
      </w:r>
      <w:r w:rsidRPr="00312769">
        <w:rPr>
          <w:b/>
          <w:bCs/>
        </w:rPr>
        <w:t xml:space="preserve">. </w:t>
      </w:r>
      <w:r w:rsidR="006C1D6D" w:rsidRPr="006C1D6D">
        <w:rPr>
          <w:b/>
          <w:bCs/>
          <w:lang w:val="en-GB"/>
        </w:rPr>
        <w:t>Combined effect of applied voltage and ultrasound on hydrogen production</w:t>
      </w:r>
    </w:p>
    <w:p w14:paraId="77073AB2" w14:textId="77777777" w:rsidR="00C60176" w:rsidRPr="0010442A" w:rsidRDefault="006C1D6D" w:rsidP="00C60176">
      <w:pPr>
        <w:pStyle w:val="CETBodytext"/>
        <w:rPr>
          <w:lang w:val="en-GB"/>
        </w:rPr>
      </w:pPr>
      <w:r w:rsidRPr="006C1D6D">
        <w:t>Figure 3 illustrates the combined effect of applied voltage and ultrasound on the hydrogen volumetric flow rate, with the biosurfactant concentration fixed at its central level (0.06%). The response surface reveals a strong non-linear dependence of hydrogen production on applied voltage, consistent with its dominant statistical contribution, while also evidencing a clear modulation of this effect by ultrasound.</w:t>
      </w:r>
      <w:r>
        <w:t xml:space="preserve"> </w:t>
      </w:r>
      <w:r w:rsidRPr="006C1D6D">
        <w:t>At moderate voltages, ultrasound application enhances hydrogen production by promoting bubble detachment and interfacial renewal through acoustic cavitation and microstreaming, thereby reducing mass transfer resistance and effective diffusion layer thickness. This synergistic behavior is captured by the statistically significant ultrasound–voltage interaction term. At higher voltages, however, the benefits of ultrasound diminish, likely due to intensified gas evolution, bubble coalescence, and increased interfacial coverage, which limit further gains in electrochemical performance.</w:t>
      </w:r>
      <w:r w:rsidR="00C60176">
        <w:t xml:space="preserve"> </w:t>
      </w:r>
      <w:r w:rsidR="00C60176" w:rsidRPr="0010442A">
        <w:rPr>
          <w:lang w:val="en-GB"/>
        </w:rPr>
        <w:t xml:space="preserve">The voltage-dependent enhancement promoted by ultrasound is in line with Teoh et al. (2025), who reported that </w:t>
      </w:r>
      <w:proofErr w:type="spellStart"/>
      <w:r w:rsidR="00C60176" w:rsidRPr="0010442A">
        <w:rPr>
          <w:lang w:val="en-GB"/>
        </w:rPr>
        <w:t>sono</w:t>
      </w:r>
      <w:proofErr w:type="spellEnd"/>
      <w:r w:rsidR="00C60176" w:rsidRPr="0010442A">
        <w:rPr>
          <w:lang w:val="en-GB"/>
        </w:rPr>
        <w:t>-electrolysis increases hydrogen production by 10–20% at moderate operating conditions, while excessive electrical and acoustic intensities reduce energy efficiency. This supports the observed synergistic effect at intermediate voltages and its attenuation at higher electrical inputs.</w:t>
      </w:r>
    </w:p>
    <w:p w14:paraId="4693D97B" w14:textId="6B63AB62" w:rsidR="006C1D6D" w:rsidRPr="00C60176" w:rsidRDefault="006C1D6D" w:rsidP="006C1D6D">
      <w:pPr>
        <w:pStyle w:val="CETBodytext"/>
        <w:rPr>
          <w:lang w:val="en-GB"/>
        </w:rPr>
      </w:pPr>
    </w:p>
    <w:p w14:paraId="67D412E0" w14:textId="310B0D31" w:rsidR="00834558" w:rsidRDefault="00834558" w:rsidP="00834558">
      <w:pPr>
        <w:pStyle w:val="CETBodytext"/>
      </w:pPr>
    </w:p>
    <w:p w14:paraId="6109C347" w14:textId="489A05D1" w:rsidR="006C1D6D" w:rsidRPr="00834558" w:rsidRDefault="005F462F" w:rsidP="00834558">
      <w:pPr>
        <w:pStyle w:val="CETBodytext"/>
      </w:pPr>
      <w:r>
        <w:rPr>
          <w:noProof/>
        </w:rPr>
        <w:drawing>
          <wp:inline distT="0" distB="0" distL="0" distR="0" wp14:anchorId="5C50ADB6" wp14:editId="557BA2B0">
            <wp:extent cx="2859206" cy="2493576"/>
            <wp:effectExtent l="0" t="0" r="0" b="2540"/>
            <wp:docPr id="62447405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2">
                      <a:extLst>
                        <a:ext uri="{28A0092B-C50C-407E-A947-70E740481C1C}">
                          <a14:useLocalDpi xmlns:a14="http://schemas.microsoft.com/office/drawing/2010/main" val="0"/>
                        </a:ext>
                      </a:extLst>
                    </a:blip>
                    <a:srcRect l="22381" t="1957" r="14392"/>
                    <a:stretch>
                      <a:fillRect/>
                    </a:stretch>
                  </pic:blipFill>
                  <pic:spPr bwMode="auto">
                    <a:xfrm>
                      <a:off x="0" y="0"/>
                      <a:ext cx="2859206" cy="2493576"/>
                    </a:xfrm>
                    <a:prstGeom prst="rect">
                      <a:avLst/>
                    </a:prstGeom>
                    <a:noFill/>
                    <a:ln>
                      <a:noFill/>
                    </a:ln>
                    <a:extLst>
                      <a:ext uri="{53640926-AAD7-44D8-BBD7-CCE9431645EC}">
                        <a14:shadowObscured xmlns:a14="http://schemas.microsoft.com/office/drawing/2010/main"/>
                      </a:ext>
                    </a:extLst>
                  </pic:spPr>
                </pic:pic>
              </a:graphicData>
            </a:graphic>
          </wp:inline>
        </w:drawing>
      </w:r>
    </w:p>
    <w:p w14:paraId="4DE5119C" w14:textId="34985760" w:rsidR="00834558" w:rsidRPr="00426B43" w:rsidRDefault="006C1D6D" w:rsidP="00834558">
      <w:pPr>
        <w:pStyle w:val="CETBodytext"/>
        <w:rPr>
          <w:i/>
          <w:iCs/>
        </w:rPr>
      </w:pPr>
      <w:r w:rsidRPr="00426B43">
        <w:rPr>
          <w:i/>
          <w:iCs/>
        </w:rPr>
        <w:t xml:space="preserve">Figure 3: </w:t>
      </w:r>
      <w:r w:rsidR="00426B43" w:rsidRPr="00426B43">
        <w:rPr>
          <w:i/>
          <w:iCs/>
        </w:rPr>
        <w:t>Response surface of hydrogen volumetric flow rate as a function of applied voltage and ultrasound condition, with biosurfactant concentration fixed at its central level.</w:t>
      </w:r>
    </w:p>
    <w:p w14:paraId="5A415E39" w14:textId="77777777" w:rsidR="0010442A" w:rsidRDefault="0010442A" w:rsidP="00834558">
      <w:pPr>
        <w:pStyle w:val="CETBodytext"/>
        <w:rPr>
          <w:b/>
          <w:bCs/>
        </w:rPr>
      </w:pPr>
    </w:p>
    <w:p w14:paraId="2CBEE2A1" w14:textId="4AABB5F7" w:rsidR="00834558" w:rsidRPr="00834558" w:rsidRDefault="00834558" w:rsidP="00834558">
      <w:pPr>
        <w:pStyle w:val="CETBodytext"/>
        <w:rPr>
          <w:b/>
          <w:bCs/>
        </w:rPr>
      </w:pPr>
      <w:r w:rsidRPr="00834558">
        <w:rPr>
          <w:b/>
          <w:bCs/>
        </w:rPr>
        <w:t xml:space="preserve">3.4. </w:t>
      </w:r>
      <w:r w:rsidR="006C1D6D" w:rsidRPr="006C1D6D">
        <w:rPr>
          <w:b/>
          <w:bCs/>
          <w:lang w:val="en-GB"/>
        </w:rPr>
        <w:t>Role of biosurfactant concentration and process intensification implications</w:t>
      </w:r>
    </w:p>
    <w:p w14:paraId="7DCD4014" w14:textId="33CA8C9F" w:rsidR="006C1D6D" w:rsidRDefault="006C1D6D" w:rsidP="006C1D6D">
      <w:pPr>
        <w:pStyle w:val="CETBodytext"/>
      </w:pPr>
      <w:r w:rsidRPr="006C1D6D">
        <w:t>Although biosurfactant concentration exhibited a statistically significant main effect, its influence was secondary compared to applied voltage and ultrasound. The positive linear and negative quadratic coefficients indicate that biosurfactants act within a narrow optimal concentration range, primarily by modifying gas–liquid interfacial properties. At low concentrations, surface tension reduction weakens bubble adhesion at the electrode surface, facilitating gas removal. At higher concentrations, excessive adsorption likely increases interfacial resistance and stabilizes gas bubbles, counteracting mass transfer enhancement.</w:t>
      </w:r>
      <w:r>
        <w:t xml:space="preserve"> </w:t>
      </w:r>
      <w:r w:rsidRPr="006C1D6D">
        <w:t xml:space="preserve">From a process intensification perspective, the results demonstrate that applied voltage defines the energetic regime of the system, ultrasound operates as a dynamic intensification strategy through its interaction with voltage, and biosurfactants function as interfacial modulators. The combined use of ultrasound and controlled biosurfactant addition enables enhanced hydrogen production under mild alkaline conditions, offering a viable pathway for </w:t>
      </w:r>
      <w:proofErr w:type="spellStart"/>
      <w:r w:rsidRPr="006C1D6D">
        <w:t>electrolyzer</w:t>
      </w:r>
      <w:proofErr w:type="spellEnd"/>
      <w:r w:rsidRPr="006C1D6D">
        <w:t xml:space="preserve"> optimization without substantial modifications to reactor architecture.</w:t>
      </w:r>
    </w:p>
    <w:p w14:paraId="3BE2F7E4" w14:textId="4C43DC0B" w:rsidR="00927C9A" w:rsidRPr="006C1D6D" w:rsidRDefault="0010442A" w:rsidP="006C1D6D">
      <w:pPr>
        <w:pStyle w:val="CETBodytext"/>
      </w:pPr>
      <w:r w:rsidRPr="0010442A">
        <w:rPr>
          <w:lang w:val="en-GB"/>
        </w:rPr>
        <w:t xml:space="preserve">The existence of an optimal biosurfactant concentration range is consistent with Purnami et al. (2025), who demonstrated that surfactants enhance hydrogen evolution by modifying interfacial properties, whereas excessive concentrations increase interfacial resistance and stabilize gas bubbles. This </w:t>
      </w:r>
      <w:proofErr w:type="spellStart"/>
      <w:r w:rsidRPr="0010442A">
        <w:rPr>
          <w:lang w:val="en-GB"/>
        </w:rPr>
        <w:t>behavior</w:t>
      </w:r>
      <w:proofErr w:type="spellEnd"/>
      <w:r w:rsidRPr="0010442A">
        <w:rPr>
          <w:lang w:val="en-GB"/>
        </w:rPr>
        <w:t xml:space="preserve"> supports the interpretation of biosurfactants as secondary, interfacial intensification agents.</w:t>
      </w:r>
    </w:p>
    <w:bookmarkEnd w:id="1"/>
    <w:p w14:paraId="68D26B83" w14:textId="77777777" w:rsidR="00600535" w:rsidRPr="00B57B36" w:rsidRDefault="00600535" w:rsidP="00600535">
      <w:pPr>
        <w:pStyle w:val="CETHeading1"/>
        <w:rPr>
          <w:lang w:val="en-GB"/>
        </w:rPr>
      </w:pPr>
      <w:r w:rsidRPr="00B57B36">
        <w:rPr>
          <w:lang w:val="en-GB"/>
        </w:rPr>
        <w:t>Conclusions</w:t>
      </w:r>
    </w:p>
    <w:p w14:paraId="0A67B3EE" w14:textId="48BD427B" w:rsidR="006C1D6D" w:rsidRPr="006C1D6D" w:rsidRDefault="006C1D6D" w:rsidP="006C1D6D">
      <w:pPr>
        <w:pStyle w:val="CETBodytext"/>
      </w:pPr>
      <w:r w:rsidRPr="006C1D6D">
        <w:t xml:space="preserve">This study systematically evaluated the combined effects of applied voltage, ultrasound assistance, and biosurfactant addition on hydrogen production by alkaline water electrolysis under mild operating conditions. </w:t>
      </w:r>
      <w:r w:rsidRPr="006C1D6D">
        <w:lastRenderedPageBreak/>
        <w:t>The results demonstrated that applied voltage is the primary factor governing hydrogen evolution, while ultrasound application significantly enhances system performance through its synergistic interaction with voltage, primarily by improving gas bubble detachment and mass transfer at the electrode–electrolyte interface.</w:t>
      </w:r>
    </w:p>
    <w:p w14:paraId="476E5F18" w14:textId="77777777" w:rsidR="006C1D6D" w:rsidRPr="006C1D6D" w:rsidRDefault="006C1D6D" w:rsidP="006C1D6D">
      <w:pPr>
        <w:pStyle w:val="CETBodytext"/>
      </w:pPr>
      <w:r w:rsidRPr="006C1D6D">
        <w:t>Biosurfactant addition exhibited a statistically significant but secondary influence, acting mainly as an interfacial modifier within a narrow optimal concentration range. Although it did not show relevant interaction effects with the other variables, its contribution to bubble dynamics supports its role as a fine-tuning parameter rather than a dominant intensification mechanism.</w:t>
      </w:r>
    </w:p>
    <w:p w14:paraId="7042E6F2" w14:textId="77777777" w:rsidR="006C1D6D" w:rsidRPr="006C1D6D" w:rsidRDefault="006C1D6D" w:rsidP="006C1D6D">
      <w:pPr>
        <w:pStyle w:val="CETBodytext"/>
      </w:pPr>
      <w:r w:rsidRPr="006C1D6D">
        <w:t>The response surface analysis revealed pronounced non-linear behavior for all investigated variables, confirming the existence of optimal operating windows and highlighting the limitations of performance gains achieved through uncontrolled increases in electrical or acoustic input. These findings emphasize the importance of systematic optimization strategies when integrating physical and chemical intensification approaches into alkaline electrolysis systems.</w:t>
      </w:r>
    </w:p>
    <w:p w14:paraId="51A2B9D7" w14:textId="77777777" w:rsidR="006C1D6D" w:rsidRPr="006C1D6D" w:rsidRDefault="006C1D6D" w:rsidP="006C1D6D">
      <w:pPr>
        <w:pStyle w:val="CETBodytext"/>
      </w:pPr>
      <w:r w:rsidRPr="006C1D6D">
        <w:t xml:space="preserve">Overall, the combined use of ultrasound and biosurfactants provides a viable pathway for intensifying alkaline water electrolysis, enabling enhanced hydrogen production without requiring major modifications to </w:t>
      </w:r>
      <w:proofErr w:type="spellStart"/>
      <w:r w:rsidRPr="006C1D6D">
        <w:t>electrolyzer</w:t>
      </w:r>
      <w:proofErr w:type="spellEnd"/>
      <w:r w:rsidRPr="006C1D6D">
        <w:t xml:space="preserve"> design. The mechanistic insights and quantitative relationships established in this work contribute to a deeper understanding of ultrasound-assisted electrochemical processes and offer practical guidance for the development of more efficient, low-carbon hydrogen production technologies.</w:t>
      </w:r>
    </w:p>
    <w:p w14:paraId="52DAFDE0" w14:textId="6AC0448B" w:rsidR="001D0CFB" w:rsidRDefault="001D0CFB" w:rsidP="006C1D6D">
      <w:pPr>
        <w:pStyle w:val="CETBodytext"/>
        <w:rPr>
          <w:lang w:val="en-GB"/>
        </w:rPr>
      </w:pPr>
    </w:p>
    <w:p w14:paraId="459D05E6" w14:textId="77777777" w:rsidR="00600535" w:rsidRPr="00B57B36" w:rsidRDefault="00600535" w:rsidP="00600535">
      <w:pPr>
        <w:pStyle w:val="CETAcknowledgementstitle"/>
      </w:pPr>
      <w:r w:rsidRPr="00B57B36">
        <w:t>Acknowledgments</w:t>
      </w:r>
    </w:p>
    <w:p w14:paraId="6A895AA3" w14:textId="15A17529" w:rsidR="00FF558C" w:rsidRPr="00FB7A13" w:rsidRDefault="00FF558C" w:rsidP="00FF558C">
      <w:pPr>
        <w:rPr>
          <w:lang w:val="en-US"/>
        </w:rPr>
      </w:pPr>
      <w:r>
        <w:rPr>
          <w:lang w:val="en-US"/>
        </w:rPr>
        <w:t>T</w:t>
      </w:r>
      <w:r w:rsidRPr="00FB7A13">
        <w:rPr>
          <w:lang w:val="en-US"/>
        </w:rPr>
        <w:t>his study has been financially supported by the Human Resources Training Program</w:t>
      </w:r>
      <w:r>
        <w:rPr>
          <w:lang w:val="en-US"/>
        </w:rPr>
        <w:t xml:space="preserve"> </w:t>
      </w:r>
      <w:r w:rsidRPr="00FB7A13">
        <w:rPr>
          <w:lang w:val="en-US"/>
        </w:rPr>
        <w:t>of</w:t>
      </w:r>
      <w:r>
        <w:rPr>
          <w:lang w:val="en-US"/>
        </w:rPr>
        <w:t xml:space="preserve"> </w:t>
      </w:r>
      <w:r w:rsidRPr="00FB7A13">
        <w:rPr>
          <w:lang w:val="en-US"/>
        </w:rPr>
        <w:t>the Brazilian National Agency for Petroleum, Natural Gas and Biofuels - PRH-ANP,</w:t>
      </w:r>
      <w:r>
        <w:rPr>
          <w:lang w:val="en-US"/>
        </w:rPr>
        <w:t xml:space="preserve"> </w:t>
      </w:r>
      <w:r w:rsidRPr="00FB7A13">
        <w:rPr>
          <w:lang w:val="en-US"/>
        </w:rPr>
        <w:t>under</w:t>
      </w:r>
      <w:r>
        <w:rPr>
          <w:lang w:val="en-US"/>
        </w:rPr>
        <w:t xml:space="preserve"> </w:t>
      </w:r>
      <w:r w:rsidRPr="00FB7A13">
        <w:rPr>
          <w:lang w:val="en-US"/>
        </w:rPr>
        <w:t>the management of the São Paulo Research Foundation (FAPESP), Brazil. Process</w:t>
      </w:r>
      <w:r>
        <w:rPr>
          <w:lang w:val="en-US"/>
        </w:rPr>
        <w:t xml:space="preserve"> </w:t>
      </w:r>
      <w:r w:rsidRPr="00FB7A13">
        <w:rPr>
          <w:lang w:val="en-US"/>
        </w:rPr>
        <w:t>N.</w:t>
      </w:r>
      <w:r>
        <w:rPr>
          <w:lang w:val="en-US"/>
        </w:rPr>
        <w:t xml:space="preserve"> </w:t>
      </w:r>
      <w:r w:rsidRPr="00FB7A13">
        <w:rPr>
          <w:lang w:val="en-US"/>
        </w:rPr>
        <w:t>2025/03493-5. Especially to PRH30/UFPE.</w:t>
      </w:r>
    </w:p>
    <w:p w14:paraId="33F8138F" w14:textId="326712E8" w:rsidR="00600535" w:rsidRPr="00B57B36" w:rsidRDefault="00600535" w:rsidP="00600535">
      <w:pPr>
        <w:pStyle w:val="CETBodytext"/>
        <w:rPr>
          <w:lang w:val="en-GB"/>
        </w:rPr>
      </w:pPr>
    </w:p>
    <w:p w14:paraId="4F1327F8" w14:textId="77777777" w:rsidR="00600535" w:rsidRPr="00B57B36" w:rsidRDefault="00600535" w:rsidP="00600535">
      <w:pPr>
        <w:pStyle w:val="CETReference"/>
      </w:pPr>
      <w:r w:rsidRPr="00B57B36">
        <w:t>References</w:t>
      </w:r>
    </w:p>
    <w:p w14:paraId="1E3D533E" w14:textId="64217167" w:rsidR="00DF4DE8" w:rsidRPr="00DF4DE8" w:rsidRDefault="00DF4DE8" w:rsidP="0001575E">
      <w:pPr>
        <w:pStyle w:val="CETReferencetext"/>
        <w:ind w:left="0" w:firstLine="0"/>
        <w:rPr>
          <w:lang w:val="en-US"/>
        </w:rPr>
      </w:pPr>
      <w:bookmarkStart w:id="3" w:name="_Hlk221311807"/>
      <w:r w:rsidRPr="00DF4DE8">
        <w:rPr>
          <w:lang w:val="en-US"/>
        </w:rPr>
        <w:t>Aditiya H.B., Mahlia T.M.I., Huang Z., 2026, Scaling green hydrogen: Production, storage, techno-economics and global perspectives, Renewable and Sustainable Energy Reviews, 226 (Part D), 116444.</w:t>
      </w:r>
    </w:p>
    <w:p w14:paraId="31AF3748" w14:textId="7208598D" w:rsidR="00DF4DE8" w:rsidRPr="00DF4DE8" w:rsidRDefault="00DF4DE8" w:rsidP="0001575E">
      <w:pPr>
        <w:pStyle w:val="CETReferencetext"/>
        <w:ind w:left="0" w:firstLine="0"/>
        <w:rPr>
          <w:lang w:val="en-US"/>
        </w:rPr>
      </w:pPr>
      <w:proofErr w:type="spellStart"/>
      <w:r w:rsidRPr="00DF4DE8">
        <w:rPr>
          <w:lang w:val="en-US"/>
        </w:rPr>
        <w:t>Benghanem</w:t>
      </w:r>
      <w:proofErr w:type="spellEnd"/>
      <w:r w:rsidRPr="00DF4DE8">
        <w:rPr>
          <w:lang w:val="en-US"/>
        </w:rPr>
        <w:t xml:space="preserve"> M., </w:t>
      </w:r>
      <w:proofErr w:type="spellStart"/>
      <w:r w:rsidRPr="00DF4DE8">
        <w:rPr>
          <w:lang w:val="en-US"/>
        </w:rPr>
        <w:t>Almohamadi</w:t>
      </w:r>
      <w:proofErr w:type="spellEnd"/>
      <w:r w:rsidRPr="00DF4DE8">
        <w:rPr>
          <w:lang w:val="en-US"/>
        </w:rPr>
        <w:t xml:space="preserve"> H., Haddad S., Mellit A., </w:t>
      </w:r>
      <w:proofErr w:type="spellStart"/>
      <w:r w:rsidRPr="00DF4DE8">
        <w:rPr>
          <w:lang w:val="en-US"/>
        </w:rPr>
        <w:t>Chettibi</w:t>
      </w:r>
      <w:proofErr w:type="spellEnd"/>
      <w:r w:rsidRPr="00DF4DE8">
        <w:rPr>
          <w:lang w:val="en-US"/>
        </w:rPr>
        <w:t xml:space="preserve"> N., 2024, The effect of voltage and electrode types on hydrogen production powered by photovoltaic system using alkaline and PEM </w:t>
      </w:r>
      <w:proofErr w:type="spellStart"/>
      <w:r w:rsidRPr="00DF4DE8">
        <w:rPr>
          <w:lang w:val="en-US"/>
        </w:rPr>
        <w:t>electrolyzers</w:t>
      </w:r>
      <w:proofErr w:type="spellEnd"/>
      <w:r w:rsidRPr="00DF4DE8">
        <w:rPr>
          <w:lang w:val="en-US"/>
        </w:rPr>
        <w:t xml:space="preserve">, International Journal of Hydrogen Energy, 57, 625–636. </w:t>
      </w:r>
    </w:p>
    <w:p w14:paraId="29E8A31E" w14:textId="45606DF5" w:rsidR="00DF4DE8" w:rsidRPr="00DF4DE8" w:rsidRDefault="00DF4DE8" w:rsidP="0001575E">
      <w:pPr>
        <w:pStyle w:val="CETReferencetext"/>
        <w:ind w:left="0" w:firstLine="0"/>
        <w:rPr>
          <w:lang w:val="en-US"/>
        </w:rPr>
      </w:pPr>
      <w:r w:rsidRPr="00DF4DE8">
        <w:rPr>
          <w:lang w:val="en-US"/>
        </w:rPr>
        <w:t xml:space="preserve">Bezerra K.G.O., Silva I.G.S., Almeida F.C.G., Rufino R.D., </w:t>
      </w:r>
      <w:proofErr w:type="spellStart"/>
      <w:r w:rsidRPr="00DF4DE8">
        <w:rPr>
          <w:lang w:val="en-US"/>
        </w:rPr>
        <w:t>Sarubbo</w:t>
      </w:r>
      <w:proofErr w:type="spellEnd"/>
      <w:r w:rsidRPr="00DF4DE8">
        <w:rPr>
          <w:lang w:val="en-US"/>
        </w:rPr>
        <w:t xml:space="preserve"> L.A., 2021, Plant-derived biosurfactants: Extraction, characteristics and properties for application in cosmetics, Biocatalysis and Agricultural Biotechnology, 34, 102036. </w:t>
      </w:r>
    </w:p>
    <w:p w14:paraId="5CC68732" w14:textId="1F673409" w:rsidR="00DF4DE8" w:rsidRPr="00DF4DE8" w:rsidRDefault="00DF4DE8" w:rsidP="0001575E">
      <w:pPr>
        <w:pStyle w:val="CETReferencetext"/>
        <w:ind w:left="0" w:firstLine="0"/>
        <w:rPr>
          <w:lang w:val="en-US"/>
        </w:rPr>
      </w:pPr>
      <w:r w:rsidRPr="00DF4DE8">
        <w:rPr>
          <w:lang w:val="en-US"/>
        </w:rPr>
        <w:t xml:space="preserve">Dash S., Singh K.A., Jose S., Wilson D.V.H., Elangovan D., </w:t>
      </w:r>
      <w:proofErr w:type="spellStart"/>
      <w:r w:rsidRPr="00DF4DE8">
        <w:rPr>
          <w:lang w:val="en-US"/>
        </w:rPr>
        <w:t>Surapraraju</w:t>
      </w:r>
      <w:proofErr w:type="spellEnd"/>
      <w:r w:rsidRPr="00DF4DE8">
        <w:rPr>
          <w:lang w:val="en-US"/>
        </w:rPr>
        <w:t xml:space="preserve"> S.K., Natarajan S.K., 2024, Advances in green hydrogen production through alkaline water electrolysis: A comprehensive review, International Journal of Hydrogen Energy, 83, 614–629. </w:t>
      </w:r>
    </w:p>
    <w:p w14:paraId="473D6613" w14:textId="5544038D" w:rsidR="00DF4DE8" w:rsidRPr="00DF4DE8" w:rsidRDefault="00DF4DE8" w:rsidP="0001575E">
      <w:pPr>
        <w:pStyle w:val="CETReferencetext"/>
        <w:ind w:left="0" w:firstLine="0"/>
        <w:rPr>
          <w:lang w:val="en-US"/>
        </w:rPr>
      </w:pPr>
      <w:r w:rsidRPr="00DF4DE8">
        <w:rPr>
          <w:lang w:val="en-US"/>
        </w:rPr>
        <w:t xml:space="preserve">Eldeeb H.H., Abdelsalam A.M., Sakr I.M., El-Askary W.A., Farahat M.A., 2026, Experimental evaluation of a modular solar-powered alkaline </w:t>
      </w:r>
      <w:proofErr w:type="spellStart"/>
      <w:r w:rsidRPr="00DF4DE8">
        <w:rPr>
          <w:lang w:val="en-US"/>
        </w:rPr>
        <w:t>electrolyzer</w:t>
      </w:r>
      <w:proofErr w:type="spellEnd"/>
      <w:r w:rsidRPr="00DF4DE8">
        <w:rPr>
          <w:lang w:val="en-US"/>
        </w:rPr>
        <w:t xml:space="preserve"> for scalable hydrogen production, Fuel, 405 (Part D), 136802. </w:t>
      </w:r>
    </w:p>
    <w:p w14:paraId="1981C9BC" w14:textId="69746865" w:rsidR="00DF4DE8" w:rsidRPr="00DF4DE8" w:rsidRDefault="00DF4DE8" w:rsidP="0001575E">
      <w:pPr>
        <w:pStyle w:val="CETReferencetext"/>
        <w:ind w:left="0" w:firstLine="0"/>
        <w:rPr>
          <w:lang w:val="en-US"/>
        </w:rPr>
      </w:pPr>
      <w:r w:rsidRPr="00DF4DE8">
        <w:rPr>
          <w:lang w:val="en-US"/>
        </w:rPr>
        <w:t>Genç Ş., Ayas N., 2025, Upgrading hydrogen production rate and energy efficiency of alkaline water electrolysis under effect of magnetic field, International Journal of Hydrogen Energy, 98, 820–832.</w:t>
      </w:r>
    </w:p>
    <w:p w14:paraId="5CC4CAEF" w14:textId="71BBDD3F" w:rsidR="00DF4DE8" w:rsidRPr="00DF4DE8" w:rsidRDefault="00DF4DE8" w:rsidP="0001575E">
      <w:pPr>
        <w:pStyle w:val="CETReferencetext"/>
        <w:ind w:left="0" w:firstLine="0"/>
        <w:rPr>
          <w:lang w:val="en-US"/>
        </w:rPr>
      </w:pPr>
      <w:r w:rsidRPr="00DF4DE8">
        <w:rPr>
          <w:lang w:val="en-US"/>
        </w:rPr>
        <w:t>Luo S., Zhang T., Xu H., Zhang J., Zhao H., Yun J., Zhao H., 2024, Optimizing alkaline water electrolysis: A dual-model approach for enhanced hydrogen production efficiency, Energies, 17, 5512.</w:t>
      </w:r>
    </w:p>
    <w:p w14:paraId="04AA07A6" w14:textId="27A421BE" w:rsidR="00DF4DE8" w:rsidRPr="00DF4DE8" w:rsidRDefault="00DF4DE8" w:rsidP="0001575E">
      <w:pPr>
        <w:pStyle w:val="CETReferencetext"/>
        <w:ind w:left="0" w:firstLine="0"/>
        <w:rPr>
          <w:lang w:val="en-US"/>
        </w:rPr>
      </w:pPr>
      <w:proofErr w:type="spellStart"/>
      <w:r w:rsidRPr="00DF4DE8">
        <w:rPr>
          <w:lang w:val="en-US"/>
        </w:rPr>
        <w:t>Mütter</w:t>
      </w:r>
      <w:proofErr w:type="spellEnd"/>
      <w:r w:rsidRPr="00DF4DE8">
        <w:rPr>
          <w:lang w:val="en-US"/>
        </w:rPr>
        <w:t xml:space="preserve"> F., </w:t>
      </w:r>
      <w:proofErr w:type="spellStart"/>
      <w:r w:rsidRPr="00DF4DE8">
        <w:rPr>
          <w:lang w:val="en-US"/>
        </w:rPr>
        <w:t>Boškoski</w:t>
      </w:r>
      <w:proofErr w:type="spellEnd"/>
      <w:r w:rsidRPr="00DF4DE8">
        <w:rPr>
          <w:lang w:val="en-US"/>
        </w:rPr>
        <w:t xml:space="preserve"> P., Megel S., </w:t>
      </w:r>
      <w:proofErr w:type="spellStart"/>
      <w:r w:rsidRPr="00DF4DE8">
        <w:rPr>
          <w:lang w:val="en-US"/>
        </w:rPr>
        <w:t>Hochenauer</w:t>
      </w:r>
      <w:proofErr w:type="spellEnd"/>
      <w:r w:rsidRPr="00DF4DE8">
        <w:rPr>
          <w:lang w:val="en-US"/>
        </w:rPr>
        <w:t xml:space="preserve"> C., Subotić V., 2025, Design of experiment investigation and model-based process parameter </w:t>
      </w:r>
      <w:proofErr w:type="spellStart"/>
      <w:r w:rsidRPr="00DF4DE8">
        <w:rPr>
          <w:lang w:val="en-US"/>
        </w:rPr>
        <w:t>optimisation</w:t>
      </w:r>
      <w:proofErr w:type="spellEnd"/>
      <w:r w:rsidRPr="00DF4DE8">
        <w:rPr>
          <w:lang w:val="en-US"/>
        </w:rPr>
        <w:t xml:space="preserve"> of industrial-sized electrolyte supported solid oxide electrolysis stack for downstream Fischer–</w:t>
      </w:r>
      <w:proofErr w:type="spellStart"/>
      <w:r w:rsidRPr="00DF4DE8">
        <w:rPr>
          <w:lang w:val="en-US"/>
        </w:rPr>
        <w:t>Tropsch</w:t>
      </w:r>
      <w:proofErr w:type="spellEnd"/>
      <w:r w:rsidRPr="00DF4DE8">
        <w:rPr>
          <w:lang w:val="en-US"/>
        </w:rPr>
        <w:t xml:space="preserve"> synthesis, Energy Conversion and Management, 327, 119512.</w:t>
      </w:r>
    </w:p>
    <w:p w14:paraId="09F41019" w14:textId="05A90DB2" w:rsidR="00DF4DE8" w:rsidRPr="00DF4DE8" w:rsidRDefault="00DF4DE8" w:rsidP="0001575E">
      <w:pPr>
        <w:pStyle w:val="CETReferencetext"/>
        <w:ind w:left="0" w:firstLine="0"/>
        <w:rPr>
          <w:lang w:val="en-US"/>
        </w:rPr>
      </w:pPr>
      <w:r w:rsidRPr="00DF4DE8">
        <w:rPr>
          <w:lang w:val="en-US"/>
        </w:rPr>
        <w:t xml:space="preserve">Purnami P., Nugroho W.S., </w:t>
      </w:r>
      <w:proofErr w:type="spellStart"/>
      <w:r w:rsidRPr="00DF4DE8">
        <w:rPr>
          <w:lang w:val="en-US"/>
        </w:rPr>
        <w:t>Sofi'i</w:t>
      </w:r>
      <w:proofErr w:type="spellEnd"/>
      <w:r w:rsidRPr="00DF4DE8">
        <w:rPr>
          <w:lang w:val="en-US"/>
        </w:rPr>
        <w:t xml:space="preserve"> Y.K., Wardana I.N.G., 2024, The impact of sodium lauryl sulfate on hydrogen evolution reaction in water electrolysis, International Journal of Hydrogen Energy, 79, 1395–1405.</w:t>
      </w:r>
    </w:p>
    <w:p w14:paraId="731A49AC" w14:textId="43677216" w:rsidR="00DF4DE8" w:rsidRPr="00DF4DE8" w:rsidRDefault="00DF4DE8" w:rsidP="0001575E">
      <w:pPr>
        <w:pStyle w:val="CETReferencetext"/>
        <w:ind w:left="0" w:firstLine="0"/>
        <w:rPr>
          <w:lang w:val="en-US"/>
        </w:rPr>
      </w:pPr>
      <w:r w:rsidRPr="00DF4DE8">
        <w:rPr>
          <w:lang w:val="en-US"/>
        </w:rPr>
        <w:t xml:space="preserve">Serik A., </w:t>
      </w:r>
      <w:proofErr w:type="spellStart"/>
      <w:r w:rsidRPr="00DF4DE8">
        <w:rPr>
          <w:lang w:val="en-US"/>
        </w:rPr>
        <w:t>Kuspanov</w:t>
      </w:r>
      <w:proofErr w:type="spellEnd"/>
      <w:r w:rsidRPr="00DF4DE8">
        <w:rPr>
          <w:lang w:val="en-US"/>
        </w:rPr>
        <w:t xml:space="preserve"> Z., </w:t>
      </w:r>
      <w:proofErr w:type="spellStart"/>
      <w:r w:rsidRPr="00DF4DE8">
        <w:rPr>
          <w:lang w:val="en-US"/>
        </w:rPr>
        <w:t>Daulbayev</w:t>
      </w:r>
      <w:proofErr w:type="spellEnd"/>
      <w:r w:rsidRPr="00DF4DE8">
        <w:rPr>
          <w:lang w:val="en-US"/>
        </w:rPr>
        <w:t xml:space="preserve"> C., 2026, Cost-effective strategies and technologies for green hydrogen production, Renewable and Sustainable Energy Reviews, 226, 116242.</w:t>
      </w:r>
    </w:p>
    <w:p w14:paraId="52894D56" w14:textId="7290997F" w:rsidR="00DF4DE8" w:rsidRPr="00DF4DE8" w:rsidRDefault="00DF4DE8" w:rsidP="0001575E">
      <w:pPr>
        <w:pStyle w:val="CETReferencetext"/>
        <w:ind w:left="0" w:firstLine="0"/>
        <w:rPr>
          <w:lang w:val="en-US"/>
        </w:rPr>
      </w:pPr>
      <w:r w:rsidRPr="00DF4DE8">
        <w:rPr>
          <w:lang w:val="en-US"/>
        </w:rPr>
        <w:t xml:space="preserve">Teoh Y.H., Soon P.H., How H.G., Yaqoob H., </w:t>
      </w:r>
      <w:proofErr w:type="spellStart"/>
      <w:r w:rsidRPr="00DF4DE8">
        <w:rPr>
          <w:lang w:val="en-US"/>
        </w:rPr>
        <w:t>Idroas</w:t>
      </w:r>
      <w:proofErr w:type="spellEnd"/>
      <w:r w:rsidRPr="00DF4DE8">
        <w:rPr>
          <w:lang w:val="en-US"/>
        </w:rPr>
        <w:t xml:space="preserve"> M.Y., Jamil M.A., Mahmud S.U., Le T.D., Ali H.M., Shahzad M.W., 2025, Optimization of catalyst for electrolysis and </w:t>
      </w:r>
      <w:proofErr w:type="spellStart"/>
      <w:r w:rsidRPr="00DF4DE8">
        <w:rPr>
          <w:lang w:val="en-US"/>
        </w:rPr>
        <w:t>sono</w:t>
      </w:r>
      <w:proofErr w:type="spellEnd"/>
      <w:r w:rsidRPr="00DF4DE8">
        <w:rPr>
          <w:lang w:val="en-US"/>
        </w:rPr>
        <w:t>-electrolysis process for hydrogen production, International Journal of Hydrogen Energy, 157, 150508.</w:t>
      </w:r>
    </w:p>
    <w:p w14:paraId="19C4FC68" w14:textId="0DEC1816" w:rsidR="004628D2" w:rsidRDefault="00DF4DE8" w:rsidP="0001575E">
      <w:pPr>
        <w:pStyle w:val="CETReferencetext"/>
        <w:ind w:left="0" w:firstLine="0"/>
        <w:rPr>
          <w:lang w:val="en-US"/>
        </w:rPr>
      </w:pPr>
      <w:r w:rsidRPr="00DF4DE8">
        <w:rPr>
          <w:lang w:val="en-US"/>
        </w:rPr>
        <w:t xml:space="preserve">Zahra R., </w:t>
      </w:r>
      <w:proofErr w:type="spellStart"/>
      <w:r w:rsidRPr="00DF4DE8">
        <w:rPr>
          <w:lang w:val="en-US"/>
        </w:rPr>
        <w:t>Moshtaghi</w:t>
      </w:r>
      <w:proofErr w:type="spellEnd"/>
      <w:r w:rsidRPr="00DF4DE8">
        <w:rPr>
          <w:lang w:val="en-US"/>
        </w:rPr>
        <w:t xml:space="preserve"> M., Ruuskanen V., Kosonen A., Ahola J., </w:t>
      </w:r>
      <w:proofErr w:type="spellStart"/>
      <w:r w:rsidRPr="00DF4DE8">
        <w:rPr>
          <w:lang w:val="en-US"/>
        </w:rPr>
        <w:t>Chatzichristodoulou</w:t>
      </w:r>
      <w:proofErr w:type="spellEnd"/>
      <w:r w:rsidRPr="00DF4DE8">
        <w:rPr>
          <w:lang w:val="en-US"/>
        </w:rPr>
        <w:t xml:space="preserve"> C., Jensen J.O., Kannan A.M., Kauranen P., 2026, Advances and challenges in intermediate temperature alkaline water electrolysis: A critical review, Renewable and Sustainable Energy Reviews, 228, 116569.</w:t>
      </w:r>
      <w:bookmarkEnd w:id="3"/>
    </w:p>
    <w:p w14:paraId="747F53DD" w14:textId="77777777" w:rsidR="00AE6404" w:rsidRDefault="00AE6404" w:rsidP="0001575E">
      <w:pPr>
        <w:pStyle w:val="CETReferencetext"/>
        <w:ind w:left="0" w:firstLine="0"/>
        <w:rPr>
          <w:lang w:val="en-US"/>
        </w:rPr>
      </w:pPr>
    </w:p>
    <w:p w14:paraId="1CEB6B4B" w14:textId="77777777" w:rsidR="00AE6404" w:rsidRPr="00C93B41" w:rsidRDefault="00AE6404" w:rsidP="00C93B41">
      <w:pPr>
        <w:pStyle w:val="CETReferencetext"/>
        <w:rPr>
          <w:lang w:val="en-US"/>
        </w:rPr>
      </w:pPr>
    </w:p>
    <w:sectPr w:rsidR="00AE6404" w:rsidRPr="00C93B41"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3FEBF" w14:textId="77777777" w:rsidR="000A4325" w:rsidRDefault="000A4325" w:rsidP="004F5E36">
      <w:r>
        <w:separator/>
      </w:r>
    </w:p>
  </w:endnote>
  <w:endnote w:type="continuationSeparator" w:id="0">
    <w:p w14:paraId="1947854D" w14:textId="77777777" w:rsidR="000A4325" w:rsidRDefault="000A4325"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99920" w14:textId="77777777" w:rsidR="000A4325" w:rsidRDefault="000A4325" w:rsidP="004F5E36">
      <w:r>
        <w:separator/>
      </w:r>
    </w:p>
  </w:footnote>
  <w:footnote w:type="continuationSeparator" w:id="0">
    <w:p w14:paraId="4AE91D5F" w14:textId="77777777" w:rsidR="000A4325" w:rsidRDefault="000A4325"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aSimples-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4675B09"/>
    <w:multiLevelType w:val="hybridMultilevel"/>
    <w:tmpl w:val="E292A032"/>
    <w:lvl w:ilvl="0" w:tplc="566AB748">
      <w:numFmt w:val="decimal"/>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 w:numId="23" w16cid:durableId="16023727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068FE"/>
    <w:rsid w:val="000117CB"/>
    <w:rsid w:val="0001575E"/>
    <w:rsid w:val="0003148D"/>
    <w:rsid w:val="00031EEC"/>
    <w:rsid w:val="00051566"/>
    <w:rsid w:val="000562A9"/>
    <w:rsid w:val="000609D1"/>
    <w:rsid w:val="00062A9A"/>
    <w:rsid w:val="00065058"/>
    <w:rsid w:val="00086C39"/>
    <w:rsid w:val="000A03B2"/>
    <w:rsid w:val="000A4325"/>
    <w:rsid w:val="000A738A"/>
    <w:rsid w:val="000C132A"/>
    <w:rsid w:val="000C7D47"/>
    <w:rsid w:val="000D0268"/>
    <w:rsid w:val="000D34BE"/>
    <w:rsid w:val="000D4B98"/>
    <w:rsid w:val="000D504F"/>
    <w:rsid w:val="000E102F"/>
    <w:rsid w:val="000E366D"/>
    <w:rsid w:val="000E36F1"/>
    <w:rsid w:val="000E3A73"/>
    <w:rsid w:val="000E414A"/>
    <w:rsid w:val="000E67AA"/>
    <w:rsid w:val="000E75FD"/>
    <w:rsid w:val="000F093C"/>
    <w:rsid w:val="000F787B"/>
    <w:rsid w:val="0010442A"/>
    <w:rsid w:val="0012091F"/>
    <w:rsid w:val="00124AAD"/>
    <w:rsid w:val="00126BC2"/>
    <w:rsid w:val="001308B6"/>
    <w:rsid w:val="0013121F"/>
    <w:rsid w:val="00131FE6"/>
    <w:rsid w:val="0013263F"/>
    <w:rsid w:val="001331DF"/>
    <w:rsid w:val="00134DE4"/>
    <w:rsid w:val="0014034D"/>
    <w:rsid w:val="00140FE3"/>
    <w:rsid w:val="00142CBC"/>
    <w:rsid w:val="00144D16"/>
    <w:rsid w:val="00150E59"/>
    <w:rsid w:val="001528AD"/>
    <w:rsid w:val="00152DE3"/>
    <w:rsid w:val="00161898"/>
    <w:rsid w:val="00164CF9"/>
    <w:rsid w:val="001667A6"/>
    <w:rsid w:val="00177AB6"/>
    <w:rsid w:val="00184AD6"/>
    <w:rsid w:val="001920F3"/>
    <w:rsid w:val="001A4AF7"/>
    <w:rsid w:val="001B0349"/>
    <w:rsid w:val="001B0A80"/>
    <w:rsid w:val="001B1E93"/>
    <w:rsid w:val="001B65C1"/>
    <w:rsid w:val="001C260F"/>
    <w:rsid w:val="001C33F1"/>
    <w:rsid w:val="001C5E04"/>
    <w:rsid w:val="001C684B"/>
    <w:rsid w:val="001D0CFB"/>
    <w:rsid w:val="001D21AF"/>
    <w:rsid w:val="001D53FC"/>
    <w:rsid w:val="001F42A5"/>
    <w:rsid w:val="001F7B9D"/>
    <w:rsid w:val="00201C93"/>
    <w:rsid w:val="002224B4"/>
    <w:rsid w:val="002447EF"/>
    <w:rsid w:val="00251550"/>
    <w:rsid w:val="00263B05"/>
    <w:rsid w:val="0027221A"/>
    <w:rsid w:val="00275B61"/>
    <w:rsid w:val="00280FAF"/>
    <w:rsid w:val="00282656"/>
    <w:rsid w:val="00296B83"/>
    <w:rsid w:val="002A741E"/>
    <w:rsid w:val="002B2997"/>
    <w:rsid w:val="002B4015"/>
    <w:rsid w:val="002B78CE"/>
    <w:rsid w:val="002C2FB6"/>
    <w:rsid w:val="002C5088"/>
    <w:rsid w:val="002E5FA7"/>
    <w:rsid w:val="002E6E89"/>
    <w:rsid w:val="002F3309"/>
    <w:rsid w:val="002F4463"/>
    <w:rsid w:val="003008CE"/>
    <w:rsid w:val="003009B7"/>
    <w:rsid w:val="00300E56"/>
    <w:rsid w:val="0030152C"/>
    <w:rsid w:val="0030469C"/>
    <w:rsid w:val="00312769"/>
    <w:rsid w:val="00321CA6"/>
    <w:rsid w:val="00323763"/>
    <w:rsid w:val="00323C5F"/>
    <w:rsid w:val="00324A98"/>
    <w:rsid w:val="0033233D"/>
    <w:rsid w:val="00334C09"/>
    <w:rsid w:val="00357DD6"/>
    <w:rsid w:val="003723D4"/>
    <w:rsid w:val="00381905"/>
    <w:rsid w:val="003846F6"/>
    <w:rsid w:val="00384CC8"/>
    <w:rsid w:val="003871FD"/>
    <w:rsid w:val="00394F7D"/>
    <w:rsid w:val="003A1E30"/>
    <w:rsid w:val="003A2829"/>
    <w:rsid w:val="003A7D1C"/>
    <w:rsid w:val="003B304B"/>
    <w:rsid w:val="003B3146"/>
    <w:rsid w:val="003D1E02"/>
    <w:rsid w:val="003D26FE"/>
    <w:rsid w:val="003F015E"/>
    <w:rsid w:val="00400414"/>
    <w:rsid w:val="0041446B"/>
    <w:rsid w:val="00426B43"/>
    <w:rsid w:val="0044071E"/>
    <w:rsid w:val="0044329C"/>
    <w:rsid w:val="00453E24"/>
    <w:rsid w:val="00457456"/>
    <w:rsid w:val="004577FE"/>
    <w:rsid w:val="00457B9C"/>
    <w:rsid w:val="0046164A"/>
    <w:rsid w:val="004628D2"/>
    <w:rsid w:val="00462DCD"/>
    <w:rsid w:val="004648AD"/>
    <w:rsid w:val="004703A9"/>
    <w:rsid w:val="004760DE"/>
    <w:rsid w:val="004763D7"/>
    <w:rsid w:val="004A004E"/>
    <w:rsid w:val="004A24CF"/>
    <w:rsid w:val="004A5E57"/>
    <w:rsid w:val="004C194F"/>
    <w:rsid w:val="004C3D1D"/>
    <w:rsid w:val="004C3D84"/>
    <w:rsid w:val="004C7913"/>
    <w:rsid w:val="004E4DD6"/>
    <w:rsid w:val="004F5E36"/>
    <w:rsid w:val="00507B47"/>
    <w:rsid w:val="00507BEF"/>
    <w:rsid w:val="00507CC9"/>
    <w:rsid w:val="005119A5"/>
    <w:rsid w:val="005278B7"/>
    <w:rsid w:val="00532016"/>
    <w:rsid w:val="005346C8"/>
    <w:rsid w:val="00543E7D"/>
    <w:rsid w:val="00547A68"/>
    <w:rsid w:val="005531C9"/>
    <w:rsid w:val="00570C43"/>
    <w:rsid w:val="00590574"/>
    <w:rsid w:val="00592274"/>
    <w:rsid w:val="005B2110"/>
    <w:rsid w:val="005B61E6"/>
    <w:rsid w:val="005C77E1"/>
    <w:rsid w:val="005D2905"/>
    <w:rsid w:val="005D668A"/>
    <w:rsid w:val="005D6A2F"/>
    <w:rsid w:val="005E0592"/>
    <w:rsid w:val="005E1A82"/>
    <w:rsid w:val="005E5DA9"/>
    <w:rsid w:val="005E794C"/>
    <w:rsid w:val="005F0A28"/>
    <w:rsid w:val="005F0E5E"/>
    <w:rsid w:val="005F462F"/>
    <w:rsid w:val="00600535"/>
    <w:rsid w:val="00610CD6"/>
    <w:rsid w:val="00620DEE"/>
    <w:rsid w:val="00621F92"/>
    <w:rsid w:val="0062280A"/>
    <w:rsid w:val="006231E1"/>
    <w:rsid w:val="00625639"/>
    <w:rsid w:val="00631B33"/>
    <w:rsid w:val="0064184D"/>
    <w:rsid w:val="006422CC"/>
    <w:rsid w:val="00651D18"/>
    <w:rsid w:val="00660E3E"/>
    <w:rsid w:val="00662E74"/>
    <w:rsid w:val="00680C23"/>
    <w:rsid w:val="00683E23"/>
    <w:rsid w:val="00693766"/>
    <w:rsid w:val="006A3281"/>
    <w:rsid w:val="006B4888"/>
    <w:rsid w:val="006C1D6D"/>
    <w:rsid w:val="006C2E45"/>
    <w:rsid w:val="006C359C"/>
    <w:rsid w:val="006C5579"/>
    <w:rsid w:val="006D6E8B"/>
    <w:rsid w:val="006D7209"/>
    <w:rsid w:val="006E737D"/>
    <w:rsid w:val="006F6D87"/>
    <w:rsid w:val="00707DD1"/>
    <w:rsid w:val="00713973"/>
    <w:rsid w:val="00720A24"/>
    <w:rsid w:val="00732386"/>
    <w:rsid w:val="0073514D"/>
    <w:rsid w:val="00742F98"/>
    <w:rsid w:val="007447F3"/>
    <w:rsid w:val="0075499F"/>
    <w:rsid w:val="007617CC"/>
    <w:rsid w:val="007661C8"/>
    <w:rsid w:val="0077098D"/>
    <w:rsid w:val="00785BF9"/>
    <w:rsid w:val="007868C4"/>
    <w:rsid w:val="007931FA"/>
    <w:rsid w:val="007A4861"/>
    <w:rsid w:val="007A6FC1"/>
    <w:rsid w:val="007A7BBA"/>
    <w:rsid w:val="007B0C50"/>
    <w:rsid w:val="007B48F9"/>
    <w:rsid w:val="007C1A43"/>
    <w:rsid w:val="007D0951"/>
    <w:rsid w:val="007F27C8"/>
    <w:rsid w:val="0080013E"/>
    <w:rsid w:val="00813288"/>
    <w:rsid w:val="0081447D"/>
    <w:rsid w:val="008168FC"/>
    <w:rsid w:val="00830996"/>
    <w:rsid w:val="008314D7"/>
    <w:rsid w:val="00834558"/>
    <w:rsid w:val="008345F1"/>
    <w:rsid w:val="00865B07"/>
    <w:rsid w:val="008667EA"/>
    <w:rsid w:val="0087637F"/>
    <w:rsid w:val="00892AD5"/>
    <w:rsid w:val="008A1512"/>
    <w:rsid w:val="008C5970"/>
    <w:rsid w:val="008C5BA6"/>
    <w:rsid w:val="008D2D92"/>
    <w:rsid w:val="008D32B9"/>
    <w:rsid w:val="008D433B"/>
    <w:rsid w:val="008D4A16"/>
    <w:rsid w:val="008E209A"/>
    <w:rsid w:val="008E45BC"/>
    <w:rsid w:val="008E566E"/>
    <w:rsid w:val="0090161A"/>
    <w:rsid w:val="00901EB6"/>
    <w:rsid w:val="009041F8"/>
    <w:rsid w:val="00904C62"/>
    <w:rsid w:val="00922BA8"/>
    <w:rsid w:val="00924DAC"/>
    <w:rsid w:val="00927058"/>
    <w:rsid w:val="00927C9A"/>
    <w:rsid w:val="00942750"/>
    <w:rsid w:val="0094413C"/>
    <w:rsid w:val="009450CE"/>
    <w:rsid w:val="009459BB"/>
    <w:rsid w:val="00946265"/>
    <w:rsid w:val="00947179"/>
    <w:rsid w:val="0095164B"/>
    <w:rsid w:val="00954090"/>
    <w:rsid w:val="009573E7"/>
    <w:rsid w:val="00963E05"/>
    <w:rsid w:val="00964A45"/>
    <w:rsid w:val="00967843"/>
    <w:rsid w:val="00967D54"/>
    <w:rsid w:val="00971028"/>
    <w:rsid w:val="00993B84"/>
    <w:rsid w:val="00996483"/>
    <w:rsid w:val="00996F5A"/>
    <w:rsid w:val="009B041A"/>
    <w:rsid w:val="009B45C5"/>
    <w:rsid w:val="009C2076"/>
    <w:rsid w:val="009C37C3"/>
    <w:rsid w:val="009C7C86"/>
    <w:rsid w:val="009D0FE8"/>
    <w:rsid w:val="009D2FF7"/>
    <w:rsid w:val="009E7884"/>
    <w:rsid w:val="009E788A"/>
    <w:rsid w:val="009F0E08"/>
    <w:rsid w:val="00A079AE"/>
    <w:rsid w:val="00A1763D"/>
    <w:rsid w:val="00A17CEC"/>
    <w:rsid w:val="00A26CBB"/>
    <w:rsid w:val="00A27EF0"/>
    <w:rsid w:val="00A42361"/>
    <w:rsid w:val="00A50B20"/>
    <w:rsid w:val="00A51390"/>
    <w:rsid w:val="00A60D13"/>
    <w:rsid w:val="00A61036"/>
    <w:rsid w:val="00A7223D"/>
    <w:rsid w:val="00A72745"/>
    <w:rsid w:val="00A76EFC"/>
    <w:rsid w:val="00A87D50"/>
    <w:rsid w:val="00A91010"/>
    <w:rsid w:val="00A97F29"/>
    <w:rsid w:val="00AA702E"/>
    <w:rsid w:val="00AA7D26"/>
    <w:rsid w:val="00AB0964"/>
    <w:rsid w:val="00AB5011"/>
    <w:rsid w:val="00AB6C5E"/>
    <w:rsid w:val="00AC7368"/>
    <w:rsid w:val="00AC7C6D"/>
    <w:rsid w:val="00AD0278"/>
    <w:rsid w:val="00AD16B9"/>
    <w:rsid w:val="00AE377D"/>
    <w:rsid w:val="00AE6404"/>
    <w:rsid w:val="00AF0EBA"/>
    <w:rsid w:val="00B02C8A"/>
    <w:rsid w:val="00B17FBD"/>
    <w:rsid w:val="00B315A6"/>
    <w:rsid w:val="00B31813"/>
    <w:rsid w:val="00B33365"/>
    <w:rsid w:val="00B57B36"/>
    <w:rsid w:val="00B57E6F"/>
    <w:rsid w:val="00B8686D"/>
    <w:rsid w:val="00B93F69"/>
    <w:rsid w:val="00BA3F07"/>
    <w:rsid w:val="00BB1DDC"/>
    <w:rsid w:val="00BC30C9"/>
    <w:rsid w:val="00BD077D"/>
    <w:rsid w:val="00BE3E58"/>
    <w:rsid w:val="00C01616"/>
    <w:rsid w:val="00C0162B"/>
    <w:rsid w:val="00C068ED"/>
    <w:rsid w:val="00C160F9"/>
    <w:rsid w:val="00C208E9"/>
    <w:rsid w:val="00C22E0C"/>
    <w:rsid w:val="00C345B1"/>
    <w:rsid w:val="00C40142"/>
    <w:rsid w:val="00C52C3C"/>
    <w:rsid w:val="00C57182"/>
    <w:rsid w:val="00C57863"/>
    <w:rsid w:val="00C60176"/>
    <w:rsid w:val="00C640AF"/>
    <w:rsid w:val="00C655FD"/>
    <w:rsid w:val="00C6593A"/>
    <w:rsid w:val="00C75407"/>
    <w:rsid w:val="00C841C6"/>
    <w:rsid w:val="00C84BE2"/>
    <w:rsid w:val="00C870A8"/>
    <w:rsid w:val="00C93B41"/>
    <w:rsid w:val="00C94434"/>
    <w:rsid w:val="00CA0D75"/>
    <w:rsid w:val="00CA1C95"/>
    <w:rsid w:val="00CA5A9C"/>
    <w:rsid w:val="00CB6641"/>
    <w:rsid w:val="00CC03BD"/>
    <w:rsid w:val="00CC3D7D"/>
    <w:rsid w:val="00CC4C20"/>
    <w:rsid w:val="00CD3517"/>
    <w:rsid w:val="00CD5FE2"/>
    <w:rsid w:val="00CE7C68"/>
    <w:rsid w:val="00CF5A76"/>
    <w:rsid w:val="00D02B4C"/>
    <w:rsid w:val="00D040C4"/>
    <w:rsid w:val="00D20AD1"/>
    <w:rsid w:val="00D2582C"/>
    <w:rsid w:val="00D46B7E"/>
    <w:rsid w:val="00D573DB"/>
    <w:rsid w:val="00D57C84"/>
    <w:rsid w:val="00D6057D"/>
    <w:rsid w:val="00D65983"/>
    <w:rsid w:val="00D71640"/>
    <w:rsid w:val="00D836C5"/>
    <w:rsid w:val="00D84576"/>
    <w:rsid w:val="00D925FC"/>
    <w:rsid w:val="00D9346A"/>
    <w:rsid w:val="00DA1399"/>
    <w:rsid w:val="00DA24C6"/>
    <w:rsid w:val="00DA4D7B"/>
    <w:rsid w:val="00DB06B0"/>
    <w:rsid w:val="00DD271C"/>
    <w:rsid w:val="00DD63ED"/>
    <w:rsid w:val="00DD7476"/>
    <w:rsid w:val="00DE264A"/>
    <w:rsid w:val="00DF4DE8"/>
    <w:rsid w:val="00DF5072"/>
    <w:rsid w:val="00E02D18"/>
    <w:rsid w:val="00E041E7"/>
    <w:rsid w:val="00E12050"/>
    <w:rsid w:val="00E23CA1"/>
    <w:rsid w:val="00E409A8"/>
    <w:rsid w:val="00E47D61"/>
    <w:rsid w:val="00E50C12"/>
    <w:rsid w:val="00E65B91"/>
    <w:rsid w:val="00E7209D"/>
    <w:rsid w:val="00E72EAD"/>
    <w:rsid w:val="00E74BFB"/>
    <w:rsid w:val="00E77223"/>
    <w:rsid w:val="00E8528B"/>
    <w:rsid w:val="00E85B94"/>
    <w:rsid w:val="00E978D0"/>
    <w:rsid w:val="00EA4613"/>
    <w:rsid w:val="00EA7F91"/>
    <w:rsid w:val="00EB1523"/>
    <w:rsid w:val="00EC0E49"/>
    <w:rsid w:val="00EC101F"/>
    <w:rsid w:val="00EC1D9F"/>
    <w:rsid w:val="00EE0131"/>
    <w:rsid w:val="00EE17B0"/>
    <w:rsid w:val="00EF06D9"/>
    <w:rsid w:val="00EF0982"/>
    <w:rsid w:val="00EF1FB4"/>
    <w:rsid w:val="00F0246D"/>
    <w:rsid w:val="00F12C46"/>
    <w:rsid w:val="00F3049E"/>
    <w:rsid w:val="00F30C64"/>
    <w:rsid w:val="00F32BA2"/>
    <w:rsid w:val="00F32CDB"/>
    <w:rsid w:val="00F3348F"/>
    <w:rsid w:val="00F37280"/>
    <w:rsid w:val="00F41EE4"/>
    <w:rsid w:val="00F54A7B"/>
    <w:rsid w:val="00F565FE"/>
    <w:rsid w:val="00F63A70"/>
    <w:rsid w:val="00F63D8C"/>
    <w:rsid w:val="00F7534E"/>
    <w:rsid w:val="00F93EDF"/>
    <w:rsid w:val="00FA1802"/>
    <w:rsid w:val="00FA21D0"/>
    <w:rsid w:val="00FA5F5F"/>
    <w:rsid w:val="00FB730C"/>
    <w:rsid w:val="00FB7647"/>
    <w:rsid w:val="00FC2695"/>
    <w:rsid w:val="00FC3E03"/>
    <w:rsid w:val="00FC3FC1"/>
    <w:rsid w:val="00FD6928"/>
    <w:rsid w:val="00FE5C5A"/>
    <w:rsid w:val="00FF558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h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aSimples-1">
    <w:name w:val="Table Simple 1"/>
    <w:basedOn w:val="Tabe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rio">
    <w:name w:val="annotation reference"/>
    <w:basedOn w:val="Fontepargpadro"/>
    <w:uiPriority w:val="99"/>
    <w:semiHidden/>
    <w:unhideWhenUsed/>
    <w:rsid w:val="004577FE"/>
    <w:rPr>
      <w:sz w:val="16"/>
      <w:szCs w:val="16"/>
    </w:rPr>
  </w:style>
  <w:style w:type="paragraph" w:styleId="Textodebalo">
    <w:name w:val="Balloon Text"/>
    <w:basedOn w:val="Normal"/>
    <w:link w:val="TextodebaloChar"/>
    <w:uiPriority w:val="99"/>
    <w:semiHidden/>
    <w:unhideWhenUsed/>
    <w:rsid w:val="000D34B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texto2">
    <w:name w:val="Body Text 2"/>
    <w:basedOn w:val="Normal"/>
    <w:link w:val="Corpodetexto2Char"/>
    <w:uiPriority w:val="99"/>
    <w:semiHidden/>
    <w:unhideWhenUsed/>
    <w:rsid w:val="0003148D"/>
    <w:pPr>
      <w:spacing w:after="120" w:line="480" w:lineRule="auto"/>
    </w:pPr>
  </w:style>
  <w:style w:type="character" w:customStyle="1" w:styleId="Corpodetexto2Char">
    <w:name w:val="Corpo de texto 2 Char"/>
    <w:basedOn w:val="Fontepargpadro"/>
    <w:link w:val="Corpodetexto2"/>
    <w:uiPriority w:val="99"/>
    <w:semiHidden/>
    <w:rsid w:val="0003148D"/>
  </w:style>
  <w:style w:type="paragraph" w:styleId="Corpodetexto3">
    <w:name w:val="Body Text 3"/>
    <w:basedOn w:val="Normal"/>
    <w:link w:val="Corpodetexto3Char"/>
    <w:uiPriority w:val="99"/>
    <w:semiHidden/>
    <w:unhideWhenUsed/>
    <w:rsid w:val="0003148D"/>
    <w:pPr>
      <w:spacing w:after="120"/>
    </w:pPr>
    <w:rPr>
      <w:sz w:val="16"/>
      <w:szCs w:val="16"/>
    </w:rPr>
  </w:style>
  <w:style w:type="character" w:customStyle="1" w:styleId="Corpodetexto3Char">
    <w:name w:val="Corpo de texto 3 Char"/>
    <w:basedOn w:val="Fontepargpadro"/>
    <w:link w:val="Corpodetexto3"/>
    <w:uiPriority w:val="99"/>
    <w:semiHidden/>
    <w:rsid w:val="0003148D"/>
    <w:rPr>
      <w:sz w:val="16"/>
      <w:szCs w:val="16"/>
    </w:rPr>
  </w:style>
  <w:style w:type="paragraph" w:styleId="Corpodetexto">
    <w:name w:val="Body Text"/>
    <w:basedOn w:val="Normal"/>
    <w:link w:val="CorpodetextoChar"/>
    <w:uiPriority w:val="99"/>
    <w:semiHidden/>
    <w:unhideWhenUsed/>
    <w:rsid w:val="0003148D"/>
    <w:pPr>
      <w:spacing w:after="120"/>
    </w:pPr>
  </w:style>
  <w:style w:type="character" w:customStyle="1" w:styleId="CorpodetextoChar">
    <w:name w:val="Corpo de texto Char"/>
    <w:basedOn w:val="Fontepargpadro"/>
    <w:link w:val="Corpodetexto"/>
    <w:uiPriority w:val="99"/>
    <w:semiHidden/>
    <w:rsid w:val="0003148D"/>
  </w:style>
  <w:style w:type="paragraph" w:styleId="Data">
    <w:name w:val="Date"/>
    <w:basedOn w:val="Normal"/>
    <w:next w:val="Normal"/>
    <w:link w:val="DataChar"/>
    <w:uiPriority w:val="99"/>
    <w:semiHidden/>
    <w:unhideWhenUsed/>
    <w:rsid w:val="0003148D"/>
  </w:style>
  <w:style w:type="character" w:customStyle="1" w:styleId="DataChar">
    <w:name w:val="Data Char"/>
    <w:basedOn w:val="Fontepargpadro"/>
    <w:link w:val="Data"/>
    <w:uiPriority w:val="99"/>
    <w:semiHidden/>
    <w:rsid w:val="0003148D"/>
  </w:style>
  <w:style w:type="paragraph" w:styleId="Legenda">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Listadecontinuao">
    <w:name w:val="List Continue"/>
    <w:basedOn w:val="Normal"/>
    <w:uiPriority w:val="99"/>
    <w:semiHidden/>
    <w:unhideWhenUsed/>
    <w:rsid w:val="0003148D"/>
    <w:pPr>
      <w:spacing w:after="120"/>
      <w:ind w:left="283"/>
      <w:contextualSpacing/>
    </w:pPr>
  </w:style>
  <w:style w:type="paragraph" w:styleId="Listadecontinuao2">
    <w:name w:val="List Continue 2"/>
    <w:basedOn w:val="Normal"/>
    <w:uiPriority w:val="99"/>
    <w:semiHidden/>
    <w:unhideWhenUsed/>
    <w:rsid w:val="0003148D"/>
    <w:pPr>
      <w:spacing w:after="120"/>
      <w:ind w:left="566"/>
      <w:contextualSpacing/>
    </w:pPr>
  </w:style>
  <w:style w:type="paragraph" w:styleId="Listadecontinuao3">
    <w:name w:val="List Continue 3"/>
    <w:basedOn w:val="Normal"/>
    <w:uiPriority w:val="99"/>
    <w:semiHidden/>
    <w:unhideWhenUsed/>
    <w:rsid w:val="0003148D"/>
    <w:pPr>
      <w:spacing w:after="120"/>
      <w:ind w:left="849"/>
      <w:contextualSpacing/>
    </w:pPr>
  </w:style>
  <w:style w:type="paragraph" w:styleId="Listadecontinuao4">
    <w:name w:val="List Continue 4"/>
    <w:basedOn w:val="Normal"/>
    <w:uiPriority w:val="99"/>
    <w:semiHidden/>
    <w:unhideWhenUsed/>
    <w:rsid w:val="0003148D"/>
    <w:pPr>
      <w:spacing w:after="120"/>
      <w:ind w:left="1132"/>
      <w:contextualSpacing/>
    </w:pPr>
  </w:style>
  <w:style w:type="paragraph" w:styleId="Listadecontinuao5">
    <w:name w:val="List Continue 5"/>
    <w:basedOn w:val="Normal"/>
    <w:uiPriority w:val="99"/>
    <w:semiHidden/>
    <w:unhideWhenUsed/>
    <w:rsid w:val="0003148D"/>
    <w:pPr>
      <w:spacing w:after="120"/>
      <w:ind w:left="1415"/>
      <w:contextualSpacing/>
    </w:pPr>
  </w:style>
  <w:style w:type="paragraph" w:styleId="Assinatura">
    <w:name w:val="Signature"/>
    <w:basedOn w:val="Normal"/>
    <w:link w:val="AssinaturaChar"/>
    <w:uiPriority w:val="99"/>
    <w:semiHidden/>
    <w:unhideWhenUsed/>
    <w:rsid w:val="0003148D"/>
    <w:pPr>
      <w:spacing w:line="240" w:lineRule="auto"/>
      <w:ind w:left="4252"/>
    </w:pPr>
  </w:style>
  <w:style w:type="character" w:customStyle="1" w:styleId="AssinaturaChar">
    <w:name w:val="Assinatura Char"/>
    <w:basedOn w:val="Fontepargpadro"/>
    <w:link w:val="Assinatura"/>
    <w:uiPriority w:val="99"/>
    <w:semiHidden/>
    <w:rsid w:val="0003148D"/>
  </w:style>
  <w:style w:type="paragraph" w:styleId="AssinaturadeEmail">
    <w:name w:val="E-mail Signature"/>
    <w:basedOn w:val="Normal"/>
    <w:link w:val="AssinaturadeEmailChar"/>
    <w:uiPriority w:val="99"/>
    <w:semiHidden/>
    <w:unhideWhenUsed/>
    <w:rsid w:val="0003148D"/>
    <w:pPr>
      <w:spacing w:line="240" w:lineRule="auto"/>
    </w:pPr>
  </w:style>
  <w:style w:type="character" w:customStyle="1" w:styleId="AssinaturadeEmailChar">
    <w:name w:val="Assinatura de Email Char"/>
    <w:basedOn w:val="Fontepargpadro"/>
    <w:link w:val="AssinaturadeEmail"/>
    <w:uiPriority w:val="99"/>
    <w:semiHidden/>
    <w:rsid w:val="0003148D"/>
  </w:style>
  <w:style w:type="paragraph" w:styleId="Saudao">
    <w:name w:val="Salutation"/>
    <w:basedOn w:val="Normal"/>
    <w:next w:val="Normal"/>
    <w:link w:val="SaudaoChar"/>
    <w:uiPriority w:val="99"/>
    <w:semiHidden/>
    <w:unhideWhenUsed/>
    <w:rsid w:val="0003148D"/>
  </w:style>
  <w:style w:type="character" w:customStyle="1" w:styleId="SaudaoChar">
    <w:name w:val="Saudação Char"/>
    <w:basedOn w:val="Fontepargpadro"/>
    <w:link w:val="Saudao"/>
    <w:uiPriority w:val="99"/>
    <w:semiHidden/>
    <w:rsid w:val="0003148D"/>
  </w:style>
  <w:style w:type="paragraph" w:styleId="Encerramento">
    <w:name w:val="Closing"/>
    <w:basedOn w:val="Normal"/>
    <w:link w:val="EncerramentoChar"/>
    <w:uiPriority w:val="99"/>
    <w:semiHidden/>
    <w:unhideWhenUsed/>
    <w:rsid w:val="0003148D"/>
    <w:pPr>
      <w:spacing w:line="240" w:lineRule="auto"/>
      <w:ind w:left="4252"/>
    </w:pPr>
  </w:style>
  <w:style w:type="character" w:customStyle="1" w:styleId="EncerramentoChar">
    <w:name w:val="Encerramento Char"/>
    <w:basedOn w:val="Fontepargpadro"/>
    <w:link w:val="Encerramento"/>
    <w:uiPriority w:val="99"/>
    <w:semiHidden/>
    <w:rsid w:val="0003148D"/>
  </w:style>
  <w:style w:type="paragraph" w:styleId="Remissivo1">
    <w:name w:val="index 1"/>
    <w:basedOn w:val="Normal"/>
    <w:next w:val="Normal"/>
    <w:autoRedefine/>
    <w:uiPriority w:val="99"/>
    <w:semiHidden/>
    <w:unhideWhenUsed/>
    <w:rsid w:val="0003148D"/>
    <w:pPr>
      <w:spacing w:line="240" w:lineRule="auto"/>
      <w:ind w:left="220" w:hanging="220"/>
    </w:pPr>
  </w:style>
  <w:style w:type="paragraph" w:styleId="Remissivo2">
    <w:name w:val="index 2"/>
    <w:basedOn w:val="Normal"/>
    <w:next w:val="Normal"/>
    <w:autoRedefine/>
    <w:uiPriority w:val="99"/>
    <w:semiHidden/>
    <w:unhideWhenUsed/>
    <w:rsid w:val="0003148D"/>
    <w:pPr>
      <w:spacing w:line="240" w:lineRule="auto"/>
      <w:ind w:left="440" w:hanging="220"/>
    </w:pPr>
  </w:style>
  <w:style w:type="paragraph" w:styleId="Remissivo3">
    <w:name w:val="index 3"/>
    <w:basedOn w:val="Normal"/>
    <w:next w:val="Normal"/>
    <w:autoRedefine/>
    <w:uiPriority w:val="99"/>
    <w:semiHidden/>
    <w:unhideWhenUsed/>
    <w:rsid w:val="0003148D"/>
    <w:pPr>
      <w:spacing w:line="240" w:lineRule="auto"/>
      <w:ind w:left="660" w:hanging="220"/>
    </w:pPr>
  </w:style>
  <w:style w:type="paragraph" w:styleId="Remissivo4">
    <w:name w:val="index 4"/>
    <w:basedOn w:val="Normal"/>
    <w:next w:val="Normal"/>
    <w:autoRedefine/>
    <w:uiPriority w:val="99"/>
    <w:semiHidden/>
    <w:unhideWhenUsed/>
    <w:rsid w:val="0003148D"/>
    <w:pPr>
      <w:spacing w:line="240" w:lineRule="auto"/>
      <w:ind w:left="880" w:hanging="220"/>
    </w:pPr>
  </w:style>
  <w:style w:type="paragraph" w:styleId="Remissivo5">
    <w:name w:val="index 5"/>
    <w:basedOn w:val="Normal"/>
    <w:next w:val="Normal"/>
    <w:autoRedefine/>
    <w:uiPriority w:val="99"/>
    <w:semiHidden/>
    <w:unhideWhenUsed/>
    <w:rsid w:val="0003148D"/>
    <w:pPr>
      <w:spacing w:line="240" w:lineRule="auto"/>
      <w:ind w:left="1100" w:hanging="220"/>
    </w:pPr>
  </w:style>
  <w:style w:type="paragraph" w:styleId="Remissivo6">
    <w:name w:val="index 6"/>
    <w:basedOn w:val="Normal"/>
    <w:next w:val="Normal"/>
    <w:autoRedefine/>
    <w:uiPriority w:val="99"/>
    <w:semiHidden/>
    <w:unhideWhenUsed/>
    <w:rsid w:val="0003148D"/>
    <w:pPr>
      <w:spacing w:line="240" w:lineRule="auto"/>
      <w:ind w:left="1320" w:hanging="220"/>
    </w:pPr>
  </w:style>
  <w:style w:type="paragraph" w:styleId="Remissivo7">
    <w:name w:val="index 7"/>
    <w:basedOn w:val="Normal"/>
    <w:next w:val="Normal"/>
    <w:autoRedefine/>
    <w:uiPriority w:val="99"/>
    <w:semiHidden/>
    <w:unhideWhenUsed/>
    <w:rsid w:val="0003148D"/>
    <w:pPr>
      <w:spacing w:line="240" w:lineRule="auto"/>
      <w:ind w:left="1540" w:hanging="220"/>
    </w:pPr>
  </w:style>
  <w:style w:type="paragraph" w:styleId="Remissivo8">
    <w:name w:val="index 8"/>
    <w:basedOn w:val="Normal"/>
    <w:next w:val="Normal"/>
    <w:autoRedefine/>
    <w:uiPriority w:val="99"/>
    <w:semiHidden/>
    <w:unhideWhenUsed/>
    <w:rsid w:val="0003148D"/>
    <w:pPr>
      <w:spacing w:line="240" w:lineRule="auto"/>
      <w:ind w:left="1760" w:hanging="220"/>
    </w:pPr>
  </w:style>
  <w:style w:type="paragraph" w:styleId="Remissivo9">
    <w:name w:val="index 9"/>
    <w:basedOn w:val="Normal"/>
    <w:next w:val="Normal"/>
    <w:autoRedefine/>
    <w:uiPriority w:val="99"/>
    <w:semiHidden/>
    <w:unhideWhenUsed/>
    <w:rsid w:val="0003148D"/>
    <w:pPr>
      <w:spacing w:line="240" w:lineRule="auto"/>
      <w:ind w:left="1980" w:hanging="220"/>
    </w:pPr>
  </w:style>
  <w:style w:type="paragraph" w:styleId="ndicedeilustraes">
    <w:name w:val="table of figures"/>
    <w:basedOn w:val="Normal"/>
    <w:next w:val="Normal"/>
    <w:uiPriority w:val="99"/>
    <w:semiHidden/>
    <w:unhideWhenUsed/>
    <w:rsid w:val="0003148D"/>
  </w:style>
  <w:style w:type="paragraph" w:styleId="ndicedeautoridades">
    <w:name w:val="table of authorities"/>
    <w:basedOn w:val="Normal"/>
    <w:next w:val="Normal"/>
    <w:uiPriority w:val="99"/>
    <w:semiHidden/>
    <w:unhideWhenUsed/>
    <w:rsid w:val="0003148D"/>
    <w:pPr>
      <w:ind w:left="220" w:hanging="220"/>
    </w:pPr>
  </w:style>
  <w:style w:type="paragraph" w:styleId="Destinatrio">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dereoHTML">
    <w:name w:val="HTML Address"/>
    <w:basedOn w:val="Normal"/>
    <w:link w:val="EndereoHTMLChar"/>
    <w:uiPriority w:val="99"/>
    <w:semiHidden/>
    <w:unhideWhenUsed/>
    <w:rsid w:val="0003148D"/>
    <w:pPr>
      <w:spacing w:line="240" w:lineRule="auto"/>
    </w:pPr>
    <w:rPr>
      <w:i/>
      <w:iCs/>
    </w:rPr>
  </w:style>
  <w:style w:type="character" w:customStyle="1" w:styleId="EndereoHTMLChar">
    <w:name w:val="Endereço HTML Char"/>
    <w:basedOn w:val="Fontepargpadro"/>
    <w:link w:val="EndereoHTML"/>
    <w:uiPriority w:val="99"/>
    <w:semiHidden/>
    <w:rsid w:val="0003148D"/>
    <w:rPr>
      <w:i/>
      <w:iCs/>
    </w:rPr>
  </w:style>
  <w:style w:type="paragraph" w:styleId="Remetent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Cabealhodamensagem">
    <w:name w:val="Message Header"/>
    <w:basedOn w:val="Normal"/>
    <w:link w:val="Cabealhodamensagem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uiPriority w:val="99"/>
    <w:semiHidden/>
    <w:rsid w:val="0003148D"/>
    <w:rPr>
      <w:rFonts w:asciiTheme="majorHAnsi" w:eastAsiaTheme="majorEastAsia" w:hAnsiTheme="majorHAnsi" w:cstheme="majorBidi"/>
      <w:sz w:val="24"/>
      <w:szCs w:val="24"/>
      <w:shd w:val="pct20" w:color="auto" w:fill="auto"/>
    </w:rPr>
  </w:style>
  <w:style w:type="paragraph" w:styleId="Ttulodanota">
    <w:name w:val="Note Heading"/>
    <w:basedOn w:val="Normal"/>
    <w:next w:val="Normal"/>
    <w:link w:val="TtulodanotaChar"/>
    <w:uiPriority w:val="99"/>
    <w:semiHidden/>
    <w:unhideWhenUsed/>
    <w:rsid w:val="0003148D"/>
    <w:pPr>
      <w:spacing w:line="240" w:lineRule="auto"/>
    </w:pPr>
  </w:style>
  <w:style w:type="character" w:customStyle="1" w:styleId="TtulodanotaChar">
    <w:name w:val="Título da nota Char"/>
    <w:basedOn w:val="Fontepargpadro"/>
    <w:link w:val="Ttulodanota"/>
    <w:uiPriority w:val="99"/>
    <w:semiHidden/>
    <w:rsid w:val="0003148D"/>
  </w:style>
  <w:style w:type="paragraph" w:styleId="MapadoDocumento">
    <w:name w:val="Document Map"/>
    <w:basedOn w:val="Normal"/>
    <w:link w:val="MapadoDocumentoChar"/>
    <w:uiPriority w:val="99"/>
    <w:semiHidden/>
    <w:unhideWhenUsed/>
    <w:rsid w:val="0003148D"/>
    <w:pPr>
      <w:spacing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Numerada">
    <w:name w:val="List Number"/>
    <w:basedOn w:val="Normal"/>
    <w:uiPriority w:val="99"/>
    <w:semiHidden/>
    <w:unhideWhenUsed/>
    <w:rsid w:val="0003148D"/>
    <w:pPr>
      <w:numPr>
        <w:numId w:val="2"/>
      </w:numPr>
      <w:contextualSpacing/>
    </w:pPr>
  </w:style>
  <w:style w:type="paragraph" w:styleId="Numerada2">
    <w:name w:val="List Number 2"/>
    <w:basedOn w:val="Normal"/>
    <w:uiPriority w:val="99"/>
    <w:semiHidden/>
    <w:unhideWhenUsed/>
    <w:rsid w:val="0003148D"/>
    <w:pPr>
      <w:numPr>
        <w:numId w:val="3"/>
      </w:numPr>
      <w:contextualSpacing/>
    </w:pPr>
  </w:style>
  <w:style w:type="paragraph" w:styleId="Numerada3">
    <w:name w:val="List Number 3"/>
    <w:basedOn w:val="Normal"/>
    <w:uiPriority w:val="99"/>
    <w:semiHidden/>
    <w:unhideWhenUsed/>
    <w:rsid w:val="0003148D"/>
    <w:pPr>
      <w:numPr>
        <w:numId w:val="4"/>
      </w:numPr>
      <w:contextualSpacing/>
    </w:pPr>
  </w:style>
  <w:style w:type="paragraph" w:styleId="Numerada4">
    <w:name w:val="List Number 4"/>
    <w:basedOn w:val="Normal"/>
    <w:uiPriority w:val="99"/>
    <w:semiHidden/>
    <w:unhideWhenUsed/>
    <w:rsid w:val="0003148D"/>
    <w:pPr>
      <w:numPr>
        <w:numId w:val="5"/>
      </w:numPr>
      <w:contextualSpacing/>
    </w:pPr>
  </w:style>
  <w:style w:type="paragraph" w:styleId="Numerada5">
    <w:name w:val="List Number 5"/>
    <w:basedOn w:val="Normal"/>
    <w:uiPriority w:val="99"/>
    <w:semiHidden/>
    <w:unhideWhenUsed/>
    <w:rsid w:val="0003148D"/>
    <w:pPr>
      <w:numPr>
        <w:numId w:val="6"/>
      </w:numPr>
      <w:contextualSpacing/>
    </w:pPr>
  </w:style>
  <w:style w:type="paragraph" w:styleId="Pr-formataoHTML">
    <w:name w:val="HTML Preformatted"/>
    <w:basedOn w:val="Normal"/>
    <w:link w:val="Pr-formataoHTMLChar"/>
    <w:uiPriority w:val="99"/>
    <w:semiHidden/>
    <w:unhideWhenUsed/>
    <w:rsid w:val="0003148D"/>
    <w:pPr>
      <w:spacing w:line="240" w:lineRule="auto"/>
    </w:pPr>
    <w:rPr>
      <w:rFonts w:ascii="Consolas" w:hAnsi="Consolas" w:cs="Consolas"/>
    </w:rPr>
  </w:style>
  <w:style w:type="character" w:customStyle="1" w:styleId="Pr-formataoHTMLChar">
    <w:name w:val="Pré-formatação HTML Char"/>
    <w:basedOn w:val="Fontepargpadro"/>
    <w:link w:val="Pr-formataoHTML"/>
    <w:uiPriority w:val="99"/>
    <w:semiHidden/>
    <w:rsid w:val="0003148D"/>
    <w:rPr>
      <w:rFonts w:ascii="Consolas" w:hAnsi="Consolas" w:cs="Consolas"/>
      <w:sz w:val="20"/>
      <w:szCs w:val="20"/>
    </w:rPr>
  </w:style>
  <w:style w:type="paragraph" w:styleId="Primeirorecuodecorpodetexto">
    <w:name w:val="Body Text First Indent"/>
    <w:basedOn w:val="Corpodetexto"/>
    <w:link w:val="PrimeirorecuodecorpodetextoChar"/>
    <w:uiPriority w:val="99"/>
    <w:semiHidden/>
    <w:unhideWhenUsed/>
    <w:rsid w:val="0003148D"/>
    <w:pPr>
      <w:spacing w:after="200"/>
      <w:ind w:firstLine="360"/>
    </w:pPr>
  </w:style>
  <w:style w:type="character" w:customStyle="1" w:styleId="PrimeirorecuodecorpodetextoChar">
    <w:name w:val="Primeiro recuo de corpo de texto Char"/>
    <w:basedOn w:val="CorpodetextoChar"/>
    <w:link w:val="Primeirorecuodecorpodetexto"/>
    <w:uiPriority w:val="99"/>
    <w:semiHidden/>
    <w:rsid w:val="0003148D"/>
  </w:style>
  <w:style w:type="paragraph" w:styleId="Recuodecorpodetexto">
    <w:name w:val="Body Text Indent"/>
    <w:basedOn w:val="Normal"/>
    <w:link w:val="RecuodecorpodetextoChar"/>
    <w:uiPriority w:val="99"/>
    <w:semiHidden/>
    <w:unhideWhenUsed/>
    <w:rsid w:val="0003148D"/>
    <w:pPr>
      <w:spacing w:after="120"/>
      <w:ind w:left="283"/>
    </w:pPr>
  </w:style>
  <w:style w:type="character" w:customStyle="1" w:styleId="RecuodecorpodetextoChar">
    <w:name w:val="Recuo de corpo de texto Char"/>
    <w:basedOn w:val="Fontepargpadro"/>
    <w:link w:val="Recuodecorpodetexto"/>
    <w:uiPriority w:val="99"/>
    <w:semiHidden/>
    <w:rsid w:val="0003148D"/>
  </w:style>
  <w:style w:type="paragraph" w:styleId="Primeirorecuodecorpodetexto2">
    <w:name w:val="Body Text First Indent 2"/>
    <w:basedOn w:val="Recuodecorpodetexto"/>
    <w:link w:val="Primeirorecuodecorpodetexto2Char"/>
    <w:uiPriority w:val="99"/>
    <w:semiHidden/>
    <w:unhideWhenUsed/>
    <w:rsid w:val="0003148D"/>
    <w:pPr>
      <w:spacing w:after="200"/>
      <w:ind w:left="360" w:firstLine="360"/>
    </w:pPr>
  </w:style>
  <w:style w:type="character" w:customStyle="1" w:styleId="Primeirorecuodecorpodetexto2Char">
    <w:name w:val="Primeiro recuo de corpo de texto 2 Char"/>
    <w:basedOn w:val="RecuodecorpodetextoChar"/>
    <w:link w:val="Primeirorecuodecorpodetexto2"/>
    <w:uiPriority w:val="99"/>
    <w:semiHidden/>
    <w:rsid w:val="0003148D"/>
  </w:style>
  <w:style w:type="paragraph" w:styleId="Commarcadores">
    <w:name w:val="List Bullet"/>
    <w:basedOn w:val="Normal"/>
    <w:uiPriority w:val="99"/>
    <w:semiHidden/>
    <w:unhideWhenUsed/>
    <w:rsid w:val="0003148D"/>
    <w:pPr>
      <w:numPr>
        <w:numId w:val="7"/>
      </w:numPr>
      <w:contextualSpacing/>
    </w:pPr>
  </w:style>
  <w:style w:type="paragraph" w:styleId="Commarcadores2">
    <w:name w:val="List Bullet 2"/>
    <w:basedOn w:val="Normal"/>
    <w:uiPriority w:val="99"/>
    <w:semiHidden/>
    <w:unhideWhenUsed/>
    <w:rsid w:val="0003148D"/>
    <w:pPr>
      <w:numPr>
        <w:numId w:val="8"/>
      </w:numPr>
      <w:contextualSpacing/>
    </w:pPr>
  </w:style>
  <w:style w:type="paragraph" w:styleId="Commarcadores3">
    <w:name w:val="List Bullet 3"/>
    <w:basedOn w:val="Normal"/>
    <w:uiPriority w:val="99"/>
    <w:semiHidden/>
    <w:unhideWhenUsed/>
    <w:rsid w:val="0003148D"/>
    <w:pPr>
      <w:numPr>
        <w:numId w:val="9"/>
      </w:numPr>
      <w:contextualSpacing/>
    </w:pPr>
  </w:style>
  <w:style w:type="paragraph" w:styleId="Commarcadores4">
    <w:name w:val="List Bullet 4"/>
    <w:basedOn w:val="Normal"/>
    <w:uiPriority w:val="99"/>
    <w:semiHidden/>
    <w:unhideWhenUsed/>
    <w:rsid w:val="0003148D"/>
    <w:pPr>
      <w:numPr>
        <w:numId w:val="10"/>
      </w:numPr>
      <w:contextualSpacing/>
    </w:pPr>
  </w:style>
  <w:style w:type="paragraph" w:styleId="Commarcadores5">
    <w:name w:val="List Bullet 5"/>
    <w:basedOn w:val="Normal"/>
    <w:uiPriority w:val="99"/>
    <w:semiHidden/>
    <w:unhideWhenUsed/>
    <w:rsid w:val="0003148D"/>
    <w:pPr>
      <w:numPr>
        <w:numId w:val="11"/>
      </w:numPr>
      <w:contextualSpacing/>
    </w:pPr>
  </w:style>
  <w:style w:type="paragraph" w:styleId="Recuodecorpodetexto2">
    <w:name w:val="Body Text Indent 2"/>
    <w:basedOn w:val="Normal"/>
    <w:link w:val="Recuodecorpodetexto2Char"/>
    <w:uiPriority w:val="99"/>
    <w:semiHidden/>
    <w:unhideWhenUsed/>
    <w:rsid w:val="0003148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3148D"/>
  </w:style>
  <w:style w:type="paragraph" w:styleId="Recuodecorpodetexto3">
    <w:name w:val="Body Text Indent 3"/>
    <w:basedOn w:val="Normal"/>
    <w:link w:val="Recuodecorpodetexto3Char"/>
    <w:uiPriority w:val="99"/>
    <w:semiHidden/>
    <w:unhideWhenUsed/>
    <w:rsid w:val="0003148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3148D"/>
    <w:rPr>
      <w:sz w:val="16"/>
      <w:szCs w:val="16"/>
    </w:rPr>
  </w:style>
  <w:style w:type="paragraph" w:styleId="Recuonormal">
    <w:name w:val="Normal Indent"/>
    <w:basedOn w:val="Normal"/>
    <w:uiPriority w:val="99"/>
    <w:semiHidden/>
    <w:unhideWhenUsed/>
    <w:rsid w:val="0003148D"/>
    <w:pPr>
      <w:ind w:left="720"/>
    </w:pPr>
  </w:style>
  <w:style w:type="paragraph" w:styleId="Textodecomentrio">
    <w:name w:val="annotation text"/>
    <w:basedOn w:val="Normal"/>
    <w:link w:val="TextodecomentrioChar"/>
    <w:uiPriority w:val="99"/>
    <w:unhideWhenUsed/>
    <w:rsid w:val="0003148D"/>
    <w:pPr>
      <w:spacing w:line="240" w:lineRule="auto"/>
    </w:pPr>
  </w:style>
  <w:style w:type="character" w:customStyle="1" w:styleId="TextodecomentrioChar">
    <w:name w:val="Texto de comentário Char"/>
    <w:basedOn w:val="Fontepargpadro"/>
    <w:link w:val="Textodecomentrio"/>
    <w:uiPriority w:val="99"/>
    <w:rsid w:val="0003148D"/>
    <w:rPr>
      <w:sz w:val="20"/>
      <w:szCs w:val="20"/>
    </w:rPr>
  </w:style>
  <w:style w:type="paragraph" w:styleId="Assuntodocomentrio">
    <w:name w:val="annotation subject"/>
    <w:basedOn w:val="Textodecomentrio"/>
    <w:next w:val="Textodecomentrio"/>
    <w:link w:val="AssuntodocomentrioChar"/>
    <w:uiPriority w:val="99"/>
    <w:semiHidden/>
    <w:unhideWhenUsed/>
    <w:rsid w:val="0003148D"/>
    <w:rPr>
      <w:b/>
      <w:bCs/>
    </w:rPr>
  </w:style>
  <w:style w:type="character" w:customStyle="1" w:styleId="AssuntodocomentrioChar">
    <w:name w:val="Assunto do comentário Char"/>
    <w:basedOn w:val="TextodecomentrioChar"/>
    <w:link w:val="Assuntodocomentrio"/>
    <w:uiPriority w:val="99"/>
    <w:semiHidden/>
    <w:rsid w:val="0003148D"/>
    <w:rPr>
      <w:b/>
      <w:bCs/>
      <w:sz w:val="20"/>
      <w:szCs w:val="20"/>
    </w:rPr>
  </w:style>
  <w:style w:type="paragraph" w:styleId="Sumrio1">
    <w:name w:val="toc 1"/>
    <w:basedOn w:val="Normal"/>
    <w:next w:val="Normal"/>
    <w:autoRedefine/>
    <w:uiPriority w:val="39"/>
    <w:semiHidden/>
    <w:unhideWhenUsed/>
    <w:rsid w:val="0003148D"/>
    <w:pPr>
      <w:spacing w:after="100"/>
    </w:pPr>
  </w:style>
  <w:style w:type="paragraph" w:styleId="Sumrio2">
    <w:name w:val="toc 2"/>
    <w:basedOn w:val="Normal"/>
    <w:next w:val="Normal"/>
    <w:autoRedefine/>
    <w:uiPriority w:val="39"/>
    <w:semiHidden/>
    <w:unhideWhenUsed/>
    <w:rsid w:val="0003148D"/>
    <w:pPr>
      <w:spacing w:after="100"/>
      <w:ind w:left="220"/>
    </w:pPr>
  </w:style>
  <w:style w:type="paragraph" w:styleId="Sumrio3">
    <w:name w:val="toc 3"/>
    <w:basedOn w:val="Normal"/>
    <w:next w:val="Normal"/>
    <w:autoRedefine/>
    <w:uiPriority w:val="39"/>
    <w:semiHidden/>
    <w:unhideWhenUsed/>
    <w:rsid w:val="0003148D"/>
    <w:pPr>
      <w:spacing w:after="100"/>
      <w:ind w:left="440"/>
    </w:pPr>
  </w:style>
  <w:style w:type="paragraph" w:styleId="Sumrio4">
    <w:name w:val="toc 4"/>
    <w:basedOn w:val="Normal"/>
    <w:next w:val="Normal"/>
    <w:autoRedefine/>
    <w:uiPriority w:val="39"/>
    <w:semiHidden/>
    <w:unhideWhenUsed/>
    <w:rsid w:val="0003148D"/>
    <w:pPr>
      <w:spacing w:after="100"/>
      <w:ind w:left="660"/>
    </w:pPr>
  </w:style>
  <w:style w:type="paragraph" w:styleId="Sumrio5">
    <w:name w:val="toc 5"/>
    <w:basedOn w:val="Normal"/>
    <w:next w:val="Normal"/>
    <w:autoRedefine/>
    <w:uiPriority w:val="39"/>
    <w:semiHidden/>
    <w:unhideWhenUsed/>
    <w:rsid w:val="0003148D"/>
    <w:pPr>
      <w:spacing w:after="100"/>
      <w:ind w:left="880"/>
    </w:pPr>
  </w:style>
  <w:style w:type="paragraph" w:styleId="Sumrio6">
    <w:name w:val="toc 6"/>
    <w:basedOn w:val="Normal"/>
    <w:next w:val="Normal"/>
    <w:autoRedefine/>
    <w:uiPriority w:val="39"/>
    <w:semiHidden/>
    <w:unhideWhenUsed/>
    <w:rsid w:val="0003148D"/>
    <w:pPr>
      <w:spacing w:after="100"/>
      <w:ind w:left="1100"/>
    </w:pPr>
  </w:style>
  <w:style w:type="paragraph" w:styleId="Sumrio7">
    <w:name w:val="toc 7"/>
    <w:basedOn w:val="Normal"/>
    <w:next w:val="Normal"/>
    <w:autoRedefine/>
    <w:uiPriority w:val="39"/>
    <w:semiHidden/>
    <w:unhideWhenUsed/>
    <w:rsid w:val="0003148D"/>
    <w:pPr>
      <w:spacing w:after="100"/>
      <w:ind w:left="1320"/>
    </w:pPr>
  </w:style>
  <w:style w:type="paragraph" w:styleId="Sumrio8">
    <w:name w:val="toc 8"/>
    <w:basedOn w:val="Normal"/>
    <w:next w:val="Normal"/>
    <w:autoRedefine/>
    <w:uiPriority w:val="39"/>
    <w:semiHidden/>
    <w:unhideWhenUsed/>
    <w:rsid w:val="0003148D"/>
    <w:pPr>
      <w:spacing w:after="100"/>
      <w:ind w:left="1540"/>
    </w:pPr>
  </w:style>
  <w:style w:type="paragraph" w:styleId="Sumrio9">
    <w:name w:val="toc 9"/>
    <w:basedOn w:val="Normal"/>
    <w:next w:val="Normal"/>
    <w:autoRedefine/>
    <w:uiPriority w:val="39"/>
    <w:semiHidden/>
    <w:unhideWhenUsed/>
    <w:rsid w:val="0003148D"/>
    <w:pPr>
      <w:spacing w:after="100"/>
      <w:ind w:left="1760"/>
    </w:pPr>
  </w:style>
  <w:style w:type="paragraph" w:styleId="Textoembloco">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demacro">
    <w:name w:val="macro"/>
    <w:link w:val="Textodemacro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demacroChar">
    <w:name w:val="Texto de macro Char"/>
    <w:basedOn w:val="Fontepargpadro"/>
    <w:link w:val="Textodemacro"/>
    <w:uiPriority w:val="99"/>
    <w:semiHidden/>
    <w:rsid w:val="0003148D"/>
    <w:rPr>
      <w:rFonts w:ascii="Consolas" w:hAnsi="Consolas" w:cs="Consolas"/>
      <w:sz w:val="20"/>
      <w:szCs w:val="20"/>
    </w:rPr>
  </w:style>
  <w:style w:type="paragraph" w:styleId="TextosemFormatao">
    <w:name w:val="Plain Text"/>
    <w:basedOn w:val="Normal"/>
    <w:link w:val="TextosemFormataoChar"/>
    <w:uiPriority w:val="99"/>
    <w:semiHidden/>
    <w:unhideWhenUsed/>
    <w:rsid w:val="0003148D"/>
    <w:pPr>
      <w:spacing w:line="240" w:lineRule="auto"/>
    </w:pPr>
    <w:rPr>
      <w:rFonts w:ascii="Consolas" w:hAnsi="Consolas" w:cs="Consolas"/>
      <w:sz w:val="21"/>
      <w:szCs w:val="21"/>
    </w:rPr>
  </w:style>
  <w:style w:type="character" w:customStyle="1" w:styleId="TextosemFormataoChar">
    <w:name w:val="Texto sem Formatação Char"/>
    <w:basedOn w:val="Fontepargpadro"/>
    <w:link w:val="TextosemFormatao"/>
    <w:uiPriority w:val="99"/>
    <w:semiHidden/>
    <w:rsid w:val="0003148D"/>
    <w:rPr>
      <w:rFonts w:ascii="Consolas" w:hAnsi="Consolas" w:cs="Consolas"/>
      <w:sz w:val="21"/>
      <w:szCs w:val="21"/>
    </w:rPr>
  </w:style>
  <w:style w:type="paragraph" w:styleId="Textodenotaderodap">
    <w:name w:val="footnote text"/>
    <w:basedOn w:val="Normal"/>
    <w:link w:val="TextodenotaderodapChar"/>
    <w:uiPriority w:val="99"/>
    <w:semiHidden/>
    <w:unhideWhenUsed/>
    <w:rsid w:val="0003148D"/>
    <w:pPr>
      <w:spacing w:line="240" w:lineRule="auto"/>
    </w:pPr>
  </w:style>
  <w:style w:type="character" w:customStyle="1" w:styleId="TextodenotaderodapChar">
    <w:name w:val="Texto de nota de rodapé Char"/>
    <w:basedOn w:val="Fontepargpadro"/>
    <w:link w:val="Textodenotaderodap"/>
    <w:uiPriority w:val="99"/>
    <w:semiHidden/>
    <w:rsid w:val="0003148D"/>
    <w:rPr>
      <w:sz w:val="20"/>
      <w:szCs w:val="20"/>
    </w:rPr>
  </w:style>
  <w:style w:type="paragraph" w:styleId="Textodenotadefim">
    <w:name w:val="endnote text"/>
    <w:basedOn w:val="Normal"/>
    <w:link w:val="TextodenotadefimChar"/>
    <w:uiPriority w:val="99"/>
    <w:semiHidden/>
    <w:unhideWhenUsed/>
    <w:rsid w:val="0003148D"/>
    <w:pPr>
      <w:spacing w:line="240" w:lineRule="auto"/>
    </w:pPr>
  </w:style>
  <w:style w:type="character" w:customStyle="1" w:styleId="TextodenotadefimChar">
    <w:name w:val="Texto de nota de fim Char"/>
    <w:basedOn w:val="Fontepargpadro"/>
    <w:link w:val="Textodenotadefim"/>
    <w:uiPriority w:val="99"/>
    <w:semiHidden/>
    <w:rsid w:val="0003148D"/>
    <w:rPr>
      <w:sz w:val="20"/>
      <w:szCs w:val="20"/>
    </w:rPr>
  </w:style>
  <w:style w:type="character" w:customStyle="1" w:styleId="Ttulo1Char">
    <w:name w:val="Título 1 Char"/>
    <w:basedOn w:val="Fontepargpadro"/>
    <w:link w:val="Ttulo1"/>
    <w:uiPriority w:val="9"/>
    <w:rsid w:val="004F5E36"/>
    <w:rPr>
      <w:rFonts w:ascii="Arial" w:eastAsia="Times New Roman" w:hAnsi="Arial" w:cs="Times New Roman"/>
      <w:b/>
      <w:sz w:val="20"/>
      <w:szCs w:val="20"/>
      <w:lang w:val="en-GB"/>
    </w:rPr>
  </w:style>
  <w:style w:type="character" w:customStyle="1" w:styleId="Ttulo2Char">
    <w:name w:val="Título 2 Char"/>
    <w:basedOn w:val="Fontepargpadro"/>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3148D"/>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remissivo">
    <w:name w:val="index heading"/>
    <w:basedOn w:val="Normal"/>
    <w:next w:val="Remissivo1"/>
    <w:uiPriority w:val="99"/>
    <w:semiHidden/>
    <w:unhideWhenUsed/>
    <w:rsid w:val="0003148D"/>
    <w:rPr>
      <w:rFonts w:asciiTheme="majorHAnsi" w:eastAsiaTheme="majorEastAsia" w:hAnsiTheme="majorHAnsi" w:cstheme="majorBidi"/>
      <w:b/>
      <w:bCs/>
    </w:rPr>
  </w:style>
  <w:style w:type="paragraph" w:styleId="Ttulodendicedeautoridades">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CabealhodoSumrio">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ontepargpadr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Cabealho">
    <w:name w:val="header"/>
    <w:basedOn w:val="Normal"/>
    <w:link w:val="CabealhoChar"/>
    <w:uiPriority w:val="99"/>
    <w:unhideWhenUsed/>
    <w:rsid w:val="005278B7"/>
    <w:pPr>
      <w:tabs>
        <w:tab w:val="clear" w:pos="7100"/>
        <w:tab w:val="center" w:pos="4819"/>
        <w:tab w:val="right" w:pos="9638"/>
      </w:tabs>
      <w:spacing w:line="240" w:lineRule="auto"/>
    </w:pPr>
  </w:style>
  <w:style w:type="character" w:customStyle="1" w:styleId="CabealhoChar">
    <w:name w:val="Cabeçalho Char"/>
    <w:basedOn w:val="Fontepargpadro"/>
    <w:link w:val="Cabealho"/>
    <w:uiPriority w:val="99"/>
    <w:rsid w:val="005278B7"/>
    <w:rPr>
      <w:rFonts w:ascii="Arial" w:eastAsia="Times New Roman" w:hAnsi="Arial" w:cs="Times New Roman"/>
      <w:sz w:val="18"/>
      <w:szCs w:val="20"/>
      <w:lang w:val="en-GB"/>
    </w:rPr>
  </w:style>
  <w:style w:type="paragraph" w:styleId="Rodap">
    <w:name w:val="footer"/>
    <w:basedOn w:val="Normal"/>
    <w:link w:val="RodapChar"/>
    <w:uiPriority w:val="99"/>
    <w:unhideWhenUsed/>
    <w:rsid w:val="005278B7"/>
    <w:pPr>
      <w:tabs>
        <w:tab w:val="clear" w:pos="7100"/>
        <w:tab w:val="center" w:pos="4819"/>
        <w:tab w:val="right" w:pos="9638"/>
      </w:tabs>
      <w:spacing w:line="240" w:lineRule="auto"/>
    </w:pPr>
  </w:style>
  <w:style w:type="character" w:customStyle="1" w:styleId="RodapChar">
    <w:name w:val="Rodapé Char"/>
    <w:basedOn w:val="Fontepargpadro"/>
    <w:link w:val="Rodap"/>
    <w:uiPriority w:val="99"/>
    <w:rsid w:val="005278B7"/>
    <w:rPr>
      <w:rFonts w:ascii="Arial" w:eastAsia="Times New Roman" w:hAnsi="Arial" w:cs="Times New Roman"/>
      <w:sz w:val="18"/>
      <w:szCs w:val="20"/>
      <w:lang w:val="en-GB"/>
    </w:rPr>
  </w:style>
  <w:style w:type="table" w:styleId="Tabelacomgrade">
    <w:name w:val="Table Grid"/>
    <w:basedOn w:val="Tabe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04C62"/>
    <w:rPr>
      <w:color w:val="0000FF" w:themeColor="hyperlink"/>
      <w:u w:val="single"/>
    </w:rPr>
  </w:style>
  <w:style w:type="character" w:customStyle="1" w:styleId="eudoraheader">
    <w:name w:val="eudoraheader"/>
    <w:basedOn w:val="Fontepargpadr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grafodaLista">
    <w:name w:val="List Paragraph"/>
    <w:basedOn w:val="Normal"/>
    <w:uiPriority w:val="34"/>
    <w:rsid w:val="00280FAF"/>
    <w:pPr>
      <w:ind w:left="720"/>
      <w:contextualSpacing/>
    </w:pPr>
  </w:style>
  <w:style w:type="character" w:customStyle="1" w:styleId="gmail-apple-converted-space">
    <w:name w:val="gmail-apple-converted-space"/>
    <w:basedOn w:val="Fontepargpadro"/>
    <w:rsid w:val="00005A19"/>
  </w:style>
  <w:style w:type="character" w:styleId="TextodoEspaoReservado">
    <w:name w:val="Placeholder Text"/>
    <w:basedOn w:val="Fontepargpadro"/>
    <w:uiPriority w:val="99"/>
    <w:semiHidden/>
    <w:rsid w:val="003846F6"/>
    <w:rPr>
      <w:color w:val="666666"/>
    </w:rPr>
  </w:style>
  <w:style w:type="character" w:styleId="MenoPendente">
    <w:name w:val="Unresolved Mention"/>
    <w:basedOn w:val="Fontepargpadro"/>
    <w:uiPriority w:val="99"/>
    <w:semiHidden/>
    <w:unhideWhenUsed/>
    <w:rsid w:val="00DF4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3498</Words>
  <Characters>18890</Characters>
  <Application>Microsoft Office Word</Application>
  <DocSecurity>0</DocSecurity>
  <Lines>157</Lines>
  <Paragraphs>44</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Bruno Cabral</cp:lastModifiedBy>
  <cp:revision>2</cp:revision>
  <cp:lastPrinted>2015-05-12T18:31:00Z</cp:lastPrinted>
  <dcterms:created xsi:type="dcterms:W3CDTF">2026-03-02T19:30:00Z</dcterms:created>
  <dcterms:modified xsi:type="dcterms:W3CDTF">2026-03-02T19:30:00Z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