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F95966">
        <w:trPr>
          <w:trHeight w:val="852"/>
          <w:jc w:val="center"/>
        </w:trPr>
        <w:tc>
          <w:tcPr>
            <w:tcW w:w="6940" w:type="dxa"/>
            <w:vMerge w:val="restart"/>
            <w:tcBorders>
              <w:right w:val="single" w:sz="4" w:space="0" w:color="auto"/>
            </w:tcBorders>
          </w:tcPr>
          <w:p w14:paraId="38C3D2BA" w14:textId="77777777" w:rsidR="000A03B2" w:rsidRPr="00B57B36" w:rsidRDefault="000A03B2" w:rsidP="00B34421">
            <w:pPr>
              <w:tabs>
                <w:tab w:val="left" w:pos="-108"/>
              </w:tabs>
              <w:spacing w:line="240" w:lineRule="auto"/>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B34421">
            <w:pPr>
              <w:tabs>
                <w:tab w:val="left" w:pos="-108"/>
              </w:tabs>
              <w:spacing w:line="240" w:lineRule="auto"/>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B34421">
            <w:pPr>
              <w:spacing w:line="240" w:lineRule="auto"/>
              <w:jc w:val="right"/>
              <w:rPr>
                <w:rFonts w:cs="Arial"/>
                <w:sz w:val="14"/>
                <w:szCs w:val="14"/>
              </w:rPr>
            </w:pPr>
            <w:r w:rsidRPr="00B57B36">
              <w:rPr>
                <w:rFonts w:cs="Arial"/>
                <w:sz w:val="14"/>
                <w:szCs w:val="14"/>
              </w:rPr>
              <w:t>A publication of</w:t>
            </w:r>
          </w:p>
          <w:p w14:paraId="599E5441" w14:textId="77777777" w:rsidR="000A03B2" w:rsidRPr="00B57B36" w:rsidRDefault="000A03B2" w:rsidP="00B34421">
            <w:pPr>
              <w:spacing w:line="240" w:lineRule="auto"/>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F95966">
        <w:trPr>
          <w:trHeight w:val="567"/>
          <w:jc w:val="center"/>
        </w:trPr>
        <w:tc>
          <w:tcPr>
            <w:tcW w:w="6940" w:type="dxa"/>
            <w:vMerge/>
            <w:tcBorders>
              <w:right w:val="single" w:sz="4" w:space="0" w:color="auto"/>
            </w:tcBorders>
          </w:tcPr>
          <w:p w14:paraId="39E5E4C1" w14:textId="77777777" w:rsidR="000A03B2" w:rsidRPr="00B57B36" w:rsidRDefault="000A03B2" w:rsidP="00B34421">
            <w:pPr>
              <w:tabs>
                <w:tab w:val="left" w:pos="-108"/>
              </w:tabs>
              <w:spacing w:line="240" w:lineRule="auto"/>
            </w:pPr>
          </w:p>
        </w:tc>
        <w:tc>
          <w:tcPr>
            <w:tcW w:w="1842" w:type="dxa"/>
            <w:tcBorders>
              <w:left w:val="single" w:sz="4" w:space="0" w:color="auto"/>
              <w:bottom w:val="nil"/>
              <w:right w:val="single" w:sz="4" w:space="0" w:color="auto"/>
            </w:tcBorders>
          </w:tcPr>
          <w:p w14:paraId="43858A98" w14:textId="77777777" w:rsidR="000A03B2" w:rsidRPr="00B57B36" w:rsidRDefault="000A03B2" w:rsidP="00B34421">
            <w:pPr>
              <w:spacing w:line="240" w:lineRule="auto"/>
              <w:jc w:val="right"/>
              <w:rPr>
                <w:rFonts w:cs="Arial"/>
                <w:sz w:val="14"/>
                <w:szCs w:val="14"/>
              </w:rPr>
            </w:pPr>
            <w:r w:rsidRPr="00B57B36">
              <w:rPr>
                <w:rFonts w:cs="Arial"/>
                <w:sz w:val="14"/>
                <w:szCs w:val="14"/>
              </w:rPr>
              <w:t>The Italian Association</w:t>
            </w:r>
          </w:p>
          <w:p w14:paraId="7522B1D2" w14:textId="77777777" w:rsidR="000A03B2" w:rsidRPr="00B57B36" w:rsidRDefault="000A03B2" w:rsidP="00B34421">
            <w:pPr>
              <w:spacing w:line="240" w:lineRule="auto"/>
              <w:jc w:val="right"/>
              <w:rPr>
                <w:rFonts w:cs="Arial"/>
                <w:sz w:val="14"/>
                <w:szCs w:val="14"/>
              </w:rPr>
            </w:pPr>
            <w:r w:rsidRPr="00B57B36">
              <w:rPr>
                <w:rFonts w:cs="Arial"/>
                <w:sz w:val="14"/>
                <w:szCs w:val="14"/>
              </w:rPr>
              <w:t>of Chemical Engineering</w:t>
            </w:r>
          </w:p>
          <w:p w14:paraId="4F0CC5DE" w14:textId="47FDB2FC" w:rsidR="000A03B2" w:rsidRPr="000D0268" w:rsidRDefault="000D0268" w:rsidP="00B34421">
            <w:pPr>
              <w:spacing w:line="240" w:lineRule="auto"/>
              <w:jc w:val="right"/>
              <w:rPr>
                <w:rFonts w:cs="Arial"/>
                <w:sz w:val="13"/>
                <w:szCs w:val="13"/>
              </w:rPr>
            </w:pPr>
            <w:r w:rsidRPr="000D0268">
              <w:rPr>
                <w:rFonts w:cs="Arial"/>
                <w:sz w:val="13"/>
                <w:szCs w:val="13"/>
              </w:rPr>
              <w:t>Online at www.cetjournal.it</w:t>
            </w:r>
          </w:p>
        </w:tc>
      </w:tr>
      <w:tr w:rsidR="000A03B2" w:rsidRPr="00B57B36" w14:paraId="2D1B7169" w14:textId="77777777" w:rsidTr="0048652F">
        <w:trPr>
          <w:trHeight w:val="68"/>
          <w:jc w:val="center"/>
        </w:trPr>
        <w:tc>
          <w:tcPr>
            <w:tcW w:w="8782" w:type="dxa"/>
            <w:gridSpan w:val="2"/>
            <w:tcBorders>
              <w:bottom w:val="single" w:sz="4" w:space="0" w:color="92D050"/>
            </w:tcBorders>
          </w:tcPr>
          <w:p w14:paraId="1D8DD3C9" w14:textId="252289FB" w:rsidR="00AA7D26" w:rsidRPr="00005884" w:rsidRDefault="004A5E57" w:rsidP="00B34421">
            <w:pPr>
              <w:spacing w:line="240" w:lineRule="auto"/>
              <w:ind w:left="-107"/>
              <w:outlineLvl w:val="2"/>
              <w:rPr>
                <w:rFonts w:ascii="Tahoma" w:hAnsi="Tahoma" w:cs="Tahoma"/>
                <w:bCs/>
                <w:color w:val="000000"/>
                <w:sz w:val="14"/>
                <w:szCs w:val="14"/>
                <w:lang w:val="it-IT" w:eastAsia="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005884" w:rsidRPr="00005884">
              <w:rPr>
                <w:rFonts w:ascii="Tahoma" w:hAnsi="Tahoma" w:cs="Tahoma"/>
                <w:color w:val="000000"/>
                <w:sz w:val="14"/>
                <w:szCs w:val="14"/>
                <w:shd w:val="clear" w:color="auto" w:fill="FFFFFF"/>
                <w:lang w:val="it-IT"/>
              </w:rPr>
              <w:t>Marco Bravi, Antonio Marzocchella, Giuseppe Caputo</w:t>
            </w:r>
          </w:p>
          <w:p w14:paraId="1B0F1814" w14:textId="710B7B96" w:rsidR="000A03B2" w:rsidRPr="00B57B36" w:rsidRDefault="00AA7D26" w:rsidP="00B34421">
            <w:pPr>
              <w:tabs>
                <w:tab w:val="left" w:pos="-108"/>
              </w:tabs>
              <w:spacing w:line="240" w:lineRule="auto"/>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xml:space="preserve">, AIDIC Servizi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6355D916" w:rsidR="00E978D0" w:rsidRPr="00B57B36" w:rsidRDefault="00AA2A65" w:rsidP="00B34421">
      <w:pPr>
        <w:pStyle w:val="CETTitle"/>
        <w:spacing w:before="0" w:after="0" w:line="240" w:lineRule="auto"/>
      </w:pPr>
      <w:r w:rsidRPr="00F95966">
        <w:t xml:space="preserve">Study </w:t>
      </w:r>
      <w:r w:rsidR="00EA771F">
        <w:t>o</w:t>
      </w:r>
      <w:r w:rsidRPr="00F95966">
        <w:t xml:space="preserve">f </w:t>
      </w:r>
      <w:r w:rsidR="00EA771F">
        <w:t>t</w:t>
      </w:r>
      <w:r w:rsidRPr="00F95966">
        <w:t xml:space="preserve">he </w:t>
      </w:r>
      <w:r w:rsidR="00C868DE">
        <w:t>P</w:t>
      </w:r>
      <w:r w:rsidRPr="00F95966">
        <w:t xml:space="preserve">erformance </w:t>
      </w:r>
      <w:r w:rsidR="00EA771F">
        <w:t>o</w:t>
      </w:r>
      <w:r w:rsidRPr="00F95966">
        <w:t xml:space="preserve">f </w:t>
      </w:r>
      <w:r w:rsidR="00C868DE">
        <w:t>P</w:t>
      </w:r>
      <w:r w:rsidRPr="00F95966">
        <w:t xml:space="preserve">lant </w:t>
      </w:r>
      <w:r w:rsidR="00C868DE">
        <w:t>B</w:t>
      </w:r>
      <w:r w:rsidRPr="00F95966">
        <w:t xml:space="preserve">iosurfactants in </w:t>
      </w:r>
      <w:r w:rsidR="00C868DE">
        <w:t>S</w:t>
      </w:r>
      <w:r w:rsidRPr="00F95966">
        <w:t xml:space="preserve">hampoo </w:t>
      </w:r>
      <w:r w:rsidR="00C868DE">
        <w:t>F</w:t>
      </w:r>
      <w:r w:rsidRPr="00F95966">
        <w:t>ormulations</w:t>
      </w:r>
    </w:p>
    <w:p w14:paraId="69AB5DA2" w14:textId="23D83EC8" w:rsidR="000D2967" w:rsidRPr="008E13F1" w:rsidRDefault="00F95966" w:rsidP="00B34421">
      <w:pPr>
        <w:pStyle w:val="CETAuthors"/>
        <w:spacing w:after="0" w:line="240" w:lineRule="auto"/>
        <w:jc w:val="center"/>
        <w:rPr>
          <w:vertAlign w:val="superscript"/>
        </w:rPr>
      </w:pPr>
      <w:r w:rsidRPr="008E13F1">
        <w:t>K</w:t>
      </w:r>
      <w:r w:rsidR="009B002B">
        <w:t xml:space="preserve">eila I. </w:t>
      </w:r>
      <w:r w:rsidRPr="008E13F1">
        <w:t>Costa</w:t>
      </w:r>
      <w:r w:rsidRPr="008E13F1">
        <w:rPr>
          <w:vertAlign w:val="superscript"/>
        </w:rPr>
        <w:t>a</w:t>
      </w:r>
      <w:r w:rsidR="008D4BBA">
        <w:rPr>
          <w:vertAlign w:val="superscript"/>
        </w:rPr>
        <w:t>,</w:t>
      </w:r>
      <w:r w:rsidR="00CA4B56" w:rsidRPr="008E13F1">
        <w:rPr>
          <w:vertAlign w:val="superscript"/>
        </w:rPr>
        <w:t>*</w:t>
      </w:r>
      <w:r w:rsidR="00FD66A0" w:rsidRPr="008E13F1">
        <w:t>,</w:t>
      </w:r>
      <w:r w:rsidR="007F3AAF" w:rsidRPr="008E13F1">
        <w:t xml:space="preserve"> </w:t>
      </w:r>
      <w:r w:rsidR="00FD66A0" w:rsidRPr="008E13F1">
        <w:t>M</w:t>
      </w:r>
      <w:r w:rsidR="009B002B">
        <w:t xml:space="preserve">aria </w:t>
      </w:r>
      <w:r w:rsidRPr="008E13F1">
        <w:t>L</w:t>
      </w:r>
      <w:r w:rsidR="009B002B">
        <w:t>.</w:t>
      </w:r>
      <w:r w:rsidRPr="008E13F1">
        <w:t>S</w:t>
      </w:r>
      <w:r w:rsidR="009B002B">
        <w:t>.</w:t>
      </w:r>
      <w:r w:rsidRPr="008E13F1">
        <w:t xml:space="preserve"> Freire</w:t>
      </w:r>
      <w:r w:rsidRPr="008E13F1">
        <w:rPr>
          <w:vertAlign w:val="superscript"/>
        </w:rPr>
        <w:t>a</w:t>
      </w:r>
      <w:r w:rsidR="00FD66A0" w:rsidRPr="008E13F1">
        <w:t>,</w:t>
      </w:r>
      <w:r w:rsidR="007F3AAF" w:rsidRPr="008E13F1">
        <w:t xml:space="preserve"> </w:t>
      </w:r>
      <w:r w:rsidR="00FD66A0" w:rsidRPr="008E13F1">
        <w:t>A</w:t>
      </w:r>
      <w:r w:rsidR="009B002B">
        <w:t xml:space="preserve">na </w:t>
      </w:r>
      <w:r w:rsidRPr="008E13F1">
        <w:t>J</w:t>
      </w:r>
      <w:r w:rsidR="009B002B">
        <w:t>.</w:t>
      </w:r>
      <w:r w:rsidRPr="008E13F1">
        <w:t>V</w:t>
      </w:r>
      <w:r w:rsidR="009B002B">
        <w:t>.</w:t>
      </w:r>
      <w:r w:rsidRPr="008E13F1">
        <w:t>M Soares</w:t>
      </w:r>
      <w:r w:rsidRPr="008E13F1">
        <w:rPr>
          <w:vertAlign w:val="superscript"/>
        </w:rPr>
        <w:t>a</w:t>
      </w:r>
      <w:r w:rsidR="00FD66A0" w:rsidRPr="008E13F1">
        <w:t>,</w:t>
      </w:r>
      <w:r w:rsidR="007F3AAF" w:rsidRPr="008E13F1">
        <w:t xml:space="preserve"> </w:t>
      </w:r>
      <w:r w:rsidR="00FD66A0" w:rsidRPr="008E13F1">
        <w:t>J</w:t>
      </w:r>
      <w:r w:rsidR="009B002B">
        <w:t xml:space="preserve">oyce </w:t>
      </w:r>
      <w:r w:rsidRPr="008E13F1">
        <w:t>A</w:t>
      </w:r>
      <w:r w:rsidR="009B002B">
        <w:t>.</w:t>
      </w:r>
      <w:r w:rsidRPr="008E13F1">
        <w:t xml:space="preserve"> Oliveira</w:t>
      </w:r>
      <w:r w:rsidRPr="008E13F1">
        <w:rPr>
          <w:vertAlign w:val="superscript"/>
        </w:rPr>
        <w:t>a</w:t>
      </w:r>
      <w:r w:rsidR="00FD66A0" w:rsidRPr="008E13F1">
        <w:t>,</w:t>
      </w:r>
      <w:r w:rsidR="007F3AAF" w:rsidRPr="008E13F1">
        <w:t xml:space="preserve"> </w:t>
      </w:r>
      <w:r w:rsidR="00FD66A0" w:rsidRPr="008E13F1">
        <w:t>G</w:t>
      </w:r>
      <w:r w:rsidR="009B002B">
        <w:t>l</w:t>
      </w:r>
      <w:r w:rsidR="00EB225E">
        <w:t>eyce</w:t>
      </w:r>
      <w:r w:rsidR="009B002B">
        <w:t xml:space="preserve"> P.</w:t>
      </w:r>
      <w:r w:rsidRPr="008E13F1">
        <w:t xml:space="preserve"> Araujo</w:t>
      </w:r>
      <w:r w:rsidR="007F3AAF" w:rsidRPr="008E13F1">
        <w:rPr>
          <w:vertAlign w:val="superscript"/>
        </w:rPr>
        <w:t>c</w:t>
      </w:r>
      <w:r w:rsidR="00FD66A0" w:rsidRPr="008E13F1">
        <w:t xml:space="preserve">, </w:t>
      </w:r>
      <w:r w:rsidR="005B3116" w:rsidRPr="008E13F1">
        <w:t>M</w:t>
      </w:r>
      <w:r w:rsidR="009B002B">
        <w:t xml:space="preserve">aria </w:t>
      </w:r>
      <w:r w:rsidRPr="008E13F1">
        <w:t>G</w:t>
      </w:r>
      <w:r w:rsidR="009B002B">
        <w:t>.</w:t>
      </w:r>
      <w:r w:rsidRPr="008E13F1">
        <w:t xml:space="preserve"> Silva</w:t>
      </w:r>
      <w:r w:rsidR="00CA4B56" w:rsidRPr="008E13F1">
        <w:rPr>
          <w:vertAlign w:val="superscript"/>
        </w:rPr>
        <w:t>b</w:t>
      </w:r>
      <w:r w:rsidR="005B3116" w:rsidRPr="008E13F1">
        <w:t>,</w:t>
      </w:r>
      <w:r w:rsidR="007F3AAF" w:rsidRPr="008E13F1">
        <w:t xml:space="preserve"> </w:t>
      </w:r>
      <w:r w:rsidR="005B3116" w:rsidRPr="008E13F1">
        <w:t>L</w:t>
      </w:r>
      <w:r w:rsidR="009B002B">
        <w:t xml:space="preserve">eonie </w:t>
      </w:r>
      <w:r w:rsidRPr="008E13F1">
        <w:t>A</w:t>
      </w:r>
      <w:r w:rsidR="009B002B">
        <w:t>.</w:t>
      </w:r>
      <w:r w:rsidRPr="008E13F1">
        <w:t xml:space="preserve"> Sarubbo</w:t>
      </w:r>
      <w:r w:rsidR="00CA4B56" w:rsidRPr="008E13F1">
        <w:rPr>
          <w:vertAlign w:val="superscript"/>
        </w:rPr>
        <w:t>b</w:t>
      </w:r>
    </w:p>
    <w:p w14:paraId="0488FED2" w14:textId="10FBC00F" w:rsidR="00B57E6F" w:rsidRDefault="00F95966" w:rsidP="00B34421">
      <w:pPr>
        <w:pStyle w:val="CETAddress"/>
        <w:spacing w:line="240" w:lineRule="auto"/>
      </w:pPr>
      <w:r w:rsidRPr="00CA4B56">
        <w:rPr>
          <w:vertAlign w:val="superscript"/>
        </w:rPr>
        <w:t>a</w:t>
      </w:r>
      <w:r w:rsidRPr="00CA4B56">
        <w:t xml:space="preserve"> Federal University of Pernambuco, Chemical Engineering Department</w:t>
      </w:r>
      <w:r w:rsidR="00085AB6" w:rsidRPr="00085AB6">
        <w:t>, Av. Prof. Morass Rego, 1235—Cidade Universitária, Recife 50670-90, Pernambuco, Brazil</w:t>
      </w:r>
      <w:r w:rsidR="00085AB6">
        <w:t xml:space="preserve"> </w:t>
      </w:r>
    </w:p>
    <w:p w14:paraId="5F38DDDA" w14:textId="004FD1C0" w:rsidR="00CA4B56" w:rsidRDefault="00CA4B56" w:rsidP="00B34421">
      <w:pPr>
        <w:pStyle w:val="CETAddress"/>
        <w:spacing w:line="240" w:lineRule="auto"/>
      </w:pPr>
      <w:r w:rsidRPr="00CA4B56">
        <w:rPr>
          <w:vertAlign w:val="superscript"/>
        </w:rPr>
        <w:t>b</w:t>
      </w:r>
      <w:r w:rsidRPr="00CA4B56">
        <w:t>Advanced Institute of Technology and Innovation</w:t>
      </w:r>
      <w:r w:rsidR="00C92135">
        <w:t>- IATI, Rua Potira, n. 31, Prado, 50751310, Recife, Pernambuco, Brazil.</w:t>
      </w:r>
    </w:p>
    <w:p w14:paraId="14F84890" w14:textId="6182E91B" w:rsidR="00CA4B56" w:rsidRPr="00CA4B56" w:rsidRDefault="00CA4B56" w:rsidP="00B34421">
      <w:pPr>
        <w:pStyle w:val="CETAddress"/>
        <w:spacing w:line="240" w:lineRule="auto"/>
      </w:pPr>
      <w:r w:rsidRPr="00CA4B56">
        <w:rPr>
          <w:vertAlign w:val="superscript"/>
        </w:rPr>
        <w:t>c</w:t>
      </w:r>
      <w:r>
        <w:rPr>
          <w:vertAlign w:val="superscript"/>
        </w:rPr>
        <w:t xml:space="preserve"> </w:t>
      </w:r>
      <w:r w:rsidRPr="00CA4B56">
        <w:t>Federal Rural University of Pernambuco, Renorbio</w:t>
      </w:r>
      <w:r w:rsidR="006D2308">
        <w:t>- Recife, Brazil</w:t>
      </w:r>
    </w:p>
    <w:p w14:paraId="7C29FFA5" w14:textId="36474F66" w:rsidR="000917FA" w:rsidRDefault="00500D61" w:rsidP="00B34421">
      <w:pPr>
        <w:pStyle w:val="CETemail"/>
        <w:spacing w:after="0" w:line="240" w:lineRule="auto"/>
      </w:pPr>
      <w:r w:rsidRPr="005E30F0">
        <w:t>*</w:t>
      </w:r>
      <w:hyperlink r:id="rId10" w:history="1">
        <w:r w:rsidR="00BF1F5B" w:rsidRPr="00EF57D0">
          <w:rPr>
            <w:rStyle w:val="Hyperlink"/>
          </w:rPr>
          <w:t>keila131215@outlook.com</w:t>
        </w:r>
      </w:hyperlink>
    </w:p>
    <w:p w14:paraId="3A171177" w14:textId="77777777" w:rsidR="00B34421" w:rsidRPr="00B34421" w:rsidRDefault="00B34421" w:rsidP="00B34421">
      <w:pPr>
        <w:pStyle w:val="CETBodytext"/>
        <w:rPr>
          <w:lang w:val="en-GB"/>
        </w:rPr>
      </w:pPr>
    </w:p>
    <w:p w14:paraId="3F37578B" w14:textId="7B0EA702" w:rsidR="000917FA" w:rsidRDefault="000917FA" w:rsidP="00B34421">
      <w:pPr>
        <w:pStyle w:val="CETemail"/>
        <w:spacing w:after="0" w:line="240" w:lineRule="auto"/>
        <w:jc w:val="both"/>
        <w:rPr>
          <w:sz w:val="18"/>
          <w:lang w:val="en-US"/>
        </w:rPr>
      </w:pPr>
      <w:r w:rsidRPr="000917FA">
        <w:rPr>
          <w:sz w:val="18"/>
          <w:lang w:val="en-US"/>
        </w:rPr>
        <w:t xml:space="preserve">The cosmetics industry has been seeking to replace petroleum-derived synthetic surfactants with safer and more sustainable alternatives. In this context, plant-based biosurfactants, such as saponins extracted from </w:t>
      </w:r>
      <w:r w:rsidRPr="001973B2">
        <w:rPr>
          <w:i/>
          <w:iCs/>
          <w:sz w:val="18"/>
          <w:lang w:val="en-US"/>
        </w:rPr>
        <w:t>Chenopodium quinoa</w:t>
      </w:r>
      <w:r w:rsidRPr="000917FA">
        <w:rPr>
          <w:sz w:val="18"/>
          <w:lang w:val="en-US"/>
        </w:rPr>
        <w:t xml:space="preserve"> and </w:t>
      </w:r>
      <w:r w:rsidRPr="001973B2">
        <w:rPr>
          <w:i/>
          <w:iCs/>
          <w:sz w:val="18"/>
          <w:lang w:val="en-US"/>
        </w:rPr>
        <w:t>Ananas comosus</w:t>
      </w:r>
      <w:r w:rsidRPr="000917FA">
        <w:rPr>
          <w:sz w:val="18"/>
          <w:lang w:val="en-US"/>
        </w:rPr>
        <w:t>, stand out for their functional and biological properties. The objective of this study was to extract and apply these biosurfactants in shampoo formulations, evaluating their technological performance. Three prototypes were developed with different surfactant systems: P1, containing plant-based biosurfactants associated with a chemical surfactant; P2, containing exclusively plant-based biosurfactants; and P3, free of surfactant agents. The results indicated that prototype P1 presented 50% sebum removal, while P2 demonstrated a 48.5% increase in cleaning efficiency compared to the isolated chemical surfactant. The P3 formulation did not present cleaning efficiency. Additionally, biosurfactants contributed to improved shine and strength of the hair strands. Stability tests indicated instability in the density value of the formulations at high temperatures, while maintaining constant pH and organoleptic aspects. These results highlight the potential of plant-based biosurfactants for use in more sustainable cosmetics.</w:t>
      </w:r>
    </w:p>
    <w:p w14:paraId="6C2CC407" w14:textId="77777777" w:rsidR="00B34421" w:rsidRPr="00B34421" w:rsidRDefault="00B34421" w:rsidP="00B34421">
      <w:pPr>
        <w:pStyle w:val="CETBodytext"/>
      </w:pPr>
    </w:p>
    <w:p w14:paraId="476B2F2E" w14:textId="6BD401D8" w:rsidR="00600535" w:rsidRPr="00FF0E5D" w:rsidRDefault="00600535" w:rsidP="00B34421">
      <w:pPr>
        <w:pStyle w:val="CETHeading1"/>
        <w:numPr>
          <w:ilvl w:val="0"/>
          <w:numId w:val="25"/>
        </w:numPr>
        <w:spacing w:before="0" w:after="0"/>
        <w:rPr>
          <w:lang w:val="en-GB"/>
        </w:rPr>
      </w:pPr>
      <w:r w:rsidRPr="00FF0E5D">
        <w:rPr>
          <w:lang w:val="en-GB"/>
        </w:rPr>
        <w:t>Introduction</w:t>
      </w:r>
    </w:p>
    <w:p w14:paraId="240ACBE6" w14:textId="77777777" w:rsidR="00EC2A65" w:rsidRDefault="00EC2A65" w:rsidP="00B34421">
      <w:pPr>
        <w:pStyle w:val="CETBodytext"/>
        <w:spacing w:line="240" w:lineRule="auto"/>
      </w:pPr>
    </w:p>
    <w:p w14:paraId="00A43EF7" w14:textId="45B3F6AB" w:rsidR="001973B2" w:rsidRPr="001973B2" w:rsidRDefault="001973B2" w:rsidP="00B34421">
      <w:pPr>
        <w:pStyle w:val="CETBodytext"/>
        <w:spacing w:line="240" w:lineRule="auto"/>
      </w:pPr>
      <w:r w:rsidRPr="001973B2">
        <w:t>Throughout history, the cosmetics industry has relied mainly on petroleum-based surfactants, which, despite their high cleaning and foaming efficiency, are associated with significant challenges related to toxicity and negative environmental impact due to their low biodegradability and non-renewable origin (Araujo, 2025). This reality has driven a global transition towards safer and more environmentally responsible alternatives, in which biosurfactants are emerging as key players due to their low toxicity, high biodegradability and excellent compatibility with human skin (Nasser, 2024).</w:t>
      </w:r>
    </w:p>
    <w:p w14:paraId="38102FDF" w14:textId="6EA81A71" w:rsidR="001973B2" w:rsidRPr="001973B2" w:rsidRDefault="001973B2" w:rsidP="00B34421">
      <w:pPr>
        <w:pStyle w:val="CETBodytext"/>
        <w:spacing w:line="240" w:lineRule="auto"/>
      </w:pPr>
      <w:r w:rsidRPr="001973B2">
        <w:t xml:space="preserve">In this scenario of sustainable innovation, plant-based biosurfactants, especially saponins, have received increasing attention from the scientific community and the industrial sector (Romero Vega, 2025). These natural compounds not only mimic the functional properties of synthetic surfactants, such as emulsification, detergency, and </w:t>
      </w:r>
      <w:proofErr w:type="spellStart"/>
      <w:r w:rsidRPr="001973B2">
        <w:t>solubilisation</w:t>
      </w:r>
      <w:proofErr w:type="spellEnd"/>
      <w:r w:rsidRPr="001973B2">
        <w:t xml:space="preserve">, but also add value to cosmetic formulations by presenting intrinsic biological activities, including antioxidant, antimicrobial, and anti-inflammatory </w:t>
      </w:r>
      <w:proofErr w:type="spellStart"/>
      <w:r w:rsidRPr="001973B2">
        <w:t>propertie</w:t>
      </w:r>
      <w:proofErr w:type="spellEnd"/>
      <w:r w:rsidR="008E13F1">
        <w:t xml:space="preserve">. </w:t>
      </w:r>
      <w:r w:rsidRPr="001973B2">
        <w:t xml:space="preserve">In addition, the </w:t>
      </w:r>
      <w:proofErr w:type="spellStart"/>
      <w:r w:rsidRPr="001973B2">
        <w:t>valorisation</w:t>
      </w:r>
      <w:proofErr w:type="spellEnd"/>
      <w:r w:rsidRPr="001973B2">
        <w:t xml:space="preserve"> of agro-industrial waste has established itself as a promising strategy for the sustainable production of these bioactive molecules. Research published between 2024 and 2025 shows that saponins extracted from quinoa (</w:t>
      </w:r>
      <w:r w:rsidRPr="001973B2">
        <w:rPr>
          <w:i/>
          <w:iCs/>
        </w:rPr>
        <w:t>Chenopodium quinoa</w:t>
      </w:r>
      <w:r w:rsidRPr="001973B2">
        <w:t xml:space="preserve">) residues have relevant </w:t>
      </w:r>
      <w:r w:rsidR="00FE56D7" w:rsidRPr="001973B2">
        <w:t>surfactants</w:t>
      </w:r>
      <w:r w:rsidRPr="001973B2">
        <w:t>, emulsifying and detergent properties, and are even incorporated into commercial cosmetic formulations aimed at hair hydration and nutrition (Bustos, 2024). Complementarily, the use of pineapple (</w:t>
      </w:r>
      <w:r w:rsidRPr="001973B2">
        <w:rPr>
          <w:i/>
          <w:iCs/>
        </w:rPr>
        <w:t>Ananas comosus</w:t>
      </w:r>
      <w:r w:rsidRPr="001973B2">
        <w:t xml:space="preserve">) by-products, especially the peels, has shown high potential for the development of </w:t>
      </w:r>
      <w:proofErr w:type="spellStart"/>
      <w:r w:rsidRPr="001973B2">
        <w:t>nanocreams</w:t>
      </w:r>
      <w:proofErr w:type="spellEnd"/>
      <w:r w:rsidRPr="001973B2">
        <w:t xml:space="preserve"> and other skincare products, expanding the use of plant extracts as high-performance biotechnological actives (Yahya, 2022).</w:t>
      </w:r>
    </w:p>
    <w:p w14:paraId="600942F2" w14:textId="5C852AA3" w:rsidR="001973B2" w:rsidRPr="001973B2" w:rsidRDefault="001973B2" w:rsidP="00B34421">
      <w:pPr>
        <w:pStyle w:val="CETBodytext"/>
        <w:spacing w:line="240" w:lineRule="auto"/>
      </w:pPr>
      <w:r w:rsidRPr="001973B2">
        <w:t xml:space="preserve">Given these advances, the development of cosmetics based on plant biosurfactants not only responds to the growing demand for safe, sustainable products aligned with the concept of clean </w:t>
      </w:r>
      <w:proofErr w:type="gramStart"/>
      <w:r w:rsidRPr="001973B2">
        <w:t>beauty, but</w:t>
      </w:r>
      <w:proofErr w:type="gramEnd"/>
      <w:r w:rsidRPr="001973B2">
        <w:t xml:space="preserve"> also represents an innovative frontier for the global market, combining technical effectiveness, waste recovery, and environmental preservation (Klimek-</w:t>
      </w:r>
      <w:proofErr w:type="spellStart"/>
      <w:r w:rsidRPr="001973B2">
        <w:t>Szczykutowicz</w:t>
      </w:r>
      <w:proofErr w:type="spellEnd"/>
      <w:r w:rsidRPr="001973B2">
        <w:t>, 2024)</w:t>
      </w:r>
      <w:r w:rsidR="009166B4">
        <w:t>.</w:t>
      </w:r>
      <w:r w:rsidR="00EF57D0" w:rsidRPr="00EF57D0">
        <w:rPr>
          <w:lang w:val="en-GB"/>
        </w:rPr>
        <w:t xml:space="preserve"> Therefore, this study aims to develop and evaluate shampoo formulations containing plant-derived biosurfactants extracted from </w:t>
      </w:r>
      <w:r w:rsidR="00EF57D0" w:rsidRPr="00EF57D0">
        <w:rPr>
          <w:i/>
          <w:iCs/>
          <w:lang w:val="en-GB"/>
        </w:rPr>
        <w:t>Chenopodium quinoa</w:t>
      </w:r>
      <w:r w:rsidR="00EF57D0" w:rsidRPr="00EF57D0">
        <w:rPr>
          <w:lang w:val="en-GB"/>
        </w:rPr>
        <w:t xml:space="preserve"> and </w:t>
      </w:r>
      <w:r w:rsidR="00EF57D0" w:rsidRPr="00EF57D0">
        <w:rPr>
          <w:i/>
          <w:iCs/>
          <w:lang w:val="en-GB"/>
        </w:rPr>
        <w:t>Ananas comosus</w:t>
      </w:r>
      <w:r w:rsidR="00EF57D0" w:rsidRPr="00EF57D0">
        <w:rPr>
          <w:lang w:val="en-GB"/>
        </w:rPr>
        <w:t xml:space="preserve">, assessing their cleaning performance, mechanical resistance, gloss, and stability. The novelty of this work lies in the use of agro-industrial residues as functional surfactant systems, contributing to the advancement of sustainable and high-performance green cosmetic </w:t>
      </w:r>
      <w:r w:rsidR="00B34421" w:rsidRPr="00EF57D0">
        <w:rPr>
          <w:lang w:val="en-GB"/>
        </w:rPr>
        <w:t>formulations.</w:t>
      </w:r>
    </w:p>
    <w:p w14:paraId="5E5A2769" w14:textId="77777777" w:rsidR="001973B2" w:rsidRDefault="001973B2" w:rsidP="00B34421">
      <w:pPr>
        <w:pStyle w:val="CETBodytext"/>
        <w:spacing w:line="240" w:lineRule="auto"/>
        <w:ind w:firstLine="142"/>
      </w:pPr>
    </w:p>
    <w:p w14:paraId="79EEAA96" w14:textId="77777777" w:rsidR="00B34421" w:rsidRDefault="00B34421" w:rsidP="00B34421">
      <w:pPr>
        <w:pStyle w:val="CETBodytext"/>
        <w:spacing w:line="240" w:lineRule="auto"/>
        <w:ind w:firstLine="142"/>
      </w:pPr>
    </w:p>
    <w:p w14:paraId="7DD34F73" w14:textId="77777777" w:rsidR="00B34421" w:rsidRDefault="00B34421" w:rsidP="00B34421">
      <w:pPr>
        <w:pStyle w:val="CETBodytext"/>
        <w:spacing w:line="240" w:lineRule="auto"/>
        <w:ind w:firstLine="142"/>
      </w:pPr>
    </w:p>
    <w:p w14:paraId="2E209109" w14:textId="77777777" w:rsidR="00B34421" w:rsidRPr="001973B2" w:rsidRDefault="00B34421" w:rsidP="00B34421">
      <w:pPr>
        <w:pStyle w:val="CETBodytext"/>
        <w:spacing w:line="240" w:lineRule="auto"/>
        <w:ind w:firstLine="142"/>
      </w:pPr>
    </w:p>
    <w:p w14:paraId="5019B0B7" w14:textId="220F0ACA" w:rsidR="003A4498" w:rsidRDefault="00C67CA2" w:rsidP="00B34421">
      <w:pPr>
        <w:pStyle w:val="CETBodytext"/>
        <w:numPr>
          <w:ilvl w:val="0"/>
          <w:numId w:val="25"/>
        </w:numPr>
        <w:spacing w:line="240" w:lineRule="auto"/>
        <w:rPr>
          <w:b/>
          <w:bCs/>
          <w:sz w:val="20"/>
          <w:szCs w:val="22"/>
        </w:rPr>
      </w:pPr>
      <w:r w:rsidRPr="001973B2">
        <w:rPr>
          <w:b/>
          <w:bCs/>
          <w:sz w:val="20"/>
          <w:szCs w:val="22"/>
        </w:rPr>
        <w:t>Materials and methods</w:t>
      </w:r>
    </w:p>
    <w:p w14:paraId="07A97308" w14:textId="77777777" w:rsidR="00B34421" w:rsidRPr="001973B2" w:rsidRDefault="00B34421" w:rsidP="00B34421">
      <w:pPr>
        <w:pStyle w:val="CETBodytext"/>
        <w:spacing w:line="240" w:lineRule="auto"/>
        <w:rPr>
          <w:b/>
          <w:bCs/>
          <w:sz w:val="20"/>
          <w:szCs w:val="22"/>
        </w:rPr>
      </w:pPr>
    </w:p>
    <w:p w14:paraId="5D24271A" w14:textId="5496FBA0" w:rsidR="00255C21" w:rsidRPr="00FD7A11" w:rsidRDefault="00FD7A11" w:rsidP="00B34421">
      <w:pPr>
        <w:pStyle w:val="CETheadingx"/>
        <w:spacing w:before="0" w:after="0" w:line="240" w:lineRule="auto"/>
      </w:pPr>
      <w:r w:rsidRPr="00FD7A11">
        <w:t>Plant material</w:t>
      </w:r>
      <w:r w:rsidR="00273667">
        <w:t xml:space="preserve"> </w:t>
      </w:r>
      <w:proofErr w:type="spellStart"/>
      <w:r w:rsidR="00273667">
        <w:t>and</w:t>
      </w:r>
      <w:proofErr w:type="spellEnd"/>
      <w:r w:rsidR="00273667">
        <w:t xml:space="preserve"> </w:t>
      </w:r>
      <w:proofErr w:type="spellStart"/>
      <w:r w:rsidRPr="00FD7A11">
        <w:t>extraction</w:t>
      </w:r>
      <w:proofErr w:type="spellEnd"/>
      <w:r w:rsidRPr="00FD7A11">
        <w:t xml:space="preserve"> </w:t>
      </w:r>
      <w:proofErr w:type="spellStart"/>
      <w:r>
        <w:t>of</w:t>
      </w:r>
      <w:proofErr w:type="spellEnd"/>
      <w:r>
        <w:t xml:space="preserve"> </w:t>
      </w:r>
      <w:proofErr w:type="spellStart"/>
      <w:r>
        <w:t>biosurfactants</w:t>
      </w:r>
      <w:proofErr w:type="spellEnd"/>
    </w:p>
    <w:p w14:paraId="380A22A0" w14:textId="77777777" w:rsidR="00EC2A65" w:rsidRDefault="00EC2A65" w:rsidP="00B34421">
      <w:pPr>
        <w:spacing w:line="240" w:lineRule="auto"/>
        <w:rPr>
          <w:rFonts w:cs="Arial"/>
          <w:szCs w:val="18"/>
          <w:lang w:val="en-US"/>
        </w:rPr>
      </w:pPr>
    </w:p>
    <w:p w14:paraId="5BC3D94F" w14:textId="4D3CFEDC" w:rsidR="00B33AF8" w:rsidRDefault="001973B2" w:rsidP="00B34421">
      <w:pPr>
        <w:spacing w:line="240" w:lineRule="auto"/>
        <w:rPr>
          <w:rFonts w:cs="Arial"/>
          <w:szCs w:val="18"/>
          <w:lang w:val="en-US"/>
        </w:rPr>
      </w:pPr>
      <w:r w:rsidRPr="001973B2">
        <w:rPr>
          <w:rFonts w:cs="Arial"/>
          <w:szCs w:val="18"/>
          <w:lang w:val="en-US"/>
        </w:rPr>
        <w:t xml:space="preserve">The hydroalcoholic extraction of biosurfactants from </w:t>
      </w:r>
      <w:r w:rsidRPr="001973B2">
        <w:rPr>
          <w:rFonts w:cs="Arial"/>
          <w:i/>
          <w:iCs/>
          <w:szCs w:val="18"/>
          <w:lang w:val="en-US"/>
        </w:rPr>
        <w:t>Chenopodium quinoa</w:t>
      </w:r>
      <w:r w:rsidRPr="001973B2">
        <w:rPr>
          <w:rFonts w:cs="Arial"/>
          <w:szCs w:val="18"/>
          <w:lang w:val="en-US"/>
        </w:rPr>
        <w:t xml:space="preserve"> seeds and dried </w:t>
      </w:r>
      <w:r w:rsidRPr="001973B2">
        <w:rPr>
          <w:rFonts w:cs="Arial"/>
          <w:i/>
          <w:iCs/>
          <w:szCs w:val="18"/>
          <w:lang w:val="en-US"/>
        </w:rPr>
        <w:t>Ananas comosus pulp</w:t>
      </w:r>
      <w:r w:rsidRPr="001973B2">
        <w:rPr>
          <w:rFonts w:cs="Arial"/>
          <w:szCs w:val="18"/>
          <w:lang w:val="en-US"/>
        </w:rPr>
        <w:t xml:space="preserve"> was performed in a Soxhlet apparatus, following the methodology described by Bezerra et al. (2021). </w:t>
      </w:r>
    </w:p>
    <w:p w14:paraId="72FF9304" w14:textId="77777777" w:rsidR="001973B2" w:rsidRPr="001973B2" w:rsidRDefault="001973B2" w:rsidP="00B34421">
      <w:pPr>
        <w:spacing w:line="240" w:lineRule="auto"/>
        <w:rPr>
          <w:lang w:val="en-US"/>
        </w:rPr>
      </w:pPr>
    </w:p>
    <w:p w14:paraId="1C2BD120" w14:textId="6D3EE654" w:rsidR="001973B2" w:rsidRPr="00721ABA" w:rsidRDefault="00980657" w:rsidP="00B34421">
      <w:pPr>
        <w:pStyle w:val="PargrafodaLista"/>
        <w:numPr>
          <w:ilvl w:val="1"/>
          <w:numId w:val="25"/>
        </w:numPr>
        <w:spacing w:line="240" w:lineRule="auto"/>
        <w:rPr>
          <w:rFonts w:cs="Arial"/>
          <w:b/>
          <w:bCs/>
          <w:szCs w:val="18"/>
          <w:lang w:val="pt-BR"/>
        </w:rPr>
      </w:pPr>
      <w:proofErr w:type="spellStart"/>
      <w:r w:rsidRPr="001973B2">
        <w:rPr>
          <w:rFonts w:cs="Arial"/>
          <w:b/>
          <w:bCs/>
          <w:szCs w:val="18"/>
          <w:lang w:val="pt-BR"/>
        </w:rPr>
        <w:t>P</w:t>
      </w:r>
      <w:r w:rsidR="00FD7A11">
        <w:rPr>
          <w:rFonts w:cs="Arial"/>
          <w:b/>
          <w:bCs/>
          <w:szCs w:val="18"/>
          <w:lang w:val="pt-BR"/>
        </w:rPr>
        <w:t>roduction</w:t>
      </w:r>
      <w:proofErr w:type="spellEnd"/>
      <w:r w:rsidR="00FD7A11">
        <w:rPr>
          <w:rFonts w:cs="Arial"/>
          <w:b/>
          <w:bCs/>
          <w:szCs w:val="18"/>
          <w:lang w:val="pt-BR"/>
        </w:rPr>
        <w:t xml:space="preserve"> </w:t>
      </w:r>
      <w:proofErr w:type="spellStart"/>
      <w:r w:rsidR="00FD7A11">
        <w:rPr>
          <w:rFonts w:cs="Arial"/>
          <w:b/>
          <w:bCs/>
          <w:szCs w:val="18"/>
          <w:lang w:val="pt-BR"/>
        </w:rPr>
        <w:t>of</w:t>
      </w:r>
      <w:proofErr w:type="spellEnd"/>
      <w:r w:rsidR="00FD7A11">
        <w:rPr>
          <w:rFonts w:cs="Arial"/>
          <w:b/>
          <w:bCs/>
          <w:szCs w:val="18"/>
          <w:lang w:val="pt-BR"/>
        </w:rPr>
        <w:t xml:space="preserve"> </w:t>
      </w:r>
      <w:proofErr w:type="spellStart"/>
      <w:r w:rsidR="00FD7A11">
        <w:rPr>
          <w:rFonts w:cs="Arial"/>
          <w:b/>
          <w:bCs/>
          <w:szCs w:val="18"/>
          <w:lang w:val="pt-BR"/>
        </w:rPr>
        <w:t>Prototypes</w:t>
      </w:r>
      <w:proofErr w:type="spellEnd"/>
    </w:p>
    <w:p w14:paraId="3A8B2720" w14:textId="77777777" w:rsidR="00EC2A65" w:rsidRDefault="00EC2A65" w:rsidP="00B34421">
      <w:pPr>
        <w:tabs>
          <w:tab w:val="clear" w:pos="7100"/>
          <w:tab w:val="right" w:pos="567"/>
        </w:tabs>
        <w:spacing w:line="240" w:lineRule="auto"/>
        <w:rPr>
          <w:rFonts w:cs="Arial"/>
          <w:szCs w:val="18"/>
          <w:lang w:val="en-US"/>
        </w:rPr>
      </w:pPr>
    </w:p>
    <w:p w14:paraId="48758887" w14:textId="0F5492A9" w:rsidR="00FD7A11" w:rsidRPr="0052465F" w:rsidRDefault="0052465F" w:rsidP="00B34421">
      <w:pPr>
        <w:tabs>
          <w:tab w:val="clear" w:pos="7100"/>
          <w:tab w:val="right" w:pos="567"/>
        </w:tabs>
        <w:spacing w:line="240" w:lineRule="auto"/>
        <w:rPr>
          <w:lang w:val="en-US"/>
        </w:rPr>
      </w:pPr>
      <w:r w:rsidRPr="0052465F">
        <w:rPr>
          <w:lang w:val="en-US"/>
        </w:rPr>
        <w:t>Table 1 shows the surfactants used in the formulations evaluated in the study. The shampoo formulations were developed from a standard cosmetic base consisting of purified water (</w:t>
      </w:r>
      <w:proofErr w:type="spellStart"/>
      <w:r w:rsidRPr="0052465F">
        <w:rPr>
          <w:lang w:val="en-US"/>
        </w:rPr>
        <w:t>q.s</w:t>
      </w:r>
      <w:proofErr w:type="spellEnd"/>
      <w:r w:rsidRPr="0052465F">
        <w:rPr>
          <w:lang w:val="en-US"/>
        </w:rPr>
        <w:t>. to 100 %), thickening agent (2.0 %), preservative (0.5 %) and pH adjuster (</w:t>
      </w:r>
      <w:proofErr w:type="spellStart"/>
      <w:r w:rsidRPr="0052465F">
        <w:rPr>
          <w:lang w:val="en-US"/>
        </w:rPr>
        <w:t>q.s</w:t>
      </w:r>
      <w:proofErr w:type="spellEnd"/>
      <w:r w:rsidRPr="0052465F">
        <w:rPr>
          <w:lang w:val="en-US"/>
        </w:rPr>
        <w:t xml:space="preserve">. to pH 5.0–6.0). Three different formulations were prepared, differing only in the surfactant system used. Prototype P1 contained 10.0 % plant-based biosurfactants (A. comosus and C. quinoa extracts) associated with 5.0 % disodium </w:t>
      </w:r>
      <w:proofErr w:type="spellStart"/>
      <w:r w:rsidRPr="0052465F">
        <w:rPr>
          <w:lang w:val="en-US"/>
        </w:rPr>
        <w:t>cocoyl</w:t>
      </w:r>
      <w:proofErr w:type="spellEnd"/>
      <w:r w:rsidRPr="0052465F">
        <w:rPr>
          <w:lang w:val="en-US"/>
        </w:rPr>
        <w:t xml:space="preserve"> glutamate (DCG). Prototype P2 contained exclusively </w:t>
      </w:r>
      <w:proofErr w:type="gramStart"/>
      <w:r w:rsidRPr="0052465F">
        <w:rPr>
          <w:lang w:val="en-US"/>
        </w:rPr>
        <w:t>5.0 %</w:t>
      </w:r>
      <w:proofErr w:type="gramEnd"/>
      <w:r w:rsidRPr="0052465F">
        <w:rPr>
          <w:lang w:val="en-US"/>
        </w:rPr>
        <w:t xml:space="preserve"> disodium </w:t>
      </w:r>
      <w:proofErr w:type="spellStart"/>
      <w:r w:rsidRPr="0052465F">
        <w:rPr>
          <w:lang w:val="en-US"/>
        </w:rPr>
        <w:t>cocoyl</w:t>
      </w:r>
      <w:proofErr w:type="spellEnd"/>
      <w:r w:rsidRPr="0052465F">
        <w:rPr>
          <w:lang w:val="en-US"/>
        </w:rPr>
        <w:t xml:space="preserve"> glutamate (DCG), while prototype P3 was prepared without the addition of any surfactant agent and was used as a control. The components were added under constant stirring until complete </w:t>
      </w:r>
      <w:proofErr w:type="spellStart"/>
      <w:r w:rsidRPr="0052465F">
        <w:rPr>
          <w:lang w:val="en-US"/>
        </w:rPr>
        <w:t>homogenisation</w:t>
      </w:r>
      <w:proofErr w:type="spellEnd"/>
      <w:r w:rsidRPr="0052465F">
        <w:rPr>
          <w:lang w:val="en-US"/>
        </w:rPr>
        <w:t>, followed by pH adjustment to the range of 5.0 to 6.0. Additionally, a commercial formulation containing the same chemical surfactant (DCG) was tested for comparative purposes.</w:t>
      </w:r>
    </w:p>
    <w:p w14:paraId="0B5C7B7B" w14:textId="6E845957" w:rsidR="00DD0293" w:rsidRPr="00FD7A11" w:rsidRDefault="00FD7A11" w:rsidP="00B34421">
      <w:pPr>
        <w:pStyle w:val="CETBodytext"/>
        <w:spacing w:line="240" w:lineRule="auto"/>
        <w:rPr>
          <w:i/>
          <w:iCs/>
        </w:rPr>
      </w:pPr>
      <w:r w:rsidRPr="00FD7A11">
        <w:rPr>
          <w:i/>
          <w:iCs/>
        </w:rPr>
        <w:t>Table 1: Surfactant system of the formulations</w:t>
      </w:r>
    </w:p>
    <w:tbl>
      <w:tblPr>
        <w:tblStyle w:val="TableGrid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6378"/>
      </w:tblGrid>
      <w:tr w:rsidR="00DD0293" w:rsidRPr="00DD0293" w14:paraId="0A2F9827" w14:textId="77777777" w:rsidTr="00EA2D71">
        <w:tc>
          <w:tcPr>
            <w:tcW w:w="993" w:type="dxa"/>
            <w:tcBorders>
              <w:top w:val="single" w:sz="4" w:space="0" w:color="00B050"/>
              <w:bottom w:val="single" w:sz="4" w:space="0" w:color="00B050"/>
            </w:tcBorders>
            <w:vAlign w:val="center"/>
          </w:tcPr>
          <w:p w14:paraId="62885338" w14:textId="2597FECC" w:rsidR="00DD0293" w:rsidRPr="00DD7D8C" w:rsidRDefault="00FD7A11" w:rsidP="00B34421">
            <w:pPr>
              <w:pStyle w:val="CETBodytext"/>
              <w:spacing w:line="240" w:lineRule="auto"/>
              <w:rPr>
                <w:lang w:val="en-GB" w:eastAsia="en-US"/>
              </w:rPr>
            </w:pPr>
            <w:r w:rsidRPr="00DD7D8C">
              <w:rPr>
                <w:lang w:val="en-GB" w:eastAsia="en-US"/>
              </w:rPr>
              <w:t>ID</w:t>
            </w:r>
          </w:p>
        </w:tc>
        <w:tc>
          <w:tcPr>
            <w:tcW w:w="6378" w:type="dxa"/>
            <w:tcBorders>
              <w:top w:val="single" w:sz="4" w:space="0" w:color="00B050"/>
              <w:bottom w:val="single" w:sz="4" w:space="0" w:color="00B050"/>
            </w:tcBorders>
            <w:vAlign w:val="center"/>
          </w:tcPr>
          <w:p w14:paraId="22ED71B3" w14:textId="407B7F16" w:rsidR="00DD0293" w:rsidRPr="00DD7D8C" w:rsidRDefault="00FD7A11" w:rsidP="00B34421">
            <w:pPr>
              <w:spacing w:line="240" w:lineRule="auto"/>
              <w:ind w:right="5"/>
              <w:rPr>
                <w:lang w:eastAsia="en-US"/>
              </w:rPr>
            </w:pPr>
            <w:r w:rsidRPr="00DD7D8C">
              <w:rPr>
                <w:lang w:eastAsia="en-US"/>
              </w:rPr>
              <w:t>Surfactants</w:t>
            </w:r>
          </w:p>
        </w:tc>
      </w:tr>
      <w:tr w:rsidR="00DD0293" w:rsidRPr="000917FA" w14:paraId="7918CAE4" w14:textId="77777777" w:rsidTr="00EA2D71">
        <w:trPr>
          <w:trHeight w:val="225"/>
        </w:trPr>
        <w:tc>
          <w:tcPr>
            <w:tcW w:w="993" w:type="dxa"/>
            <w:tcBorders>
              <w:top w:val="single" w:sz="4" w:space="0" w:color="00B050"/>
            </w:tcBorders>
            <w:vAlign w:val="bottom"/>
          </w:tcPr>
          <w:p w14:paraId="3C623F61" w14:textId="60731031" w:rsidR="00DD0293" w:rsidRPr="00DD7D8C" w:rsidRDefault="00336100" w:rsidP="00B34421">
            <w:pPr>
              <w:pStyle w:val="CETBodytext"/>
              <w:spacing w:line="240" w:lineRule="auto"/>
              <w:rPr>
                <w:lang w:val="en-GB" w:eastAsia="en-US"/>
              </w:rPr>
            </w:pPr>
            <w:r w:rsidRPr="00DD7D8C">
              <w:rPr>
                <w:lang w:val="en-GB" w:eastAsia="en-US"/>
              </w:rPr>
              <w:t>P1</w:t>
            </w:r>
          </w:p>
        </w:tc>
        <w:tc>
          <w:tcPr>
            <w:tcW w:w="6378" w:type="dxa"/>
            <w:tcBorders>
              <w:top w:val="single" w:sz="4" w:space="0" w:color="00B050"/>
            </w:tcBorders>
            <w:vAlign w:val="bottom"/>
          </w:tcPr>
          <w:p w14:paraId="202651B2" w14:textId="248255AF" w:rsidR="00DD0293" w:rsidRPr="00DD7D8C" w:rsidRDefault="00DD0293" w:rsidP="00B34421">
            <w:pPr>
              <w:pStyle w:val="CETBodytext"/>
              <w:spacing w:line="240" w:lineRule="auto"/>
              <w:rPr>
                <w:lang w:val="en-GB" w:eastAsia="en-US"/>
              </w:rPr>
            </w:pPr>
            <w:r w:rsidRPr="00DD7D8C">
              <w:rPr>
                <w:lang w:val="en-GB" w:eastAsia="en-US"/>
              </w:rPr>
              <w:t xml:space="preserve">A. Comosus + C. quinoa + </w:t>
            </w:r>
            <w:r w:rsidR="00FD7A11" w:rsidRPr="00DD7D8C">
              <w:rPr>
                <w:lang w:val="en-GB" w:eastAsia="en-US"/>
              </w:rPr>
              <w:t>DCG</w:t>
            </w:r>
            <w:r w:rsidRPr="00DD7D8C">
              <w:rPr>
                <w:lang w:val="en-GB" w:eastAsia="en-US"/>
              </w:rPr>
              <w:t xml:space="preserve"> (</w:t>
            </w:r>
            <w:r w:rsidR="00FD7A11" w:rsidRPr="00DD7D8C">
              <w:rPr>
                <w:lang w:val="en-GB" w:eastAsia="en-US"/>
              </w:rPr>
              <w:t xml:space="preserve">Disodium </w:t>
            </w:r>
            <w:proofErr w:type="spellStart"/>
            <w:r w:rsidR="00FD7A11" w:rsidRPr="00DD7D8C">
              <w:rPr>
                <w:lang w:val="en-GB" w:eastAsia="en-US"/>
              </w:rPr>
              <w:t>Cocoyl</w:t>
            </w:r>
            <w:proofErr w:type="spellEnd"/>
            <w:r w:rsidR="00FD7A11" w:rsidRPr="00DD7D8C">
              <w:rPr>
                <w:lang w:val="en-GB" w:eastAsia="en-US"/>
              </w:rPr>
              <w:t xml:space="preserve"> Glutamate</w:t>
            </w:r>
            <w:r w:rsidRPr="00DD7D8C">
              <w:rPr>
                <w:lang w:val="en-GB" w:eastAsia="en-US"/>
              </w:rPr>
              <w:t>)</w:t>
            </w:r>
          </w:p>
        </w:tc>
      </w:tr>
      <w:tr w:rsidR="00DD0293" w:rsidRPr="00DD0293" w14:paraId="75A7F738" w14:textId="77777777" w:rsidTr="00DD0293">
        <w:tc>
          <w:tcPr>
            <w:tcW w:w="993" w:type="dxa"/>
            <w:vAlign w:val="bottom"/>
          </w:tcPr>
          <w:p w14:paraId="472C73A1" w14:textId="64C9C50E" w:rsidR="00DD0293" w:rsidRPr="00DD7D8C" w:rsidRDefault="00336100" w:rsidP="00B34421">
            <w:pPr>
              <w:pStyle w:val="CETBodytext"/>
              <w:spacing w:line="240" w:lineRule="auto"/>
              <w:rPr>
                <w:lang w:val="en-GB" w:eastAsia="en-US"/>
              </w:rPr>
            </w:pPr>
            <w:r w:rsidRPr="00DD7D8C">
              <w:rPr>
                <w:lang w:val="en-GB" w:eastAsia="en-US"/>
              </w:rPr>
              <w:t>P2</w:t>
            </w:r>
          </w:p>
        </w:tc>
        <w:tc>
          <w:tcPr>
            <w:tcW w:w="6378" w:type="dxa"/>
            <w:vAlign w:val="bottom"/>
          </w:tcPr>
          <w:p w14:paraId="0F5CC96C" w14:textId="2DCF99D9" w:rsidR="00DD0293" w:rsidRPr="00DD7D8C" w:rsidRDefault="00FD7A11" w:rsidP="00B34421">
            <w:pPr>
              <w:pStyle w:val="CETBodytext"/>
              <w:spacing w:line="240" w:lineRule="auto"/>
              <w:rPr>
                <w:lang w:val="en-GB" w:eastAsia="en-US"/>
              </w:rPr>
            </w:pPr>
            <w:r w:rsidRPr="00DD7D8C">
              <w:rPr>
                <w:lang w:val="en-GB" w:eastAsia="en-US"/>
              </w:rPr>
              <w:t>DCG</w:t>
            </w:r>
            <w:r w:rsidR="00DD0293" w:rsidRPr="00DD7D8C">
              <w:rPr>
                <w:lang w:val="en-GB" w:eastAsia="en-US"/>
              </w:rPr>
              <w:t xml:space="preserve"> (</w:t>
            </w:r>
            <w:r w:rsidRPr="00DD7D8C">
              <w:rPr>
                <w:lang w:val="en-GB" w:eastAsia="en-US"/>
              </w:rPr>
              <w:t xml:space="preserve">Disodium </w:t>
            </w:r>
            <w:proofErr w:type="spellStart"/>
            <w:r w:rsidRPr="00DD7D8C">
              <w:rPr>
                <w:lang w:val="en-GB" w:eastAsia="en-US"/>
              </w:rPr>
              <w:t>Cocoyl</w:t>
            </w:r>
            <w:proofErr w:type="spellEnd"/>
            <w:r w:rsidRPr="00DD7D8C">
              <w:rPr>
                <w:lang w:val="en-GB" w:eastAsia="en-US"/>
              </w:rPr>
              <w:t xml:space="preserve"> Glutamate</w:t>
            </w:r>
            <w:r w:rsidR="00DD0293" w:rsidRPr="00DD7D8C">
              <w:rPr>
                <w:lang w:val="en-GB" w:eastAsia="en-US"/>
              </w:rPr>
              <w:t>)</w:t>
            </w:r>
          </w:p>
        </w:tc>
      </w:tr>
      <w:tr w:rsidR="00DD0293" w:rsidRPr="00DD0293" w14:paraId="7D34ABFF" w14:textId="77777777" w:rsidTr="00DD0293">
        <w:tc>
          <w:tcPr>
            <w:tcW w:w="993" w:type="dxa"/>
            <w:vAlign w:val="bottom"/>
          </w:tcPr>
          <w:p w14:paraId="47C40805" w14:textId="05B07FBA" w:rsidR="00DD0293" w:rsidRPr="00DD7D8C" w:rsidRDefault="00336100" w:rsidP="00B34421">
            <w:pPr>
              <w:pStyle w:val="CETBodytext"/>
              <w:spacing w:line="240" w:lineRule="auto"/>
              <w:rPr>
                <w:lang w:val="en-GB" w:eastAsia="en-US"/>
              </w:rPr>
            </w:pPr>
            <w:r w:rsidRPr="00DD7D8C">
              <w:rPr>
                <w:lang w:val="en-GB" w:eastAsia="en-US"/>
              </w:rPr>
              <w:t>P3</w:t>
            </w:r>
          </w:p>
        </w:tc>
        <w:tc>
          <w:tcPr>
            <w:tcW w:w="6378" w:type="dxa"/>
            <w:vAlign w:val="bottom"/>
          </w:tcPr>
          <w:p w14:paraId="46747837" w14:textId="418809C3" w:rsidR="00DD0293" w:rsidRPr="00DD7D8C" w:rsidRDefault="00FD7A11" w:rsidP="00B34421">
            <w:pPr>
              <w:pStyle w:val="CETBodytext"/>
              <w:spacing w:line="240" w:lineRule="auto"/>
              <w:rPr>
                <w:lang w:val="en-GB" w:eastAsia="en-US"/>
              </w:rPr>
            </w:pPr>
            <w:r w:rsidRPr="00DD7D8C">
              <w:rPr>
                <w:lang w:val="en-GB" w:eastAsia="en-US"/>
              </w:rPr>
              <w:t>Surfactant-free</w:t>
            </w:r>
          </w:p>
        </w:tc>
      </w:tr>
      <w:tr w:rsidR="00FE3506" w:rsidRPr="00DD0293" w14:paraId="20EE9E86" w14:textId="77777777" w:rsidTr="00EA2D71">
        <w:tc>
          <w:tcPr>
            <w:tcW w:w="993" w:type="dxa"/>
            <w:tcBorders>
              <w:bottom w:val="single" w:sz="4" w:space="0" w:color="00B050"/>
            </w:tcBorders>
            <w:vAlign w:val="bottom"/>
          </w:tcPr>
          <w:p w14:paraId="0502629C" w14:textId="4DA74580" w:rsidR="00FE3506" w:rsidRPr="00DD7D8C" w:rsidRDefault="00336100" w:rsidP="00B34421">
            <w:pPr>
              <w:pStyle w:val="CETBodytext"/>
              <w:spacing w:line="240" w:lineRule="auto"/>
              <w:rPr>
                <w:lang w:val="en-GB" w:eastAsia="en-US"/>
              </w:rPr>
            </w:pPr>
            <w:r w:rsidRPr="00DD7D8C">
              <w:rPr>
                <w:lang w:val="en-GB" w:eastAsia="en-US"/>
              </w:rPr>
              <w:t>S</w:t>
            </w:r>
            <w:r w:rsidR="00694414" w:rsidRPr="00DD7D8C">
              <w:rPr>
                <w:lang w:val="en-GB" w:eastAsia="en-US"/>
              </w:rPr>
              <w:t>C</w:t>
            </w:r>
          </w:p>
        </w:tc>
        <w:tc>
          <w:tcPr>
            <w:tcW w:w="6378" w:type="dxa"/>
            <w:tcBorders>
              <w:bottom w:val="single" w:sz="4" w:space="0" w:color="00B050"/>
            </w:tcBorders>
            <w:vAlign w:val="bottom"/>
          </w:tcPr>
          <w:p w14:paraId="478DAB3A" w14:textId="03CB629B" w:rsidR="00FE3506" w:rsidRPr="00DD7D8C" w:rsidRDefault="00FD7A11" w:rsidP="00B34421">
            <w:pPr>
              <w:pStyle w:val="CETBodytext"/>
              <w:spacing w:line="240" w:lineRule="auto"/>
              <w:rPr>
                <w:lang w:val="en-GB" w:eastAsia="en-US"/>
              </w:rPr>
            </w:pPr>
            <w:r w:rsidRPr="00DD7D8C">
              <w:rPr>
                <w:lang w:val="en-GB" w:eastAsia="en-US"/>
              </w:rPr>
              <w:t>Commercial shampoo</w:t>
            </w:r>
          </w:p>
        </w:tc>
      </w:tr>
    </w:tbl>
    <w:p w14:paraId="5B99EC75" w14:textId="77777777" w:rsidR="007C279A" w:rsidRPr="000611DC" w:rsidRDefault="007C279A" w:rsidP="00B34421">
      <w:pPr>
        <w:spacing w:line="240" w:lineRule="auto"/>
        <w:rPr>
          <w:rFonts w:cs="Arial"/>
          <w:szCs w:val="18"/>
        </w:rPr>
      </w:pPr>
    </w:p>
    <w:p w14:paraId="6EEF33A5" w14:textId="6CEAA729" w:rsidR="00492CAF" w:rsidRPr="00492CAF" w:rsidRDefault="00FD7A11" w:rsidP="00B34421">
      <w:pPr>
        <w:pStyle w:val="CETheadingx"/>
        <w:spacing w:before="0" w:after="0" w:line="240" w:lineRule="auto"/>
      </w:pPr>
      <w:proofErr w:type="spellStart"/>
      <w:r w:rsidRPr="00FD7A11">
        <w:t>Stability</w:t>
      </w:r>
      <w:proofErr w:type="spellEnd"/>
      <w:r w:rsidRPr="00FD7A11">
        <w:t xml:space="preserve"> profile </w:t>
      </w:r>
      <w:proofErr w:type="spellStart"/>
      <w:r w:rsidRPr="00FD7A11">
        <w:t>of</w:t>
      </w:r>
      <w:proofErr w:type="spellEnd"/>
      <w:r w:rsidRPr="00FD7A11">
        <w:t xml:space="preserve"> </w:t>
      </w:r>
      <w:proofErr w:type="spellStart"/>
      <w:r w:rsidRPr="00FD7A11">
        <w:t>the</w:t>
      </w:r>
      <w:proofErr w:type="spellEnd"/>
      <w:r w:rsidRPr="00FD7A11">
        <w:t xml:space="preserve"> </w:t>
      </w:r>
      <w:proofErr w:type="spellStart"/>
      <w:r w:rsidRPr="00FD7A11">
        <w:t>p</w:t>
      </w:r>
      <w:r>
        <w:t>rototype</w:t>
      </w:r>
      <w:proofErr w:type="spellEnd"/>
    </w:p>
    <w:p w14:paraId="598B487D" w14:textId="77777777" w:rsidR="00EC2A65" w:rsidRDefault="00EC2A65" w:rsidP="00B34421">
      <w:pPr>
        <w:spacing w:line="240" w:lineRule="auto"/>
        <w:rPr>
          <w:rFonts w:cs="Arial"/>
          <w:szCs w:val="18"/>
          <w:lang w:val="en-US"/>
        </w:rPr>
      </w:pPr>
    </w:p>
    <w:p w14:paraId="2477E4AC" w14:textId="0768C647" w:rsidR="00392B24" w:rsidRPr="00392B24" w:rsidRDefault="00392B24" w:rsidP="00B34421">
      <w:pPr>
        <w:spacing w:line="240" w:lineRule="auto"/>
        <w:rPr>
          <w:rFonts w:cs="Arial"/>
          <w:szCs w:val="18"/>
          <w:lang w:val="en-US"/>
        </w:rPr>
      </w:pPr>
      <w:r w:rsidRPr="00392B24">
        <w:rPr>
          <w:rFonts w:cs="Arial"/>
          <w:szCs w:val="18"/>
          <w:lang w:val="en-US"/>
        </w:rPr>
        <w:t xml:space="preserve">The preliminary 30-day stability test is performed during the product development phase, using batches produced on a laboratory scale. It serves as an aid in determining the stability of the formulation and constitutes a predictive study that can be used to estimate the product's shelf life. The samples were subjected to cycles of heating in a drying oven, cooling in a refrigerator and exposure to </w:t>
      </w:r>
      <w:proofErr w:type="gramStart"/>
      <w:r w:rsidRPr="00392B24">
        <w:rPr>
          <w:rFonts w:cs="Arial"/>
          <w:szCs w:val="18"/>
          <w:lang w:val="en-US"/>
        </w:rPr>
        <w:t>controlled</w:t>
      </w:r>
      <w:proofErr w:type="gramEnd"/>
      <w:r w:rsidRPr="00392B24">
        <w:rPr>
          <w:rFonts w:cs="Arial"/>
          <w:szCs w:val="18"/>
          <w:lang w:val="en-US"/>
        </w:rPr>
        <w:t xml:space="preserve"> light radiation for a total period of 30 days. A control sample of each product was kept at room temperature (29 ºC ± 2 ºC), protected from light, for comparison. The temperature values used in the tests were: cycles of 24 hours at 37 ± 2 °C and 24 hours at 5 ± 2 °C; cycles of 24 hours at 40 ± 2 °C and 24 hours at 5 ± 2 °C; cycles of 24 hours at 45 ± 2 °C and 24 hours at 5 ± 2 °C. These temperature ranges were selected to simulate thermal stress and extreme storage and transport conditions, accelerating potential degradation reactions and allowing prediction of long-term stability.</w:t>
      </w:r>
    </w:p>
    <w:p w14:paraId="370E4703" w14:textId="268C7154" w:rsidR="00A05CED" w:rsidRDefault="00392B24" w:rsidP="00B34421">
      <w:pPr>
        <w:spacing w:line="240" w:lineRule="auto"/>
        <w:rPr>
          <w:rFonts w:cs="Arial"/>
          <w:szCs w:val="18"/>
          <w:lang w:val="en-US"/>
        </w:rPr>
      </w:pPr>
      <w:r w:rsidRPr="00392B24">
        <w:rPr>
          <w:rFonts w:cs="Arial"/>
          <w:szCs w:val="18"/>
          <w:lang w:val="en-US"/>
        </w:rPr>
        <w:t xml:space="preserve">The evaluations were carried out at 0 (initial), 7, 15 and 30 days, </w:t>
      </w:r>
      <w:proofErr w:type="spellStart"/>
      <w:r w:rsidRPr="00392B24">
        <w:rPr>
          <w:rFonts w:cs="Arial"/>
          <w:szCs w:val="18"/>
          <w:lang w:val="en-US"/>
        </w:rPr>
        <w:t>analysing</w:t>
      </w:r>
      <w:proofErr w:type="spellEnd"/>
      <w:r w:rsidRPr="00392B24">
        <w:rPr>
          <w:rFonts w:cs="Arial"/>
          <w:szCs w:val="18"/>
          <w:lang w:val="en-US"/>
        </w:rPr>
        <w:t xml:space="preserve"> the organoleptic, physicochemical and microbiological parameters of prototype P1. The selected time intervals enabled the monitoring of early and progressive changes in the formulation, facilitating the identification of possible instability phenomena over short- and medium-term storage. The organoleptic and physicochemical characteristics evaluated included: </w:t>
      </w:r>
      <w:proofErr w:type="spellStart"/>
      <w:r w:rsidRPr="00392B24">
        <w:rPr>
          <w:rFonts w:cs="Arial"/>
          <w:szCs w:val="18"/>
          <w:lang w:val="en-US"/>
        </w:rPr>
        <w:t>colour</w:t>
      </w:r>
      <w:proofErr w:type="spellEnd"/>
      <w:r w:rsidRPr="00392B24">
        <w:rPr>
          <w:rFonts w:cs="Arial"/>
          <w:szCs w:val="18"/>
          <w:lang w:val="en-US"/>
        </w:rPr>
        <w:t xml:space="preserve">, </w:t>
      </w:r>
      <w:proofErr w:type="spellStart"/>
      <w:r w:rsidRPr="00392B24">
        <w:rPr>
          <w:rFonts w:cs="Arial"/>
          <w:szCs w:val="18"/>
          <w:lang w:val="en-US"/>
        </w:rPr>
        <w:t>odour</w:t>
      </w:r>
      <w:proofErr w:type="spellEnd"/>
      <w:r w:rsidRPr="00392B24">
        <w:rPr>
          <w:rFonts w:cs="Arial"/>
          <w:szCs w:val="18"/>
          <w:lang w:val="en-US"/>
        </w:rPr>
        <w:t>, viscosity, homogeneity, pH and density, in accordance with criteria established by the Brazilian Health Regulatory Agency (ANVISA) (2004).</w:t>
      </w:r>
    </w:p>
    <w:p w14:paraId="6CCD4751" w14:textId="77777777" w:rsidR="00392B24" w:rsidRPr="00A05CED" w:rsidRDefault="00392B24" w:rsidP="00B34421">
      <w:pPr>
        <w:spacing w:line="240" w:lineRule="auto"/>
        <w:rPr>
          <w:rFonts w:cs="Arial"/>
          <w:szCs w:val="18"/>
          <w:lang w:val="en-US"/>
        </w:rPr>
      </w:pPr>
    </w:p>
    <w:p w14:paraId="162CD3C8" w14:textId="66C20CC7" w:rsidR="00A05CED" w:rsidRPr="00A05CED" w:rsidRDefault="00E52180" w:rsidP="00B34421">
      <w:pPr>
        <w:spacing w:line="240" w:lineRule="auto"/>
        <w:rPr>
          <w:b/>
          <w:szCs w:val="24"/>
          <w:lang w:val="en-US"/>
        </w:rPr>
      </w:pPr>
      <w:r w:rsidRPr="00A05CED">
        <w:rPr>
          <w:rFonts w:cs="Arial"/>
          <w:b/>
          <w:bCs/>
          <w:szCs w:val="18"/>
          <w:lang w:val="en-US"/>
        </w:rPr>
        <w:t>2.</w:t>
      </w:r>
      <w:r w:rsidR="00C420F5" w:rsidRPr="00A05CED">
        <w:rPr>
          <w:rFonts w:cs="Arial"/>
          <w:b/>
          <w:bCs/>
          <w:szCs w:val="18"/>
          <w:lang w:val="en-US"/>
        </w:rPr>
        <w:t>4</w:t>
      </w:r>
      <w:r w:rsidR="00C31378" w:rsidRPr="00A05CED">
        <w:rPr>
          <w:rFonts w:cs="Arial"/>
          <w:b/>
          <w:bCs/>
          <w:szCs w:val="18"/>
          <w:lang w:val="en-US"/>
        </w:rPr>
        <w:t xml:space="preserve"> </w:t>
      </w:r>
      <w:r w:rsidR="00A05CED">
        <w:rPr>
          <w:b/>
          <w:szCs w:val="24"/>
          <w:lang w:val="en-US"/>
        </w:rPr>
        <w:t>P</w:t>
      </w:r>
      <w:r w:rsidR="00A05CED" w:rsidRPr="00A05CED">
        <w:rPr>
          <w:b/>
          <w:szCs w:val="24"/>
          <w:lang w:val="en-US"/>
        </w:rPr>
        <w:t xml:space="preserve">reparation of </w:t>
      </w:r>
      <w:proofErr w:type="spellStart"/>
      <w:r w:rsidR="00A05CED" w:rsidRPr="00A05CED">
        <w:rPr>
          <w:b/>
          <w:szCs w:val="24"/>
          <w:lang w:val="en-US"/>
        </w:rPr>
        <w:t>standardised</w:t>
      </w:r>
      <w:proofErr w:type="spellEnd"/>
      <w:r w:rsidR="00A05CED" w:rsidRPr="00A05CED">
        <w:rPr>
          <w:b/>
          <w:szCs w:val="24"/>
          <w:lang w:val="en-US"/>
        </w:rPr>
        <w:t xml:space="preserve"> strands</w:t>
      </w:r>
    </w:p>
    <w:p w14:paraId="64B9D3D8" w14:textId="0207C842" w:rsidR="00811DAB" w:rsidRDefault="00A05CED" w:rsidP="00B34421">
      <w:pPr>
        <w:spacing w:line="240" w:lineRule="auto"/>
        <w:rPr>
          <w:lang w:val="en-US"/>
        </w:rPr>
      </w:pPr>
      <w:r w:rsidRPr="00A05CED">
        <w:rPr>
          <w:lang w:val="en-US"/>
        </w:rPr>
        <w:t xml:space="preserve">The hair strands used in the tests were prepared and </w:t>
      </w:r>
      <w:proofErr w:type="spellStart"/>
      <w:r w:rsidRPr="00A05CED">
        <w:rPr>
          <w:lang w:val="en-US"/>
        </w:rPr>
        <w:t>standardised</w:t>
      </w:r>
      <w:proofErr w:type="spellEnd"/>
      <w:r w:rsidRPr="00A05CED">
        <w:rPr>
          <w:lang w:val="en-US"/>
        </w:rPr>
        <w:t xml:space="preserve"> in advance as described below:</w:t>
      </w:r>
    </w:p>
    <w:p w14:paraId="3B96385F" w14:textId="77777777" w:rsidR="00A05CED" w:rsidRPr="00A05CED" w:rsidRDefault="00A05CED" w:rsidP="00B34421">
      <w:pPr>
        <w:spacing w:line="240" w:lineRule="auto"/>
        <w:rPr>
          <w:b/>
          <w:bCs/>
          <w:szCs w:val="24"/>
          <w:lang w:val="en-US"/>
        </w:rPr>
      </w:pPr>
    </w:p>
    <w:p w14:paraId="001B6C3A" w14:textId="1BD6B541" w:rsidR="00492CAF" w:rsidRDefault="004F0928" w:rsidP="00B34421">
      <w:pPr>
        <w:spacing w:line="240" w:lineRule="auto"/>
        <w:rPr>
          <w:lang w:val="en-US"/>
        </w:rPr>
      </w:pPr>
      <w:r w:rsidRPr="00A05CED">
        <w:rPr>
          <w:lang w:val="en-US"/>
        </w:rPr>
        <w:t>2.</w:t>
      </w:r>
      <w:r w:rsidR="00C420F5" w:rsidRPr="00A05CED">
        <w:rPr>
          <w:lang w:val="en-US"/>
        </w:rPr>
        <w:t>4</w:t>
      </w:r>
      <w:r w:rsidR="00847D15" w:rsidRPr="00A05CED">
        <w:rPr>
          <w:lang w:val="en-US"/>
        </w:rPr>
        <w:t xml:space="preserve">.1 </w:t>
      </w:r>
      <w:proofErr w:type="spellStart"/>
      <w:r w:rsidR="00A05CED" w:rsidRPr="00A05CED">
        <w:rPr>
          <w:lang w:val="en-US"/>
        </w:rPr>
        <w:t>Standardisation</w:t>
      </w:r>
      <w:proofErr w:type="spellEnd"/>
      <w:r w:rsidR="00A05CED" w:rsidRPr="00A05CED">
        <w:rPr>
          <w:lang w:val="en-US"/>
        </w:rPr>
        <w:t xml:space="preserve"> and weight</w:t>
      </w:r>
    </w:p>
    <w:p w14:paraId="03A0AA5A" w14:textId="77777777" w:rsidR="00EC2A65" w:rsidRDefault="00EC2A65" w:rsidP="00B34421">
      <w:pPr>
        <w:spacing w:line="240" w:lineRule="auto"/>
      </w:pPr>
    </w:p>
    <w:p w14:paraId="08DA2EB8" w14:textId="4F68D42D" w:rsidR="00A05CED" w:rsidRPr="00492CAF" w:rsidRDefault="00A05CED" w:rsidP="00B34421">
      <w:pPr>
        <w:spacing w:line="240" w:lineRule="auto"/>
        <w:rPr>
          <w:lang w:val="en-US"/>
        </w:rPr>
      </w:pPr>
      <w:r w:rsidRPr="00A05CED">
        <w:t xml:space="preserve">According to the methodology adapted from Soares et al. (2025), each strand was standardised to a mass of 4 grams and identified according to the product that would be used for washing. Thus, four strands of the same hair were chosen, and a different prototype (P1, P2, P3, or commercial shampoo) was applied to each one. Table 2 shows the identification (ID) of each strand and the respective prototype used in the washing process. </w:t>
      </w:r>
    </w:p>
    <w:p w14:paraId="4CC363CA" w14:textId="77777777" w:rsidR="000F7E1E" w:rsidRPr="008E13F1" w:rsidRDefault="000F7E1E" w:rsidP="00B34421">
      <w:pPr>
        <w:pStyle w:val="CETBodytext"/>
        <w:spacing w:line="240" w:lineRule="auto"/>
        <w:rPr>
          <w:i/>
          <w:iCs/>
          <w:lang w:val="fr-FR"/>
        </w:rPr>
      </w:pPr>
    </w:p>
    <w:p w14:paraId="198AB00B" w14:textId="5912679D" w:rsidR="000F7E1E" w:rsidRPr="008E13F1" w:rsidRDefault="000F7E1E" w:rsidP="00B34421">
      <w:pPr>
        <w:pStyle w:val="CETBodytext"/>
        <w:spacing w:line="240" w:lineRule="auto"/>
        <w:rPr>
          <w:i/>
          <w:iCs/>
          <w:lang w:val="fr-FR"/>
        </w:rPr>
      </w:pPr>
      <w:r w:rsidRPr="008E13F1">
        <w:rPr>
          <w:i/>
          <w:iCs/>
          <w:lang w:val="fr-FR"/>
        </w:rPr>
        <w:t>Table 2: Classification of standardised strands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437"/>
      </w:tblGrid>
      <w:tr w:rsidR="00C31DA0" w:rsidRPr="001F7300" w14:paraId="0F6E8B66" w14:textId="77777777" w:rsidTr="005D3BB1">
        <w:tc>
          <w:tcPr>
            <w:tcW w:w="0" w:type="auto"/>
            <w:tcBorders>
              <w:top w:val="single" w:sz="4" w:space="0" w:color="00B050"/>
              <w:bottom w:val="single" w:sz="4" w:space="0" w:color="00B050"/>
            </w:tcBorders>
          </w:tcPr>
          <w:p w14:paraId="4D0F4004" w14:textId="11B39ED7" w:rsidR="00C31DA0" w:rsidRPr="00D23AD6" w:rsidRDefault="00C31DA0" w:rsidP="00D23AD6">
            <w:pPr>
              <w:pStyle w:val="CETBodytext"/>
              <w:spacing w:line="240" w:lineRule="auto"/>
              <w:rPr>
                <w:lang w:val="en-GB"/>
              </w:rPr>
            </w:pPr>
            <w:bookmarkStart w:id="1" w:name="_Hlk203488649"/>
            <w:r w:rsidRPr="00D23AD6">
              <w:rPr>
                <w:lang w:val="en-GB"/>
              </w:rPr>
              <w:t>Formulation used</w:t>
            </w:r>
          </w:p>
        </w:tc>
        <w:tc>
          <w:tcPr>
            <w:tcW w:w="0" w:type="auto"/>
            <w:tcBorders>
              <w:top w:val="single" w:sz="4" w:space="0" w:color="00B050"/>
              <w:bottom w:val="single" w:sz="4" w:space="0" w:color="auto"/>
            </w:tcBorders>
          </w:tcPr>
          <w:p w14:paraId="6FAB0869" w14:textId="77777777" w:rsidR="00C31DA0" w:rsidRPr="001F7300" w:rsidRDefault="00C31DA0" w:rsidP="00B34421">
            <w:pPr>
              <w:tabs>
                <w:tab w:val="left" w:pos="567"/>
                <w:tab w:val="left" w:pos="1134"/>
                <w:tab w:val="left" w:pos="1418"/>
              </w:tabs>
              <w:spacing w:line="240" w:lineRule="auto"/>
              <w:jc w:val="left"/>
              <w:rPr>
                <w:rFonts w:cs="Arial"/>
                <w:bCs/>
                <w:szCs w:val="18"/>
              </w:rPr>
            </w:pPr>
            <w:r w:rsidRPr="001F7300">
              <w:rPr>
                <w:rFonts w:cs="Arial"/>
                <w:bCs/>
                <w:szCs w:val="18"/>
              </w:rPr>
              <w:t>ID</w:t>
            </w:r>
          </w:p>
        </w:tc>
      </w:tr>
      <w:tr w:rsidR="00C31DA0" w:rsidRPr="00B511DF" w14:paraId="34C8C4E4" w14:textId="77777777" w:rsidTr="005D3BB1">
        <w:trPr>
          <w:trHeight w:val="276"/>
        </w:trPr>
        <w:tc>
          <w:tcPr>
            <w:tcW w:w="0" w:type="auto"/>
            <w:tcBorders>
              <w:top w:val="single" w:sz="4" w:space="0" w:color="00B050"/>
            </w:tcBorders>
          </w:tcPr>
          <w:p w14:paraId="1EE68739" w14:textId="7A6BDFE6" w:rsidR="00C31DA0" w:rsidRPr="00D23AD6" w:rsidRDefault="00C31DA0" w:rsidP="00D23AD6">
            <w:pPr>
              <w:pStyle w:val="CETBodytext"/>
              <w:spacing w:line="240" w:lineRule="auto"/>
              <w:rPr>
                <w:lang w:val="en-GB"/>
              </w:rPr>
            </w:pPr>
            <w:r w:rsidRPr="00D23AD6">
              <w:rPr>
                <w:lang w:val="en-GB"/>
              </w:rPr>
              <w:t>Plant-based biosurfactant + chemical surfactant (P1)</w:t>
            </w:r>
          </w:p>
        </w:tc>
        <w:tc>
          <w:tcPr>
            <w:tcW w:w="0" w:type="auto"/>
            <w:tcBorders>
              <w:top w:val="single" w:sz="4" w:space="0" w:color="auto"/>
            </w:tcBorders>
          </w:tcPr>
          <w:p w14:paraId="475F7999" w14:textId="77777777" w:rsidR="00C31DA0" w:rsidRPr="00B511DF" w:rsidRDefault="00C31DA0" w:rsidP="00B34421">
            <w:pPr>
              <w:tabs>
                <w:tab w:val="left" w:pos="567"/>
                <w:tab w:val="left" w:pos="1134"/>
                <w:tab w:val="left" w:pos="1418"/>
              </w:tabs>
              <w:spacing w:line="240" w:lineRule="auto"/>
              <w:jc w:val="left"/>
              <w:rPr>
                <w:rFonts w:cs="Arial"/>
                <w:bCs/>
                <w:szCs w:val="18"/>
              </w:rPr>
            </w:pPr>
            <w:r w:rsidRPr="00B511DF">
              <w:rPr>
                <w:rFonts w:cs="Arial"/>
                <w:bCs/>
                <w:szCs w:val="18"/>
              </w:rPr>
              <w:t>A1</w:t>
            </w:r>
          </w:p>
        </w:tc>
      </w:tr>
      <w:tr w:rsidR="00C31DA0" w:rsidRPr="00B511DF" w14:paraId="1442CFF0" w14:textId="77777777" w:rsidTr="005D3BB1">
        <w:trPr>
          <w:trHeight w:val="138"/>
        </w:trPr>
        <w:tc>
          <w:tcPr>
            <w:tcW w:w="0" w:type="auto"/>
          </w:tcPr>
          <w:p w14:paraId="181D3D6C" w14:textId="13F02AB2" w:rsidR="00C31DA0" w:rsidRPr="00D23AD6" w:rsidRDefault="00C31DA0" w:rsidP="00D23AD6">
            <w:pPr>
              <w:pStyle w:val="CETBodytext"/>
              <w:spacing w:line="240" w:lineRule="auto"/>
              <w:rPr>
                <w:lang w:val="en-GB"/>
              </w:rPr>
            </w:pPr>
            <w:r w:rsidRPr="00D23AD6">
              <w:rPr>
                <w:lang w:val="en-GB"/>
              </w:rPr>
              <w:t>Chemical surfactant only (P2)</w:t>
            </w:r>
          </w:p>
        </w:tc>
        <w:tc>
          <w:tcPr>
            <w:tcW w:w="0" w:type="auto"/>
          </w:tcPr>
          <w:p w14:paraId="47EAC2DF" w14:textId="77777777" w:rsidR="00C31DA0" w:rsidRPr="00B511DF" w:rsidRDefault="00C31DA0" w:rsidP="00B34421">
            <w:pPr>
              <w:tabs>
                <w:tab w:val="left" w:pos="567"/>
                <w:tab w:val="left" w:pos="1134"/>
                <w:tab w:val="left" w:pos="1418"/>
              </w:tabs>
              <w:spacing w:line="240" w:lineRule="auto"/>
              <w:jc w:val="left"/>
              <w:rPr>
                <w:rFonts w:cs="Arial"/>
                <w:bCs/>
                <w:szCs w:val="18"/>
              </w:rPr>
            </w:pPr>
            <w:r w:rsidRPr="00B511DF">
              <w:rPr>
                <w:rFonts w:cs="Arial"/>
                <w:bCs/>
                <w:szCs w:val="18"/>
              </w:rPr>
              <w:t>A2</w:t>
            </w:r>
          </w:p>
        </w:tc>
      </w:tr>
      <w:tr w:rsidR="00C31DA0" w:rsidRPr="00B511DF" w14:paraId="6F93656E" w14:textId="77777777" w:rsidTr="005D3BB1">
        <w:trPr>
          <w:trHeight w:val="63"/>
        </w:trPr>
        <w:tc>
          <w:tcPr>
            <w:tcW w:w="0" w:type="auto"/>
          </w:tcPr>
          <w:p w14:paraId="308E537F" w14:textId="5CBF4821" w:rsidR="00C31DA0" w:rsidRPr="00D23AD6" w:rsidRDefault="00C31DA0" w:rsidP="00D23AD6">
            <w:pPr>
              <w:pStyle w:val="CETBodytext"/>
              <w:spacing w:line="240" w:lineRule="auto"/>
              <w:rPr>
                <w:lang w:val="en-GB"/>
              </w:rPr>
            </w:pPr>
            <w:r w:rsidRPr="00D23AD6">
              <w:rPr>
                <w:lang w:val="en-GB"/>
              </w:rPr>
              <w:t>Surfactant-free (P3)</w:t>
            </w:r>
          </w:p>
        </w:tc>
        <w:tc>
          <w:tcPr>
            <w:tcW w:w="0" w:type="auto"/>
          </w:tcPr>
          <w:p w14:paraId="4D451DC1" w14:textId="77777777" w:rsidR="00C31DA0" w:rsidRPr="00B511DF" w:rsidRDefault="00C31DA0" w:rsidP="00B34421">
            <w:pPr>
              <w:tabs>
                <w:tab w:val="left" w:pos="567"/>
                <w:tab w:val="left" w:pos="1134"/>
                <w:tab w:val="left" w:pos="1418"/>
              </w:tabs>
              <w:spacing w:line="240" w:lineRule="auto"/>
              <w:jc w:val="left"/>
              <w:rPr>
                <w:rFonts w:cs="Arial"/>
                <w:bCs/>
                <w:szCs w:val="18"/>
              </w:rPr>
            </w:pPr>
            <w:r w:rsidRPr="00B511DF">
              <w:rPr>
                <w:rFonts w:cs="Arial"/>
                <w:bCs/>
                <w:szCs w:val="18"/>
              </w:rPr>
              <w:t>A3</w:t>
            </w:r>
          </w:p>
        </w:tc>
      </w:tr>
      <w:tr w:rsidR="00C31DA0" w:rsidRPr="00B511DF" w14:paraId="6F02C0E6" w14:textId="77777777" w:rsidTr="005D3BB1">
        <w:trPr>
          <w:trHeight w:val="138"/>
        </w:trPr>
        <w:tc>
          <w:tcPr>
            <w:tcW w:w="0" w:type="auto"/>
            <w:tcBorders>
              <w:bottom w:val="single" w:sz="4" w:space="0" w:color="00B050"/>
            </w:tcBorders>
          </w:tcPr>
          <w:p w14:paraId="290D1834" w14:textId="313B4D0E" w:rsidR="00C31DA0" w:rsidRPr="00D23AD6" w:rsidRDefault="00C31DA0" w:rsidP="00D23AD6">
            <w:pPr>
              <w:pStyle w:val="CETBodytext"/>
              <w:spacing w:line="240" w:lineRule="auto"/>
              <w:rPr>
                <w:lang w:val="en-GB"/>
              </w:rPr>
            </w:pPr>
            <w:r w:rsidRPr="00D23AD6">
              <w:rPr>
                <w:lang w:val="en-GB"/>
              </w:rPr>
              <w:t>Commercial shampoo (SC)</w:t>
            </w:r>
          </w:p>
        </w:tc>
        <w:tc>
          <w:tcPr>
            <w:tcW w:w="0" w:type="auto"/>
            <w:tcBorders>
              <w:bottom w:val="single" w:sz="4" w:space="0" w:color="00B050"/>
            </w:tcBorders>
          </w:tcPr>
          <w:p w14:paraId="4BAAB586" w14:textId="0B9F3EE9" w:rsidR="00C31DA0" w:rsidRPr="00B511DF" w:rsidRDefault="00C31DA0" w:rsidP="00B34421">
            <w:pPr>
              <w:tabs>
                <w:tab w:val="left" w:pos="567"/>
                <w:tab w:val="left" w:pos="1134"/>
                <w:tab w:val="left" w:pos="1418"/>
              </w:tabs>
              <w:spacing w:line="240" w:lineRule="auto"/>
              <w:jc w:val="left"/>
              <w:rPr>
                <w:rFonts w:cs="Arial"/>
                <w:bCs/>
                <w:szCs w:val="18"/>
              </w:rPr>
            </w:pPr>
            <w:r>
              <w:rPr>
                <w:rFonts w:cs="Arial"/>
                <w:bCs/>
                <w:szCs w:val="18"/>
              </w:rPr>
              <w:t>A4</w:t>
            </w:r>
          </w:p>
        </w:tc>
      </w:tr>
      <w:bookmarkEnd w:id="1"/>
    </w:tbl>
    <w:p w14:paraId="644D4BFC" w14:textId="77777777" w:rsidR="00B511DF" w:rsidRPr="00B511DF" w:rsidRDefault="00B511DF" w:rsidP="00B34421">
      <w:pPr>
        <w:spacing w:line="240" w:lineRule="auto"/>
        <w:rPr>
          <w:rFonts w:cs="Arial"/>
          <w:bCs/>
          <w:szCs w:val="18"/>
        </w:rPr>
      </w:pPr>
    </w:p>
    <w:p w14:paraId="21A1F735" w14:textId="77777777" w:rsidR="00492CAF" w:rsidRDefault="00B45FF4" w:rsidP="00B34421">
      <w:pPr>
        <w:spacing w:line="240" w:lineRule="auto"/>
        <w:rPr>
          <w:rFonts w:cs="Arial"/>
          <w:bCs/>
          <w:szCs w:val="18"/>
          <w:lang w:val="en-US"/>
        </w:rPr>
      </w:pPr>
      <w:r w:rsidRPr="00A05CED">
        <w:rPr>
          <w:rFonts w:cs="Arial"/>
          <w:szCs w:val="18"/>
          <w:lang w:val="en-US"/>
        </w:rPr>
        <w:t>2.</w:t>
      </w:r>
      <w:r w:rsidR="00C420F5" w:rsidRPr="00A05CED">
        <w:rPr>
          <w:rFonts w:cs="Arial"/>
          <w:szCs w:val="18"/>
          <w:lang w:val="en-US"/>
        </w:rPr>
        <w:t>4</w:t>
      </w:r>
      <w:r w:rsidR="00847D15" w:rsidRPr="00A05CED">
        <w:rPr>
          <w:rFonts w:cs="Arial"/>
          <w:szCs w:val="18"/>
          <w:lang w:val="en-US"/>
        </w:rPr>
        <w:t xml:space="preserve">.2 </w:t>
      </w:r>
      <w:r w:rsidR="00A05CED" w:rsidRPr="00A05CED">
        <w:rPr>
          <w:rFonts w:cs="Arial"/>
          <w:szCs w:val="18"/>
          <w:lang w:val="en-US"/>
        </w:rPr>
        <w:t>Hair strands washing process</w:t>
      </w:r>
    </w:p>
    <w:p w14:paraId="2B5B2498" w14:textId="59853E45" w:rsidR="00A05CED" w:rsidRDefault="00A05CED" w:rsidP="005D3BB1">
      <w:pPr>
        <w:spacing w:line="240" w:lineRule="auto"/>
        <w:rPr>
          <w:rFonts w:cs="Arial"/>
          <w:szCs w:val="18"/>
          <w:lang w:val="en-US"/>
        </w:rPr>
      </w:pPr>
      <w:r w:rsidRPr="00A05CED">
        <w:rPr>
          <w:rFonts w:cs="Arial"/>
          <w:szCs w:val="18"/>
          <w:lang w:val="en-US"/>
        </w:rPr>
        <w:lastRenderedPageBreak/>
        <w:t>Regarding the washing process, the procedure was standard: with wet hair, the appropriate shampoo for each type of strand was applied, the formulations were massaged into the hair for 1 minute and then rinsed for another minute under running water. Finally, the hair was left to dry completely without the use of heat sources (Martins et al., 2024)</w:t>
      </w:r>
      <w:r w:rsidR="005D3BB1">
        <w:rPr>
          <w:rFonts w:cs="Arial"/>
          <w:szCs w:val="18"/>
          <w:lang w:val="en-US"/>
        </w:rPr>
        <w:t>.</w:t>
      </w:r>
    </w:p>
    <w:p w14:paraId="48AB2620" w14:textId="77777777" w:rsidR="00EC2A65" w:rsidRPr="005D3BB1" w:rsidRDefault="00EC2A65" w:rsidP="005D3BB1">
      <w:pPr>
        <w:spacing w:line="240" w:lineRule="auto"/>
        <w:rPr>
          <w:rFonts w:cs="Arial"/>
          <w:bCs/>
          <w:szCs w:val="18"/>
          <w:lang w:val="en-US"/>
        </w:rPr>
      </w:pPr>
    </w:p>
    <w:p w14:paraId="6F3B9784" w14:textId="3029E1C0" w:rsidR="00492CAF" w:rsidRDefault="00A05CED" w:rsidP="00EC2A65">
      <w:pPr>
        <w:pStyle w:val="CETheadingx"/>
      </w:pPr>
      <w:proofErr w:type="spellStart"/>
      <w:r w:rsidRPr="00A05CED">
        <w:t>Mechanical</w:t>
      </w:r>
      <w:proofErr w:type="spellEnd"/>
      <w:r w:rsidRPr="00A05CED">
        <w:t xml:space="preserve"> </w:t>
      </w:r>
      <w:proofErr w:type="spellStart"/>
      <w:r w:rsidRPr="00A05CED">
        <w:t>test</w:t>
      </w:r>
      <w:proofErr w:type="spellEnd"/>
      <w:r w:rsidRPr="00A05CED">
        <w:t xml:space="preserve"> </w:t>
      </w:r>
      <w:proofErr w:type="spellStart"/>
      <w:r w:rsidRPr="00A05CED">
        <w:t>on</w:t>
      </w:r>
      <w:proofErr w:type="spellEnd"/>
      <w:r w:rsidRPr="00A05CED">
        <w:t xml:space="preserve"> </w:t>
      </w:r>
      <w:proofErr w:type="spellStart"/>
      <w:r w:rsidRPr="00A05CED">
        <w:t>standardised</w:t>
      </w:r>
      <w:proofErr w:type="spellEnd"/>
      <w:r w:rsidRPr="00A05CED">
        <w:t xml:space="preserve"> </w:t>
      </w:r>
      <w:proofErr w:type="spellStart"/>
      <w:r w:rsidRPr="00A05CED">
        <w:t>strands</w:t>
      </w:r>
      <w:proofErr w:type="spellEnd"/>
    </w:p>
    <w:p w14:paraId="5320E624" w14:textId="77777777" w:rsidR="00EC2A65" w:rsidRDefault="00EC2A65" w:rsidP="00B34421">
      <w:pPr>
        <w:spacing w:line="240" w:lineRule="auto"/>
        <w:rPr>
          <w:rFonts w:cs="Arial"/>
          <w:b/>
          <w:szCs w:val="18"/>
          <w:lang w:val="en-US"/>
        </w:rPr>
      </w:pPr>
    </w:p>
    <w:p w14:paraId="69910A47" w14:textId="3EA8DD39" w:rsidR="007E3EF7" w:rsidRPr="00492CAF" w:rsidRDefault="008008BE" w:rsidP="00B34421">
      <w:pPr>
        <w:spacing w:line="240" w:lineRule="auto"/>
        <w:rPr>
          <w:rFonts w:cs="Arial"/>
          <w:b/>
          <w:szCs w:val="18"/>
          <w:lang w:val="en-US"/>
        </w:rPr>
      </w:pPr>
      <w:r w:rsidRPr="008008BE">
        <w:rPr>
          <w:lang w:val="en-US"/>
        </w:rPr>
        <w:t xml:space="preserve">The hair strands evaluated in the mechanical resistance and shine test were </w:t>
      </w:r>
      <w:proofErr w:type="spellStart"/>
      <w:r w:rsidRPr="008008BE">
        <w:rPr>
          <w:lang w:val="en-US"/>
        </w:rPr>
        <w:t>analysed</w:t>
      </w:r>
      <w:proofErr w:type="spellEnd"/>
      <w:r w:rsidRPr="008008BE">
        <w:rPr>
          <w:lang w:val="en-US"/>
        </w:rPr>
        <w:t xml:space="preserve"> considering the relationship between the mechanical resistance of the hair </w:t>
      </w:r>
      <w:proofErr w:type="spellStart"/>
      <w:r w:rsidRPr="008008BE">
        <w:rPr>
          <w:lang w:val="en-US"/>
        </w:rPr>
        <w:t>fibre</w:t>
      </w:r>
      <w:proofErr w:type="spellEnd"/>
      <w:r w:rsidRPr="008008BE">
        <w:rPr>
          <w:lang w:val="en-US"/>
        </w:rPr>
        <w:t>, its structural integrity and its light reflection capacity, following the tests below:</w:t>
      </w:r>
    </w:p>
    <w:p w14:paraId="1AB5FA5E" w14:textId="77777777" w:rsidR="008008BE" w:rsidRPr="008008BE" w:rsidRDefault="008008BE" w:rsidP="00B34421">
      <w:pPr>
        <w:spacing w:line="240" w:lineRule="auto"/>
        <w:rPr>
          <w:rFonts w:cs="Arial"/>
          <w:bCs/>
          <w:szCs w:val="18"/>
          <w:lang w:val="en-US"/>
        </w:rPr>
      </w:pPr>
    </w:p>
    <w:p w14:paraId="0058AE8F" w14:textId="3E6DC83A" w:rsidR="00EB78F7" w:rsidRPr="008008BE" w:rsidRDefault="00847D15" w:rsidP="00B34421">
      <w:pPr>
        <w:tabs>
          <w:tab w:val="left" w:pos="567"/>
          <w:tab w:val="left" w:pos="1134"/>
          <w:tab w:val="left" w:pos="1418"/>
        </w:tabs>
        <w:spacing w:line="240" w:lineRule="auto"/>
        <w:rPr>
          <w:rFonts w:cs="Arial"/>
          <w:szCs w:val="18"/>
          <w:lang w:val="en-US"/>
        </w:rPr>
      </w:pPr>
      <w:r w:rsidRPr="008008BE">
        <w:rPr>
          <w:rFonts w:cs="Arial"/>
          <w:szCs w:val="18"/>
          <w:lang w:val="en-US"/>
        </w:rPr>
        <w:t>2.</w:t>
      </w:r>
      <w:r w:rsidR="00691297" w:rsidRPr="008008BE">
        <w:rPr>
          <w:rFonts w:cs="Arial"/>
          <w:szCs w:val="18"/>
          <w:lang w:val="en-US"/>
        </w:rPr>
        <w:t>5</w:t>
      </w:r>
      <w:r w:rsidR="00A27801" w:rsidRPr="008008BE">
        <w:rPr>
          <w:rFonts w:cs="Arial"/>
          <w:szCs w:val="18"/>
          <w:lang w:val="en-US"/>
        </w:rPr>
        <w:t>.</w:t>
      </w:r>
      <w:r w:rsidR="00DE20A3" w:rsidRPr="008008BE">
        <w:rPr>
          <w:rFonts w:cs="Arial"/>
          <w:szCs w:val="18"/>
          <w:lang w:val="en-US"/>
        </w:rPr>
        <w:t>1</w:t>
      </w:r>
      <w:r w:rsidRPr="008008BE">
        <w:rPr>
          <w:rFonts w:cs="Arial"/>
          <w:szCs w:val="18"/>
          <w:lang w:val="en-US"/>
        </w:rPr>
        <w:t xml:space="preserve"> </w:t>
      </w:r>
      <w:r w:rsidR="008008BE" w:rsidRPr="008008BE">
        <w:rPr>
          <w:rFonts w:cs="Arial"/>
          <w:szCs w:val="18"/>
          <w:lang w:val="en-US"/>
        </w:rPr>
        <w:t>Tension or mechanical force test</w:t>
      </w:r>
    </w:p>
    <w:p w14:paraId="6AC3C40F" w14:textId="77777777" w:rsidR="008008BE" w:rsidRPr="008008BE" w:rsidRDefault="008008BE" w:rsidP="00B34421">
      <w:pPr>
        <w:tabs>
          <w:tab w:val="left" w:pos="567"/>
          <w:tab w:val="left" w:pos="1134"/>
          <w:tab w:val="left" w:pos="1418"/>
        </w:tabs>
        <w:spacing w:line="240" w:lineRule="auto"/>
        <w:rPr>
          <w:rFonts w:cs="Arial"/>
          <w:bCs/>
          <w:szCs w:val="18"/>
          <w:lang w:val="en-US"/>
        </w:rPr>
      </w:pPr>
    </w:p>
    <w:p w14:paraId="25764131" w14:textId="4F754855" w:rsidR="00C31378" w:rsidRPr="008008BE" w:rsidRDefault="008008BE" w:rsidP="00B34421">
      <w:pPr>
        <w:tabs>
          <w:tab w:val="left" w:pos="567"/>
          <w:tab w:val="left" w:pos="1134"/>
          <w:tab w:val="left" w:pos="1418"/>
        </w:tabs>
        <w:spacing w:line="240" w:lineRule="auto"/>
        <w:rPr>
          <w:rFonts w:cs="Arial"/>
          <w:szCs w:val="18"/>
          <w:lang w:val="en-US"/>
        </w:rPr>
      </w:pPr>
      <w:r w:rsidRPr="008008BE">
        <w:rPr>
          <w:rFonts w:cs="Arial"/>
          <w:szCs w:val="18"/>
          <w:lang w:val="en-US"/>
        </w:rPr>
        <w:t xml:space="preserve">The yarn tension measurements were performed on a Brookfield </w:t>
      </w:r>
      <w:proofErr w:type="spellStart"/>
      <w:r w:rsidRPr="008008BE">
        <w:rPr>
          <w:rFonts w:cs="Arial"/>
          <w:szCs w:val="18"/>
          <w:lang w:val="en-US"/>
        </w:rPr>
        <w:t>Ametek</w:t>
      </w:r>
      <w:proofErr w:type="spellEnd"/>
      <w:r w:rsidRPr="008008BE">
        <w:rPr>
          <w:rFonts w:cs="Arial"/>
          <w:szCs w:val="18"/>
          <w:lang w:val="en-US"/>
        </w:rPr>
        <w:t xml:space="preserve"> C3 </w:t>
      </w:r>
      <w:proofErr w:type="spellStart"/>
      <w:r w:rsidRPr="008008BE">
        <w:rPr>
          <w:rFonts w:cs="Arial"/>
          <w:szCs w:val="18"/>
          <w:lang w:val="en-US"/>
        </w:rPr>
        <w:t>texturer</w:t>
      </w:r>
      <w:proofErr w:type="spellEnd"/>
      <w:r w:rsidRPr="008008BE">
        <w:rPr>
          <w:rFonts w:cs="Arial"/>
          <w:szCs w:val="18"/>
          <w:lang w:val="en-US"/>
        </w:rPr>
        <w:t xml:space="preserve"> under the following conditions: </w:t>
      </w:r>
      <w:proofErr w:type="spellStart"/>
      <w:r w:rsidRPr="008008BE">
        <w:rPr>
          <w:rFonts w:cs="Arial"/>
          <w:szCs w:val="18"/>
          <w:lang w:val="en-US"/>
        </w:rPr>
        <w:t>tigger</w:t>
      </w:r>
      <w:proofErr w:type="spellEnd"/>
      <w:r w:rsidRPr="008008BE">
        <w:rPr>
          <w:rFonts w:cs="Arial"/>
          <w:szCs w:val="18"/>
          <w:lang w:val="en-US"/>
        </w:rPr>
        <w:t xml:space="preserve"> load 6.80g; speed 0.50 mm/s, TA3/100 test tip and TA-RT adjustment device. The tension of the hair </w:t>
      </w:r>
      <w:proofErr w:type="spellStart"/>
      <w:r w:rsidRPr="008008BE">
        <w:rPr>
          <w:rFonts w:cs="Arial"/>
          <w:szCs w:val="18"/>
          <w:lang w:val="en-US"/>
        </w:rPr>
        <w:t>fibre</w:t>
      </w:r>
      <w:proofErr w:type="spellEnd"/>
      <w:r w:rsidRPr="008008BE">
        <w:rPr>
          <w:rFonts w:cs="Arial"/>
          <w:szCs w:val="18"/>
          <w:lang w:val="en-US"/>
        </w:rPr>
        <w:t xml:space="preserve"> of the selected strands was </w:t>
      </w:r>
      <w:proofErr w:type="spellStart"/>
      <w:r w:rsidRPr="008008BE">
        <w:rPr>
          <w:rFonts w:cs="Arial"/>
          <w:szCs w:val="18"/>
          <w:lang w:val="en-US"/>
        </w:rPr>
        <w:t>analysed</w:t>
      </w:r>
      <w:proofErr w:type="spellEnd"/>
      <w:r w:rsidRPr="008008BE">
        <w:rPr>
          <w:rFonts w:cs="Arial"/>
          <w:szCs w:val="18"/>
          <w:lang w:val="en-US"/>
        </w:rPr>
        <w:t xml:space="preserve"> before and after applying the shampoos to each </w:t>
      </w:r>
      <w:proofErr w:type="spellStart"/>
      <w:r w:rsidRPr="008008BE">
        <w:rPr>
          <w:rFonts w:cs="Arial"/>
          <w:szCs w:val="18"/>
          <w:lang w:val="en-US"/>
        </w:rPr>
        <w:t>standardised</w:t>
      </w:r>
      <w:proofErr w:type="spellEnd"/>
      <w:r w:rsidRPr="008008BE">
        <w:rPr>
          <w:rFonts w:cs="Arial"/>
          <w:szCs w:val="18"/>
          <w:lang w:val="en-US"/>
        </w:rPr>
        <w:t xml:space="preserve"> strand </w:t>
      </w:r>
      <w:proofErr w:type="gramStart"/>
      <w:r w:rsidRPr="008008BE">
        <w:rPr>
          <w:rFonts w:cs="Arial"/>
          <w:szCs w:val="18"/>
          <w:lang w:val="en-US"/>
        </w:rPr>
        <w:t>in order to</w:t>
      </w:r>
      <w:proofErr w:type="gramEnd"/>
      <w:r w:rsidRPr="008008BE">
        <w:rPr>
          <w:rFonts w:cs="Arial"/>
          <w:szCs w:val="18"/>
          <w:lang w:val="en-US"/>
        </w:rPr>
        <w:t xml:space="preserve"> verify the influence on the resistance of the strands. The procedure is based on mechanically stretching a strand of hair until it breaks, </w:t>
      </w:r>
      <w:proofErr w:type="spellStart"/>
      <w:r w:rsidRPr="008008BE">
        <w:rPr>
          <w:rFonts w:cs="Arial"/>
          <w:szCs w:val="18"/>
          <w:lang w:val="en-US"/>
        </w:rPr>
        <w:t>characterising</w:t>
      </w:r>
      <w:proofErr w:type="spellEnd"/>
      <w:r w:rsidRPr="008008BE">
        <w:rPr>
          <w:rFonts w:cs="Arial"/>
          <w:szCs w:val="18"/>
          <w:lang w:val="en-US"/>
        </w:rPr>
        <w:t xml:space="preserve"> plastic deformation. Thus, the greater the tensile force that the hair strand can withstand, the greater its resistance and the higher its point of rupture (Velasco et al., 2017). It is worth noting that the strands, each treated with their respective prototypes, were tested in triplicate in the tension test.</w:t>
      </w:r>
    </w:p>
    <w:p w14:paraId="7DF77A11" w14:textId="77777777" w:rsidR="00DE20A3" w:rsidRPr="008008BE" w:rsidRDefault="00DE20A3" w:rsidP="00B34421">
      <w:pPr>
        <w:tabs>
          <w:tab w:val="left" w:pos="567"/>
          <w:tab w:val="left" w:pos="1134"/>
          <w:tab w:val="left" w:pos="1418"/>
        </w:tabs>
        <w:spacing w:line="240" w:lineRule="auto"/>
        <w:rPr>
          <w:rFonts w:cs="Arial"/>
          <w:szCs w:val="18"/>
          <w:lang w:val="en-US"/>
        </w:rPr>
      </w:pPr>
    </w:p>
    <w:p w14:paraId="0891B3A3" w14:textId="601CAA6F" w:rsidR="007E3EF7" w:rsidRDefault="00DE20A3" w:rsidP="00B34421">
      <w:pPr>
        <w:tabs>
          <w:tab w:val="left" w:pos="567"/>
          <w:tab w:val="left" w:pos="1134"/>
          <w:tab w:val="left" w:pos="1418"/>
        </w:tabs>
        <w:spacing w:line="240" w:lineRule="auto"/>
        <w:rPr>
          <w:rFonts w:cs="Arial"/>
          <w:szCs w:val="18"/>
          <w:lang w:val="en-US"/>
        </w:rPr>
      </w:pPr>
      <w:r w:rsidRPr="008008BE">
        <w:rPr>
          <w:rFonts w:cs="Arial"/>
          <w:szCs w:val="18"/>
          <w:lang w:val="en-US"/>
        </w:rPr>
        <w:t>2.</w:t>
      </w:r>
      <w:r w:rsidR="00691297" w:rsidRPr="008008BE">
        <w:rPr>
          <w:rFonts w:cs="Arial"/>
          <w:szCs w:val="18"/>
          <w:lang w:val="en-US"/>
        </w:rPr>
        <w:t>5</w:t>
      </w:r>
      <w:r w:rsidRPr="008008BE">
        <w:rPr>
          <w:rFonts w:cs="Arial"/>
          <w:szCs w:val="18"/>
          <w:lang w:val="en-US"/>
        </w:rPr>
        <w:t xml:space="preserve">.2 </w:t>
      </w:r>
      <w:r w:rsidR="008008BE" w:rsidRPr="008008BE">
        <w:rPr>
          <w:rFonts w:cs="Arial"/>
          <w:szCs w:val="18"/>
          <w:lang w:val="en-US"/>
        </w:rPr>
        <w:t>Gloss measurements</w:t>
      </w:r>
    </w:p>
    <w:p w14:paraId="6402C0AB" w14:textId="77777777" w:rsidR="00EC2A65" w:rsidRPr="008008BE" w:rsidRDefault="00EC2A65" w:rsidP="00B34421">
      <w:pPr>
        <w:tabs>
          <w:tab w:val="left" w:pos="567"/>
          <w:tab w:val="left" w:pos="1134"/>
          <w:tab w:val="left" w:pos="1418"/>
        </w:tabs>
        <w:spacing w:line="240" w:lineRule="auto"/>
        <w:rPr>
          <w:rFonts w:cs="Arial"/>
          <w:szCs w:val="18"/>
          <w:lang w:val="en-US"/>
        </w:rPr>
      </w:pPr>
    </w:p>
    <w:p w14:paraId="5636E4B4" w14:textId="40CF3D5B" w:rsidR="00166CAD" w:rsidRPr="008008BE" w:rsidRDefault="008008BE" w:rsidP="00B34421">
      <w:pPr>
        <w:tabs>
          <w:tab w:val="left" w:pos="567"/>
          <w:tab w:val="left" w:pos="709"/>
        </w:tabs>
        <w:spacing w:line="240" w:lineRule="auto"/>
        <w:rPr>
          <w:lang w:val="en-US"/>
        </w:rPr>
      </w:pPr>
      <w:r w:rsidRPr="008008BE">
        <w:rPr>
          <w:lang w:val="en-US"/>
        </w:rPr>
        <w:t xml:space="preserve"> The </w:t>
      </w:r>
      <w:proofErr w:type="spellStart"/>
      <w:r w:rsidRPr="008008BE">
        <w:rPr>
          <w:lang w:val="en-US"/>
        </w:rPr>
        <w:t>Glossymeter</w:t>
      </w:r>
      <w:proofErr w:type="spellEnd"/>
      <w:r w:rsidRPr="008008BE">
        <w:rPr>
          <w:lang w:val="en-US"/>
        </w:rPr>
        <w:t xml:space="preserve"> GL-200 (Courage + </w:t>
      </w:r>
      <w:proofErr w:type="spellStart"/>
      <w:r w:rsidRPr="008008BE">
        <w:rPr>
          <w:lang w:val="en-US"/>
        </w:rPr>
        <w:t>Khazaka</w:t>
      </w:r>
      <w:proofErr w:type="spellEnd"/>
      <w:r w:rsidRPr="008008BE">
        <w:rPr>
          <w:lang w:val="en-US"/>
        </w:rPr>
        <w:t xml:space="preserve"> electronic GmbH) was used to perform the test. This device directs light at a specific angle onto the test surface and measures the amount of reflection. In this way, the gloss units of the hair were compared before and after washing the strands (Soares et al., 2025). The values were presented in Gloss Units. The gloss test was performed in triplicate on each strand </w:t>
      </w:r>
      <w:proofErr w:type="spellStart"/>
      <w:r w:rsidRPr="008008BE">
        <w:rPr>
          <w:lang w:val="en-US"/>
        </w:rPr>
        <w:t>analysed</w:t>
      </w:r>
      <w:proofErr w:type="spellEnd"/>
      <w:r w:rsidRPr="008008BE">
        <w:rPr>
          <w:lang w:val="en-US"/>
        </w:rPr>
        <w:t>.</w:t>
      </w:r>
    </w:p>
    <w:p w14:paraId="29C32DB2" w14:textId="77777777" w:rsidR="008008BE" w:rsidRPr="008008BE" w:rsidRDefault="008008BE" w:rsidP="00B34421">
      <w:pPr>
        <w:tabs>
          <w:tab w:val="left" w:pos="567"/>
          <w:tab w:val="left" w:pos="709"/>
        </w:tabs>
        <w:spacing w:line="240" w:lineRule="auto"/>
        <w:rPr>
          <w:rFonts w:cs="Arial"/>
          <w:szCs w:val="16"/>
          <w:lang w:val="en-US"/>
        </w:rPr>
      </w:pPr>
    </w:p>
    <w:p w14:paraId="47EBADF0" w14:textId="76048D84" w:rsidR="00492CAF" w:rsidRDefault="00273667" w:rsidP="00EC2A65">
      <w:pPr>
        <w:pStyle w:val="CETheadingx"/>
      </w:pPr>
      <w:proofErr w:type="spellStart"/>
      <w:r w:rsidRPr="008E13F1">
        <w:t>Cleaning</w:t>
      </w:r>
      <w:proofErr w:type="spellEnd"/>
      <w:r w:rsidRPr="008E13F1">
        <w:t xml:space="preserve"> Test</w:t>
      </w:r>
    </w:p>
    <w:p w14:paraId="7FE457AD" w14:textId="77777777" w:rsidR="00EC2A65" w:rsidRDefault="00EC2A65" w:rsidP="00B34421">
      <w:pPr>
        <w:tabs>
          <w:tab w:val="left" w:pos="567"/>
          <w:tab w:val="left" w:pos="709"/>
        </w:tabs>
        <w:spacing w:line="240" w:lineRule="auto"/>
        <w:rPr>
          <w:rFonts w:cs="Arial"/>
          <w:b/>
          <w:bCs/>
          <w:szCs w:val="16"/>
          <w:lang w:val="fr-FR"/>
        </w:rPr>
      </w:pPr>
    </w:p>
    <w:p w14:paraId="53E5AC84" w14:textId="04518F1B" w:rsidR="00166CAD" w:rsidRDefault="00273667" w:rsidP="00B34421">
      <w:pPr>
        <w:tabs>
          <w:tab w:val="clear" w:pos="7100"/>
          <w:tab w:val="left" w:pos="7693"/>
        </w:tabs>
        <w:spacing w:line="240" w:lineRule="auto"/>
        <w:rPr>
          <w:rFonts w:cs="Arial"/>
          <w:szCs w:val="16"/>
          <w:lang w:val="fr-FR"/>
        </w:rPr>
      </w:pPr>
      <w:r w:rsidRPr="00273667">
        <w:rPr>
          <w:rFonts w:cs="Arial"/>
          <w:szCs w:val="16"/>
          <w:lang w:val="en-US"/>
        </w:rPr>
        <w:t xml:space="preserve">The cleaning action of the formulations was evaluated based on the methodologies used by Thompson et al. </w:t>
      </w:r>
      <w:r w:rsidRPr="00492CAF">
        <w:rPr>
          <w:rFonts w:cs="Arial"/>
          <w:szCs w:val="16"/>
          <w:lang w:val="fr-FR"/>
        </w:rPr>
        <w:t>(1985) and AzadbakhT et al. (2018).</w:t>
      </w:r>
    </w:p>
    <w:p w14:paraId="7FE230E4" w14:textId="77777777" w:rsidR="00B34421" w:rsidRPr="00492CAF" w:rsidRDefault="00B34421" w:rsidP="00B34421">
      <w:pPr>
        <w:tabs>
          <w:tab w:val="clear" w:pos="7100"/>
          <w:tab w:val="left" w:pos="7693"/>
        </w:tabs>
        <w:spacing w:line="240" w:lineRule="auto"/>
        <w:rPr>
          <w:rFonts w:cs="Arial"/>
          <w:b/>
          <w:bCs/>
          <w:szCs w:val="16"/>
          <w:lang w:val="fr-FR"/>
        </w:rPr>
      </w:pPr>
    </w:p>
    <w:p w14:paraId="29EC6E76" w14:textId="1528156A" w:rsidR="00B34421" w:rsidRDefault="00B65A36" w:rsidP="00B34421">
      <w:pPr>
        <w:pStyle w:val="CETHeading1"/>
        <w:numPr>
          <w:ilvl w:val="0"/>
          <w:numId w:val="25"/>
        </w:numPr>
        <w:spacing w:before="0" w:after="0"/>
      </w:pPr>
      <w:r>
        <w:t>Result</w:t>
      </w:r>
      <w:r w:rsidR="00D36A9B">
        <w:t>s</w:t>
      </w:r>
      <w:r>
        <w:t xml:space="preserve"> </w:t>
      </w:r>
      <w:r w:rsidR="008A626C">
        <w:t xml:space="preserve">and Discussion </w:t>
      </w:r>
    </w:p>
    <w:p w14:paraId="01CEE0DF" w14:textId="77777777" w:rsidR="00EC2A65" w:rsidRPr="00EC2A65" w:rsidRDefault="00EC2A65" w:rsidP="00EC2A65">
      <w:pPr>
        <w:pStyle w:val="CETBodytext"/>
      </w:pPr>
    </w:p>
    <w:p w14:paraId="4D098215" w14:textId="0FA7B23B" w:rsidR="008A626C" w:rsidRDefault="00273667" w:rsidP="00B34421">
      <w:pPr>
        <w:pStyle w:val="CETheadingx"/>
        <w:spacing w:before="0" w:after="0" w:line="240" w:lineRule="auto"/>
      </w:pPr>
      <w:proofErr w:type="spellStart"/>
      <w:r w:rsidRPr="001A3F22">
        <w:t>Extraction</w:t>
      </w:r>
      <w:proofErr w:type="spellEnd"/>
      <w:r w:rsidRPr="001A3F22">
        <w:t xml:space="preserve"> </w:t>
      </w:r>
      <w:proofErr w:type="spellStart"/>
      <w:r w:rsidRPr="001A3F22">
        <w:t>of</w:t>
      </w:r>
      <w:proofErr w:type="spellEnd"/>
      <w:r w:rsidRPr="001A3F22">
        <w:t xml:space="preserve"> </w:t>
      </w:r>
      <w:proofErr w:type="spellStart"/>
      <w:r w:rsidRPr="001A3F22">
        <w:t>biosurfactants</w:t>
      </w:r>
      <w:proofErr w:type="spellEnd"/>
    </w:p>
    <w:p w14:paraId="17C6AE3F" w14:textId="77777777" w:rsidR="00EC2A65" w:rsidRPr="00EC2A65" w:rsidRDefault="00EC2A65" w:rsidP="00EC2A65">
      <w:pPr>
        <w:pStyle w:val="CETBodytext"/>
        <w:rPr>
          <w:lang w:val="pt-BR"/>
        </w:rPr>
      </w:pPr>
    </w:p>
    <w:p w14:paraId="2F97CABB" w14:textId="43A30D27" w:rsidR="00B34421" w:rsidRDefault="00B9111A" w:rsidP="00B34421">
      <w:pPr>
        <w:spacing w:line="240" w:lineRule="auto"/>
        <w:rPr>
          <w:rFonts w:cs="Arial"/>
          <w:noProof/>
          <w:szCs w:val="18"/>
        </w:rPr>
      </w:pPr>
      <w:r w:rsidRPr="00B9111A">
        <w:rPr>
          <w:rFonts w:cs="Arial"/>
          <w:noProof/>
          <w:szCs w:val="18"/>
        </w:rPr>
        <w:t xml:space="preserve">Extracts obtained by hydroalcoholic extraction in Soxhlet showed different yields, with 61.6% for </w:t>
      </w:r>
      <w:r w:rsidRPr="00B9111A">
        <w:rPr>
          <w:rFonts w:cs="Arial"/>
          <w:i/>
          <w:iCs/>
          <w:noProof/>
          <w:szCs w:val="18"/>
        </w:rPr>
        <w:t>A. comosus</w:t>
      </w:r>
      <w:r w:rsidRPr="00B9111A">
        <w:rPr>
          <w:rFonts w:cs="Arial"/>
          <w:noProof/>
          <w:szCs w:val="18"/>
        </w:rPr>
        <w:t xml:space="preserve"> and 9.5% for </w:t>
      </w:r>
      <w:r w:rsidRPr="00B9111A">
        <w:rPr>
          <w:rFonts w:cs="Arial"/>
          <w:i/>
          <w:iCs/>
          <w:noProof/>
          <w:szCs w:val="18"/>
        </w:rPr>
        <w:t>C. quinoa</w:t>
      </w:r>
      <w:r w:rsidRPr="00B9111A">
        <w:rPr>
          <w:rFonts w:cs="Arial"/>
          <w:noProof/>
          <w:szCs w:val="18"/>
        </w:rPr>
        <w:t xml:space="preserve">. The yield of </w:t>
      </w:r>
      <w:r w:rsidRPr="00B9111A">
        <w:rPr>
          <w:rFonts w:cs="Arial"/>
          <w:i/>
          <w:iCs/>
          <w:noProof/>
          <w:szCs w:val="18"/>
        </w:rPr>
        <w:t>C. quinoa</w:t>
      </w:r>
      <w:r w:rsidRPr="00B9111A">
        <w:rPr>
          <w:rFonts w:cs="Arial"/>
          <w:noProof/>
          <w:szCs w:val="18"/>
        </w:rPr>
        <w:t xml:space="preserve"> was higher than that reported in the literature (6.7%)</w:t>
      </w:r>
      <w:r>
        <w:rPr>
          <w:rFonts w:cs="Arial"/>
          <w:noProof/>
          <w:szCs w:val="18"/>
        </w:rPr>
        <w:t xml:space="preserve"> by Bezerra et al. (2021)</w:t>
      </w:r>
      <w:r w:rsidRPr="00B9111A">
        <w:rPr>
          <w:rFonts w:cs="Arial"/>
          <w:noProof/>
          <w:szCs w:val="18"/>
        </w:rPr>
        <w:t xml:space="preserve">, indicating greater efficiency of the extraction method employed. The absence of previous data for </w:t>
      </w:r>
      <w:r w:rsidRPr="00B9111A">
        <w:rPr>
          <w:rFonts w:cs="Arial"/>
          <w:i/>
          <w:iCs/>
          <w:noProof/>
          <w:szCs w:val="18"/>
        </w:rPr>
        <w:t>A. comosus</w:t>
      </w:r>
      <w:r w:rsidRPr="00B9111A">
        <w:rPr>
          <w:rFonts w:cs="Arial"/>
          <w:noProof/>
          <w:szCs w:val="18"/>
        </w:rPr>
        <w:t>, combined with the high yield obtained, highlights the originality of the findings and reinforces its potential for cosmetic applications</w:t>
      </w:r>
    </w:p>
    <w:p w14:paraId="68474263" w14:textId="237A8D9F" w:rsidR="00B9111A" w:rsidRPr="00273667" w:rsidRDefault="00B9111A" w:rsidP="00B34421">
      <w:pPr>
        <w:spacing w:line="240" w:lineRule="auto"/>
        <w:rPr>
          <w:rFonts w:cs="Arial"/>
          <w:noProof/>
          <w:szCs w:val="18"/>
          <w:lang w:val="en-US"/>
        </w:rPr>
      </w:pPr>
      <w:r w:rsidRPr="00B9111A">
        <w:rPr>
          <w:rFonts w:cs="Arial"/>
          <w:noProof/>
          <w:szCs w:val="18"/>
        </w:rPr>
        <w:t>.</w:t>
      </w:r>
    </w:p>
    <w:p w14:paraId="677B7B90" w14:textId="1387A3D2" w:rsidR="00811DAB" w:rsidRDefault="00BC1A82" w:rsidP="00B34421">
      <w:pPr>
        <w:pStyle w:val="CETheadingx"/>
        <w:spacing w:before="0" w:after="0" w:line="240" w:lineRule="auto"/>
        <w:rPr>
          <w:lang w:val="en-GB"/>
        </w:rPr>
      </w:pPr>
      <w:r w:rsidRPr="00BC1A82">
        <w:rPr>
          <w:lang w:val="en-GB"/>
        </w:rPr>
        <w:t>Stability Assessment of the Prototype</w:t>
      </w:r>
    </w:p>
    <w:p w14:paraId="67CCE9A0" w14:textId="77777777" w:rsidR="00EC2A65" w:rsidRPr="00EC2A65" w:rsidRDefault="00EC2A65" w:rsidP="00EC2A65">
      <w:pPr>
        <w:pStyle w:val="CETBodytext"/>
        <w:rPr>
          <w:lang w:val="en-GB"/>
        </w:rPr>
      </w:pPr>
    </w:p>
    <w:p w14:paraId="1C7A7642" w14:textId="2838F55E" w:rsidR="00197ABC" w:rsidRDefault="00197ABC" w:rsidP="00B34421">
      <w:pPr>
        <w:spacing w:line="240" w:lineRule="auto"/>
        <w:rPr>
          <w:rFonts w:cs="Arial"/>
          <w:szCs w:val="18"/>
          <w:lang w:val="en-US"/>
        </w:rPr>
      </w:pPr>
      <w:r w:rsidRPr="00197ABC">
        <w:rPr>
          <w:rFonts w:cs="Arial"/>
          <w:szCs w:val="18"/>
          <w:lang w:val="en-US"/>
        </w:rPr>
        <w:t xml:space="preserve">The results of the stability study of a sample of P1 stored at three different temperatures (37°C, 40°C and 45°C) revealed that the parameters of appearance (uniform), </w:t>
      </w:r>
      <w:proofErr w:type="spellStart"/>
      <w:r w:rsidRPr="00197ABC">
        <w:rPr>
          <w:rFonts w:cs="Arial"/>
          <w:szCs w:val="18"/>
          <w:lang w:val="en-US"/>
        </w:rPr>
        <w:t>odour</w:t>
      </w:r>
      <w:proofErr w:type="spellEnd"/>
      <w:r w:rsidRPr="00197ABC">
        <w:rPr>
          <w:rFonts w:cs="Arial"/>
          <w:szCs w:val="18"/>
          <w:lang w:val="en-US"/>
        </w:rPr>
        <w:t xml:space="preserve"> (fragrance) and pH (5.09) remained stable and unchanged during the 30 days. Density showed instability between the first and seventh days (between 0.62 and 0.98 g/cm³), which occurred at all three temperatures. After this period, the parameter </w:t>
      </w:r>
      <w:proofErr w:type="spellStart"/>
      <w:r w:rsidRPr="00197ABC">
        <w:rPr>
          <w:rFonts w:cs="Arial"/>
          <w:szCs w:val="18"/>
          <w:lang w:val="en-US"/>
        </w:rPr>
        <w:t>stabilised</w:t>
      </w:r>
      <w:proofErr w:type="spellEnd"/>
      <w:r w:rsidRPr="00197ABC">
        <w:rPr>
          <w:rFonts w:cs="Arial"/>
          <w:szCs w:val="18"/>
          <w:lang w:val="en-US"/>
        </w:rPr>
        <w:t>, reaching an average density of 0.97±0.09 g/cm³ at a temperature of 37°C; 1.06±0.13 g/cm³ at 40°C and 0.99±0.05 g/cm³ in cycles at 45°C, suggesting that, despite physical changes in the sample structure under storage conditions at temperatures above the ambient temperature, the density returns to stability after the seventh day of storage.</w:t>
      </w:r>
      <w:r w:rsidR="002F70F8">
        <w:rPr>
          <w:rFonts w:cs="Arial"/>
          <w:szCs w:val="18"/>
          <w:lang w:val="en-US"/>
        </w:rPr>
        <w:t xml:space="preserve"> </w:t>
      </w:r>
      <w:r w:rsidR="002F70F8" w:rsidRPr="002F70F8">
        <w:rPr>
          <w:rFonts w:cs="Arial"/>
          <w:szCs w:val="18"/>
        </w:rPr>
        <w:t>It is important to note that the present evaluation was limited to a 30-day accelerated stability test conducted during the development phase; therefore, longer-term studies under real-time storage conditions are necessary to simulate realistic product use and shelf-life duration.</w:t>
      </w:r>
    </w:p>
    <w:p w14:paraId="01E78EA8" w14:textId="77777777" w:rsidR="00197ABC" w:rsidRDefault="00197ABC" w:rsidP="00B34421">
      <w:pPr>
        <w:spacing w:line="240" w:lineRule="auto"/>
        <w:ind w:firstLine="142"/>
        <w:rPr>
          <w:rFonts w:cs="Arial"/>
          <w:szCs w:val="18"/>
          <w:lang w:val="en-US"/>
        </w:rPr>
      </w:pPr>
    </w:p>
    <w:p w14:paraId="11E7D305" w14:textId="2AB25C1B" w:rsidR="006840DE" w:rsidRDefault="00197ABC" w:rsidP="00B34421">
      <w:pPr>
        <w:pStyle w:val="CETheadingx"/>
        <w:spacing w:before="0" w:after="0" w:line="240" w:lineRule="auto"/>
      </w:pPr>
      <w:proofErr w:type="spellStart"/>
      <w:r w:rsidRPr="00197ABC">
        <w:t>Mechanical</w:t>
      </w:r>
      <w:proofErr w:type="spellEnd"/>
      <w:r w:rsidRPr="00197ABC">
        <w:t xml:space="preserve"> </w:t>
      </w:r>
      <w:proofErr w:type="spellStart"/>
      <w:r w:rsidRPr="00197ABC">
        <w:t>tests</w:t>
      </w:r>
      <w:proofErr w:type="spellEnd"/>
      <w:r w:rsidRPr="00197ABC">
        <w:t xml:space="preserve"> </w:t>
      </w:r>
      <w:proofErr w:type="spellStart"/>
      <w:r w:rsidRPr="00197ABC">
        <w:t>on</w:t>
      </w:r>
      <w:proofErr w:type="spellEnd"/>
      <w:r w:rsidRPr="00197ABC">
        <w:t xml:space="preserve"> </w:t>
      </w:r>
      <w:proofErr w:type="spellStart"/>
      <w:r w:rsidRPr="00197ABC">
        <w:t>standardised</w:t>
      </w:r>
      <w:proofErr w:type="spellEnd"/>
      <w:r w:rsidRPr="00197ABC">
        <w:t xml:space="preserve"> </w:t>
      </w:r>
      <w:proofErr w:type="spellStart"/>
      <w:r w:rsidRPr="00197ABC">
        <w:t>strands</w:t>
      </w:r>
      <w:proofErr w:type="spellEnd"/>
    </w:p>
    <w:p w14:paraId="128976D4" w14:textId="77777777" w:rsidR="00EC2A65" w:rsidRPr="00EC2A65" w:rsidRDefault="00EC2A65" w:rsidP="00EC2A65">
      <w:pPr>
        <w:pStyle w:val="CETBodytext"/>
        <w:rPr>
          <w:lang w:val="pt-BR"/>
        </w:rPr>
      </w:pPr>
    </w:p>
    <w:p w14:paraId="18B6503B" w14:textId="489AF9DA" w:rsidR="00DF2EC5" w:rsidRDefault="00083BB2" w:rsidP="00AD441C">
      <w:pPr>
        <w:spacing w:line="240" w:lineRule="auto"/>
        <w:rPr>
          <w:rFonts w:cs="Arial"/>
          <w:szCs w:val="18"/>
        </w:rPr>
      </w:pPr>
      <w:r w:rsidRPr="00197ABC">
        <w:rPr>
          <w:rFonts w:cs="Arial"/>
          <w:szCs w:val="18"/>
          <w:lang w:val="en-US"/>
        </w:rPr>
        <w:t xml:space="preserve">3.3.1 </w:t>
      </w:r>
      <w:r w:rsidR="00CD1783" w:rsidRPr="00CD1783">
        <w:rPr>
          <w:rFonts w:cs="Arial"/>
          <w:szCs w:val="18"/>
        </w:rPr>
        <w:t>Mechanical Performance under Tensile Testing</w:t>
      </w:r>
    </w:p>
    <w:p w14:paraId="1BA01F4F" w14:textId="77777777" w:rsidR="00DF2EC5" w:rsidRDefault="00DF2EC5" w:rsidP="00DF2EC5">
      <w:pPr>
        <w:pStyle w:val="CETBodytext"/>
        <w:rPr>
          <w:rFonts w:cs="Arial"/>
          <w:szCs w:val="18"/>
          <w:lang w:val="fr-FR"/>
        </w:rPr>
      </w:pPr>
      <w:r w:rsidRPr="00DF2EC5">
        <w:rPr>
          <w:rFonts w:cs="Arial"/>
          <w:szCs w:val="18"/>
        </w:rPr>
        <w:lastRenderedPageBreak/>
        <w:t xml:space="preserve">The hair fiber, like any material, exhibits two stages when exposed to tensile force: the Hookean phase, in which force is proportional to elongation and deformation is reversible, and the non-Hookean phase, in which the applied force exceeds the elastic limit, causing irreversible plastic deformation (Ribeiro et al., 2021). </w:t>
      </w:r>
      <w:r w:rsidRPr="00DF2EC5">
        <w:rPr>
          <w:rFonts w:cs="Arial"/>
          <w:szCs w:val="18"/>
          <w:lang w:val="fr-FR"/>
        </w:rPr>
        <w:t>The breaking point mainly depends on the integrity of the cuticle. In this context, aggressive surfactants such as sulfates can accelerate hair breakage by exposing the cuticle scales to external damage (Zi et al., 2025).</w:t>
      </w:r>
    </w:p>
    <w:p w14:paraId="0A02EF74" w14:textId="41F6D87F" w:rsidR="00DF2EC5" w:rsidRPr="00DF2EC5" w:rsidRDefault="00DF2EC5" w:rsidP="000A0069">
      <w:pPr>
        <w:pStyle w:val="CETBodytext"/>
        <w:rPr>
          <w:rFonts w:cs="Arial"/>
          <w:szCs w:val="18"/>
          <w:lang w:val="fr-FR"/>
        </w:rPr>
      </w:pPr>
      <w:r w:rsidRPr="00DF2EC5">
        <w:rPr>
          <w:rFonts w:cs="Arial"/>
          <w:szCs w:val="18"/>
          <w:lang w:val="fr-FR"/>
        </w:rPr>
        <w:t>The 17.84% increase in the breaking point observed in hair treated with prototype P1, containing plant-derived biosurfactants, suggests that these compounds—due to their moisturizing, antioxidant, and photoprotective properties—contribute to improving the mechanical resistance of the fibers after washing. In contrast, strands washed with commercial shampoos containing anionic surfactants showed cuticle fragilization and reduced mechanical resistance (Soares et al., 2025).</w:t>
      </w:r>
      <w:r w:rsidR="000A0069">
        <w:rPr>
          <w:rFonts w:cs="Arial"/>
          <w:szCs w:val="18"/>
          <w:lang w:val="fr-FR"/>
        </w:rPr>
        <w:t xml:space="preserve"> </w:t>
      </w:r>
      <w:r w:rsidRPr="00DF2EC5">
        <w:rPr>
          <w:rFonts w:cs="Arial"/>
          <w:szCs w:val="18"/>
          <w:lang w:val="fr-FR"/>
        </w:rPr>
        <w:t>Prototype P2, containing only chemical surfactant, showed minimal change (0.28%) in relation to the pre-wash breaking point, indicating little contribution to fiber resistance. Prototype P3, without surfactants, produced a 34.95% increase in the breaking point, reinforcing the negative impact of anionic surfactants on hair structure. These results may be associated with phytochemicals present in plant biosurfactants, such as saponins, flavonoids, polyphenols, and sugars, which can contribute to cleansing while also improving the mechanical resistance of hair fibers (Mala et al., 2024; Gupta; Morya, 2022).</w:t>
      </w:r>
      <w:r w:rsidR="000A0069">
        <w:rPr>
          <w:rFonts w:cs="Arial"/>
          <w:szCs w:val="18"/>
          <w:lang w:val="fr-FR"/>
        </w:rPr>
        <w:t xml:space="preserve"> </w:t>
      </w:r>
      <w:r w:rsidRPr="00DF2EC5">
        <w:rPr>
          <w:rFonts w:cs="Arial"/>
          <w:szCs w:val="18"/>
          <w:lang w:val="fr-FR"/>
        </w:rPr>
        <w:t>Overall, the findings suggest that plant-derived biosurfactants may reduce structural damage caused by aggressive surfactants and enhance the mechanical resistance of hair fibers.</w:t>
      </w:r>
    </w:p>
    <w:p w14:paraId="138D5EE4" w14:textId="77777777" w:rsidR="00AB3C8A" w:rsidRPr="00DF2EC5" w:rsidRDefault="00AB3C8A" w:rsidP="00B34421">
      <w:pPr>
        <w:pStyle w:val="CETBodytext"/>
        <w:spacing w:line="240" w:lineRule="auto"/>
        <w:ind w:firstLine="142"/>
        <w:rPr>
          <w:i/>
          <w:iCs/>
          <w:lang w:val="fr-FR"/>
        </w:rPr>
      </w:pPr>
    </w:p>
    <w:p w14:paraId="538F6748" w14:textId="01AFE23F" w:rsidR="00403442" w:rsidRPr="00A131E7" w:rsidRDefault="008423EC" w:rsidP="00B34421">
      <w:pPr>
        <w:pStyle w:val="CETBodytext"/>
        <w:spacing w:line="240" w:lineRule="auto"/>
        <w:rPr>
          <w:i/>
          <w:iCs/>
        </w:rPr>
      </w:pPr>
      <w:r w:rsidRPr="008423EC">
        <w:rPr>
          <w:i/>
          <w:iCs/>
        </w:rPr>
        <w:t>Table 3: Results of mechanical resistance tests on strands analyzed before and after washing with the prototypes.</w:t>
      </w:r>
    </w:p>
    <w:tbl>
      <w:tblPr>
        <w:tblStyle w:val="Tabelacomgrade"/>
        <w:tblpPr w:leftFromText="141" w:rightFromText="141" w:vertAnchor="text" w:horzAnchor="margin" w:tblpY="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3353"/>
        <w:gridCol w:w="3413"/>
      </w:tblGrid>
      <w:tr w:rsidR="00173FD5" w:rsidRPr="00C31DA0" w14:paraId="3A0B36AB" w14:textId="77777777" w:rsidTr="00237C82">
        <w:tc>
          <w:tcPr>
            <w:tcW w:w="0" w:type="auto"/>
            <w:tcBorders>
              <w:top w:val="single" w:sz="4" w:space="0" w:color="92D050"/>
              <w:bottom w:val="single" w:sz="4" w:space="0" w:color="92D050"/>
              <w:right w:val="single" w:sz="4" w:space="0" w:color="92D050"/>
            </w:tcBorders>
          </w:tcPr>
          <w:p w14:paraId="1D967DA1" w14:textId="7A26E41E" w:rsidR="00173FD5" w:rsidRPr="00C31DA0" w:rsidRDefault="00C31DA0" w:rsidP="00B34421">
            <w:pPr>
              <w:spacing w:line="240" w:lineRule="auto"/>
              <w:jc w:val="left"/>
              <w:rPr>
                <w:rFonts w:cs="Arial"/>
                <w:szCs w:val="16"/>
                <w:lang w:val="en-US"/>
              </w:rPr>
            </w:pPr>
            <w:r w:rsidRPr="00C31DA0">
              <w:rPr>
                <w:rFonts w:cs="Arial"/>
                <w:szCs w:val="16"/>
                <w:lang w:val="en-US"/>
              </w:rPr>
              <w:t>Product used in the strand</w:t>
            </w:r>
          </w:p>
        </w:tc>
        <w:tc>
          <w:tcPr>
            <w:tcW w:w="0" w:type="auto"/>
            <w:tcBorders>
              <w:top w:val="single" w:sz="4" w:space="0" w:color="92D050"/>
              <w:left w:val="single" w:sz="4" w:space="0" w:color="92D050"/>
              <w:bottom w:val="single" w:sz="4" w:space="0" w:color="92D050"/>
            </w:tcBorders>
          </w:tcPr>
          <w:p w14:paraId="315E407D" w14:textId="179F7538" w:rsidR="00173FD5" w:rsidRPr="00C31DA0" w:rsidRDefault="00C31DA0" w:rsidP="00B34421">
            <w:pPr>
              <w:spacing w:line="240" w:lineRule="auto"/>
              <w:jc w:val="left"/>
              <w:rPr>
                <w:rFonts w:cs="Arial"/>
                <w:szCs w:val="16"/>
                <w:lang w:val="en-US"/>
              </w:rPr>
            </w:pPr>
            <w:r w:rsidRPr="00C31DA0">
              <w:rPr>
                <w:rFonts w:cs="Arial"/>
                <w:szCs w:val="16"/>
                <w:lang w:val="en-US"/>
              </w:rPr>
              <w:t>Tensile strength required for rupture before washing (g) (</w:t>
            </w:r>
            <w:proofErr w:type="spellStart"/>
            <w:r w:rsidRPr="00C31DA0">
              <w:rPr>
                <w:rFonts w:cs="Arial"/>
                <w:szCs w:val="16"/>
                <w:lang w:val="en-US"/>
              </w:rPr>
              <w:t>x±SE</w:t>
            </w:r>
            <w:proofErr w:type="spellEnd"/>
            <w:r w:rsidRPr="00C31DA0">
              <w:rPr>
                <w:rFonts w:cs="Arial"/>
                <w:szCs w:val="16"/>
                <w:lang w:val="en-US"/>
              </w:rPr>
              <w:t>)</w:t>
            </w:r>
          </w:p>
        </w:tc>
        <w:tc>
          <w:tcPr>
            <w:tcW w:w="0" w:type="auto"/>
            <w:tcBorders>
              <w:top w:val="single" w:sz="4" w:space="0" w:color="92D050"/>
              <w:bottom w:val="single" w:sz="4" w:space="0" w:color="92D050"/>
            </w:tcBorders>
          </w:tcPr>
          <w:p w14:paraId="07DCBB54" w14:textId="0E88B4B8" w:rsidR="00173FD5" w:rsidRPr="00C31DA0" w:rsidRDefault="00C31DA0" w:rsidP="00B34421">
            <w:pPr>
              <w:spacing w:line="240" w:lineRule="auto"/>
              <w:jc w:val="left"/>
              <w:rPr>
                <w:rFonts w:cs="Arial"/>
                <w:szCs w:val="16"/>
                <w:lang w:val="en-US"/>
              </w:rPr>
            </w:pPr>
            <w:r w:rsidRPr="00C31DA0">
              <w:rPr>
                <w:rFonts w:cs="Arial"/>
                <w:szCs w:val="16"/>
                <w:lang w:val="en-US"/>
              </w:rPr>
              <w:t>Tensile strength required for rupture after washing (g) (</w:t>
            </w:r>
            <w:proofErr w:type="spellStart"/>
            <w:r w:rsidRPr="00C31DA0">
              <w:rPr>
                <w:rFonts w:cs="Arial"/>
                <w:szCs w:val="16"/>
                <w:lang w:val="en-US"/>
              </w:rPr>
              <w:t>x±SE</w:t>
            </w:r>
            <w:proofErr w:type="spellEnd"/>
            <w:r w:rsidRPr="00C31DA0">
              <w:rPr>
                <w:rFonts w:cs="Arial"/>
                <w:szCs w:val="16"/>
                <w:lang w:val="en-US"/>
              </w:rPr>
              <w:t>)</w:t>
            </w:r>
          </w:p>
        </w:tc>
      </w:tr>
      <w:tr w:rsidR="00C2134B" w:rsidRPr="00A072EE" w14:paraId="28B1F3A1" w14:textId="77777777" w:rsidTr="00237C82">
        <w:tc>
          <w:tcPr>
            <w:tcW w:w="0" w:type="auto"/>
            <w:tcBorders>
              <w:top w:val="single" w:sz="4" w:space="0" w:color="92D050"/>
            </w:tcBorders>
          </w:tcPr>
          <w:p w14:paraId="5B3D1DF4" w14:textId="750A268B" w:rsidR="00C2134B" w:rsidRPr="002E10E5" w:rsidRDefault="002E10E5" w:rsidP="00B34421">
            <w:pPr>
              <w:spacing w:line="240" w:lineRule="auto"/>
              <w:jc w:val="left"/>
              <w:rPr>
                <w:rFonts w:cs="Arial"/>
                <w:szCs w:val="16"/>
                <w:lang w:val="pt-BR"/>
              </w:rPr>
            </w:pPr>
            <w:r w:rsidRPr="002E10E5">
              <w:rPr>
                <w:rFonts w:cs="Arial"/>
                <w:szCs w:val="16"/>
                <w:lang w:val="en"/>
              </w:rPr>
              <w:t>Prototype 1 (strand A1)</w:t>
            </w:r>
          </w:p>
        </w:tc>
        <w:tc>
          <w:tcPr>
            <w:tcW w:w="0" w:type="auto"/>
            <w:tcBorders>
              <w:top w:val="single" w:sz="4" w:space="0" w:color="92D050"/>
            </w:tcBorders>
          </w:tcPr>
          <w:p w14:paraId="52B2FFB1" w14:textId="24F1A8CD" w:rsidR="00C2134B" w:rsidRPr="00A072EE" w:rsidRDefault="00A45B8A" w:rsidP="00B34421">
            <w:pPr>
              <w:spacing w:line="240" w:lineRule="auto"/>
              <w:rPr>
                <w:rFonts w:cs="Arial"/>
                <w:szCs w:val="16"/>
              </w:rPr>
            </w:pPr>
            <w:r>
              <w:rPr>
                <w:rFonts w:cs="Arial"/>
                <w:szCs w:val="16"/>
              </w:rPr>
              <w:t>92.50</w:t>
            </w:r>
            <w:r w:rsidR="00C2134B" w:rsidRPr="00A072EE">
              <w:rPr>
                <w:rFonts w:cs="Arial"/>
                <w:szCs w:val="16"/>
              </w:rPr>
              <w:t xml:space="preserve">± </w:t>
            </w:r>
            <w:r>
              <w:rPr>
                <w:rFonts w:cs="Arial"/>
                <w:szCs w:val="16"/>
              </w:rPr>
              <w:t>3.25</w:t>
            </w:r>
          </w:p>
        </w:tc>
        <w:tc>
          <w:tcPr>
            <w:tcW w:w="0" w:type="auto"/>
            <w:tcBorders>
              <w:top w:val="single" w:sz="4" w:space="0" w:color="92D050"/>
            </w:tcBorders>
          </w:tcPr>
          <w:p w14:paraId="38081247" w14:textId="634B6441" w:rsidR="00C2134B" w:rsidRPr="00A072EE" w:rsidRDefault="00A45B8A" w:rsidP="00B34421">
            <w:pPr>
              <w:spacing w:line="240" w:lineRule="auto"/>
              <w:rPr>
                <w:rFonts w:cs="Arial"/>
                <w:szCs w:val="16"/>
              </w:rPr>
            </w:pPr>
            <w:r>
              <w:rPr>
                <w:rFonts w:cs="Arial"/>
                <w:szCs w:val="16"/>
              </w:rPr>
              <w:t>109.00</w:t>
            </w:r>
            <w:r w:rsidR="00C2134B" w:rsidRPr="00A072EE">
              <w:rPr>
                <w:rFonts w:cs="Arial"/>
                <w:szCs w:val="16"/>
              </w:rPr>
              <w:t>± 0</w:t>
            </w:r>
            <w:r w:rsidR="00C2134B">
              <w:rPr>
                <w:rFonts w:cs="Arial"/>
                <w:szCs w:val="16"/>
              </w:rPr>
              <w:t>.</w:t>
            </w:r>
            <w:r w:rsidR="00C2134B" w:rsidRPr="00A072EE">
              <w:rPr>
                <w:rFonts w:cs="Arial"/>
                <w:szCs w:val="16"/>
              </w:rPr>
              <w:t>27</w:t>
            </w:r>
            <w:r w:rsidR="006E2620">
              <w:rPr>
                <w:rFonts w:cs="Arial"/>
                <w:szCs w:val="16"/>
              </w:rPr>
              <w:t xml:space="preserve"> </w:t>
            </w:r>
            <w:r w:rsidR="00C2134B" w:rsidRPr="00A072EE">
              <w:rPr>
                <w:rFonts w:cs="Arial"/>
                <w:szCs w:val="16"/>
              </w:rPr>
              <w:t>*</w:t>
            </w:r>
          </w:p>
        </w:tc>
      </w:tr>
      <w:tr w:rsidR="002E10E5" w:rsidRPr="00A072EE" w14:paraId="063E1870" w14:textId="77777777" w:rsidTr="00E60D49">
        <w:tc>
          <w:tcPr>
            <w:tcW w:w="0" w:type="auto"/>
          </w:tcPr>
          <w:p w14:paraId="4DDC260E" w14:textId="23B0F2B4" w:rsidR="002E10E5" w:rsidRPr="00A072EE" w:rsidRDefault="002E10E5" w:rsidP="00B34421">
            <w:pPr>
              <w:spacing w:line="240" w:lineRule="auto"/>
              <w:jc w:val="left"/>
              <w:rPr>
                <w:rFonts w:cs="Arial"/>
                <w:szCs w:val="16"/>
              </w:rPr>
            </w:pPr>
            <w:r w:rsidRPr="002E10E5">
              <w:rPr>
                <w:rFonts w:cs="Arial"/>
                <w:szCs w:val="16"/>
                <w:lang w:val="en"/>
              </w:rPr>
              <w:t xml:space="preserve">Prototype </w:t>
            </w:r>
            <w:r>
              <w:rPr>
                <w:rFonts w:cs="Arial"/>
                <w:szCs w:val="16"/>
                <w:lang w:val="en"/>
              </w:rPr>
              <w:t>2</w:t>
            </w:r>
            <w:r w:rsidRPr="002E10E5">
              <w:rPr>
                <w:rFonts w:cs="Arial"/>
                <w:szCs w:val="16"/>
                <w:lang w:val="en"/>
              </w:rPr>
              <w:t xml:space="preserve"> (strand A</w:t>
            </w:r>
            <w:r>
              <w:rPr>
                <w:rFonts w:cs="Arial"/>
                <w:szCs w:val="16"/>
                <w:lang w:val="en"/>
              </w:rPr>
              <w:t>2</w:t>
            </w:r>
            <w:r w:rsidRPr="002E10E5">
              <w:rPr>
                <w:rFonts w:cs="Arial"/>
                <w:szCs w:val="16"/>
                <w:lang w:val="en"/>
              </w:rPr>
              <w:t>)</w:t>
            </w:r>
          </w:p>
        </w:tc>
        <w:tc>
          <w:tcPr>
            <w:tcW w:w="0" w:type="auto"/>
            <w:vAlign w:val="center"/>
          </w:tcPr>
          <w:p w14:paraId="11ACB444" w14:textId="58624836" w:rsidR="002E10E5" w:rsidRPr="00A072EE" w:rsidRDefault="002E10E5" w:rsidP="00B34421">
            <w:pPr>
              <w:spacing w:line="240" w:lineRule="auto"/>
              <w:rPr>
                <w:rFonts w:cs="Arial"/>
                <w:szCs w:val="16"/>
              </w:rPr>
            </w:pPr>
            <w:r>
              <w:rPr>
                <w:rFonts w:cs="Arial"/>
                <w:szCs w:val="16"/>
              </w:rPr>
              <w:t>58.5</w:t>
            </w:r>
            <w:r w:rsidRPr="00A072EE">
              <w:rPr>
                <w:rFonts w:cs="Arial"/>
                <w:szCs w:val="16"/>
              </w:rPr>
              <w:t xml:space="preserve">± </w:t>
            </w:r>
            <w:r>
              <w:rPr>
                <w:rFonts w:cs="Arial"/>
                <w:szCs w:val="16"/>
              </w:rPr>
              <w:t>0.25</w:t>
            </w:r>
          </w:p>
        </w:tc>
        <w:tc>
          <w:tcPr>
            <w:tcW w:w="0" w:type="auto"/>
            <w:vAlign w:val="center"/>
          </w:tcPr>
          <w:p w14:paraId="298C4BA1" w14:textId="72DEB769" w:rsidR="002E10E5" w:rsidRPr="00A072EE" w:rsidRDefault="002E10E5" w:rsidP="00B34421">
            <w:pPr>
              <w:spacing w:line="240" w:lineRule="auto"/>
              <w:rPr>
                <w:rFonts w:cs="Arial"/>
                <w:szCs w:val="16"/>
              </w:rPr>
            </w:pPr>
            <w:r>
              <w:rPr>
                <w:rFonts w:cs="Arial"/>
                <w:szCs w:val="16"/>
              </w:rPr>
              <w:t>58.67</w:t>
            </w:r>
            <w:r w:rsidRPr="00A072EE">
              <w:rPr>
                <w:rFonts w:cs="Arial"/>
                <w:szCs w:val="16"/>
              </w:rPr>
              <w:t xml:space="preserve">± </w:t>
            </w:r>
            <w:r>
              <w:rPr>
                <w:rFonts w:cs="Arial"/>
                <w:szCs w:val="16"/>
              </w:rPr>
              <w:t>1.25</w:t>
            </w:r>
          </w:p>
        </w:tc>
      </w:tr>
      <w:tr w:rsidR="002E10E5" w:rsidRPr="00A072EE" w14:paraId="18E0955D" w14:textId="77777777" w:rsidTr="00E60D49">
        <w:tc>
          <w:tcPr>
            <w:tcW w:w="0" w:type="auto"/>
          </w:tcPr>
          <w:p w14:paraId="173C35F7" w14:textId="6274DDFD" w:rsidR="002E10E5" w:rsidRPr="00A072EE" w:rsidRDefault="002E10E5" w:rsidP="00B34421">
            <w:pPr>
              <w:spacing w:line="240" w:lineRule="auto"/>
              <w:jc w:val="left"/>
              <w:rPr>
                <w:rFonts w:cs="Arial"/>
                <w:szCs w:val="16"/>
                <w:lang w:val="pt-BR"/>
              </w:rPr>
            </w:pPr>
            <w:r w:rsidRPr="002E10E5">
              <w:rPr>
                <w:rFonts w:cs="Arial"/>
                <w:szCs w:val="16"/>
                <w:lang w:val="en"/>
              </w:rPr>
              <w:t xml:space="preserve">Prototype </w:t>
            </w:r>
            <w:r>
              <w:rPr>
                <w:rFonts w:cs="Arial"/>
                <w:szCs w:val="16"/>
                <w:lang w:val="en"/>
              </w:rPr>
              <w:t>3</w:t>
            </w:r>
            <w:r w:rsidRPr="002E10E5">
              <w:rPr>
                <w:rFonts w:cs="Arial"/>
                <w:szCs w:val="16"/>
                <w:lang w:val="en"/>
              </w:rPr>
              <w:t xml:space="preserve"> (strand A</w:t>
            </w:r>
            <w:r>
              <w:rPr>
                <w:rFonts w:cs="Arial"/>
                <w:szCs w:val="16"/>
                <w:lang w:val="en"/>
              </w:rPr>
              <w:t>3</w:t>
            </w:r>
            <w:r w:rsidRPr="002E10E5">
              <w:rPr>
                <w:rFonts w:cs="Arial"/>
                <w:szCs w:val="16"/>
                <w:lang w:val="en"/>
              </w:rPr>
              <w:t>)</w:t>
            </w:r>
          </w:p>
        </w:tc>
        <w:tc>
          <w:tcPr>
            <w:tcW w:w="0" w:type="auto"/>
            <w:vAlign w:val="center"/>
          </w:tcPr>
          <w:p w14:paraId="7BEEFDD3" w14:textId="2E0A9B19" w:rsidR="002E10E5" w:rsidRPr="00A072EE" w:rsidRDefault="002E10E5" w:rsidP="00B34421">
            <w:pPr>
              <w:spacing w:line="240" w:lineRule="auto"/>
              <w:rPr>
                <w:rFonts w:cs="Arial"/>
                <w:szCs w:val="16"/>
              </w:rPr>
            </w:pPr>
            <w:r>
              <w:rPr>
                <w:rFonts w:cs="Arial"/>
                <w:szCs w:val="16"/>
              </w:rPr>
              <w:t>52.24</w:t>
            </w:r>
            <w:r w:rsidRPr="00A072EE">
              <w:rPr>
                <w:rFonts w:cs="Arial"/>
                <w:szCs w:val="16"/>
              </w:rPr>
              <w:t xml:space="preserve">± </w:t>
            </w:r>
            <w:r>
              <w:rPr>
                <w:rFonts w:cs="Arial"/>
                <w:szCs w:val="16"/>
              </w:rPr>
              <w:t>1.55</w:t>
            </w:r>
          </w:p>
        </w:tc>
        <w:tc>
          <w:tcPr>
            <w:tcW w:w="0" w:type="auto"/>
            <w:vAlign w:val="center"/>
          </w:tcPr>
          <w:p w14:paraId="1A8C713B" w14:textId="5E520FDE" w:rsidR="002E10E5" w:rsidRPr="00A072EE" w:rsidRDefault="002E10E5" w:rsidP="00B34421">
            <w:pPr>
              <w:spacing w:line="240" w:lineRule="auto"/>
              <w:rPr>
                <w:rFonts w:cs="Arial"/>
                <w:szCs w:val="16"/>
              </w:rPr>
            </w:pPr>
            <w:r>
              <w:rPr>
                <w:rFonts w:cs="Arial"/>
                <w:szCs w:val="16"/>
              </w:rPr>
              <w:t>70.5</w:t>
            </w:r>
            <w:r w:rsidRPr="00A072EE">
              <w:rPr>
                <w:rFonts w:cs="Arial"/>
                <w:szCs w:val="16"/>
              </w:rPr>
              <w:t xml:space="preserve">± </w:t>
            </w:r>
            <w:r>
              <w:rPr>
                <w:rFonts w:cs="Arial"/>
                <w:szCs w:val="16"/>
              </w:rPr>
              <w:t>3.00 *</w:t>
            </w:r>
          </w:p>
        </w:tc>
      </w:tr>
      <w:tr w:rsidR="00C2134B" w:rsidRPr="00A072EE" w14:paraId="35155852" w14:textId="77777777" w:rsidTr="00E60D49">
        <w:trPr>
          <w:trHeight w:val="73"/>
        </w:trPr>
        <w:tc>
          <w:tcPr>
            <w:tcW w:w="0" w:type="auto"/>
            <w:tcBorders>
              <w:bottom w:val="single" w:sz="4" w:space="0" w:color="92D050"/>
            </w:tcBorders>
          </w:tcPr>
          <w:p w14:paraId="7ACEDBB6" w14:textId="5910BBFE" w:rsidR="00C2134B" w:rsidRPr="00A072EE" w:rsidRDefault="002E10E5" w:rsidP="00B34421">
            <w:pPr>
              <w:spacing w:line="240" w:lineRule="auto"/>
              <w:jc w:val="left"/>
              <w:rPr>
                <w:rFonts w:cs="Arial"/>
                <w:szCs w:val="16"/>
                <w:lang w:val="pt-BR"/>
              </w:rPr>
            </w:pPr>
            <w:r w:rsidRPr="00FD7A11">
              <w:rPr>
                <w:szCs w:val="18"/>
              </w:rPr>
              <w:t>Commercial shampoo</w:t>
            </w:r>
            <w:r w:rsidRPr="00A072EE">
              <w:rPr>
                <w:rFonts w:cs="Arial"/>
                <w:szCs w:val="16"/>
              </w:rPr>
              <w:t xml:space="preserve"> </w:t>
            </w:r>
            <w:r w:rsidR="0075558E" w:rsidRPr="00A072EE">
              <w:rPr>
                <w:rFonts w:cs="Arial"/>
                <w:szCs w:val="16"/>
              </w:rPr>
              <w:t>(</w:t>
            </w:r>
            <w:r w:rsidR="0075558E" w:rsidRPr="002E10E5">
              <w:rPr>
                <w:rFonts w:cs="Arial"/>
                <w:szCs w:val="16"/>
                <w:lang w:val="en"/>
              </w:rPr>
              <w:t>strand</w:t>
            </w:r>
            <w:r w:rsidR="0075558E" w:rsidRPr="00A072EE">
              <w:rPr>
                <w:rFonts w:cs="Arial"/>
                <w:szCs w:val="16"/>
              </w:rPr>
              <w:t xml:space="preserve"> A</w:t>
            </w:r>
            <w:r w:rsidR="00C2134B">
              <w:rPr>
                <w:rFonts w:cs="Arial"/>
                <w:szCs w:val="16"/>
              </w:rPr>
              <w:t>4</w:t>
            </w:r>
            <w:r w:rsidR="00C2134B" w:rsidRPr="00A072EE">
              <w:rPr>
                <w:rFonts w:cs="Arial"/>
                <w:szCs w:val="16"/>
              </w:rPr>
              <w:t>)</w:t>
            </w:r>
          </w:p>
        </w:tc>
        <w:tc>
          <w:tcPr>
            <w:tcW w:w="0" w:type="auto"/>
            <w:tcBorders>
              <w:bottom w:val="single" w:sz="4" w:space="0" w:color="92D050"/>
            </w:tcBorders>
            <w:vAlign w:val="center"/>
          </w:tcPr>
          <w:p w14:paraId="6CCFC788" w14:textId="15261BA7" w:rsidR="00C2134B" w:rsidRPr="00A072EE" w:rsidRDefault="009404EA" w:rsidP="00B34421">
            <w:pPr>
              <w:spacing w:line="240" w:lineRule="auto"/>
              <w:rPr>
                <w:rFonts w:cs="Arial"/>
                <w:szCs w:val="16"/>
              </w:rPr>
            </w:pPr>
            <w:r>
              <w:rPr>
                <w:rFonts w:cs="Arial"/>
                <w:szCs w:val="16"/>
              </w:rPr>
              <w:t>109.00</w:t>
            </w:r>
            <w:r w:rsidR="00C2134B" w:rsidRPr="00A072EE">
              <w:rPr>
                <w:rFonts w:cs="Arial"/>
                <w:szCs w:val="16"/>
              </w:rPr>
              <w:t>±</w:t>
            </w:r>
            <w:r w:rsidR="00C2134B">
              <w:rPr>
                <w:rFonts w:cs="Arial"/>
                <w:szCs w:val="16"/>
              </w:rPr>
              <w:t xml:space="preserve"> </w:t>
            </w:r>
            <w:r>
              <w:rPr>
                <w:rFonts w:cs="Arial"/>
                <w:szCs w:val="16"/>
              </w:rPr>
              <w:t>3.5</w:t>
            </w:r>
          </w:p>
        </w:tc>
        <w:tc>
          <w:tcPr>
            <w:tcW w:w="0" w:type="auto"/>
            <w:tcBorders>
              <w:bottom w:val="single" w:sz="4" w:space="0" w:color="92D050"/>
            </w:tcBorders>
            <w:vAlign w:val="center"/>
          </w:tcPr>
          <w:p w14:paraId="7A269454" w14:textId="298F61E9" w:rsidR="00C2134B" w:rsidRPr="00A072EE" w:rsidRDefault="009404EA" w:rsidP="00B34421">
            <w:pPr>
              <w:spacing w:line="240" w:lineRule="auto"/>
              <w:rPr>
                <w:rFonts w:cs="Arial"/>
                <w:szCs w:val="16"/>
              </w:rPr>
            </w:pPr>
            <w:r>
              <w:rPr>
                <w:rFonts w:cs="Arial"/>
                <w:szCs w:val="16"/>
              </w:rPr>
              <w:t>101.27</w:t>
            </w:r>
            <w:r w:rsidR="00C2134B" w:rsidRPr="00A072EE">
              <w:rPr>
                <w:rFonts w:cs="Arial"/>
                <w:szCs w:val="16"/>
              </w:rPr>
              <w:t>±0</w:t>
            </w:r>
            <w:r w:rsidR="00C2134B">
              <w:rPr>
                <w:rFonts w:cs="Arial"/>
                <w:szCs w:val="16"/>
              </w:rPr>
              <w:t>.</w:t>
            </w:r>
            <w:r>
              <w:rPr>
                <w:rFonts w:cs="Arial"/>
                <w:szCs w:val="16"/>
              </w:rPr>
              <w:t>38</w:t>
            </w:r>
            <w:r w:rsidR="006E2620">
              <w:rPr>
                <w:rFonts w:cs="Arial"/>
                <w:szCs w:val="16"/>
              </w:rPr>
              <w:t xml:space="preserve"> </w:t>
            </w:r>
          </w:p>
        </w:tc>
      </w:tr>
    </w:tbl>
    <w:p w14:paraId="1456B34E" w14:textId="4B01D500" w:rsidR="0075558E" w:rsidRPr="0075558E" w:rsidRDefault="0075558E" w:rsidP="00B34421">
      <w:pPr>
        <w:spacing w:line="240" w:lineRule="auto"/>
        <w:rPr>
          <w:rFonts w:cs="Arial"/>
          <w:szCs w:val="18"/>
          <w:lang w:val="en-US"/>
        </w:rPr>
      </w:pPr>
      <w:r w:rsidRPr="0075558E">
        <w:rPr>
          <w:rFonts w:cs="Arial"/>
          <w:szCs w:val="18"/>
          <w:lang w:val="en"/>
        </w:rPr>
        <w:t xml:space="preserve">* Significance </w:t>
      </w:r>
      <w:r>
        <w:rPr>
          <w:rFonts w:cs="Arial"/>
          <w:szCs w:val="18"/>
          <w:lang w:val="en"/>
        </w:rPr>
        <w:t xml:space="preserve">at the 5% level </w:t>
      </w:r>
      <w:r w:rsidRPr="0075558E">
        <w:rPr>
          <w:rFonts w:cs="Arial"/>
          <w:szCs w:val="18"/>
          <w:lang w:val="en"/>
        </w:rPr>
        <w:t>(Student's t-test) (p&lt;0.05)</w:t>
      </w:r>
    </w:p>
    <w:p w14:paraId="4A183DAD" w14:textId="77777777" w:rsidR="0074196D" w:rsidRPr="0075558E" w:rsidRDefault="0074196D" w:rsidP="00B34421">
      <w:pPr>
        <w:spacing w:line="240" w:lineRule="auto"/>
        <w:rPr>
          <w:rFonts w:cs="Arial"/>
          <w:szCs w:val="18"/>
          <w:lang w:val="en-US"/>
        </w:rPr>
      </w:pPr>
    </w:p>
    <w:p w14:paraId="5F12EA84" w14:textId="6F15AAB2" w:rsidR="00492CAF" w:rsidRDefault="00A072EE" w:rsidP="00B34421">
      <w:pPr>
        <w:spacing w:line="240" w:lineRule="auto"/>
        <w:rPr>
          <w:rFonts w:cs="Arial"/>
          <w:szCs w:val="18"/>
          <w:lang w:val="en-US"/>
        </w:rPr>
      </w:pPr>
      <w:r w:rsidRPr="001A3F22">
        <w:rPr>
          <w:rFonts w:cs="Arial"/>
          <w:szCs w:val="18"/>
          <w:lang w:val="en-US"/>
        </w:rPr>
        <w:t>3.3.2</w:t>
      </w:r>
      <w:r w:rsidR="001A3F22" w:rsidRPr="001A3F22">
        <w:rPr>
          <w:rFonts w:cs="Arial"/>
          <w:szCs w:val="18"/>
          <w:lang w:val="en-US"/>
        </w:rPr>
        <w:t xml:space="preserve"> Gloss measurements</w:t>
      </w:r>
      <w:r w:rsidRPr="001A3F22">
        <w:rPr>
          <w:rFonts w:cs="Arial"/>
          <w:szCs w:val="18"/>
          <w:lang w:val="en-US"/>
        </w:rPr>
        <w:t xml:space="preserve"> </w:t>
      </w:r>
      <w:r w:rsidR="00CD1783">
        <w:rPr>
          <w:rFonts w:cs="Arial"/>
          <w:szCs w:val="18"/>
          <w:lang w:val="en-US"/>
        </w:rPr>
        <w:t>analysis</w:t>
      </w:r>
    </w:p>
    <w:p w14:paraId="2BE8C5FE" w14:textId="77777777" w:rsidR="00EC2A65" w:rsidRDefault="00EC2A65" w:rsidP="00B34421">
      <w:pPr>
        <w:spacing w:line="240" w:lineRule="auto"/>
        <w:rPr>
          <w:rFonts w:cs="Arial"/>
          <w:szCs w:val="18"/>
          <w:lang w:val="en-US"/>
        </w:rPr>
      </w:pPr>
    </w:p>
    <w:p w14:paraId="300247DB" w14:textId="2F47E6EB" w:rsidR="00427FEB" w:rsidRPr="005D3BB1" w:rsidRDefault="001A3F22" w:rsidP="005D3BB1">
      <w:pPr>
        <w:spacing w:line="240" w:lineRule="auto"/>
        <w:rPr>
          <w:rFonts w:cs="Arial"/>
          <w:szCs w:val="18"/>
          <w:lang w:val="en-US"/>
        </w:rPr>
      </w:pPr>
      <w:r w:rsidRPr="001A3F22">
        <w:rPr>
          <w:rFonts w:cs="Arial"/>
          <w:szCs w:val="18"/>
          <w:lang w:val="en-US"/>
        </w:rPr>
        <w:t xml:space="preserve">The hair reflectance test was performed before and after washing the strands and was performed on dry hair. Although all formulations studied resulted in an improvement in hair shine (Table 4), the strand treated with prototype P1 showed the greatest increase in this property. Thus, the model containing biosurfactants (P1) promoted a 50.88% increase in the shine of strand A1 before and after washing. The literature shows that </w:t>
      </w:r>
      <w:proofErr w:type="spellStart"/>
      <w:r w:rsidRPr="001A3F22">
        <w:rPr>
          <w:rFonts w:cs="Arial"/>
          <w:szCs w:val="18"/>
          <w:lang w:val="en-US"/>
        </w:rPr>
        <w:t>standardised</w:t>
      </w:r>
      <w:proofErr w:type="spellEnd"/>
      <w:r w:rsidRPr="001A3F22">
        <w:rPr>
          <w:rFonts w:cs="Arial"/>
          <w:szCs w:val="18"/>
          <w:lang w:val="en-US"/>
        </w:rPr>
        <w:t xml:space="preserve"> strands treated with natural South American active ingredients promoted an improvement in the </w:t>
      </w:r>
      <w:proofErr w:type="spellStart"/>
      <w:r w:rsidRPr="001A3F22">
        <w:rPr>
          <w:rFonts w:cs="Arial"/>
          <w:szCs w:val="18"/>
          <w:lang w:val="en-US"/>
        </w:rPr>
        <w:t>GlossValue</w:t>
      </w:r>
      <w:proofErr w:type="spellEnd"/>
      <w:r w:rsidRPr="001A3F22">
        <w:rPr>
          <w:rFonts w:cs="Arial"/>
          <w:szCs w:val="18"/>
          <w:lang w:val="en-US"/>
        </w:rPr>
        <w:t xml:space="preserve"> of the strands, and these active ingredients were also enriched with flavonoids (Leite; Campos, 2018). In the table, the values are presented in Gloss Units (GU)</w:t>
      </w:r>
      <w:r w:rsidR="005D3BB1">
        <w:rPr>
          <w:rFonts w:cs="Arial"/>
          <w:szCs w:val="18"/>
          <w:lang w:val="en-US"/>
        </w:rPr>
        <w:t>.</w:t>
      </w:r>
    </w:p>
    <w:p w14:paraId="1816BD96" w14:textId="77777777" w:rsidR="00427FEB" w:rsidRDefault="00427FEB" w:rsidP="00B34421">
      <w:pPr>
        <w:pStyle w:val="CETBodytext"/>
        <w:spacing w:line="240" w:lineRule="auto"/>
        <w:rPr>
          <w:i/>
          <w:iCs/>
        </w:rPr>
      </w:pPr>
    </w:p>
    <w:p w14:paraId="26907DD3" w14:textId="628B610B" w:rsidR="00377D86" w:rsidRPr="00A131E7" w:rsidRDefault="00CA1D04" w:rsidP="00B34421">
      <w:pPr>
        <w:pStyle w:val="CETBodytext"/>
        <w:spacing w:line="240" w:lineRule="auto"/>
        <w:rPr>
          <w:i/>
          <w:iCs/>
        </w:rPr>
      </w:pPr>
      <w:r w:rsidRPr="001A3F22">
        <w:rPr>
          <w:i/>
          <w:iCs/>
        </w:rPr>
        <w:t>Table 4: Gloss measurements of the hair strands</w:t>
      </w:r>
      <w:r w:rsidR="00A072EE" w:rsidRPr="001A3F22">
        <w:rPr>
          <w:i/>
          <w:iCs/>
        </w:rPr>
        <w:t>.</w:t>
      </w:r>
    </w:p>
    <w:tbl>
      <w:tblPr>
        <w:tblStyle w:val="Tabelacomgrade"/>
        <w:tblpPr w:leftFromText="141" w:rightFromText="141" w:vertAnchor="text" w:horzAnchor="margin" w:tblpY="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5"/>
        <w:gridCol w:w="3270"/>
        <w:gridCol w:w="3193"/>
      </w:tblGrid>
      <w:tr w:rsidR="00893620" w:rsidRPr="00893620" w14:paraId="27204802" w14:textId="77777777" w:rsidTr="00237C82">
        <w:trPr>
          <w:trHeight w:val="395"/>
        </w:trPr>
        <w:tc>
          <w:tcPr>
            <w:tcW w:w="0" w:type="auto"/>
            <w:tcBorders>
              <w:top w:val="single" w:sz="4" w:space="0" w:color="92D050"/>
              <w:bottom w:val="single" w:sz="4" w:space="0" w:color="92D050"/>
            </w:tcBorders>
          </w:tcPr>
          <w:p w14:paraId="44616687" w14:textId="772628B5" w:rsidR="00893620" w:rsidRPr="0075558E" w:rsidRDefault="00893620" w:rsidP="00B34421">
            <w:pPr>
              <w:spacing w:line="240" w:lineRule="auto"/>
              <w:rPr>
                <w:rFonts w:cs="Arial"/>
                <w:szCs w:val="16"/>
                <w:lang w:val="en-US"/>
              </w:rPr>
            </w:pPr>
            <w:r w:rsidRPr="00C31DA0">
              <w:rPr>
                <w:rFonts w:cs="Arial"/>
                <w:szCs w:val="16"/>
                <w:lang w:val="en-US"/>
              </w:rPr>
              <w:t>Product used in the strand</w:t>
            </w:r>
          </w:p>
        </w:tc>
        <w:tc>
          <w:tcPr>
            <w:tcW w:w="0" w:type="auto"/>
            <w:tcBorders>
              <w:top w:val="single" w:sz="4" w:space="0" w:color="92D050"/>
              <w:bottom w:val="single" w:sz="4" w:space="0" w:color="92D050"/>
            </w:tcBorders>
          </w:tcPr>
          <w:p w14:paraId="67A71EFC" w14:textId="07E432C8" w:rsidR="00893620" w:rsidRPr="00893620" w:rsidRDefault="00893620" w:rsidP="00B34421">
            <w:pPr>
              <w:spacing w:line="240" w:lineRule="auto"/>
              <w:jc w:val="left"/>
              <w:rPr>
                <w:rFonts w:cs="Arial"/>
                <w:szCs w:val="16"/>
                <w:lang w:val="en-US"/>
              </w:rPr>
            </w:pPr>
            <w:r w:rsidRPr="00893620">
              <w:rPr>
                <w:rFonts w:cs="Arial"/>
                <w:szCs w:val="16"/>
                <w:lang w:val="en-US"/>
              </w:rPr>
              <w:t>Specular reflection before washing (G.U) (</w:t>
            </w:r>
            <w:proofErr w:type="spellStart"/>
            <w:r w:rsidRPr="00893620">
              <w:rPr>
                <w:rFonts w:cs="Arial"/>
                <w:szCs w:val="16"/>
                <w:lang w:val="en-US"/>
              </w:rPr>
              <w:t>x±SE</w:t>
            </w:r>
            <w:proofErr w:type="spellEnd"/>
            <w:r w:rsidRPr="00893620">
              <w:rPr>
                <w:rFonts w:cs="Arial"/>
                <w:szCs w:val="16"/>
                <w:lang w:val="en-US"/>
              </w:rPr>
              <w:t>)</w:t>
            </w:r>
          </w:p>
        </w:tc>
        <w:tc>
          <w:tcPr>
            <w:tcW w:w="0" w:type="auto"/>
            <w:tcBorders>
              <w:top w:val="single" w:sz="4" w:space="0" w:color="92D050"/>
              <w:bottom w:val="single" w:sz="4" w:space="0" w:color="92D050"/>
            </w:tcBorders>
          </w:tcPr>
          <w:p w14:paraId="115C9080" w14:textId="2E3FE0BD" w:rsidR="00893620" w:rsidRPr="00893620" w:rsidRDefault="00893620" w:rsidP="00B34421">
            <w:pPr>
              <w:spacing w:line="240" w:lineRule="auto"/>
              <w:jc w:val="left"/>
              <w:rPr>
                <w:rFonts w:cs="Arial"/>
                <w:szCs w:val="16"/>
                <w:lang w:val="en-US"/>
              </w:rPr>
            </w:pPr>
            <w:r w:rsidRPr="00893620">
              <w:rPr>
                <w:rFonts w:cs="Arial"/>
                <w:szCs w:val="16"/>
                <w:lang w:val="en-US"/>
              </w:rPr>
              <w:t xml:space="preserve">Specular reflection </w:t>
            </w:r>
            <w:r>
              <w:rPr>
                <w:rFonts w:cs="Arial"/>
                <w:szCs w:val="16"/>
                <w:lang w:val="en-US"/>
              </w:rPr>
              <w:t>after</w:t>
            </w:r>
            <w:r w:rsidRPr="00893620">
              <w:rPr>
                <w:rFonts w:cs="Arial"/>
                <w:szCs w:val="16"/>
                <w:lang w:val="en-US"/>
              </w:rPr>
              <w:t xml:space="preserve"> washing (G.U) (</w:t>
            </w:r>
            <w:proofErr w:type="spellStart"/>
            <w:r w:rsidRPr="00893620">
              <w:rPr>
                <w:rFonts w:cs="Arial"/>
                <w:szCs w:val="16"/>
                <w:lang w:val="en-US"/>
              </w:rPr>
              <w:t>x±SE</w:t>
            </w:r>
            <w:proofErr w:type="spellEnd"/>
            <w:r w:rsidRPr="00893620">
              <w:rPr>
                <w:rFonts w:cs="Arial"/>
                <w:szCs w:val="16"/>
                <w:lang w:val="en-US"/>
              </w:rPr>
              <w:t>)</w:t>
            </w:r>
          </w:p>
        </w:tc>
      </w:tr>
      <w:tr w:rsidR="0075558E" w:rsidRPr="00A072EE" w14:paraId="4EB00849" w14:textId="77777777" w:rsidTr="00237C82">
        <w:trPr>
          <w:trHeight w:val="190"/>
        </w:trPr>
        <w:tc>
          <w:tcPr>
            <w:tcW w:w="0" w:type="auto"/>
            <w:tcBorders>
              <w:top w:val="single" w:sz="4" w:space="0" w:color="92D050"/>
            </w:tcBorders>
          </w:tcPr>
          <w:p w14:paraId="1C772F79" w14:textId="1C9D463B" w:rsidR="0075558E" w:rsidRPr="00A072EE" w:rsidRDefault="0075558E" w:rsidP="00B34421">
            <w:pPr>
              <w:spacing w:line="240" w:lineRule="auto"/>
              <w:jc w:val="left"/>
              <w:rPr>
                <w:rFonts w:cs="Arial"/>
                <w:szCs w:val="16"/>
              </w:rPr>
            </w:pPr>
            <w:r w:rsidRPr="002E10E5">
              <w:rPr>
                <w:rFonts w:cs="Arial"/>
                <w:szCs w:val="16"/>
                <w:lang w:val="en"/>
              </w:rPr>
              <w:t>Prototype 1 (strand A1)</w:t>
            </w:r>
          </w:p>
        </w:tc>
        <w:tc>
          <w:tcPr>
            <w:tcW w:w="0" w:type="auto"/>
            <w:tcBorders>
              <w:top w:val="single" w:sz="4" w:space="0" w:color="92D050"/>
            </w:tcBorders>
          </w:tcPr>
          <w:p w14:paraId="2364F805" w14:textId="350F2D4C" w:rsidR="0075558E" w:rsidRPr="00A072EE" w:rsidRDefault="0075558E" w:rsidP="00B34421">
            <w:pPr>
              <w:spacing w:line="240" w:lineRule="auto"/>
              <w:rPr>
                <w:rFonts w:cs="Arial"/>
                <w:szCs w:val="16"/>
              </w:rPr>
            </w:pPr>
            <w:r w:rsidRPr="00A072EE">
              <w:rPr>
                <w:rFonts w:cs="Arial"/>
                <w:szCs w:val="16"/>
              </w:rPr>
              <w:t>2</w:t>
            </w:r>
            <w:r>
              <w:rPr>
                <w:rFonts w:cs="Arial"/>
                <w:szCs w:val="16"/>
              </w:rPr>
              <w:t>.</w:t>
            </w:r>
            <w:r w:rsidRPr="00A072EE">
              <w:rPr>
                <w:rFonts w:cs="Arial"/>
                <w:szCs w:val="16"/>
              </w:rPr>
              <w:t>28± 0</w:t>
            </w:r>
            <w:r>
              <w:rPr>
                <w:rFonts w:cs="Arial"/>
                <w:szCs w:val="16"/>
              </w:rPr>
              <w:t>.</w:t>
            </w:r>
            <w:r w:rsidRPr="00A072EE">
              <w:rPr>
                <w:rFonts w:cs="Arial"/>
                <w:szCs w:val="16"/>
              </w:rPr>
              <w:t>42</w:t>
            </w:r>
          </w:p>
        </w:tc>
        <w:tc>
          <w:tcPr>
            <w:tcW w:w="0" w:type="auto"/>
            <w:tcBorders>
              <w:top w:val="single" w:sz="4" w:space="0" w:color="92D050"/>
            </w:tcBorders>
          </w:tcPr>
          <w:p w14:paraId="738BA118" w14:textId="458EF7B8" w:rsidR="0075558E" w:rsidRPr="00A072EE" w:rsidRDefault="0075558E" w:rsidP="00B34421">
            <w:pPr>
              <w:spacing w:line="240" w:lineRule="auto"/>
              <w:rPr>
                <w:rFonts w:cs="Arial"/>
                <w:szCs w:val="16"/>
              </w:rPr>
            </w:pPr>
            <w:r w:rsidRPr="00A072EE">
              <w:rPr>
                <w:rFonts w:cs="Arial"/>
                <w:szCs w:val="16"/>
              </w:rPr>
              <w:t>3</w:t>
            </w:r>
            <w:r>
              <w:rPr>
                <w:rFonts w:cs="Arial"/>
                <w:szCs w:val="16"/>
              </w:rPr>
              <w:t>.4</w:t>
            </w:r>
            <w:r w:rsidRPr="00A072EE">
              <w:rPr>
                <w:rFonts w:cs="Arial"/>
                <w:szCs w:val="16"/>
              </w:rPr>
              <w:t>4± 0</w:t>
            </w:r>
            <w:r>
              <w:rPr>
                <w:rFonts w:cs="Arial"/>
                <w:szCs w:val="16"/>
              </w:rPr>
              <w:t>.</w:t>
            </w:r>
            <w:r w:rsidRPr="00A072EE">
              <w:rPr>
                <w:rFonts w:cs="Arial"/>
                <w:szCs w:val="16"/>
              </w:rPr>
              <w:t>27*</w:t>
            </w:r>
          </w:p>
        </w:tc>
      </w:tr>
      <w:tr w:rsidR="0075558E" w:rsidRPr="00A072EE" w14:paraId="575B5B6A" w14:textId="77777777" w:rsidTr="00CF2F69">
        <w:trPr>
          <w:trHeight w:val="203"/>
        </w:trPr>
        <w:tc>
          <w:tcPr>
            <w:tcW w:w="0" w:type="auto"/>
          </w:tcPr>
          <w:p w14:paraId="523AA805" w14:textId="7790FBCC" w:rsidR="0075558E" w:rsidRPr="00A072EE" w:rsidRDefault="0075558E" w:rsidP="00B34421">
            <w:pPr>
              <w:spacing w:line="240" w:lineRule="auto"/>
              <w:jc w:val="left"/>
              <w:rPr>
                <w:rFonts w:cs="Arial"/>
                <w:szCs w:val="16"/>
              </w:rPr>
            </w:pPr>
            <w:r w:rsidRPr="002E10E5">
              <w:rPr>
                <w:rFonts w:cs="Arial"/>
                <w:szCs w:val="16"/>
                <w:lang w:val="en"/>
              </w:rPr>
              <w:t xml:space="preserve">Prototype </w:t>
            </w:r>
            <w:r>
              <w:rPr>
                <w:rFonts w:cs="Arial"/>
                <w:szCs w:val="16"/>
                <w:lang w:val="en"/>
              </w:rPr>
              <w:t>2</w:t>
            </w:r>
            <w:r w:rsidRPr="002E10E5">
              <w:rPr>
                <w:rFonts w:cs="Arial"/>
                <w:szCs w:val="16"/>
                <w:lang w:val="en"/>
              </w:rPr>
              <w:t xml:space="preserve"> (strand A</w:t>
            </w:r>
            <w:r>
              <w:rPr>
                <w:rFonts w:cs="Arial"/>
                <w:szCs w:val="16"/>
                <w:lang w:val="en"/>
              </w:rPr>
              <w:t>2</w:t>
            </w:r>
            <w:r w:rsidRPr="002E10E5">
              <w:rPr>
                <w:rFonts w:cs="Arial"/>
                <w:szCs w:val="16"/>
                <w:lang w:val="en"/>
              </w:rPr>
              <w:t>)</w:t>
            </w:r>
          </w:p>
        </w:tc>
        <w:tc>
          <w:tcPr>
            <w:tcW w:w="0" w:type="auto"/>
            <w:vAlign w:val="center"/>
          </w:tcPr>
          <w:p w14:paraId="2F4C96F1" w14:textId="50B667BF" w:rsidR="0075558E" w:rsidRPr="00A072EE" w:rsidRDefault="0075558E" w:rsidP="00B34421">
            <w:pPr>
              <w:spacing w:line="240" w:lineRule="auto"/>
              <w:rPr>
                <w:rFonts w:cs="Arial"/>
                <w:szCs w:val="16"/>
              </w:rPr>
            </w:pPr>
            <w:r w:rsidRPr="00A072EE">
              <w:rPr>
                <w:rFonts w:cs="Arial"/>
                <w:szCs w:val="16"/>
              </w:rPr>
              <w:t>3</w:t>
            </w:r>
            <w:r>
              <w:rPr>
                <w:rFonts w:cs="Arial"/>
                <w:szCs w:val="16"/>
              </w:rPr>
              <w:t>.</w:t>
            </w:r>
            <w:r w:rsidRPr="00A072EE">
              <w:rPr>
                <w:rFonts w:cs="Arial"/>
                <w:szCs w:val="16"/>
              </w:rPr>
              <w:t>50± 0</w:t>
            </w:r>
            <w:r>
              <w:rPr>
                <w:rFonts w:cs="Arial"/>
                <w:szCs w:val="16"/>
              </w:rPr>
              <w:t>.</w:t>
            </w:r>
            <w:r w:rsidRPr="00A072EE">
              <w:rPr>
                <w:rFonts w:cs="Arial"/>
                <w:szCs w:val="16"/>
              </w:rPr>
              <w:t>36</w:t>
            </w:r>
          </w:p>
        </w:tc>
        <w:tc>
          <w:tcPr>
            <w:tcW w:w="0" w:type="auto"/>
            <w:vAlign w:val="center"/>
          </w:tcPr>
          <w:p w14:paraId="28476E33" w14:textId="3FF26BFB" w:rsidR="0075558E" w:rsidRPr="00A072EE" w:rsidRDefault="0075558E" w:rsidP="00B34421">
            <w:pPr>
              <w:spacing w:line="240" w:lineRule="auto"/>
              <w:rPr>
                <w:rFonts w:cs="Arial"/>
                <w:szCs w:val="16"/>
              </w:rPr>
            </w:pPr>
            <w:r w:rsidRPr="00A072EE">
              <w:rPr>
                <w:rFonts w:cs="Arial"/>
                <w:szCs w:val="16"/>
              </w:rPr>
              <w:t>4</w:t>
            </w:r>
            <w:r>
              <w:rPr>
                <w:rFonts w:cs="Arial"/>
                <w:szCs w:val="16"/>
              </w:rPr>
              <w:t>.50</w:t>
            </w:r>
            <w:r w:rsidRPr="00A072EE">
              <w:rPr>
                <w:rFonts w:cs="Arial"/>
                <w:szCs w:val="16"/>
              </w:rPr>
              <w:t>± 0</w:t>
            </w:r>
            <w:r>
              <w:rPr>
                <w:rFonts w:cs="Arial"/>
                <w:szCs w:val="16"/>
              </w:rPr>
              <w:t>.33</w:t>
            </w:r>
            <w:r w:rsidRPr="00A072EE">
              <w:rPr>
                <w:rFonts w:cs="Arial"/>
                <w:szCs w:val="16"/>
              </w:rPr>
              <w:t>*</w:t>
            </w:r>
          </w:p>
        </w:tc>
      </w:tr>
      <w:tr w:rsidR="0075558E" w:rsidRPr="00A072EE" w14:paraId="2957FB91" w14:textId="77777777" w:rsidTr="00CF2F69">
        <w:trPr>
          <w:trHeight w:val="190"/>
        </w:trPr>
        <w:tc>
          <w:tcPr>
            <w:tcW w:w="0" w:type="auto"/>
          </w:tcPr>
          <w:p w14:paraId="66CED6E2" w14:textId="20FF08E9" w:rsidR="0075558E" w:rsidRPr="00A072EE" w:rsidRDefault="0075558E" w:rsidP="00B34421">
            <w:pPr>
              <w:spacing w:line="240" w:lineRule="auto"/>
              <w:jc w:val="left"/>
              <w:rPr>
                <w:rFonts w:cs="Arial"/>
                <w:szCs w:val="16"/>
                <w:lang w:val="pt-BR"/>
              </w:rPr>
            </w:pPr>
            <w:r w:rsidRPr="002E10E5">
              <w:rPr>
                <w:rFonts w:cs="Arial"/>
                <w:szCs w:val="16"/>
                <w:lang w:val="en"/>
              </w:rPr>
              <w:t xml:space="preserve">Prototype </w:t>
            </w:r>
            <w:r>
              <w:rPr>
                <w:rFonts w:cs="Arial"/>
                <w:szCs w:val="16"/>
                <w:lang w:val="en"/>
              </w:rPr>
              <w:t>3</w:t>
            </w:r>
            <w:r w:rsidRPr="002E10E5">
              <w:rPr>
                <w:rFonts w:cs="Arial"/>
                <w:szCs w:val="16"/>
                <w:lang w:val="en"/>
              </w:rPr>
              <w:t xml:space="preserve"> (strand A</w:t>
            </w:r>
            <w:r>
              <w:rPr>
                <w:rFonts w:cs="Arial"/>
                <w:szCs w:val="16"/>
                <w:lang w:val="en"/>
              </w:rPr>
              <w:t>3</w:t>
            </w:r>
            <w:r w:rsidRPr="002E10E5">
              <w:rPr>
                <w:rFonts w:cs="Arial"/>
                <w:szCs w:val="16"/>
                <w:lang w:val="en"/>
              </w:rPr>
              <w:t>)</w:t>
            </w:r>
          </w:p>
        </w:tc>
        <w:tc>
          <w:tcPr>
            <w:tcW w:w="0" w:type="auto"/>
            <w:vAlign w:val="center"/>
          </w:tcPr>
          <w:p w14:paraId="28169317" w14:textId="21BC5284" w:rsidR="0075558E" w:rsidRPr="00A072EE" w:rsidRDefault="0075558E" w:rsidP="00B34421">
            <w:pPr>
              <w:spacing w:line="240" w:lineRule="auto"/>
              <w:rPr>
                <w:rFonts w:cs="Arial"/>
                <w:szCs w:val="16"/>
              </w:rPr>
            </w:pPr>
            <w:r w:rsidRPr="00A072EE">
              <w:rPr>
                <w:rFonts w:cs="Arial"/>
                <w:szCs w:val="16"/>
              </w:rPr>
              <w:t>3</w:t>
            </w:r>
            <w:r>
              <w:rPr>
                <w:rFonts w:cs="Arial"/>
                <w:szCs w:val="16"/>
              </w:rPr>
              <w:t>.</w:t>
            </w:r>
            <w:r w:rsidRPr="00A072EE">
              <w:rPr>
                <w:rFonts w:cs="Arial"/>
                <w:szCs w:val="16"/>
              </w:rPr>
              <w:t>34± 0</w:t>
            </w:r>
            <w:r>
              <w:rPr>
                <w:rFonts w:cs="Arial"/>
                <w:szCs w:val="16"/>
              </w:rPr>
              <w:t>.</w:t>
            </w:r>
            <w:r w:rsidRPr="00A072EE">
              <w:rPr>
                <w:rFonts w:cs="Arial"/>
                <w:szCs w:val="16"/>
              </w:rPr>
              <w:t>43</w:t>
            </w:r>
          </w:p>
        </w:tc>
        <w:tc>
          <w:tcPr>
            <w:tcW w:w="0" w:type="auto"/>
            <w:vAlign w:val="center"/>
          </w:tcPr>
          <w:p w14:paraId="05159DEB" w14:textId="22499B79" w:rsidR="0075558E" w:rsidRPr="00A072EE" w:rsidRDefault="0075558E" w:rsidP="00B34421">
            <w:pPr>
              <w:spacing w:line="240" w:lineRule="auto"/>
              <w:rPr>
                <w:rFonts w:cs="Arial"/>
                <w:szCs w:val="16"/>
              </w:rPr>
            </w:pPr>
            <w:r w:rsidRPr="00A072EE">
              <w:rPr>
                <w:rFonts w:cs="Arial"/>
                <w:szCs w:val="16"/>
              </w:rPr>
              <w:t>3</w:t>
            </w:r>
            <w:r>
              <w:rPr>
                <w:rFonts w:cs="Arial"/>
                <w:szCs w:val="16"/>
              </w:rPr>
              <w:t>.</w:t>
            </w:r>
            <w:r w:rsidRPr="00A072EE">
              <w:rPr>
                <w:rFonts w:cs="Arial"/>
                <w:szCs w:val="16"/>
              </w:rPr>
              <w:t>96± 0</w:t>
            </w:r>
            <w:r>
              <w:rPr>
                <w:rFonts w:cs="Arial"/>
                <w:szCs w:val="16"/>
              </w:rPr>
              <w:t>.</w:t>
            </w:r>
            <w:r w:rsidRPr="00A072EE">
              <w:rPr>
                <w:rFonts w:cs="Arial"/>
                <w:szCs w:val="16"/>
              </w:rPr>
              <w:t>07</w:t>
            </w:r>
          </w:p>
        </w:tc>
      </w:tr>
      <w:tr w:rsidR="0075558E" w:rsidRPr="00A072EE" w14:paraId="2E9558DE" w14:textId="77777777" w:rsidTr="00237C82">
        <w:trPr>
          <w:trHeight w:val="395"/>
        </w:trPr>
        <w:tc>
          <w:tcPr>
            <w:tcW w:w="0" w:type="auto"/>
            <w:tcBorders>
              <w:bottom w:val="single" w:sz="4" w:space="0" w:color="92D050"/>
            </w:tcBorders>
          </w:tcPr>
          <w:p w14:paraId="2F5AB02F" w14:textId="3B078A9C" w:rsidR="0075558E" w:rsidRPr="00A072EE" w:rsidRDefault="0075558E" w:rsidP="00B34421">
            <w:pPr>
              <w:spacing w:line="240" w:lineRule="auto"/>
              <w:jc w:val="left"/>
              <w:rPr>
                <w:rFonts w:cs="Arial"/>
                <w:szCs w:val="16"/>
                <w:lang w:val="pt-BR"/>
              </w:rPr>
            </w:pPr>
            <w:r w:rsidRPr="00FD7A11">
              <w:rPr>
                <w:szCs w:val="18"/>
              </w:rPr>
              <w:t>Commercial shampoo</w:t>
            </w:r>
            <w:r w:rsidRPr="00A072EE">
              <w:rPr>
                <w:rFonts w:cs="Arial"/>
                <w:szCs w:val="16"/>
              </w:rPr>
              <w:t xml:space="preserve"> (</w:t>
            </w:r>
            <w:r w:rsidRPr="002E10E5">
              <w:rPr>
                <w:rFonts w:cs="Arial"/>
                <w:szCs w:val="16"/>
                <w:lang w:val="en"/>
              </w:rPr>
              <w:t>strand</w:t>
            </w:r>
            <w:r w:rsidRPr="00A072EE">
              <w:rPr>
                <w:rFonts w:cs="Arial"/>
                <w:szCs w:val="16"/>
              </w:rPr>
              <w:t xml:space="preserve"> A</w:t>
            </w:r>
            <w:r>
              <w:rPr>
                <w:rFonts w:cs="Arial"/>
                <w:szCs w:val="16"/>
              </w:rPr>
              <w:t>4</w:t>
            </w:r>
            <w:r w:rsidRPr="00A072EE">
              <w:rPr>
                <w:rFonts w:cs="Arial"/>
                <w:szCs w:val="16"/>
              </w:rPr>
              <w:t>)</w:t>
            </w:r>
          </w:p>
        </w:tc>
        <w:tc>
          <w:tcPr>
            <w:tcW w:w="0" w:type="auto"/>
            <w:tcBorders>
              <w:bottom w:val="single" w:sz="4" w:space="0" w:color="92D050"/>
            </w:tcBorders>
            <w:vAlign w:val="center"/>
          </w:tcPr>
          <w:p w14:paraId="4525D1FE" w14:textId="781E4E20" w:rsidR="0075558E" w:rsidRPr="00A072EE" w:rsidRDefault="0075558E" w:rsidP="00B34421">
            <w:pPr>
              <w:spacing w:line="240" w:lineRule="auto"/>
              <w:rPr>
                <w:rFonts w:cs="Arial"/>
                <w:szCs w:val="16"/>
              </w:rPr>
            </w:pPr>
            <w:r w:rsidRPr="00A072EE">
              <w:rPr>
                <w:rFonts w:cs="Arial"/>
                <w:szCs w:val="16"/>
              </w:rPr>
              <w:t>2</w:t>
            </w:r>
            <w:r>
              <w:rPr>
                <w:rFonts w:cs="Arial"/>
                <w:szCs w:val="16"/>
              </w:rPr>
              <w:t>.</w:t>
            </w:r>
            <w:r w:rsidRPr="00A072EE">
              <w:rPr>
                <w:rFonts w:cs="Arial"/>
                <w:szCs w:val="16"/>
              </w:rPr>
              <w:t>97±</w:t>
            </w:r>
            <w:r>
              <w:rPr>
                <w:rFonts w:cs="Arial"/>
                <w:szCs w:val="16"/>
              </w:rPr>
              <w:t xml:space="preserve"> 0.</w:t>
            </w:r>
            <w:r w:rsidRPr="00A072EE">
              <w:rPr>
                <w:rFonts w:cs="Arial"/>
                <w:szCs w:val="16"/>
              </w:rPr>
              <w:t>16</w:t>
            </w:r>
          </w:p>
        </w:tc>
        <w:tc>
          <w:tcPr>
            <w:tcW w:w="0" w:type="auto"/>
            <w:tcBorders>
              <w:bottom w:val="single" w:sz="4" w:space="0" w:color="92D050"/>
            </w:tcBorders>
            <w:vAlign w:val="center"/>
          </w:tcPr>
          <w:p w14:paraId="56F5CBB9" w14:textId="0DE91413" w:rsidR="0075558E" w:rsidRPr="00A072EE" w:rsidRDefault="0075558E" w:rsidP="00B34421">
            <w:pPr>
              <w:spacing w:line="240" w:lineRule="auto"/>
              <w:rPr>
                <w:rFonts w:cs="Arial"/>
                <w:szCs w:val="16"/>
              </w:rPr>
            </w:pPr>
            <w:r w:rsidRPr="00A072EE">
              <w:rPr>
                <w:rFonts w:cs="Arial"/>
                <w:szCs w:val="16"/>
              </w:rPr>
              <w:t>4</w:t>
            </w:r>
            <w:r>
              <w:rPr>
                <w:rFonts w:cs="Arial"/>
                <w:szCs w:val="16"/>
              </w:rPr>
              <w:t>.07</w:t>
            </w:r>
            <w:r w:rsidRPr="00A072EE">
              <w:rPr>
                <w:rFonts w:cs="Arial"/>
                <w:szCs w:val="16"/>
              </w:rPr>
              <w:t>±0</w:t>
            </w:r>
            <w:r>
              <w:rPr>
                <w:rFonts w:cs="Arial"/>
                <w:szCs w:val="16"/>
              </w:rPr>
              <w:t>.</w:t>
            </w:r>
            <w:r w:rsidRPr="00A072EE">
              <w:rPr>
                <w:rFonts w:cs="Arial"/>
                <w:szCs w:val="16"/>
              </w:rPr>
              <w:t>40</w:t>
            </w:r>
            <w:r>
              <w:rPr>
                <w:rFonts w:cs="Arial"/>
                <w:szCs w:val="16"/>
              </w:rPr>
              <w:t>*</w:t>
            </w:r>
          </w:p>
        </w:tc>
      </w:tr>
    </w:tbl>
    <w:p w14:paraId="177871C7" w14:textId="77777777" w:rsidR="0075558E" w:rsidRDefault="0075558E" w:rsidP="00B34421">
      <w:pPr>
        <w:spacing w:line="240" w:lineRule="auto"/>
        <w:rPr>
          <w:rFonts w:cs="Arial"/>
          <w:szCs w:val="18"/>
          <w:lang w:val="en"/>
        </w:rPr>
      </w:pPr>
      <w:r w:rsidRPr="0075558E">
        <w:rPr>
          <w:rFonts w:cs="Arial"/>
          <w:szCs w:val="18"/>
          <w:lang w:val="en"/>
        </w:rPr>
        <w:t xml:space="preserve">* Significance </w:t>
      </w:r>
      <w:r>
        <w:rPr>
          <w:rFonts w:cs="Arial"/>
          <w:szCs w:val="18"/>
          <w:lang w:val="en"/>
        </w:rPr>
        <w:t xml:space="preserve">at the 5% level </w:t>
      </w:r>
      <w:r w:rsidRPr="0075558E">
        <w:rPr>
          <w:rFonts w:cs="Arial"/>
          <w:szCs w:val="18"/>
          <w:lang w:val="en"/>
        </w:rPr>
        <w:t>(Student's t-test) (p&lt;0.05)</w:t>
      </w:r>
    </w:p>
    <w:p w14:paraId="2C4D93E4" w14:textId="077B1244" w:rsidR="000E198F" w:rsidRPr="0075558E" w:rsidRDefault="000E198F" w:rsidP="00B34421">
      <w:pPr>
        <w:spacing w:line="240" w:lineRule="auto"/>
        <w:rPr>
          <w:rFonts w:cs="Arial"/>
          <w:szCs w:val="18"/>
          <w:lang w:val="en-US"/>
        </w:rPr>
      </w:pPr>
      <w:r w:rsidRPr="0075558E">
        <w:rPr>
          <w:rFonts w:cs="Arial"/>
          <w:szCs w:val="18"/>
          <w:lang w:val="en-US"/>
        </w:rPr>
        <w:tab/>
      </w:r>
    </w:p>
    <w:p w14:paraId="3A98A80A" w14:textId="797A99CF" w:rsidR="00811DAB" w:rsidRDefault="00A05E45" w:rsidP="00B34421">
      <w:pPr>
        <w:pStyle w:val="CETheadingx"/>
        <w:numPr>
          <w:ilvl w:val="1"/>
          <w:numId w:val="26"/>
        </w:numPr>
        <w:spacing w:before="0" w:after="0" w:line="240" w:lineRule="auto"/>
      </w:pPr>
      <w:proofErr w:type="spellStart"/>
      <w:r>
        <w:t>C</w:t>
      </w:r>
      <w:r w:rsidR="001A3F22" w:rsidRPr="001A3F22">
        <w:t>leaning</w:t>
      </w:r>
      <w:proofErr w:type="spellEnd"/>
      <w:r w:rsidR="001A3F22" w:rsidRPr="001A3F22">
        <w:t xml:space="preserve"> Test</w:t>
      </w:r>
      <w:r w:rsidR="004104D2">
        <w:t xml:space="preserve"> </w:t>
      </w:r>
      <w:proofErr w:type="spellStart"/>
      <w:r w:rsidR="004104D2">
        <w:t>Evaluantion</w:t>
      </w:r>
      <w:proofErr w:type="spellEnd"/>
    </w:p>
    <w:p w14:paraId="58E4A030" w14:textId="77777777" w:rsidR="00EC2A65" w:rsidRPr="00EC2A65" w:rsidRDefault="00EC2A65" w:rsidP="00EC2A65">
      <w:pPr>
        <w:pStyle w:val="CETBodytext"/>
        <w:rPr>
          <w:lang w:val="pt-BR"/>
        </w:rPr>
      </w:pPr>
    </w:p>
    <w:p w14:paraId="5B99161C" w14:textId="0519EA54" w:rsidR="00E42C3A" w:rsidRPr="001A3F22" w:rsidRDefault="00956A20" w:rsidP="00B34421">
      <w:pPr>
        <w:tabs>
          <w:tab w:val="clear" w:pos="7100"/>
          <w:tab w:val="right" w:pos="567"/>
        </w:tabs>
        <w:spacing w:line="240" w:lineRule="auto"/>
        <w:rPr>
          <w:rFonts w:cs="Arial"/>
          <w:szCs w:val="18"/>
          <w:lang w:val="en-US"/>
        </w:rPr>
      </w:pPr>
      <w:r w:rsidRPr="001A3F22">
        <w:rPr>
          <w:rFonts w:cs="Arial"/>
          <w:szCs w:val="18"/>
          <w:lang w:val="en-US"/>
        </w:rPr>
        <w:tab/>
      </w:r>
      <w:r w:rsidR="009C6939" w:rsidRPr="009C6939">
        <w:rPr>
          <w:rFonts w:cs="Arial"/>
          <w:szCs w:val="18"/>
        </w:rPr>
        <w:t xml:space="preserve">When analysing the cleaning performance, prototype P1 achieved 50.00% sebum removal, whereas P2, composed exclusively of the chemical surfactant disodium </w:t>
      </w:r>
      <w:proofErr w:type="spellStart"/>
      <w:r w:rsidR="009C6939" w:rsidRPr="009C6939">
        <w:rPr>
          <w:rFonts w:cs="Arial"/>
          <w:szCs w:val="18"/>
        </w:rPr>
        <w:t>cocoyl</w:t>
      </w:r>
      <w:proofErr w:type="spellEnd"/>
      <w:r w:rsidR="009C6939" w:rsidRPr="009C6939">
        <w:rPr>
          <w:rFonts w:cs="Arial"/>
          <w:szCs w:val="18"/>
        </w:rPr>
        <w:t xml:space="preserve"> glutamate (DCG), showed a removal rate of only 1.50%, indicating that the incorporation of plant extracts resulted in a 48.50% increase in cleaning efficiency. The surfactant-free formulation (P3) exhibited no sebum removal capacity. The commercial shampoo (SC), in turn, reached 63.14% removal, representing the highest absolute detergency among the tested formulations, likely due to its higher concentration of synthetic surfactants designed to maximize cleansing performance. Nevertheless, the performance of P1 was highly competitive, demonstrating that plant-based biosurfactants can substantially enhance cleaning efficiency while relying on a more sustainable surfactant system. These findings corroborate recent studies highlighting the potential of plant-derived surfactants, particularly those obtained from </w:t>
      </w:r>
      <w:r w:rsidR="009C6939" w:rsidRPr="009C6939">
        <w:rPr>
          <w:rFonts w:cs="Arial"/>
          <w:i/>
          <w:iCs/>
          <w:szCs w:val="18"/>
        </w:rPr>
        <w:t>Chenopodium quinoa</w:t>
      </w:r>
      <w:r w:rsidR="009C6939" w:rsidRPr="009C6939">
        <w:rPr>
          <w:rFonts w:cs="Arial"/>
          <w:szCs w:val="18"/>
        </w:rPr>
        <w:t xml:space="preserve">, which exhibit surface tension reduction, effective detergency, stability, and lower toxicity compared to conventional synthetic agents (Bezerra et al., 2023). Considering both performance and </w:t>
      </w:r>
      <w:r w:rsidR="009C6939" w:rsidRPr="009C6939">
        <w:rPr>
          <w:rFonts w:cs="Arial"/>
          <w:szCs w:val="18"/>
        </w:rPr>
        <w:lastRenderedPageBreak/>
        <w:t>sustainability, the evaluated plant extracts show strong potential to act as primary surfactants in shampoo formulations, representing a promising technological alternative to traditional products.</w:t>
      </w:r>
    </w:p>
    <w:p w14:paraId="541EDEBF" w14:textId="23A20584" w:rsidR="006964E3" w:rsidRPr="001A3F22" w:rsidRDefault="001A3F22" w:rsidP="00B34421">
      <w:pPr>
        <w:tabs>
          <w:tab w:val="clear" w:pos="7100"/>
          <w:tab w:val="right" w:pos="567"/>
        </w:tabs>
        <w:spacing w:line="240" w:lineRule="auto"/>
        <w:rPr>
          <w:rFonts w:cs="Arial"/>
          <w:szCs w:val="18"/>
          <w:lang w:val="en-US"/>
        </w:rPr>
      </w:pPr>
      <w:r>
        <w:rPr>
          <w:noProof/>
        </w:rPr>
        <w:drawing>
          <wp:anchor distT="0" distB="0" distL="114300" distR="114300" simplePos="0" relativeHeight="251658240" behindDoc="0" locked="0" layoutInCell="1" allowOverlap="1" wp14:anchorId="4614B4DD" wp14:editId="29EA377F">
            <wp:simplePos x="0" y="0"/>
            <wp:positionH relativeFrom="margin">
              <wp:posOffset>868936</wp:posOffset>
            </wp:positionH>
            <wp:positionV relativeFrom="paragraph">
              <wp:posOffset>9968</wp:posOffset>
            </wp:positionV>
            <wp:extent cx="3296451" cy="1221761"/>
            <wp:effectExtent l="0" t="0" r="0" b="0"/>
            <wp:wrapNone/>
            <wp:docPr id="269829392" name="Gráfico 1">
              <a:extLst xmlns:a="http://schemas.openxmlformats.org/drawingml/2006/main">
                <a:ext uri="{FF2B5EF4-FFF2-40B4-BE49-F238E27FC236}">
                  <a16:creationId xmlns:a16="http://schemas.microsoft.com/office/drawing/2014/main" id="{51C1975F-C6F8-D36E-4BEC-5C6C7884FA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CE3A5D8" w14:textId="77777777" w:rsidR="00CF2F69" w:rsidRPr="001A3F22" w:rsidRDefault="00CF2F69" w:rsidP="00B34421">
      <w:pPr>
        <w:tabs>
          <w:tab w:val="clear" w:pos="7100"/>
          <w:tab w:val="right" w:pos="567"/>
        </w:tabs>
        <w:spacing w:line="240" w:lineRule="auto"/>
        <w:jc w:val="center"/>
        <w:rPr>
          <w:rFonts w:cs="Arial"/>
          <w:i/>
          <w:iCs/>
          <w:szCs w:val="18"/>
          <w:lang w:val="en-US"/>
        </w:rPr>
      </w:pPr>
    </w:p>
    <w:p w14:paraId="1B18D0BC" w14:textId="77777777" w:rsidR="00CF2F69" w:rsidRPr="001A3F22" w:rsidRDefault="00CF2F69" w:rsidP="00B34421">
      <w:pPr>
        <w:tabs>
          <w:tab w:val="clear" w:pos="7100"/>
          <w:tab w:val="right" w:pos="567"/>
        </w:tabs>
        <w:spacing w:line="240" w:lineRule="auto"/>
        <w:jc w:val="center"/>
        <w:rPr>
          <w:rFonts w:cs="Arial"/>
          <w:i/>
          <w:iCs/>
          <w:szCs w:val="18"/>
          <w:lang w:val="en-US"/>
        </w:rPr>
      </w:pPr>
    </w:p>
    <w:p w14:paraId="07B86B2E" w14:textId="77777777" w:rsidR="001A3F22" w:rsidRPr="001A3F22" w:rsidRDefault="001A3F22" w:rsidP="00B34421">
      <w:pPr>
        <w:tabs>
          <w:tab w:val="clear" w:pos="7100"/>
          <w:tab w:val="right" w:pos="567"/>
        </w:tabs>
        <w:spacing w:line="240" w:lineRule="auto"/>
        <w:jc w:val="center"/>
        <w:rPr>
          <w:rFonts w:cs="Arial"/>
          <w:i/>
          <w:iCs/>
          <w:szCs w:val="18"/>
          <w:lang w:val="en-US"/>
        </w:rPr>
      </w:pPr>
    </w:p>
    <w:p w14:paraId="07DFDD9C" w14:textId="77777777" w:rsidR="001A3F22" w:rsidRDefault="001A3F22" w:rsidP="00B34421">
      <w:pPr>
        <w:tabs>
          <w:tab w:val="clear" w:pos="7100"/>
          <w:tab w:val="right" w:pos="567"/>
        </w:tabs>
        <w:spacing w:line="240" w:lineRule="auto"/>
        <w:jc w:val="center"/>
        <w:rPr>
          <w:rFonts w:cs="Arial"/>
          <w:i/>
          <w:iCs/>
          <w:szCs w:val="18"/>
          <w:lang w:val="en-US"/>
        </w:rPr>
      </w:pPr>
    </w:p>
    <w:p w14:paraId="5FEACF35" w14:textId="77777777" w:rsidR="000A0069" w:rsidRDefault="000A0069" w:rsidP="00B34421">
      <w:pPr>
        <w:tabs>
          <w:tab w:val="clear" w:pos="7100"/>
          <w:tab w:val="right" w:pos="567"/>
        </w:tabs>
        <w:spacing w:line="240" w:lineRule="auto"/>
        <w:jc w:val="center"/>
        <w:rPr>
          <w:rFonts w:cs="Arial"/>
          <w:i/>
          <w:iCs/>
          <w:szCs w:val="18"/>
          <w:lang w:val="en-US"/>
        </w:rPr>
      </w:pPr>
    </w:p>
    <w:p w14:paraId="26FD61B5" w14:textId="77777777" w:rsidR="000A0069" w:rsidRDefault="000A0069" w:rsidP="00B34421">
      <w:pPr>
        <w:tabs>
          <w:tab w:val="clear" w:pos="7100"/>
          <w:tab w:val="right" w:pos="567"/>
        </w:tabs>
        <w:spacing w:line="240" w:lineRule="auto"/>
        <w:jc w:val="center"/>
        <w:rPr>
          <w:rFonts w:cs="Arial"/>
          <w:i/>
          <w:iCs/>
          <w:szCs w:val="18"/>
          <w:lang w:val="en-US"/>
        </w:rPr>
      </w:pPr>
    </w:p>
    <w:p w14:paraId="6FA10B44" w14:textId="77777777" w:rsidR="000A0069" w:rsidRDefault="000A0069" w:rsidP="00B34421">
      <w:pPr>
        <w:tabs>
          <w:tab w:val="clear" w:pos="7100"/>
          <w:tab w:val="right" w:pos="567"/>
        </w:tabs>
        <w:spacing w:line="240" w:lineRule="auto"/>
        <w:jc w:val="center"/>
        <w:rPr>
          <w:rFonts w:cs="Arial"/>
          <w:i/>
          <w:iCs/>
          <w:szCs w:val="18"/>
          <w:lang w:val="en-US"/>
        </w:rPr>
      </w:pPr>
    </w:p>
    <w:p w14:paraId="20642A73" w14:textId="77777777" w:rsidR="000A0069" w:rsidRDefault="000A0069" w:rsidP="00B34421">
      <w:pPr>
        <w:tabs>
          <w:tab w:val="clear" w:pos="7100"/>
          <w:tab w:val="right" w:pos="567"/>
        </w:tabs>
        <w:spacing w:line="240" w:lineRule="auto"/>
        <w:jc w:val="center"/>
        <w:rPr>
          <w:rFonts w:cs="Arial"/>
          <w:i/>
          <w:iCs/>
          <w:szCs w:val="18"/>
          <w:lang w:val="en-US"/>
        </w:rPr>
      </w:pPr>
    </w:p>
    <w:p w14:paraId="22C0469E" w14:textId="77777777" w:rsidR="000A0069" w:rsidRDefault="000A0069" w:rsidP="00B34421">
      <w:pPr>
        <w:tabs>
          <w:tab w:val="clear" w:pos="7100"/>
          <w:tab w:val="right" w:pos="567"/>
        </w:tabs>
        <w:spacing w:line="240" w:lineRule="auto"/>
        <w:jc w:val="center"/>
        <w:rPr>
          <w:rFonts w:cs="Arial"/>
          <w:i/>
          <w:iCs/>
          <w:szCs w:val="18"/>
          <w:lang w:val="en-US"/>
        </w:rPr>
      </w:pPr>
    </w:p>
    <w:p w14:paraId="4526F990" w14:textId="76930B72" w:rsidR="00685073" w:rsidRPr="001A3F22" w:rsidRDefault="001A3F22" w:rsidP="00B34421">
      <w:pPr>
        <w:tabs>
          <w:tab w:val="clear" w:pos="7100"/>
          <w:tab w:val="right" w:pos="567"/>
        </w:tabs>
        <w:spacing w:line="240" w:lineRule="auto"/>
        <w:jc w:val="center"/>
        <w:rPr>
          <w:rFonts w:cs="Arial"/>
          <w:i/>
          <w:iCs/>
          <w:szCs w:val="18"/>
          <w:lang w:val="en-US"/>
        </w:rPr>
      </w:pPr>
      <w:r w:rsidRPr="001A3F22">
        <w:rPr>
          <w:rFonts w:cs="Arial"/>
          <w:i/>
          <w:iCs/>
          <w:szCs w:val="18"/>
          <w:lang w:val="en-US"/>
        </w:rPr>
        <w:t xml:space="preserve">Figure 1: </w:t>
      </w:r>
      <w:r w:rsidR="007E6088" w:rsidRPr="007E6088">
        <w:rPr>
          <w:rFonts w:cs="Arial"/>
          <w:i/>
          <w:iCs/>
          <w:szCs w:val="18"/>
          <w:lang w:val="en-US"/>
        </w:rPr>
        <w:t>Figure 1: Percentage of sebum removal (%) by the different prototypes evaluated (</w:t>
      </w:r>
      <w:r w:rsidR="007E6088">
        <w:rPr>
          <w:rFonts w:cs="Arial"/>
          <w:i/>
          <w:iCs/>
          <w:szCs w:val="18"/>
          <w:lang w:val="en-US"/>
        </w:rPr>
        <w:t>P</w:t>
      </w:r>
      <w:r w:rsidR="007E6088" w:rsidRPr="007E6088">
        <w:rPr>
          <w:rFonts w:cs="Arial"/>
          <w:i/>
          <w:iCs/>
          <w:szCs w:val="18"/>
          <w:lang w:val="en-US"/>
        </w:rPr>
        <w:t xml:space="preserve">1, </w:t>
      </w:r>
      <w:r w:rsidR="007E6088">
        <w:rPr>
          <w:rFonts w:cs="Arial"/>
          <w:i/>
          <w:iCs/>
          <w:szCs w:val="18"/>
          <w:lang w:val="en-US"/>
        </w:rPr>
        <w:t>P</w:t>
      </w:r>
      <w:r w:rsidR="007E6088" w:rsidRPr="007E6088">
        <w:rPr>
          <w:rFonts w:cs="Arial"/>
          <w:i/>
          <w:iCs/>
          <w:szCs w:val="18"/>
          <w:lang w:val="en-US"/>
        </w:rPr>
        <w:t xml:space="preserve">2, and </w:t>
      </w:r>
      <w:r w:rsidR="007E6088">
        <w:rPr>
          <w:rFonts w:cs="Arial"/>
          <w:i/>
          <w:iCs/>
          <w:szCs w:val="18"/>
          <w:lang w:val="en-US"/>
        </w:rPr>
        <w:t>P</w:t>
      </w:r>
      <w:r w:rsidR="007E6088" w:rsidRPr="007E6088">
        <w:rPr>
          <w:rFonts w:cs="Arial"/>
          <w:i/>
          <w:iCs/>
          <w:szCs w:val="18"/>
          <w:lang w:val="en-US"/>
        </w:rPr>
        <w:t>3) and by commercial shampoo.</w:t>
      </w:r>
    </w:p>
    <w:p w14:paraId="68D26B83" w14:textId="7DFB3FB8" w:rsidR="00600535" w:rsidRDefault="00600535" w:rsidP="00B34421">
      <w:pPr>
        <w:pStyle w:val="CETHeading1"/>
        <w:numPr>
          <w:ilvl w:val="0"/>
          <w:numId w:val="26"/>
        </w:numPr>
        <w:spacing w:before="0" w:after="0"/>
        <w:rPr>
          <w:lang w:val="en-GB"/>
        </w:rPr>
      </w:pPr>
      <w:r w:rsidRPr="00B57B36">
        <w:rPr>
          <w:lang w:val="en-GB"/>
        </w:rPr>
        <w:t>Conclusions</w:t>
      </w:r>
    </w:p>
    <w:p w14:paraId="652C6037" w14:textId="77777777" w:rsidR="00EC2A65" w:rsidRPr="00EC2A65" w:rsidRDefault="00EC2A65" w:rsidP="00EC2A65">
      <w:pPr>
        <w:pStyle w:val="CETBodytext"/>
        <w:rPr>
          <w:lang w:val="en-GB"/>
        </w:rPr>
      </w:pPr>
    </w:p>
    <w:p w14:paraId="6846DC6A" w14:textId="3D911D54" w:rsidR="001D14BC" w:rsidRDefault="001D14BC" w:rsidP="00DB0489">
      <w:pPr>
        <w:pStyle w:val="CETBodytext"/>
        <w:spacing w:line="240" w:lineRule="auto"/>
        <w:rPr>
          <w:lang w:val="fr-FR"/>
        </w:rPr>
      </w:pPr>
      <w:r w:rsidRPr="001D14BC">
        <w:rPr>
          <w:lang w:val="en-GB"/>
        </w:rPr>
        <w:t xml:space="preserve">The findings of this study demonstrate that the incorporation of plant-based biosurfactants extracted from </w:t>
      </w:r>
      <w:r w:rsidRPr="001D14BC">
        <w:rPr>
          <w:i/>
          <w:iCs/>
          <w:lang w:val="en-GB"/>
        </w:rPr>
        <w:t>Chenopodium quinoa</w:t>
      </w:r>
      <w:r w:rsidRPr="001D14BC">
        <w:rPr>
          <w:lang w:val="en-GB"/>
        </w:rPr>
        <w:t xml:space="preserve"> and </w:t>
      </w:r>
      <w:r w:rsidRPr="001D14BC">
        <w:rPr>
          <w:i/>
          <w:iCs/>
          <w:lang w:val="en-GB"/>
        </w:rPr>
        <w:t>Ananas comosus</w:t>
      </w:r>
      <w:r w:rsidRPr="001D14BC">
        <w:rPr>
          <w:lang w:val="en-GB"/>
        </w:rPr>
        <w:t xml:space="preserve"> into shampoo formulations is technologically feasible and functionally effective. Prototype P1 achieved 50.00% sebum removal, representing a 48.50% increase in cleaning efficiency compared to the formulation containing only disodium </w:t>
      </w:r>
      <w:proofErr w:type="spellStart"/>
      <w:r w:rsidRPr="001D14BC">
        <w:rPr>
          <w:lang w:val="en-GB"/>
        </w:rPr>
        <w:t>cocoyl</w:t>
      </w:r>
      <w:proofErr w:type="spellEnd"/>
      <w:r w:rsidRPr="001D14BC">
        <w:rPr>
          <w:lang w:val="en-GB"/>
        </w:rPr>
        <w:t xml:space="preserve"> glutamate, while the commercial shampoo reached 63.14% removal, likely due to its higher concentration of synthetic surfactants. Importantly, unlike the commercial product, which reduced hair tensile strength after washing, P1 promoted a 17.84% increase in mechanical resistance and a 50.88% improvement in gloss, indicating enhanced fibre integrity and surface properties. Stability assessment confirmed maintenance of pH and organoleptic characteristics under accelerated conditions, despite temporary density variations, and the high extraction yields, particularly for </w:t>
      </w:r>
      <w:r w:rsidRPr="001D14BC">
        <w:rPr>
          <w:i/>
          <w:iCs/>
          <w:lang w:val="en-GB"/>
        </w:rPr>
        <w:t>A. comosus</w:t>
      </w:r>
      <w:r w:rsidRPr="001D14BC">
        <w:rPr>
          <w:lang w:val="en-GB"/>
        </w:rPr>
        <w:t xml:space="preserve"> (61.6%), reinforce the valorisation potential of agro-industrial residues as sustainable cosmetic raw materials. Overall, these results highlight that plant-derived biosurfactants can partially replace synthetic surfactants while maintaining competitive performance, contributing to cleaner and more sustainable cosmetic formulations. </w:t>
      </w:r>
      <w:r w:rsidRPr="001D14BC">
        <w:rPr>
          <w:lang w:val="fr-FR"/>
        </w:rPr>
        <w:t>Future studies should focus on concentration optimization, long-term stability, dermatological safety, and scale-up feasibility to strengthen industrial applicability.</w:t>
      </w:r>
    </w:p>
    <w:p w14:paraId="783DF7CB" w14:textId="77777777" w:rsidR="005D3BB1" w:rsidRPr="001D14BC" w:rsidRDefault="005D3BB1" w:rsidP="00B34421">
      <w:pPr>
        <w:pStyle w:val="CETBodytext"/>
        <w:spacing w:line="240" w:lineRule="auto"/>
        <w:rPr>
          <w:lang w:val="fr-FR"/>
        </w:rPr>
      </w:pPr>
    </w:p>
    <w:p w14:paraId="459D05E6" w14:textId="22EAE952" w:rsidR="00600535" w:rsidRDefault="00600535" w:rsidP="00B34421">
      <w:pPr>
        <w:pStyle w:val="CETAcknowledgementstitle"/>
        <w:spacing w:before="0" w:after="0" w:line="240" w:lineRule="auto"/>
        <w:jc w:val="both"/>
        <w:rPr>
          <w:lang w:val="en-US"/>
        </w:rPr>
      </w:pPr>
      <w:r w:rsidRPr="00336100">
        <w:rPr>
          <w:lang w:val="en-US"/>
        </w:rPr>
        <w:t>Acknowledgments</w:t>
      </w:r>
    </w:p>
    <w:p w14:paraId="695B1DE7" w14:textId="77777777" w:rsidR="00EC2A65" w:rsidRPr="00EC2A65" w:rsidRDefault="00EC2A65" w:rsidP="00EC2A65">
      <w:pPr>
        <w:pStyle w:val="CETBodytext"/>
      </w:pPr>
    </w:p>
    <w:p w14:paraId="57B9F1A7" w14:textId="04D2EA9D" w:rsidR="007E6088" w:rsidRDefault="00F840AE" w:rsidP="00B34421">
      <w:pPr>
        <w:pStyle w:val="CETReference"/>
        <w:spacing w:before="0" w:after="0"/>
        <w:jc w:val="both"/>
        <w:rPr>
          <w:b w:val="0"/>
        </w:rPr>
      </w:pPr>
      <w:r w:rsidRPr="00F840AE">
        <w:rPr>
          <w:b w:val="0"/>
        </w:rPr>
        <w:t>The support of the Coordination for the Improvement of Higher Education Personnel (CAPES), the Advanced Institute of Technology and Innovation (IATI), and the Catholic University of Pernambuco (UNICAP) is gratefully acknowledged.</w:t>
      </w:r>
    </w:p>
    <w:p w14:paraId="5A62A679" w14:textId="77777777" w:rsidR="005D3BB1" w:rsidRPr="00B70CB5" w:rsidRDefault="005D3BB1" w:rsidP="00B34421">
      <w:pPr>
        <w:pStyle w:val="CETReference"/>
        <w:spacing w:before="0" w:after="0"/>
        <w:jc w:val="both"/>
        <w:rPr>
          <w:b w:val="0"/>
        </w:rPr>
      </w:pPr>
    </w:p>
    <w:p w14:paraId="4F1327F8" w14:textId="2E8FA501" w:rsidR="00600535" w:rsidRPr="00B57B36" w:rsidRDefault="00600535" w:rsidP="00B34421">
      <w:pPr>
        <w:pStyle w:val="CETReference"/>
        <w:spacing w:before="0" w:after="0"/>
      </w:pPr>
      <w:r w:rsidRPr="00B57B36">
        <w:t>References</w:t>
      </w:r>
    </w:p>
    <w:p w14:paraId="61C65827" w14:textId="77777777" w:rsidR="00B70CB5" w:rsidRPr="00B5556A" w:rsidRDefault="00835A7A" w:rsidP="00B34421">
      <w:pPr>
        <w:pStyle w:val="CETReferencetext"/>
        <w:spacing w:line="240" w:lineRule="auto"/>
      </w:pPr>
      <w:proofErr w:type="spellStart"/>
      <w:r w:rsidRPr="00B5556A">
        <w:t>Azadbakht</w:t>
      </w:r>
      <w:proofErr w:type="spellEnd"/>
      <w:r w:rsidRPr="00B5556A">
        <w:t xml:space="preserve"> M., Safavi K., </w:t>
      </w:r>
      <w:proofErr w:type="spellStart"/>
      <w:r w:rsidRPr="00B5556A">
        <w:t>Amirkhanloo</w:t>
      </w:r>
      <w:proofErr w:type="spellEnd"/>
      <w:r w:rsidRPr="00B5556A">
        <w:t xml:space="preserve"> A., 2018, Formulation and evaluation of </w:t>
      </w:r>
      <w:proofErr w:type="spellStart"/>
      <w:r w:rsidRPr="00B5556A">
        <w:t>licorice</w:t>
      </w:r>
      <w:proofErr w:type="spellEnd"/>
      <w:r w:rsidRPr="00B5556A">
        <w:t xml:space="preserve"> shampoo in comparison with commercial shampoo, Journal of Pharmacy and </w:t>
      </w:r>
      <w:proofErr w:type="spellStart"/>
      <w:r w:rsidRPr="00B5556A">
        <w:t>Bioallied</w:t>
      </w:r>
      <w:proofErr w:type="spellEnd"/>
      <w:r w:rsidRPr="00B5556A">
        <w:t xml:space="preserve"> Sciences, 10 (4), 208.</w:t>
      </w:r>
    </w:p>
    <w:p w14:paraId="09566F8B" w14:textId="6F8BD063" w:rsidR="00BF47D7" w:rsidRPr="00B5556A" w:rsidRDefault="00BF47D7" w:rsidP="00B34421">
      <w:pPr>
        <w:pStyle w:val="CETReferencetext"/>
        <w:spacing w:line="240" w:lineRule="auto"/>
      </w:pPr>
      <w:r w:rsidRPr="00B5556A">
        <w:t>Araujo G. P., 2025, Challenges, innovations, and trends in the context of green surfactants in the cosmetic industry, Elsevier, Amsterdam, Netherlands.</w:t>
      </w:r>
    </w:p>
    <w:p w14:paraId="5401D547" w14:textId="77777777" w:rsidR="00BF47D7" w:rsidRPr="00B5556A" w:rsidRDefault="00BF47D7" w:rsidP="00B34421">
      <w:pPr>
        <w:pStyle w:val="CETReferencetext"/>
        <w:spacing w:line="240" w:lineRule="auto"/>
      </w:pPr>
      <w:r w:rsidRPr="00B5556A">
        <w:t xml:space="preserve">Bezerra K.G.O., Meira H.M., Veras B.O., Stamford T.C.M., Fernandes E.L., </w:t>
      </w:r>
      <w:proofErr w:type="spellStart"/>
      <w:r w:rsidRPr="00B5556A">
        <w:t>Converti</w:t>
      </w:r>
      <w:proofErr w:type="spellEnd"/>
      <w:r w:rsidRPr="00B5556A">
        <w:t xml:space="preserve"> A., Rufino R.D., </w:t>
      </w:r>
      <w:proofErr w:type="spellStart"/>
      <w:r w:rsidRPr="00B5556A">
        <w:t>Sarubbo</w:t>
      </w:r>
      <w:proofErr w:type="spellEnd"/>
      <w:r w:rsidRPr="00B5556A">
        <w:t xml:space="preserve"> L.A., 2023, Application of Plant Surfactants as Cleaning Agents in Shampoo Formulations, Processes, 11, 879.</w:t>
      </w:r>
    </w:p>
    <w:p w14:paraId="655FDDF5" w14:textId="77777777" w:rsidR="00BF47D7" w:rsidRPr="00B5556A" w:rsidRDefault="00BF47D7" w:rsidP="00B34421">
      <w:pPr>
        <w:pStyle w:val="CETReferencetext"/>
        <w:spacing w:line="240" w:lineRule="auto"/>
      </w:pPr>
      <w:r w:rsidRPr="00B5556A">
        <w:t xml:space="preserve">Bezerra K.G.O., Silva I.G.S., Almeida F.C.G., Rufino R.D., </w:t>
      </w:r>
      <w:proofErr w:type="spellStart"/>
      <w:r w:rsidRPr="00B5556A">
        <w:t>Sarubbo</w:t>
      </w:r>
      <w:proofErr w:type="spellEnd"/>
      <w:r w:rsidRPr="00B5556A">
        <w:t xml:space="preserve"> L.A., 2021, Plant-derived biosurfactants: Extraction, characteristics and properties for application in cosmetics, Biocatalysis and Agricultural Biotechnology, 34, 102036.</w:t>
      </w:r>
    </w:p>
    <w:p w14:paraId="29D2DFB0" w14:textId="77777777" w:rsidR="00BF47D7" w:rsidRPr="00B5556A" w:rsidRDefault="00BF47D7" w:rsidP="00B34421">
      <w:pPr>
        <w:pStyle w:val="CETReferencetext"/>
        <w:spacing w:line="240" w:lineRule="auto"/>
      </w:pPr>
      <w:r w:rsidRPr="00B5556A">
        <w:t>Bustos K.A.G., 2024, Saponin molecules from quinoa residues: exploring their surfactant, emulsifying, and detergent properties, Foods, 13 (4).</w:t>
      </w:r>
    </w:p>
    <w:p w14:paraId="0FC4ACA3" w14:textId="77777777" w:rsidR="00BF47D7" w:rsidRPr="00B5556A" w:rsidRDefault="00BF47D7" w:rsidP="00B34421">
      <w:pPr>
        <w:pStyle w:val="CETReferencetext"/>
        <w:spacing w:line="240" w:lineRule="auto"/>
      </w:pPr>
      <w:r w:rsidRPr="00B5556A">
        <w:t>Gama R.D., Baby A., Velasco M., 2017, In Vitro Methodologies to Evaluate the Effects of Hair Care Products on Hair Fiber, Cosmetics, 4 (1), 2.</w:t>
      </w:r>
    </w:p>
    <w:p w14:paraId="071FAED4" w14:textId="77777777" w:rsidR="00BF47D7" w:rsidRPr="00B5556A" w:rsidRDefault="00BF47D7" w:rsidP="00B34421">
      <w:pPr>
        <w:pStyle w:val="CETReferencetext"/>
        <w:spacing w:line="240" w:lineRule="auto"/>
      </w:pPr>
      <w:r w:rsidRPr="00B5556A">
        <w:t xml:space="preserve">Gupta N., Morya S., 2022, Bioactive and Pharmacological Characterization of Chenopodium Quinoa, Sorghum </w:t>
      </w:r>
      <w:proofErr w:type="spellStart"/>
      <w:r w:rsidRPr="00B5556A">
        <w:t>Bicolor</w:t>
      </w:r>
      <w:proofErr w:type="spellEnd"/>
      <w:r w:rsidRPr="00B5556A">
        <w:t xml:space="preserve"> and Linum </w:t>
      </w:r>
      <w:proofErr w:type="spellStart"/>
      <w:r w:rsidRPr="00B5556A">
        <w:t>Usitassimum</w:t>
      </w:r>
      <w:proofErr w:type="spellEnd"/>
      <w:r w:rsidRPr="00B5556A">
        <w:t>: A Review, Journal of Applied and Natural Science, 14, 1067–1084.</w:t>
      </w:r>
    </w:p>
    <w:p w14:paraId="5FF45A63" w14:textId="77777777" w:rsidR="00BF47D7" w:rsidRPr="00B5556A" w:rsidRDefault="00BF47D7" w:rsidP="00B34421">
      <w:pPr>
        <w:pStyle w:val="CETReferencetext"/>
        <w:spacing w:line="240" w:lineRule="auto"/>
      </w:pPr>
      <w:r w:rsidRPr="00B5556A">
        <w:t>Klimek-</w:t>
      </w:r>
      <w:proofErr w:type="spellStart"/>
      <w:r w:rsidRPr="00B5556A">
        <w:t>Szczykutowicz</w:t>
      </w:r>
      <w:proofErr w:type="spellEnd"/>
      <w:r w:rsidRPr="00B5556A">
        <w:t xml:space="preserve"> M., 2024, </w:t>
      </w:r>
      <w:proofErr w:type="spellStart"/>
      <w:r w:rsidRPr="00B5556A">
        <w:t>Bioferments</w:t>
      </w:r>
      <w:proofErr w:type="spellEnd"/>
      <w:r w:rsidRPr="00B5556A">
        <w:t xml:space="preserve"> and biosurfactants as new products with potential in the cosmetic industry, Cosmetics, 11 (2).</w:t>
      </w:r>
    </w:p>
    <w:p w14:paraId="3C3C6421" w14:textId="77777777" w:rsidR="00BF47D7" w:rsidRPr="00B5556A" w:rsidRDefault="00BF47D7" w:rsidP="00B34421">
      <w:pPr>
        <w:pStyle w:val="CETReferencetext"/>
        <w:spacing w:line="240" w:lineRule="auto"/>
      </w:pPr>
      <w:r w:rsidRPr="00B5556A">
        <w:t xml:space="preserve">Leite M.G.A., Maia Campos P.M.B.G., 2018, Development and Efficacy Evaluation of Hair Care Formulations Containing Vegetable Oils and Silicone, International Journal of </w:t>
      </w:r>
      <w:proofErr w:type="spellStart"/>
      <w:r w:rsidRPr="00B5556A">
        <w:t>Phytocosmetics</w:t>
      </w:r>
      <w:proofErr w:type="spellEnd"/>
      <w:r w:rsidRPr="00B5556A">
        <w:t xml:space="preserve"> and Natural Ingredients, 5, 9.</w:t>
      </w:r>
    </w:p>
    <w:p w14:paraId="19F0A676" w14:textId="0B97045C" w:rsidR="00265725" w:rsidRPr="00B5556A" w:rsidRDefault="00265725" w:rsidP="00B34421">
      <w:pPr>
        <w:pStyle w:val="CETReferencetext"/>
        <w:spacing w:line="240" w:lineRule="auto"/>
      </w:pPr>
      <w:r w:rsidRPr="00B5556A">
        <w:t xml:space="preserve">Liu Z., Graf K., Hub J., </w:t>
      </w:r>
      <w:proofErr w:type="spellStart"/>
      <w:r w:rsidRPr="00B5556A">
        <w:t>Kellernmeier</w:t>
      </w:r>
      <w:proofErr w:type="spellEnd"/>
      <w:r w:rsidRPr="00B5556A">
        <w:t xml:space="preserve"> M., 2022, Effects of Cosmetic Emulsions on the Surface Properties of Mongolian Hair, ACS Omega, 7, 10910–10920.</w:t>
      </w:r>
    </w:p>
    <w:p w14:paraId="57341E51" w14:textId="77777777" w:rsidR="00BF47D7" w:rsidRPr="00B5556A" w:rsidRDefault="00BF47D7" w:rsidP="00B34421">
      <w:pPr>
        <w:pStyle w:val="CETReferencetext"/>
        <w:spacing w:line="240" w:lineRule="auto"/>
      </w:pPr>
      <w:r w:rsidRPr="00B5556A">
        <w:t xml:space="preserve">Mala T., </w:t>
      </w:r>
      <w:proofErr w:type="spellStart"/>
      <w:r w:rsidRPr="00B5556A">
        <w:t>Piayura</w:t>
      </w:r>
      <w:proofErr w:type="spellEnd"/>
      <w:r w:rsidRPr="00B5556A">
        <w:t xml:space="preserve"> S., </w:t>
      </w:r>
      <w:proofErr w:type="spellStart"/>
      <w:r w:rsidRPr="00B5556A">
        <w:t>Itthivadhanapong</w:t>
      </w:r>
      <w:proofErr w:type="spellEnd"/>
      <w:r w:rsidRPr="00B5556A">
        <w:t xml:space="preserve"> P., 2024, Characterization of Dried Pineapple (Ananas Comosus L.) Peel Powder and Its Application as a Novel Functional Food Ingredient in Cracker Product, Future Foods, 9, 100322.</w:t>
      </w:r>
    </w:p>
    <w:p w14:paraId="7CB93A26" w14:textId="77777777" w:rsidR="00BF47D7" w:rsidRPr="00B5556A" w:rsidRDefault="00BF47D7" w:rsidP="00B34421">
      <w:pPr>
        <w:pStyle w:val="CETReferencetext"/>
        <w:spacing w:line="240" w:lineRule="auto"/>
      </w:pPr>
      <w:r w:rsidRPr="00B5556A">
        <w:lastRenderedPageBreak/>
        <w:t>Martins E., Castro P., Ribeiro A.B., Pereira C.F., Casanova F., Vilarinho R., Moreira J., Ramos Ó.L., 2024, Bleached Hair as Standard Template to Insight the Performance of Commercial Hair Repair Products, Cosmetics, 11, 150.</w:t>
      </w:r>
    </w:p>
    <w:p w14:paraId="68F8B5EB" w14:textId="77777777" w:rsidR="00BF47D7" w:rsidRPr="00B5556A" w:rsidRDefault="00BF47D7" w:rsidP="00B34421">
      <w:pPr>
        <w:pStyle w:val="CETReferencetext"/>
        <w:spacing w:line="240" w:lineRule="auto"/>
      </w:pPr>
      <w:r w:rsidRPr="00B5556A">
        <w:t>Nasser M., 2024, Advances in the production of biosurfactants as green alternatives in various industries, Biotechnology Reports, 42.</w:t>
      </w:r>
    </w:p>
    <w:p w14:paraId="2867EACA" w14:textId="77777777" w:rsidR="00BF47D7" w:rsidRPr="00B5556A" w:rsidRDefault="00BF47D7" w:rsidP="00B34421">
      <w:pPr>
        <w:pStyle w:val="CETReferencetext"/>
        <w:spacing w:line="240" w:lineRule="auto"/>
      </w:pPr>
      <w:r w:rsidRPr="00B5556A">
        <w:t>Ribeiro A., Martins M., Tinoco A., Cavaco-Paulo A., 2021, Hair Resistance to Mechanical Wear, Wear, 470–471, 203612.</w:t>
      </w:r>
    </w:p>
    <w:p w14:paraId="149333B9" w14:textId="77777777" w:rsidR="00CF2F69" w:rsidRPr="00B5556A" w:rsidRDefault="00BF47D7" w:rsidP="00B34421">
      <w:pPr>
        <w:pStyle w:val="CETReferencetext"/>
        <w:spacing w:line="240" w:lineRule="auto"/>
      </w:pPr>
      <w:r w:rsidRPr="00B5556A">
        <w:t>Romero Vega G., 2025, Bio-based surfactants and biosurfactants: an overview of plant-derived saponins, Molecules, 30 (5).</w:t>
      </w:r>
    </w:p>
    <w:p w14:paraId="69E2F996" w14:textId="77777777" w:rsidR="005A236D" w:rsidRPr="00B5556A" w:rsidRDefault="005A236D" w:rsidP="00B34421">
      <w:pPr>
        <w:pStyle w:val="CETReferencetext"/>
        <w:spacing w:line="240" w:lineRule="auto"/>
      </w:pPr>
      <w:r w:rsidRPr="00B5556A">
        <w:t xml:space="preserve">Soares J.P.G.D.S., Cornélio M.L., Da Silva F.F., 2025, Commercial Clays in Cosmetic Formulations for Hair Care: Characterization and Application to Improve the Mechanical Properties of Hair Fibre, International Journal of Cosmetic Science, 43, 257–268. </w:t>
      </w:r>
    </w:p>
    <w:p w14:paraId="5D92F24F" w14:textId="1FD5D898" w:rsidR="00BF47D7" w:rsidRPr="00B5556A" w:rsidRDefault="00BF47D7" w:rsidP="00B34421">
      <w:pPr>
        <w:pStyle w:val="CETReferencetext"/>
        <w:spacing w:line="240" w:lineRule="auto"/>
      </w:pPr>
      <w:r w:rsidRPr="00B5556A">
        <w:t>Thompson D., Lemaster C., Allen R., Whittam J., 1985, Evaluation of relative shampoo detergency, Journal of the Society of Cosmetic Chemists, 36, 271–286.</w:t>
      </w:r>
    </w:p>
    <w:p w14:paraId="6966A22E" w14:textId="77777777" w:rsidR="00BF47D7" w:rsidRPr="00B5556A" w:rsidRDefault="00BF47D7" w:rsidP="00B34421">
      <w:pPr>
        <w:pStyle w:val="CETReferencetext"/>
        <w:spacing w:line="240" w:lineRule="auto"/>
      </w:pPr>
      <w:r w:rsidRPr="00B5556A">
        <w:t xml:space="preserve">Velasco M.V.R., Balogh T.S., Kagiyama J.W., Dario M.F., Gama R.M., Bedin V., Baby A.R., 2015, Influence of Brazilian vegetable oils on mechanical resistance of hair </w:t>
      </w:r>
      <w:proofErr w:type="spellStart"/>
      <w:r w:rsidRPr="00B5556A">
        <w:t>fiber</w:t>
      </w:r>
      <w:proofErr w:type="spellEnd"/>
      <w:r w:rsidRPr="00B5556A">
        <w:t>, Biomedical and Biopharmaceutical Research, 12, 99–106.</w:t>
      </w:r>
    </w:p>
    <w:p w14:paraId="2168A49E" w14:textId="77777777" w:rsidR="00BF47D7" w:rsidRPr="00B5556A" w:rsidRDefault="00BF47D7" w:rsidP="00B34421">
      <w:pPr>
        <w:pStyle w:val="CETReferencetext"/>
        <w:spacing w:line="240" w:lineRule="auto"/>
      </w:pPr>
      <w:r w:rsidRPr="00B5556A">
        <w:t xml:space="preserve">Yahya N.A., 2022, Ananas comosus peels extract as a new natural cosmetic ingredient for </w:t>
      </w:r>
      <w:proofErr w:type="spellStart"/>
      <w:r w:rsidRPr="00B5556A">
        <w:t>nanocream</w:t>
      </w:r>
      <w:proofErr w:type="spellEnd"/>
      <w:r w:rsidRPr="00B5556A">
        <w:t xml:space="preserve"> development, Journal of Cosmetic Dermatology, 21 (9), 4120–4129.</w:t>
      </w:r>
    </w:p>
    <w:p w14:paraId="467FF613" w14:textId="0BA8A7FC" w:rsidR="00BF47D7" w:rsidRDefault="00265725" w:rsidP="00B34421">
      <w:pPr>
        <w:pStyle w:val="CETReferencetext"/>
        <w:spacing w:line="240" w:lineRule="auto"/>
      </w:pPr>
      <w:r w:rsidRPr="00B5556A">
        <w:t>Zi Y., Liu J., Fang S., Li M., Huang Q., Peng X., 2025, Establishment of Heat-Damaged Model for Hair, Journal of Cosmetic Dermatology, 24, 123–134.</w:t>
      </w:r>
    </w:p>
    <w:p w14:paraId="7746C4A0" w14:textId="77777777" w:rsidR="00DB0489" w:rsidRDefault="00DB0489" w:rsidP="00B34421">
      <w:pPr>
        <w:pStyle w:val="CETReferencetext"/>
        <w:spacing w:line="240" w:lineRule="auto"/>
      </w:pPr>
    </w:p>
    <w:p w14:paraId="149D8D10" w14:textId="77777777" w:rsidR="00DB0489" w:rsidRPr="00B5556A" w:rsidRDefault="00DB0489" w:rsidP="00B34421">
      <w:pPr>
        <w:pStyle w:val="CETReferencetext"/>
        <w:spacing w:line="240" w:lineRule="auto"/>
      </w:pPr>
    </w:p>
    <w:sectPr w:rsidR="00DB0489" w:rsidRPr="00B5556A" w:rsidSect="00BA04E9">
      <w:type w:val="continuous"/>
      <w:pgSz w:w="11906" w:h="16838" w:code="9"/>
      <w:pgMar w:top="1701" w:right="1418" w:bottom="1701" w:left="1560" w:header="1701" w:footer="0" w:gutter="0"/>
      <w:pgBorders w:offsetFrom="page">
        <w:top w:val="single" w:sz="4" w:space="24" w:color="00B050"/>
        <w:bottom w:val="single" w:sz="4" w:space="24" w:color="00B050"/>
      </w:pgBorders>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5CFB" w14:textId="77777777" w:rsidR="0060447F" w:rsidRDefault="0060447F" w:rsidP="004F5E36">
      <w:r>
        <w:separator/>
      </w:r>
    </w:p>
  </w:endnote>
  <w:endnote w:type="continuationSeparator" w:id="0">
    <w:p w14:paraId="2F78A0D4" w14:textId="77777777" w:rsidR="0060447F" w:rsidRDefault="0060447F"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5128C" w14:textId="77777777" w:rsidR="0060447F" w:rsidRDefault="0060447F" w:rsidP="004F5E36">
      <w:r>
        <w:separator/>
      </w:r>
    </w:p>
  </w:footnote>
  <w:footnote w:type="continuationSeparator" w:id="0">
    <w:p w14:paraId="3AD19BEB" w14:textId="77777777" w:rsidR="0060447F" w:rsidRDefault="0060447F"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TabelaSimples-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D912632"/>
    <w:multiLevelType w:val="multilevel"/>
    <w:tmpl w:val="06C87A68"/>
    <w:lvl w:ilvl="0">
      <w:start w:val="1"/>
      <w:numFmt w:val="decimal"/>
      <w:lvlText w:val="%1."/>
      <w:lvlJc w:val="left"/>
      <w:pPr>
        <w:ind w:left="360" w:hanging="360"/>
      </w:pPr>
      <w:rPr>
        <w:rFonts w:hint="default"/>
      </w:rPr>
    </w:lvl>
    <w:lvl w:ilvl="1">
      <w:start w:val="1"/>
      <w:numFmt w:val="decimal"/>
      <w:pStyle w:val="CETheadingx"/>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2CB4B3E"/>
    <w:multiLevelType w:val="hybridMultilevel"/>
    <w:tmpl w:val="1FF2DC48"/>
    <w:lvl w:ilvl="0" w:tplc="A7EC860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D02128"/>
    <w:multiLevelType w:val="hybridMultilevel"/>
    <w:tmpl w:val="6DAA6E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8"/>
  </w:num>
  <w:num w:numId="13" w16cid:durableId="695733619">
    <w:abstractNumId w:val="12"/>
  </w:num>
  <w:num w:numId="14" w16cid:durableId="145903400">
    <w:abstractNumId w:val="19"/>
  </w:num>
  <w:num w:numId="15" w16cid:durableId="19162326">
    <w:abstractNumId w:val="22"/>
  </w:num>
  <w:num w:numId="16" w16cid:durableId="1977102699">
    <w:abstractNumId w:val="21"/>
  </w:num>
  <w:num w:numId="17" w16cid:durableId="860774865">
    <w:abstractNumId w:val="11"/>
  </w:num>
  <w:num w:numId="18" w16cid:durableId="313221457">
    <w:abstractNumId w:val="12"/>
    <w:lvlOverride w:ilvl="0">
      <w:startOverride w:val="1"/>
    </w:lvlOverride>
  </w:num>
  <w:num w:numId="19" w16cid:durableId="534971577">
    <w:abstractNumId w:val="17"/>
  </w:num>
  <w:num w:numId="20" w16cid:durableId="1150947773">
    <w:abstractNumId w:val="16"/>
  </w:num>
  <w:num w:numId="21" w16cid:durableId="124660497">
    <w:abstractNumId w:val="14"/>
  </w:num>
  <w:num w:numId="22" w16cid:durableId="2099861471">
    <w:abstractNumId w:val="13"/>
  </w:num>
  <w:num w:numId="23" w16cid:durableId="729423417">
    <w:abstractNumId w:val="23"/>
  </w:num>
  <w:num w:numId="24" w16cid:durableId="1408767959">
    <w:abstractNumId w:val="20"/>
  </w:num>
  <w:num w:numId="25" w16cid:durableId="308638459">
    <w:abstractNumId w:val="15"/>
  </w:num>
  <w:num w:numId="26" w16cid:durableId="1326206836">
    <w:abstractNumId w:val="15"/>
    <w:lvlOverride w:ilvl="0">
      <w:startOverride w:val="3"/>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17335"/>
    <w:rsid w:val="0003148D"/>
    <w:rsid w:val="00031EEC"/>
    <w:rsid w:val="000427A1"/>
    <w:rsid w:val="00047124"/>
    <w:rsid w:val="00051566"/>
    <w:rsid w:val="0005495A"/>
    <w:rsid w:val="00055D6C"/>
    <w:rsid w:val="000562A9"/>
    <w:rsid w:val="000611DC"/>
    <w:rsid w:val="00062A9A"/>
    <w:rsid w:val="00065058"/>
    <w:rsid w:val="00066FB6"/>
    <w:rsid w:val="00076A23"/>
    <w:rsid w:val="00083BB2"/>
    <w:rsid w:val="00085AB6"/>
    <w:rsid w:val="00086C39"/>
    <w:rsid w:val="000917FA"/>
    <w:rsid w:val="00095ACD"/>
    <w:rsid w:val="00096780"/>
    <w:rsid w:val="000A0069"/>
    <w:rsid w:val="000A03B2"/>
    <w:rsid w:val="000A5CF3"/>
    <w:rsid w:val="000B4793"/>
    <w:rsid w:val="000C7DC9"/>
    <w:rsid w:val="000D0268"/>
    <w:rsid w:val="000D2967"/>
    <w:rsid w:val="000D34BE"/>
    <w:rsid w:val="000E102F"/>
    <w:rsid w:val="000E198F"/>
    <w:rsid w:val="000E36F1"/>
    <w:rsid w:val="000E3A73"/>
    <w:rsid w:val="000E414A"/>
    <w:rsid w:val="000E4BB4"/>
    <w:rsid w:val="000E75FD"/>
    <w:rsid w:val="000E7BE4"/>
    <w:rsid w:val="000F037A"/>
    <w:rsid w:val="000F093C"/>
    <w:rsid w:val="000F16E6"/>
    <w:rsid w:val="000F4931"/>
    <w:rsid w:val="000F5A70"/>
    <w:rsid w:val="000F6BE7"/>
    <w:rsid w:val="000F6D4D"/>
    <w:rsid w:val="000F787B"/>
    <w:rsid w:val="000F7E1E"/>
    <w:rsid w:val="0012091F"/>
    <w:rsid w:val="0012239D"/>
    <w:rsid w:val="00124AAD"/>
    <w:rsid w:val="00125393"/>
    <w:rsid w:val="001259FF"/>
    <w:rsid w:val="00126BC2"/>
    <w:rsid w:val="00127C16"/>
    <w:rsid w:val="001308B6"/>
    <w:rsid w:val="0013121F"/>
    <w:rsid w:val="00131FE6"/>
    <w:rsid w:val="0013263F"/>
    <w:rsid w:val="001331DF"/>
    <w:rsid w:val="00134DE4"/>
    <w:rsid w:val="00135E07"/>
    <w:rsid w:val="0014034D"/>
    <w:rsid w:val="00140FE3"/>
    <w:rsid w:val="00142513"/>
    <w:rsid w:val="00144D16"/>
    <w:rsid w:val="0014636E"/>
    <w:rsid w:val="00150E59"/>
    <w:rsid w:val="00152DE3"/>
    <w:rsid w:val="00155417"/>
    <w:rsid w:val="0016005F"/>
    <w:rsid w:val="00162821"/>
    <w:rsid w:val="001643DF"/>
    <w:rsid w:val="00164CF9"/>
    <w:rsid w:val="001667A6"/>
    <w:rsid w:val="00166CAD"/>
    <w:rsid w:val="00173FD5"/>
    <w:rsid w:val="00174851"/>
    <w:rsid w:val="00184AD6"/>
    <w:rsid w:val="001973B2"/>
    <w:rsid w:val="00197ABC"/>
    <w:rsid w:val="00197CC3"/>
    <w:rsid w:val="001A3F22"/>
    <w:rsid w:val="001A4AF7"/>
    <w:rsid w:val="001B0349"/>
    <w:rsid w:val="001B1E93"/>
    <w:rsid w:val="001B2C36"/>
    <w:rsid w:val="001B65C1"/>
    <w:rsid w:val="001C260F"/>
    <w:rsid w:val="001C3065"/>
    <w:rsid w:val="001C33F1"/>
    <w:rsid w:val="001C684B"/>
    <w:rsid w:val="001D0CFB"/>
    <w:rsid w:val="001D14BC"/>
    <w:rsid w:val="001D21AF"/>
    <w:rsid w:val="001D2A8C"/>
    <w:rsid w:val="001D53FC"/>
    <w:rsid w:val="001F42A5"/>
    <w:rsid w:val="001F7300"/>
    <w:rsid w:val="001F7B9D"/>
    <w:rsid w:val="00201C93"/>
    <w:rsid w:val="00205D10"/>
    <w:rsid w:val="00214C00"/>
    <w:rsid w:val="002224B4"/>
    <w:rsid w:val="00237C82"/>
    <w:rsid w:val="002447EF"/>
    <w:rsid w:val="00251550"/>
    <w:rsid w:val="00255C21"/>
    <w:rsid w:val="002613C6"/>
    <w:rsid w:val="002631BD"/>
    <w:rsid w:val="00263B05"/>
    <w:rsid w:val="00265725"/>
    <w:rsid w:val="0027221A"/>
    <w:rsid w:val="00273667"/>
    <w:rsid w:val="00274E8F"/>
    <w:rsid w:val="00275B61"/>
    <w:rsid w:val="0027654F"/>
    <w:rsid w:val="00280FAF"/>
    <w:rsid w:val="00282656"/>
    <w:rsid w:val="00286E5E"/>
    <w:rsid w:val="00296B83"/>
    <w:rsid w:val="002A16DB"/>
    <w:rsid w:val="002A60F6"/>
    <w:rsid w:val="002B3651"/>
    <w:rsid w:val="002B4015"/>
    <w:rsid w:val="002B5F26"/>
    <w:rsid w:val="002B6562"/>
    <w:rsid w:val="002B78CE"/>
    <w:rsid w:val="002C2FB6"/>
    <w:rsid w:val="002C6BAE"/>
    <w:rsid w:val="002D43A2"/>
    <w:rsid w:val="002E10E5"/>
    <w:rsid w:val="002E5FA7"/>
    <w:rsid w:val="002F0E33"/>
    <w:rsid w:val="002F3309"/>
    <w:rsid w:val="002F70F8"/>
    <w:rsid w:val="003008CE"/>
    <w:rsid w:val="003009B7"/>
    <w:rsid w:val="00300E56"/>
    <w:rsid w:val="0030152C"/>
    <w:rsid w:val="0030469C"/>
    <w:rsid w:val="00313163"/>
    <w:rsid w:val="00314CDE"/>
    <w:rsid w:val="00321CA6"/>
    <w:rsid w:val="003229E2"/>
    <w:rsid w:val="00323763"/>
    <w:rsid w:val="00323C5F"/>
    <w:rsid w:val="00333AA3"/>
    <w:rsid w:val="00334C09"/>
    <w:rsid w:val="00336100"/>
    <w:rsid w:val="003524C9"/>
    <w:rsid w:val="00357E50"/>
    <w:rsid w:val="00362840"/>
    <w:rsid w:val="00363D23"/>
    <w:rsid w:val="003723D4"/>
    <w:rsid w:val="00377D86"/>
    <w:rsid w:val="00381905"/>
    <w:rsid w:val="003821AE"/>
    <w:rsid w:val="00384CC8"/>
    <w:rsid w:val="00386B36"/>
    <w:rsid w:val="003871FD"/>
    <w:rsid w:val="00392B24"/>
    <w:rsid w:val="0039647F"/>
    <w:rsid w:val="003A1E30"/>
    <w:rsid w:val="003A2829"/>
    <w:rsid w:val="003A4498"/>
    <w:rsid w:val="003A5E29"/>
    <w:rsid w:val="003A792F"/>
    <w:rsid w:val="003A7D1C"/>
    <w:rsid w:val="003B166C"/>
    <w:rsid w:val="003B304B"/>
    <w:rsid w:val="003B3146"/>
    <w:rsid w:val="003B33D7"/>
    <w:rsid w:val="003D0326"/>
    <w:rsid w:val="003D1E02"/>
    <w:rsid w:val="003D7580"/>
    <w:rsid w:val="003E66B2"/>
    <w:rsid w:val="003F015E"/>
    <w:rsid w:val="003F1278"/>
    <w:rsid w:val="003F2B59"/>
    <w:rsid w:val="00400414"/>
    <w:rsid w:val="00403442"/>
    <w:rsid w:val="00403449"/>
    <w:rsid w:val="004035DB"/>
    <w:rsid w:val="00406A06"/>
    <w:rsid w:val="004104D2"/>
    <w:rsid w:val="0041446B"/>
    <w:rsid w:val="00422EAB"/>
    <w:rsid w:val="00425FEE"/>
    <w:rsid w:val="00427FEB"/>
    <w:rsid w:val="004345CD"/>
    <w:rsid w:val="0044071E"/>
    <w:rsid w:val="0044329C"/>
    <w:rsid w:val="00444FE8"/>
    <w:rsid w:val="00445021"/>
    <w:rsid w:val="00445E98"/>
    <w:rsid w:val="004478DE"/>
    <w:rsid w:val="00453E24"/>
    <w:rsid w:val="00456B8D"/>
    <w:rsid w:val="00457456"/>
    <w:rsid w:val="004577FE"/>
    <w:rsid w:val="00457B9C"/>
    <w:rsid w:val="0046164A"/>
    <w:rsid w:val="004628D2"/>
    <w:rsid w:val="00462DCD"/>
    <w:rsid w:val="0046424A"/>
    <w:rsid w:val="004648AD"/>
    <w:rsid w:val="00466520"/>
    <w:rsid w:val="00466DA6"/>
    <w:rsid w:val="004703A9"/>
    <w:rsid w:val="004746DB"/>
    <w:rsid w:val="004760DE"/>
    <w:rsid w:val="004763D7"/>
    <w:rsid w:val="00481955"/>
    <w:rsid w:val="0048652F"/>
    <w:rsid w:val="00487CA4"/>
    <w:rsid w:val="00490446"/>
    <w:rsid w:val="0049114B"/>
    <w:rsid w:val="00492CAF"/>
    <w:rsid w:val="004A004E"/>
    <w:rsid w:val="004A11C3"/>
    <w:rsid w:val="004A24CF"/>
    <w:rsid w:val="004A5E57"/>
    <w:rsid w:val="004B1A6F"/>
    <w:rsid w:val="004B6720"/>
    <w:rsid w:val="004B71C0"/>
    <w:rsid w:val="004C194F"/>
    <w:rsid w:val="004C3D1D"/>
    <w:rsid w:val="004C3D84"/>
    <w:rsid w:val="004C7913"/>
    <w:rsid w:val="004D3FB9"/>
    <w:rsid w:val="004E1BF0"/>
    <w:rsid w:val="004E2DE8"/>
    <w:rsid w:val="004E4DD6"/>
    <w:rsid w:val="004F0928"/>
    <w:rsid w:val="004F1B56"/>
    <w:rsid w:val="004F3B84"/>
    <w:rsid w:val="004F5E36"/>
    <w:rsid w:val="00500D61"/>
    <w:rsid w:val="00507B47"/>
    <w:rsid w:val="00507BEF"/>
    <w:rsid w:val="00507CC9"/>
    <w:rsid w:val="005119A5"/>
    <w:rsid w:val="00513210"/>
    <w:rsid w:val="005142D8"/>
    <w:rsid w:val="0052465F"/>
    <w:rsid w:val="005278B7"/>
    <w:rsid w:val="00527F42"/>
    <w:rsid w:val="00532016"/>
    <w:rsid w:val="005346C8"/>
    <w:rsid w:val="005362B3"/>
    <w:rsid w:val="00543E7D"/>
    <w:rsid w:val="00547A68"/>
    <w:rsid w:val="005531C9"/>
    <w:rsid w:val="00560DC0"/>
    <w:rsid w:val="00570C43"/>
    <w:rsid w:val="00571955"/>
    <w:rsid w:val="00573FE3"/>
    <w:rsid w:val="00581A8C"/>
    <w:rsid w:val="0058218E"/>
    <w:rsid w:val="00584072"/>
    <w:rsid w:val="00591593"/>
    <w:rsid w:val="00592274"/>
    <w:rsid w:val="005A236D"/>
    <w:rsid w:val="005B2110"/>
    <w:rsid w:val="005B3116"/>
    <w:rsid w:val="005B47FA"/>
    <w:rsid w:val="005B61E6"/>
    <w:rsid w:val="005C30F0"/>
    <w:rsid w:val="005C77E1"/>
    <w:rsid w:val="005D1A59"/>
    <w:rsid w:val="005D294F"/>
    <w:rsid w:val="005D3BB1"/>
    <w:rsid w:val="005D3BE5"/>
    <w:rsid w:val="005D668A"/>
    <w:rsid w:val="005D6A2F"/>
    <w:rsid w:val="005E0592"/>
    <w:rsid w:val="005E1A82"/>
    <w:rsid w:val="005E794C"/>
    <w:rsid w:val="005F0A28"/>
    <w:rsid w:val="005F0E5E"/>
    <w:rsid w:val="005F1ED8"/>
    <w:rsid w:val="005F4E8F"/>
    <w:rsid w:val="00600535"/>
    <w:rsid w:val="00602B64"/>
    <w:rsid w:val="0060447F"/>
    <w:rsid w:val="00610CD6"/>
    <w:rsid w:val="00616A1D"/>
    <w:rsid w:val="00620DEE"/>
    <w:rsid w:val="00621F92"/>
    <w:rsid w:val="0062280A"/>
    <w:rsid w:val="006231E1"/>
    <w:rsid w:val="00625639"/>
    <w:rsid w:val="00631B33"/>
    <w:rsid w:val="006341DC"/>
    <w:rsid w:val="0064184D"/>
    <w:rsid w:val="006422CC"/>
    <w:rsid w:val="00646638"/>
    <w:rsid w:val="00651D18"/>
    <w:rsid w:val="00660E3E"/>
    <w:rsid w:val="00662E74"/>
    <w:rsid w:val="00664B4C"/>
    <w:rsid w:val="00680C23"/>
    <w:rsid w:val="00682FDA"/>
    <w:rsid w:val="00683A4B"/>
    <w:rsid w:val="00683E23"/>
    <w:rsid w:val="006840DE"/>
    <w:rsid w:val="00685073"/>
    <w:rsid w:val="00691297"/>
    <w:rsid w:val="00693122"/>
    <w:rsid w:val="00693766"/>
    <w:rsid w:val="00694414"/>
    <w:rsid w:val="006964E3"/>
    <w:rsid w:val="006A3281"/>
    <w:rsid w:val="006A74A8"/>
    <w:rsid w:val="006B123F"/>
    <w:rsid w:val="006B4888"/>
    <w:rsid w:val="006B5FCB"/>
    <w:rsid w:val="006C2E45"/>
    <w:rsid w:val="006C359C"/>
    <w:rsid w:val="006C5579"/>
    <w:rsid w:val="006C67E8"/>
    <w:rsid w:val="006C74D0"/>
    <w:rsid w:val="006D2308"/>
    <w:rsid w:val="006D6E8B"/>
    <w:rsid w:val="006D7209"/>
    <w:rsid w:val="006E2620"/>
    <w:rsid w:val="006E737D"/>
    <w:rsid w:val="006E75D7"/>
    <w:rsid w:val="006F2D67"/>
    <w:rsid w:val="0070041D"/>
    <w:rsid w:val="007018DB"/>
    <w:rsid w:val="00707DD1"/>
    <w:rsid w:val="00713973"/>
    <w:rsid w:val="00720A24"/>
    <w:rsid w:val="00721ABA"/>
    <w:rsid w:val="0072538D"/>
    <w:rsid w:val="00732386"/>
    <w:rsid w:val="0073514D"/>
    <w:rsid w:val="0074196D"/>
    <w:rsid w:val="007447F3"/>
    <w:rsid w:val="007524D1"/>
    <w:rsid w:val="0075499F"/>
    <w:rsid w:val="0075558E"/>
    <w:rsid w:val="007617CC"/>
    <w:rsid w:val="00763E0F"/>
    <w:rsid w:val="007661C8"/>
    <w:rsid w:val="0077098D"/>
    <w:rsid w:val="00783621"/>
    <w:rsid w:val="00785BF9"/>
    <w:rsid w:val="00787253"/>
    <w:rsid w:val="00792268"/>
    <w:rsid w:val="007931FA"/>
    <w:rsid w:val="007A3985"/>
    <w:rsid w:val="007A4861"/>
    <w:rsid w:val="007A7BBA"/>
    <w:rsid w:val="007B0C50"/>
    <w:rsid w:val="007B2329"/>
    <w:rsid w:val="007B48F9"/>
    <w:rsid w:val="007B6699"/>
    <w:rsid w:val="007B6C87"/>
    <w:rsid w:val="007C1A43"/>
    <w:rsid w:val="007C279A"/>
    <w:rsid w:val="007D0951"/>
    <w:rsid w:val="007E3EF7"/>
    <w:rsid w:val="007E6088"/>
    <w:rsid w:val="007F0969"/>
    <w:rsid w:val="007F1D34"/>
    <w:rsid w:val="007F27C8"/>
    <w:rsid w:val="007F3AAF"/>
    <w:rsid w:val="0080013E"/>
    <w:rsid w:val="008008BE"/>
    <w:rsid w:val="00800978"/>
    <w:rsid w:val="00811DAB"/>
    <w:rsid w:val="00813288"/>
    <w:rsid w:val="008147CC"/>
    <w:rsid w:val="008168FC"/>
    <w:rsid w:val="00830996"/>
    <w:rsid w:val="00831344"/>
    <w:rsid w:val="00831482"/>
    <w:rsid w:val="008314D7"/>
    <w:rsid w:val="008345F1"/>
    <w:rsid w:val="00835A7A"/>
    <w:rsid w:val="008423EC"/>
    <w:rsid w:val="00847D15"/>
    <w:rsid w:val="00855CF2"/>
    <w:rsid w:val="0085638C"/>
    <w:rsid w:val="00865B07"/>
    <w:rsid w:val="00866742"/>
    <w:rsid w:val="008667EA"/>
    <w:rsid w:val="00866B17"/>
    <w:rsid w:val="008702AF"/>
    <w:rsid w:val="0087637F"/>
    <w:rsid w:val="00880F66"/>
    <w:rsid w:val="008817D7"/>
    <w:rsid w:val="00884440"/>
    <w:rsid w:val="00887893"/>
    <w:rsid w:val="00892AD5"/>
    <w:rsid w:val="00893620"/>
    <w:rsid w:val="00894406"/>
    <w:rsid w:val="008A1512"/>
    <w:rsid w:val="008A626C"/>
    <w:rsid w:val="008C1AF9"/>
    <w:rsid w:val="008C1CD6"/>
    <w:rsid w:val="008D32B9"/>
    <w:rsid w:val="008D433B"/>
    <w:rsid w:val="008D4A16"/>
    <w:rsid w:val="008D4BBA"/>
    <w:rsid w:val="008E13F1"/>
    <w:rsid w:val="008E209A"/>
    <w:rsid w:val="008E45BC"/>
    <w:rsid w:val="008E566E"/>
    <w:rsid w:val="0090161A"/>
    <w:rsid w:val="00901EB6"/>
    <w:rsid w:val="009041F8"/>
    <w:rsid w:val="00904C62"/>
    <w:rsid w:val="00907719"/>
    <w:rsid w:val="0091086F"/>
    <w:rsid w:val="0091478B"/>
    <w:rsid w:val="009166B4"/>
    <w:rsid w:val="00922BA8"/>
    <w:rsid w:val="00924DAC"/>
    <w:rsid w:val="00925649"/>
    <w:rsid w:val="00927058"/>
    <w:rsid w:val="009404EA"/>
    <w:rsid w:val="00942750"/>
    <w:rsid w:val="00942E7B"/>
    <w:rsid w:val="009450CE"/>
    <w:rsid w:val="009459BB"/>
    <w:rsid w:val="00947179"/>
    <w:rsid w:val="0095164B"/>
    <w:rsid w:val="00951D4E"/>
    <w:rsid w:val="00954090"/>
    <w:rsid w:val="00956A20"/>
    <w:rsid w:val="009573E7"/>
    <w:rsid w:val="00963E05"/>
    <w:rsid w:val="00964A45"/>
    <w:rsid w:val="00966277"/>
    <w:rsid w:val="00967843"/>
    <w:rsid w:val="00967D54"/>
    <w:rsid w:val="00967DEF"/>
    <w:rsid w:val="00971028"/>
    <w:rsid w:val="00974261"/>
    <w:rsid w:val="00980657"/>
    <w:rsid w:val="00986F09"/>
    <w:rsid w:val="00993B84"/>
    <w:rsid w:val="00996483"/>
    <w:rsid w:val="00996F5A"/>
    <w:rsid w:val="009A1C4F"/>
    <w:rsid w:val="009B002B"/>
    <w:rsid w:val="009B041A"/>
    <w:rsid w:val="009B0822"/>
    <w:rsid w:val="009B1B28"/>
    <w:rsid w:val="009C37C3"/>
    <w:rsid w:val="009C6939"/>
    <w:rsid w:val="009C6DE7"/>
    <w:rsid w:val="009C7C86"/>
    <w:rsid w:val="009D2FF7"/>
    <w:rsid w:val="009D72BF"/>
    <w:rsid w:val="009D7B3E"/>
    <w:rsid w:val="009E0DB3"/>
    <w:rsid w:val="009E7884"/>
    <w:rsid w:val="009E788A"/>
    <w:rsid w:val="009F0E08"/>
    <w:rsid w:val="009F2D52"/>
    <w:rsid w:val="00A05CED"/>
    <w:rsid w:val="00A05E45"/>
    <w:rsid w:val="00A072EE"/>
    <w:rsid w:val="00A079AE"/>
    <w:rsid w:val="00A07ADC"/>
    <w:rsid w:val="00A131E7"/>
    <w:rsid w:val="00A15B78"/>
    <w:rsid w:val="00A1763D"/>
    <w:rsid w:val="00A17CEC"/>
    <w:rsid w:val="00A2031F"/>
    <w:rsid w:val="00A24258"/>
    <w:rsid w:val="00A26C92"/>
    <w:rsid w:val="00A26CBB"/>
    <w:rsid w:val="00A27801"/>
    <w:rsid w:val="00A27EF0"/>
    <w:rsid w:val="00A378C1"/>
    <w:rsid w:val="00A42361"/>
    <w:rsid w:val="00A45B8A"/>
    <w:rsid w:val="00A47673"/>
    <w:rsid w:val="00A502BA"/>
    <w:rsid w:val="00A50B20"/>
    <w:rsid w:val="00A51390"/>
    <w:rsid w:val="00A52C89"/>
    <w:rsid w:val="00A5747E"/>
    <w:rsid w:val="00A60A72"/>
    <w:rsid w:val="00A60D13"/>
    <w:rsid w:val="00A7223D"/>
    <w:rsid w:val="00A72745"/>
    <w:rsid w:val="00A76EFC"/>
    <w:rsid w:val="00A8321E"/>
    <w:rsid w:val="00A87D50"/>
    <w:rsid w:val="00A91010"/>
    <w:rsid w:val="00A9604C"/>
    <w:rsid w:val="00A97F29"/>
    <w:rsid w:val="00AA2A65"/>
    <w:rsid w:val="00AA5B8C"/>
    <w:rsid w:val="00AA5DD7"/>
    <w:rsid w:val="00AA702E"/>
    <w:rsid w:val="00AA7D26"/>
    <w:rsid w:val="00AB0964"/>
    <w:rsid w:val="00AB3C8A"/>
    <w:rsid w:val="00AB5011"/>
    <w:rsid w:val="00AB67AD"/>
    <w:rsid w:val="00AB77B3"/>
    <w:rsid w:val="00AC7368"/>
    <w:rsid w:val="00AD0278"/>
    <w:rsid w:val="00AD16B9"/>
    <w:rsid w:val="00AD2984"/>
    <w:rsid w:val="00AD441C"/>
    <w:rsid w:val="00AE377D"/>
    <w:rsid w:val="00AE3D94"/>
    <w:rsid w:val="00AF0EBA"/>
    <w:rsid w:val="00B02C8A"/>
    <w:rsid w:val="00B17FBD"/>
    <w:rsid w:val="00B30580"/>
    <w:rsid w:val="00B315A6"/>
    <w:rsid w:val="00B31813"/>
    <w:rsid w:val="00B32856"/>
    <w:rsid w:val="00B33365"/>
    <w:rsid w:val="00B33AF8"/>
    <w:rsid w:val="00B3400A"/>
    <w:rsid w:val="00B34421"/>
    <w:rsid w:val="00B404AE"/>
    <w:rsid w:val="00B45FF4"/>
    <w:rsid w:val="00B511DF"/>
    <w:rsid w:val="00B53B5E"/>
    <w:rsid w:val="00B5556A"/>
    <w:rsid w:val="00B57B36"/>
    <w:rsid w:val="00B57E6F"/>
    <w:rsid w:val="00B62268"/>
    <w:rsid w:val="00B65A36"/>
    <w:rsid w:val="00B70CB5"/>
    <w:rsid w:val="00B753A9"/>
    <w:rsid w:val="00B77DEA"/>
    <w:rsid w:val="00B8686D"/>
    <w:rsid w:val="00B9111A"/>
    <w:rsid w:val="00B93F69"/>
    <w:rsid w:val="00BA039D"/>
    <w:rsid w:val="00BA04E9"/>
    <w:rsid w:val="00BB0925"/>
    <w:rsid w:val="00BB1DDC"/>
    <w:rsid w:val="00BB5984"/>
    <w:rsid w:val="00BB7760"/>
    <w:rsid w:val="00BC087F"/>
    <w:rsid w:val="00BC1A82"/>
    <w:rsid w:val="00BC30C9"/>
    <w:rsid w:val="00BC4E66"/>
    <w:rsid w:val="00BC6DA4"/>
    <w:rsid w:val="00BD077D"/>
    <w:rsid w:val="00BE3E58"/>
    <w:rsid w:val="00BE7318"/>
    <w:rsid w:val="00BF1F5B"/>
    <w:rsid w:val="00BF47D7"/>
    <w:rsid w:val="00C00EB5"/>
    <w:rsid w:val="00C01616"/>
    <w:rsid w:val="00C0162B"/>
    <w:rsid w:val="00C068ED"/>
    <w:rsid w:val="00C208E9"/>
    <w:rsid w:val="00C2134B"/>
    <w:rsid w:val="00C22E0C"/>
    <w:rsid w:val="00C31378"/>
    <w:rsid w:val="00C31DA0"/>
    <w:rsid w:val="00C345B1"/>
    <w:rsid w:val="00C370A0"/>
    <w:rsid w:val="00C40142"/>
    <w:rsid w:val="00C420F5"/>
    <w:rsid w:val="00C52C3C"/>
    <w:rsid w:val="00C57182"/>
    <w:rsid w:val="00C57863"/>
    <w:rsid w:val="00C640AF"/>
    <w:rsid w:val="00C646EA"/>
    <w:rsid w:val="00C655FD"/>
    <w:rsid w:val="00C65D8E"/>
    <w:rsid w:val="00C661C3"/>
    <w:rsid w:val="00C67CA2"/>
    <w:rsid w:val="00C75407"/>
    <w:rsid w:val="00C837B4"/>
    <w:rsid w:val="00C841C6"/>
    <w:rsid w:val="00C85CBD"/>
    <w:rsid w:val="00C868DE"/>
    <w:rsid w:val="00C870A8"/>
    <w:rsid w:val="00C92135"/>
    <w:rsid w:val="00C92CE4"/>
    <w:rsid w:val="00C94434"/>
    <w:rsid w:val="00CA06ED"/>
    <w:rsid w:val="00CA0D75"/>
    <w:rsid w:val="00CA1C95"/>
    <w:rsid w:val="00CA1D04"/>
    <w:rsid w:val="00CA4B56"/>
    <w:rsid w:val="00CA5A9C"/>
    <w:rsid w:val="00CA623F"/>
    <w:rsid w:val="00CB0427"/>
    <w:rsid w:val="00CB1B58"/>
    <w:rsid w:val="00CB62B1"/>
    <w:rsid w:val="00CC48A7"/>
    <w:rsid w:val="00CC491A"/>
    <w:rsid w:val="00CC4C20"/>
    <w:rsid w:val="00CD1783"/>
    <w:rsid w:val="00CD3517"/>
    <w:rsid w:val="00CD5FE2"/>
    <w:rsid w:val="00CE75D6"/>
    <w:rsid w:val="00CE7C68"/>
    <w:rsid w:val="00CF2F69"/>
    <w:rsid w:val="00CF5581"/>
    <w:rsid w:val="00D00655"/>
    <w:rsid w:val="00D02B4C"/>
    <w:rsid w:val="00D040C4"/>
    <w:rsid w:val="00D10F2A"/>
    <w:rsid w:val="00D20AD1"/>
    <w:rsid w:val="00D23AD6"/>
    <w:rsid w:val="00D2582C"/>
    <w:rsid w:val="00D32433"/>
    <w:rsid w:val="00D3309E"/>
    <w:rsid w:val="00D36A9B"/>
    <w:rsid w:val="00D414A9"/>
    <w:rsid w:val="00D43AE7"/>
    <w:rsid w:val="00D45451"/>
    <w:rsid w:val="00D45F48"/>
    <w:rsid w:val="00D46B7E"/>
    <w:rsid w:val="00D50FB4"/>
    <w:rsid w:val="00D55C9D"/>
    <w:rsid w:val="00D57C84"/>
    <w:rsid w:val="00D6057D"/>
    <w:rsid w:val="00D617B8"/>
    <w:rsid w:val="00D70B8B"/>
    <w:rsid w:val="00D71640"/>
    <w:rsid w:val="00D73423"/>
    <w:rsid w:val="00D836C5"/>
    <w:rsid w:val="00D84576"/>
    <w:rsid w:val="00D84FAE"/>
    <w:rsid w:val="00D962A7"/>
    <w:rsid w:val="00DA1399"/>
    <w:rsid w:val="00DA24C3"/>
    <w:rsid w:val="00DA24C6"/>
    <w:rsid w:val="00DA4A0A"/>
    <w:rsid w:val="00DA4D7B"/>
    <w:rsid w:val="00DB0489"/>
    <w:rsid w:val="00DD0293"/>
    <w:rsid w:val="00DD14D8"/>
    <w:rsid w:val="00DD271C"/>
    <w:rsid w:val="00DD7D8C"/>
    <w:rsid w:val="00DD7F42"/>
    <w:rsid w:val="00DE20A3"/>
    <w:rsid w:val="00DE264A"/>
    <w:rsid w:val="00DF1EB0"/>
    <w:rsid w:val="00DF2EC5"/>
    <w:rsid w:val="00DF4944"/>
    <w:rsid w:val="00DF5072"/>
    <w:rsid w:val="00E001FD"/>
    <w:rsid w:val="00E02D18"/>
    <w:rsid w:val="00E041E7"/>
    <w:rsid w:val="00E23CA1"/>
    <w:rsid w:val="00E23E2E"/>
    <w:rsid w:val="00E409A8"/>
    <w:rsid w:val="00E41189"/>
    <w:rsid w:val="00E42C3A"/>
    <w:rsid w:val="00E47D61"/>
    <w:rsid w:val="00E50C12"/>
    <w:rsid w:val="00E52180"/>
    <w:rsid w:val="00E56AE9"/>
    <w:rsid w:val="00E60BAE"/>
    <w:rsid w:val="00E60D49"/>
    <w:rsid w:val="00E65B91"/>
    <w:rsid w:val="00E7209D"/>
    <w:rsid w:val="00E72EAD"/>
    <w:rsid w:val="00E77223"/>
    <w:rsid w:val="00E82FAE"/>
    <w:rsid w:val="00E8528B"/>
    <w:rsid w:val="00E85B94"/>
    <w:rsid w:val="00E978D0"/>
    <w:rsid w:val="00EA0DA8"/>
    <w:rsid w:val="00EA26F7"/>
    <w:rsid w:val="00EA2D71"/>
    <w:rsid w:val="00EA4613"/>
    <w:rsid w:val="00EA771F"/>
    <w:rsid w:val="00EA7E24"/>
    <w:rsid w:val="00EA7F91"/>
    <w:rsid w:val="00EB1523"/>
    <w:rsid w:val="00EB225E"/>
    <w:rsid w:val="00EB78F7"/>
    <w:rsid w:val="00EC0E49"/>
    <w:rsid w:val="00EC101F"/>
    <w:rsid w:val="00EC1D9F"/>
    <w:rsid w:val="00EC2A65"/>
    <w:rsid w:val="00EE0131"/>
    <w:rsid w:val="00EE17B0"/>
    <w:rsid w:val="00EE7415"/>
    <w:rsid w:val="00EF06D9"/>
    <w:rsid w:val="00EF0982"/>
    <w:rsid w:val="00EF57D0"/>
    <w:rsid w:val="00F2150D"/>
    <w:rsid w:val="00F24DE1"/>
    <w:rsid w:val="00F253E6"/>
    <w:rsid w:val="00F27896"/>
    <w:rsid w:val="00F3049E"/>
    <w:rsid w:val="00F30C64"/>
    <w:rsid w:val="00F32BA2"/>
    <w:rsid w:val="00F32CDB"/>
    <w:rsid w:val="00F3348F"/>
    <w:rsid w:val="00F350BF"/>
    <w:rsid w:val="00F37280"/>
    <w:rsid w:val="00F41EE4"/>
    <w:rsid w:val="00F4753F"/>
    <w:rsid w:val="00F53039"/>
    <w:rsid w:val="00F54582"/>
    <w:rsid w:val="00F565FE"/>
    <w:rsid w:val="00F60F71"/>
    <w:rsid w:val="00F62928"/>
    <w:rsid w:val="00F63A70"/>
    <w:rsid w:val="00F63C26"/>
    <w:rsid w:val="00F63D8C"/>
    <w:rsid w:val="00F656E7"/>
    <w:rsid w:val="00F7534E"/>
    <w:rsid w:val="00F840AE"/>
    <w:rsid w:val="00F853E9"/>
    <w:rsid w:val="00F8710D"/>
    <w:rsid w:val="00F93EDF"/>
    <w:rsid w:val="00F95966"/>
    <w:rsid w:val="00FA1802"/>
    <w:rsid w:val="00FA21D0"/>
    <w:rsid w:val="00FA2380"/>
    <w:rsid w:val="00FA5F5F"/>
    <w:rsid w:val="00FB15F7"/>
    <w:rsid w:val="00FB730C"/>
    <w:rsid w:val="00FB7368"/>
    <w:rsid w:val="00FC0E74"/>
    <w:rsid w:val="00FC2695"/>
    <w:rsid w:val="00FC3E03"/>
    <w:rsid w:val="00FC3FC1"/>
    <w:rsid w:val="00FC71A0"/>
    <w:rsid w:val="00FD66A0"/>
    <w:rsid w:val="00FD689F"/>
    <w:rsid w:val="00FD7A11"/>
    <w:rsid w:val="00FE10F7"/>
    <w:rsid w:val="00FE3506"/>
    <w:rsid w:val="00FE56D7"/>
    <w:rsid w:val="00FF0E5D"/>
    <w:rsid w:val="00FF30E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5C22C5C2-FE02-458F-B6E9-F0CA030D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h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1A3F22"/>
    <w:pPr>
      <w:keepNext/>
      <w:numPr>
        <w:ilvl w:val="1"/>
        <w:numId w:val="25"/>
      </w:numPr>
      <w:suppressAutoHyphens/>
      <w:spacing w:before="120" w:after="120" w:line="22" w:lineRule="atLeast"/>
    </w:pPr>
    <w:rPr>
      <w:rFonts w:ascii="Arial" w:eastAsia="Times New Roman" w:hAnsi="Arial" w:cs="Times New Roman"/>
      <w:b/>
      <w:sz w:val="18"/>
      <w:szCs w:val="20"/>
      <w:lang w:val="pt-BR"/>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1A3F22"/>
    <w:rPr>
      <w:rFonts w:ascii="Arial" w:eastAsia="Times New Roman" w:hAnsi="Arial" w:cs="Times New Roman"/>
      <w:b/>
      <w:sz w:val="18"/>
      <w:szCs w:val="20"/>
      <w:lang w:val="pt-BR"/>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Fontepargpadro"/>
    <w:uiPriority w:val="99"/>
    <w:semiHidden/>
    <w:unhideWhenUsed/>
    <w:rsid w:val="004577FE"/>
    <w:rPr>
      <w:sz w:val="16"/>
      <w:szCs w:val="16"/>
    </w:rPr>
  </w:style>
  <w:style w:type="paragraph" w:styleId="Textodebalo">
    <w:name w:val="Balloon Text"/>
    <w:basedOn w:val="Normal"/>
    <w:link w:val="TextodebaloChar"/>
    <w:uiPriority w:val="99"/>
    <w:semiHidden/>
    <w:unhideWhenUsed/>
    <w:rsid w:val="000D34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har"/>
    <w:uiPriority w:val="99"/>
    <w:semiHidden/>
    <w:unhideWhenUsed/>
    <w:rsid w:val="0003148D"/>
    <w:pPr>
      <w:spacing w:after="120" w:line="480" w:lineRule="auto"/>
    </w:pPr>
  </w:style>
  <w:style w:type="character" w:customStyle="1" w:styleId="Corpodetexto2Char">
    <w:name w:val="Corpo de texto 2 Char"/>
    <w:basedOn w:val="Fontepargpadro"/>
    <w:link w:val="Corpodetexto2"/>
    <w:uiPriority w:val="99"/>
    <w:semiHidden/>
    <w:rsid w:val="0003148D"/>
  </w:style>
  <w:style w:type="paragraph" w:styleId="Corpodetexto3">
    <w:name w:val="Body Text 3"/>
    <w:basedOn w:val="Normal"/>
    <w:link w:val="Corpodetexto3Char"/>
    <w:uiPriority w:val="99"/>
    <w:semiHidden/>
    <w:unhideWhenUsed/>
    <w:rsid w:val="0003148D"/>
    <w:pPr>
      <w:spacing w:after="120"/>
    </w:pPr>
    <w:rPr>
      <w:sz w:val="16"/>
      <w:szCs w:val="16"/>
    </w:rPr>
  </w:style>
  <w:style w:type="character" w:customStyle="1" w:styleId="Corpodetexto3Char">
    <w:name w:val="Corpo de texto 3 Char"/>
    <w:basedOn w:val="Fontepargpadro"/>
    <w:link w:val="Corpodetexto3"/>
    <w:uiPriority w:val="99"/>
    <w:semiHidden/>
    <w:rsid w:val="0003148D"/>
    <w:rPr>
      <w:sz w:val="16"/>
      <w:szCs w:val="16"/>
    </w:rPr>
  </w:style>
  <w:style w:type="paragraph" w:styleId="Corpodetexto">
    <w:name w:val="Body Text"/>
    <w:basedOn w:val="Normal"/>
    <w:link w:val="CorpodetextoChar"/>
    <w:uiPriority w:val="99"/>
    <w:semiHidden/>
    <w:unhideWhenUsed/>
    <w:rsid w:val="0003148D"/>
    <w:pPr>
      <w:spacing w:after="120"/>
    </w:pPr>
  </w:style>
  <w:style w:type="character" w:customStyle="1" w:styleId="CorpodetextoChar">
    <w:name w:val="Corpo de texto Char"/>
    <w:basedOn w:val="Fontepargpadro"/>
    <w:link w:val="Corpodetexto"/>
    <w:uiPriority w:val="99"/>
    <w:semiHidden/>
    <w:rsid w:val="0003148D"/>
  </w:style>
  <w:style w:type="paragraph" w:styleId="Data">
    <w:name w:val="Date"/>
    <w:basedOn w:val="Normal"/>
    <w:next w:val="Normal"/>
    <w:link w:val="DataChar"/>
    <w:uiPriority w:val="99"/>
    <w:semiHidden/>
    <w:unhideWhenUsed/>
    <w:rsid w:val="0003148D"/>
  </w:style>
  <w:style w:type="character" w:customStyle="1" w:styleId="DataChar">
    <w:name w:val="Data Char"/>
    <w:basedOn w:val="Fontepargpadro"/>
    <w:link w:val="Data"/>
    <w:uiPriority w:val="99"/>
    <w:semiHidden/>
    <w:rsid w:val="0003148D"/>
  </w:style>
  <w:style w:type="paragraph" w:styleId="Legenda">
    <w:name w:val="caption"/>
    <w:basedOn w:val="Normal"/>
    <w:next w:val="Normal"/>
    <w:uiPriority w:val="35"/>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inuao">
    <w:name w:val="List Continue"/>
    <w:basedOn w:val="Normal"/>
    <w:uiPriority w:val="99"/>
    <w:semiHidden/>
    <w:unhideWhenUsed/>
    <w:rsid w:val="0003148D"/>
    <w:pPr>
      <w:spacing w:after="120"/>
      <w:ind w:left="283"/>
      <w:contextualSpacing/>
    </w:pPr>
  </w:style>
  <w:style w:type="paragraph" w:styleId="Listadecontinuao2">
    <w:name w:val="List Continue 2"/>
    <w:basedOn w:val="Normal"/>
    <w:uiPriority w:val="99"/>
    <w:semiHidden/>
    <w:unhideWhenUsed/>
    <w:rsid w:val="0003148D"/>
    <w:pPr>
      <w:spacing w:after="120"/>
      <w:ind w:left="566"/>
      <w:contextualSpacing/>
    </w:pPr>
  </w:style>
  <w:style w:type="paragraph" w:styleId="Listadecontinuao3">
    <w:name w:val="List Continue 3"/>
    <w:basedOn w:val="Normal"/>
    <w:uiPriority w:val="99"/>
    <w:semiHidden/>
    <w:unhideWhenUsed/>
    <w:rsid w:val="0003148D"/>
    <w:pPr>
      <w:spacing w:after="120"/>
      <w:ind w:left="849"/>
      <w:contextualSpacing/>
    </w:pPr>
  </w:style>
  <w:style w:type="paragraph" w:styleId="Listadecontinuao4">
    <w:name w:val="List Continue 4"/>
    <w:basedOn w:val="Normal"/>
    <w:uiPriority w:val="99"/>
    <w:semiHidden/>
    <w:unhideWhenUsed/>
    <w:rsid w:val="0003148D"/>
    <w:pPr>
      <w:spacing w:after="120"/>
      <w:ind w:left="1132"/>
      <w:contextualSpacing/>
    </w:pPr>
  </w:style>
  <w:style w:type="paragraph" w:styleId="Listadecontinuao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har"/>
    <w:uiPriority w:val="99"/>
    <w:semiHidden/>
    <w:unhideWhenUsed/>
    <w:rsid w:val="0003148D"/>
    <w:pPr>
      <w:spacing w:line="240" w:lineRule="auto"/>
      <w:ind w:left="4252"/>
    </w:pPr>
  </w:style>
  <w:style w:type="character" w:customStyle="1" w:styleId="AssinaturaChar">
    <w:name w:val="Assinatura Char"/>
    <w:basedOn w:val="Fontepargpadro"/>
    <w:link w:val="Assinatura"/>
    <w:uiPriority w:val="99"/>
    <w:semiHidden/>
    <w:rsid w:val="0003148D"/>
  </w:style>
  <w:style w:type="paragraph" w:styleId="AssinaturadeEmail">
    <w:name w:val="E-mail Signature"/>
    <w:basedOn w:val="Normal"/>
    <w:link w:val="AssinaturadeEmailChar"/>
    <w:uiPriority w:val="99"/>
    <w:semiHidden/>
    <w:unhideWhenUsed/>
    <w:rsid w:val="0003148D"/>
    <w:pPr>
      <w:spacing w:line="240" w:lineRule="auto"/>
    </w:pPr>
  </w:style>
  <w:style w:type="character" w:customStyle="1" w:styleId="AssinaturadeEmailChar">
    <w:name w:val="Assinatura de Email Char"/>
    <w:basedOn w:val="Fontepargpadro"/>
    <w:link w:val="AssinaturadeEmail"/>
    <w:uiPriority w:val="99"/>
    <w:semiHidden/>
    <w:rsid w:val="0003148D"/>
  </w:style>
  <w:style w:type="paragraph" w:styleId="Saudao">
    <w:name w:val="Salutation"/>
    <w:basedOn w:val="Normal"/>
    <w:next w:val="Normal"/>
    <w:link w:val="SaudaoChar"/>
    <w:uiPriority w:val="99"/>
    <w:semiHidden/>
    <w:unhideWhenUsed/>
    <w:rsid w:val="0003148D"/>
  </w:style>
  <w:style w:type="character" w:customStyle="1" w:styleId="SaudaoChar">
    <w:name w:val="Saudação Char"/>
    <w:basedOn w:val="Fontepargpadro"/>
    <w:link w:val="Saudao"/>
    <w:uiPriority w:val="99"/>
    <w:semiHidden/>
    <w:rsid w:val="0003148D"/>
  </w:style>
  <w:style w:type="paragraph" w:styleId="Encerramento">
    <w:name w:val="Closing"/>
    <w:basedOn w:val="Normal"/>
    <w:link w:val="EncerramentoChar"/>
    <w:uiPriority w:val="99"/>
    <w:semiHidden/>
    <w:unhideWhenUsed/>
    <w:rsid w:val="0003148D"/>
    <w:pPr>
      <w:spacing w:line="240" w:lineRule="auto"/>
      <w:ind w:left="4252"/>
    </w:pPr>
  </w:style>
  <w:style w:type="character" w:customStyle="1" w:styleId="EncerramentoChar">
    <w:name w:val="Encerramento Char"/>
    <w:basedOn w:val="Fontepargpadro"/>
    <w:link w:val="Encerramento"/>
    <w:uiPriority w:val="99"/>
    <w:semiHidden/>
    <w:rsid w:val="0003148D"/>
  </w:style>
  <w:style w:type="paragraph" w:styleId="Remissivo1">
    <w:name w:val="index 1"/>
    <w:basedOn w:val="Normal"/>
    <w:next w:val="Normal"/>
    <w:autoRedefine/>
    <w:uiPriority w:val="99"/>
    <w:semiHidden/>
    <w:unhideWhenUsed/>
    <w:rsid w:val="0003148D"/>
    <w:pPr>
      <w:spacing w:line="240" w:lineRule="auto"/>
      <w:ind w:left="220" w:hanging="220"/>
    </w:pPr>
  </w:style>
  <w:style w:type="paragraph" w:styleId="Remissivo2">
    <w:name w:val="index 2"/>
    <w:basedOn w:val="Normal"/>
    <w:next w:val="Normal"/>
    <w:autoRedefine/>
    <w:uiPriority w:val="99"/>
    <w:semiHidden/>
    <w:unhideWhenUsed/>
    <w:rsid w:val="0003148D"/>
    <w:pPr>
      <w:spacing w:line="240" w:lineRule="auto"/>
      <w:ind w:left="440" w:hanging="220"/>
    </w:pPr>
  </w:style>
  <w:style w:type="paragraph" w:styleId="Remissivo3">
    <w:name w:val="index 3"/>
    <w:basedOn w:val="Normal"/>
    <w:next w:val="Normal"/>
    <w:autoRedefine/>
    <w:uiPriority w:val="99"/>
    <w:semiHidden/>
    <w:unhideWhenUsed/>
    <w:rsid w:val="0003148D"/>
    <w:pPr>
      <w:spacing w:line="240" w:lineRule="auto"/>
      <w:ind w:left="660" w:hanging="220"/>
    </w:pPr>
  </w:style>
  <w:style w:type="paragraph" w:styleId="Remissivo4">
    <w:name w:val="index 4"/>
    <w:basedOn w:val="Normal"/>
    <w:next w:val="Normal"/>
    <w:autoRedefine/>
    <w:uiPriority w:val="99"/>
    <w:semiHidden/>
    <w:unhideWhenUsed/>
    <w:rsid w:val="0003148D"/>
    <w:pPr>
      <w:spacing w:line="240" w:lineRule="auto"/>
      <w:ind w:left="880" w:hanging="220"/>
    </w:pPr>
  </w:style>
  <w:style w:type="paragraph" w:styleId="Remissivo5">
    <w:name w:val="index 5"/>
    <w:basedOn w:val="Normal"/>
    <w:next w:val="Normal"/>
    <w:autoRedefine/>
    <w:uiPriority w:val="99"/>
    <w:semiHidden/>
    <w:unhideWhenUsed/>
    <w:rsid w:val="0003148D"/>
    <w:pPr>
      <w:spacing w:line="240" w:lineRule="auto"/>
      <w:ind w:left="1100" w:hanging="220"/>
    </w:pPr>
  </w:style>
  <w:style w:type="paragraph" w:styleId="Remissivo6">
    <w:name w:val="index 6"/>
    <w:basedOn w:val="Normal"/>
    <w:next w:val="Normal"/>
    <w:autoRedefine/>
    <w:uiPriority w:val="99"/>
    <w:semiHidden/>
    <w:unhideWhenUsed/>
    <w:rsid w:val="0003148D"/>
    <w:pPr>
      <w:spacing w:line="240" w:lineRule="auto"/>
      <w:ind w:left="1320" w:hanging="220"/>
    </w:pPr>
  </w:style>
  <w:style w:type="paragraph" w:styleId="Remissivo7">
    <w:name w:val="index 7"/>
    <w:basedOn w:val="Normal"/>
    <w:next w:val="Normal"/>
    <w:autoRedefine/>
    <w:uiPriority w:val="99"/>
    <w:semiHidden/>
    <w:unhideWhenUsed/>
    <w:rsid w:val="0003148D"/>
    <w:pPr>
      <w:spacing w:line="240" w:lineRule="auto"/>
      <w:ind w:left="1540" w:hanging="220"/>
    </w:pPr>
  </w:style>
  <w:style w:type="paragraph" w:styleId="Remissivo8">
    <w:name w:val="index 8"/>
    <w:basedOn w:val="Normal"/>
    <w:next w:val="Normal"/>
    <w:autoRedefine/>
    <w:uiPriority w:val="99"/>
    <w:semiHidden/>
    <w:unhideWhenUsed/>
    <w:rsid w:val="0003148D"/>
    <w:pPr>
      <w:spacing w:line="240" w:lineRule="auto"/>
      <w:ind w:left="1760" w:hanging="220"/>
    </w:pPr>
  </w:style>
  <w:style w:type="paragraph" w:styleId="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har"/>
    <w:uiPriority w:val="99"/>
    <w:semiHidden/>
    <w:unhideWhenUsed/>
    <w:rsid w:val="0003148D"/>
    <w:pPr>
      <w:spacing w:line="240" w:lineRule="auto"/>
    </w:pPr>
    <w:rPr>
      <w:i/>
      <w:iCs/>
    </w:rPr>
  </w:style>
  <w:style w:type="character" w:customStyle="1" w:styleId="EndereoHTMLChar">
    <w:name w:val="Endereço HTML Char"/>
    <w:basedOn w:val="Fontepargpadr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03148D"/>
    <w:pPr>
      <w:spacing w:line="240" w:lineRule="auto"/>
    </w:pPr>
  </w:style>
  <w:style w:type="character" w:customStyle="1" w:styleId="TtulodanotaChar">
    <w:name w:val="Título da nota Char"/>
    <w:basedOn w:val="Fontepargpadro"/>
    <w:link w:val="Ttulodanota"/>
    <w:uiPriority w:val="99"/>
    <w:semiHidden/>
    <w:rsid w:val="0003148D"/>
  </w:style>
  <w:style w:type="paragraph" w:styleId="MapadoDocumento">
    <w:name w:val="Document Map"/>
    <w:basedOn w:val="Normal"/>
    <w:link w:val="MapadoDocumentoChar"/>
    <w:uiPriority w:val="99"/>
    <w:semiHidden/>
    <w:unhideWhenUsed/>
    <w:rsid w:val="0003148D"/>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Numerada">
    <w:name w:val="List Number"/>
    <w:basedOn w:val="Normal"/>
    <w:uiPriority w:val="99"/>
    <w:semiHidden/>
    <w:unhideWhenUsed/>
    <w:rsid w:val="0003148D"/>
    <w:pPr>
      <w:numPr>
        <w:numId w:val="2"/>
      </w:numPr>
      <w:contextualSpacing/>
    </w:pPr>
  </w:style>
  <w:style w:type="paragraph" w:styleId="Numerada2">
    <w:name w:val="List Number 2"/>
    <w:basedOn w:val="Normal"/>
    <w:uiPriority w:val="99"/>
    <w:semiHidden/>
    <w:unhideWhenUsed/>
    <w:rsid w:val="0003148D"/>
    <w:pPr>
      <w:numPr>
        <w:numId w:val="3"/>
      </w:numPr>
      <w:contextualSpacing/>
    </w:pPr>
  </w:style>
  <w:style w:type="paragraph" w:styleId="Numerada3">
    <w:name w:val="List Number 3"/>
    <w:basedOn w:val="Normal"/>
    <w:uiPriority w:val="99"/>
    <w:semiHidden/>
    <w:unhideWhenUsed/>
    <w:rsid w:val="0003148D"/>
    <w:pPr>
      <w:numPr>
        <w:numId w:val="4"/>
      </w:numPr>
      <w:contextualSpacing/>
    </w:pPr>
  </w:style>
  <w:style w:type="paragraph" w:styleId="Numerada4">
    <w:name w:val="List Number 4"/>
    <w:basedOn w:val="Normal"/>
    <w:uiPriority w:val="99"/>
    <w:semiHidden/>
    <w:unhideWhenUsed/>
    <w:rsid w:val="0003148D"/>
    <w:pPr>
      <w:numPr>
        <w:numId w:val="5"/>
      </w:numPr>
      <w:contextualSpacing/>
    </w:pPr>
  </w:style>
  <w:style w:type="paragraph" w:styleId="Numerada5">
    <w:name w:val="List Number 5"/>
    <w:basedOn w:val="Normal"/>
    <w:uiPriority w:val="99"/>
    <w:semiHidden/>
    <w:unhideWhenUsed/>
    <w:rsid w:val="0003148D"/>
    <w:pPr>
      <w:numPr>
        <w:numId w:val="6"/>
      </w:numPr>
      <w:contextualSpacing/>
    </w:pPr>
  </w:style>
  <w:style w:type="paragraph" w:styleId="Pr-formataoHTML">
    <w:name w:val="HTML Preformatted"/>
    <w:basedOn w:val="Normal"/>
    <w:link w:val="Pr-formataoHTMLChar"/>
    <w:uiPriority w:val="99"/>
    <w:semiHidden/>
    <w:unhideWhenUsed/>
    <w:rsid w:val="0003148D"/>
    <w:pPr>
      <w:spacing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sid w:val="0003148D"/>
    <w:rPr>
      <w:rFonts w:ascii="Consolas" w:hAnsi="Consolas" w:cs="Consolas"/>
      <w:sz w:val="20"/>
      <w:szCs w:val="20"/>
    </w:rPr>
  </w:style>
  <w:style w:type="paragraph" w:styleId="Primeirorecuodecorpodetexto">
    <w:name w:val="Body Text First Indent"/>
    <w:basedOn w:val="Corpodetexto"/>
    <w:link w:val="PrimeirorecuodecorpodetextoChar"/>
    <w:uiPriority w:val="99"/>
    <w:semiHidden/>
    <w:unhideWhenUsed/>
    <w:rsid w:val="0003148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03148D"/>
  </w:style>
  <w:style w:type="paragraph" w:styleId="Recuodecorpodetexto">
    <w:name w:val="Body Text Indent"/>
    <w:basedOn w:val="Normal"/>
    <w:link w:val="RecuodecorpodetextoChar"/>
    <w:uiPriority w:val="99"/>
    <w:semiHidden/>
    <w:unhideWhenUsed/>
    <w:rsid w:val="0003148D"/>
    <w:pPr>
      <w:spacing w:after="120"/>
      <w:ind w:left="283"/>
    </w:pPr>
  </w:style>
  <w:style w:type="character" w:customStyle="1" w:styleId="RecuodecorpodetextoChar">
    <w:name w:val="Recuo de corpo de texto Char"/>
    <w:basedOn w:val="Fontepargpadro"/>
    <w:link w:val="Recuodecorpodetexto"/>
    <w:uiPriority w:val="99"/>
    <w:semiHidden/>
    <w:rsid w:val="0003148D"/>
  </w:style>
  <w:style w:type="paragraph" w:styleId="Primeirorecuodecorpodetexto2">
    <w:name w:val="Body Text First Indent 2"/>
    <w:basedOn w:val="Recuodecorpodetexto"/>
    <w:link w:val="Primeirorecuodecorpodetexto2Char"/>
    <w:uiPriority w:val="99"/>
    <w:semiHidden/>
    <w:unhideWhenUsed/>
    <w:rsid w:val="0003148D"/>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03148D"/>
  </w:style>
  <w:style w:type="paragraph" w:styleId="Commarcadores">
    <w:name w:val="List Bullet"/>
    <w:basedOn w:val="Normal"/>
    <w:uiPriority w:val="99"/>
    <w:semiHidden/>
    <w:unhideWhenUsed/>
    <w:rsid w:val="0003148D"/>
    <w:pPr>
      <w:numPr>
        <w:numId w:val="7"/>
      </w:numPr>
      <w:contextualSpacing/>
    </w:pPr>
  </w:style>
  <w:style w:type="paragraph" w:styleId="Commarcadores2">
    <w:name w:val="List Bullet 2"/>
    <w:basedOn w:val="Normal"/>
    <w:uiPriority w:val="99"/>
    <w:semiHidden/>
    <w:unhideWhenUsed/>
    <w:rsid w:val="0003148D"/>
    <w:pPr>
      <w:numPr>
        <w:numId w:val="8"/>
      </w:numPr>
      <w:contextualSpacing/>
    </w:pPr>
  </w:style>
  <w:style w:type="paragraph" w:styleId="Commarcadores3">
    <w:name w:val="List Bullet 3"/>
    <w:basedOn w:val="Normal"/>
    <w:uiPriority w:val="99"/>
    <w:semiHidden/>
    <w:unhideWhenUsed/>
    <w:rsid w:val="0003148D"/>
    <w:pPr>
      <w:numPr>
        <w:numId w:val="9"/>
      </w:numPr>
      <w:contextualSpacing/>
    </w:pPr>
  </w:style>
  <w:style w:type="paragraph" w:styleId="Commarcadores4">
    <w:name w:val="List Bullet 4"/>
    <w:basedOn w:val="Normal"/>
    <w:uiPriority w:val="99"/>
    <w:semiHidden/>
    <w:unhideWhenUsed/>
    <w:rsid w:val="0003148D"/>
    <w:pPr>
      <w:numPr>
        <w:numId w:val="10"/>
      </w:numPr>
      <w:contextualSpacing/>
    </w:pPr>
  </w:style>
  <w:style w:type="paragraph" w:styleId="Commarcadores5">
    <w:name w:val="List Bullet 5"/>
    <w:basedOn w:val="Normal"/>
    <w:uiPriority w:val="99"/>
    <w:semiHidden/>
    <w:unhideWhenUsed/>
    <w:rsid w:val="0003148D"/>
    <w:pPr>
      <w:numPr>
        <w:numId w:val="11"/>
      </w:numPr>
      <w:contextualSpacing/>
    </w:pPr>
  </w:style>
  <w:style w:type="paragraph" w:styleId="Recuodecorpodetexto2">
    <w:name w:val="Body Text Indent 2"/>
    <w:basedOn w:val="Normal"/>
    <w:link w:val="Recuodecorpodetexto2Char"/>
    <w:uiPriority w:val="99"/>
    <w:semiHidden/>
    <w:unhideWhenUsed/>
    <w:rsid w:val="0003148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148D"/>
  </w:style>
  <w:style w:type="paragraph" w:styleId="Recuodecorpodetexto3">
    <w:name w:val="Body Text Indent 3"/>
    <w:basedOn w:val="Normal"/>
    <w:link w:val="Recuodecorpodetexto3Char"/>
    <w:uiPriority w:val="99"/>
    <w:semiHidden/>
    <w:unhideWhenUsed/>
    <w:rsid w:val="0003148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3148D"/>
    <w:rPr>
      <w:sz w:val="16"/>
      <w:szCs w:val="16"/>
    </w:rPr>
  </w:style>
  <w:style w:type="paragraph" w:styleId="Recuonormal">
    <w:name w:val="Normal Indent"/>
    <w:basedOn w:val="Normal"/>
    <w:uiPriority w:val="99"/>
    <w:semiHidden/>
    <w:unhideWhenUsed/>
    <w:rsid w:val="0003148D"/>
    <w:pPr>
      <w:ind w:left="720"/>
    </w:pPr>
  </w:style>
  <w:style w:type="paragraph" w:styleId="Textodecomentrio">
    <w:name w:val="annotation text"/>
    <w:basedOn w:val="Normal"/>
    <w:link w:val="TextodecomentrioChar"/>
    <w:uiPriority w:val="99"/>
    <w:unhideWhenUsed/>
    <w:rsid w:val="0003148D"/>
    <w:pPr>
      <w:spacing w:line="240" w:lineRule="auto"/>
    </w:pPr>
  </w:style>
  <w:style w:type="character" w:customStyle="1" w:styleId="TextodecomentrioChar">
    <w:name w:val="Texto de comentário Char"/>
    <w:basedOn w:val="Fontepargpadro"/>
    <w:link w:val="Textodecomentrio"/>
    <w:uiPriority w:val="99"/>
    <w:rsid w:val="0003148D"/>
    <w:rPr>
      <w:sz w:val="20"/>
      <w:szCs w:val="20"/>
    </w:rPr>
  </w:style>
  <w:style w:type="paragraph" w:styleId="Assuntodocomentrio">
    <w:name w:val="annotation subject"/>
    <w:basedOn w:val="Textodecomentrio"/>
    <w:next w:val="Textodecomentrio"/>
    <w:link w:val="AssuntodocomentrioChar"/>
    <w:uiPriority w:val="99"/>
    <w:semiHidden/>
    <w:unhideWhenUsed/>
    <w:rsid w:val="0003148D"/>
    <w:rPr>
      <w:b/>
      <w:bCs/>
    </w:rPr>
  </w:style>
  <w:style w:type="character" w:customStyle="1" w:styleId="AssuntodocomentrioChar">
    <w:name w:val="Assunto do comentário Char"/>
    <w:basedOn w:val="TextodecomentrioChar"/>
    <w:link w:val="Assuntodocomentrio"/>
    <w:uiPriority w:val="99"/>
    <w:semiHidden/>
    <w:rsid w:val="0003148D"/>
    <w:rPr>
      <w:b/>
      <w:bCs/>
      <w:sz w:val="20"/>
      <w:szCs w:val="20"/>
    </w:rPr>
  </w:style>
  <w:style w:type="paragraph" w:styleId="Sumrio1">
    <w:name w:val="toc 1"/>
    <w:basedOn w:val="Normal"/>
    <w:next w:val="Normal"/>
    <w:autoRedefine/>
    <w:uiPriority w:val="39"/>
    <w:semiHidden/>
    <w:unhideWhenUsed/>
    <w:rsid w:val="0003148D"/>
    <w:pPr>
      <w:spacing w:after="100"/>
    </w:pPr>
  </w:style>
  <w:style w:type="paragraph" w:styleId="Sumrio2">
    <w:name w:val="toc 2"/>
    <w:basedOn w:val="Normal"/>
    <w:next w:val="Normal"/>
    <w:autoRedefine/>
    <w:uiPriority w:val="39"/>
    <w:semiHidden/>
    <w:unhideWhenUsed/>
    <w:rsid w:val="0003148D"/>
    <w:pPr>
      <w:spacing w:after="100"/>
      <w:ind w:left="220"/>
    </w:pPr>
  </w:style>
  <w:style w:type="paragraph" w:styleId="Sumrio3">
    <w:name w:val="toc 3"/>
    <w:basedOn w:val="Normal"/>
    <w:next w:val="Normal"/>
    <w:autoRedefine/>
    <w:uiPriority w:val="39"/>
    <w:semiHidden/>
    <w:unhideWhenUsed/>
    <w:rsid w:val="0003148D"/>
    <w:pPr>
      <w:spacing w:after="100"/>
      <w:ind w:left="440"/>
    </w:pPr>
  </w:style>
  <w:style w:type="paragraph" w:styleId="Sumrio4">
    <w:name w:val="toc 4"/>
    <w:basedOn w:val="Normal"/>
    <w:next w:val="Normal"/>
    <w:autoRedefine/>
    <w:uiPriority w:val="39"/>
    <w:semiHidden/>
    <w:unhideWhenUsed/>
    <w:rsid w:val="0003148D"/>
    <w:pPr>
      <w:spacing w:after="100"/>
      <w:ind w:left="660"/>
    </w:pPr>
  </w:style>
  <w:style w:type="paragraph" w:styleId="Sumrio5">
    <w:name w:val="toc 5"/>
    <w:basedOn w:val="Normal"/>
    <w:next w:val="Normal"/>
    <w:autoRedefine/>
    <w:uiPriority w:val="39"/>
    <w:semiHidden/>
    <w:unhideWhenUsed/>
    <w:rsid w:val="0003148D"/>
    <w:pPr>
      <w:spacing w:after="100"/>
      <w:ind w:left="880"/>
    </w:pPr>
  </w:style>
  <w:style w:type="paragraph" w:styleId="Sumrio6">
    <w:name w:val="toc 6"/>
    <w:basedOn w:val="Normal"/>
    <w:next w:val="Normal"/>
    <w:autoRedefine/>
    <w:uiPriority w:val="39"/>
    <w:semiHidden/>
    <w:unhideWhenUsed/>
    <w:rsid w:val="0003148D"/>
    <w:pPr>
      <w:spacing w:after="100"/>
      <w:ind w:left="1100"/>
    </w:pPr>
  </w:style>
  <w:style w:type="paragraph" w:styleId="Sumrio7">
    <w:name w:val="toc 7"/>
    <w:basedOn w:val="Normal"/>
    <w:next w:val="Normal"/>
    <w:autoRedefine/>
    <w:uiPriority w:val="39"/>
    <w:semiHidden/>
    <w:unhideWhenUsed/>
    <w:rsid w:val="0003148D"/>
    <w:pPr>
      <w:spacing w:after="100"/>
      <w:ind w:left="1320"/>
    </w:pPr>
  </w:style>
  <w:style w:type="paragraph" w:styleId="Sumrio8">
    <w:name w:val="toc 8"/>
    <w:basedOn w:val="Normal"/>
    <w:next w:val="Normal"/>
    <w:autoRedefine/>
    <w:uiPriority w:val="39"/>
    <w:semiHidden/>
    <w:unhideWhenUsed/>
    <w:rsid w:val="0003148D"/>
    <w:pPr>
      <w:spacing w:after="100"/>
      <w:ind w:left="1540"/>
    </w:pPr>
  </w:style>
  <w:style w:type="paragraph" w:styleId="Sumrio9">
    <w:name w:val="toc 9"/>
    <w:basedOn w:val="Normal"/>
    <w:next w:val="Normal"/>
    <w:autoRedefine/>
    <w:uiPriority w:val="39"/>
    <w:semiHidden/>
    <w:unhideWhenUsed/>
    <w:rsid w:val="0003148D"/>
    <w:pPr>
      <w:spacing w:after="100"/>
      <w:ind w:left="1760"/>
    </w:pPr>
  </w:style>
  <w:style w:type="paragraph" w:styleId="Textoem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har">
    <w:name w:val="Texto de macro Char"/>
    <w:basedOn w:val="Fontepargpadro"/>
    <w:link w:val="Textodemacro"/>
    <w:uiPriority w:val="99"/>
    <w:semiHidden/>
    <w:rsid w:val="0003148D"/>
    <w:rPr>
      <w:rFonts w:ascii="Consolas" w:hAnsi="Consolas" w:cs="Consolas"/>
      <w:sz w:val="20"/>
      <w:szCs w:val="20"/>
    </w:rPr>
  </w:style>
  <w:style w:type="paragraph" w:styleId="TextosemFormatao">
    <w:name w:val="Plain Text"/>
    <w:basedOn w:val="Normal"/>
    <w:link w:val="TextosemFormataoChar"/>
    <w:uiPriority w:val="99"/>
    <w:semiHidden/>
    <w:unhideWhenUsed/>
    <w:rsid w:val="0003148D"/>
    <w:pPr>
      <w:spacing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03148D"/>
    <w:rPr>
      <w:rFonts w:ascii="Consolas" w:hAnsi="Consolas" w:cs="Consolas"/>
      <w:sz w:val="21"/>
      <w:szCs w:val="21"/>
    </w:rPr>
  </w:style>
  <w:style w:type="paragraph" w:styleId="Textodenotaderodap">
    <w:name w:val="footnote text"/>
    <w:basedOn w:val="Normal"/>
    <w:link w:val="TextodenotaderodapChar"/>
    <w:uiPriority w:val="99"/>
    <w:semiHidden/>
    <w:unhideWhenUsed/>
    <w:rsid w:val="0003148D"/>
    <w:pPr>
      <w:spacing w:line="240" w:lineRule="auto"/>
    </w:pPr>
  </w:style>
  <w:style w:type="character" w:customStyle="1" w:styleId="TextodenotaderodapChar">
    <w:name w:val="Texto de nota de rodapé Char"/>
    <w:basedOn w:val="Fontepargpadro"/>
    <w:link w:val="Textodenotaderodap"/>
    <w:uiPriority w:val="99"/>
    <w:semiHidden/>
    <w:rsid w:val="0003148D"/>
    <w:rPr>
      <w:sz w:val="20"/>
      <w:szCs w:val="20"/>
    </w:rPr>
  </w:style>
  <w:style w:type="paragraph" w:styleId="Textodenotadefim">
    <w:name w:val="endnote text"/>
    <w:basedOn w:val="Normal"/>
    <w:link w:val="TextodenotadefimChar"/>
    <w:uiPriority w:val="99"/>
    <w:semiHidden/>
    <w:unhideWhenUsed/>
    <w:rsid w:val="0003148D"/>
    <w:pPr>
      <w:spacing w:line="240" w:lineRule="auto"/>
    </w:pPr>
  </w:style>
  <w:style w:type="character" w:customStyle="1" w:styleId="TextodenotadefimChar">
    <w:name w:val="Texto de nota de fim Char"/>
    <w:basedOn w:val="Fontepargpadro"/>
    <w:link w:val="Textodenotadefim"/>
    <w:uiPriority w:val="99"/>
    <w:semiHidden/>
    <w:rsid w:val="0003148D"/>
    <w:rPr>
      <w:sz w:val="20"/>
      <w:szCs w:val="20"/>
    </w:rPr>
  </w:style>
  <w:style w:type="character" w:customStyle="1" w:styleId="Ttulo1Char">
    <w:name w:val="Título 1 Char"/>
    <w:basedOn w:val="Fontepargpadro"/>
    <w:link w:val="Ttulo1"/>
    <w:uiPriority w:val="9"/>
    <w:rsid w:val="004F5E36"/>
    <w:rPr>
      <w:rFonts w:ascii="Arial" w:eastAsia="Times New Roman" w:hAnsi="Arial" w:cs="Times New Roman"/>
      <w:b/>
      <w:sz w:val="20"/>
      <w:szCs w:val="20"/>
      <w:lang w:val="en-GB"/>
    </w:rPr>
  </w:style>
  <w:style w:type="character" w:customStyle="1" w:styleId="Ttulo2Char">
    <w:name w:val="Título 2 Char"/>
    <w:basedOn w:val="Fontepargpadr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3148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remissivo">
    <w:name w:val="index heading"/>
    <w:basedOn w:val="Normal"/>
    <w:next w:val="Remissivo1"/>
    <w:uiPriority w:val="99"/>
    <w:semiHidden/>
    <w:unhideWhenUsed/>
    <w:rsid w:val="0003148D"/>
    <w:rPr>
      <w:rFonts w:asciiTheme="majorHAnsi" w:eastAsiaTheme="majorEastAsia" w:hAnsiTheme="majorHAnsi" w:cstheme="majorBidi"/>
      <w:b/>
      <w:bCs/>
    </w:rPr>
  </w:style>
  <w:style w:type="paragraph" w:styleId="Ttul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ontepargpadr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har"/>
    <w:uiPriority w:val="99"/>
    <w:unhideWhenUsed/>
    <w:rsid w:val="005278B7"/>
    <w:pPr>
      <w:tabs>
        <w:tab w:val="clear" w:pos="7100"/>
        <w:tab w:val="center" w:pos="4819"/>
        <w:tab w:val="right" w:pos="9638"/>
      </w:tabs>
      <w:spacing w:line="240" w:lineRule="auto"/>
    </w:pPr>
  </w:style>
  <w:style w:type="character" w:customStyle="1" w:styleId="CabealhoChar">
    <w:name w:val="Cabeçalho Char"/>
    <w:basedOn w:val="Fontepargpadr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har"/>
    <w:uiPriority w:val="99"/>
    <w:unhideWhenUsed/>
    <w:rsid w:val="005278B7"/>
    <w:pPr>
      <w:tabs>
        <w:tab w:val="clear" w:pos="7100"/>
        <w:tab w:val="center" w:pos="4819"/>
        <w:tab w:val="right" w:pos="9638"/>
      </w:tabs>
      <w:spacing w:line="240" w:lineRule="auto"/>
    </w:pPr>
  </w:style>
  <w:style w:type="character" w:customStyle="1" w:styleId="RodapChar">
    <w:name w:val="Rodapé Char"/>
    <w:basedOn w:val="Fontepargpadro"/>
    <w:link w:val="Rodap"/>
    <w:uiPriority w:val="99"/>
    <w:rsid w:val="005278B7"/>
    <w:rPr>
      <w:rFonts w:ascii="Arial" w:eastAsia="Times New Roman" w:hAnsi="Arial" w:cs="Times New Roman"/>
      <w:sz w:val="18"/>
      <w:szCs w:val="20"/>
      <w:lang w:val="en-GB"/>
    </w:rPr>
  </w:style>
  <w:style w:type="table" w:styleId="Tabelacomgrade">
    <w:name w:val="Table Grid"/>
    <w:basedOn w:val="Tabe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04C62"/>
    <w:rPr>
      <w:color w:val="0000FF" w:themeColor="hyperlink"/>
      <w:u w:val="single"/>
    </w:rPr>
  </w:style>
  <w:style w:type="character" w:customStyle="1" w:styleId="eudoraheader">
    <w:name w:val="eudoraheader"/>
    <w:basedOn w:val="Fontepargpadr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grafodaLista">
    <w:name w:val="List Paragraph"/>
    <w:basedOn w:val="Normal"/>
    <w:uiPriority w:val="34"/>
    <w:rsid w:val="00280FAF"/>
    <w:pPr>
      <w:ind w:left="720"/>
      <w:contextualSpacing/>
    </w:pPr>
  </w:style>
  <w:style w:type="character" w:customStyle="1" w:styleId="gmail-apple-converted-space">
    <w:name w:val="gmail-apple-converted-space"/>
    <w:basedOn w:val="Fontepargpadro"/>
    <w:rsid w:val="00005A19"/>
  </w:style>
  <w:style w:type="character" w:styleId="MenoPendente">
    <w:name w:val="Unresolved Mention"/>
    <w:basedOn w:val="Fontepargpadro"/>
    <w:uiPriority w:val="99"/>
    <w:semiHidden/>
    <w:unhideWhenUsed/>
    <w:rsid w:val="00CA4B56"/>
    <w:rPr>
      <w:color w:val="605E5C"/>
      <w:shd w:val="clear" w:color="auto" w:fill="E1DFDD"/>
    </w:rPr>
  </w:style>
  <w:style w:type="paragraph" w:customStyle="1" w:styleId="Default">
    <w:name w:val="Default"/>
    <w:rsid w:val="00DD0293"/>
    <w:pPr>
      <w:autoSpaceDE w:val="0"/>
      <w:autoSpaceDN w:val="0"/>
      <w:adjustRightInd w:val="0"/>
      <w:spacing w:after="0" w:line="240" w:lineRule="auto"/>
    </w:pPr>
    <w:rPr>
      <w:rFonts w:ascii="Times New Roman" w:hAnsi="Times New Roman" w:cs="Times New Roman"/>
      <w:color w:val="000000"/>
      <w:sz w:val="24"/>
      <w:szCs w:val="24"/>
      <w:lang w:val="pt-BR"/>
    </w:rPr>
  </w:style>
  <w:style w:type="table" w:customStyle="1" w:styleId="TableGrid0">
    <w:name w:val="Table Grid0"/>
    <w:basedOn w:val="Tabelanormal"/>
    <w:uiPriority w:val="39"/>
    <w:rsid w:val="00DD0293"/>
    <w:pPr>
      <w:spacing w:after="0" w:line="240" w:lineRule="auto"/>
    </w:pPr>
    <w:rPr>
      <w:rFonts w:ascii="Arial" w:eastAsia="Arial" w:hAnsi="Arial" w:cs="Arial"/>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mailto:keila131215@outlook.com" TargetMode="External"/><Relationship Id="rId4" Type="http://schemas.openxmlformats.org/officeDocument/2006/relationships/settings" Target="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eb3e222a706bba2a/Anexos/Resultados%20PIBIC_%20Keila_atualizad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7682174103237094"/>
          <c:y val="8.3333333333333329E-2"/>
          <c:w val="0.77040048118985127"/>
          <c:h val="0.71296296296296291"/>
        </c:manualLayout>
      </c:layout>
      <c:barChart>
        <c:barDir val="col"/>
        <c:grouping val="clustered"/>
        <c:varyColors val="0"/>
        <c:ser>
          <c:idx val="0"/>
          <c:order val="0"/>
          <c:spPr>
            <a:solidFill>
              <a:schemeClr val="accent3"/>
            </a:solidFill>
            <a:ln>
              <a:noFill/>
            </a:ln>
            <a:effectLst/>
          </c:spPr>
          <c:invertIfNegative val="0"/>
          <c:errBars>
            <c:errBarType val="both"/>
            <c:errValType val="cust"/>
            <c:noEndCap val="0"/>
            <c:plus>
              <c:numRef>
                <c:f>'teste de ação de limpeza'!$C$16:$C$19</c:f>
                <c:numCache>
                  <c:formatCode>General</c:formatCode>
                  <c:ptCount val="4"/>
                  <c:pt idx="0">
                    <c:v>0</c:v>
                  </c:pt>
                  <c:pt idx="1">
                    <c:v>1.66</c:v>
                  </c:pt>
                  <c:pt idx="2">
                    <c:v>3.27</c:v>
                  </c:pt>
                  <c:pt idx="3">
                    <c:v>3</c:v>
                  </c:pt>
                </c:numCache>
              </c:numRef>
            </c:plus>
            <c:minus>
              <c:numRef>
                <c:f>'teste de ação de limpeza'!$C$16:$C$18</c:f>
                <c:numCache>
                  <c:formatCode>General</c:formatCode>
                  <c:ptCount val="3"/>
                  <c:pt idx="0">
                    <c:v>0</c:v>
                  </c:pt>
                  <c:pt idx="1">
                    <c:v>1.66</c:v>
                  </c:pt>
                  <c:pt idx="2">
                    <c:v>3.27</c:v>
                  </c:pt>
                </c:numCache>
              </c:numRef>
            </c:minus>
            <c:spPr>
              <a:noFill/>
              <a:ln w="9525" cap="flat" cmpd="sng" algn="ctr">
                <a:solidFill>
                  <a:schemeClr val="tx1"/>
                </a:solidFill>
                <a:round/>
              </a:ln>
              <a:effectLst/>
            </c:spPr>
          </c:errBars>
          <c:cat>
            <c:strRef>
              <c:f>'teste de ação de limpeza'!$A$16:$A$19</c:f>
              <c:strCache>
                <c:ptCount val="4"/>
                <c:pt idx="0">
                  <c:v>P1</c:v>
                </c:pt>
                <c:pt idx="1">
                  <c:v>P2</c:v>
                </c:pt>
                <c:pt idx="2">
                  <c:v>P3</c:v>
                </c:pt>
                <c:pt idx="3">
                  <c:v>SC</c:v>
                </c:pt>
              </c:strCache>
            </c:strRef>
          </c:cat>
          <c:val>
            <c:numRef>
              <c:f>'teste de ação de limpeza'!$B$16:$B$19</c:f>
              <c:numCache>
                <c:formatCode>General</c:formatCode>
                <c:ptCount val="4"/>
                <c:pt idx="0">
                  <c:v>0</c:v>
                </c:pt>
                <c:pt idx="1">
                  <c:v>1.49</c:v>
                </c:pt>
                <c:pt idx="2">
                  <c:v>49.7</c:v>
                </c:pt>
                <c:pt idx="3">
                  <c:v>56</c:v>
                </c:pt>
              </c:numCache>
            </c:numRef>
          </c:val>
          <c:extLst>
            <c:ext xmlns:c16="http://schemas.microsoft.com/office/drawing/2014/chart" uri="{C3380CC4-5D6E-409C-BE32-E72D297353CC}">
              <c16:uniqueId val="{00000000-3495-4BF1-9502-A67656F925A2}"/>
            </c:ext>
          </c:extLst>
        </c:ser>
        <c:dLbls>
          <c:showLegendKey val="0"/>
          <c:showVal val="0"/>
          <c:showCatName val="0"/>
          <c:showSerName val="0"/>
          <c:showPercent val="0"/>
          <c:showBubbleSize val="0"/>
        </c:dLbls>
        <c:gapWidth val="219"/>
        <c:overlap val="-27"/>
        <c:axId val="997638847"/>
        <c:axId val="997640287"/>
      </c:barChart>
      <c:catAx>
        <c:axId val="997638847"/>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Times New Roman" panose="02020603050405020304" pitchFamily="18" charset="0"/>
              </a:defRPr>
            </a:pPr>
            <a:endParaRPr lang="en-US"/>
          </a:p>
        </c:txPr>
        <c:crossAx val="997640287"/>
        <c:crosses val="autoZero"/>
        <c:auto val="1"/>
        <c:lblAlgn val="ctr"/>
        <c:lblOffset val="100"/>
        <c:noMultiLvlLbl val="0"/>
      </c:catAx>
      <c:valAx>
        <c:axId val="997640287"/>
        <c:scaling>
          <c:orientation val="minMax"/>
          <c:max val="80"/>
          <c:min val="0"/>
        </c:scaling>
        <c:delete val="0"/>
        <c:axPos val="l"/>
        <c:title>
          <c:tx>
            <c:rich>
              <a:bodyPr rot="-5400000" spcFirstLastPara="1" vertOverflow="ellipsis" vert="horz" wrap="square" anchor="ctr" anchorCtr="1"/>
              <a:lstStyle/>
              <a:p>
                <a:pPr>
                  <a:defRPr sz="900" b="0" i="0" u="none" strike="noStrike" kern="1200" baseline="0">
                    <a:solidFill>
                      <a:schemeClr val="tx1"/>
                    </a:solidFill>
                    <a:latin typeface="+mj-lt"/>
                    <a:ea typeface="+mn-ea"/>
                    <a:cs typeface="Times New Roman" panose="02020603050405020304" pitchFamily="18" charset="0"/>
                  </a:defRPr>
                </a:pPr>
                <a:r>
                  <a:rPr lang="pt-BR" sz="900" b="0">
                    <a:latin typeface="+mj-lt"/>
                  </a:rPr>
                  <a:t>Sebum removal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mj-lt"/>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j-lt"/>
                <a:ea typeface="+mn-ea"/>
                <a:cs typeface="Times New Roman" panose="02020603050405020304" pitchFamily="18" charset="0"/>
              </a:defRPr>
            </a:pPr>
            <a:endParaRPr lang="en-US"/>
          </a:p>
        </c:txPr>
        <c:crossAx val="997638847"/>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6</Pages>
  <Words>3602</Words>
  <Characters>19451</Characters>
  <Application>Microsoft Office Word</Application>
  <DocSecurity>0</DocSecurity>
  <Lines>162</Lines>
  <Paragraphs>46</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keila isabely</cp:lastModifiedBy>
  <cp:revision>66</cp:revision>
  <cp:lastPrinted>2015-05-12T18:31:00Z</cp:lastPrinted>
  <dcterms:created xsi:type="dcterms:W3CDTF">2026-01-30T20:43:00Z</dcterms:created>
  <dcterms:modified xsi:type="dcterms:W3CDTF">2026-03-17T23:06:00Z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