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917F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917F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917F1">
        <w:trPr>
          <w:trHeight w:val="68"/>
          <w:jc w:val="center"/>
        </w:trPr>
        <w:tc>
          <w:tcPr>
            <w:tcW w:w="8782"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4158C07" w14:textId="0429D96D" w:rsidR="00B5515F" w:rsidRPr="006930DB" w:rsidRDefault="00B5515F" w:rsidP="006930DB">
      <w:pPr>
        <w:pStyle w:val="CETAddress"/>
        <w:jc w:val="center"/>
        <w:rPr>
          <w:rFonts w:cs="Arial"/>
          <w:b/>
          <w:noProof w:val="0"/>
          <w:sz w:val="28"/>
          <w:szCs w:val="28"/>
          <w:lang w:val="en-US" w:eastAsia="de-DE"/>
        </w:rPr>
      </w:pPr>
      <w:bookmarkStart w:id="1" w:name="_Hlk220396156"/>
      <w:bookmarkEnd w:id="0"/>
      <w:r w:rsidRPr="006930DB">
        <w:rPr>
          <w:rFonts w:cs="Arial"/>
          <w:b/>
          <w:noProof w:val="0"/>
          <w:sz w:val="28"/>
          <w:szCs w:val="28"/>
          <w:lang w:val="en-US" w:eastAsia="de-DE"/>
        </w:rPr>
        <w:t>A Continuous Tandem Catalytic Platform Linking Direct H</w:t>
      </w:r>
      <w:r w:rsidRPr="006930DB">
        <w:rPr>
          <w:rFonts w:ascii="Cambria Math" w:hAnsi="Cambria Math" w:cs="Cambria Math"/>
          <w:b/>
          <w:noProof w:val="0"/>
          <w:sz w:val="28"/>
          <w:szCs w:val="28"/>
          <w:lang w:val="en-US" w:eastAsia="de-DE"/>
        </w:rPr>
        <w:t>₂</w:t>
      </w:r>
      <w:r w:rsidRPr="006930DB">
        <w:rPr>
          <w:rFonts w:cs="Arial"/>
          <w:b/>
          <w:noProof w:val="0"/>
          <w:sz w:val="28"/>
          <w:szCs w:val="28"/>
          <w:lang w:val="en-US" w:eastAsia="de-DE"/>
        </w:rPr>
        <w:t>O</w:t>
      </w:r>
      <w:r w:rsidRPr="006930DB">
        <w:rPr>
          <w:rFonts w:ascii="Cambria Math" w:hAnsi="Cambria Math" w:cs="Cambria Math"/>
          <w:b/>
          <w:noProof w:val="0"/>
          <w:sz w:val="28"/>
          <w:szCs w:val="28"/>
          <w:lang w:val="en-US" w:eastAsia="de-DE"/>
        </w:rPr>
        <w:t>₂</w:t>
      </w:r>
      <w:r w:rsidRPr="006930DB">
        <w:rPr>
          <w:rFonts w:cs="Arial"/>
          <w:b/>
          <w:noProof w:val="0"/>
          <w:sz w:val="28"/>
          <w:szCs w:val="28"/>
          <w:lang w:val="en-US" w:eastAsia="de-DE"/>
        </w:rPr>
        <w:t xml:space="preserve"> Synthesis to Yeast Surface-Displayed Peroxygenases</w:t>
      </w:r>
    </w:p>
    <w:bookmarkEnd w:id="1"/>
    <w:p w14:paraId="0F3751D3" w14:textId="0B78CB22" w:rsidR="002917F1" w:rsidRPr="002917F1" w:rsidRDefault="002917F1" w:rsidP="00627F1F">
      <w:pPr>
        <w:pStyle w:val="CETAddress"/>
        <w:jc w:val="both"/>
        <w:rPr>
          <w:sz w:val="24"/>
        </w:rPr>
      </w:pPr>
      <w:r w:rsidRPr="002917F1">
        <w:rPr>
          <w:sz w:val="24"/>
        </w:rPr>
        <w:t>Till Petersᵃ</w:t>
      </w:r>
      <w:r w:rsidR="00EE6C93">
        <w:rPr>
          <w:sz w:val="24"/>
          <w:vertAlign w:val="superscript"/>
        </w:rPr>
        <w:t xml:space="preserve">, </w:t>
      </w:r>
      <w:r w:rsidRPr="002917F1">
        <w:rPr>
          <w:sz w:val="24"/>
        </w:rPr>
        <w:t>*, Niklas Teetzᵇ, Burak C. Bildikᵃ, Pascal Hartmannᵃ, Manfred Krautᵃ, Dirk Holtmannᵇ, Roland Dittmeyerᵃ</w:t>
      </w:r>
      <w:r w:rsidR="00E94003">
        <w:rPr>
          <w:sz w:val="24"/>
        </w:rPr>
        <w:t xml:space="preserve"> </w:t>
      </w:r>
    </w:p>
    <w:p w14:paraId="73F1267A" w14:textId="328E2BD8" w:rsidR="00B57E6F" w:rsidRPr="000E7F1B" w:rsidRDefault="002917F1" w:rsidP="004530FE">
      <w:pPr>
        <w:pStyle w:val="CETAddress"/>
      </w:pPr>
      <w:r w:rsidRPr="000E7F1B">
        <w:rPr>
          <w:vertAlign w:val="superscript"/>
        </w:rPr>
        <w:t>ᵃ</w:t>
      </w:r>
      <w:r w:rsidRPr="000E7F1B">
        <w:t xml:space="preserve"> Institute for Micro Process Engineering (IMVT), Karlsruhe Institute of Technology (KIT), Karlsruhe, Germany</w:t>
      </w:r>
      <w:r w:rsidRPr="000E7F1B">
        <w:br/>
      </w:r>
      <w:r w:rsidRPr="000E7F1B">
        <w:rPr>
          <w:vertAlign w:val="superscript"/>
        </w:rPr>
        <w:t xml:space="preserve">ᵇ </w:t>
      </w:r>
      <w:r w:rsidRPr="000E7F1B">
        <w:t>Process Engineering in Life Sciences – Electro Biotechnology</w:t>
      </w:r>
      <w:r w:rsidR="00B5515F">
        <w:t xml:space="preserve"> (EBT)</w:t>
      </w:r>
      <w:r w:rsidRPr="000E7F1B">
        <w:t>, Karlsruhe Institute of Technology (KIT), Karlsruhe, Germany</w:t>
      </w:r>
      <w:r w:rsidRPr="000E7F1B">
        <w:br/>
      </w:r>
      <w:hyperlink r:id="rId13" w:history="1">
        <w:r w:rsidR="000E7F1B" w:rsidRPr="000E7F1B">
          <w:rPr>
            <w:rStyle w:val="Hyperlink"/>
            <w:color w:val="auto"/>
          </w:rPr>
          <w:t>till.peters@kit.edu</w:t>
        </w:r>
      </w:hyperlink>
    </w:p>
    <w:p w14:paraId="64CFF659" w14:textId="18FB97F1" w:rsidR="000E7F1B" w:rsidRPr="00F32F76" w:rsidRDefault="000E7F1B" w:rsidP="00496226">
      <w:pPr>
        <w:pStyle w:val="CETHeadingxx"/>
      </w:pPr>
      <w:r w:rsidRPr="00F32F76">
        <w:t>Abstract</w:t>
      </w:r>
    </w:p>
    <w:p w14:paraId="3D107B55" w14:textId="0123802F" w:rsidR="000E7F1B" w:rsidRPr="00034A92" w:rsidRDefault="005A7331" w:rsidP="00905C82">
      <w:pPr>
        <w:pStyle w:val="CETBodytext"/>
        <w:rPr>
          <w:b/>
        </w:rPr>
      </w:pPr>
      <w:r w:rsidRPr="00034A92">
        <w:t>Continuous tandem catalysis enables the direct coupling of chemical hydrogen peroxide (H</w:t>
      </w:r>
      <w:r w:rsidRPr="00034A92">
        <w:rPr>
          <w:rFonts w:ascii="Cambria Math" w:hAnsi="Cambria Math" w:cs="Cambria Math"/>
        </w:rPr>
        <w:t>₂</w:t>
      </w:r>
      <w:r w:rsidRPr="00034A92">
        <w:t>O</w:t>
      </w:r>
      <w:r w:rsidRPr="00034A92">
        <w:rPr>
          <w:rFonts w:ascii="Cambria Math" w:hAnsi="Cambria Math" w:cs="Cambria Math"/>
        </w:rPr>
        <w:t>₂</w:t>
      </w:r>
      <w:r w:rsidRPr="00034A92">
        <w:t>) synthesis with oxidative biocatalysis while avoiding external peroxide addition. In this study, a continuous-flow tandem system combining palladium-catalyzed H</w:t>
      </w:r>
      <w:r w:rsidRPr="00034A92">
        <w:rPr>
          <w:rFonts w:ascii="Cambria Math" w:hAnsi="Cambria Math" w:cs="Cambria Math"/>
        </w:rPr>
        <w:t>₂</w:t>
      </w:r>
      <w:r w:rsidRPr="00034A92">
        <w:t>O</w:t>
      </w:r>
      <w:r w:rsidRPr="00034A92">
        <w:rPr>
          <w:rFonts w:ascii="Cambria Math" w:hAnsi="Cambria Math" w:cs="Cambria Math"/>
        </w:rPr>
        <w:t>₂</w:t>
      </w:r>
      <w:r w:rsidRPr="00034A92">
        <w:t xml:space="preserve"> direct synthesis with yeast surface–displayed </w:t>
      </w:r>
      <w:r w:rsidR="002076ED">
        <w:t xml:space="preserve">unspecific </w:t>
      </w:r>
      <w:r w:rsidRPr="00034A92">
        <w:t>peroxygenases</w:t>
      </w:r>
      <w:r w:rsidR="0000242F">
        <w:t xml:space="preserve"> (YSD-UPOs)</w:t>
      </w:r>
      <w:r w:rsidRPr="00034A92">
        <w:t xml:space="preserve"> is presented. Peroxygenases were immobilized via</w:t>
      </w:r>
      <w:r w:rsidR="002076ED">
        <w:t xml:space="preserve"> a recently published</w:t>
      </w:r>
      <w:r w:rsidRPr="00034A92">
        <w:t xml:space="preserve"> surface</w:t>
      </w:r>
      <w:r w:rsidR="002A4F8B">
        <w:t>-</w:t>
      </w:r>
      <w:r w:rsidRPr="00034A92">
        <w:t xml:space="preserve">display on </w:t>
      </w:r>
      <w:proofErr w:type="spellStart"/>
      <w:r w:rsidRPr="00034A92">
        <w:rPr>
          <w:i/>
          <w:iCs/>
        </w:rPr>
        <w:t>Komagataella</w:t>
      </w:r>
      <w:proofErr w:type="spellEnd"/>
      <w:r w:rsidRPr="00034A92">
        <w:rPr>
          <w:i/>
          <w:iCs/>
        </w:rPr>
        <w:t xml:space="preserve"> </w:t>
      </w:r>
      <w:proofErr w:type="spellStart"/>
      <w:r w:rsidRPr="00034A92">
        <w:rPr>
          <w:i/>
          <w:iCs/>
        </w:rPr>
        <w:t>phaffii</w:t>
      </w:r>
      <w:proofErr w:type="spellEnd"/>
      <w:r w:rsidR="00496226">
        <w:rPr>
          <w:i/>
          <w:iCs/>
        </w:rPr>
        <w:t xml:space="preserve"> </w:t>
      </w:r>
      <w:r w:rsidR="00496226" w:rsidRPr="00496226">
        <w:t>cells</w:t>
      </w:r>
      <w:r w:rsidRPr="00034A92">
        <w:t xml:space="preserve">, </w:t>
      </w:r>
      <w:r w:rsidR="00496226">
        <w:t xml:space="preserve">which were </w:t>
      </w:r>
      <w:r w:rsidRPr="00034A92">
        <w:t xml:space="preserve">solvent-inactivated, and freeze-dried to allow </w:t>
      </w:r>
      <w:r w:rsidR="00B5515F" w:rsidRPr="00034A92">
        <w:t xml:space="preserve">application </w:t>
      </w:r>
      <w:r w:rsidR="00B5515F">
        <w:t>in standard chemical labs</w:t>
      </w:r>
      <w:r w:rsidRPr="00034A92">
        <w:t xml:space="preserve">. </w:t>
      </w:r>
      <w:r w:rsidR="002076ED">
        <w:t>A p</w:t>
      </w:r>
      <w:r w:rsidRPr="00034A92">
        <w:t xml:space="preserve">alladium-based catalyst </w:t>
      </w:r>
      <w:r w:rsidR="002076ED">
        <w:t>was</w:t>
      </w:r>
      <w:r w:rsidRPr="00034A92">
        <w:t xml:space="preserve"> prepared on </w:t>
      </w:r>
      <w:r w:rsidR="00496226" w:rsidRPr="00496226">
        <w:t>titanium dioxide</w:t>
      </w:r>
      <w:r w:rsidR="00496226">
        <w:t xml:space="preserve"> </w:t>
      </w:r>
      <w:r w:rsidRPr="00034A92">
        <w:t>as a support and evaluated for H</w:t>
      </w:r>
      <w:r w:rsidRPr="00034A92">
        <w:rPr>
          <w:rFonts w:ascii="Cambria Math" w:hAnsi="Cambria Math" w:cs="Cambria Math"/>
        </w:rPr>
        <w:t>₂</w:t>
      </w:r>
      <w:r w:rsidRPr="00034A92">
        <w:t>O</w:t>
      </w:r>
      <w:r w:rsidRPr="00034A92">
        <w:rPr>
          <w:rFonts w:ascii="Cambria Math" w:hAnsi="Cambria Math" w:cs="Cambria Math"/>
        </w:rPr>
        <w:t>₂</w:t>
      </w:r>
      <w:r w:rsidRPr="00034A92">
        <w:t xml:space="preserve"> generation under conditions compatible with enzymatic reactions. Chemical and enzymatic steps were first studied separately to identify suitable operating windows for </w:t>
      </w:r>
      <w:proofErr w:type="gramStart"/>
      <w:r w:rsidRPr="00034A92">
        <w:rPr>
          <w:lang w:val="en-GB"/>
        </w:rPr>
        <w:t>2,2′-</w:t>
      </w:r>
      <w:proofErr w:type="gramEnd"/>
      <w:r w:rsidRPr="00034A92">
        <w:rPr>
          <w:lang w:val="en-GB"/>
        </w:rPr>
        <w:t>azino-</w:t>
      </w:r>
      <w:proofErr w:type="gramStart"/>
      <w:r w:rsidRPr="00034A92">
        <w:rPr>
          <w:lang w:val="en-GB"/>
        </w:rPr>
        <w:t>bis(</w:t>
      </w:r>
      <w:proofErr w:type="gramEnd"/>
      <w:r w:rsidRPr="00034A92">
        <w:rPr>
          <w:lang w:val="en-GB"/>
        </w:rPr>
        <w:t>3-ethylbenzothiazoline-6-sulfonic acid) (ABTS)</w:t>
      </w:r>
      <w:r w:rsidRPr="00034A92">
        <w:t xml:space="preserve"> oxidation and hydroxylation of 1,2-(methylenedioxy)-4-nitrobenzene</w:t>
      </w:r>
      <w:r w:rsidR="00402774">
        <w:t xml:space="preserve"> (NBD)</w:t>
      </w:r>
      <w:r w:rsidRPr="00034A92">
        <w:t xml:space="preserve">. The combined system was then operated in a continuous micro fixed-bed reactor </w:t>
      </w:r>
      <w:r w:rsidR="00402774">
        <w:t>proving the concept of continuous tandem catalysis</w:t>
      </w:r>
      <w:r w:rsidR="00B5515F">
        <w:t xml:space="preserve"> </w:t>
      </w:r>
      <w:r w:rsidR="00B161B6" w:rsidRPr="00B161B6">
        <w:t>reaching turnover numbers of 3596 for NBD and 6350 for ABTS oxidation.</w:t>
      </w:r>
    </w:p>
    <w:p w14:paraId="3FC96C88" w14:textId="3EE4FC97" w:rsidR="000E7F1B" w:rsidRPr="00F32F76" w:rsidRDefault="00600535" w:rsidP="000E7F1B">
      <w:pPr>
        <w:pStyle w:val="CETHeading1"/>
        <w:rPr>
          <w:rFonts w:cs="Arial"/>
          <w:lang w:val="en-GB"/>
        </w:rPr>
      </w:pPr>
      <w:r w:rsidRPr="00F32F76">
        <w:rPr>
          <w:rFonts w:cs="Arial"/>
          <w:lang w:val="en-GB"/>
        </w:rPr>
        <w:t>Introduction</w:t>
      </w:r>
    </w:p>
    <w:p w14:paraId="3588A280" w14:textId="184BE6AD" w:rsidR="00691C40" w:rsidRPr="00F32F76" w:rsidRDefault="00691C40" w:rsidP="00691C40">
      <w:pPr>
        <w:pStyle w:val="CETBodytext"/>
        <w:rPr>
          <w:rFonts w:cs="Arial"/>
          <w:lang w:val="en-GB"/>
        </w:rPr>
      </w:pPr>
      <w:r w:rsidRPr="00F32F76">
        <w:rPr>
          <w:rFonts w:cs="Arial"/>
          <w:lang w:val="en-GB"/>
        </w:rPr>
        <w:t xml:space="preserve">Unspecific peroxygenases (UPOs, EC 1.11.2.1) </w:t>
      </w:r>
      <w:proofErr w:type="spellStart"/>
      <w:r w:rsidRPr="00F32F76">
        <w:rPr>
          <w:rFonts w:cs="Arial"/>
          <w:lang w:val="en-GB"/>
        </w:rPr>
        <w:t>catalyze</w:t>
      </w:r>
      <w:proofErr w:type="spellEnd"/>
      <w:r w:rsidRPr="00F32F76">
        <w:rPr>
          <w:rFonts w:cs="Arial"/>
          <w:lang w:val="en-GB"/>
        </w:rPr>
        <w:t xml:space="preserve"> a broad range of synthetically valuable </w:t>
      </w:r>
      <w:proofErr w:type="spellStart"/>
      <w:r w:rsidRPr="00F32F76">
        <w:rPr>
          <w:rFonts w:cs="Arial"/>
          <w:lang w:val="en-GB"/>
        </w:rPr>
        <w:t>oxyfunctionalization</w:t>
      </w:r>
      <w:proofErr w:type="spellEnd"/>
      <w:r w:rsidRPr="00F32F76">
        <w:rPr>
          <w:rFonts w:cs="Arial"/>
          <w:lang w:val="en-GB"/>
        </w:rPr>
        <w:t xml:space="preserve"> reactions, including aliphatic and aromatic </w:t>
      </w:r>
      <w:proofErr w:type="spellStart"/>
      <w:r w:rsidRPr="00F32F76">
        <w:rPr>
          <w:rFonts w:cs="Arial"/>
          <w:lang w:val="en-GB"/>
        </w:rPr>
        <w:t>hydroxylations</w:t>
      </w:r>
      <w:proofErr w:type="spellEnd"/>
      <w:r w:rsidRPr="00F32F76">
        <w:rPr>
          <w:rFonts w:cs="Arial"/>
          <w:lang w:val="en-GB"/>
        </w:rPr>
        <w:t>, epoxidations, and alcohol oxidations, often with high regio- and enantioselectivity</w:t>
      </w:r>
      <w:r w:rsidR="007C460A">
        <w:rPr>
          <w:rFonts w:cs="Arial"/>
          <w:lang w:val="en-GB"/>
        </w:rPr>
        <w:t xml:space="preserve"> </w:t>
      </w:r>
      <w:r w:rsidR="007C460A">
        <w:rPr>
          <w:rFonts w:cs="Arial"/>
          <w:lang w:val="en-GB"/>
        </w:rPr>
        <w:fldChar w:fldCharType="begin"/>
      </w:r>
      <w:r w:rsidR="007C460A">
        <w:rPr>
          <w:rFonts w:cs="Arial"/>
          <w:lang w:val="en-GB"/>
        </w:rPr>
        <w:instrText xml:space="preserve"> ADDIN ZOTERO_ITEM CSL_CITATION {"citationID":"1EJxSHT8","properties":{"formattedCitation":"(Hobisch et al., 2021)","plainCitation":"(Hobisch et al., 2021)","noteIndex":0},"citationItems":[{"id":9215,"uris":["http://zotero.org/users/19105841/items/WXGVIEUA"],"itemData":{"id":9215,"type":"article-journal","abstract":"Peroxygenases are an emerging new class of enzymes allowing selective oxyfunctionalisation reactions in a cofactor-independent way different from well-known P450 monooxygenases. Herein, we focused on recent developments from organic synthesis, molecular biotechnology and reaction engineering viewpoints that are devoted to bring these enzymes in industrial applications. This covers natural diversity from different sources, protein engineering strategies for expression, substrate scope, activity and selectivity, stabilisation of enzymes via immobilisation, and the use of peroxygenases in low water media. We believe that peroxygenases have much to offer for selective oxyfunctionalisations and we have much to study to explore the full potential of these versatile biocatalysts in organic synthesis.","citation-key":"hobischRecentDevelopmentsUse2021","container-title":"Biotechnology Advances","DOI":"10.1016/j.biotechadv.2020.107615","ISSN":"07349750","journalAbbreviation":"Biotechnology Advances","language":"en","page":"107615","source":"DOI.org (Crossref)","title":"Recent developments in the use of peroxygenases – Exploring their high potential in selective oxyfunctionalisations","volume":"51","author":[{"family":"Hobisch","given":"Markus"},{"family":"Holtmann","given":"Dirk"},{"family":"Gomez De Santos","given":"Patricia"},{"family":"Alcalde","given":"Miguel"},{"family":"Hollmann","given":"Frank"},{"family":"Kara","given":"Selin"}],"issued":{"date-parts":[["2021",11]]}}}],"schema":"https://github.com/citation-style-language/schema/raw/master/csl-citation.json"} </w:instrText>
      </w:r>
      <w:r w:rsidR="007C460A">
        <w:rPr>
          <w:rFonts w:cs="Arial"/>
          <w:lang w:val="en-GB"/>
        </w:rPr>
        <w:fldChar w:fldCharType="separate"/>
      </w:r>
      <w:r w:rsidR="007C460A" w:rsidRPr="007C460A">
        <w:rPr>
          <w:rFonts w:cs="Arial"/>
        </w:rPr>
        <w:t>(Hobisch et al., 2021)</w:t>
      </w:r>
      <w:r w:rsidR="007C460A">
        <w:rPr>
          <w:rFonts w:cs="Arial"/>
          <w:lang w:val="en-GB"/>
        </w:rPr>
        <w:fldChar w:fldCharType="end"/>
      </w:r>
      <w:r w:rsidRPr="00F32F76">
        <w:rPr>
          <w:rFonts w:cs="Arial"/>
          <w:lang w:val="en-GB"/>
        </w:rPr>
        <w:t>. In addition, UPOs use hydrogen peroxide (H</w:t>
      </w:r>
      <w:r w:rsidRPr="00F32F76">
        <w:rPr>
          <w:rFonts w:ascii="Cambria Math" w:hAnsi="Cambria Math" w:cs="Cambria Math"/>
          <w:lang w:val="en-GB"/>
        </w:rPr>
        <w:t>₂</w:t>
      </w:r>
      <w:r w:rsidRPr="00F32F76">
        <w:rPr>
          <w:rFonts w:cs="Arial"/>
          <w:lang w:val="en-GB"/>
        </w:rPr>
        <w:t>O</w:t>
      </w:r>
      <w:r w:rsidRPr="00F32F76">
        <w:rPr>
          <w:rFonts w:ascii="Cambria Math" w:hAnsi="Cambria Math" w:cs="Cambria Math"/>
          <w:lang w:val="en-GB"/>
        </w:rPr>
        <w:t>₂</w:t>
      </w:r>
      <w:r w:rsidRPr="00F32F76">
        <w:rPr>
          <w:rFonts w:cs="Arial"/>
          <w:lang w:val="en-GB"/>
        </w:rPr>
        <w:t xml:space="preserve">) as a cofactor, which is an advantage over enzymes that need expensive and complex </w:t>
      </w:r>
      <w:proofErr w:type="spellStart"/>
      <w:r w:rsidR="00B5515F" w:rsidRPr="00B5515F">
        <w:rPr>
          <w:rFonts w:cs="Arial"/>
          <w:lang w:val="en-GB"/>
        </w:rPr>
        <w:t>cosubstrates</w:t>
      </w:r>
      <w:proofErr w:type="spellEnd"/>
      <w:r w:rsidR="00B5515F" w:rsidRPr="00B5515F">
        <w:rPr>
          <w:rFonts w:cs="Arial"/>
          <w:lang w:val="en-GB"/>
        </w:rPr>
        <w:t xml:space="preserve"> (e.g., nicotinamide cofactors such as NAD(P)H</w:t>
      </w:r>
      <w:r w:rsidR="00B5515F">
        <w:rPr>
          <w:rFonts w:cs="Arial"/>
          <w:lang w:val="en-GB"/>
        </w:rPr>
        <w:t>)</w:t>
      </w:r>
      <w:r w:rsidR="00131940">
        <w:rPr>
          <w:rFonts w:cs="Arial"/>
          <w:lang w:val="en-GB"/>
        </w:rPr>
        <w:t xml:space="preserve">. </w:t>
      </w:r>
      <w:r w:rsidRPr="00F32F76">
        <w:rPr>
          <w:rFonts w:cs="Arial"/>
          <w:lang w:val="en-GB"/>
        </w:rPr>
        <w:t>Their application is, however, limited by inactivation at elevated H</w:t>
      </w:r>
      <w:r w:rsidRPr="00F32F76">
        <w:rPr>
          <w:rFonts w:ascii="Cambria Math" w:hAnsi="Cambria Math" w:cs="Cambria Math"/>
          <w:lang w:val="en-GB"/>
        </w:rPr>
        <w:t>₂</w:t>
      </w:r>
      <w:r w:rsidRPr="00F32F76">
        <w:rPr>
          <w:rFonts w:cs="Arial"/>
          <w:lang w:val="en-GB"/>
        </w:rPr>
        <w:t>O</w:t>
      </w:r>
      <w:r w:rsidRPr="00F32F76">
        <w:rPr>
          <w:rFonts w:ascii="Cambria Math" w:hAnsi="Cambria Math" w:cs="Cambria Math"/>
          <w:lang w:val="en-GB"/>
        </w:rPr>
        <w:t>₂</w:t>
      </w:r>
      <w:r w:rsidRPr="00F32F76">
        <w:rPr>
          <w:rFonts w:cs="Arial"/>
          <w:lang w:val="en-GB"/>
        </w:rPr>
        <w:t xml:space="preserve"> concentrations, requiring control of oxidant availability</w:t>
      </w:r>
      <w:r w:rsidR="00131940">
        <w:rPr>
          <w:rFonts w:cs="Arial"/>
          <w:lang w:val="en-GB"/>
        </w:rPr>
        <w:t>.</w:t>
      </w:r>
      <w:r w:rsidRPr="00F32F76">
        <w:rPr>
          <w:rFonts w:cs="Arial"/>
          <w:lang w:val="en-GB"/>
        </w:rPr>
        <w:t xml:space="preserve"> </w:t>
      </w:r>
      <w:r w:rsidR="00303E87" w:rsidRPr="00303E87">
        <w:rPr>
          <w:rFonts w:cs="Arial"/>
          <w:lang w:val="en-GB"/>
        </w:rPr>
        <w:t xml:space="preserve">Effective reaction systems must therefore balance sufficient </w:t>
      </w:r>
      <w:r w:rsidR="00FE6BA3" w:rsidRPr="00F32F76">
        <w:rPr>
          <w:rFonts w:cs="Arial"/>
        </w:rPr>
        <w:t>H</w:t>
      </w:r>
      <w:r w:rsidR="00FE6BA3" w:rsidRPr="00F32F76">
        <w:rPr>
          <w:rFonts w:ascii="Cambria Math" w:hAnsi="Cambria Math" w:cs="Cambria Math"/>
        </w:rPr>
        <w:t>₂</w:t>
      </w:r>
      <w:r w:rsidR="00FE6BA3" w:rsidRPr="00F32F76">
        <w:rPr>
          <w:rFonts w:cs="Arial"/>
        </w:rPr>
        <w:t>O</w:t>
      </w:r>
      <w:r w:rsidR="00FE6BA3" w:rsidRPr="00F32F76">
        <w:rPr>
          <w:rFonts w:ascii="Cambria Math" w:hAnsi="Cambria Math" w:cs="Cambria Math"/>
        </w:rPr>
        <w:t>₂</w:t>
      </w:r>
      <w:r w:rsidR="00FE6BA3" w:rsidRPr="00F32F76">
        <w:rPr>
          <w:rFonts w:cs="Arial"/>
        </w:rPr>
        <w:t xml:space="preserve"> </w:t>
      </w:r>
      <w:r w:rsidR="00303E87" w:rsidRPr="00303E87">
        <w:rPr>
          <w:rFonts w:cs="Arial"/>
          <w:lang w:val="en-GB"/>
        </w:rPr>
        <w:t xml:space="preserve">supply </w:t>
      </w:r>
      <w:r w:rsidR="00303E87">
        <w:rPr>
          <w:rFonts w:cs="Arial"/>
          <w:lang w:val="en-GB"/>
        </w:rPr>
        <w:t>while avoiding</w:t>
      </w:r>
      <w:r w:rsidR="00303E87" w:rsidRPr="00303E87">
        <w:rPr>
          <w:rFonts w:cs="Arial"/>
          <w:lang w:val="en-GB"/>
        </w:rPr>
        <w:t xml:space="preserve"> local accumulation </w:t>
      </w:r>
      <w:r w:rsidR="00C242A0">
        <w:rPr>
          <w:rFonts w:cs="Arial"/>
          <w:lang w:val="en-GB"/>
        </w:rPr>
        <w:fldChar w:fldCharType="begin"/>
      </w:r>
      <w:r w:rsidR="00E551B7">
        <w:rPr>
          <w:rFonts w:cs="Arial"/>
          <w:lang w:val="en-GB"/>
        </w:rPr>
        <w:instrText xml:space="preserve"> ADDIN ZOTERO_ITEM CSL_CITATION {"citationID":"FMtYuVbQ","properties":{"formattedCitation":"(Bastien O. Burek et al., 2019)","plainCitation":"(Bastien O. Burek et al., 2019)","noteIndex":0},"citationItems":[{"id":9133,"uris":["http://zotero.org/users/19105841/items/ZL5GLGZA"],"itemData":{"id":9133,"type":"article-journal","abstract":"Abstract\n            \n              Photoenzymatic cascades can be used for selective oxygenation of C−H</w:instrText>
      </w:r>
      <w:r w:rsidR="00E551B7">
        <w:rPr>
          <w:rFonts w:ascii="Cambria Math" w:hAnsi="Cambria Math" w:cs="Cambria Math"/>
          <w:lang w:val="en-GB"/>
        </w:rPr>
        <w:instrText>‐</w:instrText>
      </w:r>
      <w:r w:rsidR="00E551B7">
        <w:rPr>
          <w:rFonts w:cs="Arial"/>
          <w:lang w:val="en-GB"/>
        </w:rPr>
        <w:instrText>Bonds under mild conditions circumventing the hydrogen peroxide mediated peroxygenase inactivation via\n              in situ\n              H\n              2\n              O\n              2\n              generation. Here, we report the “on demand” production of hydrogen peroxide via methanol assisted reduction of molecular oxygen using UV</w:instrText>
      </w:r>
      <w:r w:rsidR="00E551B7">
        <w:rPr>
          <w:rFonts w:ascii="Cambria Math" w:hAnsi="Cambria Math" w:cs="Cambria Math"/>
          <w:lang w:val="en-GB"/>
        </w:rPr>
        <w:instrText>‐</w:instrText>
      </w:r>
      <w:r w:rsidR="00E551B7">
        <w:rPr>
          <w:rFonts w:cs="Arial"/>
          <w:lang w:val="en-GB"/>
        </w:rPr>
        <w:instrText xml:space="preserve">illuminated titanium dioxide (Aeroxide P25) combined with the enantioselective hydroxylation of ethylbenzene to\n              (R)\n              </w:instrText>
      </w:r>
      <w:r w:rsidR="00E551B7">
        <w:rPr>
          <w:rFonts w:ascii="Cambria Math" w:hAnsi="Cambria Math" w:cs="Cambria Math"/>
          <w:lang w:val="en-GB"/>
        </w:rPr>
        <w:instrText>‐</w:instrText>
      </w:r>
      <w:r w:rsidR="00E551B7">
        <w:rPr>
          <w:rFonts w:cs="Arial"/>
          <w:lang w:val="en-GB"/>
        </w:rPr>
        <w:instrText>1</w:instrText>
      </w:r>
      <w:r w:rsidR="00E551B7">
        <w:rPr>
          <w:rFonts w:ascii="Cambria Math" w:hAnsi="Cambria Math" w:cs="Cambria Math"/>
          <w:lang w:val="en-GB"/>
        </w:rPr>
        <w:instrText>‐</w:instrText>
      </w:r>
      <w:r w:rsidR="00E551B7">
        <w:rPr>
          <w:rFonts w:cs="Arial"/>
          <w:lang w:val="en-GB"/>
        </w:rPr>
        <w:instrText xml:space="preserve">phenylethanole catalyzed by the Unspecific Peroxygenase from\n              Agrocybe Aegerita\n              . For the application of the system it is important to understand the influence of the reaction parameters to be able to optimize the system. Therefore, we systematically investigated product formation and enzyme inactivation as well as ROS formation (H\n              2\n              O\n              2\n              ,\n              .\n              OH and\n              .\n              O\n              2\n              −\n              ) applying different light intensities and temperatures. As a result, Turnover Numbers up to 220 000, photonic efficiencies up to 13.6 % and production rates up to 0.9 mM h\n              −1\n              were achieved.","citation-key":"burekPhotoenzymaticHydroxylationEthylbenzene2019","container-title":"ChemCatChem","DOI":"10.1002/cctc.201900610","ISSN":"1867-3880, 1867-3899","issue":"13","journalAbbreviation":"ChemCatChem","language":"en","page":"3093-3100","source":"DOI.org (Crossref)","title":"Photoenzymatic Hydroxylation of Ethylbenzene Catalyzed by Unspecific Peroxygenase: Origin of Enzyme Inactivation and the Impact of Light Intensity and Temperature","title-short":"Photoenzymatic Hydroxylation of Ethylbenzene Catalyzed by Unspecific Peroxygenase","volume":"11","author":[{"family":"Burek","given":"Bastien O."},{"family":"de Boer","given":"Sabrina R."},{"family":"Tieves","given":"Florian"},{"family":"Zhang","given":"Wuyuan"},{"family":"van Schie","given":"Morten"},{"family":"Bormann","given":"Sebastian"},{"family":"Alcalde","given":"Miguel"},{"family":"Holtmann","given":"Dirk"},{"family":"Hollmann","given":"Frank"},{"family":"Bahnemann","given":"Detlef W."},{"family":"Bloh","given":"Jonathan Z."}],"issued":{"date-parts":[["2019",7,4]]}}}],"schema":"https://github.com/citation-style-language/schema/raw/master/csl-citation.json"} </w:instrText>
      </w:r>
      <w:r w:rsidR="00C242A0">
        <w:rPr>
          <w:rFonts w:cs="Arial"/>
          <w:lang w:val="en-GB"/>
        </w:rPr>
        <w:fldChar w:fldCharType="separate"/>
      </w:r>
      <w:r w:rsidR="00E551B7" w:rsidRPr="00E551B7">
        <w:rPr>
          <w:rFonts w:cs="Arial"/>
        </w:rPr>
        <w:t>(Burek et al., 2019)</w:t>
      </w:r>
      <w:r w:rsidR="00C242A0">
        <w:rPr>
          <w:rFonts w:cs="Arial"/>
          <w:lang w:val="en-GB"/>
        </w:rPr>
        <w:fldChar w:fldCharType="end"/>
      </w:r>
      <w:r w:rsidRPr="00F32F76">
        <w:rPr>
          <w:rFonts w:cs="Arial"/>
          <w:lang w:val="en-GB"/>
        </w:rPr>
        <w:t>.</w:t>
      </w:r>
    </w:p>
    <w:p w14:paraId="6DB54BED" w14:textId="7A16D82F" w:rsidR="00303E87" w:rsidRDefault="00973FA1" w:rsidP="006762E7">
      <w:pPr>
        <w:pStyle w:val="CETBodytext"/>
        <w:rPr>
          <w:rFonts w:cs="Arial"/>
          <w:lang w:val="en-GB"/>
        </w:rPr>
      </w:pPr>
      <w:r w:rsidRPr="00496226">
        <w:rPr>
          <w:rFonts w:cs="Arial"/>
          <w:i/>
          <w:iCs/>
        </w:rPr>
        <w:t>In situ</w:t>
      </w:r>
      <w:r w:rsidRPr="00F32F76">
        <w:rPr>
          <w:rFonts w:cs="Arial"/>
        </w:rPr>
        <w:t xml:space="preserve"> generation of </w:t>
      </w:r>
      <w:r w:rsidR="00B16256" w:rsidRPr="00F32F76">
        <w:rPr>
          <w:rFonts w:cs="Arial"/>
        </w:rPr>
        <w:t>H</w:t>
      </w:r>
      <w:r w:rsidR="00B16256" w:rsidRPr="00F32F76">
        <w:rPr>
          <w:rFonts w:ascii="Cambria Math" w:hAnsi="Cambria Math" w:cs="Cambria Math"/>
        </w:rPr>
        <w:t>₂</w:t>
      </w:r>
      <w:r w:rsidR="00B16256" w:rsidRPr="00F32F76">
        <w:rPr>
          <w:rFonts w:cs="Arial"/>
        </w:rPr>
        <w:t>O</w:t>
      </w:r>
      <w:r w:rsidR="00B16256" w:rsidRPr="00F32F76">
        <w:rPr>
          <w:rFonts w:ascii="Cambria Math" w:hAnsi="Cambria Math" w:cs="Cambria Math"/>
        </w:rPr>
        <w:t>₂</w:t>
      </w:r>
      <w:r w:rsidRPr="00F32F76">
        <w:rPr>
          <w:rFonts w:cs="Arial"/>
        </w:rPr>
        <w:t xml:space="preserve"> represents an effective strategy to meet these requirements by enabling controlled and continuous delivery.</w:t>
      </w:r>
      <w:r w:rsidR="002725BD" w:rsidRPr="00F32F76">
        <w:rPr>
          <w:rFonts w:cs="Arial"/>
        </w:rPr>
        <w:t xml:space="preserve"> </w:t>
      </w:r>
      <w:r w:rsidR="00691C40" w:rsidRPr="00F32F76">
        <w:rPr>
          <w:rFonts w:cs="Arial"/>
        </w:rPr>
        <w:t>The catalytic direct</w:t>
      </w:r>
      <w:r w:rsidR="003B4DF2" w:rsidRPr="00F32F76">
        <w:rPr>
          <w:rFonts w:cs="Arial"/>
        </w:rPr>
        <w:t xml:space="preserve"> synthesis of </w:t>
      </w:r>
      <w:r w:rsidR="00B16256" w:rsidRPr="00F32F76">
        <w:rPr>
          <w:rFonts w:cs="Arial"/>
        </w:rPr>
        <w:t>H</w:t>
      </w:r>
      <w:r w:rsidR="00B16256" w:rsidRPr="00F32F76">
        <w:rPr>
          <w:rFonts w:ascii="Cambria Math" w:hAnsi="Cambria Math" w:cs="Cambria Math"/>
        </w:rPr>
        <w:t>₂</w:t>
      </w:r>
      <w:r w:rsidR="00B16256" w:rsidRPr="00F32F76">
        <w:rPr>
          <w:rFonts w:cs="Arial"/>
        </w:rPr>
        <w:t>O</w:t>
      </w:r>
      <w:r w:rsidR="00B16256" w:rsidRPr="00F32F76">
        <w:rPr>
          <w:rFonts w:ascii="Cambria Math" w:hAnsi="Cambria Math" w:cs="Cambria Math"/>
        </w:rPr>
        <w:t>₂</w:t>
      </w:r>
      <w:r w:rsidR="00B16256" w:rsidRPr="00F32F76">
        <w:rPr>
          <w:rFonts w:cs="Arial"/>
        </w:rPr>
        <w:t xml:space="preserve"> </w:t>
      </w:r>
      <w:r w:rsidR="003B4DF2" w:rsidRPr="00F32F76">
        <w:rPr>
          <w:rFonts w:cs="Arial"/>
        </w:rPr>
        <w:t xml:space="preserve">from </w:t>
      </w:r>
      <w:r w:rsidR="00691C40" w:rsidRPr="00F32F76">
        <w:rPr>
          <w:rFonts w:cs="Arial"/>
        </w:rPr>
        <w:t xml:space="preserve">its elements </w:t>
      </w:r>
      <w:r w:rsidR="003B4DF2" w:rsidRPr="00F32F76">
        <w:rPr>
          <w:rFonts w:cs="Arial"/>
        </w:rPr>
        <w:t>hydrogen and oxygen enables H</w:t>
      </w:r>
      <w:r w:rsidR="003B4DF2" w:rsidRPr="00F32F76">
        <w:rPr>
          <w:rFonts w:ascii="Cambria Math" w:hAnsi="Cambria Math" w:cs="Cambria Math"/>
        </w:rPr>
        <w:t>₂</w:t>
      </w:r>
      <w:r w:rsidR="003B4DF2" w:rsidRPr="00F32F76">
        <w:rPr>
          <w:rFonts w:cs="Arial"/>
        </w:rPr>
        <w:t>O</w:t>
      </w:r>
      <w:r w:rsidR="003B4DF2" w:rsidRPr="00F32F76">
        <w:rPr>
          <w:rFonts w:ascii="Cambria Math" w:hAnsi="Cambria Math" w:cs="Cambria Math"/>
        </w:rPr>
        <w:t>₂</w:t>
      </w:r>
      <w:r w:rsidR="003B4DF2" w:rsidRPr="00F32F76">
        <w:rPr>
          <w:rFonts w:cs="Arial"/>
        </w:rPr>
        <w:t xml:space="preserve"> formation in a single reaction step and avoids the </w:t>
      </w:r>
      <w:r w:rsidR="00303E87" w:rsidRPr="00303E87">
        <w:rPr>
          <w:rFonts w:cs="Arial"/>
          <w:lang w:val="en-GB"/>
        </w:rPr>
        <w:t>multistep anthraquinone process, which is associated with high solvent consumption and centralized large-scale production</w:t>
      </w:r>
      <w:r w:rsidR="00303E87">
        <w:rPr>
          <w:rFonts w:cs="Arial"/>
          <w:lang w:val="en-GB"/>
        </w:rPr>
        <w:t xml:space="preserve"> </w:t>
      </w:r>
      <w:r w:rsidR="003B4DF2" w:rsidRPr="00F32F76">
        <w:rPr>
          <w:rFonts w:cs="Arial"/>
        </w:rPr>
        <w:fldChar w:fldCharType="begin"/>
      </w:r>
      <w:r w:rsidR="0000242F">
        <w:rPr>
          <w:rFonts w:cs="Arial"/>
        </w:rPr>
        <w:instrText xml:space="preserve"> ADDIN ZOTERO_ITEM CSL_CITATION {"citationID":"5AyXJTn4","properties":{"formattedCitation":"(Samanta, 2008; Yi et al., 2016)","plainCitation":"(Samanta, 2008; Yi et al., 2016)","dontUpdate":true,"noteIndex":0},"citationItems":[{"id":72,"uris":["http://zotero.org/users/19105841/items/XVBM3AER"],"itemData":{"id":72,"type":"article-journal","abstract":"Hydrogen peroxide (H2O2) is an important commodity chemical and its demand is growing signiﬁcantly in the chemical synthesis due to its ‘‘green’’ character. Currently, H2O2 is produced almost exclusively by the anthraquinone auto-oxidation (AO) process. The AO process involves indirect oxidation of hydrogen and thus avoids potentially explosive H2/O2 mixture. However, this large-scale process presents signiﬁcant safety issues associated with the transport of bulk H2O2. Moreover, the AO process can hardly be considered an environmentally friendly method. In view of this, more economical and environmentally cleaner routes have been explored for the production of H2O2. The liquid-phase catalytic direct synthesis of H2O2 from H2 and O2 offers an attractive green technology for small-scale/onsite production of H2O2. However, the direct synthesis process suffers from two major drawbacks: (i) potential hazards associated with H2/O2 mixtures and (ii) poor selectivity for H2O2 because the catalysts used for H2O2 synthesis are also active for its decomposition and hydrogenation to water as well as for H2 combustion. These serious issues and the recent developments in the direct H2O2 synthesis are discussed in this review. The roles of protons (H+) and halide ions in promoting the H2O2 selectivity are also examined in detail.","citation-key":"samantaDirectSynthesisHydrogen2008","container-title":"Applied Catalysis A: General","DOI":"10.1016/j.apcata.2008.07.043","ISSN":"0926860X","issue":"2","journalAbbreviation":"Applied Catalysis A: General","language":"en","page":"133-149","source":"DOI.org (Crossref)","title":"Direct synthesis of hydrogen peroxide from hydrogen and oxygen: An overview of recent developments in the process","title-short":"Direct synthesis of hydrogen peroxide from hydrogen and oxygen","volume":"350","author":[{"family":"Samanta","given":"Chanchal"}],"issued":{"date-parts":[["2008",11,30]]}}},{"id":9099,"uris":["http://zotero.org/users/19105841/items/TBXSZTEK"],"itemData":{"id":9099,"type":"article-journal","abstract":"The direct synthesis of H\n              2\n              O\n              2\n              from H\n              2\n              and O\n              2\n              using Pd catalyst, fuel cell and plasma methods have been reviewed systematically.\n            \n          , \n            \n              Hydrogen peroxide (H\n              2\n              O\n              2\n              ) as a highly efficient and green oxidant has become one of the 100 most important chemicals in the world. Some current research progress in the direct synthesis of H\n              2\n              O\n              2\n              from H\n              2\n              and O\n              2\n              by noble-metal catalyst, fuel cell and plasma methods has been reviewed systematically in this paper. Perspectives about the development direction and application prospect of the above-mentioned three methods have also been discussed.","citation-key":"yiReviewResearchProgress2016","container-title":"Catalysis Science &amp; Technology","DOI":"10.1039/C5CY01567G","ISSN":"2044-4753, 2044-4761","issue":"6","journalAbbreviation":"Catal. Sci. Technol.","language":"en","page":"1593-1610","source":"DOI.org (Crossref)","title":"A review on research progress in the direct synthesis of hydrogen peroxide from hydrogen and oxygen: noble-metal catalytic method, fuel-cell method and plasma method","title-short":"A review on research progress in the direct synthesis of hydrogen peroxide from hydrogen and oxygen","volume":"6","author":[{"family":"Yi","given":"Yanhui"},{"family":"Wang","given":"Li"},{"family":"Li","given":"Gang"},{"family":"Guo","given":"Hongchen"}],"issued":{"date-parts":[["2016"]]}}}],"schema":"https://github.com/citation-style-language/schema/raw/master/csl-citation.json"} </w:instrText>
      </w:r>
      <w:r w:rsidR="003B4DF2" w:rsidRPr="00F32F76">
        <w:rPr>
          <w:rFonts w:cs="Arial"/>
        </w:rPr>
        <w:fldChar w:fldCharType="separate"/>
      </w:r>
      <w:r w:rsidR="00303E87" w:rsidRPr="00303E87">
        <w:rPr>
          <w:rFonts w:cs="Arial"/>
        </w:rPr>
        <w:t>(Samanta, 2008</w:t>
      </w:r>
      <w:r w:rsidR="00F73274">
        <w:rPr>
          <w:rFonts w:cs="Arial"/>
        </w:rPr>
        <w:t>)</w:t>
      </w:r>
      <w:r w:rsidR="003B4DF2" w:rsidRPr="00F32F76">
        <w:rPr>
          <w:rFonts w:cs="Arial"/>
        </w:rPr>
        <w:fldChar w:fldCharType="end"/>
      </w:r>
      <w:r w:rsidR="003B4DF2" w:rsidRPr="00F32F76">
        <w:rPr>
          <w:rFonts w:cs="Arial"/>
        </w:rPr>
        <w:t>. In contrast, H</w:t>
      </w:r>
      <w:r w:rsidR="003B4DF2" w:rsidRPr="00F32F76">
        <w:rPr>
          <w:rFonts w:ascii="Cambria Math" w:hAnsi="Cambria Math" w:cs="Cambria Math"/>
        </w:rPr>
        <w:t>₂</w:t>
      </w:r>
      <w:r w:rsidR="003B4DF2" w:rsidRPr="00F32F76">
        <w:rPr>
          <w:rFonts w:cs="Arial"/>
        </w:rPr>
        <w:t>O</w:t>
      </w:r>
      <w:r w:rsidR="003B4DF2" w:rsidRPr="00F32F76">
        <w:rPr>
          <w:rFonts w:ascii="Cambria Math" w:hAnsi="Cambria Math" w:cs="Cambria Math"/>
        </w:rPr>
        <w:t>₂</w:t>
      </w:r>
      <w:r w:rsidR="003B4DF2" w:rsidRPr="00F32F76">
        <w:rPr>
          <w:rFonts w:cs="Arial"/>
        </w:rPr>
        <w:t xml:space="preserve"> direct synthesis allows </w:t>
      </w:r>
      <w:r w:rsidR="00DE28A4" w:rsidRPr="00496226">
        <w:rPr>
          <w:rFonts w:cs="Arial"/>
          <w:i/>
          <w:iCs/>
        </w:rPr>
        <w:t>in situ</w:t>
      </w:r>
      <w:r w:rsidR="00691C40" w:rsidRPr="00F32F76">
        <w:rPr>
          <w:rFonts w:cs="Arial"/>
        </w:rPr>
        <w:t xml:space="preserve"> production</w:t>
      </w:r>
      <w:r w:rsidR="001155E8">
        <w:rPr>
          <w:rFonts w:cs="Arial"/>
        </w:rPr>
        <w:t xml:space="preserve"> of low </w:t>
      </w:r>
      <w:r w:rsidR="001155E8" w:rsidRPr="00F32F76">
        <w:rPr>
          <w:rFonts w:cs="Arial"/>
        </w:rPr>
        <w:t>H</w:t>
      </w:r>
      <w:r w:rsidR="001155E8" w:rsidRPr="00F32F76">
        <w:rPr>
          <w:rFonts w:ascii="Cambria Math" w:hAnsi="Cambria Math" w:cs="Cambria Math"/>
        </w:rPr>
        <w:t>₂</w:t>
      </w:r>
      <w:r w:rsidR="001155E8" w:rsidRPr="00F32F76">
        <w:rPr>
          <w:rFonts w:cs="Arial"/>
        </w:rPr>
        <w:t>O</w:t>
      </w:r>
      <w:r w:rsidR="001155E8" w:rsidRPr="00F32F76">
        <w:rPr>
          <w:rFonts w:ascii="Cambria Math" w:hAnsi="Cambria Math" w:cs="Cambria Math"/>
        </w:rPr>
        <w:t>₂</w:t>
      </w:r>
      <w:r w:rsidR="001155E8" w:rsidRPr="00F32F76">
        <w:rPr>
          <w:rFonts w:cs="Arial"/>
        </w:rPr>
        <w:t xml:space="preserve"> </w:t>
      </w:r>
      <w:r w:rsidR="001155E8">
        <w:rPr>
          <w:rFonts w:cs="Arial"/>
        </w:rPr>
        <w:t>concentrations, which makes it potentially</w:t>
      </w:r>
      <w:r w:rsidR="003B4DF2" w:rsidRPr="00F32F76">
        <w:rPr>
          <w:rFonts w:cs="Arial"/>
        </w:rPr>
        <w:t xml:space="preserve"> suitable for integration with enzymatic processes.</w:t>
      </w:r>
      <w:r w:rsidR="00FF550F">
        <w:rPr>
          <w:rFonts w:cs="Arial"/>
        </w:rPr>
        <w:t xml:space="preserve"> The reaction network</w:t>
      </w:r>
      <w:r w:rsidR="00303E87" w:rsidRPr="00303E87">
        <w:rPr>
          <w:rFonts w:cs="Arial"/>
          <w:lang w:val="en-GB"/>
        </w:rPr>
        <w:t xml:space="preserve"> involves competing reactions such as water formation, peroxide decomposition, and hydrogenation, which limit selectivity </w:t>
      </w:r>
      <w:r w:rsidR="00303E87">
        <w:rPr>
          <w:rFonts w:cs="Arial"/>
          <w:lang w:val="en-GB"/>
        </w:rPr>
        <w:t xml:space="preserve">especially </w:t>
      </w:r>
      <w:r w:rsidR="00303E87" w:rsidRPr="00303E87">
        <w:rPr>
          <w:rFonts w:cs="Arial"/>
          <w:lang w:val="en-GB"/>
        </w:rPr>
        <w:t xml:space="preserve">under near-neutral pH conditions </w:t>
      </w:r>
      <w:r w:rsidR="00303E87">
        <w:rPr>
          <w:rFonts w:cs="Arial"/>
          <w:lang w:val="en-GB"/>
        </w:rPr>
        <w:fldChar w:fldCharType="begin"/>
      </w:r>
      <w:r w:rsidR="00303E87">
        <w:rPr>
          <w:rFonts w:cs="Arial"/>
          <w:lang w:val="en-GB"/>
        </w:rPr>
        <w:instrText xml:space="preserve"> ADDIN ZOTERO_ITEM CSL_CITATION {"citationID":"oJ5kJe6i","properties":{"formattedCitation":"(Dittmeyer et al., 2015)","plainCitation":"(Dittmeyer et al., 2015)","noteIndex":0},"citationItems":[{"id":5033,"uris":["http://zotero.org/users/19105841/items/6YD66DXY"],"itemData":{"id":5033,"type":"article-journal","abstract":"The recent literature on direct synthesis of H2O2 is reviewed with respect to two important directions. The best catalysts to date are assessed with a view to their composition, e.g., alloys, and regarding the role of the support material and solvent used. Moreover, a number of novel reactor concepts that have been proposed in literature for direct synthesis of H2O2 are analyzed with a focus on their potential for practical implementation. These include: (i) microchannel process technology for safe mixing and conversion of the reactants in undiluted gaseous state, (ii) dense palladium-based membranes acting as a means to prevent gas-phase contact of the reactants while providing a catalytically active interface, (iii) asymmetrically porous catalytic membranes operated in wetted state as an interphase contactor where one reactant is introduced in a controlled way from the gas phase into the liquid reaction medium, (iv) microreactors for multiphase operation with improved mass transfer efficiency compared to conventional reactor technologies, and (v) electrocatalytic synthesis, both in electrolysis mode and in fuel cell mode, which also promise improved safety by avoiding gas-phase mixing of hydrogen and oxygen and increased selectivity due to improved reaction control. Concerning the first aim, an acid-pretreated 5 wt.% Pd/C catalyst appears to be the best choice for methanol as solvent whereas a Pd-Au exchanged Cs-containing heteropolyacid catalyst is the current benchmark for water as solvent. With proper acid pre-treatment of the Pd/C catalyst or acid function incorporated into the support (heteropoly acids), no halides and no inorganic acids are needed in the solvent to prevent hydrogen peroxide decomposition. However, the H2O2 hydrogenation activity in pure water is still rather high which limits the selectivity. Among the different reactor concepts, microchannel process technology seems to offer key advantages in terms of high productivity, selectivity and process safety. The electrocatalytic approach also looks promising. However, major achievements are still needed, e.g., successful scale-up of these concepts to relevant throughputs confirming the good performance obtained in lab scale.","citation-key":"dittmeyerReviewCatalystPerformance2015","container-title":"Catalysis Today","DOI":"10.1016/j.cattod.2014.03.055","ISSN":"09205861","page":"149-159","publisher":"Elsevier B.V.","title":"A review of catalyst performance and novel reaction engineering concepts in direct synthesis of hydrogen peroxide","volume":"248","author":[{"family":"Dittmeyer","given":"R."},{"family":"Grunwaldt","given":"J. D."},{"family":"Pashkova","given":"A."}],"issued":{"date-parts":[["2015",6,15]]}}}],"schema":"https://github.com/citation-style-language/schema/raw/master/csl-citation.json"} </w:instrText>
      </w:r>
      <w:r w:rsidR="00303E87">
        <w:rPr>
          <w:rFonts w:cs="Arial"/>
          <w:lang w:val="en-GB"/>
        </w:rPr>
        <w:fldChar w:fldCharType="separate"/>
      </w:r>
      <w:r w:rsidR="00303E87" w:rsidRPr="00303E87">
        <w:rPr>
          <w:rFonts w:cs="Arial"/>
        </w:rPr>
        <w:t>(Dittmeyer et al., 2015)</w:t>
      </w:r>
      <w:r w:rsidR="00303E87">
        <w:rPr>
          <w:rFonts w:cs="Arial"/>
          <w:lang w:val="en-GB"/>
        </w:rPr>
        <w:fldChar w:fldCharType="end"/>
      </w:r>
      <w:r w:rsidR="00303E87" w:rsidRPr="00303E87">
        <w:rPr>
          <w:rFonts w:cs="Arial"/>
          <w:lang w:val="en-GB"/>
        </w:rPr>
        <w:t>. This pH range is</w:t>
      </w:r>
      <w:r w:rsidR="00B5515F">
        <w:rPr>
          <w:rFonts w:cs="Arial"/>
          <w:lang w:val="en-GB"/>
        </w:rPr>
        <w:t xml:space="preserve"> </w:t>
      </w:r>
      <w:r w:rsidR="00303E87" w:rsidRPr="00303E87">
        <w:rPr>
          <w:rFonts w:cs="Arial"/>
          <w:lang w:val="en-GB"/>
        </w:rPr>
        <w:t>required for UPO stability and</w:t>
      </w:r>
      <w:r w:rsidR="00303E87">
        <w:rPr>
          <w:rFonts w:cs="Arial"/>
          <w:lang w:val="en-GB"/>
        </w:rPr>
        <w:t xml:space="preserve"> </w:t>
      </w:r>
      <w:r w:rsidR="00303E87" w:rsidRPr="00303E87">
        <w:rPr>
          <w:rFonts w:cs="Arial"/>
          <w:lang w:val="en-GB"/>
        </w:rPr>
        <w:t>activity</w:t>
      </w:r>
      <w:r w:rsidR="00C242A0">
        <w:rPr>
          <w:rFonts w:cs="Arial"/>
          <w:lang w:val="en-GB"/>
        </w:rPr>
        <w:t xml:space="preserve"> </w:t>
      </w:r>
      <w:r w:rsidR="00C242A0">
        <w:rPr>
          <w:rFonts w:cs="Arial"/>
          <w:lang w:val="en-GB"/>
        </w:rPr>
        <w:fldChar w:fldCharType="begin"/>
      </w:r>
      <w:r w:rsidR="00C242A0">
        <w:rPr>
          <w:rFonts w:cs="Arial"/>
          <w:lang w:val="en-GB"/>
        </w:rPr>
        <w:instrText xml:space="preserve"> ADDIN ZOTERO_ITEM CSL_CITATION {"citationID":"rIOmnF9o","properties":{"formattedCitation":"(Karich et al., 2016)","plainCitation":"(Karich et al., 2016)","noteIndex":0},"citationItems":[{"id":9153,"uris":["http://zotero.org/users/19105841/items/D2FAHMXF"],"itemData":{"id":9153,"type":"article-journal","abstract":"The catalase activity of three unspeciﬁc peroxygenases (UPOs) from the agaric basidiomycetes Agrocybe aegerita, Coprinopsis cinerea and Marasmius rotula was investigated. The study included analysis of pH dependency of the catalase reaction and H2O2 mediated enzyme inactivation as well as experiments on the inﬂuence of a second substrate on the course of catalase reaction. Apparent kinetic parameters (Km, kcat) for the catalase activity of UPOs were determined. Inactivation of UPOs by H2O2 is discussed with regard to O2 production and remaining UPO activity. Furthermore formation of biliverdin as heme destruction product was demonstrated along with the formation of UPO compound III as a possible intermediate that forces the destruction process. Radical trapping experiments with methyl benzoate gave indication for the formation of hydroxyl radicals in the presence of excess H2O2. Eventually, a plausible pathway of heme destruction has been proposed, proceeding via UPO compound III and subsequent hydroxyl radical formation, which in turn may cause heme bleaching and verdoheme and biliverdin formation.","citation-key":"karichExploringCatalaseActivity2016","container-title":"Journal of Molecular Catalysis B: Enzymatic","DOI":"10.1016/j.molcatb.2016.10.014","ISSN":"13811177","journalAbbreviation":"Journal of Molecular Catalysis B: Enzymatic","language":"en","page":"238-246","source":"DOI.org (Crossref)","title":"Exploring the catalase activity of unspecific peroxygenases and the mechanism of peroxide-dependent heme destruction","volume":"134","author":[{"family":"Karich","given":"Alexander"},{"family":"Scheibner","given":"Katrin"},{"family":"Ullrich","given":"René"},{"family":"Hofrichter","given":"Martin"}],"issued":{"date-parts":[["2016",12]]}}}],"schema":"https://github.com/citation-style-language/schema/raw/master/csl-citation.json"} </w:instrText>
      </w:r>
      <w:r w:rsidR="00C242A0">
        <w:rPr>
          <w:rFonts w:cs="Arial"/>
          <w:lang w:val="en-GB"/>
        </w:rPr>
        <w:fldChar w:fldCharType="separate"/>
      </w:r>
      <w:r w:rsidR="00C242A0" w:rsidRPr="00C242A0">
        <w:rPr>
          <w:rFonts w:cs="Arial"/>
        </w:rPr>
        <w:t>(Karich et al., 2016)</w:t>
      </w:r>
      <w:r w:rsidR="00C242A0">
        <w:rPr>
          <w:rFonts w:cs="Arial"/>
          <w:lang w:val="en-GB"/>
        </w:rPr>
        <w:fldChar w:fldCharType="end"/>
      </w:r>
      <w:r w:rsidR="00303E87" w:rsidRPr="00303E87">
        <w:rPr>
          <w:rFonts w:cs="Arial"/>
          <w:lang w:val="en-GB"/>
        </w:rPr>
        <w:t>.</w:t>
      </w:r>
    </w:p>
    <w:p w14:paraId="76AE13E1" w14:textId="09D4D6FA" w:rsidR="00D84B8B" w:rsidRPr="00DE28A4" w:rsidRDefault="00DE28A4" w:rsidP="00EA428A">
      <w:pPr>
        <w:pStyle w:val="CETBodytext"/>
        <w:rPr>
          <w:rFonts w:cs="Arial"/>
          <w:lang w:val="en-GB"/>
        </w:rPr>
      </w:pPr>
      <w:r w:rsidRPr="00DE28A4">
        <w:rPr>
          <w:rFonts w:cs="Arial"/>
          <w:lang w:val="en-GB"/>
        </w:rPr>
        <w:t>The coupling of H</w:t>
      </w:r>
      <w:r w:rsidRPr="00DE28A4">
        <w:rPr>
          <w:rFonts w:ascii="Cambria Math" w:hAnsi="Cambria Math" w:cs="Cambria Math"/>
          <w:lang w:val="en-GB"/>
        </w:rPr>
        <w:t>₂</w:t>
      </w:r>
      <w:r w:rsidRPr="00DE28A4">
        <w:rPr>
          <w:rFonts w:cs="Arial"/>
          <w:lang w:val="en-GB"/>
        </w:rPr>
        <w:t>O</w:t>
      </w:r>
      <w:r w:rsidRPr="00DE28A4">
        <w:rPr>
          <w:rFonts w:ascii="Cambria Math" w:hAnsi="Cambria Math" w:cs="Cambria Math"/>
          <w:lang w:val="en-GB"/>
        </w:rPr>
        <w:t>₂</w:t>
      </w:r>
      <w:r w:rsidRPr="00DE28A4">
        <w:rPr>
          <w:rFonts w:cs="Arial"/>
          <w:lang w:val="en-GB"/>
        </w:rPr>
        <w:t xml:space="preserve"> direct synthesis with peroxygenase catalysis has been demonstrated previously, enabling continuous low-level peroxide supply and efficient substrate hydroxylation. Catalyst composition and formulation were identified as key parameters</w:t>
      </w:r>
      <w:r w:rsidR="00C51B6A">
        <w:rPr>
          <w:rFonts w:cs="Arial"/>
          <w:lang w:val="en-GB"/>
        </w:rPr>
        <w:t xml:space="preserve"> for</w:t>
      </w:r>
      <w:r w:rsidRPr="00DE28A4">
        <w:rPr>
          <w:rFonts w:cs="Arial"/>
          <w:lang w:val="en-GB"/>
        </w:rPr>
        <w:t xml:space="preserve"> system performance</w:t>
      </w:r>
      <w:r w:rsidR="00131940">
        <w:rPr>
          <w:rFonts w:cs="Arial"/>
          <w:lang w:val="en-GB"/>
        </w:rPr>
        <w:t xml:space="preserve"> in tandem systems where cyclohexane was hydroxylated to cyclohexanol</w:t>
      </w:r>
      <w:r w:rsidRPr="00DE28A4">
        <w:rPr>
          <w:rFonts w:cs="Arial"/>
          <w:lang w:val="en-GB"/>
        </w:rPr>
        <w:t xml:space="preserve"> </w:t>
      </w:r>
      <w:r w:rsidR="00AE67C5">
        <w:rPr>
          <w:rFonts w:cs="Arial"/>
          <w:lang w:val="en-GB"/>
        </w:rPr>
        <w:fldChar w:fldCharType="begin"/>
      </w:r>
      <w:r w:rsidR="00AE67C5">
        <w:rPr>
          <w:rFonts w:cs="Arial"/>
          <w:lang w:val="en-GB"/>
        </w:rPr>
        <w:instrText xml:space="preserve"> ADDIN ZOTERO_ITEM CSL_CITATION {"citationID":"GJw5nXWr","properties":{"unsorted":true,"formattedCitation":"(Freakley et al., 2019; Brehm et al., 2022)","plainCitation":"(Freakley et al., 2019; Brehm et al., 2022)","noteIndex":0},"citationItems":[{"id":6510,"uris":["http://zotero.org/users/19105841/items/55R2RECX"],"itemData":{"id":6510,"type":"article-journal","abstract":"Continuous low-level supply or in situ generation of hydrogen peroxide (H2O2) is essential for the stability of unspecific peroxygenases, which are deemed ideal biocatalysts for the selective activation of C–H bonds. To envisage potential large scale applications of combined catalytic systems the reactions need to be simple, efficient and produce minimal by-products. We show that gold-palladium nanoparticles supported on TiO2 or carbon have sufficient activity at ambient temperature and pressure to generate H2O2 from H2 and O2 and supply the oxidant to the engineered unspecific heme-thiolate peroxygenase PaDa-I. This tandem catalyst combination facilitates efficient oxidation of a range of C-H bonds to hydroxylated products in one reaction vessel with only water as a by-product under conditions that could be easily scaled.","citation-key":"freakleyChemoenzymaticOxidationCascade2019","container-title":"Nature Communications","DOI":"10.1038/s41467-019-12120-w","ISSN":"20411723","issue":"1","PMID":"31519878","publisher":"Nature Publishing Group","title":"A chemo-enzymatic oxidation cascade to activate C–H bonds with in situ generated H2O2","volume":"10","author":[{"family":"Freakley","given":"Simon J."},{"family":"Kochius","given":"Svenja"},{"family":"Marwijk","given":"Jacqueline","non-dropping-particle":"van"},{"family":"Fenner","given":"Caryn"},{"family":"Lewis","given":"Richard J."},{"family":"Baldenius","given":"Kai"},{"family":"Marais","given":"Sarel S."},{"family":"Opperman","given":"Diederik J."},{"family":"Harrison","given":"Susan T.L."},{"family":"Alcalde","given":"Miguel"},{"family":"Smit","given":"Martha S."},{"family":"Hutchings","given":"Graham J."}],"issued":{"date-parts":[["2019",12,1]]}}},{"id":99,"uris":["http://zotero.org/users/19105841/items/CXYE4LLY"],"itemData":{"id":99,"type":"article-journal","abstract":"The combination of an evolved unspecific peroxygenase (UPO), from Agrocybe aegerita (PaDa-I variant) and bimetallic Pd-based catalysts, is demonstrated to be highly effective for the one-pot oxidative valorization of cyclohexane to cyclohexanol and cyclohexanone (collectively KA oil), via the in situ formation of H2O2 from the elements. The alloying of Pd with Zn in particular is found to significantly enhance catalytic performance compared to bimetallic PdAu or monometallic Pd analogues. The improved activity of the PdZn/TiO2/PaDa-I system is attributed to the facile formation of PdZn alloys and the resulting electronic modification of Pd, which results in an inhibition of competitive chemo-catalyzed H2O2 degradation reactions and the total suppression of the overoxidation of cyclohexanol. By comparison, the large population of Pd-only clusters present in both the PdAu and monometallic Pd catalysts is considered to be responsible for the promotion of further oxidation products and the unselective conversion of H2O2 to H2O, which hampers overall process efficiency. Notably, given the susceptibility of the enzyme to deactivation at moderate H2O2 concentrations, the continual supply of low levels of the oxidant via in situ production represents a highly attractive alternative to the continuous addition of preformed H2O2 or co-enzyme-based systems.","citation-key":"brehmEnhancingChemoEnzymaticOnePot2022b","container-title":"ACS Catalysis","DOI":"10.1021/acscatal.2c03051","ISSN":"2155-5435, 2155-5435","issue":"19","journalAbbreviation":"ACS Catal.","language":"en","page":"11776-11789","source":"DOI.org (Crossref)","title":"Enhancing the Chemo-Enzymatic One-Pot Oxidation of Cyclohexane via In Situ H &lt;sub&gt;2&lt;/sub&gt; O &lt;sub&gt;2&lt;/sub&gt; Production over Supported Pd-Based Catalysts","volume":"12","author":[{"family":"Brehm","given":"Joseph"},{"family":"Lewis","given":"Richard J."},{"family":"Richards","given":"Thomas"},{"family":"Qin","given":"Tian"},{"family":"Morgan","given":"David J."},{"family":"Davies","given":"Thomas E."},{"family":"Chen","given":"Liwei"},{"family":"Liu","given":"Xi"},{"family":"Hutchings","given":"Graham J."}],"issued":{"date-parts":[["2022",10,7]]}}}],"schema":"https://github.com/citation-style-language/schema/raw/master/csl-citation.json"} </w:instrText>
      </w:r>
      <w:r w:rsidR="00AE67C5">
        <w:rPr>
          <w:rFonts w:cs="Arial"/>
          <w:lang w:val="en-GB"/>
        </w:rPr>
        <w:fldChar w:fldCharType="separate"/>
      </w:r>
      <w:r w:rsidR="00AE67C5" w:rsidRPr="00AE67C5">
        <w:rPr>
          <w:rFonts w:cs="Arial"/>
        </w:rPr>
        <w:t>(Freakley et al., 2019; Brehm et al., 2022)</w:t>
      </w:r>
      <w:r w:rsidR="00AE67C5">
        <w:rPr>
          <w:rFonts w:cs="Arial"/>
          <w:lang w:val="en-GB"/>
        </w:rPr>
        <w:fldChar w:fldCharType="end"/>
      </w:r>
      <w:r w:rsidR="00131940">
        <w:rPr>
          <w:rFonts w:cs="Arial"/>
          <w:lang w:val="en-GB"/>
        </w:rPr>
        <w:t>.</w:t>
      </w:r>
      <w:r w:rsidR="00C51B6A">
        <w:rPr>
          <w:rFonts w:cs="Arial"/>
          <w:lang w:val="en-GB"/>
        </w:rPr>
        <w:t xml:space="preserve"> </w:t>
      </w:r>
      <w:r w:rsidR="00452509" w:rsidRPr="00F32F76">
        <w:rPr>
          <w:rFonts w:cs="Arial"/>
        </w:rPr>
        <w:t>M</w:t>
      </w:r>
      <w:r w:rsidR="00D84B8B" w:rsidRPr="00F32F76">
        <w:rPr>
          <w:rFonts w:cs="Arial"/>
        </w:rPr>
        <w:t>ost</w:t>
      </w:r>
      <w:r w:rsidR="006762E7" w:rsidRPr="00F32F76">
        <w:rPr>
          <w:rFonts w:cs="Arial"/>
        </w:rPr>
        <w:t xml:space="preserve"> reported tandem systems have been investigated under batch one-pot conditions. </w:t>
      </w:r>
      <w:r w:rsidR="00B5515F" w:rsidRPr="00B5515F">
        <w:rPr>
          <w:rFonts w:cs="Arial"/>
        </w:rPr>
        <w:t xml:space="preserve">Although batch systems allow for catalyst screening, they provide limited control over the oxidant compared to fed-batch or continuous systems. This can affect the robustness of the process and make enzyme </w:t>
      </w:r>
      <w:r w:rsidR="00B86CD4" w:rsidRPr="00B5515F">
        <w:rPr>
          <w:rFonts w:cs="Arial"/>
        </w:rPr>
        <w:t>immobili</w:t>
      </w:r>
      <w:r w:rsidR="00B86CD4">
        <w:rPr>
          <w:rFonts w:cs="Arial"/>
        </w:rPr>
        <w:t>z</w:t>
      </w:r>
      <w:r w:rsidR="00B86CD4" w:rsidRPr="00B5515F">
        <w:rPr>
          <w:rFonts w:cs="Arial"/>
        </w:rPr>
        <w:t>ation</w:t>
      </w:r>
      <w:r w:rsidR="00B5515F" w:rsidRPr="00B5515F">
        <w:rPr>
          <w:rFonts w:cs="Arial"/>
        </w:rPr>
        <w:t xml:space="preserve"> necessary.</w:t>
      </w:r>
      <w:r w:rsidR="00B5515F">
        <w:rPr>
          <w:rFonts w:cs="Arial"/>
        </w:rPr>
        <w:t xml:space="preserve"> </w:t>
      </w:r>
      <w:r w:rsidR="00FF550F">
        <w:rPr>
          <w:rFonts w:cs="Arial"/>
        </w:rPr>
        <w:br/>
      </w:r>
      <w:r w:rsidR="00303E87" w:rsidRPr="00303E87">
        <w:rPr>
          <w:rFonts w:cs="Arial"/>
          <w:lang w:val="en-GB"/>
        </w:rPr>
        <w:t>In this work, a continuous fixed-bed tandem system combining palladium-</w:t>
      </w:r>
      <w:proofErr w:type="spellStart"/>
      <w:r w:rsidR="00303E87" w:rsidRPr="00303E87">
        <w:rPr>
          <w:rFonts w:cs="Arial"/>
          <w:lang w:val="en-GB"/>
        </w:rPr>
        <w:t>catalyzed</w:t>
      </w:r>
      <w:proofErr w:type="spellEnd"/>
      <w:r w:rsidR="00303E87" w:rsidRPr="00303E87">
        <w:rPr>
          <w:rFonts w:cs="Arial"/>
          <w:lang w:val="en-GB"/>
        </w:rPr>
        <w:t xml:space="preserve"> H</w:t>
      </w:r>
      <w:r w:rsidR="00303E87" w:rsidRPr="00303E87">
        <w:rPr>
          <w:rFonts w:ascii="Cambria Math" w:hAnsi="Cambria Math" w:cs="Cambria Math"/>
          <w:lang w:val="en-GB"/>
        </w:rPr>
        <w:t>₂</w:t>
      </w:r>
      <w:r w:rsidR="00303E87" w:rsidRPr="00303E87">
        <w:rPr>
          <w:rFonts w:cs="Arial"/>
          <w:lang w:val="en-GB"/>
        </w:rPr>
        <w:t>O</w:t>
      </w:r>
      <w:r w:rsidR="00303E87" w:rsidRPr="00303E87">
        <w:rPr>
          <w:rFonts w:ascii="Cambria Math" w:hAnsi="Cambria Math" w:cs="Cambria Math"/>
          <w:lang w:val="en-GB"/>
        </w:rPr>
        <w:t>₂</w:t>
      </w:r>
      <w:r w:rsidR="00303E87" w:rsidRPr="00303E87">
        <w:rPr>
          <w:rFonts w:cs="Arial"/>
          <w:lang w:val="en-GB"/>
        </w:rPr>
        <w:t xml:space="preserve"> direct synthesis </w:t>
      </w:r>
      <w:r w:rsidR="004609A1">
        <w:rPr>
          <w:rFonts w:cs="Arial"/>
          <w:lang w:val="en-GB"/>
        </w:rPr>
        <w:t>and</w:t>
      </w:r>
      <w:r w:rsidR="00303E87" w:rsidRPr="00303E87">
        <w:rPr>
          <w:rFonts w:cs="Arial"/>
          <w:lang w:val="en-GB"/>
        </w:rPr>
        <w:t xml:space="preserve"> </w:t>
      </w:r>
      <w:r w:rsidR="0000242F">
        <w:rPr>
          <w:rFonts w:cs="Arial"/>
          <w:lang w:val="en-GB"/>
        </w:rPr>
        <w:t>YSD-UPOs</w:t>
      </w:r>
      <w:r w:rsidR="00303E87" w:rsidRPr="00303E87">
        <w:rPr>
          <w:rFonts w:cs="Arial"/>
          <w:lang w:val="en-GB"/>
        </w:rPr>
        <w:t xml:space="preserve"> is investigated. Enzyme immobilization was achieved by yeast surface</w:t>
      </w:r>
      <w:r w:rsidR="002A4F8B">
        <w:rPr>
          <w:rFonts w:cs="Arial"/>
          <w:lang w:val="en-GB"/>
        </w:rPr>
        <w:t>-</w:t>
      </w:r>
      <w:r w:rsidR="00303E87" w:rsidRPr="00303E87">
        <w:rPr>
          <w:rFonts w:cs="Arial"/>
          <w:lang w:val="en-GB"/>
        </w:rPr>
        <w:t xml:space="preserve">display as a one-step </w:t>
      </w:r>
      <w:r w:rsidR="00303E87" w:rsidRPr="00303E87">
        <w:rPr>
          <w:rFonts w:cs="Arial"/>
          <w:lang w:val="en-GB"/>
        </w:rPr>
        <w:lastRenderedPageBreak/>
        <w:t>production and immobilization strateg</w:t>
      </w:r>
      <w:r w:rsidR="00402774">
        <w:rPr>
          <w:rFonts w:cs="Arial"/>
          <w:lang w:val="en-GB"/>
        </w:rPr>
        <w:t xml:space="preserve">y </w:t>
      </w:r>
      <w:r w:rsidR="00D32F50">
        <w:rPr>
          <w:rFonts w:cs="Arial"/>
          <w:lang w:val="en-GB"/>
        </w:rPr>
        <w:fldChar w:fldCharType="begin"/>
      </w:r>
      <w:r w:rsidR="00D32F50">
        <w:rPr>
          <w:rFonts w:cs="Arial"/>
          <w:lang w:val="en-GB"/>
        </w:rPr>
        <w:instrText xml:space="preserve"> ADDIN ZOTERO_ITEM CSL_CITATION {"citationID":"QhawZHsV","properties":{"formattedCitation":"(Teetz et al., 2024)","plainCitation":"(Teetz et al., 2024)","noteIndex":0},"citationItems":[{"id":9159,"uris":["http://zotero.org/users/19105841/items/SXA7E9DU"],"itemData":{"id":9159,"type":"article-journal","abstract":"Abstract\n            \n              Unspecific peroxygenases (UPOs) are regarded as a “dream catalyst” for selective oxyfunctionalization reactions like oxygenations. We present the display of the model UPO r\n              Aae\n              UPO (PaDa−I) on the cell surface of the heterologous production host\n              Komagataella phaffii\n              as a one</w:instrText>
      </w:r>
      <w:r w:rsidR="00D32F50">
        <w:rPr>
          <w:rFonts w:ascii="Cambria Math" w:hAnsi="Cambria Math" w:cs="Cambria Math"/>
          <w:lang w:val="en-GB"/>
        </w:rPr>
        <w:instrText>‐</w:instrText>
      </w:r>
      <w:r w:rsidR="00D32F50">
        <w:rPr>
          <w:rFonts w:cs="Arial"/>
          <w:lang w:val="en-GB"/>
        </w:rPr>
        <w:instrText>step production and immobilization process. The coding sequence for PaDa−I was combined with genes coding for cell wall proteins from\n              Saccharomyces cerevisiae\n              and transformed into\n              K. phaffii\n              . The fusion proteins were compared among each other and with secreted, free PaDa−I. One system in particular, a C</w:instrText>
      </w:r>
      <w:r w:rsidR="00D32F50">
        <w:rPr>
          <w:rFonts w:ascii="Cambria Math" w:hAnsi="Cambria Math" w:cs="Cambria Math"/>
          <w:lang w:val="en-GB"/>
        </w:rPr>
        <w:instrText>‐</w:instrText>
      </w:r>
      <w:r w:rsidR="00D32F50">
        <w:rPr>
          <w:rFonts w:cs="Arial"/>
          <w:lang w:val="en-GB"/>
        </w:rPr>
        <w:instrText>terminal fusion of PaDa−I and Sag1 yielded near identical activity per volume culture broth to the secreted PaDa−I with ~90 % of the activity being at the cell wall. The surface display simplifies downstream processing and includes immobilization on a cheap, retainable and replaceable matrix, that is the production host itself. The enzymes remained active in a repeated batch process for 10 batches and 200 h of catalysis.","citation-key":"teetzYeastSurfaceDisplay2024","container-title":"ChemCatChem","DOI":"10.1002/cctc.202400908","ISSN":"1867-3880, 1867-3899","issue":"21","journalAbbreviation":"ChemCatChem","language":"en","page":"e202400908","source":"DOI.org (Crossref)","title":"Yeast Surface Display Enables One</w:instrText>
      </w:r>
      <w:r w:rsidR="00D32F50">
        <w:rPr>
          <w:rFonts w:ascii="Cambria Math" w:hAnsi="Cambria Math" w:cs="Cambria Math"/>
          <w:lang w:val="en-GB"/>
        </w:rPr>
        <w:instrText>‐</w:instrText>
      </w:r>
      <w:r w:rsidR="00D32F50">
        <w:rPr>
          <w:rFonts w:cs="Arial"/>
          <w:lang w:val="en-GB"/>
        </w:rPr>
        <w:instrText xml:space="preserve">Step Production and Immobilization of Unspecific Peroxygenases","volume":"16","author":[{"family":"Teetz","given":"Niklas"},{"family":"Lang","given":"Selina"},{"family":"Liese","given":"Andreas"},{"family":"Holtmann","given":"Dirk"}],"issued":{"date-parts":[["2024",11,11]]}}}],"schema":"https://github.com/citation-style-language/schema/raw/master/csl-citation.json"} </w:instrText>
      </w:r>
      <w:r w:rsidR="00D32F50">
        <w:rPr>
          <w:rFonts w:cs="Arial"/>
          <w:lang w:val="en-GB"/>
        </w:rPr>
        <w:fldChar w:fldCharType="separate"/>
      </w:r>
      <w:r w:rsidR="00D32F50" w:rsidRPr="00D32F50">
        <w:rPr>
          <w:rFonts w:cs="Arial"/>
        </w:rPr>
        <w:t>(Teetz et al., 2024)</w:t>
      </w:r>
      <w:r w:rsidR="00D32F50">
        <w:rPr>
          <w:rFonts w:cs="Arial"/>
          <w:lang w:val="en-GB"/>
        </w:rPr>
        <w:fldChar w:fldCharType="end"/>
      </w:r>
      <w:r w:rsidR="00D32F50">
        <w:rPr>
          <w:rFonts w:cs="Arial"/>
          <w:lang w:val="en-GB"/>
        </w:rPr>
        <w:t xml:space="preserve">. </w:t>
      </w:r>
      <w:r w:rsidR="00303E87" w:rsidRPr="00303E87">
        <w:rPr>
          <w:rFonts w:cs="Arial"/>
          <w:lang w:val="en-GB"/>
        </w:rPr>
        <w:t xml:space="preserve">UPOs were displayed on the surface of </w:t>
      </w:r>
      <w:proofErr w:type="spellStart"/>
      <w:r w:rsidR="00303E87" w:rsidRPr="00402774">
        <w:rPr>
          <w:rFonts w:cs="Arial"/>
          <w:i/>
          <w:iCs/>
          <w:lang w:val="en-GB"/>
        </w:rPr>
        <w:t>Komagataella</w:t>
      </w:r>
      <w:proofErr w:type="spellEnd"/>
      <w:r w:rsidR="00303E87" w:rsidRPr="00402774">
        <w:rPr>
          <w:rFonts w:cs="Arial"/>
          <w:i/>
          <w:iCs/>
          <w:lang w:val="en-GB"/>
        </w:rPr>
        <w:t xml:space="preserve"> </w:t>
      </w:r>
      <w:proofErr w:type="spellStart"/>
      <w:r w:rsidR="00303E87" w:rsidRPr="00402774">
        <w:rPr>
          <w:rFonts w:cs="Arial"/>
          <w:i/>
          <w:iCs/>
          <w:lang w:val="en-GB"/>
        </w:rPr>
        <w:t>phaffii</w:t>
      </w:r>
      <w:proofErr w:type="spellEnd"/>
      <w:r w:rsidR="00303E87" w:rsidRPr="00303E87">
        <w:rPr>
          <w:rFonts w:cs="Arial"/>
          <w:lang w:val="en-GB"/>
        </w:rPr>
        <w:t xml:space="preserve"> cells, which were subsequently </w:t>
      </w:r>
      <w:proofErr w:type="gramStart"/>
      <w:r w:rsidR="00303E87" w:rsidRPr="00303E87">
        <w:rPr>
          <w:rFonts w:cs="Arial"/>
          <w:lang w:val="en-GB"/>
        </w:rPr>
        <w:t>solvent-inactivated</w:t>
      </w:r>
      <w:proofErr w:type="gramEnd"/>
      <w:r w:rsidR="00303E87" w:rsidRPr="00303E87">
        <w:rPr>
          <w:rFonts w:cs="Arial"/>
          <w:lang w:val="en-GB"/>
        </w:rPr>
        <w:t xml:space="preserve"> to </w:t>
      </w:r>
      <w:r w:rsidR="00107091">
        <w:rPr>
          <w:rFonts w:cs="Arial"/>
          <w:lang w:val="en-GB"/>
        </w:rPr>
        <w:t>allow</w:t>
      </w:r>
      <w:r w:rsidR="00303E87" w:rsidRPr="00303E87">
        <w:rPr>
          <w:rFonts w:cs="Arial"/>
          <w:lang w:val="en-GB"/>
        </w:rPr>
        <w:t xml:space="preserve"> handling outside biosafety level 1 laboratories. The resulting enzyme-functionalized cell material was freeze-dried to obtain a stable catalyst powder suitable for packed-bed operation and combined with a Pd/</w:t>
      </w:r>
      <w:proofErr w:type="spellStart"/>
      <w:r w:rsidR="00303E87" w:rsidRPr="00303E87">
        <w:rPr>
          <w:rFonts w:cs="Arial"/>
          <w:lang w:val="en-GB"/>
        </w:rPr>
        <w:t>TiO</w:t>
      </w:r>
      <w:proofErr w:type="spellEnd"/>
      <w:r w:rsidR="00303E87" w:rsidRPr="00303E87">
        <w:rPr>
          <w:rFonts w:ascii="Cambria Math" w:hAnsi="Cambria Math" w:cs="Cambria Math"/>
          <w:lang w:val="en-GB"/>
        </w:rPr>
        <w:t>₂</w:t>
      </w:r>
      <w:r w:rsidR="00303E87" w:rsidRPr="00303E87">
        <w:rPr>
          <w:rFonts w:cs="Arial"/>
          <w:lang w:val="en-GB"/>
        </w:rPr>
        <w:t xml:space="preserve"> catalyst. Enzymatic activity and system compatibility were evaluated using ABTS as a one-electron oxidation probe and NBD to assess peroxygenase-</w:t>
      </w:r>
      <w:proofErr w:type="spellStart"/>
      <w:r w:rsidR="00303E87" w:rsidRPr="00303E87">
        <w:rPr>
          <w:rFonts w:cs="Arial"/>
          <w:lang w:val="en-GB"/>
        </w:rPr>
        <w:t>catalyzed</w:t>
      </w:r>
      <w:proofErr w:type="spellEnd"/>
      <w:r w:rsidR="00303E87" w:rsidRPr="00303E87">
        <w:rPr>
          <w:rFonts w:cs="Arial"/>
          <w:lang w:val="en-GB"/>
        </w:rPr>
        <w:t xml:space="preserve"> oxygen-transfer reactions.</w:t>
      </w:r>
    </w:p>
    <w:p w14:paraId="291B68DC" w14:textId="25587814" w:rsidR="00F32F76" w:rsidRDefault="006B7875" w:rsidP="00F32F76">
      <w:pPr>
        <w:pStyle w:val="CETHeading1"/>
      </w:pPr>
      <w:r>
        <w:t>Experimental Section</w:t>
      </w:r>
    </w:p>
    <w:p w14:paraId="5F0BEFF0" w14:textId="20DD6C18" w:rsidR="00F32F76" w:rsidRPr="001E706C" w:rsidRDefault="00433822" w:rsidP="001E706C">
      <w:pPr>
        <w:pStyle w:val="CETheadingx"/>
      </w:pPr>
      <w:r>
        <w:t xml:space="preserve">2.1 </w:t>
      </w:r>
      <w:r w:rsidR="00697896" w:rsidRPr="001E706C">
        <w:t>Yeast strain construction and cultivation</w:t>
      </w:r>
    </w:p>
    <w:p w14:paraId="1F3D367F" w14:textId="1F2A1BEF" w:rsidR="00627F1F" w:rsidRPr="004609A1" w:rsidRDefault="00350F33" w:rsidP="001637D9">
      <w:pPr>
        <w:pStyle w:val="CETBodytext"/>
        <w:rPr>
          <w:rFonts w:cs="Arial"/>
          <w:lang w:val="en-GB"/>
        </w:rPr>
      </w:pPr>
      <w:proofErr w:type="spellStart"/>
      <w:r w:rsidRPr="00350F33">
        <w:rPr>
          <w:rFonts w:cs="Arial"/>
          <w:i/>
          <w:iCs/>
          <w:lang w:val="en-GB"/>
        </w:rPr>
        <w:t>Komagataella</w:t>
      </w:r>
      <w:proofErr w:type="spellEnd"/>
      <w:r w:rsidRPr="00350F33">
        <w:rPr>
          <w:rFonts w:cs="Arial"/>
          <w:i/>
          <w:iCs/>
          <w:lang w:val="en-GB"/>
        </w:rPr>
        <w:t xml:space="preserve"> </w:t>
      </w:r>
      <w:proofErr w:type="spellStart"/>
      <w:r w:rsidRPr="00350F33">
        <w:rPr>
          <w:rFonts w:cs="Arial"/>
          <w:i/>
          <w:iCs/>
          <w:lang w:val="en-GB"/>
        </w:rPr>
        <w:t>phaffii</w:t>
      </w:r>
      <w:proofErr w:type="spellEnd"/>
      <w:r w:rsidRPr="00350F33">
        <w:rPr>
          <w:rFonts w:cs="Arial"/>
          <w:i/>
          <w:iCs/>
          <w:lang w:val="en-GB"/>
        </w:rPr>
        <w:t xml:space="preserve"> </w:t>
      </w:r>
      <w:r w:rsidRPr="00350F33">
        <w:rPr>
          <w:rFonts w:cs="Arial"/>
          <w:lang w:val="en-GB"/>
        </w:rPr>
        <w:t xml:space="preserve">strains displaying the evolved unspecific peroxygenase </w:t>
      </w:r>
      <w:proofErr w:type="spellStart"/>
      <w:r w:rsidRPr="00350F33">
        <w:rPr>
          <w:rFonts w:cs="Arial"/>
          <w:lang w:val="en-GB"/>
        </w:rPr>
        <w:t>AaeUPO</w:t>
      </w:r>
      <w:proofErr w:type="spellEnd"/>
      <w:r w:rsidRPr="00350F33">
        <w:rPr>
          <w:rFonts w:cs="Arial"/>
          <w:lang w:val="en-GB"/>
        </w:rPr>
        <w:t xml:space="preserve"> (</w:t>
      </w:r>
      <w:proofErr w:type="spellStart"/>
      <w:r w:rsidRPr="00350F33">
        <w:rPr>
          <w:rFonts w:cs="Arial"/>
          <w:lang w:val="en-GB"/>
        </w:rPr>
        <w:t>PaDa</w:t>
      </w:r>
      <w:proofErr w:type="spellEnd"/>
      <w:r w:rsidRPr="00350F33">
        <w:rPr>
          <w:rFonts w:cs="Arial"/>
          <w:lang w:val="en-GB"/>
        </w:rPr>
        <w:t xml:space="preserve"> I variant) </w:t>
      </w:r>
      <w:r>
        <w:rPr>
          <w:rFonts w:cs="Arial"/>
          <w:lang w:val="en-GB"/>
        </w:rPr>
        <w:t xml:space="preserve">originally derived </w:t>
      </w:r>
      <w:r w:rsidRPr="00350F33">
        <w:rPr>
          <w:rFonts w:cs="Arial"/>
          <w:lang w:val="en-GB"/>
        </w:rPr>
        <w:t xml:space="preserve">from </w:t>
      </w:r>
      <w:proofErr w:type="spellStart"/>
      <w:r w:rsidRPr="00350F33">
        <w:rPr>
          <w:rFonts w:cs="Arial"/>
          <w:i/>
          <w:iCs/>
          <w:lang w:val="en-GB"/>
        </w:rPr>
        <w:t>Agrocybe</w:t>
      </w:r>
      <w:proofErr w:type="spellEnd"/>
      <w:r w:rsidRPr="00350F33">
        <w:rPr>
          <w:rFonts w:cs="Arial"/>
          <w:i/>
          <w:iCs/>
          <w:lang w:val="en-GB"/>
        </w:rPr>
        <w:t xml:space="preserve"> </w:t>
      </w:r>
      <w:proofErr w:type="spellStart"/>
      <w:r w:rsidRPr="00350F33">
        <w:rPr>
          <w:rFonts w:cs="Arial"/>
          <w:i/>
          <w:iCs/>
          <w:lang w:val="en-GB"/>
        </w:rPr>
        <w:t>aegerita</w:t>
      </w:r>
      <w:proofErr w:type="spellEnd"/>
      <w:r w:rsidRPr="00350F33">
        <w:rPr>
          <w:rFonts w:cs="Arial"/>
          <w:lang w:val="en-GB"/>
        </w:rPr>
        <w:t xml:space="preserve"> were constructed as described previously</w:t>
      </w:r>
      <w:r>
        <w:rPr>
          <w:rFonts w:cs="Arial"/>
          <w:lang w:val="en-GB"/>
        </w:rPr>
        <w:t xml:space="preserve"> </w:t>
      </w:r>
      <w:r w:rsidR="00D32F50">
        <w:rPr>
          <w:rFonts w:cs="Arial"/>
          <w:lang w:val="en-GB"/>
        </w:rPr>
        <w:fldChar w:fldCharType="begin"/>
      </w:r>
      <w:r w:rsidR="00D32F50">
        <w:rPr>
          <w:rFonts w:cs="Arial"/>
          <w:lang w:val="en-GB"/>
        </w:rPr>
        <w:instrText xml:space="preserve"> ADDIN ZOTERO_ITEM CSL_CITATION {"citationID":"vBQOZx4b","properties":{"formattedCitation":"(Teetz et al., 2024)","plainCitation":"(Teetz et al., 2024)","noteIndex":0},"citationItems":[{"id":9159,"uris":["http://zotero.org/users/19105841/items/SXA7E9DU"],"itemData":{"id":9159,"type":"article-journal","abstract":"Abstract\n            \n              Unspecific peroxygenases (UPOs) are regarded as a “dream catalyst” for selective oxyfunctionalization reactions like oxygenations. We present the display of the model UPO r\n              Aae\n              UPO (PaDa−I) on the cell surface of the heterologous production host\n              Komagataella phaffii\n              as a one</w:instrText>
      </w:r>
      <w:r w:rsidR="00D32F50">
        <w:rPr>
          <w:rFonts w:ascii="Cambria Math" w:hAnsi="Cambria Math" w:cs="Cambria Math"/>
          <w:lang w:val="en-GB"/>
        </w:rPr>
        <w:instrText>‐</w:instrText>
      </w:r>
      <w:r w:rsidR="00D32F50">
        <w:rPr>
          <w:rFonts w:cs="Arial"/>
          <w:lang w:val="en-GB"/>
        </w:rPr>
        <w:instrText>step production and immobilization process. The coding sequence for PaDa−I was combined with genes coding for cell wall proteins from\n              Saccharomyces cerevisiae\n              and transformed into\n              K. phaffii\n              . The fusion proteins were compared among each other and with secreted, free PaDa−I. One system in particular, a C</w:instrText>
      </w:r>
      <w:r w:rsidR="00D32F50">
        <w:rPr>
          <w:rFonts w:ascii="Cambria Math" w:hAnsi="Cambria Math" w:cs="Cambria Math"/>
          <w:lang w:val="en-GB"/>
        </w:rPr>
        <w:instrText>‐</w:instrText>
      </w:r>
      <w:r w:rsidR="00D32F50">
        <w:rPr>
          <w:rFonts w:cs="Arial"/>
          <w:lang w:val="en-GB"/>
        </w:rPr>
        <w:instrText>terminal fusion of PaDa−I and Sag1 yielded near identical activity per volume culture broth to the secreted PaDa−I with ~90 % of the activity being at the cell wall. The surface display simplifies downstream processing and includes immobilization on a cheap, retainable and replaceable matrix, that is the production host itself. The enzymes remained active in a repeated batch process for 10 batches and 200 h of catalysis.","citation-key":"teetzYeastSurfaceDisplay2024","container-title":"ChemCatChem","DOI":"10.1002/cctc.202400908","ISSN":"1867-3880, 1867-3899","issue":"21","journalAbbreviation":"ChemCatChem","language":"en","page":"e202400908","source":"DOI.org (Crossref)","title":"Yeast Surface Display Enables One</w:instrText>
      </w:r>
      <w:r w:rsidR="00D32F50">
        <w:rPr>
          <w:rFonts w:ascii="Cambria Math" w:hAnsi="Cambria Math" w:cs="Cambria Math"/>
          <w:lang w:val="en-GB"/>
        </w:rPr>
        <w:instrText>‐</w:instrText>
      </w:r>
      <w:r w:rsidR="00D32F50">
        <w:rPr>
          <w:rFonts w:cs="Arial"/>
          <w:lang w:val="en-GB"/>
        </w:rPr>
        <w:instrText xml:space="preserve">Step Production and Immobilization of Unspecific Peroxygenases","volume":"16","author":[{"family":"Teetz","given":"Niklas"},{"family":"Lang","given":"Selina"},{"family":"Liese","given":"Andreas"},{"family":"Holtmann","given":"Dirk"}],"issued":{"date-parts":[["2024",11,11]]}}}],"schema":"https://github.com/citation-style-language/schema/raw/master/csl-citation.json"} </w:instrText>
      </w:r>
      <w:r w:rsidR="00D32F50">
        <w:rPr>
          <w:rFonts w:cs="Arial"/>
          <w:lang w:val="en-GB"/>
        </w:rPr>
        <w:fldChar w:fldCharType="separate"/>
      </w:r>
      <w:r w:rsidR="00D32F50" w:rsidRPr="00D32F50">
        <w:rPr>
          <w:rFonts w:cs="Arial"/>
        </w:rPr>
        <w:t>(Teetz et al., 2024)</w:t>
      </w:r>
      <w:r w:rsidR="00D32F50">
        <w:rPr>
          <w:rFonts w:cs="Arial"/>
          <w:lang w:val="en-GB"/>
        </w:rPr>
        <w:fldChar w:fldCharType="end"/>
      </w:r>
      <w:r w:rsidR="00627F1F" w:rsidRPr="00627F1F">
        <w:rPr>
          <w:rFonts w:cs="Arial"/>
          <w:lang w:val="en-GB"/>
        </w:rPr>
        <w:t>. Surface</w:t>
      </w:r>
      <w:r w:rsidR="002A4F8B">
        <w:rPr>
          <w:rFonts w:cs="Arial"/>
          <w:lang w:val="en-GB"/>
        </w:rPr>
        <w:t>-</w:t>
      </w:r>
      <w:r w:rsidR="00627F1F" w:rsidRPr="00627F1F">
        <w:rPr>
          <w:rFonts w:cs="Arial"/>
          <w:lang w:val="en-GB"/>
        </w:rPr>
        <w:t xml:space="preserve">display was achieved by genetic fusion of </w:t>
      </w:r>
      <w:proofErr w:type="spellStart"/>
      <w:r w:rsidR="00627F1F" w:rsidRPr="00627F1F">
        <w:rPr>
          <w:rFonts w:cs="Arial"/>
          <w:lang w:val="en-GB"/>
        </w:rPr>
        <w:t>PaDa</w:t>
      </w:r>
      <w:proofErr w:type="spellEnd"/>
      <w:r w:rsidR="00627F1F" w:rsidRPr="00627F1F">
        <w:rPr>
          <w:rFonts w:cs="Arial"/>
          <w:lang w:val="en-GB"/>
        </w:rPr>
        <w:t xml:space="preserve"> I to cell wall anchor proteins followed by genomic integration into</w:t>
      </w:r>
      <w:r w:rsidR="0042767D">
        <w:rPr>
          <w:rFonts w:cs="Arial"/>
          <w:lang w:val="en-GB"/>
        </w:rPr>
        <w:t xml:space="preserve">            </w:t>
      </w:r>
      <w:r w:rsidR="00627F1F" w:rsidRPr="00627F1F">
        <w:rPr>
          <w:rFonts w:cs="Arial"/>
          <w:lang w:val="en-GB"/>
        </w:rPr>
        <w:t xml:space="preserve"> </w:t>
      </w:r>
      <w:r w:rsidR="00627F1F" w:rsidRPr="00627F1F">
        <w:rPr>
          <w:rFonts w:cs="Arial"/>
          <w:i/>
          <w:iCs/>
          <w:lang w:val="en-GB"/>
        </w:rPr>
        <w:t xml:space="preserve">K. </w:t>
      </w:r>
      <w:proofErr w:type="spellStart"/>
      <w:r w:rsidR="00627F1F" w:rsidRPr="00627F1F">
        <w:rPr>
          <w:rFonts w:cs="Arial"/>
          <w:i/>
          <w:iCs/>
          <w:lang w:val="en-GB"/>
        </w:rPr>
        <w:t>phaffii</w:t>
      </w:r>
      <w:proofErr w:type="spellEnd"/>
      <w:r w:rsidR="00627F1F">
        <w:rPr>
          <w:rFonts w:cs="Arial"/>
          <w:i/>
          <w:iCs/>
          <w:lang w:val="en-GB"/>
        </w:rPr>
        <w:t xml:space="preserve">. </w:t>
      </w:r>
      <w:r w:rsidR="00627F1F" w:rsidRPr="00627F1F">
        <w:rPr>
          <w:rFonts w:cs="Arial"/>
          <w:lang w:val="en-GB"/>
        </w:rPr>
        <w:t xml:space="preserve">Strains </w:t>
      </w:r>
      <w:proofErr w:type="spellStart"/>
      <w:r w:rsidR="00627F1F" w:rsidRPr="00627F1F">
        <w:rPr>
          <w:rFonts w:cs="Arial"/>
          <w:lang w:val="en-GB"/>
        </w:rPr>
        <w:t>harboring</w:t>
      </w:r>
      <w:proofErr w:type="spellEnd"/>
      <w:r w:rsidR="00627F1F" w:rsidRPr="00627F1F">
        <w:rPr>
          <w:rFonts w:cs="Arial"/>
          <w:lang w:val="en-GB"/>
        </w:rPr>
        <w:t xml:space="preserve"> the surface</w:t>
      </w:r>
      <w:r w:rsidR="002A4F8B">
        <w:rPr>
          <w:rFonts w:cs="Arial"/>
          <w:lang w:val="en-GB"/>
        </w:rPr>
        <w:t>-</w:t>
      </w:r>
      <w:r w:rsidR="00627F1F" w:rsidRPr="00627F1F">
        <w:rPr>
          <w:rFonts w:cs="Arial"/>
          <w:lang w:val="en-GB"/>
        </w:rPr>
        <w:t xml:space="preserve">display constructs were cultivated using a multi-phase fermentation strategy comprising </w:t>
      </w:r>
      <w:proofErr w:type="spellStart"/>
      <w:r w:rsidR="00627F1F" w:rsidRPr="00627F1F">
        <w:rPr>
          <w:rFonts w:cs="Arial"/>
          <w:lang w:val="en-GB"/>
        </w:rPr>
        <w:t>precultivation</w:t>
      </w:r>
      <w:proofErr w:type="spellEnd"/>
      <w:r w:rsidR="00627F1F" w:rsidRPr="00627F1F">
        <w:rPr>
          <w:rFonts w:cs="Arial"/>
          <w:lang w:val="en-GB"/>
        </w:rPr>
        <w:t>, glycerol batch and fed-batch growth, and methanol-induced expression. Precultures were grown in shake tubes and baffled flasks at 30 °C. Bioreactor cultivations were performed at 30 °C and pH 5, with pH controlled by phosphoric acid and ammonia solution, the latter also serving as nitrogen source. Dissolved oxygen was maintained above 20 % saturation by adjustment of agitation and oxygen supply, while temperature was regulated by external cooling.</w:t>
      </w:r>
      <w:r w:rsidR="00627F1F">
        <w:rPr>
          <w:rFonts w:cs="Arial"/>
          <w:lang w:val="en-GB"/>
        </w:rPr>
        <w:t xml:space="preserve"> </w:t>
      </w:r>
      <w:r w:rsidR="00627F1F" w:rsidRPr="00627F1F">
        <w:rPr>
          <w:rFonts w:cs="Arial"/>
        </w:rPr>
        <w:t>After inoculation, cells were cultivated in a glycerol batch phase until carbon depletion</w:t>
      </w:r>
      <w:r w:rsidR="001155E8">
        <w:rPr>
          <w:rFonts w:cs="Arial"/>
        </w:rPr>
        <w:t xml:space="preserve">, </w:t>
      </w:r>
      <w:r w:rsidR="00627F1F" w:rsidRPr="00627F1F">
        <w:rPr>
          <w:rFonts w:cs="Arial"/>
        </w:rPr>
        <w:t>followed by biomass increase during glycerol fed-batch operation.</w:t>
      </w:r>
      <w:r w:rsidR="00627F1F">
        <w:rPr>
          <w:rFonts w:cs="Arial"/>
        </w:rPr>
        <w:t xml:space="preserve"> </w:t>
      </w:r>
      <w:r w:rsidR="00627F1F" w:rsidRPr="00627F1F">
        <w:rPr>
          <w:rFonts w:cs="Arial"/>
        </w:rPr>
        <w:t xml:space="preserve">Expression of UPO was induced by </w:t>
      </w:r>
      <w:r w:rsidR="00496226" w:rsidRPr="00496226">
        <w:rPr>
          <w:rFonts w:cs="Arial"/>
        </w:rPr>
        <w:t>methanol feeding under methanol limited growth conditions to avoid accumulation</w:t>
      </w:r>
      <w:r w:rsidR="00627F1F" w:rsidRPr="00627F1F">
        <w:rPr>
          <w:rFonts w:cs="Arial"/>
        </w:rPr>
        <w:t>. Fermentation was terminated after reaching stable enzyme activity. Cells were harvested by centrifugation, resuspended in potassium phosphate buffer, and stored at</w:t>
      </w:r>
      <w:r w:rsidR="001155E8">
        <w:rPr>
          <w:rFonts w:cs="Arial"/>
        </w:rPr>
        <w:t xml:space="preserve"> </w:t>
      </w:r>
      <w:r w:rsidR="00627F1F" w:rsidRPr="00627F1F">
        <w:rPr>
          <w:rFonts w:cs="Arial"/>
        </w:rPr>
        <w:t>−8 °C prior to further processing.</w:t>
      </w:r>
    </w:p>
    <w:p w14:paraId="07FB3765" w14:textId="1DD8B67C" w:rsidR="006B036D" w:rsidRPr="00652892" w:rsidRDefault="00433822" w:rsidP="00496226">
      <w:pPr>
        <w:pStyle w:val="CETheadingx"/>
      </w:pPr>
      <w:r>
        <w:t xml:space="preserve">2.2 </w:t>
      </w:r>
      <w:r w:rsidR="006B036D" w:rsidRPr="00652892">
        <w:t xml:space="preserve">Cell inactivation and freeze-drying </w:t>
      </w:r>
    </w:p>
    <w:p w14:paraId="554C4395" w14:textId="1399DEFA" w:rsidR="006B036D" w:rsidRPr="00652892" w:rsidRDefault="006B036D" w:rsidP="00496226">
      <w:pPr>
        <w:pStyle w:val="CETBodytext"/>
        <w:rPr>
          <w:lang w:val="en-GB"/>
        </w:rPr>
      </w:pPr>
      <w:r w:rsidRPr="00652892">
        <w:t>Cell inactivation was evaluated using different organic solvents to identify conditions that effectively prevent cell growth while preserving peroxygenase activity.</w:t>
      </w:r>
      <w:r w:rsidR="00496226">
        <w:t xml:space="preserve"> </w:t>
      </w:r>
      <w:r w:rsidR="00496226" w:rsidRPr="00496226">
        <w:t>The procedure is described in detail in</w:t>
      </w:r>
      <w:r w:rsidRPr="00652892">
        <w:t xml:space="preserve"> </w:t>
      </w:r>
      <w:r w:rsidR="0000242F">
        <w:fldChar w:fldCharType="begin"/>
      </w:r>
      <w:r w:rsidR="00E551B7">
        <w:instrText xml:space="preserve"> ADDIN ZOTERO_ITEM CSL_CITATION {"citationID":"B3G5AtiK","properties":{"formattedCitation":"(Teetz et al., o.\\uc0\\u160{}J.)","plainCitation":"(Teetz et al., o. J.)","dontUpdate":true,"noteIndex":0},"citationItems":[{"id":9161,"uris":["http://zotero.org/users/19105841/items/MUI7IHHH"],"itemData":{"id":9161,"type":"article-journal","abstract":"Unspecific peroxygenases (UPOs) are promising biocatalysts for oxyfunctionalizations in future sustainable economies and can be efficiently immobilized on the cell surface of their heterologous production yeast. This immobilization has versatile uses, ranging from the mL to m3 scale; but the production of the yeast surface displayed UPOs, and their handling has yet to be optimized to advance sustainable industrial processes in light of the UN’s sustainable development goals. Here, we present optimized production protocols for surface-displayed UPOs for shaken and stirred systems in different scales and describe suitable storage conditions and a sterilization method. We utilized one-factorat-a-time and design of experiments approaches. We were able to streamline published protocols for shaken flask cultivations to achieve a 60% increase in volumetric activity, using reduced amounts of media. We also show at least a doubling of final activity for bioreactor cultivations by utilizing a different medium than the industry standard. Finally, we present a novel, robust protocol for parallelized methanol-induced enzyme production in Komagataella phaffii in a BioLector XT® reactor. Enzyme activity did not decrease and even increased by our recommended sterilization method and during storage over 87 days. This study aims to advance the yeast surface display immobilization method by providing methods for efficient production, storage and utilization of this promising biocatalyst.","citation-key":"teetzOptimizingYeastSurfaceDisplayed","language":"en","source":"Zotero","title":"Optimizing Yeast Surface-Displayed Unspecific Peroxygenase Production for Sustainable Biocatalysis","author":[{"family":"Teetz","given":"Niklas"},{"family":"Zuhse","given":"Luc"},{"family":"Holtmann","given":"Dirk"}]}}],"schema":"https://github.com/citation-style-language/schema/raw/master/csl-citation.json"} </w:instrText>
      </w:r>
      <w:r w:rsidR="0000242F">
        <w:fldChar w:fldCharType="separate"/>
      </w:r>
      <w:r w:rsidR="0000242F" w:rsidRPr="0000242F">
        <w:rPr>
          <w:rFonts w:cs="Arial"/>
        </w:rPr>
        <w:t xml:space="preserve">(Teetz et al., </w:t>
      </w:r>
      <w:r w:rsidR="0000242F">
        <w:rPr>
          <w:rFonts w:cs="Arial"/>
        </w:rPr>
        <w:t>2025</w:t>
      </w:r>
      <w:r w:rsidR="0000242F" w:rsidRPr="0000242F">
        <w:rPr>
          <w:rFonts w:cs="Arial"/>
        </w:rPr>
        <w:t>)</w:t>
      </w:r>
      <w:r w:rsidR="0000242F">
        <w:fldChar w:fldCharType="end"/>
      </w:r>
      <w:r w:rsidR="0000242F">
        <w:t xml:space="preserve">. </w:t>
      </w:r>
      <w:r w:rsidRPr="00652892">
        <w:t>Aliquots of yeast cell suspensions were centrifuged, resuspended in the respective solvent, and incubated for defined time intervals.</w:t>
      </w:r>
      <w:r w:rsidR="004E567A" w:rsidRPr="004E567A">
        <w:t xml:space="preserve"> The investigated solvents included potassium phosphate buffer (reference</w:t>
      </w:r>
      <w:r w:rsidR="004E567A">
        <w:t xml:space="preserve"> with living cells</w:t>
      </w:r>
      <w:r w:rsidR="004E567A" w:rsidRPr="004E567A">
        <w:t xml:space="preserve">), isopropanol, ethanol, hexane, cyclohexane, </w:t>
      </w:r>
      <w:proofErr w:type="spellStart"/>
      <w:r w:rsidR="004E567A" w:rsidRPr="004E567A">
        <w:t>decane</w:t>
      </w:r>
      <w:proofErr w:type="spellEnd"/>
      <w:r w:rsidR="004E567A" w:rsidRPr="004E567A">
        <w:t>, hexadecane, acetone, acetonitrile, methyl tert-butyl ether (MTBE</w:t>
      </w:r>
      <w:r w:rsidR="00107091">
        <w:t>)</w:t>
      </w:r>
      <w:r w:rsidR="004E567A" w:rsidRPr="004E567A">
        <w:t>.</w:t>
      </w:r>
      <w:r w:rsidRPr="00652892">
        <w:t xml:space="preserve"> After incubation, cells were recovered by centrifugation, washed with potassium phosphate buffer, and resuspended for analysis. The effectiveness of cell inactivation was assessed by plating on YPD agar and monitoring colony formation. In parallel, residual enzymatic activity was determined using an ABTS oxidation assay to evaluate the impact </w:t>
      </w:r>
      <w:r w:rsidR="00BE0EA9">
        <w:t xml:space="preserve">of </w:t>
      </w:r>
      <w:r w:rsidRPr="00652892">
        <w:t>solvent treatment on peroxygenase activity</w:t>
      </w:r>
      <w:r w:rsidR="00341CC1">
        <w:t xml:space="preserve">. </w:t>
      </w:r>
      <w:r w:rsidRPr="00652892">
        <w:rPr>
          <w:lang w:val="en-GB"/>
        </w:rPr>
        <w:t>For application in continuous fixed</w:t>
      </w:r>
      <w:r w:rsidR="00BE0EA9">
        <w:rPr>
          <w:lang w:val="en-GB"/>
        </w:rPr>
        <w:t>-</w:t>
      </w:r>
      <w:r w:rsidRPr="00652892">
        <w:rPr>
          <w:lang w:val="en-GB"/>
        </w:rPr>
        <w:t>bed reactors, inactivated cells were freeze-dried to obtain a stable enzyme-containing cell powder.</w:t>
      </w:r>
    </w:p>
    <w:p w14:paraId="79D83D34" w14:textId="69CEFA97" w:rsidR="00211E10" w:rsidRDefault="00433822" w:rsidP="00496226">
      <w:pPr>
        <w:pStyle w:val="CETheadingx"/>
      </w:pPr>
      <w:r>
        <w:t xml:space="preserve">2.3 </w:t>
      </w:r>
      <w:r w:rsidR="00800F1F">
        <w:t xml:space="preserve">Activity </w:t>
      </w:r>
      <w:r w:rsidR="005222F7">
        <w:t>a</w:t>
      </w:r>
      <w:r w:rsidR="007B6154">
        <w:t xml:space="preserve">ssessment of </w:t>
      </w:r>
      <w:r w:rsidR="003E5802">
        <w:t>freeze-dried</w:t>
      </w:r>
      <w:r w:rsidR="007B6154">
        <w:t xml:space="preserve"> </w:t>
      </w:r>
      <w:r w:rsidR="0000242F">
        <w:t>YSD-</w:t>
      </w:r>
      <w:r w:rsidR="007B6154">
        <w:t>UPOs</w:t>
      </w:r>
    </w:p>
    <w:p w14:paraId="5A6F94EF" w14:textId="418C86D8" w:rsidR="003E5802" w:rsidRDefault="00F843A6" w:rsidP="007B6154">
      <w:pPr>
        <w:pStyle w:val="CETBodytext"/>
      </w:pPr>
      <w:r>
        <w:t>For both assays, freeze-dried whole-cell catalysts were applied at a concentration of 200 mg L</w:t>
      </w:r>
      <w:r>
        <w:rPr>
          <w:rFonts w:ascii="Cambria Math" w:hAnsi="Cambria Math" w:cs="Cambria Math"/>
        </w:rPr>
        <w:t>⁻</w:t>
      </w:r>
      <w:r>
        <w:rPr>
          <w:rFonts w:cs="Arial"/>
        </w:rPr>
        <w:t>¹</w:t>
      </w:r>
      <w:r>
        <w:t xml:space="preserve"> in a total assay volume of 3 </w:t>
      </w:r>
      <w:proofErr w:type="spellStart"/>
      <w:r>
        <w:t>mL.</w:t>
      </w:r>
      <w:proofErr w:type="spellEnd"/>
      <w:r w:rsidR="007B6154">
        <w:t xml:space="preserve"> </w:t>
      </w:r>
      <w:r w:rsidR="007B6154" w:rsidRPr="007B6154">
        <w:t xml:space="preserve">Enzyme activity was quantified using photometric ABTS and NBD assays. </w:t>
      </w:r>
      <w:r w:rsidR="000564B1" w:rsidRPr="000564B1">
        <w:t>ABTS oxidation was monitored at 418 nm by following the formation of the ABTS radical cation in citrate–phosphate buffer (pH 4.4). UPO monooxygenase activity was assessed by O-dealkylation of NBD to 4-nitrocatechol, monitored at 425 nm in potassium phosphate buffer</w:t>
      </w:r>
      <w:r w:rsidR="000564B1">
        <w:t xml:space="preserve"> (pH 7)</w:t>
      </w:r>
      <w:r w:rsidR="000564B1" w:rsidRPr="000564B1">
        <w:t xml:space="preserve"> containing acetonitrile to ensure substrate solubility. All absorbance measurements were performed using a Cary 60 UV–</w:t>
      </w:r>
      <w:proofErr w:type="gramStart"/>
      <w:r w:rsidR="000564B1" w:rsidRPr="000564B1">
        <w:t>Vis</w:t>
      </w:r>
      <w:proofErr w:type="gramEnd"/>
      <w:r w:rsidR="000564B1" w:rsidRPr="000564B1">
        <w:t xml:space="preserve"> spectrophotometer (Agilent Technologies, Santa Clara, CA, USA).</w:t>
      </w:r>
      <w:r w:rsidR="007B6154" w:rsidRPr="007B6154">
        <w:t xml:space="preserve"> In both assays, reactions were initiated by addition of </w:t>
      </w:r>
      <w:r w:rsidR="003E5802" w:rsidRPr="00F32F76">
        <w:rPr>
          <w:rFonts w:cs="Arial"/>
        </w:rPr>
        <w:t>H</w:t>
      </w:r>
      <w:r w:rsidR="003E5802" w:rsidRPr="00F32F76">
        <w:rPr>
          <w:rFonts w:ascii="Cambria Math" w:hAnsi="Cambria Math" w:cs="Cambria Math"/>
        </w:rPr>
        <w:t>₂</w:t>
      </w:r>
      <w:r w:rsidR="003E5802" w:rsidRPr="00F32F76">
        <w:rPr>
          <w:rFonts w:cs="Arial"/>
        </w:rPr>
        <w:t>O</w:t>
      </w:r>
      <w:r w:rsidR="003E5802" w:rsidRPr="00F32F76">
        <w:rPr>
          <w:rFonts w:ascii="Cambria Math" w:hAnsi="Cambria Math" w:cs="Cambria Math"/>
        </w:rPr>
        <w:t>₂</w:t>
      </w:r>
      <w:r w:rsidR="003E5802" w:rsidRPr="00F32F76">
        <w:rPr>
          <w:rFonts w:cs="Arial"/>
        </w:rPr>
        <w:t xml:space="preserve"> </w:t>
      </w:r>
      <w:r w:rsidR="007B6154" w:rsidRPr="007B6154">
        <w:t>and evaluated under initial-rate conditions. Volumetric reaction rates and mass-specific activities were calculated from the linear increase in absorbance using the Lambert–Beer law. Long-term storage stability was assessed over 160 d by periodic ABTS activity measurements of freeze-dried whole-cell catalysts stored at room temperature, 4 °C, −30 °C, and −80 °C.</w:t>
      </w:r>
    </w:p>
    <w:p w14:paraId="5D066C48" w14:textId="75558D00" w:rsidR="006B036D" w:rsidRDefault="00433822" w:rsidP="00496226">
      <w:pPr>
        <w:pStyle w:val="CETheadingx"/>
      </w:pPr>
      <w:r>
        <w:t xml:space="preserve">2.4 </w:t>
      </w:r>
      <w:r w:rsidR="006B036D" w:rsidRPr="00F843A6">
        <w:t>Preparation</w:t>
      </w:r>
      <w:r w:rsidR="00A73915">
        <w:t xml:space="preserve"> and characterization</w:t>
      </w:r>
      <w:r w:rsidR="006B036D" w:rsidRPr="00F843A6">
        <w:t xml:space="preserve"> of Pd/</w:t>
      </w:r>
      <w:proofErr w:type="spellStart"/>
      <w:r w:rsidR="006B036D" w:rsidRPr="00F843A6">
        <w:t>TiO</w:t>
      </w:r>
      <w:proofErr w:type="spellEnd"/>
      <w:r w:rsidR="006B036D" w:rsidRPr="00F843A6">
        <w:rPr>
          <w:rFonts w:ascii="Cambria Math" w:hAnsi="Cambria Math" w:cs="Cambria Math"/>
        </w:rPr>
        <w:t>₂</w:t>
      </w:r>
      <w:r w:rsidR="00A73915">
        <w:t xml:space="preserve"> c</w:t>
      </w:r>
      <w:r w:rsidR="006B036D" w:rsidRPr="00F843A6">
        <w:t>atalysts</w:t>
      </w:r>
    </w:p>
    <w:p w14:paraId="6D0D227E" w14:textId="32DD33A5" w:rsidR="003E5802" w:rsidRPr="00A73915" w:rsidRDefault="00A73915" w:rsidP="00A73915">
      <w:pPr>
        <w:pStyle w:val="CETBodytext"/>
      </w:pPr>
      <w:r w:rsidRPr="00A73915">
        <w:t>Pd/</w:t>
      </w:r>
      <w:proofErr w:type="spellStart"/>
      <w:r w:rsidRPr="00A73915">
        <w:t>TiO</w:t>
      </w:r>
      <w:proofErr w:type="spellEnd"/>
      <w:r w:rsidRPr="00A73915">
        <w:rPr>
          <w:rFonts w:ascii="Cambria Math" w:hAnsi="Cambria Math" w:cs="Cambria Math"/>
        </w:rPr>
        <w:t>₂</w:t>
      </w:r>
      <w:r w:rsidRPr="00A73915">
        <w:t xml:space="preserve"> catalysts with a nominal palladium loading of 1 </w:t>
      </w:r>
      <w:proofErr w:type="spellStart"/>
      <w:r w:rsidRPr="00A73915">
        <w:t>wt</w:t>
      </w:r>
      <w:proofErr w:type="spellEnd"/>
      <w:r w:rsidR="00BE0EA9">
        <w:t xml:space="preserve"> </w:t>
      </w:r>
      <w:r w:rsidRPr="00A73915">
        <w:t xml:space="preserve">% were prepared by incipient wetness impregnation. Titanium dioxide </w:t>
      </w:r>
      <w:r w:rsidR="007D12F1" w:rsidRPr="007D12F1">
        <w:rPr>
          <w:lang w:val="en-GB"/>
        </w:rPr>
        <w:t>(P25, Evonik Industries, Essen, Germany)</w:t>
      </w:r>
      <w:r w:rsidR="007D12F1" w:rsidRPr="007D12F1">
        <w:rPr>
          <w:lang w:val="en-GB"/>
        </w:rPr>
        <w:t xml:space="preserve"> </w:t>
      </w:r>
      <w:r w:rsidRPr="00A73915">
        <w:t>was used as support material. Palladium nitrate hydrate (</w:t>
      </w:r>
      <w:proofErr w:type="gramStart"/>
      <w:r w:rsidRPr="00A73915">
        <w:t>Pd(</w:t>
      </w:r>
      <w:proofErr w:type="gramEnd"/>
      <w:r w:rsidRPr="00A73915">
        <w:t>NO</w:t>
      </w:r>
      <w:proofErr w:type="gramStart"/>
      <w:r w:rsidRPr="00A73915">
        <w:rPr>
          <w:rFonts w:ascii="Cambria Math" w:hAnsi="Cambria Math" w:cs="Cambria Math"/>
        </w:rPr>
        <w:t>₃</w:t>
      </w:r>
      <w:r w:rsidRPr="00A73915">
        <w:t>)</w:t>
      </w:r>
      <w:r w:rsidRPr="00A73915">
        <w:rPr>
          <w:rFonts w:ascii="Cambria Math" w:hAnsi="Cambria Math" w:cs="Cambria Math"/>
        </w:rPr>
        <w:t>₂</w:t>
      </w:r>
      <w:proofErr w:type="gramEnd"/>
      <w:r w:rsidRPr="00A73915">
        <w:rPr>
          <w:rFonts w:cs="Arial"/>
        </w:rPr>
        <w:t>·</w:t>
      </w:r>
      <w:r w:rsidR="00805B84">
        <w:t>2</w:t>
      </w:r>
      <w:r w:rsidRPr="00A73915">
        <w:t>H</w:t>
      </w:r>
      <w:r w:rsidRPr="00A73915">
        <w:rPr>
          <w:rFonts w:ascii="Cambria Math" w:hAnsi="Cambria Math" w:cs="Cambria Math"/>
        </w:rPr>
        <w:t>₂</w:t>
      </w:r>
      <w:r w:rsidRPr="00A73915">
        <w:t>O)</w:t>
      </w:r>
      <w:r w:rsidR="007D12F1">
        <w:t xml:space="preserve"> </w:t>
      </w:r>
      <w:r w:rsidR="007D12F1" w:rsidRPr="007D12F1">
        <w:rPr>
          <w:lang w:val="en-GB"/>
        </w:rPr>
        <w:t>(Sigma-Aldrich, St. Louis, MO, USA)</w:t>
      </w:r>
      <w:r w:rsidRPr="00A73915">
        <w:t xml:space="preserve"> was employed as metal precursor and dissolved in deionized water prior to impregnation. After impregnation, the material was dried at 80 </w:t>
      </w:r>
      <w:r w:rsidRPr="00A73915">
        <w:rPr>
          <w:rFonts w:cs="Arial"/>
        </w:rPr>
        <w:t>°</w:t>
      </w:r>
      <w:r w:rsidRPr="00A73915">
        <w:t xml:space="preserve">C, followed by calcination at 400 </w:t>
      </w:r>
      <w:r w:rsidRPr="00A73915">
        <w:rPr>
          <w:rFonts w:cs="Arial"/>
        </w:rPr>
        <w:t>°</w:t>
      </w:r>
      <w:r w:rsidRPr="00A73915">
        <w:t xml:space="preserve">C in air. The catalyst was subsequently reduced at 200 </w:t>
      </w:r>
      <w:r w:rsidRPr="00A73915">
        <w:rPr>
          <w:rFonts w:cs="Arial"/>
        </w:rPr>
        <w:t>°</w:t>
      </w:r>
      <w:r w:rsidRPr="00A73915">
        <w:t>C under a hydrogen/argon atmosphere and then stored in sealed glass vessels. The catalysts were characterized by N</w:t>
      </w:r>
      <w:r w:rsidRPr="00A73915">
        <w:rPr>
          <w:rFonts w:ascii="Cambria Math" w:hAnsi="Cambria Math" w:cs="Cambria Math"/>
        </w:rPr>
        <w:t>₂</w:t>
      </w:r>
      <w:r w:rsidRPr="00A73915">
        <w:t xml:space="preserve"> physisorption, CO chemisorption, scanning electron microscopy (SEM) and inductively coupled plasma optical emission spectroscopy (ICP</w:t>
      </w:r>
      <w:r w:rsidRPr="00A73915">
        <w:rPr>
          <w:rFonts w:cs="Arial"/>
        </w:rPr>
        <w:t>–</w:t>
      </w:r>
      <w:r w:rsidRPr="00A73915">
        <w:t>OES).</w:t>
      </w:r>
    </w:p>
    <w:p w14:paraId="2A5C3AF1" w14:textId="52873174" w:rsidR="00D723C0" w:rsidRDefault="00433822" w:rsidP="00496226">
      <w:pPr>
        <w:pStyle w:val="CETheadingx"/>
      </w:pPr>
      <w:r>
        <w:lastRenderedPageBreak/>
        <w:t xml:space="preserve">2.5 </w:t>
      </w:r>
      <w:r w:rsidR="00D723C0" w:rsidRPr="00D723C0">
        <w:t xml:space="preserve">Continuous </w:t>
      </w:r>
      <w:r w:rsidR="005222F7">
        <w:t>r</w:t>
      </w:r>
      <w:r w:rsidR="00D723C0" w:rsidRPr="00D723C0">
        <w:t xml:space="preserve">eactor </w:t>
      </w:r>
      <w:r w:rsidR="005222F7">
        <w:t>s</w:t>
      </w:r>
      <w:r w:rsidR="00D723C0" w:rsidRPr="00D723C0">
        <w:t xml:space="preserve">etup and </w:t>
      </w:r>
      <w:r w:rsidR="005222F7">
        <w:t>e</w:t>
      </w:r>
      <w:r w:rsidR="00D723C0" w:rsidRPr="00D723C0">
        <w:t xml:space="preserve">xperimental </w:t>
      </w:r>
      <w:r w:rsidR="005222F7">
        <w:t>p</w:t>
      </w:r>
      <w:r w:rsidR="00D723C0" w:rsidRPr="00D723C0">
        <w:t>rocedure</w:t>
      </w:r>
    </w:p>
    <w:p w14:paraId="686E4322" w14:textId="6B130EA4" w:rsidR="007F07AD" w:rsidRDefault="007D12F1" w:rsidP="00DE3B0D">
      <w:pPr>
        <w:pStyle w:val="CETBodytext"/>
        <w:rPr>
          <w:rStyle w:val="CETCaptionCarattere"/>
          <w:rFonts w:cs="Arial"/>
        </w:rPr>
      </w:pPr>
      <w:r w:rsidRPr="00333CC8">
        <w:rPr>
          <w:rStyle w:val="CETCaptionCarattere"/>
          <w:rFonts w:cs="Arial"/>
          <w:i w:val="0"/>
          <w:iCs/>
          <w:noProof/>
          <w:lang w:val="en-US"/>
        </w:rPr>
        <w:drawing>
          <wp:anchor distT="0" distB="0" distL="114300" distR="114300" simplePos="0" relativeHeight="251657216" behindDoc="0" locked="0" layoutInCell="1" allowOverlap="1" wp14:anchorId="77347628" wp14:editId="0A26F628">
            <wp:simplePos x="0" y="0"/>
            <wp:positionH relativeFrom="margin">
              <wp:posOffset>118110</wp:posOffset>
            </wp:positionH>
            <wp:positionV relativeFrom="paragraph">
              <wp:posOffset>2517775</wp:posOffset>
            </wp:positionV>
            <wp:extent cx="5362575" cy="2765349"/>
            <wp:effectExtent l="0" t="0" r="0" b="0"/>
            <wp:wrapNone/>
            <wp:docPr id="1223799449" name="Grafik 7" descr="Ein Bild, das Text, Diagramm, Plan,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9449" name="Grafik 7" descr="Ein Bild, das Text, Diagramm, Plan, technische Zeichnung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765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CC8" w:rsidRPr="00333CC8">
        <w:rPr>
          <w:rStyle w:val="CETCaptionCarattere"/>
          <w:rFonts w:cs="Arial"/>
          <w:i w:val="0"/>
          <w:iCs/>
          <w:noProof/>
          <w:lang w:val="en-US"/>
        </w:rPr>
        <w:t>The experimental setup and packed fixed-bed reactor are shown schematically in Figure 1. Hydrogen, oxygen, and nitrogen were supplied from gas cylinders and dissolved separately in the liquid feed at ambient pressure to avoid formation of explosive gas mixtures</w:t>
      </w:r>
      <w:r w:rsidR="00433822">
        <w:rPr>
          <w:rStyle w:val="CETCaptionCarattere"/>
          <w:rFonts w:cs="Arial"/>
          <w:i w:val="0"/>
          <w:iCs/>
          <w:noProof/>
          <w:lang w:val="en-US"/>
        </w:rPr>
        <w:t>. T</w:t>
      </w:r>
      <w:r w:rsidR="00EF4DFE">
        <w:rPr>
          <w:rStyle w:val="CETCaptionCarattere"/>
          <w:rFonts w:cs="Arial"/>
          <w:i w:val="0"/>
          <w:iCs/>
          <w:noProof/>
          <w:lang w:val="en-US"/>
        </w:rPr>
        <w:t xml:space="preserve">he combined flow contained less than equilibrium concentration </w:t>
      </w:r>
      <w:r w:rsidR="00433822">
        <w:rPr>
          <w:rStyle w:val="CETCaptionCarattere"/>
          <w:rFonts w:cs="Arial"/>
          <w:i w:val="0"/>
          <w:iCs/>
          <w:noProof/>
          <w:lang w:val="en-US"/>
        </w:rPr>
        <w:t>to prevent bubble formation</w:t>
      </w:r>
      <w:r w:rsidR="00333CC8" w:rsidRPr="00333CC8">
        <w:rPr>
          <w:rStyle w:val="CETCaptionCarattere"/>
          <w:rFonts w:cs="Arial"/>
          <w:i w:val="0"/>
          <w:iCs/>
          <w:noProof/>
          <w:lang w:val="en-US"/>
        </w:rPr>
        <w:t>. Nitrogen was used for inertization during product collection. Gas saturation concentrations were estimated using Henry’s law, and flow rates were adjusted to obtain an equimolar H</w:t>
      </w:r>
      <w:r w:rsidR="00333CC8" w:rsidRPr="00333CC8">
        <w:rPr>
          <w:rStyle w:val="CETCaptionCarattere"/>
          <w:rFonts w:ascii="Cambria Math" w:hAnsi="Cambria Math" w:cs="Cambria Math"/>
          <w:i w:val="0"/>
          <w:iCs/>
          <w:noProof/>
          <w:lang w:val="en-US"/>
        </w:rPr>
        <w:t>₂</w:t>
      </w:r>
      <w:r w:rsidR="00333CC8" w:rsidRPr="00333CC8">
        <w:rPr>
          <w:rStyle w:val="CETCaptionCarattere"/>
          <w:rFonts w:cs="Arial"/>
          <w:i w:val="0"/>
          <w:iCs/>
          <w:noProof/>
          <w:lang w:val="en-US"/>
        </w:rPr>
        <w:t>/O</w:t>
      </w:r>
      <w:r w:rsidR="00333CC8" w:rsidRPr="00333CC8">
        <w:rPr>
          <w:rStyle w:val="CETCaptionCarattere"/>
          <w:rFonts w:ascii="Cambria Math" w:hAnsi="Cambria Math" w:cs="Cambria Math"/>
          <w:i w:val="0"/>
          <w:iCs/>
          <w:noProof/>
          <w:lang w:val="en-US"/>
        </w:rPr>
        <w:t>₂</w:t>
      </w:r>
      <w:r w:rsidR="00333CC8" w:rsidRPr="00333CC8">
        <w:rPr>
          <w:rStyle w:val="CETCaptionCarattere"/>
          <w:rFonts w:cs="Arial"/>
          <w:i w:val="0"/>
          <w:iCs/>
          <w:noProof/>
          <w:lang w:val="en-US"/>
        </w:rPr>
        <w:t xml:space="preserve"> ratio at the reactor </w:t>
      </w:r>
      <w:r w:rsidR="00333CC8" w:rsidRPr="004C7881">
        <w:rPr>
          <w:rStyle w:val="CETCaptionCarattere"/>
          <w:rFonts w:cs="Arial"/>
          <w:i w:val="0"/>
          <w:iCs/>
          <w:noProof/>
          <w:lang w:val="en-US"/>
        </w:rPr>
        <w:t>inlet</w:t>
      </w:r>
      <w:r w:rsidR="004C7881" w:rsidRPr="004C7881">
        <w:rPr>
          <w:rStyle w:val="CETCaptionCarattere"/>
          <w:rFonts w:cs="Arial"/>
          <w:i w:val="0"/>
          <w:iCs/>
          <w:noProof/>
          <w:lang w:val="en-US"/>
        </w:rPr>
        <w:t xml:space="preserve"> (</w:t>
      </w:r>
      <w:r w:rsidR="00151506">
        <w:rPr>
          <w:rStyle w:val="CETCaptionCarattere"/>
          <w:rFonts w:cs="Arial"/>
          <w:i w:val="0"/>
          <w:iCs/>
          <w:noProof/>
          <w:lang w:val="en-US"/>
        </w:rPr>
        <w:t xml:space="preserve"> e.g.</w:t>
      </w:r>
      <w:r w:rsidR="00B161B6">
        <w:rPr>
          <w:rStyle w:val="CETCaptionCarattere"/>
          <w:rFonts w:cs="Arial"/>
          <w:i w:val="0"/>
          <w:iCs/>
          <w:noProof/>
          <w:lang w:val="en-US"/>
        </w:rPr>
        <w:t>,</w:t>
      </w:r>
      <w:r w:rsidR="00151506">
        <w:rPr>
          <w:rStyle w:val="CETCaptionCarattere"/>
          <w:rFonts w:cs="Arial"/>
          <w:i w:val="0"/>
          <w:iCs/>
          <w:noProof/>
          <w:lang w:val="en-US"/>
        </w:rPr>
        <w:t xml:space="preserve"> </w:t>
      </w:r>
      <w:r w:rsidR="004C7881" w:rsidRPr="004C7881">
        <w:rPr>
          <w:rStyle w:val="CETCaptionCarattere"/>
          <w:rFonts w:cs="Arial"/>
          <w:i w:val="0"/>
          <w:iCs/>
          <w:noProof/>
          <w:lang w:val="en-US"/>
        </w:rPr>
        <w:t>~500 µM in water</w:t>
      </w:r>
      <w:r w:rsidR="00151506">
        <w:rPr>
          <w:rStyle w:val="CETCaptionCarattere"/>
          <w:rFonts w:cs="Arial"/>
          <w:i w:val="0"/>
          <w:iCs/>
          <w:noProof/>
          <w:lang w:val="en-US"/>
        </w:rPr>
        <w:t xml:space="preserve"> and ~620 µM in 5</w:t>
      </w:r>
      <w:r w:rsidR="00BE0EA9">
        <w:rPr>
          <w:rStyle w:val="CETCaptionCarattere"/>
          <w:rFonts w:cs="Arial"/>
          <w:i w:val="0"/>
          <w:iCs/>
          <w:noProof/>
          <w:lang w:val="en-US"/>
        </w:rPr>
        <w:t xml:space="preserve"> </w:t>
      </w:r>
      <w:r w:rsidR="00151506">
        <w:rPr>
          <w:rStyle w:val="CETCaptionCarattere"/>
          <w:rFonts w:cs="Arial"/>
          <w:i w:val="0"/>
          <w:iCs/>
          <w:noProof/>
          <w:lang w:val="en-US"/>
        </w:rPr>
        <w:t>% acetonitrile)</w:t>
      </w:r>
      <w:r w:rsidR="00333CC8" w:rsidRPr="004C7881">
        <w:rPr>
          <w:rStyle w:val="CETCaptionCarattere"/>
          <w:rFonts w:cs="Arial"/>
          <w:i w:val="0"/>
          <w:iCs/>
          <w:noProof/>
          <w:lang w:val="en-US"/>
        </w:rPr>
        <w:t>.</w:t>
      </w:r>
      <w:r w:rsidR="00333CC8" w:rsidRPr="00333CC8">
        <w:rPr>
          <w:rStyle w:val="CETCaptionCarattere"/>
          <w:rFonts w:cs="Arial"/>
          <w:i w:val="0"/>
          <w:iCs/>
          <w:noProof/>
          <w:lang w:val="en-US"/>
        </w:rPr>
        <w:t xml:space="preserve"> The two gas-saturated liquid feeds were delivered independently to the reactor using HPLC pumps at a total flow rate of 5 mL min</w:t>
      </w:r>
      <w:r w:rsidR="00333CC8" w:rsidRPr="00333CC8">
        <w:rPr>
          <w:rStyle w:val="CETCaptionCarattere"/>
          <w:rFonts w:ascii="Cambria Math" w:hAnsi="Cambria Math" w:cs="Cambria Math"/>
          <w:i w:val="0"/>
          <w:iCs/>
          <w:noProof/>
          <w:lang w:val="en-US"/>
        </w:rPr>
        <w:t>⁻</w:t>
      </w:r>
      <w:r w:rsidR="00333CC8" w:rsidRPr="00333CC8">
        <w:rPr>
          <w:rStyle w:val="CETCaptionCarattere"/>
          <w:rFonts w:cs="Arial"/>
          <w:i w:val="0"/>
          <w:iCs/>
          <w:noProof/>
          <w:lang w:val="en-US"/>
        </w:rPr>
        <w:t>¹.</w:t>
      </w:r>
      <w:r w:rsidR="00333CC8">
        <w:rPr>
          <w:rStyle w:val="CETCaptionCarattere"/>
          <w:rFonts w:cs="Arial"/>
          <w:i w:val="0"/>
          <w:iCs/>
          <w:noProof/>
          <w:lang w:val="en-US"/>
        </w:rPr>
        <w:t xml:space="preserve"> </w:t>
      </w:r>
      <w:r w:rsidR="00333CC8" w:rsidRPr="00333CC8">
        <w:t>Prior to reaction, the catalyst bed was reduced for 30 min by pumping hydrogen-saturated liquid through the reactor. Upstream of the reactor, gas absorbers were installed to remove residual gas bubbles, followed by mixing in a static mixer before entering the fixed-bed reactor. Clarke-type microsensors for H</w:t>
      </w:r>
      <w:r w:rsidR="00333CC8" w:rsidRPr="00333CC8">
        <w:rPr>
          <w:rFonts w:ascii="Cambria Math" w:hAnsi="Cambria Math" w:cs="Cambria Math"/>
        </w:rPr>
        <w:t>₂</w:t>
      </w:r>
      <w:r w:rsidR="00333CC8" w:rsidRPr="00333CC8">
        <w:t>, O</w:t>
      </w:r>
      <w:r w:rsidR="00333CC8" w:rsidRPr="00333CC8">
        <w:rPr>
          <w:rFonts w:ascii="Cambria Math" w:hAnsi="Cambria Math" w:cs="Cambria Math"/>
        </w:rPr>
        <w:t>₂</w:t>
      </w:r>
      <w:r w:rsidR="00333CC8" w:rsidRPr="00333CC8">
        <w:t xml:space="preserve">, and temperature </w:t>
      </w:r>
      <w:r w:rsidRPr="007D12F1">
        <w:rPr>
          <w:lang w:val="en-GB"/>
        </w:rPr>
        <w:t>(Unisense, Aarhus, Denmark)</w:t>
      </w:r>
      <w:r w:rsidR="00FF550F">
        <w:t xml:space="preserve"> </w:t>
      </w:r>
      <w:r w:rsidR="00333CC8" w:rsidRPr="00333CC8">
        <w:t xml:space="preserve">were integrated into T-pieces </w:t>
      </w:r>
      <w:r>
        <w:t>(</w:t>
      </w:r>
      <w:r w:rsidRPr="007D12F1">
        <w:rPr>
          <w:lang w:val="en-GB"/>
        </w:rPr>
        <w:t>Swagelok Company, Solon, OH, USA</w:t>
      </w:r>
      <w:r>
        <w:rPr>
          <w:lang w:val="en-GB"/>
        </w:rPr>
        <w:t>)</w:t>
      </w:r>
      <w:r w:rsidRPr="007D12F1">
        <w:rPr>
          <w:lang w:val="en-GB"/>
        </w:rPr>
        <w:t xml:space="preserve"> </w:t>
      </w:r>
      <w:r w:rsidR="00333CC8" w:rsidRPr="00333CC8">
        <w:t>upstream and downstream of the reactor, enabling determination of gas conversion and selectivity during H</w:t>
      </w:r>
      <w:r w:rsidR="00333CC8" w:rsidRPr="00333CC8">
        <w:rPr>
          <w:rFonts w:ascii="Cambria Math" w:hAnsi="Cambria Math" w:cs="Cambria Math"/>
        </w:rPr>
        <w:t>₂</w:t>
      </w:r>
      <w:r w:rsidR="00333CC8" w:rsidRPr="00333CC8">
        <w:t>O</w:t>
      </w:r>
      <w:r w:rsidR="00333CC8" w:rsidRPr="00333CC8">
        <w:rPr>
          <w:rFonts w:ascii="Cambria Math" w:hAnsi="Cambria Math" w:cs="Cambria Math"/>
        </w:rPr>
        <w:t>₂</w:t>
      </w:r>
      <w:r w:rsidR="00333CC8" w:rsidRPr="00333CC8">
        <w:t xml:space="preserve"> synthesis. </w:t>
      </w:r>
      <w:r w:rsidR="00333CC8" w:rsidRPr="00333CC8">
        <w:rPr>
          <w:lang w:val="en-GB"/>
        </w:rPr>
        <w:t>The reactor consisted of a stainless-steel microreactor containing a single channel (0.1 m × 0.058 m × 0.001 m) and was based on a design originally developed for operando X-ray absorption spectroscopy</w:t>
      </w:r>
      <w:r w:rsidR="00333CC8">
        <w:rPr>
          <w:lang w:val="en-GB"/>
        </w:rPr>
        <w:t xml:space="preserve"> </w:t>
      </w:r>
      <w:r w:rsidR="00402774" w:rsidRPr="00402774">
        <w:rPr>
          <w:lang w:val="en-GB"/>
        </w:rPr>
        <w:fldChar w:fldCharType="begin"/>
      </w:r>
      <w:r w:rsidR="00402774" w:rsidRPr="00402774">
        <w:rPr>
          <w:lang w:val="en-GB"/>
        </w:rPr>
        <w:instrText xml:space="preserve"> ADDIN ZOTERO_ITEM CSL_CITATION {"citationID":"ry4poXV8","properties":{"formattedCitation":"(Deschner et al., 2021)","plainCitation":"(Deschner et al., 2021)","noteIndex":0},"citationItems":[{"id":4990,"uris":["http://zotero.org/users/19105841/items/5B7NAWLG"],"itemData":{"id":4990,"type":"article-journal","abstract":"A continuous-flow reactor and a continuous-flow setup compatible with operando x-ray absorption spectroscopy (XAS) were designed for safely studying liquid-phase reactions on solid high atomic number transition metal catalysts (e.g., Au, Pd, and Pt) under pressures up to 100 bars with temperatures up to 100 °C. The reactor has a stainless-steel body, 2 mm thick polyether ether ketone (PEEK) x-ray windows, and a low internal volume of 0.31 ml. The rectangular chamber (6 × 5 × 1 mm3) between the PEEK x-ray windows allows us to perform XAS studies of packed beds or monoliths in the transmission mode at any position in the cell over a length of 60 mm. A 146° wide-angle beam access also allows recording complementary x-ray fluorescence or x-ray diffraction signals. The setup was engineered to continuously feed a single-phase liquid flow saturated with one or more gaseous reactants to the liquid-solid XAS reactor containing no free gas phase for enhanced process safety and sample homogeneity. The proof of concept for the continuous-flow XAS cell and high-pressure setup was provided by operando XAS measurements during the direct synthesis of hydrogen peroxide at room temperature and 40 bars using a 35 ± 5 mg catalyst (1 wt. % Pd/TiO2) and inline near-infrared spectroscopy. The experiments prove that the system is well suited to follow the reaction in the liquid phase while recording high-quality XAS data, paving the way for detailed studies on the catalyst structure and structure-activity relationships.","citation-key":"deschnerContinuousflowReactorSetup2021","container-title":"Review of Scientific Instruments","DOI":"10.1063/5.0057011","ISSN":"10897623","issue":"12","PMID":"34972445","publisher":"American Institute of Physics Inc.","title":"Continuous-flow reactor setup for operando x-ray absorption spectroscopy of high pressure heterogeneous liquid-solid catalytic processes","volume":"92","author":[{"family":"Deschner","given":"Benedikt J."},{"family":"Doronkin","given":"Dmitry E."},{"family":"Sheppard","given":"Thomas L."},{"family":"Rabsch","given":"Georg"},{"family":"Grunwaldt","given":"Jan Dierk"},{"family":"Dittmeyer","given":"Roland"}],"issued":{"date-parts":[["2021",12,1]]}}}],"schema":"https://github.com/citation-style-language/schema/raw/master/csl-citation.json"} </w:instrText>
      </w:r>
      <w:r w:rsidR="00402774" w:rsidRPr="00402774">
        <w:rPr>
          <w:lang w:val="en-GB"/>
        </w:rPr>
        <w:fldChar w:fldCharType="separate"/>
      </w:r>
      <w:r w:rsidR="00402774" w:rsidRPr="00402774">
        <w:rPr>
          <w:rFonts w:cs="Arial"/>
        </w:rPr>
        <w:t>(Deschner et al., 2021)</w:t>
      </w:r>
      <w:r w:rsidR="00402774" w:rsidRPr="00402774">
        <w:rPr>
          <w:lang w:val="en-GB"/>
        </w:rPr>
        <w:fldChar w:fldCharType="end"/>
      </w:r>
      <w:r w:rsidR="00402774" w:rsidRPr="00402774">
        <w:rPr>
          <w:lang w:val="en-GB"/>
        </w:rPr>
        <w:t>.</w:t>
      </w:r>
      <w:r w:rsidR="00333CC8">
        <w:rPr>
          <w:lang w:val="en-GB"/>
        </w:rPr>
        <w:t xml:space="preserve"> </w:t>
      </w:r>
      <w:r w:rsidR="00333CC8" w:rsidRPr="00333CC8">
        <w:rPr>
          <w:lang w:val="en-GB"/>
        </w:rPr>
        <w:t>The channel was packed against the flow direction with glass wool and silicon carbide as inert retaining materials, followed by the catalytic bed. Catalyst and cell material were retained using stainless-steel frit screws equipped with sintered metal filters</w:t>
      </w:r>
      <w:r w:rsidR="006930DB">
        <w:rPr>
          <w:lang w:val="en-GB"/>
        </w:rPr>
        <w:t>.</w:t>
      </w:r>
      <w:r w:rsidR="00DE3B0D">
        <w:rPr>
          <w:lang w:val="en-GB"/>
        </w:rPr>
        <w:br/>
      </w:r>
      <w:r w:rsidR="00DE3B0D">
        <w:rPr>
          <w:lang w:val="en-GB"/>
        </w:rPr>
        <w:br/>
      </w:r>
    </w:p>
    <w:p w14:paraId="7DF349F1" w14:textId="42605399" w:rsidR="007F07AD" w:rsidRDefault="007F07AD" w:rsidP="00DE3B0D">
      <w:pPr>
        <w:pStyle w:val="CETBodytext"/>
        <w:rPr>
          <w:rStyle w:val="CETCaptionCarattere"/>
          <w:rFonts w:cs="Arial"/>
        </w:rPr>
      </w:pPr>
    </w:p>
    <w:p w14:paraId="3F88E8A8" w14:textId="47C79BAB" w:rsidR="007F07AD" w:rsidRDefault="007F07AD" w:rsidP="00DE3B0D">
      <w:pPr>
        <w:pStyle w:val="CETBodytext"/>
        <w:rPr>
          <w:rStyle w:val="CETCaptionCarattere"/>
          <w:rFonts w:cs="Arial"/>
        </w:rPr>
      </w:pPr>
    </w:p>
    <w:p w14:paraId="2755B8F7" w14:textId="5E2B8BAA" w:rsidR="007F07AD" w:rsidRDefault="007F07AD" w:rsidP="00DE3B0D">
      <w:pPr>
        <w:pStyle w:val="CETBodytext"/>
        <w:rPr>
          <w:rStyle w:val="CETCaptionCarattere"/>
          <w:rFonts w:cs="Arial"/>
        </w:rPr>
      </w:pPr>
    </w:p>
    <w:p w14:paraId="54F758F0" w14:textId="17734D8D" w:rsidR="007F07AD" w:rsidRDefault="007F07AD" w:rsidP="00DE3B0D">
      <w:pPr>
        <w:pStyle w:val="CETBodytext"/>
        <w:rPr>
          <w:rStyle w:val="CETCaptionCarattere"/>
          <w:rFonts w:cs="Arial"/>
        </w:rPr>
      </w:pPr>
    </w:p>
    <w:p w14:paraId="4049CBBE" w14:textId="2C24732A" w:rsidR="007F07AD" w:rsidRDefault="007F07AD" w:rsidP="00DE3B0D">
      <w:pPr>
        <w:pStyle w:val="CETBodytext"/>
        <w:rPr>
          <w:rStyle w:val="CETCaptionCarattere"/>
          <w:rFonts w:cs="Arial"/>
        </w:rPr>
      </w:pPr>
    </w:p>
    <w:p w14:paraId="2B2403FB" w14:textId="5EFE29AF" w:rsidR="00341CC1" w:rsidRDefault="00341CC1" w:rsidP="00DE3B0D">
      <w:pPr>
        <w:pStyle w:val="CETBodytext"/>
        <w:rPr>
          <w:rStyle w:val="CETCaptionCarattere"/>
          <w:rFonts w:cs="Arial"/>
        </w:rPr>
      </w:pPr>
    </w:p>
    <w:p w14:paraId="04B64243" w14:textId="1DB903F5" w:rsidR="007F07AD" w:rsidRDefault="007F07AD" w:rsidP="00DE3B0D">
      <w:pPr>
        <w:pStyle w:val="CETBodytext"/>
        <w:rPr>
          <w:rStyle w:val="CETCaptionCarattere"/>
          <w:rFonts w:cs="Arial"/>
        </w:rPr>
      </w:pPr>
    </w:p>
    <w:p w14:paraId="5492649A" w14:textId="6D39153A" w:rsidR="007F07AD" w:rsidRDefault="007F07AD" w:rsidP="00C51B6A">
      <w:pPr>
        <w:pStyle w:val="CETBodytext"/>
        <w:tabs>
          <w:tab w:val="clear" w:pos="7100"/>
          <w:tab w:val="left" w:pos="5096"/>
        </w:tabs>
        <w:rPr>
          <w:rStyle w:val="CETCaptionCarattere"/>
          <w:rFonts w:cs="Arial"/>
        </w:rPr>
      </w:pPr>
    </w:p>
    <w:p w14:paraId="65721370" w14:textId="7CD355E0" w:rsidR="007F07AD" w:rsidRDefault="007F07AD" w:rsidP="00DE3B0D">
      <w:pPr>
        <w:pStyle w:val="CETBodytext"/>
        <w:rPr>
          <w:rStyle w:val="CETCaptionCarattere"/>
          <w:rFonts w:cs="Arial"/>
        </w:rPr>
      </w:pPr>
    </w:p>
    <w:p w14:paraId="679425AF" w14:textId="10BB7298" w:rsidR="007F07AD" w:rsidRDefault="007F07AD" w:rsidP="00DE3B0D">
      <w:pPr>
        <w:pStyle w:val="CETBodytext"/>
        <w:rPr>
          <w:rStyle w:val="CETCaptionCarattere"/>
          <w:rFonts w:cs="Arial"/>
        </w:rPr>
      </w:pPr>
    </w:p>
    <w:p w14:paraId="187F8619" w14:textId="77777777" w:rsidR="007F07AD" w:rsidRDefault="007F07AD" w:rsidP="00DE3B0D">
      <w:pPr>
        <w:pStyle w:val="CETBodytext"/>
        <w:rPr>
          <w:rStyle w:val="CETCaptionCarattere"/>
          <w:rFonts w:cs="Arial"/>
        </w:rPr>
      </w:pPr>
    </w:p>
    <w:p w14:paraId="3DA2B949" w14:textId="77777777" w:rsidR="007F07AD" w:rsidRDefault="007F07AD" w:rsidP="00DE3B0D">
      <w:pPr>
        <w:pStyle w:val="CETBodytext"/>
        <w:rPr>
          <w:rStyle w:val="CETCaptionCarattere"/>
          <w:rFonts w:cs="Arial"/>
        </w:rPr>
      </w:pPr>
    </w:p>
    <w:p w14:paraId="0780D034" w14:textId="77777777" w:rsidR="007F07AD" w:rsidRDefault="007F07AD" w:rsidP="00DE3B0D">
      <w:pPr>
        <w:pStyle w:val="CETBodytext"/>
        <w:rPr>
          <w:rStyle w:val="CETCaptionCarattere"/>
          <w:rFonts w:cs="Arial"/>
        </w:rPr>
      </w:pPr>
    </w:p>
    <w:p w14:paraId="215C5EC1" w14:textId="77777777" w:rsidR="00E94003" w:rsidRDefault="00E94003" w:rsidP="006F397F">
      <w:pPr>
        <w:pStyle w:val="CETCaption"/>
        <w:rPr>
          <w:rStyle w:val="CETCaptionCarattere"/>
          <w:i/>
        </w:rPr>
      </w:pPr>
    </w:p>
    <w:p w14:paraId="2EDE272B" w14:textId="77777777" w:rsidR="004609A1" w:rsidRPr="00333CC8" w:rsidRDefault="004609A1" w:rsidP="00333CC8">
      <w:pPr>
        <w:pStyle w:val="CETCaption"/>
        <w:rPr>
          <w:rStyle w:val="CETCaptionCarattere"/>
          <w:i/>
        </w:rPr>
      </w:pPr>
    </w:p>
    <w:p w14:paraId="0404752F" w14:textId="0D066800" w:rsidR="00D86072" w:rsidRPr="00E85FE8" w:rsidRDefault="00D723C0" w:rsidP="00333CC8">
      <w:pPr>
        <w:pStyle w:val="CETCaption"/>
      </w:pPr>
      <w:r w:rsidRPr="00333CC8">
        <w:rPr>
          <w:rStyle w:val="CETCaptionCarattere"/>
          <w:i/>
        </w:rPr>
        <w:t xml:space="preserve">Figure </w:t>
      </w:r>
      <w:r w:rsidR="00EA428A" w:rsidRPr="00333CC8">
        <w:rPr>
          <w:rStyle w:val="CETCaptionCarattere"/>
          <w:i/>
        </w:rPr>
        <w:t>1</w:t>
      </w:r>
      <w:r w:rsidRPr="00333CC8">
        <w:rPr>
          <w:rStyle w:val="CETCaptionCarattere"/>
          <w:i/>
        </w:rPr>
        <w:t xml:space="preserve">: </w:t>
      </w:r>
      <w:r w:rsidR="00333CC8" w:rsidRPr="00333CC8">
        <w:t>PFD</w:t>
      </w:r>
      <w:r w:rsidR="00DA72D4" w:rsidRPr="00333CC8">
        <w:t xml:space="preserve"> of the continuous fixed-bed reactor system and a picture of the fixed</w:t>
      </w:r>
      <w:r w:rsidR="00BE0EA9">
        <w:t>-</w:t>
      </w:r>
      <w:r w:rsidR="00DA72D4" w:rsidRPr="00333CC8">
        <w:t xml:space="preserve">bed </w:t>
      </w:r>
      <w:r w:rsidR="002076ED" w:rsidRPr="00333CC8">
        <w:t>reactor</w:t>
      </w:r>
      <w:r w:rsidR="00241D98" w:rsidRPr="00333CC8">
        <w:t xml:space="preserve"> with </w:t>
      </w:r>
      <w:r w:rsidR="0000242F" w:rsidRPr="00333CC8">
        <w:t>YSD-</w:t>
      </w:r>
      <w:r w:rsidR="00241D98" w:rsidRPr="00333CC8">
        <w:t>UPO</w:t>
      </w:r>
      <w:r w:rsidR="00B5515F">
        <w:t xml:space="preserve"> (detailed description in the main text)</w:t>
      </w:r>
      <w:r w:rsidR="002076ED" w:rsidRPr="00333CC8">
        <w:t>.</w:t>
      </w:r>
      <w:r w:rsidR="00B417BB">
        <w:br/>
      </w:r>
      <w:r w:rsidR="0094214E" w:rsidRPr="00333CC8">
        <w:br/>
      </w:r>
      <w:r w:rsidR="0002719B" w:rsidRPr="0002719B">
        <w:rPr>
          <w:rStyle w:val="CETBodytextCarattere"/>
          <w:i w:val="0"/>
          <w:iCs/>
        </w:rPr>
        <w:t>For direct H</w:t>
      </w:r>
      <w:r w:rsidR="0002719B" w:rsidRPr="0002719B">
        <w:rPr>
          <w:rStyle w:val="CETBodytextCarattere"/>
          <w:rFonts w:ascii="Cambria Math" w:hAnsi="Cambria Math" w:cs="Cambria Math"/>
          <w:i w:val="0"/>
          <w:iCs/>
        </w:rPr>
        <w:t>₂</w:t>
      </w:r>
      <w:r w:rsidR="0002719B" w:rsidRPr="0002719B">
        <w:rPr>
          <w:rStyle w:val="CETBodytextCarattere"/>
          <w:i w:val="0"/>
          <w:iCs/>
        </w:rPr>
        <w:t>O</w:t>
      </w:r>
      <w:r w:rsidR="0002719B" w:rsidRPr="0002719B">
        <w:rPr>
          <w:rStyle w:val="CETBodytextCarattere"/>
          <w:rFonts w:ascii="Cambria Math" w:hAnsi="Cambria Math" w:cs="Cambria Math"/>
          <w:i w:val="0"/>
          <w:iCs/>
        </w:rPr>
        <w:t>₂</w:t>
      </w:r>
      <w:r w:rsidR="0002719B" w:rsidRPr="0002719B">
        <w:rPr>
          <w:rStyle w:val="CETBodytextCarattere"/>
          <w:i w:val="0"/>
          <w:iCs/>
        </w:rPr>
        <w:t xml:space="preserve"> synthesis, 16 mg of Pd/</w:t>
      </w:r>
      <w:proofErr w:type="spellStart"/>
      <w:r w:rsidR="0002719B" w:rsidRPr="0002719B">
        <w:rPr>
          <w:rStyle w:val="CETBodytextCarattere"/>
          <w:i w:val="0"/>
          <w:iCs/>
        </w:rPr>
        <w:t>TiO</w:t>
      </w:r>
      <w:proofErr w:type="spellEnd"/>
      <w:r w:rsidR="0002719B" w:rsidRPr="0002719B">
        <w:rPr>
          <w:rStyle w:val="CETBodytextCarattere"/>
          <w:rFonts w:ascii="Cambria Math" w:hAnsi="Cambria Math" w:cs="Cambria Math"/>
          <w:i w:val="0"/>
          <w:iCs/>
        </w:rPr>
        <w:t>₂</w:t>
      </w:r>
      <w:r w:rsidR="0002719B" w:rsidRPr="0002719B">
        <w:rPr>
          <w:rStyle w:val="CETBodytextCarattere"/>
          <w:i w:val="0"/>
          <w:iCs/>
        </w:rPr>
        <w:t xml:space="preserve"> catalyst were used. Due to low peroxide yields under enzyme-compatible conditions, the catalyst loading was increased for tandem catalysis experiments. In the tandem configuration, the reactor was packed with an upstream Pd/</w:t>
      </w:r>
      <w:proofErr w:type="spellStart"/>
      <w:r w:rsidR="0002719B" w:rsidRPr="0002719B">
        <w:rPr>
          <w:rStyle w:val="CETBodytextCarattere"/>
          <w:i w:val="0"/>
          <w:iCs/>
        </w:rPr>
        <w:t>TiO</w:t>
      </w:r>
      <w:proofErr w:type="spellEnd"/>
      <w:r w:rsidR="0002719B" w:rsidRPr="0002719B">
        <w:rPr>
          <w:rStyle w:val="CETBodytextCarattere"/>
          <w:rFonts w:ascii="Cambria Math" w:hAnsi="Cambria Math" w:cs="Cambria Math"/>
          <w:i w:val="0"/>
          <w:iCs/>
        </w:rPr>
        <w:t>₂</w:t>
      </w:r>
      <w:r w:rsidR="0002719B" w:rsidRPr="0002719B">
        <w:rPr>
          <w:rStyle w:val="CETBodytextCarattere"/>
          <w:i w:val="0"/>
          <w:iCs/>
        </w:rPr>
        <w:t xml:space="preserve"> section for H</w:t>
      </w:r>
      <w:r w:rsidR="0002719B" w:rsidRPr="0002719B">
        <w:rPr>
          <w:rStyle w:val="CETBodytextCarattere"/>
          <w:rFonts w:ascii="Cambria Math" w:hAnsi="Cambria Math" w:cs="Cambria Math"/>
          <w:i w:val="0"/>
          <w:iCs/>
        </w:rPr>
        <w:t>₂</w:t>
      </w:r>
      <w:r w:rsidR="0002719B" w:rsidRPr="0002719B">
        <w:rPr>
          <w:rStyle w:val="CETBodytextCarattere"/>
          <w:i w:val="0"/>
          <w:iCs/>
        </w:rPr>
        <w:t>O</w:t>
      </w:r>
      <w:r w:rsidR="0002719B" w:rsidRPr="0002719B">
        <w:rPr>
          <w:rStyle w:val="CETBodytextCarattere"/>
          <w:rFonts w:ascii="Cambria Math" w:hAnsi="Cambria Math" w:cs="Cambria Math"/>
          <w:i w:val="0"/>
          <w:iCs/>
        </w:rPr>
        <w:t>₂</w:t>
      </w:r>
      <w:r w:rsidR="0002719B" w:rsidRPr="0002719B">
        <w:rPr>
          <w:rStyle w:val="CETBodytextCarattere"/>
          <w:i w:val="0"/>
          <w:iCs/>
        </w:rPr>
        <w:t xml:space="preserve"> generation, followed by a mixed bed containing 20 mg Pd/</w:t>
      </w:r>
      <w:proofErr w:type="spellStart"/>
      <w:r w:rsidR="0002719B" w:rsidRPr="0002719B">
        <w:rPr>
          <w:rStyle w:val="CETBodytextCarattere"/>
          <w:i w:val="0"/>
          <w:iCs/>
        </w:rPr>
        <w:t>TiO</w:t>
      </w:r>
      <w:proofErr w:type="spellEnd"/>
      <w:r w:rsidR="0002719B" w:rsidRPr="0002719B">
        <w:rPr>
          <w:rStyle w:val="CETBodytextCarattere"/>
          <w:rFonts w:ascii="Cambria Math" w:hAnsi="Cambria Math" w:cs="Cambria Math"/>
          <w:i w:val="0"/>
          <w:iCs/>
        </w:rPr>
        <w:t>₂</w:t>
      </w:r>
      <w:r w:rsidR="0002719B" w:rsidRPr="0002719B">
        <w:rPr>
          <w:rStyle w:val="CETBodytextCarattere"/>
          <w:i w:val="0"/>
          <w:iCs/>
        </w:rPr>
        <w:t xml:space="preserve"> catalyst and 40 mg freeze-dried YSD-UPO material.</w:t>
      </w:r>
      <w:r w:rsidR="0002719B">
        <w:rPr>
          <w:rStyle w:val="CETBodytextCarattere"/>
          <w:i w:val="0"/>
          <w:iCs/>
        </w:rPr>
        <w:t xml:space="preserve"> </w:t>
      </w:r>
      <w:r w:rsidR="0002719B" w:rsidRPr="0002719B">
        <w:rPr>
          <w:rStyle w:val="CETBodytextCarattere"/>
          <w:i w:val="0"/>
          <w:iCs/>
        </w:rPr>
        <w:t xml:space="preserve">Liquid samples were withdrawn downstream of the reactor for </w:t>
      </w:r>
      <w:r w:rsidR="0002719B" w:rsidRPr="001A3BD0">
        <w:rPr>
          <w:rStyle w:val="CETBodytextCarattere"/>
        </w:rPr>
        <w:t>ex situ</w:t>
      </w:r>
      <w:r w:rsidR="0002719B" w:rsidRPr="0002719B">
        <w:rPr>
          <w:rStyle w:val="CETBodytextCarattere"/>
          <w:i w:val="0"/>
          <w:iCs/>
        </w:rPr>
        <w:t xml:space="preserve"> analysis or collected in a nitrogen-</w:t>
      </w:r>
      <w:proofErr w:type="spellStart"/>
      <w:r w:rsidR="0002719B" w:rsidRPr="0002719B">
        <w:rPr>
          <w:rStyle w:val="CETBodytextCarattere"/>
          <w:i w:val="0"/>
          <w:iCs/>
        </w:rPr>
        <w:t>inertized</w:t>
      </w:r>
      <w:proofErr w:type="spellEnd"/>
      <w:r w:rsidR="0002719B" w:rsidRPr="0002719B">
        <w:rPr>
          <w:rStyle w:val="CETBodytextCarattere"/>
          <w:i w:val="0"/>
          <w:iCs/>
        </w:rPr>
        <w:t xml:space="preserve"> product vessel. For tandem experiments, samples were centrifuged</w:t>
      </w:r>
      <w:r w:rsidR="00B417BB">
        <w:rPr>
          <w:rStyle w:val="CETBodytextCarattere"/>
          <w:i w:val="0"/>
          <w:iCs/>
        </w:rPr>
        <w:t xml:space="preserve"> </w:t>
      </w:r>
      <w:r w:rsidR="004A1451">
        <w:rPr>
          <w:rStyle w:val="CETBodytextCarattere"/>
          <w:i w:val="0"/>
          <w:iCs/>
        </w:rPr>
        <w:t xml:space="preserve">at maximum speed </w:t>
      </w:r>
      <w:r w:rsidR="0002719B" w:rsidRPr="0002719B">
        <w:rPr>
          <w:rStyle w:val="CETBodytextCarattere"/>
          <w:i w:val="0"/>
          <w:iCs/>
        </w:rPr>
        <w:t>prior to analysis to remove washed-out cells or catalyst particles. H</w:t>
      </w:r>
      <w:r w:rsidR="0002719B" w:rsidRPr="0002719B">
        <w:rPr>
          <w:rStyle w:val="CETBodytextCarattere"/>
          <w:rFonts w:ascii="Cambria Math" w:hAnsi="Cambria Math" w:cs="Cambria Math"/>
          <w:i w:val="0"/>
          <w:iCs/>
        </w:rPr>
        <w:t>₂</w:t>
      </w:r>
      <w:r w:rsidR="0002719B" w:rsidRPr="0002719B">
        <w:rPr>
          <w:rStyle w:val="CETBodytextCarattere"/>
          <w:i w:val="0"/>
          <w:iCs/>
        </w:rPr>
        <w:t>O</w:t>
      </w:r>
      <w:r w:rsidR="0002719B" w:rsidRPr="0002719B">
        <w:rPr>
          <w:rStyle w:val="CETBodytextCarattere"/>
          <w:rFonts w:ascii="Cambria Math" w:hAnsi="Cambria Math" w:cs="Cambria Math"/>
          <w:i w:val="0"/>
          <w:iCs/>
        </w:rPr>
        <w:t>₂</w:t>
      </w:r>
      <w:r w:rsidR="0002719B" w:rsidRPr="0002719B">
        <w:rPr>
          <w:rStyle w:val="CETBodytextCarattere"/>
          <w:i w:val="0"/>
          <w:iCs/>
        </w:rPr>
        <w:t xml:space="preserve"> concentrations were quantified using a potassium iodide assay based on triiodide formation at 350 nm</w:t>
      </w:r>
      <w:r w:rsidR="00E551B7">
        <w:rPr>
          <w:rStyle w:val="CETBodytextCarattere"/>
          <w:i w:val="0"/>
          <w:iCs/>
        </w:rPr>
        <w:t xml:space="preserve"> </w:t>
      </w:r>
      <w:r w:rsidR="00E551B7" w:rsidRPr="00E551B7">
        <w:rPr>
          <w:rStyle w:val="CETBodytextCarattere"/>
          <w:i w:val="0"/>
          <w:iCs/>
        </w:rPr>
        <w:fldChar w:fldCharType="begin"/>
      </w:r>
      <w:r w:rsidR="00E551B7" w:rsidRPr="00E551B7">
        <w:rPr>
          <w:rStyle w:val="CETBodytextCarattere"/>
          <w:i w:val="0"/>
          <w:iCs/>
        </w:rPr>
        <w:instrText xml:space="preserve"> ADDIN ZOTERO_ITEM CSL_CITATION {"citationID":"vLaq0GTf","properties":{"formattedCitation":"(Xiao et al., 2019)","plainCitation":"(Xiao et al., 2019)","noteIndex":0},"citationItems":[{"id":9217,"uris":["http://zotero.org/users/19105841/items/4QT6F8E9"],"itemData":{"id":9217,"type":"article-journal","abstract":"Recently, increasing attention has been paid towards using commercial peracetic acid (PAA) solution as an efficient disinfectant or a strong oxidant in water treatment.\n          , \n            \n              Recently, increasing attention has been paid for using commercial peracetic acid (PAA) solution as an efficient disinfectant or a strong oxidant in water treatment. Simultaneous determination of PAA and hydrogen peroxide (H\n              2\n              O\n              2\n              ) is vital because PAA solution is commonly available as a mixed solution containing the peroxides PAA and H\n              2\n              O\n              2\n              . In this study, a simple, rapid and reliable spectrophotometric method for the simultaneous determination of PAA and H\n              2\n              O\n              2\n              was developed. This method was based on the rapid oxidation of excess potassium iodide by PAA and H\n              2\n              O\n              2\n              in the presence of ammonium molybdate to yield yellow-colored triiodide ions (I\n              3\n              −\n              ) that could be quantitatively measured using an UV-Vis spectrophotometer. The absorption of generated I\n              3\n              −\n              at 350 nm increased linearly (\n              R\n              2\n              &gt; 0.999) with the concentrations of total peroxides and PAA in the range of 0–70 μM. The sensitivities were respectively measured to be as high as 2.596 × 10\n              4\n              M\n              −1\n              cm\n              −1\n              for total peroxides and 2.616 × 10\n              4\n              M\n              −1\n              cm\n              −1\n              for PAA, while the corresponding limits of detection were calculated to be as low as 0.19 μM and 0.18 μM. The concentration of the H\n              2\n              O\n              2\n              coexisting in PAA solution was obtained by subtracting the concentration of PAA from the concentration of total peroxides. The concentrations of total peroxides, PAA and H\n              2\n              O\n              2\n              in practical water samples measured with this proposed method were in good agreement with the values measured with the earlier reported spectrophotometric method using\n              N\n              ,\n              N\n              -diethyl-\n              p\n              -phenylenediamine as the indicator. Therefore, this proposed spectrophotometric method could be considered as an alternative method for the simultaneous determination of PAA and H\n              2\n              O\n              2\n              coexisting in PAA solution.","citation-key":"xiaoSimultaneousSpectrophotometricDetermination2019a","container-title":"Analytical Methods","DOI":"10.1039/C8AY02772B","ISSN":"1759-9660, 1759-9679","issue":"14","journalAbbreviation":"Anal. Methods","language":"en","page":"1930-1938","source":"DOI.org (Crossref)","title":"Simultaneous spectrophotometric determination of peracetic acid and the coexistent hydrogen peroxide using potassium iodide as the indicator","volume":"11","author":[{"family":"Xiao","given":"Junyang"},{"family":"Wang","given":"Mengyun"},{"family":"Pang","given":"Zijun"},{"family":"Dai","given":"Lin"},{"family":"Lu","given":"Jinfeng"},{"family":"Zou","given":"Jing"}],"issued":{"date-parts":[["2019"]]}}}],"schema":"https://github.com/citation-style-language/schema/raw/master/csl-citation.json"} </w:instrText>
      </w:r>
      <w:r w:rsidR="00E551B7" w:rsidRPr="00E551B7">
        <w:rPr>
          <w:rStyle w:val="CETBodytextCarattere"/>
          <w:i w:val="0"/>
          <w:iCs/>
        </w:rPr>
        <w:fldChar w:fldCharType="separate"/>
      </w:r>
      <w:r w:rsidR="00E551B7" w:rsidRPr="00E551B7">
        <w:rPr>
          <w:rFonts w:cs="Arial"/>
          <w:i w:val="0"/>
          <w:iCs/>
        </w:rPr>
        <w:t>(Xiao et al., 2019)</w:t>
      </w:r>
      <w:r w:rsidR="00E551B7" w:rsidRPr="00E551B7">
        <w:rPr>
          <w:rStyle w:val="CETBodytextCarattere"/>
          <w:i w:val="0"/>
          <w:iCs/>
        </w:rPr>
        <w:fldChar w:fldCharType="end"/>
      </w:r>
      <w:r w:rsidR="00D86072" w:rsidRPr="00E551B7">
        <w:rPr>
          <w:rStyle w:val="CETBodytextCarattere"/>
          <w:i w:val="0"/>
          <w:iCs/>
        </w:rPr>
        <w:t xml:space="preserve">. </w:t>
      </w:r>
      <w:r w:rsidR="0002719B" w:rsidRPr="0002719B">
        <w:rPr>
          <w:rStyle w:val="CETBodytextCarattere"/>
          <w:i w:val="0"/>
          <w:iCs/>
        </w:rPr>
        <w:t>ABTS oxidation was monitored at 418 nm, and formation of</w:t>
      </w:r>
      <w:r w:rsidR="0042767D">
        <w:rPr>
          <w:rStyle w:val="CETBodytextCarattere"/>
          <w:i w:val="0"/>
          <w:iCs/>
        </w:rPr>
        <w:t xml:space="preserve">                          </w:t>
      </w:r>
      <w:r w:rsidR="0002719B" w:rsidRPr="0002719B">
        <w:rPr>
          <w:rStyle w:val="CETBodytextCarattere"/>
          <w:i w:val="0"/>
          <w:iCs/>
        </w:rPr>
        <w:t xml:space="preserve"> 4-nitrocatechol was quantified at 425 nm. Concentrations were calculated using the Lambert–Beer law.</w:t>
      </w:r>
    </w:p>
    <w:p w14:paraId="5D2D19D8" w14:textId="6B93111D" w:rsidR="00357A61" w:rsidRDefault="00357A61" w:rsidP="00357A61">
      <w:pPr>
        <w:pStyle w:val="CETHeading1"/>
      </w:pPr>
      <w:r>
        <w:t>Results and Discussion</w:t>
      </w:r>
    </w:p>
    <w:p w14:paraId="001C724B" w14:textId="79881B30" w:rsidR="00422F11" w:rsidRPr="00422F11" w:rsidRDefault="00433822" w:rsidP="00496226">
      <w:pPr>
        <w:pStyle w:val="CETheadingx"/>
      </w:pPr>
      <w:r>
        <w:t xml:space="preserve">3.1 </w:t>
      </w:r>
      <w:r w:rsidR="00422F11">
        <w:t xml:space="preserve">Preparation and characterization of </w:t>
      </w:r>
      <w:r w:rsidR="0000242F">
        <w:t>YSD-</w:t>
      </w:r>
      <w:r w:rsidR="00422F11">
        <w:t>UPOs</w:t>
      </w:r>
    </w:p>
    <w:p w14:paraId="40A914A6" w14:textId="74F30225" w:rsidR="004609A1" w:rsidRDefault="008751B1" w:rsidP="00D86072">
      <w:pPr>
        <w:pStyle w:val="CETBodytext"/>
        <w:rPr>
          <w:bCs/>
        </w:rPr>
      </w:pPr>
      <w:r w:rsidRPr="008751B1">
        <w:rPr>
          <w:bCs/>
        </w:rPr>
        <w:t>At the end of fermentation, a biomass concentration of 51 g L</w:t>
      </w:r>
      <w:r w:rsidRPr="008751B1">
        <w:rPr>
          <w:rFonts w:ascii="Cambria Math" w:hAnsi="Cambria Math" w:cs="Cambria Math"/>
          <w:bCs/>
        </w:rPr>
        <w:t>⁻</w:t>
      </w:r>
      <w:r w:rsidRPr="008751B1">
        <w:rPr>
          <w:rFonts w:cs="Arial"/>
          <w:bCs/>
        </w:rPr>
        <w:t>¹</w:t>
      </w:r>
      <w:r w:rsidRPr="008751B1">
        <w:rPr>
          <w:bCs/>
        </w:rPr>
        <w:t xml:space="preserve"> was obtained, corresponding to a volumetric ABTS activity of 31.1 U mL</w:t>
      </w:r>
      <w:r w:rsidRPr="008751B1">
        <w:rPr>
          <w:rFonts w:ascii="Cambria Math" w:hAnsi="Cambria Math" w:cs="Cambria Math"/>
          <w:bCs/>
        </w:rPr>
        <w:t>⁻</w:t>
      </w:r>
      <w:r w:rsidRPr="008751B1">
        <w:rPr>
          <w:rFonts w:cs="Arial"/>
          <w:bCs/>
        </w:rPr>
        <w:t>¹</w:t>
      </w:r>
      <w:r w:rsidRPr="008751B1">
        <w:rPr>
          <w:bCs/>
        </w:rPr>
        <w:t xml:space="preserve"> and a total activity of approximately 1.0 </w:t>
      </w:r>
      <w:r w:rsidRPr="008751B1">
        <w:rPr>
          <w:rFonts w:cs="Arial"/>
          <w:bCs/>
        </w:rPr>
        <w:t>×</w:t>
      </w:r>
      <w:r w:rsidRPr="008751B1">
        <w:rPr>
          <w:bCs/>
        </w:rPr>
        <w:t xml:space="preserve"> 10</w:t>
      </w:r>
      <w:r w:rsidRPr="008751B1">
        <w:rPr>
          <w:rFonts w:cs="Arial"/>
          <w:bCs/>
        </w:rPr>
        <w:t>⁵</w:t>
      </w:r>
      <w:r w:rsidRPr="008751B1">
        <w:rPr>
          <w:bCs/>
        </w:rPr>
        <w:t xml:space="preserve"> U distributed in approximately 3.3 L of fermentation broth.</w:t>
      </w:r>
      <w:r>
        <w:rPr>
          <w:bCs/>
        </w:rPr>
        <w:t xml:space="preserve"> </w:t>
      </w:r>
      <w:r w:rsidR="00D86072" w:rsidRPr="00D86072">
        <w:rPr>
          <w:bCs/>
        </w:rPr>
        <w:t>Among the tested solvents</w:t>
      </w:r>
      <w:r w:rsidR="00C242A0">
        <w:rPr>
          <w:bCs/>
        </w:rPr>
        <w:t xml:space="preserve"> for cell inactivation</w:t>
      </w:r>
      <w:r w:rsidR="00D86072" w:rsidRPr="00D86072">
        <w:rPr>
          <w:bCs/>
        </w:rPr>
        <w:t xml:space="preserve">, </w:t>
      </w:r>
      <w:proofErr w:type="gramStart"/>
      <w:r w:rsidR="0032032F" w:rsidRPr="00D86072">
        <w:rPr>
          <w:bCs/>
        </w:rPr>
        <w:t>alcohol</w:t>
      </w:r>
      <w:r w:rsidR="0032032F">
        <w:rPr>
          <w:bCs/>
        </w:rPr>
        <w:t>s</w:t>
      </w:r>
      <w:r w:rsidR="0032032F" w:rsidRPr="00D86072">
        <w:rPr>
          <w:bCs/>
        </w:rPr>
        <w:t xml:space="preserve"> provide</w:t>
      </w:r>
      <w:r w:rsidR="0032032F">
        <w:rPr>
          <w:bCs/>
        </w:rPr>
        <w:t>d</w:t>
      </w:r>
      <w:proofErr w:type="gramEnd"/>
      <w:r w:rsidR="00D86072" w:rsidRPr="00D86072">
        <w:rPr>
          <w:bCs/>
        </w:rPr>
        <w:t xml:space="preserve"> the best compromise between effective inactivation and enzyme activity retention</w:t>
      </w:r>
      <w:r w:rsidR="00C242A0">
        <w:rPr>
          <w:bCs/>
        </w:rPr>
        <w:t xml:space="preserve"> or even enhancement</w:t>
      </w:r>
      <w:r w:rsidR="00D86072" w:rsidRPr="00D86072">
        <w:rPr>
          <w:bCs/>
        </w:rPr>
        <w:t>. No colony formation was observed after treatment with isopropanol or ethanol</w:t>
      </w:r>
      <w:r w:rsidR="00B417BB">
        <w:rPr>
          <w:bCs/>
        </w:rPr>
        <w:t xml:space="preserve"> (data not shown)</w:t>
      </w:r>
      <w:r w:rsidR="00D86072" w:rsidRPr="00D86072">
        <w:rPr>
          <w:bCs/>
        </w:rPr>
        <w:t xml:space="preserve">, while enzymatic activity was preserved </w:t>
      </w:r>
      <w:r w:rsidR="00D86072" w:rsidRPr="00D86072">
        <w:rPr>
          <w:bCs/>
        </w:rPr>
        <w:lastRenderedPageBreak/>
        <w:t xml:space="preserve">or increased (Figure </w:t>
      </w:r>
      <w:r w:rsidR="004609A1">
        <w:rPr>
          <w:bCs/>
        </w:rPr>
        <w:t>2</w:t>
      </w:r>
      <w:r w:rsidR="00D86072">
        <w:rPr>
          <w:bCs/>
        </w:rPr>
        <w:t xml:space="preserve"> </w:t>
      </w:r>
      <w:r w:rsidR="004609A1">
        <w:rPr>
          <w:bCs/>
        </w:rPr>
        <w:t>(</w:t>
      </w:r>
      <w:r w:rsidR="00D86072" w:rsidRPr="00D86072">
        <w:rPr>
          <w:bCs/>
        </w:rPr>
        <w:t>a</w:t>
      </w:r>
      <w:r w:rsidR="00D86072">
        <w:rPr>
          <w:bCs/>
        </w:rPr>
        <w:t>)</w:t>
      </w:r>
      <w:r w:rsidR="00D86072" w:rsidRPr="00D86072">
        <w:rPr>
          <w:bCs/>
        </w:rPr>
        <w:t>). Complete inactivation was achieved using isopropanol after 4 h at a solvent-to-suspension ratio of ≥1:1, and these conditions were selected for subsequent experiments</w:t>
      </w:r>
      <w:r w:rsidR="004609A1">
        <w:rPr>
          <w:bCs/>
        </w:rPr>
        <w:t xml:space="preserve"> as treatment led to enhanced activity compared to the control</w:t>
      </w:r>
      <w:r w:rsidR="00D86072" w:rsidRPr="00D86072">
        <w:rPr>
          <w:bCs/>
        </w:rPr>
        <w:t>.</w:t>
      </w:r>
    </w:p>
    <w:p w14:paraId="462301BE" w14:textId="55259147" w:rsidR="00541530" w:rsidRDefault="00D86072" w:rsidP="00D86072">
      <w:pPr>
        <w:pStyle w:val="CETBodytext"/>
      </w:pPr>
      <w:r w:rsidRPr="00D86072">
        <w:rPr>
          <w:bCs/>
        </w:rPr>
        <w:t xml:space="preserve">The freeze-dried YSD-UPOs exhibited high storage stability over 160 d at 4 °C, −30 °C, and −80 °C, whereas storage at room temperature led to pronounced activity loss (Figure </w:t>
      </w:r>
      <w:r w:rsidR="004C7881">
        <w:rPr>
          <w:bCs/>
        </w:rPr>
        <w:t>2</w:t>
      </w:r>
      <w:r w:rsidR="002D1F0A">
        <w:rPr>
          <w:bCs/>
        </w:rPr>
        <w:t xml:space="preserve"> </w:t>
      </w:r>
      <w:r w:rsidR="004609A1">
        <w:rPr>
          <w:bCs/>
        </w:rPr>
        <w:t>(</w:t>
      </w:r>
      <w:r w:rsidRPr="00D86072">
        <w:rPr>
          <w:bCs/>
        </w:rPr>
        <w:t>b</w:t>
      </w:r>
      <w:r w:rsidR="002D1F0A">
        <w:rPr>
          <w:bCs/>
        </w:rPr>
        <w:t>)</w:t>
      </w:r>
      <w:r w:rsidRPr="00D86072">
        <w:rPr>
          <w:bCs/>
        </w:rPr>
        <w:t>). The resulting material showed a mass-specific activity of 0.36 U mg</w:t>
      </w:r>
      <w:r w:rsidRPr="00D86072">
        <w:rPr>
          <w:rFonts w:ascii="Cambria Math" w:hAnsi="Cambria Math" w:cs="Cambria Math"/>
          <w:bCs/>
        </w:rPr>
        <w:t>⁻</w:t>
      </w:r>
      <w:r w:rsidRPr="00D86072">
        <w:rPr>
          <w:rFonts w:cs="Arial"/>
          <w:bCs/>
        </w:rPr>
        <w:t>¹</w:t>
      </w:r>
      <w:r w:rsidRPr="00D86072">
        <w:rPr>
          <w:bCs/>
        </w:rPr>
        <w:t xml:space="preserve"> dry biomass, corresponding to an enzyme loading of 1.05 </w:t>
      </w:r>
      <w:r w:rsidRPr="00D86072">
        <w:rPr>
          <w:rFonts w:cs="Arial"/>
          <w:bCs/>
        </w:rPr>
        <w:t>×</w:t>
      </w:r>
      <w:r w:rsidRPr="00D86072">
        <w:rPr>
          <w:bCs/>
        </w:rPr>
        <w:t xml:space="preserve"> 10</w:t>
      </w:r>
      <w:r w:rsidRPr="00D86072">
        <w:rPr>
          <w:rFonts w:ascii="Cambria Math" w:hAnsi="Cambria Math" w:cs="Cambria Math"/>
          <w:bCs/>
        </w:rPr>
        <w:t>⁻</w:t>
      </w:r>
      <w:r w:rsidRPr="00D86072">
        <w:rPr>
          <w:rFonts w:cs="Arial"/>
          <w:bCs/>
        </w:rPr>
        <w:t>³</w:t>
      </w:r>
      <w:r w:rsidRPr="00D86072">
        <w:rPr>
          <w:bCs/>
        </w:rPr>
        <w:t xml:space="preserve"> mg UPO per mg dry cell mass.</w:t>
      </w:r>
      <w:r w:rsidR="00C242A0">
        <w:rPr>
          <w:bCs/>
        </w:rPr>
        <w:t xml:space="preserve"> </w:t>
      </w:r>
      <w:r w:rsidR="00C242A0" w:rsidRPr="002956BB">
        <w:t xml:space="preserve">The influence of pH and acetonitrile content on the NBD conversion rate is shown in Figure </w:t>
      </w:r>
      <w:r w:rsidR="004C7881">
        <w:t>2</w:t>
      </w:r>
      <w:r w:rsidR="00C242A0">
        <w:t xml:space="preserve"> </w:t>
      </w:r>
      <w:r w:rsidR="004609A1">
        <w:t>(</w:t>
      </w:r>
      <w:r w:rsidR="00C242A0" w:rsidRPr="002956BB">
        <w:t>c</w:t>
      </w:r>
      <w:r w:rsidR="00C242A0">
        <w:t>)</w:t>
      </w:r>
      <w:r w:rsidR="00C242A0" w:rsidRPr="002956BB">
        <w:t>. For all tested acetonitrile concentrations (5–15 vol</w:t>
      </w:r>
      <w:r w:rsidR="00BE0EA9">
        <w:t xml:space="preserve"> </w:t>
      </w:r>
      <w:r w:rsidR="00C242A0" w:rsidRPr="002956BB">
        <w:t>%), increasing reaction rates were observed with increasing pH, with maximum activity at pH 7. In contrast, variations in acetonitrile content within the investigated range had only a minor effect on enzymatic activity, indicating that substrate solubilization can be achieved without strongly compromising peroxygenase performance.</w:t>
      </w:r>
      <w:r w:rsidR="006A764F">
        <w:t xml:space="preserve"> </w:t>
      </w:r>
      <w:r w:rsidR="006A764F">
        <w:br/>
      </w:r>
      <w:r w:rsidR="006A764F" w:rsidRPr="006A764F">
        <w:t xml:space="preserve">SEM images of freeze-dried, solvent-inactivated </w:t>
      </w:r>
      <w:r w:rsidR="006A764F" w:rsidRPr="004C7881">
        <w:rPr>
          <w:i/>
          <w:iCs/>
        </w:rPr>
        <w:t xml:space="preserve">K. </w:t>
      </w:r>
      <w:proofErr w:type="spellStart"/>
      <w:r w:rsidR="006A764F" w:rsidRPr="004C7881">
        <w:rPr>
          <w:i/>
          <w:iCs/>
        </w:rPr>
        <w:t>phaffii</w:t>
      </w:r>
      <w:proofErr w:type="spellEnd"/>
      <w:r w:rsidR="006A764F" w:rsidRPr="006A764F">
        <w:t xml:space="preserve"> (Figure 2</w:t>
      </w:r>
      <w:r w:rsidR="006A764F">
        <w:t xml:space="preserve"> (</w:t>
      </w:r>
      <w:r w:rsidR="006A764F" w:rsidRPr="006A764F">
        <w:t>d</w:t>
      </w:r>
      <w:r w:rsidR="006A764F">
        <w:t>)</w:t>
      </w:r>
      <w:r w:rsidR="006A764F" w:rsidRPr="006A764F">
        <w:t>) show agglomerated cells with visible outlines, collapsed morphology due to dehydration, and a cell size of ~1 µm.</w:t>
      </w:r>
    </w:p>
    <w:p w14:paraId="762C5209" w14:textId="715313FF" w:rsidR="004609A1" w:rsidRDefault="0015742B" w:rsidP="00A14197">
      <w:pPr>
        <w:pStyle w:val="CETBodytext"/>
        <w:rPr>
          <w:rStyle w:val="CETCaptionCarattere"/>
        </w:rPr>
      </w:pPr>
      <w:r>
        <w:rPr>
          <w:bCs/>
          <w:noProof/>
        </w:rPr>
        <w:drawing>
          <wp:inline distT="0" distB="0" distL="0" distR="0" wp14:anchorId="56F14073" wp14:editId="5FB89F6C">
            <wp:extent cx="5572125" cy="3019425"/>
            <wp:effectExtent l="0" t="0" r="0" b="0"/>
            <wp:docPr id="164651789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3019425"/>
                    </a:xfrm>
                    <a:prstGeom prst="rect">
                      <a:avLst/>
                    </a:prstGeom>
                    <a:noFill/>
                    <a:ln>
                      <a:noFill/>
                    </a:ln>
                  </pic:spPr>
                </pic:pic>
              </a:graphicData>
            </a:graphic>
          </wp:inline>
        </w:drawing>
      </w:r>
      <w:r w:rsidR="0040599E" w:rsidRPr="00E85FE8">
        <w:rPr>
          <w:rStyle w:val="CETCaptionCarattere"/>
        </w:rPr>
        <w:t xml:space="preserve">Figure </w:t>
      </w:r>
      <w:r w:rsidR="00EA428A" w:rsidRPr="00E85FE8">
        <w:rPr>
          <w:rStyle w:val="CETCaptionCarattere"/>
        </w:rPr>
        <w:t>2</w:t>
      </w:r>
      <w:r w:rsidR="0040599E" w:rsidRPr="00E85FE8">
        <w:rPr>
          <w:rStyle w:val="CETCaptionCarattere"/>
        </w:rPr>
        <w:t xml:space="preserve">: </w:t>
      </w:r>
      <w:r w:rsidR="004609A1">
        <w:rPr>
          <w:rStyle w:val="CETCaptionCarattere"/>
        </w:rPr>
        <w:t>C</w:t>
      </w:r>
      <w:r w:rsidR="00541530" w:rsidRPr="00E85FE8">
        <w:rPr>
          <w:rStyle w:val="CETCaptionCarattere"/>
        </w:rPr>
        <w:t>haracterization of yeast surface-displayed UPOs</w:t>
      </w:r>
      <w:r w:rsidR="002956BB" w:rsidRPr="00E85FE8">
        <w:rPr>
          <w:rStyle w:val="CETCaptionCarattere"/>
        </w:rPr>
        <w:t xml:space="preserve">. </w:t>
      </w:r>
      <w:r w:rsidR="004C6698">
        <w:rPr>
          <w:rStyle w:val="CETCaptionCarattere"/>
        </w:rPr>
        <w:t>(</w:t>
      </w:r>
      <w:r w:rsidR="00402774" w:rsidRPr="00E85FE8">
        <w:rPr>
          <w:rStyle w:val="CETCaptionCarattere"/>
        </w:rPr>
        <w:t>a)</w:t>
      </w:r>
      <w:r w:rsidR="002956BB" w:rsidRPr="00E85FE8">
        <w:rPr>
          <w:rStyle w:val="CETCaptionCarattere"/>
        </w:rPr>
        <w:t xml:space="preserve">: ABTS activity of resuspended YSD-UPO cells after solvent treatment; </w:t>
      </w:r>
      <w:r w:rsidR="004C6698">
        <w:rPr>
          <w:rStyle w:val="CETCaptionCarattere"/>
        </w:rPr>
        <w:t>(</w:t>
      </w:r>
      <w:r w:rsidR="002956BB" w:rsidRPr="00E85FE8">
        <w:rPr>
          <w:rStyle w:val="CETCaptionCarattere"/>
        </w:rPr>
        <w:t>b</w:t>
      </w:r>
      <w:r w:rsidR="00402774" w:rsidRPr="00E85FE8">
        <w:rPr>
          <w:rStyle w:val="CETCaptionCarattere"/>
        </w:rPr>
        <w:t>)</w:t>
      </w:r>
      <w:r w:rsidR="002956BB" w:rsidRPr="00E85FE8">
        <w:rPr>
          <w:rStyle w:val="CETCaptionCarattere"/>
        </w:rPr>
        <w:t xml:space="preserve">: Long-term </w:t>
      </w:r>
      <w:r w:rsidR="00241D98">
        <w:rPr>
          <w:rStyle w:val="CETCaptionCarattere"/>
        </w:rPr>
        <w:t>ABTS activity</w:t>
      </w:r>
      <w:r w:rsidR="002956BB" w:rsidRPr="00E85FE8">
        <w:rPr>
          <w:rStyle w:val="CETCaptionCarattere"/>
        </w:rPr>
        <w:t xml:space="preserve"> of freeze-dried, solvent-inactivated YSD-UPOs under different storage conditions; </w:t>
      </w:r>
      <w:r w:rsidR="004C6698">
        <w:rPr>
          <w:rStyle w:val="CETCaptionCarattere"/>
        </w:rPr>
        <w:t>(</w:t>
      </w:r>
      <w:r w:rsidR="002956BB" w:rsidRPr="00E85FE8">
        <w:rPr>
          <w:rStyle w:val="CETCaptionCarattere"/>
        </w:rPr>
        <w:t>c</w:t>
      </w:r>
      <w:r w:rsidR="00402774" w:rsidRPr="00E85FE8">
        <w:rPr>
          <w:rStyle w:val="CETCaptionCarattere"/>
        </w:rPr>
        <w:t>)</w:t>
      </w:r>
      <w:r w:rsidR="002956BB" w:rsidRPr="00E85FE8">
        <w:rPr>
          <w:rStyle w:val="CETCaptionCarattere"/>
        </w:rPr>
        <w:t xml:space="preserve">: NBD activity under varying pH and </w:t>
      </w:r>
      <w:r w:rsidR="00241D98">
        <w:rPr>
          <w:rStyle w:val="CETCaptionCarattere"/>
        </w:rPr>
        <w:t>acetonitrile</w:t>
      </w:r>
      <w:r w:rsidR="002956BB" w:rsidRPr="00E85FE8">
        <w:rPr>
          <w:rStyle w:val="CETCaptionCarattere"/>
        </w:rPr>
        <w:t xml:space="preserve"> conditions</w:t>
      </w:r>
      <w:r w:rsidR="004609A1">
        <w:rPr>
          <w:rStyle w:val="CETCaptionCarattere"/>
        </w:rPr>
        <w:t>;</w:t>
      </w:r>
      <w:r w:rsidR="004C6698">
        <w:rPr>
          <w:rStyle w:val="CETCaptionCarattere"/>
        </w:rPr>
        <w:t xml:space="preserve"> (</w:t>
      </w:r>
      <w:r w:rsidR="002956BB" w:rsidRPr="00E85FE8">
        <w:rPr>
          <w:rStyle w:val="CETCaptionCarattere"/>
        </w:rPr>
        <w:t>d</w:t>
      </w:r>
      <w:r w:rsidR="00402774" w:rsidRPr="00E85FE8">
        <w:rPr>
          <w:rStyle w:val="CETCaptionCarattere"/>
        </w:rPr>
        <w:t>)</w:t>
      </w:r>
      <w:r w:rsidR="002956BB" w:rsidRPr="00E85FE8">
        <w:rPr>
          <w:rStyle w:val="CETCaptionCarattere"/>
        </w:rPr>
        <w:t>: SEM image of freeze-dried, solvent-inactivated YSD-UPOs (5,000×).</w:t>
      </w:r>
    </w:p>
    <w:p w14:paraId="01569166" w14:textId="7DBC0076" w:rsidR="00493002" w:rsidRPr="00D16F9C" w:rsidRDefault="00433822" w:rsidP="00496226">
      <w:pPr>
        <w:pStyle w:val="CETheadingx"/>
      </w:pPr>
      <w:r>
        <w:t xml:space="preserve">3.2 </w:t>
      </w:r>
      <w:r w:rsidR="00D16F9C" w:rsidRPr="00A14197">
        <w:t>H</w:t>
      </w:r>
      <w:r w:rsidR="00D16F9C" w:rsidRPr="00A14197">
        <w:rPr>
          <w:rFonts w:ascii="Cambria Math" w:hAnsi="Cambria Math" w:cs="Cambria Math"/>
        </w:rPr>
        <w:t>₂</w:t>
      </w:r>
      <w:r w:rsidR="00D16F9C" w:rsidRPr="00A14197">
        <w:t>O</w:t>
      </w:r>
      <w:r w:rsidR="00D16F9C" w:rsidRPr="00A14197">
        <w:rPr>
          <w:rFonts w:ascii="Cambria Math" w:hAnsi="Cambria Math" w:cs="Cambria Math"/>
        </w:rPr>
        <w:t>₂</w:t>
      </w:r>
      <w:r w:rsidR="00D16F9C">
        <w:t xml:space="preserve"> </w:t>
      </w:r>
      <w:r w:rsidR="00493002" w:rsidRPr="00D16F9C">
        <w:t>direct synthesis under</w:t>
      </w:r>
      <w:r w:rsidR="004620A8">
        <w:t xml:space="preserve"> enzymatic</w:t>
      </w:r>
      <w:r w:rsidR="00493002" w:rsidRPr="00D16F9C">
        <w:t xml:space="preserve"> flow conditions</w:t>
      </w:r>
    </w:p>
    <w:p w14:paraId="2C6447ED" w14:textId="31E822E7" w:rsidR="006A764F" w:rsidRPr="00EA428A" w:rsidRDefault="004E567A" w:rsidP="0094214E">
      <w:pPr>
        <w:pStyle w:val="CETBodytext"/>
      </w:pPr>
      <w:r w:rsidRPr="00EA428A">
        <w:t>Several Pd/</w:t>
      </w:r>
      <w:proofErr w:type="spellStart"/>
      <w:r w:rsidRPr="00EA428A">
        <w:t>TiO</w:t>
      </w:r>
      <w:proofErr w:type="spellEnd"/>
      <w:r w:rsidRPr="00EA428A">
        <w:rPr>
          <w:rFonts w:ascii="Cambria Math" w:hAnsi="Cambria Math" w:cs="Cambria Math"/>
        </w:rPr>
        <w:t>₂</w:t>
      </w:r>
      <w:r w:rsidRPr="00EA428A">
        <w:t xml:space="preserve"> catalysts were evaluated for H</w:t>
      </w:r>
      <w:r w:rsidRPr="00EA428A">
        <w:rPr>
          <w:rFonts w:ascii="Cambria Math" w:hAnsi="Cambria Math" w:cs="Cambria Math"/>
        </w:rPr>
        <w:t>₂</w:t>
      </w:r>
      <w:r w:rsidRPr="00EA428A">
        <w:t>O</w:t>
      </w:r>
      <w:r w:rsidRPr="00EA428A">
        <w:rPr>
          <w:rFonts w:ascii="Cambria Math" w:hAnsi="Cambria Math" w:cs="Cambria Math"/>
        </w:rPr>
        <w:t>₂</w:t>
      </w:r>
      <w:r w:rsidRPr="00EA428A">
        <w:t xml:space="preserve"> direct synthesis. Based on reproducible performance and well-defined physicochemical properties, a 1 </w:t>
      </w:r>
      <w:proofErr w:type="spellStart"/>
      <w:r w:rsidRPr="00EA428A">
        <w:t>wt</w:t>
      </w:r>
      <w:proofErr w:type="spellEnd"/>
      <w:r w:rsidR="00BE0EA9">
        <w:t xml:space="preserve"> </w:t>
      </w:r>
      <w:r w:rsidRPr="00EA428A">
        <w:t>% Pd/</w:t>
      </w:r>
      <w:proofErr w:type="spellStart"/>
      <w:r w:rsidRPr="00EA428A">
        <w:t>TiO</w:t>
      </w:r>
      <w:proofErr w:type="spellEnd"/>
      <w:r w:rsidRPr="00EA428A">
        <w:rPr>
          <w:rFonts w:ascii="Cambria Math" w:hAnsi="Cambria Math" w:cs="Cambria Math"/>
        </w:rPr>
        <w:t>₂</w:t>
      </w:r>
      <w:r w:rsidRPr="00EA428A">
        <w:t xml:space="preserve"> catalyst was selected for detailed investigation and subsequent tandem catalysis experiments. </w:t>
      </w:r>
      <w:r w:rsidR="006A764F" w:rsidRPr="006A764F">
        <w:t>The catalyst showed a BET surface area of 55 m² g</w:t>
      </w:r>
      <w:r w:rsidR="006A764F" w:rsidRPr="006A764F">
        <w:rPr>
          <w:rFonts w:ascii="Cambria Math" w:hAnsi="Cambria Math" w:cs="Cambria Math"/>
        </w:rPr>
        <w:t>⁻</w:t>
      </w:r>
      <w:r w:rsidR="006A764F" w:rsidRPr="006A764F">
        <w:rPr>
          <w:rFonts w:cs="Arial"/>
        </w:rPr>
        <w:t>¹</w:t>
      </w:r>
      <w:r w:rsidR="006A764F" w:rsidRPr="006A764F">
        <w:t>, a Pd dispersion of 41.8</w:t>
      </w:r>
      <w:r w:rsidR="00BE0EA9">
        <w:t xml:space="preserve"> </w:t>
      </w:r>
      <w:r w:rsidR="006A764F" w:rsidRPr="006A764F">
        <w:t xml:space="preserve">%, and a Pd loading of 0.99 </w:t>
      </w:r>
      <w:proofErr w:type="spellStart"/>
      <w:r w:rsidR="006A764F" w:rsidRPr="006A764F">
        <w:t>wt</w:t>
      </w:r>
      <w:proofErr w:type="spellEnd"/>
      <w:r w:rsidR="00BE0EA9">
        <w:t xml:space="preserve"> </w:t>
      </w:r>
      <w:r w:rsidR="006A764F" w:rsidRPr="006A764F">
        <w:t>% (ICP</w:t>
      </w:r>
      <w:r w:rsidR="006A764F" w:rsidRPr="006A764F">
        <w:rPr>
          <w:rFonts w:cs="Arial"/>
        </w:rPr>
        <w:t>–</w:t>
      </w:r>
      <w:r w:rsidR="006A764F" w:rsidRPr="006A764F">
        <w:t>OES). Stable micromolar H</w:t>
      </w:r>
      <w:r w:rsidR="006A764F" w:rsidRPr="006A764F">
        <w:rPr>
          <w:rFonts w:ascii="Cambria Math" w:hAnsi="Cambria Math" w:cs="Cambria Math"/>
        </w:rPr>
        <w:t>₂</w:t>
      </w:r>
      <w:r w:rsidR="006A764F" w:rsidRPr="006A764F">
        <w:t>O</w:t>
      </w:r>
      <w:r w:rsidR="006A764F" w:rsidRPr="006A764F">
        <w:rPr>
          <w:rFonts w:ascii="Cambria Math" w:hAnsi="Cambria Math" w:cs="Cambria Math"/>
        </w:rPr>
        <w:t>₂</w:t>
      </w:r>
      <w:r w:rsidR="006A764F" w:rsidRPr="006A764F">
        <w:t xml:space="preserve"> formation with reaction rates around 10</w:t>
      </w:r>
      <w:r w:rsidR="00895856" w:rsidRPr="006A764F">
        <w:rPr>
          <w:rFonts w:ascii="Cambria Math" w:hAnsi="Cambria Math" w:cs="Cambria Math"/>
        </w:rPr>
        <w:t>⁻</w:t>
      </w:r>
      <w:r w:rsidR="00895856">
        <w:rPr>
          <w:rFonts w:cs="Arial"/>
          <w:vertAlign w:val="superscript"/>
        </w:rPr>
        <w:t>4</w:t>
      </w:r>
      <w:r w:rsidR="006A764F" w:rsidRPr="006A764F">
        <w:t xml:space="preserve"> mol kg</w:t>
      </w:r>
      <w:r w:rsidR="006A764F" w:rsidRPr="006A764F">
        <w:rPr>
          <w:rFonts w:ascii="Cambria Math" w:hAnsi="Cambria Math" w:cs="Cambria Math"/>
        </w:rPr>
        <w:t>⁻</w:t>
      </w:r>
      <w:r w:rsidR="006A764F" w:rsidRPr="006A764F">
        <w:rPr>
          <w:rFonts w:cs="Arial"/>
        </w:rPr>
        <w:t>¹</w:t>
      </w:r>
      <w:r w:rsidR="006A764F" w:rsidRPr="006A764F">
        <w:t xml:space="preserve"> s</w:t>
      </w:r>
      <w:r w:rsidR="006A764F" w:rsidRPr="006A764F">
        <w:rPr>
          <w:rFonts w:ascii="Cambria Math" w:hAnsi="Cambria Math" w:cs="Cambria Math"/>
        </w:rPr>
        <w:t>⁻</w:t>
      </w:r>
      <w:r w:rsidR="006A764F" w:rsidRPr="006A764F">
        <w:rPr>
          <w:rFonts w:cs="Arial"/>
        </w:rPr>
        <w:t>¹</w:t>
      </w:r>
      <w:r w:rsidR="006A764F" w:rsidRPr="006A764F">
        <w:t xml:space="preserve"> was achieved</w:t>
      </w:r>
      <w:r w:rsidR="006A764F">
        <w:t xml:space="preserve">. </w:t>
      </w:r>
      <w:r w:rsidR="0094214E" w:rsidRPr="0094214E">
        <w:t>As shown in Figure 3, H</w:t>
      </w:r>
      <w:r w:rsidR="0094214E" w:rsidRPr="0094214E">
        <w:rPr>
          <w:rFonts w:ascii="Cambria Math" w:hAnsi="Cambria Math" w:cs="Cambria Math"/>
        </w:rPr>
        <w:t>₂</w:t>
      </w:r>
      <w:r w:rsidR="0094214E" w:rsidRPr="0094214E">
        <w:t>O</w:t>
      </w:r>
      <w:r w:rsidR="0094214E" w:rsidRPr="0094214E">
        <w:rPr>
          <w:rFonts w:ascii="Cambria Math" w:hAnsi="Cambria Math" w:cs="Cambria Math"/>
        </w:rPr>
        <w:t>₂</w:t>
      </w:r>
      <w:r w:rsidR="0094214E" w:rsidRPr="0094214E">
        <w:t xml:space="preserve"> direct synthesis under enzymatically compatible conditions resulted in markedly lower yields and </w:t>
      </w:r>
      <w:proofErr w:type="spellStart"/>
      <w:r w:rsidR="0094214E" w:rsidRPr="0094214E">
        <w:t>selectivities</w:t>
      </w:r>
      <w:proofErr w:type="spellEnd"/>
      <w:r w:rsidR="0094214E" w:rsidRPr="0094214E">
        <w:t xml:space="preserve"> compared to chemically optimized reference conditions using NaBr and H</w:t>
      </w:r>
      <w:r w:rsidR="0094214E" w:rsidRPr="00496226">
        <w:rPr>
          <w:vertAlign w:val="subscript"/>
        </w:rPr>
        <w:t>2</w:t>
      </w:r>
      <w:r w:rsidR="0094214E" w:rsidRPr="0094214E">
        <w:t>SO</w:t>
      </w:r>
      <w:r w:rsidR="0094214E" w:rsidRPr="00496226">
        <w:rPr>
          <w:vertAlign w:val="subscript"/>
        </w:rPr>
        <w:t>4</w:t>
      </w:r>
      <w:r w:rsidR="0094214E" w:rsidRPr="0094214E">
        <w:t>. In citrate</w:t>
      </w:r>
      <w:r w:rsidR="0094214E" w:rsidRPr="0094214E">
        <w:rPr>
          <w:rFonts w:cs="Arial"/>
        </w:rPr>
        <w:t>–</w:t>
      </w:r>
      <w:r w:rsidR="0094214E" w:rsidRPr="0094214E">
        <w:t>phosphate buffer, which reflects the requirements for UPO catalysis, peroxide formation remained limited. Within the investigated pH</w:t>
      </w:r>
      <w:r w:rsidR="0002719B">
        <w:t xml:space="preserve"> values</w:t>
      </w:r>
      <w:r w:rsidR="0094214E" w:rsidRPr="0094214E">
        <w:t>, no pronounced effect on H</w:t>
      </w:r>
      <w:r w:rsidR="0094214E" w:rsidRPr="0094214E">
        <w:rPr>
          <w:rFonts w:ascii="Cambria Math" w:hAnsi="Cambria Math" w:cs="Cambria Math"/>
        </w:rPr>
        <w:t>₂</w:t>
      </w:r>
      <w:r w:rsidR="0094214E" w:rsidRPr="0094214E">
        <w:t>O</w:t>
      </w:r>
      <w:r w:rsidR="0094214E" w:rsidRPr="0094214E">
        <w:rPr>
          <w:rFonts w:ascii="Cambria Math" w:hAnsi="Cambria Math" w:cs="Cambria Math"/>
        </w:rPr>
        <w:t>₂</w:t>
      </w:r>
      <w:r w:rsidR="0094214E" w:rsidRPr="0094214E">
        <w:t>-yield was observed. In contrast, increasing acetonitrile content led to a strong decrease in peroxide yield, with the highest value (12.9</w:t>
      </w:r>
      <w:r w:rsidR="00BE0EA9">
        <w:t xml:space="preserve"> </w:t>
      </w:r>
      <w:r w:rsidR="0094214E" w:rsidRPr="0094214E">
        <w:t>%,</w:t>
      </w:r>
      <w:r w:rsidR="0094214E">
        <w:t xml:space="preserve"> </w:t>
      </w:r>
      <w:r w:rsidR="0094214E" w:rsidRPr="0094214E">
        <w:t xml:space="preserve">63.7 µM) obtained in pure aqueous buffer at pH 6. </w:t>
      </w:r>
      <w:r w:rsidR="00B417BB" w:rsidRPr="00B417BB">
        <w:t>Interestingly, the addition of acetonitrile enhances the catalyst's selectivity.</w:t>
      </w:r>
      <w:r w:rsidR="00627CF0">
        <w:t xml:space="preserve"> </w:t>
      </w:r>
      <w:r w:rsidR="00627CF0" w:rsidRPr="00627CF0">
        <w:t>This suggests that acetonitrile blocks active centers for both H</w:t>
      </w:r>
      <w:r w:rsidR="00627CF0" w:rsidRPr="00627CF0">
        <w:rPr>
          <w:rFonts w:ascii="Cambria Math" w:hAnsi="Cambria Math" w:cs="Cambria Math"/>
        </w:rPr>
        <w:t>₂</w:t>
      </w:r>
      <w:r w:rsidR="00627CF0" w:rsidRPr="00627CF0">
        <w:t>O</w:t>
      </w:r>
      <w:r w:rsidR="00627CF0" w:rsidRPr="00627CF0">
        <w:rPr>
          <w:rFonts w:ascii="Cambria Math" w:hAnsi="Cambria Math" w:cs="Cambria Math"/>
        </w:rPr>
        <w:t>₂</w:t>
      </w:r>
      <w:r w:rsidR="00627CF0" w:rsidRPr="00627CF0">
        <w:t xml:space="preserve"> synthesis and water formation and hydrogenation.</w:t>
      </w:r>
      <w:r w:rsidR="00B417BB" w:rsidRPr="00B417BB">
        <w:t xml:space="preserve"> </w:t>
      </w:r>
      <w:r w:rsidR="00627CF0">
        <w:t>The</w:t>
      </w:r>
      <w:r w:rsidR="0094214E" w:rsidRPr="0094214E">
        <w:t xml:space="preserve"> results confirm that direct synthesis in the tandem system is operated under non-ideal</w:t>
      </w:r>
      <w:r w:rsidR="00B417BB">
        <w:t xml:space="preserve"> chemical</w:t>
      </w:r>
      <w:r w:rsidR="0094214E" w:rsidRPr="0094214E">
        <w:t xml:space="preserve"> but enzyme-compatible conditions.</w:t>
      </w:r>
      <w:r w:rsidR="00B417BB">
        <w:t xml:space="preserve"> </w:t>
      </w:r>
      <w:r w:rsidR="00B417BB" w:rsidRPr="00B417BB">
        <w:t>Therefore, a compromise was identified that met both requirements, with a particular focus on the enzyme prerequisites.</w:t>
      </w:r>
      <w:r w:rsidR="00A14DFA">
        <w:t xml:space="preserve"> </w:t>
      </w:r>
      <w:r w:rsidR="00A14DFA">
        <w:br/>
      </w:r>
      <w:r w:rsidR="0094214E">
        <w:t>Due to the overall low peroxide yields under these conditions, the palladium catalyst loading was increased from 16 mg to 30 mg for subsequent tandem catalysis experiments to ensure sufficient H</w:t>
      </w:r>
      <w:r w:rsidR="0094214E">
        <w:rPr>
          <w:rFonts w:ascii="Cambria Math" w:hAnsi="Cambria Math" w:cs="Cambria Math"/>
        </w:rPr>
        <w:t>₂</w:t>
      </w:r>
      <w:r w:rsidR="0094214E">
        <w:t>O</w:t>
      </w:r>
      <w:r w:rsidR="0094214E">
        <w:rPr>
          <w:rFonts w:ascii="Cambria Math" w:hAnsi="Cambria Math" w:cs="Cambria Math"/>
        </w:rPr>
        <w:t>₂</w:t>
      </w:r>
      <w:r w:rsidR="0094214E">
        <w:t xml:space="preserve"> availability.</w:t>
      </w:r>
    </w:p>
    <w:p w14:paraId="465F936B" w14:textId="4385C41A" w:rsidR="00EA428A" w:rsidRDefault="006E0E2E" w:rsidP="00621A02">
      <w:pPr>
        <w:pStyle w:val="CETReference"/>
        <w:jc w:val="both"/>
      </w:pPr>
      <w:r>
        <w:rPr>
          <w:rStyle w:val="CETCaptionCarattere"/>
          <w:rFonts w:cs="Arial"/>
          <w:b w:val="0"/>
          <w:bCs/>
          <w:noProof/>
        </w:rPr>
        <w:lastRenderedPageBreak/>
        <w:drawing>
          <wp:inline distT="0" distB="0" distL="0" distR="0" wp14:anchorId="6BCF24BF" wp14:editId="5C8C50F4">
            <wp:extent cx="5591175" cy="1471865"/>
            <wp:effectExtent l="0" t="0" r="0" b="0"/>
            <wp:docPr id="10495698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030" cy="1476302"/>
                    </a:xfrm>
                    <a:prstGeom prst="rect">
                      <a:avLst/>
                    </a:prstGeom>
                    <a:noFill/>
                    <a:ln>
                      <a:noFill/>
                    </a:ln>
                  </pic:spPr>
                </pic:pic>
              </a:graphicData>
            </a:graphic>
          </wp:inline>
        </w:drawing>
      </w:r>
      <w:r w:rsidR="00064F79" w:rsidRPr="00621A02">
        <w:rPr>
          <w:rStyle w:val="CETCaptionCarattere"/>
          <w:rFonts w:cs="Arial"/>
          <w:b w:val="0"/>
          <w:bCs/>
        </w:rPr>
        <w:t xml:space="preserve">Figure </w:t>
      </w:r>
      <w:r w:rsidR="00EA428A" w:rsidRPr="00621A02">
        <w:rPr>
          <w:rStyle w:val="CETCaptionCarattere"/>
          <w:rFonts w:cs="Arial"/>
          <w:b w:val="0"/>
          <w:bCs/>
        </w:rPr>
        <w:t>3:</w:t>
      </w:r>
      <w:r w:rsidR="00064F79" w:rsidRPr="00621A02">
        <w:rPr>
          <w:rStyle w:val="CETCaptionCarattere"/>
          <w:rFonts w:cs="Arial"/>
          <w:b w:val="0"/>
          <w:bCs/>
        </w:rPr>
        <w:t xml:space="preserve"> </w:t>
      </w:r>
      <w:r w:rsidR="00627CF0">
        <w:rPr>
          <w:rStyle w:val="CETCaptionCarattere"/>
          <w:rFonts w:cs="Arial"/>
          <w:b w:val="0"/>
          <w:bCs/>
        </w:rPr>
        <w:t>Y</w:t>
      </w:r>
      <w:r w:rsidR="00627CF0" w:rsidRPr="00621A02">
        <w:rPr>
          <w:rStyle w:val="CETCaptionCarattere"/>
          <w:rFonts w:cs="Arial"/>
          <w:b w:val="0"/>
          <w:bCs/>
        </w:rPr>
        <w:t xml:space="preserve">ield and selectivity </w:t>
      </w:r>
      <w:r w:rsidR="00627CF0">
        <w:rPr>
          <w:rStyle w:val="CETCaptionCarattere"/>
          <w:rFonts w:cs="Arial"/>
          <w:b w:val="0"/>
          <w:bCs/>
        </w:rPr>
        <w:t xml:space="preserve">obtained in: </w:t>
      </w:r>
      <w:r w:rsidR="00064F79" w:rsidRPr="00621A02">
        <w:rPr>
          <w:rStyle w:val="CETCaptionCarattere"/>
          <w:rFonts w:cs="Arial"/>
          <w:b w:val="0"/>
          <w:bCs/>
        </w:rPr>
        <w:t xml:space="preserve">(a) </w:t>
      </w:r>
      <w:r w:rsidR="00627CF0">
        <w:rPr>
          <w:rStyle w:val="CETCaptionCarattere"/>
          <w:rFonts w:cs="Arial"/>
          <w:b w:val="0"/>
          <w:bCs/>
        </w:rPr>
        <w:t>A</w:t>
      </w:r>
      <w:r w:rsidR="00064F79" w:rsidRPr="00621A02">
        <w:rPr>
          <w:rStyle w:val="CETCaptionCarattere"/>
          <w:rFonts w:cs="Arial"/>
          <w:b w:val="0"/>
          <w:bCs/>
        </w:rPr>
        <w:t xml:space="preserve">cidic reference electrolyte and citrate–phosphate buffer corresponding to ABTS assay conditions (pH 4.4). </w:t>
      </w:r>
      <w:r w:rsidR="00204820" w:rsidRPr="00204820">
        <w:rPr>
          <w:rStyle w:val="CETCaptionCarattere"/>
          <w:rFonts w:cs="Arial"/>
          <w:b w:val="0"/>
          <w:bCs/>
        </w:rPr>
        <w:t xml:space="preserve">(b) Potassium phosphate buffer with varying acetonitrile content and pH corresponding to NBD </w:t>
      </w:r>
      <w:r w:rsidR="00204820">
        <w:rPr>
          <w:rStyle w:val="CETCaptionCarattere"/>
          <w:rFonts w:cs="Arial"/>
          <w:b w:val="0"/>
          <w:bCs/>
        </w:rPr>
        <w:t>assay conditions</w:t>
      </w:r>
      <w:r w:rsidR="00204820" w:rsidRPr="00204820">
        <w:rPr>
          <w:rStyle w:val="CETCaptionCarattere"/>
          <w:rFonts w:cs="Arial"/>
          <w:b w:val="0"/>
          <w:bCs/>
        </w:rPr>
        <w:t>.</w:t>
      </w:r>
    </w:p>
    <w:p w14:paraId="2815C3F5" w14:textId="503A9E0F" w:rsidR="000A391D" w:rsidRPr="00FE6BA3" w:rsidRDefault="00433822" w:rsidP="00496226">
      <w:pPr>
        <w:pStyle w:val="CETheadingx"/>
        <w:rPr>
          <w:rFonts w:cs="Arial"/>
        </w:rPr>
      </w:pPr>
      <w:r>
        <w:rPr>
          <w:rFonts w:cs="Arial"/>
        </w:rPr>
        <w:t xml:space="preserve">3.3 </w:t>
      </w:r>
      <w:r w:rsidR="00D16F9C" w:rsidRPr="00FE6BA3">
        <w:rPr>
          <w:rFonts w:cs="Arial"/>
        </w:rPr>
        <w:t xml:space="preserve">Tandem </w:t>
      </w:r>
      <w:r w:rsidR="005222F7" w:rsidRPr="00FE6BA3">
        <w:rPr>
          <w:rFonts w:cs="Arial"/>
        </w:rPr>
        <w:t>c</w:t>
      </w:r>
      <w:r w:rsidR="00D16F9C" w:rsidRPr="00FE6BA3">
        <w:rPr>
          <w:rFonts w:cs="Arial"/>
        </w:rPr>
        <w:t xml:space="preserve">atalysis </w:t>
      </w:r>
      <w:r w:rsidR="004620A8" w:rsidRPr="00FE6BA3">
        <w:rPr>
          <w:rFonts w:cs="Arial"/>
        </w:rPr>
        <w:t>under flow condition</w:t>
      </w:r>
      <w:r w:rsidR="000A391D" w:rsidRPr="00FE6BA3">
        <w:rPr>
          <w:rFonts w:cs="Arial"/>
        </w:rPr>
        <w:t>s</w:t>
      </w:r>
    </w:p>
    <w:p w14:paraId="5BD69DD8" w14:textId="2251FB17" w:rsidR="00AF412B" w:rsidRPr="00FE6BA3" w:rsidRDefault="00AF412B" w:rsidP="00AF412B">
      <w:pPr>
        <w:pStyle w:val="CETBodytext"/>
        <w:rPr>
          <w:rFonts w:cs="Arial"/>
        </w:rPr>
      </w:pPr>
      <w:r w:rsidRPr="00FE6BA3">
        <w:rPr>
          <w:rFonts w:cs="Arial"/>
        </w:rPr>
        <w:t>Preliminary experiments identified a total liquid flow rate of 5 mL min</w:t>
      </w:r>
      <w:r w:rsidRPr="00FE6BA3">
        <w:rPr>
          <w:rFonts w:ascii="Cambria Math" w:hAnsi="Cambria Math" w:cs="Cambria Math"/>
        </w:rPr>
        <w:t>⁻</w:t>
      </w:r>
      <w:r w:rsidRPr="00FE6BA3">
        <w:rPr>
          <w:rFonts w:cs="Arial"/>
        </w:rPr>
        <w:t>¹ as suitable</w:t>
      </w:r>
      <w:r w:rsidR="006A764F">
        <w:rPr>
          <w:rFonts w:cs="Arial"/>
        </w:rPr>
        <w:t xml:space="preserve">. </w:t>
      </w:r>
      <w:r w:rsidRPr="00FE6BA3">
        <w:rPr>
          <w:rFonts w:cs="Arial"/>
        </w:rPr>
        <w:t>In addition, mixing of Pd/</w:t>
      </w:r>
      <w:proofErr w:type="spellStart"/>
      <w:r w:rsidRPr="00FE6BA3">
        <w:rPr>
          <w:rFonts w:cs="Arial"/>
        </w:rPr>
        <w:t>TiO</w:t>
      </w:r>
      <w:proofErr w:type="spellEnd"/>
      <w:r w:rsidRPr="00FE6BA3">
        <w:rPr>
          <w:rFonts w:ascii="Cambria Math" w:hAnsi="Cambria Math" w:cs="Cambria Math"/>
        </w:rPr>
        <w:t>₂</w:t>
      </w:r>
      <w:r w:rsidRPr="00FE6BA3">
        <w:rPr>
          <w:rFonts w:cs="Arial"/>
        </w:rPr>
        <w:t xml:space="preserve"> catalyst and freeze-dried YSD-UPO material within the reaction channel resulted in </w:t>
      </w:r>
      <w:r w:rsidR="00867DA2" w:rsidRPr="00FE6BA3">
        <w:rPr>
          <w:rFonts w:cs="Arial"/>
        </w:rPr>
        <w:t>higher</w:t>
      </w:r>
      <w:r w:rsidRPr="00FE6BA3">
        <w:rPr>
          <w:rFonts w:cs="Arial"/>
        </w:rPr>
        <w:t xml:space="preserve"> yield compared to configurations using spatially separated catalyst and enzyme beds</w:t>
      </w:r>
      <w:r w:rsidR="006A764F">
        <w:rPr>
          <w:rFonts w:cs="Arial"/>
        </w:rPr>
        <w:t xml:space="preserve"> </w:t>
      </w:r>
      <w:r w:rsidR="006A764F" w:rsidRPr="00FE6BA3">
        <w:rPr>
          <w:rFonts w:cs="Arial"/>
        </w:rPr>
        <w:t>(data not shown)</w:t>
      </w:r>
      <w:r w:rsidRPr="00FE6BA3">
        <w:rPr>
          <w:rFonts w:cs="Arial"/>
        </w:rPr>
        <w:t xml:space="preserve">. </w:t>
      </w:r>
      <w:r w:rsidR="006A764F" w:rsidRPr="006A764F">
        <w:rPr>
          <w:rFonts w:cs="Arial"/>
        </w:rPr>
        <w:t>The freeze-dried cells used in the tandem experiments exhibited specific activities of 0.18 µmol min</w:t>
      </w:r>
      <w:r w:rsidR="006A764F" w:rsidRPr="006A764F">
        <w:rPr>
          <w:rFonts w:ascii="Cambria Math" w:hAnsi="Cambria Math" w:cs="Cambria Math"/>
        </w:rPr>
        <w:t>⁻</w:t>
      </w:r>
      <w:r w:rsidR="006A764F" w:rsidRPr="006A764F">
        <w:rPr>
          <w:rFonts w:cs="Arial"/>
        </w:rPr>
        <w:t>¹ mg</w:t>
      </w:r>
      <w:r w:rsidR="006A764F" w:rsidRPr="006A764F">
        <w:rPr>
          <w:rFonts w:ascii="Cambria Math" w:hAnsi="Cambria Math" w:cs="Cambria Math"/>
        </w:rPr>
        <w:t>⁻</w:t>
      </w:r>
      <w:r w:rsidR="006A764F" w:rsidRPr="006A764F">
        <w:rPr>
          <w:rFonts w:cs="Arial"/>
        </w:rPr>
        <w:t xml:space="preserve">¹ (ABTS) and </w:t>
      </w:r>
      <w:r w:rsidR="0042767D">
        <w:rPr>
          <w:rFonts w:cs="Arial"/>
        </w:rPr>
        <w:t xml:space="preserve">                          </w:t>
      </w:r>
      <w:r w:rsidR="006A764F" w:rsidRPr="006A764F">
        <w:rPr>
          <w:rFonts w:cs="Arial"/>
        </w:rPr>
        <w:t>0.03 µmol min</w:t>
      </w:r>
      <w:r w:rsidR="006A764F" w:rsidRPr="006A764F">
        <w:rPr>
          <w:rFonts w:ascii="Cambria Math" w:hAnsi="Cambria Math" w:cs="Cambria Math"/>
        </w:rPr>
        <w:t>⁻</w:t>
      </w:r>
      <w:r w:rsidR="006A764F" w:rsidRPr="006A764F">
        <w:rPr>
          <w:rFonts w:cs="Arial"/>
        </w:rPr>
        <w:t>¹ mg</w:t>
      </w:r>
      <w:r w:rsidR="006A764F" w:rsidRPr="006A764F">
        <w:rPr>
          <w:rFonts w:ascii="Cambria Math" w:hAnsi="Cambria Math" w:cs="Cambria Math"/>
        </w:rPr>
        <w:t>⁻</w:t>
      </w:r>
      <w:r w:rsidR="006A764F" w:rsidRPr="006A764F">
        <w:rPr>
          <w:rFonts w:cs="Arial"/>
        </w:rPr>
        <w:t xml:space="preserve">¹ (NBD), as determined in cuvette-based activity assays. </w:t>
      </w:r>
      <w:r w:rsidRPr="00FE6BA3">
        <w:rPr>
          <w:rFonts w:cs="Arial"/>
        </w:rPr>
        <w:t xml:space="preserve">The </w:t>
      </w:r>
      <w:r w:rsidR="008E49C3" w:rsidRPr="00FE6BA3">
        <w:rPr>
          <w:rFonts w:cs="Arial"/>
        </w:rPr>
        <w:t>resulting</w:t>
      </w:r>
      <w:r w:rsidRPr="00FE6BA3">
        <w:rPr>
          <w:rFonts w:cs="Arial"/>
        </w:rPr>
        <w:t xml:space="preserve"> product concentrations obtained for ABTS oxidation and NBD conversion are shown in Figure 4 (a) and (b), respectively.</w:t>
      </w:r>
    </w:p>
    <w:p w14:paraId="2FF272EB" w14:textId="285CC91D" w:rsidR="000A391D" w:rsidRPr="008C47B2" w:rsidRDefault="00AF412B" w:rsidP="000A391D">
      <w:pPr>
        <w:pStyle w:val="CETBodytext"/>
        <w:rPr>
          <w:rFonts w:cs="Arial"/>
        </w:rPr>
      </w:pPr>
      <w:r w:rsidRPr="00FE6BA3">
        <w:rPr>
          <w:rFonts w:cs="Arial"/>
        </w:rPr>
        <w:t>For ABTS oxidation (Figure 4</w:t>
      </w:r>
      <w:r w:rsidR="00F30417">
        <w:rPr>
          <w:rFonts w:cs="Arial"/>
        </w:rPr>
        <w:t xml:space="preserve"> (</w:t>
      </w:r>
      <w:r w:rsidRPr="00FE6BA3">
        <w:rPr>
          <w:rFonts w:cs="Arial"/>
        </w:rPr>
        <w:t>a</w:t>
      </w:r>
      <w:r w:rsidR="00F30417">
        <w:rPr>
          <w:rFonts w:cs="Arial"/>
        </w:rPr>
        <w:t>)</w:t>
      </w:r>
      <w:r w:rsidRPr="00FE6BA3">
        <w:rPr>
          <w:rFonts w:cs="Arial"/>
        </w:rPr>
        <w:t>), product concentrations of up to 25 µM were initially achieved. However, a pronounced decrease in product concentration was observed over time for both direct H</w:t>
      </w:r>
      <w:r w:rsidRPr="00FE6BA3">
        <w:rPr>
          <w:rFonts w:ascii="Cambria Math" w:hAnsi="Cambria Math" w:cs="Cambria Math"/>
        </w:rPr>
        <w:t>₂</w:t>
      </w:r>
      <w:r w:rsidRPr="00FE6BA3">
        <w:rPr>
          <w:rFonts w:cs="Arial"/>
        </w:rPr>
        <w:t>O</w:t>
      </w:r>
      <w:r w:rsidRPr="00FE6BA3">
        <w:rPr>
          <w:rFonts w:ascii="Cambria Math" w:hAnsi="Cambria Math" w:cs="Cambria Math"/>
        </w:rPr>
        <w:t>₂</w:t>
      </w:r>
      <w:r w:rsidRPr="00FE6BA3">
        <w:rPr>
          <w:rFonts w:cs="Arial"/>
        </w:rPr>
        <w:t xml:space="preserve"> dosing and </w:t>
      </w:r>
      <w:r w:rsidRPr="00FE6BA3">
        <w:rPr>
          <w:rFonts w:cs="Arial"/>
          <w:i/>
          <w:iCs/>
        </w:rPr>
        <w:t>in situ</w:t>
      </w:r>
      <w:r w:rsidRPr="00FE6BA3">
        <w:rPr>
          <w:rFonts w:cs="Arial"/>
        </w:rPr>
        <w:t xml:space="preserve"> H</w:t>
      </w:r>
      <w:r w:rsidRPr="00FE6BA3">
        <w:rPr>
          <w:rFonts w:ascii="Cambria Math" w:hAnsi="Cambria Math" w:cs="Cambria Math"/>
        </w:rPr>
        <w:t>₂</w:t>
      </w:r>
      <w:r w:rsidRPr="00FE6BA3">
        <w:rPr>
          <w:rFonts w:cs="Arial"/>
        </w:rPr>
        <w:t>O</w:t>
      </w:r>
      <w:r w:rsidRPr="00FE6BA3">
        <w:rPr>
          <w:rFonts w:ascii="Cambria Math" w:hAnsi="Cambria Math" w:cs="Cambria Math"/>
        </w:rPr>
        <w:t>₂</w:t>
      </w:r>
      <w:r w:rsidRPr="00FE6BA3">
        <w:rPr>
          <w:rFonts w:cs="Arial"/>
        </w:rPr>
        <w:t xml:space="preserve"> generation. </w:t>
      </w:r>
      <w:r w:rsidR="00867DA2" w:rsidRPr="00FE6BA3">
        <w:rPr>
          <w:rFonts w:cs="Arial"/>
        </w:rPr>
        <w:t xml:space="preserve">The tandem system exhibited a slower rate of activity decrease than direct peroxide addition. This demonstrates the attenuating impact of an </w:t>
      </w:r>
      <w:proofErr w:type="gramStart"/>
      <w:r w:rsidR="00867DA2" w:rsidRPr="00FE6BA3">
        <w:rPr>
          <w:rFonts w:cs="Arial"/>
          <w:i/>
          <w:iCs/>
        </w:rPr>
        <w:t>in situ</w:t>
      </w:r>
      <w:proofErr w:type="gramEnd"/>
      <w:r w:rsidR="00867DA2" w:rsidRPr="00FE6BA3">
        <w:rPr>
          <w:rFonts w:cs="Arial"/>
        </w:rPr>
        <w:t xml:space="preserve"> H</w:t>
      </w:r>
      <w:r w:rsidR="00867DA2" w:rsidRPr="00FE6BA3">
        <w:rPr>
          <w:rFonts w:ascii="Cambria Math" w:hAnsi="Cambria Math" w:cs="Cambria Math"/>
        </w:rPr>
        <w:t>₂</w:t>
      </w:r>
      <w:r w:rsidR="00867DA2" w:rsidRPr="00FE6BA3">
        <w:rPr>
          <w:rFonts w:cs="Arial"/>
        </w:rPr>
        <w:t>O</w:t>
      </w:r>
      <w:r w:rsidR="00867DA2" w:rsidRPr="00FE6BA3">
        <w:rPr>
          <w:rFonts w:ascii="Cambria Math" w:hAnsi="Cambria Math" w:cs="Cambria Math"/>
        </w:rPr>
        <w:t>₂</w:t>
      </w:r>
      <w:r w:rsidR="00867DA2" w:rsidRPr="00FE6BA3">
        <w:rPr>
          <w:rFonts w:cs="Arial"/>
        </w:rPr>
        <w:t xml:space="preserve"> supply on enzyme deactivation.</w:t>
      </w:r>
      <w:r w:rsidR="00E25A0C" w:rsidRPr="00E25A0C">
        <w:t xml:space="preserve"> </w:t>
      </w:r>
      <w:r w:rsidR="005A4CEF" w:rsidRPr="005A4CEF">
        <w:rPr>
          <w:rFonts w:cs="Arial"/>
        </w:rPr>
        <w:t xml:space="preserve">Furthermore, the activity loss is partly attributed to </w:t>
      </w:r>
      <w:r w:rsidR="0079300D">
        <w:rPr>
          <w:rFonts w:cs="Arial"/>
        </w:rPr>
        <w:t>biocatalyst</w:t>
      </w:r>
      <w:r w:rsidR="005A4CEF" w:rsidRPr="005A4CEF">
        <w:rPr>
          <w:rFonts w:cs="Arial"/>
        </w:rPr>
        <w:t xml:space="preserve"> washout, as enzymatic activity was detected in the liquid samples</w:t>
      </w:r>
      <w:r w:rsidR="005A4CEF">
        <w:rPr>
          <w:rFonts w:cs="Arial"/>
        </w:rPr>
        <w:t>.</w:t>
      </w:r>
      <w:r w:rsidR="005A4CEF" w:rsidRPr="005A4CEF">
        <w:rPr>
          <w:rFonts w:cs="Arial"/>
        </w:rPr>
        <w:t xml:space="preserve"> Bradford assay performed after centrifugation revealed only minor protein concentration</w:t>
      </w:r>
      <w:r w:rsidR="00820B23">
        <w:rPr>
          <w:rFonts w:cs="Arial"/>
        </w:rPr>
        <w:t xml:space="preserve"> in the first sample after 15 min</w:t>
      </w:r>
      <w:r w:rsidR="004C7881">
        <w:rPr>
          <w:rFonts w:cs="Arial"/>
        </w:rPr>
        <w:t xml:space="preserve">. </w:t>
      </w:r>
      <w:r w:rsidR="00820B23">
        <w:rPr>
          <w:rFonts w:cs="Arial"/>
        </w:rPr>
        <w:t>A</w:t>
      </w:r>
      <w:r w:rsidR="00820B23" w:rsidRPr="00820B23">
        <w:rPr>
          <w:rFonts w:cs="Arial"/>
        </w:rPr>
        <w:t xml:space="preserve">fter that, </w:t>
      </w:r>
      <w:r w:rsidR="00820B23">
        <w:rPr>
          <w:rFonts w:cs="Arial"/>
        </w:rPr>
        <w:t>no significant protein concentration</w:t>
      </w:r>
      <w:r w:rsidR="00820B23" w:rsidRPr="00820B23">
        <w:rPr>
          <w:rFonts w:cs="Arial"/>
        </w:rPr>
        <w:t xml:space="preserve"> </w:t>
      </w:r>
      <w:r w:rsidR="00820B23">
        <w:rPr>
          <w:rFonts w:cs="Arial"/>
        </w:rPr>
        <w:t>was</w:t>
      </w:r>
      <w:r w:rsidR="00820B23" w:rsidRPr="00820B23">
        <w:rPr>
          <w:rFonts w:cs="Arial"/>
        </w:rPr>
        <w:t xml:space="preserve"> measured</w:t>
      </w:r>
      <w:r w:rsidR="005A4CEF" w:rsidRPr="005A4CEF">
        <w:rPr>
          <w:rFonts w:cs="Arial"/>
        </w:rPr>
        <w:t xml:space="preserve">, indicating </w:t>
      </w:r>
      <w:r w:rsidR="00784BAD">
        <w:rPr>
          <w:rFonts w:cs="Arial"/>
        </w:rPr>
        <w:t>low</w:t>
      </w:r>
      <w:r w:rsidR="005A4CEF" w:rsidRPr="005A4CEF">
        <w:rPr>
          <w:rFonts w:cs="Arial"/>
        </w:rPr>
        <w:t xml:space="preserve"> enzyme </w:t>
      </w:r>
      <w:r w:rsidR="004C7881">
        <w:rPr>
          <w:rFonts w:cs="Arial"/>
        </w:rPr>
        <w:t>detachment</w:t>
      </w:r>
      <w:r w:rsidR="005A4CEF" w:rsidRPr="005A4CEF">
        <w:rPr>
          <w:rFonts w:cs="Arial"/>
        </w:rPr>
        <w:t>.</w:t>
      </w:r>
      <w:r w:rsidRPr="00FE6BA3">
        <w:rPr>
          <w:rFonts w:cs="Arial"/>
        </w:rPr>
        <w:t xml:space="preserve"> NBD conversion (Figure 4</w:t>
      </w:r>
      <w:r w:rsidR="00726E2A" w:rsidRPr="00FE6BA3">
        <w:rPr>
          <w:rFonts w:cs="Arial"/>
        </w:rPr>
        <w:t xml:space="preserve"> (</w:t>
      </w:r>
      <w:r w:rsidRPr="00FE6BA3">
        <w:rPr>
          <w:rFonts w:cs="Arial"/>
        </w:rPr>
        <w:t>b</w:t>
      </w:r>
      <w:r w:rsidR="00726E2A" w:rsidRPr="00FE6BA3">
        <w:rPr>
          <w:rFonts w:cs="Arial"/>
        </w:rPr>
        <w:t>)</w:t>
      </w:r>
      <w:r w:rsidRPr="00FE6BA3">
        <w:rPr>
          <w:rFonts w:cs="Arial"/>
        </w:rPr>
        <w:t xml:space="preserve">) resulted in substantially lower product concentrations that remained nearly constant over the </w:t>
      </w:r>
      <w:proofErr w:type="gramStart"/>
      <w:r w:rsidRPr="00FE6BA3">
        <w:rPr>
          <w:rFonts w:cs="Arial"/>
        </w:rPr>
        <w:t>investigated time span</w:t>
      </w:r>
      <w:proofErr w:type="gramEnd"/>
      <w:r w:rsidRPr="00FE6BA3">
        <w:rPr>
          <w:rFonts w:cs="Arial"/>
        </w:rPr>
        <w:t>. In this case, tandem catalysis did not outperform direct H</w:t>
      </w:r>
      <w:r w:rsidRPr="00FE6BA3">
        <w:rPr>
          <w:rFonts w:ascii="Cambria Math" w:hAnsi="Cambria Math" w:cs="Cambria Math"/>
        </w:rPr>
        <w:t>₂</w:t>
      </w:r>
      <w:r w:rsidRPr="00FE6BA3">
        <w:rPr>
          <w:rFonts w:cs="Arial"/>
        </w:rPr>
        <w:t>O</w:t>
      </w:r>
      <w:r w:rsidRPr="00FE6BA3">
        <w:rPr>
          <w:rFonts w:ascii="Cambria Math" w:hAnsi="Cambria Math" w:cs="Cambria Math"/>
        </w:rPr>
        <w:t>₂</w:t>
      </w:r>
      <w:r w:rsidRPr="00FE6BA3">
        <w:rPr>
          <w:rFonts w:cs="Arial"/>
        </w:rPr>
        <w:t xml:space="preserve"> dosing, suggesting that </w:t>
      </w:r>
      <w:r w:rsidRPr="00FE6BA3">
        <w:rPr>
          <w:rFonts w:cs="Arial"/>
          <w:i/>
          <w:iCs/>
        </w:rPr>
        <w:t>in situ</w:t>
      </w:r>
      <w:r w:rsidRPr="00FE6BA3">
        <w:rPr>
          <w:rFonts w:cs="Arial"/>
        </w:rPr>
        <w:t xml:space="preserve"> </w:t>
      </w:r>
      <w:r w:rsidR="00784BAD" w:rsidRPr="00FE6BA3">
        <w:rPr>
          <w:rFonts w:cs="Arial"/>
        </w:rPr>
        <w:t>H</w:t>
      </w:r>
      <w:r w:rsidR="00784BAD" w:rsidRPr="00FE6BA3">
        <w:rPr>
          <w:rFonts w:ascii="Cambria Math" w:hAnsi="Cambria Math" w:cs="Cambria Math"/>
        </w:rPr>
        <w:t>₂</w:t>
      </w:r>
      <w:r w:rsidR="00784BAD" w:rsidRPr="00FE6BA3">
        <w:rPr>
          <w:rFonts w:cs="Arial"/>
        </w:rPr>
        <w:t>O</w:t>
      </w:r>
      <w:r w:rsidR="00784BAD" w:rsidRPr="00FE6BA3">
        <w:rPr>
          <w:rFonts w:ascii="Cambria Math" w:hAnsi="Cambria Math" w:cs="Cambria Math"/>
        </w:rPr>
        <w:t>₂</w:t>
      </w:r>
      <w:r w:rsidR="00784BAD" w:rsidRPr="00FE6BA3">
        <w:rPr>
          <w:rFonts w:cs="Arial"/>
        </w:rPr>
        <w:t xml:space="preserve"> </w:t>
      </w:r>
      <w:r w:rsidRPr="00FE6BA3">
        <w:rPr>
          <w:rFonts w:cs="Arial"/>
        </w:rPr>
        <w:t>formation was less effective for sustaining NBD hydroxylation under the applied conditions.</w:t>
      </w:r>
    </w:p>
    <w:p w14:paraId="78E8BE27" w14:textId="44CDD373" w:rsidR="00207EFA" w:rsidRDefault="00271BC5" w:rsidP="00AF412B">
      <w:pPr>
        <w:pStyle w:val="CETBodytext"/>
        <w:rPr>
          <w:rStyle w:val="CETCaptionCarattere"/>
        </w:rPr>
      </w:pPr>
      <w:r>
        <w:rPr>
          <w:rStyle w:val="CETCaptionCarattere"/>
          <w:noProof/>
        </w:rPr>
        <w:drawing>
          <wp:inline distT="0" distB="0" distL="0" distR="0" wp14:anchorId="14D46151" wp14:editId="00C4850C">
            <wp:extent cx="5572125" cy="1714500"/>
            <wp:effectExtent l="0" t="0" r="9525" b="0"/>
            <wp:docPr id="19455943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1714500"/>
                    </a:xfrm>
                    <a:prstGeom prst="rect">
                      <a:avLst/>
                    </a:prstGeom>
                    <a:noFill/>
                    <a:ln>
                      <a:noFill/>
                    </a:ln>
                  </pic:spPr>
                </pic:pic>
              </a:graphicData>
            </a:graphic>
          </wp:inline>
        </w:drawing>
      </w:r>
      <w:r w:rsidR="00AF412B" w:rsidRPr="00AF412B">
        <w:rPr>
          <w:rStyle w:val="CETCaptionCarattere"/>
        </w:rPr>
        <w:t>Figure 4:</w:t>
      </w:r>
      <w:r w:rsidR="00AF412B" w:rsidRPr="00AF412B">
        <w:t xml:space="preserve"> </w:t>
      </w:r>
      <w:r w:rsidR="00AF412B" w:rsidRPr="00AF412B">
        <w:rPr>
          <w:rStyle w:val="CETCaptionCarattere"/>
        </w:rPr>
        <w:t>Product formation during continuous tandem catalysis comparing direct H</w:t>
      </w:r>
      <w:r w:rsidR="00AF412B" w:rsidRPr="00AF412B">
        <w:rPr>
          <w:rStyle w:val="CETCaptionCarattere"/>
          <w:rFonts w:ascii="Cambria Math" w:hAnsi="Cambria Math" w:cs="Cambria Math"/>
        </w:rPr>
        <w:t>₂</w:t>
      </w:r>
      <w:r w:rsidR="00AF412B" w:rsidRPr="00AF412B">
        <w:rPr>
          <w:rStyle w:val="CETCaptionCarattere"/>
        </w:rPr>
        <w:t>O</w:t>
      </w:r>
      <w:r w:rsidR="00AF412B" w:rsidRPr="00AF412B">
        <w:rPr>
          <w:rStyle w:val="CETCaptionCarattere"/>
          <w:rFonts w:ascii="Cambria Math" w:hAnsi="Cambria Math" w:cs="Cambria Math"/>
        </w:rPr>
        <w:t>₂</w:t>
      </w:r>
      <w:r w:rsidR="00AF412B" w:rsidRPr="00AF412B">
        <w:rPr>
          <w:rStyle w:val="CETCaptionCarattere"/>
        </w:rPr>
        <w:t xml:space="preserve"> dosing and in situ H</w:t>
      </w:r>
      <w:r w:rsidR="00AF412B" w:rsidRPr="00AF412B">
        <w:rPr>
          <w:rStyle w:val="CETCaptionCarattere"/>
          <w:rFonts w:ascii="Cambria Math" w:hAnsi="Cambria Math" w:cs="Cambria Math"/>
        </w:rPr>
        <w:t>₂</w:t>
      </w:r>
      <w:r w:rsidR="00AF412B" w:rsidRPr="00AF412B">
        <w:rPr>
          <w:rStyle w:val="CETCaptionCarattere"/>
        </w:rPr>
        <w:t>O</w:t>
      </w:r>
      <w:r w:rsidR="00AF412B" w:rsidRPr="00AF412B">
        <w:rPr>
          <w:rStyle w:val="CETCaptionCarattere"/>
          <w:rFonts w:ascii="Cambria Math" w:hAnsi="Cambria Math" w:cs="Cambria Math"/>
        </w:rPr>
        <w:t>₂</w:t>
      </w:r>
      <w:r w:rsidR="00AF412B" w:rsidRPr="00AF412B">
        <w:rPr>
          <w:rStyle w:val="CETCaptionCarattere"/>
        </w:rPr>
        <w:t xml:space="preserve"> generation for (a) ABTS oxidation and (b) NBD </w:t>
      </w:r>
      <w:r w:rsidR="0000242F">
        <w:rPr>
          <w:rStyle w:val="CETCaptionCarattere"/>
        </w:rPr>
        <w:t>hydroxylation</w:t>
      </w:r>
      <w:r w:rsidR="00AF412B" w:rsidRPr="00AF412B">
        <w:rPr>
          <w:rStyle w:val="CETCaptionCarattere"/>
        </w:rPr>
        <w:t>.</w:t>
      </w:r>
    </w:p>
    <w:p w14:paraId="47200526" w14:textId="77777777" w:rsidR="00347FA5" w:rsidRDefault="00347FA5" w:rsidP="00FF770C">
      <w:pPr>
        <w:pStyle w:val="CETBodytext"/>
        <w:rPr>
          <w:rStyle w:val="CETCaptionCarattere"/>
        </w:rPr>
      </w:pPr>
    </w:p>
    <w:p w14:paraId="3F95F568" w14:textId="73D9AA44" w:rsidR="00475B65" w:rsidRPr="00FF770C" w:rsidRDefault="00557F52" w:rsidP="00557F52">
      <w:pPr>
        <w:pStyle w:val="CETBodytext"/>
        <w:rPr>
          <w:rFonts w:cs="Arial"/>
        </w:rPr>
      </w:pPr>
      <w:r w:rsidRPr="00557F52">
        <w:rPr>
          <w:rFonts w:cs="Arial"/>
        </w:rPr>
        <w:t>During ABTS tandem experiments, an average hydrogen consumption of approximately 200 µM was observed, corresponding to a conversion of 40.8</w:t>
      </w:r>
      <w:r w:rsidR="00BE0EA9">
        <w:rPr>
          <w:rFonts w:cs="Arial"/>
        </w:rPr>
        <w:t xml:space="preserve"> </w:t>
      </w:r>
      <w:r w:rsidRPr="00557F52">
        <w:rPr>
          <w:rFonts w:cs="Arial"/>
        </w:rPr>
        <w:t>% relative to the dissolved inlet concentration (~490 µM). Although only micromolar H</w:t>
      </w:r>
      <w:r w:rsidRPr="00557F52">
        <w:rPr>
          <w:rFonts w:ascii="Cambria Math" w:hAnsi="Cambria Math" w:cs="Cambria Math"/>
        </w:rPr>
        <w:t>₂</w:t>
      </w:r>
      <w:r w:rsidRPr="00557F52">
        <w:rPr>
          <w:rFonts w:cs="Arial"/>
        </w:rPr>
        <w:t>O</w:t>
      </w:r>
      <w:r w:rsidRPr="00557F52">
        <w:rPr>
          <w:rFonts w:ascii="Cambria Math" w:hAnsi="Cambria Math" w:cs="Cambria Math"/>
        </w:rPr>
        <w:t>₂</w:t>
      </w:r>
      <w:r w:rsidRPr="00557F52">
        <w:rPr>
          <w:rFonts w:cs="Arial"/>
        </w:rPr>
        <w:t xml:space="preserve"> concentrations were formed due to the limited selectivity of the Pd catalyst, the enzymatic reaction does not appear to be primarily limited by H</w:t>
      </w:r>
      <w:r w:rsidRPr="00557F52">
        <w:rPr>
          <w:rFonts w:ascii="Cambria Math" w:hAnsi="Cambria Math" w:cs="Cambria Math"/>
        </w:rPr>
        <w:t>₂</w:t>
      </w:r>
      <w:r w:rsidRPr="00557F52">
        <w:rPr>
          <w:rFonts w:cs="Arial"/>
        </w:rPr>
        <w:t>O</w:t>
      </w:r>
      <w:r w:rsidRPr="00557F52">
        <w:rPr>
          <w:rFonts w:ascii="Cambria Math" w:hAnsi="Cambria Math" w:cs="Cambria Math"/>
        </w:rPr>
        <w:t>₂</w:t>
      </w:r>
      <w:r w:rsidRPr="00557F52">
        <w:rPr>
          <w:rFonts w:cs="Arial"/>
        </w:rPr>
        <w:t xml:space="preserve"> availability. Instead, the declining product concentrations observed over time indicate progressive enzyme deactivation.</w:t>
      </w:r>
      <w:r>
        <w:rPr>
          <w:rFonts w:cs="Arial"/>
        </w:rPr>
        <w:t xml:space="preserve"> </w:t>
      </w:r>
      <w:r w:rsidRPr="00557F52">
        <w:rPr>
          <w:rFonts w:cs="Arial"/>
        </w:rPr>
        <w:t>NBD tandem experiments conducted in the presence of acetonitrile showed a markedly lower hydrogen consumption of approximately</w:t>
      </w:r>
      <w:r w:rsidR="0042767D">
        <w:rPr>
          <w:rFonts w:cs="Arial"/>
        </w:rPr>
        <w:t xml:space="preserve">       </w:t>
      </w:r>
      <w:r w:rsidRPr="00557F52">
        <w:rPr>
          <w:rFonts w:cs="Arial"/>
        </w:rPr>
        <w:t xml:space="preserve"> 50 µM, corresponding to a conversion of 8.1</w:t>
      </w:r>
      <w:r w:rsidR="00BE0EA9">
        <w:rPr>
          <w:rFonts w:cs="Arial"/>
        </w:rPr>
        <w:t xml:space="preserve"> </w:t>
      </w:r>
      <w:r w:rsidRPr="00557F52">
        <w:rPr>
          <w:rFonts w:cs="Arial"/>
        </w:rPr>
        <w:t>% relative to the dissolved inlet concentration (</w:t>
      </w:r>
      <w:r w:rsidR="002366A7">
        <w:rPr>
          <w:rFonts w:cs="Arial"/>
        </w:rPr>
        <w:t>~</w:t>
      </w:r>
      <w:r w:rsidRPr="00557F52">
        <w:rPr>
          <w:rFonts w:cs="Arial"/>
        </w:rPr>
        <w:t>619 µM). The reduced hydrogen conversion suggests impaired H</w:t>
      </w:r>
      <w:r w:rsidRPr="00557F52">
        <w:rPr>
          <w:rFonts w:ascii="Cambria Math" w:hAnsi="Cambria Math" w:cs="Cambria Math"/>
        </w:rPr>
        <w:t>₂</w:t>
      </w:r>
      <w:r w:rsidRPr="00557F52">
        <w:rPr>
          <w:rFonts w:cs="Arial"/>
        </w:rPr>
        <w:t>O</w:t>
      </w:r>
      <w:r w:rsidRPr="00557F52">
        <w:rPr>
          <w:rFonts w:ascii="Cambria Math" w:hAnsi="Cambria Math" w:cs="Cambria Math"/>
        </w:rPr>
        <w:t>₂</w:t>
      </w:r>
      <w:r w:rsidRPr="00557F52">
        <w:rPr>
          <w:rFonts w:cs="Arial"/>
        </w:rPr>
        <w:t xml:space="preserve"> formation</w:t>
      </w:r>
      <w:r w:rsidR="00820B23">
        <w:rPr>
          <w:rFonts w:cs="Arial"/>
        </w:rPr>
        <w:t xml:space="preserve">. </w:t>
      </w:r>
      <w:r w:rsidR="00820B23" w:rsidRPr="00820B23">
        <w:rPr>
          <w:rFonts w:cs="Arial"/>
        </w:rPr>
        <w:t>Catalytic performance parameters are summarized in Table 1. ABTS oxidation showed higher turnover numbers (TON), turnover frequencies (TOF), and space–time yields (STY) than NBD conversion, reflecting the reduced efficiency of H</w:t>
      </w:r>
      <w:r w:rsidR="00820B23" w:rsidRPr="00820B23">
        <w:rPr>
          <w:rFonts w:ascii="Cambria Math" w:hAnsi="Cambria Math" w:cs="Cambria Math"/>
        </w:rPr>
        <w:t>₂</w:t>
      </w:r>
      <w:r w:rsidR="00820B23" w:rsidRPr="00820B23">
        <w:rPr>
          <w:rFonts w:cs="Arial"/>
        </w:rPr>
        <w:t>O</w:t>
      </w:r>
      <w:r w:rsidR="00820B23" w:rsidRPr="00820B23">
        <w:rPr>
          <w:rFonts w:ascii="Cambria Math" w:hAnsi="Cambria Math" w:cs="Cambria Math"/>
        </w:rPr>
        <w:t>₂</w:t>
      </w:r>
      <w:r w:rsidR="00820B23" w:rsidRPr="00820B23">
        <w:rPr>
          <w:rFonts w:cs="Arial"/>
        </w:rPr>
        <w:t xml:space="preserve"> synthesis in the presence of acetonitrile. In addition to solvent effects, the lower NBD performance is attributed to mechanistic </w:t>
      </w:r>
      <w:r w:rsidR="00820B23" w:rsidRPr="00820B23">
        <w:rPr>
          <w:rFonts w:cs="Arial"/>
        </w:rPr>
        <w:lastRenderedPageBreak/>
        <w:t>differences, as ABTS oxidation proceeds via rapid one-electron transfer, whereas NBD conversion requires a kinetically more demanding oxygen-transfer reaction.</w:t>
      </w:r>
    </w:p>
    <w:tbl>
      <w:tblPr>
        <w:tblpPr w:leftFromText="180" w:rightFromText="180" w:vertAnchor="text" w:horzAnchor="margin" w:tblpY="478"/>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29"/>
        <w:gridCol w:w="3338"/>
        <w:gridCol w:w="1012"/>
      </w:tblGrid>
      <w:tr w:rsidR="00FF770C" w:rsidRPr="00B57B36" w14:paraId="22432BB5" w14:textId="77777777" w:rsidTr="00FF770C">
        <w:trPr>
          <w:trHeight w:val="281"/>
        </w:trPr>
        <w:tc>
          <w:tcPr>
            <w:tcW w:w="3629" w:type="dxa"/>
            <w:tcBorders>
              <w:top w:val="single" w:sz="12" w:space="0" w:color="008000"/>
              <w:bottom w:val="single" w:sz="6" w:space="0" w:color="008000"/>
            </w:tcBorders>
            <w:shd w:val="clear" w:color="auto" w:fill="FFFFFF"/>
          </w:tcPr>
          <w:p w14:paraId="1CCB8C15" w14:textId="77777777" w:rsidR="00FF770C" w:rsidRPr="00B57B36" w:rsidRDefault="00FF770C" w:rsidP="00FF770C">
            <w:pPr>
              <w:pStyle w:val="CETBodytext"/>
              <w:rPr>
                <w:lang w:val="en-GB"/>
              </w:rPr>
            </w:pPr>
            <w:r>
              <w:rPr>
                <w:lang w:val="en-GB"/>
              </w:rPr>
              <w:t>Substrate</w:t>
            </w:r>
          </w:p>
        </w:tc>
        <w:tc>
          <w:tcPr>
            <w:tcW w:w="3338" w:type="dxa"/>
            <w:tcBorders>
              <w:top w:val="single" w:sz="12" w:space="0" w:color="008000"/>
              <w:bottom w:val="single" w:sz="6" w:space="0" w:color="008000"/>
            </w:tcBorders>
            <w:shd w:val="clear" w:color="auto" w:fill="FFFFFF"/>
          </w:tcPr>
          <w:p w14:paraId="47C9C1B1" w14:textId="77777777" w:rsidR="00FF770C" w:rsidRPr="00B57B36" w:rsidRDefault="00FF770C" w:rsidP="00FF770C">
            <w:pPr>
              <w:pStyle w:val="CETBodytext"/>
              <w:rPr>
                <w:lang w:val="en-GB"/>
              </w:rPr>
            </w:pPr>
            <w:r w:rsidRPr="00207EFA">
              <w:rPr>
                <w:lang w:val="en-GB"/>
              </w:rPr>
              <w:t>ABTS</w:t>
            </w:r>
          </w:p>
        </w:tc>
        <w:tc>
          <w:tcPr>
            <w:tcW w:w="1012" w:type="dxa"/>
            <w:tcBorders>
              <w:top w:val="single" w:sz="12" w:space="0" w:color="008000"/>
              <w:bottom w:val="single" w:sz="6" w:space="0" w:color="008000"/>
            </w:tcBorders>
            <w:shd w:val="clear" w:color="auto" w:fill="FFFFFF"/>
          </w:tcPr>
          <w:p w14:paraId="221888C1" w14:textId="77777777" w:rsidR="00FF770C" w:rsidRPr="00B57B36" w:rsidRDefault="00FF770C" w:rsidP="00FF770C">
            <w:pPr>
              <w:pStyle w:val="CETBodytext"/>
              <w:rPr>
                <w:lang w:val="en-GB"/>
              </w:rPr>
            </w:pPr>
            <w:r>
              <w:rPr>
                <w:lang w:val="en-GB"/>
              </w:rPr>
              <w:t>N</w:t>
            </w:r>
            <w:r w:rsidRPr="00207EFA">
              <w:rPr>
                <w:lang w:val="en-GB"/>
              </w:rPr>
              <w:t>BD</w:t>
            </w:r>
            <w:r w:rsidRPr="00B57B36">
              <w:rPr>
                <w:lang w:val="en-GB"/>
              </w:rPr>
              <w:t xml:space="preserve"> </w:t>
            </w:r>
          </w:p>
        </w:tc>
      </w:tr>
      <w:tr w:rsidR="00FF770C" w:rsidRPr="00B57B36" w14:paraId="7250C1FA" w14:textId="77777777" w:rsidTr="00FF770C">
        <w:trPr>
          <w:trHeight w:val="265"/>
        </w:trPr>
        <w:tc>
          <w:tcPr>
            <w:tcW w:w="3629" w:type="dxa"/>
            <w:shd w:val="clear" w:color="auto" w:fill="FFFFFF"/>
          </w:tcPr>
          <w:p w14:paraId="05F07F32" w14:textId="77777777" w:rsidR="00FF770C" w:rsidRPr="00B57B36" w:rsidRDefault="00FF770C" w:rsidP="00FF770C">
            <w:pPr>
              <w:pStyle w:val="CETBodytext"/>
              <w:rPr>
                <w:lang w:val="en-GB"/>
              </w:rPr>
            </w:pPr>
            <w:r>
              <w:rPr>
                <w:lang w:val="en-GB"/>
              </w:rPr>
              <w:t>TON</w:t>
            </w:r>
          </w:p>
        </w:tc>
        <w:tc>
          <w:tcPr>
            <w:tcW w:w="3338" w:type="dxa"/>
            <w:shd w:val="clear" w:color="auto" w:fill="FFFFFF"/>
          </w:tcPr>
          <w:p w14:paraId="764C5CBB" w14:textId="77777777" w:rsidR="00FF770C" w:rsidRPr="00B57B36" w:rsidRDefault="00FF770C" w:rsidP="00FF770C">
            <w:pPr>
              <w:pStyle w:val="CETBodytext"/>
              <w:rPr>
                <w:lang w:val="en-GB"/>
              </w:rPr>
            </w:pPr>
            <w:r w:rsidRPr="00207EFA">
              <w:rPr>
                <w:lang w:val="en-GB"/>
              </w:rPr>
              <w:t>6350</w:t>
            </w:r>
          </w:p>
        </w:tc>
        <w:tc>
          <w:tcPr>
            <w:tcW w:w="1012" w:type="dxa"/>
            <w:shd w:val="clear" w:color="auto" w:fill="FFFFFF"/>
          </w:tcPr>
          <w:p w14:paraId="6A8E5B48" w14:textId="77777777" w:rsidR="00FF770C" w:rsidRPr="00B57B36" w:rsidRDefault="00FF770C" w:rsidP="00FF770C">
            <w:pPr>
              <w:pStyle w:val="CETBodytext"/>
              <w:rPr>
                <w:lang w:val="en-GB"/>
              </w:rPr>
            </w:pPr>
            <w:r w:rsidRPr="00207EFA">
              <w:rPr>
                <w:lang w:val="en-GB"/>
              </w:rPr>
              <w:t>3596</w:t>
            </w:r>
          </w:p>
        </w:tc>
      </w:tr>
      <w:tr w:rsidR="00FF770C" w:rsidRPr="00B57B36" w14:paraId="3DD01F76" w14:textId="77777777" w:rsidTr="00FF770C">
        <w:trPr>
          <w:trHeight w:val="265"/>
        </w:trPr>
        <w:tc>
          <w:tcPr>
            <w:tcW w:w="3629" w:type="dxa"/>
            <w:shd w:val="clear" w:color="auto" w:fill="FFFFFF"/>
          </w:tcPr>
          <w:p w14:paraId="1F2E9872" w14:textId="77777777" w:rsidR="00FF770C" w:rsidRPr="00B57B36" w:rsidRDefault="00FF770C" w:rsidP="00FF770C">
            <w:pPr>
              <w:pStyle w:val="CETBodytext"/>
              <w:ind w:right="-1"/>
              <w:rPr>
                <w:rFonts w:cs="Arial"/>
                <w:szCs w:val="18"/>
                <w:lang w:val="en-GB"/>
              </w:rPr>
            </w:pPr>
            <w:r>
              <w:rPr>
                <w:rFonts w:cs="Arial"/>
                <w:szCs w:val="18"/>
                <w:lang w:val="en-GB"/>
              </w:rPr>
              <w:t>TOF</w:t>
            </w:r>
          </w:p>
        </w:tc>
        <w:tc>
          <w:tcPr>
            <w:tcW w:w="3338" w:type="dxa"/>
            <w:shd w:val="clear" w:color="auto" w:fill="FFFFFF"/>
          </w:tcPr>
          <w:p w14:paraId="599B145F" w14:textId="77777777" w:rsidR="00FF770C" w:rsidRPr="00B57B36" w:rsidRDefault="00FF770C" w:rsidP="00FF770C">
            <w:pPr>
              <w:pStyle w:val="CETBodytext"/>
              <w:ind w:right="-1"/>
              <w:rPr>
                <w:rFonts w:cs="Arial"/>
                <w:szCs w:val="18"/>
                <w:lang w:val="en-GB"/>
              </w:rPr>
            </w:pPr>
            <w:r w:rsidRPr="00207EFA">
              <w:rPr>
                <w:rFonts w:cs="Arial"/>
                <w:szCs w:val="18"/>
                <w:lang w:val="en-GB"/>
              </w:rPr>
              <w:t>0.64</w:t>
            </w:r>
          </w:p>
        </w:tc>
        <w:tc>
          <w:tcPr>
            <w:tcW w:w="1012" w:type="dxa"/>
            <w:shd w:val="clear" w:color="auto" w:fill="FFFFFF"/>
          </w:tcPr>
          <w:p w14:paraId="2D695AE0" w14:textId="77777777" w:rsidR="00FF770C" w:rsidRPr="00B57B36" w:rsidRDefault="00FF770C" w:rsidP="00FF770C">
            <w:pPr>
              <w:pStyle w:val="CETBodytext"/>
              <w:ind w:right="-1"/>
              <w:rPr>
                <w:rFonts w:cs="Arial"/>
                <w:szCs w:val="18"/>
                <w:lang w:val="en-GB"/>
              </w:rPr>
            </w:pPr>
            <w:r w:rsidRPr="00207EFA">
              <w:rPr>
                <w:rFonts w:cs="Arial"/>
                <w:szCs w:val="18"/>
                <w:lang w:val="en-GB"/>
              </w:rPr>
              <w:t>0.36</w:t>
            </w:r>
          </w:p>
        </w:tc>
      </w:tr>
      <w:tr w:rsidR="00FF770C" w:rsidRPr="00B57B36" w14:paraId="0439668B" w14:textId="77777777" w:rsidTr="00A14DFA">
        <w:trPr>
          <w:trHeight w:val="74"/>
        </w:trPr>
        <w:tc>
          <w:tcPr>
            <w:tcW w:w="3629" w:type="dxa"/>
            <w:shd w:val="clear" w:color="auto" w:fill="FFFFFF"/>
          </w:tcPr>
          <w:p w14:paraId="7453D4C5" w14:textId="77777777" w:rsidR="00FF770C" w:rsidRPr="00B57B36" w:rsidRDefault="00FF770C" w:rsidP="00FF770C">
            <w:pPr>
              <w:pStyle w:val="CETBodytext"/>
              <w:ind w:right="-1"/>
              <w:rPr>
                <w:rFonts w:cs="Arial"/>
                <w:szCs w:val="18"/>
                <w:lang w:val="en-GB"/>
              </w:rPr>
            </w:pPr>
            <w:r>
              <w:rPr>
                <w:rFonts w:cs="Arial"/>
                <w:szCs w:val="18"/>
                <w:lang w:val="en-GB"/>
              </w:rPr>
              <w:t>STY</w:t>
            </w:r>
          </w:p>
        </w:tc>
        <w:tc>
          <w:tcPr>
            <w:tcW w:w="3338" w:type="dxa"/>
            <w:shd w:val="clear" w:color="auto" w:fill="FFFFFF"/>
          </w:tcPr>
          <w:p w14:paraId="4F1680C7" w14:textId="77777777" w:rsidR="00FF770C" w:rsidRPr="00B57B36" w:rsidRDefault="00FF770C" w:rsidP="00FF770C">
            <w:pPr>
              <w:pStyle w:val="CETBodytext"/>
              <w:ind w:right="-1"/>
              <w:rPr>
                <w:rFonts w:cs="Arial"/>
                <w:szCs w:val="18"/>
                <w:lang w:val="en-GB"/>
              </w:rPr>
            </w:pPr>
            <w:r w:rsidRPr="00207EFA">
              <w:rPr>
                <w:rFonts w:cs="Arial"/>
                <w:szCs w:val="18"/>
                <w:lang w:val="en-GB"/>
              </w:rPr>
              <w:t>461</w:t>
            </w:r>
          </w:p>
        </w:tc>
        <w:tc>
          <w:tcPr>
            <w:tcW w:w="1012" w:type="dxa"/>
            <w:shd w:val="clear" w:color="auto" w:fill="FFFFFF"/>
          </w:tcPr>
          <w:p w14:paraId="2D572BD5" w14:textId="77777777" w:rsidR="00FF770C" w:rsidRPr="00B57B36" w:rsidRDefault="00FF770C" w:rsidP="00FF770C">
            <w:pPr>
              <w:pStyle w:val="CETBodytext"/>
              <w:ind w:right="-1"/>
              <w:rPr>
                <w:rFonts w:cs="Arial"/>
                <w:szCs w:val="18"/>
                <w:lang w:val="en-GB"/>
              </w:rPr>
            </w:pPr>
            <w:r w:rsidRPr="00207EFA">
              <w:rPr>
                <w:rFonts w:cs="Arial"/>
                <w:color w:val="000000"/>
                <w:szCs w:val="18"/>
              </w:rPr>
              <w:t>242</w:t>
            </w:r>
          </w:p>
        </w:tc>
      </w:tr>
    </w:tbl>
    <w:p w14:paraId="1E4FA04B" w14:textId="2C37FBC8" w:rsidR="00DF123B" w:rsidRPr="00B161B6" w:rsidRDefault="00207EFA" w:rsidP="00B161B6">
      <w:pPr>
        <w:pStyle w:val="CETCaption"/>
      </w:pPr>
      <w:r w:rsidRPr="00B161B6">
        <w:t>Table 1: Performance metrics</w:t>
      </w:r>
      <w:r w:rsidR="00475B65" w:rsidRPr="00B161B6">
        <w:t xml:space="preserve"> of tandem catalysis: </w:t>
      </w:r>
      <w:r w:rsidR="00EE6C93" w:rsidRPr="00B161B6">
        <w:t>TON</w:t>
      </w:r>
      <w:r w:rsidR="00D91D39" w:rsidRPr="00B161B6">
        <w:t xml:space="preserve"> [-]; </w:t>
      </w:r>
      <w:r w:rsidR="00EE6C93" w:rsidRPr="00B161B6">
        <w:t>TOF</w:t>
      </w:r>
      <w:r w:rsidR="00D91D39" w:rsidRPr="00B161B6">
        <w:t xml:space="preserve"> [</w:t>
      </w:r>
      <w:r w:rsidR="00B161B6" w:rsidRPr="00B161B6">
        <w:t>s</w:t>
      </w:r>
      <w:r w:rsidR="00B161B6" w:rsidRPr="00B161B6">
        <w:rPr>
          <w:rFonts w:ascii="Cambria Math" w:hAnsi="Cambria Math" w:cs="Cambria Math"/>
        </w:rPr>
        <w:t>⁻</w:t>
      </w:r>
      <w:r w:rsidR="00B161B6" w:rsidRPr="00B161B6">
        <w:rPr>
          <w:rFonts w:cs="Arial"/>
        </w:rPr>
        <w:t>¹</w:t>
      </w:r>
      <w:r w:rsidR="00D91D39" w:rsidRPr="00B161B6">
        <w:t>] and ST</w:t>
      </w:r>
      <w:r w:rsidR="00131940" w:rsidRPr="00B161B6">
        <w:t xml:space="preserve">Y </w:t>
      </w:r>
      <w:r w:rsidR="00B161B6" w:rsidRPr="00B161B6">
        <w:t>[µmol L</w:t>
      </w:r>
      <w:r w:rsidR="00B161B6" w:rsidRPr="00B161B6">
        <w:rPr>
          <w:rFonts w:ascii="Cambria Math" w:hAnsi="Cambria Math" w:cs="Cambria Math"/>
        </w:rPr>
        <w:t>⁻</w:t>
      </w:r>
      <w:r w:rsidR="00B161B6" w:rsidRPr="00B161B6">
        <w:rPr>
          <w:rFonts w:cs="Arial"/>
        </w:rPr>
        <w:t>¹</w:t>
      </w:r>
      <w:r w:rsidR="00B161B6" w:rsidRPr="00B161B6">
        <w:t xml:space="preserve"> h</w:t>
      </w:r>
      <w:r w:rsidR="00B161B6" w:rsidRPr="00B161B6">
        <w:rPr>
          <w:rFonts w:ascii="Cambria Math" w:hAnsi="Cambria Math" w:cs="Cambria Math"/>
        </w:rPr>
        <w:t>⁻</w:t>
      </w:r>
      <w:r w:rsidR="00B161B6" w:rsidRPr="00B161B6">
        <w:rPr>
          <w:rFonts w:cs="Arial"/>
        </w:rPr>
        <w:t>¹</w:t>
      </w:r>
      <w:r w:rsidR="00B161B6" w:rsidRPr="00B161B6">
        <w:t>]</w:t>
      </w:r>
      <w:bookmarkStart w:id="2" w:name="_Hlk220395561"/>
    </w:p>
    <w:p w14:paraId="4BF1AA60" w14:textId="77777777" w:rsidR="00FF770C" w:rsidRDefault="00FF770C" w:rsidP="00FF550F">
      <w:pPr>
        <w:pStyle w:val="CETCaption"/>
      </w:pPr>
    </w:p>
    <w:p w14:paraId="4F408168" w14:textId="7902469E" w:rsidR="004C7881" w:rsidRDefault="004C7881" w:rsidP="00FF550F">
      <w:pPr>
        <w:pStyle w:val="CETCaption"/>
      </w:pPr>
      <w:r>
        <w:br/>
      </w:r>
    </w:p>
    <w:bookmarkEnd w:id="2"/>
    <w:p w14:paraId="3D9964E5" w14:textId="5B010D4D" w:rsidR="00EA428A" w:rsidRPr="0002719B" w:rsidRDefault="00661E05" w:rsidP="00661E05">
      <w:pPr>
        <w:pStyle w:val="CETHeading1"/>
      </w:pPr>
      <w:r w:rsidRPr="0002719B">
        <w:rPr>
          <w:lang w:val="en-GB"/>
        </w:rPr>
        <w:t>C</w:t>
      </w:r>
      <w:r w:rsidR="003062F7" w:rsidRPr="0002719B">
        <w:t>onclusion</w:t>
      </w:r>
      <w:r w:rsidR="00AB0FF5" w:rsidRPr="0002719B">
        <w:t xml:space="preserve"> and Outlook </w:t>
      </w:r>
    </w:p>
    <w:p w14:paraId="085A29AD" w14:textId="73A2AE9E" w:rsidR="00FA2AE9" w:rsidRDefault="00557F52" w:rsidP="001A3BD0">
      <w:pPr>
        <w:pStyle w:val="CETBodytext"/>
        <w:rPr>
          <w:b/>
        </w:rPr>
      </w:pPr>
      <w:r w:rsidRPr="00557F52">
        <w:t>A continuous fixed-bed tandem system combining palladium-catalyzed H</w:t>
      </w:r>
      <w:r w:rsidRPr="00557F52">
        <w:rPr>
          <w:rFonts w:ascii="Cambria Math" w:hAnsi="Cambria Math" w:cs="Cambria Math"/>
        </w:rPr>
        <w:t>₂</w:t>
      </w:r>
      <w:r w:rsidRPr="00557F52">
        <w:t>O</w:t>
      </w:r>
      <w:r w:rsidRPr="00557F52">
        <w:rPr>
          <w:rFonts w:ascii="Cambria Math" w:hAnsi="Cambria Math" w:cs="Cambria Math"/>
        </w:rPr>
        <w:t>₂</w:t>
      </w:r>
      <w:r w:rsidRPr="00557F52">
        <w:t xml:space="preserve"> direct synthesis with </w:t>
      </w:r>
      <w:r w:rsidR="00DE6795">
        <w:t>YSD-UPOs</w:t>
      </w:r>
      <w:r w:rsidRPr="00557F52">
        <w:t xml:space="preserve"> was demonstrated. Stable enzyme immobilization enabled packed-bed operation after solvent inactivation and freeze-drying. Micromolar H</w:t>
      </w:r>
      <w:r w:rsidRPr="00557F52">
        <w:rPr>
          <w:rFonts w:ascii="Cambria Math" w:hAnsi="Cambria Math" w:cs="Cambria Math"/>
        </w:rPr>
        <w:t>₂</w:t>
      </w:r>
      <w:r w:rsidRPr="00557F52">
        <w:t>O</w:t>
      </w:r>
      <w:r w:rsidRPr="00557F52">
        <w:rPr>
          <w:rFonts w:ascii="Cambria Math" w:hAnsi="Cambria Math" w:cs="Cambria Math"/>
        </w:rPr>
        <w:t>₂</w:t>
      </w:r>
      <w:r w:rsidRPr="00557F52">
        <w:t xml:space="preserve"> concentrations were generated </w:t>
      </w:r>
      <w:r w:rsidRPr="00151506">
        <w:rPr>
          <w:i/>
          <w:iCs/>
        </w:rPr>
        <w:t>in situ</w:t>
      </w:r>
      <w:r w:rsidRPr="00557F52">
        <w:t xml:space="preserve"> under enzyme-compatible conditions without external oxidant addition, demonstrating for the first time the technical feasibility of continuous chemo-enzymatic tandem catalysis.</w:t>
      </w:r>
      <w:r w:rsidR="009523DE">
        <w:t xml:space="preserve"> The</w:t>
      </w:r>
      <w:r w:rsidR="00867DA2" w:rsidRPr="00867DA2">
        <w:t xml:space="preserve"> developed continuous fixed-bed tandem system can be used with a wide range of </w:t>
      </w:r>
      <w:r w:rsidR="00850C74" w:rsidRPr="00850C74">
        <w:rPr>
          <w:rFonts w:cs="Arial"/>
          <w:bCs/>
        </w:rPr>
        <w:t>H</w:t>
      </w:r>
      <w:r w:rsidR="00850C74" w:rsidRPr="00850C74">
        <w:rPr>
          <w:rFonts w:ascii="Cambria Math" w:hAnsi="Cambria Math" w:cs="Cambria Math"/>
          <w:bCs/>
        </w:rPr>
        <w:t>₂</w:t>
      </w:r>
      <w:r w:rsidR="00850C74" w:rsidRPr="00850C74">
        <w:rPr>
          <w:rFonts w:cs="Arial"/>
          <w:bCs/>
        </w:rPr>
        <w:t>O</w:t>
      </w:r>
      <w:r w:rsidR="00850C74" w:rsidRPr="00850C74">
        <w:rPr>
          <w:rFonts w:ascii="Cambria Math" w:hAnsi="Cambria Math" w:cs="Cambria Math"/>
          <w:bCs/>
        </w:rPr>
        <w:t>₂</w:t>
      </w:r>
      <w:r w:rsidR="00850C74">
        <w:rPr>
          <w:rFonts w:cs="Arial"/>
        </w:rPr>
        <w:t xml:space="preserve"> </w:t>
      </w:r>
      <w:r w:rsidR="00867DA2" w:rsidRPr="00867DA2">
        <w:t>dependent enzymes</w:t>
      </w:r>
      <w:r w:rsidR="00867DA2" w:rsidRPr="008E49C3">
        <w:t>.</w:t>
      </w:r>
      <w:r w:rsidR="00FA2AE9">
        <w:t xml:space="preserve"> </w:t>
      </w:r>
      <w:r w:rsidR="00DF0B1E">
        <w:t xml:space="preserve">Deactivation and cell loss from the system will be addressed in further experiments. </w:t>
      </w:r>
      <w:r w:rsidR="00FA2AE9" w:rsidRPr="00FA2AE9">
        <w:t>Future work should address kinetic analysis of both catalytic steps</w:t>
      </w:r>
      <w:r w:rsidR="007C460A">
        <w:t xml:space="preserve"> </w:t>
      </w:r>
      <w:r w:rsidR="00FA2AE9" w:rsidRPr="00FA2AE9">
        <w:t>and evaluation of synthetically relevant substrates to assess the scalability and process potential of the tandem concept</w:t>
      </w:r>
      <w:r w:rsidR="00FA2AE9">
        <w:t>.</w:t>
      </w:r>
    </w:p>
    <w:p w14:paraId="186427A1" w14:textId="52298A42" w:rsidR="00E551B7" w:rsidRDefault="009E4AD5" w:rsidP="00E27B69">
      <w:pPr>
        <w:pStyle w:val="CETReference"/>
      </w:pPr>
      <w:r w:rsidRPr="00FA2AE9">
        <w:rPr>
          <w:rFonts w:cs="Arial"/>
          <w:lang w:val="en-US"/>
        </w:rPr>
        <w:t>References</w:t>
      </w:r>
      <w:r w:rsidRPr="00445185">
        <w:rPr>
          <w:szCs w:val="18"/>
        </w:rPr>
        <w:fldChar w:fldCharType="begin"/>
      </w:r>
      <w:r w:rsidR="004F3D74" w:rsidRPr="00445185">
        <w:rPr>
          <w:szCs w:val="18"/>
          <w:lang w:val="en-US"/>
        </w:rPr>
        <w:instrText xml:space="preserve"> ADDIN ZOTERO_BIBL {"uncited":[],"omitted":[],"custom":[]} CSL_BIBLIOGRAPHY </w:instrText>
      </w:r>
      <w:r w:rsidRPr="00445185">
        <w:rPr>
          <w:szCs w:val="18"/>
        </w:rPr>
        <w:fldChar w:fldCharType="separate"/>
      </w:r>
    </w:p>
    <w:p w14:paraId="792D755F" w14:textId="31CD810B" w:rsidR="00E33A16" w:rsidRPr="00E27B69" w:rsidRDefault="00E33A16" w:rsidP="00E33A16">
      <w:pPr>
        <w:pStyle w:val="CETReferencetext"/>
      </w:pPr>
      <w:r w:rsidRPr="00E27B69">
        <w:t>Brehm J., Lewis R.J., Richards T., Qin T., Morgan D.J., Davies T.E., Chen L., Liu X., Hutchings G.J., 2022, Enhancing the chemo-enzymatic one-pot oxidation of cyclohexane via in situ H</w:t>
      </w:r>
      <w:r w:rsidRPr="00E27B69">
        <w:rPr>
          <w:rFonts w:ascii="Cambria Math" w:hAnsi="Cambria Math" w:cs="Cambria Math"/>
        </w:rPr>
        <w:t>₂</w:t>
      </w:r>
      <w:r w:rsidRPr="00E27B69">
        <w:t>O</w:t>
      </w:r>
      <w:r w:rsidRPr="00E27B69">
        <w:rPr>
          <w:rFonts w:ascii="Cambria Math" w:hAnsi="Cambria Math" w:cs="Cambria Math"/>
        </w:rPr>
        <w:t>₂</w:t>
      </w:r>
      <w:r w:rsidRPr="00E27B69">
        <w:t xml:space="preserve"> production over supported Pd-based catalysts, ACS Catalysis, 12, 11776–11789</w:t>
      </w:r>
      <w:r w:rsidR="00784BAD">
        <w:t>.</w:t>
      </w:r>
    </w:p>
    <w:p w14:paraId="5FFCAEE0" w14:textId="33DC550B" w:rsidR="00E33A16" w:rsidRPr="00E27B69" w:rsidRDefault="00E33A16" w:rsidP="00E33A16">
      <w:pPr>
        <w:pStyle w:val="CETReferencetext"/>
      </w:pPr>
      <w:r w:rsidRPr="00E27B69">
        <w:t xml:space="preserve">Burek B.O., de Boer S.R., Tieves F., Zhang W., van Schie M., Bormann S., Alcalde M., Holtmann D., Hollmann F., Bahnemann D.W., Bloh J.Z., 2019, Photoenzymatic hydroxylation of ethylbenzene catalyzed by unspecific peroxygenase: Origin of enzyme inactivation and the impact of light intensity and temperature, </w:t>
      </w:r>
      <w:proofErr w:type="spellStart"/>
      <w:r w:rsidRPr="00E27B69">
        <w:t>ChemCatChem</w:t>
      </w:r>
      <w:proofErr w:type="spellEnd"/>
      <w:r w:rsidRPr="00E27B69">
        <w:t>, 11, 3093–3100</w:t>
      </w:r>
      <w:r w:rsidR="00784BAD">
        <w:t>.</w:t>
      </w:r>
    </w:p>
    <w:p w14:paraId="7BCDC0D5" w14:textId="26B75CDE" w:rsidR="00E33A16" w:rsidRPr="00E27B69" w:rsidRDefault="00E33A16" w:rsidP="00E33A16">
      <w:pPr>
        <w:pStyle w:val="CETReferencetext"/>
      </w:pPr>
      <w:r w:rsidRPr="00E27B69">
        <w:t xml:space="preserve">Deschner B.J., Doronkin D.E., Sheppard T.L., Rabsch G., Grunwaldt J.D., Dittmeyer R., 2021, Continuous-flow reactor setup for operando x-ray absorption spectroscopy of </w:t>
      </w:r>
      <w:proofErr w:type="gramStart"/>
      <w:r w:rsidRPr="00E27B69">
        <w:t>high pressure</w:t>
      </w:r>
      <w:proofErr w:type="gramEnd"/>
      <w:r w:rsidRPr="00E27B69">
        <w:t xml:space="preserve"> heterogeneous liquid-solid catalytic processes, Review of Scientific Instruments, 92</w:t>
      </w:r>
      <w:r w:rsidR="00784BAD">
        <w:t>.</w:t>
      </w:r>
    </w:p>
    <w:p w14:paraId="1F6B9614" w14:textId="63726A44" w:rsidR="00E33A16" w:rsidRPr="00E27B69" w:rsidRDefault="00E33A16" w:rsidP="00E33A16">
      <w:pPr>
        <w:pStyle w:val="CETReferencetext"/>
      </w:pPr>
      <w:r w:rsidRPr="00E27B69">
        <w:t>Dittmeyer R., Grunwaldt J.D., Pashkova A., 2015, A review of catalyst performance and novel reaction engineering concepts in direct synthesis of hydrogen peroxide, Catalysis Today, 248, 149–159</w:t>
      </w:r>
      <w:r w:rsidR="00784BAD">
        <w:t>.</w:t>
      </w:r>
    </w:p>
    <w:p w14:paraId="7D6949EA" w14:textId="3763A6B1" w:rsidR="00E33A16" w:rsidRPr="00E27B69" w:rsidRDefault="00E33A16" w:rsidP="00E33A16">
      <w:pPr>
        <w:pStyle w:val="CETReferencetext"/>
      </w:pPr>
      <w:r w:rsidRPr="00E27B69">
        <w:t xml:space="preserve">Freakley S.J., Kochius S., van Marwijk J., Fenner C., Lewis R.J., Baldenius K., Marais S.S., Opperman D.J., Harrison S.T.L., Alcalde M., Smit M.S., Hutchings G.J., 2019, A chemo-enzymatic oxidation cascade to activate C–H bonds </w:t>
      </w:r>
      <w:proofErr w:type="gramStart"/>
      <w:r w:rsidRPr="00E27B69">
        <w:t>with in</w:t>
      </w:r>
      <w:proofErr w:type="gramEnd"/>
      <w:r w:rsidRPr="00E27B69">
        <w:t xml:space="preserve"> situ generated H</w:t>
      </w:r>
      <w:r w:rsidRPr="00E27B69">
        <w:rPr>
          <w:rFonts w:ascii="Cambria Math" w:hAnsi="Cambria Math" w:cs="Cambria Math"/>
        </w:rPr>
        <w:t>₂</w:t>
      </w:r>
      <w:r w:rsidRPr="00E27B69">
        <w:t>O</w:t>
      </w:r>
      <w:r w:rsidRPr="00E27B69">
        <w:rPr>
          <w:rFonts w:ascii="Cambria Math" w:hAnsi="Cambria Math" w:cs="Cambria Math"/>
        </w:rPr>
        <w:t>₂</w:t>
      </w:r>
      <w:r w:rsidRPr="00E27B69">
        <w:t>, Nature Communications, 10</w:t>
      </w:r>
      <w:r w:rsidR="00784BAD">
        <w:t>.</w:t>
      </w:r>
    </w:p>
    <w:p w14:paraId="4B458F3E" w14:textId="04FEB50A" w:rsidR="00E33A16" w:rsidRPr="00E27B69" w:rsidRDefault="00E33A16" w:rsidP="00E33A16">
      <w:pPr>
        <w:pStyle w:val="CETReferencetext"/>
      </w:pPr>
      <w:r w:rsidRPr="00E27B69">
        <w:t>Hobisch M., Holtmann D., Gomez De Santos P., Alcalde M., Hollmann F., Kara S., 2021, Recent developments in the use of peroxygenases – exploring their high potential in selective oxyfunctionalisations, Biotechnology Advances, 51, 107615</w:t>
      </w:r>
      <w:r w:rsidR="00784BAD">
        <w:t>.</w:t>
      </w:r>
    </w:p>
    <w:p w14:paraId="46951377" w14:textId="3A73E0DA" w:rsidR="00E33A16" w:rsidRPr="00E27B69" w:rsidRDefault="00E33A16" w:rsidP="00E33A16">
      <w:pPr>
        <w:pStyle w:val="CETReferencetext"/>
      </w:pPr>
      <w:r w:rsidRPr="00E27B69">
        <w:t>Karich A., Scheibner K., Ullrich R., Hofrichter M., 2016, Exploring the catalase activity of unspecific peroxygenases and the mechanism of peroxide-dependent heme destruction, Journal of Molecular Catalysis B: Enzymatic, 134, 238–246</w:t>
      </w:r>
      <w:r w:rsidR="00784BAD">
        <w:t>.</w:t>
      </w:r>
    </w:p>
    <w:p w14:paraId="6018A32E" w14:textId="0A85E916" w:rsidR="00E33A16" w:rsidRPr="00E27B69" w:rsidRDefault="00E33A16" w:rsidP="00E33A16">
      <w:pPr>
        <w:pStyle w:val="CETReferencetext"/>
      </w:pPr>
      <w:r w:rsidRPr="00E27B69">
        <w:t>Samanta C., 2008, Direct synthesis of hydrogen peroxide from hydrogen and oxygen: An overview of recent developments in the process, Applied Catalysis A: General, 350, 133–149</w:t>
      </w:r>
      <w:r w:rsidR="00784BAD">
        <w:t>.</w:t>
      </w:r>
    </w:p>
    <w:p w14:paraId="2C390B95" w14:textId="4E4B94F5" w:rsidR="00E33A16" w:rsidRPr="00E27B69" w:rsidRDefault="00E33A16" w:rsidP="00E33A16">
      <w:pPr>
        <w:pStyle w:val="CETReferencetext"/>
      </w:pPr>
      <w:r w:rsidRPr="00E27B69">
        <w:t xml:space="preserve">Teetz N., Lang S., Liese A., Holtmann D., 2024, Yeast surface display enables one-step production and immobilization of unspecific peroxygenases, </w:t>
      </w:r>
      <w:proofErr w:type="spellStart"/>
      <w:r w:rsidRPr="00E27B69">
        <w:t>ChemCatChem</w:t>
      </w:r>
      <w:proofErr w:type="spellEnd"/>
      <w:r w:rsidRPr="00E27B69">
        <w:t>, 16, e202400908</w:t>
      </w:r>
      <w:r w:rsidR="00784BAD">
        <w:t>.</w:t>
      </w:r>
    </w:p>
    <w:p w14:paraId="237E0DE0" w14:textId="449E5C09" w:rsidR="00E33A16" w:rsidRPr="00E27B69" w:rsidRDefault="00E33A16" w:rsidP="00E33A16">
      <w:pPr>
        <w:pStyle w:val="CETReferencetext"/>
      </w:pPr>
      <w:r w:rsidRPr="00E27B69">
        <w:t>Teetz N., Zuhse L., Holtmann D., 2025, Optimizing yeast surface-displayed unspecific peroxygenase production for sustainable biocatalysis, Bioengineering, 12, 822</w:t>
      </w:r>
      <w:r w:rsidR="00784BAD">
        <w:t>.</w:t>
      </w:r>
    </w:p>
    <w:p w14:paraId="35E70D70" w14:textId="0A3DA7BB" w:rsidR="00E33A16" w:rsidRPr="00E27B69" w:rsidRDefault="00E33A16" w:rsidP="00E33A16">
      <w:pPr>
        <w:pStyle w:val="CETReferencetext"/>
      </w:pPr>
      <w:r w:rsidRPr="00E27B69">
        <w:t>Xiao J., Wang M., Pang Z., Dai L., Lu J., Zou J., 2019, Simultaneous spectrophotometric determination of peracetic acid and the coexistent hydrogen peroxide using potassium iodide as the indicator, Analytical Methods, 11, 1930–1938</w:t>
      </w:r>
      <w:r w:rsidR="00784BAD">
        <w:t>.</w:t>
      </w:r>
    </w:p>
    <w:p w14:paraId="286418A6" w14:textId="77777777" w:rsidR="00E33A16" w:rsidRPr="00E33A16" w:rsidRDefault="00E33A16" w:rsidP="00E33A16">
      <w:pPr>
        <w:pStyle w:val="CETReferencetext"/>
      </w:pPr>
    </w:p>
    <w:p w14:paraId="702AFB11" w14:textId="15B00AEF" w:rsidR="00541530" w:rsidRPr="00445185" w:rsidRDefault="009E4AD5" w:rsidP="00E551B7">
      <w:pPr>
        <w:pStyle w:val="CETReferencetext"/>
        <w:ind w:left="0" w:firstLine="0"/>
        <w:rPr>
          <w:sz w:val="4"/>
          <w:szCs w:val="4"/>
          <w:lang w:val="en-US"/>
        </w:rPr>
      </w:pPr>
      <w:r w:rsidRPr="00445185">
        <w:rPr>
          <w:szCs w:val="18"/>
        </w:rPr>
        <w:fldChar w:fldCharType="end"/>
      </w:r>
    </w:p>
    <w:sectPr w:rsidR="00541530" w:rsidRPr="0044518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03C5D" w14:textId="77777777" w:rsidR="007F27C8" w:rsidRDefault="007F27C8" w:rsidP="004F5E36">
      <w:r>
        <w:separator/>
      </w:r>
    </w:p>
  </w:endnote>
  <w:endnote w:type="continuationSeparator" w:id="0">
    <w:p w14:paraId="23E6AC8A" w14:textId="77777777" w:rsidR="007F27C8" w:rsidRDefault="007F27C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7FDB1" w14:textId="77777777" w:rsidR="007F27C8" w:rsidRDefault="007F27C8" w:rsidP="004F5E36">
      <w:r>
        <w:separator/>
      </w:r>
    </w:p>
  </w:footnote>
  <w:footnote w:type="continuationSeparator" w:id="0">
    <w:p w14:paraId="2DDCEF98" w14:textId="77777777" w:rsidR="007F27C8" w:rsidRDefault="007F27C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C702311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GB"/>
      </w:rPr>
    </w:lvl>
    <w:lvl w:ilvl="2">
      <w:start w:val="1"/>
      <w:numFmt w:val="decimal"/>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42F"/>
    <w:rsid w:val="000027C0"/>
    <w:rsid w:val="000052FB"/>
    <w:rsid w:val="00005884"/>
    <w:rsid w:val="00005A19"/>
    <w:rsid w:val="000117CB"/>
    <w:rsid w:val="00016969"/>
    <w:rsid w:val="000231A1"/>
    <w:rsid w:val="0002719B"/>
    <w:rsid w:val="0003148D"/>
    <w:rsid w:val="00031EEC"/>
    <w:rsid w:val="00034A92"/>
    <w:rsid w:val="00051566"/>
    <w:rsid w:val="00053271"/>
    <w:rsid w:val="000562A9"/>
    <w:rsid w:val="000564B1"/>
    <w:rsid w:val="00062A9A"/>
    <w:rsid w:val="00064F79"/>
    <w:rsid w:val="00065058"/>
    <w:rsid w:val="00084591"/>
    <w:rsid w:val="00086C39"/>
    <w:rsid w:val="000A035E"/>
    <w:rsid w:val="000A03B2"/>
    <w:rsid w:val="000A391D"/>
    <w:rsid w:val="000B50CF"/>
    <w:rsid w:val="000D0268"/>
    <w:rsid w:val="000D1190"/>
    <w:rsid w:val="000D34BE"/>
    <w:rsid w:val="000E102F"/>
    <w:rsid w:val="000E36F1"/>
    <w:rsid w:val="000E3A73"/>
    <w:rsid w:val="000E414A"/>
    <w:rsid w:val="000E75FD"/>
    <w:rsid w:val="000E7F1B"/>
    <w:rsid w:val="000F0824"/>
    <w:rsid w:val="000F093C"/>
    <w:rsid w:val="000F787B"/>
    <w:rsid w:val="0010139A"/>
    <w:rsid w:val="00107091"/>
    <w:rsid w:val="001155E8"/>
    <w:rsid w:val="0012091F"/>
    <w:rsid w:val="00124AAD"/>
    <w:rsid w:val="00126BC2"/>
    <w:rsid w:val="001308B6"/>
    <w:rsid w:val="0013121F"/>
    <w:rsid w:val="00131940"/>
    <w:rsid w:val="00131FE6"/>
    <w:rsid w:val="001320B0"/>
    <w:rsid w:val="0013263F"/>
    <w:rsid w:val="001331DF"/>
    <w:rsid w:val="00134DE4"/>
    <w:rsid w:val="001400A5"/>
    <w:rsid w:val="0014034D"/>
    <w:rsid w:val="00140FE3"/>
    <w:rsid w:val="00144D16"/>
    <w:rsid w:val="001461D0"/>
    <w:rsid w:val="00150E59"/>
    <w:rsid w:val="00151506"/>
    <w:rsid w:val="00152DE3"/>
    <w:rsid w:val="0015742B"/>
    <w:rsid w:val="001637D9"/>
    <w:rsid w:val="00164CF9"/>
    <w:rsid w:val="001667A6"/>
    <w:rsid w:val="00175012"/>
    <w:rsid w:val="00175CDB"/>
    <w:rsid w:val="00184AD6"/>
    <w:rsid w:val="001A3BD0"/>
    <w:rsid w:val="001A4AF7"/>
    <w:rsid w:val="001B0349"/>
    <w:rsid w:val="001B1E93"/>
    <w:rsid w:val="001B65C1"/>
    <w:rsid w:val="001C260F"/>
    <w:rsid w:val="001C33F1"/>
    <w:rsid w:val="001C684B"/>
    <w:rsid w:val="001D0CFB"/>
    <w:rsid w:val="001D21AF"/>
    <w:rsid w:val="001D53FC"/>
    <w:rsid w:val="001E706C"/>
    <w:rsid w:val="001F42A5"/>
    <w:rsid w:val="001F69D8"/>
    <w:rsid w:val="001F7B9D"/>
    <w:rsid w:val="00201C93"/>
    <w:rsid w:val="00204820"/>
    <w:rsid w:val="00205113"/>
    <w:rsid w:val="002076ED"/>
    <w:rsid w:val="00207EFA"/>
    <w:rsid w:val="00211E10"/>
    <w:rsid w:val="00221D3F"/>
    <w:rsid w:val="002224B4"/>
    <w:rsid w:val="002366A7"/>
    <w:rsid w:val="00241D98"/>
    <w:rsid w:val="002447EF"/>
    <w:rsid w:val="00251550"/>
    <w:rsid w:val="00262B6A"/>
    <w:rsid w:val="00263B05"/>
    <w:rsid w:val="00271BC5"/>
    <w:rsid w:val="0027221A"/>
    <w:rsid w:val="002725BD"/>
    <w:rsid w:val="00275B61"/>
    <w:rsid w:val="00280FAF"/>
    <w:rsid w:val="00282656"/>
    <w:rsid w:val="002917F1"/>
    <w:rsid w:val="002956BB"/>
    <w:rsid w:val="00296B83"/>
    <w:rsid w:val="002A4F8B"/>
    <w:rsid w:val="002A7C6D"/>
    <w:rsid w:val="002B2B2A"/>
    <w:rsid w:val="002B4015"/>
    <w:rsid w:val="002B78CE"/>
    <w:rsid w:val="002C2FB6"/>
    <w:rsid w:val="002C549B"/>
    <w:rsid w:val="002D1B96"/>
    <w:rsid w:val="002D1F0A"/>
    <w:rsid w:val="002E5FA7"/>
    <w:rsid w:val="002F3309"/>
    <w:rsid w:val="003008CE"/>
    <w:rsid w:val="003009B7"/>
    <w:rsid w:val="00300E56"/>
    <w:rsid w:val="0030152C"/>
    <w:rsid w:val="00303E87"/>
    <w:rsid w:val="0030469C"/>
    <w:rsid w:val="00304E01"/>
    <w:rsid w:val="003062F7"/>
    <w:rsid w:val="0032032F"/>
    <w:rsid w:val="00321CA6"/>
    <w:rsid w:val="00323763"/>
    <w:rsid w:val="00323C5F"/>
    <w:rsid w:val="00326FE4"/>
    <w:rsid w:val="00333CC8"/>
    <w:rsid w:val="00334C09"/>
    <w:rsid w:val="00341CC1"/>
    <w:rsid w:val="003457DF"/>
    <w:rsid w:val="00346126"/>
    <w:rsid w:val="00347FA5"/>
    <w:rsid w:val="00350F33"/>
    <w:rsid w:val="00357A61"/>
    <w:rsid w:val="00365778"/>
    <w:rsid w:val="003723D4"/>
    <w:rsid w:val="00381905"/>
    <w:rsid w:val="00384CC8"/>
    <w:rsid w:val="003871FD"/>
    <w:rsid w:val="003A1E30"/>
    <w:rsid w:val="003A2829"/>
    <w:rsid w:val="003A7D1C"/>
    <w:rsid w:val="003B0847"/>
    <w:rsid w:val="003B304B"/>
    <w:rsid w:val="003B3146"/>
    <w:rsid w:val="003B4DF2"/>
    <w:rsid w:val="003B6900"/>
    <w:rsid w:val="003D108C"/>
    <w:rsid w:val="003D1E02"/>
    <w:rsid w:val="003D3D55"/>
    <w:rsid w:val="003E5802"/>
    <w:rsid w:val="003F015E"/>
    <w:rsid w:val="00400414"/>
    <w:rsid w:val="00402774"/>
    <w:rsid w:val="0040599E"/>
    <w:rsid w:val="0041446B"/>
    <w:rsid w:val="00422F11"/>
    <w:rsid w:val="0042767D"/>
    <w:rsid w:val="00433822"/>
    <w:rsid w:val="0044071E"/>
    <w:rsid w:val="00441328"/>
    <w:rsid w:val="00443181"/>
    <w:rsid w:val="0044329C"/>
    <w:rsid w:val="00445185"/>
    <w:rsid w:val="00452509"/>
    <w:rsid w:val="004530FE"/>
    <w:rsid w:val="00453E24"/>
    <w:rsid w:val="00457456"/>
    <w:rsid w:val="004574DF"/>
    <w:rsid w:val="004577FE"/>
    <w:rsid w:val="00457B9C"/>
    <w:rsid w:val="004609A1"/>
    <w:rsid w:val="0046164A"/>
    <w:rsid w:val="004620A8"/>
    <w:rsid w:val="004628D2"/>
    <w:rsid w:val="00462DCD"/>
    <w:rsid w:val="004648AD"/>
    <w:rsid w:val="004703A9"/>
    <w:rsid w:val="00475B65"/>
    <w:rsid w:val="004760DE"/>
    <w:rsid w:val="004763D7"/>
    <w:rsid w:val="0049018D"/>
    <w:rsid w:val="00493002"/>
    <w:rsid w:val="004938AB"/>
    <w:rsid w:val="00496226"/>
    <w:rsid w:val="004A004E"/>
    <w:rsid w:val="004A1451"/>
    <w:rsid w:val="004A24CF"/>
    <w:rsid w:val="004A5670"/>
    <w:rsid w:val="004A5E57"/>
    <w:rsid w:val="004C194F"/>
    <w:rsid w:val="004C3D1D"/>
    <w:rsid w:val="004C3D84"/>
    <w:rsid w:val="004C6698"/>
    <w:rsid w:val="004C7881"/>
    <w:rsid w:val="004C7913"/>
    <w:rsid w:val="004D4C9F"/>
    <w:rsid w:val="004E4DD6"/>
    <w:rsid w:val="004E567A"/>
    <w:rsid w:val="004E71AB"/>
    <w:rsid w:val="004F05FC"/>
    <w:rsid w:val="004F3D74"/>
    <w:rsid w:val="004F514A"/>
    <w:rsid w:val="004F5E36"/>
    <w:rsid w:val="00501CEC"/>
    <w:rsid w:val="00502C73"/>
    <w:rsid w:val="00507B47"/>
    <w:rsid w:val="00507BEF"/>
    <w:rsid w:val="00507CC9"/>
    <w:rsid w:val="005119A5"/>
    <w:rsid w:val="005222F7"/>
    <w:rsid w:val="005278B7"/>
    <w:rsid w:val="00532016"/>
    <w:rsid w:val="005346C8"/>
    <w:rsid w:val="00541530"/>
    <w:rsid w:val="00543E7D"/>
    <w:rsid w:val="00547A68"/>
    <w:rsid w:val="00550F07"/>
    <w:rsid w:val="005531C9"/>
    <w:rsid w:val="00557F52"/>
    <w:rsid w:val="00561162"/>
    <w:rsid w:val="005705F6"/>
    <w:rsid w:val="00570C43"/>
    <w:rsid w:val="00592274"/>
    <w:rsid w:val="00596CE0"/>
    <w:rsid w:val="005A4CEF"/>
    <w:rsid w:val="005A7331"/>
    <w:rsid w:val="005B2110"/>
    <w:rsid w:val="005B61E6"/>
    <w:rsid w:val="005C77E1"/>
    <w:rsid w:val="005D668A"/>
    <w:rsid w:val="005D6A2F"/>
    <w:rsid w:val="005E0592"/>
    <w:rsid w:val="005E1A82"/>
    <w:rsid w:val="005E794C"/>
    <w:rsid w:val="005F0A28"/>
    <w:rsid w:val="005F0E5E"/>
    <w:rsid w:val="00600535"/>
    <w:rsid w:val="00603856"/>
    <w:rsid w:val="00610CD6"/>
    <w:rsid w:val="00620DEE"/>
    <w:rsid w:val="00621A02"/>
    <w:rsid w:val="00621F92"/>
    <w:rsid w:val="0062280A"/>
    <w:rsid w:val="006231E1"/>
    <w:rsid w:val="00625639"/>
    <w:rsid w:val="00627CF0"/>
    <w:rsid w:val="00627F1F"/>
    <w:rsid w:val="00631B33"/>
    <w:rsid w:val="0064184D"/>
    <w:rsid w:val="006422CC"/>
    <w:rsid w:val="006459C8"/>
    <w:rsid w:val="00651D18"/>
    <w:rsid w:val="00652892"/>
    <w:rsid w:val="00660E3E"/>
    <w:rsid w:val="00661E05"/>
    <w:rsid w:val="00662E74"/>
    <w:rsid w:val="0067239B"/>
    <w:rsid w:val="006762E7"/>
    <w:rsid w:val="00680C23"/>
    <w:rsid w:val="00683E23"/>
    <w:rsid w:val="00691C40"/>
    <w:rsid w:val="006930DB"/>
    <w:rsid w:val="00693766"/>
    <w:rsid w:val="00697896"/>
    <w:rsid w:val="006A3281"/>
    <w:rsid w:val="006A764F"/>
    <w:rsid w:val="006B036D"/>
    <w:rsid w:val="006B27A3"/>
    <w:rsid w:val="006B4888"/>
    <w:rsid w:val="006B7875"/>
    <w:rsid w:val="006C2E45"/>
    <w:rsid w:val="006C359C"/>
    <w:rsid w:val="006C5579"/>
    <w:rsid w:val="006D6E8B"/>
    <w:rsid w:val="006D7209"/>
    <w:rsid w:val="006E0E2E"/>
    <w:rsid w:val="006E737D"/>
    <w:rsid w:val="006F14BA"/>
    <w:rsid w:val="006F397F"/>
    <w:rsid w:val="00707DD1"/>
    <w:rsid w:val="00713973"/>
    <w:rsid w:val="00720A24"/>
    <w:rsid w:val="00726E2A"/>
    <w:rsid w:val="00732386"/>
    <w:rsid w:val="00733A1C"/>
    <w:rsid w:val="0073514D"/>
    <w:rsid w:val="007447F3"/>
    <w:rsid w:val="00751598"/>
    <w:rsid w:val="0075499F"/>
    <w:rsid w:val="00755C40"/>
    <w:rsid w:val="00756643"/>
    <w:rsid w:val="007617CC"/>
    <w:rsid w:val="007661C8"/>
    <w:rsid w:val="0077098D"/>
    <w:rsid w:val="0077529A"/>
    <w:rsid w:val="00784BAD"/>
    <w:rsid w:val="00785BF9"/>
    <w:rsid w:val="00791731"/>
    <w:rsid w:val="0079300D"/>
    <w:rsid w:val="007931FA"/>
    <w:rsid w:val="007A4861"/>
    <w:rsid w:val="007A7BBA"/>
    <w:rsid w:val="007B0C50"/>
    <w:rsid w:val="007B48F9"/>
    <w:rsid w:val="007B6154"/>
    <w:rsid w:val="007C1A43"/>
    <w:rsid w:val="007C45FC"/>
    <w:rsid w:val="007C460A"/>
    <w:rsid w:val="007D0951"/>
    <w:rsid w:val="007D12F1"/>
    <w:rsid w:val="007F07AD"/>
    <w:rsid w:val="007F27C8"/>
    <w:rsid w:val="0080013E"/>
    <w:rsid w:val="00800F1F"/>
    <w:rsid w:val="00805B84"/>
    <w:rsid w:val="00813288"/>
    <w:rsid w:val="008168FC"/>
    <w:rsid w:val="00820B23"/>
    <w:rsid w:val="00830996"/>
    <w:rsid w:val="008314D7"/>
    <w:rsid w:val="008345F1"/>
    <w:rsid w:val="00850C74"/>
    <w:rsid w:val="00860778"/>
    <w:rsid w:val="0086542B"/>
    <w:rsid w:val="00865B07"/>
    <w:rsid w:val="008667EA"/>
    <w:rsid w:val="00867DA2"/>
    <w:rsid w:val="00872BFA"/>
    <w:rsid w:val="008751B1"/>
    <w:rsid w:val="0087637F"/>
    <w:rsid w:val="00887B13"/>
    <w:rsid w:val="00892AD5"/>
    <w:rsid w:val="00895856"/>
    <w:rsid w:val="008A1512"/>
    <w:rsid w:val="008A5E7F"/>
    <w:rsid w:val="008B2209"/>
    <w:rsid w:val="008B3588"/>
    <w:rsid w:val="008C47B2"/>
    <w:rsid w:val="008D32B9"/>
    <w:rsid w:val="008D433B"/>
    <w:rsid w:val="008D4A16"/>
    <w:rsid w:val="008E209A"/>
    <w:rsid w:val="008E45BC"/>
    <w:rsid w:val="008E49C3"/>
    <w:rsid w:val="008E566E"/>
    <w:rsid w:val="0090161A"/>
    <w:rsid w:val="00901EB6"/>
    <w:rsid w:val="009035FF"/>
    <w:rsid w:val="009041F8"/>
    <w:rsid w:val="00904C62"/>
    <w:rsid w:val="00905C82"/>
    <w:rsid w:val="0090655D"/>
    <w:rsid w:val="00906627"/>
    <w:rsid w:val="0092259E"/>
    <w:rsid w:val="00922BA8"/>
    <w:rsid w:val="00924DAC"/>
    <w:rsid w:val="00927058"/>
    <w:rsid w:val="009276E6"/>
    <w:rsid w:val="0094214E"/>
    <w:rsid w:val="00942750"/>
    <w:rsid w:val="009450CE"/>
    <w:rsid w:val="009459BB"/>
    <w:rsid w:val="00947179"/>
    <w:rsid w:val="0095164B"/>
    <w:rsid w:val="009523DE"/>
    <w:rsid w:val="00954090"/>
    <w:rsid w:val="00954D34"/>
    <w:rsid w:val="009573E7"/>
    <w:rsid w:val="00963E05"/>
    <w:rsid w:val="00964A45"/>
    <w:rsid w:val="00967843"/>
    <w:rsid w:val="00967D54"/>
    <w:rsid w:val="00971028"/>
    <w:rsid w:val="00973FA1"/>
    <w:rsid w:val="00993B84"/>
    <w:rsid w:val="00996483"/>
    <w:rsid w:val="00996F5A"/>
    <w:rsid w:val="009B041A"/>
    <w:rsid w:val="009B7C4C"/>
    <w:rsid w:val="009C33C4"/>
    <w:rsid w:val="009C37C3"/>
    <w:rsid w:val="009C7C86"/>
    <w:rsid w:val="009D2FF7"/>
    <w:rsid w:val="009E26BB"/>
    <w:rsid w:val="009E4AD5"/>
    <w:rsid w:val="009E7884"/>
    <w:rsid w:val="009E788A"/>
    <w:rsid w:val="009F0E08"/>
    <w:rsid w:val="00A026DB"/>
    <w:rsid w:val="00A079AE"/>
    <w:rsid w:val="00A14197"/>
    <w:rsid w:val="00A14DFA"/>
    <w:rsid w:val="00A1763D"/>
    <w:rsid w:val="00A17CEC"/>
    <w:rsid w:val="00A26CBB"/>
    <w:rsid w:val="00A27EF0"/>
    <w:rsid w:val="00A42361"/>
    <w:rsid w:val="00A50B20"/>
    <w:rsid w:val="00A51390"/>
    <w:rsid w:val="00A54FF5"/>
    <w:rsid w:val="00A60D13"/>
    <w:rsid w:val="00A6114A"/>
    <w:rsid w:val="00A7223D"/>
    <w:rsid w:val="00A72745"/>
    <w:rsid w:val="00A73915"/>
    <w:rsid w:val="00A76EFC"/>
    <w:rsid w:val="00A7711E"/>
    <w:rsid w:val="00A87D50"/>
    <w:rsid w:val="00A91010"/>
    <w:rsid w:val="00A97F29"/>
    <w:rsid w:val="00AA2E45"/>
    <w:rsid w:val="00AA2F31"/>
    <w:rsid w:val="00AA702E"/>
    <w:rsid w:val="00AA7D26"/>
    <w:rsid w:val="00AB0964"/>
    <w:rsid w:val="00AB0FF5"/>
    <w:rsid w:val="00AB5011"/>
    <w:rsid w:val="00AC31B8"/>
    <w:rsid w:val="00AC6E71"/>
    <w:rsid w:val="00AC7368"/>
    <w:rsid w:val="00AC7744"/>
    <w:rsid w:val="00AD0278"/>
    <w:rsid w:val="00AD16B9"/>
    <w:rsid w:val="00AD7D31"/>
    <w:rsid w:val="00AE377D"/>
    <w:rsid w:val="00AE67C5"/>
    <w:rsid w:val="00AF0EBA"/>
    <w:rsid w:val="00AF412B"/>
    <w:rsid w:val="00B02C8A"/>
    <w:rsid w:val="00B161B6"/>
    <w:rsid w:val="00B16256"/>
    <w:rsid w:val="00B17FBD"/>
    <w:rsid w:val="00B315A6"/>
    <w:rsid w:val="00B31813"/>
    <w:rsid w:val="00B33365"/>
    <w:rsid w:val="00B37959"/>
    <w:rsid w:val="00B417BB"/>
    <w:rsid w:val="00B5515F"/>
    <w:rsid w:val="00B57B36"/>
    <w:rsid w:val="00B57E6F"/>
    <w:rsid w:val="00B7730D"/>
    <w:rsid w:val="00B8686D"/>
    <w:rsid w:val="00B86CD4"/>
    <w:rsid w:val="00B93F69"/>
    <w:rsid w:val="00BA65CD"/>
    <w:rsid w:val="00BB1DDC"/>
    <w:rsid w:val="00BC30C9"/>
    <w:rsid w:val="00BD077D"/>
    <w:rsid w:val="00BE0EA9"/>
    <w:rsid w:val="00BE3E58"/>
    <w:rsid w:val="00BF1FF1"/>
    <w:rsid w:val="00C01616"/>
    <w:rsid w:val="00C0162B"/>
    <w:rsid w:val="00C068ED"/>
    <w:rsid w:val="00C208E9"/>
    <w:rsid w:val="00C22E0C"/>
    <w:rsid w:val="00C242A0"/>
    <w:rsid w:val="00C345B1"/>
    <w:rsid w:val="00C40142"/>
    <w:rsid w:val="00C51B6A"/>
    <w:rsid w:val="00C52C3C"/>
    <w:rsid w:val="00C57182"/>
    <w:rsid w:val="00C57863"/>
    <w:rsid w:val="00C6083D"/>
    <w:rsid w:val="00C640AF"/>
    <w:rsid w:val="00C655FD"/>
    <w:rsid w:val="00C75407"/>
    <w:rsid w:val="00C83F66"/>
    <w:rsid w:val="00C841C6"/>
    <w:rsid w:val="00C870A8"/>
    <w:rsid w:val="00C94434"/>
    <w:rsid w:val="00CA0D75"/>
    <w:rsid w:val="00CA1C95"/>
    <w:rsid w:val="00CA5A9C"/>
    <w:rsid w:val="00CC4C20"/>
    <w:rsid w:val="00CD3517"/>
    <w:rsid w:val="00CD5FE2"/>
    <w:rsid w:val="00CE7C68"/>
    <w:rsid w:val="00D02B4C"/>
    <w:rsid w:val="00D040C4"/>
    <w:rsid w:val="00D13C94"/>
    <w:rsid w:val="00D16F9C"/>
    <w:rsid w:val="00D20AD1"/>
    <w:rsid w:val="00D2440E"/>
    <w:rsid w:val="00D2582C"/>
    <w:rsid w:val="00D32F50"/>
    <w:rsid w:val="00D46B7E"/>
    <w:rsid w:val="00D46CFB"/>
    <w:rsid w:val="00D57C84"/>
    <w:rsid w:val="00D6057D"/>
    <w:rsid w:val="00D71640"/>
    <w:rsid w:val="00D723C0"/>
    <w:rsid w:val="00D836C5"/>
    <w:rsid w:val="00D84576"/>
    <w:rsid w:val="00D84B8B"/>
    <w:rsid w:val="00D86072"/>
    <w:rsid w:val="00D91D39"/>
    <w:rsid w:val="00D9794B"/>
    <w:rsid w:val="00DA1399"/>
    <w:rsid w:val="00DA24C6"/>
    <w:rsid w:val="00DA4D7B"/>
    <w:rsid w:val="00DA635B"/>
    <w:rsid w:val="00DA72D4"/>
    <w:rsid w:val="00DC3876"/>
    <w:rsid w:val="00DD271C"/>
    <w:rsid w:val="00DD73DB"/>
    <w:rsid w:val="00DE264A"/>
    <w:rsid w:val="00DE28A4"/>
    <w:rsid w:val="00DE3B0D"/>
    <w:rsid w:val="00DE6795"/>
    <w:rsid w:val="00DF0B1E"/>
    <w:rsid w:val="00DF123B"/>
    <w:rsid w:val="00DF5072"/>
    <w:rsid w:val="00E02D18"/>
    <w:rsid w:val="00E041E7"/>
    <w:rsid w:val="00E054EC"/>
    <w:rsid w:val="00E23CA1"/>
    <w:rsid w:val="00E25A0C"/>
    <w:rsid w:val="00E27B69"/>
    <w:rsid w:val="00E33A16"/>
    <w:rsid w:val="00E4025C"/>
    <w:rsid w:val="00E409A8"/>
    <w:rsid w:val="00E47D61"/>
    <w:rsid w:val="00E50C12"/>
    <w:rsid w:val="00E551B7"/>
    <w:rsid w:val="00E65B91"/>
    <w:rsid w:val="00E7209D"/>
    <w:rsid w:val="00E72EAD"/>
    <w:rsid w:val="00E77223"/>
    <w:rsid w:val="00E8528B"/>
    <w:rsid w:val="00E85B94"/>
    <w:rsid w:val="00E85FE8"/>
    <w:rsid w:val="00E94003"/>
    <w:rsid w:val="00E978D0"/>
    <w:rsid w:val="00E97FBB"/>
    <w:rsid w:val="00EA428A"/>
    <w:rsid w:val="00EA4613"/>
    <w:rsid w:val="00EA7F91"/>
    <w:rsid w:val="00EB1523"/>
    <w:rsid w:val="00EC0E49"/>
    <w:rsid w:val="00EC101F"/>
    <w:rsid w:val="00EC1D9F"/>
    <w:rsid w:val="00ED11EC"/>
    <w:rsid w:val="00EE0131"/>
    <w:rsid w:val="00EE17B0"/>
    <w:rsid w:val="00EE6C93"/>
    <w:rsid w:val="00EE7B2F"/>
    <w:rsid w:val="00EF06D9"/>
    <w:rsid w:val="00EF0982"/>
    <w:rsid w:val="00EF4DFE"/>
    <w:rsid w:val="00F207F9"/>
    <w:rsid w:val="00F30417"/>
    <w:rsid w:val="00F3049E"/>
    <w:rsid w:val="00F30C64"/>
    <w:rsid w:val="00F32BA2"/>
    <w:rsid w:val="00F32CDB"/>
    <w:rsid w:val="00F32F76"/>
    <w:rsid w:val="00F3348F"/>
    <w:rsid w:val="00F37280"/>
    <w:rsid w:val="00F373AC"/>
    <w:rsid w:val="00F41EE4"/>
    <w:rsid w:val="00F53214"/>
    <w:rsid w:val="00F565FE"/>
    <w:rsid w:val="00F63A70"/>
    <w:rsid w:val="00F63D8C"/>
    <w:rsid w:val="00F73274"/>
    <w:rsid w:val="00F736CE"/>
    <w:rsid w:val="00F7534E"/>
    <w:rsid w:val="00F843A6"/>
    <w:rsid w:val="00F85895"/>
    <w:rsid w:val="00F93EDF"/>
    <w:rsid w:val="00FA1802"/>
    <w:rsid w:val="00FA21D0"/>
    <w:rsid w:val="00FA2AE9"/>
    <w:rsid w:val="00FA5F5F"/>
    <w:rsid w:val="00FB4C90"/>
    <w:rsid w:val="00FB730C"/>
    <w:rsid w:val="00FC2695"/>
    <w:rsid w:val="00FC3E03"/>
    <w:rsid w:val="00FC3FC1"/>
    <w:rsid w:val="00FD55FD"/>
    <w:rsid w:val="00FE3856"/>
    <w:rsid w:val="00FE6BA3"/>
    <w:rsid w:val="00FF4722"/>
    <w:rsid w:val="00FF550F"/>
    <w:rsid w:val="00FF770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E706C"/>
    <w:pPr>
      <w:keepNext/>
      <w:suppressAutoHyphens/>
      <w:spacing w:before="120" w:after="120" w:line="264"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E706C"/>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48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semiHidden/>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Listenabsatz">
    <w:name w:val="List Paragraph"/>
    <w:basedOn w:val="Standard"/>
    <w:uiPriority w:val="34"/>
    <w:rsid w:val="00280FAF"/>
    <w:pPr>
      <w:ind w:left="720"/>
      <w:contextualSpacing/>
    </w:pPr>
  </w:style>
  <w:style w:type="character" w:customStyle="1" w:styleId="gmail-apple-converted-space">
    <w:name w:val="gmail-apple-converted-space"/>
    <w:basedOn w:val="Absatz-Standardschriftart"/>
    <w:rsid w:val="00005A19"/>
  </w:style>
  <w:style w:type="paragraph" w:customStyle="1" w:styleId="Autoren">
    <w:name w:val="Autoren"/>
    <w:basedOn w:val="Standard"/>
    <w:rsid w:val="002917F1"/>
    <w:pPr>
      <w:tabs>
        <w:tab w:val="clear" w:pos="7100"/>
      </w:tabs>
      <w:spacing w:line="360" w:lineRule="auto"/>
      <w:jc w:val="center"/>
    </w:pPr>
    <w:rPr>
      <w:rFonts w:ascii="Times New Roman" w:hAnsi="Times New Roman"/>
      <w:i/>
      <w:iCs/>
      <w:sz w:val="24"/>
      <w:lang w:eastAsia="de-DE"/>
    </w:rPr>
  </w:style>
  <w:style w:type="character" w:styleId="NichtaufgelsteErwhnung">
    <w:name w:val="Unresolved Mention"/>
    <w:basedOn w:val="Absatz-Standardschriftart"/>
    <w:uiPriority w:val="99"/>
    <w:semiHidden/>
    <w:unhideWhenUsed/>
    <w:rsid w:val="000E7F1B"/>
    <w:rPr>
      <w:color w:val="605E5C"/>
      <w:shd w:val="clear" w:color="auto" w:fill="E1DFDD"/>
    </w:rPr>
  </w:style>
  <w:style w:type="table" w:styleId="Listentabelle1hell">
    <w:name w:val="List Table 1 Light"/>
    <w:basedOn w:val="NormaleTabelle"/>
    <w:uiPriority w:val="46"/>
    <w:rsid w:val="00E4025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2">
    <w:name w:val="Plain Table 2"/>
    <w:basedOn w:val="NormaleTabelle"/>
    <w:uiPriority w:val="42"/>
    <w:rsid w:val="00E402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inLeerraum">
    <w:name w:val="No Spacing"/>
    <w:uiPriority w:val="1"/>
    <w:qFormat/>
    <w:rsid w:val="0000242F"/>
    <w:pPr>
      <w:tabs>
        <w:tab w:val="right" w:pos="7100"/>
      </w:tabs>
      <w:spacing w:after="0" w:line="240" w:lineRule="auto"/>
      <w:jc w:val="both"/>
    </w:pPr>
    <w:rPr>
      <w:rFonts w:ascii="Arial" w:eastAsia="Times New Roman" w:hAnsi="Arial" w:cs="Times New Roman"/>
      <w:sz w:val="18"/>
      <w:szCs w:val="20"/>
      <w:lang w:val="en-GB"/>
    </w:rPr>
  </w:style>
  <w:style w:type="paragraph" w:styleId="berarbeitung">
    <w:name w:val="Revision"/>
    <w:hidden/>
    <w:uiPriority w:val="99"/>
    <w:semiHidden/>
    <w:rsid w:val="004A145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ill.peters@kit.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93354B4C9E364B9E7E47594DEE489D" ma:contentTypeVersion="4" ma:contentTypeDescription="Create a new document." ma:contentTypeScope="" ma:versionID="7e608672cded2bced7bd6c7f127db3ef">
  <xsd:schema xmlns:xsd="http://www.w3.org/2001/XMLSchema" xmlns:xs="http://www.w3.org/2001/XMLSchema" xmlns:p="http://schemas.microsoft.com/office/2006/metadata/properties" xmlns:ns3="77f79eb8-bdf2-4250-8fa2-4ee87b9ca96f" targetNamespace="http://schemas.microsoft.com/office/2006/metadata/properties" ma:root="true" ma:fieldsID="40db511a8e18495175567176d4f99f47" ns3:_="">
    <xsd:import namespace="77f79eb8-bdf2-4250-8fa2-4ee87b9ca96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79eb8-bdf2-4250-8fa2-4ee87b9ca9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FA0CF-6914-4001-9532-EF1A45D5105D}">
  <ds:schemaRefs>
    <ds:schemaRef ds:uri="http://schemas.microsoft.com/office/2006/metadata/properties"/>
    <ds:schemaRef ds:uri="http://www.w3.org/XML/1998/namespace"/>
    <ds:schemaRef ds:uri="77f79eb8-bdf2-4250-8fa2-4ee87b9ca96f"/>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FF2B01C-70E5-4F7F-A8AB-569DEB511BDA}">
  <ds:schemaRefs>
    <ds:schemaRef ds:uri="http://schemas.microsoft.com/sharepoint/v3/contenttype/forms"/>
  </ds:schemaRefs>
</ds:datastoreItem>
</file>

<file path=customXml/itemProps3.xml><?xml version="1.0" encoding="utf-8"?>
<ds:datastoreItem xmlns:ds="http://schemas.openxmlformats.org/officeDocument/2006/customXml" ds:itemID="{23E29B83-6E5F-4288-AA4E-E0C306EB0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79eb8-bdf2-4250-8fa2-4ee87b9ca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8338</Words>
  <Characters>47530</Characters>
  <Application>Microsoft Office Word</Application>
  <DocSecurity>0</DocSecurity>
  <Lines>396</Lines>
  <Paragraphs>111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Peters, Till (IMVT)</cp:lastModifiedBy>
  <cp:revision>7</cp:revision>
  <cp:lastPrinted>2026-01-29T16:07:00Z</cp:lastPrinted>
  <dcterms:created xsi:type="dcterms:W3CDTF">2026-02-26T08:14:00Z</dcterms:created>
  <dcterms:modified xsi:type="dcterms:W3CDTF">2026-02-26T09:44:00Z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id="d0jsjx91"/&gt;&lt;style id="http://www.zotero.org/styles/apa" locale="de-DE" hasBibliography="1" bibliographyStyleHasBeenSet="1"/&gt;&lt;prefs&gt;&lt;pref name="fieldType" value="Field"/&gt;&lt;pref name="storeReference</vt:lpwstr>
  </property>
  <property fmtid="{D5CDD505-2E9C-101B-9397-08002B2CF9AE}" pid="3" name="ZOTERO_PREF_2">
    <vt:lpwstr>s" value="true"/&gt;&lt;/prefs&gt;&lt;/data&gt;</vt:lpwstr>
  </property>
  <property fmtid="{D5CDD505-2E9C-101B-9397-08002B2CF9AE}" pid="4" name="ContentTypeId">
    <vt:lpwstr>0x0101001693354B4C9E364B9E7E47594DEE489D</vt:lpwstr>
  </property>
</Properties>
</file>