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28717C">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28717C">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28717C">
        <w:trPr>
          <w:trHeight w:val="68"/>
          <w:jc w:val="center"/>
        </w:trPr>
        <w:tc>
          <w:tcPr>
            <w:tcW w:w="8782"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FC2627C" w14:textId="06FE1413" w:rsidR="0028717C" w:rsidRDefault="0028717C" w:rsidP="0028717C">
      <w:pPr>
        <w:pStyle w:val="CETTitle"/>
      </w:pPr>
      <w:r w:rsidRPr="0028717C">
        <w:t xml:space="preserve">Large-scale retrospective analysis of fresh orange </w:t>
      </w:r>
      <w:r w:rsidR="00BA54CF">
        <w:t xml:space="preserve">production </w:t>
      </w:r>
      <w:r w:rsidRPr="0028717C">
        <w:t>under climate variability: implications for industrial biotechnology</w:t>
      </w:r>
    </w:p>
    <w:p w14:paraId="0488FED2" w14:textId="346BFC40" w:rsidR="00B57E6F" w:rsidRPr="0028717C" w:rsidRDefault="0028717C" w:rsidP="00B57E6F">
      <w:pPr>
        <w:pStyle w:val="CETAuthors"/>
        <w:rPr>
          <w:lang w:val="es-ES"/>
        </w:rPr>
      </w:pPr>
      <w:r w:rsidRPr="0028717C">
        <w:rPr>
          <w:lang w:val="es-ES"/>
        </w:rPr>
        <w:t>Francisco Jiménez-Jiménez</w:t>
      </w:r>
      <w:r w:rsidR="00B57E6F" w:rsidRPr="0028717C">
        <w:rPr>
          <w:vertAlign w:val="superscript"/>
          <w:lang w:val="es-ES"/>
        </w:rPr>
        <w:t>a</w:t>
      </w:r>
      <w:r w:rsidR="00B57E6F" w:rsidRPr="0028717C">
        <w:rPr>
          <w:lang w:val="es-ES"/>
        </w:rPr>
        <w:t xml:space="preserve">, </w:t>
      </w:r>
      <w:r w:rsidRPr="0028717C">
        <w:rPr>
          <w:lang w:val="es-ES"/>
        </w:rPr>
        <w:t>Isabel L. Castillejo-González</w:t>
      </w:r>
      <w:r>
        <w:rPr>
          <w:vertAlign w:val="superscript"/>
          <w:lang w:val="es-ES"/>
        </w:rPr>
        <w:t>b</w:t>
      </w:r>
      <w:r w:rsidRPr="0028717C">
        <w:rPr>
          <w:lang w:val="es-ES"/>
        </w:rPr>
        <w:t>, Cristina Martínez</w:t>
      </w:r>
      <w:r>
        <w:rPr>
          <w:lang w:val="es-ES"/>
        </w:rPr>
        <w:t>-Ruedas</w:t>
      </w:r>
      <w:r>
        <w:rPr>
          <w:vertAlign w:val="superscript"/>
          <w:lang w:val="es-ES"/>
        </w:rPr>
        <w:t>b</w:t>
      </w:r>
      <w:r w:rsidRPr="0028717C">
        <w:rPr>
          <w:lang w:val="es-ES"/>
        </w:rPr>
        <w:t>, Carolina Santos</w:t>
      </w:r>
      <w:r>
        <w:rPr>
          <w:vertAlign w:val="superscript"/>
          <w:lang w:val="es-ES"/>
        </w:rPr>
        <w:t>b</w:t>
      </w:r>
      <w:r w:rsidRPr="0028717C">
        <w:rPr>
          <w:lang w:val="es-ES"/>
        </w:rPr>
        <w:t>, María</w:t>
      </w:r>
      <w:r>
        <w:rPr>
          <w:lang w:val="es-ES"/>
        </w:rPr>
        <w:t>-</w:t>
      </w:r>
      <w:r w:rsidRPr="0028717C">
        <w:rPr>
          <w:lang w:val="es-ES"/>
        </w:rPr>
        <w:t>J</w:t>
      </w:r>
      <w:r>
        <w:rPr>
          <w:lang w:val="es-ES"/>
        </w:rPr>
        <w:t>osé</w:t>
      </w:r>
      <w:r w:rsidRPr="0028717C">
        <w:rPr>
          <w:lang w:val="es-ES"/>
        </w:rPr>
        <w:t xml:space="preserve"> De la Haba</w:t>
      </w:r>
      <w:r>
        <w:rPr>
          <w:vertAlign w:val="superscript"/>
          <w:lang w:val="es-ES"/>
        </w:rPr>
        <w:t>b*</w:t>
      </w:r>
      <w:r w:rsidRPr="0028717C">
        <w:rPr>
          <w:lang w:val="es-ES"/>
        </w:rPr>
        <w:t xml:space="preserve">. </w:t>
      </w:r>
    </w:p>
    <w:p w14:paraId="6B2D21B3" w14:textId="0CC8E8A0" w:rsidR="00B57E6F" w:rsidRPr="00270F48" w:rsidRDefault="00B57E6F" w:rsidP="00B57E6F">
      <w:pPr>
        <w:pStyle w:val="CETAddress"/>
      </w:pPr>
      <w:r w:rsidRPr="00270F48">
        <w:rPr>
          <w:vertAlign w:val="superscript"/>
        </w:rPr>
        <w:t>a</w:t>
      </w:r>
      <w:r w:rsidR="00270F48" w:rsidRPr="00270F48">
        <w:t>Department of Engineering, Universidad Miguel Hernández, Orihuela, 03312 Alicante, Spain</w:t>
      </w:r>
    </w:p>
    <w:p w14:paraId="3D72B0B0" w14:textId="7672B75D" w:rsidR="00B57E6F" w:rsidRPr="00270F48" w:rsidRDefault="00B57E6F" w:rsidP="00B57E6F">
      <w:pPr>
        <w:pStyle w:val="CETAddress"/>
        <w:rPr>
          <w:lang w:val="es-ES"/>
        </w:rPr>
      </w:pPr>
      <w:r w:rsidRPr="00270F48">
        <w:rPr>
          <w:vertAlign w:val="superscript"/>
          <w:lang w:val="es-ES"/>
        </w:rPr>
        <w:t>b</w:t>
      </w:r>
      <w:r w:rsidR="0028717C" w:rsidRPr="00270F48">
        <w:rPr>
          <w:lang w:val="es-ES"/>
        </w:rPr>
        <w:t>University of Córdoba. Campus de Rabanales. Ctra. Madrid-Cádiz, km. 396</w:t>
      </w:r>
      <w:r w:rsidR="00270F48">
        <w:rPr>
          <w:lang w:val="es-ES"/>
        </w:rPr>
        <w:t>,</w:t>
      </w:r>
      <w:r w:rsidR="0028717C" w:rsidRPr="00270F48">
        <w:rPr>
          <w:lang w:val="es-ES"/>
        </w:rPr>
        <w:t xml:space="preserve"> 14071</w:t>
      </w:r>
      <w:r w:rsidR="00270F48" w:rsidRPr="00270F48">
        <w:rPr>
          <w:lang w:val="es-ES"/>
        </w:rPr>
        <w:t xml:space="preserve">, </w:t>
      </w:r>
      <w:r w:rsidR="0028717C" w:rsidRPr="00270F48">
        <w:rPr>
          <w:lang w:val="es-ES"/>
        </w:rPr>
        <w:t>Córdoba</w:t>
      </w:r>
      <w:r w:rsidR="00270F48" w:rsidRPr="00270F48">
        <w:rPr>
          <w:lang w:val="es-ES"/>
        </w:rPr>
        <w:t>, Spain</w:t>
      </w:r>
      <w:r w:rsidR="0028717C" w:rsidRPr="00270F48">
        <w:rPr>
          <w:lang w:val="es-ES"/>
        </w:rPr>
        <w:t>.</w:t>
      </w:r>
      <w:r w:rsidRPr="00270F48">
        <w:rPr>
          <w:lang w:val="es-ES"/>
        </w:rPr>
        <w:t xml:space="preserve"> </w:t>
      </w:r>
    </w:p>
    <w:p w14:paraId="73F1267A" w14:textId="271B88DD" w:rsidR="00B57E6F" w:rsidRPr="00B57B36" w:rsidRDefault="00B57E6F" w:rsidP="00B57E6F">
      <w:pPr>
        <w:pStyle w:val="CETemail"/>
      </w:pPr>
      <w:r w:rsidRPr="00270F48">
        <w:rPr>
          <w:lang w:val="es-ES"/>
        </w:rPr>
        <w:t xml:space="preserve"> </w:t>
      </w:r>
      <w:r w:rsidR="0028717C" w:rsidRPr="00270F48">
        <w:t>*mjhaba@uco.es</w:t>
      </w:r>
    </w:p>
    <w:p w14:paraId="6181B4F8" w14:textId="1E586A3C" w:rsidR="002868FA" w:rsidRPr="004A78E8" w:rsidRDefault="002868FA" w:rsidP="004A78E8">
      <w:pPr>
        <w:pStyle w:val="CETBodytext"/>
        <w:rPr>
          <w:lang w:val="en-GB"/>
        </w:rPr>
      </w:pPr>
      <w:r w:rsidRPr="002868FA">
        <w:rPr>
          <w:lang w:val="en-GB"/>
        </w:rPr>
        <w:t xml:space="preserve">Climate variability is increasing uncertainty in citrus production and complicating industrial planning in Mediterranean systems. This study analyses a large industrial dataset of fresh orange production collected over nine growing seasons (2016/2017–2024/2025) in Palma del Río (southern Spain), integrating agronomic, spatial and climatic information from </w:t>
      </w:r>
      <w:r w:rsidR="00D2141D">
        <w:rPr>
          <w:lang w:val="en-GB"/>
        </w:rPr>
        <w:t>169</w:t>
      </w:r>
      <w:r w:rsidRPr="002868FA">
        <w:rPr>
          <w:lang w:val="en-GB"/>
        </w:rPr>
        <w:t xml:space="preserve"> orchards and 17 varieties. Agroclimatic indicators describing water availability, thermal accumulation and extreme temperatures were combined with yield data to assess interannual variability and develop a climate-based prediction model. A multiple linear regression explained a high proportion of seasonal yield variability (R² = 0.737) and showed good predictive performance, with low </w:t>
      </w:r>
      <w:r w:rsidR="006B6671" w:rsidRPr="006B6671">
        <w:rPr>
          <w:lang w:val="en-GB"/>
        </w:rPr>
        <w:t>Root Mean Square Error</w:t>
      </w:r>
      <w:r w:rsidR="006B6671">
        <w:rPr>
          <w:lang w:val="en-GB"/>
        </w:rPr>
        <w:t xml:space="preserve"> (</w:t>
      </w:r>
      <w:r w:rsidRPr="002868FA">
        <w:rPr>
          <w:lang w:val="en-GB"/>
        </w:rPr>
        <w:t>RMSE</w:t>
      </w:r>
      <w:r w:rsidR="006B6671">
        <w:rPr>
          <w:lang w:val="en-GB"/>
        </w:rPr>
        <w:t>)</w:t>
      </w:r>
      <w:r w:rsidRPr="002868FA">
        <w:rPr>
          <w:lang w:val="en-GB"/>
        </w:rPr>
        <w:t xml:space="preserve"> (1.28 t ha</w:t>
      </w:r>
      <w:r w:rsidRPr="002868FA">
        <w:rPr>
          <w:rFonts w:ascii="Cambria Math" w:hAnsi="Cambria Math" w:cs="Cambria Math"/>
          <w:lang w:val="en-GB"/>
        </w:rPr>
        <w:t>⁻</w:t>
      </w:r>
      <w:r w:rsidRPr="002868FA">
        <w:rPr>
          <w:rFonts w:cs="Arial"/>
          <w:lang w:val="en-GB"/>
        </w:rPr>
        <w:t>¹</w:t>
      </w:r>
      <w:r w:rsidRPr="002868FA">
        <w:rPr>
          <w:lang w:val="en-GB"/>
        </w:rPr>
        <w:t>)</w:t>
      </w:r>
      <w:r w:rsidR="006B6671">
        <w:rPr>
          <w:lang w:val="en-GB"/>
        </w:rPr>
        <w:t xml:space="preserve">, </w:t>
      </w:r>
      <w:r w:rsidR="006B6671" w:rsidRPr="006B6671">
        <w:rPr>
          <w:lang w:val="en-GB"/>
        </w:rPr>
        <w:t>low Mean Absolute Error (MAE) (1.10 t ha</w:t>
      </w:r>
      <w:r w:rsidR="006B6671" w:rsidRPr="006B6671">
        <w:rPr>
          <w:rFonts w:ascii="Cambria Math" w:hAnsi="Cambria Math" w:cs="Cambria Math"/>
          <w:lang w:val="en-GB"/>
        </w:rPr>
        <w:t>⁻</w:t>
      </w:r>
      <w:r w:rsidR="006B6671" w:rsidRPr="006B6671">
        <w:rPr>
          <w:rFonts w:cs="Arial"/>
          <w:lang w:val="en-GB"/>
        </w:rPr>
        <w:t>¹</w:t>
      </w:r>
      <w:r w:rsidR="006B6671" w:rsidRPr="006B6671">
        <w:rPr>
          <w:lang w:val="en-GB"/>
        </w:rPr>
        <w:t>), and negligible Mean Bias Error (MBE)</w:t>
      </w:r>
      <w:r w:rsidRPr="002868FA">
        <w:rPr>
          <w:lang w:val="en-GB"/>
        </w:rPr>
        <w:t xml:space="preserve">. Extreme heat, expressed as the number of days with Tmax &gt; 35 </w:t>
      </w:r>
      <w:r w:rsidRPr="002868FA">
        <w:rPr>
          <w:rFonts w:cs="Arial"/>
          <w:lang w:val="en-GB"/>
        </w:rPr>
        <w:t>°</w:t>
      </w:r>
      <w:r w:rsidRPr="002868FA">
        <w:rPr>
          <w:lang w:val="en-GB"/>
        </w:rPr>
        <w:t>C, emerged as the main climatic driver of yield variability. These results highlight the potential of industrial datasets to support predictive tools for harvest planning and decision-making under increasing climate uncertainty.</w:t>
      </w:r>
    </w:p>
    <w:p w14:paraId="476B2F2E" w14:textId="77777777" w:rsidR="00600535" w:rsidRDefault="00600535" w:rsidP="00600535">
      <w:pPr>
        <w:pStyle w:val="CETHeading1"/>
        <w:rPr>
          <w:lang w:val="en-GB"/>
        </w:rPr>
      </w:pPr>
      <w:r w:rsidRPr="00B57B36">
        <w:rPr>
          <w:lang w:val="en-GB"/>
        </w:rPr>
        <w:t>Introduction</w:t>
      </w:r>
    </w:p>
    <w:p w14:paraId="5EA42E87" w14:textId="47A5D29D" w:rsidR="0028717C" w:rsidRPr="00285744" w:rsidRDefault="00317DDF" w:rsidP="00DD7301">
      <w:pPr>
        <w:pStyle w:val="CETBodytext"/>
        <w:rPr>
          <w:lang w:val="en-GB"/>
        </w:rPr>
      </w:pPr>
      <w:r w:rsidRPr="00317DDF">
        <w:rPr>
          <w:lang w:val="en-GB"/>
        </w:rPr>
        <w:t>Citrus fruits (</w:t>
      </w:r>
      <w:r w:rsidRPr="00317DDF">
        <w:rPr>
          <w:i/>
          <w:iCs/>
          <w:lang w:val="en-GB"/>
        </w:rPr>
        <w:t>Citrus</w:t>
      </w:r>
      <w:r w:rsidRPr="00317DDF">
        <w:rPr>
          <w:lang w:val="en-GB"/>
        </w:rPr>
        <w:t xml:space="preserve"> spp.) </w:t>
      </w:r>
      <w:r>
        <w:rPr>
          <w:lang w:val="en-GB"/>
        </w:rPr>
        <w:t>represent</w:t>
      </w:r>
      <w:r w:rsidRPr="00317DDF">
        <w:rPr>
          <w:lang w:val="en-GB"/>
        </w:rPr>
        <w:t xml:space="preserve"> the most important fruit crop in global trade due to their wide geographical distribution and high economic relevance. Production is mainly concentrated in temperate and humid regions, with China, Brazil, the United States and the Mediterranean basin as leading producing and processing areas. Approximately 40% of global citrus production, particularly oranges, is destined for juice processing, highlighting the strategic importance of citrus value chains at the global scale (</w:t>
      </w:r>
      <w:r w:rsidR="003524FC" w:rsidRPr="003524FC">
        <w:rPr>
          <w:lang w:val="en-GB"/>
        </w:rPr>
        <w:t>FAOSTAT, 20</w:t>
      </w:r>
      <w:r w:rsidR="003524FC">
        <w:rPr>
          <w:lang w:val="en-GB"/>
        </w:rPr>
        <w:t>26</w:t>
      </w:r>
      <w:r w:rsidRPr="00317DDF">
        <w:rPr>
          <w:lang w:val="en-GB"/>
        </w:rPr>
        <w:t>).</w:t>
      </w:r>
      <w:r w:rsidR="00285744">
        <w:rPr>
          <w:lang w:val="en-GB"/>
        </w:rPr>
        <w:t xml:space="preserve"> </w:t>
      </w:r>
      <w:r w:rsidR="00BA54CF" w:rsidRPr="00BA54CF">
        <w:rPr>
          <w:lang w:val="en-GB"/>
        </w:rPr>
        <w:t xml:space="preserve">Climate change is increasingly affecting citrus production systems by intensifying climatic variability and reducing production predictability, particularly for weather-dependent crops </w:t>
      </w:r>
      <w:r w:rsidRPr="00317DDF">
        <w:rPr>
          <w:lang w:val="en-GB"/>
        </w:rPr>
        <w:t>(</w:t>
      </w:r>
      <w:r w:rsidR="00C463F0" w:rsidRPr="00C463F0">
        <w:rPr>
          <w:lang w:val="en-GB"/>
        </w:rPr>
        <w:t>Balfagón</w:t>
      </w:r>
      <w:r w:rsidR="00C463F0">
        <w:rPr>
          <w:lang w:val="en-GB"/>
        </w:rPr>
        <w:t xml:space="preserve"> et al., 2022</w:t>
      </w:r>
      <w:r w:rsidRPr="00317DDF">
        <w:rPr>
          <w:lang w:val="en-GB"/>
        </w:rPr>
        <w:t xml:space="preserve">). </w:t>
      </w:r>
      <w:r w:rsidR="00BA54CF" w:rsidRPr="00BA54CF">
        <w:rPr>
          <w:lang w:val="en-GB"/>
        </w:rPr>
        <w:t>In citrus, climate-driven variability alters production levels and yield stability, which may in turn affect fruit size, quality and sanitary status</w:t>
      </w:r>
      <w:r w:rsidR="00BA54CF">
        <w:rPr>
          <w:lang w:val="en-GB"/>
        </w:rPr>
        <w:t>-</w:t>
      </w:r>
      <w:r w:rsidR="00BA54CF" w:rsidRPr="00BA54CF">
        <w:rPr>
          <w:lang w:val="en-GB"/>
        </w:rPr>
        <w:t xml:space="preserve">key factors for acceptance in fresh markets and for the efficiency of industrial sorting and processing operations </w:t>
      </w:r>
      <w:r w:rsidR="003524FC">
        <w:rPr>
          <w:lang w:val="en-GB"/>
        </w:rPr>
        <w:t>(</w:t>
      </w:r>
      <w:r w:rsidRPr="00317DDF">
        <w:rPr>
          <w:lang w:val="en-GB"/>
        </w:rPr>
        <w:t xml:space="preserve">Nagaz et al., 2020; Dong et al., 2024; Onwude et al., 2024). </w:t>
      </w:r>
      <w:r w:rsidR="00BA54CF" w:rsidRPr="00BA54CF">
        <w:rPr>
          <w:lang w:val="en-GB"/>
        </w:rPr>
        <w:t>Consequently, citrus companies face growing uncertainty in harvest planning, logistics and fruit allocation between fresh markets and processing.</w:t>
      </w:r>
      <w:r w:rsidR="00EE2CF5">
        <w:rPr>
          <w:lang w:val="en-GB"/>
        </w:rPr>
        <w:t xml:space="preserve"> </w:t>
      </w:r>
      <w:r w:rsidR="00BA54CF" w:rsidRPr="00BA54CF">
        <w:rPr>
          <w:lang w:val="en-GB"/>
        </w:rPr>
        <w:t>In parallel, citrus packing and commercialization facilities generate large volumes of production, yield and logistics data. When collected over multiple seasons and across varieties and orchards, these data constitute valuable industrial databases that enable the analysis of yield variability at scale and support a transition towards predictive and anticipatory decision-making. However, despite their potential, long-term industrial production and yield datasets remain underexplored in the scientific literature, particularly in the citrus sector, where most studies focus on single campaigns or limited spatial scales</w:t>
      </w:r>
      <w:r w:rsidR="00BA54CF">
        <w:rPr>
          <w:lang w:val="en-GB"/>
        </w:rPr>
        <w:t xml:space="preserve"> </w:t>
      </w:r>
      <w:r w:rsidRPr="00317DDF">
        <w:rPr>
          <w:lang w:val="en-GB"/>
        </w:rPr>
        <w:t>(Guo et al., 2023; Onwude et al., 2024; Tinyrio et al., 2025).</w:t>
      </w:r>
      <w:r w:rsidR="00EE2CF5">
        <w:rPr>
          <w:lang w:val="en-GB"/>
        </w:rPr>
        <w:t xml:space="preserve"> </w:t>
      </w:r>
      <w:r w:rsidR="00285744" w:rsidRPr="00285744">
        <w:rPr>
          <w:lang w:val="en-GB"/>
        </w:rPr>
        <w:t xml:space="preserve">The present study focuses on Palma del Río (Córdoba, southern Spain), one of the leading orange-producing areas in Andalusia, located in the Guadalquivir Valley, a representative irrigated Mediterranean citrus region </w:t>
      </w:r>
      <w:r w:rsidRPr="00317DDF">
        <w:rPr>
          <w:lang w:val="en-GB"/>
        </w:rPr>
        <w:t>(Observatorio de Precios y Mercados de Andalucía, 2024).</w:t>
      </w:r>
      <w:r w:rsidR="00607645" w:rsidRPr="00607645">
        <w:rPr>
          <w:lang w:val="en-GB"/>
        </w:rPr>
        <w:t xml:space="preserve"> The area is characterized by the main commercial orange varieties and an extended harvest period from October to June, supplying both fresh and </w:t>
      </w:r>
      <w:r w:rsidR="00607645" w:rsidRPr="00607645">
        <w:rPr>
          <w:lang w:val="en-GB"/>
        </w:rPr>
        <w:lastRenderedPageBreak/>
        <w:t>processing markets. This context provides an appropriate framework to analyse climate-driven yield variability</w:t>
      </w:r>
      <w:r w:rsidRPr="00317DDF">
        <w:rPr>
          <w:lang w:val="en-GB"/>
        </w:rPr>
        <w:t>.</w:t>
      </w:r>
      <w:r w:rsidR="00285744">
        <w:rPr>
          <w:lang w:val="en-GB"/>
        </w:rPr>
        <w:t xml:space="preserve"> </w:t>
      </w:r>
      <w:r w:rsidRPr="00317DDF">
        <w:rPr>
          <w:lang w:val="en-GB"/>
        </w:rPr>
        <w:t xml:space="preserve">The </w:t>
      </w:r>
      <w:r w:rsidR="00BA54CF" w:rsidRPr="00BA54CF">
        <w:rPr>
          <w:lang w:val="en-GB"/>
        </w:rPr>
        <w:t>aim of this work is to demonstrate how a large-scale, long-term industrial database of fresh orange production and yield can be used to improve harvest planning, decision-making and resource efficiency in citrus value chains under climate variability</w:t>
      </w:r>
      <w:r w:rsidR="00BA54CF">
        <w:rPr>
          <w:lang w:val="en-GB"/>
        </w:rPr>
        <w:t>.</w:t>
      </w:r>
    </w:p>
    <w:p w14:paraId="5741900F" w14:textId="3786D32F" w:rsidR="00453E24" w:rsidRDefault="004A78E8" w:rsidP="00453E24">
      <w:pPr>
        <w:pStyle w:val="CETHeading1"/>
      </w:pPr>
      <w:r>
        <w:t>Materials and methods</w:t>
      </w:r>
    </w:p>
    <w:p w14:paraId="5BB1EED4" w14:textId="3718B835" w:rsidR="00FE5A6B" w:rsidRDefault="00FE5A6B" w:rsidP="00FE5A6B">
      <w:pPr>
        <w:pStyle w:val="CETheadingx"/>
      </w:pPr>
      <w:r w:rsidRPr="00FE5A6B">
        <w:t>Plant material and data description</w:t>
      </w:r>
    </w:p>
    <w:p w14:paraId="04E66F00" w14:textId="71B541F3" w:rsidR="0011456F" w:rsidRPr="008A7D02" w:rsidRDefault="00D2141D" w:rsidP="00C36565">
      <w:pPr>
        <w:pStyle w:val="CETBodytext"/>
        <w:rPr>
          <w:lang w:val="en-GB"/>
        </w:rPr>
      </w:pPr>
      <w:r w:rsidRPr="00D2141D">
        <w:rPr>
          <w:lang w:val="en-GB"/>
        </w:rPr>
        <w:t xml:space="preserve">The study was based on a large industrial dataset comprising a total of 207,243.8 </w:t>
      </w:r>
      <w:r w:rsidR="00285744">
        <w:rPr>
          <w:lang w:val="en-GB"/>
        </w:rPr>
        <w:t>kg</w:t>
      </w:r>
      <w:r w:rsidRPr="00D2141D">
        <w:rPr>
          <w:lang w:val="en-GB"/>
        </w:rPr>
        <w:t xml:space="preserve"> of oranges, corresponding to 17 commercial varieties supplied by 169 </w:t>
      </w:r>
      <w:r>
        <w:rPr>
          <w:lang w:val="en-GB"/>
        </w:rPr>
        <w:t>orchards</w:t>
      </w:r>
      <w:r w:rsidRPr="00D2141D">
        <w:rPr>
          <w:lang w:val="en-GB"/>
        </w:rPr>
        <w:t xml:space="preserve">, representative of the citrus production area of Palma del Río (Córdoba, southern Spain). </w:t>
      </w:r>
      <w:r w:rsidR="00861887" w:rsidRPr="00D2141D">
        <w:rPr>
          <w:lang w:val="en-GB"/>
        </w:rPr>
        <w:t>Data</w:t>
      </w:r>
      <w:r w:rsidR="00861887" w:rsidRPr="00861887">
        <w:rPr>
          <w:lang w:val="en-GB"/>
        </w:rPr>
        <w:t xml:space="preserve"> covered nine growing seasons (2016/2017–2024/2025). Recorded variables included agronomic and traceability information </w:t>
      </w:r>
      <w:r w:rsidR="003B55A0">
        <w:rPr>
          <w:lang w:val="en-GB"/>
        </w:rPr>
        <w:t xml:space="preserve">such as </w:t>
      </w:r>
      <w:r w:rsidR="00861887" w:rsidRPr="00861887">
        <w:rPr>
          <w:lang w:val="en-GB"/>
        </w:rPr>
        <w:t xml:space="preserve">growing season, harvest date, grower, </w:t>
      </w:r>
      <w:r w:rsidR="00C463F0">
        <w:rPr>
          <w:lang w:val="en-GB"/>
        </w:rPr>
        <w:t>SIGPAC</w:t>
      </w:r>
      <w:r w:rsidR="00C463F0" w:rsidRPr="00861887">
        <w:rPr>
          <w:lang w:val="en-GB"/>
        </w:rPr>
        <w:t xml:space="preserve"> </w:t>
      </w:r>
      <w:r w:rsidR="00861887" w:rsidRPr="00861887">
        <w:rPr>
          <w:lang w:val="en-GB"/>
        </w:rPr>
        <w:t xml:space="preserve">parcel </w:t>
      </w:r>
      <w:r w:rsidR="00861887">
        <w:rPr>
          <w:lang w:val="en-GB"/>
        </w:rPr>
        <w:t>identification</w:t>
      </w:r>
      <w:r w:rsidR="00C463F0">
        <w:rPr>
          <w:lang w:val="en-GB"/>
        </w:rPr>
        <w:t xml:space="preserve"> (FEGA, 2025)</w:t>
      </w:r>
      <w:r w:rsidR="003B55A0">
        <w:rPr>
          <w:lang w:val="en-GB"/>
        </w:rPr>
        <w:t xml:space="preserve">. </w:t>
      </w:r>
      <w:r w:rsidR="0011456F" w:rsidRPr="0011456F">
        <w:rPr>
          <w:lang w:val="en-GB"/>
        </w:rPr>
        <w:t xml:space="preserve">The varieties included are cultivated for the fresh market; however, from a typological standpoint, they may be classified as fresh and juice oranges, including Navel-type cultivars as well as </w:t>
      </w:r>
      <w:r w:rsidR="0011456F" w:rsidRPr="0011456F">
        <w:rPr>
          <w:i/>
          <w:iCs/>
          <w:lang w:val="en-GB"/>
        </w:rPr>
        <w:t>Salustiana, Valencia Late</w:t>
      </w:r>
      <w:r w:rsidR="0011456F" w:rsidRPr="0011456F">
        <w:rPr>
          <w:lang w:val="en-GB"/>
        </w:rPr>
        <w:t>, and pigmented varieties.</w:t>
      </w:r>
      <w:r w:rsidR="00607645">
        <w:rPr>
          <w:lang w:val="en-GB"/>
        </w:rPr>
        <w:t xml:space="preserve"> </w:t>
      </w:r>
      <w:r w:rsidR="00C131FF" w:rsidRPr="00C131FF">
        <w:rPr>
          <w:lang w:val="en-GB"/>
        </w:rPr>
        <w:t>Production and quality data were provided by Sunaran, an Agricultural Transformation Society responsible for citrus production and commercialization. These records were integrated with GIS-based spatial information and official climatic data. All datasets were harmonized in a relational database structured by agricultural growing season (October–September). Unique internal identifiers ensured traceability, and incomplete or inconsistent records were excluded through a data validation process.</w:t>
      </w:r>
      <w:r w:rsidR="00607645">
        <w:rPr>
          <w:lang w:val="en-GB"/>
        </w:rPr>
        <w:t xml:space="preserve"> </w:t>
      </w:r>
      <w:r w:rsidR="00861887" w:rsidRPr="00861887">
        <w:rPr>
          <w:lang w:val="en-GB"/>
        </w:rPr>
        <w:t>Production was calculated from truck weight records, aggregating total delivered weight per parcel and growing season. Yield (t ha</w:t>
      </w:r>
      <w:r w:rsidR="00861887" w:rsidRPr="00861887">
        <w:rPr>
          <w:rFonts w:ascii="Cambria Math" w:hAnsi="Cambria Math" w:cs="Cambria Math"/>
          <w:lang w:val="en-GB"/>
        </w:rPr>
        <w:t>⁻</w:t>
      </w:r>
      <w:r w:rsidR="00861887" w:rsidRPr="00861887">
        <w:rPr>
          <w:rFonts w:cs="Arial"/>
          <w:lang w:val="en-GB"/>
        </w:rPr>
        <w:t>¹</w:t>
      </w:r>
      <w:r w:rsidR="00861887" w:rsidRPr="00861887">
        <w:rPr>
          <w:lang w:val="en-GB"/>
        </w:rPr>
        <w:t>) was estimated using both declared parcel area and GIS-derived area to evaluate potential discrepancies between reported and spatially measured surfaces. Calculations were aggregated by season, grower and parcel.</w:t>
      </w:r>
      <w:r w:rsidR="00607645">
        <w:rPr>
          <w:lang w:val="en-GB"/>
        </w:rPr>
        <w:t xml:space="preserve"> </w:t>
      </w:r>
      <w:r w:rsidR="0011456F" w:rsidRPr="0011456F">
        <w:rPr>
          <w:lang w:val="en-GB"/>
        </w:rPr>
        <w:t>Climatic data were obtained from the Andalusian Agroclimatic Network, Palma del Río station (IFAPA, 2025), including precipitation, air temperature, and reference evapotranspiration (ETo). Variables were aggregated by agricultural growing season. Agroclimatic indicators comprised cumulative precipitation, climatic water deficit</w:t>
      </w:r>
      <w:r w:rsidR="003C36C6">
        <w:rPr>
          <w:lang w:val="en-GB"/>
        </w:rPr>
        <w:t xml:space="preserve"> (CWD)</w:t>
      </w:r>
      <w:r w:rsidR="0011456F" w:rsidRPr="0011456F">
        <w:rPr>
          <w:lang w:val="en-GB"/>
        </w:rPr>
        <w:t xml:space="preserve"> (precipitation − ETo, mm), growing degree days </w:t>
      </w:r>
      <w:r w:rsidR="00003ED2">
        <w:rPr>
          <w:lang w:val="en-GB"/>
        </w:rPr>
        <w:t xml:space="preserve">(GDD) </w:t>
      </w:r>
      <w:r w:rsidR="0011456F" w:rsidRPr="0011456F">
        <w:rPr>
          <w:lang w:val="en-GB"/>
        </w:rPr>
        <w:t>(°C day</w:t>
      </w:r>
      <w:r w:rsidR="0011456F" w:rsidRPr="0011456F">
        <w:rPr>
          <w:rFonts w:ascii="Cambria Math" w:hAnsi="Cambria Math" w:cs="Cambria Math"/>
          <w:lang w:val="en-GB"/>
        </w:rPr>
        <w:t>⁻</w:t>
      </w:r>
      <w:r w:rsidR="0011456F" w:rsidRPr="0011456F">
        <w:rPr>
          <w:rFonts w:cs="Arial"/>
          <w:lang w:val="en-GB"/>
        </w:rPr>
        <w:t>¹</w:t>
      </w:r>
      <w:r w:rsidR="0011456F" w:rsidRPr="0011456F">
        <w:rPr>
          <w:lang w:val="en-GB"/>
        </w:rPr>
        <w:t xml:space="preserve">; base temperature 12 </w:t>
      </w:r>
      <w:r w:rsidR="0011456F" w:rsidRPr="0011456F">
        <w:rPr>
          <w:rFonts w:cs="Arial"/>
          <w:lang w:val="en-GB"/>
        </w:rPr>
        <w:t>°</w:t>
      </w:r>
      <w:r w:rsidR="0011456F" w:rsidRPr="0011456F">
        <w:rPr>
          <w:lang w:val="en-GB"/>
        </w:rPr>
        <w:t xml:space="preserve">C), number of days with maximum temperature &gt;35 </w:t>
      </w:r>
      <w:r w:rsidR="0011456F" w:rsidRPr="0011456F">
        <w:rPr>
          <w:rFonts w:cs="Arial"/>
          <w:lang w:val="en-GB"/>
        </w:rPr>
        <w:t>°</w:t>
      </w:r>
      <w:r w:rsidR="0011456F" w:rsidRPr="0011456F">
        <w:rPr>
          <w:lang w:val="en-GB"/>
        </w:rPr>
        <w:t xml:space="preserve">C, and frost-risk days (minimum temperature </w:t>
      </w:r>
      <w:r w:rsidR="0011456F" w:rsidRPr="0011456F">
        <w:rPr>
          <w:rFonts w:cs="Arial"/>
          <w:lang w:val="en-GB"/>
        </w:rPr>
        <w:t>≤</w:t>
      </w:r>
      <w:r w:rsidR="0011456F">
        <w:rPr>
          <w:rFonts w:cs="Arial"/>
          <w:lang w:val="en-GB"/>
        </w:rPr>
        <w:t xml:space="preserve"> </w:t>
      </w:r>
      <w:r w:rsidR="0011456F" w:rsidRPr="0011456F">
        <w:rPr>
          <w:lang w:val="en-GB"/>
        </w:rPr>
        <w:t xml:space="preserve">0 </w:t>
      </w:r>
      <w:r w:rsidR="0011456F" w:rsidRPr="0011456F">
        <w:rPr>
          <w:rFonts w:cs="Arial"/>
          <w:lang w:val="en-GB"/>
        </w:rPr>
        <w:t>°</w:t>
      </w:r>
      <w:r w:rsidR="0011456F" w:rsidRPr="0011456F">
        <w:rPr>
          <w:lang w:val="en-GB"/>
        </w:rPr>
        <w:t>C). These indicators were subsequently integrated with production data.</w:t>
      </w:r>
      <w:r w:rsidR="003C36C6">
        <w:rPr>
          <w:lang w:val="en-GB"/>
        </w:rPr>
        <w:t xml:space="preserve"> C</w:t>
      </w:r>
      <w:r w:rsidR="003C36C6" w:rsidRPr="003C36C6">
        <w:rPr>
          <w:lang w:val="en-GB"/>
        </w:rPr>
        <w:t>limatic data include the 2015/2016 growing season because citrus yield harvested in a given campaign (e.g., 2016/2017) is primarily determined by the agroclimatic conditions of the preceding season, when flowering, fruit set and early fruit development occur; therefore, each yield value was linked to the climatic indicators of the previous campaign.</w:t>
      </w:r>
    </w:p>
    <w:p w14:paraId="25B3A6C4" w14:textId="64337A3C" w:rsidR="008A7D02" w:rsidRPr="008A7D02" w:rsidRDefault="004A78E8" w:rsidP="008A7D02">
      <w:pPr>
        <w:pStyle w:val="CETheadingx"/>
      </w:pPr>
      <w:r>
        <w:t>Statistical analysis</w:t>
      </w:r>
    </w:p>
    <w:p w14:paraId="6514DF4E" w14:textId="563288EB" w:rsidR="00763BA0" w:rsidRPr="008A7D02" w:rsidRDefault="00763BA0" w:rsidP="00453E24">
      <w:pPr>
        <w:pStyle w:val="CETBodytext"/>
        <w:rPr>
          <w:lang w:val="en-GB"/>
        </w:rPr>
      </w:pPr>
      <w:r w:rsidRPr="00763BA0">
        <w:rPr>
          <w:lang w:val="en-GB"/>
        </w:rPr>
        <w:t>Statistical analyses were conducted using IBM SPSS Statistics (IBM Corp., Armonk, NY, USA). Raw production data from Sunaran’s Crop Management Records (cMR) were cleaned and validated using unique parcel identifiers. Production and yield variables were derived and aggregated by agricultural growing season (October–September), treated as a categorical variable. Descriptive statistics characterized interannual variability in production, yield and agroclimatic indicators. The relationship between climate variability and citrus yield was assessed using a multiple linear regression model</w:t>
      </w:r>
      <w:r w:rsidR="003C36C6">
        <w:rPr>
          <w:lang w:val="en-GB"/>
        </w:rPr>
        <w:t xml:space="preserve"> (MLR)</w:t>
      </w:r>
      <w:r w:rsidRPr="00763BA0">
        <w:rPr>
          <w:lang w:val="en-GB"/>
        </w:rPr>
        <w:t>, with seasonal yield (t ha</w:t>
      </w:r>
      <w:r w:rsidRPr="00763BA0">
        <w:rPr>
          <w:rFonts w:ascii="Cambria Math" w:hAnsi="Cambria Math" w:cs="Cambria Math"/>
          <w:lang w:val="en-GB"/>
        </w:rPr>
        <w:t>⁻</w:t>
      </w:r>
      <w:r w:rsidRPr="00763BA0">
        <w:rPr>
          <w:rFonts w:cs="Arial"/>
          <w:lang w:val="en-GB"/>
        </w:rPr>
        <w:t>¹</w:t>
      </w:r>
      <w:r w:rsidRPr="00763BA0">
        <w:rPr>
          <w:lang w:val="en-GB"/>
        </w:rPr>
        <w:t>) as the dependent variable and selected agroclimatic indicators as predictors. Model performance was evaluated using R</w:t>
      </w:r>
      <w:r w:rsidRPr="00763BA0">
        <w:rPr>
          <w:rFonts w:cs="Arial"/>
          <w:lang w:val="en-GB"/>
        </w:rPr>
        <w:t>²</w:t>
      </w:r>
      <w:r w:rsidRPr="00763BA0">
        <w:rPr>
          <w:lang w:val="en-GB"/>
        </w:rPr>
        <w:t>, RMSE, MAE and bias.</w:t>
      </w:r>
      <w:r w:rsidR="00702454" w:rsidRPr="00702454">
        <w:rPr>
          <w:lang w:val="en-GB"/>
        </w:rPr>
        <w:t xml:space="preserve"> The statistical significance of regression coefficients was assessed using Student’s </w:t>
      </w:r>
      <w:r w:rsidR="00702454" w:rsidRPr="00702454">
        <w:rPr>
          <w:i/>
          <w:iCs/>
          <w:lang w:val="en-GB"/>
        </w:rPr>
        <w:t>t</w:t>
      </w:r>
      <w:r w:rsidR="00702454" w:rsidRPr="00702454">
        <w:rPr>
          <w:lang w:val="en-GB"/>
        </w:rPr>
        <w:t xml:space="preserve">-tests within the </w:t>
      </w:r>
      <w:r w:rsidR="003C36C6">
        <w:rPr>
          <w:lang w:val="en-GB"/>
        </w:rPr>
        <w:t>MLR</w:t>
      </w:r>
      <w:r w:rsidR="00702454" w:rsidRPr="00702454">
        <w:rPr>
          <w:lang w:val="en-GB"/>
        </w:rPr>
        <w:t xml:space="preserve"> framework. Corresponding p-values were calculated for each predictor to evaluate their contribution to the model, adopting a significance level of α = 0.05.</w:t>
      </w:r>
    </w:p>
    <w:p w14:paraId="677EBFF0" w14:textId="3767D7A9" w:rsidR="00600535" w:rsidRPr="00B57B36" w:rsidRDefault="004A78E8" w:rsidP="00600535">
      <w:pPr>
        <w:pStyle w:val="CETHeading1"/>
        <w:tabs>
          <w:tab w:val="clear" w:pos="360"/>
          <w:tab w:val="right" w:pos="7100"/>
        </w:tabs>
        <w:jc w:val="both"/>
        <w:rPr>
          <w:lang w:val="en-GB"/>
        </w:rPr>
      </w:pPr>
      <w:r>
        <w:rPr>
          <w:lang w:val="en-GB"/>
        </w:rPr>
        <w:t xml:space="preserve">Results and discussion </w:t>
      </w:r>
    </w:p>
    <w:p w14:paraId="04963A06" w14:textId="57DEBFB8" w:rsidR="00600535" w:rsidRDefault="001F63BC" w:rsidP="00FA5F5F">
      <w:pPr>
        <w:pStyle w:val="CETheadingx"/>
      </w:pPr>
      <w:r>
        <w:t xml:space="preserve">Climate conditions and agroclimatics indicators </w:t>
      </w:r>
    </w:p>
    <w:p w14:paraId="7F7EC718" w14:textId="36C76963" w:rsidR="00AB792E" w:rsidRPr="00AB792E" w:rsidRDefault="00AB792E" w:rsidP="00AB792E">
      <w:pPr>
        <w:pStyle w:val="CETBodytext"/>
        <w:rPr>
          <w:lang w:val="en-GB"/>
        </w:rPr>
      </w:pPr>
      <w:r w:rsidRPr="00AB792E">
        <w:rPr>
          <w:lang w:val="en-GB"/>
        </w:rPr>
        <w:t xml:space="preserve">Figure 1 </w:t>
      </w:r>
      <w:r>
        <w:rPr>
          <w:lang w:val="en-GB"/>
        </w:rPr>
        <w:t xml:space="preserve">shows </w:t>
      </w:r>
      <w:r w:rsidRPr="00AB792E">
        <w:rPr>
          <w:lang w:val="en-GB"/>
        </w:rPr>
        <w:t xml:space="preserve">the interannual variability and long-term trend of annual precipitation in the Middle–Lower Guadalquivir region over the study period. </w:t>
      </w:r>
      <w:r w:rsidRPr="00F5117A">
        <w:t>Annual precipitation in the Middle–Lower Guadalquivir during the period 1995–202</w:t>
      </w:r>
      <w:r w:rsidR="00C36565">
        <w:t>4</w:t>
      </w:r>
      <w:r w:rsidRPr="00F5117A">
        <w:t xml:space="preserve"> averaged 520.8 mm, with a high interannual variability (standard deviation of 180.9 mm), reflecting the pronounced irregularity typical of Mediterranean climates. A negative linear trend of −</w:t>
      </w:r>
      <w:r w:rsidR="00270F48">
        <w:t>5,3</w:t>
      </w:r>
      <w:r w:rsidRPr="00F5117A">
        <w:t xml:space="preserve"> mm year</w:t>
      </w:r>
      <w:r w:rsidRPr="00F5117A">
        <w:rPr>
          <w:rFonts w:ascii="Cambria Math" w:hAnsi="Cambria Math" w:cs="Cambria Math"/>
        </w:rPr>
        <w:t>⁻</w:t>
      </w:r>
      <w:r w:rsidRPr="00F5117A">
        <w:rPr>
          <w:rFonts w:cs="Arial"/>
        </w:rPr>
        <w:t>¹</w:t>
      </w:r>
      <w:r w:rsidRPr="00F5117A">
        <w:t xml:space="preserve"> was detected, although statistical significance was marginal (p = 0.081), suggesting a progressive reduction in precipitation masked by strong year-to-year variability</w:t>
      </w:r>
      <w:r>
        <w:t xml:space="preserve">. </w:t>
      </w:r>
      <w:r w:rsidRPr="00F5117A">
        <w:t>The analysis of precipitation anomalies revealed an increasing recurrence of dry years after 2010, with particularly severe deficits in 2005, 2015 and 2023. This pattern reinforces the evidence of growing climatic aridity in the region, with direct implications for irrigated agriculture.</w:t>
      </w:r>
      <w:r>
        <w:t xml:space="preserve"> </w:t>
      </w:r>
      <w:r w:rsidRPr="00F5117A">
        <w:t xml:space="preserve">For citrus cultivation, these conditions imply a structural dependence on irrigation, as annual precipitation frequently fails to meet crop water requirements. The combination of declining rainfall trends, recurrent drought years and increasing evapotranspiration demand highlights the need for optimized </w:t>
      </w:r>
      <w:r w:rsidRPr="00F5117A">
        <w:lastRenderedPageBreak/>
        <w:t>irrigation scheduling and improved water-use efficiency to ensure the sustainability of citrus orchards in the Middle–Lower Guadalquivir.</w:t>
      </w:r>
    </w:p>
    <w:p w14:paraId="132A0317" w14:textId="77777777" w:rsidR="00AB792E" w:rsidRPr="00AB792E" w:rsidRDefault="00AB792E" w:rsidP="00AB792E">
      <w:pPr>
        <w:pStyle w:val="CETBodytext"/>
      </w:pPr>
    </w:p>
    <w:p w14:paraId="4C6C24EA" w14:textId="77777777" w:rsidR="00265327" w:rsidRDefault="00265327" w:rsidP="00265327">
      <w:pPr>
        <w:pStyle w:val="CETBodytext"/>
        <w:jc w:val="center"/>
        <w:rPr>
          <w:rStyle w:val="CETCaptionCarattere"/>
        </w:rPr>
      </w:pPr>
      <w:r w:rsidRPr="00265327">
        <w:rPr>
          <w:noProof/>
        </w:rPr>
        <w:drawing>
          <wp:inline distT="0" distB="0" distL="0" distR="0" wp14:anchorId="6DF7B976" wp14:editId="72ABFF54">
            <wp:extent cx="4419600" cy="2033620"/>
            <wp:effectExtent l="0" t="0" r="0" b="5080"/>
            <wp:docPr id="1556568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6822" cy="2041544"/>
                    </a:xfrm>
                    <a:prstGeom prst="rect">
                      <a:avLst/>
                    </a:prstGeom>
                    <a:noFill/>
                    <a:ln>
                      <a:noFill/>
                    </a:ln>
                  </pic:spPr>
                </pic:pic>
              </a:graphicData>
            </a:graphic>
          </wp:inline>
        </w:drawing>
      </w:r>
    </w:p>
    <w:p w14:paraId="75288D20" w14:textId="03BB8864" w:rsidR="00F5117A" w:rsidRDefault="00A117E4" w:rsidP="00265327">
      <w:pPr>
        <w:pStyle w:val="CETBodytext"/>
        <w:jc w:val="center"/>
      </w:pPr>
      <w:r w:rsidRPr="00BD077D">
        <w:rPr>
          <w:rStyle w:val="CETCaptionCarattere"/>
        </w:rPr>
        <w:t xml:space="preserve">Figure 1: </w:t>
      </w:r>
      <w:r w:rsidR="00AF5076" w:rsidRPr="00A748AC">
        <w:rPr>
          <w:i/>
          <w:iCs/>
        </w:rPr>
        <w:t>Trends in mean annual precipitation in the Middle–Lower Guadalquivir region based on data from the Regional Ministry of Sustainability and Environment (SECA, 2025).</w:t>
      </w:r>
    </w:p>
    <w:p w14:paraId="472AFD76" w14:textId="77777777" w:rsidR="004F2924" w:rsidRDefault="004F2924" w:rsidP="00F5117A">
      <w:pPr>
        <w:pStyle w:val="CETBodytext"/>
      </w:pPr>
    </w:p>
    <w:p w14:paraId="5FA54B28" w14:textId="60698BE6" w:rsidR="004F2924" w:rsidRPr="004F2924" w:rsidRDefault="004F2924" w:rsidP="00F5117A">
      <w:pPr>
        <w:pStyle w:val="CETBodytext"/>
        <w:rPr>
          <w:lang w:val="en-GB"/>
        </w:rPr>
      </w:pPr>
      <w:r w:rsidRPr="004F2924">
        <w:rPr>
          <w:lang w:val="en-GB"/>
        </w:rPr>
        <w:t>Table 1 summarizes the main climatic characteristics of the citrus growing seasons in Palma del Río during the period 2015/2016–2023/2024. The results highlight a pronounced interannual variability in precipitation, with cumulative values ranging from 353.0 mm to 639.6 mm. In contrast, cumulative reference evapotranspiration (ETo) remained consistently high across all seasons, varying between 1193.7</w:t>
      </w:r>
      <w:r w:rsidR="0015283A">
        <w:rPr>
          <w:lang w:val="en-GB"/>
        </w:rPr>
        <w:t xml:space="preserve"> </w:t>
      </w:r>
      <w:r w:rsidRPr="004F2924">
        <w:rPr>
          <w:lang w:val="en-GB"/>
        </w:rPr>
        <w:t xml:space="preserve">and 1361.6 mm, which indicates a persistent atmospheric water demand largely exceeding rainfall </w:t>
      </w:r>
      <w:r w:rsidR="0015283A" w:rsidRPr="004F2924">
        <w:rPr>
          <w:lang w:val="en-GB"/>
        </w:rPr>
        <w:t>input</w:t>
      </w:r>
      <w:r w:rsidRPr="004F2924">
        <w:rPr>
          <w:lang w:val="en-GB"/>
        </w:rPr>
        <w:t>.</w:t>
      </w:r>
      <w:r w:rsidR="00EE2CF5">
        <w:rPr>
          <w:lang w:val="en-GB"/>
        </w:rPr>
        <w:t xml:space="preserve"> </w:t>
      </w:r>
      <w:r w:rsidRPr="004F2924">
        <w:rPr>
          <w:lang w:val="en-GB"/>
        </w:rPr>
        <w:t>Mean air temperature showed relatively limited interannual fluctuations, with values between 17.07</w:t>
      </w:r>
      <w:r w:rsidR="0015283A">
        <w:rPr>
          <w:lang w:val="en-GB"/>
        </w:rPr>
        <w:t xml:space="preserve"> </w:t>
      </w:r>
      <w:r w:rsidRPr="004F2924">
        <w:rPr>
          <w:lang w:val="en-GB"/>
        </w:rPr>
        <w:t>and 19.12 °C. However, a slight increase in mean and maximum temperatures was observed in the most recent seasons, particularly in 2022/2023, when the highest mean maximum temperature (27.57 °C) was recorded. This thermal pattern suggests a progressive intensification of heat conditions during the citrus growing period.</w:t>
      </w:r>
      <w:r w:rsidR="00EE2CF5">
        <w:rPr>
          <w:lang w:val="en-GB"/>
        </w:rPr>
        <w:t xml:space="preserve"> </w:t>
      </w:r>
      <w:r w:rsidRPr="004F2924">
        <w:rPr>
          <w:lang w:val="en-GB"/>
        </w:rPr>
        <w:t>Relative humidity exhibited moderate variability among seasons, generally ranging from approximately 5</w:t>
      </w:r>
      <w:r w:rsidR="0015283A">
        <w:rPr>
          <w:lang w:val="en-GB"/>
        </w:rPr>
        <w:t>6</w:t>
      </w:r>
      <w:r w:rsidRPr="004F2924">
        <w:rPr>
          <w:lang w:val="en-GB"/>
        </w:rPr>
        <w:t xml:space="preserve"> to 67%, while mean solar radiation remained high throughout the study period (17.0–20.3 MJ m</w:t>
      </w:r>
      <w:r w:rsidRPr="004F2924">
        <w:rPr>
          <w:rFonts w:ascii="Cambria Math" w:hAnsi="Cambria Math" w:cs="Cambria Math"/>
          <w:lang w:val="en-GB"/>
        </w:rPr>
        <w:t>⁻</w:t>
      </w:r>
      <w:r w:rsidRPr="004F2924">
        <w:rPr>
          <w:rFonts w:cs="Arial"/>
          <w:lang w:val="en-GB"/>
        </w:rPr>
        <w:t>²</w:t>
      </w:r>
      <w:r w:rsidRPr="004F2924">
        <w:rPr>
          <w:lang w:val="en-GB"/>
        </w:rPr>
        <w:t xml:space="preserve"> day</w:t>
      </w:r>
      <w:r w:rsidRPr="004F2924">
        <w:rPr>
          <w:rFonts w:ascii="Cambria Math" w:hAnsi="Cambria Math" w:cs="Cambria Math"/>
          <w:lang w:val="en-GB"/>
        </w:rPr>
        <w:t>⁻</w:t>
      </w:r>
      <w:r w:rsidRPr="004F2924">
        <w:rPr>
          <w:rFonts w:cs="Arial"/>
          <w:lang w:val="en-GB"/>
        </w:rPr>
        <w:t>¹</w:t>
      </w:r>
      <w:r w:rsidRPr="004F2924">
        <w:rPr>
          <w:lang w:val="en-GB"/>
        </w:rPr>
        <w:t xml:space="preserve">), reflecting the strong radiative regime typical of southern Mediterranean environments. </w:t>
      </w:r>
      <w:r w:rsidR="00EE2CF5">
        <w:rPr>
          <w:lang w:val="en-GB"/>
        </w:rPr>
        <w:t xml:space="preserve"> </w:t>
      </w:r>
    </w:p>
    <w:p w14:paraId="67E4EF2B" w14:textId="28859880" w:rsidR="000A0C46" w:rsidRPr="00B57B36" w:rsidRDefault="00726AD6" w:rsidP="000A0C46">
      <w:pPr>
        <w:pStyle w:val="CETTabletitle"/>
      </w:pPr>
      <w:r>
        <w:t xml:space="preserve">Table </w:t>
      </w:r>
      <w:r>
        <w:fldChar w:fldCharType="begin"/>
      </w:r>
      <w:r>
        <w:instrText xml:space="preserve"> SEQ Table \* ARABIC </w:instrText>
      </w:r>
      <w:r>
        <w:fldChar w:fldCharType="separate"/>
      </w:r>
      <w:r w:rsidR="006A4E62">
        <w:rPr>
          <w:noProof/>
        </w:rPr>
        <w:t>1</w:t>
      </w:r>
      <w:r>
        <w:fldChar w:fldCharType="end"/>
      </w:r>
      <w:r w:rsidR="000A0C46">
        <w:t>:</w:t>
      </w:r>
      <w:r>
        <w:t xml:space="preserve"> </w:t>
      </w:r>
      <w:r w:rsidR="006A4E62" w:rsidRPr="006A4E62">
        <w:t>Climatic statistics by agricultural year (citrus growing season) in Palma del Río (Spain)</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098"/>
        <w:gridCol w:w="1098"/>
        <w:gridCol w:w="1099"/>
        <w:gridCol w:w="1098"/>
        <w:gridCol w:w="1098"/>
        <w:gridCol w:w="1099"/>
        <w:gridCol w:w="1098"/>
        <w:gridCol w:w="1099"/>
      </w:tblGrid>
      <w:tr w:rsidR="000A0C46" w:rsidRPr="00B57B36" w14:paraId="7BBCC64D" w14:textId="4749E6CC" w:rsidTr="00A117E4">
        <w:tc>
          <w:tcPr>
            <w:tcW w:w="1098" w:type="dxa"/>
            <w:tcBorders>
              <w:top w:val="single" w:sz="12" w:space="0" w:color="008000"/>
              <w:bottom w:val="single" w:sz="8" w:space="0" w:color="49701E"/>
            </w:tcBorders>
            <w:shd w:val="clear" w:color="auto" w:fill="FFFFFF"/>
          </w:tcPr>
          <w:p w14:paraId="54B840DA" w14:textId="2757C74B" w:rsidR="000A0C46" w:rsidRPr="00B57B36" w:rsidRDefault="000A0C46" w:rsidP="000A0C46">
            <w:pPr>
              <w:pStyle w:val="CETBodytext"/>
              <w:jc w:val="left"/>
              <w:rPr>
                <w:lang w:val="en-GB"/>
              </w:rPr>
            </w:pPr>
            <w:r w:rsidRPr="000A0C46">
              <w:rPr>
                <w:lang w:val="en-GB"/>
              </w:rPr>
              <w:t>Growing season</w:t>
            </w:r>
          </w:p>
        </w:tc>
        <w:tc>
          <w:tcPr>
            <w:tcW w:w="1098" w:type="dxa"/>
            <w:tcBorders>
              <w:top w:val="single" w:sz="12" w:space="0" w:color="008000"/>
              <w:bottom w:val="single" w:sz="8" w:space="0" w:color="49701E"/>
            </w:tcBorders>
          </w:tcPr>
          <w:p w14:paraId="76DD2D1B" w14:textId="01797FED" w:rsidR="000A0C46" w:rsidRPr="00B57B36" w:rsidRDefault="000A0C46" w:rsidP="000A0C46">
            <w:pPr>
              <w:pStyle w:val="CETBodytext"/>
              <w:jc w:val="left"/>
              <w:rPr>
                <w:lang w:val="en-GB"/>
              </w:rPr>
            </w:pPr>
            <w:r>
              <w:rPr>
                <w:lang w:val="es-ES"/>
              </w:rPr>
              <w:t>P</w:t>
            </w:r>
            <w:r w:rsidRPr="006A4E62">
              <w:rPr>
                <w:lang w:val="es-ES"/>
              </w:rPr>
              <w:t>recipitation (mm)</w:t>
            </w:r>
          </w:p>
        </w:tc>
        <w:tc>
          <w:tcPr>
            <w:tcW w:w="1099" w:type="dxa"/>
            <w:tcBorders>
              <w:top w:val="single" w:sz="12" w:space="0" w:color="008000"/>
              <w:bottom w:val="single" w:sz="8" w:space="0" w:color="49701E"/>
            </w:tcBorders>
            <w:shd w:val="clear" w:color="auto" w:fill="FFFFFF"/>
          </w:tcPr>
          <w:p w14:paraId="3B9CCB2E" w14:textId="540623D7" w:rsidR="000A0C46" w:rsidRPr="00B57B36" w:rsidRDefault="000A0C46" w:rsidP="000A0C46">
            <w:pPr>
              <w:pStyle w:val="CETBodytext"/>
              <w:jc w:val="left"/>
              <w:rPr>
                <w:lang w:val="en-GB"/>
              </w:rPr>
            </w:pPr>
            <w:r w:rsidRPr="006A4E62">
              <w:rPr>
                <w:lang w:val="es-ES"/>
              </w:rPr>
              <w:t>ETo (mm)</w:t>
            </w:r>
          </w:p>
        </w:tc>
        <w:tc>
          <w:tcPr>
            <w:tcW w:w="1098" w:type="dxa"/>
            <w:tcBorders>
              <w:top w:val="single" w:sz="12" w:space="0" w:color="008000"/>
              <w:bottom w:val="single" w:sz="8" w:space="0" w:color="49701E"/>
            </w:tcBorders>
          </w:tcPr>
          <w:p w14:paraId="508FFE2E" w14:textId="41A69C2E" w:rsidR="000A0C46" w:rsidRPr="000A0C46" w:rsidRDefault="000A0C46" w:rsidP="000A0C46">
            <w:pPr>
              <w:pStyle w:val="CETBodytext"/>
              <w:jc w:val="left"/>
              <w:rPr>
                <w:lang w:val="es-ES"/>
              </w:rPr>
            </w:pPr>
            <w:r w:rsidRPr="006A4E62">
              <w:rPr>
                <w:lang w:val="es-ES"/>
              </w:rPr>
              <w:t>Mean</w:t>
            </w:r>
            <w:r>
              <w:rPr>
                <w:lang w:val="es-ES"/>
              </w:rPr>
              <w:t xml:space="preserve"> </w:t>
            </w:r>
            <w:r w:rsidRPr="006A4E62">
              <w:rPr>
                <w:lang w:val="es-ES"/>
              </w:rPr>
              <w:t>temperature (°C)</w:t>
            </w:r>
          </w:p>
        </w:tc>
        <w:tc>
          <w:tcPr>
            <w:tcW w:w="1098" w:type="dxa"/>
            <w:tcBorders>
              <w:top w:val="single" w:sz="12" w:space="0" w:color="008000"/>
              <w:bottom w:val="single" w:sz="8" w:space="0" w:color="49701E"/>
            </w:tcBorders>
            <w:shd w:val="clear" w:color="auto" w:fill="FFFFFF"/>
          </w:tcPr>
          <w:p w14:paraId="092B7157" w14:textId="2A73F6CB" w:rsidR="000A0C46" w:rsidRPr="00B57B36" w:rsidRDefault="000A0C46" w:rsidP="000A0C46">
            <w:pPr>
              <w:pStyle w:val="CETBodytext"/>
              <w:jc w:val="left"/>
              <w:rPr>
                <w:lang w:val="en-GB"/>
              </w:rPr>
            </w:pPr>
            <w:r w:rsidRPr="006A4E62">
              <w:rPr>
                <w:lang w:val="es-ES"/>
              </w:rPr>
              <w:t>Mean max</w:t>
            </w:r>
            <w:r>
              <w:rPr>
                <w:lang w:val="es-ES"/>
              </w:rPr>
              <w:t xml:space="preserve">. </w:t>
            </w:r>
            <w:r w:rsidRPr="006A4E62">
              <w:rPr>
                <w:lang w:val="es-ES"/>
              </w:rPr>
              <w:t xml:space="preserve"> temperature (°C)</w:t>
            </w:r>
          </w:p>
        </w:tc>
        <w:tc>
          <w:tcPr>
            <w:tcW w:w="1099" w:type="dxa"/>
            <w:tcBorders>
              <w:top w:val="single" w:sz="12" w:space="0" w:color="008000"/>
              <w:bottom w:val="single" w:sz="8" w:space="0" w:color="49701E"/>
            </w:tcBorders>
            <w:shd w:val="clear" w:color="auto" w:fill="FFFFFF"/>
          </w:tcPr>
          <w:p w14:paraId="62A7D0F9" w14:textId="74095616" w:rsidR="000A0C46" w:rsidRPr="00B57B36" w:rsidRDefault="000A0C46" w:rsidP="000A0C46">
            <w:pPr>
              <w:pStyle w:val="CETBodytext"/>
              <w:ind w:right="-1"/>
              <w:jc w:val="left"/>
              <w:rPr>
                <w:rFonts w:cs="Arial"/>
                <w:szCs w:val="18"/>
                <w:lang w:val="en-GB"/>
              </w:rPr>
            </w:pPr>
            <w:r w:rsidRPr="006A4E62">
              <w:rPr>
                <w:lang w:val="es-ES"/>
              </w:rPr>
              <w:t>Mean min</w:t>
            </w:r>
            <w:r>
              <w:rPr>
                <w:lang w:val="es-ES"/>
              </w:rPr>
              <w:t xml:space="preserve">. </w:t>
            </w:r>
            <w:r w:rsidRPr="006A4E62">
              <w:rPr>
                <w:lang w:val="es-ES"/>
              </w:rPr>
              <w:t>temperature (°C)</w:t>
            </w:r>
          </w:p>
        </w:tc>
        <w:tc>
          <w:tcPr>
            <w:tcW w:w="1098" w:type="dxa"/>
            <w:tcBorders>
              <w:top w:val="single" w:sz="12" w:space="0" w:color="008000"/>
              <w:bottom w:val="single" w:sz="8" w:space="0" w:color="49701E"/>
            </w:tcBorders>
            <w:shd w:val="clear" w:color="auto" w:fill="FFFFFF"/>
          </w:tcPr>
          <w:p w14:paraId="733CD5ED" w14:textId="77777777" w:rsidR="00A117E4" w:rsidRDefault="000A0C46" w:rsidP="000A0C46">
            <w:pPr>
              <w:pStyle w:val="CETBodytext"/>
              <w:ind w:right="-1"/>
              <w:jc w:val="left"/>
              <w:rPr>
                <w:lang w:val="es-ES"/>
              </w:rPr>
            </w:pPr>
            <w:r w:rsidRPr="006A4E62">
              <w:rPr>
                <w:lang w:val="es-ES"/>
              </w:rPr>
              <w:t xml:space="preserve">Mean </w:t>
            </w:r>
          </w:p>
          <w:p w14:paraId="5B08CD67" w14:textId="46C4494C" w:rsidR="000A0C46" w:rsidRPr="00B57B36" w:rsidRDefault="000A0C46" w:rsidP="000A0C46">
            <w:pPr>
              <w:pStyle w:val="CETBodytext"/>
              <w:ind w:right="-1"/>
              <w:jc w:val="left"/>
              <w:rPr>
                <w:rFonts w:cs="Arial"/>
                <w:szCs w:val="18"/>
                <w:lang w:val="en-GB"/>
              </w:rPr>
            </w:pPr>
            <w:r>
              <w:rPr>
                <w:lang w:val="es-ES"/>
              </w:rPr>
              <w:t>RH</w:t>
            </w:r>
            <w:r w:rsidRPr="006A4E62">
              <w:rPr>
                <w:lang w:val="es-ES"/>
              </w:rPr>
              <w:t xml:space="preserve"> (%)</w:t>
            </w:r>
          </w:p>
        </w:tc>
        <w:tc>
          <w:tcPr>
            <w:tcW w:w="1099" w:type="dxa"/>
            <w:tcBorders>
              <w:top w:val="single" w:sz="12" w:space="0" w:color="008000"/>
              <w:bottom w:val="single" w:sz="8" w:space="0" w:color="49701E"/>
            </w:tcBorders>
          </w:tcPr>
          <w:p w14:paraId="79280B54" w14:textId="1C5C11AC" w:rsidR="000A0C46" w:rsidRPr="000A0C46" w:rsidRDefault="000A0C46" w:rsidP="000A0C46">
            <w:pPr>
              <w:pStyle w:val="CETBodytext"/>
              <w:ind w:right="-1"/>
              <w:jc w:val="left"/>
              <w:rPr>
                <w:lang w:val="en-GB"/>
              </w:rPr>
            </w:pPr>
            <w:r w:rsidRPr="006A4E62">
              <w:t>Mean solar radiation (MJ m</w:t>
            </w:r>
            <w:r w:rsidRPr="006A4E62">
              <w:rPr>
                <w:rFonts w:ascii="Cambria Math" w:hAnsi="Cambria Math" w:cs="Cambria Math"/>
              </w:rPr>
              <w:t>⁻</w:t>
            </w:r>
            <w:r w:rsidRPr="006A4E62">
              <w:rPr>
                <w:rFonts w:cs="Arial"/>
              </w:rPr>
              <w:t>²</w:t>
            </w:r>
            <w:r w:rsidRPr="006A4E62">
              <w:t xml:space="preserve"> day</w:t>
            </w:r>
            <w:r w:rsidRPr="006A4E62">
              <w:rPr>
                <w:rFonts w:ascii="Cambria Math" w:hAnsi="Cambria Math" w:cs="Cambria Math"/>
              </w:rPr>
              <w:t>⁻</w:t>
            </w:r>
            <w:r w:rsidRPr="006A4E62">
              <w:rPr>
                <w:rFonts w:cs="Arial"/>
              </w:rPr>
              <w:t>¹</w:t>
            </w:r>
            <w:r w:rsidRPr="006A4E62">
              <w:t>)</w:t>
            </w:r>
          </w:p>
        </w:tc>
      </w:tr>
      <w:tr w:rsidR="000A0C46" w:rsidRPr="00B57B36" w14:paraId="2663653E" w14:textId="77777777" w:rsidTr="00A117E4">
        <w:tc>
          <w:tcPr>
            <w:tcW w:w="1098" w:type="dxa"/>
            <w:tcBorders>
              <w:top w:val="single" w:sz="8" w:space="0" w:color="49701E"/>
              <w:bottom w:val="nil"/>
            </w:tcBorders>
            <w:shd w:val="clear" w:color="auto" w:fill="FFFFFF"/>
            <w:vAlign w:val="center"/>
          </w:tcPr>
          <w:p w14:paraId="7279D419" w14:textId="359F4EFC" w:rsidR="000A0C46" w:rsidRPr="000A0C46" w:rsidRDefault="000A0C46" w:rsidP="000A0C46">
            <w:pPr>
              <w:pStyle w:val="CETBodytext"/>
              <w:rPr>
                <w:lang w:val="en-GB"/>
              </w:rPr>
            </w:pPr>
            <w:r w:rsidRPr="006A4E62">
              <w:rPr>
                <w:lang w:val="es-ES"/>
              </w:rPr>
              <w:t>2015/2016</w:t>
            </w:r>
          </w:p>
        </w:tc>
        <w:tc>
          <w:tcPr>
            <w:tcW w:w="1098" w:type="dxa"/>
            <w:tcBorders>
              <w:top w:val="single" w:sz="8" w:space="0" w:color="49701E"/>
              <w:bottom w:val="nil"/>
            </w:tcBorders>
            <w:vAlign w:val="center"/>
          </w:tcPr>
          <w:p w14:paraId="46CABD97" w14:textId="3BA5E886" w:rsidR="000A0C46" w:rsidRPr="006A4E62" w:rsidRDefault="000A0C46" w:rsidP="000A0C46">
            <w:pPr>
              <w:pStyle w:val="CETBodytext"/>
              <w:rPr>
                <w:lang w:val="es-ES"/>
              </w:rPr>
            </w:pPr>
            <w:r w:rsidRPr="006A4E62">
              <w:rPr>
                <w:lang w:val="es-ES"/>
              </w:rPr>
              <w:t>359.8</w:t>
            </w:r>
          </w:p>
        </w:tc>
        <w:tc>
          <w:tcPr>
            <w:tcW w:w="1099" w:type="dxa"/>
            <w:tcBorders>
              <w:top w:val="single" w:sz="8" w:space="0" w:color="49701E"/>
              <w:bottom w:val="nil"/>
            </w:tcBorders>
            <w:shd w:val="clear" w:color="auto" w:fill="FFFFFF"/>
            <w:vAlign w:val="center"/>
          </w:tcPr>
          <w:p w14:paraId="6AD82318" w14:textId="66D62163" w:rsidR="000A0C46" w:rsidRPr="006A4E62" w:rsidRDefault="000A0C46" w:rsidP="000A0C46">
            <w:pPr>
              <w:pStyle w:val="CETBodytext"/>
              <w:rPr>
                <w:lang w:val="es-ES"/>
              </w:rPr>
            </w:pPr>
            <w:r w:rsidRPr="006A4E62">
              <w:rPr>
                <w:lang w:val="es-ES"/>
              </w:rPr>
              <w:t>1193.7</w:t>
            </w:r>
          </w:p>
        </w:tc>
        <w:tc>
          <w:tcPr>
            <w:tcW w:w="1098" w:type="dxa"/>
            <w:tcBorders>
              <w:top w:val="single" w:sz="8" w:space="0" w:color="49701E"/>
              <w:bottom w:val="nil"/>
            </w:tcBorders>
            <w:vAlign w:val="center"/>
          </w:tcPr>
          <w:p w14:paraId="00C73660" w14:textId="3FCBC275" w:rsidR="000A0C46" w:rsidRPr="006A4E62" w:rsidRDefault="000A0C46" w:rsidP="000A0C46">
            <w:pPr>
              <w:pStyle w:val="CETBodytext"/>
              <w:rPr>
                <w:lang w:val="es-ES"/>
              </w:rPr>
            </w:pPr>
            <w:r w:rsidRPr="006A4E62">
              <w:rPr>
                <w:lang w:val="es-ES"/>
              </w:rPr>
              <w:t>19.12</w:t>
            </w:r>
          </w:p>
        </w:tc>
        <w:tc>
          <w:tcPr>
            <w:tcW w:w="1098" w:type="dxa"/>
            <w:tcBorders>
              <w:top w:val="single" w:sz="8" w:space="0" w:color="49701E"/>
              <w:bottom w:val="nil"/>
            </w:tcBorders>
            <w:shd w:val="clear" w:color="auto" w:fill="FFFFFF"/>
            <w:vAlign w:val="center"/>
          </w:tcPr>
          <w:p w14:paraId="757DAEA7" w14:textId="06EFE723" w:rsidR="000A0C46" w:rsidRPr="006A4E62" w:rsidRDefault="000A0C46" w:rsidP="000A0C46">
            <w:pPr>
              <w:pStyle w:val="CETBodytext"/>
              <w:rPr>
                <w:lang w:val="es-ES"/>
              </w:rPr>
            </w:pPr>
            <w:r w:rsidRPr="006A4E62">
              <w:rPr>
                <w:lang w:val="es-ES"/>
              </w:rPr>
              <w:t>26.86</w:t>
            </w:r>
          </w:p>
        </w:tc>
        <w:tc>
          <w:tcPr>
            <w:tcW w:w="1099" w:type="dxa"/>
            <w:tcBorders>
              <w:top w:val="single" w:sz="8" w:space="0" w:color="49701E"/>
              <w:bottom w:val="nil"/>
            </w:tcBorders>
            <w:shd w:val="clear" w:color="auto" w:fill="FFFFFF"/>
            <w:vAlign w:val="center"/>
          </w:tcPr>
          <w:p w14:paraId="71A23C32" w14:textId="3C82DB05" w:rsidR="000A0C46" w:rsidRPr="006A4E62" w:rsidRDefault="000A0C46" w:rsidP="000A0C46">
            <w:pPr>
              <w:pStyle w:val="CETBodytext"/>
              <w:ind w:right="-1"/>
              <w:rPr>
                <w:lang w:val="es-ES"/>
              </w:rPr>
            </w:pPr>
            <w:r w:rsidRPr="006A4E62">
              <w:rPr>
                <w:lang w:val="es-ES"/>
              </w:rPr>
              <w:t>11.72</w:t>
            </w:r>
          </w:p>
        </w:tc>
        <w:tc>
          <w:tcPr>
            <w:tcW w:w="1098" w:type="dxa"/>
            <w:tcBorders>
              <w:top w:val="single" w:sz="8" w:space="0" w:color="49701E"/>
              <w:bottom w:val="nil"/>
            </w:tcBorders>
            <w:shd w:val="clear" w:color="auto" w:fill="FFFFFF"/>
            <w:vAlign w:val="center"/>
          </w:tcPr>
          <w:p w14:paraId="77EC3562" w14:textId="0319163A" w:rsidR="000A0C46" w:rsidRPr="006A4E62" w:rsidRDefault="000A0C46" w:rsidP="000A0C46">
            <w:pPr>
              <w:pStyle w:val="CETBodytext"/>
              <w:ind w:right="-1"/>
              <w:rPr>
                <w:lang w:val="es-ES"/>
              </w:rPr>
            </w:pPr>
            <w:r w:rsidRPr="006A4E62">
              <w:rPr>
                <w:lang w:val="es-ES"/>
              </w:rPr>
              <w:t>56.34</w:t>
            </w:r>
          </w:p>
        </w:tc>
        <w:tc>
          <w:tcPr>
            <w:tcW w:w="1099" w:type="dxa"/>
            <w:tcBorders>
              <w:top w:val="single" w:sz="8" w:space="0" w:color="49701E"/>
              <w:bottom w:val="nil"/>
            </w:tcBorders>
            <w:vAlign w:val="center"/>
          </w:tcPr>
          <w:p w14:paraId="3BC8EE1B" w14:textId="74766684" w:rsidR="000A0C46" w:rsidRPr="006A4E62" w:rsidRDefault="000A0C46" w:rsidP="000A0C46">
            <w:pPr>
              <w:pStyle w:val="CETBodytext"/>
              <w:ind w:right="-1"/>
            </w:pPr>
            <w:r w:rsidRPr="006A4E62">
              <w:rPr>
                <w:lang w:val="es-ES"/>
              </w:rPr>
              <w:t>20.27</w:t>
            </w:r>
          </w:p>
        </w:tc>
      </w:tr>
      <w:tr w:rsidR="000A0C46" w:rsidRPr="00B57B36" w14:paraId="2162C84F" w14:textId="77777777" w:rsidTr="00A117E4">
        <w:tc>
          <w:tcPr>
            <w:tcW w:w="1098" w:type="dxa"/>
            <w:tcBorders>
              <w:top w:val="nil"/>
              <w:bottom w:val="nil"/>
            </w:tcBorders>
            <w:shd w:val="clear" w:color="auto" w:fill="FFFFFF"/>
            <w:vAlign w:val="center"/>
          </w:tcPr>
          <w:p w14:paraId="080945ED" w14:textId="0A05ED4F" w:rsidR="000A0C46" w:rsidRPr="000A0C46" w:rsidRDefault="000A0C46" w:rsidP="000A0C46">
            <w:pPr>
              <w:pStyle w:val="CETBodytext"/>
              <w:rPr>
                <w:lang w:val="en-GB"/>
              </w:rPr>
            </w:pPr>
            <w:r w:rsidRPr="006A4E62">
              <w:rPr>
                <w:lang w:val="es-ES"/>
              </w:rPr>
              <w:t>2016/2017</w:t>
            </w:r>
          </w:p>
        </w:tc>
        <w:tc>
          <w:tcPr>
            <w:tcW w:w="1098" w:type="dxa"/>
            <w:tcBorders>
              <w:top w:val="nil"/>
              <w:bottom w:val="nil"/>
            </w:tcBorders>
            <w:vAlign w:val="center"/>
          </w:tcPr>
          <w:p w14:paraId="66CC3730" w14:textId="206DA760" w:rsidR="000A0C46" w:rsidRPr="006A4E62" w:rsidRDefault="000A0C46" w:rsidP="000A0C46">
            <w:pPr>
              <w:pStyle w:val="CETBodytext"/>
              <w:rPr>
                <w:lang w:val="es-ES"/>
              </w:rPr>
            </w:pPr>
            <w:r w:rsidRPr="006A4E62">
              <w:rPr>
                <w:lang w:val="es-ES"/>
              </w:rPr>
              <w:t>542.6</w:t>
            </w:r>
          </w:p>
        </w:tc>
        <w:tc>
          <w:tcPr>
            <w:tcW w:w="1099" w:type="dxa"/>
            <w:tcBorders>
              <w:top w:val="nil"/>
              <w:bottom w:val="nil"/>
            </w:tcBorders>
            <w:shd w:val="clear" w:color="auto" w:fill="FFFFFF"/>
            <w:vAlign w:val="center"/>
          </w:tcPr>
          <w:p w14:paraId="436E1F14" w14:textId="29BABFC7" w:rsidR="000A0C46" w:rsidRPr="006A4E62" w:rsidRDefault="000A0C46" w:rsidP="000A0C46">
            <w:pPr>
              <w:pStyle w:val="CETBodytext"/>
              <w:rPr>
                <w:lang w:val="es-ES"/>
              </w:rPr>
            </w:pPr>
            <w:r w:rsidRPr="006A4E62">
              <w:rPr>
                <w:lang w:val="es-ES"/>
              </w:rPr>
              <w:t>1284.7</w:t>
            </w:r>
          </w:p>
        </w:tc>
        <w:tc>
          <w:tcPr>
            <w:tcW w:w="1098" w:type="dxa"/>
            <w:tcBorders>
              <w:top w:val="nil"/>
              <w:bottom w:val="nil"/>
            </w:tcBorders>
            <w:vAlign w:val="center"/>
          </w:tcPr>
          <w:p w14:paraId="72AB18A8" w14:textId="7C5C0E14" w:rsidR="000A0C46" w:rsidRPr="006A4E62" w:rsidRDefault="000A0C46" w:rsidP="000A0C46">
            <w:pPr>
              <w:pStyle w:val="CETBodytext"/>
              <w:rPr>
                <w:lang w:val="es-ES"/>
              </w:rPr>
            </w:pPr>
            <w:r w:rsidRPr="006A4E62">
              <w:rPr>
                <w:lang w:val="es-ES"/>
              </w:rPr>
              <w:t>18.00</w:t>
            </w:r>
          </w:p>
        </w:tc>
        <w:tc>
          <w:tcPr>
            <w:tcW w:w="1098" w:type="dxa"/>
            <w:tcBorders>
              <w:top w:val="nil"/>
              <w:bottom w:val="nil"/>
            </w:tcBorders>
            <w:shd w:val="clear" w:color="auto" w:fill="FFFFFF"/>
            <w:vAlign w:val="center"/>
          </w:tcPr>
          <w:p w14:paraId="28DDCF6E" w14:textId="72951ED5" w:rsidR="000A0C46" w:rsidRPr="006A4E62" w:rsidRDefault="000A0C46" w:rsidP="000A0C46">
            <w:pPr>
              <w:pStyle w:val="CETBodytext"/>
              <w:rPr>
                <w:lang w:val="es-ES"/>
              </w:rPr>
            </w:pPr>
            <w:r w:rsidRPr="006A4E62">
              <w:rPr>
                <w:lang w:val="es-ES"/>
              </w:rPr>
              <w:t>26.29</w:t>
            </w:r>
          </w:p>
        </w:tc>
        <w:tc>
          <w:tcPr>
            <w:tcW w:w="1099" w:type="dxa"/>
            <w:tcBorders>
              <w:top w:val="nil"/>
              <w:bottom w:val="nil"/>
            </w:tcBorders>
            <w:shd w:val="clear" w:color="auto" w:fill="FFFFFF"/>
            <w:vAlign w:val="center"/>
          </w:tcPr>
          <w:p w14:paraId="606B861A" w14:textId="5DCCBE19" w:rsidR="000A0C46" w:rsidRPr="006A4E62" w:rsidRDefault="000A0C46" w:rsidP="000A0C46">
            <w:pPr>
              <w:pStyle w:val="CETBodytext"/>
              <w:ind w:right="-1"/>
              <w:rPr>
                <w:lang w:val="es-ES"/>
              </w:rPr>
            </w:pPr>
            <w:r w:rsidRPr="006A4E62">
              <w:rPr>
                <w:lang w:val="es-ES"/>
              </w:rPr>
              <w:t>10.72</w:t>
            </w:r>
          </w:p>
        </w:tc>
        <w:tc>
          <w:tcPr>
            <w:tcW w:w="1098" w:type="dxa"/>
            <w:tcBorders>
              <w:top w:val="nil"/>
              <w:bottom w:val="nil"/>
            </w:tcBorders>
            <w:shd w:val="clear" w:color="auto" w:fill="FFFFFF"/>
            <w:vAlign w:val="center"/>
          </w:tcPr>
          <w:p w14:paraId="180476CE" w14:textId="12A5B481" w:rsidR="000A0C46" w:rsidRPr="006A4E62" w:rsidRDefault="000A0C46" w:rsidP="000A0C46">
            <w:pPr>
              <w:pStyle w:val="CETBodytext"/>
              <w:ind w:right="-1"/>
              <w:rPr>
                <w:lang w:val="es-ES"/>
              </w:rPr>
            </w:pPr>
            <w:r w:rsidRPr="006A4E62">
              <w:rPr>
                <w:lang w:val="es-ES"/>
              </w:rPr>
              <w:t>64.89</w:t>
            </w:r>
          </w:p>
        </w:tc>
        <w:tc>
          <w:tcPr>
            <w:tcW w:w="1099" w:type="dxa"/>
            <w:tcBorders>
              <w:top w:val="nil"/>
              <w:bottom w:val="nil"/>
            </w:tcBorders>
            <w:vAlign w:val="center"/>
          </w:tcPr>
          <w:p w14:paraId="7E4E6AC3" w14:textId="7A0A7028" w:rsidR="000A0C46" w:rsidRPr="006A4E62" w:rsidRDefault="000A0C46" w:rsidP="000A0C46">
            <w:pPr>
              <w:pStyle w:val="CETBodytext"/>
              <w:ind w:right="-1"/>
            </w:pPr>
            <w:r w:rsidRPr="006A4E62">
              <w:rPr>
                <w:lang w:val="es-ES"/>
              </w:rPr>
              <w:t>17.17</w:t>
            </w:r>
          </w:p>
        </w:tc>
      </w:tr>
      <w:tr w:rsidR="000A0C46" w:rsidRPr="00B57B36" w14:paraId="19C22909" w14:textId="104792F3" w:rsidTr="00A117E4">
        <w:tc>
          <w:tcPr>
            <w:tcW w:w="1098" w:type="dxa"/>
            <w:tcBorders>
              <w:top w:val="nil"/>
              <w:bottom w:val="nil"/>
            </w:tcBorders>
            <w:shd w:val="clear" w:color="auto" w:fill="FFFFFF"/>
            <w:vAlign w:val="center"/>
          </w:tcPr>
          <w:p w14:paraId="141068AB" w14:textId="5721A23A" w:rsidR="000A0C46" w:rsidRPr="00B57B36" w:rsidRDefault="000A0C46" w:rsidP="000A0C46">
            <w:pPr>
              <w:pStyle w:val="CETBodytext"/>
              <w:rPr>
                <w:lang w:val="en-GB"/>
              </w:rPr>
            </w:pPr>
            <w:r w:rsidRPr="006A4E62">
              <w:rPr>
                <w:lang w:val="es-ES"/>
              </w:rPr>
              <w:t>2017/2018</w:t>
            </w:r>
          </w:p>
        </w:tc>
        <w:tc>
          <w:tcPr>
            <w:tcW w:w="1098" w:type="dxa"/>
            <w:tcBorders>
              <w:top w:val="nil"/>
              <w:bottom w:val="nil"/>
            </w:tcBorders>
            <w:vAlign w:val="center"/>
          </w:tcPr>
          <w:p w14:paraId="27F680B4" w14:textId="40596236" w:rsidR="000A0C46" w:rsidRPr="00B57B36" w:rsidRDefault="000A0C46" w:rsidP="000A0C46">
            <w:pPr>
              <w:pStyle w:val="CETBodytext"/>
              <w:rPr>
                <w:lang w:val="en-GB"/>
              </w:rPr>
            </w:pPr>
            <w:r w:rsidRPr="006A4E62">
              <w:rPr>
                <w:lang w:val="es-ES"/>
              </w:rPr>
              <w:t>639.6</w:t>
            </w:r>
          </w:p>
        </w:tc>
        <w:tc>
          <w:tcPr>
            <w:tcW w:w="1099" w:type="dxa"/>
            <w:tcBorders>
              <w:top w:val="nil"/>
              <w:bottom w:val="nil"/>
            </w:tcBorders>
            <w:shd w:val="clear" w:color="auto" w:fill="FFFFFF"/>
            <w:vAlign w:val="center"/>
          </w:tcPr>
          <w:p w14:paraId="548C22CA" w14:textId="401994F9" w:rsidR="000A0C46" w:rsidRPr="00B57B36" w:rsidRDefault="000A0C46" w:rsidP="000A0C46">
            <w:pPr>
              <w:pStyle w:val="CETBodytext"/>
              <w:rPr>
                <w:lang w:val="en-GB"/>
              </w:rPr>
            </w:pPr>
            <w:r w:rsidRPr="006A4E62">
              <w:rPr>
                <w:lang w:val="es-ES"/>
              </w:rPr>
              <w:t>1229.7</w:t>
            </w:r>
          </w:p>
        </w:tc>
        <w:tc>
          <w:tcPr>
            <w:tcW w:w="1098" w:type="dxa"/>
            <w:tcBorders>
              <w:top w:val="nil"/>
              <w:bottom w:val="nil"/>
            </w:tcBorders>
            <w:vAlign w:val="center"/>
          </w:tcPr>
          <w:p w14:paraId="737D8B37" w14:textId="3074E8C1" w:rsidR="000A0C46" w:rsidRPr="00B57B36" w:rsidRDefault="000A0C46" w:rsidP="000A0C46">
            <w:pPr>
              <w:pStyle w:val="CETBodytext"/>
              <w:rPr>
                <w:lang w:val="en-GB"/>
              </w:rPr>
            </w:pPr>
            <w:r w:rsidRPr="006A4E62">
              <w:rPr>
                <w:lang w:val="es-ES"/>
              </w:rPr>
              <w:t>17.07</w:t>
            </w:r>
          </w:p>
        </w:tc>
        <w:tc>
          <w:tcPr>
            <w:tcW w:w="1098" w:type="dxa"/>
            <w:tcBorders>
              <w:top w:val="nil"/>
              <w:bottom w:val="nil"/>
            </w:tcBorders>
            <w:shd w:val="clear" w:color="auto" w:fill="FFFFFF"/>
            <w:vAlign w:val="center"/>
          </w:tcPr>
          <w:p w14:paraId="1F1F81D7" w14:textId="1011F4DB" w:rsidR="000A0C46" w:rsidRPr="00B57B36" w:rsidRDefault="000A0C46" w:rsidP="000A0C46">
            <w:pPr>
              <w:pStyle w:val="CETBodytext"/>
              <w:rPr>
                <w:lang w:val="en-GB"/>
              </w:rPr>
            </w:pPr>
            <w:r w:rsidRPr="006A4E62">
              <w:rPr>
                <w:lang w:val="es-ES"/>
              </w:rPr>
              <w:t>25.11</w:t>
            </w:r>
          </w:p>
        </w:tc>
        <w:tc>
          <w:tcPr>
            <w:tcW w:w="1099" w:type="dxa"/>
            <w:tcBorders>
              <w:top w:val="nil"/>
              <w:bottom w:val="nil"/>
            </w:tcBorders>
            <w:shd w:val="clear" w:color="auto" w:fill="FFFFFF"/>
            <w:vAlign w:val="center"/>
          </w:tcPr>
          <w:p w14:paraId="16C4E282" w14:textId="1BEB26A4" w:rsidR="000A0C46" w:rsidRPr="00B57B36" w:rsidRDefault="000A0C46" w:rsidP="000A0C46">
            <w:pPr>
              <w:pStyle w:val="CETBodytext"/>
              <w:ind w:right="-1"/>
              <w:rPr>
                <w:rFonts w:cs="Arial"/>
                <w:szCs w:val="18"/>
                <w:lang w:val="en-GB"/>
              </w:rPr>
            </w:pPr>
            <w:r w:rsidRPr="006A4E62">
              <w:rPr>
                <w:lang w:val="es-ES"/>
              </w:rPr>
              <w:t>10.24</w:t>
            </w:r>
          </w:p>
        </w:tc>
        <w:tc>
          <w:tcPr>
            <w:tcW w:w="1098" w:type="dxa"/>
            <w:tcBorders>
              <w:top w:val="nil"/>
              <w:bottom w:val="nil"/>
            </w:tcBorders>
            <w:shd w:val="clear" w:color="auto" w:fill="FFFFFF"/>
            <w:vAlign w:val="center"/>
          </w:tcPr>
          <w:p w14:paraId="1A32610E" w14:textId="27361415" w:rsidR="000A0C46" w:rsidRPr="00B57B36" w:rsidRDefault="000A0C46" w:rsidP="000A0C46">
            <w:pPr>
              <w:pStyle w:val="CETBodytext"/>
              <w:ind w:right="-1"/>
              <w:rPr>
                <w:rFonts w:cs="Arial"/>
                <w:szCs w:val="18"/>
                <w:lang w:val="en-GB"/>
              </w:rPr>
            </w:pPr>
            <w:r w:rsidRPr="006A4E62">
              <w:rPr>
                <w:lang w:val="es-ES"/>
              </w:rPr>
              <w:t>67.01</w:t>
            </w:r>
          </w:p>
        </w:tc>
        <w:tc>
          <w:tcPr>
            <w:tcW w:w="1099" w:type="dxa"/>
            <w:tcBorders>
              <w:top w:val="nil"/>
              <w:bottom w:val="nil"/>
            </w:tcBorders>
            <w:vAlign w:val="center"/>
          </w:tcPr>
          <w:p w14:paraId="24DD2A74" w14:textId="60AD2D70" w:rsidR="000A0C46" w:rsidRPr="00B57B36" w:rsidRDefault="000A0C46" w:rsidP="000A0C46">
            <w:pPr>
              <w:pStyle w:val="CETBodytext"/>
              <w:ind w:right="-1"/>
              <w:rPr>
                <w:rFonts w:cs="Arial"/>
                <w:szCs w:val="18"/>
                <w:lang w:val="en-GB"/>
              </w:rPr>
            </w:pPr>
            <w:r w:rsidRPr="006A4E62">
              <w:rPr>
                <w:lang w:val="es-ES"/>
              </w:rPr>
              <w:t>17.45</w:t>
            </w:r>
          </w:p>
        </w:tc>
      </w:tr>
      <w:tr w:rsidR="00A117E4" w:rsidRPr="00B57B36" w14:paraId="1AA88B27" w14:textId="77777777" w:rsidTr="00A117E4">
        <w:tc>
          <w:tcPr>
            <w:tcW w:w="1098" w:type="dxa"/>
            <w:tcBorders>
              <w:top w:val="nil"/>
              <w:bottom w:val="nil"/>
            </w:tcBorders>
            <w:shd w:val="clear" w:color="auto" w:fill="FFFFFF"/>
            <w:vAlign w:val="center"/>
          </w:tcPr>
          <w:p w14:paraId="479772A7" w14:textId="13EC3D45" w:rsidR="000A0C46" w:rsidRPr="006A4E62" w:rsidRDefault="000A0C46" w:rsidP="000A0C46">
            <w:pPr>
              <w:pStyle w:val="CETBodytext"/>
              <w:rPr>
                <w:lang w:val="es-ES"/>
              </w:rPr>
            </w:pPr>
            <w:r w:rsidRPr="006A4E62">
              <w:rPr>
                <w:lang w:val="es-ES"/>
              </w:rPr>
              <w:t>2018/2019</w:t>
            </w:r>
          </w:p>
        </w:tc>
        <w:tc>
          <w:tcPr>
            <w:tcW w:w="1098" w:type="dxa"/>
            <w:tcBorders>
              <w:top w:val="nil"/>
              <w:bottom w:val="nil"/>
            </w:tcBorders>
            <w:vAlign w:val="center"/>
          </w:tcPr>
          <w:p w14:paraId="1816542D" w14:textId="68F72BD3" w:rsidR="000A0C46" w:rsidRPr="006A4E62" w:rsidRDefault="000A0C46" w:rsidP="000A0C46">
            <w:pPr>
              <w:pStyle w:val="CETBodytext"/>
              <w:rPr>
                <w:lang w:val="es-ES"/>
              </w:rPr>
            </w:pPr>
            <w:r w:rsidRPr="006A4E62">
              <w:rPr>
                <w:lang w:val="es-ES"/>
              </w:rPr>
              <w:t>383.2</w:t>
            </w:r>
          </w:p>
        </w:tc>
        <w:tc>
          <w:tcPr>
            <w:tcW w:w="1099" w:type="dxa"/>
            <w:tcBorders>
              <w:top w:val="nil"/>
              <w:bottom w:val="nil"/>
            </w:tcBorders>
            <w:shd w:val="clear" w:color="auto" w:fill="FFFFFF"/>
            <w:vAlign w:val="center"/>
          </w:tcPr>
          <w:p w14:paraId="2BA7FE38" w14:textId="6D591A7C" w:rsidR="000A0C46" w:rsidRPr="006A4E62" w:rsidRDefault="000A0C46" w:rsidP="000A0C46">
            <w:pPr>
              <w:pStyle w:val="CETBodytext"/>
              <w:rPr>
                <w:lang w:val="es-ES"/>
              </w:rPr>
            </w:pPr>
            <w:r w:rsidRPr="006A4E62">
              <w:rPr>
                <w:lang w:val="es-ES"/>
              </w:rPr>
              <w:t>1318.8</w:t>
            </w:r>
          </w:p>
        </w:tc>
        <w:tc>
          <w:tcPr>
            <w:tcW w:w="1098" w:type="dxa"/>
            <w:tcBorders>
              <w:top w:val="nil"/>
              <w:bottom w:val="nil"/>
            </w:tcBorders>
            <w:vAlign w:val="center"/>
          </w:tcPr>
          <w:p w14:paraId="66D062D6" w14:textId="0E5A0947" w:rsidR="000A0C46" w:rsidRPr="006A4E62" w:rsidRDefault="000A0C46" w:rsidP="000A0C46">
            <w:pPr>
              <w:pStyle w:val="CETBodytext"/>
              <w:rPr>
                <w:lang w:val="es-ES"/>
              </w:rPr>
            </w:pPr>
            <w:r w:rsidRPr="006A4E62">
              <w:rPr>
                <w:lang w:val="es-ES"/>
              </w:rPr>
              <w:t>17.49</w:t>
            </w:r>
          </w:p>
        </w:tc>
        <w:tc>
          <w:tcPr>
            <w:tcW w:w="1098" w:type="dxa"/>
            <w:tcBorders>
              <w:top w:val="nil"/>
              <w:bottom w:val="nil"/>
            </w:tcBorders>
            <w:shd w:val="clear" w:color="auto" w:fill="FFFFFF"/>
            <w:vAlign w:val="center"/>
          </w:tcPr>
          <w:p w14:paraId="636CAA4B" w14:textId="2F229095" w:rsidR="000A0C46" w:rsidRPr="006A4E62" w:rsidRDefault="000A0C46" w:rsidP="000A0C46">
            <w:pPr>
              <w:pStyle w:val="CETBodytext"/>
              <w:rPr>
                <w:lang w:val="es-ES"/>
              </w:rPr>
            </w:pPr>
            <w:r w:rsidRPr="006A4E62">
              <w:rPr>
                <w:lang w:val="es-ES"/>
              </w:rPr>
              <w:t>25.85</w:t>
            </w:r>
          </w:p>
        </w:tc>
        <w:tc>
          <w:tcPr>
            <w:tcW w:w="1099" w:type="dxa"/>
            <w:tcBorders>
              <w:top w:val="nil"/>
              <w:bottom w:val="nil"/>
            </w:tcBorders>
            <w:shd w:val="clear" w:color="auto" w:fill="FFFFFF"/>
            <w:vAlign w:val="center"/>
          </w:tcPr>
          <w:p w14:paraId="5ACDF76E" w14:textId="5C1168E9" w:rsidR="000A0C46" w:rsidRPr="006A4E62" w:rsidRDefault="000A0C46" w:rsidP="000A0C46">
            <w:pPr>
              <w:pStyle w:val="CETBodytext"/>
              <w:ind w:right="-1"/>
              <w:rPr>
                <w:lang w:val="es-ES"/>
              </w:rPr>
            </w:pPr>
            <w:r w:rsidRPr="006A4E62">
              <w:rPr>
                <w:lang w:val="es-ES"/>
              </w:rPr>
              <w:t>10.11</w:t>
            </w:r>
          </w:p>
        </w:tc>
        <w:tc>
          <w:tcPr>
            <w:tcW w:w="1098" w:type="dxa"/>
            <w:tcBorders>
              <w:top w:val="nil"/>
              <w:bottom w:val="nil"/>
            </w:tcBorders>
            <w:shd w:val="clear" w:color="auto" w:fill="FFFFFF"/>
            <w:vAlign w:val="center"/>
          </w:tcPr>
          <w:p w14:paraId="2A9A1E4A" w14:textId="22F2A91C" w:rsidR="000A0C46" w:rsidRPr="006A4E62" w:rsidRDefault="000A0C46" w:rsidP="000A0C46">
            <w:pPr>
              <w:pStyle w:val="CETBodytext"/>
              <w:ind w:right="-1"/>
              <w:rPr>
                <w:lang w:val="es-ES"/>
              </w:rPr>
            </w:pPr>
            <w:r w:rsidRPr="006A4E62">
              <w:rPr>
                <w:lang w:val="es-ES"/>
              </w:rPr>
              <w:t>64.76</w:t>
            </w:r>
          </w:p>
        </w:tc>
        <w:tc>
          <w:tcPr>
            <w:tcW w:w="1099" w:type="dxa"/>
            <w:tcBorders>
              <w:top w:val="nil"/>
              <w:bottom w:val="nil"/>
            </w:tcBorders>
            <w:vAlign w:val="center"/>
          </w:tcPr>
          <w:p w14:paraId="7588C2DD" w14:textId="524E5151" w:rsidR="000A0C46" w:rsidRPr="006A4E62" w:rsidRDefault="000A0C46" w:rsidP="000A0C46">
            <w:pPr>
              <w:pStyle w:val="CETBodytext"/>
              <w:ind w:right="-1"/>
              <w:rPr>
                <w:lang w:val="es-ES"/>
              </w:rPr>
            </w:pPr>
            <w:r w:rsidRPr="006A4E62">
              <w:rPr>
                <w:lang w:val="es-ES"/>
              </w:rPr>
              <w:t>18.09</w:t>
            </w:r>
          </w:p>
        </w:tc>
      </w:tr>
      <w:tr w:rsidR="00A117E4" w:rsidRPr="00B57B36" w14:paraId="65B3A5CD" w14:textId="77777777" w:rsidTr="00A117E4">
        <w:tc>
          <w:tcPr>
            <w:tcW w:w="1098" w:type="dxa"/>
            <w:tcBorders>
              <w:top w:val="nil"/>
              <w:bottom w:val="nil"/>
            </w:tcBorders>
            <w:shd w:val="clear" w:color="auto" w:fill="FFFFFF"/>
            <w:vAlign w:val="center"/>
          </w:tcPr>
          <w:p w14:paraId="36A2BAE3" w14:textId="21926878" w:rsidR="000A0C46" w:rsidRPr="006A4E62" w:rsidRDefault="000A0C46" w:rsidP="000A0C46">
            <w:pPr>
              <w:pStyle w:val="CETBodytext"/>
              <w:rPr>
                <w:lang w:val="es-ES"/>
              </w:rPr>
            </w:pPr>
            <w:r w:rsidRPr="006A4E62">
              <w:rPr>
                <w:lang w:val="es-ES"/>
              </w:rPr>
              <w:t>2019/2020</w:t>
            </w:r>
          </w:p>
        </w:tc>
        <w:tc>
          <w:tcPr>
            <w:tcW w:w="1098" w:type="dxa"/>
            <w:tcBorders>
              <w:top w:val="nil"/>
              <w:bottom w:val="nil"/>
            </w:tcBorders>
            <w:vAlign w:val="center"/>
          </w:tcPr>
          <w:p w14:paraId="1BE86691" w14:textId="08BE877C" w:rsidR="000A0C46" w:rsidRPr="006A4E62" w:rsidRDefault="000A0C46" w:rsidP="000A0C46">
            <w:pPr>
              <w:pStyle w:val="CETBodytext"/>
              <w:rPr>
                <w:lang w:val="es-ES"/>
              </w:rPr>
            </w:pPr>
            <w:r w:rsidRPr="006A4E62">
              <w:rPr>
                <w:lang w:val="es-ES"/>
              </w:rPr>
              <w:t>456.0</w:t>
            </w:r>
          </w:p>
        </w:tc>
        <w:tc>
          <w:tcPr>
            <w:tcW w:w="1099" w:type="dxa"/>
            <w:tcBorders>
              <w:top w:val="nil"/>
              <w:bottom w:val="nil"/>
            </w:tcBorders>
            <w:shd w:val="clear" w:color="auto" w:fill="FFFFFF"/>
            <w:vAlign w:val="center"/>
          </w:tcPr>
          <w:p w14:paraId="3DB382D2" w14:textId="106042E4" w:rsidR="000A0C46" w:rsidRPr="006A4E62" w:rsidRDefault="000A0C46" w:rsidP="000A0C46">
            <w:pPr>
              <w:pStyle w:val="CETBodytext"/>
              <w:rPr>
                <w:lang w:val="es-ES"/>
              </w:rPr>
            </w:pPr>
            <w:r w:rsidRPr="006A4E62">
              <w:rPr>
                <w:lang w:val="es-ES"/>
              </w:rPr>
              <w:t>1320.9</w:t>
            </w:r>
          </w:p>
        </w:tc>
        <w:tc>
          <w:tcPr>
            <w:tcW w:w="1098" w:type="dxa"/>
            <w:tcBorders>
              <w:top w:val="nil"/>
              <w:bottom w:val="nil"/>
            </w:tcBorders>
            <w:vAlign w:val="center"/>
          </w:tcPr>
          <w:p w14:paraId="2AAE8A55" w14:textId="57F2EA10" w:rsidR="000A0C46" w:rsidRPr="006A4E62" w:rsidRDefault="000A0C46" w:rsidP="000A0C46">
            <w:pPr>
              <w:pStyle w:val="CETBodytext"/>
              <w:rPr>
                <w:lang w:val="es-ES"/>
              </w:rPr>
            </w:pPr>
            <w:r w:rsidRPr="006A4E62">
              <w:rPr>
                <w:lang w:val="es-ES"/>
              </w:rPr>
              <w:t>18.41</w:t>
            </w:r>
          </w:p>
        </w:tc>
        <w:tc>
          <w:tcPr>
            <w:tcW w:w="1098" w:type="dxa"/>
            <w:tcBorders>
              <w:top w:val="nil"/>
              <w:bottom w:val="nil"/>
            </w:tcBorders>
            <w:shd w:val="clear" w:color="auto" w:fill="FFFFFF"/>
            <w:vAlign w:val="center"/>
          </w:tcPr>
          <w:p w14:paraId="04FDA2C5" w14:textId="1D0A3B5C" w:rsidR="000A0C46" w:rsidRPr="006A4E62" w:rsidRDefault="000A0C46" w:rsidP="000A0C46">
            <w:pPr>
              <w:pStyle w:val="CETBodytext"/>
              <w:rPr>
                <w:lang w:val="es-ES"/>
              </w:rPr>
            </w:pPr>
            <w:r w:rsidRPr="006A4E62">
              <w:rPr>
                <w:lang w:val="es-ES"/>
              </w:rPr>
              <w:t>26.42</w:t>
            </w:r>
          </w:p>
        </w:tc>
        <w:tc>
          <w:tcPr>
            <w:tcW w:w="1099" w:type="dxa"/>
            <w:tcBorders>
              <w:top w:val="nil"/>
              <w:bottom w:val="nil"/>
            </w:tcBorders>
            <w:shd w:val="clear" w:color="auto" w:fill="FFFFFF"/>
            <w:vAlign w:val="center"/>
          </w:tcPr>
          <w:p w14:paraId="115A0269" w14:textId="2C940034" w:rsidR="000A0C46" w:rsidRPr="006A4E62" w:rsidRDefault="000A0C46" w:rsidP="000A0C46">
            <w:pPr>
              <w:pStyle w:val="CETBodytext"/>
              <w:ind w:right="-1"/>
              <w:rPr>
                <w:lang w:val="es-ES"/>
              </w:rPr>
            </w:pPr>
            <w:r w:rsidRPr="006A4E62">
              <w:rPr>
                <w:lang w:val="es-ES"/>
              </w:rPr>
              <w:t>11.38</w:t>
            </w:r>
          </w:p>
        </w:tc>
        <w:tc>
          <w:tcPr>
            <w:tcW w:w="1098" w:type="dxa"/>
            <w:tcBorders>
              <w:top w:val="nil"/>
              <w:bottom w:val="nil"/>
            </w:tcBorders>
            <w:shd w:val="clear" w:color="auto" w:fill="FFFFFF"/>
            <w:vAlign w:val="center"/>
          </w:tcPr>
          <w:p w14:paraId="451B3B61" w14:textId="44D8A52E" w:rsidR="000A0C46" w:rsidRPr="006A4E62" w:rsidRDefault="000A0C46" w:rsidP="000A0C46">
            <w:pPr>
              <w:pStyle w:val="CETBodytext"/>
              <w:ind w:right="-1"/>
              <w:rPr>
                <w:lang w:val="es-ES"/>
              </w:rPr>
            </w:pPr>
            <w:r w:rsidRPr="006A4E62">
              <w:rPr>
                <w:lang w:val="es-ES"/>
              </w:rPr>
              <w:t>63.56</w:t>
            </w:r>
          </w:p>
        </w:tc>
        <w:tc>
          <w:tcPr>
            <w:tcW w:w="1099" w:type="dxa"/>
            <w:tcBorders>
              <w:top w:val="nil"/>
              <w:bottom w:val="nil"/>
            </w:tcBorders>
            <w:vAlign w:val="center"/>
          </w:tcPr>
          <w:p w14:paraId="40C1CBC9" w14:textId="4645AAD4" w:rsidR="000A0C46" w:rsidRPr="006A4E62" w:rsidRDefault="000A0C46" w:rsidP="000A0C46">
            <w:pPr>
              <w:pStyle w:val="CETBodytext"/>
              <w:ind w:right="-1"/>
              <w:rPr>
                <w:lang w:val="es-ES"/>
              </w:rPr>
            </w:pPr>
            <w:r w:rsidRPr="006A4E62">
              <w:rPr>
                <w:lang w:val="es-ES"/>
              </w:rPr>
              <w:t>17.04</w:t>
            </w:r>
          </w:p>
        </w:tc>
      </w:tr>
      <w:tr w:rsidR="00A117E4" w:rsidRPr="00B57B36" w14:paraId="5DF8E8F2" w14:textId="77777777" w:rsidTr="00A117E4">
        <w:tc>
          <w:tcPr>
            <w:tcW w:w="1098" w:type="dxa"/>
            <w:tcBorders>
              <w:top w:val="nil"/>
              <w:bottom w:val="nil"/>
            </w:tcBorders>
            <w:shd w:val="clear" w:color="auto" w:fill="FFFFFF"/>
            <w:vAlign w:val="center"/>
          </w:tcPr>
          <w:p w14:paraId="1ED3EB44" w14:textId="79B76E0A" w:rsidR="000A0C46" w:rsidRPr="006A4E62" w:rsidRDefault="000A0C46" w:rsidP="000A0C46">
            <w:pPr>
              <w:pStyle w:val="CETBodytext"/>
              <w:rPr>
                <w:lang w:val="es-ES"/>
              </w:rPr>
            </w:pPr>
            <w:r w:rsidRPr="006A4E62">
              <w:rPr>
                <w:lang w:val="es-ES"/>
              </w:rPr>
              <w:t>2020/2021</w:t>
            </w:r>
          </w:p>
        </w:tc>
        <w:tc>
          <w:tcPr>
            <w:tcW w:w="1098" w:type="dxa"/>
            <w:tcBorders>
              <w:top w:val="nil"/>
              <w:bottom w:val="nil"/>
            </w:tcBorders>
            <w:vAlign w:val="center"/>
          </w:tcPr>
          <w:p w14:paraId="42F54367" w14:textId="0D056C79" w:rsidR="000A0C46" w:rsidRPr="006A4E62" w:rsidRDefault="000A0C46" w:rsidP="000A0C46">
            <w:pPr>
              <w:pStyle w:val="CETBodytext"/>
              <w:rPr>
                <w:lang w:val="es-ES"/>
              </w:rPr>
            </w:pPr>
            <w:r w:rsidRPr="006A4E62">
              <w:rPr>
                <w:lang w:val="es-ES"/>
              </w:rPr>
              <w:t>412.4</w:t>
            </w:r>
          </w:p>
        </w:tc>
        <w:tc>
          <w:tcPr>
            <w:tcW w:w="1099" w:type="dxa"/>
            <w:tcBorders>
              <w:top w:val="nil"/>
              <w:bottom w:val="nil"/>
            </w:tcBorders>
            <w:shd w:val="clear" w:color="auto" w:fill="FFFFFF"/>
            <w:vAlign w:val="center"/>
          </w:tcPr>
          <w:p w14:paraId="5627ACFE" w14:textId="241F14BB" w:rsidR="000A0C46" w:rsidRPr="006A4E62" w:rsidRDefault="000A0C46" w:rsidP="000A0C46">
            <w:pPr>
              <w:pStyle w:val="CETBodytext"/>
              <w:rPr>
                <w:lang w:val="es-ES"/>
              </w:rPr>
            </w:pPr>
            <w:r w:rsidRPr="006A4E62">
              <w:rPr>
                <w:lang w:val="es-ES"/>
              </w:rPr>
              <w:t>1324.2</w:t>
            </w:r>
          </w:p>
        </w:tc>
        <w:tc>
          <w:tcPr>
            <w:tcW w:w="1098" w:type="dxa"/>
            <w:tcBorders>
              <w:top w:val="nil"/>
              <w:bottom w:val="nil"/>
            </w:tcBorders>
            <w:vAlign w:val="center"/>
          </w:tcPr>
          <w:p w14:paraId="4B247FAA" w14:textId="576B1B4E" w:rsidR="000A0C46" w:rsidRPr="006A4E62" w:rsidRDefault="000A0C46" w:rsidP="000A0C46">
            <w:pPr>
              <w:pStyle w:val="CETBodytext"/>
              <w:rPr>
                <w:lang w:val="es-ES"/>
              </w:rPr>
            </w:pPr>
            <w:r w:rsidRPr="006A4E62">
              <w:rPr>
                <w:lang w:val="es-ES"/>
              </w:rPr>
              <w:t>18.37</w:t>
            </w:r>
          </w:p>
        </w:tc>
        <w:tc>
          <w:tcPr>
            <w:tcW w:w="1098" w:type="dxa"/>
            <w:tcBorders>
              <w:top w:val="nil"/>
              <w:bottom w:val="nil"/>
            </w:tcBorders>
            <w:shd w:val="clear" w:color="auto" w:fill="FFFFFF"/>
            <w:vAlign w:val="center"/>
          </w:tcPr>
          <w:p w14:paraId="52426C1B" w14:textId="43036337" w:rsidR="000A0C46" w:rsidRPr="006A4E62" w:rsidRDefault="000A0C46" w:rsidP="000A0C46">
            <w:pPr>
              <w:pStyle w:val="CETBodytext"/>
              <w:rPr>
                <w:lang w:val="es-ES"/>
              </w:rPr>
            </w:pPr>
            <w:r w:rsidRPr="006A4E62">
              <w:rPr>
                <w:lang w:val="es-ES"/>
              </w:rPr>
              <w:t>26.39</w:t>
            </w:r>
          </w:p>
        </w:tc>
        <w:tc>
          <w:tcPr>
            <w:tcW w:w="1099" w:type="dxa"/>
            <w:tcBorders>
              <w:top w:val="nil"/>
              <w:bottom w:val="nil"/>
            </w:tcBorders>
            <w:shd w:val="clear" w:color="auto" w:fill="FFFFFF"/>
            <w:vAlign w:val="center"/>
          </w:tcPr>
          <w:p w14:paraId="593A2F5C" w14:textId="740213B0" w:rsidR="000A0C46" w:rsidRPr="006A4E62" w:rsidRDefault="000A0C46" w:rsidP="000A0C46">
            <w:pPr>
              <w:pStyle w:val="CETBodytext"/>
              <w:ind w:right="-1"/>
              <w:rPr>
                <w:lang w:val="es-ES"/>
              </w:rPr>
            </w:pPr>
            <w:r w:rsidRPr="006A4E62">
              <w:rPr>
                <w:lang w:val="es-ES"/>
              </w:rPr>
              <w:t>11.20</w:t>
            </w:r>
          </w:p>
        </w:tc>
        <w:tc>
          <w:tcPr>
            <w:tcW w:w="1098" w:type="dxa"/>
            <w:tcBorders>
              <w:top w:val="nil"/>
              <w:bottom w:val="nil"/>
            </w:tcBorders>
            <w:shd w:val="clear" w:color="auto" w:fill="FFFFFF"/>
            <w:vAlign w:val="center"/>
          </w:tcPr>
          <w:p w14:paraId="2837B750" w14:textId="0EBA378F" w:rsidR="000A0C46" w:rsidRPr="006A4E62" w:rsidRDefault="000A0C46" w:rsidP="000A0C46">
            <w:pPr>
              <w:pStyle w:val="CETBodytext"/>
              <w:ind w:right="-1"/>
              <w:rPr>
                <w:lang w:val="es-ES"/>
              </w:rPr>
            </w:pPr>
            <w:r w:rsidRPr="006A4E62">
              <w:rPr>
                <w:lang w:val="es-ES"/>
              </w:rPr>
              <w:t>67.14</w:t>
            </w:r>
          </w:p>
        </w:tc>
        <w:tc>
          <w:tcPr>
            <w:tcW w:w="1099" w:type="dxa"/>
            <w:tcBorders>
              <w:top w:val="nil"/>
              <w:bottom w:val="nil"/>
            </w:tcBorders>
            <w:vAlign w:val="center"/>
          </w:tcPr>
          <w:p w14:paraId="7C803833" w14:textId="18F21CBA" w:rsidR="000A0C46" w:rsidRPr="006A4E62" w:rsidRDefault="000A0C46" w:rsidP="000A0C46">
            <w:pPr>
              <w:pStyle w:val="CETBodytext"/>
              <w:ind w:right="-1"/>
              <w:rPr>
                <w:lang w:val="es-ES"/>
              </w:rPr>
            </w:pPr>
            <w:r w:rsidRPr="006A4E62">
              <w:rPr>
                <w:lang w:val="es-ES"/>
              </w:rPr>
              <w:t>18.18</w:t>
            </w:r>
          </w:p>
        </w:tc>
      </w:tr>
      <w:tr w:rsidR="00A117E4" w:rsidRPr="00B57B36" w14:paraId="5BD5CAE5" w14:textId="77777777" w:rsidTr="00A117E4">
        <w:tc>
          <w:tcPr>
            <w:tcW w:w="1098" w:type="dxa"/>
            <w:tcBorders>
              <w:top w:val="nil"/>
              <w:bottom w:val="nil"/>
            </w:tcBorders>
            <w:shd w:val="clear" w:color="auto" w:fill="FFFFFF"/>
            <w:vAlign w:val="center"/>
          </w:tcPr>
          <w:p w14:paraId="58220F2E" w14:textId="1B44D2C1" w:rsidR="000A0C46" w:rsidRPr="006A4E62" w:rsidRDefault="000A0C46" w:rsidP="000A0C46">
            <w:pPr>
              <w:pStyle w:val="CETBodytext"/>
              <w:rPr>
                <w:lang w:val="es-ES"/>
              </w:rPr>
            </w:pPr>
            <w:r w:rsidRPr="006A4E62">
              <w:rPr>
                <w:lang w:val="es-ES"/>
              </w:rPr>
              <w:t>2021/2022</w:t>
            </w:r>
          </w:p>
        </w:tc>
        <w:tc>
          <w:tcPr>
            <w:tcW w:w="1098" w:type="dxa"/>
            <w:tcBorders>
              <w:top w:val="nil"/>
              <w:bottom w:val="nil"/>
            </w:tcBorders>
            <w:vAlign w:val="center"/>
          </w:tcPr>
          <w:p w14:paraId="2DAD378C" w14:textId="3A55FF05" w:rsidR="000A0C46" w:rsidRPr="006A4E62" w:rsidRDefault="000A0C46" w:rsidP="000A0C46">
            <w:pPr>
              <w:pStyle w:val="CETBodytext"/>
              <w:rPr>
                <w:lang w:val="es-ES"/>
              </w:rPr>
            </w:pPr>
            <w:r w:rsidRPr="006A4E62">
              <w:rPr>
                <w:lang w:val="es-ES"/>
              </w:rPr>
              <w:t>353.0</w:t>
            </w:r>
          </w:p>
        </w:tc>
        <w:tc>
          <w:tcPr>
            <w:tcW w:w="1099" w:type="dxa"/>
            <w:tcBorders>
              <w:top w:val="nil"/>
              <w:bottom w:val="nil"/>
            </w:tcBorders>
            <w:shd w:val="clear" w:color="auto" w:fill="FFFFFF"/>
            <w:vAlign w:val="center"/>
          </w:tcPr>
          <w:p w14:paraId="6938B58C" w14:textId="1025328B" w:rsidR="000A0C46" w:rsidRPr="006A4E62" w:rsidRDefault="000A0C46" w:rsidP="000A0C46">
            <w:pPr>
              <w:pStyle w:val="CETBodytext"/>
              <w:rPr>
                <w:lang w:val="es-ES"/>
              </w:rPr>
            </w:pPr>
            <w:r w:rsidRPr="006A4E62">
              <w:rPr>
                <w:lang w:val="es-ES"/>
              </w:rPr>
              <w:t>1327.2</w:t>
            </w:r>
          </w:p>
        </w:tc>
        <w:tc>
          <w:tcPr>
            <w:tcW w:w="1098" w:type="dxa"/>
            <w:tcBorders>
              <w:top w:val="nil"/>
              <w:bottom w:val="nil"/>
            </w:tcBorders>
            <w:vAlign w:val="center"/>
          </w:tcPr>
          <w:p w14:paraId="3F99A4D6" w14:textId="7E10BC29" w:rsidR="000A0C46" w:rsidRPr="006A4E62" w:rsidRDefault="000A0C46" w:rsidP="000A0C46">
            <w:pPr>
              <w:pStyle w:val="CETBodytext"/>
              <w:rPr>
                <w:lang w:val="es-ES"/>
              </w:rPr>
            </w:pPr>
            <w:r w:rsidRPr="006A4E62">
              <w:rPr>
                <w:lang w:val="es-ES"/>
              </w:rPr>
              <w:t>18.18</w:t>
            </w:r>
          </w:p>
        </w:tc>
        <w:tc>
          <w:tcPr>
            <w:tcW w:w="1098" w:type="dxa"/>
            <w:tcBorders>
              <w:top w:val="nil"/>
              <w:bottom w:val="nil"/>
            </w:tcBorders>
            <w:shd w:val="clear" w:color="auto" w:fill="FFFFFF"/>
            <w:vAlign w:val="center"/>
          </w:tcPr>
          <w:p w14:paraId="04556B94" w14:textId="630F5D8A" w:rsidR="000A0C46" w:rsidRPr="006A4E62" w:rsidRDefault="000A0C46" w:rsidP="000A0C46">
            <w:pPr>
              <w:pStyle w:val="CETBodytext"/>
              <w:rPr>
                <w:lang w:val="es-ES"/>
              </w:rPr>
            </w:pPr>
            <w:r w:rsidRPr="006A4E62">
              <w:rPr>
                <w:lang w:val="es-ES"/>
              </w:rPr>
              <w:t>26.88</w:t>
            </w:r>
          </w:p>
        </w:tc>
        <w:tc>
          <w:tcPr>
            <w:tcW w:w="1099" w:type="dxa"/>
            <w:tcBorders>
              <w:top w:val="nil"/>
              <w:bottom w:val="nil"/>
            </w:tcBorders>
            <w:shd w:val="clear" w:color="auto" w:fill="FFFFFF"/>
            <w:vAlign w:val="center"/>
          </w:tcPr>
          <w:p w14:paraId="5C0CCB54" w14:textId="5F845FA8" w:rsidR="000A0C46" w:rsidRPr="006A4E62" w:rsidRDefault="000A0C46" w:rsidP="000A0C46">
            <w:pPr>
              <w:pStyle w:val="CETBodytext"/>
              <w:ind w:right="-1"/>
              <w:rPr>
                <w:lang w:val="es-ES"/>
              </w:rPr>
            </w:pPr>
            <w:r w:rsidRPr="006A4E62">
              <w:rPr>
                <w:lang w:val="es-ES"/>
              </w:rPr>
              <w:t>10.36</w:t>
            </w:r>
          </w:p>
        </w:tc>
        <w:tc>
          <w:tcPr>
            <w:tcW w:w="1098" w:type="dxa"/>
            <w:tcBorders>
              <w:top w:val="nil"/>
              <w:bottom w:val="nil"/>
            </w:tcBorders>
            <w:shd w:val="clear" w:color="auto" w:fill="FFFFFF"/>
            <w:vAlign w:val="center"/>
          </w:tcPr>
          <w:p w14:paraId="71E1490D" w14:textId="745698C7" w:rsidR="000A0C46" w:rsidRPr="006A4E62" w:rsidRDefault="000A0C46" w:rsidP="000A0C46">
            <w:pPr>
              <w:pStyle w:val="CETBodytext"/>
              <w:ind w:right="-1"/>
              <w:rPr>
                <w:lang w:val="es-ES"/>
              </w:rPr>
            </w:pPr>
            <w:r w:rsidRPr="006A4E62">
              <w:rPr>
                <w:lang w:val="es-ES"/>
              </w:rPr>
              <w:t>63.54</w:t>
            </w:r>
          </w:p>
        </w:tc>
        <w:tc>
          <w:tcPr>
            <w:tcW w:w="1099" w:type="dxa"/>
            <w:tcBorders>
              <w:top w:val="nil"/>
              <w:bottom w:val="nil"/>
            </w:tcBorders>
            <w:vAlign w:val="center"/>
          </w:tcPr>
          <w:p w14:paraId="6ABC7B5F" w14:textId="393007F3" w:rsidR="000A0C46" w:rsidRPr="006A4E62" w:rsidRDefault="000A0C46" w:rsidP="000A0C46">
            <w:pPr>
              <w:pStyle w:val="CETBodytext"/>
              <w:ind w:right="-1"/>
              <w:rPr>
                <w:lang w:val="es-ES"/>
              </w:rPr>
            </w:pPr>
            <w:r w:rsidRPr="006A4E62">
              <w:rPr>
                <w:lang w:val="es-ES"/>
              </w:rPr>
              <w:t>18.43</w:t>
            </w:r>
          </w:p>
        </w:tc>
      </w:tr>
      <w:tr w:rsidR="00A117E4" w:rsidRPr="00B57B36" w14:paraId="2DCB31C1" w14:textId="77777777" w:rsidTr="00A117E4">
        <w:tc>
          <w:tcPr>
            <w:tcW w:w="1098" w:type="dxa"/>
            <w:tcBorders>
              <w:top w:val="nil"/>
              <w:bottom w:val="nil"/>
            </w:tcBorders>
            <w:shd w:val="clear" w:color="auto" w:fill="FFFFFF"/>
            <w:vAlign w:val="center"/>
          </w:tcPr>
          <w:p w14:paraId="5F35142B" w14:textId="02ADC049" w:rsidR="000A0C46" w:rsidRPr="006A4E62" w:rsidRDefault="000A0C46" w:rsidP="000A0C46">
            <w:pPr>
              <w:pStyle w:val="CETBodytext"/>
              <w:rPr>
                <w:lang w:val="es-ES"/>
              </w:rPr>
            </w:pPr>
            <w:r w:rsidRPr="006A4E62">
              <w:rPr>
                <w:lang w:val="es-ES"/>
              </w:rPr>
              <w:t>2022/2023</w:t>
            </w:r>
          </w:p>
        </w:tc>
        <w:tc>
          <w:tcPr>
            <w:tcW w:w="1098" w:type="dxa"/>
            <w:tcBorders>
              <w:top w:val="nil"/>
              <w:bottom w:val="nil"/>
            </w:tcBorders>
            <w:vAlign w:val="center"/>
          </w:tcPr>
          <w:p w14:paraId="1253A81D" w14:textId="5EB65D2D" w:rsidR="000A0C46" w:rsidRPr="006A4E62" w:rsidRDefault="000A0C46" w:rsidP="000A0C46">
            <w:pPr>
              <w:pStyle w:val="CETBodytext"/>
              <w:rPr>
                <w:lang w:val="es-ES"/>
              </w:rPr>
            </w:pPr>
            <w:r w:rsidRPr="006A4E62">
              <w:rPr>
                <w:lang w:val="es-ES"/>
              </w:rPr>
              <w:t>438.0</w:t>
            </w:r>
          </w:p>
        </w:tc>
        <w:tc>
          <w:tcPr>
            <w:tcW w:w="1099" w:type="dxa"/>
            <w:tcBorders>
              <w:top w:val="nil"/>
              <w:bottom w:val="nil"/>
            </w:tcBorders>
            <w:shd w:val="clear" w:color="auto" w:fill="FFFFFF"/>
            <w:vAlign w:val="center"/>
          </w:tcPr>
          <w:p w14:paraId="2E6528FE" w14:textId="15216B15" w:rsidR="000A0C46" w:rsidRPr="006A4E62" w:rsidRDefault="000A0C46" w:rsidP="000A0C46">
            <w:pPr>
              <w:pStyle w:val="CETBodytext"/>
              <w:rPr>
                <w:lang w:val="es-ES"/>
              </w:rPr>
            </w:pPr>
            <w:r w:rsidRPr="006A4E62">
              <w:rPr>
                <w:lang w:val="es-ES"/>
              </w:rPr>
              <w:t>1361.6</w:t>
            </w:r>
          </w:p>
        </w:tc>
        <w:tc>
          <w:tcPr>
            <w:tcW w:w="1098" w:type="dxa"/>
            <w:tcBorders>
              <w:top w:val="nil"/>
              <w:bottom w:val="nil"/>
            </w:tcBorders>
            <w:vAlign w:val="center"/>
          </w:tcPr>
          <w:p w14:paraId="79E2648C" w14:textId="3E15C60B" w:rsidR="000A0C46" w:rsidRPr="006A4E62" w:rsidRDefault="000A0C46" w:rsidP="000A0C46">
            <w:pPr>
              <w:pStyle w:val="CETBodytext"/>
              <w:rPr>
                <w:lang w:val="es-ES"/>
              </w:rPr>
            </w:pPr>
            <w:r w:rsidRPr="006A4E62">
              <w:rPr>
                <w:lang w:val="es-ES"/>
              </w:rPr>
              <w:t>18.89</w:t>
            </w:r>
          </w:p>
        </w:tc>
        <w:tc>
          <w:tcPr>
            <w:tcW w:w="1098" w:type="dxa"/>
            <w:tcBorders>
              <w:top w:val="nil"/>
              <w:bottom w:val="nil"/>
            </w:tcBorders>
            <w:shd w:val="clear" w:color="auto" w:fill="FFFFFF"/>
            <w:vAlign w:val="center"/>
          </w:tcPr>
          <w:p w14:paraId="7D384B9D" w14:textId="645B5D6D" w:rsidR="000A0C46" w:rsidRPr="006A4E62" w:rsidRDefault="000A0C46" w:rsidP="000A0C46">
            <w:pPr>
              <w:pStyle w:val="CETBodytext"/>
              <w:rPr>
                <w:lang w:val="es-ES"/>
              </w:rPr>
            </w:pPr>
            <w:r w:rsidRPr="006A4E62">
              <w:rPr>
                <w:lang w:val="es-ES"/>
              </w:rPr>
              <w:t>27.57</w:t>
            </w:r>
          </w:p>
        </w:tc>
        <w:tc>
          <w:tcPr>
            <w:tcW w:w="1099" w:type="dxa"/>
            <w:tcBorders>
              <w:top w:val="nil"/>
              <w:bottom w:val="nil"/>
            </w:tcBorders>
            <w:shd w:val="clear" w:color="auto" w:fill="FFFFFF"/>
            <w:vAlign w:val="center"/>
          </w:tcPr>
          <w:p w14:paraId="73B9B081" w14:textId="201BF8BD" w:rsidR="000A0C46" w:rsidRPr="006A4E62" w:rsidRDefault="000A0C46" w:rsidP="000A0C46">
            <w:pPr>
              <w:pStyle w:val="CETBodytext"/>
              <w:ind w:right="-1"/>
              <w:rPr>
                <w:lang w:val="es-ES"/>
              </w:rPr>
            </w:pPr>
            <w:r w:rsidRPr="006A4E62">
              <w:rPr>
                <w:lang w:val="es-ES"/>
              </w:rPr>
              <w:t>10.87</w:t>
            </w:r>
          </w:p>
        </w:tc>
        <w:tc>
          <w:tcPr>
            <w:tcW w:w="1098" w:type="dxa"/>
            <w:tcBorders>
              <w:top w:val="nil"/>
              <w:bottom w:val="nil"/>
            </w:tcBorders>
            <w:shd w:val="clear" w:color="auto" w:fill="FFFFFF"/>
            <w:vAlign w:val="center"/>
          </w:tcPr>
          <w:p w14:paraId="35B5496A" w14:textId="6C2231D7" w:rsidR="000A0C46" w:rsidRPr="006A4E62" w:rsidRDefault="000A0C46" w:rsidP="000A0C46">
            <w:pPr>
              <w:pStyle w:val="CETBodytext"/>
              <w:ind w:right="-1"/>
              <w:rPr>
                <w:lang w:val="es-ES"/>
              </w:rPr>
            </w:pPr>
            <w:r w:rsidRPr="006A4E62">
              <w:rPr>
                <w:lang w:val="es-ES"/>
              </w:rPr>
              <w:t>58.98</w:t>
            </w:r>
          </w:p>
        </w:tc>
        <w:tc>
          <w:tcPr>
            <w:tcW w:w="1099" w:type="dxa"/>
            <w:tcBorders>
              <w:top w:val="nil"/>
              <w:bottom w:val="nil"/>
            </w:tcBorders>
            <w:vAlign w:val="center"/>
          </w:tcPr>
          <w:p w14:paraId="06CE276D" w14:textId="76DEF45F" w:rsidR="000A0C46" w:rsidRPr="006A4E62" w:rsidRDefault="000A0C46" w:rsidP="000A0C46">
            <w:pPr>
              <w:pStyle w:val="CETBodytext"/>
              <w:ind w:right="-1"/>
              <w:rPr>
                <w:lang w:val="es-ES"/>
              </w:rPr>
            </w:pPr>
            <w:r w:rsidRPr="006A4E62">
              <w:rPr>
                <w:lang w:val="es-ES"/>
              </w:rPr>
              <w:t>18.47</w:t>
            </w:r>
          </w:p>
        </w:tc>
      </w:tr>
      <w:tr w:rsidR="000A0C46" w:rsidRPr="00B57B36" w14:paraId="7D69180C" w14:textId="53B26421" w:rsidTr="00A117E4">
        <w:tc>
          <w:tcPr>
            <w:tcW w:w="1098" w:type="dxa"/>
            <w:tcBorders>
              <w:top w:val="nil"/>
            </w:tcBorders>
            <w:shd w:val="clear" w:color="auto" w:fill="FFFFFF"/>
            <w:vAlign w:val="center"/>
          </w:tcPr>
          <w:p w14:paraId="48ACF4AB" w14:textId="07153C57" w:rsidR="000A0C46" w:rsidRPr="00B57B36" w:rsidRDefault="000A0C46" w:rsidP="000A0C46">
            <w:pPr>
              <w:pStyle w:val="CETBodytext"/>
              <w:ind w:right="-1"/>
              <w:rPr>
                <w:rFonts w:cs="Arial"/>
                <w:szCs w:val="18"/>
                <w:lang w:val="en-GB"/>
              </w:rPr>
            </w:pPr>
            <w:r w:rsidRPr="006A4E62">
              <w:rPr>
                <w:lang w:val="es-ES"/>
              </w:rPr>
              <w:t>2023/2024</w:t>
            </w:r>
          </w:p>
        </w:tc>
        <w:tc>
          <w:tcPr>
            <w:tcW w:w="1098" w:type="dxa"/>
            <w:tcBorders>
              <w:top w:val="nil"/>
            </w:tcBorders>
            <w:vAlign w:val="center"/>
          </w:tcPr>
          <w:p w14:paraId="3A46A585" w14:textId="54B87E4A" w:rsidR="000A0C46" w:rsidRPr="00B57B36" w:rsidRDefault="000A0C46" w:rsidP="000A0C46">
            <w:pPr>
              <w:pStyle w:val="CETBodytext"/>
              <w:ind w:right="-1"/>
              <w:rPr>
                <w:rFonts w:cs="Arial"/>
                <w:szCs w:val="18"/>
                <w:lang w:val="en-GB"/>
              </w:rPr>
            </w:pPr>
            <w:r w:rsidRPr="006A4E62">
              <w:rPr>
                <w:lang w:val="es-ES"/>
              </w:rPr>
              <w:t>568.6</w:t>
            </w:r>
          </w:p>
        </w:tc>
        <w:tc>
          <w:tcPr>
            <w:tcW w:w="1099" w:type="dxa"/>
            <w:tcBorders>
              <w:top w:val="nil"/>
            </w:tcBorders>
            <w:shd w:val="clear" w:color="auto" w:fill="FFFFFF"/>
            <w:vAlign w:val="center"/>
          </w:tcPr>
          <w:p w14:paraId="2E331904" w14:textId="44D1CEEC" w:rsidR="000A0C46" w:rsidRPr="00B57B36" w:rsidRDefault="000A0C46" w:rsidP="000A0C46">
            <w:pPr>
              <w:pStyle w:val="CETBodytext"/>
              <w:ind w:right="-1"/>
              <w:rPr>
                <w:rFonts w:cs="Arial"/>
                <w:szCs w:val="18"/>
                <w:lang w:val="en-GB"/>
              </w:rPr>
            </w:pPr>
            <w:r w:rsidRPr="006A4E62">
              <w:rPr>
                <w:lang w:val="es-ES"/>
              </w:rPr>
              <w:t>1307.1</w:t>
            </w:r>
          </w:p>
        </w:tc>
        <w:tc>
          <w:tcPr>
            <w:tcW w:w="1098" w:type="dxa"/>
            <w:tcBorders>
              <w:top w:val="nil"/>
            </w:tcBorders>
            <w:vAlign w:val="center"/>
          </w:tcPr>
          <w:p w14:paraId="2B3085D3" w14:textId="3FFC1F1B" w:rsidR="000A0C46" w:rsidRPr="00B57B36" w:rsidRDefault="000A0C46" w:rsidP="000A0C46">
            <w:pPr>
              <w:pStyle w:val="CETBodytext"/>
              <w:ind w:right="-1"/>
              <w:rPr>
                <w:rFonts w:cs="Arial"/>
                <w:szCs w:val="18"/>
                <w:lang w:val="en-GB"/>
              </w:rPr>
            </w:pPr>
            <w:r w:rsidRPr="006A4E62">
              <w:rPr>
                <w:lang w:val="es-ES"/>
              </w:rPr>
              <w:t>18.14</w:t>
            </w:r>
          </w:p>
        </w:tc>
        <w:tc>
          <w:tcPr>
            <w:tcW w:w="1098" w:type="dxa"/>
            <w:tcBorders>
              <w:top w:val="nil"/>
            </w:tcBorders>
            <w:shd w:val="clear" w:color="auto" w:fill="FFFFFF"/>
            <w:vAlign w:val="center"/>
          </w:tcPr>
          <w:p w14:paraId="79538092" w14:textId="464233D0" w:rsidR="000A0C46" w:rsidRPr="00B57B36" w:rsidRDefault="000A0C46" w:rsidP="000A0C46">
            <w:pPr>
              <w:pStyle w:val="CETBodytext"/>
              <w:ind w:right="-1"/>
              <w:rPr>
                <w:rFonts w:cs="Arial"/>
                <w:szCs w:val="18"/>
                <w:lang w:val="en-GB"/>
              </w:rPr>
            </w:pPr>
            <w:r w:rsidRPr="006A4E62">
              <w:rPr>
                <w:lang w:val="es-ES"/>
              </w:rPr>
              <w:t>26.47</w:t>
            </w:r>
          </w:p>
        </w:tc>
        <w:tc>
          <w:tcPr>
            <w:tcW w:w="1099" w:type="dxa"/>
            <w:tcBorders>
              <w:top w:val="nil"/>
            </w:tcBorders>
            <w:shd w:val="clear" w:color="auto" w:fill="FFFFFF"/>
            <w:vAlign w:val="center"/>
          </w:tcPr>
          <w:p w14:paraId="1378643E" w14:textId="74CA86B4" w:rsidR="000A0C46" w:rsidRPr="00B57B36" w:rsidRDefault="000A0C46" w:rsidP="000A0C46">
            <w:pPr>
              <w:pStyle w:val="CETBodytext"/>
              <w:ind w:right="-1"/>
              <w:rPr>
                <w:rFonts w:cs="Arial"/>
                <w:szCs w:val="18"/>
                <w:lang w:val="en-GB"/>
              </w:rPr>
            </w:pPr>
            <w:r w:rsidRPr="006A4E62">
              <w:rPr>
                <w:lang w:val="es-ES"/>
              </w:rPr>
              <w:t>10.62</w:t>
            </w:r>
          </w:p>
        </w:tc>
        <w:tc>
          <w:tcPr>
            <w:tcW w:w="1098" w:type="dxa"/>
            <w:tcBorders>
              <w:top w:val="nil"/>
            </w:tcBorders>
            <w:shd w:val="clear" w:color="auto" w:fill="FFFFFF"/>
            <w:vAlign w:val="center"/>
          </w:tcPr>
          <w:p w14:paraId="0CAA541A" w14:textId="189EA6EC" w:rsidR="000A0C46" w:rsidRPr="00B57B36" w:rsidRDefault="000A0C46" w:rsidP="000A0C46">
            <w:pPr>
              <w:pStyle w:val="CETBodytext"/>
              <w:ind w:right="-1"/>
              <w:rPr>
                <w:rFonts w:cs="Arial"/>
                <w:szCs w:val="18"/>
                <w:lang w:val="en-GB"/>
              </w:rPr>
            </w:pPr>
            <w:r w:rsidRPr="006A4E62">
              <w:rPr>
                <w:lang w:val="es-ES"/>
              </w:rPr>
              <w:t>66.71</w:t>
            </w:r>
          </w:p>
        </w:tc>
        <w:tc>
          <w:tcPr>
            <w:tcW w:w="1099" w:type="dxa"/>
            <w:tcBorders>
              <w:top w:val="nil"/>
            </w:tcBorders>
            <w:vAlign w:val="center"/>
          </w:tcPr>
          <w:p w14:paraId="7DB82478" w14:textId="19766535" w:rsidR="000A0C46" w:rsidRPr="00B57B36" w:rsidRDefault="000A0C46" w:rsidP="000A0C46">
            <w:pPr>
              <w:pStyle w:val="CETBodytext"/>
              <w:ind w:right="-1"/>
              <w:rPr>
                <w:rFonts w:cs="Arial"/>
                <w:szCs w:val="18"/>
                <w:lang w:val="en-GB"/>
              </w:rPr>
            </w:pPr>
            <w:r w:rsidRPr="006A4E62">
              <w:rPr>
                <w:lang w:val="es-ES"/>
              </w:rPr>
              <w:t>17.89</w:t>
            </w:r>
          </w:p>
        </w:tc>
      </w:tr>
    </w:tbl>
    <w:p w14:paraId="6D14DC8B" w14:textId="786AAA09" w:rsidR="006848A7" w:rsidRPr="006848A7" w:rsidRDefault="006848A7" w:rsidP="00A748AC">
      <w:pPr>
        <w:pStyle w:val="CETTabletitle"/>
        <w:spacing w:before="0"/>
        <w:jc w:val="both"/>
      </w:pPr>
      <w:r w:rsidRPr="006848A7">
        <w:rPr>
          <w:b/>
          <w:bCs/>
        </w:rPr>
        <w:t>Note:</w:t>
      </w:r>
      <w:r w:rsidRPr="006848A7">
        <w:t xml:space="preserve"> ETo, reference evapotranspiration; RH, relative humidity. Values correspond to the growing season. Growing season defined from October to September</w:t>
      </w:r>
    </w:p>
    <w:p w14:paraId="62CE3DFA" w14:textId="0916D638" w:rsidR="00AB792E" w:rsidRPr="0015283A" w:rsidRDefault="00AB792E" w:rsidP="00AB792E">
      <w:pPr>
        <w:pStyle w:val="CETTabletitle"/>
        <w:jc w:val="both"/>
        <w:rPr>
          <w:i w:val="0"/>
          <w:iCs/>
        </w:rPr>
      </w:pPr>
      <w:r w:rsidRPr="0015283A">
        <w:rPr>
          <w:i w:val="0"/>
          <w:iCs/>
        </w:rPr>
        <w:t xml:space="preserve">Table 2 presents the main agroclimatic indicators derived for citrus growing seasons in Palma del Río. All seasons exhibited a marked negative climatic water balance, with </w:t>
      </w:r>
      <w:r w:rsidR="003C36C6">
        <w:rPr>
          <w:i w:val="0"/>
          <w:iCs/>
        </w:rPr>
        <w:t>CWD</w:t>
      </w:r>
      <w:r w:rsidRPr="0015283A">
        <w:rPr>
          <w:i w:val="0"/>
          <w:iCs/>
        </w:rPr>
        <w:t xml:space="preserve"> ranging from −590.1 mm to −981.6 mm. These consistently negative values confirm the existence of a structural water deficit, in which precipitation is systematically insufficient to offset atmospheric evaporative demand, reinforcing the reliance of citrus production on irrigation. GDD</w:t>
      </w:r>
      <w:r w:rsidR="00003ED2">
        <w:rPr>
          <w:i w:val="0"/>
          <w:iCs/>
        </w:rPr>
        <w:t xml:space="preserve"> </w:t>
      </w:r>
      <w:r w:rsidRPr="0015283A">
        <w:rPr>
          <w:i w:val="0"/>
          <w:iCs/>
        </w:rPr>
        <w:t>showed substantial interannual variability, with values spanning from 2087.2</w:t>
      </w:r>
      <w:r w:rsidR="00FC21CF">
        <w:rPr>
          <w:i w:val="0"/>
          <w:iCs/>
        </w:rPr>
        <w:t xml:space="preserve"> </w:t>
      </w:r>
      <w:r w:rsidRPr="0015283A">
        <w:rPr>
          <w:i w:val="0"/>
          <w:iCs/>
        </w:rPr>
        <w:t xml:space="preserve">to 2771.4. The highest GDD accumulation occurred during the 2022/2023 growing season, reflecting warmer thermal conditions and an increased potential for accelerated crop phenology. Such thermal accumulation may contribute to earlier flowering and fruit </w:t>
      </w:r>
      <w:r w:rsidR="00FC21CF" w:rsidRPr="0015283A">
        <w:rPr>
          <w:i w:val="0"/>
          <w:iCs/>
        </w:rPr>
        <w:t>development</w:t>
      </w:r>
      <w:r w:rsidR="00FC21CF">
        <w:rPr>
          <w:i w:val="0"/>
          <w:iCs/>
        </w:rPr>
        <w:t xml:space="preserve"> but</w:t>
      </w:r>
      <w:r w:rsidRPr="0015283A">
        <w:rPr>
          <w:i w:val="0"/>
          <w:iCs/>
        </w:rPr>
        <w:t xml:space="preserve"> also intensifies crop water requirements and heat stress </w:t>
      </w:r>
      <w:r w:rsidRPr="0015283A">
        <w:rPr>
          <w:i w:val="0"/>
          <w:iCs/>
        </w:rPr>
        <w:lastRenderedPageBreak/>
        <w:t>risk. The number of days with maximum temperatures exceeding 35 °C was consistently high, ranging from 52 to 79 days per season, indicating frequent exposure of citrus orchards to extreme heat events. These conditions can adversely affect flowering, fruit set and fruit quality. In contrast, frost-risk days (Tmin ≤ 0 °C) were relatively infrequent but recurrent, with up to 23 frost-risk days recorded in 2022/2023, highlighting that cold stress remains a relevant, albeit secondary, climatic constraint in the region. Overall, the combined patterns of persistent water deficit, increasing thermal accumulation and frequent heat extremes underline the growing agroclimatic pressure on citrus cultivation in the Middle–Lower Guadalquivir area, emphasizing the need for adaptive irrigation strategies and climate-resilient orchard management.</w:t>
      </w:r>
    </w:p>
    <w:p w14:paraId="02BB1401" w14:textId="1A89C9D0" w:rsidR="006A4E62" w:rsidRDefault="006A4E62" w:rsidP="00AF5076">
      <w:pPr>
        <w:pStyle w:val="CETTabletitle"/>
      </w:pPr>
      <w:r>
        <w:t xml:space="preserve">Table </w:t>
      </w:r>
      <w:r>
        <w:fldChar w:fldCharType="begin"/>
      </w:r>
      <w:r>
        <w:instrText xml:space="preserve"> SEQ Table \* ARABIC </w:instrText>
      </w:r>
      <w:r>
        <w:fldChar w:fldCharType="separate"/>
      </w:r>
      <w:r>
        <w:rPr>
          <w:noProof/>
        </w:rPr>
        <w:t>2</w:t>
      </w:r>
      <w:r>
        <w:fldChar w:fldCharType="end"/>
      </w:r>
      <w:r w:rsidR="00A117E4">
        <w:t>:</w:t>
      </w:r>
      <w:r>
        <w:t xml:space="preserve"> </w:t>
      </w:r>
      <w:r w:rsidR="00AF5076" w:rsidRPr="006A4E62">
        <w:t>Derived agroclimatic indicators by citrus growing season in Palma del Río</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757"/>
        <w:gridCol w:w="1757"/>
        <w:gridCol w:w="1758"/>
        <w:gridCol w:w="1757"/>
        <w:gridCol w:w="1758"/>
      </w:tblGrid>
      <w:tr w:rsidR="00A117E4" w:rsidRPr="00B57B36" w14:paraId="3736DB1E" w14:textId="77777777" w:rsidTr="00A117E4">
        <w:tc>
          <w:tcPr>
            <w:tcW w:w="1757" w:type="dxa"/>
            <w:tcBorders>
              <w:top w:val="single" w:sz="12" w:space="0" w:color="008000"/>
              <w:bottom w:val="single" w:sz="8" w:space="0" w:color="49701E"/>
            </w:tcBorders>
            <w:shd w:val="clear" w:color="auto" w:fill="FFFFFF"/>
          </w:tcPr>
          <w:p w14:paraId="7297BAE5" w14:textId="77777777" w:rsidR="00A117E4" w:rsidRPr="00B57B36" w:rsidRDefault="00A117E4" w:rsidP="00A117E4">
            <w:pPr>
              <w:pStyle w:val="CETBodytext"/>
              <w:jc w:val="left"/>
              <w:rPr>
                <w:lang w:val="en-GB"/>
              </w:rPr>
            </w:pPr>
            <w:r w:rsidRPr="000A0C46">
              <w:rPr>
                <w:lang w:val="en-GB"/>
              </w:rPr>
              <w:t>Growing season</w:t>
            </w:r>
          </w:p>
        </w:tc>
        <w:tc>
          <w:tcPr>
            <w:tcW w:w="1757" w:type="dxa"/>
            <w:tcBorders>
              <w:bottom w:val="single" w:sz="8" w:space="0" w:color="49701E"/>
            </w:tcBorders>
          </w:tcPr>
          <w:p w14:paraId="1B119B9E" w14:textId="3BAA7EBC" w:rsidR="00A117E4" w:rsidRDefault="003C36C6" w:rsidP="00A117E4">
            <w:pPr>
              <w:pStyle w:val="CETBodytext"/>
              <w:jc w:val="left"/>
              <w:rPr>
                <w:lang w:val="es-ES"/>
              </w:rPr>
            </w:pPr>
            <w:r>
              <w:rPr>
                <w:lang w:val="es-ES"/>
              </w:rPr>
              <w:t xml:space="preserve">CWD </w:t>
            </w:r>
            <w:r w:rsidR="00A117E4" w:rsidRPr="00EC4354">
              <w:rPr>
                <w:lang w:val="es-ES"/>
              </w:rPr>
              <w:t>(mm)</w:t>
            </w:r>
          </w:p>
        </w:tc>
        <w:tc>
          <w:tcPr>
            <w:tcW w:w="1758" w:type="dxa"/>
            <w:tcBorders>
              <w:bottom w:val="single" w:sz="8" w:space="0" w:color="49701E"/>
            </w:tcBorders>
          </w:tcPr>
          <w:p w14:paraId="78E9D88A" w14:textId="0900BA58" w:rsidR="00A117E4" w:rsidRPr="00A117E4" w:rsidRDefault="00A117E4" w:rsidP="00A117E4">
            <w:pPr>
              <w:pStyle w:val="CETBodytext"/>
              <w:ind w:left="120"/>
              <w:jc w:val="left"/>
              <w:rPr>
                <w:lang w:val="en-GB"/>
              </w:rPr>
            </w:pPr>
            <w:r w:rsidRPr="00EC4354">
              <w:t>GDD</w:t>
            </w:r>
            <w:r w:rsidR="006848A7">
              <w:t xml:space="preserve"> (</w:t>
            </w:r>
            <w:r w:rsidR="006848A7" w:rsidRPr="00EC4354">
              <w:rPr>
                <w:lang w:val="es-ES"/>
              </w:rPr>
              <w:t>°C</w:t>
            </w:r>
            <w:r w:rsidR="006848A7">
              <w:rPr>
                <w:lang w:val="es-ES"/>
              </w:rPr>
              <w:t>/day)</w:t>
            </w:r>
          </w:p>
        </w:tc>
        <w:tc>
          <w:tcPr>
            <w:tcW w:w="1757" w:type="dxa"/>
            <w:tcBorders>
              <w:bottom w:val="single" w:sz="8" w:space="0" w:color="49701E"/>
            </w:tcBorders>
          </w:tcPr>
          <w:p w14:paraId="2DC141E1" w14:textId="0DCFFD96" w:rsidR="00A117E4" w:rsidRDefault="00A117E4" w:rsidP="00A117E4">
            <w:pPr>
              <w:pStyle w:val="CETBodytext"/>
              <w:ind w:left="-11" w:right="-176"/>
              <w:jc w:val="left"/>
              <w:rPr>
                <w:lang w:val="es-ES"/>
              </w:rPr>
            </w:pPr>
            <w:r w:rsidRPr="00EC4354">
              <w:rPr>
                <w:lang w:val="es-ES"/>
              </w:rPr>
              <w:t>Tmax &gt; 35 °C</w:t>
            </w:r>
            <w:r w:rsidR="006848A7">
              <w:rPr>
                <w:lang w:val="es-ES"/>
              </w:rPr>
              <w:t xml:space="preserve"> (days)</w:t>
            </w:r>
          </w:p>
        </w:tc>
        <w:tc>
          <w:tcPr>
            <w:tcW w:w="1758" w:type="dxa"/>
            <w:tcBorders>
              <w:bottom w:val="single" w:sz="8" w:space="0" w:color="49701E"/>
            </w:tcBorders>
          </w:tcPr>
          <w:p w14:paraId="222927D1" w14:textId="2CA561E1" w:rsidR="00A117E4" w:rsidRPr="00A117E4" w:rsidRDefault="00A117E4" w:rsidP="00A117E4">
            <w:pPr>
              <w:pStyle w:val="CETBodytext"/>
              <w:ind w:left="317"/>
              <w:jc w:val="left"/>
              <w:rPr>
                <w:lang w:val="en-GB"/>
              </w:rPr>
            </w:pPr>
            <w:r w:rsidRPr="00EC4354">
              <w:t>Frost</w:t>
            </w:r>
            <w:r w:rsidR="006848A7">
              <w:t xml:space="preserve"> </w:t>
            </w:r>
            <w:r w:rsidRPr="00EC4354">
              <w:t>risk (</w:t>
            </w:r>
            <w:r w:rsidR="006848A7">
              <w:t>days</w:t>
            </w:r>
            <w:r w:rsidRPr="00EC4354">
              <w:t>)</w:t>
            </w:r>
          </w:p>
        </w:tc>
      </w:tr>
      <w:tr w:rsidR="00A117E4" w:rsidRPr="00B57B36" w14:paraId="2469FC15" w14:textId="77777777" w:rsidTr="00A117E4">
        <w:tc>
          <w:tcPr>
            <w:tcW w:w="1757" w:type="dxa"/>
            <w:tcBorders>
              <w:top w:val="single" w:sz="8" w:space="0" w:color="49701E"/>
              <w:bottom w:val="nil"/>
            </w:tcBorders>
            <w:shd w:val="clear" w:color="auto" w:fill="FFFFFF"/>
            <w:vAlign w:val="center"/>
          </w:tcPr>
          <w:p w14:paraId="4E80E125" w14:textId="77777777" w:rsidR="00A117E4" w:rsidRPr="000A0C46" w:rsidRDefault="00A117E4" w:rsidP="00A117E4">
            <w:pPr>
              <w:pStyle w:val="CETBodytext"/>
              <w:jc w:val="left"/>
              <w:rPr>
                <w:lang w:val="en-GB"/>
              </w:rPr>
            </w:pPr>
            <w:r w:rsidRPr="006A4E62">
              <w:rPr>
                <w:lang w:val="es-ES"/>
              </w:rPr>
              <w:t>2015/2016</w:t>
            </w:r>
          </w:p>
        </w:tc>
        <w:tc>
          <w:tcPr>
            <w:tcW w:w="1757" w:type="dxa"/>
            <w:tcBorders>
              <w:top w:val="single" w:sz="8" w:space="0" w:color="49701E"/>
            </w:tcBorders>
            <w:vAlign w:val="center"/>
          </w:tcPr>
          <w:p w14:paraId="4482038E" w14:textId="67B30C24" w:rsidR="00A117E4" w:rsidRPr="006A4E62" w:rsidRDefault="00A117E4" w:rsidP="00A117E4">
            <w:pPr>
              <w:pStyle w:val="CETBodytext"/>
              <w:jc w:val="left"/>
              <w:rPr>
                <w:lang w:val="es-ES"/>
              </w:rPr>
            </w:pPr>
            <w:r w:rsidRPr="006A4E62">
              <w:rPr>
                <w:lang w:val="es-ES"/>
              </w:rPr>
              <w:t>−833.9</w:t>
            </w:r>
          </w:p>
        </w:tc>
        <w:tc>
          <w:tcPr>
            <w:tcW w:w="1758" w:type="dxa"/>
            <w:tcBorders>
              <w:top w:val="single" w:sz="8" w:space="0" w:color="49701E"/>
            </w:tcBorders>
            <w:vAlign w:val="center"/>
          </w:tcPr>
          <w:p w14:paraId="315C4D14" w14:textId="64CA0507" w:rsidR="00A117E4" w:rsidRPr="006A4E62" w:rsidRDefault="00A117E4" w:rsidP="00A117E4">
            <w:pPr>
              <w:pStyle w:val="CETBodytext"/>
              <w:ind w:left="120"/>
              <w:jc w:val="left"/>
              <w:rPr>
                <w:lang w:val="es-ES"/>
              </w:rPr>
            </w:pPr>
            <w:r w:rsidRPr="006A4E62">
              <w:rPr>
                <w:lang w:val="es-ES"/>
              </w:rPr>
              <w:t>2087.2</w:t>
            </w:r>
          </w:p>
        </w:tc>
        <w:tc>
          <w:tcPr>
            <w:tcW w:w="1757" w:type="dxa"/>
            <w:tcBorders>
              <w:top w:val="single" w:sz="8" w:space="0" w:color="49701E"/>
            </w:tcBorders>
            <w:vAlign w:val="center"/>
          </w:tcPr>
          <w:p w14:paraId="786A4DB1" w14:textId="398B57EB" w:rsidR="00A117E4" w:rsidRPr="006A4E62" w:rsidRDefault="00A117E4" w:rsidP="00A117E4">
            <w:pPr>
              <w:pStyle w:val="CETBodytext"/>
              <w:ind w:left="-11"/>
              <w:jc w:val="left"/>
              <w:rPr>
                <w:lang w:val="es-ES"/>
              </w:rPr>
            </w:pPr>
            <w:r w:rsidRPr="006A4E62">
              <w:rPr>
                <w:lang w:val="es-ES"/>
              </w:rPr>
              <w:t>78</w:t>
            </w:r>
          </w:p>
        </w:tc>
        <w:tc>
          <w:tcPr>
            <w:tcW w:w="1758" w:type="dxa"/>
            <w:tcBorders>
              <w:top w:val="single" w:sz="8" w:space="0" w:color="49701E"/>
            </w:tcBorders>
            <w:vAlign w:val="center"/>
          </w:tcPr>
          <w:p w14:paraId="54735D3B" w14:textId="3881B34A" w:rsidR="00A117E4" w:rsidRPr="006A4E62" w:rsidRDefault="00A117E4" w:rsidP="00A117E4">
            <w:pPr>
              <w:pStyle w:val="CETBodytext"/>
              <w:ind w:left="317"/>
              <w:jc w:val="left"/>
              <w:rPr>
                <w:lang w:val="es-ES"/>
              </w:rPr>
            </w:pPr>
            <w:r w:rsidRPr="006A4E62">
              <w:rPr>
                <w:lang w:val="es-ES"/>
              </w:rPr>
              <w:t>3</w:t>
            </w:r>
          </w:p>
        </w:tc>
      </w:tr>
      <w:tr w:rsidR="00A117E4" w:rsidRPr="00B57B36" w14:paraId="7B4446DB" w14:textId="77777777" w:rsidTr="00A117E4">
        <w:tc>
          <w:tcPr>
            <w:tcW w:w="1757" w:type="dxa"/>
            <w:tcBorders>
              <w:top w:val="nil"/>
              <w:bottom w:val="nil"/>
            </w:tcBorders>
            <w:shd w:val="clear" w:color="auto" w:fill="FFFFFF"/>
            <w:vAlign w:val="center"/>
          </w:tcPr>
          <w:p w14:paraId="10F86A21" w14:textId="77777777" w:rsidR="00A117E4" w:rsidRPr="000A0C46" w:rsidRDefault="00A117E4" w:rsidP="00A117E4">
            <w:pPr>
              <w:pStyle w:val="CETBodytext"/>
              <w:jc w:val="left"/>
              <w:rPr>
                <w:lang w:val="en-GB"/>
              </w:rPr>
            </w:pPr>
            <w:r w:rsidRPr="006A4E62">
              <w:rPr>
                <w:lang w:val="es-ES"/>
              </w:rPr>
              <w:t>2016/2017</w:t>
            </w:r>
          </w:p>
        </w:tc>
        <w:tc>
          <w:tcPr>
            <w:tcW w:w="1757" w:type="dxa"/>
            <w:vAlign w:val="center"/>
          </w:tcPr>
          <w:p w14:paraId="088F77F9" w14:textId="5AE5A7CE" w:rsidR="00A117E4" w:rsidRPr="006A4E62" w:rsidRDefault="00A117E4" w:rsidP="00A117E4">
            <w:pPr>
              <w:pStyle w:val="CETBodytext"/>
              <w:jc w:val="left"/>
              <w:rPr>
                <w:lang w:val="es-ES"/>
              </w:rPr>
            </w:pPr>
            <w:r w:rsidRPr="006A4E62">
              <w:rPr>
                <w:lang w:val="es-ES"/>
              </w:rPr>
              <w:t>−742.1</w:t>
            </w:r>
          </w:p>
        </w:tc>
        <w:tc>
          <w:tcPr>
            <w:tcW w:w="1758" w:type="dxa"/>
            <w:vAlign w:val="center"/>
          </w:tcPr>
          <w:p w14:paraId="20C2255B" w14:textId="352FBB21" w:rsidR="00A117E4" w:rsidRPr="006A4E62" w:rsidRDefault="00A117E4" w:rsidP="00A117E4">
            <w:pPr>
              <w:pStyle w:val="CETBodytext"/>
              <w:ind w:left="120"/>
              <w:jc w:val="left"/>
              <w:rPr>
                <w:lang w:val="es-ES"/>
              </w:rPr>
            </w:pPr>
            <w:r w:rsidRPr="006A4E62">
              <w:rPr>
                <w:lang w:val="es-ES"/>
              </w:rPr>
              <w:t>2490.7</w:t>
            </w:r>
          </w:p>
        </w:tc>
        <w:tc>
          <w:tcPr>
            <w:tcW w:w="1757" w:type="dxa"/>
            <w:vAlign w:val="center"/>
          </w:tcPr>
          <w:p w14:paraId="4E0E7C70" w14:textId="31B8A3F8" w:rsidR="00A117E4" w:rsidRPr="006A4E62" w:rsidRDefault="00A117E4" w:rsidP="00A117E4">
            <w:pPr>
              <w:pStyle w:val="CETBodytext"/>
              <w:ind w:left="-11"/>
              <w:jc w:val="left"/>
              <w:rPr>
                <w:lang w:val="es-ES"/>
              </w:rPr>
            </w:pPr>
            <w:r w:rsidRPr="006A4E62">
              <w:rPr>
                <w:lang w:val="es-ES"/>
              </w:rPr>
              <w:t>72</w:t>
            </w:r>
          </w:p>
        </w:tc>
        <w:tc>
          <w:tcPr>
            <w:tcW w:w="1758" w:type="dxa"/>
            <w:vAlign w:val="center"/>
          </w:tcPr>
          <w:p w14:paraId="06FA46ED" w14:textId="62C7F7A5" w:rsidR="00A117E4" w:rsidRPr="006A4E62" w:rsidRDefault="00A117E4" w:rsidP="00A117E4">
            <w:pPr>
              <w:pStyle w:val="CETBodytext"/>
              <w:ind w:left="317"/>
              <w:jc w:val="left"/>
              <w:rPr>
                <w:lang w:val="es-ES"/>
              </w:rPr>
            </w:pPr>
            <w:r w:rsidRPr="006A4E62">
              <w:rPr>
                <w:lang w:val="es-ES"/>
              </w:rPr>
              <w:t>13</w:t>
            </w:r>
          </w:p>
        </w:tc>
      </w:tr>
      <w:tr w:rsidR="00A117E4" w:rsidRPr="00B57B36" w14:paraId="1B3E4D6A" w14:textId="77777777" w:rsidTr="00A117E4">
        <w:tc>
          <w:tcPr>
            <w:tcW w:w="1757" w:type="dxa"/>
            <w:tcBorders>
              <w:top w:val="nil"/>
              <w:bottom w:val="nil"/>
            </w:tcBorders>
            <w:shd w:val="clear" w:color="auto" w:fill="FFFFFF"/>
            <w:vAlign w:val="center"/>
          </w:tcPr>
          <w:p w14:paraId="055F3EDE" w14:textId="77777777" w:rsidR="00A117E4" w:rsidRPr="00B57B36" w:rsidRDefault="00A117E4" w:rsidP="00A117E4">
            <w:pPr>
              <w:pStyle w:val="CETBodytext"/>
              <w:jc w:val="left"/>
              <w:rPr>
                <w:lang w:val="en-GB"/>
              </w:rPr>
            </w:pPr>
            <w:r w:rsidRPr="006A4E62">
              <w:rPr>
                <w:lang w:val="es-ES"/>
              </w:rPr>
              <w:t>2017/2018</w:t>
            </w:r>
          </w:p>
        </w:tc>
        <w:tc>
          <w:tcPr>
            <w:tcW w:w="1757" w:type="dxa"/>
            <w:vAlign w:val="center"/>
          </w:tcPr>
          <w:p w14:paraId="5835A700" w14:textId="376364CD" w:rsidR="00A117E4" w:rsidRPr="006A4E62" w:rsidRDefault="00A117E4" w:rsidP="00A117E4">
            <w:pPr>
              <w:pStyle w:val="CETBodytext"/>
              <w:jc w:val="left"/>
              <w:rPr>
                <w:lang w:val="es-ES"/>
              </w:rPr>
            </w:pPr>
            <w:r w:rsidRPr="006A4E62">
              <w:rPr>
                <w:lang w:val="es-ES"/>
              </w:rPr>
              <w:t>−590.1</w:t>
            </w:r>
          </w:p>
        </w:tc>
        <w:tc>
          <w:tcPr>
            <w:tcW w:w="1758" w:type="dxa"/>
            <w:vAlign w:val="center"/>
          </w:tcPr>
          <w:p w14:paraId="09D40F4B" w14:textId="032AB5D0" w:rsidR="00A117E4" w:rsidRPr="006A4E62" w:rsidRDefault="00A117E4" w:rsidP="00A117E4">
            <w:pPr>
              <w:pStyle w:val="CETBodytext"/>
              <w:ind w:left="120"/>
              <w:jc w:val="left"/>
              <w:rPr>
                <w:lang w:val="es-ES"/>
              </w:rPr>
            </w:pPr>
            <w:r w:rsidRPr="006A4E62">
              <w:rPr>
                <w:lang w:val="es-ES"/>
              </w:rPr>
              <w:t>2239.9</w:t>
            </w:r>
          </w:p>
        </w:tc>
        <w:tc>
          <w:tcPr>
            <w:tcW w:w="1757" w:type="dxa"/>
            <w:vAlign w:val="center"/>
          </w:tcPr>
          <w:p w14:paraId="5971E780" w14:textId="13773385" w:rsidR="00A117E4" w:rsidRPr="006A4E62" w:rsidRDefault="00A117E4" w:rsidP="00A117E4">
            <w:pPr>
              <w:pStyle w:val="CETBodytext"/>
              <w:ind w:left="-11"/>
              <w:jc w:val="left"/>
              <w:rPr>
                <w:lang w:val="es-ES"/>
              </w:rPr>
            </w:pPr>
            <w:r w:rsidRPr="006A4E62">
              <w:rPr>
                <w:lang w:val="es-ES"/>
              </w:rPr>
              <w:t>52</w:t>
            </w:r>
          </w:p>
        </w:tc>
        <w:tc>
          <w:tcPr>
            <w:tcW w:w="1758" w:type="dxa"/>
            <w:vAlign w:val="center"/>
          </w:tcPr>
          <w:p w14:paraId="1CFA35D8" w14:textId="2C746602" w:rsidR="00A117E4" w:rsidRPr="006A4E62" w:rsidRDefault="00A117E4" w:rsidP="00A117E4">
            <w:pPr>
              <w:pStyle w:val="CETBodytext"/>
              <w:ind w:left="317"/>
              <w:jc w:val="left"/>
              <w:rPr>
                <w:lang w:val="es-ES"/>
              </w:rPr>
            </w:pPr>
            <w:r w:rsidRPr="006A4E62">
              <w:rPr>
                <w:lang w:val="es-ES"/>
              </w:rPr>
              <w:t>22</w:t>
            </w:r>
          </w:p>
        </w:tc>
      </w:tr>
      <w:tr w:rsidR="00A117E4" w:rsidRPr="00B57B36" w14:paraId="78DE24B0" w14:textId="77777777" w:rsidTr="00A117E4">
        <w:tc>
          <w:tcPr>
            <w:tcW w:w="1757" w:type="dxa"/>
            <w:tcBorders>
              <w:top w:val="nil"/>
              <w:bottom w:val="nil"/>
            </w:tcBorders>
            <w:shd w:val="clear" w:color="auto" w:fill="FFFFFF"/>
            <w:vAlign w:val="center"/>
          </w:tcPr>
          <w:p w14:paraId="402C8EFC" w14:textId="77777777" w:rsidR="00A117E4" w:rsidRPr="006A4E62" w:rsidRDefault="00A117E4" w:rsidP="00A117E4">
            <w:pPr>
              <w:pStyle w:val="CETBodytext"/>
              <w:jc w:val="left"/>
              <w:rPr>
                <w:lang w:val="es-ES"/>
              </w:rPr>
            </w:pPr>
            <w:r w:rsidRPr="006A4E62">
              <w:rPr>
                <w:lang w:val="es-ES"/>
              </w:rPr>
              <w:t>2018/2019</w:t>
            </w:r>
          </w:p>
        </w:tc>
        <w:tc>
          <w:tcPr>
            <w:tcW w:w="1757" w:type="dxa"/>
            <w:vAlign w:val="center"/>
          </w:tcPr>
          <w:p w14:paraId="4F6D69C9" w14:textId="7B1ED394" w:rsidR="00A117E4" w:rsidRPr="006A4E62" w:rsidRDefault="00A117E4" w:rsidP="00A117E4">
            <w:pPr>
              <w:pStyle w:val="CETBodytext"/>
              <w:jc w:val="left"/>
              <w:rPr>
                <w:lang w:val="es-ES"/>
              </w:rPr>
            </w:pPr>
            <w:r w:rsidRPr="006A4E62">
              <w:rPr>
                <w:lang w:val="es-ES"/>
              </w:rPr>
              <w:t>−935.8</w:t>
            </w:r>
          </w:p>
        </w:tc>
        <w:tc>
          <w:tcPr>
            <w:tcW w:w="1758" w:type="dxa"/>
            <w:vAlign w:val="center"/>
          </w:tcPr>
          <w:p w14:paraId="771EEC9C" w14:textId="188D915B" w:rsidR="00A117E4" w:rsidRPr="006A4E62" w:rsidRDefault="00A117E4" w:rsidP="00A117E4">
            <w:pPr>
              <w:pStyle w:val="CETBodytext"/>
              <w:ind w:left="120"/>
              <w:jc w:val="left"/>
              <w:rPr>
                <w:lang w:val="es-ES"/>
              </w:rPr>
            </w:pPr>
            <w:r w:rsidRPr="006A4E62">
              <w:rPr>
                <w:lang w:val="es-ES"/>
              </w:rPr>
              <w:t>2312.9</w:t>
            </w:r>
          </w:p>
        </w:tc>
        <w:tc>
          <w:tcPr>
            <w:tcW w:w="1757" w:type="dxa"/>
            <w:vAlign w:val="center"/>
          </w:tcPr>
          <w:p w14:paraId="61AF84BC" w14:textId="5F00214C" w:rsidR="00A117E4" w:rsidRPr="006A4E62" w:rsidRDefault="00A117E4" w:rsidP="00A117E4">
            <w:pPr>
              <w:pStyle w:val="CETBodytext"/>
              <w:ind w:left="-11"/>
              <w:jc w:val="left"/>
              <w:rPr>
                <w:lang w:val="es-ES"/>
              </w:rPr>
            </w:pPr>
            <w:r w:rsidRPr="006A4E62">
              <w:rPr>
                <w:lang w:val="es-ES"/>
              </w:rPr>
              <w:t>61</w:t>
            </w:r>
          </w:p>
        </w:tc>
        <w:tc>
          <w:tcPr>
            <w:tcW w:w="1758" w:type="dxa"/>
            <w:vAlign w:val="center"/>
          </w:tcPr>
          <w:p w14:paraId="340ECD05" w14:textId="087A383E" w:rsidR="00A117E4" w:rsidRPr="006A4E62" w:rsidRDefault="00A117E4" w:rsidP="00A117E4">
            <w:pPr>
              <w:pStyle w:val="CETBodytext"/>
              <w:ind w:left="317"/>
              <w:jc w:val="left"/>
              <w:rPr>
                <w:lang w:val="es-ES"/>
              </w:rPr>
            </w:pPr>
            <w:r w:rsidRPr="006A4E62">
              <w:rPr>
                <w:lang w:val="es-ES"/>
              </w:rPr>
              <w:t>20</w:t>
            </w:r>
          </w:p>
        </w:tc>
      </w:tr>
      <w:tr w:rsidR="00A117E4" w:rsidRPr="00B57B36" w14:paraId="28811307" w14:textId="77777777" w:rsidTr="00A117E4">
        <w:tc>
          <w:tcPr>
            <w:tcW w:w="1757" w:type="dxa"/>
            <w:tcBorders>
              <w:top w:val="nil"/>
              <w:bottom w:val="nil"/>
            </w:tcBorders>
            <w:shd w:val="clear" w:color="auto" w:fill="FFFFFF"/>
            <w:vAlign w:val="center"/>
          </w:tcPr>
          <w:p w14:paraId="7D326620" w14:textId="77777777" w:rsidR="00A117E4" w:rsidRPr="006A4E62" w:rsidRDefault="00A117E4" w:rsidP="00A117E4">
            <w:pPr>
              <w:pStyle w:val="CETBodytext"/>
              <w:jc w:val="left"/>
              <w:rPr>
                <w:lang w:val="es-ES"/>
              </w:rPr>
            </w:pPr>
            <w:r w:rsidRPr="006A4E62">
              <w:rPr>
                <w:lang w:val="es-ES"/>
              </w:rPr>
              <w:t>2019/2020</w:t>
            </w:r>
          </w:p>
        </w:tc>
        <w:tc>
          <w:tcPr>
            <w:tcW w:w="1757" w:type="dxa"/>
            <w:vAlign w:val="center"/>
          </w:tcPr>
          <w:p w14:paraId="58986978" w14:textId="68A7BD10" w:rsidR="00A117E4" w:rsidRPr="006A4E62" w:rsidRDefault="00A117E4" w:rsidP="00A117E4">
            <w:pPr>
              <w:pStyle w:val="CETBodytext"/>
              <w:jc w:val="left"/>
              <w:rPr>
                <w:lang w:val="es-ES"/>
              </w:rPr>
            </w:pPr>
            <w:r w:rsidRPr="006A4E62">
              <w:rPr>
                <w:lang w:val="es-ES"/>
              </w:rPr>
              <w:t>−864.9</w:t>
            </w:r>
          </w:p>
        </w:tc>
        <w:tc>
          <w:tcPr>
            <w:tcW w:w="1758" w:type="dxa"/>
            <w:vAlign w:val="center"/>
          </w:tcPr>
          <w:p w14:paraId="4C9BB589" w14:textId="0A0E0AA9" w:rsidR="00A117E4" w:rsidRPr="006A4E62" w:rsidRDefault="00A117E4" w:rsidP="00A117E4">
            <w:pPr>
              <w:pStyle w:val="CETBodytext"/>
              <w:ind w:left="120"/>
              <w:jc w:val="left"/>
              <w:rPr>
                <w:lang w:val="es-ES"/>
              </w:rPr>
            </w:pPr>
            <w:r w:rsidRPr="006A4E62">
              <w:rPr>
                <w:lang w:val="es-ES"/>
              </w:rPr>
              <w:t>2522.1</w:t>
            </w:r>
          </w:p>
        </w:tc>
        <w:tc>
          <w:tcPr>
            <w:tcW w:w="1757" w:type="dxa"/>
            <w:vAlign w:val="center"/>
          </w:tcPr>
          <w:p w14:paraId="534B1773" w14:textId="230A525A" w:rsidR="00A117E4" w:rsidRPr="006A4E62" w:rsidRDefault="00A117E4" w:rsidP="00A117E4">
            <w:pPr>
              <w:pStyle w:val="CETBodytext"/>
              <w:ind w:left="-11"/>
              <w:jc w:val="left"/>
              <w:rPr>
                <w:lang w:val="es-ES"/>
              </w:rPr>
            </w:pPr>
            <w:r w:rsidRPr="006A4E62">
              <w:rPr>
                <w:lang w:val="es-ES"/>
              </w:rPr>
              <w:t>79</w:t>
            </w:r>
          </w:p>
        </w:tc>
        <w:tc>
          <w:tcPr>
            <w:tcW w:w="1758" w:type="dxa"/>
            <w:vAlign w:val="center"/>
          </w:tcPr>
          <w:p w14:paraId="33B0699C" w14:textId="53CC4A03" w:rsidR="00A117E4" w:rsidRPr="006A4E62" w:rsidRDefault="00A117E4" w:rsidP="00A117E4">
            <w:pPr>
              <w:pStyle w:val="CETBodytext"/>
              <w:ind w:left="317"/>
              <w:jc w:val="left"/>
              <w:rPr>
                <w:lang w:val="es-ES"/>
              </w:rPr>
            </w:pPr>
            <w:r w:rsidRPr="006A4E62">
              <w:rPr>
                <w:lang w:val="es-ES"/>
              </w:rPr>
              <w:t>5</w:t>
            </w:r>
          </w:p>
        </w:tc>
      </w:tr>
      <w:tr w:rsidR="00A117E4" w:rsidRPr="00B57B36" w14:paraId="71627E5A" w14:textId="77777777" w:rsidTr="00A117E4">
        <w:tc>
          <w:tcPr>
            <w:tcW w:w="1757" w:type="dxa"/>
            <w:tcBorders>
              <w:top w:val="nil"/>
              <w:bottom w:val="nil"/>
            </w:tcBorders>
            <w:shd w:val="clear" w:color="auto" w:fill="FFFFFF"/>
            <w:vAlign w:val="center"/>
          </w:tcPr>
          <w:p w14:paraId="7AC3BA59" w14:textId="77777777" w:rsidR="00A117E4" w:rsidRPr="006A4E62" w:rsidRDefault="00A117E4" w:rsidP="00A117E4">
            <w:pPr>
              <w:pStyle w:val="CETBodytext"/>
              <w:jc w:val="left"/>
              <w:rPr>
                <w:lang w:val="es-ES"/>
              </w:rPr>
            </w:pPr>
            <w:r w:rsidRPr="006A4E62">
              <w:rPr>
                <w:lang w:val="es-ES"/>
              </w:rPr>
              <w:t>2020/2021</w:t>
            </w:r>
          </w:p>
        </w:tc>
        <w:tc>
          <w:tcPr>
            <w:tcW w:w="1757" w:type="dxa"/>
            <w:vAlign w:val="center"/>
          </w:tcPr>
          <w:p w14:paraId="74215160" w14:textId="060D0906" w:rsidR="00A117E4" w:rsidRPr="006A4E62" w:rsidRDefault="00A117E4" w:rsidP="00A117E4">
            <w:pPr>
              <w:pStyle w:val="CETBodytext"/>
              <w:jc w:val="left"/>
              <w:rPr>
                <w:lang w:val="es-ES"/>
              </w:rPr>
            </w:pPr>
            <w:r w:rsidRPr="006A4E62">
              <w:rPr>
                <w:lang w:val="es-ES"/>
              </w:rPr>
              <w:t>−911.8</w:t>
            </w:r>
          </w:p>
        </w:tc>
        <w:tc>
          <w:tcPr>
            <w:tcW w:w="1758" w:type="dxa"/>
            <w:vAlign w:val="center"/>
          </w:tcPr>
          <w:p w14:paraId="0E5925B2" w14:textId="57BB9B28" w:rsidR="00A117E4" w:rsidRPr="006A4E62" w:rsidRDefault="00A117E4" w:rsidP="00A117E4">
            <w:pPr>
              <w:pStyle w:val="CETBodytext"/>
              <w:ind w:left="120"/>
              <w:jc w:val="left"/>
              <w:rPr>
                <w:lang w:val="es-ES"/>
              </w:rPr>
            </w:pPr>
            <w:r w:rsidRPr="006A4E62">
              <w:rPr>
                <w:lang w:val="es-ES"/>
              </w:rPr>
              <w:t>2480.3</w:t>
            </w:r>
          </w:p>
        </w:tc>
        <w:tc>
          <w:tcPr>
            <w:tcW w:w="1757" w:type="dxa"/>
            <w:vAlign w:val="center"/>
          </w:tcPr>
          <w:p w14:paraId="6BEF25C2" w14:textId="5E061631" w:rsidR="00A117E4" w:rsidRPr="006A4E62" w:rsidRDefault="00A117E4" w:rsidP="00A117E4">
            <w:pPr>
              <w:pStyle w:val="CETBodytext"/>
              <w:ind w:left="-11"/>
              <w:jc w:val="left"/>
              <w:rPr>
                <w:lang w:val="es-ES"/>
              </w:rPr>
            </w:pPr>
            <w:r w:rsidRPr="006A4E62">
              <w:rPr>
                <w:lang w:val="es-ES"/>
              </w:rPr>
              <w:t>69</w:t>
            </w:r>
          </w:p>
        </w:tc>
        <w:tc>
          <w:tcPr>
            <w:tcW w:w="1758" w:type="dxa"/>
            <w:vAlign w:val="center"/>
          </w:tcPr>
          <w:p w14:paraId="006EA777" w14:textId="5F40245D" w:rsidR="00A117E4" w:rsidRPr="006A4E62" w:rsidRDefault="00A117E4" w:rsidP="00A117E4">
            <w:pPr>
              <w:pStyle w:val="CETBodytext"/>
              <w:ind w:left="317"/>
              <w:jc w:val="left"/>
              <w:rPr>
                <w:lang w:val="es-ES"/>
              </w:rPr>
            </w:pPr>
            <w:r w:rsidRPr="006A4E62">
              <w:rPr>
                <w:lang w:val="es-ES"/>
              </w:rPr>
              <w:t>16</w:t>
            </w:r>
          </w:p>
        </w:tc>
      </w:tr>
      <w:tr w:rsidR="00A117E4" w:rsidRPr="00B57B36" w14:paraId="3D32245A" w14:textId="77777777" w:rsidTr="00A117E4">
        <w:tc>
          <w:tcPr>
            <w:tcW w:w="1757" w:type="dxa"/>
            <w:tcBorders>
              <w:top w:val="nil"/>
              <w:bottom w:val="nil"/>
            </w:tcBorders>
            <w:shd w:val="clear" w:color="auto" w:fill="FFFFFF"/>
            <w:vAlign w:val="center"/>
          </w:tcPr>
          <w:p w14:paraId="6A963688" w14:textId="77777777" w:rsidR="00A117E4" w:rsidRPr="006A4E62" w:rsidRDefault="00A117E4" w:rsidP="00A117E4">
            <w:pPr>
              <w:pStyle w:val="CETBodytext"/>
              <w:jc w:val="left"/>
              <w:rPr>
                <w:lang w:val="es-ES"/>
              </w:rPr>
            </w:pPr>
            <w:r w:rsidRPr="006A4E62">
              <w:rPr>
                <w:lang w:val="es-ES"/>
              </w:rPr>
              <w:t>2021/2022</w:t>
            </w:r>
          </w:p>
        </w:tc>
        <w:tc>
          <w:tcPr>
            <w:tcW w:w="1757" w:type="dxa"/>
            <w:vAlign w:val="center"/>
          </w:tcPr>
          <w:p w14:paraId="37744600" w14:textId="3D1FE879" w:rsidR="00A117E4" w:rsidRPr="006A4E62" w:rsidRDefault="00A117E4" w:rsidP="00A117E4">
            <w:pPr>
              <w:pStyle w:val="CETBodytext"/>
              <w:jc w:val="left"/>
              <w:rPr>
                <w:lang w:val="es-ES"/>
              </w:rPr>
            </w:pPr>
            <w:r w:rsidRPr="006A4E62">
              <w:rPr>
                <w:lang w:val="es-ES"/>
              </w:rPr>
              <w:t>−981.6</w:t>
            </w:r>
          </w:p>
        </w:tc>
        <w:tc>
          <w:tcPr>
            <w:tcW w:w="1758" w:type="dxa"/>
            <w:vAlign w:val="center"/>
          </w:tcPr>
          <w:p w14:paraId="002E60E9" w14:textId="533C3C59" w:rsidR="00A117E4" w:rsidRPr="006A4E62" w:rsidRDefault="00A117E4" w:rsidP="00A117E4">
            <w:pPr>
              <w:pStyle w:val="CETBodytext"/>
              <w:ind w:left="120"/>
              <w:jc w:val="left"/>
              <w:rPr>
                <w:lang w:val="es-ES"/>
              </w:rPr>
            </w:pPr>
            <w:r w:rsidRPr="006A4E62">
              <w:rPr>
                <w:lang w:val="es-ES"/>
              </w:rPr>
              <w:t>2438.2</w:t>
            </w:r>
          </w:p>
        </w:tc>
        <w:tc>
          <w:tcPr>
            <w:tcW w:w="1757" w:type="dxa"/>
            <w:vAlign w:val="center"/>
          </w:tcPr>
          <w:p w14:paraId="1BE6844A" w14:textId="2A8E4B4A" w:rsidR="00A117E4" w:rsidRPr="006A4E62" w:rsidRDefault="00A117E4" w:rsidP="00A117E4">
            <w:pPr>
              <w:pStyle w:val="CETBodytext"/>
              <w:ind w:left="-11"/>
              <w:jc w:val="left"/>
              <w:rPr>
                <w:lang w:val="es-ES"/>
              </w:rPr>
            </w:pPr>
            <w:r w:rsidRPr="006A4E62">
              <w:rPr>
                <w:lang w:val="es-ES"/>
              </w:rPr>
              <w:t>78</w:t>
            </w:r>
          </w:p>
        </w:tc>
        <w:tc>
          <w:tcPr>
            <w:tcW w:w="1758" w:type="dxa"/>
            <w:vAlign w:val="center"/>
          </w:tcPr>
          <w:p w14:paraId="2030C632" w14:textId="3ABFE45E" w:rsidR="00A117E4" w:rsidRPr="006A4E62" w:rsidRDefault="00A117E4" w:rsidP="00A117E4">
            <w:pPr>
              <w:pStyle w:val="CETBodytext"/>
              <w:ind w:left="317"/>
              <w:jc w:val="left"/>
              <w:rPr>
                <w:lang w:val="es-ES"/>
              </w:rPr>
            </w:pPr>
            <w:r w:rsidRPr="006A4E62">
              <w:rPr>
                <w:lang w:val="es-ES"/>
              </w:rPr>
              <w:t>17</w:t>
            </w:r>
          </w:p>
        </w:tc>
      </w:tr>
      <w:tr w:rsidR="00A117E4" w:rsidRPr="00B57B36" w14:paraId="049EA3A5" w14:textId="77777777" w:rsidTr="00A117E4">
        <w:trPr>
          <w:trHeight w:val="51"/>
        </w:trPr>
        <w:tc>
          <w:tcPr>
            <w:tcW w:w="1757" w:type="dxa"/>
            <w:tcBorders>
              <w:top w:val="nil"/>
              <w:bottom w:val="nil"/>
            </w:tcBorders>
            <w:shd w:val="clear" w:color="auto" w:fill="FFFFFF"/>
            <w:vAlign w:val="center"/>
          </w:tcPr>
          <w:p w14:paraId="47A97001" w14:textId="77777777" w:rsidR="00A117E4" w:rsidRPr="006A4E62" w:rsidRDefault="00A117E4" w:rsidP="00A117E4">
            <w:pPr>
              <w:pStyle w:val="CETBodytext"/>
              <w:jc w:val="left"/>
              <w:rPr>
                <w:lang w:val="es-ES"/>
              </w:rPr>
            </w:pPr>
            <w:r w:rsidRPr="006A4E62">
              <w:rPr>
                <w:lang w:val="es-ES"/>
              </w:rPr>
              <w:t>2022/2023</w:t>
            </w:r>
          </w:p>
        </w:tc>
        <w:tc>
          <w:tcPr>
            <w:tcW w:w="1757" w:type="dxa"/>
            <w:vAlign w:val="center"/>
          </w:tcPr>
          <w:p w14:paraId="7268BBE3" w14:textId="0C2633C4" w:rsidR="00A117E4" w:rsidRPr="006A4E62" w:rsidRDefault="00A117E4" w:rsidP="00A117E4">
            <w:pPr>
              <w:pStyle w:val="CETBodytext"/>
              <w:jc w:val="left"/>
              <w:rPr>
                <w:lang w:val="es-ES"/>
              </w:rPr>
            </w:pPr>
            <w:r w:rsidRPr="006A4E62">
              <w:rPr>
                <w:lang w:val="es-ES"/>
              </w:rPr>
              <w:t>−923.6</w:t>
            </w:r>
          </w:p>
        </w:tc>
        <w:tc>
          <w:tcPr>
            <w:tcW w:w="1758" w:type="dxa"/>
            <w:vAlign w:val="center"/>
          </w:tcPr>
          <w:p w14:paraId="0BF355C5" w14:textId="48E414F9" w:rsidR="00A117E4" w:rsidRPr="006A4E62" w:rsidRDefault="00A117E4" w:rsidP="00A117E4">
            <w:pPr>
              <w:pStyle w:val="CETBodytext"/>
              <w:ind w:left="120"/>
              <w:jc w:val="left"/>
              <w:rPr>
                <w:lang w:val="es-ES"/>
              </w:rPr>
            </w:pPr>
            <w:r w:rsidRPr="006A4E62">
              <w:rPr>
                <w:lang w:val="es-ES"/>
              </w:rPr>
              <w:t>2771.4</w:t>
            </w:r>
          </w:p>
        </w:tc>
        <w:tc>
          <w:tcPr>
            <w:tcW w:w="1757" w:type="dxa"/>
            <w:vAlign w:val="center"/>
          </w:tcPr>
          <w:p w14:paraId="12B30CFA" w14:textId="2FEB2888" w:rsidR="00A117E4" w:rsidRPr="006A4E62" w:rsidRDefault="00A117E4" w:rsidP="00A117E4">
            <w:pPr>
              <w:pStyle w:val="CETBodytext"/>
              <w:ind w:left="-11"/>
              <w:jc w:val="left"/>
              <w:rPr>
                <w:lang w:val="es-ES"/>
              </w:rPr>
            </w:pPr>
            <w:r w:rsidRPr="006A4E62">
              <w:rPr>
                <w:lang w:val="es-ES"/>
              </w:rPr>
              <w:t>79</w:t>
            </w:r>
          </w:p>
        </w:tc>
        <w:tc>
          <w:tcPr>
            <w:tcW w:w="1758" w:type="dxa"/>
            <w:vAlign w:val="center"/>
          </w:tcPr>
          <w:p w14:paraId="740B0EDF" w14:textId="6EA8C928" w:rsidR="00A117E4" w:rsidRPr="006A4E62" w:rsidRDefault="00A117E4" w:rsidP="00A117E4">
            <w:pPr>
              <w:pStyle w:val="CETBodytext"/>
              <w:ind w:left="317"/>
              <w:jc w:val="left"/>
              <w:rPr>
                <w:lang w:val="es-ES"/>
              </w:rPr>
            </w:pPr>
            <w:r w:rsidRPr="006A4E62">
              <w:rPr>
                <w:lang w:val="es-ES"/>
              </w:rPr>
              <w:t>23</w:t>
            </w:r>
          </w:p>
        </w:tc>
      </w:tr>
      <w:tr w:rsidR="00A117E4" w:rsidRPr="00B57B36" w14:paraId="010DE447" w14:textId="77777777" w:rsidTr="00A117E4">
        <w:tc>
          <w:tcPr>
            <w:tcW w:w="1757" w:type="dxa"/>
            <w:tcBorders>
              <w:top w:val="nil"/>
            </w:tcBorders>
            <w:shd w:val="clear" w:color="auto" w:fill="FFFFFF"/>
            <w:vAlign w:val="center"/>
          </w:tcPr>
          <w:p w14:paraId="54F8B3ED" w14:textId="77777777" w:rsidR="00A117E4" w:rsidRPr="00B57B36" w:rsidRDefault="00A117E4" w:rsidP="00A117E4">
            <w:pPr>
              <w:pStyle w:val="CETBodytext"/>
              <w:ind w:right="-1"/>
              <w:jc w:val="left"/>
              <w:rPr>
                <w:rFonts w:cs="Arial"/>
                <w:szCs w:val="18"/>
                <w:lang w:val="en-GB"/>
              </w:rPr>
            </w:pPr>
            <w:r w:rsidRPr="006A4E62">
              <w:rPr>
                <w:lang w:val="es-ES"/>
              </w:rPr>
              <w:t>2023/2024</w:t>
            </w:r>
          </w:p>
        </w:tc>
        <w:tc>
          <w:tcPr>
            <w:tcW w:w="1757" w:type="dxa"/>
            <w:vAlign w:val="center"/>
          </w:tcPr>
          <w:p w14:paraId="208476BA" w14:textId="309C9675" w:rsidR="00A117E4" w:rsidRPr="006A4E62" w:rsidRDefault="00A117E4" w:rsidP="00A117E4">
            <w:pPr>
              <w:pStyle w:val="CETBodytext"/>
              <w:ind w:right="-1"/>
              <w:jc w:val="left"/>
              <w:rPr>
                <w:lang w:val="es-ES"/>
              </w:rPr>
            </w:pPr>
            <w:r w:rsidRPr="006A4E62">
              <w:rPr>
                <w:lang w:val="es-ES"/>
              </w:rPr>
              <w:t>−738.5</w:t>
            </w:r>
          </w:p>
        </w:tc>
        <w:tc>
          <w:tcPr>
            <w:tcW w:w="1758" w:type="dxa"/>
            <w:vAlign w:val="center"/>
          </w:tcPr>
          <w:p w14:paraId="3097F27A" w14:textId="71056AD9" w:rsidR="00A117E4" w:rsidRPr="006A4E62" w:rsidRDefault="00A117E4" w:rsidP="00A117E4">
            <w:pPr>
              <w:pStyle w:val="CETBodytext"/>
              <w:ind w:left="120" w:right="-1"/>
              <w:jc w:val="left"/>
              <w:rPr>
                <w:lang w:val="es-ES"/>
              </w:rPr>
            </w:pPr>
            <w:r w:rsidRPr="006A4E62">
              <w:rPr>
                <w:lang w:val="es-ES"/>
              </w:rPr>
              <w:t>2506.8</w:t>
            </w:r>
          </w:p>
        </w:tc>
        <w:tc>
          <w:tcPr>
            <w:tcW w:w="1757" w:type="dxa"/>
            <w:vAlign w:val="center"/>
          </w:tcPr>
          <w:p w14:paraId="4502F4FC" w14:textId="6B7EAA4B" w:rsidR="00A117E4" w:rsidRPr="006A4E62" w:rsidRDefault="00A117E4" w:rsidP="00A117E4">
            <w:pPr>
              <w:pStyle w:val="CETBodytext"/>
              <w:ind w:left="-11" w:right="-1"/>
              <w:jc w:val="left"/>
              <w:rPr>
                <w:lang w:val="es-ES"/>
              </w:rPr>
            </w:pPr>
            <w:r w:rsidRPr="006A4E62">
              <w:rPr>
                <w:lang w:val="es-ES"/>
              </w:rPr>
              <w:t>77</w:t>
            </w:r>
          </w:p>
        </w:tc>
        <w:tc>
          <w:tcPr>
            <w:tcW w:w="1758" w:type="dxa"/>
            <w:vAlign w:val="center"/>
          </w:tcPr>
          <w:p w14:paraId="151EB08B" w14:textId="5C39E9A8" w:rsidR="00A117E4" w:rsidRPr="006A4E62" w:rsidRDefault="00A117E4" w:rsidP="00A117E4">
            <w:pPr>
              <w:pStyle w:val="CETBodytext"/>
              <w:ind w:left="317" w:right="-1"/>
              <w:jc w:val="left"/>
              <w:rPr>
                <w:lang w:val="es-ES"/>
              </w:rPr>
            </w:pPr>
            <w:r w:rsidRPr="006A4E62">
              <w:rPr>
                <w:lang w:val="es-ES"/>
              </w:rPr>
              <w:t>15</w:t>
            </w:r>
          </w:p>
        </w:tc>
      </w:tr>
    </w:tbl>
    <w:p w14:paraId="7B192AF8" w14:textId="36367F4B" w:rsidR="00422AFA" w:rsidRPr="006848A7" w:rsidRDefault="006A4E62" w:rsidP="004A78E8">
      <w:pPr>
        <w:pStyle w:val="CETBodytext"/>
        <w:rPr>
          <w:i/>
          <w:iCs/>
          <w:lang w:val="en-GB"/>
        </w:rPr>
      </w:pPr>
      <w:r w:rsidRPr="006848A7">
        <w:rPr>
          <w:b/>
          <w:bCs/>
          <w:i/>
          <w:iCs/>
          <w:lang w:val="en-GB"/>
        </w:rPr>
        <w:t>Note:</w:t>
      </w:r>
      <w:r w:rsidRPr="006848A7">
        <w:rPr>
          <w:i/>
          <w:iCs/>
          <w:lang w:val="en-GB"/>
        </w:rPr>
        <w:t xml:space="preserve"> </w:t>
      </w:r>
      <w:r w:rsidR="003C36C6" w:rsidRPr="003C36C6">
        <w:rPr>
          <w:i/>
          <w:iCs/>
          <w:lang w:val="en-GB"/>
        </w:rPr>
        <w:t>Growing season defined from October to September. CWD, climatic water deficit; GDD, growing degree days; Tmax &gt; 35 °C, number of days with maximum temperature above 35 °C; Frost risk, number of days with minimum temperature ≤ 0 °C. Values correspond to the growing season.</w:t>
      </w:r>
    </w:p>
    <w:p w14:paraId="1F96CA21" w14:textId="68FC633A" w:rsidR="00600535" w:rsidRDefault="001F63BC" w:rsidP="001F63BC">
      <w:pPr>
        <w:pStyle w:val="CETheadingx"/>
      </w:pPr>
      <w:r>
        <w:t>Description of citrus samples</w:t>
      </w:r>
    </w:p>
    <w:p w14:paraId="45BD17DE" w14:textId="2EFE4ACD" w:rsidR="006848A7" w:rsidRDefault="00D11E5A" w:rsidP="006848A7">
      <w:pPr>
        <w:pStyle w:val="CETBodytext"/>
        <w:rPr>
          <w:lang w:val="en-GB"/>
        </w:rPr>
      </w:pPr>
      <w:r w:rsidRPr="00D11E5A">
        <w:rPr>
          <w:lang w:val="en-GB"/>
        </w:rPr>
        <w:t xml:space="preserve">Table 3 summarizes the structural characteristics and total citrus production for nine consecutive growing seasons (2016/2017–2024/2025), with total production estimated from truck-weight records. </w:t>
      </w:r>
    </w:p>
    <w:p w14:paraId="183F7F29" w14:textId="1AA1A17E" w:rsidR="00A117E4" w:rsidRPr="006848A7" w:rsidRDefault="00A117E4" w:rsidP="00A748AC">
      <w:pPr>
        <w:pStyle w:val="CETTabletitle"/>
        <w:jc w:val="both"/>
      </w:pPr>
      <w:r>
        <w:t xml:space="preserve">Table </w:t>
      </w:r>
      <w:r>
        <w:fldChar w:fldCharType="begin"/>
      </w:r>
      <w:r>
        <w:instrText xml:space="preserve"> SEQ Table \* ARABIC </w:instrText>
      </w:r>
      <w:r>
        <w:fldChar w:fldCharType="separate"/>
      </w:r>
      <w:r>
        <w:t>3</w:t>
      </w:r>
      <w:r>
        <w:fldChar w:fldCharType="end"/>
      </w:r>
      <w:r>
        <w:t>: S</w:t>
      </w:r>
      <w:r w:rsidRPr="00D11E5A">
        <w:t>tructural characteristics and total citrus production for nine consecutive growing seasons (2016/2017–2024/2025)</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64"/>
        <w:gridCol w:w="1465"/>
        <w:gridCol w:w="1464"/>
        <w:gridCol w:w="1465"/>
        <w:gridCol w:w="1464"/>
        <w:gridCol w:w="1465"/>
      </w:tblGrid>
      <w:tr w:rsidR="00A117E4" w:rsidRPr="00B57B36" w14:paraId="0821F749" w14:textId="4BFE3545" w:rsidTr="00A117E4">
        <w:tc>
          <w:tcPr>
            <w:tcW w:w="1464" w:type="dxa"/>
            <w:tcBorders>
              <w:top w:val="single" w:sz="12" w:space="0" w:color="008000"/>
              <w:bottom w:val="single" w:sz="8" w:space="0" w:color="49701E"/>
            </w:tcBorders>
            <w:shd w:val="clear" w:color="auto" w:fill="FFFFFF"/>
          </w:tcPr>
          <w:p w14:paraId="7B4EE142" w14:textId="0114852C" w:rsidR="00A117E4" w:rsidRPr="00B57B36" w:rsidRDefault="00A117E4" w:rsidP="00A117E4">
            <w:pPr>
              <w:pStyle w:val="CETBodytext"/>
              <w:jc w:val="left"/>
              <w:rPr>
                <w:lang w:val="en-GB"/>
              </w:rPr>
            </w:pPr>
            <w:r>
              <w:t>Season</w:t>
            </w:r>
          </w:p>
        </w:tc>
        <w:tc>
          <w:tcPr>
            <w:tcW w:w="1465" w:type="dxa"/>
            <w:tcBorders>
              <w:bottom w:val="single" w:sz="8" w:space="0" w:color="49701E"/>
            </w:tcBorders>
          </w:tcPr>
          <w:p w14:paraId="1C248A67" w14:textId="0B458AB5" w:rsidR="00A117E4" w:rsidRDefault="00A117E4" w:rsidP="00A117E4">
            <w:pPr>
              <w:pStyle w:val="CETBodytext"/>
              <w:jc w:val="left"/>
              <w:rPr>
                <w:lang w:val="es-ES"/>
              </w:rPr>
            </w:pPr>
            <w:r w:rsidRPr="00EC4354">
              <w:t>No. of parcels</w:t>
            </w:r>
          </w:p>
        </w:tc>
        <w:tc>
          <w:tcPr>
            <w:tcW w:w="1464" w:type="dxa"/>
            <w:tcBorders>
              <w:bottom w:val="single" w:sz="8" w:space="0" w:color="49701E"/>
            </w:tcBorders>
          </w:tcPr>
          <w:p w14:paraId="40DE5AC6" w14:textId="05E6F991" w:rsidR="00A117E4" w:rsidRPr="00A117E4" w:rsidRDefault="00A117E4" w:rsidP="00A117E4">
            <w:pPr>
              <w:pStyle w:val="CETBodytext"/>
              <w:ind w:left="120"/>
              <w:jc w:val="left"/>
              <w:rPr>
                <w:lang w:val="en-GB"/>
              </w:rPr>
            </w:pPr>
            <w:r w:rsidRPr="00EC4354">
              <w:t>No. of varieties</w:t>
            </w:r>
          </w:p>
        </w:tc>
        <w:tc>
          <w:tcPr>
            <w:tcW w:w="1465" w:type="dxa"/>
            <w:tcBorders>
              <w:bottom w:val="single" w:sz="8" w:space="0" w:color="49701E"/>
            </w:tcBorders>
          </w:tcPr>
          <w:p w14:paraId="49F2A5C2" w14:textId="77777777" w:rsidR="00A117E4" w:rsidRDefault="00A117E4" w:rsidP="00A117E4">
            <w:pPr>
              <w:pStyle w:val="CETBodytext"/>
              <w:ind w:left="-11" w:right="-176"/>
              <w:jc w:val="left"/>
            </w:pPr>
            <w:r w:rsidRPr="00EC4354">
              <w:t>Total production</w:t>
            </w:r>
          </w:p>
          <w:p w14:paraId="2D4D311A" w14:textId="7940E734" w:rsidR="00A117E4" w:rsidRDefault="00A117E4" w:rsidP="00A117E4">
            <w:pPr>
              <w:pStyle w:val="CETBodytext"/>
              <w:ind w:left="-11" w:right="-176"/>
              <w:jc w:val="left"/>
              <w:rPr>
                <w:lang w:val="es-ES"/>
              </w:rPr>
            </w:pPr>
            <w:r w:rsidRPr="00EC4354">
              <w:t xml:space="preserve"> (t)</w:t>
            </w:r>
            <w:r>
              <w:t>*</w:t>
            </w:r>
          </w:p>
        </w:tc>
        <w:tc>
          <w:tcPr>
            <w:tcW w:w="1464" w:type="dxa"/>
            <w:tcBorders>
              <w:bottom w:val="single" w:sz="8" w:space="0" w:color="49701E"/>
            </w:tcBorders>
          </w:tcPr>
          <w:p w14:paraId="05617DC1" w14:textId="7023B4C3" w:rsidR="00A117E4" w:rsidRPr="00A117E4" w:rsidRDefault="00A117E4" w:rsidP="00A117E4">
            <w:pPr>
              <w:pStyle w:val="CETBodytext"/>
              <w:ind w:left="317"/>
              <w:jc w:val="left"/>
              <w:rPr>
                <w:lang w:val="en-GB"/>
              </w:rPr>
            </w:pPr>
            <w:r w:rsidRPr="00EC4354">
              <w:t>Total Area (ha)</w:t>
            </w:r>
          </w:p>
        </w:tc>
        <w:tc>
          <w:tcPr>
            <w:tcW w:w="1465" w:type="dxa"/>
            <w:tcBorders>
              <w:bottom w:val="single" w:sz="8" w:space="0" w:color="49701E"/>
            </w:tcBorders>
          </w:tcPr>
          <w:p w14:paraId="724E80F7" w14:textId="65E71212" w:rsidR="00A117E4" w:rsidRPr="00EC4354" w:rsidRDefault="00A117E4" w:rsidP="00A117E4">
            <w:pPr>
              <w:pStyle w:val="CETBodytext"/>
              <w:ind w:left="317"/>
              <w:jc w:val="left"/>
            </w:pPr>
            <w:r w:rsidRPr="00EC4354">
              <w:t>Yield (t/ha)</w:t>
            </w:r>
          </w:p>
        </w:tc>
      </w:tr>
      <w:tr w:rsidR="00A117E4" w:rsidRPr="00B57B36" w14:paraId="58DA2B50" w14:textId="48B668F5" w:rsidTr="00A117E4">
        <w:tc>
          <w:tcPr>
            <w:tcW w:w="1464" w:type="dxa"/>
            <w:tcBorders>
              <w:top w:val="single" w:sz="8" w:space="0" w:color="49701E"/>
              <w:bottom w:val="nil"/>
            </w:tcBorders>
            <w:shd w:val="clear" w:color="auto" w:fill="FFFFFF"/>
            <w:vAlign w:val="center"/>
          </w:tcPr>
          <w:p w14:paraId="1A185867" w14:textId="1DCA0028" w:rsidR="00A117E4" w:rsidRPr="000A0C46" w:rsidRDefault="00A117E4" w:rsidP="00A117E4">
            <w:pPr>
              <w:pStyle w:val="CETBodytext"/>
              <w:jc w:val="left"/>
              <w:rPr>
                <w:lang w:val="en-GB"/>
              </w:rPr>
            </w:pPr>
            <w:r w:rsidRPr="00422AFA">
              <w:t>2016/2017</w:t>
            </w:r>
          </w:p>
        </w:tc>
        <w:tc>
          <w:tcPr>
            <w:tcW w:w="1465" w:type="dxa"/>
            <w:tcBorders>
              <w:top w:val="single" w:sz="8" w:space="0" w:color="49701E"/>
            </w:tcBorders>
            <w:vAlign w:val="center"/>
          </w:tcPr>
          <w:p w14:paraId="330439B1" w14:textId="6974C4E3" w:rsidR="00A117E4" w:rsidRPr="006A4E62" w:rsidRDefault="00A117E4" w:rsidP="00A117E4">
            <w:pPr>
              <w:pStyle w:val="CETBodytext"/>
              <w:jc w:val="left"/>
              <w:rPr>
                <w:lang w:val="es-ES"/>
              </w:rPr>
            </w:pPr>
            <w:r w:rsidRPr="00422AFA">
              <w:t>1</w:t>
            </w:r>
            <w:r>
              <w:t>22</w:t>
            </w:r>
          </w:p>
        </w:tc>
        <w:tc>
          <w:tcPr>
            <w:tcW w:w="1464" w:type="dxa"/>
            <w:tcBorders>
              <w:top w:val="single" w:sz="8" w:space="0" w:color="49701E"/>
            </w:tcBorders>
            <w:vAlign w:val="center"/>
          </w:tcPr>
          <w:p w14:paraId="4425FFB6" w14:textId="3FB227CF" w:rsidR="00A117E4" w:rsidRPr="006A4E62" w:rsidRDefault="00A117E4" w:rsidP="00A117E4">
            <w:pPr>
              <w:pStyle w:val="CETBodytext"/>
              <w:ind w:left="120"/>
              <w:jc w:val="left"/>
              <w:rPr>
                <w:lang w:val="es-ES"/>
              </w:rPr>
            </w:pPr>
            <w:r w:rsidRPr="00422AFA">
              <w:t>13</w:t>
            </w:r>
          </w:p>
        </w:tc>
        <w:tc>
          <w:tcPr>
            <w:tcW w:w="1465" w:type="dxa"/>
            <w:tcBorders>
              <w:top w:val="single" w:sz="8" w:space="0" w:color="49701E"/>
            </w:tcBorders>
            <w:vAlign w:val="center"/>
          </w:tcPr>
          <w:p w14:paraId="00CFBCBE" w14:textId="30AE06E4" w:rsidR="00A117E4" w:rsidRPr="006A4E62" w:rsidRDefault="00A117E4" w:rsidP="00A117E4">
            <w:pPr>
              <w:pStyle w:val="CETBodytext"/>
              <w:ind w:left="-11"/>
              <w:jc w:val="left"/>
              <w:rPr>
                <w:lang w:val="es-ES"/>
              </w:rPr>
            </w:pPr>
            <w:r w:rsidRPr="00422AFA">
              <w:rPr>
                <w:lang w:val="en-GB"/>
              </w:rPr>
              <w:t>20,662.4</w:t>
            </w:r>
          </w:p>
        </w:tc>
        <w:tc>
          <w:tcPr>
            <w:tcW w:w="1464" w:type="dxa"/>
            <w:tcBorders>
              <w:top w:val="single" w:sz="8" w:space="0" w:color="49701E"/>
            </w:tcBorders>
            <w:vAlign w:val="center"/>
          </w:tcPr>
          <w:p w14:paraId="3C886D69" w14:textId="1F4B38BD" w:rsidR="00A117E4" w:rsidRPr="006A4E62" w:rsidRDefault="00A117E4" w:rsidP="00A117E4">
            <w:pPr>
              <w:pStyle w:val="CETBodytext"/>
              <w:ind w:left="317"/>
              <w:jc w:val="left"/>
              <w:rPr>
                <w:lang w:val="es-ES"/>
              </w:rPr>
            </w:pPr>
            <w:r w:rsidRPr="00084815">
              <w:rPr>
                <w:lang w:val="en-GB"/>
              </w:rPr>
              <w:t>556.43</w:t>
            </w:r>
          </w:p>
        </w:tc>
        <w:tc>
          <w:tcPr>
            <w:tcW w:w="1465" w:type="dxa"/>
            <w:tcBorders>
              <w:top w:val="single" w:sz="8" w:space="0" w:color="49701E"/>
            </w:tcBorders>
            <w:vAlign w:val="center"/>
          </w:tcPr>
          <w:p w14:paraId="18E56822" w14:textId="23CC7152" w:rsidR="00A117E4" w:rsidRPr="006A4E62" w:rsidRDefault="00A117E4" w:rsidP="00A117E4">
            <w:pPr>
              <w:pStyle w:val="CETBodytext"/>
              <w:ind w:left="317"/>
              <w:jc w:val="left"/>
              <w:rPr>
                <w:lang w:val="es-ES"/>
              </w:rPr>
            </w:pPr>
            <w:r w:rsidRPr="006853AA">
              <w:rPr>
                <w:lang w:val="en-GB"/>
              </w:rPr>
              <w:t>37</w:t>
            </w:r>
          </w:p>
        </w:tc>
      </w:tr>
      <w:tr w:rsidR="00A117E4" w:rsidRPr="00B57B36" w14:paraId="0E5F93FA" w14:textId="33D88DC2" w:rsidTr="00A117E4">
        <w:tc>
          <w:tcPr>
            <w:tcW w:w="1464" w:type="dxa"/>
            <w:tcBorders>
              <w:top w:val="nil"/>
              <w:bottom w:val="nil"/>
            </w:tcBorders>
            <w:shd w:val="clear" w:color="auto" w:fill="FFFFFF"/>
            <w:vAlign w:val="center"/>
          </w:tcPr>
          <w:p w14:paraId="44BC7D05" w14:textId="75241547" w:rsidR="00A117E4" w:rsidRPr="000A0C46" w:rsidRDefault="00A117E4" w:rsidP="00A117E4">
            <w:pPr>
              <w:pStyle w:val="CETBodytext"/>
              <w:jc w:val="left"/>
              <w:rPr>
                <w:lang w:val="en-GB"/>
              </w:rPr>
            </w:pPr>
            <w:r w:rsidRPr="00422AFA">
              <w:rPr>
                <w:lang w:val="en-GB"/>
              </w:rPr>
              <w:t>2017/2018</w:t>
            </w:r>
          </w:p>
        </w:tc>
        <w:tc>
          <w:tcPr>
            <w:tcW w:w="1465" w:type="dxa"/>
            <w:vAlign w:val="center"/>
          </w:tcPr>
          <w:p w14:paraId="0E15044F" w14:textId="0451315E" w:rsidR="00A117E4" w:rsidRPr="006A4E62" w:rsidRDefault="00A117E4" w:rsidP="00A117E4">
            <w:pPr>
              <w:pStyle w:val="CETBodytext"/>
              <w:jc w:val="left"/>
              <w:rPr>
                <w:lang w:val="es-ES"/>
              </w:rPr>
            </w:pPr>
            <w:r w:rsidRPr="00B0110E">
              <w:rPr>
                <w:lang w:val="en-GB"/>
              </w:rPr>
              <w:t>1</w:t>
            </w:r>
            <w:r>
              <w:rPr>
                <w:lang w:val="en-GB"/>
              </w:rPr>
              <w:t>11</w:t>
            </w:r>
          </w:p>
        </w:tc>
        <w:tc>
          <w:tcPr>
            <w:tcW w:w="1464" w:type="dxa"/>
            <w:vAlign w:val="center"/>
          </w:tcPr>
          <w:p w14:paraId="5752F5DB" w14:textId="39DF9E44" w:rsidR="00A117E4" w:rsidRPr="006A4E62" w:rsidRDefault="00A117E4" w:rsidP="00A117E4">
            <w:pPr>
              <w:pStyle w:val="CETBodytext"/>
              <w:ind w:left="120"/>
              <w:jc w:val="left"/>
              <w:rPr>
                <w:lang w:val="es-ES"/>
              </w:rPr>
            </w:pPr>
            <w:r w:rsidRPr="00422AFA">
              <w:rPr>
                <w:lang w:val="es-ES"/>
              </w:rPr>
              <w:t>14</w:t>
            </w:r>
          </w:p>
        </w:tc>
        <w:tc>
          <w:tcPr>
            <w:tcW w:w="1465" w:type="dxa"/>
            <w:vAlign w:val="center"/>
          </w:tcPr>
          <w:p w14:paraId="24AEC460" w14:textId="52C77C9B" w:rsidR="00A117E4" w:rsidRPr="006A4E62" w:rsidRDefault="00A117E4" w:rsidP="00A117E4">
            <w:pPr>
              <w:pStyle w:val="CETBodytext"/>
              <w:ind w:left="-11"/>
              <w:jc w:val="left"/>
              <w:rPr>
                <w:lang w:val="es-ES"/>
              </w:rPr>
            </w:pPr>
            <w:r w:rsidRPr="00B0110E">
              <w:rPr>
                <w:lang w:val="en-GB"/>
              </w:rPr>
              <w:t>19,543.5​</w:t>
            </w:r>
          </w:p>
        </w:tc>
        <w:tc>
          <w:tcPr>
            <w:tcW w:w="1464" w:type="dxa"/>
            <w:vAlign w:val="center"/>
          </w:tcPr>
          <w:p w14:paraId="5FB06D57" w14:textId="4A042159" w:rsidR="00A117E4" w:rsidRPr="006A4E62" w:rsidRDefault="00A117E4" w:rsidP="00A117E4">
            <w:pPr>
              <w:pStyle w:val="CETBodytext"/>
              <w:ind w:left="317"/>
              <w:jc w:val="left"/>
              <w:rPr>
                <w:lang w:val="es-ES"/>
              </w:rPr>
            </w:pPr>
            <w:r w:rsidRPr="00CE7E6B">
              <w:rPr>
                <w:lang w:val="en-GB"/>
              </w:rPr>
              <w:t>577.66</w:t>
            </w:r>
          </w:p>
        </w:tc>
        <w:tc>
          <w:tcPr>
            <w:tcW w:w="1465" w:type="dxa"/>
            <w:vAlign w:val="center"/>
          </w:tcPr>
          <w:p w14:paraId="15C3282A" w14:textId="1B802169" w:rsidR="00A117E4" w:rsidRPr="006A4E62" w:rsidRDefault="00A117E4" w:rsidP="00A117E4">
            <w:pPr>
              <w:pStyle w:val="CETBodytext"/>
              <w:ind w:left="317"/>
              <w:jc w:val="left"/>
              <w:rPr>
                <w:lang w:val="es-ES"/>
              </w:rPr>
            </w:pPr>
            <w:r w:rsidRPr="006853AA">
              <w:rPr>
                <w:lang w:val="en-GB"/>
              </w:rPr>
              <w:t>34</w:t>
            </w:r>
          </w:p>
        </w:tc>
      </w:tr>
      <w:tr w:rsidR="00A117E4" w:rsidRPr="00B57B36" w14:paraId="7B7D53A8" w14:textId="7AE8A12E" w:rsidTr="00A117E4">
        <w:tc>
          <w:tcPr>
            <w:tcW w:w="1464" w:type="dxa"/>
            <w:tcBorders>
              <w:top w:val="nil"/>
              <w:bottom w:val="nil"/>
            </w:tcBorders>
            <w:shd w:val="clear" w:color="auto" w:fill="FFFFFF"/>
            <w:vAlign w:val="center"/>
          </w:tcPr>
          <w:p w14:paraId="03BC8A7B" w14:textId="1D8E76F6" w:rsidR="00A117E4" w:rsidRPr="00B57B36" w:rsidRDefault="00A117E4" w:rsidP="00A117E4">
            <w:pPr>
              <w:pStyle w:val="CETBodytext"/>
              <w:jc w:val="left"/>
              <w:rPr>
                <w:lang w:val="en-GB"/>
              </w:rPr>
            </w:pPr>
            <w:r w:rsidRPr="00422AFA">
              <w:rPr>
                <w:lang w:val="es-ES"/>
              </w:rPr>
              <w:t>2018/2019</w:t>
            </w:r>
          </w:p>
        </w:tc>
        <w:tc>
          <w:tcPr>
            <w:tcW w:w="1465" w:type="dxa"/>
            <w:vAlign w:val="center"/>
          </w:tcPr>
          <w:p w14:paraId="73194E0C" w14:textId="7D768F95" w:rsidR="00A117E4" w:rsidRPr="006A4E62" w:rsidRDefault="00A117E4" w:rsidP="00A117E4">
            <w:pPr>
              <w:pStyle w:val="CETBodytext"/>
              <w:jc w:val="left"/>
              <w:rPr>
                <w:lang w:val="es-ES"/>
              </w:rPr>
            </w:pPr>
            <w:r w:rsidRPr="00B0110E">
              <w:rPr>
                <w:lang w:val="en-GB"/>
              </w:rPr>
              <w:t>1</w:t>
            </w:r>
            <w:r>
              <w:rPr>
                <w:lang w:val="en-GB"/>
              </w:rPr>
              <w:t>50</w:t>
            </w:r>
          </w:p>
        </w:tc>
        <w:tc>
          <w:tcPr>
            <w:tcW w:w="1464" w:type="dxa"/>
            <w:vAlign w:val="center"/>
          </w:tcPr>
          <w:p w14:paraId="2CD4197F" w14:textId="486F4DA0" w:rsidR="00A117E4" w:rsidRPr="006A4E62" w:rsidRDefault="00A117E4" w:rsidP="00A117E4">
            <w:pPr>
              <w:pStyle w:val="CETBodytext"/>
              <w:ind w:left="120"/>
              <w:jc w:val="left"/>
              <w:rPr>
                <w:lang w:val="es-ES"/>
              </w:rPr>
            </w:pPr>
            <w:r w:rsidRPr="00422AFA">
              <w:rPr>
                <w:lang w:val="es-ES"/>
              </w:rPr>
              <w:t>16</w:t>
            </w:r>
          </w:p>
        </w:tc>
        <w:tc>
          <w:tcPr>
            <w:tcW w:w="1465" w:type="dxa"/>
            <w:vAlign w:val="center"/>
          </w:tcPr>
          <w:p w14:paraId="5FE2EFC8" w14:textId="7101CEC2" w:rsidR="00A117E4" w:rsidRPr="006A4E62" w:rsidRDefault="00A117E4" w:rsidP="00A117E4">
            <w:pPr>
              <w:pStyle w:val="CETBodytext"/>
              <w:ind w:left="-11"/>
              <w:jc w:val="left"/>
              <w:rPr>
                <w:lang w:val="es-ES"/>
              </w:rPr>
            </w:pPr>
            <w:r w:rsidRPr="00422AFA">
              <w:rPr>
                <w:lang w:val="es-ES"/>
              </w:rPr>
              <w:t>34,127.2</w:t>
            </w:r>
          </w:p>
        </w:tc>
        <w:tc>
          <w:tcPr>
            <w:tcW w:w="1464" w:type="dxa"/>
            <w:vAlign w:val="center"/>
          </w:tcPr>
          <w:p w14:paraId="2015B2E9" w14:textId="6D65EE4C" w:rsidR="00A117E4" w:rsidRPr="006A4E62" w:rsidRDefault="00A117E4" w:rsidP="00A117E4">
            <w:pPr>
              <w:pStyle w:val="CETBodytext"/>
              <w:ind w:left="317"/>
              <w:jc w:val="left"/>
              <w:rPr>
                <w:lang w:val="es-ES"/>
              </w:rPr>
            </w:pPr>
            <w:r w:rsidRPr="00CE7E6B">
              <w:rPr>
                <w:lang w:val="en-GB"/>
              </w:rPr>
              <w:t>741.82</w:t>
            </w:r>
          </w:p>
        </w:tc>
        <w:tc>
          <w:tcPr>
            <w:tcW w:w="1465" w:type="dxa"/>
            <w:vAlign w:val="center"/>
          </w:tcPr>
          <w:p w14:paraId="497C5E51" w14:textId="7A73C354" w:rsidR="00A117E4" w:rsidRPr="006A4E62" w:rsidRDefault="00A117E4" w:rsidP="00A117E4">
            <w:pPr>
              <w:pStyle w:val="CETBodytext"/>
              <w:ind w:left="317"/>
              <w:jc w:val="left"/>
              <w:rPr>
                <w:lang w:val="es-ES"/>
              </w:rPr>
            </w:pPr>
            <w:r w:rsidRPr="006853AA">
              <w:rPr>
                <w:lang w:val="en-GB"/>
              </w:rPr>
              <w:t>46</w:t>
            </w:r>
          </w:p>
        </w:tc>
      </w:tr>
      <w:tr w:rsidR="00A117E4" w:rsidRPr="00B57B36" w14:paraId="3C3EE686" w14:textId="433B25F6" w:rsidTr="00A117E4">
        <w:tc>
          <w:tcPr>
            <w:tcW w:w="1464" w:type="dxa"/>
            <w:tcBorders>
              <w:top w:val="nil"/>
              <w:bottom w:val="nil"/>
            </w:tcBorders>
            <w:shd w:val="clear" w:color="auto" w:fill="FFFFFF"/>
            <w:vAlign w:val="center"/>
          </w:tcPr>
          <w:p w14:paraId="11FF4B05" w14:textId="4619791B" w:rsidR="00A117E4" w:rsidRPr="006A4E62" w:rsidRDefault="00A117E4" w:rsidP="00A117E4">
            <w:pPr>
              <w:pStyle w:val="CETBodytext"/>
              <w:jc w:val="left"/>
              <w:rPr>
                <w:lang w:val="es-ES"/>
              </w:rPr>
            </w:pPr>
            <w:r w:rsidRPr="000A2CBF">
              <w:rPr>
                <w:lang w:val="es-ES"/>
              </w:rPr>
              <w:t>2019/2020</w:t>
            </w:r>
          </w:p>
        </w:tc>
        <w:tc>
          <w:tcPr>
            <w:tcW w:w="1465" w:type="dxa"/>
            <w:vAlign w:val="center"/>
          </w:tcPr>
          <w:p w14:paraId="09EDC361" w14:textId="5A47E9EF" w:rsidR="00A117E4" w:rsidRPr="006A4E62" w:rsidRDefault="00A117E4" w:rsidP="00A117E4">
            <w:pPr>
              <w:pStyle w:val="CETBodytext"/>
              <w:jc w:val="left"/>
              <w:rPr>
                <w:lang w:val="es-ES"/>
              </w:rPr>
            </w:pPr>
            <w:r w:rsidRPr="00CE7E6B">
              <w:rPr>
                <w:lang w:val="en-GB"/>
              </w:rPr>
              <w:t>150</w:t>
            </w:r>
          </w:p>
        </w:tc>
        <w:tc>
          <w:tcPr>
            <w:tcW w:w="1464" w:type="dxa"/>
            <w:vAlign w:val="center"/>
          </w:tcPr>
          <w:p w14:paraId="016D1B70" w14:textId="13E64999" w:rsidR="00A117E4" w:rsidRPr="006A4E62" w:rsidRDefault="00A117E4" w:rsidP="00A117E4">
            <w:pPr>
              <w:pStyle w:val="CETBodytext"/>
              <w:ind w:left="120"/>
              <w:jc w:val="left"/>
              <w:rPr>
                <w:lang w:val="es-ES"/>
              </w:rPr>
            </w:pPr>
            <w:r w:rsidRPr="000A2CBF">
              <w:rPr>
                <w:lang w:val="es-ES"/>
              </w:rPr>
              <w:t>15</w:t>
            </w:r>
          </w:p>
        </w:tc>
        <w:tc>
          <w:tcPr>
            <w:tcW w:w="1465" w:type="dxa"/>
            <w:vAlign w:val="center"/>
          </w:tcPr>
          <w:p w14:paraId="51C237D5" w14:textId="04A228E9" w:rsidR="00A117E4" w:rsidRPr="006A4E62" w:rsidRDefault="00A117E4" w:rsidP="00A117E4">
            <w:pPr>
              <w:pStyle w:val="CETBodytext"/>
              <w:ind w:left="-11"/>
              <w:jc w:val="left"/>
              <w:rPr>
                <w:lang w:val="es-ES"/>
              </w:rPr>
            </w:pPr>
            <w:r w:rsidRPr="00B0110E">
              <w:rPr>
                <w:lang w:val="en-GB"/>
              </w:rPr>
              <w:t>23,998.1​</w:t>
            </w:r>
          </w:p>
        </w:tc>
        <w:tc>
          <w:tcPr>
            <w:tcW w:w="1464" w:type="dxa"/>
            <w:vAlign w:val="center"/>
          </w:tcPr>
          <w:p w14:paraId="22E4BD4D" w14:textId="5C081A35" w:rsidR="00A117E4" w:rsidRPr="006A4E62" w:rsidRDefault="00A117E4" w:rsidP="00A117E4">
            <w:pPr>
              <w:pStyle w:val="CETBodytext"/>
              <w:ind w:left="317"/>
              <w:jc w:val="left"/>
              <w:rPr>
                <w:lang w:val="es-ES"/>
              </w:rPr>
            </w:pPr>
            <w:r w:rsidRPr="00CE7E6B">
              <w:rPr>
                <w:lang w:val="en-GB"/>
              </w:rPr>
              <w:t>526.58</w:t>
            </w:r>
          </w:p>
        </w:tc>
        <w:tc>
          <w:tcPr>
            <w:tcW w:w="1465" w:type="dxa"/>
            <w:vAlign w:val="center"/>
          </w:tcPr>
          <w:p w14:paraId="4F2C34B8" w14:textId="3DE2397F" w:rsidR="00A117E4" w:rsidRPr="006A4E62" w:rsidRDefault="00A117E4" w:rsidP="00A117E4">
            <w:pPr>
              <w:pStyle w:val="CETBodytext"/>
              <w:ind w:left="317"/>
              <w:jc w:val="left"/>
              <w:rPr>
                <w:lang w:val="es-ES"/>
              </w:rPr>
            </w:pPr>
            <w:r w:rsidRPr="006853AA">
              <w:rPr>
                <w:lang w:val="en-GB"/>
              </w:rPr>
              <w:t>46</w:t>
            </w:r>
          </w:p>
        </w:tc>
      </w:tr>
      <w:tr w:rsidR="00A117E4" w:rsidRPr="00B57B36" w14:paraId="0208B9B6" w14:textId="6DEF5553" w:rsidTr="00A117E4">
        <w:tc>
          <w:tcPr>
            <w:tcW w:w="1464" w:type="dxa"/>
            <w:tcBorders>
              <w:top w:val="nil"/>
              <w:bottom w:val="nil"/>
            </w:tcBorders>
            <w:shd w:val="clear" w:color="auto" w:fill="FFFFFF"/>
            <w:vAlign w:val="center"/>
          </w:tcPr>
          <w:p w14:paraId="541E7B52" w14:textId="2AC4999A" w:rsidR="00A117E4" w:rsidRPr="006A4E62" w:rsidRDefault="00A117E4" w:rsidP="00A117E4">
            <w:pPr>
              <w:pStyle w:val="CETBodytext"/>
              <w:jc w:val="left"/>
              <w:rPr>
                <w:lang w:val="es-ES"/>
              </w:rPr>
            </w:pPr>
            <w:r w:rsidRPr="000A2CBF">
              <w:rPr>
                <w:lang w:val="es-ES"/>
              </w:rPr>
              <w:t>2020/2021</w:t>
            </w:r>
          </w:p>
        </w:tc>
        <w:tc>
          <w:tcPr>
            <w:tcW w:w="1465" w:type="dxa"/>
            <w:vAlign w:val="center"/>
          </w:tcPr>
          <w:p w14:paraId="306DCE0F" w14:textId="534561F7" w:rsidR="00A117E4" w:rsidRPr="006A4E62" w:rsidRDefault="00A117E4" w:rsidP="00A117E4">
            <w:pPr>
              <w:pStyle w:val="CETBodytext"/>
              <w:jc w:val="left"/>
              <w:rPr>
                <w:lang w:val="es-ES"/>
              </w:rPr>
            </w:pPr>
            <w:r>
              <w:rPr>
                <w:lang w:val="es-ES"/>
              </w:rPr>
              <w:t>117</w:t>
            </w:r>
          </w:p>
        </w:tc>
        <w:tc>
          <w:tcPr>
            <w:tcW w:w="1464" w:type="dxa"/>
            <w:vAlign w:val="center"/>
          </w:tcPr>
          <w:p w14:paraId="7F86E40C" w14:textId="27CC2357" w:rsidR="00A117E4" w:rsidRPr="006A4E62" w:rsidRDefault="00A117E4" w:rsidP="00A117E4">
            <w:pPr>
              <w:pStyle w:val="CETBodytext"/>
              <w:ind w:left="120"/>
              <w:jc w:val="left"/>
              <w:rPr>
                <w:lang w:val="es-ES"/>
              </w:rPr>
            </w:pPr>
            <w:r w:rsidRPr="000A2CBF">
              <w:rPr>
                <w:lang w:val="es-ES"/>
              </w:rPr>
              <w:t>13</w:t>
            </w:r>
          </w:p>
        </w:tc>
        <w:tc>
          <w:tcPr>
            <w:tcW w:w="1465" w:type="dxa"/>
            <w:vAlign w:val="center"/>
          </w:tcPr>
          <w:p w14:paraId="74E78EF3" w14:textId="5D747594" w:rsidR="00A117E4" w:rsidRPr="006A4E62" w:rsidRDefault="00A117E4" w:rsidP="00A117E4">
            <w:pPr>
              <w:pStyle w:val="CETBodytext"/>
              <w:ind w:left="-11"/>
              <w:jc w:val="left"/>
              <w:rPr>
                <w:lang w:val="es-ES"/>
              </w:rPr>
            </w:pPr>
            <w:r w:rsidRPr="00B0110E">
              <w:rPr>
                <w:lang w:val="en-GB"/>
              </w:rPr>
              <w:t>19,557.9</w:t>
            </w:r>
          </w:p>
        </w:tc>
        <w:tc>
          <w:tcPr>
            <w:tcW w:w="1464" w:type="dxa"/>
            <w:vAlign w:val="center"/>
          </w:tcPr>
          <w:p w14:paraId="72640460" w14:textId="57CF98B7" w:rsidR="00A117E4" w:rsidRPr="006A4E62" w:rsidRDefault="00A117E4" w:rsidP="00A117E4">
            <w:pPr>
              <w:pStyle w:val="CETBodytext"/>
              <w:ind w:left="317"/>
              <w:jc w:val="left"/>
              <w:rPr>
                <w:lang w:val="es-ES"/>
              </w:rPr>
            </w:pPr>
            <w:r w:rsidRPr="00CE7E6B">
              <w:rPr>
                <w:lang w:val="en-GB"/>
              </w:rPr>
              <w:t>440.25</w:t>
            </w:r>
          </w:p>
        </w:tc>
        <w:tc>
          <w:tcPr>
            <w:tcW w:w="1465" w:type="dxa"/>
            <w:vAlign w:val="center"/>
          </w:tcPr>
          <w:p w14:paraId="11A9533B" w14:textId="5222782D" w:rsidR="00A117E4" w:rsidRPr="006A4E62" w:rsidRDefault="00A117E4" w:rsidP="00A117E4">
            <w:pPr>
              <w:pStyle w:val="CETBodytext"/>
              <w:ind w:left="317"/>
              <w:jc w:val="left"/>
              <w:rPr>
                <w:lang w:val="es-ES"/>
              </w:rPr>
            </w:pPr>
            <w:r w:rsidRPr="006853AA">
              <w:rPr>
                <w:lang w:val="en-GB"/>
              </w:rPr>
              <w:t>44</w:t>
            </w:r>
          </w:p>
        </w:tc>
      </w:tr>
      <w:tr w:rsidR="00A117E4" w:rsidRPr="00B57B36" w14:paraId="7FF87DCE" w14:textId="27EABE80" w:rsidTr="00A117E4">
        <w:tc>
          <w:tcPr>
            <w:tcW w:w="1464" w:type="dxa"/>
            <w:tcBorders>
              <w:top w:val="nil"/>
              <w:bottom w:val="nil"/>
            </w:tcBorders>
            <w:shd w:val="clear" w:color="auto" w:fill="FFFFFF"/>
            <w:vAlign w:val="center"/>
          </w:tcPr>
          <w:p w14:paraId="23C91EB6" w14:textId="0F692C12" w:rsidR="00A117E4" w:rsidRPr="006A4E62" w:rsidRDefault="00A117E4" w:rsidP="00A117E4">
            <w:pPr>
              <w:pStyle w:val="CETBodytext"/>
              <w:jc w:val="left"/>
              <w:rPr>
                <w:lang w:val="es-ES"/>
              </w:rPr>
            </w:pPr>
            <w:r w:rsidRPr="000A2CBF">
              <w:rPr>
                <w:lang w:val="es-ES"/>
              </w:rPr>
              <w:t>2021/2022</w:t>
            </w:r>
          </w:p>
        </w:tc>
        <w:tc>
          <w:tcPr>
            <w:tcW w:w="1465" w:type="dxa"/>
            <w:vAlign w:val="center"/>
          </w:tcPr>
          <w:p w14:paraId="75ABEA4F" w14:textId="50CC5A39" w:rsidR="00A117E4" w:rsidRPr="006A4E62" w:rsidRDefault="00A117E4" w:rsidP="00A117E4">
            <w:pPr>
              <w:pStyle w:val="CETBodytext"/>
              <w:jc w:val="left"/>
              <w:rPr>
                <w:lang w:val="es-ES"/>
              </w:rPr>
            </w:pPr>
            <w:r w:rsidRPr="00CE7E6B">
              <w:rPr>
                <w:lang w:val="en-GB"/>
              </w:rPr>
              <w:t>169</w:t>
            </w:r>
          </w:p>
        </w:tc>
        <w:tc>
          <w:tcPr>
            <w:tcW w:w="1464" w:type="dxa"/>
            <w:vAlign w:val="center"/>
          </w:tcPr>
          <w:p w14:paraId="5F48C066" w14:textId="4AAE1293" w:rsidR="00A117E4" w:rsidRPr="006A4E62" w:rsidRDefault="00A117E4" w:rsidP="00A117E4">
            <w:pPr>
              <w:pStyle w:val="CETBodytext"/>
              <w:ind w:left="120"/>
              <w:jc w:val="left"/>
              <w:rPr>
                <w:lang w:val="es-ES"/>
              </w:rPr>
            </w:pPr>
            <w:r w:rsidRPr="000A2CBF">
              <w:rPr>
                <w:lang w:val="es-ES"/>
              </w:rPr>
              <w:t>16</w:t>
            </w:r>
          </w:p>
        </w:tc>
        <w:tc>
          <w:tcPr>
            <w:tcW w:w="1465" w:type="dxa"/>
            <w:vAlign w:val="center"/>
          </w:tcPr>
          <w:p w14:paraId="0509F1E2" w14:textId="130B7163" w:rsidR="00A117E4" w:rsidRPr="006A4E62" w:rsidRDefault="00A117E4" w:rsidP="00A117E4">
            <w:pPr>
              <w:pStyle w:val="CETBodytext"/>
              <w:ind w:left="-11"/>
              <w:jc w:val="left"/>
              <w:rPr>
                <w:lang w:val="es-ES"/>
              </w:rPr>
            </w:pPr>
            <w:r w:rsidRPr="00EC4354">
              <w:rPr>
                <w:lang w:val="en-GB"/>
              </w:rPr>
              <w:t>35,169.9</w:t>
            </w:r>
          </w:p>
        </w:tc>
        <w:tc>
          <w:tcPr>
            <w:tcW w:w="1464" w:type="dxa"/>
            <w:vAlign w:val="center"/>
          </w:tcPr>
          <w:p w14:paraId="699122FF" w14:textId="3909B097" w:rsidR="00A117E4" w:rsidRPr="006A4E62" w:rsidRDefault="00A117E4" w:rsidP="00A117E4">
            <w:pPr>
              <w:pStyle w:val="CETBodytext"/>
              <w:ind w:left="317"/>
              <w:jc w:val="left"/>
              <w:rPr>
                <w:lang w:val="es-ES"/>
              </w:rPr>
            </w:pPr>
            <w:r w:rsidRPr="00CE7E6B">
              <w:rPr>
                <w:lang w:val="en-GB"/>
              </w:rPr>
              <w:t>751.59</w:t>
            </w:r>
          </w:p>
        </w:tc>
        <w:tc>
          <w:tcPr>
            <w:tcW w:w="1465" w:type="dxa"/>
            <w:vAlign w:val="center"/>
          </w:tcPr>
          <w:p w14:paraId="739AF396" w14:textId="43C87197" w:rsidR="00A117E4" w:rsidRPr="006A4E62" w:rsidRDefault="00A117E4" w:rsidP="00A117E4">
            <w:pPr>
              <w:pStyle w:val="CETBodytext"/>
              <w:ind w:left="317"/>
              <w:jc w:val="left"/>
              <w:rPr>
                <w:lang w:val="es-ES"/>
              </w:rPr>
            </w:pPr>
            <w:r w:rsidRPr="006853AA">
              <w:rPr>
                <w:lang w:val="en-GB"/>
              </w:rPr>
              <w:t>47</w:t>
            </w:r>
          </w:p>
        </w:tc>
      </w:tr>
      <w:tr w:rsidR="00A117E4" w:rsidRPr="00B57B36" w14:paraId="19308637" w14:textId="1A7FBF73" w:rsidTr="00A117E4">
        <w:tc>
          <w:tcPr>
            <w:tcW w:w="1464" w:type="dxa"/>
            <w:tcBorders>
              <w:top w:val="nil"/>
              <w:bottom w:val="nil"/>
            </w:tcBorders>
            <w:shd w:val="clear" w:color="auto" w:fill="FFFFFF"/>
            <w:vAlign w:val="center"/>
          </w:tcPr>
          <w:p w14:paraId="7AFF3A9F" w14:textId="7BBA746F" w:rsidR="00A117E4" w:rsidRPr="006A4E62" w:rsidRDefault="00A117E4" w:rsidP="00A117E4">
            <w:pPr>
              <w:pStyle w:val="CETBodytext"/>
              <w:jc w:val="left"/>
              <w:rPr>
                <w:lang w:val="es-ES"/>
              </w:rPr>
            </w:pPr>
            <w:r w:rsidRPr="00933824">
              <w:rPr>
                <w:lang w:val="es-ES"/>
              </w:rPr>
              <w:t>2022/2023</w:t>
            </w:r>
          </w:p>
        </w:tc>
        <w:tc>
          <w:tcPr>
            <w:tcW w:w="1465" w:type="dxa"/>
            <w:vAlign w:val="center"/>
          </w:tcPr>
          <w:p w14:paraId="2C78F075" w14:textId="3B11CA93" w:rsidR="00A117E4" w:rsidRPr="006A4E62" w:rsidRDefault="00A117E4" w:rsidP="00A117E4">
            <w:pPr>
              <w:pStyle w:val="CETBodytext"/>
              <w:jc w:val="left"/>
              <w:rPr>
                <w:lang w:val="es-ES"/>
              </w:rPr>
            </w:pPr>
            <w:r w:rsidRPr="00933824">
              <w:rPr>
                <w:lang w:val="es-ES"/>
              </w:rPr>
              <w:t>1</w:t>
            </w:r>
            <w:r>
              <w:rPr>
                <w:lang w:val="es-ES"/>
              </w:rPr>
              <w:t>37</w:t>
            </w:r>
          </w:p>
        </w:tc>
        <w:tc>
          <w:tcPr>
            <w:tcW w:w="1464" w:type="dxa"/>
            <w:vAlign w:val="center"/>
          </w:tcPr>
          <w:p w14:paraId="36AD745F" w14:textId="349533CF" w:rsidR="00A117E4" w:rsidRPr="006A4E62" w:rsidRDefault="00A117E4" w:rsidP="00A117E4">
            <w:pPr>
              <w:pStyle w:val="CETBodytext"/>
              <w:ind w:left="120"/>
              <w:jc w:val="left"/>
              <w:rPr>
                <w:lang w:val="es-ES"/>
              </w:rPr>
            </w:pPr>
            <w:r w:rsidRPr="00933824">
              <w:rPr>
                <w:lang w:val="es-ES"/>
              </w:rPr>
              <w:t>12</w:t>
            </w:r>
          </w:p>
        </w:tc>
        <w:tc>
          <w:tcPr>
            <w:tcW w:w="1465" w:type="dxa"/>
            <w:vAlign w:val="center"/>
          </w:tcPr>
          <w:p w14:paraId="37563F5F" w14:textId="5AF14DD6" w:rsidR="00A117E4" w:rsidRPr="006A4E62" w:rsidRDefault="00A117E4" w:rsidP="00A117E4">
            <w:pPr>
              <w:pStyle w:val="CETBodytext"/>
              <w:ind w:left="-11"/>
              <w:jc w:val="left"/>
              <w:rPr>
                <w:lang w:val="es-ES"/>
              </w:rPr>
            </w:pPr>
            <w:r w:rsidRPr="00EC4354">
              <w:rPr>
                <w:lang w:val="en-GB"/>
              </w:rPr>
              <w:t>16,069.2</w:t>
            </w:r>
          </w:p>
        </w:tc>
        <w:tc>
          <w:tcPr>
            <w:tcW w:w="1464" w:type="dxa"/>
            <w:vAlign w:val="center"/>
          </w:tcPr>
          <w:p w14:paraId="02C9F7B5" w14:textId="7643E913" w:rsidR="00A117E4" w:rsidRPr="006A4E62" w:rsidRDefault="00A117E4" w:rsidP="00A117E4">
            <w:pPr>
              <w:pStyle w:val="CETBodytext"/>
              <w:ind w:left="317"/>
              <w:jc w:val="left"/>
              <w:rPr>
                <w:lang w:val="es-ES"/>
              </w:rPr>
            </w:pPr>
            <w:r w:rsidRPr="006853AA">
              <w:rPr>
                <w:lang w:val="en-GB"/>
              </w:rPr>
              <w:t>506.83</w:t>
            </w:r>
          </w:p>
        </w:tc>
        <w:tc>
          <w:tcPr>
            <w:tcW w:w="1465" w:type="dxa"/>
            <w:vAlign w:val="center"/>
          </w:tcPr>
          <w:p w14:paraId="31E05F4B" w14:textId="2651720B" w:rsidR="00A117E4" w:rsidRPr="006A4E62" w:rsidRDefault="00A117E4" w:rsidP="00A117E4">
            <w:pPr>
              <w:pStyle w:val="CETBodytext"/>
              <w:ind w:left="317"/>
              <w:jc w:val="left"/>
              <w:rPr>
                <w:lang w:val="es-ES"/>
              </w:rPr>
            </w:pPr>
            <w:r w:rsidRPr="006853AA">
              <w:rPr>
                <w:lang w:val="en-GB"/>
              </w:rPr>
              <w:t>32</w:t>
            </w:r>
          </w:p>
        </w:tc>
      </w:tr>
      <w:tr w:rsidR="00A117E4" w:rsidRPr="00B57B36" w14:paraId="024A21F8" w14:textId="07B482C9" w:rsidTr="00A117E4">
        <w:trPr>
          <w:trHeight w:val="164"/>
        </w:trPr>
        <w:tc>
          <w:tcPr>
            <w:tcW w:w="1464" w:type="dxa"/>
            <w:tcBorders>
              <w:top w:val="nil"/>
              <w:bottom w:val="nil"/>
            </w:tcBorders>
            <w:shd w:val="clear" w:color="auto" w:fill="FFFFFF"/>
            <w:vAlign w:val="center"/>
          </w:tcPr>
          <w:p w14:paraId="7599ACF1" w14:textId="1D90D874" w:rsidR="00A117E4" w:rsidRPr="006A4E62" w:rsidRDefault="00A117E4" w:rsidP="00A117E4">
            <w:pPr>
              <w:pStyle w:val="CETBodytext"/>
              <w:jc w:val="left"/>
              <w:rPr>
                <w:lang w:val="es-ES"/>
              </w:rPr>
            </w:pPr>
            <w:r w:rsidRPr="00933824">
              <w:rPr>
                <w:lang w:val="es-ES"/>
              </w:rPr>
              <w:t>2023/2024</w:t>
            </w:r>
          </w:p>
        </w:tc>
        <w:tc>
          <w:tcPr>
            <w:tcW w:w="1465" w:type="dxa"/>
            <w:vAlign w:val="center"/>
          </w:tcPr>
          <w:p w14:paraId="238C9CE7" w14:textId="58CCA66B" w:rsidR="00A117E4" w:rsidRPr="006A4E62" w:rsidRDefault="00A117E4" w:rsidP="00A117E4">
            <w:pPr>
              <w:pStyle w:val="CETBodytext"/>
              <w:jc w:val="left"/>
              <w:rPr>
                <w:lang w:val="es-ES"/>
              </w:rPr>
            </w:pPr>
            <w:r w:rsidRPr="00933824">
              <w:rPr>
                <w:lang w:val="es-ES"/>
              </w:rPr>
              <w:t>1</w:t>
            </w:r>
            <w:r>
              <w:rPr>
                <w:lang w:val="es-ES"/>
              </w:rPr>
              <w:t>30</w:t>
            </w:r>
          </w:p>
        </w:tc>
        <w:tc>
          <w:tcPr>
            <w:tcW w:w="1464" w:type="dxa"/>
            <w:vAlign w:val="center"/>
          </w:tcPr>
          <w:p w14:paraId="646C0D6D" w14:textId="3E192D44" w:rsidR="00A117E4" w:rsidRPr="006A4E62" w:rsidRDefault="00A117E4" w:rsidP="00A117E4">
            <w:pPr>
              <w:pStyle w:val="CETBodytext"/>
              <w:ind w:left="120"/>
              <w:jc w:val="left"/>
              <w:rPr>
                <w:lang w:val="es-ES"/>
              </w:rPr>
            </w:pPr>
            <w:r w:rsidRPr="00933824">
              <w:rPr>
                <w:lang w:val="es-ES"/>
              </w:rPr>
              <w:t>12</w:t>
            </w:r>
          </w:p>
        </w:tc>
        <w:tc>
          <w:tcPr>
            <w:tcW w:w="1465" w:type="dxa"/>
            <w:vAlign w:val="center"/>
          </w:tcPr>
          <w:p w14:paraId="204C01B1" w14:textId="66EA4DBC" w:rsidR="00A117E4" w:rsidRPr="006A4E62" w:rsidRDefault="00A117E4" w:rsidP="00A117E4">
            <w:pPr>
              <w:pStyle w:val="CETBodytext"/>
              <w:ind w:left="-11"/>
              <w:jc w:val="left"/>
              <w:rPr>
                <w:lang w:val="es-ES"/>
              </w:rPr>
            </w:pPr>
            <w:r w:rsidRPr="00EC4354">
              <w:rPr>
                <w:lang w:val="en-GB"/>
              </w:rPr>
              <w:t>13,796.2​</w:t>
            </w:r>
          </w:p>
        </w:tc>
        <w:tc>
          <w:tcPr>
            <w:tcW w:w="1464" w:type="dxa"/>
            <w:vAlign w:val="center"/>
          </w:tcPr>
          <w:p w14:paraId="1EE996C7" w14:textId="45B522CD" w:rsidR="00A117E4" w:rsidRPr="006A4E62" w:rsidRDefault="00A117E4" w:rsidP="00A117E4">
            <w:pPr>
              <w:pStyle w:val="CETBodytext"/>
              <w:ind w:left="317"/>
              <w:jc w:val="left"/>
              <w:rPr>
                <w:lang w:val="es-ES"/>
              </w:rPr>
            </w:pPr>
            <w:r w:rsidRPr="006853AA">
              <w:rPr>
                <w:lang w:val="en-GB"/>
              </w:rPr>
              <w:t>455.21</w:t>
            </w:r>
          </w:p>
        </w:tc>
        <w:tc>
          <w:tcPr>
            <w:tcW w:w="1465" w:type="dxa"/>
            <w:vAlign w:val="center"/>
          </w:tcPr>
          <w:p w14:paraId="330A17E3" w14:textId="5104F5D4" w:rsidR="00A117E4" w:rsidRPr="006A4E62" w:rsidRDefault="00A117E4" w:rsidP="00A117E4">
            <w:pPr>
              <w:pStyle w:val="CETBodytext"/>
              <w:ind w:left="317"/>
              <w:jc w:val="left"/>
              <w:rPr>
                <w:lang w:val="es-ES"/>
              </w:rPr>
            </w:pPr>
            <w:r w:rsidRPr="006853AA">
              <w:rPr>
                <w:lang w:val="en-GB"/>
              </w:rPr>
              <w:t>30</w:t>
            </w:r>
          </w:p>
        </w:tc>
      </w:tr>
      <w:tr w:rsidR="00A117E4" w:rsidRPr="00B57B36" w14:paraId="32F1732F" w14:textId="25432227" w:rsidTr="00A117E4">
        <w:tc>
          <w:tcPr>
            <w:tcW w:w="1464" w:type="dxa"/>
            <w:tcBorders>
              <w:top w:val="nil"/>
            </w:tcBorders>
            <w:shd w:val="clear" w:color="auto" w:fill="FFFFFF"/>
            <w:vAlign w:val="center"/>
          </w:tcPr>
          <w:p w14:paraId="7105DA1E" w14:textId="46579A4F" w:rsidR="00A117E4" w:rsidRPr="00B57B36" w:rsidRDefault="00A117E4" w:rsidP="00A117E4">
            <w:pPr>
              <w:pStyle w:val="CETBodytext"/>
              <w:ind w:right="-1"/>
              <w:jc w:val="left"/>
              <w:rPr>
                <w:rFonts w:cs="Arial"/>
                <w:szCs w:val="18"/>
                <w:lang w:val="en-GB"/>
              </w:rPr>
            </w:pPr>
            <w:r w:rsidRPr="00933824">
              <w:rPr>
                <w:lang w:val="es-ES"/>
              </w:rPr>
              <w:t>2024/2025</w:t>
            </w:r>
          </w:p>
        </w:tc>
        <w:tc>
          <w:tcPr>
            <w:tcW w:w="1465" w:type="dxa"/>
            <w:vAlign w:val="center"/>
          </w:tcPr>
          <w:p w14:paraId="088DA57E" w14:textId="29C7AFCD" w:rsidR="00A117E4" w:rsidRPr="006A4E62" w:rsidRDefault="00A117E4" w:rsidP="00A117E4">
            <w:pPr>
              <w:pStyle w:val="CETBodytext"/>
              <w:ind w:right="-1"/>
              <w:jc w:val="left"/>
              <w:rPr>
                <w:lang w:val="es-ES"/>
              </w:rPr>
            </w:pPr>
            <w:r w:rsidRPr="00933824">
              <w:rPr>
                <w:lang w:val="es-ES"/>
              </w:rPr>
              <w:t>14</w:t>
            </w:r>
            <w:r>
              <w:rPr>
                <w:lang w:val="es-ES"/>
              </w:rPr>
              <w:t>5</w:t>
            </w:r>
          </w:p>
        </w:tc>
        <w:tc>
          <w:tcPr>
            <w:tcW w:w="1464" w:type="dxa"/>
            <w:vAlign w:val="center"/>
          </w:tcPr>
          <w:p w14:paraId="3D128F3E" w14:textId="6CB022E9" w:rsidR="00A117E4" w:rsidRPr="006A4E62" w:rsidRDefault="00A117E4" w:rsidP="00A117E4">
            <w:pPr>
              <w:pStyle w:val="CETBodytext"/>
              <w:ind w:left="120" w:right="-1"/>
              <w:jc w:val="left"/>
              <w:rPr>
                <w:lang w:val="es-ES"/>
              </w:rPr>
            </w:pPr>
            <w:r w:rsidRPr="00933824">
              <w:rPr>
                <w:lang w:val="es-ES"/>
              </w:rPr>
              <w:t>17</w:t>
            </w:r>
          </w:p>
        </w:tc>
        <w:tc>
          <w:tcPr>
            <w:tcW w:w="1465" w:type="dxa"/>
            <w:vAlign w:val="center"/>
          </w:tcPr>
          <w:p w14:paraId="0C0E0768" w14:textId="3C3843E0" w:rsidR="00A117E4" w:rsidRPr="006A4E62" w:rsidRDefault="00A117E4" w:rsidP="00A117E4">
            <w:pPr>
              <w:pStyle w:val="CETBodytext"/>
              <w:ind w:left="-11" w:right="-1"/>
              <w:jc w:val="left"/>
              <w:rPr>
                <w:lang w:val="es-ES"/>
              </w:rPr>
            </w:pPr>
            <w:r w:rsidRPr="00EC4354">
              <w:rPr>
                <w:lang w:val="en-GB"/>
              </w:rPr>
              <w:t>24,319.4</w:t>
            </w:r>
          </w:p>
        </w:tc>
        <w:tc>
          <w:tcPr>
            <w:tcW w:w="1464" w:type="dxa"/>
            <w:vAlign w:val="center"/>
          </w:tcPr>
          <w:p w14:paraId="113ED802" w14:textId="5590AC55" w:rsidR="00A117E4" w:rsidRPr="006A4E62" w:rsidRDefault="00A117E4" w:rsidP="00A117E4">
            <w:pPr>
              <w:pStyle w:val="CETBodytext"/>
              <w:ind w:left="317" w:right="-1"/>
              <w:jc w:val="left"/>
              <w:rPr>
                <w:lang w:val="es-ES"/>
              </w:rPr>
            </w:pPr>
            <w:r w:rsidRPr="006853AA">
              <w:rPr>
                <w:lang w:val="en-GB"/>
              </w:rPr>
              <w:t>619.41</w:t>
            </w:r>
          </w:p>
        </w:tc>
        <w:tc>
          <w:tcPr>
            <w:tcW w:w="1465" w:type="dxa"/>
            <w:vAlign w:val="center"/>
          </w:tcPr>
          <w:p w14:paraId="1B81FEF9" w14:textId="2A302F6B" w:rsidR="00A117E4" w:rsidRPr="006A4E62" w:rsidRDefault="00A117E4" w:rsidP="00A117E4">
            <w:pPr>
              <w:pStyle w:val="CETBodytext"/>
              <w:ind w:left="317" w:right="-1"/>
              <w:jc w:val="left"/>
              <w:rPr>
                <w:lang w:val="es-ES"/>
              </w:rPr>
            </w:pPr>
            <w:r w:rsidRPr="006853AA">
              <w:rPr>
                <w:lang w:val="en-GB"/>
              </w:rPr>
              <w:t>39</w:t>
            </w:r>
          </w:p>
        </w:tc>
      </w:tr>
    </w:tbl>
    <w:p w14:paraId="16BFC0D4" w14:textId="2FFA7947" w:rsidR="00933824" w:rsidRDefault="006848A7" w:rsidP="00270F48">
      <w:pPr>
        <w:pStyle w:val="CETBodytext"/>
        <w:jc w:val="left"/>
        <w:rPr>
          <w:i/>
          <w:iCs/>
          <w:lang w:val="en-GB"/>
        </w:rPr>
      </w:pPr>
      <w:r w:rsidRPr="006848A7">
        <w:rPr>
          <w:b/>
          <w:bCs/>
          <w:i/>
          <w:iCs/>
          <w:lang w:val="en-GB"/>
        </w:rPr>
        <w:t>Note:</w:t>
      </w:r>
      <w:r w:rsidR="00A748AC">
        <w:rPr>
          <w:b/>
          <w:bCs/>
          <w:i/>
          <w:iCs/>
          <w:lang w:val="en-GB"/>
        </w:rPr>
        <w:t xml:space="preserve"> </w:t>
      </w:r>
      <w:r w:rsidR="00933824" w:rsidRPr="006848A7">
        <w:rPr>
          <w:i/>
          <w:iCs/>
          <w:lang w:val="en-GB"/>
        </w:rPr>
        <w:t>Total production calculated as the sum of truck weights</w:t>
      </w:r>
    </w:p>
    <w:p w14:paraId="790C0091" w14:textId="77777777" w:rsidR="003C36C6" w:rsidRDefault="003C36C6" w:rsidP="003C36C6">
      <w:pPr>
        <w:pStyle w:val="CETBodytext"/>
        <w:rPr>
          <w:lang w:val="en-GB"/>
        </w:rPr>
      </w:pPr>
    </w:p>
    <w:p w14:paraId="28F64A85" w14:textId="3B9351D1" w:rsidR="003C36C6" w:rsidRDefault="003C36C6" w:rsidP="003C36C6">
      <w:pPr>
        <w:pStyle w:val="CETBodytext"/>
        <w:rPr>
          <w:lang w:val="en-GB"/>
        </w:rPr>
      </w:pPr>
      <w:r w:rsidRPr="00D11E5A">
        <w:rPr>
          <w:lang w:val="en-GB"/>
        </w:rPr>
        <w:t xml:space="preserve">Marked interannual variability was observed, with production values ranging </w:t>
      </w:r>
      <w:r w:rsidRPr="00A748AC">
        <w:rPr>
          <w:lang w:val="en-GB"/>
        </w:rPr>
        <w:t>from 13,796 t in 2023/2024 to 35,170 t in 2021/2022, reflecting strong sensitivity of the production system to seasonal conditions.</w:t>
      </w:r>
      <w:r>
        <w:rPr>
          <w:lang w:val="en-GB"/>
        </w:rPr>
        <w:t xml:space="preserve"> </w:t>
      </w:r>
      <w:r w:rsidRPr="00D11E5A">
        <w:rPr>
          <w:lang w:val="en-GB"/>
        </w:rPr>
        <w:t xml:space="preserve">When production data are interpreted in combination with the agroclimatic indicators presented in Tables 1 and 2, a </w:t>
      </w:r>
      <w:r w:rsidRPr="00630111">
        <w:rPr>
          <w:lang w:val="en-GB"/>
        </w:rPr>
        <w:t xml:space="preserve">clear relationship emerges between citrus production and climate variability. Seasons characterized by higher cumulative precipitation and less negative </w:t>
      </w:r>
      <w:r w:rsidR="00003ED2">
        <w:rPr>
          <w:lang w:val="en-GB"/>
        </w:rPr>
        <w:t>CWD</w:t>
      </w:r>
      <w:r w:rsidRPr="00630111">
        <w:rPr>
          <w:lang w:val="en-GB"/>
        </w:rPr>
        <w:t xml:space="preserve">, such as 2018/2019 and 2021/2022, coincided with the highest production levels. In contrast, campaigns affected by severe water deficits and reduced precipitation, notably 2022/2023 and 2023/2024, showed sharp declines in total production, despite comparable numbers of parcels and varieties. </w:t>
      </w:r>
      <w:r w:rsidRPr="00D11E5A">
        <w:rPr>
          <w:lang w:val="en-GB"/>
        </w:rPr>
        <w:t xml:space="preserve">The impact of atmospheric demand is particularly evident when considering cumulative reference evapotranspiration (ETo), which remained consistently high across all seasons (1193–1362 mm). Under these conditions, years with low rainfall resulted in strongly negative water balances (down to −981.6 mm in 2021/2022), increasing dependence on irrigation and amplifying production losses during drought episodes. This confirms that, under Mediterranean irrigated conditions, water availability rather than thermal variability is the primary limiting factor for citrus production at the </w:t>
      </w:r>
      <w:r>
        <w:rPr>
          <w:lang w:val="en-GB"/>
        </w:rPr>
        <w:t>season</w:t>
      </w:r>
      <w:r w:rsidRPr="00D11E5A">
        <w:rPr>
          <w:lang w:val="en-GB"/>
        </w:rPr>
        <w:t xml:space="preserve"> scale.</w:t>
      </w:r>
      <w:r>
        <w:rPr>
          <w:lang w:val="en-GB"/>
        </w:rPr>
        <w:t xml:space="preserve"> </w:t>
      </w:r>
      <w:r w:rsidRPr="00D11E5A">
        <w:rPr>
          <w:lang w:val="en-GB"/>
        </w:rPr>
        <w:t xml:space="preserve">Thermal indicators showed a secondary but relevant influence. GDD increased in the most recent seasons, reaching a maximum in 2022/2023, together </w:t>
      </w:r>
      <w:r w:rsidRPr="00D11E5A">
        <w:rPr>
          <w:lang w:val="en-GB"/>
        </w:rPr>
        <w:lastRenderedPageBreak/>
        <w:t xml:space="preserve">with a high number of days with maximum temperatures exceeding 35 °C. While increased thermal accumulation may accelerate phenological development, the combination of heat stress and water deficit likely contributed to reduced fruit set, increased fruit drop and lower harvested volumes during these </w:t>
      </w:r>
      <w:r>
        <w:rPr>
          <w:lang w:val="en-GB"/>
        </w:rPr>
        <w:t>seasons</w:t>
      </w:r>
      <w:r w:rsidRPr="00D11E5A">
        <w:rPr>
          <w:lang w:val="en-GB"/>
        </w:rPr>
        <w:t>. Conversely, frost-risk days were relatively infrequent and did not show a consistent relationship with total production, indicating that cold stress played a minor role compared with water and heat stress.</w:t>
      </w:r>
    </w:p>
    <w:p w14:paraId="01659C9D" w14:textId="77777777" w:rsidR="00702454" w:rsidRDefault="00702454" w:rsidP="00270F48">
      <w:pPr>
        <w:pStyle w:val="CETBodytext"/>
        <w:jc w:val="left"/>
        <w:rPr>
          <w:i/>
          <w:iCs/>
          <w:lang w:val="en-GB"/>
        </w:rPr>
      </w:pPr>
    </w:p>
    <w:p w14:paraId="58BC428E" w14:textId="49522953" w:rsidR="00702454" w:rsidRDefault="00702454" w:rsidP="00270F48">
      <w:pPr>
        <w:pStyle w:val="CETBodytext"/>
        <w:jc w:val="left"/>
        <w:rPr>
          <w:i/>
          <w:iCs/>
          <w:lang w:val="en-GB"/>
        </w:rPr>
      </w:pPr>
      <w:r w:rsidRPr="00A65BB9">
        <w:rPr>
          <w:b/>
          <w:bCs/>
          <w:lang w:val="en-GB"/>
        </w:rPr>
        <w:t>3.3 Multiple linear regression model results</w:t>
      </w:r>
    </w:p>
    <w:p w14:paraId="76933139" w14:textId="77777777" w:rsidR="002B65D0" w:rsidRDefault="002B65D0" w:rsidP="00270F48">
      <w:pPr>
        <w:pStyle w:val="CETBodytext"/>
        <w:jc w:val="left"/>
        <w:rPr>
          <w:i/>
          <w:iCs/>
          <w:lang w:val="en-GB"/>
        </w:rPr>
      </w:pPr>
    </w:p>
    <w:p w14:paraId="37243B6C" w14:textId="371C28D2" w:rsidR="002B65D0" w:rsidRDefault="002B65D0" w:rsidP="002B65D0">
      <w:pPr>
        <w:pStyle w:val="CETBodytext"/>
        <w:rPr>
          <w:lang w:val="en-GB"/>
        </w:rPr>
      </w:pPr>
      <w:r w:rsidRPr="002B65D0">
        <w:rPr>
          <w:lang w:val="en-GB"/>
        </w:rPr>
        <w:t xml:space="preserve">A </w:t>
      </w:r>
      <w:r w:rsidR="003C36C6">
        <w:rPr>
          <w:lang w:val="en-GB"/>
        </w:rPr>
        <w:t>MLR</w:t>
      </w:r>
      <w:r w:rsidRPr="002B65D0">
        <w:rPr>
          <w:lang w:val="en-GB"/>
        </w:rPr>
        <w:t xml:space="preserve"> model was developed</w:t>
      </w:r>
      <w:r w:rsidR="000E747F">
        <w:rPr>
          <w:lang w:val="en-GB"/>
        </w:rPr>
        <w:t xml:space="preserve"> </w:t>
      </w:r>
      <w:r w:rsidRPr="002B65D0">
        <w:rPr>
          <w:lang w:val="en-GB"/>
        </w:rPr>
        <w:t>to evaluate the capacity of agroclimatic variables to predict interannual variability in citrus yield under Mediterranean irrigated conditions. Seasonal yield (t ha</w:t>
      </w:r>
      <w:r w:rsidRPr="002B65D0">
        <w:rPr>
          <w:rFonts w:ascii="Cambria Math" w:hAnsi="Cambria Math" w:cs="Cambria Math"/>
          <w:lang w:val="en-GB"/>
        </w:rPr>
        <w:t>⁻</w:t>
      </w:r>
      <w:r w:rsidRPr="002B65D0">
        <w:rPr>
          <w:rFonts w:cs="Arial"/>
          <w:lang w:val="en-GB"/>
        </w:rPr>
        <w:t>¹</w:t>
      </w:r>
      <w:r w:rsidRPr="002B65D0">
        <w:rPr>
          <w:lang w:val="en-GB"/>
        </w:rPr>
        <w:t xml:space="preserve">) was used as the dependent variable, while </w:t>
      </w:r>
      <w:r w:rsidR="00A748AC">
        <w:rPr>
          <w:lang w:val="en-GB"/>
        </w:rPr>
        <w:t>CWD</w:t>
      </w:r>
      <w:r w:rsidR="00003ED2">
        <w:rPr>
          <w:lang w:val="en-GB"/>
        </w:rPr>
        <w:t xml:space="preserve"> (</w:t>
      </w:r>
      <w:r w:rsidR="00A748AC">
        <w:rPr>
          <w:lang w:val="en-GB"/>
        </w:rPr>
        <w:t>mm),</w:t>
      </w:r>
      <w:r w:rsidRPr="002B65D0">
        <w:rPr>
          <w:lang w:val="en-GB"/>
        </w:rPr>
        <w:t xml:space="preserve"> accumulated GDD</w:t>
      </w:r>
      <w:r w:rsidR="00003ED2">
        <w:rPr>
          <w:lang w:val="en-GB"/>
        </w:rPr>
        <w:t xml:space="preserve"> </w:t>
      </w:r>
      <w:r w:rsidR="00003ED2">
        <w:t>(</w:t>
      </w:r>
      <w:r w:rsidR="00003ED2" w:rsidRPr="00003ED2">
        <w:rPr>
          <w:lang w:val="en-GB"/>
        </w:rPr>
        <w:t>°C/day)</w:t>
      </w:r>
      <w:r w:rsidRPr="002B65D0">
        <w:rPr>
          <w:lang w:val="en-GB"/>
        </w:rPr>
        <w:t xml:space="preserve">, </w:t>
      </w:r>
      <w:r w:rsidR="00003ED2" w:rsidRPr="00003ED2">
        <w:rPr>
          <w:lang w:val="en-GB"/>
        </w:rPr>
        <w:t>Tmax &gt; 35 °C (days)</w:t>
      </w:r>
      <w:r w:rsidR="00003ED2">
        <w:rPr>
          <w:lang w:val="en-GB"/>
        </w:rPr>
        <w:t xml:space="preserve">, </w:t>
      </w:r>
      <w:r w:rsidRPr="002B65D0">
        <w:rPr>
          <w:lang w:val="en-GB"/>
        </w:rPr>
        <w:t>and frost-risk (</w:t>
      </w:r>
      <w:r w:rsidR="00003ED2">
        <w:rPr>
          <w:lang w:val="en-GB"/>
        </w:rPr>
        <w:t>days</w:t>
      </w:r>
      <w:r w:rsidRPr="002B65D0">
        <w:rPr>
          <w:lang w:val="en-GB"/>
        </w:rPr>
        <w:t>) were included as predictors. The model can be expressed as:</w:t>
      </w:r>
      <w:r w:rsidR="00A748AC">
        <w:rPr>
          <w:lang w:val="en-GB"/>
        </w:rPr>
        <w:t xml:space="preserve"> </w:t>
      </w:r>
    </w:p>
    <w:p w14:paraId="3516E463" w14:textId="77777777" w:rsidR="00F77A57" w:rsidRPr="002B65D0" w:rsidRDefault="00F77A57" w:rsidP="002B65D0">
      <w:pPr>
        <w:pStyle w:val="CETBodytext"/>
        <w:rPr>
          <w:lang w:val="en-GB"/>
        </w:rPr>
      </w:pPr>
    </w:p>
    <w:p w14:paraId="33EA2D67" w14:textId="5395B6F5" w:rsidR="002B65D0" w:rsidRDefault="002B65D0" w:rsidP="002B65D0">
      <w:pPr>
        <w:pStyle w:val="CETBodytext"/>
        <w:jc w:val="left"/>
        <w:rPr>
          <w:i/>
          <w:iCs/>
          <w:lang w:val="en-GB"/>
        </w:rPr>
      </w:pPr>
      <m:oMath>
        <m:r>
          <m:rPr>
            <m:nor/>
          </m:rPr>
          <w:rPr>
            <w:i/>
            <w:iCs/>
            <w:lang w:val="en-GB"/>
          </w:rPr>
          <m:t>Yield</m:t>
        </m:r>
        <m:r>
          <w:rPr>
            <w:rFonts w:ascii="Cambria Math" w:hAnsi="Cambria Math"/>
            <w:lang w:val="en-GB"/>
          </w:rPr>
          <m:t>=72.13-0.018⋅</m:t>
        </m:r>
        <m:r>
          <m:rPr>
            <m:nor/>
          </m:rPr>
          <w:rPr>
            <w:i/>
            <w:iCs/>
            <w:lang w:val="en-GB"/>
          </w:rPr>
          <m:t>CWD</m:t>
        </m:r>
        <m:r>
          <w:rPr>
            <w:rFonts w:ascii="Cambria Math" w:hAnsi="Cambria Math"/>
            <w:lang w:val="en-GB"/>
          </w:rPr>
          <m:t>+0.018⋅</m:t>
        </m:r>
        <m:r>
          <m:rPr>
            <m:nor/>
          </m:rPr>
          <w:rPr>
            <w:i/>
            <w:iCs/>
            <w:lang w:val="en-GB"/>
          </w:rPr>
          <m:t>GDD</m:t>
        </m:r>
        <m:r>
          <w:rPr>
            <w:rFonts w:ascii="Cambria Math" w:hAnsi="Cambria Math"/>
            <w:lang w:val="en-GB"/>
          </w:rPr>
          <m:t>-1.07⋅(</m:t>
        </m:r>
        <m:r>
          <m:rPr>
            <m:nor/>
          </m:rPr>
          <w:rPr>
            <w:i/>
            <w:iCs/>
            <w:lang w:val="en-GB"/>
          </w:rPr>
          <m:t>Tmax</m:t>
        </m:r>
        <m:r>
          <w:rPr>
            <w:rFonts w:ascii="Cambria Math" w:hAnsi="Cambria Math"/>
            <w:lang w:val="en-GB"/>
          </w:rPr>
          <m:t>&gt;</m:t>
        </m:r>
        <m:sSup>
          <m:sSupPr>
            <m:ctrlPr>
              <w:rPr>
                <w:rFonts w:ascii="Cambria Math" w:hAnsi="Cambria Math"/>
                <w:i/>
                <w:iCs/>
                <w:lang w:val="es-ES"/>
              </w:rPr>
            </m:ctrlPr>
          </m:sSupPr>
          <m:e>
            <m:r>
              <w:rPr>
                <w:rFonts w:ascii="Cambria Math" w:hAnsi="Cambria Math"/>
                <w:lang w:val="en-GB"/>
              </w:rPr>
              <m:t>35</m:t>
            </m:r>
          </m:e>
          <m:sup>
            <m:r>
              <w:rPr>
                <w:rFonts w:ascii="Cambria Math" w:hAnsi="Cambria Math"/>
                <w:lang w:val="en-GB"/>
              </w:rPr>
              <m:t>∘</m:t>
            </m:r>
          </m:sup>
        </m:sSup>
        <m:r>
          <m:rPr>
            <m:nor/>
          </m:rPr>
          <w:rPr>
            <w:i/>
            <w:iCs/>
            <w:lang w:val="en-GB"/>
          </w:rPr>
          <m:t>C</m:t>
        </m:r>
        <m:r>
          <w:rPr>
            <w:rFonts w:ascii="Cambria Math" w:hAnsi="Cambria Math"/>
            <w:lang w:val="en-GB"/>
          </w:rPr>
          <m:t>)-0.94⋅</m:t>
        </m:r>
        <m:r>
          <m:rPr>
            <m:nor/>
          </m:rPr>
          <w:rPr>
            <w:i/>
            <w:iCs/>
            <w:lang w:val="en-GB"/>
          </w:rPr>
          <m:t>Frost</m:t>
        </m:r>
      </m:oMath>
      <w:r w:rsidR="00003ED2">
        <w:rPr>
          <w:i/>
          <w:iCs/>
          <w:lang w:val="en-GB"/>
        </w:rPr>
        <w:t>-risk</w:t>
      </w:r>
      <w:r w:rsidR="00F77A57">
        <w:rPr>
          <w:i/>
          <w:iCs/>
          <w:lang w:val="en-GB"/>
        </w:rPr>
        <w:t xml:space="preserve">                      </w:t>
      </w:r>
      <w:r w:rsidR="00003ED2">
        <w:rPr>
          <w:i/>
          <w:iCs/>
          <w:lang w:val="en-GB"/>
        </w:rPr>
        <w:t xml:space="preserve">          </w:t>
      </w:r>
      <w:r w:rsidR="00F77A57">
        <w:rPr>
          <w:i/>
          <w:iCs/>
          <w:lang w:val="en-GB"/>
        </w:rPr>
        <w:t xml:space="preserve">  </w:t>
      </w:r>
      <w:r w:rsidR="00F77A57" w:rsidRPr="00F77A57">
        <w:rPr>
          <w:i/>
          <w:iCs/>
          <w:lang w:val="en-GB"/>
        </w:rPr>
        <w:t>(1)</w:t>
      </w:r>
      <w:r w:rsidRPr="002B65D0">
        <w:rPr>
          <w:i/>
          <w:iCs/>
          <w:lang w:val="en-GB"/>
        </w:rPr>
        <w:br/>
      </w:r>
    </w:p>
    <w:p w14:paraId="6C8F9D2D" w14:textId="691426AA" w:rsidR="00256926" w:rsidRPr="00422AFA" w:rsidRDefault="002B65D0" w:rsidP="00256926">
      <w:pPr>
        <w:pStyle w:val="CETBodytext"/>
        <w:rPr>
          <w:lang w:val="en-GB"/>
        </w:rPr>
      </w:pPr>
      <w:r w:rsidRPr="002B65D0">
        <w:rPr>
          <w:lang w:val="en-GB"/>
        </w:rPr>
        <w:t xml:space="preserve">The </w:t>
      </w:r>
      <w:r w:rsidR="003C36C6">
        <w:rPr>
          <w:lang w:val="en-GB"/>
        </w:rPr>
        <w:t>MLR</w:t>
      </w:r>
      <w:r w:rsidRPr="002B65D0">
        <w:rPr>
          <w:lang w:val="en-GB"/>
        </w:rPr>
        <w:t xml:space="preserve"> model explained 73.7% of the observed interannual yield variability (R² = 0.737). Among the explanatory variables, the number of days with extreme heat (Tmax &gt; 35 °C) showed a statistically significant negative effect on yield (p = 0.044), indicating an average reduction of approximately 1.1 t ha</w:t>
      </w:r>
      <w:r w:rsidRPr="002B65D0">
        <w:rPr>
          <w:rFonts w:ascii="Cambria Math" w:hAnsi="Cambria Math" w:cs="Cambria Math"/>
          <w:lang w:val="en-GB"/>
        </w:rPr>
        <w:t>⁻</w:t>
      </w:r>
      <w:r w:rsidRPr="002B65D0">
        <w:rPr>
          <w:rFonts w:cs="Arial"/>
          <w:lang w:val="en-GB"/>
        </w:rPr>
        <w:t>¹</w:t>
      </w:r>
      <w:r w:rsidRPr="002B65D0">
        <w:rPr>
          <w:lang w:val="en-GB"/>
        </w:rPr>
        <w:t xml:space="preserve"> per additional hot day.</w:t>
      </w:r>
      <w:r w:rsidR="00E710C4">
        <w:rPr>
          <w:lang w:val="en-GB"/>
        </w:rPr>
        <w:t xml:space="preserve"> </w:t>
      </w:r>
      <w:r w:rsidR="00E710C4" w:rsidRPr="00E710C4">
        <w:rPr>
          <w:lang w:val="en-GB"/>
        </w:rPr>
        <w:t>Model performance metrics indicate a good predictive accuracy at the seasonal scale. The RMSE (1.28 t ha</w:t>
      </w:r>
      <w:r w:rsidR="00E710C4" w:rsidRPr="00E710C4">
        <w:rPr>
          <w:rFonts w:ascii="Cambria Math" w:hAnsi="Cambria Math" w:cs="Cambria Math"/>
          <w:lang w:val="en-GB"/>
        </w:rPr>
        <w:t>⁻</w:t>
      </w:r>
      <w:r w:rsidR="00E710C4" w:rsidRPr="00E710C4">
        <w:rPr>
          <w:rFonts w:cs="Arial"/>
          <w:lang w:val="en-GB"/>
        </w:rPr>
        <w:t>¹</w:t>
      </w:r>
      <w:r w:rsidR="00E710C4" w:rsidRPr="00E710C4">
        <w:rPr>
          <w:lang w:val="en-GB"/>
        </w:rPr>
        <w:t>) and MAE (1.10 t ha</w:t>
      </w:r>
      <w:r w:rsidR="00E710C4" w:rsidRPr="00E710C4">
        <w:rPr>
          <w:rFonts w:ascii="Cambria Math" w:hAnsi="Cambria Math" w:cs="Cambria Math"/>
          <w:lang w:val="en-GB"/>
        </w:rPr>
        <w:t>⁻</w:t>
      </w:r>
      <w:r w:rsidR="00E710C4" w:rsidRPr="00E710C4">
        <w:rPr>
          <w:rFonts w:cs="Arial"/>
          <w:lang w:val="en-GB"/>
        </w:rPr>
        <w:t>¹</w:t>
      </w:r>
      <w:r w:rsidR="00E710C4" w:rsidRPr="00E710C4">
        <w:rPr>
          <w:lang w:val="en-GB"/>
        </w:rPr>
        <w:t>) are low relative to the observed yield range (30</w:t>
      </w:r>
      <w:r w:rsidR="00E710C4" w:rsidRPr="00E710C4">
        <w:rPr>
          <w:rFonts w:cs="Arial"/>
          <w:lang w:val="en-GB"/>
        </w:rPr>
        <w:t>–</w:t>
      </w:r>
      <w:r w:rsidR="00E710C4" w:rsidRPr="00E710C4">
        <w:rPr>
          <w:lang w:val="en-GB"/>
        </w:rPr>
        <w:t>47 t ha</w:t>
      </w:r>
      <w:r w:rsidR="00E710C4" w:rsidRPr="00E710C4">
        <w:rPr>
          <w:rFonts w:ascii="Cambria Math" w:hAnsi="Cambria Math" w:cs="Cambria Math"/>
          <w:lang w:val="en-GB"/>
        </w:rPr>
        <w:t>⁻</w:t>
      </w:r>
      <w:r w:rsidR="00E710C4" w:rsidRPr="00E710C4">
        <w:rPr>
          <w:rFonts w:cs="Arial"/>
          <w:lang w:val="en-GB"/>
        </w:rPr>
        <w:t>¹</w:t>
      </w:r>
      <w:r w:rsidR="00E710C4" w:rsidRPr="00E710C4">
        <w:rPr>
          <w:lang w:val="en-GB"/>
        </w:rPr>
        <w:t>), suggesting limited dispersion between observed and predicted values. The near-zero bias (</w:t>
      </w:r>
      <w:r w:rsidR="00E710C4" w:rsidRPr="00E710C4">
        <w:rPr>
          <w:rFonts w:cs="Arial"/>
          <w:lang w:val="en-GB"/>
        </w:rPr>
        <w:t>−</w:t>
      </w:r>
      <w:r w:rsidR="00E710C4" w:rsidRPr="00E710C4">
        <w:rPr>
          <w:lang w:val="en-GB"/>
        </w:rPr>
        <w:t>0.03 t ha</w:t>
      </w:r>
      <w:r w:rsidR="00E710C4" w:rsidRPr="00E710C4">
        <w:rPr>
          <w:rFonts w:ascii="Cambria Math" w:hAnsi="Cambria Math" w:cs="Cambria Math"/>
          <w:lang w:val="en-GB"/>
        </w:rPr>
        <w:t>⁻</w:t>
      </w:r>
      <w:r w:rsidR="00E710C4" w:rsidRPr="00E710C4">
        <w:rPr>
          <w:rFonts w:cs="Arial"/>
          <w:lang w:val="en-GB"/>
        </w:rPr>
        <w:t>¹</w:t>
      </w:r>
      <w:r w:rsidR="00E710C4" w:rsidRPr="00E710C4">
        <w:rPr>
          <w:lang w:val="en-GB"/>
        </w:rPr>
        <w:t>) indicates the absence of systematic overestimation or underestimation, confirming that prediction errors are symmetrically distributed around zero.</w:t>
      </w:r>
      <w:r w:rsidRPr="002B65D0">
        <w:rPr>
          <w:lang w:val="en-GB"/>
        </w:rPr>
        <w:t xml:space="preserve"> </w:t>
      </w:r>
      <w:r w:rsidR="00003ED2">
        <w:rPr>
          <w:lang w:val="en-GB"/>
        </w:rPr>
        <w:t>CWD</w:t>
      </w:r>
      <w:r w:rsidRPr="002B65D0">
        <w:rPr>
          <w:lang w:val="en-GB"/>
        </w:rPr>
        <w:t xml:space="preserve"> and GDD exhibited the expected directional effects but were not statistically significant once extreme heat was accounted for, suggesting that, under irrigated Mediterranean conditions, heat stress rather than water availability emerges as the dominant climatic driver of seasonal yield variability</w:t>
      </w:r>
      <w:r w:rsidR="000E747F">
        <w:rPr>
          <w:lang w:val="en-GB"/>
        </w:rPr>
        <w:t>.</w:t>
      </w:r>
      <w:r w:rsidR="001F39D1">
        <w:rPr>
          <w:lang w:val="en-GB"/>
        </w:rPr>
        <w:t xml:space="preserve"> </w:t>
      </w:r>
      <w:r w:rsidR="00256926" w:rsidRPr="00256926">
        <w:rPr>
          <w:lang w:val="en-GB"/>
        </w:rPr>
        <w:t>Previous studies have reported substantial interannual variability in citrus yield, even under well-managed and irrigated conditions. For instance, Suarez et al. (2023) reported yield ranges of approximately 20–70 t ha</w:t>
      </w:r>
      <w:r w:rsidR="00256926" w:rsidRPr="00256926">
        <w:rPr>
          <w:rFonts w:ascii="Cambria Math" w:hAnsi="Cambria Math" w:cs="Cambria Math"/>
          <w:lang w:val="en-GB"/>
        </w:rPr>
        <w:t>⁻</w:t>
      </w:r>
      <w:r w:rsidR="00256926" w:rsidRPr="00256926">
        <w:rPr>
          <w:rFonts w:cs="Arial"/>
          <w:lang w:val="en-GB"/>
        </w:rPr>
        <w:t>¹</w:t>
      </w:r>
      <w:r w:rsidR="00256926" w:rsidRPr="00256926">
        <w:rPr>
          <w:lang w:val="en-GB"/>
        </w:rPr>
        <w:t xml:space="preserve"> across seasons, corresponding to deviations of 40</w:t>
      </w:r>
      <w:r w:rsidR="00256926" w:rsidRPr="00256926">
        <w:rPr>
          <w:rFonts w:cs="Arial"/>
          <w:lang w:val="en-GB"/>
        </w:rPr>
        <w:t>–</w:t>
      </w:r>
      <w:r w:rsidR="00256926" w:rsidRPr="00256926">
        <w:rPr>
          <w:lang w:val="en-GB"/>
        </w:rPr>
        <w:t xml:space="preserve">60% from average citrus yields, and highlighting the strong influence of climatic variability on production. In this context, the yield variability captured by the </w:t>
      </w:r>
      <w:r w:rsidR="003C36C6">
        <w:rPr>
          <w:lang w:val="en-GB"/>
        </w:rPr>
        <w:t xml:space="preserve">MLR </w:t>
      </w:r>
      <w:r w:rsidR="00256926" w:rsidRPr="00256926">
        <w:rPr>
          <w:lang w:val="en-GB"/>
        </w:rPr>
        <w:t>model developed in this study is consistent with values reported in the literature and underscores the relevance of climate-driven factors, particularly climatic water balance, in shaping production outcomes.</w:t>
      </w:r>
      <w:r w:rsidR="00EE2CF5">
        <w:rPr>
          <w:lang w:val="en-GB"/>
        </w:rPr>
        <w:t xml:space="preserve"> </w:t>
      </w:r>
      <w:r w:rsidR="00EE2CF5" w:rsidRPr="00EE2CF5">
        <w:rPr>
          <w:lang w:val="en-GB"/>
        </w:rPr>
        <w:t xml:space="preserve">The negative effect of extreme heat (Tmax &gt; 35 °C) on yield reflects the sensitivity of citrus reproductive and metabolic processes to high temperatures. Values above 35 °C during flowering and early fruit development reduce fruit set and photosynthetic efficiency, limiting carbon availability for growth. Under Mediterranean irrigated conditions, irrigation mitigates soil water deficit but cannot prevent heat-induced physiological damage. The 35 °C threshold is supported by evidence showing significant alterations in fruit development above this level (Mesejo et al., 2024) and by studies recommending capping effective heat units at 35 °C (Abdel-Sattar et al., 2024). </w:t>
      </w:r>
      <w:r w:rsidR="00285744" w:rsidRPr="00285744">
        <w:rPr>
          <w:lang w:val="en-GB"/>
        </w:rPr>
        <w:t>Orchard management practices (irrigation scheduling, rootstocks, fertilization, pruning and pest control) may introduce additional variability in yield. However, recent studies indicate that climatic stress—particularly extreme heat and drought—remains the dominant driver of citrus productivity, often overriding management-level adjustments (Balfagón et al., 2022). Although adaptive strategies can improve resilience, they do not fully offset adverse climatic impacts at the system scale (Joseph et al., 2021). The large spatial scale of the dataset (169 orchards</w:t>
      </w:r>
      <w:r w:rsidR="00285744">
        <w:rPr>
          <w:lang w:val="en-GB"/>
        </w:rPr>
        <w:t xml:space="preserve"> and 17 varieties</w:t>
      </w:r>
      <w:r w:rsidR="00285744" w:rsidRPr="00285744">
        <w:rPr>
          <w:lang w:val="en-GB"/>
        </w:rPr>
        <w:t>) and seasonal aggregation reduce the influence of individual management decisions, allowing robust climate–yield relationships to emerge. Nevertheless, management variability may contribute to unexplained variance and should be addressed in future, more detailed analyses</w:t>
      </w:r>
      <w:r w:rsidR="00285744">
        <w:rPr>
          <w:lang w:val="en-GB"/>
        </w:rPr>
        <w:t>.</w:t>
      </w:r>
      <w:r w:rsidR="00EE2CF5">
        <w:rPr>
          <w:lang w:val="en-GB"/>
        </w:rPr>
        <w:t xml:space="preserve"> </w:t>
      </w:r>
      <w:r w:rsidR="00256926" w:rsidRPr="00256926">
        <w:rPr>
          <w:lang w:val="en-GB"/>
        </w:rPr>
        <w:t>From an industrial perspective, these results highlight the value of integrating seasonally aggregated agroclimatic indicators with large-scale industrial production data to support yield forecasting, harvest planning and risk management in citrus value chains under increasing climate variability.</w:t>
      </w:r>
    </w:p>
    <w:p w14:paraId="68D26B83" w14:textId="5C82B7EB" w:rsidR="00600535" w:rsidRDefault="00600535" w:rsidP="00600535">
      <w:pPr>
        <w:pStyle w:val="CETHeading1"/>
        <w:rPr>
          <w:lang w:val="en-GB"/>
        </w:rPr>
      </w:pPr>
      <w:r w:rsidRPr="00B57B36">
        <w:rPr>
          <w:lang w:val="en-GB"/>
        </w:rPr>
        <w:t>Conclusions</w:t>
      </w:r>
    </w:p>
    <w:p w14:paraId="2C4B85CE" w14:textId="028CB9D9" w:rsidR="001F39D1" w:rsidRDefault="001F39D1" w:rsidP="004A78E8">
      <w:pPr>
        <w:pStyle w:val="CETBodytext"/>
        <w:rPr>
          <w:lang w:val="en-GB"/>
        </w:rPr>
      </w:pPr>
      <w:r w:rsidRPr="001F39D1">
        <w:rPr>
          <w:lang w:val="en-GB"/>
        </w:rPr>
        <w:t xml:space="preserve">Interannual variability in citrus yield in the Guadalquivir Valley is strongly influenced by climatic conditions, particularly by the occurrence of extreme heat events. This study highlights the relevance of integrating agroclimatic information with large scale industrial production data to improve the understanding of yield variability in Mediterranean citrus systems. </w:t>
      </w:r>
      <w:r w:rsidR="003C36C6">
        <w:rPr>
          <w:lang w:val="en-GB"/>
        </w:rPr>
        <w:t>MLR</w:t>
      </w:r>
      <w:r w:rsidRPr="001F39D1">
        <w:rPr>
          <w:lang w:val="en-GB"/>
        </w:rPr>
        <w:t xml:space="preserve"> model illustrates how seasonally aggregated agroclimatic indicators, including climatic water deficit, accumulated growing degree days, extreme heat events defined as maximum temperature above 35 °C, and frost risk days, can be jointly used to support yield assessment and predictive analyses. Such data driven approaches provide a solid basis for the development of operational tools, </w:t>
      </w:r>
      <w:r w:rsidRPr="001F39D1">
        <w:rPr>
          <w:lang w:val="en-GB"/>
        </w:rPr>
        <w:lastRenderedPageBreak/>
        <w:t>including digital twins, aimed at enhancing harvest planning, resource efficiency and the resilience of citrus value chains under increasing climate variability.</w:t>
      </w:r>
    </w:p>
    <w:p w14:paraId="459D05E6" w14:textId="77777777" w:rsidR="00600535" w:rsidRPr="009064F6" w:rsidRDefault="00600535" w:rsidP="00600535">
      <w:pPr>
        <w:pStyle w:val="CETAcknowledgementstitle"/>
        <w:rPr>
          <w:lang w:val="es-ES"/>
        </w:rPr>
      </w:pPr>
      <w:r w:rsidRPr="009064F6">
        <w:rPr>
          <w:lang w:val="es-ES"/>
        </w:rPr>
        <w:t>Acknowledgments</w:t>
      </w:r>
    </w:p>
    <w:p w14:paraId="61E36290" w14:textId="5FE91010" w:rsidR="00317DDF" w:rsidRPr="00265327" w:rsidRDefault="00265327" w:rsidP="00317DDF">
      <w:pPr>
        <w:pStyle w:val="CETBodytext"/>
      </w:pPr>
      <w:r w:rsidRPr="00265327">
        <w:rPr>
          <w:lang w:val="es-ES"/>
        </w:rPr>
        <w:t xml:space="preserve">This </w:t>
      </w:r>
      <w:r w:rsidR="00ED72EB">
        <w:rPr>
          <w:lang w:val="es-ES"/>
        </w:rPr>
        <w:t xml:space="preserve">research </w:t>
      </w:r>
      <w:r w:rsidRPr="00265327">
        <w:rPr>
          <w:lang w:val="es-ES"/>
        </w:rPr>
        <w:t xml:space="preserve">is part of “CitriData: Espacio federado de datos, modelos y servicios en la cadena de valor de los cítricos en la Comunidad Autónoma de Andalucía” (TSI-100121-2024-0107), funded by Ministerio de Transformación Digital y de la Función Pública de España within the framework of Plan de Recuperación, Transformación y Resiliencia-Next Generation EU (Sectoral Data Spaces Program). </w:t>
      </w:r>
      <w:r w:rsidRPr="00265327">
        <w:t>However, the views and opinions expressed are solely those of the author(s) and do not necessarily reflect those of the European Union or the European Commission. Neither the European Union nor the European Commission can be held responsible for them.</w:t>
      </w:r>
      <w:r w:rsidR="00ED72EB">
        <w:t xml:space="preserve"> Furthermore, it</w:t>
      </w:r>
      <w:r w:rsidR="00ED72EB" w:rsidRPr="00ED72EB">
        <w:rPr>
          <w:lang w:val="en-GB"/>
        </w:rPr>
        <w:t xml:space="preserve"> is </w:t>
      </w:r>
      <w:r w:rsidR="00ED72EB">
        <w:rPr>
          <w:lang w:val="en-GB"/>
        </w:rPr>
        <w:t xml:space="preserve">also </w:t>
      </w:r>
      <w:r w:rsidR="00ED72EB" w:rsidRPr="00ED72EB">
        <w:rPr>
          <w:lang w:val="en-GB"/>
        </w:rPr>
        <w:t>part of the ENIA International Chair in Agriculture, University of Córdoba (TSI-100921-2023-3), funded by the Secretary of State for Digitalization and Artificial Intelligence and by the European Union - Next Generation EU. Recovery, Transformation and Resilience Plan.</w:t>
      </w:r>
    </w:p>
    <w:p w14:paraId="4F1327F8" w14:textId="001BD791" w:rsidR="00600535" w:rsidRPr="00EE2CF5" w:rsidRDefault="00600535" w:rsidP="00600535">
      <w:pPr>
        <w:pStyle w:val="CETReference"/>
      </w:pPr>
      <w:r w:rsidRPr="00EE2CF5">
        <w:t>References</w:t>
      </w:r>
    </w:p>
    <w:p w14:paraId="162C0E3B" w14:textId="77777777" w:rsidR="00EE2CF5" w:rsidRDefault="00EE2CF5" w:rsidP="00D44030">
      <w:pPr>
        <w:pStyle w:val="CETReferencetext"/>
      </w:pPr>
      <w:r w:rsidRPr="00EE2CF5">
        <w:t>Abdel-Sattar M., Al-Obeed R.S., Aboukarima A.M., 2024, Yield and Heat Unit Requirements for Several Citrus Cultivars over Several Seasons in Egypt, Horticulturae, 10(7), 712.</w:t>
      </w:r>
    </w:p>
    <w:p w14:paraId="5797FC2A" w14:textId="0D9E8A4B" w:rsidR="00D44030" w:rsidRPr="00D44030" w:rsidRDefault="00D44030" w:rsidP="00D44030">
      <w:pPr>
        <w:pStyle w:val="CETReferencetext"/>
        <w:rPr>
          <w:lang w:val="es-ES"/>
        </w:rPr>
      </w:pPr>
      <w:r w:rsidRPr="00D2141D">
        <w:t>Andalusian Institute of Agricultural and Fisheries Research and Training (IFAPA)</w:t>
      </w:r>
      <w:r>
        <w:t>,</w:t>
      </w:r>
      <w:r w:rsidRPr="00D2141D">
        <w:t xml:space="preserve"> </w:t>
      </w:r>
      <w:r>
        <w:t>2025,</w:t>
      </w:r>
      <w:r w:rsidRPr="00D2141D">
        <w:t xml:space="preserve"> </w:t>
      </w:r>
      <w:r w:rsidRPr="00B91461">
        <w:t>Agroclimatic Information Network of Andalusia (RIA): Palma del Río station.</w:t>
      </w:r>
      <w:r w:rsidRPr="00D2141D">
        <w:t xml:space="preserve"> </w:t>
      </w:r>
      <w:r w:rsidRPr="00D44030">
        <w:rPr>
          <w:lang w:val="es-ES"/>
        </w:rPr>
        <w:t>Regional Government of Andalusia, &lt;juntadeandalucia.es/agriculturaypesca/ifapa/riaweb/web/estacion/14/3&gt;  accessed 28.01.2026.</w:t>
      </w:r>
    </w:p>
    <w:p w14:paraId="4AC69C84" w14:textId="77777777" w:rsidR="00D44030" w:rsidRPr="00B91461" w:rsidRDefault="00D44030" w:rsidP="00D44030">
      <w:pPr>
        <w:pStyle w:val="CETReferencetext"/>
        <w:rPr>
          <w:lang w:val="en-US"/>
        </w:rPr>
      </w:pPr>
      <w:r w:rsidRPr="00B91461">
        <w:rPr>
          <w:lang w:val="en-US"/>
        </w:rPr>
        <w:t xml:space="preserve">Baviera-Puig A., López-Cortés I., Ortolá M.D., Buitrago-Vera J., 2023, </w:t>
      </w:r>
      <w:r w:rsidRPr="004619E6">
        <w:t>Attributes of sensory and instrumental analysis that determine overall liking of fresh orange varieties with different maturity index</w:t>
      </w:r>
      <w:r>
        <w:t>,</w:t>
      </w:r>
      <w:r w:rsidRPr="004619E6">
        <w:t xml:space="preserve"> </w:t>
      </w:r>
      <w:r w:rsidRPr="00B91461">
        <w:rPr>
          <w:lang w:val="en-US"/>
        </w:rPr>
        <w:t xml:space="preserve">Food Science &amp; Nutrition, 12, 4865-4878. </w:t>
      </w:r>
    </w:p>
    <w:p w14:paraId="29B1C502" w14:textId="7D4BBAD7" w:rsidR="00285744" w:rsidRPr="00285744" w:rsidRDefault="00D44030" w:rsidP="00285744">
      <w:pPr>
        <w:pStyle w:val="CETReferencetext"/>
      </w:pPr>
      <w:r w:rsidRPr="00C463F0">
        <w:rPr>
          <w:lang w:val="es-ES"/>
        </w:rPr>
        <w:t>Balfagón D., Arbona V., Gómez-Cadenas A.</w:t>
      </w:r>
      <w:r>
        <w:rPr>
          <w:lang w:val="es-ES"/>
        </w:rPr>
        <w:t>,</w:t>
      </w:r>
      <w:r w:rsidRPr="00C463F0">
        <w:rPr>
          <w:lang w:val="es-ES"/>
        </w:rPr>
        <w:t xml:space="preserve"> 2022</w:t>
      </w:r>
      <w:r>
        <w:rPr>
          <w:lang w:val="es-ES"/>
        </w:rPr>
        <w:t>,</w:t>
      </w:r>
      <w:r w:rsidRPr="00C463F0">
        <w:rPr>
          <w:lang w:val="es-ES"/>
        </w:rPr>
        <w:t xml:space="preserve"> El futuro de los cítricos: Impacto del cambio climático en la citricultura. </w:t>
      </w:r>
      <w:r w:rsidRPr="00D44030">
        <w:t>Metode Science Studies Journal, 110, 61-67.</w:t>
      </w:r>
    </w:p>
    <w:p w14:paraId="0B3B9D13" w14:textId="725137F4" w:rsidR="00D44030" w:rsidRPr="004619E6" w:rsidRDefault="00D44030" w:rsidP="00D44030">
      <w:pPr>
        <w:pStyle w:val="CETReferencetext"/>
      </w:pPr>
      <w:r w:rsidRPr="00B91461">
        <w:rPr>
          <w:lang w:val="en-US"/>
        </w:rPr>
        <w:t>De Carvalho D.U., Cruz-Bejatto M.A., Tardivo C., Ubukata-Yada I.F., Leite Junior R.P., Tazima Z.H</w:t>
      </w:r>
      <w:r>
        <w:rPr>
          <w:lang w:val="en-US"/>
        </w:rPr>
        <w:t>.</w:t>
      </w:r>
      <w:r w:rsidRPr="00B91461">
        <w:rPr>
          <w:lang w:val="en-US"/>
        </w:rPr>
        <w:t xml:space="preserve">, 2025, </w:t>
      </w:r>
      <w:r w:rsidRPr="004619E6">
        <w:t>Long-term performance of ‘Valencia’ sweet orange grafted onto nine rootstocks under two subtropical environments in Brazil: Effects of orchard age on growth, yield, fruit quality, and planting estimates</w:t>
      </w:r>
      <w:r>
        <w:t>,</w:t>
      </w:r>
      <w:r w:rsidRPr="004619E6">
        <w:t xml:space="preserve"> Scientia Horticulturae, 351, 114405. </w:t>
      </w:r>
    </w:p>
    <w:p w14:paraId="090592D6" w14:textId="77777777" w:rsidR="00D44030" w:rsidRDefault="00D44030" w:rsidP="00D44030">
      <w:pPr>
        <w:pStyle w:val="CETReferencetext"/>
      </w:pPr>
      <w:r w:rsidRPr="004619E6">
        <w:t>Dong Z., Chen M., Srivastava A.K., Mahmood U.H., Ishfaq M., Shi X., Zhang Y., Moussa M.G., Li X., Hu C., Zhang F.</w:t>
      </w:r>
      <w:r>
        <w:t>,</w:t>
      </w:r>
      <w:r w:rsidRPr="004619E6">
        <w:t xml:space="preserve"> 2024</w:t>
      </w:r>
      <w:r>
        <w:t>,</w:t>
      </w:r>
      <w:r w:rsidRPr="004619E6">
        <w:t xml:space="preserve"> Climate changes altered the citrus fruit quality: a 9-year case study in China</w:t>
      </w:r>
      <w:r>
        <w:t>,</w:t>
      </w:r>
      <w:r w:rsidRPr="004619E6">
        <w:t xml:space="preserve"> Science of the Total Environment, 923, 171406.</w:t>
      </w:r>
    </w:p>
    <w:p w14:paraId="35DEC04F" w14:textId="77777777" w:rsidR="00D44030" w:rsidRDefault="00D44030" w:rsidP="00D44030">
      <w:pPr>
        <w:pStyle w:val="CETReferencetext"/>
      </w:pPr>
      <w:r w:rsidRPr="003524FC">
        <w:t>Food and Agriculture Organization of the United Nations (FAO)</w:t>
      </w:r>
      <w:r>
        <w:t xml:space="preserve">, </w:t>
      </w:r>
      <w:r w:rsidRPr="003524FC">
        <w:t>2025</w:t>
      </w:r>
      <w:r>
        <w:t>,</w:t>
      </w:r>
      <w:r w:rsidRPr="003524FC">
        <w:t xml:space="preserve"> </w:t>
      </w:r>
      <w:r w:rsidRPr="00B91461">
        <w:t>FAOSTAT statistical database: Production — Crops and livestock products (QCL).</w:t>
      </w:r>
      <w:r w:rsidRPr="003524FC">
        <w:t xml:space="preserve"> FAO</w:t>
      </w:r>
      <w:r>
        <w:t xml:space="preserve"> &lt;</w:t>
      </w:r>
      <w:r w:rsidRPr="003524FC">
        <w:t>fao.org/faostat/en/#data/QCL</w:t>
      </w:r>
      <w:r>
        <w:t>&gt;</w:t>
      </w:r>
      <w:r w:rsidRPr="003524FC">
        <w:t xml:space="preserve"> </w:t>
      </w:r>
      <w:r>
        <w:t>accessed 01.01.2026.</w:t>
      </w:r>
    </w:p>
    <w:p w14:paraId="3F07912C" w14:textId="33629F8D" w:rsidR="00285744" w:rsidRPr="003524FC" w:rsidRDefault="00285744" w:rsidP="00D44030">
      <w:pPr>
        <w:pStyle w:val="CETReferencetext"/>
      </w:pPr>
      <w:r w:rsidRPr="00285744">
        <w:t>Joseph S., Antwi M.A., Chagwiza C., Rubhara T.T., 2021, Climate change adaptation strategies and production efficiency: The case of citrus farmers in the Limpopo province, South Africa, Jàmbá Journal of Disaster Risk Studies, 13(1)</w:t>
      </w:r>
      <w:r w:rsidR="002E2F60">
        <w:t>, 1093.</w:t>
      </w:r>
    </w:p>
    <w:p w14:paraId="5D573CB7" w14:textId="6D4E6C6E" w:rsidR="00EE2CF5" w:rsidRPr="003B55A0" w:rsidRDefault="00EE2CF5" w:rsidP="00D44030">
      <w:pPr>
        <w:pStyle w:val="CETReferencetext"/>
      </w:pPr>
      <w:r w:rsidRPr="00EE2CF5">
        <w:t>Mesejo C., Martínez-Fuentes A., Reig C., El-Otmani M., Agustí M., 2024, Examining the impact of dry climates temperature on citrus fruit internal ripening, Scientia Horticulturae, 337, 113501.</w:t>
      </w:r>
    </w:p>
    <w:p w14:paraId="1ACD479A" w14:textId="77777777" w:rsidR="00D44030" w:rsidRDefault="00D44030" w:rsidP="00D44030">
      <w:pPr>
        <w:pStyle w:val="CETReferencetext"/>
      </w:pPr>
      <w:r w:rsidRPr="0044473F">
        <w:t>Nagaz K., El Mokh F., Ben Hassen N., Masmoudi M.M., Ben Mechilia N., Baba S</w:t>
      </w:r>
      <w:r>
        <w:t>.,</w:t>
      </w:r>
      <w:r w:rsidRPr="0044473F">
        <w:t xml:space="preserve"> M.O., Belkheiri O., Ghiglieri G.</w:t>
      </w:r>
      <w:r>
        <w:t>,</w:t>
      </w:r>
      <w:r w:rsidRPr="0044473F">
        <w:t xml:space="preserve"> 2020</w:t>
      </w:r>
      <w:r>
        <w:t>,</w:t>
      </w:r>
      <w:r w:rsidRPr="0044473F">
        <w:t xml:space="preserve"> </w:t>
      </w:r>
      <w:r w:rsidRPr="004619E6">
        <w:t>Impact of deficit irrigation on yield and fruit quality of orange trees (Citrus Sinensis, l. Osbeck, cv. Meski maltaise) in Southern Tunisia</w:t>
      </w:r>
      <w:r>
        <w:t xml:space="preserve">, </w:t>
      </w:r>
      <w:r w:rsidRPr="004619E6">
        <w:t>Irrigitation and drainage, 69 (Suppl. 1), 186-</w:t>
      </w:r>
      <w:r>
        <w:t>193.</w:t>
      </w:r>
    </w:p>
    <w:p w14:paraId="3D9F627E" w14:textId="53DA7D03" w:rsidR="00285744" w:rsidRPr="004619E6" w:rsidRDefault="00285744" w:rsidP="00285744">
      <w:pPr>
        <w:pStyle w:val="CETReferencetext"/>
      </w:pPr>
      <w:r w:rsidRPr="003B55A0">
        <w:t>Observatory of Prices and Markets of Andalusia</w:t>
      </w:r>
      <w:r>
        <w:t xml:space="preserve">, </w:t>
      </w:r>
      <w:r w:rsidRPr="003B55A0">
        <w:t>2024</w:t>
      </w:r>
      <w:r>
        <w:t xml:space="preserve">, </w:t>
      </w:r>
      <w:r w:rsidRPr="00B91461">
        <w:t>Basic data on the citrus sector: Oranges 2023/24.</w:t>
      </w:r>
      <w:r w:rsidRPr="003B55A0">
        <w:t xml:space="preserve"> Regional Ministry of Agriculture, Fisheries, Water and Rural Development, Regional Government of Andalusia</w:t>
      </w:r>
      <w:r>
        <w:t xml:space="preserve"> &lt;</w:t>
      </w:r>
      <w:r w:rsidRPr="003B55A0">
        <w:t>juntadeandalucia.es/agriculturaypesca/observatorio</w:t>
      </w:r>
      <w:r>
        <w:t>&gt; accessed 01.01.2026.</w:t>
      </w:r>
    </w:p>
    <w:p w14:paraId="5040AF58" w14:textId="4AFC97AA" w:rsidR="00D44030" w:rsidRDefault="00D44030" w:rsidP="00D44030">
      <w:pPr>
        <w:pStyle w:val="CETReferencetext"/>
      </w:pPr>
      <w:r w:rsidRPr="004619E6">
        <w:t>Onwude D., Cronje P., North J., Defraeye T.</w:t>
      </w:r>
      <w:r>
        <w:t>,</w:t>
      </w:r>
      <w:r w:rsidRPr="004619E6">
        <w:t xml:space="preserve"> 2024</w:t>
      </w:r>
      <w:r>
        <w:t xml:space="preserve">, </w:t>
      </w:r>
      <w:r w:rsidRPr="004619E6">
        <w:t>Digital replica to unveil the impact of growing conditions on orange postharvest quality</w:t>
      </w:r>
      <w:r w:rsidR="002E2F60">
        <w:t>,</w:t>
      </w:r>
      <w:r w:rsidRPr="004619E6">
        <w:t xml:space="preserve"> Scientific Reports, 14, 14437.</w:t>
      </w:r>
    </w:p>
    <w:p w14:paraId="5C9398FC" w14:textId="77777777" w:rsidR="00D44030" w:rsidRDefault="00D44030" w:rsidP="00D44030">
      <w:pPr>
        <w:pStyle w:val="CETReferencetext"/>
      </w:pPr>
      <w:r w:rsidRPr="00C463F0">
        <w:t>Spanish Agricultural Guarantee Fund (FEGA)</w:t>
      </w:r>
      <w:r>
        <w:t>,</w:t>
      </w:r>
      <w:r w:rsidRPr="00C463F0">
        <w:t xml:space="preserve"> </w:t>
      </w:r>
      <w:r>
        <w:t xml:space="preserve">2025, </w:t>
      </w:r>
      <w:r w:rsidRPr="003B55A0">
        <w:rPr>
          <w:i/>
          <w:iCs/>
        </w:rPr>
        <w:t xml:space="preserve">SIGPAC </w:t>
      </w:r>
      <w:r w:rsidRPr="00B91461">
        <w:t>(Geographic Information System for Agricultural Parcels)</w:t>
      </w:r>
      <w:r>
        <w:rPr>
          <w:i/>
          <w:iCs/>
        </w:rPr>
        <w:t xml:space="preserve"> </w:t>
      </w:r>
      <w:r w:rsidRPr="00C463F0">
        <w:t>Ministry of Agriculture, Fisheries and Food (MAPA)</w:t>
      </w:r>
      <w:r>
        <w:t xml:space="preserve"> &lt;</w:t>
      </w:r>
      <w:r w:rsidRPr="00256926">
        <w:t>fega.gob.es/es/pepac-2023-2027/sistemas-gestion-y-control/sigpac</w:t>
      </w:r>
      <w:r>
        <w:t>&gt; accessed 11.01.2026.</w:t>
      </w:r>
    </w:p>
    <w:p w14:paraId="2560E978" w14:textId="2E128B0A" w:rsidR="00D44030" w:rsidRDefault="00D44030" w:rsidP="00D44030">
      <w:pPr>
        <w:pStyle w:val="CETReferencetext"/>
      </w:pPr>
      <w:r w:rsidRPr="00256926">
        <w:t>Suarez L. A., Robson A., &amp; Brinkhoff J. 2023</w:t>
      </w:r>
      <w:r>
        <w:t>,</w:t>
      </w:r>
      <w:r w:rsidRPr="00256926">
        <w:t xml:space="preserve"> Early-Season forecasting of citrus block-yield using time series remote sensing and machine learning: A case study in Australian orchards</w:t>
      </w:r>
      <w:r w:rsidR="002E2F60">
        <w:t>,</w:t>
      </w:r>
      <w:r w:rsidRPr="00256926">
        <w:t xml:space="preserve"> </w:t>
      </w:r>
      <w:r w:rsidRPr="0099195B">
        <w:t>International Journal of Applied Earth Observation and Geoinformation, 122, 103434</w:t>
      </w:r>
      <w:r>
        <w:t>.</w:t>
      </w:r>
    </w:p>
    <w:p w14:paraId="11E965FB" w14:textId="1FDC6C9C" w:rsidR="00D44030" w:rsidRPr="00ED72EB" w:rsidRDefault="00D44030" w:rsidP="00D44030">
      <w:pPr>
        <w:pStyle w:val="CETReferencetext"/>
        <w:rPr>
          <w:lang w:val="en-US"/>
        </w:rPr>
      </w:pPr>
      <w:r w:rsidRPr="004619E6">
        <w:t>Tinyiro S.E., Matovu M., Akaba N., Bamwirire D., Achieng J., Mukasa Y., Semalulu O., Kisakye A., Nampamya D., Driciru P., Park T., Ilho C., Adriko J.</w:t>
      </w:r>
      <w:r>
        <w:t>,</w:t>
      </w:r>
      <w:r w:rsidRPr="004619E6">
        <w:t xml:space="preserve"> 2025</w:t>
      </w:r>
      <w:r>
        <w:t>,</w:t>
      </w:r>
      <w:r w:rsidRPr="004619E6">
        <w:t xml:space="preserve"> Seasonal Fruit Quality Profile of Three Orange Varieties in Teso Subregion – Eastern Uganda</w:t>
      </w:r>
      <w:r w:rsidR="002E2F60">
        <w:t>,</w:t>
      </w:r>
      <w:r w:rsidRPr="004619E6">
        <w:t xml:space="preserve"> </w:t>
      </w:r>
      <w:r w:rsidRPr="0099195B">
        <w:rPr>
          <w:lang w:val="en-US"/>
        </w:rPr>
        <w:t xml:space="preserve">Agricultural Sciences, 16(1), 146-160. </w:t>
      </w:r>
    </w:p>
    <w:p w14:paraId="6A74E301" w14:textId="77777777" w:rsidR="00C463F0" w:rsidRDefault="00C463F0" w:rsidP="00861887">
      <w:pPr>
        <w:pStyle w:val="CETReferencetext"/>
      </w:pPr>
    </w:p>
    <w:sectPr w:rsidR="00C463F0"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28D3" w14:textId="77777777" w:rsidR="00F61D39" w:rsidRDefault="00F61D39" w:rsidP="004F5E36">
      <w:r>
        <w:separator/>
      </w:r>
    </w:p>
  </w:endnote>
  <w:endnote w:type="continuationSeparator" w:id="0">
    <w:p w14:paraId="226D5953" w14:textId="77777777" w:rsidR="00F61D39" w:rsidRDefault="00F61D39"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5488" w14:textId="77777777" w:rsidR="00F61D39" w:rsidRDefault="00F61D39" w:rsidP="004F5E36">
      <w:r>
        <w:separator/>
      </w:r>
    </w:p>
  </w:footnote>
  <w:footnote w:type="continuationSeparator" w:id="0">
    <w:p w14:paraId="352CFFBD" w14:textId="77777777" w:rsidR="00F61D39" w:rsidRDefault="00F61D39"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7AD1D5A"/>
    <w:multiLevelType w:val="multilevel"/>
    <w:tmpl w:val="9D28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7E90757"/>
    <w:multiLevelType w:val="multilevel"/>
    <w:tmpl w:val="96AC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4A70434"/>
    <w:multiLevelType w:val="multilevel"/>
    <w:tmpl w:val="CF76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3"/>
  </w:num>
  <w:num w:numId="14" w16cid:durableId="145903400">
    <w:abstractNumId w:val="20"/>
  </w:num>
  <w:num w:numId="15" w16cid:durableId="19162326">
    <w:abstractNumId w:val="22"/>
  </w:num>
  <w:num w:numId="16" w16cid:durableId="1977102699">
    <w:abstractNumId w:val="21"/>
  </w:num>
  <w:num w:numId="17" w16cid:durableId="860774865">
    <w:abstractNumId w:val="12"/>
  </w:num>
  <w:num w:numId="18" w16cid:durableId="313221457">
    <w:abstractNumId w:val="13"/>
    <w:lvlOverride w:ilvl="0">
      <w:startOverride w:val="1"/>
    </w:lvlOverride>
  </w:num>
  <w:num w:numId="19" w16cid:durableId="534971577">
    <w:abstractNumId w:val="18"/>
  </w:num>
  <w:num w:numId="20" w16cid:durableId="1150947773">
    <w:abstractNumId w:val="17"/>
  </w:num>
  <w:num w:numId="21" w16cid:durableId="124660497">
    <w:abstractNumId w:val="15"/>
  </w:num>
  <w:num w:numId="22" w16cid:durableId="2099861471">
    <w:abstractNumId w:val="14"/>
  </w:num>
  <w:num w:numId="23" w16cid:durableId="1512723871">
    <w:abstractNumId w:val="10"/>
  </w:num>
  <w:num w:numId="24" w16cid:durableId="2094278692">
    <w:abstractNumId w:val="16"/>
  </w:num>
  <w:num w:numId="25" w16cid:durableId="529025872">
    <w:abstractNumId w:val="23"/>
  </w:num>
  <w:num w:numId="26" w16cid:durableId="1636443282">
    <w:abstractNumId w:val="11"/>
  </w:num>
  <w:num w:numId="27" w16cid:durableId="1209345160">
    <w:abstractNumId w:val="11"/>
  </w:num>
  <w:num w:numId="28" w16cid:durableId="1814524800">
    <w:abstractNumId w:val="11"/>
  </w:num>
  <w:num w:numId="29" w16cid:durableId="2100523407">
    <w:abstractNumId w:val="11"/>
  </w:num>
  <w:num w:numId="30" w16cid:durableId="309402343">
    <w:abstractNumId w:val="11"/>
  </w:num>
  <w:num w:numId="31" w16cid:durableId="1557088988">
    <w:abstractNumId w:val="11"/>
  </w:num>
  <w:num w:numId="32" w16cid:durableId="6083958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3ED2"/>
    <w:rsid w:val="000052FB"/>
    <w:rsid w:val="00005884"/>
    <w:rsid w:val="00005A19"/>
    <w:rsid w:val="000117CB"/>
    <w:rsid w:val="0003148D"/>
    <w:rsid w:val="00031EEC"/>
    <w:rsid w:val="000343AB"/>
    <w:rsid w:val="00051566"/>
    <w:rsid w:val="00052B4A"/>
    <w:rsid w:val="000562A9"/>
    <w:rsid w:val="00062A9A"/>
    <w:rsid w:val="00065058"/>
    <w:rsid w:val="00084815"/>
    <w:rsid w:val="00086C39"/>
    <w:rsid w:val="000A03B2"/>
    <w:rsid w:val="000A0C46"/>
    <w:rsid w:val="000A2CBF"/>
    <w:rsid w:val="000D0268"/>
    <w:rsid w:val="000D34BE"/>
    <w:rsid w:val="000E102F"/>
    <w:rsid w:val="000E1DD5"/>
    <w:rsid w:val="000E36F1"/>
    <w:rsid w:val="000E3A73"/>
    <w:rsid w:val="000E414A"/>
    <w:rsid w:val="000E747F"/>
    <w:rsid w:val="000E75FD"/>
    <w:rsid w:val="000E7CA6"/>
    <w:rsid w:val="000F093C"/>
    <w:rsid w:val="000F46E6"/>
    <w:rsid w:val="000F787B"/>
    <w:rsid w:val="0011456F"/>
    <w:rsid w:val="0012091F"/>
    <w:rsid w:val="00124AAD"/>
    <w:rsid w:val="00126BC2"/>
    <w:rsid w:val="001308B6"/>
    <w:rsid w:val="0013121F"/>
    <w:rsid w:val="00131FE6"/>
    <w:rsid w:val="0013263F"/>
    <w:rsid w:val="001331DF"/>
    <w:rsid w:val="00134DE4"/>
    <w:rsid w:val="0014034D"/>
    <w:rsid w:val="00140FE3"/>
    <w:rsid w:val="00141CEC"/>
    <w:rsid w:val="00144D16"/>
    <w:rsid w:val="00150E59"/>
    <w:rsid w:val="0015283A"/>
    <w:rsid w:val="00152DE3"/>
    <w:rsid w:val="00153AC4"/>
    <w:rsid w:val="00164CF9"/>
    <w:rsid w:val="001667A6"/>
    <w:rsid w:val="00184AD6"/>
    <w:rsid w:val="001A4AF7"/>
    <w:rsid w:val="001B0349"/>
    <w:rsid w:val="001B1E93"/>
    <w:rsid w:val="001B65C1"/>
    <w:rsid w:val="001C260F"/>
    <w:rsid w:val="001C33F1"/>
    <w:rsid w:val="001C684B"/>
    <w:rsid w:val="001D0CFB"/>
    <w:rsid w:val="001D21AF"/>
    <w:rsid w:val="001D53FC"/>
    <w:rsid w:val="001E0453"/>
    <w:rsid w:val="001E74C2"/>
    <w:rsid w:val="001F39D1"/>
    <w:rsid w:val="001F42A5"/>
    <w:rsid w:val="001F63BC"/>
    <w:rsid w:val="001F7B9D"/>
    <w:rsid w:val="00201C93"/>
    <w:rsid w:val="002224B4"/>
    <w:rsid w:val="002447EF"/>
    <w:rsid w:val="00251550"/>
    <w:rsid w:val="00256926"/>
    <w:rsid w:val="00263B05"/>
    <w:rsid w:val="00265327"/>
    <w:rsid w:val="00270F48"/>
    <w:rsid w:val="0027221A"/>
    <w:rsid w:val="00275B61"/>
    <w:rsid w:val="00276050"/>
    <w:rsid w:val="00280FAF"/>
    <w:rsid w:val="00282656"/>
    <w:rsid w:val="00285744"/>
    <w:rsid w:val="002868FA"/>
    <w:rsid w:val="0028717C"/>
    <w:rsid w:val="00296B83"/>
    <w:rsid w:val="002B4015"/>
    <w:rsid w:val="002B65D0"/>
    <w:rsid w:val="002B78CE"/>
    <w:rsid w:val="002C2FB6"/>
    <w:rsid w:val="002E08C6"/>
    <w:rsid w:val="002E2F60"/>
    <w:rsid w:val="002E5FA7"/>
    <w:rsid w:val="002F3309"/>
    <w:rsid w:val="00300169"/>
    <w:rsid w:val="003008CE"/>
    <w:rsid w:val="003009B7"/>
    <w:rsid w:val="00300E56"/>
    <w:rsid w:val="0030152C"/>
    <w:rsid w:val="0030469C"/>
    <w:rsid w:val="00317DDF"/>
    <w:rsid w:val="00321CA6"/>
    <w:rsid w:val="00323763"/>
    <w:rsid w:val="00323C5F"/>
    <w:rsid w:val="00334C09"/>
    <w:rsid w:val="0034273B"/>
    <w:rsid w:val="003524FC"/>
    <w:rsid w:val="003723D4"/>
    <w:rsid w:val="00381905"/>
    <w:rsid w:val="00384CC8"/>
    <w:rsid w:val="003871FD"/>
    <w:rsid w:val="00394091"/>
    <w:rsid w:val="003A1E30"/>
    <w:rsid w:val="003A2829"/>
    <w:rsid w:val="003A7D1C"/>
    <w:rsid w:val="003B304B"/>
    <w:rsid w:val="003B3146"/>
    <w:rsid w:val="003B55A0"/>
    <w:rsid w:val="003C36C6"/>
    <w:rsid w:val="003D1E02"/>
    <w:rsid w:val="003D2159"/>
    <w:rsid w:val="003F015E"/>
    <w:rsid w:val="00400414"/>
    <w:rsid w:val="0041446B"/>
    <w:rsid w:val="00422AFA"/>
    <w:rsid w:val="0044071E"/>
    <w:rsid w:val="00440A71"/>
    <w:rsid w:val="0044329C"/>
    <w:rsid w:val="00453E24"/>
    <w:rsid w:val="00457456"/>
    <w:rsid w:val="004577FE"/>
    <w:rsid w:val="00457B9C"/>
    <w:rsid w:val="0046164A"/>
    <w:rsid w:val="004619E6"/>
    <w:rsid w:val="004628D2"/>
    <w:rsid w:val="00462DCD"/>
    <w:rsid w:val="004648AD"/>
    <w:rsid w:val="004703A9"/>
    <w:rsid w:val="004760DE"/>
    <w:rsid w:val="004763D7"/>
    <w:rsid w:val="00486EC7"/>
    <w:rsid w:val="004A004E"/>
    <w:rsid w:val="004A24CF"/>
    <w:rsid w:val="004A5E57"/>
    <w:rsid w:val="004A78E8"/>
    <w:rsid w:val="004C194F"/>
    <w:rsid w:val="004C3D1D"/>
    <w:rsid w:val="004C3D84"/>
    <w:rsid w:val="004C7913"/>
    <w:rsid w:val="004E4DD6"/>
    <w:rsid w:val="004F1A27"/>
    <w:rsid w:val="004F2924"/>
    <w:rsid w:val="004F5E36"/>
    <w:rsid w:val="00503F21"/>
    <w:rsid w:val="00507B47"/>
    <w:rsid w:val="00507BEF"/>
    <w:rsid w:val="00507CC9"/>
    <w:rsid w:val="00510619"/>
    <w:rsid w:val="005119A5"/>
    <w:rsid w:val="005278B7"/>
    <w:rsid w:val="00532016"/>
    <w:rsid w:val="005346C8"/>
    <w:rsid w:val="00543E7D"/>
    <w:rsid w:val="00547A68"/>
    <w:rsid w:val="005531C9"/>
    <w:rsid w:val="00570C43"/>
    <w:rsid w:val="00592274"/>
    <w:rsid w:val="005B2110"/>
    <w:rsid w:val="005B61E6"/>
    <w:rsid w:val="005C77E1"/>
    <w:rsid w:val="005D668A"/>
    <w:rsid w:val="005D6A2F"/>
    <w:rsid w:val="005E0592"/>
    <w:rsid w:val="005E1A82"/>
    <w:rsid w:val="005E794C"/>
    <w:rsid w:val="005F0A28"/>
    <w:rsid w:val="005F0E5E"/>
    <w:rsid w:val="00600535"/>
    <w:rsid w:val="00607645"/>
    <w:rsid w:val="00610CD6"/>
    <w:rsid w:val="00620DEE"/>
    <w:rsid w:val="00621F92"/>
    <w:rsid w:val="0062280A"/>
    <w:rsid w:val="00622F08"/>
    <w:rsid w:val="006231E1"/>
    <w:rsid w:val="00625639"/>
    <w:rsid w:val="00630111"/>
    <w:rsid w:val="00631B33"/>
    <w:rsid w:val="0064184D"/>
    <w:rsid w:val="006422CC"/>
    <w:rsid w:val="00651D18"/>
    <w:rsid w:val="00660E3E"/>
    <w:rsid w:val="00662E74"/>
    <w:rsid w:val="00680C23"/>
    <w:rsid w:val="00683E23"/>
    <w:rsid w:val="006848A7"/>
    <w:rsid w:val="006853AA"/>
    <w:rsid w:val="00693766"/>
    <w:rsid w:val="006A3281"/>
    <w:rsid w:val="006A4E62"/>
    <w:rsid w:val="006B4888"/>
    <w:rsid w:val="006B6671"/>
    <w:rsid w:val="006C2E45"/>
    <w:rsid w:val="006C359C"/>
    <w:rsid w:val="006C5579"/>
    <w:rsid w:val="006D6E8B"/>
    <w:rsid w:val="006D7209"/>
    <w:rsid w:val="006E737D"/>
    <w:rsid w:val="006F1D12"/>
    <w:rsid w:val="00702454"/>
    <w:rsid w:val="00707DD1"/>
    <w:rsid w:val="00713973"/>
    <w:rsid w:val="00720A24"/>
    <w:rsid w:val="00726AD6"/>
    <w:rsid w:val="00732386"/>
    <w:rsid w:val="0073514D"/>
    <w:rsid w:val="007447F3"/>
    <w:rsid w:val="007463CB"/>
    <w:rsid w:val="0075499F"/>
    <w:rsid w:val="007617CC"/>
    <w:rsid w:val="00763BA0"/>
    <w:rsid w:val="007661C8"/>
    <w:rsid w:val="0077098D"/>
    <w:rsid w:val="00785BF9"/>
    <w:rsid w:val="007931FA"/>
    <w:rsid w:val="00794137"/>
    <w:rsid w:val="007A4861"/>
    <w:rsid w:val="007A7BBA"/>
    <w:rsid w:val="007B0C50"/>
    <w:rsid w:val="007B48F9"/>
    <w:rsid w:val="007C1A43"/>
    <w:rsid w:val="007D0951"/>
    <w:rsid w:val="007D32BD"/>
    <w:rsid w:val="007F27C8"/>
    <w:rsid w:val="0080013E"/>
    <w:rsid w:val="00806D55"/>
    <w:rsid w:val="00813288"/>
    <w:rsid w:val="008168FC"/>
    <w:rsid w:val="00830996"/>
    <w:rsid w:val="008314D7"/>
    <w:rsid w:val="008345F1"/>
    <w:rsid w:val="0086023C"/>
    <w:rsid w:val="00861887"/>
    <w:rsid w:val="00865B07"/>
    <w:rsid w:val="008667EA"/>
    <w:rsid w:val="0087637F"/>
    <w:rsid w:val="00892AD5"/>
    <w:rsid w:val="008A1512"/>
    <w:rsid w:val="008A7D02"/>
    <w:rsid w:val="008D32B9"/>
    <w:rsid w:val="008D433B"/>
    <w:rsid w:val="008D4A16"/>
    <w:rsid w:val="008E209A"/>
    <w:rsid w:val="008E45BC"/>
    <w:rsid w:val="008E566E"/>
    <w:rsid w:val="0090161A"/>
    <w:rsid w:val="00901EB6"/>
    <w:rsid w:val="009041F8"/>
    <w:rsid w:val="00904C62"/>
    <w:rsid w:val="009064F6"/>
    <w:rsid w:val="00922BA8"/>
    <w:rsid w:val="00924DAC"/>
    <w:rsid w:val="00927058"/>
    <w:rsid w:val="00932C89"/>
    <w:rsid w:val="00933824"/>
    <w:rsid w:val="00942750"/>
    <w:rsid w:val="009450CE"/>
    <w:rsid w:val="009459BB"/>
    <w:rsid w:val="00947179"/>
    <w:rsid w:val="0095164B"/>
    <w:rsid w:val="00954090"/>
    <w:rsid w:val="009573E7"/>
    <w:rsid w:val="00960969"/>
    <w:rsid w:val="009635A4"/>
    <w:rsid w:val="00963E05"/>
    <w:rsid w:val="00964A45"/>
    <w:rsid w:val="00967843"/>
    <w:rsid w:val="00967D54"/>
    <w:rsid w:val="00971028"/>
    <w:rsid w:val="009807C1"/>
    <w:rsid w:val="00993B84"/>
    <w:rsid w:val="00996483"/>
    <w:rsid w:val="00996F5A"/>
    <w:rsid w:val="009A3F8E"/>
    <w:rsid w:val="009B041A"/>
    <w:rsid w:val="009C37C3"/>
    <w:rsid w:val="009C7C86"/>
    <w:rsid w:val="009D2FF7"/>
    <w:rsid w:val="009E1838"/>
    <w:rsid w:val="009E7884"/>
    <w:rsid w:val="009E788A"/>
    <w:rsid w:val="009F0E08"/>
    <w:rsid w:val="009F5167"/>
    <w:rsid w:val="00A079AE"/>
    <w:rsid w:val="00A117E4"/>
    <w:rsid w:val="00A1763D"/>
    <w:rsid w:val="00A17CEC"/>
    <w:rsid w:val="00A26CBB"/>
    <w:rsid w:val="00A27EF0"/>
    <w:rsid w:val="00A42361"/>
    <w:rsid w:val="00A50B20"/>
    <w:rsid w:val="00A51390"/>
    <w:rsid w:val="00A52ACB"/>
    <w:rsid w:val="00A60D13"/>
    <w:rsid w:val="00A7223D"/>
    <w:rsid w:val="00A72745"/>
    <w:rsid w:val="00A748AC"/>
    <w:rsid w:val="00A76EFC"/>
    <w:rsid w:val="00A87D50"/>
    <w:rsid w:val="00A91010"/>
    <w:rsid w:val="00A97F29"/>
    <w:rsid w:val="00AA702E"/>
    <w:rsid w:val="00AA7D26"/>
    <w:rsid w:val="00AB0964"/>
    <w:rsid w:val="00AB5011"/>
    <w:rsid w:val="00AB792E"/>
    <w:rsid w:val="00AC7368"/>
    <w:rsid w:val="00AD0278"/>
    <w:rsid w:val="00AD16B9"/>
    <w:rsid w:val="00AE377D"/>
    <w:rsid w:val="00AF0EBA"/>
    <w:rsid w:val="00AF5076"/>
    <w:rsid w:val="00AF67A9"/>
    <w:rsid w:val="00B0110E"/>
    <w:rsid w:val="00B02C8A"/>
    <w:rsid w:val="00B17FBD"/>
    <w:rsid w:val="00B315A6"/>
    <w:rsid w:val="00B31813"/>
    <w:rsid w:val="00B33365"/>
    <w:rsid w:val="00B36023"/>
    <w:rsid w:val="00B3707D"/>
    <w:rsid w:val="00B57B36"/>
    <w:rsid w:val="00B57E6F"/>
    <w:rsid w:val="00B8686D"/>
    <w:rsid w:val="00B93F69"/>
    <w:rsid w:val="00BA54CF"/>
    <w:rsid w:val="00BB1DDC"/>
    <w:rsid w:val="00BC30C9"/>
    <w:rsid w:val="00BD077D"/>
    <w:rsid w:val="00BE3E58"/>
    <w:rsid w:val="00C01616"/>
    <w:rsid w:val="00C0162B"/>
    <w:rsid w:val="00C068ED"/>
    <w:rsid w:val="00C131FF"/>
    <w:rsid w:val="00C208E9"/>
    <w:rsid w:val="00C22E0C"/>
    <w:rsid w:val="00C27D02"/>
    <w:rsid w:val="00C345B1"/>
    <w:rsid w:val="00C36565"/>
    <w:rsid w:val="00C40142"/>
    <w:rsid w:val="00C463F0"/>
    <w:rsid w:val="00C52C3C"/>
    <w:rsid w:val="00C57182"/>
    <w:rsid w:val="00C57863"/>
    <w:rsid w:val="00C640AF"/>
    <w:rsid w:val="00C655FD"/>
    <w:rsid w:val="00C75407"/>
    <w:rsid w:val="00C841C6"/>
    <w:rsid w:val="00C870A8"/>
    <w:rsid w:val="00C94434"/>
    <w:rsid w:val="00CA0D75"/>
    <w:rsid w:val="00CA1C95"/>
    <w:rsid w:val="00CA5A9C"/>
    <w:rsid w:val="00CB4A9D"/>
    <w:rsid w:val="00CC4C20"/>
    <w:rsid w:val="00CD3517"/>
    <w:rsid w:val="00CD5FE2"/>
    <w:rsid w:val="00CE7C68"/>
    <w:rsid w:val="00CE7E6B"/>
    <w:rsid w:val="00D02B4C"/>
    <w:rsid w:val="00D040C4"/>
    <w:rsid w:val="00D11E5A"/>
    <w:rsid w:val="00D17816"/>
    <w:rsid w:val="00D20AD1"/>
    <w:rsid w:val="00D2141D"/>
    <w:rsid w:val="00D2582C"/>
    <w:rsid w:val="00D44030"/>
    <w:rsid w:val="00D46B7E"/>
    <w:rsid w:val="00D57C84"/>
    <w:rsid w:val="00D6057D"/>
    <w:rsid w:val="00D71640"/>
    <w:rsid w:val="00D836C5"/>
    <w:rsid w:val="00D84576"/>
    <w:rsid w:val="00DA1399"/>
    <w:rsid w:val="00DA24C6"/>
    <w:rsid w:val="00DA4D7B"/>
    <w:rsid w:val="00DC0A9C"/>
    <w:rsid w:val="00DD271C"/>
    <w:rsid w:val="00DD7301"/>
    <w:rsid w:val="00DE264A"/>
    <w:rsid w:val="00DF5072"/>
    <w:rsid w:val="00DF524F"/>
    <w:rsid w:val="00E02D18"/>
    <w:rsid w:val="00E041E7"/>
    <w:rsid w:val="00E23CA1"/>
    <w:rsid w:val="00E409A8"/>
    <w:rsid w:val="00E47D61"/>
    <w:rsid w:val="00E50C12"/>
    <w:rsid w:val="00E65B91"/>
    <w:rsid w:val="00E710C4"/>
    <w:rsid w:val="00E7209D"/>
    <w:rsid w:val="00E72EAD"/>
    <w:rsid w:val="00E77223"/>
    <w:rsid w:val="00E8528B"/>
    <w:rsid w:val="00E85B94"/>
    <w:rsid w:val="00E978D0"/>
    <w:rsid w:val="00EA4613"/>
    <w:rsid w:val="00EA7F91"/>
    <w:rsid w:val="00EB1523"/>
    <w:rsid w:val="00EC0E49"/>
    <w:rsid w:val="00EC101F"/>
    <w:rsid w:val="00EC1D9F"/>
    <w:rsid w:val="00EC4354"/>
    <w:rsid w:val="00ED72EB"/>
    <w:rsid w:val="00EE0131"/>
    <w:rsid w:val="00EE17B0"/>
    <w:rsid w:val="00EE2CF5"/>
    <w:rsid w:val="00EF06D9"/>
    <w:rsid w:val="00EF0982"/>
    <w:rsid w:val="00F040D5"/>
    <w:rsid w:val="00F1403E"/>
    <w:rsid w:val="00F3049E"/>
    <w:rsid w:val="00F30C64"/>
    <w:rsid w:val="00F32BA2"/>
    <w:rsid w:val="00F32CDB"/>
    <w:rsid w:val="00F3348F"/>
    <w:rsid w:val="00F37280"/>
    <w:rsid w:val="00F41EE4"/>
    <w:rsid w:val="00F5117A"/>
    <w:rsid w:val="00F565FE"/>
    <w:rsid w:val="00F61D39"/>
    <w:rsid w:val="00F63A70"/>
    <w:rsid w:val="00F63D8C"/>
    <w:rsid w:val="00F7534E"/>
    <w:rsid w:val="00F765C5"/>
    <w:rsid w:val="00F77A57"/>
    <w:rsid w:val="00F93EDF"/>
    <w:rsid w:val="00F9609E"/>
    <w:rsid w:val="00F966FF"/>
    <w:rsid w:val="00FA1802"/>
    <w:rsid w:val="00FA21D0"/>
    <w:rsid w:val="00FA5F5F"/>
    <w:rsid w:val="00FB7051"/>
    <w:rsid w:val="00FB730C"/>
    <w:rsid w:val="00FC21CF"/>
    <w:rsid w:val="00FC2695"/>
    <w:rsid w:val="00FC3E03"/>
    <w:rsid w:val="00FC3FC1"/>
    <w:rsid w:val="00FE5A6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table" w:styleId="Tablaconcuadrculaclara">
    <w:name w:val="Grid Table Light"/>
    <w:basedOn w:val="Tablanormal"/>
    <w:uiPriority w:val="40"/>
    <w:rsid w:val="00726A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uerte">
    <w:name w:val="Strong"/>
    <w:basedOn w:val="Fuentedeprrafopredeter"/>
    <w:uiPriority w:val="22"/>
    <w:qFormat/>
    <w:rsid w:val="00B0110E"/>
    <w:rPr>
      <w:b/>
      <w:bCs/>
    </w:rPr>
  </w:style>
  <w:style w:type="character" w:styleId="Mencinsinresolver">
    <w:name w:val="Unresolved Mention"/>
    <w:basedOn w:val="Fuentedeprrafopredeter"/>
    <w:uiPriority w:val="99"/>
    <w:semiHidden/>
    <w:unhideWhenUsed/>
    <w:rsid w:val="009A3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4156</Words>
  <Characters>22858</Characters>
  <Application>Microsoft Office Word</Application>
  <DocSecurity>0</DocSecurity>
  <Lines>190</Lines>
  <Paragraphs>53</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María José De la Haba de la Cerda</cp:lastModifiedBy>
  <cp:revision>3</cp:revision>
  <cp:lastPrinted>2015-05-12T18:31:00Z</cp:lastPrinted>
  <dcterms:created xsi:type="dcterms:W3CDTF">2026-02-11T08:25:00Z</dcterms:created>
  <dcterms:modified xsi:type="dcterms:W3CDTF">2026-02-26T11:25:00Z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