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0B31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0B3136" w:rsidRDefault="000A03B2" w:rsidP="00DE264A">
            <w:pPr>
              <w:tabs>
                <w:tab w:val="left" w:pos="-108"/>
              </w:tabs>
              <w:ind w:left="-108"/>
              <w:jc w:val="left"/>
              <w:rPr>
                <w:rFonts w:cs="Arial"/>
                <w:b/>
                <w:bCs/>
                <w:i/>
                <w:iCs/>
                <w:color w:val="000066"/>
                <w:sz w:val="12"/>
                <w:szCs w:val="12"/>
                <w:lang w:eastAsia="it-IT"/>
              </w:rPr>
            </w:pPr>
            <w:bookmarkStart w:id="0" w:name="_Hlk145068772"/>
            <w:r w:rsidRPr="000B3136">
              <w:rPr>
                <w:rFonts w:ascii="AdvP6960" w:hAnsi="AdvP6960" w:cs="AdvP6960"/>
                <w:noProof/>
                <w:color w:val="241F20"/>
                <w:szCs w:val="18"/>
                <w:lang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0B3136">
              <w:rPr>
                <w:rFonts w:ascii="AdvP6960" w:hAnsi="AdvP6960" w:cs="AdvP6960"/>
                <w:color w:val="241F20"/>
                <w:szCs w:val="18"/>
                <w:lang w:eastAsia="it-IT"/>
              </w:rPr>
              <w:t xml:space="preserve"> </w:t>
            </w:r>
            <w:r w:rsidRPr="000B3136">
              <w:rPr>
                <w:rFonts w:cs="Arial"/>
                <w:b/>
                <w:bCs/>
                <w:i/>
                <w:iCs/>
                <w:color w:val="000066"/>
                <w:sz w:val="24"/>
                <w:szCs w:val="24"/>
                <w:lang w:eastAsia="it-IT"/>
              </w:rPr>
              <w:t>CHEMICAL ENGINEERING</w:t>
            </w:r>
            <w:r w:rsidRPr="000B3136">
              <w:rPr>
                <w:rFonts w:cs="Arial"/>
                <w:b/>
                <w:bCs/>
                <w:i/>
                <w:iCs/>
                <w:color w:val="0033FF"/>
                <w:sz w:val="24"/>
                <w:szCs w:val="24"/>
                <w:lang w:eastAsia="it-IT"/>
              </w:rPr>
              <w:t xml:space="preserve"> </w:t>
            </w:r>
            <w:r w:rsidRPr="000B3136">
              <w:rPr>
                <w:rFonts w:cs="Arial"/>
                <w:b/>
                <w:bCs/>
                <w:i/>
                <w:iCs/>
                <w:color w:val="666666"/>
                <w:sz w:val="24"/>
                <w:szCs w:val="24"/>
                <w:lang w:eastAsia="it-IT"/>
              </w:rPr>
              <w:t>TRANSACTIONS</w:t>
            </w:r>
            <w:r w:rsidRPr="000B3136">
              <w:rPr>
                <w:color w:val="333333"/>
                <w:sz w:val="24"/>
                <w:szCs w:val="24"/>
                <w:lang w:eastAsia="it-IT"/>
              </w:rPr>
              <w:t xml:space="preserve"> </w:t>
            </w:r>
            <w:r w:rsidRPr="000B3136">
              <w:rPr>
                <w:rFonts w:cs="Arial"/>
                <w:b/>
                <w:bCs/>
                <w:i/>
                <w:iCs/>
                <w:color w:val="000066"/>
                <w:sz w:val="27"/>
                <w:szCs w:val="27"/>
                <w:lang w:eastAsia="it-IT"/>
              </w:rPr>
              <w:br/>
            </w:r>
          </w:p>
          <w:p w14:paraId="4B780582" w14:textId="753620B8" w:rsidR="000A03B2" w:rsidRPr="000B3136" w:rsidRDefault="00A76EFC" w:rsidP="001D21AF">
            <w:pPr>
              <w:tabs>
                <w:tab w:val="left" w:pos="-108"/>
              </w:tabs>
              <w:ind w:left="-108"/>
              <w:rPr>
                <w:rFonts w:cs="Arial"/>
                <w:b/>
                <w:bCs/>
                <w:i/>
                <w:iCs/>
                <w:color w:val="000066"/>
                <w:sz w:val="22"/>
                <w:szCs w:val="22"/>
                <w:lang w:eastAsia="it-IT"/>
              </w:rPr>
            </w:pPr>
            <w:r w:rsidRPr="000B3136">
              <w:rPr>
                <w:rFonts w:cs="Arial"/>
                <w:b/>
                <w:bCs/>
                <w:i/>
                <w:iCs/>
                <w:color w:val="000066"/>
                <w:sz w:val="22"/>
                <w:szCs w:val="22"/>
                <w:lang w:eastAsia="it-IT"/>
              </w:rPr>
              <w:t>VOL.</w:t>
            </w:r>
            <w:r w:rsidR="00785BF9" w:rsidRPr="000B3136">
              <w:rPr>
                <w:rFonts w:cs="Arial"/>
                <w:b/>
                <w:bCs/>
                <w:i/>
                <w:iCs/>
                <w:color w:val="000066"/>
                <w:sz w:val="22"/>
                <w:szCs w:val="22"/>
                <w:lang w:eastAsia="it-IT"/>
              </w:rPr>
              <w:t xml:space="preserve"> </w:t>
            </w:r>
            <w:r w:rsidR="00AD0278" w:rsidRPr="000B3136">
              <w:rPr>
                <w:rFonts w:cs="Arial"/>
                <w:b/>
                <w:bCs/>
                <w:i/>
                <w:iCs/>
                <w:color w:val="000066"/>
                <w:sz w:val="22"/>
                <w:szCs w:val="22"/>
                <w:lang w:eastAsia="it-IT"/>
              </w:rPr>
              <w:t>xxx</w:t>
            </w:r>
            <w:r w:rsidR="007B48F9" w:rsidRPr="000B3136">
              <w:rPr>
                <w:rFonts w:cs="Arial"/>
                <w:b/>
                <w:bCs/>
                <w:i/>
                <w:iCs/>
                <w:color w:val="000066"/>
                <w:sz w:val="22"/>
                <w:szCs w:val="22"/>
                <w:lang w:eastAsia="it-IT"/>
              </w:rPr>
              <w:t>,</w:t>
            </w:r>
            <w:r w:rsidR="00FA5F5F" w:rsidRPr="000B3136">
              <w:rPr>
                <w:rFonts w:cs="Arial"/>
                <w:b/>
                <w:bCs/>
                <w:i/>
                <w:iCs/>
                <w:color w:val="000066"/>
                <w:sz w:val="22"/>
                <w:szCs w:val="22"/>
                <w:lang w:eastAsia="it-IT"/>
              </w:rPr>
              <w:t xml:space="preserve"> </w:t>
            </w:r>
            <w:r w:rsidR="0030152C" w:rsidRPr="000B3136">
              <w:rPr>
                <w:rFonts w:cs="Arial"/>
                <w:b/>
                <w:bCs/>
                <w:i/>
                <w:iCs/>
                <w:color w:val="000066"/>
                <w:sz w:val="22"/>
                <w:szCs w:val="22"/>
                <w:lang w:eastAsia="it-IT"/>
              </w:rPr>
              <w:t>202</w:t>
            </w:r>
            <w:r w:rsidR="00AD0278" w:rsidRPr="000B3136">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0B3136" w:rsidRDefault="000A03B2" w:rsidP="00CD5FE2">
            <w:pPr>
              <w:spacing w:line="140" w:lineRule="atLeast"/>
              <w:jc w:val="right"/>
              <w:rPr>
                <w:rFonts w:cs="Arial"/>
                <w:sz w:val="14"/>
                <w:szCs w:val="14"/>
              </w:rPr>
            </w:pPr>
            <w:r w:rsidRPr="000B3136">
              <w:rPr>
                <w:rFonts w:cs="Arial"/>
                <w:sz w:val="14"/>
                <w:szCs w:val="14"/>
              </w:rPr>
              <w:t>A publication of</w:t>
            </w:r>
          </w:p>
          <w:p w14:paraId="599E5441" w14:textId="77777777" w:rsidR="000A03B2" w:rsidRPr="000B3136" w:rsidRDefault="000A03B2" w:rsidP="00CD5FE2">
            <w:pPr>
              <w:jc w:val="right"/>
            </w:pPr>
            <w:r w:rsidRPr="000B3136">
              <w:rPr>
                <w:noProof/>
                <w:lang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0B3136" w14:paraId="380FA3CD" w14:textId="77777777" w:rsidTr="00DE264A">
        <w:trPr>
          <w:trHeight w:val="567"/>
          <w:jc w:val="center"/>
        </w:trPr>
        <w:tc>
          <w:tcPr>
            <w:tcW w:w="6946" w:type="dxa"/>
            <w:vMerge/>
            <w:tcBorders>
              <w:right w:val="single" w:sz="4" w:space="0" w:color="auto"/>
            </w:tcBorders>
          </w:tcPr>
          <w:p w14:paraId="39E5E4C1" w14:textId="77777777" w:rsidR="000A03B2" w:rsidRPr="000B31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0B3136" w:rsidRDefault="000A03B2" w:rsidP="00CD5FE2">
            <w:pPr>
              <w:spacing w:line="140" w:lineRule="atLeast"/>
              <w:jc w:val="right"/>
              <w:rPr>
                <w:rFonts w:cs="Arial"/>
                <w:sz w:val="14"/>
                <w:szCs w:val="14"/>
              </w:rPr>
            </w:pPr>
            <w:r w:rsidRPr="000B3136">
              <w:rPr>
                <w:rFonts w:cs="Arial"/>
                <w:sz w:val="14"/>
                <w:szCs w:val="14"/>
              </w:rPr>
              <w:t>The Italian Association</w:t>
            </w:r>
          </w:p>
          <w:p w14:paraId="7522B1D2" w14:textId="77777777" w:rsidR="000A03B2" w:rsidRPr="000B3136" w:rsidRDefault="000A03B2" w:rsidP="00CD5FE2">
            <w:pPr>
              <w:spacing w:line="140" w:lineRule="atLeast"/>
              <w:jc w:val="right"/>
              <w:rPr>
                <w:rFonts w:cs="Arial"/>
                <w:sz w:val="14"/>
                <w:szCs w:val="14"/>
              </w:rPr>
            </w:pPr>
            <w:r w:rsidRPr="000B3136">
              <w:rPr>
                <w:rFonts w:cs="Arial"/>
                <w:sz w:val="14"/>
                <w:szCs w:val="14"/>
              </w:rPr>
              <w:t>of Chemical Engineering</w:t>
            </w:r>
          </w:p>
          <w:p w14:paraId="4F0CC5DE" w14:textId="47FDB2FC" w:rsidR="000A03B2" w:rsidRPr="000B3136" w:rsidRDefault="000D0268" w:rsidP="00CD5FE2">
            <w:pPr>
              <w:spacing w:line="140" w:lineRule="atLeast"/>
              <w:jc w:val="right"/>
              <w:rPr>
                <w:rFonts w:cs="Arial"/>
                <w:sz w:val="13"/>
                <w:szCs w:val="13"/>
              </w:rPr>
            </w:pPr>
            <w:r w:rsidRPr="000B3136">
              <w:rPr>
                <w:rFonts w:cs="Arial"/>
                <w:sz w:val="13"/>
                <w:szCs w:val="13"/>
              </w:rPr>
              <w:t>Online at www.cetjournal.it</w:t>
            </w:r>
          </w:p>
        </w:tc>
      </w:tr>
      <w:tr w:rsidR="000A03B2" w:rsidRPr="000B3136" w14:paraId="2D1B7169" w14:textId="77777777" w:rsidTr="00DE264A">
        <w:trPr>
          <w:trHeight w:val="68"/>
          <w:jc w:val="center"/>
        </w:trPr>
        <w:tc>
          <w:tcPr>
            <w:tcW w:w="8789" w:type="dxa"/>
            <w:gridSpan w:val="2"/>
          </w:tcPr>
          <w:p w14:paraId="1D8DD3C9" w14:textId="252289FB" w:rsidR="00AA7D26" w:rsidRPr="00B14C11" w:rsidRDefault="004A5E57" w:rsidP="004A5E57">
            <w:pPr>
              <w:ind w:left="-107"/>
              <w:outlineLvl w:val="2"/>
              <w:rPr>
                <w:rFonts w:ascii="Tahoma" w:hAnsi="Tahoma" w:cs="Tahoma"/>
                <w:bCs/>
                <w:color w:val="000000"/>
                <w:sz w:val="14"/>
                <w:szCs w:val="14"/>
                <w:lang w:val="it-IT" w:eastAsia="it-IT"/>
              </w:rPr>
            </w:pPr>
            <w:r w:rsidRPr="00B14C11">
              <w:rPr>
                <w:rFonts w:ascii="Tahoma" w:hAnsi="Tahoma" w:cs="Tahoma"/>
                <w:iCs/>
                <w:color w:val="333333"/>
                <w:sz w:val="14"/>
                <w:szCs w:val="14"/>
                <w:lang w:val="it-IT" w:eastAsia="it-IT"/>
              </w:rPr>
              <w:t>Guest Editors:</w:t>
            </w:r>
            <w:r w:rsidRPr="00B14C11">
              <w:rPr>
                <w:rFonts w:ascii="Tahoma" w:hAnsi="Tahoma" w:cs="Tahoma"/>
                <w:color w:val="000000"/>
                <w:sz w:val="14"/>
                <w:szCs w:val="14"/>
                <w:shd w:val="clear" w:color="auto" w:fill="FFFFFF"/>
                <w:lang w:val="it-IT"/>
              </w:rPr>
              <w:t xml:space="preserve"> </w:t>
            </w:r>
            <w:r w:rsidR="00005884" w:rsidRPr="00B14C11">
              <w:rPr>
                <w:rFonts w:ascii="Tahoma" w:hAnsi="Tahoma" w:cs="Tahoma"/>
                <w:color w:val="000000"/>
                <w:sz w:val="14"/>
                <w:szCs w:val="14"/>
                <w:shd w:val="clear" w:color="auto" w:fill="FFFFFF"/>
                <w:lang w:val="it-IT"/>
              </w:rPr>
              <w:t>Marco Bravi, Antonio Marzocchella, Giuseppe Caputo</w:t>
            </w:r>
          </w:p>
          <w:p w14:paraId="1B0F1814" w14:textId="710B7B96" w:rsidR="000A03B2" w:rsidRPr="000B3136" w:rsidRDefault="00AA7D26" w:rsidP="00AA7D26">
            <w:pPr>
              <w:tabs>
                <w:tab w:val="left" w:pos="-108"/>
              </w:tabs>
              <w:spacing w:line="140" w:lineRule="atLeast"/>
              <w:ind w:left="-107"/>
              <w:jc w:val="left"/>
            </w:pPr>
            <w:r w:rsidRPr="000B3136">
              <w:rPr>
                <w:rFonts w:ascii="Tahoma" w:hAnsi="Tahoma" w:cs="Tahoma"/>
                <w:iCs/>
                <w:color w:val="333333"/>
                <w:sz w:val="14"/>
                <w:szCs w:val="14"/>
                <w:lang w:eastAsia="it-IT"/>
              </w:rPr>
              <w:t>Copyright © 202</w:t>
            </w:r>
            <w:r w:rsidR="00005884" w:rsidRPr="000B3136">
              <w:rPr>
                <w:rFonts w:ascii="Tahoma" w:hAnsi="Tahoma" w:cs="Tahoma"/>
                <w:iCs/>
                <w:color w:val="333333"/>
                <w:sz w:val="14"/>
                <w:szCs w:val="14"/>
                <w:lang w:eastAsia="it-IT"/>
              </w:rPr>
              <w:t>6</w:t>
            </w:r>
            <w:r w:rsidRPr="000B3136">
              <w:rPr>
                <w:rFonts w:ascii="Tahoma" w:hAnsi="Tahoma" w:cs="Tahoma"/>
                <w:iCs/>
                <w:color w:val="333333"/>
                <w:sz w:val="14"/>
                <w:szCs w:val="14"/>
                <w:lang w:eastAsia="it-IT"/>
              </w:rPr>
              <w:t xml:space="preserve">, AIDIC Servizi </w:t>
            </w:r>
            <w:proofErr w:type="spellStart"/>
            <w:r w:rsidRPr="000B3136">
              <w:rPr>
                <w:rFonts w:ascii="Tahoma" w:hAnsi="Tahoma" w:cs="Tahoma"/>
                <w:iCs/>
                <w:color w:val="333333"/>
                <w:sz w:val="14"/>
                <w:szCs w:val="14"/>
                <w:lang w:eastAsia="it-IT"/>
              </w:rPr>
              <w:t>S.r.l</w:t>
            </w:r>
            <w:proofErr w:type="spellEnd"/>
            <w:r w:rsidRPr="000B3136">
              <w:rPr>
                <w:rFonts w:ascii="Tahoma" w:hAnsi="Tahoma" w:cs="Tahoma"/>
                <w:iCs/>
                <w:color w:val="333333"/>
                <w:sz w:val="14"/>
                <w:szCs w:val="14"/>
                <w:lang w:eastAsia="it-IT"/>
              </w:rPr>
              <w:t>.</w:t>
            </w:r>
            <w:r w:rsidRPr="000B3136">
              <w:rPr>
                <w:rFonts w:ascii="Tahoma" w:hAnsi="Tahoma" w:cs="Tahoma"/>
                <w:iCs/>
                <w:color w:val="333333"/>
                <w:sz w:val="14"/>
                <w:szCs w:val="14"/>
                <w:lang w:eastAsia="it-IT"/>
              </w:rPr>
              <w:br/>
            </w:r>
            <w:r w:rsidRPr="000B3136">
              <w:rPr>
                <w:rFonts w:ascii="Tahoma" w:hAnsi="Tahoma" w:cs="Tahoma"/>
                <w:b/>
                <w:iCs/>
                <w:color w:val="000000"/>
                <w:sz w:val="14"/>
                <w:szCs w:val="14"/>
                <w:lang w:eastAsia="it-IT"/>
              </w:rPr>
              <w:t>ISBN</w:t>
            </w:r>
            <w:r w:rsidRPr="000B3136">
              <w:rPr>
                <w:rFonts w:ascii="Tahoma" w:hAnsi="Tahoma" w:cs="Tahoma"/>
                <w:iCs/>
                <w:color w:val="000000"/>
                <w:sz w:val="14"/>
                <w:szCs w:val="14"/>
                <w:lang w:eastAsia="it-IT"/>
              </w:rPr>
              <w:t xml:space="preserve"> </w:t>
            </w:r>
            <w:r w:rsidR="00D2582C" w:rsidRPr="000B3136">
              <w:rPr>
                <w:rFonts w:ascii="Tahoma" w:hAnsi="Tahoma" w:cs="Tahoma"/>
                <w:sz w:val="14"/>
                <w:szCs w:val="14"/>
              </w:rPr>
              <w:t>979-12-81206-</w:t>
            </w:r>
            <w:r w:rsidR="00005884" w:rsidRPr="000B3136">
              <w:rPr>
                <w:rFonts w:ascii="Tahoma" w:hAnsi="Tahoma" w:cs="Tahoma"/>
                <w:sz w:val="14"/>
                <w:szCs w:val="14"/>
              </w:rPr>
              <w:t>xx</w:t>
            </w:r>
            <w:r w:rsidR="009041F8" w:rsidRPr="000B3136">
              <w:rPr>
                <w:rFonts w:ascii="Tahoma" w:hAnsi="Tahoma" w:cs="Tahoma"/>
                <w:sz w:val="14"/>
                <w:szCs w:val="14"/>
              </w:rPr>
              <w:t>-</w:t>
            </w:r>
            <w:r w:rsidR="00005884" w:rsidRPr="000B3136">
              <w:rPr>
                <w:rFonts w:ascii="Tahoma" w:hAnsi="Tahoma" w:cs="Tahoma"/>
                <w:sz w:val="14"/>
                <w:szCs w:val="14"/>
              </w:rPr>
              <w:t>x</w:t>
            </w:r>
            <w:r w:rsidRPr="000B3136">
              <w:rPr>
                <w:rFonts w:ascii="Tahoma" w:hAnsi="Tahoma" w:cs="Tahoma"/>
                <w:iCs/>
                <w:color w:val="333333"/>
                <w:sz w:val="14"/>
                <w:szCs w:val="14"/>
                <w:lang w:eastAsia="it-IT"/>
              </w:rPr>
              <w:t xml:space="preserve">; </w:t>
            </w:r>
            <w:r w:rsidRPr="000B3136">
              <w:rPr>
                <w:rFonts w:ascii="Tahoma" w:hAnsi="Tahoma" w:cs="Tahoma"/>
                <w:b/>
                <w:iCs/>
                <w:color w:val="333333"/>
                <w:sz w:val="14"/>
                <w:szCs w:val="14"/>
                <w:lang w:eastAsia="it-IT"/>
              </w:rPr>
              <w:t>ISSN</w:t>
            </w:r>
            <w:r w:rsidRPr="000B3136">
              <w:rPr>
                <w:rFonts w:ascii="Tahoma" w:hAnsi="Tahoma" w:cs="Tahoma"/>
                <w:iCs/>
                <w:color w:val="333333"/>
                <w:sz w:val="14"/>
                <w:szCs w:val="14"/>
                <w:lang w:eastAsia="it-IT"/>
              </w:rPr>
              <w:t xml:space="preserve"> 2283-9216</w:t>
            </w:r>
          </w:p>
        </w:tc>
      </w:tr>
    </w:tbl>
    <w:bookmarkEnd w:id="0"/>
    <w:p w14:paraId="2E667253" w14:textId="2A591A0D" w:rsidR="00E978D0" w:rsidRPr="000B3136" w:rsidRDefault="00495405" w:rsidP="00E978D0">
      <w:pPr>
        <w:pStyle w:val="CETTitle"/>
      </w:pPr>
      <w:r w:rsidRPr="000B3136">
        <w:t>New Experimental Data of Carbon Dioxide Solubility in</w:t>
      </w:r>
      <w:r w:rsidR="00377EE6" w:rsidRPr="00377EE6">
        <w:t xml:space="preserve"> </w:t>
      </w:r>
      <w:r w:rsidR="00377EE6">
        <w:t>a bio-based solvent</w:t>
      </w:r>
    </w:p>
    <w:p w14:paraId="0488FED2" w14:textId="2035C22C" w:rsidR="00B57E6F" w:rsidRPr="00B14C11" w:rsidRDefault="00495405" w:rsidP="00B57E6F">
      <w:pPr>
        <w:pStyle w:val="CETAuthors"/>
        <w:rPr>
          <w:noProof w:val="0"/>
          <w:lang w:val="it-IT"/>
        </w:rPr>
      </w:pPr>
      <w:r w:rsidRPr="00B14C11">
        <w:rPr>
          <w:noProof w:val="0"/>
          <w:lang w:val="it-IT"/>
        </w:rPr>
        <w:t>Valentina Schiattarella*</w:t>
      </w:r>
      <w:r w:rsidRPr="00B14C11">
        <w:rPr>
          <w:noProof w:val="0"/>
          <w:vertAlign w:val="superscript"/>
          <w:lang w:val="it-IT"/>
        </w:rPr>
        <w:t>a</w:t>
      </w:r>
      <w:r w:rsidRPr="00B14C11">
        <w:rPr>
          <w:noProof w:val="0"/>
          <w:lang w:val="it-IT"/>
        </w:rPr>
        <w:t>, Omnia W. F. M. Farag</w:t>
      </w:r>
      <w:r w:rsidRPr="00B14C11">
        <w:rPr>
          <w:noProof w:val="0"/>
          <w:vertAlign w:val="superscript"/>
          <w:lang w:val="it-IT"/>
        </w:rPr>
        <w:t>a</w:t>
      </w:r>
      <w:r w:rsidRPr="00B14C11">
        <w:rPr>
          <w:noProof w:val="0"/>
          <w:lang w:val="it-IT"/>
        </w:rPr>
        <w:t>, Stefania Moioli</w:t>
      </w:r>
      <w:r w:rsidRPr="00B14C11">
        <w:rPr>
          <w:noProof w:val="0"/>
          <w:vertAlign w:val="superscript"/>
          <w:lang w:val="it-IT"/>
        </w:rPr>
        <w:t>a</w:t>
      </w:r>
      <w:r w:rsidRPr="00B14C11">
        <w:rPr>
          <w:noProof w:val="0"/>
          <w:lang w:val="it-IT"/>
        </w:rPr>
        <w:t>, Giorgia De Guido</w:t>
      </w:r>
      <w:r w:rsidRPr="00B14C11">
        <w:rPr>
          <w:noProof w:val="0"/>
          <w:vertAlign w:val="superscript"/>
          <w:lang w:val="it-IT"/>
        </w:rPr>
        <w:t>a</w:t>
      </w:r>
    </w:p>
    <w:p w14:paraId="3D72B0B0" w14:textId="428968DF" w:rsidR="00B57E6F" w:rsidRPr="00B14C11" w:rsidRDefault="00B57E6F" w:rsidP="00495405">
      <w:pPr>
        <w:pStyle w:val="CETAddress"/>
        <w:rPr>
          <w:noProof w:val="0"/>
          <w:lang w:val="it-IT"/>
        </w:rPr>
      </w:pPr>
      <w:proofErr w:type="spellStart"/>
      <w:r w:rsidRPr="00B14C11">
        <w:rPr>
          <w:noProof w:val="0"/>
          <w:vertAlign w:val="superscript"/>
          <w:lang w:val="it-IT"/>
        </w:rPr>
        <w:t>a</w:t>
      </w:r>
      <w:r w:rsidR="00495405" w:rsidRPr="00B14C11">
        <w:rPr>
          <w:noProof w:val="0"/>
          <w:lang w:val="it-IT"/>
        </w:rPr>
        <w:t>GASP</w:t>
      </w:r>
      <w:proofErr w:type="spellEnd"/>
      <w:r w:rsidR="00495405" w:rsidRPr="00B14C11">
        <w:rPr>
          <w:noProof w:val="0"/>
          <w:lang w:val="it-IT"/>
        </w:rPr>
        <w:t xml:space="preserve"> - Group on Advanced </w:t>
      </w:r>
      <w:proofErr w:type="spellStart"/>
      <w:r w:rsidR="00495405" w:rsidRPr="00B14C11">
        <w:rPr>
          <w:noProof w:val="0"/>
          <w:lang w:val="it-IT"/>
        </w:rPr>
        <w:t>Separation</w:t>
      </w:r>
      <w:proofErr w:type="spellEnd"/>
      <w:r w:rsidR="00495405" w:rsidRPr="00B14C11">
        <w:rPr>
          <w:noProof w:val="0"/>
          <w:lang w:val="it-IT"/>
        </w:rPr>
        <w:t xml:space="preserve"> </w:t>
      </w:r>
      <w:proofErr w:type="spellStart"/>
      <w:r w:rsidR="00495405" w:rsidRPr="00B14C11">
        <w:rPr>
          <w:noProof w:val="0"/>
          <w:lang w:val="it-IT"/>
        </w:rPr>
        <w:t>Processes</w:t>
      </w:r>
      <w:proofErr w:type="spellEnd"/>
      <w:r w:rsidR="00495405" w:rsidRPr="00B14C11">
        <w:rPr>
          <w:noProof w:val="0"/>
          <w:lang w:val="it-IT"/>
        </w:rPr>
        <w:t xml:space="preserve"> &amp; GAS Processing, Dipartimento di Chimica, Materiali e Ingegneria Chimica “G. Natta”, Politecnico di Milano, Piazza Leonardo da Vinci 32, 20133 Milano, Italy</w:t>
      </w:r>
    </w:p>
    <w:p w14:paraId="73F1267A" w14:textId="4517AF5E" w:rsidR="00B57E6F" w:rsidRPr="000B3136" w:rsidRDefault="00B57E6F" w:rsidP="00B57E6F">
      <w:pPr>
        <w:pStyle w:val="CETemail"/>
        <w:rPr>
          <w:noProof w:val="0"/>
        </w:rPr>
      </w:pPr>
      <w:r w:rsidRPr="00B14C11">
        <w:rPr>
          <w:noProof w:val="0"/>
          <w:lang w:val="it-IT"/>
        </w:rPr>
        <w:t xml:space="preserve"> </w:t>
      </w:r>
      <w:r w:rsidR="00495405" w:rsidRPr="000B3136">
        <w:rPr>
          <w:noProof w:val="0"/>
        </w:rPr>
        <w:t>valentina.schiattarella@polimi.it</w:t>
      </w:r>
    </w:p>
    <w:p w14:paraId="37A61FCE" w14:textId="72666E25" w:rsidR="00DA24C6" w:rsidRPr="000B3136" w:rsidRDefault="00495405" w:rsidP="00495405">
      <w:pPr>
        <w:pStyle w:val="CETBodytext"/>
        <w:rPr>
          <w:lang w:val="en-GB"/>
        </w:rPr>
      </w:pPr>
      <w:r w:rsidRPr="000B3136">
        <w:rPr>
          <w:lang w:val="en-GB"/>
        </w:rPr>
        <w:t>Physical absorption is a well-established and highly effective technique for carbon dioxide removal, particularly for the separation of CO</w:t>
      </w:r>
      <w:r w:rsidRPr="000B3136">
        <w:rPr>
          <w:vertAlign w:val="subscript"/>
          <w:lang w:val="en-GB"/>
        </w:rPr>
        <w:t>2</w:t>
      </w:r>
      <w:r w:rsidRPr="000B3136">
        <w:rPr>
          <w:lang w:val="en-GB"/>
        </w:rPr>
        <w:t xml:space="preserve"> from industrial gas streams. In recent years, increasing attention has been directed to the development of sustainable alternatives to conventional physical solvents, motivated by the need to reduce their environmental and health impacts. Within this framework, Dihydrolevoglucosenone (commercially known as Cyrene)</w:t>
      </w:r>
      <w:r w:rsidR="00836716">
        <w:rPr>
          <w:lang w:val="en-GB"/>
        </w:rPr>
        <w:t>,</w:t>
      </w:r>
      <w:r w:rsidRPr="000B3136">
        <w:rPr>
          <w:lang w:val="en-GB"/>
        </w:rPr>
        <w:t xml:space="preserve"> a biodegradable, non-mutagenic and non-toxic solvent derived from renewable biomass resources, has attracted growing interest as a potential bio-based alternative. Its physicochemical properties are comparable to those of N-Methyl-2-Pyrrolidone (NMP), the solvent employed in the Purisol</w:t>
      </w:r>
      <w:r w:rsidRPr="000B3136">
        <w:rPr>
          <w:vertAlign w:val="superscript"/>
          <w:lang w:val="en-GB"/>
        </w:rPr>
        <w:t>®</w:t>
      </w:r>
      <w:r w:rsidRPr="000B3136">
        <w:rPr>
          <w:lang w:val="en-GB"/>
        </w:rPr>
        <w:t xml:space="preserve"> process, making Cyrene a promising candidate for physical absorption for CO</w:t>
      </w:r>
      <w:r w:rsidRPr="000B3136">
        <w:rPr>
          <w:vertAlign w:val="subscript"/>
          <w:lang w:val="en-GB"/>
        </w:rPr>
        <w:t>2</w:t>
      </w:r>
      <w:r w:rsidRPr="000B3136">
        <w:rPr>
          <w:lang w:val="en-GB"/>
        </w:rPr>
        <w:t xml:space="preserve"> removal applications. Despite this potential, experimental data on the solubility of CO</w:t>
      </w:r>
      <w:r w:rsidRPr="000B3136">
        <w:rPr>
          <w:vertAlign w:val="subscript"/>
          <w:lang w:val="en-GB"/>
        </w:rPr>
        <w:t>2</w:t>
      </w:r>
      <w:r w:rsidRPr="000B3136">
        <w:rPr>
          <w:lang w:val="en-GB"/>
        </w:rPr>
        <w:t xml:space="preserve"> in Cyrene are still limited</w:t>
      </w:r>
      <w:r w:rsidR="0098092C" w:rsidRPr="000B3136">
        <w:rPr>
          <w:lang w:val="en-GB"/>
        </w:rPr>
        <w:t xml:space="preserve"> not allowing </w:t>
      </w:r>
      <w:r w:rsidRPr="000B3136">
        <w:rPr>
          <w:lang w:val="en-GB"/>
        </w:rPr>
        <w:t>a comprehensive evaluation of the solvent performance across the temperature range typically encountered in industrial absorption processes. Therefore, the present study aims to provide new measurements of CO</w:t>
      </w:r>
      <w:r w:rsidRPr="000B3136">
        <w:rPr>
          <w:vertAlign w:val="subscript"/>
          <w:lang w:val="en-GB"/>
        </w:rPr>
        <w:t>2</w:t>
      </w:r>
      <w:r w:rsidRPr="000B3136">
        <w:rPr>
          <w:lang w:val="en-GB"/>
        </w:rPr>
        <w:t xml:space="preserve"> solubility in Cyrene at 323.15 K, 333.15 K and 353.15 K, obtained by employing the solubility unit installed at the Process Thermodynamics laboratory (PT lab) of Politecnico di Milano. The reliability of the experimental procedure is supported by the prior validation of the solubility unit using </w:t>
      </w:r>
      <w:proofErr w:type="spellStart"/>
      <w:r w:rsidRPr="000B3136">
        <w:rPr>
          <w:lang w:val="en-GB"/>
        </w:rPr>
        <w:t>MonoEthanolAmine</w:t>
      </w:r>
      <w:proofErr w:type="spellEnd"/>
      <w:r w:rsidRPr="000B3136">
        <w:rPr>
          <w:lang w:val="en-GB"/>
        </w:rPr>
        <w:t xml:space="preserve"> (MEA), for which the measured solubility values have been found to be in good agreement with data reported in the literature.</w:t>
      </w:r>
    </w:p>
    <w:p w14:paraId="680333BF" w14:textId="2D79B8D0" w:rsidR="00416CEA" w:rsidRPr="00416CEA" w:rsidRDefault="00600535" w:rsidP="00600535">
      <w:pPr>
        <w:pStyle w:val="CETHeading1"/>
        <w:rPr>
          <w:lang w:val="en-GB"/>
        </w:rPr>
      </w:pPr>
      <w:r w:rsidRPr="000B3136">
        <w:rPr>
          <w:lang w:val="en-GB"/>
        </w:rPr>
        <w:t>Introduction</w:t>
      </w:r>
    </w:p>
    <w:p w14:paraId="123424A5" w14:textId="37429992" w:rsidR="00416CEA" w:rsidRDefault="00377EE6" w:rsidP="00416CEA">
      <w:pPr>
        <w:pStyle w:val="CETBodytext"/>
        <w:rPr>
          <w:lang w:val="en-GB"/>
        </w:rPr>
      </w:pPr>
      <w:r>
        <w:rPr>
          <w:lang w:val="en-GB"/>
        </w:rPr>
        <w:t>T</w:t>
      </w:r>
      <w:r w:rsidR="00416CEA" w:rsidRPr="00416CEA">
        <w:rPr>
          <w:lang w:val="en-GB"/>
        </w:rPr>
        <w:t>he presence of CO</w:t>
      </w:r>
      <w:r w:rsidR="00750475" w:rsidRPr="000B3136">
        <w:rPr>
          <w:vertAlign w:val="subscript"/>
          <w:lang w:val="en-GB"/>
        </w:rPr>
        <w:t>2</w:t>
      </w:r>
      <w:r w:rsidR="00416CEA" w:rsidRPr="00416CEA">
        <w:rPr>
          <w:lang w:val="en-GB"/>
        </w:rPr>
        <w:t xml:space="preserve"> in industrial gas streams</w:t>
      </w:r>
      <w:r w:rsidR="00416CEA">
        <w:rPr>
          <w:lang w:val="en-GB"/>
        </w:rPr>
        <w:t>, such as natural gas and syngas,</w:t>
      </w:r>
      <w:r w:rsidR="00416CEA" w:rsidRPr="00416CEA">
        <w:rPr>
          <w:lang w:val="en-GB"/>
        </w:rPr>
        <w:t xml:space="preserve"> can adversely affect process efficiency, equipment integrity and product quality, making its removal a critical requirement in </w:t>
      </w:r>
      <w:r w:rsidR="00904B7A">
        <w:rPr>
          <w:lang w:val="en-GB"/>
        </w:rPr>
        <w:t>several</w:t>
      </w:r>
      <w:r w:rsidR="00416CEA" w:rsidRPr="00416CEA">
        <w:rPr>
          <w:lang w:val="en-GB"/>
        </w:rPr>
        <w:t xml:space="preserve"> industrial applications</w:t>
      </w:r>
      <w:r w:rsidR="00B14C11">
        <w:rPr>
          <w:lang w:val="en-GB"/>
        </w:rPr>
        <w:t xml:space="preserve"> </w:t>
      </w:r>
      <w:r w:rsidR="00B14C11">
        <w:rPr>
          <w:lang w:val="en-GB"/>
        </w:rPr>
        <w:fldChar w:fldCharType="begin"/>
      </w:r>
      <w:r w:rsidR="00BF71AC">
        <w:rPr>
          <w:lang w:val="en-GB"/>
        </w:rPr>
        <w:instrText xml:space="preserve"> ADDIN ZOTERO_ITEM CSL_CITATION {"citationID":"Jy7EoCDe","properties":{"formattedCitation":"(He et al., 2025; Zhai et al., 2025)","plainCitation":"(He et al., 2025; Zhai et al., 2025)","noteIndex":0},"citationItems":[{"id":482,"uris":["http://zotero.org/users/local/YuUn2Zf4/items/PSFSNRT9"],"itemData":{"id":482,"type":"article-journal","container-title":"Separation and Purification Technology","ISSN":"1383-5866","journalAbbreviation":"Separation and Purification Technology","page":"128153","publisher":"Elsevier","title":"High ethane content enables efficient CO&lt;sub&gt;2&lt;/sub&gt; capture from natural gas by cryogenic distillation","volume":"352","author":[{"family":"He","given":"Ting"},{"family":"Si","given":"Bin"},{"family":"Gundersen","given":"Truls"},{"family":"Lin","given":"Wensheng"},{"family":"Chen","given":"Liqiong"},{"family":"Zhang","given":"Kai"}],"issued":{"date-parts":[["2025"]]}}},{"id":481,"uris":["http://zotero.org/users/local/YuUn2Zf4/items/HLEREHL9"],"itemData":{"id":481,"type":"article-journal","container-title":"Chemical Engineering Journal","ISSN":"1385-8947","journalAbbreviation":"Chemical Engineering Journal","page":"162722","publisher":"Elsevier","title":"Glucose-driven synthesis of N-doped porous carbon from sludge for CO&lt;sub&gt;2&lt;/sub&gt; removal in biomass syngas","author":[{"family":"Zhai","given":"Jinpeng"},{"family":"Wang","given":"Zhenjiang"},{"family":"Ouyang","given":"Jia"},{"family":"Xue","given":"Beichen"},{"family":"Liu","given":"Chao"},{"family":"Xiao","given":"Rui"}],"issued":{"date-parts":[["2025"]]}}}],"schema":"https://github.com/citation-style-language/schema/raw/master/csl-citation.json"} </w:instrText>
      </w:r>
      <w:r w:rsidR="00B14C11">
        <w:rPr>
          <w:lang w:val="en-GB"/>
        </w:rPr>
        <w:fldChar w:fldCharType="separate"/>
      </w:r>
      <w:r w:rsidR="00B14C11" w:rsidRPr="00B14C11">
        <w:rPr>
          <w:rFonts w:cs="Arial"/>
          <w:lang w:val="en-GB"/>
        </w:rPr>
        <w:t>(He et al., 2025; Zhai et al., 2025)</w:t>
      </w:r>
      <w:r w:rsidR="00B14C11">
        <w:rPr>
          <w:lang w:val="en-GB"/>
        </w:rPr>
        <w:fldChar w:fldCharType="end"/>
      </w:r>
      <w:r w:rsidR="00416CEA" w:rsidRPr="00416CEA">
        <w:rPr>
          <w:lang w:val="en-GB"/>
        </w:rPr>
        <w:t>. As a consequence, the development of effective technologies for CO</w:t>
      </w:r>
      <w:r w:rsidR="00750475" w:rsidRPr="000B3136">
        <w:rPr>
          <w:vertAlign w:val="subscript"/>
          <w:lang w:val="en-GB"/>
        </w:rPr>
        <w:t>2</w:t>
      </w:r>
      <w:r w:rsidR="00416CEA" w:rsidRPr="00416CEA">
        <w:rPr>
          <w:lang w:val="en-GB"/>
        </w:rPr>
        <w:t xml:space="preserve"> </w:t>
      </w:r>
      <w:r w:rsidR="00B14C11">
        <w:rPr>
          <w:lang w:val="en-GB"/>
        </w:rPr>
        <w:t>removal</w:t>
      </w:r>
      <w:r w:rsidR="00416CEA" w:rsidRPr="00416CEA">
        <w:rPr>
          <w:lang w:val="en-GB"/>
        </w:rPr>
        <w:t xml:space="preserve"> and mitigation have become a central objective in the transition toward low-carbon and sustainable industrial systems</w:t>
      </w:r>
      <w:r w:rsidR="00810A8E">
        <w:rPr>
          <w:lang w:val="en-GB"/>
        </w:rPr>
        <w:t xml:space="preserve"> </w:t>
      </w:r>
      <w:r w:rsidR="00810A8E">
        <w:rPr>
          <w:lang w:val="en-GB"/>
        </w:rPr>
        <w:fldChar w:fldCharType="begin"/>
      </w:r>
      <w:r w:rsidR="00BF71AC">
        <w:rPr>
          <w:lang w:val="en-GB"/>
        </w:rPr>
        <w:instrText xml:space="preserve"> ADDIN ZOTERO_ITEM CSL_CITATION {"citationID":"shNSS30w","properties":{"formattedCitation":"(Wang et al., 2025)","plainCitation":"(Wang et al., 2025)","noteIndex":0},"citationItems":[{"id":483,"uris":["http://zotero.org/users/local/YuUn2Zf4/items/N7FW6Q4I"],"itemData":{"id":483,"type":"article-journal","container-title":"Journal of Environmental Chemical Engineering","ISSN":"2213-3437","journalAbbreviation":"Journal of Environmental Chemical Engineering","page":"115881","publisher":"Elsevier","title":"Advanced materials for CO&lt;sub&gt;2&lt;/sub&gt; capture and storage: A comprehensive review of current progress and future prospects","author":[{"family":"Wang","given":"Jun"},{"family":"Li","given":"Linjin"},{"family":"Qu","given":"Guangfei"},{"family":"Cheng","given":"Minhua"},{"family":"Ren","given":"Yuanchuan"},{"family":"Lu","given":"Ping"},{"family":"Zhang","given":"Ting"},{"family":"Wang","given":"Yaoze"},{"family":"Wu","given":"Fenghui"}],"issued":{"date-parts":[["2025"]]}}}],"schema":"https://github.com/citation-style-language/schema/raw/master/csl-citation.json"} </w:instrText>
      </w:r>
      <w:r w:rsidR="00810A8E">
        <w:rPr>
          <w:lang w:val="en-GB"/>
        </w:rPr>
        <w:fldChar w:fldCharType="separate"/>
      </w:r>
      <w:r w:rsidR="00810A8E" w:rsidRPr="00810A8E">
        <w:rPr>
          <w:rFonts w:cs="Arial"/>
          <w:lang w:val="en-GB"/>
        </w:rPr>
        <w:t>(Wang et al., 2025)</w:t>
      </w:r>
      <w:r w:rsidR="00810A8E">
        <w:rPr>
          <w:lang w:val="en-GB"/>
        </w:rPr>
        <w:fldChar w:fldCharType="end"/>
      </w:r>
      <w:r w:rsidR="00416CEA" w:rsidRPr="00416CEA">
        <w:rPr>
          <w:lang w:val="en-GB"/>
        </w:rPr>
        <w:t>.</w:t>
      </w:r>
    </w:p>
    <w:p w14:paraId="2DC07C84" w14:textId="5F1A5A5C" w:rsidR="00416CEA" w:rsidRDefault="00416CEA" w:rsidP="00416CEA">
      <w:pPr>
        <w:pStyle w:val="CETBodytext"/>
        <w:rPr>
          <w:lang w:val="en-GB"/>
        </w:rPr>
      </w:pPr>
      <w:r w:rsidRPr="00416CEA">
        <w:rPr>
          <w:lang w:val="en-GB"/>
        </w:rPr>
        <w:t>Among the various separation strategies currently available, physical absorption remains one of the most mature and widely applied approaches, particularly for gas streams characterized by moderate to high CO</w:t>
      </w:r>
      <w:r w:rsidR="00750475" w:rsidRPr="000B3136">
        <w:rPr>
          <w:vertAlign w:val="subscript"/>
          <w:lang w:val="en-GB"/>
        </w:rPr>
        <w:t>2</w:t>
      </w:r>
      <w:r w:rsidRPr="00416CEA">
        <w:rPr>
          <w:lang w:val="en-GB"/>
        </w:rPr>
        <w:t xml:space="preserve"> partial pressures</w:t>
      </w:r>
      <w:r w:rsidR="00254691">
        <w:rPr>
          <w:lang w:val="en-GB"/>
        </w:rPr>
        <w:t xml:space="preserve"> </w:t>
      </w:r>
      <w:r w:rsidR="00254691">
        <w:rPr>
          <w:lang w:val="en-GB"/>
        </w:rPr>
        <w:fldChar w:fldCharType="begin"/>
      </w:r>
      <w:r w:rsidR="00254691">
        <w:rPr>
          <w:lang w:val="en-GB"/>
        </w:rPr>
        <w:instrText xml:space="preserve"> ADDIN ZOTERO_ITEM CSL_CITATION {"citationID":"d88UAjup","properties":{"formattedCitation":"(Ban et al., 2014)","plainCitation":"(Ban et al., 2014)","noteIndex":0},"citationItems":[{"id":36,"uris":["http://zotero.org/users/local/YuUn2Zf4/items/TQJFL3BN"],"itemData":{"id":36,"type":"article-journal","container-title":"Advanced Materials Research","ISSN":"1662-8985","page":"134-143","title":"Physical absorption of CO&lt;sub&gt;2&lt;/sub&gt; capture: a review","volume":"917","author":[{"family":"Ban","given":"Zhen Hong"},{"family":"Keong","given":"Lau Kok"},{"family":"Mohd Shariff","given":"Azmi"}],"issued":{"date-parts":[["2014"]]}}}],"schema":"https://github.com/citation-style-language/schema/raw/master/csl-citation.json"} </w:instrText>
      </w:r>
      <w:r w:rsidR="00254691">
        <w:rPr>
          <w:lang w:val="en-GB"/>
        </w:rPr>
        <w:fldChar w:fldCharType="separate"/>
      </w:r>
      <w:r w:rsidR="00254691" w:rsidRPr="00254691">
        <w:rPr>
          <w:rFonts w:cs="Arial"/>
          <w:lang w:val="en-GB"/>
        </w:rPr>
        <w:t>(Ban et al., 2014)</w:t>
      </w:r>
      <w:r w:rsidR="00254691">
        <w:rPr>
          <w:lang w:val="en-GB"/>
        </w:rPr>
        <w:fldChar w:fldCharType="end"/>
      </w:r>
      <w:r w:rsidRPr="00416CEA">
        <w:rPr>
          <w:lang w:val="en-GB"/>
        </w:rPr>
        <w:t xml:space="preserve">. </w:t>
      </w:r>
      <w:r w:rsidR="00315B8F" w:rsidRPr="00315B8F">
        <w:rPr>
          <w:lang w:val="en-GB"/>
        </w:rPr>
        <w:t>Physical absorption of CO</w:t>
      </w:r>
      <w:r w:rsidR="00315B8F" w:rsidRPr="000B3136">
        <w:rPr>
          <w:vertAlign w:val="subscript"/>
          <w:lang w:val="en-GB"/>
        </w:rPr>
        <w:t>2</w:t>
      </w:r>
      <w:r w:rsidR="00315B8F" w:rsidRPr="00315B8F">
        <w:rPr>
          <w:lang w:val="en-GB"/>
        </w:rPr>
        <w:t xml:space="preserve"> occurs through its dissolution in a suitable solvent, a behavio</w:t>
      </w:r>
      <w:r w:rsidR="00315B8F">
        <w:rPr>
          <w:lang w:val="en-GB"/>
        </w:rPr>
        <w:t>u</w:t>
      </w:r>
      <w:r w:rsidR="00315B8F" w:rsidRPr="00315B8F">
        <w:rPr>
          <w:lang w:val="en-GB"/>
        </w:rPr>
        <w:t>r that is generally described by Henry</w:t>
      </w:r>
      <w:r w:rsidR="00315B8F" w:rsidRPr="00315B8F">
        <w:rPr>
          <w:rFonts w:cs="Arial"/>
          <w:lang w:val="en-GB"/>
        </w:rPr>
        <w:t>’</w:t>
      </w:r>
      <w:r w:rsidR="00315B8F" w:rsidRPr="00315B8F">
        <w:rPr>
          <w:lang w:val="en-GB"/>
        </w:rPr>
        <w:t xml:space="preserve">s law </w:t>
      </w:r>
      <w:r w:rsidR="00315B8F">
        <w:rPr>
          <w:lang w:val="en-GB"/>
        </w:rPr>
        <w:fldChar w:fldCharType="begin"/>
      </w:r>
      <w:r w:rsidR="00315B8F">
        <w:rPr>
          <w:lang w:val="en-GB"/>
        </w:rPr>
        <w:instrText xml:space="preserve"> ADDIN ZOTERO_ITEM CSL_CITATION {"citationID":"w1BPzlsh","properties":{"formattedCitation":"(Henry, 1803)","plainCitation":"(Henry, 1803)","noteIndex":0},"citationItems":[{"id":148,"uris":["http://zotero.org/users/local/YuUn2Zf4/items/68G8EWEU"],"itemData":{"id":148,"type":"article-journal","container-title":"Philosophical Transactions of the Royal Society of London","ISSN":"0261-0523","issue":"93","page":"29-274","title":"III. Experiments on the quantity of gases absorbed by water, at different temperatures, and under different pressures","author":[{"family":"Henry","given":"William"}],"issued":{"date-parts":[["1803"]]}}}],"schema":"https://github.com/citation-style-language/schema/raw/master/csl-citation.json"} </w:instrText>
      </w:r>
      <w:r w:rsidR="00315B8F">
        <w:rPr>
          <w:lang w:val="en-GB"/>
        </w:rPr>
        <w:fldChar w:fldCharType="separate"/>
      </w:r>
      <w:r w:rsidR="00315B8F" w:rsidRPr="00254691">
        <w:rPr>
          <w:rFonts w:cs="Arial"/>
          <w:lang w:val="en-GB"/>
        </w:rPr>
        <w:t>(Henry, 1803)</w:t>
      </w:r>
      <w:r w:rsidR="00315B8F">
        <w:rPr>
          <w:lang w:val="en-GB"/>
        </w:rPr>
        <w:fldChar w:fldCharType="end"/>
      </w:r>
      <w:r w:rsidR="00315B8F" w:rsidRPr="00315B8F">
        <w:rPr>
          <w:lang w:val="en-GB"/>
        </w:rPr>
        <w:t xml:space="preserve">. The effectiveness of this mechanism increases under conditions of high pressure and relatively low operating temperatures </w:t>
      </w:r>
      <w:r w:rsidR="00315B8F">
        <w:rPr>
          <w:lang w:val="en-GB"/>
        </w:rPr>
        <w:fldChar w:fldCharType="begin"/>
      </w:r>
      <w:r w:rsidR="00BF71AC">
        <w:rPr>
          <w:lang w:val="en-GB"/>
        </w:rPr>
        <w:instrText xml:space="preserve"> ADDIN ZOTERO_ITEM CSL_CITATION {"citationID":"D357wOO1","properties":{"formattedCitation":"(Mumford et al., 2015)","plainCitation":"(Mumford et al., 2015)","noteIndex":0},"citationItems":[{"id":489,"uris":["http://zotero.org/users/local/YuUn2Zf4/items/GCD87UN7"],"itemData":{"id":489,"type":"article-journal","container-title":"Frontiers of Chemical Science and Engineering","ISSN":"2095-0179","issue":"2","journalAbbreviation":"Frontiers of Chemical Science and Engineering","page":"125-141","publisher":"Springer","title":"Review of solvent based carbon-dioxide capture technologies","volume":"9","author":[{"family":"Mumford","given":"Kathryn A"},{"family":"Wu","given":"Yue"},{"family":"Smith","given":"Kathryn H"},{"family":"Stevens","given":"Geoffrey W"}],"issued":{"date-parts":[["2015"]]}}}],"schema":"https://github.com/citation-style-language/schema/raw/master/csl-citation.json"} </w:instrText>
      </w:r>
      <w:r w:rsidR="00315B8F">
        <w:rPr>
          <w:lang w:val="en-GB"/>
        </w:rPr>
        <w:fldChar w:fldCharType="separate"/>
      </w:r>
      <w:r w:rsidR="00315B8F" w:rsidRPr="00B27F6B">
        <w:rPr>
          <w:rFonts w:cs="Arial"/>
          <w:lang w:val="en-GB"/>
        </w:rPr>
        <w:t>(Mumford et al., 2015)</w:t>
      </w:r>
      <w:r w:rsidR="00315B8F">
        <w:rPr>
          <w:lang w:val="en-GB"/>
        </w:rPr>
        <w:fldChar w:fldCharType="end"/>
      </w:r>
      <w:r w:rsidR="00315B8F" w:rsidRPr="00315B8F">
        <w:rPr>
          <w:lang w:val="en-GB"/>
        </w:rPr>
        <w:t>. Owing to the absence of strong chemical bonding between</w:t>
      </w:r>
      <w:r w:rsidR="00315B8F">
        <w:rPr>
          <w:lang w:val="en-GB"/>
        </w:rPr>
        <w:t xml:space="preserve"> the solvent and</w:t>
      </w:r>
      <w:r w:rsidR="00315B8F" w:rsidRPr="00315B8F">
        <w:rPr>
          <w:lang w:val="en-GB"/>
        </w:rPr>
        <w:t xml:space="preserve"> CO</w:t>
      </w:r>
      <w:r w:rsidR="00315B8F" w:rsidRPr="000B3136">
        <w:rPr>
          <w:vertAlign w:val="subscript"/>
          <w:lang w:val="en-GB"/>
        </w:rPr>
        <w:t>2</w:t>
      </w:r>
      <w:r w:rsidR="00315B8F" w:rsidRPr="00315B8F">
        <w:rPr>
          <w:lang w:val="en-GB"/>
        </w:rPr>
        <w:t>, solvent regeneration requires relatively low energy input and can be readily achieved by means of pressure reduction or inert gas stripping</w:t>
      </w:r>
      <w:r w:rsidR="00315B8F">
        <w:rPr>
          <w:lang w:val="en-GB"/>
        </w:rPr>
        <w:t xml:space="preserve"> </w:t>
      </w:r>
      <w:r w:rsidR="000C7ED5">
        <w:rPr>
          <w:lang w:val="en-GB"/>
        </w:rPr>
        <w:fldChar w:fldCharType="begin"/>
      </w:r>
      <w:r w:rsidR="000C7ED5">
        <w:rPr>
          <w:lang w:val="en-GB"/>
        </w:rPr>
        <w:instrText xml:space="preserve"> ADDIN ZOTERO_ITEM CSL_CITATION {"citationID":"p7aVQmhC","properties":{"formattedCitation":"(Kohl and Nielsen, 1997)","plainCitation":"(Kohl and Nielsen, 1997)","noteIndex":0},"citationItems":[{"id":184,"uris":["http://zotero.org/users/local/YuUn2Zf4/items/BTMH7FWB"],"itemData":{"id":184,"type":"book","ISBN":"0-08-050720-4","publisher":"Elsevier","title":"Gas purification","author":[{"family":"Kohl","given":"Arthur L."},{"family":"Nielsen","given":"Richard"}],"issued":{"date-parts":[["1997"]]}}}],"schema":"https://github.com/citation-style-language/schema/raw/master/csl-citation.json"} </w:instrText>
      </w:r>
      <w:r w:rsidR="000C7ED5">
        <w:rPr>
          <w:lang w:val="en-GB"/>
        </w:rPr>
        <w:fldChar w:fldCharType="separate"/>
      </w:r>
      <w:r w:rsidR="000C7ED5" w:rsidRPr="000C7ED5">
        <w:rPr>
          <w:rFonts w:cs="Arial"/>
          <w:lang w:val="en-GB"/>
        </w:rPr>
        <w:t>(Kohl and Nielsen, 1997)</w:t>
      </w:r>
      <w:r w:rsidR="000C7ED5">
        <w:rPr>
          <w:lang w:val="en-GB"/>
        </w:rPr>
        <w:fldChar w:fldCharType="end"/>
      </w:r>
      <w:r w:rsidRPr="00416CEA">
        <w:rPr>
          <w:lang w:val="en-GB"/>
        </w:rPr>
        <w:t>. Additional advantages of physical solvents include good thermal stability and the potential for selective separation of different gas components</w:t>
      </w:r>
      <w:r w:rsidR="000C7ED5">
        <w:rPr>
          <w:lang w:val="en-GB"/>
        </w:rPr>
        <w:t xml:space="preserve"> </w:t>
      </w:r>
      <w:r w:rsidR="000C7ED5">
        <w:rPr>
          <w:lang w:val="en-GB"/>
        </w:rPr>
        <w:fldChar w:fldCharType="begin"/>
      </w:r>
      <w:r w:rsidR="00BF71AC">
        <w:rPr>
          <w:lang w:val="en-GB"/>
        </w:rPr>
        <w:instrText xml:space="preserve"> ADDIN ZOTERO_ITEM CSL_CITATION {"citationID":"gjbwuTCY","properties":{"formattedCitation":"(Olajire, 2010)","plainCitation":"(Olajire, 2010)","noteIndex":0},"citationItems":[{"id":490,"uris":["http://zotero.org/users/local/YuUn2Zf4/items/H6TZCIKN"],"itemData":{"id":490,"type":"article-journal","container-title":"Energy","ISSN":"0360-5442","issue":"6","journalAbbreviation":"Energy","page":"2610-2628","publisher":"Elsevier","title":"CO&lt;sub&gt;2&lt;/sub&gt; capture and separation technologies for end-of-pipe applications–A review","volume":"35","author":[{"family":"Olajire","given":"Abass A"}],"issued":{"date-parts":[["2010"]]}}}],"schema":"https://github.com/citation-style-language/schema/raw/master/csl-citation.json"} </w:instrText>
      </w:r>
      <w:r w:rsidR="000C7ED5">
        <w:rPr>
          <w:lang w:val="en-GB"/>
        </w:rPr>
        <w:fldChar w:fldCharType="separate"/>
      </w:r>
      <w:r w:rsidR="000C7ED5" w:rsidRPr="000C7ED5">
        <w:rPr>
          <w:rFonts w:cs="Arial"/>
          <w:lang w:val="en-GB"/>
        </w:rPr>
        <w:t>(Olajire, 2010)</w:t>
      </w:r>
      <w:r w:rsidR="000C7ED5">
        <w:rPr>
          <w:lang w:val="en-GB"/>
        </w:rPr>
        <w:fldChar w:fldCharType="end"/>
      </w:r>
      <w:r w:rsidRPr="00416CEA">
        <w:rPr>
          <w:lang w:val="en-GB"/>
        </w:rPr>
        <w:t>.</w:t>
      </w:r>
    </w:p>
    <w:p w14:paraId="6D6D4E6A" w14:textId="3D3DCBBD" w:rsidR="00416CEA" w:rsidRDefault="00416CEA" w:rsidP="00416CEA">
      <w:pPr>
        <w:pStyle w:val="CETBodytext"/>
        <w:rPr>
          <w:lang w:val="en-GB"/>
        </w:rPr>
      </w:pPr>
      <w:r w:rsidRPr="00416CEA">
        <w:rPr>
          <w:lang w:val="en-GB"/>
        </w:rPr>
        <w:t>Despite these benefits, the use of conventional physical solvents is associated with several limitations related to environmental impact, safety and operational constraints</w:t>
      </w:r>
      <w:r w:rsidR="00315B8F">
        <w:rPr>
          <w:lang w:val="en-GB"/>
        </w:rPr>
        <w:t xml:space="preserve"> </w:t>
      </w:r>
      <w:r w:rsidR="00BC0054">
        <w:rPr>
          <w:lang w:val="en-GB"/>
        </w:rPr>
        <w:fldChar w:fldCharType="begin"/>
      </w:r>
      <w:r w:rsidR="00BC0054">
        <w:rPr>
          <w:lang w:val="en-GB"/>
        </w:rPr>
        <w:instrText xml:space="preserve"> ADDIN ZOTERO_ITEM CSL_CITATION {"citationID":"iXgnhPuW","properties":{"formattedCitation":"(Burr and Lyddon, 2008; Jin et al., 2017)","plainCitation":"(Burr and Lyddon, 2008; Jin et al., 2017)","noteIndex":0},"citationItems":[{"id":54,"uris":["http://zotero.org/users/local/YuUn2Zf4/items/XZFVPK24"],"itemData":{"id":54,"type":"paper-conference","event-title":"Gas Processors’ Association Convention, Grapevine, TX","title":"A comparison of physical solvents for acid gas removal","author":[{"family":"Burr","given":"Barry"},{"family":"Lyddon","given":"Lili"}],"issued":{"date-parts":[["2008"]]}}},{"id":166,"uris":["http://zotero.org/users/local/YuUn2Zf4/items/HGWP3CHN"],"itemData":{"id":166,"type":"article-journal","container-title":"Faraday Discussions","page":"157-173","title":"Challenges in the development of bio-based solvents: a case study on methyl (2,2-dimethyl-1,3-dioxolan-4-yl) methyl carbonate as an alternative aprotic solvent","volume":"202","author":[{"family":"Jin","given":"Saimeng"},{"family":"Byrne","given":"Fergal"},{"family":"McElroy","given":"Con Robert"},{"family":"Sherwood","given":"James"},{"family":"Clark","given":"James H."},{"family":"Hunt","given":"Andrew J."}],"issued":{"date-parts":[["2017"]]}}}],"schema":"https://github.com/citation-style-language/schema/raw/master/csl-citation.json"} </w:instrText>
      </w:r>
      <w:r w:rsidR="00BC0054">
        <w:rPr>
          <w:lang w:val="en-GB"/>
        </w:rPr>
        <w:fldChar w:fldCharType="separate"/>
      </w:r>
      <w:r w:rsidR="00BC0054" w:rsidRPr="00BC0054">
        <w:rPr>
          <w:rFonts w:cs="Arial"/>
          <w:lang w:val="en-GB"/>
        </w:rPr>
        <w:t>(Burr and Lyddon, 2008; Jin et al., 2017)</w:t>
      </w:r>
      <w:r w:rsidR="00BC0054">
        <w:rPr>
          <w:lang w:val="en-GB"/>
        </w:rPr>
        <w:fldChar w:fldCharType="end"/>
      </w:r>
      <w:r w:rsidRPr="00416CEA">
        <w:rPr>
          <w:lang w:val="en-GB"/>
        </w:rPr>
        <w:t>. These drawbacks have motivated increasing research efforts toward the identification of alternative solvents derived from renewable resources, capable of offering comparable performance while</w:t>
      </w:r>
      <w:r w:rsidR="00D83326" w:rsidRPr="00D83326">
        <w:rPr>
          <w:lang w:val="en-GB"/>
        </w:rPr>
        <w:t xml:space="preserve"> reducing environmental impacts and addressing demanding process-related requirements </w:t>
      </w:r>
      <w:r w:rsidR="00EA0D68">
        <w:rPr>
          <w:lang w:val="en-GB"/>
        </w:rPr>
        <w:fldChar w:fldCharType="begin"/>
      </w:r>
      <w:r w:rsidR="00C94AA6">
        <w:rPr>
          <w:lang w:val="en-GB"/>
        </w:rPr>
        <w:instrText xml:space="preserve"> ADDIN ZOTERO_ITEM CSL_CITATION {"citationID":"6WiuLQY4","properties":{"formattedCitation":"(De Guido et al., 2026; Samipour et al., 2020)","plainCitation":"(De Guido et al., 2026; Samipour et al., 2020)","dontUpdate":true,"noteIndex":0},"citationItems":[{"id":76,"uris":["http://zotero.org/users/local/YuUn2Zf4/items/KU7MXLIQ"],"itemData":{"id":76,"type":"article-journal","container-title":"Renewable and Sustainable Energy Reviews","ISSN":"1364-0321","page":"116285","title":"Novel bio-based solvents for CO&lt;sub&gt;2&lt;/sub&gt; removal through physical absorption","volume":"226","author":[{"family":"De Guido","given":"Giorgia"},{"family":"Schiattarella","given":"Valentina"},{"family":"Moliner","given":"Cristina"},{"family":"Moioli","given":"Stefania"}],"issued":{"date-parts":[["2026"]]}}},{"id":345,"uris":["http://zotero.org/users/local/YuUn2Zf4/items/2UAH8SNJ"],"itemData":{"id":345,"type":"article-journal","container-title":"Advances in Carbon Capture","page":"455-477","title":"CO&lt;sub&gt;2&lt;/sub&gt; removal from biogas and syngas","author":[{"family":"Samipour","given":"Saeid"},{"family":"Manshadi","given":"Mehdi Dehghan"},{"family":"Setoodeh","given":"Payam"}],"issued":{"date-parts":[["2020"]]}}}],"schema":"https://github.com/citation-style-language/schema/raw/master/csl-citation.json"} </w:instrText>
      </w:r>
      <w:r w:rsidR="00EA0D68">
        <w:rPr>
          <w:lang w:val="en-GB"/>
        </w:rPr>
        <w:fldChar w:fldCharType="separate"/>
      </w:r>
      <w:r w:rsidR="00D83326" w:rsidRPr="00D83326">
        <w:rPr>
          <w:rFonts w:cs="Arial"/>
          <w:lang w:val="en-GB"/>
        </w:rPr>
        <w:t>(</w:t>
      </w:r>
      <w:r w:rsidR="00660108" w:rsidRPr="00D83326">
        <w:rPr>
          <w:rFonts w:cs="Arial"/>
          <w:lang w:val="en-GB"/>
        </w:rPr>
        <w:t>Samipour et al., 2020</w:t>
      </w:r>
      <w:r w:rsidR="00660108">
        <w:rPr>
          <w:rFonts w:cs="Arial"/>
          <w:lang w:val="en-GB"/>
        </w:rPr>
        <w:t xml:space="preserve">; </w:t>
      </w:r>
      <w:r w:rsidR="00D83326" w:rsidRPr="00D83326">
        <w:rPr>
          <w:rFonts w:cs="Arial"/>
          <w:lang w:val="en-GB"/>
        </w:rPr>
        <w:t>De Guido et al., 2026)</w:t>
      </w:r>
      <w:r w:rsidR="00EA0D68">
        <w:rPr>
          <w:lang w:val="en-GB"/>
        </w:rPr>
        <w:fldChar w:fldCharType="end"/>
      </w:r>
      <w:r w:rsidRPr="00416CEA">
        <w:rPr>
          <w:lang w:val="en-GB"/>
        </w:rPr>
        <w:t xml:space="preserve">. In this </w:t>
      </w:r>
      <w:r w:rsidRPr="00416CEA">
        <w:rPr>
          <w:lang w:val="en-GB"/>
        </w:rPr>
        <w:lastRenderedPageBreak/>
        <w:t xml:space="preserve">context, bio-based solvents have attracted growing interest, with </w:t>
      </w:r>
      <w:r w:rsidR="00686DD5">
        <w:rPr>
          <w:lang w:val="en-GB"/>
        </w:rPr>
        <w:t>D</w:t>
      </w:r>
      <w:r w:rsidRPr="00416CEA">
        <w:rPr>
          <w:lang w:val="en-GB"/>
        </w:rPr>
        <w:t xml:space="preserve">ihydrolevoglucosenone </w:t>
      </w:r>
      <w:r w:rsidR="00686DD5">
        <w:rPr>
          <w:lang w:val="en-GB"/>
        </w:rPr>
        <w:t>(</w:t>
      </w:r>
      <w:r w:rsidRPr="00416CEA">
        <w:rPr>
          <w:lang w:val="en-GB"/>
        </w:rPr>
        <w:t>commercially known as Cyrene</w:t>
      </w:r>
      <w:r w:rsidR="00686DD5">
        <w:rPr>
          <w:lang w:val="en-GB"/>
        </w:rPr>
        <w:t>)</w:t>
      </w:r>
      <w:r w:rsidRPr="00416CEA">
        <w:rPr>
          <w:lang w:val="en-GB"/>
        </w:rPr>
        <w:t xml:space="preserve"> emerging as a promising candidate. Cyrene is produced through a sustainable two-step process involving the pyrolysis of cellulose-rich biomass to </w:t>
      </w:r>
      <w:proofErr w:type="spellStart"/>
      <w:r w:rsidRPr="00416CEA">
        <w:rPr>
          <w:lang w:val="en-GB"/>
        </w:rPr>
        <w:t>levoglucosenone</w:t>
      </w:r>
      <w:proofErr w:type="spellEnd"/>
      <w:r w:rsidRPr="00416CEA">
        <w:rPr>
          <w:lang w:val="en-GB"/>
        </w:rPr>
        <w:t xml:space="preserve">, followed by </w:t>
      </w:r>
      <w:r w:rsidR="00EA0D68">
        <w:rPr>
          <w:lang w:val="en-GB"/>
        </w:rPr>
        <w:t xml:space="preserve">its </w:t>
      </w:r>
      <w:r w:rsidRPr="00416CEA">
        <w:rPr>
          <w:lang w:val="en-GB"/>
        </w:rPr>
        <w:t>catalytic hydrogenation</w:t>
      </w:r>
      <w:r w:rsidR="00EA0D68">
        <w:rPr>
          <w:lang w:val="en-GB"/>
        </w:rPr>
        <w:t xml:space="preserve"> </w:t>
      </w:r>
      <w:r w:rsidR="00EA0D68">
        <w:rPr>
          <w:lang w:val="en-GB"/>
        </w:rPr>
        <w:fldChar w:fldCharType="begin"/>
      </w:r>
      <w:r w:rsidR="00EA0D68">
        <w:rPr>
          <w:lang w:val="en-GB"/>
        </w:rPr>
        <w:instrText xml:space="preserve"> ADDIN ZOTERO_ITEM CSL_CITATION {"citationID":"AUA9TKk9","properties":{"formattedCitation":"(Kong and Dolzhenko, 2022)","plainCitation":"(Kong and Dolzhenko, 2022)","noteIndex":0},"citationItems":[{"id":185,"uris":["http://zotero.org/users/local/YuUn2Zf4/items/MF55XQAL"],"itemData":{"id":185,"type":"article-journal","container-title":"Sustainable Chemistry and Pharmacy","ISSN":"2352-5541","page":"100591","title":"Cyrene: A bio-based sustainable solvent for organic synthesis","volume":"25","author":[{"family":"Kong","given":"Dickson"},{"family":"Dolzhenko","given":"Anton V."}],"issued":{"date-parts":[["2022"]]}}}],"schema":"https://github.com/citation-style-language/schema/raw/master/csl-citation.json"} </w:instrText>
      </w:r>
      <w:r w:rsidR="00EA0D68">
        <w:rPr>
          <w:lang w:val="en-GB"/>
        </w:rPr>
        <w:fldChar w:fldCharType="separate"/>
      </w:r>
      <w:r w:rsidR="00EA0D68" w:rsidRPr="00EA0D68">
        <w:rPr>
          <w:rFonts w:cs="Arial"/>
          <w:lang w:val="en-GB"/>
        </w:rPr>
        <w:t>(Kong and Dolzhenko, 2022)</w:t>
      </w:r>
      <w:r w:rsidR="00EA0D68">
        <w:rPr>
          <w:lang w:val="en-GB"/>
        </w:rPr>
        <w:fldChar w:fldCharType="end"/>
      </w:r>
      <w:r w:rsidRPr="00416CEA">
        <w:rPr>
          <w:lang w:val="en-GB"/>
        </w:rPr>
        <w:t>. Owing to its physicochemical properties, comparable to those of conventional dipolar aprotic solvents such as N-methyl-2-pyrrolidone (NMP), Cyrene has been proposed as a greener alternative for various solvent-based applications</w:t>
      </w:r>
      <w:r w:rsidR="00EA0D68">
        <w:rPr>
          <w:lang w:val="en-GB"/>
        </w:rPr>
        <w:t xml:space="preserve"> </w:t>
      </w:r>
      <w:r w:rsidR="00EA0D68">
        <w:rPr>
          <w:lang w:val="en-GB"/>
        </w:rPr>
        <w:fldChar w:fldCharType="begin"/>
      </w:r>
      <w:r w:rsidR="00E44CF6">
        <w:rPr>
          <w:lang w:val="en-GB"/>
        </w:rPr>
        <w:instrText xml:space="preserve"> ADDIN ZOTERO_ITEM CSL_CITATION {"citationID":"cV3HkV2T","properties":{"formattedCitation":"(Schiattarella et al., 2025; Sherwood et al., 2014)","plainCitation":"(Schiattarella et al., 2025; Sherwood et al., 2014)","noteIndex":0},"citationItems":[{"id":355,"uris":["http://zotero.org/users/local/YuUn2Zf4/items/BWR5JCRL"],"itemData":{"id":355,"type":"article-journal","container-title":"Chemical Engineering Transactions","ISSN":"2283-9216","page":"421-426","title":"Comparison Between Cyrene and NMP as Solvents for CO&lt;sub&gt;2&lt;/sub&gt; Removal","volume":"117","author":[{"family":"Schiattarella","given":"Valentina"},{"family":"Moioli","given":"Stefania"},{"family":"Moliner","given":"Cristina"},{"family":"De Guido","given":"Giorgia"}],"issued":{"date-parts":[["2025"]]}}},{"id":362,"uris":["http://zotero.org/users/local/YuUn2Zf4/items/PUA532AZ"],"itemData":{"id":362,"type":"article-journal","container-title":"Chemical communications","issue":"68","page":"9650-9652","title":"Dihydrolevoglucosenone (Cyrene) as a bio-based alternative for dipolar aprotic solvents","volume":"50","author":[{"family":"Sherwood","given":"James"},{"family":"Constantinou","given":"Andri"},{"family":"Moity","given":"Laurianne"},{"family":"McElroy","given":"C. Rob"},{"family":"Farmer","given":"Thomas J."},{"family":"Duncan","given":"Tony"},{"family":"Raverty","given":"Warwick"},{"family":"Hunt","given":"Andrew J."},{"family":"Clark","given":"James H."}],"issued":{"date-parts":[["2014"]]}}}],"schema":"https://github.com/citation-style-language/schema/raw/master/csl-citation.json"} </w:instrText>
      </w:r>
      <w:r w:rsidR="00EA0D68">
        <w:rPr>
          <w:lang w:val="en-GB"/>
        </w:rPr>
        <w:fldChar w:fldCharType="separate"/>
      </w:r>
      <w:r w:rsidR="00E44CF6" w:rsidRPr="00E44CF6">
        <w:rPr>
          <w:rFonts w:cs="Arial"/>
          <w:lang w:val="en-GB"/>
        </w:rPr>
        <w:t>(Schiattarella et al., 2025; Sherwood et al., 2014)</w:t>
      </w:r>
      <w:r w:rsidR="00EA0D68">
        <w:rPr>
          <w:lang w:val="en-GB"/>
        </w:rPr>
        <w:fldChar w:fldCharType="end"/>
      </w:r>
      <w:r w:rsidRPr="00416CEA">
        <w:rPr>
          <w:lang w:val="en-GB"/>
        </w:rPr>
        <w:t>.</w:t>
      </w:r>
    </w:p>
    <w:p w14:paraId="4F8A2D95" w14:textId="48127437" w:rsidR="00416CEA" w:rsidRPr="00416CEA" w:rsidRDefault="00416CEA" w:rsidP="00416CEA">
      <w:pPr>
        <w:pStyle w:val="CETBodytext"/>
        <w:rPr>
          <w:lang w:val="en-GB"/>
        </w:rPr>
      </w:pPr>
      <w:r w:rsidRPr="00416CEA">
        <w:rPr>
          <w:lang w:val="en-GB"/>
        </w:rPr>
        <w:t>However, despite its potential, the applicability of Cyrene as a physical solvent for CO</w:t>
      </w:r>
      <w:r w:rsidR="00750475" w:rsidRPr="000B3136">
        <w:rPr>
          <w:vertAlign w:val="subscript"/>
          <w:lang w:val="en-GB"/>
        </w:rPr>
        <w:t>2</w:t>
      </w:r>
      <w:r w:rsidRPr="00416CEA">
        <w:rPr>
          <w:lang w:val="en-GB"/>
        </w:rPr>
        <w:t xml:space="preserve"> absorption has not yet been thoroughly investigated. </w:t>
      </w:r>
      <w:r w:rsidR="00A95C1D" w:rsidRPr="00A95C1D">
        <w:rPr>
          <w:lang w:val="en-GB"/>
        </w:rPr>
        <w:t>Thus fa</w:t>
      </w:r>
      <w:r w:rsidR="00A95C1D">
        <w:rPr>
          <w:lang w:val="en-GB"/>
        </w:rPr>
        <w:t>r</w:t>
      </w:r>
      <w:r w:rsidRPr="00416CEA">
        <w:rPr>
          <w:lang w:val="en-GB"/>
        </w:rPr>
        <w:t>, only a very limited number of experimental CO</w:t>
      </w:r>
      <w:r w:rsidR="00750475" w:rsidRPr="000B3136">
        <w:rPr>
          <w:vertAlign w:val="subscript"/>
          <w:lang w:val="en-GB"/>
        </w:rPr>
        <w:t>2</w:t>
      </w:r>
      <w:r w:rsidRPr="00416CEA">
        <w:rPr>
          <w:lang w:val="en-GB"/>
        </w:rPr>
        <w:t xml:space="preserve"> solubility data are available in the open literature, with measurements reported by </w:t>
      </w:r>
      <w:r w:rsidR="00EA0D68">
        <w:rPr>
          <w:lang w:val="en-GB"/>
        </w:rPr>
        <w:fldChar w:fldCharType="begin"/>
      </w:r>
      <w:r w:rsidR="00BC0054">
        <w:rPr>
          <w:lang w:val="en-GB"/>
        </w:rPr>
        <w:instrText xml:space="preserve"> ADDIN ZOTERO_ITEM CSL_CITATION {"citationID":"fAHEnL1d","properties":{"formattedCitation":"(Kerleaux et al., 2022)","plainCitation":"(Kerleaux et al., 2022)","dontUpdate":true,"noteIndex":0},"citationItems":[{"id":175,"uris":["http://zotero.org/users/local/YuUn2Zf4/items/2HFLKKXC"],"itemData":{"id":175,"type":"paper-conference","event-title":"15th IIR-Gustav Lorentzen Conference on Natural Refrigerants (GL2022).","title":"Natural Working Fluids for Absorption Refrigeration","author":[{"family":"Kerleaux","given":"Marianne"},{"family":"Rodier","given":"Laurence"},{"family":"Andanson","given":"Jean-Michel"},{"family":"Dequidt","given":"Alain"},{"family":"Coulier","given":"Yohann"}],"issued":{"date-parts":[["2022"]]}}}],"schema":"https://github.com/citation-style-language/schema/raw/master/csl-citation.json"} </w:instrText>
      </w:r>
      <w:r w:rsidR="00EA0D68">
        <w:rPr>
          <w:lang w:val="en-GB"/>
        </w:rPr>
        <w:fldChar w:fldCharType="separate"/>
      </w:r>
      <w:r w:rsidR="00EA0D68" w:rsidRPr="00EA0D68">
        <w:rPr>
          <w:rFonts w:cs="Arial"/>
          <w:lang w:val="en-GB"/>
        </w:rPr>
        <w:t xml:space="preserve">Kerleaux et al. </w:t>
      </w:r>
      <w:r w:rsidR="00EA0D68">
        <w:rPr>
          <w:rFonts w:cs="Arial"/>
          <w:lang w:val="en-GB"/>
        </w:rPr>
        <w:t>(</w:t>
      </w:r>
      <w:r w:rsidR="00EA0D68" w:rsidRPr="00EA0D68">
        <w:rPr>
          <w:rFonts w:cs="Arial"/>
          <w:lang w:val="en-GB"/>
        </w:rPr>
        <w:t>2022)</w:t>
      </w:r>
      <w:r w:rsidR="00EA0D68">
        <w:rPr>
          <w:lang w:val="en-GB"/>
        </w:rPr>
        <w:fldChar w:fldCharType="end"/>
      </w:r>
      <w:r w:rsidRPr="00416CEA">
        <w:rPr>
          <w:lang w:val="en-GB"/>
        </w:rPr>
        <w:t xml:space="preserve"> at 313.15 K over a pressure range up to 4 MPa and a single point at 333.25 K and 4 MPa provided by </w:t>
      </w:r>
      <w:r w:rsidR="00EA0D68">
        <w:rPr>
          <w:lang w:val="en-GB"/>
        </w:rPr>
        <w:fldChar w:fldCharType="begin"/>
      </w:r>
      <w:r w:rsidR="00BC0054">
        <w:rPr>
          <w:lang w:val="en-GB"/>
        </w:rPr>
        <w:instrText xml:space="preserve"> ADDIN ZOTERO_ITEM CSL_CITATION {"citationID":"K7d991IA","properties":{"formattedCitation":"(Hajlaoui et al., 2023)","plainCitation":"(Hajlaoui et al., 2023)","dontUpdate":true,"noteIndex":0},"citationItems":[{"id":142,"uris":["http://zotero.org/users/local/YuUn2Zf4/items/NSQRQADR"],"itemData":{"id":142,"type":"paper-conference","event-title":"International Conference of Refrigeration","title":"Thermodynamic study of working fluid pairs for an absorption refrigeration process","author":[{"family":"Hajlaoui","given":"Alaa"},{"family":"Salat","given":"Laurène"},{"family":"Rodier","given":"Laurence"},{"family":"Andanson","given":"Jean-Michel"},{"family":"Coulier","given":"Yohann"}],"issued":{"date-parts":[["2023"]]}}}],"schema":"https://github.com/citation-style-language/schema/raw/master/csl-citation.json"} </w:instrText>
      </w:r>
      <w:r w:rsidR="00EA0D68">
        <w:rPr>
          <w:lang w:val="en-GB"/>
        </w:rPr>
        <w:fldChar w:fldCharType="separate"/>
      </w:r>
      <w:r w:rsidR="00EA0D68" w:rsidRPr="00EA0D68">
        <w:rPr>
          <w:rFonts w:cs="Arial"/>
          <w:lang w:val="en-GB"/>
        </w:rPr>
        <w:t xml:space="preserve">Hajlaoui et al. </w:t>
      </w:r>
      <w:r w:rsidR="00EA0D68">
        <w:rPr>
          <w:rFonts w:cs="Arial"/>
          <w:lang w:val="en-GB"/>
        </w:rPr>
        <w:t>(</w:t>
      </w:r>
      <w:r w:rsidR="00EA0D68" w:rsidRPr="00EA0D68">
        <w:rPr>
          <w:rFonts w:cs="Arial"/>
          <w:lang w:val="en-GB"/>
        </w:rPr>
        <w:t>2023)</w:t>
      </w:r>
      <w:r w:rsidR="00EA0D68">
        <w:rPr>
          <w:lang w:val="en-GB"/>
        </w:rPr>
        <w:fldChar w:fldCharType="end"/>
      </w:r>
      <w:r w:rsidRPr="00416CEA">
        <w:rPr>
          <w:lang w:val="en-GB"/>
        </w:rPr>
        <w:t xml:space="preserve">. The scarcity of reliable and comprehensive solubility data currently hinders a robust evaluation of Cyrene performance </w:t>
      </w:r>
      <w:r w:rsidR="00A95C1D">
        <w:rPr>
          <w:lang w:val="en-GB"/>
        </w:rPr>
        <w:t>for</w:t>
      </w:r>
      <w:r w:rsidRPr="00416CEA">
        <w:rPr>
          <w:lang w:val="en-GB"/>
        </w:rPr>
        <w:t xml:space="preserve"> CO</w:t>
      </w:r>
      <w:r w:rsidR="00750475" w:rsidRPr="000B3136">
        <w:rPr>
          <w:vertAlign w:val="subscript"/>
          <w:lang w:val="en-GB"/>
        </w:rPr>
        <w:t>2</w:t>
      </w:r>
      <w:r w:rsidRPr="00416CEA">
        <w:rPr>
          <w:lang w:val="en-GB"/>
        </w:rPr>
        <w:t xml:space="preserve"> removal processes.</w:t>
      </w:r>
    </w:p>
    <w:p w14:paraId="1AED3853" w14:textId="7E3D52DD" w:rsidR="00600535" w:rsidRPr="000B3136" w:rsidRDefault="00416CEA" w:rsidP="00416CEA">
      <w:pPr>
        <w:pStyle w:val="CETBodytext"/>
        <w:rPr>
          <w:lang w:val="en-GB"/>
        </w:rPr>
      </w:pPr>
      <w:r w:rsidRPr="00416CEA">
        <w:rPr>
          <w:lang w:val="en-GB"/>
        </w:rPr>
        <w:t xml:space="preserve">In light of these limitations, the </w:t>
      </w:r>
      <w:r w:rsidR="00A95C1D">
        <w:rPr>
          <w:lang w:val="en-GB"/>
        </w:rPr>
        <w:t>aim</w:t>
      </w:r>
      <w:r w:rsidRPr="00416CEA">
        <w:rPr>
          <w:lang w:val="en-GB"/>
        </w:rPr>
        <w:t xml:space="preserve"> of the present work is to significantly expand the experimental database of CO</w:t>
      </w:r>
      <w:r w:rsidR="00750475" w:rsidRPr="000B3136">
        <w:rPr>
          <w:vertAlign w:val="subscript"/>
          <w:lang w:val="en-GB"/>
        </w:rPr>
        <w:t>2</w:t>
      </w:r>
      <w:r w:rsidRPr="00416CEA">
        <w:rPr>
          <w:lang w:val="en-GB"/>
        </w:rPr>
        <w:t xml:space="preserve"> solubility in Cyrene over a range of temperatures</w:t>
      </w:r>
      <w:r w:rsidR="00EA0D68">
        <w:rPr>
          <w:lang w:val="en-GB"/>
        </w:rPr>
        <w:t xml:space="preserve"> (313.15 K – 353.15 K)</w:t>
      </w:r>
      <w:r w:rsidRPr="00416CEA">
        <w:rPr>
          <w:lang w:val="en-GB"/>
        </w:rPr>
        <w:t xml:space="preserve"> and pressures</w:t>
      </w:r>
      <w:r w:rsidR="00EA0D68">
        <w:rPr>
          <w:lang w:val="en-GB"/>
        </w:rPr>
        <w:t xml:space="preserve"> (up to 2.5 MPa)</w:t>
      </w:r>
      <w:r w:rsidRPr="00416CEA">
        <w:rPr>
          <w:lang w:val="en-GB"/>
        </w:rPr>
        <w:t xml:space="preserve"> relevant to physical absorption processes. By providing new solubility measurements, this study aims to support a more accurate assessment of Cyrene as a sustainable, bio-based alternative to conventional physical solvents for CO</w:t>
      </w:r>
      <w:r w:rsidR="00750475" w:rsidRPr="000B3136">
        <w:rPr>
          <w:vertAlign w:val="subscript"/>
          <w:lang w:val="en-GB"/>
        </w:rPr>
        <w:t>2</w:t>
      </w:r>
      <w:r w:rsidRPr="00416CEA">
        <w:rPr>
          <w:lang w:val="en-GB"/>
        </w:rPr>
        <w:t xml:space="preserve"> removal applications.</w:t>
      </w:r>
    </w:p>
    <w:p w14:paraId="5741900F" w14:textId="09160358" w:rsidR="00453E24" w:rsidRPr="000B3136" w:rsidRDefault="00495405" w:rsidP="00453E24">
      <w:pPr>
        <w:pStyle w:val="CETHeading1"/>
        <w:rPr>
          <w:lang w:val="en-GB"/>
        </w:rPr>
      </w:pPr>
      <w:bookmarkStart w:id="1" w:name="_Ref221546999"/>
      <w:r w:rsidRPr="000B3136">
        <w:rPr>
          <w:lang w:val="en-GB"/>
        </w:rPr>
        <w:t>Methodology</w:t>
      </w:r>
      <w:bookmarkEnd w:id="1"/>
    </w:p>
    <w:p w14:paraId="7B5684E8" w14:textId="196BBCFF" w:rsidR="00495405" w:rsidRPr="000B3136" w:rsidRDefault="00453E24" w:rsidP="00495405">
      <w:pPr>
        <w:pStyle w:val="CETBodytext"/>
        <w:rPr>
          <w:lang w:val="en-GB"/>
        </w:rPr>
      </w:pPr>
      <w:r w:rsidRPr="000B3136">
        <w:rPr>
          <w:lang w:val="en-GB"/>
        </w:rPr>
        <w:t xml:space="preserve">The </w:t>
      </w:r>
      <w:r w:rsidR="00495405" w:rsidRPr="000B3136">
        <w:rPr>
          <w:lang w:val="en-GB"/>
        </w:rPr>
        <w:t xml:space="preserve">Process Thermodynamics laboratory (PT lab) </w:t>
      </w:r>
      <w:r w:rsidR="00377EE6">
        <w:rPr>
          <w:lang w:val="en-GB"/>
        </w:rPr>
        <w:t>of</w:t>
      </w:r>
      <w:r w:rsidR="00377EE6" w:rsidRPr="000B3136">
        <w:rPr>
          <w:lang w:val="en-GB"/>
        </w:rPr>
        <w:t xml:space="preserve"> </w:t>
      </w:r>
      <w:r w:rsidR="00495405" w:rsidRPr="000B3136">
        <w:rPr>
          <w:lang w:val="en-GB"/>
        </w:rPr>
        <w:t xml:space="preserve">Politecnico di Milano is an experimental facility developed within the framework of the </w:t>
      </w:r>
      <w:r w:rsidR="00AC65CA">
        <w:rPr>
          <w:lang w:val="en-GB"/>
        </w:rPr>
        <w:t>“</w:t>
      </w:r>
      <w:proofErr w:type="spellStart"/>
      <w:r w:rsidR="00495405" w:rsidRPr="000B3136">
        <w:rPr>
          <w:lang w:val="en-GB"/>
        </w:rPr>
        <w:t>Ingegneria</w:t>
      </w:r>
      <w:proofErr w:type="spellEnd"/>
      <w:r w:rsidR="00495405" w:rsidRPr="000B3136">
        <w:rPr>
          <w:lang w:val="en-GB"/>
        </w:rPr>
        <w:t xml:space="preserve"> </w:t>
      </w:r>
      <w:proofErr w:type="spellStart"/>
      <w:r w:rsidR="00495405" w:rsidRPr="000B3136">
        <w:rPr>
          <w:lang w:val="en-GB"/>
        </w:rPr>
        <w:t>Chimica</w:t>
      </w:r>
      <w:proofErr w:type="spellEnd"/>
      <w:r w:rsidR="00495405" w:rsidRPr="000B3136">
        <w:rPr>
          <w:lang w:val="en-GB"/>
        </w:rPr>
        <w:t xml:space="preserve"> – Energia (ICE)</w:t>
      </w:r>
      <w:r w:rsidR="00AC65CA">
        <w:rPr>
          <w:lang w:val="en-GB"/>
        </w:rPr>
        <w:t>”</w:t>
      </w:r>
      <w:r w:rsidR="00495405" w:rsidRPr="000B3136">
        <w:rPr>
          <w:lang w:val="en-GB"/>
        </w:rPr>
        <w:t xml:space="preserve"> collaboration and is housed in </w:t>
      </w:r>
      <w:proofErr w:type="spellStart"/>
      <w:r w:rsidR="000F0C16" w:rsidRPr="000F0C16">
        <w:rPr>
          <w:lang w:val="en-GB"/>
        </w:rPr>
        <w:t>Dipartimento</w:t>
      </w:r>
      <w:proofErr w:type="spellEnd"/>
      <w:r w:rsidR="000F0C16" w:rsidRPr="000F0C16">
        <w:rPr>
          <w:lang w:val="en-GB"/>
        </w:rPr>
        <w:t xml:space="preserve"> di </w:t>
      </w:r>
      <w:proofErr w:type="spellStart"/>
      <w:r w:rsidR="000F0C16" w:rsidRPr="000F0C16">
        <w:rPr>
          <w:lang w:val="en-GB"/>
        </w:rPr>
        <w:t>Chimica</w:t>
      </w:r>
      <w:proofErr w:type="spellEnd"/>
      <w:r w:rsidR="000F0C16" w:rsidRPr="000F0C16">
        <w:rPr>
          <w:lang w:val="en-GB"/>
        </w:rPr>
        <w:t xml:space="preserve">, </w:t>
      </w:r>
      <w:proofErr w:type="spellStart"/>
      <w:r w:rsidR="000F0C16" w:rsidRPr="000F0C16">
        <w:rPr>
          <w:lang w:val="en-GB"/>
        </w:rPr>
        <w:t>Materiali</w:t>
      </w:r>
      <w:proofErr w:type="spellEnd"/>
      <w:r w:rsidR="000F0C16" w:rsidRPr="000F0C16">
        <w:rPr>
          <w:lang w:val="en-GB"/>
        </w:rPr>
        <w:t xml:space="preserve"> e </w:t>
      </w:r>
      <w:proofErr w:type="spellStart"/>
      <w:r w:rsidR="000F0C16" w:rsidRPr="000F0C16">
        <w:rPr>
          <w:lang w:val="en-GB"/>
        </w:rPr>
        <w:t>Ingegneria</w:t>
      </w:r>
      <w:proofErr w:type="spellEnd"/>
      <w:r w:rsidR="000F0C16" w:rsidRPr="000F0C16">
        <w:rPr>
          <w:lang w:val="en-GB"/>
        </w:rPr>
        <w:t xml:space="preserve"> </w:t>
      </w:r>
      <w:proofErr w:type="spellStart"/>
      <w:r w:rsidR="000F0C16" w:rsidRPr="000F0C16">
        <w:rPr>
          <w:lang w:val="en-GB"/>
        </w:rPr>
        <w:t>Chimica</w:t>
      </w:r>
      <w:proofErr w:type="spellEnd"/>
      <w:r w:rsidR="000F0C16">
        <w:rPr>
          <w:lang w:val="en-GB"/>
        </w:rPr>
        <w:t xml:space="preserve"> </w:t>
      </w:r>
      <w:r w:rsidR="00495405" w:rsidRPr="000B3136">
        <w:rPr>
          <w:lang w:val="en-GB"/>
        </w:rPr>
        <w:t xml:space="preserve">“Giulio Natta”. The PT lab is part of the wider PD&amp;PT lab, under the coordination of the Group on Advanced Separation Processes and </w:t>
      </w:r>
      <w:r w:rsidR="00377EE6" w:rsidRPr="000B3136">
        <w:rPr>
          <w:lang w:val="en-GB"/>
        </w:rPr>
        <w:t>G</w:t>
      </w:r>
      <w:r w:rsidR="00377EE6">
        <w:rPr>
          <w:lang w:val="en-GB"/>
        </w:rPr>
        <w:t>AS</w:t>
      </w:r>
      <w:r w:rsidR="00377EE6" w:rsidRPr="000B3136">
        <w:rPr>
          <w:lang w:val="en-GB"/>
        </w:rPr>
        <w:t xml:space="preserve"> </w:t>
      </w:r>
      <w:r w:rsidR="00495405" w:rsidRPr="000B3136">
        <w:rPr>
          <w:lang w:val="en-GB"/>
        </w:rPr>
        <w:t>Processing (GASP). It is equipped with specialized experimental setups for measuring vapor–liquid equilibria (VLE), vapor–liquid–liquid equilibria (VLLE) and liquid–liquid equilibria (LLE), as well as for investigating gas solubility and diffusivity in liquid phases</w:t>
      </w:r>
      <w:r w:rsidR="00EC74C1">
        <w:rPr>
          <w:lang w:val="en-GB"/>
        </w:rPr>
        <w:t xml:space="preserve"> </w:t>
      </w:r>
      <w:r w:rsidR="00EC74C1">
        <w:rPr>
          <w:lang w:val="en-GB"/>
        </w:rPr>
        <w:fldChar w:fldCharType="begin"/>
      </w:r>
      <w:r w:rsidR="00C94AA6">
        <w:rPr>
          <w:lang w:val="en-GB"/>
        </w:rPr>
        <w:instrText xml:space="preserve"> ADDIN ZOTERO_ITEM CSL_CITATION {"citationID":"KLVxw3Sb","properties":{"formattedCitation":"(Moioli, 2025)","plainCitation":"(Moioli, 2025)","dontUpdate":true,"noteIndex":0},"citationItems":[{"id":468,"uris":["http://zotero.org/users/local/YuUn2Zf4/items/DN3BSHR2"],"itemData":{"id":468,"type":"article-journal","container-title":"Gases","title":"Testing the Experimental Unit at PT lab for Collecting Data on CO&lt;sub&gt;2&lt;/sub&gt; Solubility in Solvents","volume":"6","author":[{"family":"Moioli","given":"Stefania"}],"issued":{"date-parts":[["2025"]]}}}],"schema":"https://github.com/citation-style-language/schema/raw/master/csl-citation.json"} </w:instrText>
      </w:r>
      <w:r w:rsidR="00EC74C1">
        <w:rPr>
          <w:lang w:val="en-GB"/>
        </w:rPr>
        <w:fldChar w:fldCharType="separate"/>
      </w:r>
      <w:r w:rsidR="00EC74C1" w:rsidRPr="00EC74C1">
        <w:rPr>
          <w:rFonts w:cs="Arial"/>
          <w:lang w:val="en-GB"/>
        </w:rPr>
        <w:t>(</w:t>
      </w:r>
      <w:r w:rsidR="00A95C1D">
        <w:rPr>
          <w:lang w:val="en-GB"/>
        </w:rPr>
        <w:fldChar w:fldCharType="begin"/>
      </w:r>
      <w:r w:rsidR="00BF71AC">
        <w:rPr>
          <w:lang w:val="en-GB"/>
        </w:rPr>
        <w:instrText xml:space="preserve"> ADDIN ZOTERO_ITEM CSL_CITATION {"citationID":"CqYgJ1cG","properties":{"formattedCitation":"(Barbieri et al., 2024a)","plainCitation":"(Barbieri et al., 2024a)","dontUpdate":true,"noteIndex":0},"citationItems":[{"id":477,"uris":["http://zotero.org/users/local/YuUn2Zf4/items/9W9CC9GU"],"itemData":{"id":477,"type":"article-journal","container-title":"The Journal of Chemical Thermodynamics","ISSN":"0021-9614","journalAbbreviation":"The Journal of Chemical Thermodynamics","page":"107342","publisher":"Elsevier","title":"Vapor-liquid equilibrium data for the binary system isopropanol + water at 60 kPa and 80 kPa","volume":"198","author":[{"family":"Barbieri","given":"Camilla"},{"family":"De Guido","given":"Giorgia"},{"family":"Moioli","given":"Stefania"}],"issued":{"date-parts":[["2024"]]}}}],"schema":"https://github.com/citation-style-language/schema/raw/master/csl-citation.json"} </w:instrText>
      </w:r>
      <w:r w:rsidR="00A95C1D">
        <w:rPr>
          <w:lang w:val="en-GB"/>
        </w:rPr>
        <w:fldChar w:fldCharType="separate"/>
      </w:r>
      <w:r w:rsidR="00A95C1D" w:rsidRPr="00EC74C1">
        <w:rPr>
          <w:rFonts w:cs="Arial"/>
          <w:lang w:val="en-GB"/>
        </w:rPr>
        <w:t>Barbieri et al., 2024a</w:t>
      </w:r>
      <w:r w:rsidR="00A95C1D">
        <w:rPr>
          <w:rFonts w:cs="Arial"/>
          <w:lang w:val="en-GB"/>
        </w:rPr>
        <w:t>;</w:t>
      </w:r>
      <w:r w:rsidR="00A95C1D">
        <w:rPr>
          <w:lang w:val="en-GB"/>
        </w:rPr>
        <w:fldChar w:fldCharType="end"/>
      </w:r>
      <w:r w:rsidR="00A95C1D">
        <w:rPr>
          <w:lang w:val="en-GB"/>
        </w:rPr>
        <w:t xml:space="preserve"> </w:t>
      </w:r>
      <w:r w:rsidR="00EC74C1" w:rsidRPr="00EC74C1">
        <w:rPr>
          <w:rFonts w:cs="Arial"/>
          <w:lang w:val="en-GB"/>
        </w:rPr>
        <w:t>Moioli, 202</w:t>
      </w:r>
      <w:r w:rsidR="002E18BD">
        <w:rPr>
          <w:rFonts w:cs="Arial"/>
          <w:lang w:val="en-GB"/>
        </w:rPr>
        <w:t>6</w:t>
      </w:r>
      <w:r w:rsidR="00EC74C1" w:rsidRPr="00EC74C1">
        <w:rPr>
          <w:rFonts w:cs="Arial"/>
          <w:lang w:val="en-GB"/>
        </w:rPr>
        <w:t>)</w:t>
      </w:r>
      <w:r w:rsidR="00EC74C1">
        <w:rPr>
          <w:lang w:val="en-GB"/>
        </w:rPr>
        <w:fldChar w:fldCharType="end"/>
      </w:r>
      <w:r w:rsidR="00495405" w:rsidRPr="000B3136">
        <w:rPr>
          <w:lang w:val="en-GB"/>
        </w:rPr>
        <w:t>. In addition, the laboratory enables the determination of key thermophysical properties, including density and viscosity, which are fundamental for the thorough characterization of novel systems</w:t>
      </w:r>
      <w:r w:rsidR="00EC74C1">
        <w:rPr>
          <w:lang w:val="en-GB"/>
        </w:rPr>
        <w:t xml:space="preserve"> </w:t>
      </w:r>
      <w:r w:rsidR="00EC74C1">
        <w:rPr>
          <w:lang w:val="en-GB"/>
        </w:rPr>
        <w:fldChar w:fldCharType="begin"/>
      </w:r>
      <w:r w:rsidR="00C94AA6">
        <w:rPr>
          <w:lang w:val="en-GB"/>
        </w:rPr>
        <w:instrText xml:space="preserve"> ADDIN ZOTERO_ITEM CSL_CITATION {"citationID":"QfzZ7prw","properties":{"formattedCitation":"(Barbieri et al., 2024b; Schiattarella et al., 2024)","plainCitation":"(Barbieri et al., 2024b; Schiattarella et al., 2024)","noteIndex":0},"citationItems":[{"id":37,"uris":["http://zotero.org/users/local/YuUn2Zf4/items/JTBHERSM"],"itemData":{"id":37,"type":"article-journal","container-title":"Clean Technologies","ISSN":"2571-8797","issue":"1","page":"3","title":"Measurement and Correlation of Vapor–Liquid Equilibrium of Mixtures of 1,2-Propanediol or 1,4-Butanediol + 1,8-Diazabicyclo(5.4.0)undec-7-ene at 30 kPa","volume":"7","author":[{"family":"Barbieri","given":"Camilla"},{"family":"Schiattarella","given":"Valentina"},{"family":"Moioli","given":"Stefania"},{"family":"Pellegrini","given":"Laura A."},{"family":"Filippini","given":"Giacomo"},{"family":"Angelis","given":"Alberto R.","non-dropping-particle":"de"},{"family":"Fiori","given":"Gianluca"}],"issued":{"date-parts":[["2024"]]}}},{"id":349,"uris":["http://zotero.org/users/local/YuUn2Zf4/items/5SQXJP27"],"itemData":{"id":349,"type":"article-journal","container-title":"Sustainability","ISSN":"2071-1050","issue":"24","page":"11143","title":"Study of Mixtures of 1, 3-Propanediol + DBU and DBU + Sulfolane for a New Sustainable Solvent for CO&lt;sub&gt;2&lt;/sub&gt; Removal","volume":"16","author":[{"family":"Schiattarella","given":"Valentina"},{"family":"Barbieri","given":"Camilla"},{"family":"Moioli","given":"Stefania"},{"family":"Pellegrini","given":"Laura A."},{"family":"Filippini","given":"Giacomo"},{"family":"Angelis","given":"Alberto Renato","non-dropping-particle":"de"},{"family":"Fiori","given":"Gianluca"}],"issued":{"date-parts":[["2024"]]}}}],"schema":"https://github.com/citation-style-language/schema/raw/master/csl-citation.json"} </w:instrText>
      </w:r>
      <w:r w:rsidR="00EC74C1">
        <w:rPr>
          <w:lang w:val="en-GB"/>
        </w:rPr>
        <w:fldChar w:fldCharType="separate"/>
      </w:r>
      <w:r w:rsidR="00EC74C1" w:rsidRPr="00EC74C1">
        <w:rPr>
          <w:rFonts w:cs="Arial"/>
          <w:lang w:val="en-GB"/>
        </w:rPr>
        <w:t>(Barbieri et al., 2024b; Schiattarella et al., 2024)</w:t>
      </w:r>
      <w:r w:rsidR="00EC74C1">
        <w:rPr>
          <w:lang w:val="en-GB"/>
        </w:rPr>
        <w:fldChar w:fldCharType="end"/>
      </w:r>
      <w:r w:rsidR="00495405" w:rsidRPr="000B3136">
        <w:rPr>
          <w:lang w:val="en-GB"/>
        </w:rPr>
        <w:t>.</w:t>
      </w:r>
    </w:p>
    <w:p w14:paraId="41E841C4" w14:textId="6EF3A5D5" w:rsidR="00495405" w:rsidRDefault="00495405" w:rsidP="00495405">
      <w:pPr>
        <w:pStyle w:val="CETBodytext"/>
        <w:rPr>
          <w:lang w:val="en-GB"/>
        </w:rPr>
      </w:pPr>
      <w:r w:rsidRPr="000B3136">
        <w:rPr>
          <w:lang w:val="en-GB"/>
        </w:rPr>
        <w:t>The solubility apparatus employed in this study</w:t>
      </w:r>
      <w:r w:rsidR="00EC74C1">
        <w:rPr>
          <w:lang w:val="en-GB"/>
        </w:rPr>
        <w:t xml:space="preserve">, </w:t>
      </w:r>
      <w:r w:rsidR="000F0C16">
        <w:rPr>
          <w:lang w:val="en-GB"/>
        </w:rPr>
        <w:t>with a design based on</w:t>
      </w:r>
      <w:r w:rsidRPr="000B3136">
        <w:rPr>
          <w:lang w:val="en-GB"/>
        </w:rPr>
        <w:t xml:space="preserve"> the experimental setup originally proposed by </w:t>
      </w:r>
      <w:r w:rsidRPr="000B3136">
        <w:rPr>
          <w:lang w:val="en-GB"/>
        </w:rPr>
        <w:fldChar w:fldCharType="begin"/>
      </w:r>
      <w:r w:rsidRPr="000B3136">
        <w:rPr>
          <w:lang w:val="en-GB"/>
        </w:rPr>
        <w:instrText xml:space="preserve"> ADDIN ZOTERO_ITEM CSL_CITATION {"citationID":"Bh7P6A6u","properties":{"formattedCitation":"(Bientinesi et al., 2016)","plainCitation":"(Bientinesi et al., 2016)","dontUpdate":true,"noteIndex":0},"citationItems":[{"id":438,"uris":["http://zotero.org/users/local/YuUn2Zf4/items/EZ2QEVV6"],"itemData":{"id":438,"type":"article-journal","abstract":"The main objective of this work was to obtain new data for equilibrium and transport properties in the absorption of carbon dioxide into liquid solvents not yet investigated to this purpose. To this end, an experimental setup for measuring gas solubility and diffusivity in non-volatile solvents was designed, realized, and tested by comparison with literature data for the methane/n-dodecane pair. The solubility of carbon dioxide, nitrogen and oxygen in two different perfluoropolyethers, Fomblin® M03 and Fomblin® Y04, was measured at different temperature ranging from 10°C to 100°C and for pressures up to 7bar. The diffusivity of carbon dioxide in the solvents was measured at 25°C and 50°C, through a pressure decay method. The results obtained in terms of carbon dioxide solubility and selectivity over other gases are encouraging for the possible use of Fomblin® perfluoropolyethers for the absorption of carbon dioxide from flue gases of industrial plants, also due to the complete immiscibility with water of this solvents. New compounds with similar chemical structure are being developed and tested in order to maximize the performances of the absorption process.","container-title":"Chemical Engineering Research and Design","DOI":"10.1016/j.cherd.2015.10.033","ISSN":"0263-8762","journalAbbreviation":"Chemical Engineering Research and Design","page":"16-23","source":"ScienceDirect","title":"Solubility and diffusivity of carbon dioxide in perfluoropolyethers","volume":"105","author":[{"family":"Bientinesi","given":"M."},{"family":"Nicolella","given":"C."},{"family":"Maccone","given":"P."},{"family":"Boccaletti","given":"G."}],"issued":{"date-parts":[["2016",1,1]]}}}],"schema":"https://github.com/citation-style-language/schema/raw/master/csl-citation.json"} </w:instrText>
      </w:r>
      <w:r w:rsidRPr="000B3136">
        <w:rPr>
          <w:lang w:val="en-GB"/>
        </w:rPr>
        <w:fldChar w:fldCharType="separate"/>
      </w:r>
      <w:r w:rsidRPr="000B3136">
        <w:rPr>
          <w:rFonts w:cs="Arial"/>
          <w:lang w:val="en-GB"/>
        </w:rPr>
        <w:t>Bientinesi et al. (2016)</w:t>
      </w:r>
      <w:r w:rsidRPr="000B3136">
        <w:rPr>
          <w:lang w:val="en-GB"/>
        </w:rPr>
        <w:fldChar w:fldCharType="end"/>
      </w:r>
      <w:r w:rsidR="000F0C16">
        <w:rPr>
          <w:lang w:val="en-GB"/>
        </w:rPr>
        <w:t xml:space="preserve"> and expanded to include the collection of data also for biphasic solvents</w:t>
      </w:r>
      <w:r w:rsidRPr="000B3136">
        <w:rPr>
          <w:lang w:val="en-GB"/>
        </w:rPr>
        <w:t xml:space="preserve">, is primarily composed of three vessels, </w:t>
      </w:r>
      <w:r w:rsidR="00E039DC" w:rsidRPr="000B3136">
        <w:rPr>
          <w:lang w:val="en-GB"/>
        </w:rPr>
        <w:t>labelled</w:t>
      </w:r>
      <w:r w:rsidRPr="000B3136">
        <w:rPr>
          <w:lang w:val="en-GB"/>
        </w:rPr>
        <w:t xml:space="preserve"> D1, D2 and D3, as illustrated in</w:t>
      </w:r>
      <w:r w:rsidR="00C94AA6">
        <w:rPr>
          <w:lang w:val="en-GB"/>
        </w:rPr>
        <w:t xml:space="preserve"> </w:t>
      </w:r>
      <w:r w:rsidR="00C94AA6">
        <w:rPr>
          <w:lang w:val="en-GB"/>
        </w:rPr>
        <w:fldChar w:fldCharType="begin"/>
      </w:r>
      <w:r w:rsidR="00C94AA6">
        <w:rPr>
          <w:lang w:val="en-GB"/>
        </w:rPr>
        <w:instrText xml:space="preserve"> REF _Ref218957739 \h </w:instrText>
      </w:r>
      <w:r w:rsidR="00C94AA6">
        <w:rPr>
          <w:lang w:val="en-GB"/>
        </w:rPr>
      </w:r>
      <w:r w:rsidR="00C94AA6">
        <w:rPr>
          <w:lang w:val="en-GB"/>
        </w:rPr>
        <w:fldChar w:fldCharType="separate"/>
      </w:r>
      <w:r w:rsidR="00C94AA6" w:rsidRPr="000B3136">
        <w:t xml:space="preserve">Figure </w:t>
      </w:r>
      <w:r w:rsidR="00C94AA6">
        <w:rPr>
          <w:noProof/>
        </w:rPr>
        <w:t>1</w:t>
      </w:r>
      <w:r w:rsidR="00C94AA6">
        <w:rPr>
          <w:lang w:val="en-GB"/>
        </w:rPr>
        <w:fldChar w:fldCharType="end"/>
      </w:r>
      <w:r w:rsidRPr="000B3136">
        <w:rPr>
          <w:lang w:val="en-GB"/>
        </w:rPr>
        <w:t>.</w:t>
      </w:r>
    </w:p>
    <w:p w14:paraId="77D4F03B" w14:textId="5E7D5AAE" w:rsidR="000F0C16" w:rsidRPr="000F0C16" w:rsidRDefault="00953FC8" w:rsidP="000F0C16">
      <w:pPr>
        <w:pStyle w:val="CETBodytext"/>
        <w:rPr>
          <w:lang w:val="en-GB"/>
        </w:rPr>
      </w:pPr>
      <w:bookmarkStart w:id="2" w:name="_Ref218677635"/>
      <w:r w:rsidRPr="00953FC8">
        <w:rPr>
          <w:noProof/>
        </w:rPr>
        <w:drawing>
          <wp:inline distT="0" distB="0" distL="0" distR="0" wp14:anchorId="26823992" wp14:editId="71CF6078">
            <wp:extent cx="3756020" cy="1800000"/>
            <wp:effectExtent l="0" t="0" r="0" b="0"/>
            <wp:docPr id="1774805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56020" cy="1800000"/>
                    </a:xfrm>
                    <a:prstGeom prst="rect">
                      <a:avLst/>
                    </a:prstGeom>
                    <a:noFill/>
                    <a:ln>
                      <a:noFill/>
                    </a:ln>
                  </pic:spPr>
                </pic:pic>
              </a:graphicData>
            </a:graphic>
          </wp:inline>
        </w:drawing>
      </w:r>
    </w:p>
    <w:p w14:paraId="368A8B8C" w14:textId="6C69E6AF" w:rsidR="00495405" w:rsidRPr="000B3136" w:rsidRDefault="00495405" w:rsidP="00A95C1D">
      <w:pPr>
        <w:pStyle w:val="CETCaption"/>
      </w:pPr>
      <w:bookmarkStart w:id="3" w:name="_Ref218957739"/>
      <w:r w:rsidRPr="000B3136">
        <w:t xml:space="preserve">Figure </w:t>
      </w:r>
      <w:r w:rsidRPr="000B3136">
        <w:fldChar w:fldCharType="begin"/>
      </w:r>
      <w:r w:rsidRPr="000B3136">
        <w:instrText xml:space="preserve"> SEQ Figure \* ARABIC </w:instrText>
      </w:r>
      <w:r w:rsidRPr="000B3136">
        <w:fldChar w:fldCharType="separate"/>
      </w:r>
      <w:r w:rsidR="00C94AA6">
        <w:rPr>
          <w:noProof/>
        </w:rPr>
        <w:t>1</w:t>
      </w:r>
      <w:r w:rsidRPr="000B3136">
        <w:fldChar w:fldCharType="end"/>
      </w:r>
      <w:bookmarkEnd w:id="2"/>
      <w:bookmarkEnd w:id="3"/>
      <w:r w:rsidRPr="000B3136">
        <w:t>: Process flow diagram of the solubility unit installed at PT lab of Politecnico di Milano.</w:t>
      </w:r>
    </w:p>
    <w:p w14:paraId="09406386" w14:textId="05160526" w:rsidR="00453E24" w:rsidRPr="000B3136" w:rsidRDefault="00495405" w:rsidP="00495405">
      <w:pPr>
        <w:pStyle w:val="CETBodytext"/>
        <w:rPr>
          <w:lang w:val="en-GB"/>
        </w:rPr>
      </w:pPr>
      <w:r w:rsidRPr="000B3136">
        <w:rPr>
          <w:lang w:val="en-GB"/>
        </w:rPr>
        <w:t>Vessel D1 functions as a gas storage reservoir and is directly connected to the CO</w:t>
      </w:r>
      <w:r w:rsidR="00750475" w:rsidRPr="000B3136">
        <w:rPr>
          <w:vertAlign w:val="subscript"/>
          <w:lang w:val="en-GB"/>
        </w:rPr>
        <w:t>2</w:t>
      </w:r>
      <w:r w:rsidRPr="000B3136">
        <w:rPr>
          <w:lang w:val="en-GB"/>
        </w:rPr>
        <w:t xml:space="preserve"> and N</w:t>
      </w:r>
      <w:r w:rsidR="00750475" w:rsidRPr="000B3136">
        <w:rPr>
          <w:vertAlign w:val="subscript"/>
          <w:lang w:val="en-GB"/>
        </w:rPr>
        <w:t>2</w:t>
      </w:r>
      <w:r w:rsidRPr="000B3136">
        <w:rPr>
          <w:lang w:val="en-GB"/>
        </w:rPr>
        <w:t xml:space="preserve"> supply lines. It is fitted with instrumentation for temperature and pressure monitoring, with the pressure range extending up to </w:t>
      </w:r>
      <w:r w:rsidR="000F0C16">
        <w:rPr>
          <w:lang w:val="en-GB"/>
        </w:rPr>
        <w:t xml:space="preserve">5 </w:t>
      </w:r>
      <w:r w:rsidR="006F041B">
        <w:rPr>
          <w:lang w:val="en-GB"/>
        </w:rPr>
        <w:t>MPa</w:t>
      </w:r>
      <w:r w:rsidRPr="000B3136">
        <w:rPr>
          <w:lang w:val="en-GB"/>
        </w:rPr>
        <w:t>. Vessel</w:t>
      </w:r>
      <w:r w:rsidR="00595113">
        <w:rPr>
          <w:lang w:val="en-GB"/>
        </w:rPr>
        <w:t>s</w:t>
      </w:r>
      <w:r w:rsidRPr="000B3136">
        <w:rPr>
          <w:lang w:val="en-GB"/>
        </w:rPr>
        <w:t xml:space="preserve"> D2</w:t>
      </w:r>
      <w:r w:rsidR="00595113">
        <w:rPr>
          <w:lang w:val="en-GB"/>
        </w:rPr>
        <w:t xml:space="preserve"> and D3 are</w:t>
      </w:r>
      <w:r w:rsidRPr="000B3136">
        <w:rPr>
          <w:lang w:val="en-GB"/>
        </w:rPr>
        <w:t xml:space="preserve"> connected to D1 through dedicated valve</w:t>
      </w:r>
      <w:r w:rsidR="00595113">
        <w:rPr>
          <w:lang w:val="en-GB"/>
        </w:rPr>
        <w:t xml:space="preserve">s and they are </w:t>
      </w:r>
      <w:r w:rsidR="00595113" w:rsidRPr="000B3136">
        <w:rPr>
          <w:lang w:val="en-GB"/>
        </w:rPr>
        <w:t xml:space="preserve">housed within a steel </w:t>
      </w:r>
      <w:r w:rsidR="00A95C1D">
        <w:rPr>
          <w:lang w:val="en-GB"/>
        </w:rPr>
        <w:t>tank</w:t>
      </w:r>
      <w:r w:rsidR="00595113" w:rsidRPr="000B3136">
        <w:rPr>
          <w:lang w:val="en-GB"/>
        </w:rPr>
        <w:t xml:space="preserve"> featuring a removable cover, through which a therm</w:t>
      </w:r>
      <w:r w:rsidR="00E8254A">
        <w:rPr>
          <w:lang w:val="en-GB"/>
        </w:rPr>
        <w:t xml:space="preserve">al </w:t>
      </w:r>
      <w:r w:rsidR="00595113" w:rsidRPr="000B3136">
        <w:rPr>
          <w:lang w:val="en-GB"/>
        </w:rPr>
        <w:t>oil (Thermal H20S, supplied by JULABO GmbH, Germany) is circulated to maintain the desired operating temperature set by an external thermal bath. An overflow tank is integrated into the system to prevent flooding in the event of tubing obstruction, allowing excess oil to be safely discharged.</w:t>
      </w:r>
      <w:r w:rsidR="00540D40">
        <w:rPr>
          <w:lang w:val="en-GB"/>
        </w:rPr>
        <w:t xml:space="preserve"> Both </w:t>
      </w:r>
      <w:r w:rsidR="000F0C16">
        <w:rPr>
          <w:lang w:val="en-GB"/>
        </w:rPr>
        <w:t xml:space="preserve">the </w:t>
      </w:r>
      <w:r w:rsidR="00540D40">
        <w:rPr>
          <w:lang w:val="en-GB"/>
        </w:rPr>
        <w:t xml:space="preserve">vessels D2 and D3 are </w:t>
      </w:r>
      <w:r w:rsidR="00540D40" w:rsidRPr="000B3136">
        <w:rPr>
          <w:lang w:val="en-GB"/>
        </w:rPr>
        <w:t>equipped with a magnetic stirrer and instrumentation for temperature and pressure measurements</w:t>
      </w:r>
      <w:r w:rsidR="00E8254A">
        <w:rPr>
          <w:lang w:val="en-GB"/>
        </w:rPr>
        <w:t xml:space="preserve">. </w:t>
      </w:r>
      <w:r w:rsidR="00E8254A" w:rsidRPr="00E8254A">
        <w:rPr>
          <w:lang w:val="en-GB"/>
        </w:rPr>
        <w:t xml:space="preserve">Vessel D2 is specifically designed for high-pressure operation, allowing measurements at pressures up to </w:t>
      </w:r>
      <w:r w:rsidR="000F0C16">
        <w:rPr>
          <w:lang w:val="en-GB"/>
        </w:rPr>
        <w:t>5</w:t>
      </w:r>
      <w:r w:rsidR="000F0C16" w:rsidRPr="00E8254A">
        <w:rPr>
          <w:lang w:val="en-GB"/>
        </w:rPr>
        <w:t xml:space="preserve"> </w:t>
      </w:r>
      <w:r w:rsidR="00E8254A" w:rsidRPr="00E8254A">
        <w:rPr>
          <w:lang w:val="en-GB"/>
        </w:rPr>
        <w:t>MPa</w:t>
      </w:r>
      <w:r w:rsidR="00E8254A">
        <w:rPr>
          <w:lang w:val="en-GB"/>
        </w:rPr>
        <w:t>.</w:t>
      </w:r>
      <w:r w:rsidR="00E8254A" w:rsidRPr="00E8254A">
        <w:rPr>
          <w:lang w:val="en-GB"/>
        </w:rPr>
        <w:t xml:space="preserve"> </w:t>
      </w:r>
      <w:r w:rsidR="00E8254A">
        <w:rPr>
          <w:lang w:val="en-GB"/>
        </w:rPr>
        <w:t>V</w:t>
      </w:r>
      <w:r w:rsidR="00E8254A" w:rsidRPr="00E8254A">
        <w:rPr>
          <w:lang w:val="en-GB"/>
        </w:rPr>
        <w:t xml:space="preserve">essel D3 is intended for low-pressure applications, with a maximum operating pressure of </w:t>
      </w:r>
      <w:r w:rsidR="000F0C16">
        <w:rPr>
          <w:lang w:val="en-GB"/>
        </w:rPr>
        <w:t>0.7</w:t>
      </w:r>
      <w:r w:rsidR="000F0C16" w:rsidRPr="00E8254A">
        <w:rPr>
          <w:lang w:val="en-GB"/>
        </w:rPr>
        <w:t xml:space="preserve"> </w:t>
      </w:r>
      <w:r w:rsidR="00E8254A" w:rsidRPr="00E8254A">
        <w:rPr>
          <w:lang w:val="en-GB"/>
        </w:rPr>
        <w:t>MPa and is particularly suitable for experiments involving biphasic solvent systems.</w:t>
      </w:r>
      <w:r w:rsidR="00E8254A">
        <w:rPr>
          <w:lang w:val="en-GB"/>
        </w:rPr>
        <w:t xml:space="preserve"> </w:t>
      </w:r>
      <w:r w:rsidR="00540D40">
        <w:rPr>
          <w:lang w:val="en-GB"/>
        </w:rPr>
        <w:t xml:space="preserve">All </w:t>
      </w:r>
      <w:r w:rsidRPr="00540D40">
        <w:rPr>
          <w:lang w:val="en-GB"/>
        </w:rPr>
        <w:t xml:space="preserve">measured signals from the apparatus are acquired by a data-logging system and digitally recorded </w:t>
      </w:r>
      <w:r w:rsidRPr="00540D40">
        <w:rPr>
          <w:lang w:val="en-GB"/>
        </w:rPr>
        <w:lastRenderedPageBreak/>
        <w:t>via dedicated software.</w:t>
      </w:r>
      <w:r w:rsidR="006F041B">
        <w:rPr>
          <w:lang w:val="en-GB"/>
        </w:rPr>
        <w:t xml:space="preserve"> </w:t>
      </w:r>
      <w:r w:rsidRPr="000B3136">
        <w:rPr>
          <w:lang w:val="en-GB"/>
        </w:rPr>
        <w:t>Prior to each experiment, a vacuum pump is used to evacuate the system before solvent loading and again at the end of the test. In addition, a dedicated nitrogen line has been included to improve the efficiency of the depressurization procedure, minimizing further CO</w:t>
      </w:r>
      <w:r w:rsidR="00750475" w:rsidRPr="000B3136">
        <w:rPr>
          <w:vertAlign w:val="subscript"/>
          <w:lang w:val="en-GB"/>
        </w:rPr>
        <w:t>2</w:t>
      </w:r>
      <w:r w:rsidRPr="000B3136">
        <w:rPr>
          <w:lang w:val="en-GB"/>
        </w:rPr>
        <w:t xml:space="preserve"> dissolution during venting operations and enabling </w:t>
      </w:r>
      <w:proofErr w:type="spellStart"/>
      <w:r w:rsidRPr="000B3136">
        <w:rPr>
          <w:lang w:val="en-GB"/>
        </w:rPr>
        <w:t>inertization</w:t>
      </w:r>
      <w:proofErr w:type="spellEnd"/>
      <w:r w:rsidRPr="000B3136">
        <w:rPr>
          <w:lang w:val="en-GB"/>
        </w:rPr>
        <w:t xml:space="preserve"> of the apparatus before each new experimental run</w:t>
      </w:r>
      <w:r w:rsidR="00453E24" w:rsidRPr="000B3136">
        <w:rPr>
          <w:lang w:val="en-GB"/>
        </w:rPr>
        <w:t>.</w:t>
      </w:r>
    </w:p>
    <w:p w14:paraId="0636B784" w14:textId="174E0853" w:rsidR="00453E24" w:rsidRPr="000B3136" w:rsidRDefault="00453E24" w:rsidP="00453E24">
      <w:pPr>
        <w:pStyle w:val="CETheadingx"/>
        <w:rPr>
          <w:lang w:val="en-GB"/>
        </w:rPr>
      </w:pPr>
      <w:r w:rsidRPr="000B3136">
        <w:rPr>
          <w:lang w:val="en-GB"/>
        </w:rPr>
        <w:t>C</w:t>
      </w:r>
      <w:r w:rsidR="00A66FBF" w:rsidRPr="000B3136">
        <w:rPr>
          <w:lang w:val="en-GB"/>
        </w:rPr>
        <w:t>hemicals</w:t>
      </w:r>
    </w:p>
    <w:p w14:paraId="4194C3F5" w14:textId="31D8D4F3" w:rsidR="00A66FBF" w:rsidRPr="000B3136" w:rsidRDefault="00883F5C" w:rsidP="00883F5C">
      <w:pPr>
        <w:pStyle w:val="CETBodytext"/>
        <w:rPr>
          <w:lang w:val="en-GB"/>
        </w:rPr>
      </w:pPr>
      <w:r w:rsidRPr="000B3136">
        <w:rPr>
          <w:lang w:val="en-GB"/>
        </w:rPr>
        <w:t>Cyrene</w:t>
      </w:r>
      <w:r w:rsidR="00A66FBF" w:rsidRPr="000B3136">
        <w:rPr>
          <w:lang w:val="en-GB"/>
        </w:rPr>
        <w:t xml:space="preserve"> (</w:t>
      </w:r>
      <w:r w:rsidRPr="000B3136">
        <w:rPr>
          <w:lang w:val="en-GB"/>
        </w:rPr>
        <w:t>CAS number 53716-82-8</w:t>
      </w:r>
      <w:r w:rsidR="00A66FBF" w:rsidRPr="000B3136">
        <w:rPr>
          <w:lang w:val="en-GB"/>
        </w:rPr>
        <w:t xml:space="preserve">) </w:t>
      </w:r>
      <w:r w:rsidRPr="000B3136">
        <w:rPr>
          <w:lang w:val="en-GB"/>
        </w:rPr>
        <w:t xml:space="preserve">with 99% purity </w:t>
      </w:r>
      <w:r w:rsidR="00EC74C1">
        <w:rPr>
          <w:lang w:val="en-GB"/>
        </w:rPr>
        <w:t>has been</w:t>
      </w:r>
      <w:r w:rsidR="00A66FBF" w:rsidRPr="000B3136">
        <w:rPr>
          <w:lang w:val="en-GB"/>
        </w:rPr>
        <w:t xml:space="preserve"> purchased from Sigma Aldrich (Darmstadt, Germany) and stored under a nitrogen atmosphere to prevent oxidation. Carbon dioxide</w:t>
      </w:r>
      <w:r w:rsidRPr="000B3136">
        <w:rPr>
          <w:lang w:val="en-GB"/>
        </w:rPr>
        <w:t xml:space="preserve"> (grade 4.5)</w:t>
      </w:r>
      <w:r w:rsidR="00A66FBF" w:rsidRPr="000B3136">
        <w:rPr>
          <w:lang w:val="en-GB"/>
        </w:rPr>
        <w:t xml:space="preserve"> and nitrogen</w:t>
      </w:r>
      <w:r w:rsidRPr="000B3136">
        <w:rPr>
          <w:lang w:val="en-GB"/>
        </w:rPr>
        <w:t xml:space="preserve"> (grade BIP)</w:t>
      </w:r>
      <w:r w:rsidR="00A66FBF" w:rsidRPr="000B3136">
        <w:rPr>
          <w:lang w:val="en-GB"/>
        </w:rPr>
        <w:t xml:space="preserve"> used in the experiments </w:t>
      </w:r>
      <w:r w:rsidR="00EC74C1">
        <w:rPr>
          <w:lang w:val="en-GB"/>
        </w:rPr>
        <w:t>have been</w:t>
      </w:r>
      <w:r w:rsidR="00A66FBF" w:rsidRPr="000B3136">
        <w:rPr>
          <w:lang w:val="en-GB"/>
        </w:rPr>
        <w:t xml:space="preserve"> supplied by Sapio</w:t>
      </w:r>
      <w:r w:rsidRPr="000B3136">
        <w:rPr>
          <w:lang w:val="en-GB"/>
        </w:rPr>
        <w:t xml:space="preserve"> Srl</w:t>
      </w:r>
      <w:r w:rsidR="00A66FBF" w:rsidRPr="000B3136">
        <w:rPr>
          <w:lang w:val="en-GB"/>
        </w:rPr>
        <w:t xml:space="preserve">. </w:t>
      </w:r>
    </w:p>
    <w:p w14:paraId="18BAFA6F" w14:textId="75EEE332" w:rsidR="00453E24" w:rsidRPr="000B3136" w:rsidRDefault="00453E24" w:rsidP="00453E24">
      <w:pPr>
        <w:pStyle w:val="CETheadingx"/>
        <w:rPr>
          <w:lang w:val="en-GB"/>
        </w:rPr>
      </w:pPr>
      <w:r w:rsidRPr="000B3136">
        <w:rPr>
          <w:lang w:val="en-GB"/>
        </w:rPr>
        <w:t>Measurements</w:t>
      </w:r>
    </w:p>
    <w:p w14:paraId="452BBE67" w14:textId="77777777" w:rsidR="002406D9" w:rsidRDefault="003C0F0E" w:rsidP="003C0F0E">
      <w:pPr>
        <w:pStyle w:val="CETBodytext"/>
        <w:rPr>
          <w:lang w:val="en-GB"/>
        </w:rPr>
      </w:pPr>
      <w:r w:rsidRPr="000B3136">
        <w:rPr>
          <w:lang w:val="en-GB"/>
        </w:rPr>
        <w:t>The acquisition of each experimental point follows a standardized procedure.</w:t>
      </w:r>
    </w:p>
    <w:p w14:paraId="59852623" w14:textId="2CACE65C" w:rsidR="002406D9" w:rsidRDefault="002406D9" w:rsidP="003C0F0E">
      <w:pPr>
        <w:pStyle w:val="CETBodytext"/>
        <w:numPr>
          <w:ilvl w:val="0"/>
          <w:numId w:val="23"/>
        </w:numPr>
        <w:ind w:left="357" w:hanging="357"/>
        <w:rPr>
          <w:lang w:val="en-GB"/>
        </w:rPr>
      </w:pPr>
      <w:r>
        <w:rPr>
          <w:lang w:val="en-GB"/>
        </w:rPr>
        <w:t>T</w:t>
      </w:r>
      <w:r w:rsidR="003C0F0E" w:rsidRPr="000B3136">
        <w:rPr>
          <w:lang w:val="en-GB"/>
        </w:rPr>
        <w:t>he entire apparatus is purged with nitrogen to ensure inert conditions. The thermostatic bath is</w:t>
      </w:r>
      <w:r w:rsidR="000F0C16">
        <w:rPr>
          <w:lang w:val="en-GB"/>
        </w:rPr>
        <w:t>,</w:t>
      </w:r>
      <w:r w:rsidR="003C0F0E" w:rsidRPr="000B3136">
        <w:rPr>
          <w:lang w:val="en-GB"/>
        </w:rPr>
        <w:t xml:space="preserve"> then</w:t>
      </w:r>
      <w:r w:rsidR="000F0C16">
        <w:rPr>
          <w:lang w:val="en-GB"/>
        </w:rPr>
        <w:t>,</w:t>
      </w:r>
      <w:r w:rsidR="003C0F0E" w:rsidRPr="000B3136">
        <w:rPr>
          <w:lang w:val="en-GB"/>
        </w:rPr>
        <w:t xml:space="preserve"> activated, first set to ambient temperature and subsequently adjusted to the desired operating temperature once fluid circulation has started.</w:t>
      </w:r>
    </w:p>
    <w:p w14:paraId="10C3C86D" w14:textId="204628AE" w:rsidR="002406D9" w:rsidRDefault="000F0C16" w:rsidP="003C0F0E">
      <w:pPr>
        <w:pStyle w:val="CETBodytext"/>
        <w:numPr>
          <w:ilvl w:val="0"/>
          <w:numId w:val="23"/>
        </w:numPr>
        <w:ind w:left="357" w:hanging="357"/>
        <w:rPr>
          <w:lang w:val="en-GB"/>
        </w:rPr>
      </w:pPr>
      <w:r>
        <w:rPr>
          <w:lang w:val="en-GB"/>
        </w:rPr>
        <w:t>The v</w:t>
      </w:r>
      <w:r w:rsidR="003C0F0E" w:rsidRPr="002406D9">
        <w:rPr>
          <w:lang w:val="en-GB"/>
        </w:rPr>
        <w:t>essel D2 is evacuated to a pressure below 0.0</w:t>
      </w:r>
      <w:r w:rsidR="00BB1488">
        <w:rPr>
          <w:lang w:val="en-GB"/>
        </w:rPr>
        <w:t>0</w:t>
      </w:r>
      <w:r w:rsidR="003C0F0E" w:rsidRPr="002406D9">
        <w:rPr>
          <w:lang w:val="en-GB"/>
        </w:rPr>
        <w:t xml:space="preserve">5 </w:t>
      </w:r>
      <w:r w:rsidR="00BB1488">
        <w:rPr>
          <w:lang w:val="en-GB"/>
        </w:rPr>
        <w:t>MPa</w:t>
      </w:r>
      <w:r w:rsidR="003C0F0E" w:rsidRPr="002406D9">
        <w:rPr>
          <w:lang w:val="en-GB"/>
        </w:rPr>
        <w:t xml:space="preserve"> and charged with a known mass of lean solvent, previously weighed under a nitrogen atmosphere. </w:t>
      </w:r>
    </w:p>
    <w:p w14:paraId="2E529C25" w14:textId="3E935A3A" w:rsidR="002406D9" w:rsidRDefault="003C0F0E" w:rsidP="003C0F0E">
      <w:pPr>
        <w:pStyle w:val="CETBodytext"/>
        <w:numPr>
          <w:ilvl w:val="0"/>
          <w:numId w:val="23"/>
        </w:numPr>
        <w:ind w:left="357" w:hanging="357"/>
        <w:rPr>
          <w:lang w:val="en-GB"/>
        </w:rPr>
      </w:pPr>
      <w:r w:rsidRPr="002406D9">
        <w:rPr>
          <w:lang w:val="en-GB"/>
        </w:rPr>
        <w:t>A second evacuation step is performed to remove residual air introduced with the solvent at low temperature (288.15 K), again reducing the pressure below 0.0</w:t>
      </w:r>
      <w:r w:rsidR="00BB1488">
        <w:rPr>
          <w:lang w:val="en-GB"/>
        </w:rPr>
        <w:t>0</w:t>
      </w:r>
      <w:r w:rsidRPr="002406D9">
        <w:rPr>
          <w:lang w:val="en-GB"/>
        </w:rPr>
        <w:t xml:space="preserve">5 </w:t>
      </w:r>
      <w:r w:rsidR="00BB1488">
        <w:rPr>
          <w:lang w:val="en-GB"/>
        </w:rPr>
        <w:t>MPa</w:t>
      </w:r>
      <w:r w:rsidRPr="002406D9">
        <w:rPr>
          <w:lang w:val="en-GB"/>
        </w:rPr>
        <w:t>. Once the operating temperature is reached, the vapor pressure of the lean solvent (</w:t>
      </w:r>
      <m:oMath>
        <m:sSub>
          <m:sSubPr>
            <m:ctrlPr>
              <w:rPr>
                <w:rFonts w:ascii="Cambria Math" w:hAnsi="Cambria Math" w:cs="Arial"/>
                <w:i/>
                <w:lang w:val="en-GB"/>
              </w:rPr>
            </m:ctrlPr>
          </m:sSubPr>
          <m:e>
            <m:r>
              <w:rPr>
                <w:rFonts w:ascii="Cambria Math" w:hAnsi="Cambria Math" w:cs="Arial"/>
                <w:lang w:val="en-GB"/>
              </w:rPr>
              <m:t>P</m:t>
            </m:r>
          </m:e>
          <m:sub>
            <m:r>
              <w:rPr>
                <w:rFonts w:ascii="Cambria Math" w:hAnsi="Cambria Math" w:cs="Arial"/>
                <w:lang w:val="en-GB"/>
              </w:rPr>
              <m:t>ev</m:t>
            </m:r>
          </m:sub>
        </m:sSub>
      </m:oMath>
      <w:r w:rsidRPr="002406D9">
        <w:rPr>
          <w:rFonts w:cs="Arial"/>
          <w:lang w:val="en-GB"/>
        </w:rPr>
        <w:t>)</w:t>
      </w:r>
      <w:r w:rsidRPr="002406D9">
        <w:rPr>
          <w:lang w:val="en-GB"/>
        </w:rPr>
        <w:t xml:space="preserve"> is measured.</w:t>
      </w:r>
    </w:p>
    <w:p w14:paraId="1CA220A8" w14:textId="2945FCBB" w:rsidR="003C0F0E" w:rsidRPr="002406D9" w:rsidRDefault="000F0C16" w:rsidP="003C0F0E">
      <w:pPr>
        <w:pStyle w:val="CETBodytext"/>
        <w:numPr>
          <w:ilvl w:val="0"/>
          <w:numId w:val="23"/>
        </w:numPr>
        <w:ind w:left="357" w:hanging="357"/>
        <w:rPr>
          <w:lang w:val="en-GB"/>
        </w:rPr>
      </w:pPr>
      <w:r>
        <w:rPr>
          <w:lang w:val="en-GB"/>
        </w:rPr>
        <w:t>The v</w:t>
      </w:r>
      <w:r w:rsidR="003C0F0E" w:rsidRPr="002406D9">
        <w:rPr>
          <w:lang w:val="en-GB"/>
        </w:rPr>
        <w:t>essel D1 is pressurized with CO</w:t>
      </w:r>
      <w:r w:rsidR="00750475" w:rsidRPr="002406D9">
        <w:rPr>
          <w:vertAlign w:val="subscript"/>
          <w:lang w:val="en-GB"/>
        </w:rPr>
        <w:t>2</w:t>
      </w:r>
      <w:r w:rsidR="003C0F0E" w:rsidRPr="002406D9">
        <w:rPr>
          <w:lang w:val="en-GB"/>
        </w:rPr>
        <w:t xml:space="preserve"> up to a defined initial pressure. A portion of the gas is</w:t>
      </w:r>
      <w:r>
        <w:rPr>
          <w:lang w:val="en-GB"/>
        </w:rPr>
        <w:t>,</w:t>
      </w:r>
      <w:r w:rsidR="003C0F0E" w:rsidRPr="002406D9">
        <w:rPr>
          <w:lang w:val="en-GB"/>
        </w:rPr>
        <w:t xml:space="preserve"> then</w:t>
      </w:r>
      <w:r>
        <w:rPr>
          <w:lang w:val="en-GB"/>
        </w:rPr>
        <w:t>,</w:t>
      </w:r>
      <w:r w:rsidR="003C0F0E" w:rsidRPr="002406D9">
        <w:rPr>
          <w:lang w:val="en-GB"/>
        </w:rPr>
        <w:t xml:space="preserve"> transferred to D2 until pressure equalization between the two vessels is achieved. The number of moles of CO</w:t>
      </w:r>
      <w:r w:rsidR="00750475" w:rsidRPr="002406D9">
        <w:rPr>
          <w:vertAlign w:val="subscript"/>
          <w:lang w:val="en-GB"/>
        </w:rPr>
        <w:t>2</w:t>
      </w:r>
      <w:r w:rsidR="003C0F0E" w:rsidRPr="002406D9">
        <w:rPr>
          <w:lang w:val="en-GB"/>
        </w:rPr>
        <w:t xml:space="preserve"> initially charged into D1</w:t>
      </w:r>
      <w:r w:rsidR="00794E09" w:rsidRPr="002406D9">
        <w:rPr>
          <w:lang w:val="en-GB"/>
        </w:rPr>
        <w:t xml:space="preserve"> (</w:t>
      </w:r>
      <m:oMath>
        <m:sSubSup>
          <m:sSubSupPr>
            <m:ctrlPr>
              <w:rPr>
                <w:rFonts w:ascii="Cambria Math" w:hAnsi="Cambria Math" w:cs="Arial"/>
                <w:i/>
                <w:color w:val="000000" w:themeColor="text1"/>
                <w:szCs w:val="18"/>
                <w:lang w:val="en-GB"/>
              </w:rPr>
            </m:ctrlPr>
          </m:sSubSupPr>
          <m:e>
            <m:r>
              <w:rPr>
                <w:rFonts w:ascii="Cambria Math" w:hAnsi="Cambria Math" w:cs="Arial"/>
                <w:color w:val="000000" w:themeColor="text1"/>
                <w:szCs w:val="18"/>
                <w:lang w:val="en-GB"/>
              </w:rPr>
              <m:t>n</m:t>
            </m:r>
          </m:e>
          <m:sub>
            <m:sSub>
              <m:sSubPr>
                <m:ctrlPr>
                  <w:rPr>
                    <w:rFonts w:ascii="Cambria Math" w:hAnsi="Cambria Math" w:cs="Arial"/>
                    <w:i/>
                    <w:color w:val="000000" w:themeColor="text1"/>
                    <w:szCs w:val="18"/>
                    <w:lang w:val="en-GB"/>
                  </w:rPr>
                </m:ctrlPr>
              </m:sSubPr>
              <m:e>
                <m:r>
                  <w:rPr>
                    <w:rFonts w:ascii="Cambria Math" w:hAnsi="Cambria Math" w:cs="Arial"/>
                    <w:color w:val="000000" w:themeColor="text1"/>
                    <w:szCs w:val="18"/>
                    <w:lang w:val="en-GB"/>
                  </w:rPr>
                  <m:t>CO</m:t>
                </m:r>
              </m:e>
              <m:sub>
                <m:r>
                  <w:rPr>
                    <w:rFonts w:ascii="Cambria Math" w:hAnsi="Cambria Math" w:cs="Arial"/>
                    <w:color w:val="000000" w:themeColor="text1"/>
                    <w:szCs w:val="18"/>
                    <w:lang w:val="en-GB"/>
                  </w:rPr>
                  <m:t>2</m:t>
                </m:r>
              </m:sub>
            </m:sSub>
          </m:sub>
          <m:sup>
            <m:r>
              <w:rPr>
                <w:rFonts w:ascii="Cambria Math" w:hAnsi="Cambria Math" w:cs="Arial"/>
                <w:color w:val="000000" w:themeColor="text1"/>
                <w:szCs w:val="18"/>
                <w:lang w:val="en-GB"/>
              </w:rPr>
              <m:t>D1,i</m:t>
            </m:r>
          </m:sup>
        </m:sSubSup>
      </m:oMath>
      <w:r w:rsidR="00794E09" w:rsidRPr="002406D9">
        <w:rPr>
          <w:lang w:val="en-GB"/>
        </w:rPr>
        <w:t>)</w:t>
      </w:r>
      <w:r w:rsidR="003C0F0E" w:rsidRPr="002406D9">
        <w:rPr>
          <w:lang w:val="en-GB"/>
        </w:rPr>
        <w:t xml:space="preserve"> and remaining after the transfer</w:t>
      </w:r>
      <w:r w:rsidR="00794E09" w:rsidRPr="002406D9">
        <w:rPr>
          <w:lang w:val="en-GB"/>
        </w:rPr>
        <w:t xml:space="preserve"> (</w:t>
      </w:r>
      <m:oMath>
        <m:sSubSup>
          <m:sSubSupPr>
            <m:ctrlPr>
              <w:rPr>
                <w:rFonts w:ascii="Cambria Math" w:hAnsi="Cambria Math" w:cs="Arial"/>
                <w:i/>
                <w:color w:val="000000" w:themeColor="text1"/>
                <w:szCs w:val="18"/>
                <w:lang w:val="en-GB"/>
              </w:rPr>
            </m:ctrlPr>
          </m:sSubSupPr>
          <m:e>
            <m:r>
              <w:rPr>
                <w:rFonts w:ascii="Cambria Math" w:hAnsi="Cambria Math" w:cs="Arial"/>
                <w:color w:val="000000" w:themeColor="text1"/>
                <w:szCs w:val="18"/>
                <w:lang w:val="en-GB"/>
              </w:rPr>
              <m:t>n</m:t>
            </m:r>
          </m:e>
          <m:sub>
            <m:sSub>
              <m:sSubPr>
                <m:ctrlPr>
                  <w:rPr>
                    <w:rFonts w:ascii="Cambria Math" w:hAnsi="Cambria Math" w:cs="Arial"/>
                    <w:i/>
                    <w:color w:val="000000" w:themeColor="text1"/>
                    <w:szCs w:val="18"/>
                    <w:lang w:val="en-GB"/>
                  </w:rPr>
                </m:ctrlPr>
              </m:sSubPr>
              <m:e>
                <m:r>
                  <w:rPr>
                    <w:rFonts w:ascii="Cambria Math" w:hAnsi="Cambria Math" w:cs="Arial"/>
                    <w:color w:val="000000" w:themeColor="text1"/>
                    <w:szCs w:val="18"/>
                    <w:lang w:val="en-GB"/>
                  </w:rPr>
                  <m:t>CO</m:t>
                </m:r>
              </m:e>
              <m:sub>
                <m:r>
                  <w:rPr>
                    <w:rFonts w:ascii="Cambria Math" w:hAnsi="Cambria Math" w:cs="Arial"/>
                    <w:color w:val="000000" w:themeColor="text1"/>
                    <w:szCs w:val="18"/>
                    <w:lang w:val="en-GB"/>
                  </w:rPr>
                  <m:t>2</m:t>
                </m:r>
              </m:sub>
            </m:sSub>
          </m:sub>
          <m:sup>
            <m:r>
              <w:rPr>
                <w:rFonts w:ascii="Cambria Math" w:hAnsi="Cambria Math" w:cs="Arial"/>
                <w:color w:val="000000" w:themeColor="text1"/>
                <w:szCs w:val="18"/>
                <w:lang w:val="en-GB"/>
              </w:rPr>
              <m:t>D1,f</m:t>
            </m:r>
          </m:sup>
        </m:sSubSup>
      </m:oMath>
      <w:r w:rsidR="00794E09" w:rsidRPr="002406D9">
        <w:rPr>
          <w:lang w:val="en-GB"/>
        </w:rPr>
        <w:t>)</w:t>
      </w:r>
      <w:r w:rsidR="003C0F0E" w:rsidRPr="002406D9">
        <w:rPr>
          <w:lang w:val="en-GB"/>
        </w:rPr>
        <w:t xml:space="preserve"> are calculated using </w:t>
      </w:r>
      <w:proofErr w:type="spellStart"/>
      <w:r w:rsidR="003C0F0E" w:rsidRPr="002406D9">
        <w:rPr>
          <w:lang w:val="en-GB"/>
        </w:rPr>
        <w:t>Eqs</w:t>
      </w:r>
      <w:proofErr w:type="spellEnd"/>
      <w:r w:rsidR="003C0F0E" w:rsidRPr="002406D9">
        <w:rPr>
          <w:lang w:val="en-GB"/>
        </w:rPr>
        <w:t xml:space="preserve">. </w:t>
      </w:r>
      <w:r w:rsidR="00382261" w:rsidRPr="002406D9">
        <w:rPr>
          <w:lang w:val="en-GB"/>
        </w:rPr>
        <w:fldChar w:fldCharType="begin"/>
      </w:r>
      <w:r w:rsidR="00382261" w:rsidRPr="002406D9">
        <w:rPr>
          <w:lang w:val="en-GB"/>
        </w:rPr>
        <w:instrText xml:space="preserve"> REF _Ref218679958 \h  \* MERGEFORMAT </w:instrText>
      </w:r>
      <w:r w:rsidR="00382261" w:rsidRPr="002406D9">
        <w:rPr>
          <w:lang w:val="en-GB"/>
        </w:rPr>
      </w:r>
      <w:r w:rsidR="00382261" w:rsidRPr="002406D9">
        <w:rPr>
          <w:lang w:val="en-GB"/>
        </w:rPr>
        <w:fldChar w:fldCharType="separate"/>
      </w:r>
      <w:r w:rsidR="00C94AA6" w:rsidRPr="00C94AA6">
        <w:rPr>
          <w:rFonts w:cs="Arial"/>
          <w:color w:val="000000" w:themeColor="text1"/>
          <w:szCs w:val="18"/>
          <w:lang w:val="en-GB"/>
        </w:rPr>
        <w:t>(</w:t>
      </w:r>
      <w:r w:rsidR="00C94AA6" w:rsidRPr="00C94AA6">
        <w:rPr>
          <w:rFonts w:cs="Arial"/>
          <w:color w:val="000000" w:themeColor="text1"/>
          <w:lang w:val="en-GB"/>
        </w:rPr>
        <w:t>1</w:t>
      </w:r>
      <w:r w:rsidR="00C94AA6" w:rsidRPr="00C94AA6">
        <w:rPr>
          <w:rFonts w:cs="Arial"/>
          <w:color w:val="000000" w:themeColor="text1"/>
          <w:szCs w:val="18"/>
          <w:lang w:val="en-GB"/>
        </w:rPr>
        <w:t>)</w:t>
      </w:r>
      <w:r w:rsidR="00382261" w:rsidRPr="002406D9">
        <w:rPr>
          <w:lang w:val="en-GB"/>
        </w:rPr>
        <w:fldChar w:fldCharType="end"/>
      </w:r>
      <w:r w:rsidR="003C0F0E" w:rsidRPr="002406D9">
        <w:rPr>
          <w:lang w:val="en-GB"/>
        </w:rPr>
        <w:t xml:space="preserve"> and </w:t>
      </w:r>
      <w:r w:rsidR="00382261" w:rsidRPr="002406D9">
        <w:rPr>
          <w:lang w:val="en-GB"/>
        </w:rPr>
        <w:fldChar w:fldCharType="begin"/>
      </w:r>
      <w:r w:rsidR="00382261" w:rsidRPr="002406D9">
        <w:rPr>
          <w:lang w:val="en-GB"/>
        </w:rPr>
        <w:instrText xml:space="preserve"> REF _Ref218679967 \h </w:instrText>
      </w:r>
      <w:r w:rsidR="00382261" w:rsidRPr="002406D9">
        <w:rPr>
          <w:lang w:val="en-GB"/>
        </w:rPr>
      </w:r>
      <w:r w:rsidR="00382261" w:rsidRPr="002406D9">
        <w:rPr>
          <w:lang w:val="en-GB"/>
        </w:rPr>
        <w:fldChar w:fldCharType="separate"/>
      </w:r>
      <w:r w:rsidR="00C94AA6" w:rsidRPr="000B3136">
        <w:rPr>
          <w:rFonts w:cs="Arial"/>
          <w:color w:val="000000" w:themeColor="text1"/>
          <w:szCs w:val="18"/>
        </w:rPr>
        <w:t>(</w:t>
      </w:r>
      <w:r w:rsidR="00C94AA6">
        <w:rPr>
          <w:rFonts w:cs="Arial"/>
          <w:noProof/>
          <w:color w:val="000000" w:themeColor="text1"/>
          <w:szCs w:val="18"/>
        </w:rPr>
        <w:t>2</w:t>
      </w:r>
      <w:r w:rsidR="00C94AA6" w:rsidRPr="000B3136">
        <w:rPr>
          <w:rFonts w:cs="Arial"/>
          <w:color w:val="000000" w:themeColor="text1"/>
          <w:szCs w:val="18"/>
        </w:rPr>
        <w:t>)</w:t>
      </w:r>
      <w:r w:rsidR="00382261" w:rsidRPr="002406D9">
        <w:rPr>
          <w:lang w:val="en-GB"/>
        </w:rPr>
        <w:fldChar w:fldCharType="end"/>
      </w:r>
      <w:r w:rsidR="003C0F0E" w:rsidRPr="002406D9">
        <w:rPr>
          <w:lang w:val="en-GB"/>
        </w:rPr>
        <w:t xml:space="preserve">, respectively, accounting for </w:t>
      </w:r>
      <w:r w:rsidR="00EB3616">
        <w:rPr>
          <w:lang w:val="en-GB"/>
        </w:rPr>
        <w:t>pressure (</w:t>
      </w:r>
      <m:oMath>
        <m:sSup>
          <m:sSupPr>
            <m:ctrlPr>
              <w:rPr>
                <w:rFonts w:ascii="Cambria Math" w:hAnsi="Cambria Math" w:cs="Arial"/>
                <w:i/>
                <w:color w:val="000000" w:themeColor="text1"/>
                <w:szCs w:val="18"/>
              </w:rPr>
            </m:ctrlPr>
          </m:sSupPr>
          <m:e>
            <m:r>
              <w:rPr>
                <w:rFonts w:ascii="Cambria Math" w:hAnsi="Cambria Math" w:cs="Arial"/>
                <w:color w:val="000000" w:themeColor="text1"/>
                <w:szCs w:val="18"/>
              </w:rPr>
              <m:t>P</m:t>
            </m:r>
          </m:e>
          <m:sup>
            <m:r>
              <w:rPr>
                <w:rFonts w:ascii="Cambria Math" w:hAnsi="Cambria Math" w:cs="Arial"/>
                <w:color w:val="000000" w:themeColor="text1"/>
                <w:szCs w:val="18"/>
              </w:rPr>
              <m:t>D1</m:t>
            </m:r>
          </m:sup>
        </m:sSup>
      </m:oMath>
      <w:r w:rsidR="00EB3616">
        <w:rPr>
          <w:lang w:val="en-GB"/>
        </w:rPr>
        <w:t xml:space="preserve">), </w:t>
      </w:r>
      <w:r w:rsidR="003C0F0E" w:rsidRPr="002406D9">
        <w:rPr>
          <w:lang w:val="en-GB"/>
        </w:rPr>
        <w:t>vessel volume</w:t>
      </w:r>
      <w:r w:rsidR="00EC74C1" w:rsidRPr="002406D9">
        <w:rPr>
          <w:lang w:val="en-GB"/>
        </w:rPr>
        <w:t xml:space="preserve"> (</w:t>
      </w:r>
      <m:oMath>
        <m:sSub>
          <m:sSubPr>
            <m:ctrlPr>
              <w:rPr>
                <w:rFonts w:ascii="Cambria Math" w:hAnsi="Cambria Math" w:cs="Arial"/>
                <w:i/>
                <w:color w:val="000000" w:themeColor="text1"/>
                <w:szCs w:val="18"/>
                <w:lang w:val="en-GB"/>
              </w:rPr>
            </m:ctrlPr>
          </m:sSubPr>
          <m:e>
            <m:r>
              <w:rPr>
                <w:rFonts w:ascii="Cambria Math" w:hAnsi="Cambria Math" w:cs="Arial"/>
                <w:color w:val="000000" w:themeColor="text1"/>
                <w:szCs w:val="18"/>
                <w:lang w:val="en-GB"/>
              </w:rPr>
              <m:t>V</m:t>
            </m:r>
          </m:e>
          <m:sub>
            <m:r>
              <w:rPr>
                <w:rFonts w:ascii="Cambria Math" w:hAnsi="Cambria Math" w:cs="Arial"/>
                <w:color w:val="000000" w:themeColor="text1"/>
                <w:szCs w:val="18"/>
                <w:lang w:val="en-GB"/>
              </w:rPr>
              <m:t>D1</m:t>
            </m:r>
          </m:sub>
        </m:sSub>
      </m:oMath>
      <w:r w:rsidR="00EC74C1" w:rsidRPr="002406D9">
        <w:rPr>
          <w:lang w:val="en-GB"/>
        </w:rPr>
        <w:t>)</w:t>
      </w:r>
      <w:r w:rsidR="003C0F0E" w:rsidRPr="002406D9">
        <w:rPr>
          <w:lang w:val="en-GB"/>
        </w:rPr>
        <w:t xml:space="preserve">, </w:t>
      </w:r>
      <w:r w:rsidR="00EB3616" w:rsidRPr="002406D9">
        <w:rPr>
          <w:lang w:val="en-GB"/>
        </w:rPr>
        <w:t>CO</w:t>
      </w:r>
      <w:r w:rsidR="00EB3616" w:rsidRPr="002406D9">
        <w:rPr>
          <w:vertAlign w:val="subscript"/>
          <w:lang w:val="en-GB"/>
        </w:rPr>
        <w:t>2</w:t>
      </w:r>
      <w:r w:rsidR="00EB3616" w:rsidRPr="002406D9">
        <w:rPr>
          <w:lang w:val="en-GB"/>
        </w:rPr>
        <w:t xml:space="preserve"> compressibility factors (</w:t>
      </w:r>
      <m:oMath>
        <m:sSup>
          <m:sSupPr>
            <m:ctrlPr>
              <w:rPr>
                <w:rFonts w:ascii="Cambria Math" w:hAnsi="Cambria Math" w:cs="Arial"/>
                <w:i/>
                <w:color w:val="000000" w:themeColor="text1"/>
                <w:szCs w:val="18"/>
                <w:lang w:val="en-GB"/>
              </w:rPr>
            </m:ctrlPr>
          </m:sSupPr>
          <m:e>
            <m:r>
              <w:rPr>
                <w:rFonts w:ascii="Cambria Math" w:hAnsi="Cambria Math" w:cs="Arial"/>
                <w:color w:val="000000" w:themeColor="text1"/>
                <w:szCs w:val="18"/>
                <w:lang w:val="en-GB"/>
              </w:rPr>
              <m:t>Z</m:t>
            </m:r>
          </m:e>
          <m:sup>
            <m:r>
              <w:rPr>
                <w:rFonts w:ascii="Cambria Math" w:hAnsi="Cambria Math" w:cs="Arial"/>
                <w:color w:val="000000" w:themeColor="text1"/>
                <w:szCs w:val="18"/>
                <w:lang w:val="en-GB"/>
              </w:rPr>
              <m:t>D1</m:t>
            </m:r>
          </m:sup>
        </m:sSup>
      </m:oMath>
      <w:r w:rsidR="00EB3616" w:rsidRPr="002406D9">
        <w:rPr>
          <w:lang w:val="en-GB"/>
        </w:rPr>
        <w:t>)</w:t>
      </w:r>
      <w:r w:rsidR="00EB3616">
        <w:rPr>
          <w:lang w:val="en-GB"/>
        </w:rPr>
        <w:t xml:space="preserve">, </w:t>
      </w:r>
      <w:r w:rsidR="003C0F0E" w:rsidRPr="002406D9">
        <w:rPr>
          <w:lang w:val="en-GB"/>
        </w:rPr>
        <w:t>temperature</w:t>
      </w:r>
      <w:r w:rsidR="00EC74C1" w:rsidRPr="002406D9">
        <w:rPr>
          <w:lang w:val="en-GB"/>
        </w:rPr>
        <w:t xml:space="preserve"> (</w:t>
      </w:r>
      <m:oMath>
        <m:sSup>
          <m:sSupPr>
            <m:ctrlPr>
              <w:rPr>
                <w:rFonts w:ascii="Cambria Math" w:hAnsi="Cambria Math" w:cs="Arial"/>
                <w:i/>
                <w:color w:val="000000" w:themeColor="text1"/>
                <w:szCs w:val="18"/>
                <w:lang w:val="en-GB"/>
              </w:rPr>
            </m:ctrlPr>
          </m:sSupPr>
          <m:e>
            <m:r>
              <w:rPr>
                <w:rFonts w:ascii="Cambria Math" w:hAnsi="Cambria Math" w:cs="Arial"/>
                <w:color w:val="000000" w:themeColor="text1"/>
                <w:szCs w:val="18"/>
                <w:lang w:val="en-GB"/>
              </w:rPr>
              <m:t>T</m:t>
            </m:r>
          </m:e>
          <m:sup>
            <m:r>
              <w:rPr>
                <w:rFonts w:ascii="Cambria Math" w:hAnsi="Cambria Math" w:cs="Arial"/>
                <w:color w:val="000000" w:themeColor="text1"/>
                <w:szCs w:val="18"/>
                <w:lang w:val="en-GB"/>
              </w:rPr>
              <m:t>D1</m:t>
            </m:r>
          </m:sup>
        </m:sSup>
      </m:oMath>
      <w:r w:rsidR="00EC74C1" w:rsidRPr="002406D9">
        <w:rPr>
          <w:lang w:val="en-GB"/>
        </w:rPr>
        <w:t>)</w:t>
      </w:r>
      <w:r w:rsidR="003C0F0E" w:rsidRPr="002406D9">
        <w:rPr>
          <w:lang w:val="en-GB"/>
        </w:rPr>
        <w:t xml:space="preserve"> and </w:t>
      </w:r>
      <w:r w:rsidR="00EB3616">
        <w:rPr>
          <w:lang w:val="en-GB"/>
        </w:rPr>
        <w:t>universal gas constant</w:t>
      </w:r>
      <w:r w:rsidR="00EC74C1" w:rsidRPr="002406D9">
        <w:rPr>
          <w:lang w:val="en-GB"/>
        </w:rPr>
        <w:t xml:space="preserve"> (</w:t>
      </w:r>
      <m:oMath>
        <m:r>
          <w:rPr>
            <w:rFonts w:ascii="Cambria Math" w:hAnsi="Cambria Math" w:cs="Arial"/>
            <w:color w:val="000000" w:themeColor="text1"/>
            <w:szCs w:val="18"/>
          </w:rPr>
          <m:t>R</m:t>
        </m:r>
      </m:oMath>
      <w:r w:rsidR="00EC74C1" w:rsidRPr="002406D9">
        <w:rPr>
          <w:lang w:val="en-GB"/>
        </w:rPr>
        <w:t>)</w:t>
      </w:r>
      <w:r w:rsidR="003C0F0E" w:rsidRPr="002406D9">
        <w:rPr>
          <w:lang w:val="en-GB"/>
        </w:rPr>
        <w:t xml:space="preserve">. </w:t>
      </w:r>
    </w:p>
    <w:tbl>
      <w:tblPr>
        <w:tblW w:w="5000" w:type="pct"/>
        <w:tblLook w:val="04A0" w:firstRow="1" w:lastRow="0" w:firstColumn="1" w:lastColumn="0" w:noHBand="0" w:noVBand="1"/>
      </w:tblPr>
      <w:tblGrid>
        <w:gridCol w:w="7986"/>
        <w:gridCol w:w="801"/>
      </w:tblGrid>
      <w:tr w:rsidR="00382261" w:rsidRPr="000B3136" w14:paraId="156FFE4A" w14:textId="77777777" w:rsidTr="002406D9">
        <w:tc>
          <w:tcPr>
            <w:tcW w:w="7986" w:type="dxa"/>
            <w:vAlign w:val="center"/>
          </w:tcPr>
          <w:p w14:paraId="0DF61AE8" w14:textId="0515CFA8" w:rsidR="00382261" w:rsidRPr="000B3136" w:rsidRDefault="00000000" w:rsidP="00382261">
            <w:pPr>
              <w:pStyle w:val="CETEquation"/>
              <w:rPr>
                <w:rFonts w:cs="Arial"/>
                <w:color w:val="000000" w:themeColor="text1"/>
                <w:szCs w:val="18"/>
              </w:rPr>
            </w:pPr>
            <m:oMathPara>
              <m:oMath>
                <m:sSubSup>
                  <m:sSubSupPr>
                    <m:ctrlPr>
                      <w:rPr>
                        <w:rFonts w:ascii="Cambria Math" w:hAnsi="Cambria Math" w:cs="Arial"/>
                        <w:i/>
                        <w:color w:val="000000" w:themeColor="text1"/>
                        <w:szCs w:val="18"/>
                      </w:rPr>
                    </m:ctrlPr>
                  </m:sSubSupPr>
                  <m:e>
                    <m:r>
                      <w:rPr>
                        <w:rFonts w:ascii="Cambria Math" w:hAnsi="Cambria Math" w:cs="Arial"/>
                        <w:color w:val="000000" w:themeColor="text1"/>
                        <w:szCs w:val="18"/>
                      </w:rPr>
                      <m:t>n</m:t>
                    </m:r>
                  </m:e>
                  <m:sub>
                    <m:sSub>
                      <m:sSubPr>
                        <m:ctrlPr>
                          <w:rPr>
                            <w:rFonts w:ascii="Cambria Math" w:hAnsi="Cambria Math" w:cs="Arial"/>
                            <w:i/>
                            <w:color w:val="000000" w:themeColor="text1"/>
                            <w:szCs w:val="18"/>
                          </w:rPr>
                        </m:ctrlPr>
                      </m:sSubPr>
                      <m:e>
                        <m:r>
                          <w:rPr>
                            <w:rFonts w:ascii="Cambria Math" w:hAnsi="Cambria Math" w:cs="Arial"/>
                            <w:color w:val="000000" w:themeColor="text1"/>
                            <w:szCs w:val="18"/>
                          </w:rPr>
                          <m:t>CO</m:t>
                        </m:r>
                      </m:e>
                      <m:sub>
                        <m:r>
                          <w:rPr>
                            <w:rFonts w:ascii="Cambria Math" w:hAnsi="Cambria Math" w:cs="Arial"/>
                            <w:color w:val="000000" w:themeColor="text1"/>
                            <w:szCs w:val="18"/>
                          </w:rPr>
                          <m:t>2</m:t>
                        </m:r>
                      </m:sub>
                    </m:sSub>
                  </m:sub>
                  <m:sup>
                    <m:r>
                      <w:rPr>
                        <w:rFonts w:ascii="Cambria Math" w:hAnsi="Cambria Math" w:cs="Arial"/>
                        <w:color w:val="000000" w:themeColor="text1"/>
                        <w:szCs w:val="18"/>
                      </w:rPr>
                      <m:t>D1,i</m:t>
                    </m:r>
                  </m:sup>
                </m:sSubSup>
                <m:r>
                  <w:rPr>
                    <w:rFonts w:ascii="Cambria Math" w:hAnsi="Cambria Math" w:cs="Arial"/>
                    <w:color w:val="000000" w:themeColor="text1"/>
                    <w:szCs w:val="18"/>
                  </w:rPr>
                  <m:t xml:space="preserve">= </m:t>
                </m:r>
                <m:f>
                  <m:fPr>
                    <m:ctrlPr>
                      <w:rPr>
                        <w:rFonts w:ascii="Cambria Math" w:hAnsi="Cambria Math" w:cs="Arial"/>
                        <w:i/>
                        <w:color w:val="000000" w:themeColor="text1"/>
                        <w:szCs w:val="18"/>
                      </w:rPr>
                    </m:ctrlPr>
                  </m:fPr>
                  <m:num>
                    <m:sSup>
                      <m:sSupPr>
                        <m:ctrlPr>
                          <w:rPr>
                            <w:rFonts w:ascii="Cambria Math" w:hAnsi="Cambria Math" w:cs="Arial"/>
                            <w:i/>
                            <w:color w:val="000000" w:themeColor="text1"/>
                            <w:szCs w:val="18"/>
                          </w:rPr>
                        </m:ctrlPr>
                      </m:sSupPr>
                      <m:e>
                        <m:r>
                          <w:rPr>
                            <w:rFonts w:ascii="Cambria Math" w:hAnsi="Cambria Math" w:cs="Arial"/>
                            <w:color w:val="000000" w:themeColor="text1"/>
                            <w:szCs w:val="18"/>
                          </w:rPr>
                          <m:t>P</m:t>
                        </m:r>
                      </m:e>
                      <m:sup>
                        <m:r>
                          <w:rPr>
                            <w:rFonts w:ascii="Cambria Math" w:hAnsi="Cambria Math" w:cs="Arial"/>
                            <w:color w:val="000000" w:themeColor="text1"/>
                            <w:szCs w:val="18"/>
                          </w:rPr>
                          <m:t>D1,i</m:t>
                        </m:r>
                      </m:sup>
                    </m:sSup>
                    <m:r>
                      <w:rPr>
                        <w:rFonts w:ascii="Cambria Math" w:hAnsi="Cambria Math" w:cs="Arial"/>
                        <w:color w:val="000000" w:themeColor="text1"/>
                        <w:szCs w:val="18"/>
                      </w:rPr>
                      <m:t xml:space="preserve"> ∙ </m:t>
                    </m:r>
                    <m:sSub>
                      <m:sSubPr>
                        <m:ctrlPr>
                          <w:rPr>
                            <w:rFonts w:ascii="Cambria Math" w:hAnsi="Cambria Math" w:cs="Arial"/>
                            <w:i/>
                            <w:color w:val="000000" w:themeColor="text1"/>
                            <w:szCs w:val="18"/>
                          </w:rPr>
                        </m:ctrlPr>
                      </m:sSubPr>
                      <m:e>
                        <m:r>
                          <w:rPr>
                            <w:rFonts w:ascii="Cambria Math" w:hAnsi="Cambria Math" w:cs="Arial"/>
                            <w:color w:val="000000" w:themeColor="text1"/>
                            <w:szCs w:val="18"/>
                          </w:rPr>
                          <m:t>V</m:t>
                        </m:r>
                      </m:e>
                      <m:sub>
                        <m:r>
                          <w:rPr>
                            <w:rFonts w:ascii="Cambria Math" w:hAnsi="Cambria Math" w:cs="Arial"/>
                            <w:color w:val="000000" w:themeColor="text1"/>
                            <w:szCs w:val="18"/>
                          </w:rPr>
                          <m:t>D1</m:t>
                        </m:r>
                      </m:sub>
                    </m:sSub>
                  </m:num>
                  <m:den>
                    <m:sSup>
                      <m:sSupPr>
                        <m:ctrlPr>
                          <w:rPr>
                            <w:rFonts w:ascii="Cambria Math" w:hAnsi="Cambria Math" w:cs="Arial"/>
                            <w:i/>
                            <w:color w:val="000000" w:themeColor="text1"/>
                            <w:szCs w:val="18"/>
                          </w:rPr>
                        </m:ctrlPr>
                      </m:sSupPr>
                      <m:e>
                        <m:r>
                          <w:rPr>
                            <w:rFonts w:ascii="Cambria Math" w:hAnsi="Cambria Math" w:cs="Arial"/>
                            <w:color w:val="000000" w:themeColor="text1"/>
                            <w:szCs w:val="18"/>
                          </w:rPr>
                          <m:t>Z</m:t>
                        </m:r>
                      </m:e>
                      <m:sup>
                        <m:r>
                          <w:rPr>
                            <w:rFonts w:ascii="Cambria Math" w:hAnsi="Cambria Math" w:cs="Arial"/>
                            <w:color w:val="000000" w:themeColor="text1"/>
                            <w:szCs w:val="18"/>
                          </w:rPr>
                          <m:t>D1,i</m:t>
                        </m:r>
                      </m:sup>
                    </m:sSup>
                    <m:r>
                      <w:rPr>
                        <w:rFonts w:ascii="Cambria Math" w:hAnsi="Cambria Math" w:cs="Arial"/>
                        <w:color w:val="000000" w:themeColor="text1"/>
                        <w:szCs w:val="18"/>
                      </w:rPr>
                      <m:t xml:space="preserve"> ∙R ∙ </m:t>
                    </m:r>
                    <m:sSup>
                      <m:sSupPr>
                        <m:ctrlPr>
                          <w:rPr>
                            <w:rFonts w:ascii="Cambria Math" w:hAnsi="Cambria Math" w:cs="Arial"/>
                            <w:i/>
                            <w:color w:val="000000" w:themeColor="text1"/>
                            <w:szCs w:val="18"/>
                          </w:rPr>
                        </m:ctrlPr>
                      </m:sSupPr>
                      <m:e>
                        <m:r>
                          <w:rPr>
                            <w:rFonts w:ascii="Cambria Math" w:hAnsi="Cambria Math" w:cs="Arial"/>
                            <w:color w:val="000000" w:themeColor="text1"/>
                            <w:szCs w:val="18"/>
                          </w:rPr>
                          <m:t>T</m:t>
                        </m:r>
                      </m:e>
                      <m:sup>
                        <m:r>
                          <w:rPr>
                            <w:rFonts w:ascii="Cambria Math" w:hAnsi="Cambria Math" w:cs="Arial"/>
                            <w:color w:val="000000" w:themeColor="text1"/>
                            <w:szCs w:val="18"/>
                          </w:rPr>
                          <m:t>D1,i</m:t>
                        </m:r>
                      </m:sup>
                    </m:sSup>
                  </m:den>
                </m:f>
              </m:oMath>
            </m:oMathPara>
          </w:p>
        </w:tc>
        <w:tc>
          <w:tcPr>
            <w:tcW w:w="801" w:type="dxa"/>
            <w:vAlign w:val="center"/>
          </w:tcPr>
          <w:p w14:paraId="3572F00D" w14:textId="5E6B42E2" w:rsidR="00382261" w:rsidRPr="000B3136" w:rsidRDefault="00382261" w:rsidP="00382261">
            <w:pPr>
              <w:pStyle w:val="Caption"/>
              <w:keepNext/>
              <w:spacing w:before="120" w:after="120" w:line="264" w:lineRule="auto"/>
              <w:jc w:val="right"/>
              <w:rPr>
                <w:rFonts w:cs="Arial"/>
                <w:b w:val="0"/>
                <w:bCs w:val="0"/>
                <w:color w:val="000000" w:themeColor="text1"/>
              </w:rPr>
            </w:pPr>
            <w:bookmarkStart w:id="4" w:name="_Ref218679958"/>
            <w:r w:rsidRPr="000B3136">
              <w:rPr>
                <w:rFonts w:cs="Arial"/>
                <w:b w:val="0"/>
                <w:bCs w:val="0"/>
                <w:color w:val="000000" w:themeColor="text1"/>
              </w:rPr>
              <w:t>(</w:t>
            </w:r>
            <w:r w:rsidRPr="000B3136">
              <w:rPr>
                <w:rFonts w:cs="Arial"/>
                <w:b w:val="0"/>
                <w:bCs w:val="0"/>
                <w:color w:val="000000" w:themeColor="text1"/>
              </w:rPr>
              <w:fldChar w:fldCharType="begin"/>
            </w:r>
            <w:r w:rsidRPr="000B3136">
              <w:rPr>
                <w:rFonts w:cs="Arial"/>
                <w:b w:val="0"/>
                <w:bCs w:val="0"/>
                <w:color w:val="000000" w:themeColor="text1"/>
              </w:rPr>
              <w:instrText xml:space="preserve"> SEQ Equation \* ARABIC </w:instrText>
            </w:r>
            <w:r w:rsidRPr="000B3136">
              <w:rPr>
                <w:rFonts w:cs="Arial"/>
                <w:b w:val="0"/>
                <w:bCs w:val="0"/>
                <w:color w:val="000000" w:themeColor="text1"/>
              </w:rPr>
              <w:fldChar w:fldCharType="separate"/>
            </w:r>
            <w:r w:rsidR="00C94AA6">
              <w:rPr>
                <w:rFonts w:cs="Arial"/>
                <w:b w:val="0"/>
                <w:bCs w:val="0"/>
                <w:noProof/>
                <w:color w:val="000000" w:themeColor="text1"/>
              </w:rPr>
              <w:t>1</w:t>
            </w:r>
            <w:r w:rsidRPr="000B3136">
              <w:rPr>
                <w:rFonts w:cs="Arial"/>
                <w:b w:val="0"/>
                <w:bCs w:val="0"/>
                <w:color w:val="000000" w:themeColor="text1"/>
              </w:rPr>
              <w:fldChar w:fldCharType="end"/>
            </w:r>
            <w:r w:rsidRPr="000B3136">
              <w:rPr>
                <w:rFonts w:cs="Arial"/>
                <w:b w:val="0"/>
                <w:bCs w:val="0"/>
                <w:color w:val="000000" w:themeColor="text1"/>
              </w:rPr>
              <w:t>)</w:t>
            </w:r>
            <w:bookmarkEnd w:id="4"/>
          </w:p>
        </w:tc>
      </w:tr>
      <w:tr w:rsidR="00382261" w:rsidRPr="000B3136" w14:paraId="330B988B" w14:textId="77777777" w:rsidTr="002406D9">
        <w:tc>
          <w:tcPr>
            <w:tcW w:w="7986" w:type="dxa"/>
            <w:vAlign w:val="center"/>
          </w:tcPr>
          <w:p w14:paraId="2E95691D" w14:textId="3404BBBE" w:rsidR="00382261" w:rsidRPr="000B3136" w:rsidRDefault="00000000" w:rsidP="00382261">
            <w:pPr>
              <w:pStyle w:val="CETBodytext"/>
              <w:spacing w:before="120" w:after="120"/>
              <w:rPr>
                <w:rFonts w:cs="Arial"/>
                <w:color w:val="000000" w:themeColor="text1"/>
                <w:szCs w:val="18"/>
                <w:lang w:val="en-GB" w:eastAsia="it-IT"/>
              </w:rPr>
            </w:pPr>
            <m:oMathPara>
              <m:oMath>
                <m:sSubSup>
                  <m:sSubSupPr>
                    <m:ctrlPr>
                      <w:rPr>
                        <w:rFonts w:ascii="Cambria Math" w:hAnsi="Cambria Math" w:cs="Arial"/>
                        <w:i/>
                        <w:color w:val="000000" w:themeColor="text1"/>
                        <w:szCs w:val="18"/>
                        <w:lang w:val="en-GB"/>
                      </w:rPr>
                    </m:ctrlPr>
                  </m:sSubSupPr>
                  <m:e>
                    <m:r>
                      <w:rPr>
                        <w:rFonts w:ascii="Cambria Math" w:hAnsi="Cambria Math" w:cs="Arial"/>
                        <w:color w:val="000000" w:themeColor="text1"/>
                        <w:szCs w:val="18"/>
                        <w:lang w:val="en-GB"/>
                      </w:rPr>
                      <m:t>n</m:t>
                    </m:r>
                  </m:e>
                  <m:sub>
                    <m:sSub>
                      <m:sSubPr>
                        <m:ctrlPr>
                          <w:rPr>
                            <w:rFonts w:ascii="Cambria Math" w:hAnsi="Cambria Math" w:cs="Arial"/>
                            <w:i/>
                            <w:color w:val="000000" w:themeColor="text1"/>
                            <w:szCs w:val="18"/>
                            <w:lang w:val="en-GB"/>
                          </w:rPr>
                        </m:ctrlPr>
                      </m:sSubPr>
                      <m:e>
                        <m:r>
                          <w:rPr>
                            <w:rFonts w:ascii="Cambria Math" w:hAnsi="Cambria Math" w:cs="Arial"/>
                            <w:color w:val="000000" w:themeColor="text1"/>
                            <w:szCs w:val="18"/>
                            <w:lang w:val="en-GB"/>
                          </w:rPr>
                          <m:t>CO</m:t>
                        </m:r>
                      </m:e>
                      <m:sub>
                        <m:r>
                          <w:rPr>
                            <w:rFonts w:ascii="Cambria Math" w:hAnsi="Cambria Math" w:cs="Arial"/>
                            <w:color w:val="000000" w:themeColor="text1"/>
                            <w:szCs w:val="18"/>
                            <w:lang w:val="en-GB"/>
                          </w:rPr>
                          <m:t>2</m:t>
                        </m:r>
                      </m:sub>
                    </m:sSub>
                  </m:sub>
                  <m:sup>
                    <m:r>
                      <w:rPr>
                        <w:rFonts w:ascii="Cambria Math" w:hAnsi="Cambria Math" w:cs="Arial"/>
                        <w:color w:val="000000" w:themeColor="text1"/>
                        <w:szCs w:val="18"/>
                        <w:lang w:val="en-GB"/>
                      </w:rPr>
                      <m:t>D1,f</m:t>
                    </m:r>
                  </m:sup>
                </m:sSubSup>
                <m:r>
                  <w:rPr>
                    <w:rFonts w:ascii="Cambria Math" w:hAnsi="Cambria Math" w:cs="Arial"/>
                    <w:color w:val="000000" w:themeColor="text1"/>
                    <w:szCs w:val="18"/>
                    <w:lang w:val="en-GB"/>
                  </w:rPr>
                  <m:t xml:space="preserve">= </m:t>
                </m:r>
                <m:f>
                  <m:fPr>
                    <m:ctrlPr>
                      <w:rPr>
                        <w:rFonts w:ascii="Cambria Math" w:hAnsi="Cambria Math" w:cs="Arial"/>
                        <w:i/>
                        <w:color w:val="000000" w:themeColor="text1"/>
                        <w:szCs w:val="18"/>
                        <w:lang w:val="en-GB"/>
                      </w:rPr>
                    </m:ctrlPr>
                  </m:fPr>
                  <m:num>
                    <m:sSup>
                      <m:sSupPr>
                        <m:ctrlPr>
                          <w:rPr>
                            <w:rFonts w:ascii="Cambria Math" w:hAnsi="Cambria Math" w:cs="Arial"/>
                            <w:i/>
                            <w:color w:val="000000" w:themeColor="text1"/>
                            <w:szCs w:val="18"/>
                            <w:lang w:val="en-GB"/>
                          </w:rPr>
                        </m:ctrlPr>
                      </m:sSupPr>
                      <m:e>
                        <m:r>
                          <w:rPr>
                            <w:rFonts w:ascii="Cambria Math" w:hAnsi="Cambria Math" w:cs="Arial"/>
                            <w:color w:val="000000" w:themeColor="text1"/>
                            <w:szCs w:val="18"/>
                            <w:lang w:val="en-GB"/>
                          </w:rPr>
                          <m:t>P</m:t>
                        </m:r>
                      </m:e>
                      <m:sup>
                        <m:r>
                          <w:rPr>
                            <w:rFonts w:ascii="Cambria Math" w:hAnsi="Cambria Math" w:cs="Arial"/>
                            <w:color w:val="000000" w:themeColor="text1"/>
                            <w:szCs w:val="18"/>
                            <w:lang w:val="en-GB"/>
                          </w:rPr>
                          <m:t>D1,f</m:t>
                        </m:r>
                      </m:sup>
                    </m:sSup>
                    <m:r>
                      <w:rPr>
                        <w:rFonts w:ascii="Cambria Math" w:hAnsi="Cambria Math" w:cs="Arial"/>
                        <w:color w:val="000000" w:themeColor="text1"/>
                        <w:szCs w:val="18"/>
                        <w:lang w:val="en-GB"/>
                      </w:rPr>
                      <m:t xml:space="preserve"> ∙ </m:t>
                    </m:r>
                    <m:sSub>
                      <m:sSubPr>
                        <m:ctrlPr>
                          <w:rPr>
                            <w:rFonts w:ascii="Cambria Math" w:hAnsi="Cambria Math" w:cs="Arial"/>
                            <w:i/>
                            <w:color w:val="000000" w:themeColor="text1"/>
                            <w:szCs w:val="18"/>
                            <w:lang w:val="en-GB"/>
                          </w:rPr>
                        </m:ctrlPr>
                      </m:sSubPr>
                      <m:e>
                        <m:r>
                          <w:rPr>
                            <w:rFonts w:ascii="Cambria Math" w:hAnsi="Cambria Math" w:cs="Arial"/>
                            <w:color w:val="000000" w:themeColor="text1"/>
                            <w:szCs w:val="18"/>
                            <w:lang w:val="en-GB"/>
                          </w:rPr>
                          <m:t>V</m:t>
                        </m:r>
                      </m:e>
                      <m:sub>
                        <m:r>
                          <w:rPr>
                            <w:rFonts w:ascii="Cambria Math" w:hAnsi="Cambria Math" w:cs="Arial"/>
                            <w:color w:val="000000" w:themeColor="text1"/>
                            <w:szCs w:val="18"/>
                            <w:lang w:val="en-GB"/>
                          </w:rPr>
                          <m:t>D1</m:t>
                        </m:r>
                      </m:sub>
                    </m:sSub>
                  </m:num>
                  <m:den>
                    <m:sSup>
                      <m:sSupPr>
                        <m:ctrlPr>
                          <w:rPr>
                            <w:rFonts w:ascii="Cambria Math" w:hAnsi="Cambria Math" w:cs="Arial"/>
                            <w:i/>
                            <w:color w:val="000000" w:themeColor="text1"/>
                            <w:szCs w:val="18"/>
                            <w:lang w:val="en-GB"/>
                          </w:rPr>
                        </m:ctrlPr>
                      </m:sSupPr>
                      <m:e>
                        <m:r>
                          <w:rPr>
                            <w:rFonts w:ascii="Cambria Math" w:hAnsi="Cambria Math" w:cs="Arial"/>
                            <w:color w:val="000000" w:themeColor="text1"/>
                            <w:szCs w:val="18"/>
                            <w:lang w:val="en-GB"/>
                          </w:rPr>
                          <m:t>Z</m:t>
                        </m:r>
                      </m:e>
                      <m:sup>
                        <m:r>
                          <w:rPr>
                            <w:rFonts w:ascii="Cambria Math" w:hAnsi="Cambria Math" w:cs="Arial"/>
                            <w:color w:val="000000" w:themeColor="text1"/>
                            <w:szCs w:val="18"/>
                            <w:lang w:val="en-GB"/>
                          </w:rPr>
                          <m:t>D1,f</m:t>
                        </m:r>
                      </m:sup>
                    </m:sSup>
                    <m:r>
                      <w:rPr>
                        <w:rFonts w:ascii="Cambria Math" w:hAnsi="Cambria Math" w:cs="Arial"/>
                        <w:color w:val="000000" w:themeColor="text1"/>
                        <w:szCs w:val="18"/>
                        <w:lang w:val="en-GB"/>
                      </w:rPr>
                      <m:t xml:space="preserve"> ∙R ∙ </m:t>
                    </m:r>
                    <m:sSup>
                      <m:sSupPr>
                        <m:ctrlPr>
                          <w:rPr>
                            <w:rFonts w:ascii="Cambria Math" w:hAnsi="Cambria Math" w:cs="Arial"/>
                            <w:i/>
                            <w:color w:val="000000" w:themeColor="text1"/>
                            <w:szCs w:val="18"/>
                            <w:lang w:val="en-GB"/>
                          </w:rPr>
                        </m:ctrlPr>
                      </m:sSupPr>
                      <m:e>
                        <m:r>
                          <w:rPr>
                            <w:rFonts w:ascii="Cambria Math" w:hAnsi="Cambria Math" w:cs="Arial"/>
                            <w:color w:val="000000" w:themeColor="text1"/>
                            <w:szCs w:val="18"/>
                            <w:lang w:val="en-GB"/>
                          </w:rPr>
                          <m:t>T</m:t>
                        </m:r>
                      </m:e>
                      <m:sup>
                        <m:r>
                          <w:rPr>
                            <w:rFonts w:ascii="Cambria Math" w:hAnsi="Cambria Math" w:cs="Arial"/>
                            <w:color w:val="000000" w:themeColor="text1"/>
                            <w:szCs w:val="18"/>
                            <w:lang w:val="en-GB"/>
                          </w:rPr>
                          <m:t>D1,f</m:t>
                        </m:r>
                      </m:sup>
                    </m:sSup>
                  </m:den>
                </m:f>
              </m:oMath>
            </m:oMathPara>
          </w:p>
        </w:tc>
        <w:tc>
          <w:tcPr>
            <w:tcW w:w="801" w:type="dxa"/>
            <w:vAlign w:val="center"/>
          </w:tcPr>
          <w:p w14:paraId="34EE3F9F" w14:textId="6844AEFA" w:rsidR="00382261" w:rsidRPr="000B3136" w:rsidRDefault="00382261" w:rsidP="00382261">
            <w:pPr>
              <w:pStyle w:val="CETEquation"/>
              <w:jc w:val="right"/>
              <w:rPr>
                <w:rFonts w:cs="Arial"/>
                <w:color w:val="000000" w:themeColor="text1"/>
                <w:szCs w:val="18"/>
              </w:rPr>
            </w:pPr>
            <w:bookmarkStart w:id="5" w:name="_Ref218679967"/>
            <w:r w:rsidRPr="000B3136">
              <w:rPr>
                <w:rFonts w:cs="Arial"/>
                <w:color w:val="000000" w:themeColor="text1"/>
                <w:szCs w:val="18"/>
              </w:rPr>
              <w:t>(</w:t>
            </w:r>
            <w:r w:rsidRPr="000B3136">
              <w:rPr>
                <w:rFonts w:cs="Arial"/>
                <w:color w:val="000000" w:themeColor="text1"/>
                <w:szCs w:val="18"/>
              </w:rPr>
              <w:fldChar w:fldCharType="begin"/>
            </w:r>
            <w:r w:rsidRPr="000B3136">
              <w:rPr>
                <w:rFonts w:cs="Arial"/>
                <w:color w:val="000000" w:themeColor="text1"/>
                <w:szCs w:val="18"/>
              </w:rPr>
              <w:instrText xml:space="preserve"> SEQ Equation \* ARABIC </w:instrText>
            </w:r>
            <w:r w:rsidRPr="000B3136">
              <w:rPr>
                <w:rFonts w:cs="Arial"/>
                <w:color w:val="000000" w:themeColor="text1"/>
                <w:szCs w:val="18"/>
              </w:rPr>
              <w:fldChar w:fldCharType="separate"/>
            </w:r>
            <w:r w:rsidR="00C94AA6">
              <w:rPr>
                <w:rFonts w:cs="Arial"/>
                <w:noProof/>
                <w:color w:val="000000" w:themeColor="text1"/>
                <w:szCs w:val="18"/>
              </w:rPr>
              <w:t>2</w:t>
            </w:r>
            <w:r w:rsidRPr="000B3136">
              <w:rPr>
                <w:rFonts w:cs="Arial"/>
                <w:color w:val="000000" w:themeColor="text1"/>
                <w:szCs w:val="18"/>
              </w:rPr>
              <w:fldChar w:fldCharType="end"/>
            </w:r>
            <w:r w:rsidRPr="000B3136">
              <w:rPr>
                <w:rFonts w:cs="Arial"/>
                <w:color w:val="000000" w:themeColor="text1"/>
                <w:szCs w:val="18"/>
              </w:rPr>
              <w:t>)</w:t>
            </w:r>
            <w:bookmarkEnd w:id="5"/>
          </w:p>
        </w:tc>
      </w:tr>
    </w:tbl>
    <w:p w14:paraId="2B787776" w14:textId="5865E367" w:rsidR="002406D9" w:rsidRPr="002406D9" w:rsidRDefault="002406D9" w:rsidP="002406D9">
      <w:pPr>
        <w:pStyle w:val="CETBodytext"/>
        <w:numPr>
          <w:ilvl w:val="0"/>
          <w:numId w:val="23"/>
        </w:numPr>
        <w:ind w:left="357" w:hanging="357"/>
        <w:rPr>
          <w:lang w:val="en-GB"/>
        </w:rPr>
      </w:pPr>
      <w:r w:rsidRPr="002406D9">
        <w:rPr>
          <w:lang w:val="en-GB"/>
        </w:rPr>
        <w:t>The amount of CO</w:t>
      </w:r>
      <w:r w:rsidRPr="002406D9">
        <w:rPr>
          <w:vertAlign w:val="subscript"/>
          <w:lang w:val="en-GB"/>
        </w:rPr>
        <w:t>2</w:t>
      </w:r>
      <w:r w:rsidRPr="002406D9">
        <w:rPr>
          <w:lang w:val="en-GB"/>
        </w:rPr>
        <w:t xml:space="preserve"> transferred to D2 (</w:t>
      </w:r>
      <m:oMath>
        <m:sSubSup>
          <m:sSubSupPr>
            <m:ctrlPr>
              <w:rPr>
                <w:rFonts w:ascii="Cambria Math" w:hAnsi="Cambria Math" w:cs="Arial"/>
                <w:i/>
                <w:color w:val="000000" w:themeColor="text1"/>
                <w:szCs w:val="18"/>
                <w:lang w:val="en-GB"/>
              </w:rPr>
            </m:ctrlPr>
          </m:sSubSupPr>
          <m:e>
            <m:r>
              <w:rPr>
                <w:rFonts w:ascii="Cambria Math" w:hAnsi="Cambria Math" w:cs="Arial"/>
                <w:color w:val="000000" w:themeColor="text1"/>
                <w:szCs w:val="18"/>
                <w:lang w:val="en-GB"/>
              </w:rPr>
              <m:t>n</m:t>
            </m:r>
          </m:e>
          <m:sub>
            <m:sSub>
              <m:sSubPr>
                <m:ctrlPr>
                  <w:rPr>
                    <w:rFonts w:ascii="Cambria Math" w:hAnsi="Cambria Math" w:cs="Arial"/>
                    <w:i/>
                    <w:color w:val="000000" w:themeColor="text1"/>
                    <w:szCs w:val="18"/>
                    <w:lang w:val="en-GB"/>
                  </w:rPr>
                </m:ctrlPr>
              </m:sSubPr>
              <m:e>
                <m:r>
                  <w:rPr>
                    <w:rFonts w:ascii="Cambria Math" w:hAnsi="Cambria Math" w:cs="Arial"/>
                    <w:color w:val="000000" w:themeColor="text1"/>
                    <w:szCs w:val="18"/>
                    <w:lang w:val="en-GB"/>
                  </w:rPr>
                  <m:t>CO</m:t>
                </m:r>
              </m:e>
              <m:sub>
                <m:r>
                  <w:rPr>
                    <w:rFonts w:ascii="Cambria Math" w:hAnsi="Cambria Math" w:cs="Arial"/>
                    <w:color w:val="000000" w:themeColor="text1"/>
                    <w:szCs w:val="18"/>
                    <w:lang w:val="en-GB"/>
                  </w:rPr>
                  <m:t>2</m:t>
                </m:r>
              </m:sub>
            </m:sSub>
          </m:sub>
          <m:sup>
            <m:r>
              <w:rPr>
                <w:rFonts w:ascii="Cambria Math" w:hAnsi="Cambria Math" w:cs="Arial"/>
                <w:color w:val="000000" w:themeColor="text1"/>
                <w:szCs w:val="18"/>
                <w:lang w:val="en-GB"/>
              </w:rPr>
              <m:t>D2,i</m:t>
            </m:r>
          </m:sup>
        </m:sSubSup>
      </m:oMath>
      <w:r w:rsidRPr="002406D9">
        <w:rPr>
          <w:lang w:val="en-GB"/>
        </w:rPr>
        <w:t>) is obtained by difference (Eq.</w:t>
      </w:r>
      <w:r w:rsidR="00C94AA6">
        <w:rPr>
          <w:lang w:val="en-GB"/>
        </w:rPr>
        <w:t xml:space="preserve"> </w:t>
      </w:r>
      <w:r w:rsidR="00C94AA6">
        <w:rPr>
          <w:lang w:val="en-GB"/>
        </w:rPr>
        <w:fldChar w:fldCharType="begin"/>
      </w:r>
      <w:r w:rsidR="00C94AA6">
        <w:rPr>
          <w:lang w:val="en-GB"/>
        </w:rPr>
        <w:instrText xml:space="preserve"> REF _Ref218957710 \h </w:instrText>
      </w:r>
      <w:r w:rsidR="00C94AA6">
        <w:rPr>
          <w:lang w:val="en-GB"/>
        </w:rPr>
      </w:r>
      <w:r w:rsidR="00C94AA6">
        <w:rPr>
          <w:lang w:val="en-GB"/>
        </w:rPr>
        <w:fldChar w:fldCharType="separate"/>
      </w:r>
      <w:r w:rsidR="00C94AA6" w:rsidRPr="000B3136">
        <w:rPr>
          <w:rFonts w:cs="Arial"/>
          <w:color w:val="000000" w:themeColor="text1"/>
          <w:szCs w:val="18"/>
        </w:rPr>
        <w:t>(</w:t>
      </w:r>
      <w:r w:rsidR="00C94AA6">
        <w:rPr>
          <w:rFonts w:cs="Arial"/>
          <w:noProof/>
          <w:color w:val="000000" w:themeColor="text1"/>
          <w:szCs w:val="18"/>
        </w:rPr>
        <w:t>3</w:t>
      </w:r>
      <w:r w:rsidR="00C94AA6" w:rsidRPr="000B3136">
        <w:rPr>
          <w:rFonts w:cs="Arial"/>
          <w:color w:val="000000" w:themeColor="text1"/>
          <w:szCs w:val="18"/>
        </w:rPr>
        <w:t>)</w:t>
      </w:r>
      <w:r w:rsidR="00C94AA6">
        <w:rPr>
          <w:lang w:val="en-GB"/>
        </w:rPr>
        <w:fldChar w:fldCharType="end"/>
      </w:r>
      <w:r w:rsidRPr="002406D9">
        <w:rPr>
          <w:lang w:val="en-GB"/>
        </w:rPr>
        <w:t>).</w:t>
      </w:r>
    </w:p>
    <w:tbl>
      <w:tblPr>
        <w:tblW w:w="5000" w:type="pct"/>
        <w:tblLook w:val="04A0" w:firstRow="1" w:lastRow="0" w:firstColumn="1" w:lastColumn="0" w:noHBand="0" w:noVBand="1"/>
      </w:tblPr>
      <w:tblGrid>
        <w:gridCol w:w="7986"/>
        <w:gridCol w:w="801"/>
      </w:tblGrid>
      <w:tr w:rsidR="002406D9" w:rsidRPr="000B3136" w14:paraId="2D4B3E88" w14:textId="77777777" w:rsidTr="00BD2213">
        <w:tc>
          <w:tcPr>
            <w:tcW w:w="7986" w:type="dxa"/>
            <w:vAlign w:val="center"/>
          </w:tcPr>
          <w:p w14:paraId="2E7115FF" w14:textId="77777777" w:rsidR="002406D9" w:rsidRPr="000B3136" w:rsidRDefault="00000000" w:rsidP="00BD2213">
            <w:pPr>
              <w:pStyle w:val="CETBodytext"/>
              <w:spacing w:before="120" w:after="120"/>
              <w:rPr>
                <w:rFonts w:cs="Arial"/>
                <w:color w:val="000000" w:themeColor="text1"/>
                <w:szCs w:val="18"/>
                <w:lang w:val="en-GB" w:eastAsia="it-IT"/>
              </w:rPr>
            </w:pPr>
            <m:oMathPara>
              <m:oMath>
                <m:sSubSup>
                  <m:sSubSupPr>
                    <m:ctrlPr>
                      <w:rPr>
                        <w:rFonts w:ascii="Cambria Math" w:hAnsi="Cambria Math" w:cs="Arial"/>
                        <w:i/>
                        <w:color w:val="000000" w:themeColor="text1"/>
                        <w:szCs w:val="18"/>
                        <w:lang w:val="en-GB"/>
                      </w:rPr>
                    </m:ctrlPr>
                  </m:sSubSupPr>
                  <m:e>
                    <m:r>
                      <w:rPr>
                        <w:rFonts w:ascii="Cambria Math" w:hAnsi="Cambria Math" w:cs="Arial"/>
                        <w:color w:val="000000" w:themeColor="text1"/>
                        <w:szCs w:val="18"/>
                        <w:lang w:val="en-GB"/>
                      </w:rPr>
                      <m:t>n</m:t>
                    </m:r>
                  </m:e>
                  <m:sub>
                    <m:sSub>
                      <m:sSubPr>
                        <m:ctrlPr>
                          <w:rPr>
                            <w:rFonts w:ascii="Cambria Math" w:hAnsi="Cambria Math" w:cs="Arial"/>
                            <w:i/>
                            <w:color w:val="000000" w:themeColor="text1"/>
                            <w:szCs w:val="18"/>
                            <w:lang w:val="en-GB"/>
                          </w:rPr>
                        </m:ctrlPr>
                      </m:sSubPr>
                      <m:e>
                        <m:r>
                          <w:rPr>
                            <w:rFonts w:ascii="Cambria Math" w:hAnsi="Cambria Math" w:cs="Arial"/>
                            <w:color w:val="000000" w:themeColor="text1"/>
                            <w:szCs w:val="18"/>
                            <w:lang w:val="en-GB"/>
                          </w:rPr>
                          <m:t>CO</m:t>
                        </m:r>
                      </m:e>
                      <m:sub>
                        <m:r>
                          <w:rPr>
                            <w:rFonts w:ascii="Cambria Math" w:hAnsi="Cambria Math" w:cs="Arial"/>
                            <w:color w:val="000000" w:themeColor="text1"/>
                            <w:szCs w:val="18"/>
                            <w:lang w:val="en-GB"/>
                          </w:rPr>
                          <m:t>2</m:t>
                        </m:r>
                      </m:sub>
                    </m:sSub>
                  </m:sub>
                  <m:sup>
                    <m:r>
                      <w:rPr>
                        <w:rFonts w:ascii="Cambria Math" w:hAnsi="Cambria Math" w:cs="Arial"/>
                        <w:color w:val="000000" w:themeColor="text1"/>
                        <w:szCs w:val="18"/>
                        <w:lang w:val="en-GB"/>
                      </w:rPr>
                      <m:t>D2,i</m:t>
                    </m:r>
                  </m:sup>
                </m:sSubSup>
                <m:r>
                  <w:rPr>
                    <w:rFonts w:ascii="Cambria Math" w:hAnsi="Cambria Math" w:cs="Arial"/>
                    <w:color w:val="000000" w:themeColor="text1"/>
                    <w:szCs w:val="18"/>
                    <w:lang w:val="en-GB"/>
                  </w:rPr>
                  <m:t xml:space="preserve"> = </m:t>
                </m:r>
                <m:sSubSup>
                  <m:sSubSupPr>
                    <m:ctrlPr>
                      <w:rPr>
                        <w:rFonts w:ascii="Cambria Math" w:hAnsi="Cambria Math" w:cs="Arial"/>
                        <w:i/>
                        <w:color w:val="000000" w:themeColor="text1"/>
                        <w:szCs w:val="18"/>
                        <w:lang w:val="en-GB"/>
                      </w:rPr>
                    </m:ctrlPr>
                  </m:sSubSupPr>
                  <m:e>
                    <m:r>
                      <w:rPr>
                        <w:rFonts w:ascii="Cambria Math" w:hAnsi="Cambria Math" w:cs="Arial"/>
                        <w:color w:val="000000" w:themeColor="text1"/>
                        <w:szCs w:val="18"/>
                        <w:lang w:val="en-GB"/>
                      </w:rPr>
                      <m:t>n</m:t>
                    </m:r>
                  </m:e>
                  <m:sub>
                    <m:sSub>
                      <m:sSubPr>
                        <m:ctrlPr>
                          <w:rPr>
                            <w:rFonts w:ascii="Cambria Math" w:hAnsi="Cambria Math" w:cs="Arial"/>
                            <w:i/>
                            <w:color w:val="000000" w:themeColor="text1"/>
                            <w:szCs w:val="18"/>
                            <w:lang w:val="en-GB"/>
                          </w:rPr>
                        </m:ctrlPr>
                      </m:sSubPr>
                      <m:e>
                        <m:r>
                          <w:rPr>
                            <w:rFonts w:ascii="Cambria Math" w:hAnsi="Cambria Math" w:cs="Arial"/>
                            <w:color w:val="000000" w:themeColor="text1"/>
                            <w:szCs w:val="18"/>
                            <w:lang w:val="en-GB"/>
                          </w:rPr>
                          <m:t>CO</m:t>
                        </m:r>
                      </m:e>
                      <m:sub>
                        <m:r>
                          <w:rPr>
                            <w:rFonts w:ascii="Cambria Math" w:hAnsi="Cambria Math" w:cs="Arial"/>
                            <w:color w:val="000000" w:themeColor="text1"/>
                            <w:szCs w:val="18"/>
                            <w:lang w:val="en-GB"/>
                          </w:rPr>
                          <m:t>2</m:t>
                        </m:r>
                      </m:sub>
                    </m:sSub>
                  </m:sub>
                  <m:sup>
                    <m:r>
                      <w:rPr>
                        <w:rFonts w:ascii="Cambria Math" w:hAnsi="Cambria Math" w:cs="Arial"/>
                        <w:color w:val="000000" w:themeColor="text1"/>
                        <w:szCs w:val="18"/>
                        <w:lang w:val="en-GB"/>
                      </w:rPr>
                      <m:t>D1,i</m:t>
                    </m:r>
                  </m:sup>
                </m:sSubSup>
                <m:r>
                  <w:rPr>
                    <w:rFonts w:ascii="Cambria Math" w:hAnsi="Cambria Math" w:cs="Arial"/>
                    <w:color w:val="000000" w:themeColor="text1"/>
                    <w:szCs w:val="18"/>
                    <w:lang w:val="en-GB"/>
                  </w:rPr>
                  <m:t xml:space="preserve">- </m:t>
                </m:r>
                <m:sSubSup>
                  <m:sSubSupPr>
                    <m:ctrlPr>
                      <w:rPr>
                        <w:rFonts w:ascii="Cambria Math" w:hAnsi="Cambria Math" w:cs="Arial"/>
                        <w:i/>
                        <w:color w:val="000000" w:themeColor="text1"/>
                        <w:szCs w:val="18"/>
                        <w:lang w:val="en-GB"/>
                      </w:rPr>
                    </m:ctrlPr>
                  </m:sSubSupPr>
                  <m:e>
                    <m:r>
                      <w:rPr>
                        <w:rFonts w:ascii="Cambria Math" w:hAnsi="Cambria Math" w:cs="Arial"/>
                        <w:color w:val="000000" w:themeColor="text1"/>
                        <w:szCs w:val="18"/>
                        <w:lang w:val="en-GB"/>
                      </w:rPr>
                      <m:t>n</m:t>
                    </m:r>
                  </m:e>
                  <m:sub>
                    <m:sSub>
                      <m:sSubPr>
                        <m:ctrlPr>
                          <w:rPr>
                            <w:rFonts w:ascii="Cambria Math" w:hAnsi="Cambria Math" w:cs="Arial"/>
                            <w:i/>
                            <w:color w:val="000000" w:themeColor="text1"/>
                            <w:szCs w:val="18"/>
                            <w:lang w:val="en-GB"/>
                          </w:rPr>
                        </m:ctrlPr>
                      </m:sSubPr>
                      <m:e>
                        <m:r>
                          <w:rPr>
                            <w:rFonts w:ascii="Cambria Math" w:hAnsi="Cambria Math" w:cs="Arial"/>
                            <w:color w:val="000000" w:themeColor="text1"/>
                            <w:szCs w:val="18"/>
                            <w:lang w:val="en-GB"/>
                          </w:rPr>
                          <m:t>CO</m:t>
                        </m:r>
                      </m:e>
                      <m:sub>
                        <m:r>
                          <w:rPr>
                            <w:rFonts w:ascii="Cambria Math" w:hAnsi="Cambria Math" w:cs="Arial"/>
                            <w:color w:val="000000" w:themeColor="text1"/>
                            <w:szCs w:val="18"/>
                            <w:lang w:val="en-GB"/>
                          </w:rPr>
                          <m:t>2</m:t>
                        </m:r>
                      </m:sub>
                    </m:sSub>
                  </m:sub>
                  <m:sup>
                    <m:r>
                      <w:rPr>
                        <w:rFonts w:ascii="Cambria Math" w:hAnsi="Cambria Math" w:cs="Arial"/>
                        <w:color w:val="000000" w:themeColor="text1"/>
                        <w:szCs w:val="18"/>
                        <w:lang w:val="en-GB"/>
                      </w:rPr>
                      <m:t>D1,f</m:t>
                    </m:r>
                  </m:sup>
                </m:sSubSup>
              </m:oMath>
            </m:oMathPara>
          </w:p>
        </w:tc>
        <w:tc>
          <w:tcPr>
            <w:tcW w:w="801" w:type="dxa"/>
            <w:vAlign w:val="center"/>
          </w:tcPr>
          <w:p w14:paraId="4365A3D7" w14:textId="35F7E916" w:rsidR="002406D9" w:rsidRPr="000B3136" w:rsidRDefault="002406D9" w:rsidP="00BD2213">
            <w:pPr>
              <w:pStyle w:val="CETEquation"/>
              <w:jc w:val="right"/>
              <w:rPr>
                <w:rFonts w:cs="Arial"/>
                <w:color w:val="000000" w:themeColor="text1"/>
                <w:szCs w:val="18"/>
              </w:rPr>
            </w:pPr>
            <w:bookmarkStart w:id="6" w:name="_Ref218957710"/>
            <w:r w:rsidRPr="000B3136">
              <w:rPr>
                <w:rFonts w:cs="Arial"/>
                <w:color w:val="000000" w:themeColor="text1"/>
                <w:szCs w:val="18"/>
              </w:rPr>
              <w:t>(</w:t>
            </w:r>
            <w:r w:rsidRPr="000B3136">
              <w:rPr>
                <w:rFonts w:cs="Arial"/>
                <w:color w:val="000000" w:themeColor="text1"/>
                <w:szCs w:val="18"/>
              </w:rPr>
              <w:fldChar w:fldCharType="begin"/>
            </w:r>
            <w:r w:rsidRPr="000B3136">
              <w:rPr>
                <w:rFonts w:cs="Arial"/>
                <w:color w:val="000000" w:themeColor="text1"/>
                <w:szCs w:val="18"/>
              </w:rPr>
              <w:instrText xml:space="preserve"> SEQ Equation \* ARABIC </w:instrText>
            </w:r>
            <w:r w:rsidRPr="000B3136">
              <w:rPr>
                <w:rFonts w:cs="Arial"/>
                <w:color w:val="000000" w:themeColor="text1"/>
                <w:szCs w:val="18"/>
              </w:rPr>
              <w:fldChar w:fldCharType="separate"/>
            </w:r>
            <w:r w:rsidR="00C94AA6">
              <w:rPr>
                <w:rFonts w:cs="Arial"/>
                <w:noProof/>
                <w:color w:val="000000" w:themeColor="text1"/>
                <w:szCs w:val="18"/>
              </w:rPr>
              <w:t>3</w:t>
            </w:r>
            <w:r w:rsidRPr="000B3136">
              <w:rPr>
                <w:rFonts w:cs="Arial"/>
                <w:color w:val="000000" w:themeColor="text1"/>
                <w:szCs w:val="18"/>
              </w:rPr>
              <w:fldChar w:fldCharType="end"/>
            </w:r>
            <w:r w:rsidRPr="000B3136">
              <w:rPr>
                <w:rFonts w:cs="Arial"/>
                <w:color w:val="000000" w:themeColor="text1"/>
                <w:szCs w:val="18"/>
              </w:rPr>
              <w:t>)</w:t>
            </w:r>
            <w:bookmarkEnd w:id="6"/>
          </w:p>
        </w:tc>
      </w:tr>
    </w:tbl>
    <w:p w14:paraId="1174D894" w14:textId="6ED0E087" w:rsidR="002406D9" w:rsidRDefault="003C0F0E" w:rsidP="002406D9">
      <w:pPr>
        <w:pStyle w:val="CETBodytext"/>
        <w:numPr>
          <w:ilvl w:val="0"/>
          <w:numId w:val="23"/>
        </w:numPr>
        <w:ind w:left="357" w:hanging="357"/>
        <w:rPr>
          <w:lang w:val="en-GB"/>
        </w:rPr>
      </w:pPr>
      <w:r w:rsidRPr="000B3136">
        <w:rPr>
          <w:lang w:val="en-GB"/>
        </w:rPr>
        <w:t>The system is then allowed to reach phase equilibrium, which is assumed when pressure</w:t>
      </w:r>
      <w:r w:rsidR="00EC74C1">
        <w:rPr>
          <w:lang w:val="en-GB"/>
        </w:rPr>
        <w:t xml:space="preserve"> (</w:t>
      </w:r>
      <m:oMath>
        <m:sSup>
          <m:sSupPr>
            <m:ctrlPr>
              <w:rPr>
                <w:rFonts w:ascii="Cambria Math" w:hAnsi="Cambria Math" w:cs="Arial"/>
                <w:i/>
                <w:color w:val="000000" w:themeColor="text1"/>
                <w:szCs w:val="18"/>
                <w:lang w:val="en-GB"/>
              </w:rPr>
            </m:ctrlPr>
          </m:sSupPr>
          <m:e>
            <m:r>
              <w:rPr>
                <w:rFonts w:ascii="Cambria Math" w:hAnsi="Cambria Math" w:cs="Arial"/>
                <w:color w:val="000000" w:themeColor="text1"/>
                <w:szCs w:val="18"/>
                <w:lang w:val="en-GB"/>
              </w:rPr>
              <m:t>P</m:t>
            </m:r>
          </m:e>
          <m:sup>
            <m:r>
              <w:rPr>
                <w:rFonts w:ascii="Cambria Math" w:hAnsi="Cambria Math" w:cs="Arial"/>
                <w:color w:val="000000" w:themeColor="text1"/>
                <w:szCs w:val="18"/>
                <w:lang w:val="en-GB"/>
              </w:rPr>
              <m:t>D2</m:t>
            </m:r>
          </m:sup>
        </m:sSup>
      </m:oMath>
      <w:r w:rsidR="00EC74C1">
        <w:rPr>
          <w:lang w:val="en-GB"/>
        </w:rPr>
        <w:t>)</w:t>
      </w:r>
      <w:r w:rsidRPr="000B3136">
        <w:rPr>
          <w:lang w:val="en-GB"/>
        </w:rPr>
        <w:t xml:space="preserve"> and temperature</w:t>
      </w:r>
      <w:r w:rsidR="00EC74C1">
        <w:rPr>
          <w:lang w:val="en-GB"/>
        </w:rPr>
        <w:t xml:space="preserve"> (</w:t>
      </w:r>
      <m:oMath>
        <m:sSup>
          <m:sSupPr>
            <m:ctrlPr>
              <w:rPr>
                <w:rFonts w:ascii="Cambria Math" w:hAnsi="Cambria Math" w:cs="Arial"/>
                <w:i/>
                <w:color w:val="000000" w:themeColor="text1"/>
                <w:szCs w:val="18"/>
                <w:lang w:val="en-GB"/>
              </w:rPr>
            </m:ctrlPr>
          </m:sSupPr>
          <m:e>
            <m:r>
              <w:rPr>
                <w:rFonts w:ascii="Cambria Math" w:hAnsi="Cambria Math" w:cs="Arial"/>
                <w:color w:val="000000" w:themeColor="text1"/>
                <w:szCs w:val="18"/>
                <w:lang w:val="en-GB"/>
              </w:rPr>
              <m:t>T</m:t>
            </m:r>
          </m:e>
          <m:sup>
            <m:r>
              <w:rPr>
                <w:rFonts w:ascii="Cambria Math" w:hAnsi="Cambria Math" w:cs="Arial"/>
                <w:color w:val="000000" w:themeColor="text1"/>
                <w:szCs w:val="18"/>
                <w:lang w:val="en-GB"/>
              </w:rPr>
              <m:t>D2</m:t>
            </m:r>
          </m:sup>
        </m:sSup>
      </m:oMath>
      <w:r w:rsidR="00EC74C1">
        <w:rPr>
          <w:lang w:val="en-GB"/>
        </w:rPr>
        <w:t>)</w:t>
      </w:r>
      <w:r w:rsidRPr="000B3136">
        <w:rPr>
          <w:lang w:val="en-GB"/>
        </w:rPr>
        <w:t xml:space="preserve"> in D2 remain stable for at least four hours. At equilibrium, the moles of CO</w:t>
      </w:r>
      <w:r w:rsidR="00750475" w:rsidRPr="000B3136">
        <w:rPr>
          <w:vertAlign w:val="subscript"/>
          <w:lang w:val="en-GB"/>
        </w:rPr>
        <w:t>2</w:t>
      </w:r>
      <w:r w:rsidRPr="000B3136">
        <w:rPr>
          <w:lang w:val="en-GB"/>
        </w:rPr>
        <w:t xml:space="preserve"> present in the vapor phase</w:t>
      </w:r>
      <w:r w:rsidR="00794E09">
        <w:rPr>
          <w:lang w:val="en-GB"/>
        </w:rPr>
        <w:t xml:space="preserve"> (</w:t>
      </w:r>
      <m:oMath>
        <m:sSubSup>
          <m:sSubSupPr>
            <m:ctrlPr>
              <w:rPr>
                <w:rFonts w:ascii="Cambria Math" w:hAnsi="Cambria Math" w:cs="Arial"/>
                <w:i/>
                <w:color w:val="000000" w:themeColor="text1"/>
                <w:szCs w:val="18"/>
                <w:lang w:val="en-GB"/>
              </w:rPr>
            </m:ctrlPr>
          </m:sSubSupPr>
          <m:e>
            <m:r>
              <w:rPr>
                <w:rFonts w:ascii="Cambria Math" w:hAnsi="Cambria Math" w:cs="Arial"/>
                <w:color w:val="000000" w:themeColor="text1"/>
                <w:szCs w:val="18"/>
                <w:lang w:val="en-GB"/>
              </w:rPr>
              <m:t>n</m:t>
            </m:r>
          </m:e>
          <m:sub>
            <m:sSub>
              <m:sSubPr>
                <m:ctrlPr>
                  <w:rPr>
                    <w:rFonts w:ascii="Cambria Math" w:hAnsi="Cambria Math" w:cs="Arial"/>
                    <w:i/>
                    <w:color w:val="000000" w:themeColor="text1"/>
                    <w:szCs w:val="18"/>
                    <w:lang w:val="en-GB"/>
                  </w:rPr>
                </m:ctrlPr>
              </m:sSubPr>
              <m:e>
                <m:r>
                  <w:rPr>
                    <w:rFonts w:ascii="Cambria Math" w:hAnsi="Cambria Math" w:cs="Arial"/>
                    <w:color w:val="000000" w:themeColor="text1"/>
                    <w:szCs w:val="18"/>
                    <w:lang w:val="en-GB"/>
                  </w:rPr>
                  <m:t>CO</m:t>
                </m:r>
              </m:e>
              <m:sub>
                <m:r>
                  <w:rPr>
                    <w:rFonts w:ascii="Cambria Math" w:hAnsi="Cambria Math" w:cs="Arial"/>
                    <w:color w:val="000000" w:themeColor="text1"/>
                    <w:szCs w:val="18"/>
                    <w:lang w:val="en-GB"/>
                  </w:rPr>
                  <m:t>2</m:t>
                </m:r>
              </m:sub>
            </m:sSub>
          </m:sub>
          <m:sup>
            <m:r>
              <w:rPr>
                <w:rFonts w:ascii="Cambria Math" w:hAnsi="Cambria Math" w:cs="Arial"/>
                <w:color w:val="000000" w:themeColor="text1"/>
                <w:szCs w:val="18"/>
                <w:lang w:val="en-GB"/>
              </w:rPr>
              <m:t>D2,f</m:t>
            </m:r>
          </m:sup>
        </m:sSubSup>
      </m:oMath>
      <w:r w:rsidR="00794E09">
        <w:rPr>
          <w:lang w:val="en-GB"/>
        </w:rPr>
        <w:t>)</w:t>
      </w:r>
      <w:r w:rsidRPr="000B3136">
        <w:rPr>
          <w:lang w:val="en-GB"/>
        </w:rPr>
        <w:t xml:space="preserve"> of D2 are calculated from the equilibrium pressure and temperature using Eq.</w:t>
      </w:r>
      <w:r w:rsidR="00C94AA6">
        <w:rPr>
          <w:lang w:val="en-GB"/>
        </w:rPr>
        <w:t xml:space="preserve"> </w:t>
      </w:r>
      <w:r w:rsidR="00C94AA6">
        <w:rPr>
          <w:lang w:val="en-GB"/>
        </w:rPr>
        <w:fldChar w:fldCharType="begin"/>
      </w:r>
      <w:r w:rsidR="00C94AA6">
        <w:rPr>
          <w:lang w:val="en-GB"/>
        </w:rPr>
        <w:instrText xml:space="preserve"> REF _Ref218957692 \h  \* MERGEFORMAT </w:instrText>
      </w:r>
      <w:r w:rsidR="00C94AA6">
        <w:rPr>
          <w:lang w:val="en-GB"/>
        </w:rPr>
      </w:r>
      <w:r w:rsidR="00C94AA6">
        <w:rPr>
          <w:lang w:val="en-GB"/>
        </w:rPr>
        <w:fldChar w:fldCharType="separate"/>
      </w:r>
      <w:r w:rsidR="00C94AA6" w:rsidRPr="000B3136">
        <w:rPr>
          <w:rFonts w:cs="Arial"/>
          <w:color w:val="000000" w:themeColor="text1"/>
        </w:rPr>
        <w:t>(</w:t>
      </w:r>
      <w:r w:rsidR="00C94AA6" w:rsidRPr="00C94AA6">
        <w:rPr>
          <w:rFonts w:cs="Arial"/>
          <w:noProof/>
          <w:color w:val="000000" w:themeColor="text1"/>
        </w:rPr>
        <w:t>4</w:t>
      </w:r>
      <w:r w:rsidR="00C94AA6" w:rsidRPr="000B3136">
        <w:rPr>
          <w:rFonts w:cs="Arial"/>
          <w:color w:val="000000" w:themeColor="text1"/>
        </w:rPr>
        <w:t>)</w:t>
      </w:r>
      <w:r w:rsidR="00C94AA6">
        <w:rPr>
          <w:lang w:val="en-GB"/>
        </w:rPr>
        <w:fldChar w:fldCharType="end"/>
      </w:r>
      <w:r w:rsidRPr="000B3136">
        <w:rPr>
          <w:lang w:val="en-GB"/>
        </w:rPr>
        <w:t>.</w:t>
      </w:r>
    </w:p>
    <w:tbl>
      <w:tblPr>
        <w:tblW w:w="5000" w:type="pct"/>
        <w:tblLook w:val="04A0" w:firstRow="1" w:lastRow="0" w:firstColumn="1" w:lastColumn="0" w:noHBand="0" w:noVBand="1"/>
      </w:tblPr>
      <w:tblGrid>
        <w:gridCol w:w="7985"/>
        <w:gridCol w:w="802"/>
      </w:tblGrid>
      <w:tr w:rsidR="00A95C1D" w:rsidRPr="000B3136" w14:paraId="23DF970D" w14:textId="77777777" w:rsidTr="003F1939">
        <w:tc>
          <w:tcPr>
            <w:tcW w:w="7976" w:type="dxa"/>
            <w:vAlign w:val="center"/>
          </w:tcPr>
          <w:p w14:paraId="00ABBF9C" w14:textId="77777777" w:rsidR="00A95C1D" w:rsidRPr="000B3136" w:rsidRDefault="00000000" w:rsidP="003F1939">
            <w:pPr>
              <w:pStyle w:val="CETEquation"/>
              <w:rPr>
                <w:rFonts w:cs="Arial"/>
                <w:color w:val="000000" w:themeColor="text1"/>
                <w:szCs w:val="18"/>
              </w:rPr>
            </w:pPr>
            <m:oMathPara>
              <m:oMath>
                <m:sSubSup>
                  <m:sSubSupPr>
                    <m:ctrlPr>
                      <w:rPr>
                        <w:rFonts w:ascii="Cambria Math" w:hAnsi="Cambria Math" w:cs="Arial"/>
                        <w:i/>
                        <w:color w:val="000000" w:themeColor="text1"/>
                        <w:szCs w:val="18"/>
                      </w:rPr>
                    </m:ctrlPr>
                  </m:sSubSupPr>
                  <m:e>
                    <m:r>
                      <w:rPr>
                        <w:rFonts w:ascii="Cambria Math" w:hAnsi="Cambria Math" w:cs="Arial"/>
                        <w:color w:val="000000" w:themeColor="text1"/>
                        <w:szCs w:val="18"/>
                      </w:rPr>
                      <m:t>n</m:t>
                    </m:r>
                  </m:e>
                  <m:sub>
                    <m:sSub>
                      <m:sSubPr>
                        <m:ctrlPr>
                          <w:rPr>
                            <w:rFonts w:ascii="Cambria Math" w:hAnsi="Cambria Math" w:cs="Arial"/>
                            <w:i/>
                            <w:color w:val="000000" w:themeColor="text1"/>
                            <w:szCs w:val="18"/>
                          </w:rPr>
                        </m:ctrlPr>
                      </m:sSubPr>
                      <m:e>
                        <m:r>
                          <w:rPr>
                            <w:rFonts w:ascii="Cambria Math" w:hAnsi="Cambria Math" w:cs="Arial"/>
                            <w:color w:val="000000" w:themeColor="text1"/>
                            <w:szCs w:val="18"/>
                          </w:rPr>
                          <m:t>CO</m:t>
                        </m:r>
                      </m:e>
                      <m:sub>
                        <m:r>
                          <w:rPr>
                            <w:rFonts w:ascii="Cambria Math" w:hAnsi="Cambria Math" w:cs="Arial"/>
                            <w:color w:val="000000" w:themeColor="text1"/>
                            <w:szCs w:val="18"/>
                          </w:rPr>
                          <m:t>2</m:t>
                        </m:r>
                      </m:sub>
                    </m:sSub>
                  </m:sub>
                  <m:sup>
                    <m:r>
                      <w:rPr>
                        <w:rFonts w:ascii="Cambria Math" w:hAnsi="Cambria Math" w:cs="Arial"/>
                        <w:color w:val="000000" w:themeColor="text1"/>
                        <w:szCs w:val="18"/>
                      </w:rPr>
                      <m:t>D2,f</m:t>
                    </m:r>
                  </m:sup>
                </m:sSubSup>
                <m:r>
                  <w:rPr>
                    <w:rFonts w:ascii="Cambria Math" w:hAnsi="Cambria Math" w:cs="Arial"/>
                    <w:color w:val="000000" w:themeColor="text1"/>
                    <w:szCs w:val="18"/>
                  </w:rPr>
                  <m:t xml:space="preserve">= </m:t>
                </m:r>
                <m:f>
                  <m:fPr>
                    <m:ctrlPr>
                      <w:rPr>
                        <w:rFonts w:ascii="Cambria Math" w:hAnsi="Cambria Math" w:cs="Arial"/>
                        <w:i/>
                        <w:color w:val="000000" w:themeColor="text1"/>
                        <w:szCs w:val="18"/>
                      </w:rPr>
                    </m:ctrlPr>
                  </m:fPr>
                  <m:num>
                    <m:sSup>
                      <m:sSupPr>
                        <m:ctrlPr>
                          <w:rPr>
                            <w:rFonts w:ascii="Cambria Math" w:hAnsi="Cambria Math" w:cs="Arial"/>
                            <w:i/>
                            <w:color w:val="000000" w:themeColor="text1"/>
                            <w:szCs w:val="18"/>
                          </w:rPr>
                        </m:ctrlPr>
                      </m:sSupPr>
                      <m:e>
                        <m:r>
                          <w:rPr>
                            <w:rFonts w:ascii="Cambria Math" w:hAnsi="Cambria Math" w:cs="Arial"/>
                            <w:color w:val="000000" w:themeColor="text1"/>
                            <w:szCs w:val="18"/>
                          </w:rPr>
                          <m:t>P</m:t>
                        </m:r>
                      </m:e>
                      <m:sup>
                        <m:r>
                          <w:rPr>
                            <w:rFonts w:ascii="Cambria Math" w:hAnsi="Cambria Math" w:cs="Arial"/>
                            <w:color w:val="000000" w:themeColor="text1"/>
                            <w:szCs w:val="18"/>
                          </w:rPr>
                          <m:t>D2,f</m:t>
                        </m:r>
                      </m:sup>
                    </m:sSup>
                    <m:r>
                      <w:rPr>
                        <w:rFonts w:ascii="Cambria Math" w:hAnsi="Cambria Math" w:cs="Arial"/>
                        <w:color w:val="000000" w:themeColor="text1"/>
                        <w:szCs w:val="18"/>
                      </w:rPr>
                      <m:t xml:space="preserve"> ∙ </m:t>
                    </m:r>
                    <m:sSub>
                      <m:sSubPr>
                        <m:ctrlPr>
                          <w:rPr>
                            <w:rFonts w:ascii="Cambria Math" w:hAnsi="Cambria Math" w:cs="Arial"/>
                            <w:i/>
                            <w:color w:val="000000" w:themeColor="text1"/>
                            <w:szCs w:val="18"/>
                          </w:rPr>
                        </m:ctrlPr>
                      </m:sSubPr>
                      <m:e>
                        <m:r>
                          <w:rPr>
                            <w:rFonts w:ascii="Cambria Math" w:hAnsi="Cambria Math" w:cs="Arial"/>
                            <w:color w:val="000000" w:themeColor="text1"/>
                            <w:szCs w:val="18"/>
                          </w:rPr>
                          <m:t>V</m:t>
                        </m:r>
                      </m:e>
                      <m:sub>
                        <m:r>
                          <w:rPr>
                            <w:rFonts w:ascii="Cambria Math" w:hAnsi="Cambria Math" w:cs="Arial"/>
                            <w:color w:val="000000" w:themeColor="text1"/>
                            <w:szCs w:val="18"/>
                          </w:rPr>
                          <m:t>D2</m:t>
                        </m:r>
                      </m:sub>
                    </m:sSub>
                  </m:num>
                  <m:den>
                    <m:sSup>
                      <m:sSupPr>
                        <m:ctrlPr>
                          <w:rPr>
                            <w:rFonts w:ascii="Cambria Math" w:hAnsi="Cambria Math" w:cs="Arial"/>
                            <w:i/>
                            <w:color w:val="000000" w:themeColor="text1"/>
                            <w:szCs w:val="18"/>
                          </w:rPr>
                        </m:ctrlPr>
                      </m:sSupPr>
                      <m:e>
                        <m:r>
                          <w:rPr>
                            <w:rFonts w:ascii="Cambria Math" w:hAnsi="Cambria Math" w:cs="Arial"/>
                            <w:color w:val="000000" w:themeColor="text1"/>
                            <w:szCs w:val="18"/>
                          </w:rPr>
                          <m:t>Z</m:t>
                        </m:r>
                      </m:e>
                      <m:sup>
                        <m:r>
                          <w:rPr>
                            <w:rFonts w:ascii="Cambria Math" w:hAnsi="Cambria Math" w:cs="Arial"/>
                            <w:color w:val="000000" w:themeColor="text1"/>
                            <w:szCs w:val="18"/>
                          </w:rPr>
                          <m:t>D2,f</m:t>
                        </m:r>
                      </m:sup>
                    </m:sSup>
                    <m:r>
                      <w:rPr>
                        <w:rFonts w:ascii="Cambria Math" w:hAnsi="Cambria Math" w:cs="Arial"/>
                        <w:color w:val="000000" w:themeColor="text1"/>
                        <w:szCs w:val="18"/>
                      </w:rPr>
                      <m:t xml:space="preserve"> ∙R ∙ </m:t>
                    </m:r>
                    <m:sSup>
                      <m:sSupPr>
                        <m:ctrlPr>
                          <w:rPr>
                            <w:rFonts w:ascii="Cambria Math" w:hAnsi="Cambria Math" w:cs="Arial"/>
                            <w:i/>
                            <w:color w:val="000000" w:themeColor="text1"/>
                            <w:szCs w:val="18"/>
                          </w:rPr>
                        </m:ctrlPr>
                      </m:sSupPr>
                      <m:e>
                        <m:r>
                          <w:rPr>
                            <w:rFonts w:ascii="Cambria Math" w:hAnsi="Cambria Math" w:cs="Arial"/>
                            <w:color w:val="000000" w:themeColor="text1"/>
                            <w:szCs w:val="18"/>
                          </w:rPr>
                          <m:t>T</m:t>
                        </m:r>
                      </m:e>
                      <m:sup>
                        <m:r>
                          <w:rPr>
                            <w:rFonts w:ascii="Cambria Math" w:hAnsi="Cambria Math" w:cs="Arial"/>
                            <w:color w:val="000000" w:themeColor="text1"/>
                            <w:szCs w:val="18"/>
                          </w:rPr>
                          <m:t>D2,f</m:t>
                        </m:r>
                      </m:sup>
                    </m:sSup>
                  </m:den>
                </m:f>
              </m:oMath>
            </m:oMathPara>
          </w:p>
        </w:tc>
        <w:tc>
          <w:tcPr>
            <w:tcW w:w="801" w:type="dxa"/>
            <w:vAlign w:val="center"/>
          </w:tcPr>
          <w:p w14:paraId="57E268E9" w14:textId="77F5A127" w:rsidR="00A95C1D" w:rsidRPr="000B3136" w:rsidRDefault="00A95C1D" w:rsidP="003F1939">
            <w:pPr>
              <w:pStyle w:val="Caption"/>
              <w:keepNext/>
              <w:spacing w:before="120" w:after="120" w:line="264" w:lineRule="auto"/>
              <w:jc w:val="right"/>
              <w:rPr>
                <w:rFonts w:cs="Arial"/>
                <w:b w:val="0"/>
                <w:bCs w:val="0"/>
                <w:color w:val="000000" w:themeColor="text1"/>
              </w:rPr>
            </w:pPr>
            <w:bookmarkStart w:id="7" w:name="_Ref218957692"/>
            <w:r w:rsidRPr="000B3136">
              <w:rPr>
                <w:rFonts w:cs="Arial"/>
                <w:b w:val="0"/>
                <w:bCs w:val="0"/>
                <w:color w:val="000000" w:themeColor="text1"/>
              </w:rPr>
              <w:t>(</w:t>
            </w:r>
            <w:r w:rsidRPr="000B3136">
              <w:rPr>
                <w:rFonts w:cs="Arial"/>
                <w:b w:val="0"/>
                <w:bCs w:val="0"/>
                <w:color w:val="000000" w:themeColor="text1"/>
              </w:rPr>
              <w:fldChar w:fldCharType="begin"/>
            </w:r>
            <w:r w:rsidRPr="000B3136">
              <w:rPr>
                <w:rFonts w:cs="Arial"/>
                <w:b w:val="0"/>
                <w:bCs w:val="0"/>
                <w:color w:val="000000" w:themeColor="text1"/>
              </w:rPr>
              <w:instrText xml:space="preserve"> SEQ Equation \* ARABIC </w:instrText>
            </w:r>
            <w:r w:rsidRPr="000B3136">
              <w:rPr>
                <w:rFonts w:cs="Arial"/>
                <w:b w:val="0"/>
                <w:bCs w:val="0"/>
                <w:color w:val="000000" w:themeColor="text1"/>
              </w:rPr>
              <w:fldChar w:fldCharType="separate"/>
            </w:r>
            <w:r w:rsidR="00C94AA6">
              <w:rPr>
                <w:rFonts w:cs="Arial"/>
                <w:b w:val="0"/>
                <w:bCs w:val="0"/>
                <w:noProof/>
                <w:color w:val="000000" w:themeColor="text1"/>
              </w:rPr>
              <w:t>4</w:t>
            </w:r>
            <w:r w:rsidRPr="000B3136">
              <w:rPr>
                <w:rFonts w:cs="Arial"/>
                <w:b w:val="0"/>
                <w:bCs w:val="0"/>
                <w:color w:val="000000" w:themeColor="text1"/>
              </w:rPr>
              <w:fldChar w:fldCharType="end"/>
            </w:r>
            <w:r w:rsidRPr="000B3136">
              <w:rPr>
                <w:rFonts w:cs="Arial"/>
                <w:b w:val="0"/>
                <w:bCs w:val="0"/>
                <w:color w:val="000000" w:themeColor="text1"/>
              </w:rPr>
              <w:t>)</w:t>
            </w:r>
            <w:bookmarkEnd w:id="7"/>
          </w:p>
        </w:tc>
      </w:tr>
    </w:tbl>
    <w:p w14:paraId="27804532" w14:textId="25487CB6" w:rsidR="003C0F0E" w:rsidRDefault="003C0F0E" w:rsidP="002406D9">
      <w:pPr>
        <w:pStyle w:val="CETBodytext"/>
        <w:numPr>
          <w:ilvl w:val="0"/>
          <w:numId w:val="23"/>
        </w:numPr>
        <w:ind w:left="357" w:hanging="357"/>
        <w:rPr>
          <w:lang w:val="en-GB"/>
        </w:rPr>
      </w:pPr>
      <w:r w:rsidRPr="000B3136">
        <w:rPr>
          <w:lang w:val="en-GB"/>
        </w:rPr>
        <w:t>The amount of CO</w:t>
      </w:r>
      <w:r w:rsidR="00750475" w:rsidRPr="000B3136">
        <w:rPr>
          <w:vertAlign w:val="subscript"/>
          <w:lang w:val="en-GB"/>
        </w:rPr>
        <w:t>2</w:t>
      </w:r>
      <w:r w:rsidRPr="000B3136">
        <w:rPr>
          <w:lang w:val="en-GB"/>
        </w:rPr>
        <w:t xml:space="preserve"> absorbed by the solvent</w:t>
      </w:r>
      <w:r w:rsidR="00794E09">
        <w:rPr>
          <w:lang w:val="en-GB"/>
        </w:rPr>
        <w:t xml:space="preserve"> (</w:t>
      </w:r>
      <m:oMath>
        <m:sSubSup>
          <m:sSubSupPr>
            <m:ctrlPr>
              <w:rPr>
                <w:rFonts w:ascii="Cambria Math" w:eastAsiaTheme="minorEastAsia" w:hAnsi="Cambria Math" w:cs="Arial"/>
                <w:i/>
                <w:color w:val="000000" w:themeColor="text1"/>
                <w:szCs w:val="18"/>
                <w:lang w:val="en-GB"/>
              </w:rPr>
            </m:ctrlPr>
          </m:sSubSupPr>
          <m:e>
            <m:r>
              <w:rPr>
                <w:rFonts w:ascii="Cambria Math" w:eastAsiaTheme="minorEastAsia" w:hAnsi="Cambria Math" w:cs="Arial"/>
                <w:color w:val="000000" w:themeColor="text1"/>
                <w:szCs w:val="18"/>
                <w:lang w:val="en-GB"/>
              </w:rPr>
              <m:t>n</m:t>
            </m:r>
          </m:e>
          <m:sub>
            <m:sSub>
              <m:sSubPr>
                <m:ctrlPr>
                  <w:rPr>
                    <w:rFonts w:ascii="Cambria Math" w:eastAsiaTheme="minorEastAsia" w:hAnsi="Cambria Math" w:cs="Arial"/>
                    <w:i/>
                    <w:color w:val="000000" w:themeColor="text1"/>
                    <w:szCs w:val="18"/>
                    <w:lang w:val="en-GB"/>
                  </w:rPr>
                </m:ctrlPr>
              </m:sSubPr>
              <m:e>
                <m:r>
                  <w:rPr>
                    <w:rFonts w:ascii="Cambria Math" w:eastAsiaTheme="minorEastAsia" w:hAnsi="Cambria Math" w:cs="Arial"/>
                    <w:color w:val="000000" w:themeColor="text1"/>
                    <w:szCs w:val="18"/>
                    <w:lang w:val="en-GB"/>
                  </w:rPr>
                  <m:t>CO</m:t>
                </m:r>
              </m:e>
              <m:sub>
                <m:r>
                  <w:rPr>
                    <w:rFonts w:ascii="Cambria Math" w:eastAsiaTheme="minorEastAsia" w:hAnsi="Cambria Math" w:cs="Arial"/>
                    <w:color w:val="000000" w:themeColor="text1"/>
                    <w:szCs w:val="18"/>
                    <w:lang w:val="en-GB"/>
                  </w:rPr>
                  <m:t>2</m:t>
                </m:r>
              </m:sub>
            </m:sSub>
          </m:sub>
          <m:sup>
            <m:r>
              <w:rPr>
                <w:rFonts w:ascii="Cambria Math" w:eastAsiaTheme="minorEastAsia" w:hAnsi="Cambria Math" w:cs="Arial"/>
                <w:color w:val="000000" w:themeColor="text1"/>
                <w:szCs w:val="18"/>
                <w:lang w:val="en-GB"/>
              </w:rPr>
              <m:t>abs</m:t>
            </m:r>
          </m:sup>
        </m:sSubSup>
      </m:oMath>
      <w:r w:rsidR="00794E09">
        <w:rPr>
          <w:lang w:val="en-GB"/>
        </w:rPr>
        <w:t>)</w:t>
      </w:r>
      <w:r w:rsidRPr="000B3136">
        <w:rPr>
          <w:lang w:val="en-GB"/>
        </w:rPr>
        <w:t xml:space="preserve"> is determined as the difference between the transferred CO</w:t>
      </w:r>
      <w:r w:rsidR="00750475" w:rsidRPr="000B3136">
        <w:rPr>
          <w:vertAlign w:val="subscript"/>
          <w:lang w:val="en-GB"/>
        </w:rPr>
        <w:t>2</w:t>
      </w:r>
      <w:r w:rsidRPr="000B3136">
        <w:rPr>
          <w:lang w:val="en-GB"/>
        </w:rPr>
        <w:t xml:space="preserve"> and the vapor-phase CO</w:t>
      </w:r>
      <w:r w:rsidR="00750475" w:rsidRPr="000B3136">
        <w:rPr>
          <w:vertAlign w:val="subscript"/>
          <w:lang w:val="en-GB"/>
        </w:rPr>
        <w:t>2</w:t>
      </w:r>
      <w:r w:rsidRPr="000B3136">
        <w:rPr>
          <w:lang w:val="en-GB"/>
        </w:rPr>
        <w:t xml:space="preserve"> at equilibrium (Eq. </w:t>
      </w:r>
      <w:r w:rsidR="006618B2" w:rsidRPr="000B3136">
        <w:rPr>
          <w:lang w:val="en-GB"/>
        </w:rPr>
        <w:fldChar w:fldCharType="begin"/>
      </w:r>
      <w:r w:rsidR="006618B2" w:rsidRPr="000B3136">
        <w:rPr>
          <w:lang w:val="en-GB"/>
        </w:rPr>
        <w:instrText xml:space="preserve"> REF _Ref218680306 \h </w:instrText>
      </w:r>
      <w:r w:rsidR="006618B2" w:rsidRPr="000B3136">
        <w:rPr>
          <w:lang w:val="en-GB"/>
        </w:rPr>
      </w:r>
      <w:r w:rsidR="006618B2" w:rsidRPr="000B3136">
        <w:rPr>
          <w:lang w:val="en-GB"/>
        </w:rPr>
        <w:fldChar w:fldCharType="separate"/>
      </w:r>
      <w:r w:rsidR="00C94AA6" w:rsidRPr="000B3136">
        <w:rPr>
          <w:rFonts w:cs="Arial"/>
          <w:color w:val="000000" w:themeColor="text1"/>
          <w:szCs w:val="18"/>
        </w:rPr>
        <w:t>(</w:t>
      </w:r>
      <w:r w:rsidR="00C94AA6">
        <w:rPr>
          <w:rFonts w:cs="Arial"/>
          <w:noProof/>
          <w:color w:val="000000" w:themeColor="text1"/>
          <w:szCs w:val="18"/>
        </w:rPr>
        <w:t>5</w:t>
      </w:r>
      <w:r w:rsidR="00C94AA6" w:rsidRPr="000B3136">
        <w:rPr>
          <w:rFonts w:cs="Arial"/>
          <w:color w:val="000000" w:themeColor="text1"/>
          <w:szCs w:val="18"/>
        </w:rPr>
        <w:t>)</w:t>
      </w:r>
      <w:r w:rsidR="006618B2" w:rsidRPr="000B3136">
        <w:rPr>
          <w:lang w:val="en-GB"/>
        </w:rPr>
        <w:fldChar w:fldCharType="end"/>
      </w:r>
      <w:r w:rsidRPr="000B3136">
        <w:rPr>
          <w:lang w:val="en-GB"/>
        </w:rPr>
        <w:t>).</w:t>
      </w:r>
    </w:p>
    <w:tbl>
      <w:tblPr>
        <w:tblW w:w="5000" w:type="pct"/>
        <w:tblLook w:val="04A0" w:firstRow="1" w:lastRow="0" w:firstColumn="1" w:lastColumn="0" w:noHBand="0" w:noVBand="1"/>
      </w:tblPr>
      <w:tblGrid>
        <w:gridCol w:w="7985"/>
        <w:gridCol w:w="802"/>
      </w:tblGrid>
      <w:tr w:rsidR="00382261" w:rsidRPr="000B3136" w14:paraId="2A8547C3" w14:textId="77777777" w:rsidTr="00A95C1D">
        <w:tc>
          <w:tcPr>
            <w:tcW w:w="7985" w:type="dxa"/>
            <w:vAlign w:val="center"/>
          </w:tcPr>
          <w:p w14:paraId="4418F98C" w14:textId="784CA935" w:rsidR="00382261" w:rsidRPr="000B3136" w:rsidRDefault="00000000" w:rsidP="002406D9">
            <w:pPr>
              <w:pStyle w:val="CETBodytext"/>
              <w:spacing w:before="120" w:after="120"/>
              <w:jc w:val="left"/>
              <w:rPr>
                <w:rFonts w:cs="Arial"/>
                <w:color w:val="000000" w:themeColor="text1"/>
                <w:szCs w:val="18"/>
                <w:lang w:val="en-GB" w:eastAsia="it-IT"/>
              </w:rPr>
            </w:pPr>
            <m:oMathPara>
              <m:oMath>
                <m:sSubSup>
                  <m:sSubSupPr>
                    <m:ctrlPr>
                      <w:rPr>
                        <w:rFonts w:ascii="Cambria Math" w:eastAsiaTheme="minorEastAsia" w:hAnsi="Cambria Math" w:cs="Arial"/>
                        <w:i/>
                        <w:color w:val="000000" w:themeColor="text1"/>
                        <w:szCs w:val="18"/>
                        <w:lang w:val="en-GB"/>
                      </w:rPr>
                    </m:ctrlPr>
                  </m:sSubSupPr>
                  <m:e>
                    <m:r>
                      <w:rPr>
                        <w:rFonts w:ascii="Cambria Math" w:eastAsiaTheme="minorEastAsia" w:hAnsi="Cambria Math" w:cs="Arial"/>
                        <w:color w:val="000000" w:themeColor="text1"/>
                        <w:szCs w:val="18"/>
                        <w:lang w:val="en-GB"/>
                      </w:rPr>
                      <m:t>n</m:t>
                    </m:r>
                  </m:e>
                  <m:sub>
                    <m:sSub>
                      <m:sSubPr>
                        <m:ctrlPr>
                          <w:rPr>
                            <w:rFonts w:ascii="Cambria Math" w:eastAsiaTheme="minorEastAsia" w:hAnsi="Cambria Math" w:cs="Arial"/>
                            <w:i/>
                            <w:color w:val="000000" w:themeColor="text1"/>
                            <w:szCs w:val="18"/>
                            <w:lang w:val="en-GB"/>
                          </w:rPr>
                        </m:ctrlPr>
                      </m:sSubPr>
                      <m:e>
                        <m:r>
                          <w:rPr>
                            <w:rFonts w:ascii="Cambria Math" w:eastAsiaTheme="minorEastAsia" w:hAnsi="Cambria Math" w:cs="Arial"/>
                            <w:color w:val="000000" w:themeColor="text1"/>
                            <w:szCs w:val="18"/>
                            <w:lang w:val="en-GB"/>
                          </w:rPr>
                          <m:t>CO</m:t>
                        </m:r>
                      </m:e>
                      <m:sub>
                        <m:r>
                          <w:rPr>
                            <w:rFonts w:ascii="Cambria Math" w:eastAsiaTheme="minorEastAsia" w:hAnsi="Cambria Math" w:cs="Arial"/>
                            <w:color w:val="000000" w:themeColor="text1"/>
                            <w:szCs w:val="18"/>
                            <w:lang w:val="en-GB"/>
                          </w:rPr>
                          <m:t>2</m:t>
                        </m:r>
                      </m:sub>
                    </m:sSub>
                  </m:sub>
                  <m:sup>
                    <m:r>
                      <w:rPr>
                        <w:rFonts w:ascii="Cambria Math" w:eastAsiaTheme="minorEastAsia" w:hAnsi="Cambria Math" w:cs="Arial"/>
                        <w:color w:val="000000" w:themeColor="text1"/>
                        <w:szCs w:val="18"/>
                        <w:lang w:val="en-GB"/>
                      </w:rPr>
                      <m:t>abs</m:t>
                    </m:r>
                  </m:sup>
                </m:sSubSup>
                <m:r>
                  <w:rPr>
                    <w:rFonts w:ascii="Cambria Math" w:eastAsiaTheme="minorEastAsia" w:hAnsi="Cambria Math" w:cs="Arial"/>
                    <w:color w:val="000000" w:themeColor="text1"/>
                    <w:szCs w:val="18"/>
                    <w:lang w:val="en-GB"/>
                  </w:rPr>
                  <m:t xml:space="preserve">= </m:t>
                </m:r>
                <m:sSubSup>
                  <m:sSubSupPr>
                    <m:ctrlPr>
                      <w:rPr>
                        <w:rFonts w:ascii="Cambria Math" w:eastAsiaTheme="minorEastAsia" w:hAnsi="Cambria Math" w:cs="Arial"/>
                        <w:i/>
                        <w:color w:val="000000" w:themeColor="text1"/>
                        <w:szCs w:val="18"/>
                        <w:lang w:val="en-GB"/>
                      </w:rPr>
                    </m:ctrlPr>
                  </m:sSubSupPr>
                  <m:e>
                    <m:r>
                      <w:rPr>
                        <w:rFonts w:ascii="Cambria Math" w:eastAsiaTheme="minorEastAsia" w:hAnsi="Cambria Math" w:cs="Arial"/>
                        <w:color w:val="000000" w:themeColor="text1"/>
                        <w:szCs w:val="18"/>
                        <w:lang w:val="en-GB"/>
                      </w:rPr>
                      <m:t>n</m:t>
                    </m:r>
                  </m:e>
                  <m:sub>
                    <m:sSub>
                      <m:sSubPr>
                        <m:ctrlPr>
                          <w:rPr>
                            <w:rFonts w:ascii="Cambria Math" w:eastAsiaTheme="minorEastAsia" w:hAnsi="Cambria Math" w:cs="Arial"/>
                            <w:i/>
                            <w:color w:val="000000" w:themeColor="text1"/>
                            <w:szCs w:val="18"/>
                            <w:lang w:val="en-GB"/>
                          </w:rPr>
                        </m:ctrlPr>
                      </m:sSubPr>
                      <m:e>
                        <m:r>
                          <w:rPr>
                            <w:rFonts w:ascii="Cambria Math" w:eastAsiaTheme="minorEastAsia" w:hAnsi="Cambria Math" w:cs="Arial"/>
                            <w:color w:val="000000" w:themeColor="text1"/>
                            <w:szCs w:val="18"/>
                            <w:lang w:val="en-GB"/>
                          </w:rPr>
                          <m:t>CO</m:t>
                        </m:r>
                      </m:e>
                      <m:sub>
                        <m:r>
                          <w:rPr>
                            <w:rFonts w:ascii="Cambria Math" w:eastAsiaTheme="minorEastAsia" w:hAnsi="Cambria Math" w:cs="Arial"/>
                            <w:color w:val="000000" w:themeColor="text1"/>
                            <w:szCs w:val="18"/>
                            <w:lang w:val="en-GB"/>
                          </w:rPr>
                          <m:t>2</m:t>
                        </m:r>
                      </m:sub>
                    </m:sSub>
                  </m:sub>
                  <m:sup>
                    <m:r>
                      <w:rPr>
                        <w:rFonts w:ascii="Cambria Math" w:eastAsiaTheme="minorEastAsia" w:hAnsi="Cambria Math" w:cs="Arial"/>
                        <w:color w:val="000000" w:themeColor="text1"/>
                        <w:szCs w:val="18"/>
                        <w:lang w:val="en-GB"/>
                      </w:rPr>
                      <m:t>D2,i</m:t>
                    </m:r>
                  </m:sup>
                </m:sSubSup>
                <m:r>
                  <w:rPr>
                    <w:rFonts w:ascii="Cambria Math" w:eastAsiaTheme="minorEastAsia" w:hAnsi="Cambria Math" w:cs="Arial"/>
                    <w:color w:val="000000" w:themeColor="text1"/>
                    <w:szCs w:val="18"/>
                    <w:lang w:val="en-GB"/>
                  </w:rPr>
                  <m:t xml:space="preserve">- </m:t>
                </m:r>
                <m:sSubSup>
                  <m:sSubSupPr>
                    <m:ctrlPr>
                      <w:rPr>
                        <w:rFonts w:ascii="Cambria Math" w:eastAsiaTheme="minorEastAsia" w:hAnsi="Cambria Math" w:cs="Arial"/>
                        <w:i/>
                        <w:color w:val="000000" w:themeColor="text1"/>
                        <w:szCs w:val="18"/>
                        <w:lang w:val="en-GB"/>
                      </w:rPr>
                    </m:ctrlPr>
                  </m:sSubSupPr>
                  <m:e>
                    <m:r>
                      <w:rPr>
                        <w:rFonts w:ascii="Cambria Math" w:eastAsiaTheme="minorEastAsia" w:hAnsi="Cambria Math" w:cs="Arial"/>
                        <w:color w:val="000000" w:themeColor="text1"/>
                        <w:szCs w:val="18"/>
                        <w:lang w:val="en-GB"/>
                      </w:rPr>
                      <m:t>n</m:t>
                    </m:r>
                  </m:e>
                  <m:sub>
                    <m:sSub>
                      <m:sSubPr>
                        <m:ctrlPr>
                          <w:rPr>
                            <w:rFonts w:ascii="Cambria Math" w:eastAsiaTheme="minorEastAsia" w:hAnsi="Cambria Math" w:cs="Arial"/>
                            <w:i/>
                            <w:color w:val="000000" w:themeColor="text1"/>
                            <w:szCs w:val="18"/>
                            <w:lang w:val="en-GB"/>
                          </w:rPr>
                        </m:ctrlPr>
                      </m:sSubPr>
                      <m:e>
                        <m:r>
                          <w:rPr>
                            <w:rFonts w:ascii="Cambria Math" w:eastAsiaTheme="minorEastAsia" w:hAnsi="Cambria Math" w:cs="Arial"/>
                            <w:color w:val="000000" w:themeColor="text1"/>
                            <w:szCs w:val="18"/>
                            <w:lang w:val="en-GB"/>
                          </w:rPr>
                          <m:t>CO</m:t>
                        </m:r>
                      </m:e>
                      <m:sub>
                        <m:r>
                          <w:rPr>
                            <w:rFonts w:ascii="Cambria Math" w:eastAsiaTheme="minorEastAsia" w:hAnsi="Cambria Math" w:cs="Arial"/>
                            <w:color w:val="000000" w:themeColor="text1"/>
                            <w:szCs w:val="18"/>
                            <w:lang w:val="en-GB"/>
                          </w:rPr>
                          <m:t>2</m:t>
                        </m:r>
                      </m:sub>
                    </m:sSub>
                  </m:sub>
                  <m:sup>
                    <m:r>
                      <w:rPr>
                        <w:rFonts w:ascii="Cambria Math" w:eastAsiaTheme="minorEastAsia" w:hAnsi="Cambria Math" w:cs="Arial"/>
                        <w:color w:val="000000" w:themeColor="text1"/>
                        <w:szCs w:val="18"/>
                        <w:lang w:val="en-GB"/>
                      </w:rPr>
                      <m:t>D2,f</m:t>
                    </m:r>
                  </m:sup>
                </m:sSubSup>
              </m:oMath>
            </m:oMathPara>
          </w:p>
        </w:tc>
        <w:tc>
          <w:tcPr>
            <w:tcW w:w="802" w:type="dxa"/>
            <w:vAlign w:val="center"/>
          </w:tcPr>
          <w:p w14:paraId="0D2A4AD3" w14:textId="4E1B79C9" w:rsidR="00382261" w:rsidRPr="000B3136" w:rsidRDefault="00382261" w:rsidP="00382261">
            <w:pPr>
              <w:pStyle w:val="CETEquation"/>
              <w:jc w:val="right"/>
              <w:rPr>
                <w:rFonts w:cs="Arial"/>
                <w:color w:val="000000" w:themeColor="text1"/>
                <w:szCs w:val="18"/>
              </w:rPr>
            </w:pPr>
            <w:bookmarkStart w:id="8" w:name="_Ref218680306"/>
            <w:r w:rsidRPr="000B3136">
              <w:rPr>
                <w:rFonts w:cs="Arial"/>
                <w:color w:val="000000" w:themeColor="text1"/>
                <w:szCs w:val="18"/>
              </w:rPr>
              <w:t>(</w:t>
            </w:r>
            <w:r w:rsidRPr="000B3136">
              <w:rPr>
                <w:rFonts w:cs="Arial"/>
                <w:color w:val="000000" w:themeColor="text1"/>
                <w:szCs w:val="18"/>
              </w:rPr>
              <w:fldChar w:fldCharType="begin"/>
            </w:r>
            <w:r w:rsidRPr="000B3136">
              <w:rPr>
                <w:rFonts w:cs="Arial"/>
                <w:color w:val="000000" w:themeColor="text1"/>
                <w:szCs w:val="18"/>
              </w:rPr>
              <w:instrText xml:space="preserve"> SEQ Equation \* ARABIC </w:instrText>
            </w:r>
            <w:r w:rsidRPr="000B3136">
              <w:rPr>
                <w:rFonts w:cs="Arial"/>
                <w:color w:val="000000" w:themeColor="text1"/>
                <w:szCs w:val="18"/>
              </w:rPr>
              <w:fldChar w:fldCharType="separate"/>
            </w:r>
            <w:r w:rsidR="00C94AA6">
              <w:rPr>
                <w:rFonts w:cs="Arial"/>
                <w:noProof/>
                <w:color w:val="000000" w:themeColor="text1"/>
                <w:szCs w:val="18"/>
              </w:rPr>
              <w:t>5</w:t>
            </w:r>
            <w:r w:rsidRPr="000B3136">
              <w:rPr>
                <w:rFonts w:cs="Arial"/>
                <w:color w:val="000000" w:themeColor="text1"/>
                <w:szCs w:val="18"/>
              </w:rPr>
              <w:fldChar w:fldCharType="end"/>
            </w:r>
            <w:r w:rsidRPr="000B3136">
              <w:rPr>
                <w:rFonts w:cs="Arial"/>
                <w:color w:val="000000" w:themeColor="text1"/>
                <w:szCs w:val="18"/>
              </w:rPr>
              <w:t>)</w:t>
            </w:r>
            <w:bookmarkEnd w:id="8"/>
          </w:p>
        </w:tc>
      </w:tr>
    </w:tbl>
    <w:p w14:paraId="28367C64" w14:textId="5730B18C" w:rsidR="003C0F0E" w:rsidRPr="000B3136" w:rsidRDefault="003C0F0E" w:rsidP="002406D9">
      <w:pPr>
        <w:pStyle w:val="CETBodytext"/>
        <w:numPr>
          <w:ilvl w:val="0"/>
          <w:numId w:val="23"/>
        </w:numPr>
        <w:ind w:left="357" w:hanging="357"/>
        <w:rPr>
          <w:lang w:val="en-GB"/>
        </w:rPr>
      </w:pPr>
      <w:r w:rsidRPr="000B3136">
        <w:rPr>
          <w:lang w:val="en-GB"/>
        </w:rPr>
        <w:t>The equilibrium loading</w:t>
      </w:r>
      <w:r w:rsidR="00794E09">
        <w:rPr>
          <w:lang w:val="en-GB"/>
        </w:rPr>
        <w:t xml:space="preserve"> (</w:t>
      </w:r>
      <m:oMath>
        <m:r>
          <w:rPr>
            <w:rFonts w:ascii="Cambria Math" w:hAnsi="Cambria Math"/>
            <w:color w:val="000000" w:themeColor="text1"/>
            <w:szCs w:val="18"/>
            <w:lang w:val="en-GB"/>
          </w:rPr>
          <m:t>α</m:t>
        </m:r>
      </m:oMath>
      <w:r w:rsidR="00794E09">
        <w:rPr>
          <w:lang w:val="en-GB"/>
        </w:rPr>
        <w:t>)</w:t>
      </w:r>
      <w:r w:rsidRPr="000B3136">
        <w:rPr>
          <w:lang w:val="en-GB"/>
        </w:rPr>
        <w:t>, defined as the ratio between the moles of absorbed CO</w:t>
      </w:r>
      <w:r w:rsidR="00750475" w:rsidRPr="000B3136">
        <w:rPr>
          <w:vertAlign w:val="subscript"/>
          <w:lang w:val="en-GB"/>
        </w:rPr>
        <w:t>2</w:t>
      </w:r>
      <w:r w:rsidRPr="000B3136">
        <w:rPr>
          <w:lang w:val="en-GB"/>
        </w:rPr>
        <w:t xml:space="preserve"> and the moles of solvent present in the liquid phase at equilibrium</w:t>
      </w:r>
      <w:r w:rsidR="00794E09">
        <w:rPr>
          <w:lang w:val="en-GB"/>
        </w:rPr>
        <w:t xml:space="preserve"> (</w:t>
      </w:r>
      <m:oMath>
        <m:sSubSup>
          <m:sSubSupPr>
            <m:ctrlPr>
              <w:rPr>
                <w:rFonts w:ascii="Cambria Math" w:hAnsi="Cambria Math"/>
                <w:i/>
                <w:color w:val="000000" w:themeColor="text1"/>
                <w:szCs w:val="18"/>
                <w:lang w:val="en-GB"/>
              </w:rPr>
            </m:ctrlPr>
          </m:sSubSupPr>
          <m:e>
            <m:r>
              <w:rPr>
                <w:rFonts w:ascii="Cambria Math" w:hAnsi="Cambria Math"/>
                <w:color w:val="000000" w:themeColor="text1"/>
                <w:szCs w:val="18"/>
                <w:lang w:val="en-GB"/>
              </w:rPr>
              <m:t>n</m:t>
            </m:r>
          </m:e>
          <m:sub>
            <m:r>
              <w:rPr>
                <w:rFonts w:ascii="Cambria Math" w:hAnsi="Cambria Math"/>
                <w:color w:val="000000" w:themeColor="text1"/>
                <w:szCs w:val="18"/>
                <w:lang w:val="en-GB"/>
              </w:rPr>
              <m:t>SOL</m:t>
            </m:r>
          </m:sub>
          <m:sup>
            <m:r>
              <w:rPr>
                <w:rFonts w:ascii="Cambria Math" w:hAnsi="Cambria Math"/>
                <w:color w:val="000000" w:themeColor="text1"/>
                <w:szCs w:val="18"/>
                <w:lang w:val="en-GB"/>
              </w:rPr>
              <m:t>f</m:t>
            </m:r>
          </m:sup>
        </m:sSubSup>
      </m:oMath>
      <w:r w:rsidR="00794E09">
        <w:rPr>
          <w:lang w:val="en-GB"/>
        </w:rPr>
        <w:t>)</w:t>
      </w:r>
      <w:r w:rsidRPr="000B3136">
        <w:rPr>
          <w:lang w:val="en-GB"/>
        </w:rPr>
        <w:t xml:space="preserve">, is calculated according to Eq. </w:t>
      </w:r>
      <w:r w:rsidR="006618B2" w:rsidRPr="000B3136">
        <w:rPr>
          <w:lang w:val="en-GB"/>
        </w:rPr>
        <w:fldChar w:fldCharType="begin"/>
      </w:r>
      <w:r w:rsidR="006618B2" w:rsidRPr="000B3136">
        <w:rPr>
          <w:lang w:val="en-GB"/>
        </w:rPr>
        <w:instrText xml:space="preserve"> REF _Ref218680289 \h  \* MERGEFORMAT </w:instrText>
      </w:r>
      <w:r w:rsidR="006618B2" w:rsidRPr="000B3136">
        <w:rPr>
          <w:lang w:val="en-GB"/>
        </w:rPr>
      </w:r>
      <w:r w:rsidR="006618B2" w:rsidRPr="000B3136">
        <w:rPr>
          <w:lang w:val="en-GB"/>
        </w:rPr>
        <w:fldChar w:fldCharType="separate"/>
      </w:r>
      <w:r w:rsidR="00C94AA6" w:rsidRPr="00C94AA6">
        <w:rPr>
          <w:rFonts w:cs="Arial"/>
          <w:color w:val="000000" w:themeColor="text1"/>
          <w:szCs w:val="18"/>
          <w:lang w:val="en-GB"/>
        </w:rPr>
        <w:t>(</w:t>
      </w:r>
      <w:r w:rsidR="00C94AA6" w:rsidRPr="00C94AA6">
        <w:rPr>
          <w:rFonts w:cs="Arial"/>
          <w:color w:val="000000" w:themeColor="text1"/>
          <w:lang w:val="en-GB"/>
        </w:rPr>
        <w:t>6</w:t>
      </w:r>
      <w:r w:rsidR="00C94AA6" w:rsidRPr="00C94AA6">
        <w:rPr>
          <w:rFonts w:cs="Arial"/>
          <w:color w:val="000000" w:themeColor="text1"/>
          <w:szCs w:val="18"/>
          <w:lang w:val="en-GB"/>
        </w:rPr>
        <w:t>)</w:t>
      </w:r>
      <w:r w:rsidR="006618B2" w:rsidRPr="000B3136">
        <w:rPr>
          <w:lang w:val="en-GB"/>
        </w:rPr>
        <w:fldChar w:fldCharType="end"/>
      </w:r>
      <w:r w:rsidRPr="000B3136">
        <w:rPr>
          <w:lang w:val="en-GB"/>
        </w:rPr>
        <w:t>. The latter is obtained from the initial amount of solvent charged</w:t>
      </w:r>
      <w:r w:rsidR="00794E09">
        <w:rPr>
          <w:lang w:val="en-GB"/>
        </w:rPr>
        <w:t xml:space="preserve"> (</w:t>
      </w:r>
      <m:oMath>
        <m:sSubSup>
          <m:sSubSupPr>
            <m:ctrlPr>
              <w:rPr>
                <w:rFonts w:ascii="Cambria Math" w:hAnsi="Cambria Math"/>
                <w:i/>
                <w:color w:val="000000" w:themeColor="text1"/>
                <w:szCs w:val="18"/>
                <w:lang w:val="en-GB"/>
              </w:rPr>
            </m:ctrlPr>
          </m:sSubSupPr>
          <m:e>
            <m:r>
              <w:rPr>
                <w:rFonts w:ascii="Cambria Math" w:hAnsi="Cambria Math"/>
                <w:color w:val="000000" w:themeColor="text1"/>
                <w:szCs w:val="18"/>
                <w:lang w:val="en-GB"/>
              </w:rPr>
              <m:t>n</m:t>
            </m:r>
          </m:e>
          <m:sub>
            <m:r>
              <w:rPr>
                <w:rFonts w:ascii="Cambria Math" w:hAnsi="Cambria Math"/>
                <w:color w:val="000000" w:themeColor="text1"/>
                <w:szCs w:val="18"/>
                <w:lang w:val="en-GB"/>
              </w:rPr>
              <m:t>SOL</m:t>
            </m:r>
          </m:sub>
          <m:sup>
            <m:r>
              <w:rPr>
                <w:rFonts w:ascii="Cambria Math" w:hAnsi="Cambria Math"/>
                <w:color w:val="000000" w:themeColor="text1"/>
                <w:szCs w:val="18"/>
                <w:lang w:val="en-GB"/>
              </w:rPr>
              <m:t>i</m:t>
            </m:r>
          </m:sup>
        </m:sSubSup>
      </m:oMath>
      <w:r w:rsidR="00794E09">
        <w:rPr>
          <w:lang w:val="en-GB"/>
        </w:rPr>
        <w:t>)</w:t>
      </w:r>
      <w:r w:rsidRPr="000B3136">
        <w:rPr>
          <w:lang w:val="en-GB"/>
        </w:rPr>
        <w:t>, corrected for losses</w:t>
      </w:r>
      <w:r w:rsidR="00794E09">
        <w:rPr>
          <w:lang w:val="en-GB"/>
        </w:rPr>
        <w:t xml:space="preserve"> (</w:t>
      </w:r>
      <m:oMath>
        <m:sSubSup>
          <m:sSubSupPr>
            <m:ctrlPr>
              <w:rPr>
                <w:rFonts w:ascii="Cambria Math" w:hAnsi="Cambria Math"/>
                <w:i/>
                <w:color w:val="000000" w:themeColor="text1"/>
                <w:szCs w:val="18"/>
                <w:lang w:val="en-GB"/>
              </w:rPr>
            </m:ctrlPr>
          </m:sSubSupPr>
          <m:e>
            <m:r>
              <w:rPr>
                <w:rFonts w:ascii="Cambria Math" w:hAnsi="Cambria Math"/>
                <w:color w:val="000000" w:themeColor="text1"/>
                <w:szCs w:val="18"/>
                <w:lang w:val="en-GB"/>
              </w:rPr>
              <m:t>n</m:t>
            </m:r>
          </m:e>
          <m:sub>
            <m:r>
              <w:rPr>
                <w:rFonts w:ascii="Cambria Math" w:hAnsi="Cambria Math"/>
                <w:color w:val="000000" w:themeColor="text1"/>
                <w:szCs w:val="18"/>
                <w:lang w:val="en-GB"/>
              </w:rPr>
              <m:t>SOL</m:t>
            </m:r>
          </m:sub>
          <m:sup>
            <m:r>
              <w:rPr>
                <w:rFonts w:ascii="Cambria Math" w:hAnsi="Cambria Math"/>
                <w:color w:val="000000" w:themeColor="text1"/>
                <w:szCs w:val="18"/>
                <w:lang w:val="en-GB"/>
              </w:rPr>
              <m:t>loss</m:t>
            </m:r>
          </m:sup>
        </m:sSubSup>
      </m:oMath>
      <w:r w:rsidR="00794E09">
        <w:rPr>
          <w:lang w:val="en-GB"/>
        </w:rPr>
        <w:t>)</w:t>
      </w:r>
      <w:r w:rsidRPr="000B3136">
        <w:rPr>
          <w:lang w:val="en-GB"/>
        </w:rPr>
        <w:t xml:space="preserve"> occurring during evacuation (Eq. </w:t>
      </w:r>
      <w:r w:rsidR="006618B2" w:rsidRPr="000B3136">
        <w:rPr>
          <w:lang w:val="en-GB"/>
        </w:rPr>
        <w:fldChar w:fldCharType="begin"/>
      </w:r>
      <w:r w:rsidR="006618B2" w:rsidRPr="000B3136">
        <w:rPr>
          <w:lang w:val="en-GB"/>
        </w:rPr>
        <w:instrText xml:space="preserve"> REF _Ref218680283 \h </w:instrText>
      </w:r>
      <w:r w:rsidR="006618B2" w:rsidRPr="000B3136">
        <w:rPr>
          <w:lang w:val="en-GB"/>
        </w:rPr>
      </w:r>
      <w:r w:rsidR="006618B2" w:rsidRPr="000B3136">
        <w:rPr>
          <w:lang w:val="en-GB"/>
        </w:rPr>
        <w:fldChar w:fldCharType="separate"/>
      </w:r>
      <w:r w:rsidR="00C94AA6" w:rsidRPr="000B3136">
        <w:rPr>
          <w:rFonts w:cs="Arial"/>
          <w:color w:val="000000" w:themeColor="text1"/>
          <w:szCs w:val="18"/>
        </w:rPr>
        <w:t>(</w:t>
      </w:r>
      <w:r w:rsidR="00C94AA6">
        <w:rPr>
          <w:rFonts w:cs="Arial"/>
          <w:noProof/>
          <w:color w:val="000000" w:themeColor="text1"/>
          <w:szCs w:val="18"/>
        </w:rPr>
        <w:t>7</w:t>
      </w:r>
      <w:r w:rsidR="00C94AA6" w:rsidRPr="000B3136">
        <w:rPr>
          <w:rFonts w:cs="Arial"/>
          <w:color w:val="000000" w:themeColor="text1"/>
          <w:szCs w:val="18"/>
        </w:rPr>
        <w:t>)</w:t>
      </w:r>
      <w:r w:rsidR="006618B2" w:rsidRPr="000B3136">
        <w:rPr>
          <w:lang w:val="en-GB"/>
        </w:rPr>
        <w:fldChar w:fldCharType="end"/>
      </w:r>
      <w:r w:rsidRPr="000B3136">
        <w:rPr>
          <w:lang w:val="en-GB"/>
        </w:rPr>
        <w:t xml:space="preserve">). </w:t>
      </w:r>
    </w:p>
    <w:tbl>
      <w:tblPr>
        <w:tblW w:w="5000" w:type="pct"/>
        <w:tblLook w:val="04A0" w:firstRow="1" w:lastRow="0" w:firstColumn="1" w:lastColumn="0" w:noHBand="0" w:noVBand="1"/>
      </w:tblPr>
      <w:tblGrid>
        <w:gridCol w:w="7986"/>
        <w:gridCol w:w="801"/>
      </w:tblGrid>
      <w:tr w:rsidR="00382261" w:rsidRPr="000B3136" w14:paraId="7EB81499" w14:textId="77777777" w:rsidTr="002406D9">
        <w:tc>
          <w:tcPr>
            <w:tcW w:w="7986" w:type="dxa"/>
            <w:vAlign w:val="center"/>
          </w:tcPr>
          <w:p w14:paraId="3171D36A" w14:textId="0E38CEA5" w:rsidR="00382261" w:rsidRPr="000B3136" w:rsidRDefault="006618B2" w:rsidP="009F5799">
            <w:pPr>
              <w:pStyle w:val="CETEquation"/>
              <w:rPr>
                <w:rFonts w:cs="Arial"/>
                <w:color w:val="000000" w:themeColor="text1"/>
                <w:szCs w:val="18"/>
              </w:rPr>
            </w:pPr>
            <m:oMathPara>
              <m:oMath>
                <m:r>
                  <w:rPr>
                    <w:rFonts w:ascii="Cambria Math" w:hAnsi="Cambria Math"/>
                    <w:color w:val="000000" w:themeColor="text1"/>
                    <w:szCs w:val="18"/>
                  </w:rPr>
                  <m:t xml:space="preserve">α= </m:t>
                </m:r>
                <m:f>
                  <m:fPr>
                    <m:ctrlPr>
                      <w:rPr>
                        <w:rFonts w:ascii="Cambria Math" w:hAnsi="Cambria Math"/>
                        <w:i/>
                        <w:color w:val="000000" w:themeColor="text1"/>
                        <w:szCs w:val="18"/>
                      </w:rPr>
                    </m:ctrlPr>
                  </m:fPr>
                  <m:num>
                    <m:sSubSup>
                      <m:sSubSupPr>
                        <m:ctrlPr>
                          <w:rPr>
                            <w:rFonts w:ascii="Cambria Math" w:hAnsi="Cambria Math"/>
                            <w:i/>
                            <w:color w:val="000000" w:themeColor="text1"/>
                            <w:szCs w:val="18"/>
                          </w:rPr>
                        </m:ctrlPr>
                      </m:sSubSupPr>
                      <m:e>
                        <m:r>
                          <w:rPr>
                            <w:rFonts w:ascii="Cambria Math" w:hAnsi="Cambria Math"/>
                            <w:color w:val="000000" w:themeColor="text1"/>
                            <w:szCs w:val="18"/>
                          </w:rPr>
                          <m:t>n</m:t>
                        </m:r>
                      </m:e>
                      <m:sub>
                        <m:sSub>
                          <m:sSubPr>
                            <m:ctrlPr>
                              <w:rPr>
                                <w:rFonts w:ascii="Cambria Math" w:hAnsi="Cambria Math"/>
                                <w:i/>
                                <w:color w:val="000000" w:themeColor="text1"/>
                                <w:szCs w:val="18"/>
                              </w:rPr>
                            </m:ctrlPr>
                          </m:sSubPr>
                          <m:e>
                            <m:r>
                              <w:rPr>
                                <w:rFonts w:ascii="Cambria Math" w:hAnsi="Cambria Math"/>
                                <w:color w:val="000000" w:themeColor="text1"/>
                                <w:szCs w:val="18"/>
                              </w:rPr>
                              <m:t>CO</m:t>
                            </m:r>
                          </m:e>
                          <m:sub>
                            <m:r>
                              <w:rPr>
                                <w:rFonts w:ascii="Cambria Math" w:hAnsi="Cambria Math"/>
                                <w:color w:val="000000" w:themeColor="text1"/>
                                <w:szCs w:val="18"/>
                              </w:rPr>
                              <m:t>2</m:t>
                            </m:r>
                          </m:sub>
                        </m:sSub>
                      </m:sub>
                      <m:sup>
                        <m:r>
                          <w:rPr>
                            <w:rFonts w:ascii="Cambria Math" w:hAnsi="Cambria Math"/>
                            <w:color w:val="000000" w:themeColor="text1"/>
                            <w:szCs w:val="18"/>
                          </w:rPr>
                          <m:t>abs</m:t>
                        </m:r>
                      </m:sup>
                    </m:sSubSup>
                  </m:num>
                  <m:den>
                    <m:sSubSup>
                      <m:sSubSupPr>
                        <m:ctrlPr>
                          <w:rPr>
                            <w:rFonts w:ascii="Cambria Math" w:hAnsi="Cambria Math"/>
                            <w:i/>
                            <w:color w:val="000000" w:themeColor="text1"/>
                            <w:szCs w:val="18"/>
                          </w:rPr>
                        </m:ctrlPr>
                      </m:sSubSupPr>
                      <m:e>
                        <m:r>
                          <w:rPr>
                            <w:rFonts w:ascii="Cambria Math" w:hAnsi="Cambria Math"/>
                            <w:color w:val="000000" w:themeColor="text1"/>
                            <w:szCs w:val="18"/>
                          </w:rPr>
                          <m:t>n</m:t>
                        </m:r>
                      </m:e>
                      <m:sub>
                        <m:r>
                          <w:rPr>
                            <w:rFonts w:ascii="Cambria Math" w:hAnsi="Cambria Math"/>
                            <w:color w:val="000000" w:themeColor="text1"/>
                            <w:szCs w:val="18"/>
                          </w:rPr>
                          <m:t>SOL</m:t>
                        </m:r>
                      </m:sub>
                      <m:sup>
                        <m:r>
                          <w:rPr>
                            <w:rFonts w:ascii="Cambria Math" w:hAnsi="Cambria Math"/>
                            <w:color w:val="000000" w:themeColor="text1"/>
                            <w:szCs w:val="18"/>
                          </w:rPr>
                          <m:t>f</m:t>
                        </m:r>
                      </m:sup>
                    </m:sSubSup>
                  </m:den>
                </m:f>
              </m:oMath>
            </m:oMathPara>
          </w:p>
        </w:tc>
        <w:tc>
          <w:tcPr>
            <w:tcW w:w="801" w:type="dxa"/>
            <w:vAlign w:val="center"/>
          </w:tcPr>
          <w:p w14:paraId="76C856D5" w14:textId="64F8AB1D" w:rsidR="00382261" w:rsidRPr="000B3136" w:rsidRDefault="00382261" w:rsidP="009F5799">
            <w:pPr>
              <w:pStyle w:val="Caption"/>
              <w:keepNext/>
              <w:spacing w:before="120" w:after="120" w:line="264" w:lineRule="auto"/>
              <w:jc w:val="right"/>
              <w:rPr>
                <w:rFonts w:cs="Arial"/>
                <w:b w:val="0"/>
                <w:bCs w:val="0"/>
                <w:color w:val="000000" w:themeColor="text1"/>
              </w:rPr>
            </w:pPr>
            <w:bookmarkStart w:id="9" w:name="_Ref218680289"/>
            <w:r w:rsidRPr="000B3136">
              <w:rPr>
                <w:rFonts w:cs="Arial"/>
                <w:b w:val="0"/>
                <w:bCs w:val="0"/>
                <w:color w:val="000000" w:themeColor="text1"/>
              </w:rPr>
              <w:t>(</w:t>
            </w:r>
            <w:r w:rsidRPr="000B3136">
              <w:rPr>
                <w:rFonts w:cs="Arial"/>
                <w:b w:val="0"/>
                <w:bCs w:val="0"/>
                <w:color w:val="000000" w:themeColor="text1"/>
              </w:rPr>
              <w:fldChar w:fldCharType="begin"/>
            </w:r>
            <w:r w:rsidRPr="000B3136">
              <w:rPr>
                <w:rFonts w:cs="Arial"/>
                <w:b w:val="0"/>
                <w:bCs w:val="0"/>
                <w:color w:val="000000" w:themeColor="text1"/>
              </w:rPr>
              <w:instrText xml:space="preserve"> SEQ Equation \* ARABIC </w:instrText>
            </w:r>
            <w:r w:rsidRPr="000B3136">
              <w:rPr>
                <w:rFonts w:cs="Arial"/>
                <w:b w:val="0"/>
                <w:bCs w:val="0"/>
                <w:color w:val="000000" w:themeColor="text1"/>
              </w:rPr>
              <w:fldChar w:fldCharType="separate"/>
            </w:r>
            <w:r w:rsidR="00C94AA6">
              <w:rPr>
                <w:rFonts w:cs="Arial"/>
                <w:b w:val="0"/>
                <w:bCs w:val="0"/>
                <w:noProof/>
                <w:color w:val="000000" w:themeColor="text1"/>
              </w:rPr>
              <w:t>6</w:t>
            </w:r>
            <w:r w:rsidRPr="000B3136">
              <w:rPr>
                <w:rFonts w:cs="Arial"/>
                <w:b w:val="0"/>
                <w:bCs w:val="0"/>
                <w:color w:val="000000" w:themeColor="text1"/>
              </w:rPr>
              <w:fldChar w:fldCharType="end"/>
            </w:r>
            <w:r w:rsidRPr="000B3136">
              <w:rPr>
                <w:rFonts w:cs="Arial"/>
                <w:b w:val="0"/>
                <w:bCs w:val="0"/>
                <w:color w:val="000000" w:themeColor="text1"/>
              </w:rPr>
              <w:t>)</w:t>
            </w:r>
            <w:bookmarkEnd w:id="9"/>
          </w:p>
        </w:tc>
      </w:tr>
      <w:tr w:rsidR="00382261" w:rsidRPr="000B3136" w14:paraId="44E30492" w14:textId="77777777" w:rsidTr="002406D9">
        <w:tc>
          <w:tcPr>
            <w:tcW w:w="7986" w:type="dxa"/>
            <w:vAlign w:val="center"/>
          </w:tcPr>
          <w:p w14:paraId="76FB2F15" w14:textId="7BF04218" w:rsidR="00382261" w:rsidRPr="000B3136" w:rsidRDefault="00000000" w:rsidP="009F5799">
            <w:pPr>
              <w:pStyle w:val="CETBodytext"/>
              <w:spacing w:before="120" w:after="120"/>
              <w:rPr>
                <w:rFonts w:cs="Arial"/>
                <w:color w:val="000000" w:themeColor="text1"/>
                <w:szCs w:val="18"/>
                <w:lang w:val="en-GB" w:eastAsia="it-IT"/>
              </w:rPr>
            </w:pPr>
            <m:oMathPara>
              <m:oMath>
                <m:sSubSup>
                  <m:sSubSupPr>
                    <m:ctrlPr>
                      <w:rPr>
                        <w:rFonts w:ascii="Cambria Math" w:hAnsi="Cambria Math"/>
                        <w:i/>
                        <w:color w:val="000000" w:themeColor="text1"/>
                        <w:szCs w:val="18"/>
                        <w:lang w:val="en-GB"/>
                      </w:rPr>
                    </m:ctrlPr>
                  </m:sSubSupPr>
                  <m:e>
                    <m:r>
                      <w:rPr>
                        <w:rFonts w:ascii="Cambria Math" w:hAnsi="Cambria Math"/>
                        <w:color w:val="000000" w:themeColor="text1"/>
                        <w:szCs w:val="18"/>
                        <w:lang w:val="en-GB"/>
                      </w:rPr>
                      <m:t>n</m:t>
                    </m:r>
                  </m:e>
                  <m:sub>
                    <m:r>
                      <w:rPr>
                        <w:rFonts w:ascii="Cambria Math" w:hAnsi="Cambria Math"/>
                        <w:color w:val="000000" w:themeColor="text1"/>
                        <w:szCs w:val="18"/>
                        <w:lang w:val="en-GB"/>
                      </w:rPr>
                      <m:t>SOL</m:t>
                    </m:r>
                  </m:sub>
                  <m:sup>
                    <m:r>
                      <w:rPr>
                        <w:rFonts w:ascii="Cambria Math" w:hAnsi="Cambria Math"/>
                        <w:color w:val="000000" w:themeColor="text1"/>
                        <w:szCs w:val="18"/>
                        <w:lang w:val="en-GB"/>
                      </w:rPr>
                      <m:t>f</m:t>
                    </m:r>
                  </m:sup>
                </m:sSubSup>
                <m:r>
                  <w:rPr>
                    <w:rFonts w:ascii="Cambria Math" w:hAnsi="Cambria Math"/>
                    <w:color w:val="000000" w:themeColor="text1"/>
                    <w:szCs w:val="18"/>
                    <w:lang w:val="en-GB"/>
                  </w:rPr>
                  <m:t xml:space="preserve"> = </m:t>
                </m:r>
                <m:sSubSup>
                  <m:sSubSupPr>
                    <m:ctrlPr>
                      <w:rPr>
                        <w:rFonts w:ascii="Cambria Math" w:hAnsi="Cambria Math"/>
                        <w:i/>
                        <w:color w:val="000000" w:themeColor="text1"/>
                        <w:szCs w:val="18"/>
                        <w:lang w:val="en-GB"/>
                      </w:rPr>
                    </m:ctrlPr>
                  </m:sSubSupPr>
                  <m:e>
                    <m:r>
                      <w:rPr>
                        <w:rFonts w:ascii="Cambria Math" w:hAnsi="Cambria Math"/>
                        <w:color w:val="000000" w:themeColor="text1"/>
                        <w:szCs w:val="18"/>
                        <w:lang w:val="en-GB"/>
                      </w:rPr>
                      <m:t>n</m:t>
                    </m:r>
                  </m:e>
                  <m:sub>
                    <m:r>
                      <w:rPr>
                        <w:rFonts w:ascii="Cambria Math" w:hAnsi="Cambria Math"/>
                        <w:color w:val="000000" w:themeColor="text1"/>
                        <w:szCs w:val="18"/>
                        <w:lang w:val="en-GB"/>
                      </w:rPr>
                      <m:t>SOL</m:t>
                    </m:r>
                  </m:sub>
                  <m:sup>
                    <m:r>
                      <w:rPr>
                        <w:rFonts w:ascii="Cambria Math" w:hAnsi="Cambria Math"/>
                        <w:color w:val="000000" w:themeColor="text1"/>
                        <w:szCs w:val="18"/>
                        <w:lang w:val="en-GB"/>
                      </w:rPr>
                      <m:t>i</m:t>
                    </m:r>
                  </m:sup>
                </m:sSubSup>
                <m:r>
                  <w:rPr>
                    <w:rFonts w:ascii="Cambria Math" w:hAnsi="Cambria Math"/>
                    <w:color w:val="000000" w:themeColor="text1"/>
                    <w:szCs w:val="18"/>
                    <w:lang w:val="en-GB"/>
                  </w:rPr>
                  <m:t xml:space="preserve">- </m:t>
                </m:r>
                <m:sSubSup>
                  <m:sSubSupPr>
                    <m:ctrlPr>
                      <w:rPr>
                        <w:rFonts w:ascii="Cambria Math" w:hAnsi="Cambria Math"/>
                        <w:i/>
                        <w:color w:val="000000" w:themeColor="text1"/>
                        <w:szCs w:val="18"/>
                        <w:lang w:val="en-GB"/>
                      </w:rPr>
                    </m:ctrlPr>
                  </m:sSubSupPr>
                  <m:e>
                    <m:r>
                      <w:rPr>
                        <w:rFonts w:ascii="Cambria Math" w:hAnsi="Cambria Math"/>
                        <w:color w:val="000000" w:themeColor="text1"/>
                        <w:szCs w:val="18"/>
                        <w:lang w:val="en-GB"/>
                      </w:rPr>
                      <m:t>n</m:t>
                    </m:r>
                  </m:e>
                  <m:sub>
                    <m:r>
                      <w:rPr>
                        <w:rFonts w:ascii="Cambria Math" w:hAnsi="Cambria Math"/>
                        <w:color w:val="000000" w:themeColor="text1"/>
                        <w:szCs w:val="18"/>
                        <w:lang w:val="en-GB"/>
                      </w:rPr>
                      <m:t>SOL</m:t>
                    </m:r>
                  </m:sub>
                  <m:sup>
                    <m:r>
                      <w:rPr>
                        <w:rFonts w:ascii="Cambria Math" w:hAnsi="Cambria Math"/>
                        <w:color w:val="000000" w:themeColor="text1"/>
                        <w:szCs w:val="18"/>
                        <w:lang w:val="en-GB"/>
                      </w:rPr>
                      <m:t>loss</m:t>
                    </m:r>
                  </m:sup>
                </m:sSubSup>
              </m:oMath>
            </m:oMathPara>
          </w:p>
        </w:tc>
        <w:tc>
          <w:tcPr>
            <w:tcW w:w="801" w:type="dxa"/>
            <w:vAlign w:val="center"/>
          </w:tcPr>
          <w:p w14:paraId="1D4A426D" w14:textId="0B85AB43" w:rsidR="00382261" w:rsidRPr="000B3136" w:rsidRDefault="00382261" w:rsidP="009F5799">
            <w:pPr>
              <w:pStyle w:val="CETEquation"/>
              <w:jc w:val="right"/>
              <w:rPr>
                <w:rFonts w:cs="Arial"/>
                <w:color w:val="000000" w:themeColor="text1"/>
                <w:szCs w:val="18"/>
              </w:rPr>
            </w:pPr>
            <w:bookmarkStart w:id="10" w:name="_Ref218680283"/>
            <w:r w:rsidRPr="000B3136">
              <w:rPr>
                <w:rFonts w:cs="Arial"/>
                <w:color w:val="000000" w:themeColor="text1"/>
                <w:szCs w:val="18"/>
              </w:rPr>
              <w:t>(</w:t>
            </w:r>
            <w:r w:rsidRPr="000B3136">
              <w:rPr>
                <w:rFonts w:cs="Arial"/>
                <w:color w:val="000000" w:themeColor="text1"/>
                <w:szCs w:val="18"/>
              </w:rPr>
              <w:fldChar w:fldCharType="begin"/>
            </w:r>
            <w:r w:rsidRPr="000B3136">
              <w:rPr>
                <w:rFonts w:cs="Arial"/>
                <w:color w:val="000000" w:themeColor="text1"/>
                <w:szCs w:val="18"/>
              </w:rPr>
              <w:instrText xml:space="preserve"> SEQ Equation \* ARABIC </w:instrText>
            </w:r>
            <w:r w:rsidRPr="000B3136">
              <w:rPr>
                <w:rFonts w:cs="Arial"/>
                <w:color w:val="000000" w:themeColor="text1"/>
                <w:szCs w:val="18"/>
              </w:rPr>
              <w:fldChar w:fldCharType="separate"/>
            </w:r>
            <w:r w:rsidR="00C94AA6">
              <w:rPr>
                <w:rFonts w:cs="Arial"/>
                <w:noProof/>
                <w:color w:val="000000" w:themeColor="text1"/>
                <w:szCs w:val="18"/>
              </w:rPr>
              <w:t>7</w:t>
            </w:r>
            <w:r w:rsidRPr="000B3136">
              <w:rPr>
                <w:rFonts w:cs="Arial"/>
                <w:color w:val="000000" w:themeColor="text1"/>
                <w:szCs w:val="18"/>
              </w:rPr>
              <w:fldChar w:fldCharType="end"/>
            </w:r>
            <w:r w:rsidRPr="000B3136">
              <w:rPr>
                <w:rFonts w:cs="Arial"/>
                <w:color w:val="000000" w:themeColor="text1"/>
                <w:szCs w:val="18"/>
              </w:rPr>
              <w:t>)</w:t>
            </w:r>
            <w:bookmarkEnd w:id="10"/>
          </w:p>
        </w:tc>
      </w:tr>
    </w:tbl>
    <w:p w14:paraId="322554D4" w14:textId="2270D639" w:rsidR="002406D9" w:rsidRPr="002406D9" w:rsidRDefault="002406D9" w:rsidP="002406D9">
      <w:pPr>
        <w:pStyle w:val="CETBodytext"/>
        <w:numPr>
          <w:ilvl w:val="0"/>
          <w:numId w:val="23"/>
        </w:numPr>
        <w:ind w:left="357" w:hanging="357"/>
        <w:rPr>
          <w:lang w:val="en-GB"/>
        </w:rPr>
      </w:pPr>
      <w:r w:rsidRPr="000B3136">
        <w:rPr>
          <w:lang w:val="en-GB"/>
        </w:rPr>
        <w:t>The partial pressure of CO</w:t>
      </w:r>
      <w:r w:rsidRPr="000B3136">
        <w:rPr>
          <w:vertAlign w:val="subscript"/>
          <w:lang w:val="en-GB"/>
        </w:rPr>
        <w:t>2</w:t>
      </w:r>
      <w:r w:rsidRPr="000B3136">
        <w:rPr>
          <w:lang w:val="en-GB"/>
        </w:rPr>
        <w:t xml:space="preserve"> </w:t>
      </w:r>
      <w:r>
        <w:rPr>
          <w:lang w:val="en-GB"/>
        </w:rPr>
        <w:t>(</w:t>
      </w:r>
      <m:oMath>
        <m:sSub>
          <m:sSubPr>
            <m:ctrlPr>
              <w:rPr>
                <w:rFonts w:ascii="Cambria Math" w:hAnsi="Cambria Math"/>
                <w:i/>
                <w:color w:val="000000" w:themeColor="text1"/>
                <w:szCs w:val="18"/>
                <w:lang w:val="en-GB"/>
              </w:rPr>
            </m:ctrlPr>
          </m:sSubPr>
          <m:e>
            <m:r>
              <w:rPr>
                <w:rFonts w:ascii="Cambria Math" w:hAnsi="Cambria Math"/>
                <w:color w:val="000000" w:themeColor="text1"/>
                <w:szCs w:val="18"/>
                <w:lang w:val="en-GB"/>
              </w:rPr>
              <m:t>P</m:t>
            </m:r>
          </m:e>
          <m:sub>
            <m:sSub>
              <m:sSubPr>
                <m:ctrlPr>
                  <w:rPr>
                    <w:rFonts w:ascii="Cambria Math" w:hAnsi="Cambria Math"/>
                    <w:i/>
                    <w:color w:val="000000" w:themeColor="text1"/>
                    <w:szCs w:val="18"/>
                    <w:lang w:val="en-GB"/>
                  </w:rPr>
                </m:ctrlPr>
              </m:sSubPr>
              <m:e>
                <m:r>
                  <w:rPr>
                    <w:rFonts w:ascii="Cambria Math" w:hAnsi="Cambria Math"/>
                    <w:color w:val="000000" w:themeColor="text1"/>
                    <w:szCs w:val="18"/>
                    <w:lang w:val="en-GB"/>
                  </w:rPr>
                  <m:t>CO</m:t>
                </m:r>
              </m:e>
              <m:sub>
                <m:r>
                  <w:rPr>
                    <w:rFonts w:ascii="Cambria Math" w:hAnsi="Cambria Math"/>
                    <w:color w:val="000000" w:themeColor="text1"/>
                    <w:szCs w:val="18"/>
                    <w:lang w:val="en-GB"/>
                  </w:rPr>
                  <m:t>2</m:t>
                </m:r>
              </m:sub>
            </m:sSub>
          </m:sub>
        </m:sSub>
      </m:oMath>
      <w:r>
        <w:rPr>
          <w:lang w:val="en-GB"/>
        </w:rPr>
        <w:t xml:space="preserve">) </w:t>
      </w:r>
      <w:r w:rsidRPr="000B3136">
        <w:rPr>
          <w:lang w:val="en-GB"/>
        </w:rPr>
        <w:t>is finally evaluated as the difference between the equilibrium pressure in D2</w:t>
      </w:r>
      <w:r w:rsidR="00A95C1D">
        <w:rPr>
          <w:lang w:val="en-GB"/>
        </w:rPr>
        <w:t xml:space="preserve"> (</w:t>
      </w:r>
      <m:oMath>
        <m:sSup>
          <m:sSupPr>
            <m:ctrlPr>
              <w:rPr>
                <w:rFonts w:ascii="Cambria Math" w:hAnsi="Cambria Math"/>
                <w:i/>
                <w:color w:val="000000" w:themeColor="text1"/>
                <w:szCs w:val="18"/>
                <w:lang w:val="en-GB"/>
              </w:rPr>
            </m:ctrlPr>
          </m:sSupPr>
          <m:e>
            <m:r>
              <w:rPr>
                <w:rFonts w:ascii="Cambria Math" w:hAnsi="Cambria Math"/>
                <w:color w:val="000000" w:themeColor="text1"/>
                <w:szCs w:val="18"/>
                <w:lang w:val="en-GB"/>
              </w:rPr>
              <m:t>P</m:t>
            </m:r>
          </m:e>
          <m:sup>
            <m:r>
              <w:rPr>
                <w:rFonts w:ascii="Cambria Math" w:hAnsi="Cambria Math"/>
                <w:color w:val="000000" w:themeColor="text1"/>
                <w:szCs w:val="18"/>
                <w:lang w:val="en-GB"/>
              </w:rPr>
              <m:t>D2,f</m:t>
            </m:r>
          </m:sup>
        </m:sSup>
      </m:oMath>
      <w:r w:rsidR="00A95C1D">
        <w:rPr>
          <w:lang w:val="en-GB"/>
        </w:rPr>
        <w:t>)</w:t>
      </w:r>
      <w:r w:rsidRPr="000B3136">
        <w:rPr>
          <w:lang w:val="en-GB"/>
        </w:rPr>
        <w:t xml:space="preserve"> and the vapor pressure of the lean solvent (Eq.</w:t>
      </w:r>
      <w:r w:rsidR="00C94AA6">
        <w:rPr>
          <w:lang w:val="en-GB"/>
        </w:rPr>
        <w:t xml:space="preserve"> </w:t>
      </w:r>
      <w:r w:rsidR="00C94AA6">
        <w:rPr>
          <w:lang w:val="en-GB"/>
        </w:rPr>
        <w:fldChar w:fldCharType="begin"/>
      </w:r>
      <w:r w:rsidR="00C94AA6">
        <w:rPr>
          <w:lang w:val="en-GB"/>
        </w:rPr>
        <w:instrText xml:space="preserve"> REF _Ref218957674 \h </w:instrText>
      </w:r>
      <w:r w:rsidR="00C94AA6">
        <w:rPr>
          <w:lang w:val="en-GB"/>
        </w:rPr>
      </w:r>
      <w:r w:rsidR="00C94AA6">
        <w:rPr>
          <w:lang w:val="en-GB"/>
        </w:rPr>
        <w:fldChar w:fldCharType="separate"/>
      </w:r>
      <w:r w:rsidR="00C94AA6" w:rsidRPr="000B3136">
        <w:rPr>
          <w:rFonts w:cs="Arial"/>
          <w:color w:val="000000" w:themeColor="text1"/>
          <w:szCs w:val="18"/>
        </w:rPr>
        <w:t>(</w:t>
      </w:r>
      <w:r w:rsidR="00C94AA6">
        <w:rPr>
          <w:rFonts w:cs="Arial"/>
          <w:noProof/>
          <w:color w:val="000000" w:themeColor="text1"/>
          <w:szCs w:val="18"/>
        </w:rPr>
        <w:t>8</w:t>
      </w:r>
      <w:r w:rsidR="00C94AA6" w:rsidRPr="000B3136">
        <w:rPr>
          <w:rFonts w:cs="Arial"/>
          <w:color w:val="000000" w:themeColor="text1"/>
          <w:szCs w:val="18"/>
        </w:rPr>
        <w:t>)</w:t>
      </w:r>
      <w:r w:rsidR="00C94AA6">
        <w:rPr>
          <w:lang w:val="en-GB"/>
        </w:rPr>
        <w:fldChar w:fldCharType="end"/>
      </w:r>
      <w:r w:rsidRPr="000B3136">
        <w:rPr>
          <w:lang w:val="en-GB"/>
        </w:rPr>
        <w:t>).</w:t>
      </w:r>
    </w:p>
    <w:tbl>
      <w:tblPr>
        <w:tblW w:w="5000" w:type="pct"/>
        <w:tblLook w:val="04A0" w:firstRow="1" w:lastRow="0" w:firstColumn="1" w:lastColumn="0" w:noHBand="0" w:noVBand="1"/>
      </w:tblPr>
      <w:tblGrid>
        <w:gridCol w:w="7986"/>
        <w:gridCol w:w="801"/>
      </w:tblGrid>
      <w:tr w:rsidR="002406D9" w:rsidRPr="000B3136" w14:paraId="05B2314D" w14:textId="77777777" w:rsidTr="002406D9">
        <w:tc>
          <w:tcPr>
            <w:tcW w:w="7986" w:type="dxa"/>
            <w:vAlign w:val="center"/>
          </w:tcPr>
          <w:p w14:paraId="3E4E7DCB" w14:textId="77777777" w:rsidR="002406D9" w:rsidRPr="000B3136" w:rsidRDefault="00000000" w:rsidP="00BD2213">
            <w:pPr>
              <w:pStyle w:val="CETBodytext"/>
              <w:spacing w:before="120" w:after="120"/>
              <w:rPr>
                <w:rFonts w:cs="Arial"/>
                <w:color w:val="000000" w:themeColor="text1"/>
                <w:szCs w:val="18"/>
                <w:lang w:val="en-GB" w:eastAsia="it-IT"/>
              </w:rPr>
            </w:pPr>
            <m:oMathPara>
              <m:oMath>
                <m:sSub>
                  <m:sSubPr>
                    <m:ctrlPr>
                      <w:rPr>
                        <w:rFonts w:ascii="Cambria Math" w:hAnsi="Cambria Math"/>
                        <w:i/>
                        <w:color w:val="000000" w:themeColor="text1"/>
                        <w:szCs w:val="18"/>
                        <w:lang w:val="en-GB"/>
                      </w:rPr>
                    </m:ctrlPr>
                  </m:sSubPr>
                  <m:e>
                    <m:r>
                      <w:rPr>
                        <w:rFonts w:ascii="Cambria Math" w:hAnsi="Cambria Math"/>
                        <w:color w:val="000000" w:themeColor="text1"/>
                        <w:szCs w:val="18"/>
                        <w:lang w:val="en-GB"/>
                      </w:rPr>
                      <m:t>P</m:t>
                    </m:r>
                  </m:e>
                  <m:sub>
                    <m:sSub>
                      <m:sSubPr>
                        <m:ctrlPr>
                          <w:rPr>
                            <w:rFonts w:ascii="Cambria Math" w:hAnsi="Cambria Math"/>
                            <w:i/>
                            <w:color w:val="000000" w:themeColor="text1"/>
                            <w:szCs w:val="18"/>
                            <w:lang w:val="en-GB"/>
                          </w:rPr>
                        </m:ctrlPr>
                      </m:sSubPr>
                      <m:e>
                        <m:r>
                          <w:rPr>
                            <w:rFonts w:ascii="Cambria Math" w:hAnsi="Cambria Math"/>
                            <w:color w:val="000000" w:themeColor="text1"/>
                            <w:szCs w:val="18"/>
                            <w:lang w:val="en-GB"/>
                          </w:rPr>
                          <m:t>CO</m:t>
                        </m:r>
                      </m:e>
                      <m:sub>
                        <m:r>
                          <w:rPr>
                            <w:rFonts w:ascii="Cambria Math" w:hAnsi="Cambria Math"/>
                            <w:color w:val="000000" w:themeColor="text1"/>
                            <w:szCs w:val="18"/>
                            <w:lang w:val="en-GB"/>
                          </w:rPr>
                          <m:t>2</m:t>
                        </m:r>
                      </m:sub>
                    </m:sSub>
                  </m:sub>
                </m:sSub>
                <m:r>
                  <w:rPr>
                    <w:rFonts w:ascii="Cambria Math" w:hAnsi="Cambria Math"/>
                    <w:color w:val="000000" w:themeColor="text1"/>
                    <w:szCs w:val="18"/>
                    <w:lang w:val="en-GB"/>
                  </w:rPr>
                  <m:t xml:space="preserve">= </m:t>
                </m:r>
                <m:sSup>
                  <m:sSupPr>
                    <m:ctrlPr>
                      <w:rPr>
                        <w:rFonts w:ascii="Cambria Math" w:hAnsi="Cambria Math"/>
                        <w:i/>
                        <w:color w:val="000000" w:themeColor="text1"/>
                        <w:szCs w:val="18"/>
                        <w:lang w:val="en-GB"/>
                      </w:rPr>
                    </m:ctrlPr>
                  </m:sSupPr>
                  <m:e>
                    <m:r>
                      <w:rPr>
                        <w:rFonts w:ascii="Cambria Math" w:hAnsi="Cambria Math"/>
                        <w:color w:val="000000" w:themeColor="text1"/>
                        <w:szCs w:val="18"/>
                        <w:lang w:val="en-GB"/>
                      </w:rPr>
                      <m:t>P</m:t>
                    </m:r>
                  </m:e>
                  <m:sup>
                    <m:r>
                      <w:rPr>
                        <w:rFonts w:ascii="Cambria Math" w:hAnsi="Cambria Math"/>
                        <w:color w:val="000000" w:themeColor="text1"/>
                        <w:szCs w:val="18"/>
                        <w:lang w:val="en-GB"/>
                      </w:rPr>
                      <m:t>D2,f</m:t>
                    </m:r>
                  </m:sup>
                </m:sSup>
                <m:r>
                  <w:rPr>
                    <w:rFonts w:ascii="Cambria Math" w:hAnsi="Cambria Math"/>
                    <w:color w:val="000000" w:themeColor="text1"/>
                    <w:szCs w:val="18"/>
                    <w:lang w:val="en-GB"/>
                  </w:rPr>
                  <m:t xml:space="preserve">- </m:t>
                </m:r>
                <m:sSub>
                  <m:sSubPr>
                    <m:ctrlPr>
                      <w:rPr>
                        <w:rFonts w:ascii="Cambria Math" w:hAnsi="Cambria Math"/>
                        <w:i/>
                        <w:color w:val="000000" w:themeColor="text1"/>
                        <w:szCs w:val="18"/>
                        <w:lang w:val="en-GB"/>
                      </w:rPr>
                    </m:ctrlPr>
                  </m:sSubPr>
                  <m:e>
                    <m:r>
                      <w:rPr>
                        <w:rFonts w:ascii="Cambria Math" w:hAnsi="Cambria Math"/>
                        <w:color w:val="000000" w:themeColor="text1"/>
                        <w:szCs w:val="18"/>
                        <w:lang w:val="en-GB"/>
                      </w:rPr>
                      <m:t>P</m:t>
                    </m:r>
                  </m:e>
                  <m:sub>
                    <m:r>
                      <w:rPr>
                        <w:rFonts w:ascii="Cambria Math" w:hAnsi="Cambria Math"/>
                        <w:color w:val="000000" w:themeColor="text1"/>
                        <w:szCs w:val="18"/>
                        <w:lang w:val="en-GB"/>
                      </w:rPr>
                      <m:t>ev</m:t>
                    </m:r>
                  </m:sub>
                </m:sSub>
              </m:oMath>
            </m:oMathPara>
          </w:p>
        </w:tc>
        <w:tc>
          <w:tcPr>
            <w:tcW w:w="801" w:type="dxa"/>
            <w:vAlign w:val="center"/>
          </w:tcPr>
          <w:p w14:paraId="643CA5D1" w14:textId="5D5FB399" w:rsidR="002406D9" w:rsidRPr="000B3136" w:rsidRDefault="002406D9" w:rsidP="00BD2213">
            <w:pPr>
              <w:pStyle w:val="CETEquation"/>
              <w:jc w:val="right"/>
              <w:rPr>
                <w:rFonts w:cs="Arial"/>
                <w:color w:val="000000" w:themeColor="text1"/>
                <w:szCs w:val="18"/>
              </w:rPr>
            </w:pPr>
            <w:bookmarkStart w:id="11" w:name="_Ref218957674"/>
            <w:r w:rsidRPr="000B3136">
              <w:rPr>
                <w:rFonts w:cs="Arial"/>
                <w:color w:val="000000" w:themeColor="text1"/>
                <w:szCs w:val="18"/>
              </w:rPr>
              <w:t>(</w:t>
            </w:r>
            <w:r w:rsidRPr="000B3136">
              <w:rPr>
                <w:rFonts w:cs="Arial"/>
                <w:color w:val="000000" w:themeColor="text1"/>
                <w:szCs w:val="18"/>
              </w:rPr>
              <w:fldChar w:fldCharType="begin"/>
            </w:r>
            <w:r w:rsidRPr="000B3136">
              <w:rPr>
                <w:rFonts w:cs="Arial"/>
                <w:color w:val="000000" w:themeColor="text1"/>
                <w:szCs w:val="18"/>
              </w:rPr>
              <w:instrText xml:space="preserve"> SEQ Equation \* ARABIC </w:instrText>
            </w:r>
            <w:r w:rsidRPr="000B3136">
              <w:rPr>
                <w:rFonts w:cs="Arial"/>
                <w:color w:val="000000" w:themeColor="text1"/>
                <w:szCs w:val="18"/>
              </w:rPr>
              <w:fldChar w:fldCharType="separate"/>
            </w:r>
            <w:r w:rsidR="00C94AA6">
              <w:rPr>
                <w:rFonts w:cs="Arial"/>
                <w:noProof/>
                <w:color w:val="000000" w:themeColor="text1"/>
                <w:szCs w:val="18"/>
              </w:rPr>
              <w:t>8</w:t>
            </w:r>
            <w:r w:rsidRPr="000B3136">
              <w:rPr>
                <w:rFonts w:cs="Arial"/>
                <w:color w:val="000000" w:themeColor="text1"/>
                <w:szCs w:val="18"/>
              </w:rPr>
              <w:fldChar w:fldCharType="end"/>
            </w:r>
            <w:r w:rsidRPr="000B3136">
              <w:rPr>
                <w:rFonts w:cs="Arial"/>
                <w:color w:val="000000" w:themeColor="text1"/>
                <w:szCs w:val="18"/>
              </w:rPr>
              <w:t>)</w:t>
            </w:r>
            <w:bookmarkEnd w:id="11"/>
          </w:p>
        </w:tc>
      </w:tr>
    </w:tbl>
    <w:p w14:paraId="70E059A4" w14:textId="77777777" w:rsidR="002406D9" w:rsidRDefault="003C0F0E" w:rsidP="002406D9">
      <w:pPr>
        <w:pStyle w:val="CETBodytext"/>
        <w:numPr>
          <w:ilvl w:val="0"/>
          <w:numId w:val="23"/>
        </w:numPr>
        <w:ind w:left="357" w:hanging="357"/>
        <w:rPr>
          <w:lang w:val="en-GB"/>
        </w:rPr>
      </w:pPr>
      <w:r w:rsidRPr="000B3136">
        <w:rPr>
          <w:lang w:val="en-GB"/>
        </w:rPr>
        <w:t>After equilibrium is reached, both vapor and liquid phases are discharged, nitrogen is flushed through the system to ensure complete emptying, the liquid phase is weighed and, when required, analy</w:t>
      </w:r>
      <w:r w:rsidR="006618B2" w:rsidRPr="000B3136">
        <w:rPr>
          <w:lang w:val="en-GB"/>
        </w:rPr>
        <w:t>s</w:t>
      </w:r>
      <w:r w:rsidRPr="000B3136">
        <w:rPr>
          <w:lang w:val="en-GB"/>
        </w:rPr>
        <w:t xml:space="preserve">ed further. </w:t>
      </w:r>
    </w:p>
    <w:p w14:paraId="6D872956" w14:textId="44B863FA" w:rsidR="00815A17" w:rsidRPr="000B3136" w:rsidRDefault="003C0F0E" w:rsidP="002406D9">
      <w:pPr>
        <w:pStyle w:val="CETBodytext"/>
        <w:numPr>
          <w:ilvl w:val="0"/>
          <w:numId w:val="23"/>
        </w:numPr>
        <w:ind w:left="357" w:hanging="357"/>
        <w:rPr>
          <w:lang w:val="en-GB"/>
        </w:rPr>
      </w:pPr>
      <w:r w:rsidRPr="000B3136">
        <w:rPr>
          <w:lang w:val="en-GB"/>
        </w:rPr>
        <w:t>As an additional validation, CO</w:t>
      </w:r>
      <w:r w:rsidR="00750475" w:rsidRPr="000B3136">
        <w:rPr>
          <w:vertAlign w:val="subscript"/>
          <w:lang w:val="en-GB"/>
        </w:rPr>
        <w:t>2</w:t>
      </w:r>
      <w:r w:rsidRPr="000B3136">
        <w:rPr>
          <w:lang w:val="en-GB"/>
        </w:rPr>
        <w:t xml:space="preserve"> absorption is independently quantified through a material balance by comparing the mass of lean solvent initially introduced into D2 with that of the CO</w:t>
      </w:r>
      <w:r w:rsidR="00750475" w:rsidRPr="000B3136">
        <w:rPr>
          <w:vertAlign w:val="subscript"/>
          <w:lang w:val="en-GB"/>
        </w:rPr>
        <w:t>2</w:t>
      </w:r>
      <w:r w:rsidRPr="000B3136">
        <w:rPr>
          <w:lang w:val="en-GB"/>
        </w:rPr>
        <w:t>-rich solvent recovered after equilibrium</w:t>
      </w:r>
      <w:r w:rsidR="00815A17" w:rsidRPr="000B3136">
        <w:rPr>
          <w:lang w:val="en-GB"/>
        </w:rPr>
        <w:t>.</w:t>
      </w:r>
    </w:p>
    <w:p w14:paraId="7B2550D3" w14:textId="3201D7AD" w:rsidR="009848F5" w:rsidRPr="009848F5" w:rsidRDefault="00815A17" w:rsidP="009848F5">
      <w:pPr>
        <w:pStyle w:val="CETBodytext"/>
        <w:rPr>
          <w:lang w:val="en-GB"/>
        </w:rPr>
      </w:pPr>
      <w:r w:rsidRPr="000B3136">
        <w:rPr>
          <w:lang w:val="en-GB"/>
        </w:rPr>
        <w:t xml:space="preserve">Several equations of state </w:t>
      </w:r>
      <w:r w:rsidR="00794E09">
        <w:rPr>
          <w:lang w:val="en-GB"/>
        </w:rPr>
        <w:t>have been</w:t>
      </w:r>
      <w:r w:rsidRPr="000B3136">
        <w:rPr>
          <w:lang w:val="en-GB"/>
        </w:rPr>
        <w:t xml:space="preserve"> assessed for the evaluation of the CO</w:t>
      </w:r>
      <w:r w:rsidR="00750475" w:rsidRPr="000B3136">
        <w:rPr>
          <w:vertAlign w:val="subscript"/>
          <w:lang w:val="en-GB"/>
        </w:rPr>
        <w:t>2</w:t>
      </w:r>
      <w:r w:rsidRPr="000B3136">
        <w:rPr>
          <w:lang w:val="en-GB"/>
        </w:rPr>
        <w:t xml:space="preserve"> compressibility factor</w:t>
      </w:r>
      <w:r w:rsidR="00EB3616">
        <w:rPr>
          <w:lang w:val="en-GB"/>
        </w:rPr>
        <w:t xml:space="preserve"> (</w:t>
      </w:r>
      <m:oMath>
        <m:r>
          <w:rPr>
            <w:rFonts w:ascii="Cambria Math" w:hAnsi="Cambria Math"/>
            <w:lang w:val="en-GB"/>
          </w:rPr>
          <m:t>Z</m:t>
        </m:r>
      </m:oMath>
      <w:r w:rsidR="00EB3616">
        <w:rPr>
          <w:lang w:val="en-GB"/>
        </w:rPr>
        <w:t>)</w:t>
      </w:r>
      <w:r w:rsidRPr="000B3136">
        <w:rPr>
          <w:lang w:val="en-GB"/>
        </w:rPr>
        <w:t>, including the Van der Waals, Redlich</w:t>
      </w:r>
      <w:r w:rsidRPr="000B3136">
        <w:rPr>
          <w:rFonts w:cs="Arial"/>
          <w:lang w:val="en-GB"/>
        </w:rPr>
        <w:t>–</w:t>
      </w:r>
      <w:r w:rsidRPr="000B3136">
        <w:rPr>
          <w:lang w:val="en-GB"/>
        </w:rPr>
        <w:t xml:space="preserve">Kwong </w:t>
      </w:r>
      <w:r w:rsidRPr="000B3136">
        <w:rPr>
          <w:lang w:val="en-GB"/>
        </w:rPr>
        <w:fldChar w:fldCharType="begin"/>
      </w:r>
      <w:r w:rsidR="00AC74B7">
        <w:rPr>
          <w:lang w:val="en-GB"/>
        </w:rPr>
        <w:instrText xml:space="preserve"> ADDIN ZOTERO_ITEM CSL_CITATION {"citationID":"HFVN4ybI","properties":{"formattedCitation":"(Redlich and Kwong, 1949)","plainCitation":"(Redlich and Kwong, 1949)","noteIndex":0},"citationItems":[{"id":443,"uris":["http://zotero.org/users/local/YuUn2Zf4/items/JY8KNXA5"],"itemData":{"id":443,"type":"article-journal","container-title":"Chemical Reviews","DOI":"10.1021/cr60137a013","ISSN":"0009-2665, 1520-6890","issue":"1","journalAbbreviation":"Chem. Rev.","language":"en","page":"233-244","source":"DOI.org (Crossref)","title":"On the Thermodynamics of Solutions. V. An Equation of State. Fugacities of Gaseous Solutions.","volume":"44","author":[{"family":"Redlich","given":"O."},{"family":"Kwong","given":"J. N. S."}],"issued":{"date-parts":[["1949",2,1]]}}}],"schema":"https://github.com/citation-style-language/schema/raw/master/csl-citation.json"} </w:instrText>
      </w:r>
      <w:r w:rsidRPr="000B3136">
        <w:rPr>
          <w:lang w:val="en-GB"/>
        </w:rPr>
        <w:fldChar w:fldCharType="separate"/>
      </w:r>
      <w:r w:rsidRPr="000B3136">
        <w:rPr>
          <w:rFonts w:cs="Arial"/>
          <w:lang w:val="en-GB"/>
        </w:rPr>
        <w:t>(Redlich and Kwong, 1949)</w:t>
      </w:r>
      <w:r w:rsidRPr="000B3136">
        <w:rPr>
          <w:lang w:val="en-GB"/>
        </w:rPr>
        <w:fldChar w:fldCharType="end"/>
      </w:r>
      <w:r w:rsidRPr="000B3136">
        <w:rPr>
          <w:lang w:val="en-GB"/>
        </w:rPr>
        <w:t>, Soave</w:t>
      </w:r>
      <w:r w:rsidRPr="000B3136">
        <w:rPr>
          <w:rFonts w:cs="Arial"/>
          <w:lang w:val="en-GB"/>
        </w:rPr>
        <w:t>–</w:t>
      </w:r>
      <w:r w:rsidRPr="000B3136">
        <w:rPr>
          <w:lang w:val="en-GB"/>
        </w:rPr>
        <w:t>Redlich</w:t>
      </w:r>
      <w:r w:rsidRPr="000B3136">
        <w:rPr>
          <w:rFonts w:cs="Arial"/>
          <w:lang w:val="en-GB"/>
        </w:rPr>
        <w:t>–</w:t>
      </w:r>
      <w:r w:rsidRPr="000B3136">
        <w:rPr>
          <w:lang w:val="en-GB"/>
        </w:rPr>
        <w:t xml:space="preserve">Kwong </w:t>
      </w:r>
      <w:r w:rsidRPr="000B3136">
        <w:rPr>
          <w:lang w:val="en-GB"/>
        </w:rPr>
        <w:fldChar w:fldCharType="begin"/>
      </w:r>
      <w:r w:rsidRPr="000B3136">
        <w:rPr>
          <w:lang w:val="en-GB"/>
        </w:rPr>
        <w:instrText xml:space="preserve"> ADDIN ZOTERO_ITEM CSL_CITATION {"citationID":"dRpBY8hE","properties":{"formattedCitation":"(Soave, 1972)","plainCitation":"(Soave, 1972)","noteIndex":0},"citationItems":[{"id":445,"uris":["http://zotero.org/users/local/YuUn2Zf4/items/IBBC5AK9"],"itemData":{"id":445,"type":"article-journal","abstract":"A modified Redlich-Kwong equation of state is proposed. Vapor pressures of pure compounds can be closely reproduced by assuming the parameter a in the original equation to be temperature-dependent. With the introduction of the acentric factor as a third parameter, a generalized correlation for the modified parameter can be derived. It applies to all nonpolar compounds. With the application of the original generalized mixing rules, the proposed equation can be extended successfully to multicomponent-VLE calculations, for mixtures of nonpolar substances, with the exclusion of carbon dioxide. Less accurate results are obtained for hydrogen-containing mixtures\nRésumé\nLes auteurs proposent une équation modifieée de Redlich-Kwong de létat. Il est possible de reproduire, avec précision, les pressions de vapeur de composés purs en considérant que le paramètre à'dans l'équation originale est dépendant de la temp]'erature. En introdjisant le facteur assymétrique comme trosième paramètre, on peut dériver une corrélation généralisée pour le paramètre nodifié. Il s'applique à tous les composés non-polaires. En appliquant les régles originales généralisées de mélange, l'équation proposée peut être étendue à des calculs VLE à composantes multiples, pour les mélanges de substances non-loaires, à l'exception du bioxyde de carone. Des résultats moins précis sont obtenus pour des mélanges contenant de l'hydrogène.\nZusammenfassung\nEs wird eine abgeänderte Redlich-Kwongsche Zustandsgleichung vorgeschlagen. Dampfdrucke reiner Stoffe können mit guetr Annäherung reproduziert werden, wenn der Parameter a in der ursprünglichen Gleichung als temperaturabhängig angesehen wird. Mit der Einführung des nicht-zentrischen Faktors als dritten Parameter kann eine verallgemeinerte Korrelation für den abgeänderten Parameter abgeleitet werde. Sie gilt für unpolaren Verbindungen. Bei Anwendung der ursprünglichen verallgemeinerten Mischregeln kann die vorgeschagene Gleichung erforlgreich auf Mehrkomponenten VLE Berechnungen, fürMischungen unpolarer Stoffe, mit Ausnahme von Kohlendioxyd ausgedehnt werden. Für wasserstoffhältige Mischungen werden weiger renaue Resultate erhalten.","container-title":"Chemical Engineering Science","DOI":"10.1016/0009-2509(72)80096-4","ISSN":"0009-2509","issue":"6","journalAbbreviation":"Chemical Engineering Science","page":"1197-1203","source":"ScienceDirect","title":"Equilibrium constants from a modified Redlich-Kwong equation of state","volume":"27","author":[{"family":"Soave","given":"Giorgio"}],"issued":{"date-parts":[["1972",6,1]]}}}],"schema":"https://github.com/citation-style-language/schema/raw/master/csl-citation.json"} </w:instrText>
      </w:r>
      <w:r w:rsidRPr="000B3136">
        <w:rPr>
          <w:lang w:val="en-GB"/>
        </w:rPr>
        <w:fldChar w:fldCharType="separate"/>
      </w:r>
      <w:r w:rsidRPr="000B3136">
        <w:rPr>
          <w:rFonts w:cs="Arial"/>
          <w:lang w:val="en-GB"/>
        </w:rPr>
        <w:t>(Soave, 1972)</w:t>
      </w:r>
      <w:r w:rsidRPr="000B3136">
        <w:rPr>
          <w:lang w:val="en-GB"/>
        </w:rPr>
        <w:fldChar w:fldCharType="end"/>
      </w:r>
      <w:r w:rsidRPr="000B3136">
        <w:rPr>
          <w:lang w:val="en-GB"/>
        </w:rPr>
        <w:t>, and Peng</w:t>
      </w:r>
      <w:r w:rsidRPr="000B3136">
        <w:rPr>
          <w:rFonts w:cs="Arial"/>
          <w:lang w:val="en-GB"/>
        </w:rPr>
        <w:t>–</w:t>
      </w:r>
      <w:r w:rsidRPr="000B3136">
        <w:rPr>
          <w:lang w:val="en-GB"/>
        </w:rPr>
        <w:t xml:space="preserve">Robinson </w:t>
      </w:r>
      <w:r w:rsidRPr="000B3136">
        <w:rPr>
          <w:lang w:val="en-GB"/>
        </w:rPr>
        <w:fldChar w:fldCharType="begin"/>
      </w:r>
      <w:r w:rsidRPr="000B3136">
        <w:rPr>
          <w:lang w:val="en-GB"/>
        </w:rPr>
        <w:instrText xml:space="preserve"> ADDIN ZOTERO_ITEM CSL_CITATION {"citationID":"eJmTV45d","properties":{"formattedCitation":"(Peng and Robinson, 1976)","plainCitation":"(Peng and Robinson, 1976)","noteIndex":0},"citationItems":[{"id":270,"uris":["http://zotero.org/users/local/YuUn2Zf4/items/BWZ34APG"],"itemData":{"id":270,"type":"article-journal","container-title":"Industrial &amp; Engineering Chemistry Fundamentals","ISSN":"0196-4313","issue":"1","page":"59-64","title":"A new two-constant equation of state","volume":"15","author":[{"family":"Peng","given":"Ding-Yu"},{"family":"Robinson","given":"Donald B."}],"issued":{"date-parts":[["1976"]]}}}],"schema":"https://github.com/citation-style-language/schema/raw/master/csl-citation.json"} </w:instrText>
      </w:r>
      <w:r w:rsidRPr="000B3136">
        <w:rPr>
          <w:lang w:val="en-GB"/>
        </w:rPr>
        <w:fldChar w:fldCharType="separate"/>
      </w:r>
      <w:r w:rsidRPr="000B3136">
        <w:rPr>
          <w:rFonts w:cs="Arial"/>
          <w:lang w:val="en-GB"/>
        </w:rPr>
        <w:t>(Peng and Robinson, 1976)</w:t>
      </w:r>
      <w:r w:rsidRPr="000B3136">
        <w:rPr>
          <w:lang w:val="en-GB"/>
        </w:rPr>
        <w:fldChar w:fldCharType="end"/>
      </w:r>
      <w:r w:rsidRPr="000B3136">
        <w:rPr>
          <w:lang w:val="en-GB"/>
        </w:rPr>
        <w:t xml:space="preserve"> models. In addition, </w:t>
      </w:r>
      <m:oMath>
        <m:r>
          <w:rPr>
            <w:rFonts w:ascii="Cambria Math" w:hAnsi="Cambria Math"/>
            <w:lang w:val="en-GB"/>
          </w:rPr>
          <m:t>Z</m:t>
        </m:r>
      </m:oMath>
      <w:r w:rsidRPr="000B3136">
        <w:rPr>
          <w:lang w:val="en-GB"/>
        </w:rPr>
        <w:t xml:space="preserve"> values </w:t>
      </w:r>
      <w:r w:rsidR="00794E09">
        <w:rPr>
          <w:lang w:val="en-GB"/>
        </w:rPr>
        <w:t>have been</w:t>
      </w:r>
      <w:r w:rsidRPr="000B3136">
        <w:rPr>
          <w:lang w:val="en-GB"/>
        </w:rPr>
        <w:t xml:space="preserve"> estimated using a spline interpolation based on experimental CO</w:t>
      </w:r>
      <w:r w:rsidR="00750475" w:rsidRPr="000B3136">
        <w:rPr>
          <w:vertAlign w:val="subscript"/>
          <w:lang w:val="en-GB"/>
        </w:rPr>
        <w:t>2</w:t>
      </w:r>
      <w:r w:rsidRPr="000B3136">
        <w:rPr>
          <w:lang w:val="en-GB"/>
        </w:rPr>
        <w:t xml:space="preserve"> compressibility data from Perry and Green </w:t>
      </w:r>
      <w:r w:rsidRPr="000B3136">
        <w:rPr>
          <w:lang w:val="en-GB"/>
        </w:rPr>
        <w:fldChar w:fldCharType="begin"/>
      </w:r>
      <w:r w:rsidR="00812EAD">
        <w:rPr>
          <w:lang w:val="en-GB"/>
        </w:rPr>
        <w:instrText xml:space="preserve"> ADDIN ZOTERO_ITEM CSL_CITATION {"citationID":"tELsn43T","properties":{"formattedCitation":"(Perry, 1950)","plainCitation":"(Perry, 1950)","noteIndex":0},"citationItems":[{"id":"1wRknPrS/1HvAPWTg","uris":["http://zotero.org/users/local/YuUn2Zf4/items/I9DW6SUD"],"itemData":{"id":447,"type":"article-journal","container-title":"Journal of Chemical Education","DOI":"10.1021/ed027p533.1","ISSN":"0021-9584, 1938-1328","issue":"9","journalAbbreviation":"J. Chem. Educ.","language":"en","page":"533","source":"DOI.org (Crossref)","title":"Chemical engineers' handbook","volume":"27","author":[{"family":"Perry","given":"John H."}],"issued":{"date-parts":[["1950",9]]}}}],"schema":"https://github.com/citation-style-language/schema/raw/master/csl-citation.json"} </w:instrText>
      </w:r>
      <w:r w:rsidRPr="000B3136">
        <w:rPr>
          <w:lang w:val="en-GB"/>
        </w:rPr>
        <w:fldChar w:fldCharType="separate"/>
      </w:r>
      <w:r w:rsidRPr="000B3136">
        <w:rPr>
          <w:rFonts w:cs="Arial"/>
          <w:lang w:val="en-GB"/>
        </w:rPr>
        <w:t>(Perry, 1950)</w:t>
      </w:r>
      <w:r w:rsidRPr="000B3136">
        <w:rPr>
          <w:lang w:val="en-GB"/>
        </w:rPr>
        <w:fldChar w:fldCharType="end"/>
      </w:r>
      <w:r w:rsidRPr="000B3136">
        <w:rPr>
          <w:lang w:val="en-GB"/>
        </w:rPr>
        <w:t xml:space="preserve">, as reported in the work by </w:t>
      </w:r>
      <w:r w:rsidRPr="000B3136">
        <w:rPr>
          <w:lang w:val="en-GB"/>
        </w:rPr>
        <w:fldChar w:fldCharType="begin"/>
      </w:r>
      <w:r w:rsidR="002D2CEE" w:rsidRPr="000B3136">
        <w:rPr>
          <w:lang w:val="en-GB"/>
        </w:rPr>
        <w:instrText xml:space="preserve"> ADDIN ZOTERO_ITEM CSL_CITATION {"citationID":"PqDRxfji","properties":{"formattedCitation":"(Bientinesi et al., 2016)","plainCitation":"(Bientinesi et al., 2016)","dontUpdate":true,"noteIndex":0},"citationItems":[{"id":438,"uris":["http://zotero.org/users/local/YuUn2Zf4/items/EZ2QEVV6"],"itemData":{"id":438,"type":"article-journal","abstract":"The main objective of this work was to obtain new data for equilibrium and transport properties in the absorption of carbon dioxide into liquid solvents not yet investigated to this purpose. To this end, an experimental setup for measuring gas solubility and diffusivity in non-volatile solvents was designed, realized, and tested by comparison with literature data for the methane/n-dodecane pair. The solubility of carbon dioxide, nitrogen and oxygen in two different perfluoropolyethers, Fomblin® M03 and Fomblin® Y04, was measured at different temperature ranging from 10°C to 100°C and for pressures up to 7bar. The diffusivity of carbon dioxide in the solvents was measured at 25°C and 50°C, through a pressure decay method. The results obtained in terms of carbon dioxide solubility and selectivity over other gases are encouraging for the possible use of Fomblin® perfluoropolyethers for the absorption of carbon dioxide from flue gases of industrial plants, also due to the complete immiscibility with water of this solvents. New compounds with similar chemical structure are being developed and tested in order to maximize the performances of the absorption process.","container-title":"Chemical Engineering Research and Design","DOI":"10.1016/j.cherd.2015.10.033","ISSN":"0263-8762","journalAbbreviation":"Chemical Engineering Research and Design","page":"16-23","source":"ScienceDirect","title":"Solubility and diffusivity of carbon dioxide in perfluoropolyethers","volume":"105","author":[{"family":"Bientinesi","given":"M."},{"family":"Nicolella","given":"C."},{"family":"Maccone","given":"P."},{"family":"Boccaletti","given":"G."}],"issued":{"date-parts":[["2016",1,1]]}}}],"schema":"https://github.com/citation-style-language/schema/raw/master/csl-citation.json"} </w:instrText>
      </w:r>
      <w:r w:rsidRPr="000B3136">
        <w:rPr>
          <w:lang w:val="en-GB"/>
        </w:rPr>
        <w:fldChar w:fldCharType="separate"/>
      </w:r>
      <w:r w:rsidRPr="000B3136">
        <w:rPr>
          <w:rFonts w:cs="Arial"/>
          <w:lang w:val="en-GB"/>
        </w:rPr>
        <w:t>Bientinesi et al. (2016)</w:t>
      </w:r>
      <w:r w:rsidRPr="000B3136">
        <w:rPr>
          <w:lang w:val="en-GB"/>
        </w:rPr>
        <w:fldChar w:fldCharType="end"/>
      </w:r>
      <w:r w:rsidRPr="000B3136">
        <w:rPr>
          <w:lang w:val="en-GB"/>
        </w:rPr>
        <w:t>. Among these approaches, the Peng</w:t>
      </w:r>
      <w:r w:rsidRPr="000B3136">
        <w:rPr>
          <w:rFonts w:cs="Arial"/>
          <w:lang w:val="en-GB"/>
        </w:rPr>
        <w:t>–</w:t>
      </w:r>
      <w:r w:rsidRPr="000B3136">
        <w:rPr>
          <w:lang w:val="en-GB"/>
        </w:rPr>
        <w:t xml:space="preserve">Robinson </w:t>
      </w:r>
      <w:proofErr w:type="spellStart"/>
      <w:r w:rsidRPr="000B3136">
        <w:rPr>
          <w:lang w:val="en-GB"/>
        </w:rPr>
        <w:t>EoS</w:t>
      </w:r>
      <w:proofErr w:type="spellEnd"/>
      <w:r w:rsidRPr="000B3136">
        <w:rPr>
          <w:lang w:val="en-GB"/>
        </w:rPr>
        <w:t xml:space="preserve"> has been selected, as it has been demonstrated to accurately describe the gaseous phase of CO</w:t>
      </w:r>
      <w:r w:rsidR="00750475" w:rsidRPr="000B3136">
        <w:rPr>
          <w:vertAlign w:val="subscript"/>
          <w:lang w:val="en-GB"/>
        </w:rPr>
        <w:t>2</w:t>
      </w:r>
      <w:r w:rsidRPr="000B3136">
        <w:rPr>
          <w:lang w:val="en-GB"/>
        </w:rPr>
        <w:t xml:space="preserve"> and to yield the most reliable predictions of CO</w:t>
      </w:r>
      <w:r w:rsidR="00750475" w:rsidRPr="000B3136">
        <w:rPr>
          <w:vertAlign w:val="subscript"/>
          <w:lang w:val="en-GB"/>
        </w:rPr>
        <w:t>2</w:t>
      </w:r>
      <w:r w:rsidRPr="000B3136">
        <w:rPr>
          <w:lang w:val="en-GB"/>
        </w:rPr>
        <w:t xml:space="preserve"> partial pressures when compared with experimental data</w:t>
      </w:r>
      <w:r w:rsidR="002D2CEE" w:rsidRPr="000B3136">
        <w:rPr>
          <w:lang w:val="en-GB"/>
        </w:rPr>
        <w:t xml:space="preserve"> </w:t>
      </w:r>
      <w:r w:rsidR="002D2CEE" w:rsidRPr="000B3136">
        <w:rPr>
          <w:lang w:val="en-GB"/>
        </w:rPr>
        <w:fldChar w:fldCharType="begin"/>
      </w:r>
      <w:r w:rsidR="00BF71AC">
        <w:rPr>
          <w:lang w:val="en-GB"/>
        </w:rPr>
        <w:instrText xml:space="preserve"> ADDIN ZOTERO_ITEM CSL_CITATION {"citationID":"0YzXZWcH","properties":{"formattedCitation":"(B\\uc0\\u246{}ttcher et al., 2012; Hosseini Jenab et al., 2005; Moioli, 2025; Moioli and Schiattarella, 2025)","plainCitation":"(Böttcher et al., 2012; Hosseini Jenab et al., 2005; Moioli, 2025; Moioli and Schiattarella, 2025)","dontUpdate":true,"noteIndex":0},"citationItems":[{"id":449,"uris":["http://zotero.org/users/local/YuUn2Zf4/items/EC74FQ6D"],"itemData":{"id":449,"type":"paper-conference","container-title":"IAHS-AISH publication","event-title":"Models - Repositories of knowledge (Leipzig, September 2011)","ISBN":"978-1-907161-34-6","ISSN":"0144-7815,","language":"en","page":"252-260","source":"pascal-francis.inist.fr","title":"Comparison of equations of state for carbon dioxide for numerical simulations","URL":"http://pascal-francis.inist.fr/vibad/index.php?action=getRecordDetail&amp;idt=27729560","volume":"355","author":[{"family":"Böttcher","given":"Norbert"},{"family":"Taron","given":"Joshua"},{"family":"Kolditz","given":"Olaf"},{"family":"Liedl","given":"Rudolf"},{"family":"Park","given":"Chan-Hee"}],"accessed":{"date-parts":[["2025",11,26]]},"issued":{"date-parts":[["2012"]]}}},{"id":451,"uris":["http://zotero.org/users/local/YuUn2Zf4/items/UDEW57HD"],"itemData":{"id":451,"type":"article-journal","abstract":"The solubilities of carbon dioxide are reported in mixed solvents containing (1.68 to 3.00) kmol/m3 (N-methyldiethanolamine), (0.36 to 1.36) kmol/m3 (piperazine), (0.36 to 1.36) kmol/m3 (tetramethylensulfone or sulfolane), and water for temperatures from (40 to 70) °C and CO2 partial pressures in the range of (30 to 3900) kPa. The results show that piperazine has an effect on the CO2 solubility and sulfolane behaves as a physical solvent.","container-title":"Jour</w:instrText>
      </w:r>
      <w:r w:rsidR="00BF71AC" w:rsidRPr="00BF71AC">
        <w:rPr>
          <w:lang w:val="it-IT"/>
        </w:rPr>
        <w:instrText xml:space="preserve">nal of Chemical &amp; Engineering Data","DOI":"10.1021/je049666p","ISSN":"0021-9568","issue":"2","journalAbbreviation":"J. Chem. Eng. Data","page":"583-586","publisher":"American Chemical Society","source":"ACS Publications","title":"Solubility of Carbon Dioxide in Aqueous Mixtures of N-Methyldiethanolamine + Piperazine + Sulfolane","volume":"50","author":[{"family":"Hosseini Jenab","given":"Masih"},{"family":"Abedinzadegan Abdi","given":"Majid"},{"family":"Najibi","given":"Seyed Hesam"},{"family":"Vahidi","given":"Mehdi"},{"family":"Matin","given":"Naser Seyed"}],"issued":{"date-parts":[["2005",3,1]]}}},{"id":468,"uris":["http://zotero.org/users/local/YuUn2Zf4/items/DN3BSHR2"],"itemData":{"id":468,"type":"article-journal","container-title":"Gases","title":"Testing the Experimental Unit at PT lab for Collecting Data on CO&lt;sub&gt;2&lt;/sub&gt; Solubility in Solvents","volume":"6","author":[{"family":"Moioli","given":"Stefania"}],"issued":{"date-parts":[["2025"]]}}},{"id":244,"uris":["http://zotero.org/users/local/YuUn2Zf4/items/V42HDL3H"],"itemData":{"id":244,"type":"article-journal","container-title":"Chemical Engineering Transactions","ISSN":"2283-9216","page":"379-384","title":"New Experimental Data of CO&lt;sub&gt;2&lt;/sub&gt; Solubility in an Amine Solvent","volume":"117","author":[{"family":"Moioli","given":"Stefania"},{"family":"Schiattarella","given":"Valentina"}],"issued":{"date-parts":[["2025"]]}}}],"schema":"https://github.com/citation-style-language/schema/raw/master/csl-citation.json"} </w:instrText>
      </w:r>
      <w:r w:rsidR="002D2CEE" w:rsidRPr="000B3136">
        <w:rPr>
          <w:lang w:val="en-GB"/>
        </w:rPr>
        <w:fldChar w:fldCharType="separate"/>
      </w:r>
      <w:r w:rsidR="00883F5C" w:rsidRPr="00A95C1D">
        <w:rPr>
          <w:rFonts w:cs="Arial"/>
          <w:lang w:val="it-IT"/>
        </w:rPr>
        <w:t>(</w:t>
      </w:r>
      <w:r w:rsidR="00A95C1D" w:rsidRPr="00A95C1D">
        <w:rPr>
          <w:rFonts w:cs="Arial"/>
          <w:lang w:val="it-IT"/>
        </w:rPr>
        <w:t xml:space="preserve">Hosseini Jenab et al., 2005; </w:t>
      </w:r>
      <w:r w:rsidR="00883F5C" w:rsidRPr="00A95C1D">
        <w:rPr>
          <w:rFonts w:cs="Arial"/>
          <w:lang w:val="it-IT"/>
        </w:rPr>
        <w:t>Böttcher et al., 2012; Moioli, 202</w:t>
      </w:r>
      <w:r w:rsidR="002E18BD">
        <w:rPr>
          <w:rFonts w:cs="Arial"/>
          <w:lang w:val="it-IT"/>
        </w:rPr>
        <w:t>6</w:t>
      </w:r>
      <w:r w:rsidR="00883F5C" w:rsidRPr="00A95C1D">
        <w:rPr>
          <w:rFonts w:cs="Arial"/>
          <w:lang w:val="it-IT"/>
        </w:rPr>
        <w:t>; Moioli and Schiattarella, 2025)</w:t>
      </w:r>
      <w:r w:rsidR="002D2CEE" w:rsidRPr="000B3136">
        <w:rPr>
          <w:lang w:val="en-GB"/>
        </w:rPr>
        <w:fldChar w:fldCharType="end"/>
      </w:r>
      <w:r w:rsidRPr="00A95C1D">
        <w:rPr>
          <w:lang w:val="it-IT"/>
        </w:rPr>
        <w:t>.</w:t>
      </w:r>
      <w:r w:rsidR="009848F5" w:rsidRPr="00BB1488">
        <w:rPr>
          <w:lang w:val="it-IT"/>
        </w:rPr>
        <w:t xml:space="preserve"> </w:t>
      </w:r>
      <w:r w:rsidR="009848F5" w:rsidRPr="009848F5">
        <w:rPr>
          <w:lang w:val="en-GB"/>
        </w:rPr>
        <w:t xml:space="preserve">During the solubility measurements, pressure, temperature and loading (P, T, </w:t>
      </w:r>
      <w:r w:rsidR="009848F5">
        <w:rPr>
          <w:rFonts w:cs="Arial"/>
          <w:lang w:val="it-IT"/>
        </w:rPr>
        <w:t>α</w:t>
      </w:r>
      <w:r w:rsidR="009848F5" w:rsidRPr="009848F5">
        <w:rPr>
          <w:lang w:val="en-GB"/>
        </w:rPr>
        <w:t xml:space="preserve">) </w:t>
      </w:r>
      <w:r w:rsidR="009848F5">
        <w:rPr>
          <w:lang w:val="en-GB"/>
        </w:rPr>
        <w:t>have been</w:t>
      </w:r>
      <w:r w:rsidR="009848F5" w:rsidRPr="009848F5">
        <w:rPr>
          <w:lang w:val="en-GB"/>
        </w:rPr>
        <w:t xml:space="preserve"> experimentally determined and the corresponding expanded uncertainties </w:t>
      </w:r>
      <w:r w:rsidR="009848F5">
        <w:rPr>
          <w:lang w:val="en-GB"/>
        </w:rPr>
        <w:t>(U</w:t>
      </w:r>
      <w:r w:rsidR="009848F5" w:rsidRPr="009848F5">
        <w:rPr>
          <w:vertAlign w:val="subscript"/>
          <w:lang w:val="en-GB"/>
        </w:rPr>
        <w:t>C</w:t>
      </w:r>
      <w:r w:rsidR="009848F5">
        <w:rPr>
          <w:lang w:val="en-GB"/>
        </w:rPr>
        <w:t>)</w:t>
      </w:r>
      <w:r w:rsidR="009848F5" w:rsidRPr="009848F5">
        <w:rPr>
          <w:lang w:val="en-GB"/>
        </w:rPr>
        <w:t xml:space="preserve"> for each variable </w:t>
      </w:r>
      <w:r w:rsidR="009848F5">
        <w:rPr>
          <w:lang w:val="en-GB"/>
        </w:rPr>
        <w:t xml:space="preserve">have been </w:t>
      </w:r>
      <w:r w:rsidR="009848F5" w:rsidRPr="009848F5">
        <w:rPr>
          <w:lang w:val="en-GB"/>
        </w:rPr>
        <w:t xml:space="preserve">evaluated according to the methodology described by </w:t>
      </w:r>
      <w:r w:rsidR="009848F5">
        <w:rPr>
          <w:lang w:val="en-GB"/>
        </w:rPr>
        <w:fldChar w:fldCharType="begin"/>
      </w:r>
      <w:r w:rsidR="002E18BD">
        <w:rPr>
          <w:lang w:val="en-GB"/>
        </w:rPr>
        <w:instrText xml:space="preserve"> ADDIN ZOTERO_ITEM CSL_CITATION {"citationID":"1UNPV3zr","properties":{"formattedCitation":"(Taylor and Kuyatt, 1994)","plainCitation":"(Taylor and Kuyatt, 1994)","dontUpdate":true,"noteIndex":0},"citationItems":[{"id":454,"uris":["http://zotero.org/users/local/YuUn2Zf4/items/LKWR29E9"],"itemData":{"id":454,"type":"book","publisher":"US Department of Commerce, Technology Administration, National Institute of Standards and Technology","title":"Guidelines for evaluating and expressing the uncertainty of NIST measurement results","volume":"1297","author":[{"family":"Taylor","given":"Barry N"},{"family":"Kuyatt","given":"Chris E"}],"issued":{"date-parts":[["1994"]]}}}],"schema":"https://github.com/citation-style-language/schema/raw/master/csl-citation.json"} </w:instrText>
      </w:r>
      <w:r w:rsidR="009848F5">
        <w:rPr>
          <w:lang w:val="en-GB"/>
        </w:rPr>
        <w:fldChar w:fldCharType="separate"/>
      </w:r>
      <w:r w:rsidR="009848F5" w:rsidRPr="009848F5">
        <w:rPr>
          <w:rFonts w:cs="Arial"/>
        </w:rPr>
        <w:t xml:space="preserve">Taylor and Kuyatt </w:t>
      </w:r>
      <w:r w:rsidR="009848F5">
        <w:rPr>
          <w:rFonts w:cs="Arial"/>
        </w:rPr>
        <w:t>(</w:t>
      </w:r>
      <w:r w:rsidR="009848F5" w:rsidRPr="009848F5">
        <w:rPr>
          <w:rFonts w:cs="Arial"/>
        </w:rPr>
        <w:t>1994)</w:t>
      </w:r>
      <w:r w:rsidR="009848F5">
        <w:rPr>
          <w:lang w:val="en-GB"/>
        </w:rPr>
        <w:fldChar w:fldCharType="end"/>
      </w:r>
      <w:r w:rsidR="009848F5" w:rsidRPr="009848F5">
        <w:rPr>
          <w:lang w:val="en-GB"/>
        </w:rPr>
        <w:t>. A detailed description of the procedure applied for uncertainty estimation in solubility measurements is provided in the work by</w:t>
      </w:r>
      <w:r w:rsidR="009848F5">
        <w:rPr>
          <w:lang w:val="en-GB"/>
        </w:rPr>
        <w:t xml:space="preserve"> </w:t>
      </w:r>
      <w:r w:rsidR="009848F5">
        <w:rPr>
          <w:lang w:val="en-GB"/>
        </w:rPr>
        <w:fldChar w:fldCharType="begin"/>
      </w:r>
      <w:r w:rsidR="002E18BD">
        <w:rPr>
          <w:lang w:val="en-GB"/>
        </w:rPr>
        <w:instrText xml:space="preserve"> ADDIN ZOTERO_ITEM CSL_CITATION {"citationID":"GXeZP3Xu","properties":{"formattedCitation":"(Schiattarella et al., 2026)","plainCitation":"(Schiattarella et al., 2026)","dontUpdate":true,"noteIndex":0},"citationItems":[{"id":350,"uris":["http://zotero.org/users/local/YuUn2Zf4/items/LKV4XP7M"],"itemData":{"id":350,"type":"article-journal","container-title":"Journal of Chemical &amp; Engineering Data","title":"Measurements of carbon dioxide solubility in Cyrene for CO&lt;sub&gt;2&lt;/sub&gt; removal applications","volume":"[submitted]","author":[{"family":"Schiattarella","given":"V."},{"family":"Farag","given":"O. W. F. M."},{"family":"Moioli","given":"S."},{"family":"De Guido","given":"G."}],"issued":{"date-parts":[["2026"]]}}}],"schema":"https://github.com/citation-style-language/schema/raw/master/csl-citation.json"} </w:instrText>
      </w:r>
      <w:r w:rsidR="009848F5">
        <w:rPr>
          <w:lang w:val="en-GB"/>
        </w:rPr>
        <w:fldChar w:fldCharType="separate"/>
      </w:r>
      <w:r w:rsidR="009848F5" w:rsidRPr="009848F5">
        <w:rPr>
          <w:rFonts w:cs="Arial"/>
        </w:rPr>
        <w:t xml:space="preserve">Schiattarella et al. </w:t>
      </w:r>
      <w:r w:rsidR="009848F5">
        <w:rPr>
          <w:rFonts w:cs="Arial"/>
        </w:rPr>
        <w:t>(</w:t>
      </w:r>
      <w:r w:rsidR="009848F5" w:rsidRPr="009848F5">
        <w:rPr>
          <w:rFonts w:cs="Arial"/>
        </w:rPr>
        <w:t>2026)</w:t>
      </w:r>
      <w:r w:rsidR="009848F5">
        <w:rPr>
          <w:lang w:val="en-GB"/>
        </w:rPr>
        <w:fldChar w:fldCharType="end"/>
      </w:r>
      <w:r w:rsidR="009848F5" w:rsidRPr="009848F5">
        <w:rPr>
          <w:lang w:val="en-GB"/>
        </w:rPr>
        <w:t>.</w:t>
      </w:r>
    </w:p>
    <w:p w14:paraId="677EBFF0" w14:textId="02771D65" w:rsidR="00600535" w:rsidRPr="000B3136" w:rsidRDefault="00596687" w:rsidP="00600535">
      <w:pPr>
        <w:pStyle w:val="CETHeading1"/>
        <w:tabs>
          <w:tab w:val="clear" w:pos="360"/>
          <w:tab w:val="right" w:pos="7100"/>
        </w:tabs>
        <w:jc w:val="both"/>
        <w:rPr>
          <w:lang w:val="en-GB"/>
        </w:rPr>
      </w:pPr>
      <w:r w:rsidRPr="000B3136">
        <w:rPr>
          <w:lang w:val="en-GB"/>
        </w:rPr>
        <w:t>Results</w:t>
      </w:r>
    </w:p>
    <w:p w14:paraId="73E693ED" w14:textId="5285023B" w:rsidR="00DC54F8" w:rsidRDefault="00DC54F8" w:rsidP="00600535">
      <w:pPr>
        <w:pStyle w:val="CETBodytext"/>
        <w:rPr>
          <w:lang w:val="en-GB"/>
        </w:rPr>
      </w:pPr>
      <w:r w:rsidRPr="00DC54F8">
        <w:rPr>
          <w:lang w:val="en-GB"/>
        </w:rPr>
        <w:t>The solubility of CO</w:t>
      </w:r>
      <w:r w:rsidR="00750475" w:rsidRPr="000B3136">
        <w:rPr>
          <w:vertAlign w:val="subscript"/>
          <w:lang w:val="en-GB"/>
        </w:rPr>
        <w:t>2</w:t>
      </w:r>
      <w:r w:rsidRPr="00DC54F8">
        <w:rPr>
          <w:lang w:val="en-GB"/>
        </w:rPr>
        <w:t xml:space="preserve"> in Cyrene has been </w:t>
      </w:r>
      <w:r w:rsidR="00C9423A" w:rsidRPr="00C9423A">
        <w:rPr>
          <w:lang w:val="en-GB"/>
        </w:rPr>
        <w:t>only limitedly</w:t>
      </w:r>
      <w:r w:rsidRPr="00DC54F8">
        <w:rPr>
          <w:lang w:val="en-GB"/>
        </w:rPr>
        <w:t xml:space="preserve"> investig</w:t>
      </w:r>
      <w:r w:rsidR="00533B11">
        <w:rPr>
          <w:lang w:val="en-GB"/>
        </w:rPr>
        <w:t>a</w:t>
      </w:r>
      <w:r w:rsidRPr="00DC54F8">
        <w:rPr>
          <w:lang w:val="en-GB"/>
        </w:rPr>
        <w:t xml:space="preserve">ted, with the work of </w:t>
      </w:r>
      <w:r>
        <w:rPr>
          <w:lang w:val="en-GB"/>
        </w:rPr>
        <w:fldChar w:fldCharType="begin"/>
      </w:r>
      <w:r w:rsidR="00EC74C1">
        <w:rPr>
          <w:lang w:val="en-GB"/>
        </w:rPr>
        <w:instrText xml:space="preserve"> ADDIN ZOTERO_ITEM CSL_CITATION {"citationID":"M5YV5FzP","properties":{"formattedCitation":"(Kerleaux et al., 2022)","plainCitation":"(Kerleaux et al., 2022)","dontUpdate":true,"noteIndex":0},"citationItems":[{"id":175,"uris":["http://zotero.org/users/local/YuUn2Zf4/items/2HFLKKXC"],"itemData":{"id":175,"type":"paper-conference","event-title":"15th IIR-Gustav Lorentzen Conference on Natural Refrigerants (GL2022).","title":"Natural Working Fluids for Absorption Refrigeration","author":[{"family":"Kerleaux","given":"Marianne"},{"family":"Rodier","given":"Laurence"},{"family":"Andanson","given":"Jean-Michel"},{"family":"Dequidt","given":"Alain"},{"family":"Coulier","given":"Yohann"}],"issued":{"date-parts":[["2022"]]}}}],"schema":"https://github.com/citation-style-language/schema/raw/master/csl-citation.json"} </w:instrText>
      </w:r>
      <w:r>
        <w:rPr>
          <w:lang w:val="en-GB"/>
        </w:rPr>
        <w:fldChar w:fldCharType="separate"/>
      </w:r>
      <w:r w:rsidRPr="00DC54F8">
        <w:rPr>
          <w:rFonts w:cs="Arial"/>
          <w:lang w:val="en-GB"/>
        </w:rPr>
        <w:t xml:space="preserve">Kerleaux et al. </w:t>
      </w:r>
      <w:r>
        <w:rPr>
          <w:rFonts w:cs="Arial"/>
          <w:lang w:val="en-GB"/>
        </w:rPr>
        <w:t>(</w:t>
      </w:r>
      <w:r w:rsidRPr="00DC54F8">
        <w:rPr>
          <w:rFonts w:cs="Arial"/>
          <w:lang w:val="en-GB"/>
        </w:rPr>
        <w:t>2022)</w:t>
      </w:r>
      <w:r>
        <w:rPr>
          <w:lang w:val="en-GB"/>
        </w:rPr>
        <w:fldChar w:fldCharType="end"/>
      </w:r>
      <w:r>
        <w:rPr>
          <w:lang w:val="en-GB"/>
        </w:rPr>
        <w:t xml:space="preserve"> r</w:t>
      </w:r>
      <w:r w:rsidRPr="00DC54F8">
        <w:rPr>
          <w:lang w:val="en-GB"/>
        </w:rPr>
        <w:t>epresenting the only reference available in the</w:t>
      </w:r>
      <w:r>
        <w:rPr>
          <w:lang w:val="en-GB"/>
        </w:rPr>
        <w:t xml:space="preserve"> </w:t>
      </w:r>
      <w:r w:rsidRPr="00DC54F8">
        <w:rPr>
          <w:lang w:val="en-GB"/>
        </w:rPr>
        <w:t xml:space="preserve">literature. For this reason, their measurements </w:t>
      </w:r>
      <w:r>
        <w:rPr>
          <w:lang w:val="en-GB"/>
        </w:rPr>
        <w:t>have been</w:t>
      </w:r>
      <w:r w:rsidRPr="00DC54F8">
        <w:rPr>
          <w:lang w:val="en-GB"/>
        </w:rPr>
        <w:t xml:space="preserve"> first reproduced in the present study </w:t>
      </w:r>
      <w:proofErr w:type="gramStart"/>
      <w:r w:rsidRPr="00DC54F8">
        <w:rPr>
          <w:lang w:val="en-GB"/>
        </w:rPr>
        <w:t>in order to</w:t>
      </w:r>
      <w:proofErr w:type="gramEnd"/>
      <w:r w:rsidRPr="00DC54F8">
        <w:rPr>
          <w:lang w:val="en-GB"/>
        </w:rPr>
        <w:t xml:space="preserve"> assess the reliability of the experimental setup and to establish a meaningful comparison (</w:t>
      </w:r>
      <w:r w:rsidR="00A95038">
        <w:rPr>
          <w:lang w:val="en-GB"/>
        </w:rPr>
        <w:fldChar w:fldCharType="begin"/>
      </w:r>
      <w:r w:rsidR="00A95038">
        <w:rPr>
          <w:lang w:val="en-GB"/>
        </w:rPr>
        <w:instrText xml:space="preserve"> REF _Ref218758683 \h </w:instrText>
      </w:r>
      <w:r w:rsidR="00A95038">
        <w:rPr>
          <w:lang w:val="en-GB"/>
        </w:rPr>
      </w:r>
      <w:r w:rsidR="00A95038">
        <w:rPr>
          <w:lang w:val="en-GB"/>
        </w:rPr>
        <w:fldChar w:fldCharType="separate"/>
      </w:r>
      <w:r w:rsidR="00C94AA6">
        <w:t xml:space="preserve">Figure </w:t>
      </w:r>
      <w:r w:rsidR="00C94AA6">
        <w:rPr>
          <w:noProof/>
        </w:rPr>
        <w:t>2</w:t>
      </w:r>
      <w:r w:rsidR="00A95038">
        <w:rPr>
          <w:lang w:val="en-GB"/>
        </w:rPr>
        <w:fldChar w:fldCharType="end"/>
      </w:r>
      <w:r w:rsidR="00A95038">
        <w:rPr>
          <w:lang w:val="en-GB"/>
        </w:rPr>
        <w:t>a</w:t>
      </w:r>
      <w:r w:rsidRPr="00DC54F8">
        <w:rPr>
          <w:lang w:val="en-GB"/>
        </w:rPr>
        <w:t>). The results obtained at the PT lab are in good qualitative agreement with the previously published data, as they display the same monotonic increase of solubility with pressure. Nonetheless, minor deviations between the two datasets are observed, particularly at higher CO</w:t>
      </w:r>
      <w:r w:rsidR="00750475" w:rsidRPr="000B3136">
        <w:rPr>
          <w:vertAlign w:val="subscript"/>
          <w:lang w:val="en-GB"/>
        </w:rPr>
        <w:t>2</w:t>
      </w:r>
      <w:r w:rsidRPr="00DC54F8">
        <w:rPr>
          <w:lang w:val="en-GB"/>
        </w:rPr>
        <w:t xml:space="preserve"> partial pressures. These differences are most likely related to the experimental techniques adopted in the respective studies</w:t>
      </w:r>
      <w:r w:rsidR="00C12CAF" w:rsidRPr="002C5225">
        <w:rPr>
          <w:lang w:val="en-GB"/>
        </w:rPr>
        <w:t>: the solubility unit described in</w:t>
      </w:r>
      <w:r w:rsidR="00C12CAF">
        <w:rPr>
          <w:lang w:val="en-GB"/>
        </w:rPr>
        <w:t xml:space="preserve"> Section</w:t>
      </w:r>
      <w:r w:rsidR="00C12CAF" w:rsidRPr="002C5225">
        <w:rPr>
          <w:lang w:val="en-GB"/>
        </w:rPr>
        <w:t xml:space="preserve"> </w:t>
      </w:r>
      <w:r w:rsidR="00C12CAF">
        <w:rPr>
          <w:lang w:val="en-GB"/>
        </w:rPr>
        <w:fldChar w:fldCharType="begin"/>
      </w:r>
      <w:r w:rsidR="00C12CAF">
        <w:rPr>
          <w:lang w:val="en-GB"/>
        </w:rPr>
        <w:instrText xml:space="preserve"> REF _Ref221546999 \r \h </w:instrText>
      </w:r>
      <w:r w:rsidR="00C12CAF">
        <w:rPr>
          <w:lang w:val="en-GB"/>
        </w:rPr>
      </w:r>
      <w:r w:rsidR="00C12CAF">
        <w:rPr>
          <w:lang w:val="en-GB"/>
        </w:rPr>
        <w:fldChar w:fldCharType="separate"/>
      </w:r>
      <w:r w:rsidR="00C12CAF">
        <w:rPr>
          <w:lang w:val="en-GB"/>
        </w:rPr>
        <w:t>2</w:t>
      </w:r>
      <w:r w:rsidR="00C12CAF">
        <w:rPr>
          <w:lang w:val="en-GB"/>
        </w:rPr>
        <w:fldChar w:fldCharType="end"/>
      </w:r>
      <w:r w:rsidR="00C12CAF" w:rsidRPr="002C5225">
        <w:rPr>
          <w:lang w:val="en-GB"/>
        </w:rPr>
        <w:t xml:space="preserve"> has been employed in the present study, whereas </w:t>
      </w:r>
      <w:r w:rsidR="00C12CAF">
        <w:rPr>
          <w:lang w:val="en-GB"/>
        </w:rPr>
        <w:fldChar w:fldCharType="begin"/>
      </w:r>
      <w:r w:rsidR="009848F5">
        <w:rPr>
          <w:lang w:val="en-GB"/>
        </w:rPr>
        <w:instrText xml:space="preserve"> ADDIN ZOTERO_ITEM CSL_CITATION {"citationID":"lfyWDPZP","properties":{"formattedCitation":"(Kerleaux et al., 2022)","plainCitation":"(Kerleaux et al., 2022)","dontUpdate":true,"noteIndex":0},"citationItems":[{"id":175,"uris":["http://zotero.org/users/local/YuUn2Zf4/items/2HFLKKXC"],"itemData":{"id":175,"type":"paper-conference","event-title":"15th IIR-Gustav Lorentzen Conference on Natural Refrigerants (GL2022).","title":"Natural Working Fluids for Absorption Refrigeration","author":[{"family":"Kerleaux","given":"Marianne"},{"family":"Rodier","given":"Laurence"},{"family":"Andanson","given":"Jean-Michel"},{"family":"Dequidt","given":"Alain"},{"family":"Coulier","given":"Yohann"}],"issued":{"date-parts":[["2022"]]}}}],"schema":"https://github.com/citation-style-language/schema/raw/master/csl-citation.json"} </w:instrText>
      </w:r>
      <w:r w:rsidR="00C12CAF">
        <w:rPr>
          <w:lang w:val="en-GB"/>
        </w:rPr>
        <w:fldChar w:fldCharType="separate"/>
      </w:r>
      <w:r w:rsidR="00C12CAF" w:rsidRPr="00DC54F8">
        <w:rPr>
          <w:rFonts w:cs="Arial"/>
          <w:lang w:val="en-GB"/>
        </w:rPr>
        <w:t xml:space="preserve">Kerleaux et al. </w:t>
      </w:r>
      <w:r w:rsidR="00C12CAF">
        <w:rPr>
          <w:rFonts w:cs="Arial"/>
          <w:lang w:val="en-GB"/>
        </w:rPr>
        <w:t>(</w:t>
      </w:r>
      <w:r w:rsidR="00C12CAF" w:rsidRPr="00DC54F8">
        <w:rPr>
          <w:rFonts w:cs="Arial"/>
          <w:lang w:val="en-GB"/>
        </w:rPr>
        <w:t>2022)</w:t>
      </w:r>
      <w:r w:rsidR="00C12CAF">
        <w:rPr>
          <w:lang w:val="en-GB"/>
        </w:rPr>
        <w:fldChar w:fldCharType="end"/>
      </w:r>
      <w:r w:rsidR="00C12CAF" w:rsidRPr="002C5225">
        <w:rPr>
          <w:lang w:val="en-GB"/>
        </w:rPr>
        <w:t xml:space="preserve"> </w:t>
      </w:r>
      <w:r w:rsidR="00C12CAF" w:rsidRPr="00C12CAF">
        <w:rPr>
          <w:lang w:val="en-GB"/>
        </w:rPr>
        <w:t>used a calorimetric technique to obtain data points at pressures up to 3.5 MPa and IR spectroscopy for the measurement at 4 MPa.</w:t>
      </w:r>
      <w:r w:rsidR="00262FF8">
        <w:rPr>
          <w:lang w:val="en-GB"/>
        </w:rPr>
        <w:t xml:space="preserve"> </w:t>
      </w:r>
      <w:r w:rsidRPr="00DC54F8">
        <w:rPr>
          <w:lang w:val="en-GB"/>
        </w:rPr>
        <w:t>Additional information on CO</w:t>
      </w:r>
      <w:r w:rsidR="00750475" w:rsidRPr="000B3136">
        <w:rPr>
          <w:vertAlign w:val="subscript"/>
          <w:lang w:val="en-GB"/>
        </w:rPr>
        <w:t>2</w:t>
      </w:r>
      <w:r w:rsidRPr="00DC54F8">
        <w:rPr>
          <w:lang w:val="en-GB"/>
        </w:rPr>
        <w:t xml:space="preserve"> solubility in Cyrene </w:t>
      </w:r>
      <w:r>
        <w:rPr>
          <w:lang w:val="en-GB"/>
        </w:rPr>
        <w:t>has also been</w:t>
      </w:r>
      <w:r w:rsidRPr="00DC54F8">
        <w:rPr>
          <w:lang w:val="en-GB"/>
        </w:rPr>
        <w:t xml:space="preserve"> provided by</w:t>
      </w:r>
      <w:r>
        <w:rPr>
          <w:lang w:val="en-GB"/>
        </w:rPr>
        <w:t xml:space="preserve"> </w:t>
      </w:r>
      <w:r>
        <w:rPr>
          <w:lang w:val="en-GB"/>
        </w:rPr>
        <w:fldChar w:fldCharType="begin"/>
      </w:r>
      <w:r w:rsidR="00AC74B7">
        <w:rPr>
          <w:lang w:val="en-GB"/>
        </w:rPr>
        <w:instrText xml:space="preserve"> ADDIN ZOTERO_ITEM CSL_CITATION {"citationID":"3oEtv558","properties":{"formattedCitation":"(Hajlaoui et al., 2023)","plainCitation":"(Hajlaoui et al., 2023)","dontUpdate":true,"noteIndex":0},"citationItems":[{"id":142,"uris":["http://zotero.org/users/local/YuUn2Zf4/items/NSQRQADR"],"itemData":{"id":142,"type":"paper-conference","event-title":"International Conference of Refrigeration","title":"Thermodynamic study of working fluid pairs for an absorption refrigeration process","author":[{"family":"Hajlaoui","given":"Alaa"},{"family":"Salat","given":"Laurène"},{"family":"Rodier","given":"Laurence"},{"family":"Andanson","given":"Jean-Michel"},{"family":"Coulier","given":"Yohann"}],"issued":{"date-parts":[["2023"]]}}}],"schema":"https://github.com/citation-style-language/schema/raw/master/csl-citation.json"} </w:instrText>
      </w:r>
      <w:r>
        <w:rPr>
          <w:lang w:val="en-GB"/>
        </w:rPr>
        <w:fldChar w:fldCharType="separate"/>
      </w:r>
      <w:r w:rsidRPr="00DC54F8">
        <w:rPr>
          <w:rFonts w:cs="Arial"/>
          <w:lang w:val="en-GB"/>
        </w:rPr>
        <w:t xml:space="preserve">Hajlaoui et al. </w:t>
      </w:r>
      <w:r>
        <w:rPr>
          <w:rFonts w:cs="Arial"/>
          <w:lang w:val="en-GB"/>
        </w:rPr>
        <w:t>(</w:t>
      </w:r>
      <w:r w:rsidRPr="00DC54F8">
        <w:rPr>
          <w:rFonts w:cs="Arial"/>
          <w:lang w:val="en-GB"/>
        </w:rPr>
        <w:t>2023)</w:t>
      </w:r>
      <w:r>
        <w:rPr>
          <w:lang w:val="en-GB"/>
        </w:rPr>
        <w:fldChar w:fldCharType="end"/>
      </w:r>
      <w:r w:rsidRPr="00DC54F8">
        <w:rPr>
          <w:lang w:val="en-GB"/>
        </w:rPr>
        <w:t xml:space="preserve">, who reported a single point at 333.15 K and 4 MPa. Although the experimental apparatus used in this study is not designed to operate at such high pressures, new measurements </w:t>
      </w:r>
      <w:r w:rsidR="00EE0858">
        <w:rPr>
          <w:lang w:val="en-GB"/>
        </w:rPr>
        <w:t>have been</w:t>
      </w:r>
      <w:r w:rsidRPr="00DC54F8">
        <w:rPr>
          <w:lang w:val="en-GB"/>
        </w:rPr>
        <w:t xml:space="preserve"> performed at 333.15 K in the pressure range between 0.2 and 2 MPa to </w:t>
      </w:r>
      <w:r w:rsidR="00EE0858" w:rsidRPr="00EE0858">
        <w:rPr>
          <w:lang w:val="en-GB"/>
        </w:rPr>
        <w:t>extend</w:t>
      </w:r>
      <w:r w:rsidRPr="00DC54F8">
        <w:rPr>
          <w:lang w:val="en-GB"/>
        </w:rPr>
        <w:t xml:space="preserve"> the dataset at this temperatur</w:t>
      </w:r>
      <w:r w:rsidR="00A95038">
        <w:rPr>
          <w:lang w:val="en-GB"/>
        </w:rPr>
        <w:t>e</w:t>
      </w:r>
      <w:r w:rsidRPr="00DC54F8">
        <w:rPr>
          <w:lang w:val="en-GB"/>
        </w:rPr>
        <w:t xml:space="preserve">. Furthermore, in order to close the temperature gap between the available literature data, solubility measurements </w:t>
      </w:r>
      <w:r w:rsidR="00EE0858">
        <w:rPr>
          <w:lang w:val="en-GB"/>
        </w:rPr>
        <w:t>have</w:t>
      </w:r>
      <w:r w:rsidRPr="00DC54F8">
        <w:rPr>
          <w:lang w:val="en-GB"/>
        </w:rPr>
        <w:t xml:space="preserve"> also </w:t>
      </w:r>
      <w:r w:rsidR="00EE0858">
        <w:rPr>
          <w:lang w:val="en-GB"/>
        </w:rPr>
        <w:t xml:space="preserve">been </w:t>
      </w:r>
      <w:r w:rsidRPr="00DC54F8">
        <w:rPr>
          <w:lang w:val="en-GB"/>
        </w:rPr>
        <w:t xml:space="preserve">conducted at 323.15 K. To extend the analysis to conditions relevant for solvent regeneration in physical absorption processes, additional experiments </w:t>
      </w:r>
      <w:r w:rsidR="00EE0858">
        <w:rPr>
          <w:lang w:val="en-GB"/>
        </w:rPr>
        <w:t>have been</w:t>
      </w:r>
      <w:r w:rsidRPr="00DC54F8">
        <w:rPr>
          <w:lang w:val="en-GB"/>
        </w:rPr>
        <w:t xml:space="preserve"> carried out at 353.15 K. The complete set of data collected at 323.15, 333.15 and 353.15 K is presented in </w:t>
      </w:r>
      <w:r w:rsidR="00A95038">
        <w:rPr>
          <w:lang w:val="en-GB"/>
        </w:rPr>
        <w:fldChar w:fldCharType="begin"/>
      </w:r>
      <w:r w:rsidR="00A95038">
        <w:rPr>
          <w:lang w:val="en-GB"/>
        </w:rPr>
        <w:instrText xml:space="preserve"> REF _Ref218758683 \h </w:instrText>
      </w:r>
      <w:r w:rsidR="00A95038">
        <w:rPr>
          <w:lang w:val="en-GB"/>
        </w:rPr>
      </w:r>
      <w:r w:rsidR="00A95038">
        <w:rPr>
          <w:lang w:val="en-GB"/>
        </w:rPr>
        <w:fldChar w:fldCharType="separate"/>
      </w:r>
      <w:r w:rsidR="00C94AA6">
        <w:t xml:space="preserve">Figure </w:t>
      </w:r>
      <w:r w:rsidR="00C94AA6">
        <w:rPr>
          <w:noProof/>
        </w:rPr>
        <w:t>2</w:t>
      </w:r>
      <w:r w:rsidR="00A95038">
        <w:rPr>
          <w:lang w:val="en-GB"/>
        </w:rPr>
        <w:fldChar w:fldCharType="end"/>
      </w:r>
      <w:r w:rsidR="00A95038">
        <w:rPr>
          <w:lang w:val="en-GB"/>
        </w:rPr>
        <w:t>b</w:t>
      </w:r>
      <w:r w:rsidRPr="00DC54F8">
        <w:rPr>
          <w:lang w:val="en-GB"/>
        </w:rPr>
        <w:t xml:space="preserve">, while the corresponding numerical values are reported in </w:t>
      </w:r>
      <w:r w:rsidR="00EE0858">
        <w:rPr>
          <w:lang w:val="en-GB"/>
        </w:rPr>
        <w:fldChar w:fldCharType="begin"/>
      </w:r>
      <w:r w:rsidR="00EE0858">
        <w:rPr>
          <w:lang w:val="en-GB"/>
        </w:rPr>
        <w:instrText xml:space="preserve"> REF _Ref218755242 \h </w:instrText>
      </w:r>
      <w:r w:rsidR="00EE0858">
        <w:rPr>
          <w:lang w:val="en-GB"/>
        </w:rPr>
      </w:r>
      <w:r w:rsidR="00EE0858">
        <w:rPr>
          <w:lang w:val="en-GB"/>
        </w:rPr>
        <w:fldChar w:fldCharType="separate"/>
      </w:r>
      <w:r w:rsidR="00C94AA6" w:rsidRPr="000B3136">
        <w:t xml:space="preserve">Table </w:t>
      </w:r>
      <w:r w:rsidR="00C94AA6">
        <w:rPr>
          <w:noProof/>
        </w:rPr>
        <w:t>1</w:t>
      </w:r>
      <w:r w:rsidR="00EE0858">
        <w:rPr>
          <w:lang w:val="en-GB"/>
        </w:rPr>
        <w:fldChar w:fldCharType="end"/>
      </w:r>
      <w:r w:rsidRPr="00DC54F8">
        <w:rPr>
          <w:lang w:val="en-GB"/>
        </w:rPr>
        <w:t>.</w:t>
      </w:r>
    </w:p>
    <w:p w14:paraId="62994B8D" w14:textId="45BE89BD" w:rsidR="000B3136" w:rsidRPr="000B3136" w:rsidRDefault="000B3136" w:rsidP="000B3136">
      <w:pPr>
        <w:pStyle w:val="CETTabletitle"/>
      </w:pPr>
      <w:bookmarkStart w:id="12" w:name="_Ref218755242"/>
      <w:r w:rsidRPr="000B3136">
        <w:t xml:space="preserve">Table </w:t>
      </w:r>
      <w:r w:rsidRPr="000B3136">
        <w:fldChar w:fldCharType="begin"/>
      </w:r>
      <w:r w:rsidRPr="000B3136">
        <w:instrText xml:space="preserve"> SEQ Table \* ARABIC </w:instrText>
      </w:r>
      <w:r w:rsidRPr="000B3136">
        <w:fldChar w:fldCharType="separate"/>
      </w:r>
      <w:r w:rsidR="00C94AA6">
        <w:rPr>
          <w:noProof/>
        </w:rPr>
        <w:t>1</w:t>
      </w:r>
      <w:r w:rsidRPr="000B3136">
        <w:fldChar w:fldCharType="end"/>
      </w:r>
      <w:bookmarkEnd w:id="12"/>
      <w:r w:rsidRPr="000B3136">
        <w:t>: Experimental CO</w:t>
      </w:r>
      <w:r w:rsidR="00750475" w:rsidRPr="000B3136">
        <w:rPr>
          <w:vertAlign w:val="subscript"/>
        </w:rPr>
        <w:t>2</w:t>
      </w:r>
      <w:r w:rsidRPr="000B3136">
        <w:t xml:space="preserve"> solubility data in Cyrene collected at the PT lab</w:t>
      </w:r>
      <w:r w:rsidR="000F0C16">
        <w:t xml:space="preserve"> of Politecnico di Milano</w:t>
      </w:r>
      <w:r w:rsidRPr="000B3136">
        <w:t xml:space="preserve"> at 313.15</w:t>
      </w:r>
      <w:r w:rsidR="000F0C16">
        <w:t xml:space="preserve"> K</w:t>
      </w:r>
      <w:r w:rsidRPr="000B3136">
        <w:t>, 323.15</w:t>
      </w:r>
      <w:r w:rsidR="000F0C16">
        <w:t xml:space="preserve"> K</w:t>
      </w:r>
      <w:r w:rsidRPr="000B3136">
        <w:t xml:space="preserve">, 333.15 </w:t>
      </w:r>
      <w:r w:rsidR="000F0C16">
        <w:t xml:space="preserve">K </w:t>
      </w:r>
      <w:r w:rsidRPr="000B3136">
        <w:t>and 353.15 K.</w:t>
      </w: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135"/>
        <w:gridCol w:w="1357"/>
        <w:gridCol w:w="1847"/>
        <w:gridCol w:w="1132"/>
        <w:gridCol w:w="1471"/>
        <w:gridCol w:w="1845"/>
      </w:tblGrid>
      <w:tr w:rsidR="004D7E1C" w:rsidRPr="000B3136" w14:paraId="76BA0AAF" w14:textId="77777777" w:rsidTr="00104884">
        <w:tc>
          <w:tcPr>
            <w:tcW w:w="646" w:type="pct"/>
            <w:tcBorders>
              <w:top w:val="single" w:sz="12" w:space="0" w:color="008000"/>
              <w:bottom w:val="single" w:sz="6" w:space="0" w:color="008000"/>
            </w:tcBorders>
            <w:shd w:val="clear" w:color="auto" w:fill="FFFFFF"/>
            <w:vAlign w:val="center"/>
          </w:tcPr>
          <w:p w14:paraId="0D88CA62" w14:textId="4EFB006B" w:rsidR="004D7E1C" w:rsidRPr="000B3136" w:rsidRDefault="004D7E1C" w:rsidP="00104884">
            <w:pPr>
              <w:pStyle w:val="CETBodytext"/>
              <w:jc w:val="left"/>
              <w:rPr>
                <w:lang w:val="en-GB"/>
              </w:rPr>
            </w:pPr>
            <w:r w:rsidRPr="000B3136">
              <w:rPr>
                <w:lang w:val="en-GB"/>
              </w:rPr>
              <w:t>P [</w:t>
            </w:r>
            <w:r w:rsidR="003C2E5B">
              <w:rPr>
                <w:lang w:val="en-GB"/>
              </w:rPr>
              <w:t>M</w:t>
            </w:r>
            <w:r w:rsidRPr="000B3136">
              <w:rPr>
                <w:lang w:val="en-GB"/>
              </w:rPr>
              <w:t>Pa]</w:t>
            </w:r>
          </w:p>
        </w:tc>
        <w:tc>
          <w:tcPr>
            <w:tcW w:w="772" w:type="pct"/>
            <w:tcBorders>
              <w:top w:val="single" w:sz="12" w:space="0" w:color="008000"/>
              <w:bottom w:val="single" w:sz="6" w:space="0" w:color="008000"/>
            </w:tcBorders>
            <w:shd w:val="clear" w:color="auto" w:fill="FFFFFF"/>
            <w:vAlign w:val="center"/>
          </w:tcPr>
          <w:p w14:paraId="53C8BB43" w14:textId="6BD82536" w:rsidR="004D7E1C" w:rsidRPr="00104884" w:rsidRDefault="00000000" w:rsidP="00104884">
            <w:pPr>
              <w:pStyle w:val="CETBodytext"/>
              <w:jc w:val="left"/>
              <w:rPr>
                <w:lang w:val="it-IT"/>
              </w:rPr>
            </w:pPr>
            <m:oMath>
              <m:sSub>
                <m:sSubPr>
                  <m:ctrlPr>
                    <w:rPr>
                      <w:rFonts w:ascii="Cambria Math" w:hAnsi="Cambria Math" w:cs="Arial"/>
                      <w:i/>
                      <w:lang w:val="en-GB"/>
                    </w:rPr>
                  </m:ctrlPr>
                </m:sSubPr>
                <m:e>
                  <m:r>
                    <m:rPr>
                      <m:nor/>
                    </m:rPr>
                    <w:rPr>
                      <w:rFonts w:cs="Arial"/>
                      <w:lang w:val="it-IT"/>
                    </w:rPr>
                    <m:t>x</m:t>
                  </m:r>
                </m:e>
                <m:sub>
                  <m:sSub>
                    <m:sSubPr>
                      <m:ctrlPr>
                        <w:rPr>
                          <w:rFonts w:ascii="Cambria Math" w:hAnsi="Cambria Math" w:cs="Arial"/>
                          <w:i/>
                          <w:lang w:val="en-GB"/>
                        </w:rPr>
                      </m:ctrlPr>
                    </m:sSubPr>
                    <m:e>
                      <m:r>
                        <m:rPr>
                          <m:nor/>
                        </m:rPr>
                        <w:rPr>
                          <w:rFonts w:cs="Arial"/>
                          <w:lang w:val="it-IT"/>
                        </w:rPr>
                        <m:t>CO</m:t>
                      </m:r>
                    </m:e>
                    <m:sub>
                      <m:r>
                        <m:rPr>
                          <m:nor/>
                        </m:rPr>
                        <w:rPr>
                          <w:rFonts w:cs="Arial"/>
                          <w:lang w:val="it-IT"/>
                        </w:rPr>
                        <m:t>2</m:t>
                      </m:r>
                    </m:sub>
                  </m:sSub>
                </m:sub>
              </m:sSub>
              <m:r>
                <m:rPr>
                  <m:nor/>
                </m:rPr>
                <w:rPr>
                  <w:rFonts w:cs="Arial"/>
                  <w:lang w:val="it-IT"/>
                </w:rPr>
                <m:t xml:space="preserve"> [mol/mol]</m:t>
              </m:r>
            </m:oMath>
            <w:r w:rsidR="005E2C4C" w:rsidRPr="00104884">
              <w:rPr>
                <w:lang w:val="it-IT"/>
              </w:rPr>
              <w:t xml:space="preserve"> </w:t>
            </w:r>
          </w:p>
        </w:tc>
        <w:tc>
          <w:tcPr>
            <w:tcW w:w="1051" w:type="pct"/>
            <w:tcBorders>
              <w:top w:val="single" w:sz="12" w:space="0" w:color="008000"/>
              <w:bottom w:val="single" w:sz="6" w:space="0" w:color="008000"/>
            </w:tcBorders>
            <w:shd w:val="clear" w:color="auto" w:fill="FFFFFF"/>
            <w:vAlign w:val="center"/>
          </w:tcPr>
          <w:p w14:paraId="56C4D2E1" w14:textId="230961BE" w:rsidR="004D7E1C" w:rsidRPr="000B3136" w:rsidRDefault="004D7E1C" w:rsidP="00104884">
            <w:pPr>
              <w:pStyle w:val="CETBodytext"/>
              <w:jc w:val="left"/>
              <w:rPr>
                <w:lang w:val="en-GB"/>
              </w:rPr>
            </w:pPr>
            <w:r w:rsidRPr="000B3136">
              <w:rPr>
                <w:rFonts w:cs="Arial"/>
                <w:lang w:val="en-GB"/>
              </w:rPr>
              <w:t>α</w:t>
            </w:r>
            <w:r w:rsidRPr="000B3136">
              <w:rPr>
                <w:lang w:val="en-GB"/>
              </w:rPr>
              <w:t xml:space="preserve"> [</w:t>
            </w:r>
            <m:oMath>
              <m:f>
                <m:fPr>
                  <m:type m:val="lin"/>
                  <m:ctrlPr>
                    <w:rPr>
                      <w:rFonts w:ascii="Cambria Math" w:hAnsi="Cambria Math" w:cs="Arial"/>
                      <w:i/>
                      <w:lang w:val="en-GB"/>
                    </w:rPr>
                  </m:ctrlPr>
                </m:fPr>
                <m:num>
                  <m:sSub>
                    <m:sSubPr>
                      <m:ctrlPr>
                        <w:rPr>
                          <w:rFonts w:ascii="Cambria Math" w:hAnsi="Cambria Math" w:cs="Arial"/>
                          <w:i/>
                          <w:lang w:val="en-GB"/>
                        </w:rPr>
                      </m:ctrlPr>
                    </m:sSubPr>
                    <m:e>
                      <m:r>
                        <m:rPr>
                          <m:nor/>
                        </m:rPr>
                        <w:rPr>
                          <w:rFonts w:cs="Arial"/>
                          <w:lang w:val="en-GB"/>
                        </w:rPr>
                        <m:t>mol</m:t>
                      </m:r>
                    </m:e>
                    <m:sub>
                      <m:sSub>
                        <m:sSubPr>
                          <m:ctrlPr>
                            <w:rPr>
                              <w:rFonts w:ascii="Cambria Math" w:hAnsi="Cambria Math" w:cs="Arial"/>
                              <w:i/>
                              <w:lang w:val="en-GB"/>
                            </w:rPr>
                          </m:ctrlPr>
                        </m:sSubPr>
                        <m:e>
                          <m:r>
                            <m:rPr>
                              <m:nor/>
                            </m:rPr>
                            <w:rPr>
                              <w:rFonts w:cs="Arial"/>
                              <w:lang w:val="en-GB"/>
                            </w:rPr>
                            <m:t>CO</m:t>
                          </m:r>
                        </m:e>
                        <m:sub>
                          <m:r>
                            <m:rPr>
                              <m:nor/>
                            </m:rPr>
                            <w:rPr>
                              <w:rFonts w:cs="Arial"/>
                              <w:lang w:val="en-GB"/>
                            </w:rPr>
                            <m:t>2</m:t>
                          </m:r>
                        </m:sub>
                      </m:sSub>
                    </m:sub>
                  </m:sSub>
                </m:num>
                <m:den>
                  <m:sSub>
                    <m:sSubPr>
                      <m:ctrlPr>
                        <w:rPr>
                          <w:rFonts w:ascii="Cambria Math" w:hAnsi="Cambria Math" w:cs="Arial"/>
                          <w:i/>
                          <w:lang w:val="en-GB"/>
                        </w:rPr>
                      </m:ctrlPr>
                    </m:sSubPr>
                    <m:e>
                      <m:r>
                        <m:rPr>
                          <m:nor/>
                        </m:rPr>
                        <w:rPr>
                          <w:rFonts w:cs="Arial"/>
                          <w:lang w:val="en-GB"/>
                        </w:rPr>
                        <m:t>mol</m:t>
                      </m:r>
                    </m:e>
                    <m:sub>
                      <m:r>
                        <m:rPr>
                          <m:nor/>
                        </m:rPr>
                        <w:rPr>
                          <w:rFonts w:cs="Arial"/>
                          <w:lang w:val="en-GB"/>
                        </w:rPr>
                        <m:t>Cyrene</m:t>
                      </m:r>
                    </m:sub>
                  </m:sSub>
                </m:den>
              </m:f>
            </m:oMath>
            <w:r w:rsidRPr="000B3136">
              <w:rPr>
                <w:lang w:val="en-GB"/>
              </w:rPr>
              <w:t>]</w:t>
            </w:r>
          </w:p>
        </w:tc>
        <w:tc>
          <w:tcPr>
            <w:tcW w:w="644" w:type="pct"/>
            <w:tcBorders>
              <w:top w:val="single" w:sz="12" w:space="0" w:color="008000"/>
              <w:bottom w:val="single" w:sz="6" w:space="0" w:color="008000"/>
            </w:tcBorders>
            <w:shd w:val="clear" w:color="auto" w:fill="FFFFFF"/>
            <w:vAlign w:val="center"/>
          </w:tcPr>
          <w:p w14:paraId="57DADDE6" w14:textId="554EEAF5" w:rsidR="004D7E1C" w:rsidRPr="000B3136" w:rsidRDefault="004D7E1C" w:rsidP="00104884">
            <w:pPr>
              <w:pStyle w:val="CETBodytext"/>
              <w:ind w:right="-1"/>
              <w:jc w:val="left"/>
              <w:rPr>
                <w:rFonts w:cs="Arial"/>
                <w:szCs w:val="18"/>
                <w:lang w:val="en-GB"/>
              </w:rPr>
            </w:pPr>
            <w:r w:rsidRPr="000B3136">
              <w:rPr>
                <w:lang w:val="en-GB"/>
              </w:rPr>
              <w:t>P [</w:t>
            </w:r>
            <w:r w:rsidR="00710FCF">
              <w:rPr>
                <w:lang w:val="en-GB"/>
              </w:rPr>
              <w:t>M</w:t>
            </w:r>
            <w:r w:rsidRPr="000B3136">
              <w:rPr>
                <w:lang w:val="en-GB"/>
              </w:rPr>
              <w:t>Pa]</w:t>
            </w:r>
          </w:p>
        </w:tc>
        <w:tc>
          <w:tcPr>
            <w:tcW w:w="837" w:type="pct"/>
            <w:tcBorders>
              <w:top w:val="single" w:sz="12" w:space="0" w:color="008000"/>
              <w:bottom w:val="single" w:sz="6" w:space="0" w:color="008000"/>
            </w:tcBorders>
            <w:shd w:val="clear" w:color="auto" w:fill="FFFFFF"/>
            <w:vAlign w:val="center"/>
          </w:tcPr>
          <w:p w14:paraId="7AF3E3E3" w14:textId="6F88C0C6" w:rsidR="004D7E1C" w:rsidRPr="000B3136" w:rsidRDefault="00000000" w:rsidP="00104884">
            <w:pPr>
              <w:pStyle w:val="CETBodytext"/>
              <w:ind w:right="-1"/>
              <w:jc w:val="left"/>
              <w:rPr>
                <w:rFonts w:cs="Arial"/>
                <w:szCs w:val="18"/>
                <w:lang w:val="en-GB"/>
              </w:rPr>
            </w:pPr>
            <m:oMathPara>
              <m:oMath>
                <m:sSub>
                  <m:sSubPr>
                    <m:ctrlPr>
                      <w:rPr>
                        <w:rFonts w:ascii="Cambria Math" w:hAnsi="Cambria Math" w:cs="Arial"/>
                        <w:i/>
                        <w:lang w:val="en-GB"/>
                      </w:rPr>
                    </m:ctrlPr>
                  </m:sSubPr>
                  <m:e>
                    <m:r>
                      <m:rPr>
                        <m:nor/>
                      </m:rPr>
                      <w:rPr>
                        <w:rFonts w:cs="Arial"/>
                        <w:lang w:val="it-IT"/>
                      </w:rPr>
                      <m:t>x</m:t>
                    </m:r>
                  </m:e>
                  <m:sub>
                    <m:sSub>
                      <m:sSubPr>
                        <m:ctrlPr>
                          <w:rPr>
                            <w:rFonts w:ascii="Cambria Math" w:hAnsi="Cambria Math" w:cs="Arial"/>
                            <w:i/>
                            <w:lang w:val="en-GB"/>
                          </w:rPr>
                        </m:ctrlPr>
                      </m:sSubPr>
                      <m:e>
                        <m:r>
                          <m:rPr>
                            <m:nor/>
                          </m:rPr>
                          <w:rPr>
                            <w:rFonts w:cs="Arial"/>
                            <w:lang w:val="it-IT"/>
                          </w:rPr>
                          <m:t>CO</m:t>
                        </m:r>
                      </m:e>
                      <m:sub>
                        <m:r>
                          <m:rPr>
                            <m:nor/>
                          </m:rPr>
                          <w:rPr>
                            <w:rFonts w:cs="Arial"/>
                            <w:lang w:val="it-IT"/>
                          </w:rPr>
                          <m:t>2</m:t>
                        </m:r>
                      </m:sub>
                    </m:sSub>
                  </m:sub>
                </m:sSub>
                <m:r>
                  <m:rPr>
                    <m:nor/>
                  </m:rPr>
                  <w:rPr>
                    <w:rFonts w:cs="Arial"/>
                    <w:lang w:val="it-IT"/>
                  </w:rPr>
                  <m:t xml:space="preserve"> [mol/mol]</m:t>
                </m:r>
              </m:oMath>
            </m:oMathPara>
          </w:p>
        </w:tc>
        <w:tc>
          <w:tcPr>
            <w:tcW w:w="1050" w:type="pct"/>
            <w:tcBorders>
              <w:top w:val="single" w:sz="12" w:space="0" w:color="008000"/>
              <w:bottom w:val="single" w:sz="6" w:space="0" w:color="008000"/>
            </w:tcBorders>
            <w:shd w:val="clear" w:color="auto" w:fill="FFFFFF"/>
            <w:vAlign w:val="center"/>
          </w:tcPr>
          <w:p w14:paraId="2FE2A9FF" w14:textId="436FF9B3" w:rsidR="004D7E1C" w:rsidRPr="000B3136" w:rsidRDefault="004D7E1C" w:rsidP="00104884">
            <w:pPr>
              <w:pStyle w:val="CETBodytext"/>
              <w:ind w:right="-1"/>
              <w:jc w:val="left"/>
              <w:rPr>
                <w:rFonts w:cs="Arial"/>
                <w:szCs w:val="18"/>
                <w:lang w:val="en-GB"/>
              </w:rPr>
            </w:pPr>
            <w:r w:rsidRPr="000B3136">
              <w:rPr>
                <w:rFonts w:cs="Arial"/>
                <w:lang w:val="en-GB"/>
              </w:rPr>
              <w:t>α</w:t>
            </w:r>
            <w:r w:rsidRPr="000B3136">
              <w:rPr>
                <w:lang w:val="en-GB"/>
              </w:rPr>
              <w:t xml:space="preserve"> </w:t>
            </w:r>
            <w:r w:rsidR="00EB3616" w:rsidRPr="000B3136">
              <w:rPr>
                <w:lang w:val="en-GB"/>
              </w:rPr>
              <w:t>[</w:t>
            </w:r>
            <m:oMath>
              <m:f>
                <m:fPr>
                  <m:type m:val="lin"/>
                  <m:ctrlPr>
                    <w:rPr>
                      <w:rFonts w:ascii="Cambria Math" w:hAnsi="Cambria Math" w:cs="Arial"/>
                      <w:i/>
                      <w:lang w:val="en-GB"/>
                    </w:rPr>
                  </m:ctrlPr>
                </m:fPr>
                <m:num>
                  <m:sSub>
                    <m:sSubPr>
                      <m:ctrlPr>
                        <w:rPr>
                          <w:rFonts w:ascii="Cambria Math" w:hAnsi="Cambria Math" w:cs="Arial"/>
                          <w:i/>
                          <w:lang w:val="en-GB"/>
                        </w:rPr>
                      </m:ctrlPr>
                    </m:sSubPr>
                    <m:e>
                      <m:r>
                        <m:rPr>
                          <m:nor/>
                        </m:rPr>
                        <w:rPr>
                          <w:rFonts w:cs="Arial"/>
                          <w:lang w:val="en-GB"/>
                        </w:rPr>
                        <m:t>mol</m:t>
                      </m:r>
                    </m:e>
                    <m:sub>
                      <m:sSub>
                        <m:sSubPr>
                          <m:ctrlPr>
                            <w:rPr>
                              <w:rFonts w:ascii="Cambria Math" w:hAnsi="Cambria Math" w:cs="Arial"/>
                              <w:i/>
                              <w:lang w:val="en-GB"/>
                            </w:rPr>
                          </m:ctrlPr>
                        </m:sSubPr>
                        <m:e>
                          <m:r>
                            <m:rPr>
                              <m:nor/>
                            </m:rPr>
                            <w:rPr>
                              <w:rFonts w:cs="Arial"/>
                              <w:lang w:val="en-GB"/>
                            </w:rPr>
                            <m:t>CO</m:t>
                          </m:r>
                        </m:e>
                        <m:sub>
                          <m:r>
                            <m:rPr>
                              <m:nor/>
                            </m:rPr>
                            <w:rPr>
                              <w:rFonts w:cs="Arial"/>
                              <w:lang w:val="en-GB"/>
                            </w:rPr>
                            <m:t>2</m:t>
                          </m:r>
                        </m:sub>
                      </m:sSub>
                    </m:sub>
                  </m:sSub>
                </m:num>
                <m:den>
                  <m:sSub>
                    <m:sSubPr>
                      <m:ctrlPr>
                        <w:rPr>
                          <w:rFonts w:ascii="Cambria Math" w:hAnsi="Cambria Math" w:cs="Arial"/>
                          <w:i/>
                          <w:lang w:val="en-GB"/>
                        </w:rPr>
                      </m:ctrlPr>
                    </m:sSubPr>
                    <m:e>
                      <m:r>
                        <m:rPr>
                          <m:nor/>
                        </m:rPr>
                        <w:rPr>
                          <w:rFonts w:cs="Arial"/>
                          <w:lang w:val="en-GB"/>
                        </w:rPr>
                        <m:t>mol</m:t>
                      </m:r>
                    </m:e>
                    <m:sub>
                      <m:r>
                        <m:rPr>
                          <m:nor/>
                        </m:rPr>
                        <w:rPr>
                          <w:rFonts w:cs="Arial"/>
                          <w:lang w:val="en-GB"/>
                        </w:rPr>
                        <m:t>Cyrene</m:t>
                      </m:r>
                    </m:sub>
                  </m:sSub>
                </m:den>
              </m:f>
            </m:oMath>
            <w:r w:rsidR="00EB3616" w:rsidRPr="000B3136">
              <w:rPr>
                <w:lang w:val="en-GB"/>
              </w:rPr>
              <w:t>]</w:t>
            </w:r>
          </w:p>
        </w:tc>
      </w:tr>
      <w:tr w:rsidR="004D7E1C" w:rsidRPr="000B3136" w14:paraId="6E6567F4" w14:textId="77777777" w:rsidTr="00104884">
        <w:tc>
          <w:tcPr>
            <w:tcW w:w="646" w:type="pct"/>
            <w:shd w:val="clear" w:color="auto" w:fill="FFFFFF"/>
            <w:vAlign w:val="center"/>
          </w:tcPr>
          <w:p w14:paraId="22CBF27C" w14:textId="4E1204EC" w:rsidR="004D7E1C" w:rsidRPr="000B3136" w:rsidRDefault="004D7E1C" w:rsidP="00104884">
            <w:pPr>
              <w:pStyle w:val="CETBodytext"/>
              <w:jc w:val="left"/>
              <w:rPr>
                <w:lang w:val="en-GB"/>
              </w:rPr>
            </w:pPr>
          </w:p>
        </w:tc>
        <w:tc>
          <w:tcPr>
            <w:tcW w:w="772" w:type="pct"/>
            <w:shd w:val="clear" w:color="auto" w:fill="FFFFFF"/>
            <w:vAlign w:val="center"/>
          </w:tcPr>
          <w:p w14:paraId="05224EB3" w14:textId="58009D7C" w:rsidR="004D7E1C" w:rsidRPr="000B3136" w:rsidRDefault="00D16A3C" w:rsidP="005E2C4C">
            <w:pPr>
              <w:pStyle w:val="CETBodytext"/>
              <w:jc w:val="left"/>
              <w:rPr>
                <w:lang w:val="en-GB"/>
              </w:rPr>
            </w:pPr>
            <w:r>
              <w:rPr>
                <w:lang w:val="en-GB"/>
              </w:rPr>
              <w:t>T=313.15 K</w:t>
            </w:r>
          </w:p>
        </w:tc>
        <w:tc>
          <w:tcPr>
            <w:tcW w:w="1051" w:type="pct"/>
            <w:shd w:val="clear" w:color="auto" w:fill="FFFFFF"/>
            <w:vAlign w:val="center"/>
          </w:tcPr>
          <w:p w14:paraId="1031DFBA" w14:textId="179B53D8" w:rsidR="004D7E1C" w:rsidRPr="000B3136" w:rsidRDefault="004D7E1C" w:rsidP="00104884">
            <w:pPr>
              <w:pStyle w:val="CETBodytext"/>
              <w:jc w:val="left"/>
              <w:rPr>
                <w:lang w:val="en-GB"/>
              </w:rPr>
            </w:pPr>
          </w:p>
        </w:tc>
        <w:tc>
          <w:tcPr>
            <w:tcW w:w="644" w:type="pct"/>
            <w:shd w:val="clear" w:color="auto" w:fill="FFFFFF"/>
            <w:vAlign w:val="center"/>
          </w:tcPr>
          <w:p w14:paraId="6460ACF9" w14:textId="1A82664D" w:rsidR="004D7E1C" w:rsidRPr="000B3136" w:rsidRDefault="004D7E1C" w:rsidP="00104884">
            <w:pPr>
              <w:pStyle w:val="CETBodytext"/>
              <w:ind w:right="-1"/>
              <w:jc w:val="left"/>
              <w:rPr>
                <w:rFonts w:cs="Arial"/>
                <w:szCs w:val="18"/>
                <w:lang w:val="en-GB"/>
              </w:rPr>
            </w:pPr>
          </w:p>
        </w:tc>
        <w:tc>
          <w:tcPr>
            <w:tcW w:w="837" w:type="pct"/>
            <w:shd w:val="clear" w:color="auto" w:fill="FFFFFF"/>
            <w:vAlign w:val="center"/>
          </w:tcPr>
          <w:p w14:paraId="6BD8B475" w14:textId="6681AE4B" w:rsidR="004D7E1C" w:rsidRPr="000B3136" w:rsidRDefault="00D16A3C" w:rsidP="00104884">
            <w:pPr>
              <w:pStyle w:val="CETBodytext"/>
              <w:ind w:right="-1"/>
              <w:jc w:val="left"/>
              <w:rPr>
                <w:rFonts w:cs="Arial"/>
                <w:szCs w:val="18"/>
                <w:lang w:val="en-GB"/>
              </w:rPr>
            </w:pPr>
            <w:r>
              <w:rPr>
                <w:lang w:val="en-GB"/>
              </w:rPr>
              <w:t>T=323.15 K</w:t>
            </w:r>
          </w:p>
        </w:tc>
        <w:tc>
          <w:tcPr>
            <w:tcW w:w="1050" w:type="pct"/>
            <w:shd w:val="clear" w:color="auto" w:fill="FFFFFF"/>
            <w:vAlign w:val="center"/>
          </w:tcPr>
          <w:p w14:paraId="0520A8BD" w14:textId="3367DE5D" w:rsidR="004D7E1C" w:rsidRPr="000B3136" w:rsidRDefault="004D7E1C" w:rsidP="00104884">
            <w:pPr>
              <w:pStyle w:val="CETBodytext"/>
              <w:ind w:right="-1"/>
              <w:jc w:val="left"/>
              <w:rPr>
                <w:rFonts w:cs="Arial"/>
                <w:szCs w:val="18"/>
                <w:lang w:val="en-GB"/>
              </w:rPr>
            </w:pPr>
          </w:p>
        </w:tc>
      </w:tr>
      <w:tr w:rsidR="00A75F73" w:rsidRPr="000B3136" w14:paraId="339874EC" w14:textId="77777777" w:rsidTr="00104884">
        <w:tc>
          <w:tcPr>
            <w:tcW w:w="646" w:type="pct"/>
            <w:shd w:val="clear" w:color="auto" w:fill="FFFFFF"/>
          </w:tcPr>
          <w:p w14:paraId="74CE5B0B" w14:textId="227D4100" w:rsidR="00A75F73" w:rsidRPr="000B3136" w:rsidRDefault="00A75F73" w:rsidP="00104884">
            <w:pPr>
              <w:pStyle w:val="CETBodytext"/>
              <w:jc w:val="left"/>
              <w:rPr>
                <w:lang w:val="en-GB"/>
              </w:rPr>
            </w:pPr>
            <w:r w:rsidRPr="00A020DD">
              <w:t>0.414</w:t>
            </w:r>
          </w:p>
        </w:tc>
        <w:tc>
          <w:tcPr>
            <w:tcW w:w="772" w:type="pct"/>
            <w:shd w:val="clear" w:color="auto" w:fill="FFFFFF"/>
            <w:vAlign w:val="center"/>
          </w:tcPr>
          <w:p w14:paraId="2B87B520" w14:textId="27F143CA" w:rsidR="00A75F73" w:rsidRPr="000B3136" w:rsidRDefault="00A75F73" w:rsidP="00104884">
            <w:pPr>
              <w:pStyle w:val="CETBodytext"/>
              <w:jc w:val="left"/>
              <w:rPr>
                <w:lang w:val="en-GB"/>
              </w:rPr>
            </w:pPr>
            <w:r w:rsidRPr="000B3136">
              <w:rPr>
                <w:lang w:val="en-GB"/>
              </w:rPr>
              <w:t>0.058648</w:t>
            </w:r>
          </w:p>
        </w:tc>
        <w:tc>
          <w:tcPr>
            <w:tcW w:w="1051" w:type="pct"/>
            <w:shd w:val="clear" w:color="auto" w:fill="FFFFFF"/>
            <w:vAlign w:val="center"/>
          </w:tcPr>
          <w:p w14:paraId="103C577B" w14:textId="6DC268A8" w:rsidR="00A75F73" w:rsidRPr="000B3136" w:rsidRDefault="00A75F73" w:rsidP="00104884">
            <w:pPr>
              <w:pStyle w:val="CETBodytext"/>
              <w:jc w:val="left"/>
              <w:rPr>
                <w:lang w:val="en-GB"/>
              </w:rPr>
            </w:pPr>
            <w:r w:rsidRPr="000B3136">
              <w:rPr>
                <w:lang w:val="en-GB"/>
              </w:rPr>
              <w:t>0.062301</w:t>
            </w:r>
          </w:p>
        </w:tc>
        <w:tc>
          <w:tcPr>
            <w:tcW w:w="644" w:type="pct"/>
            <w:shd w:val="clear" w:color="auto" w:fill="FFFFFF"/>
          </w:tcPr>
          <w:p w14:paraId="75F4CEC4" w14:textId="69126191" w:rsidR="00A75F73" w:rsidRPr="000B3136" w:rsidRDefault="00A75F73" w:rsidP="00104884">
            <w:pPr>
              <w:pStyle w:val="CETBodytext"/>
              <w:ind w:right="-1"/>
              <w:jc w:val="left"/>
              <w:rPr>
                <w:lang w:val="en-GB"/>
              </w:rPr>
            </w:pPr>
            <w:r w:rsidRPr="00B9495E">
              <w:t>0.61</w:t>
            </w:r>
            <w:r>
              <w:t>3</w:t>
            </w:r>
          </w:p>
        </w:tc>
        <w:tc>
          <w:tcPr>
            <w:tcW w:w="837" w:type="pct"/>
            <w:shd w:val="clear" w:color="auto" w:fill="FFFFFF"/>
            <w:vAlign w:val="center"/>
          </w:tcPr>
          <w:p w14:paraId="4BAD212D" w14:textId="6E89967D" w:rsidR="00A75F73" w:rsidRPr="000B3136" w:rsidRDefault="00A75F73" w:rsidP="00104884">
            <w:pPr>
              <w:pStyle w:val="CETBodytext"/>
              <w:ind w:right="-1"/>
              <w:jc w:val="left"/>
              <w:rPr>
                <w:lang w:val="en-GB"/>
              </w:rPr>
            </w:pPr>
            <w:r w:rsidRPr="000B3136">
              <w:rPr>
                <w:lang w:val="en-GB"/>
              </w:rPr>
              <w:t>0.077731</w:t>
            </w:r>
          </w:p>
        </w:tc>
        <w:tc>
          <w:tcPr>
            <w:tcW w:w="1050" w:type="pct"/>
            <w:shd w:val="clear" w:color="auto" w:fill="FFFFFF"/>
          </w:tcPr>
          <w:p w14:paraId="4BDE8B72" w14:textId="472BF2B5" w:rsidR="00A75F73" w:rsidRPr="000B3136" w:rsidRDefault="00A75F73" w:rsidP="00104884">
            <w:pPr>
              <w:pStyle w:val="CETBodytext"/>
              <w:ind w:right="-1"/>
              <w:jc w:val="left"/>
              <w:rPr>
                <w:lang w:val="en-GB"/>
              </w:rPr>
            </w:pPr>
            <w:r w:rsidRPr="00C27F1E">
              <w:t>0.084282</w:t>
            </w:r>
          </w:p>
        </w:tc>
      </w:tr>
      <w:tr w:rsidR="00A75F73" w:rsidRPr="000B3136" w14:paraId="04AC05FB" w14:textId="77777777" w:rsidTr="00104884">
        <w:tc>
          <w:tcPr>
            <w:tcW w:w="646" w:type="pct"/>
            <w:shd w:val="clear" w:color="auto" w:fill="FFFFFF"/>
          </w:tcPr>
          <w:p w14:paraId="652B9C5F" w14:textId="1DD60434" w:rsidR="00A75F73" w:rsidRPr="000B3136" w:rsidRDefault="00A75F73" w:rsidP="00104884">
            <w:pPr>
              <w:pStyle w:val="CETBodytext"/>
              <w:jc w:val="left"/>
              <w:rPr>
                <w:lang w:val="en-GB"/>
              </w:rPr>
            </w:pPr>
            <w:r w:rsidRPr="00A020DD">
              <w:t>0.6</w:t>
            </w:r>
            <w:r>
              <w:t>00</w:t>
            </w:r>
          </w:p>
        </w:tc>
        <w:tc>
          <w:tcPr>
            <w:tcW w:w="772" w:type="pct"/>
            <w:shd w:val="clear" w:color="auto" w:fill="FFFFFF"/>
            <w:vAlign w:val="center"/>
          </w:tcPr>
          <w:p w14:paraId="551ADEE6" w14:textId="6E85D6E5" w:rsidR="00A75F73" w:rsidRPr="000B3136" w:rsidRDefault="00A75F73" w:rsidP="00104884">
            <w:pPr>
              <w:pStyle w:val="CETBodytext"/>
              <w:jc w:val="left"/>
              <w:rPr>
                <w:lang w:val="en-GB"/>
              </w:rPr>
            </w:pPr>
            <w:r w:rsidRPr="000B3136">
              <w:rPr>
                <w:lang w:val="en-GB"/>
              </w:rPr>
              <w:t>0.084223</w:t>
            </w:r>
          </w:p>
        </w:tc>
        <w:tc>
          <w:tcPr>
            <w:tcW w:w="1051" w:type="pct"/>
            <w:shd w:val="clear" w:color="auto" w:fill="FFFFFF"/>
            <w:vAlign w:val="center"/>
          </w:tcPr>
          <w:p w14:paraId="02E5F719" w14:textId="1F91F6AB" w:rsidR="00A75F73" w:rsidRPr="000B3136" w:rsidRDefault="00A75F73" w:rsidP="00104884">
            <w:pPr>
              <w:pStyle w:val="CETBodytext"/>
              <w:jc w:val="left"/>
              <w:rPr>
                <w:lang w:val="en-GB"/>
              </w:rPr>
            </w:pPr>
            <w:r w:rsidRPr="000B3136">
              <w:rPr>
                <w:lang w:val="en-GB"/>
              </w:rPr>
              <w:t>0.091968</w:t>
            </w:r>
          </w:p>
        </w:tc>
        <w:tc>
          <w:tcPr>
            <w:tcW w:w="644" w:type="pct"/>
            <w:shd w:val="clear" w:color="auto" w:fill="FFFFFF"/>
          </w:tcPr>
          <w:p w14:paraId="4B452FE1" w14:textId="0894154F" w:rsidR="00A75F73" w:rsidRPr="000B3136" w:rsidRDefault="00A75F73" w:rsidP="00104884">
            <w:pPr>
              <w:pStyle w:val="CETBodytext"/>
              <w:ind w:right="-1"/>
              <w:jc w:val="left"/>
              <w:rPr>
                <w:rFonts w:cs="Arial"/>
                <w:szCs w:val="18"/>
                <w:lang w:val="en-GB"/>
              </w:rPr>
            </w:pPr>
            <w:r w:rsidRPr="00B9495E">
              <w:t>1.032</w:t>
            </w:r>
          </w:p>
        </w:tc>
        <w:tc>
          <w:tcPr>
            <w:tcW w:w="837" w:type="pct"/>
            <w:shd w:val="clear" w:color="auto" w:fill="FFFFFF"/>
            <w:vAlign w:val="center"/>
          </w:tcPr>
          <w:p w14:paraId="384AB49D" w14:textId="3F47C2B4" w:rsidR="00A75F73" w:rsidRPr="000B3136" w:rsidRDefault="00A75F73" w:rsidP="00104884">
            <w:pPr>
              <w:pStyle w:val="CETBodytext"/>
              <w:ind w:right="-1"/>
              <w:jc w:val="left"/>
              <w:rPr>
                <w:rFonts w:cs="Arial"/>
                <w:szCs w:val="18"/>
                <w:lang w:val="en-GB"/>
              </w:rPr>
            </w:pPr>
            <w:r w:rsidRPr="000B3136">
              <w:rPr>
                <w:lang w:val="en-GB"/>
              </w:rPr>
              <w:t>0.126062</w:t>
            </w:r>
          </w:p>
        </w:tc>
        <w:tc>
          <w:tcPr>
            <w:tcW w:w="1050" w:type="pct"/>
            <w:shd w:val="clear" w:color="auto" w:fill="FFFFFF"/>
          </w:tcPr>
          <w:p w14:paraId="097812AD" w14:textId="484B5700" w:rsidR="00A75F73" w:rsidRPr="000B3136" w:rsidRDefault="00A75F73" w:rsidP="00104884">
            <w:pPr>
              <w:pStyle w:val="CETBodytext"/>
              <w:ind w:right="-1"/>
              <w:jc w:val="left"/>
              <w:rPr>
                <w:rFonts w:cs="Arial"/>
                <w:szCs w:val="18"/>
                <w:lang w:val="en-GB"/>
              </w:rPr>
            </w:pPr>
            <w:r w:rsidRPr="00C27F1E">
              <w:t>0.14424</w:t>
            </w:r>
            <w:r>
              <w:t>6</w:t>
            </w:r>
          </w:p>
        </w:tc>
      </w:tr>
      <w:tr w:rsidR="00A75F73" w:rsidRPr="000B3136" w14:paraId="24B9EED2" w14:textId="77777777" w:rsidTr="00104884">
        <w:tc>
          <w:tcPr>
            <w:tcW w:w="646" w:type="pct"/>
            <w:shd w:val="clear" w:color="auto" w:fill="FFFFFF"/>
          </w:tcPr>
          <w:p w14:paraId="7C42A34D" w14:textId="3AC14552" w:rsidR="00A75F73" w:rsidRPr="000B3136" w:rsidRDefault="00A75F73" w:rsidP="00104884">
            <w:pPr>
              <w:pStyle w:val="CETBodytext"/>
              <w:jc w:val="left"/>
              <w:rPr>
                <w:lang w:val="en-GB"/>
              </w:rPr>
            </w:pPr>
            <w:r w:rsidRPr="00A020DD">
              <w:t>0.78</w:t>
            </w:r>
            <w:r>
              <w:t>0</w:t>
            </w:r>
          </w:p>
        </w:tc>
        <w:tc>
          <w:tcPr>
            <w:tcW w:w="772" w:type="pct"/>
            <w:shd w:val="clear" w:color="auto" w:fill="FFFFFF"/>
            <w:vAlign w:val="center"/>
          </w:tcPr>
          <w:p w14:paraId="237FB411" w14:textId="43799420" w:rsidR="00A75F73" w:rsidRPr="000B3136" w:rsidRDefault="00A75F73" w:rsidP="00104884">
            <w:pPr>
              <w:pStyle w:val="CETBodytext"/>
              <w:jc w:val="left"/>
              <w:rPr>
                <w:lang w:val="en-GB"/>
              </w:rPr>
            </w:pPr>
            <w:r w:rsidRPr="000B3136">
              <w:rPr>
                <w:lang w:val="en-GB"/>
              </w:rPr>
              <w:t>0.108937</w:t>
            </w:r>
          </w:p>
        </w:tc>
        <w:tc>
          <w:tcPr>
            <w:tcW w:w="1051" w:type="pct"/>
            <w:shd w:val="clear" w:color="auto" w:fill="FFFFFF"/>
            <w:vAlign w:val="center"/>
          </w:tcPr>
          <w:p w14:paraId="752BA3A6" w14:textId="2A34778D" w:rsidR="00A75F73" w:rsidRPr="000B3136" w:rsidRDefault="00A75F73" w:rsidP="00104884">
            <w:pPr>
              <w:pStyle w:val="CETBodytext"/>
              <w:jc w:val="left"/>
              <w:rPr>
                <w:lang w:val="en-GB"/>
              </w:rPr>
            </w:pPr>
            <w:r w:rsidRPr="000B3136">
              <w:rPr>
                <w:lang w:val="en-GB"/>
              </w:rPr>
              <w:t>0.122255</w:t>
            </w:r>
          </w:p>
        </w:tc>
        <w:tc>
          <w:tcPr>
            <w:tcW w:w="644" w:type="pct"/>
            <w:shd w:val="clear" w:color="auto" w:fill="FFFFFF"/>
          </w:tcPr>
          <w:p w14:paraId="26320F57" w14:textId="5281915A" w:rsidR="00A75F73" w:rsidRPr="000B3136" w:rsidRDefault="00A75F73" w:rsidP="00104884">
            <w:pPr>
              <w:pStyle w:val="CETBodytext"/>
              <w:ind w:right="-1"/>
              <w:jc w:val="left"/>
              <w:rPr>
                <w:rFonts w:cs="Arial"/>
                <w:szCs w:val="18"/>
                <w:lang w:val="en-GB"/>
              </w:rPr>
            </w:pPr>
            <w:r w:rsidRPr="00B9495E">
              <w:t>1.299</w:t>
            </w:r>
          </w:p>
        </w:tc>
        <w:tc>
          <w:tcPr>
            <w:tcW w:w="837" w:type="pct"/>
            <w:shd w:val="clear" w:color="auto" w:fill="FFFFFF"/>
            <w:vAlign w:val="center"/>
          </w:tcPr>
          <w:p w14:paraId="69835624" w14:textId="25CB95C6" w:rsidR="00A75F73" w:rsidRPr="000B3136" w:rsidRDefault="00A75F73" w:rsidP="00104884">
            <w:pPr>
              <w:pStyle w:val="CETBodytext"/>
              <w:ind w:right="-1"/>
              <w:jc w:val="left"/>
              <w:rPr>
                <w:rFonts w:cs="Arial"/>
                <w:szCs w:val="18"/>
                <w:lang w:val="en-GB"/>
              </w:rPr>
            </w:pPr>
            <w:r w:rsidRPr="000B3136">
              <w:rPr>
                <w:lang w:val="en-GB"/>
              </w:rPr>
              <w:t>0.155208</w:t>
            </w:r>
          </w:p>
        </w:tc>
        <w:tc>
          <w:tcPr>
            <w:tcW w:w="1050" w:type="pct"/>
            <w:shd w:val="clear" w:color="auto" w:fill="FFFFFF"/>
          </w:tcPr>
          <w:p w14:paraId="378E1706" w14:textId="6230864D" w:rsidR="00A75F73" w:rsidRPr="000B3136" w:rsidRDefault="00A75F73" w:rsidP="00104884">
            <w:pPr>
              <w:pStyle w:val="CETBodytext"/>
              <w:ind w:right="-1"/>
              <w:jc w:val="left"/>
              <w:rPr>
                <w:rFonts w:cs="Arial"/>
                <w:szCs w:val="18"/>
                <w:lang w:val="en-GB"/>
              </w:rPr>
            </w:pPr>
            <w:r w:rsidRPr="00C27F1E">
              <w:t>0.184408</w:t>
            </w:r>
          </w:p>
        </w:tc>
      </w:tr>
      <w:tr w:rsidR="00A75F73" w:rsidRPr="000B3136" w14:paraId="1D9A5124" w14:textId="77777777" w:rsidTr="00104884">
        <w:tc>
          <w:tcPr>
            <w:tcW w:w="646" w:type="pct"/>
            <w:shd w:val="clear" w:color="auto" w:fill="FFFFFF"/>
          </w:tcPr>
          <w:p w14:paraId="070F85E7" w14:textId="43280A67" w:rsidR="00A75F73" w:rsidRPr="000B3136" w:rsidRDefault="00A75F73" w:rsidP="00104884">
            <w:pPr>
              <w:pStyle w:val="CETBodytext"/>
              <w:jc w:val="left"/>
              <w:rPr>
                <w:lang w:val="en-GB"/>
              </w:rPr>
            </w:pPr>
            <w:r w:rsidRPr="00A020DD">
              <w:t>0.994</w:t>
            </w:r>
          </w:p>
        </w:tc>
        <w:tc>
          <w:tcPr>
            <w:tcW w:w="772" w:type="pct"/>
            <w:shd w:val="clear" w:color="auto" w:fill="FFFFFF"/>
            <w:vAlign w:val="center"/>
          </w:tcPr>
          <w:p w14:paraId="7990AADB" w14:textId="2956F9C1" w:rsidR="00A75F73" w:rsidRPr="000B3136" w:rsidRDefault="00A75F73" w:rsidP="00104884">
            <w:pPr>
              <w:pStyle w:val="CETBodytext"/>
              <w:jc w:val="left"/>
              <w:rPr>
                <w:lang w:val="en-GB"/>
              </w:rPr>
            </w:pPr>
            <w:r w:rsidRPr="000B3136">
              <w:rPr>
                <w:lang w:val="en-GB"/>
              </w:rPr>
              <w:t>0.138727</w:t>
            </w:r>
          </w:p>
        </w:tc>
        <w:tc>
          <w:tcPr>
            <w:tcW w:w="1051" w:type="pct"/>
            <w:shd w:val="clear" w:color="auto" w:fill="FFFFFF"/>
            <w:vAlign w:val="center"/>
          </w:tcPr>
          <w:p w14:paraId="3DF79FC0" w14:textId="08B8290C" w:rsidR="00A75F73" w:rsidRPr="000B3136" w:rsidRDefault="00A75F73" w:rsidP="00104884">
            <w:pPr>
              <w:pStyle w:val="CETBodytext"/>
              <w:jc w:val="left"/>
              <w:rPr>
                <w:lang w:val="en-GB"/>
              </w:rPr>
            </w:pPr>
            <w:r w:rsidRPr="000B3136">
              <w:rPr>
                <w:lang w:val="en-GB"/>
              </w:rPr>
              <w:t>0.161072</w:t>
            </w:r>
          </w:p>
        </w:tc>
        <w:tc>
          <w:tcPr>
            <w:tcW w:w="644" w:type="pct"/>
            <w:shd w:val="clear" w:color="auto" w:fill="FFFFFF"/>
          </w:tcPr>
          <w:p w14:paraId="5FB85CE5" w14:textId="144AA70E" w:rsidR="00A75F73" w:rsidRPr="000B3136" w:rsidRDefault="00A75F73" w:rsidP="00104884">
            <w:pPr>
              <w:pStyle w:val="CETBodytext"/>
              <w:ind w:right="-1"/>
              <w:jc w:val="left"/>
              <w:rPr>
                <w:rFonts w:cs="Arial"/>
                <w:szCs w:val="18"/>
                <w:lang w:val="en-GB"/>
              </w:rPr>
            </w:pPr>
            <w:r w:rsidRPr="00B9495E">
              <w:t>1.663</w:t>
            </w:r>
          </w:p>
        </w:tc>
        <w:tc>
          <w:tcPr>
            <w:tcW w:w="837" w:type="pct"/>
            <w:shd w:val="clear" w:color="auto" w:fill="FFFFFF"/>
            <w:vAlign w:val="center"/>
          </w:tcPr>
          <w:p w14:paraId="3ED0965B" w14:textId="628B152B" w:rsidR="00A75F73" w:rsidRPr="000B3136" w:rsidRDefault="00A75F73" w:rsidP="00104884">
            <w:pPr>
              <w:pStyle w:val="CETBodytext"/>
              <w:ind w:right="-1"/>
              <w:jc w:val="left"/>
              <w:rPr>
                <w:rFonts w:cs="Arial"/>
                <w:szCs w:val="18"/>
                <w:lang w:val="en-GB"/>
              </w:rPr>
            </w:pPr>
            <w:r w:rsidRPr="000B3136">
              <w:rPr>
                <w:lang w:val="en-GB"/>
              </w:rPr>
              <w:t>0.195223</w:t>
            </w:r>
          </w:p>
        </w:tc>
        <w:tc>
          <w:tcPr>
            <w:tcW w:w="1050" w:type="pct"/>
            <w:shd w:val="clear" w:color="auto" w:fill="FFFFFF"/>
          </w:tcPr>
          <w:p w14:paraId="245FEB4C" w14:textId="6EC5ADBD" w:rsidR="00A75F73" w:rsidRPr="000B3136" w:rsidRDefault="00A75F73" w:rsidP="00104884">
            <w:pPr>
              <w:pStyle w:val="CETBodytext"/>
              <w:ind w:right="-1"/>
              <w:jc w:val="left"/>
              <w:rPr>
                <w:rFonts w:cs="Arial"/>
                <w:szCs w:val="18"/>
                <w:lang w:val="en-GB"/>
              </w:rPr>
            </w:pPr>
            <w:r w:rsidRPr="00C27F1E">
              <w:t>0.242580</w:t>
            </w:r>
          </w:p>
        </w:tc>
      </w:tr>
      <w:tr w:rsidR="00A75F73" w:rsidRPr="000B3136" w14:paraId="16D27BFF" w14:textId="77777777" w:rsidTr="00104884">
        <w:tc>
          <w:tcPr>
            <w:tcW w:w="646" w:type="pct"/>
            <w:shd w:val="clear" w:color="auto" w:fill="FFFFFF"/>
          </w:tcPr>
          <w:p w14:paraId="19D89414" w14:textId="66BD37E1" w:rsidR="00A75F73" w:rsidRPr="000B3136" w:rsidRDefault="00A75F73" w:rsidP="00104884">
            <w:pPr>
              <w:pStyle w:val="CETBodytext"/>
              <w:jc w:val="left"/>
              <w:rPr>
                <w:lang w:val="en-GB"/>
              </w:rPr>
            </w:pPr>
            <w:r w:rsidRPr="00A020DD">
              <w:t>1.259</w:t>
            </w:r>
          </w:p>
        </w:tc>
        <w:tc>
          <w:tcPr>
            <w:tcW w:w="772" w:type="pct"/>
            <w:shd w:val="clear" w:color="auto" w:fill="FFFFFF"/>
            <w:vAlign w:val="center"/>
          </w:tcPr>
          <w:p w14:paraId="24B58115" w14:textId="7E501E94" w:rsidR="00A75F73" w:rsidRPr="000B3136" w:rsidRDefault="00A75F73" w:rsidP="00104884">
            <w:pPr>
              <w:pStyle w:val="CETBodytext"/>
              <w:jc w:val="left"/>
              <w:rPr>
                <w:lang w:val="en-GB"/>
              </w:rPr>
            </w:pPr>
            <w:r w:rsidRPr="000B3136">
              <w:rPr>
                <w:lang w:val="en-GB"/>
              </w:rPr>
              <w:t>0.167360</w:t>
            </w:r>
          </w:p>
        </w:tc>
        <w:tc>
          <w:tcPr>
            <w:tcW w:w="1051" w:type="pct"/>
            <w:shd w:val="clear" w:color="auto" w:fill="FFFFFF"/>
            <w:vAlign w:val="center"/>
          </w:tcPr>
          <w:p w14:paraId="6225D6D9" w14:textId="62B221E7" w:rsidR="00A75F73" w:rsidRPr="000B3136" w:rsidRDefault="00A75F73" w:rsidP="00104884">
            <w:pPr>
              <w:pStyle w:val="CETBodytext"/>
              <w:jc w:val="left"/>
              <w:rPr>
                <w:lang w:val="en-GB"/>
              </w:rPr>
            </w:pPr>
            <w:r w:rsidRPr="000B3136">
              <w:rPr>
                <w:lang w:val="en-GB"/>
              </w:rPr>
              <w:t>0.200999</w:t>
            </w:r>
          </w:p>
        </w:tc>
        <w:tc>
          <w:tcPr>
            <w:tcW w:w="644" w:type="pct"/>
            <w:shd w:val="clear" w:color="auto" w:fill="FFFFFF"/>
          </w:tcPr>
          <w:p w14:paraId="60B022F7" w14:textId="4E483C50" w:rsidR="00A75F73" w:rsidRPr="000B3136" w:rsidRDefault="00A75F73" w:rsidP="00104884">
            <w:pPr>
              <w:pStyle w:val="CETBodytext"/>
              <w:ind w:right="-1"/>
              <w:jc w:val="left"/>
              <w:rPr>
                <w:rFonts w:cs="Arial"/>
                <w:szCs w:val="18"/>
                <w:lang w:val="en-GB"/>
              </w:rPr>
            </w:pPr>
            <w:r w:rsidRPr="00B9495E">
              <w:t>2.116</w:t>
            </w:r>
          </w:p>
        </w:tc>
        <w:tc>
          <w:tcPr>
            <w:tcW w:w="837" w:type="pct"/>
            <w:shd w:val="clear" w:color="auto" w:fill="FFFFFF"/>
            <w:vAlign w:val="center"/>
          </w:tcPr>
          <w:p w14:paraId="603A394B" w14:textId="088C85F2" w:rsidR="00A75F73" w:rsidRPr="000B3136" w:rsidRDefault="00A75F73" w:rsidP="00104884">
            <w:pPr>
              <w:pStyle w:val="CETBodytext"/>
              <w:ind w:right="-1"/>
              <w:jc w:val="left"/>
              <w:rPr>
                <w:rFonts w:cs="Arial"/>
                <w:szCs w:val="18"/>
                <w:lang w:val="en-GB"/>
              </w:rPr>
            </w:pPr>
            <w:r w:rsidRPr="000B3136">
              <w:rPr>
                <w:lang w:val="en-GB"/>
              </w:rPr>
              <w:t>0.235160</w:t>
            </w:r>
          </w:p>
        </w:tc>
        <w:tc>
          <w:tcPr>
            <w:tcW w:w="1050" w:type="pct"/>
            <w:shd w:val="clear" w:color="auto" w:fill="FFFFFF"/>
          </w:tcPr>
          <w:p w14:paraId="3E2AF795" w14:textId="7DB3ACEC" w:rsidR="00A75F73" w:rsidRPr="000B3136" w:rsidRDefault="00A75F73" w:rsidP="00104884">
            <w:pPr>
              <w:pStyle w:val="CETBodytext"/>
              <w:ind w:right="-1"/>
              <w:jc w:val="left"/>
              <w:rPr>
                <w:rFonts w:cs="Arial"/>
                <w:szCs w:val="18"/>
                <w:lang w:val="en-GB"/>
              </w:rPr>
            </w:pPr>
            <w:r w:rsidRPr="00C27F1E">
              <w:t>0.30746</w:t>
            </w:r>
            <w:r>
              <w:t>4</w:t>
            </w:r>
          </w:p>
        </w:tc>
      </w:tr>
      <w:tr w:rsidR="003C2E5B" w:rsidRPr="000B3136" w14:paraId="4DDCAB2D" w14:textId="77777777" w:rsidTr="00104884">
        <w:tc>
          <w:tcPr>
            <w:tcW w:w="646" w:type="pct"/>
            <w:shd w:val="clear" w:color="auto" w:fill="FFFFFF"/>
          </w:tcPr>
          <w:p w14:paraId="1B268419" w14:textId="4DA16EB1" w:rsidR="003C2E5B" w:rsidRPr="000B3136" w:rsidRDefault="003C2E5B" w:rsidP="00104884">
            <w:pPr>
              <w:pStyle w:val="CETBodytext"/>
              <w:jc w:val="left"/>
              <w:rPr>
                <w:lang w:val="en-GB"/>
              </w:rPr>
            </w:pPr>
            <w:r w:rsidRPr="00A020DD">
              <w:t>1.552</w:t>
            </w:r>
          </w:p>
        </w:tc>
        <w:tc>
          <w:tcPr>
            <w:tcW w:w="772" w:type="pct"/>
            <w:shd w:val="clear" w:color="auto" w:fill="FFFFFF"/>
            <w:vAlign w:val="center"/>
          </w:tcPr>
          <w:p w14:paraId="2FA66ECD" w14:textId="2BEB9487" w:rsidR="003C2E5B" w:rsidRPr="000B3136" w:rsidRDefault="003C2E5B" w:rsidP="00104884">
            <w:pPr>
              <w:pStyle w:val="CETBodytext"/>
              <w:jc w:val="left"/>
              <w:rPr>
                <w:lang w:val="en-GB"/>
              </w:rPr>
            </w:pPr>
            <w:r w:rsidRPr="000B3136">
              <w:rPr>
                <w:lang w:val="en-GB"/>
              </w:rPr>
              <w:t>0.205770</w:t>
            </w:r>
          </w:p>
        </w:tc>
        <w:tc>
          <w:tcPr>
            <w:tcW w:w="1051" w:type="pct"/>
            <w:shd w:val="clear" w:color="auto" w:fill="FFFFFF"/>
            <w:vAlign w:val="center"/>
          </w:tcPr>
          <w:p w14:paraId="1EF57F66" w14:textId="07ADD9A3" w:rsidR="003C2E5B" w:rsidRPr="000B3136" w:rsidRDefault="003C2E5B" w:rsidP="00104884">
            <w:pPr>
              <w:pStyle w:val="CETBodytext"/>
              <w:jc w:val="left"/>
              <w:rPr>
                <w:lang w:val="en-GB"/>
              </w:rPr>
            </w:pPr>
            <w:r w:rsidRPr="000B3136">
              <w:rPr>
                <w:lang w:val="en-GB"/>
              </w:rPr>
              <w:t>0.259082</w:t>
            </w:r>
          </w:p>
        </w:tc>
        <w:tc>
          <w:tcPr>
            <w:tcW w:w="644" w:type="pct"/>
            <w:shd w:val="clear" w:color="auto" w:fill="FFFFFF"/>
            <w:vAlign w:val="center"/>
          </w:tcPr>
          <w:p w14:paraId="4B252620" w14:textId="77777777" w:rsidR="003C2E5B" w:rsidRPr="000B3136" w:rsidRDefault="003C2E5B" w:rsidP="00104884">
            <w:pPr>
              <w:pStyle w:val="CETBodytext"/>
              <w:ind w:right="-1"/>
              <w:jc w:val="left"/>
              <w:rPr>
                <w:lang w:val="en-GB"/>
              </w:rPr>
            </w:pPr>
          </w:p>
        </w:tc>
        <w:tc>
          <w:tcPr>
            <w:tcW w:w="837" w:type="pct"/>
            <w:shd w:val="clear" w:color="auto" w:fill="FFFFFF"/>
            <w:vAlign w:val="center"/>
          </w:tcPr>
          <w:p w14:paraId="6B346AB2" w14:textId="64013F97" w:rsidR="003C2E5B" w:rsidRPr="000B3136" w:rsidRDefault="003C2E5B" w:rsidP="00104884">
            <w:pPr>
              <w:pStyle w:val="CETBodytext"/>
              <w:ind w:right="-1"/>
              <w:jc w:val="left"/>
              <w:rPr>
                <w:lang w:val="en-GB"/>
              </w:rPr>
            </w:pPr>
            <w:r>
              <w:rPr>
                <w:lang w:val="en-GB"/>
              </w:rPr>
              <w:t>T=353.15 K</w:t>
            </w:r>
          </w:p>
        </w:tc>
        <w:tc>
          <w:tcPr>
            <w:tcW w:w="1050" w:type="pct"/>
            <w:shd w:val="clear" w:color="auto" w:fill="FFFFFF"/>
            <w:vAlign w:val="center"/>
          </w:tcPr>
          <w:p w14:paraId="54EE1D08" w14:textId="77777777" w:rsidR="003C2E5B" w:rsidRPr="000B3136" w:rsidRDefault="003C2E5B" w:rsidP="00104884">
            <w:pPr>
              <w:pStyle w:val="CETBodytext"/>
              <w:ind w:right="-1"/>
              <w:jc w:val="left"/>
              <w:rPr>
                <w:lang w:val="en-GB"/>
              </w:rPr>
            </w:pPr>
          </w:p>
        </w:tc>
      </w:tr>
      <w:tr w:rsidR="003C2E5B" w:rsidRPr="000B3136" w14:paraId="069EBA1D" w14:textId="77777777" w:rsidTr="00104884">
        <w:tc>
          <w:tcPr>
            <w:tcW w:w="646" w:type="pct"/>
            <w:shd w:val="clear" w:color="auto" w:fill="FFFFFF"/>
            <w:vAlign w:val="center"/>
          </w:tcPr>
          <w:p w14:paraId="46E67EC9" w14:textId="77777777" w:rsidR="003C2E5B" w:rsidRPr="000B3136" w:rsidRDefault="003C2E5B" w:rsidP="00104884">
            <w:pPr>
              <w:pStyle w:val="CETBodytext"/>
              <w:jc w:val="left"/>
              <w:rPr>
                <w:lang w:val="en-GB"/>
              </w:rPr>
            </w:pPr>
          </w:p>
        </w:tc>
        <w:tc>
          <w:tcPr>
            <w:tcW w:w="772" w:type="pct"/>
            <w:shd w:val="clear" w:color="auto" w:fill="FFFFFF"/>
            <w:vAlign w:val="center"/>
          </w:tcPr>
          <w:p w14:paraId="139AB01A" w14:textId="10CD466E" w:rsidR="003C2E5B" w:rsidRPr="000B3136" w:rsidRDefault="003C2E5B" w:rsidP="00104884">
            <w:pPr>
              <w:pStyle w:val="CETBodytext"/>
              <w:jc w:val="left"/>
              <w:rPr>
                <w:lang w:val="en-GB"/>
              </w:rPr>
            </w:pPr>
            <w:r>
              <w:rPr>
                <w:lang w:val="en-GB"/>
              </w:rPr>
              <w:t>T=333.15 K</w:t>
            </w:r>
          </w:p>
        </w:tc>
        <w:tc>
          <w:tcPr>
            <w:tcW w:w="1051" w:type="pct"/>
            <w:shd w:val="clear" w:color="auto" w:fill="FFFFFF"/>
            <w:vAlign w:val="center"/>
          </w:tcPr>
          <w:p w14:paraId="30628912" w14:textId="77777777" w:rsidR="003C2E5B" w:rsidRPr="000B3136" w:rsidRDefault="003C2E5B" w:rsidP="00104884">
            <w:pPr>
              <w:pStyle w:val="CETBodytext"/>
              <w:jc w:val="left"/>
              <w:rPr>
                <w:lang w:val="en-GB"/>
              </w:rPr>
            </w:pPr>
          </w:p>
        </w:tc>
        <w:tc>
          <w:tcPr>
            <w:tcW w:w="644" w:type="pct"/>
            <w:shd w:val="clear" w:color="auto" w:fill="FFFFFF"/>
          </w:tcPr>
          <w:p w14:paraId="4F315726" w14:textId="2AF681DA" w:rsidR="003C2E5B" w:rsidRPr="000B3136" w:rsidRDefault="003C2E5B" w:rsidP="00104884">
            <w:pPr>
              <w:pStyle w:val="CETBodytext"/>
              <w:ind w:right="-1"/>
              <w:jc w:val="left"/>
              <w:rPr>
                <w:lang w:val="en-GB"/>
              </w:rPr>
            </w:pPr>
            <w:r w:rsidRPr="00983473">
              <w:t>0.32</w:t>
            </w:r>
            <w:r>
              <w:t>1</w:t>
            </w:r>
          </w:p>
        </w:tc>
        <w:tc>
          <w:tcPr>
            <w:tcW w:w="837" w:type="pct"/>
            <w:shd w:val="clear" w:color="auto" w:fill="FFFFFF"/>
            <w:vAlign w:val="center"/>
          </w:tcPr>
          <w:p w14:paraId="32E91DF4" w14:textId="35F933B2" w:rsidR="003C2E5B" w:rsidRPr="000B3136" w:rsidRDefault="00BB1488" w:rsidP="00104884">
            <w:pPr>
              <w:pStyle w:val="CETBodytext"/>
              <w:ind w:right="-1"/>
              <w:jc w:val="left"/>
              <w:rPr>
                <w:lang w:val="en-GB"/>
              </w:rPr>
            </w:pPr>
            <w:r w:rsidRPr="00BB1488">
              <w:rPr>
                <w:lang w:val="en-GB"/>
              </w:rPr>
              <w:t>0.019609</w:t>
            </w:r>
          </w:p>
        </w:tc>
        <w:tc>
          <w:tcPr>
            <w:tcW w:w="1050" w:type="pct"/>
            <w:shd w:val="clear" w:color="auto" w:fill="FFFFFF"/>
            <w:vAlign w:val="center"/>
          </w:tcPr>
          <w:p w14:paraId="342EE89E" w14:textId="3440F839" w:rsidR="003C2E5B" w:rsidRPr="000B3136" w:rsidRDefault="00BB1488" w:rsidP="00104884">
            <w:pPr>
              <w:pStyle w:val="CETBodytext"/>
              <w:ind w:right="-1"/>
              <w:jc w:val="left"/>
              <w:rPr>
                <w:lang w:val="en-GB"/>
              </w:rPr>
            </w:pPr>
            <w:r w:rsidRPr="00BB1488">
              <w:rPr>
                <w:lang w:val="en-GB"/>
              </w:rPr>
              <w:t>0.020014</w:t>
            </w:r>
          </w:p>
        </w:tc>
      </w:tr>
      <w:tr w:rsidR="003C2E5B" w:rsidRPr="000B3136" w14:paraId="62211998" w14:textId="77777777" w:rsidTr="00104884">
        <w:tc>
          <w:tcPr>
            <w:tcW w:w="646" w:type="pct"/>
            <w:shd w:val="clear" w:color="auto" w:fill="FFFFFF"/>
          </w:tcPr>
          <w:p w14:paraId="3B8CB838" w14:textId="31F83F41" w:rsidR="003C2E5B" w:rsidRPr="000B3136" w:rsidRDefault="003C2E5B" w:rsidP="00104884">
            <w:pPr>
              <w:pStyle w:val="CETBodytext"/>
              <w:jc w:val="left"/>
              <w:rPr>
                <w:lang w:val="en-GB"/>
              </w:rPr>
            </w:pPr>
            <w:r w:rsidRPr="00917C77">
              <w:t>0.255</w:t>
            </w:r>
          </w:p>
        </w:tc>
        <w:tc>
          <w:tcPr>
            <w:tcW w:w="772" w:type="pct"/>
            <w:shd w:val="clear" w:color="auto" w:fill="FFFFFF"/>
            <w:vAlign w:val="center"/>
          </w:tcPr>
          <w:p w14:paraId="208420E7" w14:textId="6844078D" w:rsidR="003C2E5B" w:rsidRPr="000B3136" w:rsidRDefault="003C2E5B" w:rsidP="00104884">
            <w:pPr>
              <w:pStyle w:val="CETBodytext"/>
              <w:jc w:val="left"/>
              <w:rPr>
                <w:lang w:val="en-GB"/>
              </w:rPr>
            </w:pPr>
            <w:r w:rsidRPr="000B3136">
              <w:rPr>
                <w:lang w:val="en-GB"/>
              </w:rPr>
              <w:t>0.025829</w:t>
            </w:r>
          </w:p>
        </w:tc>
        <w:tc>
          <w:tcPr>
            <w:tcW w:w="1051" w:type="pct"/>
            <w:shd w:val="clear" w:color="auto" w:fill="FFFFFF"/>
            <w:vAlign w:val="center"/>
          </w:tcPr>
          <w:p w14:paraId="07EEF3B8" w14:textId="14E2932D" w:rsidR="003C2E5B" w:rsidRPr="000B3136" w:rsidRDefault="003C2E5B" w:rsidP="00104884">
            <w:pPr>
              <w:pStyle w:val="CETBodytext"/>
              <w:jc w:val="left"/>
              <w:rPr>
                <w:lang w:val="en-GB"/>
              </w:rPr>
            </w:pPr>
            <w:r w:rsidRPr="000B3136">
              <w:rPr>
                <w:lang w:val="en-GB"/>
              </w:rPr>
              <w:t>0.027395</w:t>
            </w:r>
          </w:p>
        </w:tc>
        <w:tc>
          <w:tcPr>
            <w:tcW w:w="644" w:type="pct"/>
            <w:shd w:val="clear" w:color="auto" w:fill="FFFFFF"/>
          </w:tcPr>
          <w:p w14:paraId="75089D5A" w14:textId="1AB9C1DF" w:rsidR="003C2E5B" w:rsidRPr="000B3136" w:rsidRDefault="003C2E5B" w:rsidP="00104884">
            <w:pPr>
              <w:pStyle w:val="CETBodytext"/>
              <w:ind w:right="-1"/>
              <w:jc w:val="left"/>
              <w:rPr>
                <w:lang w:val="en-GB"/>
              </w:rPr>
            </w:pPr>
            <w:r w:rsidRPr="00983473">
              <w:t>0.53</w:t>
            </w:r>
            <w:r>
              <w:t>1</w:t>
            </w:r>
          </w:p>
        </w:tc>
        <w:tc>
          <w:tcPr>
            <w:tcW w:w="837" w:type="pct"/>
            <w:shd w:val="clear" w:color="auto" w:fill="FFFFFF"/>
            <w:vAlign w:val="center"/>
          </w:tcPr>
          <w:p w14:paraId="668978C8" w14:textId="3B7F8444" w:rsidR="003C2E5B" w:rsidRPr="000B3136" w:rsidRDefault="00BB1488" w:rsidP="00104884">
            <w:pPr>
              <w:pStyle w:val="CETBodytext"/>
              <w:ind w:right="-1"/>
              <w:jc w:val="left"/>
              <w:rPr>
                <w:lang w:val="en-GB"/>
              </w:rPr>
            </w:pPr>
            <w:r w:rsidRPr="00BB1488">
              <w:rPr>
                <w:lang w:val="en-GB"/>
              </w:rPr>
              <w:t>0.045780</w:t>
            </w:r>
          </w:p>
        </w:tc>
        <w:tc>
          <w:tcPr>
            <w:tcW w:w="1050" w:type="pct"/>
            <w:shd w:val="clear" w:color="auto" w:fill="FFFFFF"/>
            <w:vAlign w:val="center"/>
          </w:tcPr>
          <w:p w14:paraId="42EB90DC" w14:textId="2601EB36" w:rsidR="003C2E5B" w:rsidRPr="000B3136" w:rsidRDefault="00BB1488" w:rsidP="00104884">
            <w:pPr>
              <w:pStyle w:val="CETBodytext"/>
              <w:ind w:right="-1"/>
              <w:jc w:val="left"/>
              <w:rPr>
                <w:lang w:val="en-GB"/>
              </w:rPr>
            </w:pPr>
            <w:r w:rsidRPr="00BB1488">
              <w:rPr>
                <w:lang w:val="en-GB"/>
              </w:rPr>
              <w:t>0.047977</w:t>
            </w:r>
          </w:p>
        </w:tc>
      </w:tr>
      <w:tr w:rsidR="003C2E5B" w:rsidRPr="000B3136" w14:paraId="56312C87" w14:textId="77777777" w:rsidTr="00104884">
        <w:tc>
          <w:tcPr>
            <w:tcW w:w="646" w:type="pct"/>
            <w:shd w:val="clear" w:color="auto" w:fill="FFFFFF"/>
          </w:tcPr>
          <w:p w14:paraId="6702223F" w14:textId="3EF14C07" w:rsidR="003C2E5B" w:rsidRPr="000B3136" w:rsidRDefault="003C2E5B" w:rsidP="00104884">
            <w:pPr>
              <w:pStyle w:val="CETBodytext"/>
              <w:jc w:val="left"/>
              <w:rPr>
                <w:lang w:val="en-GB"/>
              </w:rPr>
            </w:pPr>
            <w:r w:rsidRPr="00917C77">
              <w:t>0.43</w:t>
            </w:r>
            <w:r>
              <w:t>2</w:t>
            </w:r>
          </w:p>
        </w:tc>
        <w:tc>
          <w:tcPr>
            <w:tcW w:w="772" w:type="pct"/>
            <w:shd w:val="clear" w:color="auto" w:fill="FFFFFF"/>
            <w:vAlign w:val="center"/>
          </w:tcPr>
          <w:p w14:paraId="57E8B7AE" w14:textId="0C063E5D" w:rsidR="003C2E5B" w:rsidRPr="000B3136" w:rsidRDefault="003C2E5B" w:rsidP="00104884">
            <w:pPr>
              <w:pStyle w:val="CETBodytext"/>
              <w:jc w:val="left"/>
              <w:rPr>
                <w:lang w:val="en-GB"/>
              </w:rPr>
            </w:pPr>
            <w:r w:rsidRPr="000B3136">
              <w:rPr>
                <w:lang w:val="en-GB"/>
              </w:rPr>
              <w:t>0.050118</w:t>
            </w:r>
          </w:p>
        </w:tc>
        <w:tc>
          <w:tcPr>
            <w:tcW w:w="1051" w:type="pct"/>
            <w:shd w:val="clear" w:color="auto" w:fill="FFFFFF"/>
            <w:vAlign w:val="center"/>
          </w:tcPr>
          <w:p w14:paraId="15DB8487" w14:textId="3A0F7991" w:rsidR="003C2E5B" w:rsidRPr="000B3136" w:rsidRDefault="003C2E5B" w:rsidP="00104884">
            <w:pPr>
              <w:pStyle w:val="CETBodytext"/>
              <w:jc w:val="left"/>
              <w:rPr>
                <w:lang w:val="en-GB"/>
              </w:rPr>
            </w:pPr>
            <w:r w:rsidRPr="000B3136">
              <w:rPr>
                <w:lang w:val="en-GB"/>
              </w:rPr>
              <w:t>0.052762</w:t>
            </w:r>
          </w:p>
        </w:tc>
        <w:tc>
          <w:tcPr>
            <w:tcW w:w="644" w:type="pct"/>
            <w:shd w:val="clear" w:color="auto" w:fill="FFFFFF"/>
          </w:tcPr>
          <w:p w14:paraId="2177DB41" w14:textId="0183D34B" w:rsidR="003C2E5B" w:rsidRPr="000B3136" w:rsidRDefault="003C2E5B" w:rsidP="00104884">
            <w:pPr>
              <w:pStyle w:val="CETBodytext"/>
              <w:ind w:right="-1"/>
              <w:jc w:val="left"/>
              <w:rPr>
                <w:rFonts w:cs="Arial"/>
                <w:szCs w:val="18"/>
                <w:lang w:val="en-GB"/>
              </w:rPr>
            </w:pPr>
            <w:r w:rsidRPr="00983473">
              <w:t>0.95</w:t>
            </w:r>
            <w:r>
              <w:t>8</w:t>
            </w:r>
          </w:p>
        </w:tc>
        <w:tc>
          <w:tcPr>
            <w:tcW w:w="837" w:type="pct"/>
            <w:shd w:val="clear" w:color="auto" w:fill="FFFFFF"/>
            <w:vAlign w:val="center"/>
          </w:tcPr>
          <w:p w14:paraId="0E230689" w14:textId="272B44EB" w:rsidR="003C2E5B" w:rsidRPr="000B3136" w:rsidRDefault="003C2E5B" w:rsidP="00104884">
            <w:pPr>
              <w:pStyle w:val="CETBodytext"/>
              <w:ind w:right="-1"/>
              <w:jc w:val="left"/>
              <w:rPr>
                <w:rFonts w:cs="Arial"/>
                <w:szCs w:val="18"/>
                <w:lang w:val="en-GB"/>
              </w:rPr>
            </w:pPr>
            <w:r w:rsidRPr="000B3136">
              <w:rPr>
                <w:lang w:val="en-GB"/>
              </w:rPr>
              <w:t>0.080218</w:t>
            </w:r>
          </w:p>
        </w:tc>
        <w:tc>
          <w:tcPr>
            <w:tcW w:w="1050" w:type="pct"/>
            <w:shd w:val="clear" w:color="auto" w:fill="FFFFFF"/>
            <w:vAlign w:val="center"/>
          </w:tcPr>
          <w:p w14:paraId="7E31757C" w14:textId="0B8E222E" w:rsidR="003C2E5B" w:rsidRPr="000B3136" w:rsidRDefault="003C2E5B" w:rsidP="00104884">
            <w:pPr>
              <w:pStyle w:val="CETBodytext"/>
              <w:ind w:right="-1"/>
              <w:jc w:val="left"/>
              <w:rPr>
                <w:rFonts w:cs="Arial"/>
                <w:szCs w:val="18"/>
                <w:lang w:val="en-GB"/>
              </w:rPr>
            </w:pPr>
            <w:r w:rsidRPr="000B3136">
              <w:rPr>
                <w:lang w:val="en-GB"/>
              </w:rPr>
              <w:t>0.087214</w:t>
            </w:r>
          </w:p>
        </w:tc>
      </w:tr>
      <w:tr w:rsidR="003C2E5B" w:rsidRPr="000B3136" w14:paraId="30FB4D7E" w14:textId="77777777" w:rsidTr="00104884">
        <w:tc>
          <w:tcPr>
            <w:tcW w:w="646" w:type="pct"/>
            <w:shd w:val="clear" w:color="auto" w:fill="FFFFFF"/>
          </w:tcPr>
          <w:p w14:paraId="30EA155C" w14:textId="0E735E2D" w:rsidR="003C2E5B" w:rsidRPr="000B3136" w:rsidRDefault="003C2E5B" w:rsidP="00104884">
            <w:pPr>
              <w:pStyle w:val="CETBodytext"/>
              <w:jc w:val="left"/>
              <w:rPr>
                <w:lang w:val="en-GB"/>
              </w:rPr>
            </w:pPr>
            <w:r w:rsidRPr="00917C77">
              <w:t>0.86</w:t>
            </w:r>
            <w:r>
              <w:t>5</w:t>
            </w:r>
          </w:p>
        </w:tc>
        <w:tc>
          <w:tcPr>
            <w:tcW w:w="772" w:type="pct"/>
            <w:shd w:val="clear" w:color="auto" w:fill="FFFFFF"/>
            <w:vAlign w:val="center"/>
          </w:tcPr>
          <w:p w14:paraId="1F4227DE" w14:textId="636DEFC0" w:rsidR="003C2E5B" w:rsidRPr="000B3136" w:rsidRDefault="003C2E5B" w:rsidP="00104884">
            <w:pPr>
              <w:pStyle w:val="CETBodytext"/>
              <w:jc w:val="left"/>
              <w:rPr>
                <w:lang w:val="en-GB"/>
              </w:rPr>
            </w:pPr>
            <w:r w:rsidRPr="000B3136">
              <w:rPr>
                <w:lang w:val="en-GB"/>
              </w:rPr>
              <w:t>0.098161</w:t>
            </w:r>
          </w:p>
        </w:tc>
        <w:tc>
          <w:tcPr>
            <w:tcW w:w="1051" w:type="pct"/>
            <w:shd w:val="clear" w:color="auto" w:fill="FFFFFF"/>
            <w:vAlign w:val="center"/>
          </w:tcPr>
          <w:p w14:paraId="48002107" w14:textId="3648F25E" w:rsidR="003C2E5B" w:rsidRPr="000B3136" w:rsidRDefault="003C2E5B" w:rsidP="00104884">
            <w:pPr>
              <w:pStyle w:val="CETBodytext"/>
              <w:jc w:val="left"/>
              <w:rPr>
                <w:lang w:val="en-GB"/>
              </w:rPr>
            </w:pPr>
            <w:r w:rsidRPr="000B3136">
              <w:rPr>
                <w:lang w:val="en-GB"/>
              </w:rPr>
              <w:t>0.108846</w:t>
            </w:r>
          </w:p>
        </w:tc>
        <w:tc>
          <w:tcPr>
            <w:tcW w:w="644" w:type="pct"/>
            <w:shd w:val="clear" w:color="auto" w:fill="FFFFFF"/>
          </w:tcPr>
          <w:p w14:paraId="47FFD7EB" w14:textId="1043ED0A" w:rsidR="003C2E5B" w:rsidRPr="000B3136" w:rsidRDefault="003C2E5B" w:rsidP="00104884">
            <w:pPr>
              <w:pStyle w:val="CETBodytext"/>
              <w:ind w:right="-1"/>
              <w:jc w:val="left"/>
              <w:rPr>
                <w:rFonts w:cs="Arial"/>
                <w:szCs w:val="18"/>
                <w:lang w:val="en-GB"/>
              </w:rPr>
            </w:pPr>
            <w:r w:rsidRPr="00983473">
              <w:t>1.442</w:t>
            </w:r>
          </w:p>
        </w:tc>
        <w:tc>
          <w:tcPr>
            <w:tcW w:w="837" w:type="pct"/>
            <w:shd w:val="clear" w:color="auto" w:fill="FFFFFF"/>
            <w:vAlign w:val="center"/>
          </w:tcPr>
          <w:p w14:paraId="3D0B2C10" w14:textId="3C912949" w:rsidR="003C2E5B" w:rsidRPr="000B3136" w:rsidRDefault="003C2E5B" w:rsidP="00104884">
            <w:pPr>
              <w:pStyle w:val="CETBodytext"/>
              <w:ind w:right="-1"/>
              <w:jc w:val="left"/>
              <w:rPr>
                <w:rFonts w:cs="Arial"/>
                <w:szCs w:val="18"/>
                <w:lang w:val="en-GB"/>
              </w:rPr>
            </w:pPr>
            <w:r w:rsidRPr="000B3136">
              <w:rPr>
                <w:lang w:val="en-GB"/>
              </w:rPr>
              <w:t>0.117011</w:t>
            </w:r>
          </w:p>
        </w:tc>
        <w:tc>
          <w:tcPr>
            <w:tcW w:w="1050" w:type="pct"/>
            <w:shd w:val="clear" w:color="auto" w:fill="FFFFFF"/>
            <w:vAlign w:val="center"/>
          </w:tcPr>
          <w:p w14:paraId="05F808A0" w14:textId="4C4F3EB4" w:rsidR="003C2E5B" w:rsidRPr="000B3136" w:rsidRDefault="003C2E5B" w:rsidP="00104884">
            <w:pPr>
              <w:pStyle w:val="CETBodytext"/>
              <w:ind w:right="-1"/>
              <w:jc w:val="left"/>
              <w:rPr>
                <w:rFonts w:cs="Arial"/>
                <w:szCs w:val="18"/>
                <w:lang w:val="en-GB"/>
              </w:rPr>
            </w:pPr>
            <w:r w:rsidRPr="000B3136">
              <w:rPr>
                <w:lang w:val="en-GB"/>
              </w:rPr>
              <w:t>0.132518</w:t>
            </w:r>
          </w:p>
        </w:tc>
      </w:tr>
      <w:tr w:rsidR="003C2E5B" w:rsidRPr="000B3136" w14:paraId="3E10F5D0" w14:textId="77777777" w:rsidTr="00104884">
        <w:tc>
          <w:tcPr>
            <w:tcW w:w="646" w:type="pct"/>
            <w:shd w:val="clear" w:color="auto" w:fill="FFFFFF"/>
          </w:tcPr>
          <w:p w14:paraId="405C70CB" w14:textId="2CAFB509" w:rsidR="003C2E5B" w:rsidRPr="000B3136" w:rsidRDefault="003C2E5B" w:rsidP="00104884">
            <w:pPr>
              <w:pStyle w:val="CETBodytext"/>
              <w:jc w:val="left"/>
              <w:rPr>
                <w:lang w:val="en-GB"/>
              </w:rPr>
            </w:pPr>
            <w:r w:rsidRPr="00917C77">
              <w:t>1.34</w:t>
            </w:r>
            <w:r>
              <w:t>9</w:t>
            </w:r>
          </w:p>
        </w:tc>
        <w:tc>
          <w:tcPr>
            <w:tcW w:w="772" w:type="pct"/>
            <w:shd w:val="clear" w:color="auto" w:fill="FFFFFF"/>
            <w:vAlign w:val="center"/>
          </w:tcPr>
          <w:p w14:paraId="355FFE47" w14:textId="7B3792A6" w:rsidR="003C2E5B" w:rsidRPr="000B3136" w:rsidRDefault="003C2E5B" w:rsidP="00104884">
            <w:pPr>
              <w:pStyle w:val="CETBodytext"/>
              <w:jc w:val="left"/>
              <w:rPr>
                <w:lang w:val="en-GB"/>
              </w:rPr>
            </w:pPr>
            <w:r w:rsidRPr="000B3136">
              <w:rPr>
                <w:lang w:val="en-GB"/>
              </w:rPr>
              <w:t>0.147606</w:t>
            </w:r>
          </w:p>
        </w:tc>
        <w:tc>
          <w:tcPr>
            <w:tcW w:w="1051" w:type="pct"/>
            <w:shd w:val="clear" w:color="auto" w:fill="FFFFFF"/>
            <w:vAlign w:val="center"/>
          </w:tcPr>
          <w:p w14:paraId="3EAABE2A" w14:textId="48DF225F" w:rsidR="003C2E5B" w:rsidRPr="000B3136" w:rsidRDefault="003C2E5B" w:rsidP="00104884">
            <w:pPr>
              <w:pStyle w:val="CETBodytext"/>
              <w:jc w:val="left"/>
              <w:rPr>
                <w:lang w:val="en-GB"/>
              </w:rPr>
            </w:pPr>
            <w:r w:rsidRPr="000B3136">
              <w:rPr>
                <w:lang w:val="en-GB"/>
              </w:rPr>
              <w:t>0.173168</w:t>
            </w:r>
          </w:p>
        </w:tc>
        <w:tc>
          <w:tcPr>
            <w:tcW w:w="644" w:type="pct"/>
            <w:shd w:val="clear" w:color="auto" w:fill="FFFFFF"/>
          </w:tcPr>
          <w:p w14:paraId="374E18F7" w14:textId="47A9B066" w:rsidR="003C2E5B" w:rsidRPr="000B3136" w:rsidRDefault="003C2E5B" w:rsidP="00104884">
            <w:pPr>
              <w:pStyle w:val="CETBodytext"/>
              <w:ind w:right="-1"/>
              <w:jc w:val="left"/>
              <w:rPr>
                <w:lang w:val="en-GB"/>
              </w:rPr>
            </w:pPr>
            <w:r w:rsidRPr="00983473">
              <w:t>1.738</w:t>
            </w:r>
          </w:p>
        </w:tc>
        <w:tc>
          <w:tcPr>
            <w:tcW w:w="837" w:type="pct"/>
            <w:shd w:val="clear" w:color="auto" w:fill="FFFFFF"/>
            <w:vAlign w:val="center"/>
          </w:tcPr>
          <w:p w14:paraId="4A208F0D" w14:textId="100AD088" w:rsidR="003C2E5B" w:rsidRPr="000B3136" w:rsidRDefault="003C2E5B" w:rsidP="00104884">
            <w:pPr>
              <w:pStyle w:val="CETBodytext"/>
              <w:ind w:right="-1"/>
              <w:jc w:val="left"/>
              <w:rPr>
                <w:rFonts w:cs="Arial"/>
                <w:szCs w:val="18"/>
                <w:lang w:val="en-GB"/>
              </w:rPr>
            </w:pPr>
            <w:r w:rsidRPr="000B3136">
              <w:rPr>
                <w:lang w:val="en-GB"/>
              </w:rPr>
              <w:t>0.141441</w:t>
            </w:r>
          </w:p>
        </w:tc>
        <w:tc>
          <w:tcPr>
            <w:tcW w:w="1050" w:type="pct"/>
            <w:shd w:val="clear" w:color="auto" w:fill="FFFFFF"/>
            <w:vAlign w:val="center"/>
          </w:tcPr>
          <w:p w14:paraId="5E1CBEF6" w14:textId="4007297C" w:rsidR="003C2E5B" w:rsidRPr="000B3136" w:rsidRDefault="003C2E5B" w:rsidP="00104884">
            <w:pPr>
              <w:pStyle w:val="CETBodytext"/>
              <w:ind w:right="-1"/>
              <w:jc w:val="left"/>
              <w:rPr>
                <w:rFonts w:cs="Arial"/>
                <w:szCs w:val="18"/>
                <w:lang w:val="en-GB"/>
              </w:rPr>
            </w:pPr>
            <w:r w:rsidRPr="000B3136">
              <w:rPr>
                <w:lang w:val="en-GB"/>
              </w:rPr>
              <w:t>0.16477</w:t>
            </w:r>
            <w:r w:rsidR="00B9394A">
              <w:rPr>
                <w:lang w:val="en-GB"/>
              </w:rPr>
              <w:t>0</w:t>
            </w:r>
          </w:p>
        </w:tc>
      </w:tr>
      <w:tr w:rsidR="003C2E5B" w:rsidRPr="000B3136" w14:paraId="6A076C31" w14:textId="77777777" w:rsidTr="00104884">
        <w:tc>
          <w:tcPr>
            <w:tcW w:w="646" w:type="pct"/>
            <w:shd w:val="clear" w:color="auto" w:fill="FFFFFF"/>
          </w:tcPr>
          <w:p w14:paraId="5D1F6DE6" w14:textId="2ED9343A" w:rsidR="003C2E5B" w:rsidRPr="000B3136" w:rsidRDefault="003C2E5B" w:rsidP="00104884">
            <w:pPr>
              <w:pStyle w:val="CETBodytext"/>
              <w:jc w:val="left"/>
              <w:rPr>
                <w:lang w:val="en-GB"/>
              </w:rPr>
            </w:pPr>
            <w:r w:rsidRPr="00917C77">
              <w:t>1.61</w:t>
            </w:r>
            <w:r>
              <w:t>8</w:t>
            </w:r>
          </w:p>
        </w:tc>
        <w:tc>
          <w:tcPr>
            <w:tcW w:w="772" w:type="pct"/>
            <w:shd w:val="clear" w:color="auto" w:fill="FFFFFF"/>
            <w:vAlign w:val="center"/>
          </w:tcPr>
          <w:p w14:paraId="19C7E90C" w14:textId="4C21CB9D" w:rsidR="003C2E5B" w:rsidRPr="000B3136" w:rsidRDefault="003C2E5B" w:rsidP="00104884">
            <w:pPr>
              <w:pStyle w:val="CETBodytext"/>
              <w:jc w:val="left"/>
              <w:rPr>
                <w:lang w:val="en-GB"/>
              </w:rPr>
            </w:pPr>
            <w:r w:rsidRPr="000B3136">
              <w:rPr>
                <w:lang w:val="en-GB"/>
              </w:rPr>
              <w:t>0.174341</w:t>
            </w:r>
          </w:p>
        </w:tc>
        <w:tc>
          <w:tcPr>
            <w:tcW w:w="1051" w:type="pct"/>
            <w:shd w:val="clear" w:color="auto" w:fill="FFFFFF"/>
            <w:vAlign w:val="center"/>
          </w:tcPr>
          <w:p w14:paraId="254438B1" w14:textId="0E6B2AC3" w:rsidR="003C2E5B" w:rsidRPr="000B3136" w:rsidRDefault="003C2E5B" w:rsidP="00104884">
            <w:pPr>
              <w:pStyle w:val="CETBodytext"/>
              <w:jc w:val="left"/>
              <w:rPr>
                <w:lang w:val="en-GB"/>
              </w:rPr>
            </w:pPr>
            <w:r w:rsidRPr="000B3136">
              <w:rPr>
                <w:lang w:val="en-GB"/>
              </w:rPr>
              <w:t>0.211154</w:t>
            </w:r>
          </w:p>
        </w:tc>
        <w:tc>
          <w:tcPr>
            <w:tcW w:w="644" w:type="pct"/>
            <w:shd w:val="clear" w:color="auto" w:fill="FFFFFF"/>
          </w:tcPr>
          <w:p w14:paraId="453FB525" w14:textId="0B836CD9" w:rsidR="003C2E5B" w:rsidRPr="000B3136" w:rsidRDefault="003C2E5B" w:rsidP="00104884">
            <w:pPr>
              <w:pStyle w:val="CETBodytext"/>
              <w:ind w:right="-1"/>
              <w:jc w:val="left"/>
              <w:rPr>
                <w:rFonts w:cs="Arial"/>
                <w:szCs w:val="18"/>
                <w:lang w:val="en-GB"/>
              </w:rPr>
            </w:pPr>
            <w:r w:rsidRPr="00983473">
              <w:t>2.05</w:t>
            </w:r>
            <w:r>
              <w:t>1</w:t>
            </w:r>
          </w:p>
        </w:tc>
        <w:tc>
          <w:tcPr>
            <w:tcW w:w="837" w:type="pct"/>
            <w:shd w:val="clear" w:color="auto" w:fill="FFFFFF"/>
            <w:vAlign w:val="center"/>
          </w:tcPr>
          <w:p w14:paraId="381513EC" w14:textId="0B8255CE" w:rsidR="003C2E5B" w:rsidRPr="000B3136" w:rsidRDefault="003C2E5B" w:rsidP="00104884">
            <w:pPr>
              <w:pStyle w:val="CETBodytext"/>
              <w:ind w:right="-1"/>
              <w:jc w:val="left"/>
              <w:rPr>
                <w:rFonts w:cs="Arial"/>
                <w:szCs w:val="18"/>
                <w:lang w:val="en-GB"/>
              </w:rPr>
            </w:pPr>
            <w:r w:rsidRPr="000B3136">
              <w:rPr>
                <w:lang w:val="en-GB"/>
              </w:rPr>
              <w:t>0.168124</w:t>
            </w:r>
          </w:p>
        </w:tc>
        <w:tc>
          <w:tcPr>
            <w:tcW w:w="1050" w:type="pct"/>
            <w:shd w:val="clear" w:color="auto" w:fill="FFFFFF"/>
            <w:vAlign w:val="center"/>
          </w:tcPr>
          <w:p w14:paraId="2F5DA006" w14:textId="2077A12C" w:rsidR="003C2E5B" w:rsidRPr="000B3136" w:rsidRDefault="003C2E5B" w:rsidP="00104884">
            <w:pPr>
              <w:pStyle w:val="CETBodytext"/>
              <w:ind w:right="-1"/>
              <w:jc w:val="left"/>
              <w:rPr>
                <w:rFonts w:cs="Arial"/>
                <w:szCs w:val="18"/>
                <w:lang w:val="en-GB"/>
              </w:rPr>
            </w:pPr>
            <w:r w:rsidRPr="000B3136">
              <w:rPr>
                <w:lang w:val="en-GB"/>
              </w:rPr>
              <w:t>0.191039</w:t>
            </w:r>
          </w:p>
        </w:tc>
      </w:tr>
      <w:tr w:rsidR="003C2E5B" w:rsidRPr="000B3136" w14:paraId="49D39805" w14:textId="77777777" w:rsidTr="00104884">
        <w:tc>
          <w:tcPr>
            <w:tcW w:w="646" w:type="pct"/>
            <w:shd w:val="clear" w:color="auto" w:fill="FFFFFF"/>
          </w:tcPr>
          <w:p w14:paraId="42F76AF5" w14:textId="3D60568C" w:rsidR="003C2E5B" w:rsidRPr="000B3136" w:rsidRDefault="003C2E5B" w:rsidP="00104884">
            <w:pPr>
              <w:pStyle w:val="CETBodytext"/>
              <w:ind w:right="-1"/>
              <w:jc w:val="left"/>
              <w:rPr>
                <w:rFonts w:cs="Arial"/>
                <w:szCs w:val="18"/>
                <w:lang w:val="en-GB"/>
              </w:rPr>
            </w:pPr>
            <w:r w:rsidRPr="00917C77">
              <w:t>1.949</w:t>
            </w:r>
          </w:p>
        </w:tc>
        <w:tc>
          <w:tcPr>
            <w:tcW w:w="772" w:type="pct"/>
            <w:shd w:val="clear" w:color="auto" w:fill="FFFFFF"/>
            <w:vAlign w:val="center"/>
          </w:tcPr>
          <w:p w14:paraId="28CF0D27" w14:textId="63D95714" w:rsidR="003C2E5B" w:rsidRPr="000B3136" w:rsidRDefault="00A75F73" w:rsidP="00104884">
            <w:pPr>
              <w:pStyle w:val="CETBodytext"/>
              <w:ind w:right="-1"/>
              <w:jc w:val="left"/>
              <w:rPr>
                <w:rFonts w:cs="Arial"/>
                <w:szCs w:val="18"/>
                <w:lang w:val="en-GB"/>
              </w:rPr>
            </w:pPr>
            <w:r w:rsidRPr="00A75F73">
              <w:rPr>
                <w:lang w:val="en-GB"/>
              </w:rPr>
              <w:t>0.205538</w:t>
            </w:r>
          </w:p>
        </w:tc>
        <w:tc>
          <w:tcPr>
            <w:tcW w:w="1051" w:type="pct"/>
            <w:shd w:val="clear" w:color="auto" w:fill="FFFFFF"/>
            <w:vAlign w:val="center"/>
          </w:tcPr>
          <w:p w14:paraId="2A384F6F" w14:textId="74F41CC9" w:rsidR="003C2E5B" w:rsidRPr="000B3136" w:rsidRDefault="003C2E5B" w:rsidP="00104884">
            <w:pPr>
              <w:pStyle w:val="CETBodytext"/>
              <w:ind w:right="-1"/>
              <w:jc w:val="left"/>
              <w:rPr>
                <w:rFonts w:cs="Arial"/>
                <w:szCs w:val="18"/>
                <w:lang w:val="en-GB"/>
              </w:rPr>
            </w:pPr>
            <w:r w:rsidRPr="000B3136">
              <w:rPr>
                <w:lang w:val="en-GB"/>
              </w:rPr>
              <w:t>0.258716</w:t>
            </w:r>
          </w:p>
        </w:tc>
        <w:tc>
          <w:tcPr>
            <w:tcW w:w="644" w:type="pct"/>
            <w:shd w:val="clear" w:color="auto" w:fill="FFFFFF"/>
          </w:tcPr>
          <w:p w14:paraId="4D4C2CFD" w14:textId="78051343" w:rsidR="003C2E5B" w:rsidRPr="000B3136" w:rsidRDefault="003C2E5B" w:rsidP="00104884">
            <w:pPr>
              <w:pStyle w:val="CETBodytext"/>
              <w:ind w:right="-1"/>
              <w:jc w:val="left"/>
              <w:rPr>
                <w:rFonts w:cs="Arial"/>
                <w:szCs w:val="18"/>
                <w:lang w:val="en-GB"/>
              </w:rPr>
            </w:pPr>
            <w:r w:rsidRPr="00983473">
              <w:t>2.37</w:t>
            </w:r>
            <w:r>
              <w:t>9</w:t>
            </w:r>
          </w:p>
        </w:tc>
        <w:tc>
          <w:tcPr>
            <w:tcW w:w="837" w:type="pct"/>
            <w:shd w:val="clear" w:color="auto" w:fill="FFFFFF"/>
            <w:vAlign w:val="center"/>
          </w:tcPr>
          <w:p w14:paraId="186CC840" w14:textId="4245CC67" w:rsidR="003C2E5B" w:rsidRPr="000B3136" w:rsidRDefault="003C2E5B" w:rsidP="00104884">
            <w:pPr>
              <w:pStyle w:val="CETBodytext"/>
              <w:ind w:right="-1"/>
              <w:jc w:val="left"/>
              <w:rPr>
                <w:rFonts w:cs="Arial"/>
                <w:szCs w:val="18"/>
                <w:lang w:val="en-GB"/>
              </w:rPr>
            </w:pPr>
            <w:r w:rsidRPr="000B3136">
              <w:rPr>
                <w:lang w:val="en-GB"/>
              </w:rPr>
              <w:t>0.191628</w:t>
            </w:r>
          </w:p>
        </w:tc>
        <w:tc>
          <w:tcPr>
            <w:tcW w:w="1050" w:type="pct"/>
            <w:shd w:val="clear" w:color="auto" w:fill="FFFFFF"/>
            <w:vAlign w:val="center"/>
          </w:tcPr>
          <w:p w14:paraId="265D71F3" w14:textId="6BD30430" w:rsidR="003C2E5B" w:rsidRPr="000B3136" w:rsidRDefault="003C2E5B" w:rsidP="00104884">
            <w:pPr>
              <w:pStyle w:val="CETBodytext"/>
              <w:ind w:right="-1"/>
              <w:jc w:val="left"/>
              <w:rPr>
                <w:rFonts w:cs="Arial"/>
                <w:szCs w:val="18"/>
                <w:lang w:val="en-GB"/>
              </w:rPr>
            </w:pPr>
            <w:r w:rsidRPr="000B3136">
              <w:rPr>
                <w:lang w:val="en-GB"/>
              </w:rPr>
              <w:t>0.237098</w:t>
            </w:r>
          </w:p>
        </w:tc>
      </w:tr>
    </w:tbl>
    <w:p w14:paraId="2D4758FD" w14:textId="77777777" w:rsidR="00335B06" w:rsidRDefault="00335B06" w:rsidP="00600535">
      <w:pPr>
        <w:pStyle w:val="CETBodytext"/>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4016"/>
        <w:gridCol w:w="377"/>
        <w:gridCol w:w="4016"/>
      </w:tblGrid>
      <w:tr w:rsidR="00683D99" w14:paraId="1DC77BAE" w14:textId="77777777" w:rsidTr="00A95038">
        <w:tc>
          <w:tcPr>
            <w:tcW w:w="371" w:type="dxa"/>
          </w:tcPr>
          <w:p w14:paraId="6D38A16D" w14:textId="7A85C2EA" w:rsidR="00683D99" w:rsidRDefault="00683D99" w:rsidP="00600535">
            <w:pPr>
              <w:pStyle w:val="CETBodytext"/>
              <w:rPr>
                <w:lang w:val="en-GB"/>
              </w:rPr>
            </w:pPr>
            <w:r>
              <w:rPr>
                <w:lang w:val="en-GB"/>
              </w:rPr>
              <w:t>a)</w:t>
            </w:r>
          </w:p>
        </w:tc>
        <w:tc>
          <w:tcPr>
            <w:tcW w:w="4018" w:type="dxa"/>
          </w:tcPr>
          <w:p w14:paraId="3095CCF5" w14:textId="49154570" w:rsidR="00683D99" w:rsidRDefault="00A62229" w:rsidP="00600535">
            <w:pPr>
              <w:pStyle w:val="CETBodytext"/>
              <w:rPr>
                <w:lang w:val="en-GB"/>
              </w:rPr>
            </w:pPr>
            <w:r w:rsidRPr="00A62229">
              <w:rPr>
                <w:noProof/>
                <w:lang w:val="en-GB"/>
              </w:rPr>
              <w:drawing>
                <wp:inline distT="0" distB="0" distL="0" distR="0" wp14:anchorId="14B3B69A" wp14:editId="56B7BBF4">
                  <wp:extent cx="2340000" cy="2340000"/>
                  <wp:effectExtent l="0" t="0" r="3175" b="3175"/>
                  <wp:docPr id="4523233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0000" cy="2340000"/>
                          </a:xfrm>
                          <a:prstGeom prst="rect">
                            <a:avLst/>
                          </a:prstGeom>
                          <a:noFill/>
                          <a:ln>
                            <a:noFill/>
                          </a:ln>
                        </pic:spPr>
                      </pic:pic>
                    </a:graphicData>
                  </a:graphic>
                </wp:inline>
              </w:drawing>
            </w:r>
          </w:p>
        </w:tc>
        <w:tc>
          <w:tcPr>
            <w:tcW w:w="370" w:type="dxa"/>
          </w:tcPr>
          <w:p w14:paraId="7DE49E4E" w14:textId="4C50EAD2" w:rsidR="00683D99" w:rsidRDefault="00683D99" w:rsidP="00600535">
            <w:pPr>
              <w:pStyle w:val="CETBodytext"/>
              <w:rPr>
                <w:lang w:val="en-GB"/>
              </w:rPr>
            </w:pPr>
            <w:r>
              <w:rPr>
                <w:lang w:val="en-GB"/>
              </w:rPr>
              <w:t>b)</w:t>
            </w:r>
          </w:p>
        </w:tc>
        <w:tc>
          <w:tcPr>
            <w:tcW w:w="4018" w:type="dxa"/>
          </w:tcPr>
          <w:p w14:paraId="2BDFDF30" w14:textId="32A94D89" w:rsidR="00683D99" w:rsidRDefault="00683D99" w:rsidP="00600535">
            <w:pPr>
              <w:pStyle w:val="CETBodytext"/>
              <w:rPr>
                <w:noProof/>
                <w:lang w:val="en-GB"/>
              </w:rPr>
            </w:pPr>
          </w:p>
          <w:p w14:paraId="469A053B" w14:textId="3890ABF1" w:rsidR="00CE3956" w:rsidRDefault="00CE3956" w:rsidP="00600535">
            <w:pPr>
              <w:pStyle w:val="CETBodytext"/>
              <w:rPr>
                <w:lang w:val="en-GB"/>
              </w:rPr>
            </w:pPr>
            <w:r w:rsidRPr="00BB1488">
              <w:rPr>
                <w:noProof/>
                <w:lang w:val="en-GB"/>
              </w:rPr>
              <w:drawing>
                <wp:inline distT="0" distB="0" distL="0" distR="0" wp14:anchorId="21211A83" wp14:editId="0E02E4E4">
                  <wp:extent cx="2340000" cy="2340000"/>
                  <wp:effectExtent l="0" t="0" r="3175" b="3175"/>
                  <wp:docPr id="1931483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0000" cy="2340000"/>
                          </a:xfrm>
                          <a:prstGeom prst="rect">
                            <a:avLst/>
                          </a:prstGeom>
                          <a:noFill/>
                          <a:ln>
                            <a:noFill/>
                          </a:ln>
                        </pic:spPr>
                      </pic:pic>
                    </a:graphicData>
                  </a:graphic>
                </wp:inline>
              </w:drawing>
            </w:r>
          </w:p>
        </w:tc>
      </w:tr>
    </w:tbl>
    <w:p w14:paraId="07451A4D" w14:textId="5BB45BD3" w:rsidR="009D42AA" w:rsidRPr="009D42AA" w:rsidRDefault="00683D99" w:rsidP="009848F5">
      <w:pPr>
        <w:pStyle w:val="CETCaption"/>
      </w:pPr>
      <w:bookmarkStart w:id="13" w:name="_Ref218758683"/>
      <w:r w:rsidRPr="009D42AA">
        <w:t xml:space="preserve">Figure </w:t>
      </w:r>
      <w:r w:rsidRPr="009D42AA">
        <w:fldChar w:fldCharType="begin"/>
      </w:r>
      <w:r w:rsidRPr="009D42AA">
        <w:instrText xml:space="preserve"> SEQ Figure \* ARABIC </w:instrText>
      </w:r>
      <w:r w:rsidRPr="009D42AA">
        <w:fldChar w:fldCharType="separate"/>
      </w:r>
      <w:r w:rsidR="00C94AA6" w:rsidRPr="00813486">
        <w:t>2</w:t>
      </w:r>
      <w:r w:rsidRPr="009D42AA">
        <w:fldChar w:fldCharType="end"/>
      </w:r>
      <w:bookmarkEnd w:id="13"/>
      <w:r w:rsidRPr="009D42AA">
        <w:t xml:space="preserve">: </w:t>
      </w:r>
      <w:r w:rsidRPr="009848F5">
        <w:t xml:space="preserve">Experimental </w:t>
      </w:r>
      <w:r w:rsidR="00D16A3C" w:rsidRPr="009848F5">
        <w:t xml:space="preserve">data </w:t>
      </w:r>
      <w:r w:rsidRPr="009848F5">
        <w:t>of CO</w:t>
      </w:r>
      <w:r w:rsidRPr="00A17A40">
        <w:rPr>
          <w:vertAlign w:val="subscript"/>
        </w:rPr>
        <w:t>2</w:t>
      </w:r>
      <w:r w:rsidRPr="009848F5">
        <w:t xml:space="preserve"> solubility in Cyrene. a) Comparison between the data at 313.15 K collected at PT lab (</w:t>
      </w:r>
      <w:r w:rsidRPr="00813486">
        <w:rPr>
          <w:color w:val="0070C0"/>
        </w:rPr>
        <w:sym w:font="Wingdings 2" w:char="F09A"/>
      </w:r>
      <w:r w:rsidRPr="009848F5">
        <w:t>) with the one</w:t>
      </w:r>
      <w:r w:rsidR="00D16A3C" w:rsidRPr="009848F5">
        <w:t>s</w:t>
      </w:r>
      <w:r w:rsidRPr="009848F5">
        <w:t xml:space="preserve"> from </w:t>
      </w:r>
      <w:r w:rsidRPr="009848F5">
        <w:fldChar w:fldCharType="begin"/>
      </w:r>
      <w:r w:rsidR="00EC74C1" w:rsidRPr="009848F5">
        <w:instrText xml:space="preserve"> ADDIN ZOTERO_ITEM CSL_CITATION {"citationID":"NC5W5uu1","properties":{"formattedCitation":"(Kerleaux et al., 2022)","plainCitation":"(Kerleaux et al., 2022)","dontUpdate":true,"noteIndex":0},"citationItems":[{"id":175,"uris":["http://zotero.org/users/local/YuUn2Zf4/items/2HFLKKXC"],"itemData":{"id":175,"type":"paper-conference","event-title":"15th IIR-Gustav Lorentzen Conference on Natural Refrigerants (GL2022).","title":"Natural Working Fluids for Absorption Refrigeration","author":[{"family":"Kerleaux","given":"Marianne"},{"family":"Rodier","given":"Laurence"},{"family":"Andanson","given":"Jean-Michel"},{"family":"Dequidt","given":"Alain"},{"family":"Coulier","given":"Yohann"}],"issued":{"date-parts":[["2022"]]}}}],"schema":"https://github.com/citation-style-language/schema/raw/master/csl-citation.json"} </w:instrText>
      </w:r>
      <w:r w:rsidRPr="009848F5">
        <w:fldChar w:fldCharType="separate"/>
      </w:r>
      <w:r w:rsidRPr="009848F5">
        <w:t>Kerleaux et al. (2022)</w:t>
      </w:r>
      <w:r w:rsidRPr="009848F5">
        <w:fldChar w:fldCharType="end"/>
      </w:r>
      <w:r w:rsidRPr="009848F5">
        <w:t xml:space="preserve"> (</w:t>
      </w:r>
      <w:r w:rsidRPr="00813486">
        <w:rPr>
          <w:color w:val="EE0000"/>
        </w:rPr>
        <w:sym w:font="Wingdings 2" w:char="F09A"/>
      </w:r>
      <w:r w:rsidRPr="009848F5">
        <w:t>); b) All the data collected at PT lab at 313.15 K (</w:t>
      </w:r>
      <w:r w:rsidRPr="009848F5">
        <w:rPr>
          <w:color w:val="EE0000"/>
        </w:rPr>
        <w:sym w:font="Wingdings 2" w:char="F09A"/>
      </w:r>
      <w:r w:rsidRPr="009848F5">
        <w:t>), 323.15 K (</w:t>
      </w:r>
      <w:r w:rsidRPr="00813486">
        <w:rPr>
          <w:b/>
          <w:bCs/>
          <w:color w:val="00B0F0"/>
        </w:rPr>
        <w:sym w:font="Wingdings 2" w:char="F0AF"/>
      </w:r>
      <w:r w:rsidRPr="009848F5">
        <w:t>), 333.15 K (</w:t>
      </w:r>
      <w:r w:rsidRPr="009848F5">
        <w:rPr>
          <w:b/>
          <w:bCs/>
          <w:color w:val="00B050"/>
        </w:rPr>
        <w:sym w:font="Wingdings 3" w:char="F072"/>
      </w:r>
      <w:r w:rsidRPr="009848F5">
        <w:t>) and 353.15 K (</w:t>
      </w:r>
      <w:r w:rsidRPr="009848F5">
        <w:rPr>
          <w:b/>
          <w:bCs/>
          <w:color w:val="7030A0"/>
        </w:rPr>
        <w:sym w:font="Wingdings 2" w:char="F0A3"/>
      </w:r>
      <w:r w:rsidRPr="009848F5">
        <w:t>).</w:t>
      </w:r>
      <w:r w:rsidR="009848F5" w:rsidRPr="009848F5">
        <w:t xml:space="preserve"> </w:t>
      </w:r>
      <w:r w:rsidR="009D42AA" w:rsidRPr="009848F5">
        <w:t>For the data at 333.15 K:</w:t>
      </w:r>
      <w:r w:rsidR="009848F5" w:rsidRPr="009848F5">
        <w:t xml:space="preserve"> U</w:t>
      </w:r>
      <w:r w:rsidR="009848F5" w:rsidRPr="00813486">
        <w:rPr>
          <w:vertAlign w:val="subscript"/>
        </w:rPr>
        <w:t>C</w:t>
      </w:r>
      <w:r w:rsidR="009D42AA" w:rsidRPr="009848F5">
        <w:t>(T)=1.75 K, U</w:t>
      </w:r>
      <w:r w:rsidR="009848F5" w:rsidRPr="009848F5">
        <w:rPr>
          <w:vertAlign w:val="subscript"/>
        </w:rPr>
        <w:t>C</w:t>
      </w:r>
      <w:r w:rsidR="009D42AA" w:rsidRPr="009848F5">
        <w:t>(P)=0.02 MPa, U</w:t>
      </w:r>
      <w:r w:rsidR="009848F5" w:rsidRPr="009848F5">
        <w:rPr>
          <w:vertAlign w:val="subscript"/>
        </w:rPr>
        <w:t>C</w:t>
      </w:r>
      <w:r w:rsidR="009D42AA" w:rsidRPr="009848F5">
        <w:t>(α)=0.002. For the data at 353.15 K: U</w:t>
      </w:r>
      <w:r w:rsidR="009848F5" w:rsidRPr="009848F5">
        <w:rPr>
          <w:vertAlign w:val="subscript"/>
        </w:rPr>
        <w:t>C</w:t>
      </w:r>
      <w:r w:rsidR="009D42AA" w:rsidRPr="009848F5">
        <w:t>(T)=1.78 K, U</w:t>
      </w:r>
      <w:r w:rsidR="009848F5" w:rsidRPr="009848F5">
        <w:rPr>
          <w:vertAlign w:val="subscript"/>
        </w:rPr>
        <w:t>C</w:t>
      </w:r>
      <w:r w:rsidR="009D42AA" w:rsidRPr="009848F5">
        <w:t>(P)=0.03 MPa, U</w:t>
      </w:r>
      <w:r w:rsidR="009848F5" w:rsidRPr="009848F5">
        <w:rPr>
          <w:vertAlign w:val="subscript"/>
        </w:rPr>
        <w:t>C</w:t>
      </w:r>
      <w:r w:rsidR="009D42AA" w:rsidRPr="009848F5">
        <w:t>(α)=0.00</w:t>
      </w:r>
      <w:r w:rsidR="00BB1488">
        <w:t>9</w:t>
      </w:r>
      <w:r w:rsidR="009D42AA" w:rsidRPr="009848F5">
        <w:t>.</w:t>
      </w:r>
    </w:p>
    <w:p w14:paraId="6FDD226D" w14:textId="4F4CE7E3" w:rsidR="00EE0858" w:rsidRDefault="00A95038" w:rsidP="00EE0858">
      <w:pPr>
        <w:pStyle w:val="CETListbullets"/>
        <w:ind w:left="0" w:firstLine="0"/>
      </w:pPr>
      <w:r w:rsidRPr="00A95038">
        <w:t>The experimental results clearly indicate that CO</w:t>
      </w:r>
      <w:r w:rsidR="00750475" w:rsidRPr="000B3136">
        <w:rPr>
          <w:vertAlign w:val="subscript"/>
        </w:rPr>
        <w:t>2</w:t>
      </w:r>
      <w:r w:rsidRPr="00A95038">
        <w:t xml:space="preserve"> solubility in Cyrene decreases with increasing temperature and decreases at lower pressures. This behavio</w:t>
      </w:r>
      <w:r>
        <w:t>u</w:t>
      </w:r>
      <w:r w:rsidRPr="00A95038">
        <w:t>r is consistent with that expected for a physical absorption process, in which no chemical reaction occurs between the solvent and the gas. Accordingly, the measured solubilities exhibit a linear dependence on CO</w:t>
      </w:r>
      <w:r w:rsidR="00750475" w:rsidRPr="000B3136">
        <w:rPr>
          <w:vertAlign w:val="subscript"/>
        </w:rPr>
        <w:t>2</w:t>
      </w:r>
      <w:r w:rsidRPr="00A95038">
        <w:t xml:space="preserve"> partial pressure at each investigated temperature, in agreement with Henry</w:t>
      </w:r>
      <w:r w:rsidRPr="00A95038">
        <w:rPr>
          <w:rFonts w:cs="Arial"/>
        </w:rPr>
        <w:t>’</w:t>
      </w:r>
      <w:r w:rsidRPr="00A95038">
        <w:t>s law.</w:t>
      </w:r>
    </w:p>
    <w:p w14:paraId="68D26B83" w14:textId="77777777" w:rsidR="00600535" w:rsidRPr="000B3136" w:rsidRDefault="00600535" w:rsidP="00600535">
      <w:pPr>
        <w:pStyle w:val="CETHeading1"/>
        <w:rPr>
          <w:lang w:val="en-GB"/>
        </w:rPr>
      </w:pPr>
      <w:r w:rsidRPr="000B3136">
        <w:rPr>
          <w:lang w:val="en-GB"/>
        </w:rPr>
        <w:t>Conclusions</w:t>
      </w:r>
    </w:p>
    <w:p w14:paraId="3F0A6075" w14:textId="58AEE2B2" w:rsidR="00596687" w:rsidRPr="000B3136" w:rsidRDefault="00596687" w:rsidP="00596687">
      <w:pPr>
        <w:pStyle w:val="CETBodytext"/>
        <w:rPr>
          <w:lang w:val="en-GB"/>
        </w:rPr>
      </w:pPr>
      <w:r w:rsidRPr="000B3136">
        <w:rPr>
          <w:lang w:val="en-GB"/>
        </w:rPr>
        <w:t>Recent interest in sustainable CO</w:t>
      </w:r>
      <w:r w:rsidR="00750475" w:rsidRPr="000B3136">
        <w:rPr>
          <w:vertAlign w:val="subscript"/>
          <w:lang w:val="en-GB"/>
        </w:rPr>
        <w:t>2</w:t>
      </w:r>
      <w:r w:rsidRPr="000B3136">
        <w:rPr>
          <w:lang w:val="en-GB"/>
        </w:rPr>
        <w:t xml:space="preserve"> removal has highlighted bio-based solvents, with Cyrene emerging as a promising candidate due to its renewable origin, low toxicity, non-mutagenicity and biodegradability. This work has expanded the limited experimental data on CO</w:t>
      </w:r>
      <w:r w:rsidR="00750475" w:rsidRPr="000B3136">
        <w:rPr>
          <w:vertAlign w:val="subscript"/>
          <w:lang w:val="en-GB"/>
        </w:rPr>
        <w:t>2</w:t>
      </w:r>
      <w:r w:rsidRPr="000B3136">
        <w:rPr>
          <w:lang w:val="en-GB"/>
        </w:rPr>
        <w:t xml:space="preserve"> solubility in Cyrene, covering four temperatures (313.15</w:t>
      </w:r>
      <w:r w:rsidR="00533B11">
        <w:rPr>
          <w:lang w:val="en-GB"/>
        </w:rPr>
        <w:t xml:space="preserve"> K, 323.15 K, 333.15 K and 3</w:t>
      </w:r>
      <w:r w:rsidRPr="000B3136">
        <w:rPr>
          <w:lang w:val="en-GB"/>
        </w:rPr>
        <w:t xml:space="preserve">53.15 K) and pressures up to 2.5 MPa. The results confirm the typical behaviour of physical solvents, with solubility increasing </w:t>
      </w:r>
      <w:r w:rsidR="00A17A40">
        <w:rPr>
          <w:lang w:val="en-GB"/>
        </w:rPr>
        <w:t xml:space="preserve">linearly </w:t>
      </w:r>
      <w:r w:rsidRPr="000B3136">
        <w:rPr>
          <w:lang w:val="en-GB"/>
        </w:rPr>
        <w:t>with pressure and decreasing with temperature.</w:t>
      </w:r>
    </w:p>
    <w:p w14:paraId="52DAFDE0" w14:textId="5F745F0D" w:rsidR="001D0CFB" w:rsidRPr="000B3136" w:rsidRDefault="00596687" w:rsidP="00596687">
      <w:pPr>
        <w:pStyle w:val="CETBodytext"/>
        <w:rPr>
          <w:lang w:val="en-GB"/>
        </w:rPr>
      </w:pPr>
      <w:r w:rsidRPr="000B3136">
        <w:rPr>
          <w:lang w:val="en-GB"/>
        </w:rPr>
        <w:t>The new data provide a basis for further studies, including investigations at higher pressures and in hybrid solvent systems combining Cyrene with chemical solvents. They also allow the determination of binary interaction parameters, such as Henry’s law constants, for the CO</w:t>
      </w:r>
      <w:r w:rsidR="00750475" w:rsidRPr="000B3136">
        <w:rPr>
          <w:vertAlign w:val="subscript"/>
          <w:lang w:val="en-GB"/>
        </w:rPr>
        <w:t>2</w:t>
      </w:r>
      <w:r w:rsidRPr="000B3136">
        <w:rPr>
          <w:rFonts w:cs="Arial"/>
          <w:lang w:val="en-GB"/>
        </w:rPr>
        <w:t>–</w:t>
      </w:r>
      <w:r w:rsidRPr="000B3136">
        <w:rPr>
          <w:lang w:val="en-GB"/>
        </w:rPr>
        <w:t>Cyrene system, enabling reliable modelling of physical absorption processes. Finally, these measurements can serve also to validate predictive tools capable of estimating solubility beyond the experimental range, thus extending the available dataset for Cyrene.</w:t>
      </w:r>
    </w:p>
    <w:p w14:paraId="459D05E6" w14:textId="77777777" w:rsidR="00600535" w:rsidRPr="000B3136" w:rsidRDefault="00600535" w:rsidP="00600535">
      <w:pPr>
        <w:pStyle w:val="CETAcknowledgementstitle"/>
      </w:pPr>
      <w:r w:rsidRPr="000B3136">
        <w:t>Acknowledgments</w:t>
      </w:r>
    </w:p>
    <w:p w14:paraId="33F8138F" w14:textId="00BDB06F" w:rsidR="00600535" w:rsidRPr="000B3136" w:rsidRDefault="00B86507" w:rsidP="00600535">
      <w:pPr>
        <w:pStyle w:val="CETBodytext"/>
        <w:rPr>
          <w:lang w:val="en-GB"/>
        </w:rPr>
      </w:pPr>
      <w:r w:rsidRPr="000B3136">
        <w:rPr>
          <w:lang w:val="en-GB"/>
        </w:rPr>
        <w:t xml:space="preserve">This work has been carried out in the context of the PRIN 2022 project “GREEN-based water-lean </w:t>
      </w:r>
      <w:proofErr w:type="spellStart"/>
      <w:r w:rsidRPr="000B3136">
        <w:rPr>
          <w:lang w:val="en-GB"/>
        </w:rPr>
        <w:t>SOLvent</w:t>
      </w:r>
      <w:proofErr w:type="spellEnd"/>
      <w:r w:rsidRPr="000B3136">
        <w:rPr>
          <w:lang w:val="en-GB"/>
        </w:rPr>
        <w:t xml:space="preserve"> for CO</w:t>
      </w:r>
      <w:r w:rsidRPr="000B3136">
        <w:rPr>
          <w:vertAlign w:val="subscript"/>
          <w:lang w:val="en-GB"/>
        </w:rPr>
        <w:t>2</w:t>
      </w:r>
      <w:r w:rsidRPr="000B3136">
        <w:rPr>
          <w:lang w:val="en-GB"/>
        </w:rPr>
        <w:t xml:space="preserve"> capture” (GREENSOL), funded by the European Union – </w:t>
      </w:r>
      <w:proofErr w:type="spellStart"/>
      <w:r w:rsidRPr="000B3136">
        <w:rPr>
          <w:lang w:val="en-GB"/>
        </w:rPr>
        <w:t>NextGenerationEU</w:t>
      </w:r>
      <w:proofErr w:type="spellEnd"/>
      <w:r w:rsidRPr="000B3136">
        <w:rPr>
          <w:lang w:val="en-GB"/>
        </w:rPr>
        <w:t>, CUP D53D23003100001 – and we acknowledge financial support under the National Recovery and Resilience Plan (NRRP), Mission 4, Component C2, Call for tender No. 104 published on 2.2.2022 by the Italian Ministry of University and Research (MUR).</w:t>
      </w:r>
    </w:p>
    <w:p w14:paraId="4F1327F8" w14:textId="77777777" w:rsidR="00600535" w:rsidRPr="000B3136" w:rsidRDefault="00600535" w:rsidP="00600535">
      <w:pPr>
        <w:pStyle w:val="CETReference"/>
      </w:pPr>
      <w:r w:rsidRPr="000B3136">
        <w:t>References</w:t>
      </w:r>
    </w:p>
    <w:p w14:paraId="105CFD46" w14:textId="77777777" w:rsidR="00812EAD" w:rsidRPr="00812EAD" w:rsidRDefault="00495405" w:rsidP="00812EAD">
      <w:pPr>
        <w:pStyle w:val="Bibliography"/>
        <w:rPr>
          <w:rFonts w:cs="Arial"/>
        </w:rPr>
      </w:pPr>
      <w:r w:rsidRPr="000B3136">
        <w:fldChar w:fldCharType="begin"/>
      </w:r>
      <w:r w:rsidR="00812EAD">
        <w:instrText xml:space="preserve"> ADDIN ZOTERO_BIBL {"uncited":[],"omitted":[],"custom":[]} CSL_BIBLIOGRAPHY </w:instrText>
      </w:r>
      <w:r w:rsidRPr="000B3136">
        <w:fldChar w:fldCharType="separate"/>
      </w:r>
      <w:r w:rsidR="00812EAD" w:rsidRPr="00812EAD">
        <w:rPr>
          <w:rFonts w:cs="Arial"/>
        </w:rPr>
        <w:t>Ban, Z.H., Keong, L.K., Mohd Shariff, A., 2014, Physical absorption of CO</w:t>
      </w:r>
      <w:r w:rsidR="00812EAD" w:rsidRPr="00812EAD">
        <w:rPr>
          <w:rFonts w:cs="Arial"/>
          <w:vertAlign w:val="subscript"/>
        </w:rPr>
        <w:t>2</w:t>
      </w:r>
      <w:r w:rsidR="00812EAD" w:rsidRPr="00812EAD">
        <w:rPr>
          <w:rFonts w:cs="Arial"/>
        </w:rPr>
        <w:t xml:space="preserve"> capture: a review. Advanced Materials Research, 917, 134–143.</w:t>
      </w:r>
    </w:p>
    <w:p w14:paraId="5A6D145C" w14:textId="77777777" w:rsidR="00812EAD" w:rsidRPr="00812EAD" w:rsidRDefault="00812EAD" w:rsidP="00812EAD">
      <w:pPr>
        <w:pStyle w:val="Bibliography"/>
        <w:rPr>
          <w:rFonts w:cs="Arial"/>
        </w:rPr>
      </w:pPr>
      <w:r w:rsidRPr="00812EAD">
        <w:rPr>
          <w:rFonts w:cs="Arial"/>
        </w:rPr>
        <w:t>Barbieri, C., De Guido, G., Moioli, S., 2024a, Vapor-liquid equilibrium data for the binary system isopropanol + water at 60 kPa and 80 kPa. The Journal of Chemical Thermodynamics, 198, 107342.</w:t>
      </w:r>
    </w:p>
    <w:p w14:paraId="25B2F486" w14:textId="77777777" w:rsidR="00812EAD" w:rsidRPr="00812EAD" w:rsidRDefault="00812EAD" w:rsidP="00812EAD">
      <w:pPr>
        <w:pStyle w:val="Bibliography"/>
        <w:rPr>
          <w:rFonts w:cs="Arial"/>
        </w:rPr>
      </w:pPr>
      <w:r w:rsidRPr="00812EAD">
        <w:rPr>
          <w:rFonts w:cs="Arial"/>
        </w:rPr>
        <w:t>Barbieri, C., Schiattarella, V., Moioli, S., Pellegrini, L.A., Filippini, G., de Angelis, A.R., Fiori, G., 2024b, Measurement and Correlation of Vapor–Liquid Equilibrium of Mixtures of 1,2-Propanediol or 1,4-Butanediol + 1,8-</w:t>
      </w:r>
      <w:proofErr w:type="gramStart"/>
      <w:r w:rsidRPr="00812EAD">
        <w:rPr>
          <w:rFonts w:cs="Arial"/>
        </w:rPr>
        <w:t>Diazabicyclo(5.4.0)undec</w:t>
      </w:r>
      <w:proofErr w:type="gramEnd"/>
      <w:r w:rsidRPr="00812EAD">
        <w:rPr>
          <w:rFonts w:cs="Arial"/>
        </w:rPr>
        <w:t>-7-ene at 30 kPa. Clean Technologies, 7, 3.</w:t>
      </w:r>
    </w:p>
    <w:p w14:paraId="5D5B901F" w14:textId="77777777" w:rsidR="00812EAD" w:rsidRPr="00812EAD" w:rsidRDefault="00812EAD" w:rsidP="00812EAD">
      <w:pPr>
        <w:pStyle w:val="Bibliography"/>
        <w:rPr>
          <w:rFonts w:cs="Arial"/>
        </w:rPr>
      </w:pPr>
      <w:proofErr w:type="spellStart"/>
      <w:r w:rsidRPr="00812EAD">
        <w:rPr>
          <w:rFonts w:cs="Arial"/>
        </w:rPr>
        <w:lastRenderedPageBreak/>
        <w:t>Bientinesi</w:t>
      </w:r>
      <w:proofErr w:type="spellEnd"/>
      <w:r w:rsidRPr="00812EAD">
        <w:rPr>
          <w:rFonts w:cs="Arial"/>
        </w:rPr>
        <w:t xml:space="preserve">, M., Nicolella, C., Maccone, P., Boccaletti, G., 2016, Solubility and diffusivity of carbon dioxide in </w:t>
      </w:r>
      <w:proofErr w:type="spellStart"/>
      <w:r w:rsidRPr="00812EAD">
        <w:rPr>
          <w:rFonts w:cs="Arial"/>
        </w:rPr>
        <w:t>perfluoropolyethers</w:t>
      </w:r>
      <w:proofErr w:type="spellEnd"/>
      <w:r w:rsidRPr="00812EAD">
        <w:rPr>
          <w:rFonts w:cs="Arial"/>
        </w:rPr>
        <w:t>. Chemical Engineering Research and Design, 105, 16–23.</w:t>
      </w:r>
    </w:p>
    <w:p w14:paraId="1CB4CE21" w14:textId="77777777" w:rsidR="00812EAD" w:rsidRPr="00812EAD" w:rsidRDefault="00812EAD" w:rsidP="00812EAD">
      <w:pPr>
        <w:pStyle w:val="Bibliography"/>
        <w:rPr>
          <w:rFonts w:cs="Arial"/>
        </w:rPr>
      </w:pPr>
      <w:r w:rsidRPr="00812EAD">
        <w:rPr>
          <w:rFonts w:cs="Arial"/>
        </w:rPr>
        <w:t>Böttcher, N., Taron, J., Kolditz, O., Liedl, R., Park, C.-H., 2012, Comparison of equations of state for carbon dioxide for numerical simulations. In: IAHS-AISH Publication. Presented at the Models - Repositories of knowledge (Leipzig, September 2011), pp. 252–260.</w:t>
      </w:r>
    </w:p>
    <w:p w14:paraId="5F548BCC" w14:textId="77777777" w:rsidR="00812EAD" w:rsidRPr="00812EAD" w:rsidRDefault="00812EAD" w:rsidP="00812EAD">
      <w:pPr>
        <w:pStyle w:val="Bibliography"/>
        <w:rPr>
          <w:rFonts w:cs="Arial"/>
        </w:rPr>
      </w:pPr>
      <w:r w:rsidRPr="00812EAD">
        <w:rPr>
          <w:rFonts w:cs="Arial"/>
        </w:rPr>
        <w:t>Burr, B., Lyddon, L., 2008, A comparison of physical solvents for acid gas removal. Presented at the Gas Processors’ Association Convention, Grapevine, TX.</w:t>
      </w:r>
    </w:p>
    <w:p w14:paraId="4983F9B6" w14:textId="77777777" w:rsidR="00812EAD" w:rsidRPr="00812EAD" w:rsidRDefault="00812EAD" w:rsidP="00812EAD">
      <w:pPr>
        <w:pStyle w:val="Bibliography"/>
        <w:rPr>
          <w:rFonts w:cs="Arial"/>
        </w:rPr>
      </w:pPr>
      <w:r w:rsidRPr="00812EAD">
        <w:rPr>
          <w:rFonts w:cs="Arial"/>
        </w:rPr>
        <w:t>De Guido, G., Schiattarella, V., Moliner, C., Moioli, S., 2026, Novel bio-based solvents for CO</w:t>
      </w:r>
      <w:r w:rsidRPr="00812EAD">
        <w:rPr>
          <w:rFonts w:cs="Arial"/>
          <w:vertAlign w:val="subscript"/>
        </w:rPr>
        <w:t>2</w:t>
      </w:r>
      <w:r w:rsidRPr="00812EAD">
        <w:rPr>
          <w:rFonts w:cs="Arial"/>
        </w:rPr>
        <w:t xml:space="preserve"> removal through physical absorption. Renewable and Sustainable Energy Reviews, 226, 116285.</w:t>
      </w:r>
    </w:p>
    <w:p w14:paraId="670F8478" w14:textId="77777777" w:rsidR="00812EAD" w:rsidRPr="00812EAD" w:rsidRDefault="00812EAD" w:rsidP="00812EAD">
      <w:pPr>
        <w:pStyle w:val="Bibliography"/>
        <w:rPr>
          <w:rFonts w:cs="Arial"/>
        </w:rPr>
      </w:pPr>
      <w:r w:rsidRPr="00812EAD">
        <w:rPr>
          <w:rFonts w:cs="Arial"/>
        </w:rPr>
        <w:t xml:space="preserve">Hajlaoui, A., Salat, L., Rodier, L., </w:t>
      </w:r>
      <w:proofErr w:type="spellStart"/>
      <w:r w:rsidRPr="00812EAD">
        <w:rPr>
          <w:rFonts w:cs="Arial"/>
        </w:rPr>
        <w:t>Andanson</w:t>
      </w:r>
      <w:proofErr w:type="spellEnd"/>
      <w:r w:rsidRPr="00812EAD">
        <w:rPr>
          <w:rFonts w:cs="Arial"/>
        </w:rPr>
        <w:t>, J.-M., Coulier, Y., 2023, Thermodynamic study of working fluid pairs for an absorption refrigeration process. Presented at the International Conference of Refrigeration.</w:t>
      </w:r>
    </w:p>
    <w:p w14:paraId="5959E920" w14:textId="77777777" w:rsidR="00812EAD" w:rsidRPr="00812EAD" w:rsidRDefault="00812EAD" w:rsidP="00812EAD">
      <w:pPr>
        <w:pStyle w:val="Bibliography"/>
        <w:rPr>
          <w:rFonts w:cs="Arial"/>
        </w:rPr>
      </w:pPr>
      <w:r w:rsidRPr="00812EAD">
        <w:rPr>
          <w:rFonts w:cs="Arial"/>
        </w:rPr>
        <w:t>He, T., Si, B., Gundersen, T., Lin, W., Chen, L., Zhang, K., 2025, High ethane content enables efficient CO</w:t>
      </w:r>
      <w:r w:rsidRPr="00812EAD">
        <w:rPr>
          <w:rFonts w:cs="Arial"/>
          <w:vertAlign w:val="subscript"/>
        </w:rPr>
        <w:t>2</w:t>
      </w:r>
      <w:r w:rsidRPr="00812EAD">
        <w:rPr>
          <w:rFonts w:cs="Arial"/>
        </w:rPr>
        <w:t xml:space="preserve"> capture from natural gas by cryogenic distillation. Separation and Purification Technology, 352, 128153.</w:t>
      </w:r>
    </w:p>
    <w:p w14:paraId="6951624A" w14:textId="77777777" w:rsidR="00812EAD" w:rsidRPr="00812EAD" w:rsidRDefault="00812EAD" w:rsidP="00812EAD">
      <w:pPr>
        <w:pStyle w:val="Bibliography"/>
        <w:rPr>
          <w:rFonts w:cs="Arial"/>
        </w:rPr>
      </w:pPr>
      <w:r w:rsidRPr="00812EAD">
        <w:rPr>
          <w:rFonts w:cs="Arial"/>
        </w:rPr>
        <w:t>Henry, W., 1803, III. Experiments on the quantity of gases absorbed by water, at different temperatures, and under different pressures. Philosophical Transactions of the Royal Society of London, 29–274.</w:t>
      </w:r>
    </w:p>
    <w:p w14:paraId="72349FC6" w14:textId="77777777" w:rsidR="00812EAD" w:rsidRPr="00812EAD" w:rsidRDefault="00812EAD" w:rsidP="00812EAD">
      <w:pPr>
        <w:pStyle w:val="Bibliography"/>
        <w:rPr>
          <w:rFonts w:cs="Arial"/>
        </w:rPr>
      </w:pPr>
      <w:r w:rsidRPr="00812EAD">
        <w:rPr>
          <w:rFonts w:cs="Arial"/>
        </w:rPr>
        <w:t xml:space="preserve">Hosseini Jenab, M., </w:t>
      </w:r>
      <w:proofErr w:type="spellStart"/>
      <w:r w:rsidRPr="00812EAD">
        <w:rPr>
          <w:rFonts w:cs="Arial"/>
        </w:rPr>
        <w:t>Abedinzadegan</w:t>
      </w:r>
      <w:proofErr w:type="spellEnd"/>
      <w:r w:rsidRPr="00812EAD">
        <w:rPr>
          <w:rFonts w:cs="Arial"/>
        </w:rPr>
        <w:t xml:space="preserve"> Abdi, M., </w:t>
      </w:r>
      <w:proofErr w:type="spellStart"/>
      <w:r w:rsidRPr="00812EAD">
        <w:rPr>
          <w:rFonts w:cs="Arial"/>
        </w:rPr>
        <w:t>Najibi</w:t>
      </w:r>
      <w:proofErr w:type="spellEnd"/>
      <w:r w:rsidRPr="00812EAD">
        <w:rPr>
          <w:rFonts w:cs="Arial"/>
        </w:rPr>
        <w:t>, S.H., Vahidi, M., Matin, N.S., 2005, Solubility of Carbon Dioxide in Aqueous Mixtures of N-</w:t>
      </w:r>
      <w:proofErr w:type="spellStart"/>
      <w:r w:rsidRPr="00812EAD">
        <w:rPr>
          <w:rFonts w:cs="Arial"/>
        </w:rPr>
        <w:t>Methyldiethanolamine</w:t>
      </w:r>
      <w:proofErr w:type="spellEnd"/>
      <w:r w:rsidRPr="00812EAD">
        <w:rPr>
          <w:rFonts w:cs="Arial"/>
        </w:rPr>
        <w:t xml:space="preserve"> + Piperazine + Sulfolane. J. Chem. Eng. Data, 50, 583–586.</w:t>
      </w:r>
    </w:p>
    <w:p w14:paraId="67E26889" w14:textId="77777777" w:rsidR="00812EAD" w:rsidRPr="00812EAD" w:rsidRDefault="00812EAD" w:rsidP="00812EAD">
      <w:pPr>
        <w:pStyle w:val="Bibliography"/>
        <w:rPr>
          <w:rFonts w:cs="Arial"/>
        </w:rPr>
      </w:pPr>
      <w:r w:rsidRPr="00812EAD">
        <w:rPr>
          <w:rFonts w:cs="Arial"/>
        </w:rPr>
        <w:t>Jin, S., Byrne, F., McElroy, C.R., Sherwood, J., Clark, J.H., Hunt, A.J., 2017, Challenges in the development of bio-based solvents: a case study on methyl (2,2-dimethyl-1,3-dioxolan-4-yl) methyl carbonate as an alternative aprotic solvent. Faraday Discussions, 202, 157–173.</w:t>
      </w:r>
    </w:p>
    <w:p w14:paraId="73D1487A" w14:textId="77777777" w:rsidR="00812EAD" w:rsidRPr="00812EAD" w:rsidRDefault="00812EAD" w:rsidP="00812EAD">
      <w:pPr>
        <w:pStyle w:val="Bibliography"/>
        <w:rPr>
          <w:rFonts w:cs="Arial"/>
        </w:rPr>
      </w:pPr>
      <w:r w:rsidRPr="00812EAD">
        <w:rPr>
          <w:rFonts w:cs="Arial"/>
        </w:rPr>
        <w:t xml:space="preserve">Kerleaux, M., Rodier, L., </w:t>
      </w:r>
      <w:proofErr w:type="spellStart"/>
      <w:r w:rsidRPr="00812EAD">
        <w:rPr>
          <w:rFonts w:cs="Arial"/>
        </w:rPr>
        <w:t>Andanson</w:t>
      </w:r>
      <w:proofErr w:type="spellEnd"/>
      <w:r w:rsidRPr="00812EAD">
        <w:rPr>
          <w:rFonts w:cs="Arial"/>
        </w:rPr>
        <w:t xml:space="preserve">, J.-M., </w:t>
      </w:r>
      <w:proofErr w:type="spellStart"/>
      <w:r w:rsidRPr="00812EAD">
        <w:rPr>
          <w:rFonts w:cs="Arial"/>
        </w:rPr>
        <w:t>Dequidt</w:t>
      </w:r>
      <w:proofErr w:type="spellEnd"/>
      <w:r w:rsidRPr="00812EAD">
        <w:rPr>
          <w:rFonts w:cs="Arial"/>
        </w:rPr>
        <w:t>, A., Coulier, Y., 2022, Natural Working Fluids for Absorption Refrigeration. Presented at the 15th IIR-Gustav Lorentzen Conference on Natural Refrigerants (GL2022).</w:t>
      </w:r>
    </w:p>
    <w:p w14:paraId="3ED66210" w14:textId="77777777" w:rsidR="00812EAD" w:rsidRPr="00812EAD" w:rsidRDefault="00812EAD" w:rsidP="00812EAD">
      <w:pPr>
        <w:pStyle w:val="Bibliography"/>
        <w:rPr>
          <w:rFonts w:cs="Arial"/>
        </w:rPr>
      </w:pPr>
      <w:r w:rsidRPr="00812EAD">
        <w:rPr>
          <w:rFonts w:cs="Arial"/>
        </w:rPr>
        <w:t>Kohl, A.L., Nielsen, R., 1997, Gas purification. Elsevier.</w:t>
      </w:r>
    </w:p>
    <w:p w14:paraId="417CCF76" w14:textId="77777777" w:rsidR="00812EAD" w:rsidRPr="00812EAD" w:rsidRDefault="00812EAD" w:rsidP="00812EAD">
      <w:pPr>
        <w:pStyle w:val="Bibliography"/>
        <w:rPr>
          <w:rFonts w:cs="Arial"/>
        </w:rPr>
      </w:pPr>
      <w:r w:rsidRPr="00812EAD">
        <w:rPr>
          <w:rFonts w:cs="Arial"/>
        </w:rPr>
        <w:t xml:space="preserve">Kong, D., </w:t>
      </w:r>
      <w:proofErr w:type="spellStart"/>
      <w:r w:rsidRPr="00812EAD">
        <w:rPr>
          <w:rFonts w:cs="Arial"/>
        </w:rPr>
        <w:t>Dolzhenko</w:t>
      </w:r>
      <w:proofErr w:type="spellEnd"/>
      <w:r w:rsidRPr="00812EAD">
        <w:rPr>
          <w:rFonts w:cs="Arial"/>
        </w:rPr>
        <w:t>, A.V., 2022, Cyrene: A bio-based sustainable solvent for organic synthesis. Sustainable Chemistry and Pharmacy, 25, 100591.</w:t>
      </w:r>
    </w:p>
    <w:p w14:paraId="6C2FBEED" w14:textId="12D51427" w:rsidR="00812EAD" w:rsidRPr="00812EAD" w:rsidRDefault="00812EAD" w:rsidP="00812EAD">
      <w:pPr>
        <w:pStyle w:val="Bibliography"/>
        <w:rPr>
          <w:rFonts w:cs="Arial"/>
        </w:rPr>
      </w:pPr>
      <w:r w:rsidRPr="00812EAD">
        <w:rPr>
          <w:rFonts w:cs="Arial"/>
        </w:rPr>
        <w:t>Moioli, S., 202</w:t>
      </w:r>
      <w:r>
        <w:rPr>
          <w:rFonts w:cs="Arial"/>
        </w:rPr>
        <w:t>6</w:t>
      </w:r>
      <w:r w:rsidRPr="00812EAD">
        <w:rPr>
          <w:rFonts w:cs="Arial"/>
        </w:rPr>
        <w:t>, Testing the Experimental Unit at PT lab for Collecting Data on CO</w:t>
      </w:r>
      <w:r w:rsidRPr="00812EAD">
        <w:rPr>
          <w:rFonts w:cs="Arial"/>
          <w:vertAlign w:val="subscript"/>
        </w:rPr>
        <w:t>2</w:t>
      </w:r>
      <w:r w:rsidRPr="00812EAD">
        <w:rPr>
          <w:rFonts w:cs="Arial"/>
        </w:rPr>
        <w:t xml:space="preserve"> Solubility in Solvents. Gases, 6.</w:t>
      </w:r>
    </w:p>
    <w:p w14:paraId="7EBC7ADC" w14:textId="77777777" w:rsidR="00812EAD" w:rsidRPr="00812EAD" w:rsidRDefault="00812EAD" w:rsidP="00812EAD">
      <w:pPr>
        <w:pStyle w:val="Bibliography"/>
        <w:rPr>
          <w:rFonts w:cs="Arial"/>
        </w:rPr>
      </w:pPr>
      <w:r w:rsidRPr="00812EAD">
        <w:rPr>
          <w:rFonts w:cs="Arial"/>
        </w:rPr>
        <w:t>Moioli, S., Schiattarella, V., 2025, New Experimental Data of CO</w:t>
      </w:r>
      <w:r w:rsidRPr="00812EAD">
        <w:rPr>
          <w:rFonts w:cs="Arial"/>
          <w:vertAlign w:val="subscript"/>
        </w:rPr>
        <w:t>2</w:t>
      </w:r>
      <w:r w:rsidRPr="00812EAD">
        <w:rPr>
          <w:rFonts w:cs="Arial"/>
        </w:rPr>
        <w:t xml:space="preserve"> Solubility in an Amine Solvent. Chemical Engineering Transactions, 117, 379–384.</w:t>
      </w:r>
    </w:p>
    <w:p w14:paraId="1FC2585D" w14:textId="77777777" w:rsidR="00812EAD" w:rsidRPr="00812EAD" w:rsidRDefault="00812EAD" w:rsidP="00812EAD">
      <w:pPr>
        <w:pStyle w:val="Bibliography"/>
        <w:rPr>
          <w:rFonts w:cs="Arial"/>
        </w:rPr>
      </w:pPr>
      <w:r w:rsidRPr="00812EAD">
        <w:rPr>
          <w:rFonts w:cs="Arial"/>
        </w:rPr>
        <w:t>Mumford, K.A., Wu, Y., Smith, K.H., Stevens, G.W., 2015, Review of solvent based carbon-dioxide capture technologies. Frontiers of Chemical Science and Engineering, 9, 125–141.</w:t>
      </w:r>
    </w:p>
    <w:p w14:paraId="7DC4A6CC" w14:textId="77777777" w:rsidR="00812EAD" w:rsidRPr="00812EAD" w:rsidRDefault="00812EAD" w:rsidP="00812EAD">
      <w:pPr>
        <w:pStyle w:val="Bibliography"/>
        <w:rPr>
          <w:rFonts w:cs="Arial"/>
        </w:rPr>
      </w:pPr>
      <w:proofErr w:type="spellStart"/>
      <w:r w:rsidRPr="00812EAD">
        <w:rPr>
          <w:rFonts w:cs="Arial"/>
        </w:rPr>
        <w:t>Olajire</w:t>
      </w:r>
      <w:proofErr w:type="spellEnd"/>
      <w:r w:rsidRPr="00812EAD">
        <w:rPr>
          <w:rFonts w:cs="Arial"/>
        </w:rPr>
        <w:t>, A.A., 2010, CO</w:t>
      </w:r>
      <w:r w:rsidRPr="00812EAD">
        <w:rPr>
          <w:rFonts w:cs="Arial"/>
          <w:vertAlign w:val="subscript"/>
        </w:rPr>
        <w:t>2</w:t>
      </w:r>
      <w:r w:rsidRPr="00812EAD">
        <w:rPr>
          <w:rFonts w:cs="Arial"/>
        </w:rPr>
        <w:t xml:space="preserve"> capture and separation technologies for end-of-pipe applications–A review. Energy, 35, 2610–2628.</w:t>
      </w:r>
    </w:p>
    <w:p w14:paraId="7C3FD718" w14:textId="77777777" w:rsidR="00812EAD" w:rsidRPr="00812EAD" w:rsidRDefault="00812EAD" w:rsidP="00812EAD">
      <w:pPr>
        <w:pStyle w:val="Bibliography"/>
        <w:rPr>
          <w:rFonts w:cs="Arial"/>
        </w:rPr>
      </w:pPr>
      <w:r w:rsidRPr="00812EAD">
        <w:rPr>
          <w:rFonts w:cs="Arial"/>
        </w:rPr>
        <w:t>Peng, D.-Y., Robinson, D.B., 1976, A new two-constant equation of state. Industrial &amp; Engineering Chemistry Fundamentals, 15, 59–64.</w:t>
      </w:r>
    </w:p>
    <w:p w14:paraId="382B9EA4" w14:textId="77777777" w:rsidR="00812EAD" w:rsidRPr="00812EAD" w:rsidRDefault="00812EAD" w:rsidP="00812EAD">
      <w:pPr>
        <w:pStyle w:val="Bibliography"/>
        <w:rPr>
          <w:rFonts w:cs="Arial"/>
        </w:rPr>
      </w:pPr>
      <w:r w:rsidRPr="00812EAD">
        <w:rPr>
          <w:rFonts w:cs="Arial"/>
        </w:rPr>
        <w:t>Perry, J.H., 1950, Chemical engineers’ handbook. J. Chem. Educ., 27, 533.</w:t>
      </w:r>
    </w:p>
    <w:p w14:paraId="7C71DB35" w14:textId="77777777" w:rsidR="00812EAD" w:rsidRPr="00812EAD" w:rsidRDefault="00812EAD" w:rsidP="00812EAD">
      <w:pPr>
        <w:pStyle w:val="Bibliography"/>
        <w:rPr>
          <w:rFonts w:cs="Arial"/>
        </w:rPr>
      </w:pPr>
      <w:r w:rsidRPr="00812EAD">
        <w:rPr>
          <w:rFonts w:cs="Arial"/>
        </w:rPr>
        <w:t xml:space="preserve">Redlich, O., Kwong, J.N.S., 1949, On the Thermodynamics of Solutions. V. An Equation of State. </w:t>
      </w:r>
      <w:proofErr w:type="spellStart"/>
      <w:r w:rsidRPr="00812EAD">
        <w:rPr>
          <w:rFonts w:cs="Arial"/>
        </w:rPr>
        <w:t>Fugacities</w:t>
      </w:r>
      <w:proofErr w:type="spellEnd"/>
      <w:r w:rsidRPr="00812EAD">
        <w:rPr>
          <w:rFonts w:cs="Arial"/>
        </w:rPr>
        <w:t xml:space="preserve"> of Gaseous Solutions. Chem. Rev., 44, 233–244.</w:t>
      </w:r>
    </w:p>
    <w:p w14:paraId="36F37418" w14:textId="77777777" w:rsidR="00812EAD" w:rsidRPr="00812EAD" w:rsidRDefault="00812EAD" w:rsidP="00812EAD">
      <w:pPr>
        <w:pStyle w:val="Bibliography"/>
        <w:rPr>
          <w:rFonts w:cs="Arial"/>
        </w:rPr>
      </w:pPr>
      <w:proofErr w:type="spellStart"/>
      <w:r w:rsidRPr="00812EAD">
        <w:rPr>
          <w:rFonts w:cs="Arial"/>
        </w:rPr>
        <w:t>Samipour</w:t>
      </w:r>
      <w:proofErr w:type="spellEnd"/>
      <w:r w:rsidRPr="00812EAD">
        <w:rPr>
          <w:rFonts w:cs="Arial"/>
        </w:rPr>
        <w:t xml:space="preserve">, S., </w:t>
      </w:r>
      <w:proofErr w:type="spellStart"/>
      <w:r w:rsidRPr="00812EAD">
        <w:rPr>
          <w:rFonts w:cs="Arial"/>
        </w:rPr>
        <w:t>Manshadi</w:t>
      </w:r>
      <w:proofErr w:type="spellEnd"/>
      <w:r w:rsidRPr="00812EAD">
        <w:rPr>
          <w:rFonts w:cs="Arial"/>
        </w:rPr>
        <w:t xml:space="preserve">, M.D., </w:t>
      </w:r>
      <w:proofErr w:type="spellStart"/>
      <w:r w:rsidRPr="00812EAD">
        <w:rPr>
          <w:rFonts w:cs="Arial"/>
        </w:rPr>
        <w:t>Setoodeh</w:t>
      </w:r>
      <w:proofErr w:type="spellEnd"/>
      <w:r w:rsidRPr="00812EAD">
        <w:rPr>
          <w:rFonts w:cs="Arial"/>
        </w:rPr>
        <w:t>, P., 2020, CO</w:t>
      </w:r>
      <w:r w:rsidRPr="00812EAD">
        <w:rPr>
          <w:rFonts w:cs="Arial"/>
          <w:vertAlign w:val="subscript"/>
        </w:rPr>
        <w:t>2</w:t>
      </w:r>
      <w:r w:rsidRPr="00812EAD">
        <w:rPr>
          <w:rFonts w:cs="Arial"/>
        </w:rPr>
        <w:t xml:space="preserve"> removal from biogas and syngas. Advances in Carbon Capture, 455–477.</w:t>
      </w:r>
    </w:p>
    <w:p w14:paraId="34B98FAA" w14:textId="77777777" w:rsidR="00812EAD" w:rsidRPr="00812EAD" w:rsidRDefault="00812EAD" w:rsidP="00812EAD">
      <w:pPr>
        <w:pStyle w:val="Bibliography"/>
        <w:rPr>
          <w:rFonts w:cs="Arial"/>
        </w:rPr>
      </w:pPr>
      <w:r w:rsidRPr="00812EAD">
        <w:rPr>
          <w:rFonts w:cs="Arial"/>
        </w:rPr>
        <w:t>Schiattarella, V., Barbieri, C., Moioli, S., Pellegrini, L.A., Filippini, G., de Angelis, A.R., Fiori, G., 2024, Study of Mixtures of 1, 3-Propanediol + DBU and DBU + Sulfolane for a New Sustainable Solvent for CO</w:t>
      </w:r>
      <w:r w:rsidRPr="00812EAD">
        <w:rPr>
          <w:rFonts w:cs="Arial"/>
          <w:vertAlign w:val="subscript"/>
        </w:rPr>
        <w:t>2</w:t>
      </w:r>
      <w:r w:rsidRPr="00812EAD">
        <w:rPr>
          <w:rFonts w:cs="Arial"/>
        </w:rPr>
        <w:t xml:space="preserve"> Removal. Sustainability, 16, 11143.</w:t>
      </w:r>
    </w:p>
    <w:p w14:paraId="4DC94985" w14:textId="77777777" w:rsidR="00812EAD" w:rsidRPr="00812EAD" w:rsidRDefault="00812EAD" w:rsidP="00812EAD">
      <w:pPr>
        <w:pStyle w:val="Bibliography"/>
        <w:rPr>
          <w:rFonts w:cs="Arial"/>
        </w:rPr>
      </w:pPr>
      <w:r w:rsidRPr="00812EAD">
        <w:rPr>
          <w:rFonts w:cs="Arial"/>
        </w:rPr>
        <w:t>Schiattarella, V., Farag, O.W.F.M., Moioli, S., De Guido, G., 2026, Measurements of carbon dioxide solubility in Cyrene for CO</w:t>
      </w:r>
      <w:r w:rsidRPr="00812EAD">
        <w:rPr>
          <w:rFonts w:cs="Arial"/>
          <w:vertAlign w:val="subscript"/>
        </w:rPr>
        <w:t>2</w:t>
      </w:r>
      <w:r w:rsidRPr="00812EAD">
        <w:rPr>
          <w:rFonts w:cs="Arial"/>
        </w:rPr>
        <w:t xml:space="preserve"> removal applications. </w:t>
      </w:r>
      <w:proofErr w:type="gramStart"/>
      <w:r w:rsidRPr="00812EAD">
        <w:rPr>
          <w:rFonts w:cs="Arial"/>
        </w:rPr>
        <w:t>Journal of Chemical &amp; Engineering Data,</w:t>
      </w:r>
      <w:proofErr w:type="gramEnd"/>
      <w:r w:rsidRPr="00812EAD">
        <w:rPr>
          <w:rFonts w:cs="Arial"/>
        </w:rPr>
        <w:t xml:space="preserve"> [submitted].</w:t>
      </w:r>
    </w:p>
    <w:p w14:paraId="3E164836" w14:textId="77777777" w:rsidR="00812EAD" w:rsidRPr="00812EAD" w:rsidRDefault="00812EAD" w:rsidP="00812EAD">
      <w:pPr>
        <w:pStyle w:val="Bibliography"/>
        <w:rPr>
          <w:rFonts w:cs="Arial"/>
        </w:rPr>
      </w:pPr>
      <w:r w:rsidRPr="00812EAD">
        <w:rPr>
          <w:rFonts w:cs="Arial"/>
        </w:rPr>
        <w:t>Schiattarella, V., Moioli, S., Moliner, C., De Guido, G., 2025, Comparison Between Cyrene and NMP as Solvents for CO</w:t>
      </w:r>
      <w:r w:rsidRPr="00812EAD">
        <w:rPr>
          <w:rFonts w:cs="Arial"/>
          <w:vertAlign w:val="subscript"/>
        </w:rPr>
        <w:t>2</w:t>
      </w:r>
      <w:r w:rsidRPr="00812EAD">
        <w:rPr>
          <w:rFonts w:cs="Arial"/>
        </w:rPr>
        <w:t xml:space="preserve"> Removal. Chemical Engineering Transactions, 117, 421–426.</w:t>
      </w:r>
    </w:p>
    <w:p w14:paraId="77DD11BC" w14:textId="77777777" w:rsidR="00812EAD" w:rsidRPr="00812EAD" w:rsidRDefault="00812EAD" w:rsidP="00812EAD">
      <w:pPr>
        <w:pStyle w:val="Bibliography"/>
        <w:rPr>
          <w:rFonts w:cs="Arial"/>
        </w:rPr>
      </w:pPr>
      <w:r w:rsidRPr="00812EAD">
        <w:rPr>
          <w:rFonts w:cs="Arial"/>
        </w:rPr>
        <w:t>Sherwood, J., Constantinou, A., Moity, L., McElroy, C.R., Farmer, T.J., Duncan, T., Raverty, W., Hunt, A.J., Clark, J.H., 2014, Dihydrolevoglucosenone (Cyrene) as a bio-based alternative for dipolar aprotic solvents. Chemical communications, 50, 9650–9652.</w:t>
      </w:r>
    </w:p>
    <w:p w14:paraId="76FE5C7E" w14:textId="77777777" w:rsidR="00812EAD" w:rsidRPr="00812EAD" w:rsidRDefault="00812EAD" w:rsidP="00812EAD">
      <w:pPr>
        <w:pStyle w:val="Bibliography"/>
        <w:rPr>
          <w:rFonts w:cs="Arial"/>
        </w:rPr>
      </w:pPr>
      <w:r w:rsidRPr="00812EAD">
        <w:rPr>
          <w:rFonts w:cs="Arial"/>
        </w:rPr>
        <w:t>Soave, G., 1972, Equilibrium constants from a modified Redlich-Kwong equation of state. Chemical Engineering Science, 27, 1197–1203.</w:t>
      </w:r>
    </w:p>
    <w:p w14:paraId="172F5014" w14:textId="77777777" w:rsidR="00812EAD" w:rsidRPr="00812EAD" w:rsidRDefault="00812EAD" w:rsidP="00812EAD">
      <w:pPr>
        <w:pStyle w:val="Bibliography"/>
        <w:rPr>
          <w:rFonts w:cs="Arial"/>
        </w:rPr>
      </w:pPr>
      <w:r w:rsidRPr="00812EAD">
        <w:rPr>
          <w:rFonts w:cs="Arial"/>
        </w:rPr>
        <w:t xml:space="preserve">Taylor, B.N., </w:t>
      </w:r>
      <w:proofErr w:type="spellStart"/>
      <w:r w:rsidRPr="00812EAD">
        <w:rPr>
          <w:rFonts w:cs="Arial"/>
        </w:rPr>
        <w:t>Kuyatt</w:t>
      </w:r>
      <w:proofErr w:type="spellEnd"/>
      <w:r w:rsidRPr="00812EAD">
        <w:rPr>
          <w:rFonts w:cs="Arial"/>
        </w:rPr>
        <w:t>, C.E., 1994, Guidelines for evaluating and expressing the uncertainty of NIST measurement results. US Department of Commerce, Technology Administration, National Institute of Standards and Technology.</w:t>
      </w:r>
    </w:p>
    <w:p w14:paraId="0D1FBDF3" w14:textId="77777777" w:rsidR="00812EAD" w:rsidRPr="00812EAD" w:rsidRDefault="00812EAD" w:rsidP="00812EAD">
      <w:pPr>
        <w:pStyle w:val="Bibliography"/>
        <w:rPr>
          <w:rFonts w:cs="Arial"/>
        </w:rPr>
      </w:pPr>
      <w:r w:rsidRPr="00812EAD">
        <w:rPr>
          <w:rFonts w:cs="Arial"/>
        </w:rPr>
        <w:t>Wang, J., Li, L., Qu, G., Cheng, M., Ren, Y., Lu, P., Zhang, T., Wang, Y., Wu, F., 2025, Advanced materials for CO</w:t>
      </w:r>
      <w:r w:rsidRPr="00812EAD">
        <w:rPr>
          <w:rFonts w:cs="Arial"/>
          <w:vertAlign w:val="subscript"/>
        </w:rPr>
        <w:t>2</w:t>
      </w:r>
      <w:r w:rsidRPr="00812EAD">
        <w:rPr>
          <w:rFonts w:cs="Arial"/>
        </w:rPr>
        <w:t xml:space="preserve"> capture and storage: A comprehensive review of current progress and </w:t>
      </w:r>
      <w:proofErr w:type="gramStart"/>
      <w:r w:rsidRPr="00812EAD">
        <w:rPr>
          <w:rFonts w:cs="Arial"/>
        </w:rPr>
        <w:t>future prospects</w:t>
      </w:r>
      <w:proofErr w:type="gramEnd"/>
      <w:r w:rsidRPr="00812EAD">
        <w:rPr>
          <w:rFonts w:cs="Arial"/>
        </w:rPr>
        <w:t>. Journal of Environmental Chemical Engineering, 115881.</w:t>
      </w:r>
    </w:p>
    <w:p w14:paraId="19C4FC68" w14:textId="1372D737" w:rsidR="004628D2" w:rsidRDefault="00812EAD" w:rsidP="00812EAD">
      <w:pPr>
        <w:pStyle w:val="Bibliography"/>
      </w:pPr>
      <w:r w:rsidRPr="00812EAD">
        <w:rPr>
          <w:rFonts w:cs="Arial"/>
        </w:rPr>
        <w:t>Zhai, J., Wang, Z., Ouyang, J., Xue, B., Liu, C., Xiao, R., 2025, Glucose-driven synthesis of N-doped porous carbon from sludge for CO</w:t>
      </w:r>
      <w:r w:rsidRPr="00812EAD">
        <w:rPr>
          <w:rFonts w:cs="Arial"/>
          <w:vertAlign w:val="subscript"/>
        </w:rPr>
        <w:t>2</w:t>
      </w:r>
      <w:r w:rsidRPr="00812EAD">
        <w:rPr>
          <w:rFonts w:cs="Arial"/>
        </w:rPr>
        <w:t xml:space="preserve"> removal in biomass syngas. Chemical Engineering Journal, 162722.</w:t>
      </w:r>
      <w:r w:rsidR="00495405" w:rsidRPr="000B3136">
        <w:fldChar w:fldCharType="end"/>
      </w:r>
    </w:p>
    <w:sectPr w:rsidR="004628D2" w:rsidSect="008314D7">
      <w:footerReference w:type="default" r:id="rId13"/>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7C7B3" w14:textId="77777777" w:rsidR="00656712" w:rsidRPr="000B3136" w:rsidRDefault="00656712" w:rsidP="004F5E36">
      <w:r w:rsidRPr="000B3136">
        <w:separator/>
      </w:r>
    </w:p>
  </w:endnote>
  <w:endnote w:type="continuationSeparator" w:id="0">
    <w:p w14:paraId="79983F36" w14:textId="77777777" w:rsidR="00656712" w:rsidRPr="000B3136" w:rsidRDefault="00656712" w:rsidP="004F5E36">
      <w:r w:rsidRPr="000B31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870C1" w14:textId="77777777" w:rsidR="00AC74B7" w:rsidRDefault="00AC7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43693" w14:textId="77777777" w:rsidR="00656712" w:rsidRPr="000B3136" w:rsidRDefault="00656712" w:rsidP="004F5E36">
      <w:r w:rsidRPr="000B3136">
        <w:separator/>
      </w:r>
    </w:p>
  </w:footnote>
  <w:footnote w:type="continuationSeparator" w:id="0">
    <w:p w14:paraId="4E7754FA" w14:textId="77777777" w:rsidR="00656712" w:rsidRPr="000B3136" w:rsidRDefault="00656712" w:rsidP="004F5E36">
      <w:r w:rsidRPr="000B313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2D0EA2"/>
    <w:multiLevelType w:val="hybridMultilevel"/>
    <w:tmpl w:val="4CF0207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A05976"/>
    <w:multiLevelType w:val="hybridMultilevel"/>
    <w:tmpl w:val="9BEAF1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3"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0"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FF50FEA"/>
    <w:multiLevelType w:val="hybridMultilevel"/>
    <w:tmpl w:val="74A68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00342415">
    <w:abstractNumId w:val="12"/>
  </w:num>
  <w:num w:numId="2" w16cid:durableId="207956548">
    <w:abstractNumId w:val="8"/>
  </w:num>
  <w:num w:numId="3" w16cid:durableId="421149466">
    <w:abstractNumId w:val="3"/>
  </w:num>
  <w:num w:numId="4" w16cid:durableId="1267032415">
    <w:abstractNumId w:val="2"/>
  </w:num>
  <w:num w:numId="5" w16cid:durableId="1910188972">
    <w:abstractNumId w:val="1"/>
  </w:num>
  <w:num w:numId="6" w16cid:durableId="1622347947">
    <w:abstractNumId w:val="0"/>
  </w:num>
  <w:num w:numId="7" w16cid:durableId="222064787">
    <w:abstractNumId w:val="9"/>
  </w:num>
  <w:num w:numId="8" w16cid:durableId="982856863">
    <w:abstractNumId w:val="7"/>
  </w:num>
  <w:num w:numId="9" w16cid:durableId="1285695665">
    <w:abstractNumId w:val="6"/>
  </w:num>
  <w:num w:numId="10" w16cid:durableId="2112359250">
    <w:abstractNumId w:val="5"/>
  </w:num>
  <w:num w:numId="11" w16cid:durableId="1144084683">
    <w:abstractNumId w:val="4"/>
  </w:num>
  <w:num w:numId="12" w16cid:durableId="295913735">
    <w:abstractNumId w:val="19"/>
  </w:num>
  <w:num w:numId="13" w16cid:durableId="1249922575">
    <w:abstractNumId w:val="14"/>
  </w:num>
  <w:num w:numId="14" w16cid:durableId="1943877564">
    <w:abstractNumId w:val="20"/>
  </w:num>
  <w:num w:numId="15" w16cid:durableId="1066337179">
    <w:abstractNumId w:val="23"/>
  </w:num>
  <w:num w:numId="16" w16cid:durableId="985163991">
    <w:abstractNumId w:val="22"/>
  </w:num>
  <w:num w:numId="17" w16cid:durableId="1206529289">
    <w:abstractNumId w:val="13"/>
  </w:num>
  <w:num w:numId="18" w16cid:durableId="360860094">
    <w:abstractNumId w:val="14"/>
    <w:lvlOverride w:ilvl="0">
      <w:startOverride w:val="1"/>
    </w:lvlOverride>
  </w:num>
  <w:num w:numId="19" w16cid:durableId="1592934524">
    <w:abstractNumId w:val="18"/>
  </w:num>
  <w:num w:numId="20" w16cid:durableId="522592004">
    <w:abstractNumId w:val="17"/>
  </w:num>
  <w:num w:numId="21" w16cid:durableId="1151874782">
    <w:abstractNumId w:val="16"/>
  </w:num>
  <w:num w:numId="22" w16cid:durableId="205991541">
    <w:abstractNumId w:val="15"/>
  </w:num>
  <w:num w:numId="23" w16cid:durableId="304168932">
    <w:abstractNumId w:val="11"/>
  </w:num>
  <w:num w:numId="24" w16cid:durableId="269239113">
    <w:abstractNumId w:val="21"/>
  </w:num>
  <w:num w:numId="25" w16cid:durableId="6009129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A19"/>
    <w:rsid w:val="000117CB"/>
    <w:rsid w:val="0003148D"/>
    <w:rsid w:val="00031EEC"/>
    <w:rsid w:val="00051566"/>
    <w:rsid w:val="000562A9"/>
    <w:rsid w:val="00062A9A"/>
    <w:rsid w:val="00065058"/>
    <w:rsid w:val="00080729"/>
    <w:rsid w:val="00086C39"/>
    <w:rsid w:val="000A03B2"/>
    <w:rsid w:val="000B3136"/>
    <w:rsid w:val="000C7ED5"/>
    <w:rsid w:val="000D0268"/>
    <w:rsid w:val="000D34BE"/>
    <w:rsid w:val="000E102F"/>
    <w:rsid w:val="000E36F1"/>
    <w:rsid w:val="000E3A73"/>
    <w:rsid w:val="000E414A"/>
    <w:rsid w:val="000E75FD"/>
    <w:rsid w:val="000F093C"/>
    <w:rsid w:val="000F0C16"/>
    <w:rsid w:val="000F787B"/>
    <w:rsid w:val="00104884"/>
    <w:rsid w:val="0012091F"/>
    <w:rsid w:val="00124AAD"/>
    <w:rsid w:val="00126BC2"/>
    <w:rsid w:val="001308B6"/>
    <w:rsid w:val="0013121F"/>
    <w:rsid w:val="00131FE6"/>
    <w:rsid w:val="001321D4"/>
    <w:rsid w:val="0013263F"/>
    <w:rsid w:val="001331DF"/>
    <w:rsid w:val="00134DE4"/>
    <w:rsid w:val="0014034D"/>
    <w:rsid w:val="00140FE3"/>
    <w:rsid w:val="00144D16"/>
    <w:rsid w:val="00145310"/>
    <w:rsid w:val="00150E59"/>
    <w:rsid w:val="00152DE3"/>
    <w:rsid w:val="00164CF9"/>
    <w:rsid w:val="001667A6"/>
    <w:rsid w:val="00176526"/>
    <w:rsid w:val="00184AD6"/>
    <w:rsid w:val="001A4AF7"/>
    <w:rsid w:val="001B0349"/>
    <w:rsid w:val="001B1E93"/>
    <w:rsid w:val="001B65C1"/>
    <w:rsid w:val="001C260F"/>
    <w:rsid w:val="001C33F1"/>
    <w:rsid w:val="001C684B"/>
    <w:rsid w:val="001D0CFB"/>
    <w:rsid w:val="001D21AF"/>
    <w:rsid w:val="001D53FC"/>
    <w:rsid w:val="001F42A5"/>
    <w:rsid w:val="001F7B9D"/>
    <w:rsid w:val="00201C93"/>
    <w:rsid w:val="002224B4"/>
    <w:rsid w:val="002406D9"/>
    <w:rsid w:val="002447EF"/>
    <w:rsid w:val="00251550"/>
    <w:rsid w:val="00254691"/>
    <w:rsid w:val="00262FF8"/>
    <w:rsid w:val="00263B05"/>
    <w:rsid w:val="0027221A"/>
    <w:rsid w:val="00275B61"/>
    <w:rsid w:val="00280FAF"/>
    <w:rsid w:val="00282656"/>
    <w:rsid w:val="00283ED3"/>
    <w:rsid w:val="00296B83"/>
    <w:rsid w:val="002B4015"/>
    <w:rsid w:val="002B78CE"/>
    <w:rsid w:val="002C2FB6"/>
    <w:rsid w:val="002C5225"/>
    <w:rsid w:val="002D2CEE"/>
    <w:rsid w:val="002E18BD"/>
    <w:rsid w:val="002E5FA7"/>
    <w:rsid w:val="002F3309"/>
    <w:rsid w:val="003008CE"/>
    <w:rsid w:val="003009B7"/>
    <w:rsid w:val="00300E56"/>
    <w:rsid w:val="0030152C"/>
    <w:rsid w:val="0030469C"/>
    <w:rsid w:val="00315B8F"/>
    <w:rsid w:val="00321CA6"/>
    <w:rsid w:val="00323763"/>
    <w:rsid w:val="00323C5F"/>
    <w:rsid w:val="00334C09"/>
    <w:rsid w:val="00335B06"/>
    <w:rsid w:val="00362921"/>
    <w:rsid w:val="003723D4"/>
    <w:rsid w:val="00377EE6"/>
    <w:rsid w:val="00381905"/>
    <w:rsid w:val="00382261"/>
    <w:rsid w:val="00384CC8"/>
    <w:rsid w:val="003871FD"/>
    <w:rsid w:val="003A1E30"/>
    <w:rsid w:val="003A2829"/>
    <w:rsid w:val="003A7D1C"/>
    <w:rsid w:val="003B304B"/>
    <w:rsid w:val="003B3146"/>
    <w:rsid w:val="003C0F0E"/>
    <w:rsid w:val="003C2E5B"/>
    <w:rsid w:val="003D1E02"/>
    <w:rsid w:val="003F015E"/>
    <w:rsid w:val="00400414"/>
    <w:rsid w:val="0041446B"/>
    <w:rsid w:val="00416CEA"/>
    <w:rsid w:val="00417359"/>
    <w:rsid w:val="004318BE"/>
    <w:rsid w:val="0044071E"/>
    <w:rsid w:val="0044329C"/>
    <w:rsid w:val="00453E24"/>
    <w:rsid w:val="00457456"/>
    <w:rsid w:val="004577FE"/>
    <w:rsid w:val="00457B9C"/>
    <w:rsid w:val="0046164A"/>
    <w:rsid w:val="004622DC"/>
    <w:rsid w:val="004628D2"/>
    <w:rsid w:val="00462DCD"/>
    <w:rsid w:val="004648AD"/>
    <w:rsid w:val="0047018C"/>
    <w:rsid w:val="004703A9"/>
    <w:rsid w:val="004760DE"/>
    <w:rsid w:val="004763D7"/>
    <w:rsid w:val="00495405"/>
    <w:rsid w:val="004A004E"/>
    <w:rsid w:val="004A24CF"/>
    <w:rsid w:val="004A5E57"/>
    <w:rsid w:val="004C194F"/>
    <w:rsid w:val="004C3D1D"/>
    <w:rsid w:val="004C3D84"/>
    <w:rsid w:val="004C7913"/>
    <w:rsid w:val="004D7E1C"/>
    <w:rsid w:val="004E4DD6"/>
    <w:rsid w:val="004E7F2B"/>
    <w:rsid w:val="004F5E36"/>
    <w:rsid w:val="00507B47"/>
    <w:rsid w:val="00507BEF"/>
    <w:rsid w:val="00507CC9"/>
    <w:rsid w:val="005119A5"/>
    <w:rsid w:val="005278B7"/>
    <w:rsid w:val="00532016"/>
    <w:rsid w:val="00533B11"/>
    <w:rsid w:val="005346C8"/>
    <w:rsid w:val="00540D40"/>
    <w:rsid w:val="00543E7D"/>
    <w:rsid w:val="00547A68"/>
    <w:rsid w:val="005531C9"/>
    <w:rsid w:val="00570C43"/>
    <w:rsid w:val="00592274"/>
    <w:rsid w:val="00595113"/>
    <w:rsid w:val="00596687"/>
    <w:rsid w:val="005B2110"/>
    <w:rsid w:val="005B61E6"/>
    <w:rsid w:val="005C77E1"/>
    <w:rsid w:val="005D668A"/>
    <w:rsid w:val="005D6A2F"/>
    <w:rsid w:val="005E0592"/>
    <w:rsid w:val="005E1A82"/>
    <w:rsid w:val="005E2C4C"/>
    <w:rsid w:val="005E794C"/>
    <w:rsid w:val="005E7C55"/>
    <w:rsid w:val="005F0A28"/>
    <w:rsid w:val="005F0E5E"/>
    <w:rsid w:val="005F175E"/>
    <w:rsid w:val="00600535"/>
    <w:rsid w:val="00610CD6"/>
    <w:rsid w:val="00620DEE"/>
    <w:rsid w:val="00621F92"/>
    <w:rsid w:val="0062280A"/>
    <w:rsid w:val="006231E1"/>
    <w:rsid w:val="00625639"/>
    <w:rsid w:val="00631B33"/>
    <w:rsid w:val="0064184D"/>
    <w:rsid w:val="006422CC"/>
    <w:rsid w:val="00651D18"/>
    <w:rsid w:val="00656712"/>
    <w:rsid w:val="00660108"/>
    <w:rsid w:val="00660E3E"/>
    <w:rsid w:val="006618B2"/>
    <w:rsid w:val="00662E74"/>
    <w:rsid w:val="00663FC3"/>
    <w:rsid w:val="006750BE"/>
    <w:rsid w:val="00680C23"/>
    <w:rsid w:val="00683D99"/>
    <w:rsid w:val="00683E23"/>
    <w:rsid w:val="00686DD5"/>
    <w:rsid w:val="00693766"/>
    <w:rsid w:val="006A3281"/>
    <w:rsid w:val="006A7796"/>
    <w:rsid w:val="006B4888"/>
    <w:rsid w:val="006C2E45"/>
    <w:rsid w:val="006C359C"/>
    <w:rsid w:val="006C5579"/>
    <w:rsid w:val="006D60FE"/>
    <w:rsid w:val="006D6E8B"/>
    <w:rsid w:val="006D7209"/>
    <w:rsid w:val="006E0A8D"/>
    <w:rsid w:val="006E737D"/>
    <w:rsid w:val="006F041B"/>
    <w:rsid w:val="00707DD1"/>
    <w:rsid w:val="00710FCF"/>
    <w:rsid w:val="00711974"/>
    <w:rsid w:val="00713973"/>
    <w:rsid w:val="00720A24"/>
    <w:rsid w:val="00732386"/>
    <w:rsid w:val="00732F00"/>
    <w:rsid w:val="0073514D"/>
    <w:rsid w:val="007447F3"/>
    <w:rsid w:val="00750318"/>
    <w:rsid w:val="00750475"/>
    <w:rsid w:val="0075499F"/>
    <w:rsid w:val="007617CC"/>
    <w:rsid w:val="007661C8"/>
    <w:rsid w:val="0077098D"/>
    <w:rsid w:val="00785BF9"/>
    <w:rsid w:val="007931FA"/>
    <w:rsid w:val="00794E09"/>
    <w:rsid w:val="007A4861"/>
    <w:rsid w:val="007A7BBA"/>
    <w:rsid w:val="007B0C50"/>
    <w:rsid w:val="007B48F9"/>
    <w:rsid w:val="007B6A54"/>
    <w:rsid w:val="007C1A43"/>
    <w:rsid w:val="007D0951"/>
    <w:rsid w:val="007F27C8"/>
    <w:rsid w:val="0080013E"/>
    <w:rsid w:val="00810A8E"/>
    <w:rsid w:val="00812EAD"/>
    <w:rsid w:val="00813288"/>
    <w:rsid w:val="00813486"/>
    <w:rsid w:val="00815A17"/>
    <w:rsid w:val="008168FC"/>
    <w:rsid w:val="008239B5"/>
    <w:rsid w:val="00830996"/>
    <w:rsid w:val="008314D7"/>
    <w:rsid w:val="008345F1"/>
    <w:rsid w:val="00836716"/>
    <w:rsid w:val="00865B07"/>
    <w:rsid w:val="008667EA"/>
    <w:rsid w:val="0087637F"/>
    <w:rsid w:val="00883F5C"/>
    <w:rsid w:val="00892AD5"/>
    <w:rsid w:val="008A1512"/>
    <w:rsid w:val="008A7CEF"/>
    <w:rsid w:val="008D32B9"/>
    <w:rsid w:val="008D433B"/>
    <w:rsid w:val="008D4773"/>
    <w:rsid w:val="008D4A16"/>
    <w:rsid w:val="008E209A"/>
    <w:rsid w:val="008E45BC"/>
    <w:rsid w:val="008E566E"/>
    <w:rsid w:val="0090161A"/>
    <w:rsid w:val="00901EB6"/>
    <w:rsid w:val="009041F8"/>
    <w:rsid w:val="00904B7A"/>
    <w:rsid w:val="00904C62"/>
    <w:rsid w:val="00922BA8"/>
    <w:rsid w:val="00924DAC"/>
    <w:rsid w:val="00927058"/>
    <w:rsid w:val="00942750"/>
    <w:rsid w:val="009450CE"/>
    <w:rsid w:val="009459BB"/>
    <w:rsid w:val="00947179"/>
    <w:rsid w:val="0095164B"/>
    <w:rsid w:val="00953FC8"/>
    <w:rsid w:val="00954090"/>
    <w:rsid w:val="009573E7"/>
    <w:rsid w:val="00963E05"/>
    <w:rsid w:val="00964A45"/>
    <w:rsid w:val="00967843"/>
    <w:rsid w:val="00967D54"/>
    <w:rsid w:val="00971028"/>
    <w:rsid w:val="0098092C"/>
    <w:rsid w:val="009848F5"/>
    <w:rsid w:val="00993B84"/>
    <w:rsid w:val="00996483"/>
    <w:rsid w:val="00996F5A"/>
    <w:rsid w:val="009B041A"/>
    <w:rsid w:val="009C37C3"/>
    <w:rsid w:val="009C7C86"/>
    <w:rsid w:val="009D2FF7"/>
    <w:rsid w:val="009D42AA"/>
    <w:rsid w:val="009E7884"/>
    <w:rsid w:val="009E788A"/>
    <w:rsid w:val="009F0E08"/>
    <w:rsid w:val="00A079AE"/>
    <w:rsid w:val="00A1763D"/>
    <w:rsid w:val="00A17A40"/>
    <w:rsid w:val="00A17CEC"/>
    <w:rsid w:val="00A26CBB"/>
    <w:rsid w:val="00A27EF0"/>
    <w:rsid w:val="00A42361"/>
    <w:rsid w:val="00A42EEB"/>
    <w:rsid w:val="00A50B20"/>
    <w:rsid w:val="00A51390"/>
    <w:rsid w:val="00A60D13"/>
    <w:rsid w:val="00A62229"/>
    <w:rsid w:val="00A66FBF"/>
    <w:rsid w:val="00A7223D"/>
    <w:rsid w:val="00A72745"/>
    <w:rsid w:val="00A75F73"/>
    <w:rsid w:val="00A76EFC"/>
    <w:rsid w:val="00A82165"/>
    <w:rsid w:val="00A87D50"/>
    <w:rsid w:val="00A91010"/>
    <w:rsid w:val="00A95038"/>
    <w:rsid w:val="00A95C1D"/>
    <w:rsid w:val="00A97F29"/>
    <w:rsid w:val="00AA702E"/>
    <w:rsid w:val="00AA7D26"/>
    <w:rsid w:val="00AB0964"/>
    <w:rsid w:val="00AB5011"/>
    <w:rsid w:val="00AC45BD"/>
    <w:rsid w:val="00AC65CA"/>
    <w:rsid w:val="00AC7368"/>
    <w:rsid w:val="00AC74B7"/>
    <w:rsid w:val="00AD0278"/>
    <w:rsid w:val="00AD16B9"/>
    <w:rsid w:val="00AE377D"/>
    <w:rsid w:val="00AE7211"/>
    <w:rsid w:val="00AF0EBA"/>
    <w:rsid w:val="00B02C8A"/>
    <w:rsid w:val="00B14C11"/>
    <w:rsid w:val="00B17FBD"/>
    <w:rsid w:val="00B234A3"/>
    <w:rsid w:val="00B27F6B"/>
    <w:rsid w:val="00B315A6"/>
    <w:rsid w:val="00B31813"/>
    <w:rsid w:val="00B33365"/>
    <w:rsid w:val="00B42C67"/>
    <w:rsid w:val="00B57B36"/>
    <w:rsid w:val="00B57E6F"/>
    <w:rsid w:val="00B8487B"/>
    <w:rsid w:val="00B86507"/>
    <w:rsid w:val="00B8686D"/>
    <w:rsid w:val="00B9394A"/>
    <w:rsid w:val="00B93F69"/>
    <w:rsid w:val="00BB1488"/>
    <w:rsid w:val="00BB1DDC"/>
    <w:rsid w:val="00BC0054"/>
    <w:rsid w:val="00BC30C9"/>
    <w:rsid w:val="00BD077D"/>
    <w:rsid w:val="00BE3E58"/>
    <w:rsid w:val="00BF68CC"/>
    <w:rsid w:val="00BF71AC"/>
    <w:rsid w:val="00C01616"/>
    <w:rsid w:val="00C0162B"/>
    <w:rsid w:val="00C068ED"/>
    <w:rsid w:val="00C12CAF"/>
    <w:rsid w:val="00C208E9"/>
    <w:rsid w:val="00C22E0C"/>
    <w:rsid w:val="00C345B1"/>
    <w:rsid w:val="00C40142"/>
    <w:rsid w:val="00C52C3C"/>
    <w:rsid w:val="00C57182"/>
    <w:rsid w:val="00C57863"/>
    <w:rsid w:val="00C640AF"/>
    <w:rsid w:val="00C655FD"/>
    <w:rsid w:val="00C75407"/>
    <w:rsid w:val="00C841C6"/>
    <w:rsid w:val="00C870A8"/>
    <w:rsid w:val="00C9423A"/>
    <w:rsid w:val="00C94434"/>
    <w:rsid w:val="00C94AA6"/>
    <w:rsid w:val="00CA0D75"/>
    <w:rsid w:val="00CA1C95"/>
    <w:rsid w:val="00CA5A9C"/>
    <w:rsid w:val="00CC4C20"/>
    <w:rsid w:val="00CD3517"/>
    <w:rsid w:val="00CD5FE2"/>
    <w:rsid w:val="00CE3956"/>
    <w:rsid w:val="00CE7C68"/>
    <w:rsid w:val="00D02B4C"/>
    <w:rsid w:val="00D040C4"/>
    <w:rsid w:val="00D16A3C"/>
    <w:rsid w:val="00D20AD1"/>
    <w:rsid w:val="00D2582C"/>
    <w:rsid w:val="00D46B7E"/>
    <w:rsid w:val="00D57C84"/>
    <w:rsid w:val="00D6057D"/>
    <w:rsid w:val="00D71640"/>
    <w:rsid w:val="00D83326"/>
    <w:rsid w:val="00D836C5"/>
    <w:rsid w:val="00D84576"/>
    <w:rsid w:val="00DA1399"/>
    <w:rsid w:val="00DA24C6"/>
    <w:rsid w:val="00DA4D7B"/>
    <w:rsid w:val="00DC54F8"/>
    <w:rsid w:val="00DD271C"/>
    <w:rsid w:val="00DE264A"/>
    <w:rsid w:val="00DE54BC"/>
    <w:rsid w:val="00DF5072"/>
    <w:rsid w:val="00DF6EC0"/>
    <w:rsid w:val="00E02D18"/>
    <w:rsid w:val="00E039DC"/>
    <w:rsid w:val="00E041E7"/>
    <w:rsid w:val="00E23CA1"/>
    <w:rsid w:val="00E409A8"/>
    <w:rsid w:val="00E44CF6"/>
    <w:rsid w:val="00E47D61"/>
    <w:rsid w:val="00E50C12"/>
    <w:rsid w:val="00E65B91"/>
    <w:rsid w:val="00E7209D"/>
    <w:rsid w:val="00E72EAD"/>
    <w:rsid w:val="00E77223"/>
    <w:rsid w:val="00E8254A"/>
    <w:rsid w:val="00E8528B"/>
    <w:rsid w:val="00E85B94"/>
    <w:rsid w:val="00E978D0"/>
    <w:rsid w:val="00EA0D68"/>
    <w:rsid w:val="00EA4613"/>
    <w:rsid w:val="00EA7F91"/>
    <w:rsid w:val="00EB1523"/>
    <w:rsid w:val="00EB3616"/>
    <w:rsid w:val="00EC03E5"/>
    <w:rsid w:val="00EC0E49"/>
    <w:rsid w:val="00EC101F"/>
    <w:rsid w:val="00EC1D9F"/>
    <w:rsid w:val="00EC74C1"/>
    <w:rsid w:val="00EE0131"/>
    <w:rsid w:val="00EE0858"/>
    <w:rsid w:val="00EE17B0"/>
    <w:rsid w:val="00EF06D9"/>
    <w:rsid w:val="00EF0982"/>
    <w:rsid w:val="00EF34ED"/>
    <w:rsid w:val="00F3049E"/>
    <w:rsid w:val="00F30C64"/>
    <w:rsid w:val="00F32693"/>
    <w:rsid w:val="00F32BA2"/>
    <w:rsid w:val="00F32CDB"/>
    <w:rsid w:val="00F3348F"/>
    <w:rsid w:val="00F33801"/>
    <w:rsid w:val="00F37280"/>
    <w:rsid w:val="00F41EE4"/>
    <w:rsid w:val="00F565FE"/>
    <w:rsid w:val="00F63A70"/>
    <w:rsid w:val="00F63D8C"/>
    <w:rsid w:val="00F7534E"/>
    <w:rsid w:val="00F93EDF"/>
    <w:rsid w:val="00FA1802"/>
    <w:rsid w:val="00FA21D0"/>
    <w:rsid w:val="00FA5F5F"/>
    <w:rsid w:val="00FB730C"/>
    <w:rsid w:val="00FC2695"/>
    <w:rsid w:val="00FC29C5"/>
    <w:rsid w:val="00FC3E03"/>
    <w:rsid w:val="00FC3FC1"/>
    <w:rsid w:val="00FF3205"/>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clear" w:pos="360"/>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Paragraph">
    <w:name w:val="List Paragraph"/>
    <w:basedOn w:val="Normal"/>
    <w:uiPriority w:val="34"/>
    <w:rsid w:val="00280FAF"/>
    <w:pPr>
      <w:ind w:left="720"/>
      <w:contextualSpacing/>
    </w:pPr>
  </w:style>
  <w:style w:type="character" w:customStyle="1" w:styleId="gmail-apple-converted-space">
    <w:name w:val="gmail-apple-converted-space"/>
    <w:basedOn w:val="DefaultParagraphFont"/>
    <w:rsid w:val="00005A19"/>
  </w:style>
  <w:style w:type="character" w:styleId="PlaceholderText">
    <w:name w:val="Placeholder Text"/>
    <w:basedOn w:val="DefaultParagraphFont"/>
    <w:uiPriority w:val="99"/>
    <w:semiHidden/>
    <w:rsid w:val="003C0F0E"/>
    <w:rPr>
      <w:color w:val="666666"/>
    </w:rPr>
  </w:style>
  <w:style w:type="paragraph" w:styleId="Revision">
    <w:name w:val="Revision"/>
    <w:hidden/>
    <w:uiPriority w:val="99"/>
    <w:semiHidden/>
    <w:rsid w:val="00377EE6"/>
    <w:pPr>
      <w:spacing w:after="0" w:line="240" w:lineRule="auto"/>
    </w:pPr>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1C38D-E951-42C6-A2CB-8D8BDD78D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8903</Words>
  <Characters>50752</Characters>
  <Application>Microsoft Office Word</Application>
  <DocSecurity>0</DocSecurity>
  <Lines>422</Lines>
  <Paragraphs>119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59536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Valentina Schiattarella</cp:lastModifiedBy>
  <cp:revision>72</cp:revision>
  <cp:lastPrinted>2015-05-12T18:31:00Z</cp:lastPrinted>
  <dcterms:created xsi:type="dcterms:W3CDTF">2024-02-20T10:29:00Z</dcterms:created>
  <dcterms:modified xsi:type="dcterms:W3CDTF">2026-02-26T15:00:00Z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id="1wRknPrS"/&gt;&lt;style id="http://www.zotero.org/styles/elsevier-harvard2" hasBibliography="1" bibliographyStyleHasBeenSet="1"/&gt;&lt;prefs&gt;&lt;pref name="fieldType" value="Field"/&gt;&lt;pref name="storeReferences</vt:lpwstr>
  </property>
  <property fmtid="{D5CDD505-2E9C-101B-9397-08002B2CF9AE}" pid="3" name="ZOTERO_PREF_2">
    <vt:lpwstr>" value="true"/&gt;&lt;/prefs&gt;&lt;/data&gt;</vt:lpwstr>
  </property>
</Properties>
</file>