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217304443"/>
            <w:bookmarkEnd w:id="0"/>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DAB3DDA"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C24AF1">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86598E2"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
          <w:p w14:paraId="1B0F1814" w14:textId="57AA03EA"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C24AF1">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557E00">
              <w:rPr>
                <w:rFonts w:ascii="Tahoma" w:hAnsi="Tahoma" w:cs="Tahoma"/>
                <w:sz w:val="14"/>
                <w:szCs w:val="14"/>
              </w:rPr>
              <w:t>XX</w:t>
            </w:r>
            <w:r w:rsidR="00D2582C">
              <w:rPr>
                <w:rFonts w:ascii="Tahoma" w:hAnsi="Tahoma" w:cs="Tahoma"/>
                <w:sz w:val="14"/>
                <w:szCs w:val="14"/>
              </w:rPr>
              <w:t>-</w:t>
            </w:r>
            <w:r w:rsidR="00557E00">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79461EE9" w:rsidR="00E978D0" w:rsidRPr="00B57B36" w:rsidRDefault="003F279A" w:rsidP="00E978D0">
      <w:pPr>
        <w:pStyle w:val="CETTitle"/>
      </w:pPr>
      <w:r>
        <w:t>Metal-organic Framework-induced Enhanced Oxygen Reduction Reaction for Industrial Effluent Treatment in Microbial Desalination Cell</w:t>
      </w:r>
    </w:p>
    <w:p w14:paraId="6B2D21B3" w14:textId="159D2811" w:rsidR="00B57E6F" w:rsidRPr="00A2501F" w:rsidRDefault="009972B7" w:rsidP="009972B7">
      <w:pPr>
        <w:pStyle w:val="CETAuthors"/>
        <w:rPr>
          <w:vertAlign w:val="superscript"/>
        </w:rPr>
      </w:pPr>
      <w:r>
        <w:t>Srishti Mishra</w:t>
      </w:r>
      <w:r w:rsidR="00B57E6F" w:rsidRPr="00B57B36">
        <w:rPr>
          <w:vertAlign w:val="superscript"/>
        </w:rPr>
        <w:t>a</w:t>
      </w:r>
      <w:r w:rsidR="00B57E6F" w:rsidRPr="00B57B36">
        <w:t>,</w:t>
      </w:r>
      <w:r w:rsidR="00C969A6">
        <w:t xml:space="preserve"> </w:t>
      </w:r>
      <w:r w:rsidR="00C2379F" w:rsidRPr="00C2379F">
        <w:t>Lakshmi Pathi Thulluru</w:t>
      </w:r>
      <w:r w:rsidR="00C2379F">
        <w:rPr>
          <w:vertAlign w:val="superscript"/>
        </w:rPr>
        <w:t>b</w:t>
      </w:r>
      <w:r w:rsidR="00C2379F">
        <w:t>,</w:t>
      </w:r>
      <w:r w:rsidR="00C2379F" w:rsidRPr="00C2379F">
        <w:t xml:space="preserve"> </w:t>
      </w:r>
      <w:r>
        <w:t>Gourav Dhar Bhowmick</w:t>
      </w:r>
      <w:r w:rsidR="00C2379F">
        <w:rPr>
          <w:vertAlign w:val="superscript"/>
        </w:rPr>
        <w:t>c</w:t>
      </w:r>
      <w:r>
        <w:t>, Brajesh K. Dubey</w:t>
      </w:r>
      <w:r w:rsidR="00C2379F">
        <w:rPr>
          <w:vertAlign w:val="superscript"/>
        </w:rPr>
        <w:t>a</w:t>
      </w:r>
      <w:r>
        <w:t xml:space="preserve">, </w:t>
      </w:r>
      <w:r w:rsidR="00C2379F" w:rsidRPr="00C2379F">
        <w:t>Shamik Chowdhury</w:t>
      </w:r>
      <w:r w:rsidR="00C2379F">
        <w:rPr>
          <w:vertAlign w:val="superscript"/>
        </w:rPr>
        <w:t>b</w:t>
      </w:r>
      <w:r w:rsidR="00C2379F">
        <w:t xml:space="preserve">, </w:t>
      </w:r>
      <w:r>
        <w:t>Makarand M. Ghangrekar</w:t>
      </w:r>
      <w:r w:rsidR="00B57E6F" w:rsidRPr="00B57B36">
        <w:t>*</w:t>
      </w:r>
      <w:r w:rsidR="00A2501F">
        <w:rPr>
          <w:vertAlign w:val="superscript"/>
        </w:rPr>
        <w:t>,d</w:t>
      </w:r>
    </w:p>
    <w:p w14:paraId="3D72B0B0" w14:textId="62EAB791" w:rsidR="00B57E6F" w:rsidRDefault="009972B7" w:rsidP="00B57E6F">
      <w:pPr>
        <w:pStyle w:val="CETAddress"/>
      </w:pPr>
      <w:r>
        <w:rPr>
          <w:vertAlign w:val="superscript"/>
        </w:rPr>
        <w:t>a</w:t>
      </w:r>
      <w:r>
        <w:t>School of Water Resources</w:t>
      </w:r>
      <w:r w:rsidR="00B57E6F" w:rsidRPr="00B57B36">
        <w:t xml:space="preserve">, </w:t>
      </w:r>
      <w:r>
        <w:t>Indian Institute of Technology Kharagpur, Kharagpur, West Bengal, 721302, India</w:t>
      </w:r>
    </w:p>
    <w:p w14:paraId="75D8007D" w14:textId="19EE6D9A" w:rsidR="00C2379F" w:rsidRDefault="00C2379F" w:rsidP="00B57E6F">
      <w:pPr>
        <w:pStyle w:val="CETAddress"/>
      </w:pPr>
      <w:r>
        <w:rPr>
          <w:vertAlign w:val="superscript"/>
        </w:rPr>
        <w:t>b</w:t>
      </w:r>
      <w:r>
        <w:t>School of Environmental Science and Engineering</w:t>
      </w:r>
      <w:r w:rsidRPr="00B57B36">
        <w:t xml:space="preserve">, </w:t>
      </w:r>
      <w:r>
        <w:t>Indian Institute of Technology Kharagpur, Kharagpur, West Bengal, 721302, India</w:t>
      </w:r>
    </w:p>
    <w:p w14:paraId="19BE46D1" w14:textId="785FFB39" w:rsidR="009972B7" w:rsidRDefault="00C2379F" w:rsidP="009972B7">
      <w:pPr>
        <w:pStyle w:val="CETAddress"/>
      </w:pPr>
      <w:r>
        <w:rPr>
          <w:vertAlign w:val="superscript"/>
        </w:rPr>
        <w:t>c</w:t>
      </w:r>
      <w:r w:rsidR="009972B7">
        <w:t>Food and Agriculture Engineering Department</w:t>
      </w:r>
      <w:r w:rsidR="009972B7" w:rsidRPr="00B57B36">
        <w:t xml:space="preserve">, </w:t>
      </w:r>
      <w:r w:rsidR="009972B7">
        <w:t>Indian Institute of Technology Kharagpur, Kharagpur, West Bengal, 721302, India</w:t>
      </w:r>
    </w:p>
    <w:p w14:paraId="16BC393B" w14:textId="654F98C9" w:rsidR="009972B7" w:rsidRDefault="00A2501F" w:rsidP="00B57E6F">
      <w:pPr>
        <w:pStyle w:val="CETAddress"/>
      </w:pPr>
      <w:r>
        <w:rPr>
          <w:vertAlign w:val="superscript"/>
        </w:rPr>
        <w:t>d</w:t>
      </w:r>
      <w:r w:rsidR="009972B7">
        <w:t>National Institute of Technology, Puducherry, Karaikal, 609609, India</w:t>
      </w:r>
    </w:p>
    <w:p w14:paraId="70C18523" w14:textId="1FFBFEA7" w:rsidR="00B2553E" w:rsidRPr="00B2553E" w:rsidRDefault="009972B7" w:rsidP="00B2553E">
      <w:pPr>
        <w:pStyle w:val="CETemail"/>
      </w:pPr>
      <w:hyperlink r:id="rId10" w:history="1">
        <w:r w:rsidRPr="009B3E2F">
          <w:rPr>
            <w:rStyle w:val="Hyperlink"/>
          </w:rPr>
          <w:t>ghangrekar@civil.iitkgp.ac.in</w:t>
        </w:r>
      </w:hyperlink>
      <w:bookmarkStart w:id="1" w:name="_Hlk495475023"/>
    </w:p>
    <w:p w14:paraId="04B319EE" w14:textId="08AE28E3" w:rsidR="00600535" w:rsidRPr="00B2553E" w:rsidRDefault="00B2553E" w:rsidP="00B2553E">
      <w:pPr>
        <w:pStyle w:val="CETBodytext"/>
      </w:pPr>
      <w:r w:rsidRPr="00B2553E">
        <w:t xml:space="preserve">The treatment of high chemical oxygen demand (COD) industrial effluents remains a critical environmental challenge, particularly when coupled with salinity management. In this </w:t>
      </w:r>
      <w:r w:rsidR="00AF6FB0">
        <w:t>research</w:t>
      </w:r>
      <w:r w:rsidRPr="00B2553E">
        <w:t xml:space="preserve">, a microbial desalination cell (MDC) is proposed as a sustainable alternative or pre-conditioning treatment to conventional reverse osmosis (RO) for simultaneous organic load reduction and desalination. The MDC system integrates anodic biodegradation </w:t>
      </w:r>
      <w:r w:rsidR="00AF6FB0">
        <w:t xml:space="preserve">of organic matter </w:t>
      </w:r>
      <w:r w:rsidRPr="00B2553E">
        <w:t xml:space="preserve">with </w:t>
      </w:r>
      <w:r w:rsidR="007D2D9D">
        <w:t xml:space="preserve">a </w:t>
      </w:r>
      <w:r w:rsidRPr="00B2553E">
        <w:t>bio-electrochemical desalination mechanism, thereby eliminating the high energy demand associated with RO. A lab-scale five-chambered MDC was implemented for treating effluent</w:t>
      </w:r>
      <w:r w:rsidR="000D5BAA">
        <w:t xml:space="preserve"> (synthetic wastewater)</w:t>
      </w:r>
      <w:r w:rsidRPr="00B2553E">
        <w:t xml:space="preserve"> with </w:t>
      </w:r>
      <w:r w:rsidR="007D2D9D">
        <w:t xml:space="preserve">a </w:t>
      </w:r>
      <w:r w:rsidRPr="00B2553E">
        <w:t xml:space="preserve">COD of 7.98 ± 0.05 g/L and </w:t>
      </w:r>
      <w:r w:rsidR="004E6820">
        <w:t>total dissolved solids (</w:t>
      </w:r>
      <w:r w:rsidRPr="00B2553E">
        <w:t>TDS</w:t>
      </w:r>
      <w:r w:rsidR="004E6820">
        <w:t>)</w:t>
      </w:r>
      <w:r w:rsidRPr="00B2553E">
        <w:t xml:space="preserve"> of 24.05 ± 0.11 g/L</w:t>
      </w:r>
      <w:r w:rsidR="00E43F39">
        <w:t>,</w:t>
      </w:r>
      <w:r w:rsidRPr="00B2553E">
        <w:t xml:space="preserve"> </w:t>
      </w:r>
      <w:r w:rsidR="00AA69C3">
        <w:t xml:space="preserve">and a NaCl solution </w:t>
      </w:r>
      <w:r w:rsidR="00E43F39">
        <w:t xml:space="preserve">of salinity </w:t>
      </w:r>
      <w:r w:rsidRPr="00B2553E">
        <w:t>15 g/L. A metal-organic framework (MOF)</w:t>
      </w:r>
      <w:r w:rsidR="00E43F39">
        <w:t xml:space="preserve"> </w:t>
      </w:r>
      <w:r w:rsidRPr="00B2553E">
        <w:t>based catalyst (ZIF8 – ZIF67) was synthesised and coated over the cathode to enhance the charge transfer mechanism and consequently the ORR of the MDC. The electrochemical properties of the catalyst were recorded through electrochemical characterisation, topography, and elemental composition through scanning electron microscopy (SEM) and energy dispersive X-ray (EDX) analysis, and the material’s crystal structure through X-ray diffraction (XRD) analysis. The applied cathode catalyst resulted in 78.8 ± 2.5 % of COD removal, 81.8 ± 3.2 % of TDS removal, and 86.4 ± 1.7 % of desalination efficiency. Simultaneously, the maximum operating voltage recorded was 303 ± 8.9 mV across a 100 Ω external resistor of the MDC. The maximum power density and coulombic efficiency noted during the investigation were 608.3 mW/m</w:t>
      </w:r>
      <w:r w:rsidRPr="00B2553E">
        <w:rPr>
          <w:vertAlign w:val="superscript"/>
        </w:rPr>
        <w:t>2</w:t>
      </w:r>
      <w:r w:rsidRPr="00B2553E">
        <w:t xml:space="preserve"> and 11.29 %, respectively. </w:t>
      </w:r>
      <w:r w:rsidR="004206DC">
        <w:rPr>
          <w:szCs w:val="18"/>
        </w:rPr>
        <w:t>This method showed a promising way to achieve energy-efficient, carbon-neutral, and cost-effective wastewater treatment.</w:t>
      </w:r>
      <w:r w:rsidR="004206DC" w:rsidRPr="00B2553E">
        <w:t xml:space="preserve"> </w:t>
      </w:r>
    </w:p>
    <w:bookmarkEnd w:id="1"/>
    <w:p w14:paraId="476B2F2E" w14:textId="77777777" w:rsidR="00600535" w:rsidRPr="00B57B36" w:rsidRDefault="00600535" w:rsidP="00600535">
      <w:pPr>
        <w:pStyle w:val="CETHeading1"/>
        <w:rPr>
          <w:lang w:val="en-GB"/>
        </w:rPr>
      </w:pPr>
      <w:r w:rsidRPr="00B57B36">
        <w:rPr>
          <w:lang w:val="en-GB"/>
        </w:rPr>
        <w:t>Introduction</w:t>
      </w:r>
    </w:p>
    <w:p w14:paraId="4068AF8E" w14:textId="7DAD396B" w:rsidR="00E8043F" w:rsidRDefault="00FE38EE" w:rsidP="00E8043F">
      <w:pPr>
        <w:pStyle w:val="CETBodytextItalic"/>
        <w:rPr>
          <w:rStyle w:val="CETBodytextCarattere"/>
          <w:i w:val="0"/>
          <w:iCs/>
        </w:rPr>
      </w:pPr>
      <w:r w:rsidRPr="00E8043F">
        <w:rPr>
          <w:i w:val="0"/>
          <w:iCs/>
          <w:lang w:val="en-IN" w:eastAsia="en-IN" w:bidi="hi-IN"/>
        </w:rPr>
        <w:t>Industrial effluents contain</w:t>
      </w:r>
      <w:r w:rsidR="006556BE" w:rsidRPr="00E8043F">
        <w:rPr>
          <w:i w:val="0"/>
          <w:iCs/>
          <w:lang w:val="en-IN" w:eastAsia="en-IN" w:bidi="hi-IN"/>
        </w:rPr>
        <w:t>ing high chemical oxygen demand (COD) with elevated salinity</w:t>
      </w:r>
      <w:r w:rsidR="0081422A">
        <w:rPr>
          <w:i w:val="0"/>
          <w:iCs/>
          <w:lang w:val="en-IN" w:eastAsia="en-IN" w:bidi="hi-IN"/>
        </w:rPr>
        <w:t>,</w:t>
      </w:r>
      <w:r w:rsidR="006556BE" w:rsidRPr="00E8043F">
        <w:rPr>
          <w:i w:val="0"/>
          <w:iCs/>
          <w:lang w:val="en-IN" w:eastAsia="en-IN" w:bidi="hi-IN"/>
        </w:rPr>
        <w:t xml:space="preserve"> </w:t>
      </w:r>
      <w:r w:rsidR="001009C2">
        <w:rPr>
          <w:i w:val="0"/>
          <w:iCs/>
          <w:lang w:val="en-IN" w:eastAsia="en-IN" w:bidi="hi-IN"/>
        </w:rPr>
        <w:t xml:space="preserve">mainly from </w:t>
      </w:r>
      <w:r w:rsidR="001009C2" w:rsidRPr="001009C2">
        <w:rPr>
          <w:i w:val="0"/>
          <w:iCs/>
        </w:rPr>
        <w:t>textile dyeing, tannery, and food-processing industri</w:t>
      </w:r>
      <w:r w:rsidR="001009C2">
        <w:rPr>
          <w:i w:val="0"/>
          <w:iCs/>
        </w:rPr>
        <w:t>es</w:t>
      </w:r>
      <w:r w:rsidR="0081422A">
        <w:rPr>
          <w:i w:val="0"/>
          <w:iCs/>
        </w:rPr>
        <w:t>,</w:t>
      </w:r>
      <w:r w:rsidR="001009C2">
        <w:rPr>
          <w:i w:val="0"/>
          <w:iCs/>
        </w:rPr>
        <w:t xml:space="preserve"> </w:t>
      </w:r>
      <w:r w:rsidR="006556BE" w:rsidRPr="00E8043F">
        <w:rPr>
          <w:i w:val="0"/>
          <w:iCs/>
          <w:lang w:val="en-IN" w:eastAsia="en-IN" w:bidi="hi-IN"/>
        </w:rPr>
        <w:t>pose a great challenge within environmental engineering due to the limitations of conventional treatment technologies.</w:t>
      </w:r>
      <w:r w:rsidRPr="00E8043F">
        <w:rPr>
          <w:i w:val="0"/>
          <w:iCs/>
          <w:lang w:val="en-IN" w:eastAsia="en-IN" w:bidi="hi-IN"/>
        </w:rPr>
        <w:t xml:space="preserve"> </w:t>
      </w:r>
      <w:r w:rsidR="0000287E">
        <w:rPr>
          <w:rStyle w:val="CETBodytextCarattere"/>
          <w:i w:val="0"/>
          <w:iCs/>
        </w:rPr>
        <w:t>The conventional</w:t>
      </w:r>
      <w:r w:rsidR="00E8043F" w:rsidRPr="00E8043F">
        <w:rPr>
          <w:rStyle w:val="CETBodytextCarattere"/>
          <w:i w:val="0"/>
          <w:iCs/>
        </w:rPr>
        <w:t xml:space="preserve"> physical and chemical methods</w:t>
      </w:r>
      <w:r w:rsidR="0000287E">
        <w:rPr>
          <w:rStyle w:val="CETBodytextCarattere"/>
          <w:i w:val="0"/>
          <w:iCs/>
        </w:rPr>
        <w:t xml:space="preserve">, </w:t>
      </w:r>
      <w:r w:rsidR="00D07D26">
        <w:rPr>
          <w:rStyle w:val="CETBodytextCarattere"/>
          <w:i w:val="0"/>
          <w:iCs/>
        </w:rPr>
        <w:t xml:space="preserve">like the </w:t>
      </w:r>
      <w:r w:rsidR="00E8043F" w:rsidRPr="00E8043F">
        <w:rPr>
          <w:rStyle w:val="CETBodytextCarattere"/>
          <w:i w:val="0"/>
          <w:iCs/>
        </w:rPr>
        <w:t>activated sludge</w:t>
      </w:r>
      <w:r w:rsidR="00D07D26">
        <w:rPr>
          <w:rStyle w:val="CETBodytextCarattere"/>
          <w:i w:val="0"/>
          <w:iCs/>
        </w:rPr>
        <w:t xml:space="preserve"> process</w:t>
      </w:r>
      <w:r w:rsidR="00E8043F" w:rsidRPr="00E8043F">
        <w:rPr>
          <w:rStyle w:val="CETBodytextCarattere"/>
          <w:i w:val="0"/>
          <w:iCs/>
        </w:rPr>
        <w:t>, advanced oxidation</w:t>
      </w:r>
      <w:r w:rsidR="00D07D26">
        <w:rPr>
          <w:rStyle w:val="CETBodytextCarattere"/>
          <w:i w:val="0"/>
          <w:iCs/>
        </w:rPr>
        <w:t xml:space="preserve"> method</w:t>
      </w:r>
      <w:r w:rsidR="00E8043F" w:rsidRPr="00E8043F">
        <w:rPr>
          <w:rStyle w:val="CETBodytextCarattere"/>
          <w:i w:val="0"/>
          <w:iCs/>
        </w:rPr>
        <w:t>, and reverse osmosis (RO)</w:t>
      </w:r>
      <w:r w:rsidR="0000287E">
        <w:rPr>
          <w:rStyle w:val="CETBodytextCarattere"/>
          <w:i w:val="0"/>
          <w:iCs/>
        </w:rPr>
        <w:t xml:space="preserve">, </w:t>
      </w:r>
      <w:r w:rsidR="00D07D26">
        <w:rPr>
          <w:rStyle w:val="CETBodytextCarattere"/>
          <w:i w:val="0"/>
          <w:iCs/>
        </w:rPr>
        <w:t>require</w:t>
      </w:r>
      <w:r w:rsidR="00E8043F" w:rsidRPr="00E8043F">
        <w:rPr>
          <w:rStyle w:val="CETBodytextCarattere"/>
          <w:i w:val="0"/>
          <w:iCs/>
        </w:rPr>
        <w:t xml:space="preserve"> high energy inputs, </w:t>
      </w:r>
      <w:r w:rsidR="00D07D26">
        <w:rPr>
          <w:rStyle w:val="CETBodytextCarattere"/>
          <w:i w:val="0"/>
          <w:iCs/>
        </w:rPr>
        <w:t>higher</w:t>
      </w:r>
      <w:r w:rsidR="00E8043F" w:rsidRPr="00E8043F">
        <w:rPr>
          <w:rStyle w:val="CETBodytextCarattere"/>
          <w:i w:val="0"/>
          <w:iCs/>
        </w:rPr>
        <w:t xml:space="preserve"> operational costs</w:t>
      </w:r>
      <w:r w:rsidR="001E4E75">
        <w:rPr>
          <w:rStyle w:val="CETBodytextCarattere"/>
          <w:i w:val="0"/>
          <w:iCs/>
        </w:rPr>
        <w:t xml:space="preserve"> compared to bioelectrochemical and anaerobic treatment systems</w:t>
      </w:r>
      <w:r w:rsidR="00E8043F" w:rsidRPr="00E8043F">
        <w:rPr>
          <w:rStyle w:val="CETBodytextCarattere"/>
          <w:i w:val="0"/>
          <w:iCs/>
        </w:rPr>
        <w:t xml:space="preserve">, and </w:t>
      </w:r>
      <w:r w:rsidR="00E43F39">
        <w:rPr>
          <w:rStyle w:val="CETBodytextCarattere"/>
          <w:i w:val="0"/>
          <w:iCs/>
        </w:rPr>
        <w:t xml:space="preserve">also require </w:t>
      </w:r>
      <w:r w:rsidR="00E8043F" w:rsidRPr="00E8043F">
        <w:rPr>
          <w:rStyle w:val="CETBodytextCarattere"/>
          <w:i w:val="0"/>
          <w:iCs/>
        </w:rPr>
        <w:t xml:space="preserve">complex tertiary treatment for satisfactory </w:t>
      </w:r>
      <w:r w:rsidR="00D07D26">
        <w:rPr>
          <w:rStyle w:val="CETBodytextCarattere"/>
          <w:i w:val="0"/>
          <w:iCs/>
        </w:rPr>
        <w:t xml:space="preserve">removal of </w:t>
      </w:r>
      <w:r w:rsidR="00E8043F" w:rsidRPr="00E8043F">
        <w:rPr>
          <w:rStyle w:val="CETBodytextCarattere"/>
          <w:i w:val="0"/>
          <w:iCs/>
        </w:rPr>
        <w:t>organic</w:t>
      </w:r>
      <w:r w:rsidR="00D1224A">
        <w:rPr>
          <w:rStyle w:val="CETBodytextCarattere"/>
          <w:i w:val="0"/>
          <w:iCs/>
        </w:rPr>
        <w:t>s</w:t>
      </w:r>
      <w:r w:rsidR="00E8043F" w:rsidRPr="00E8043F">
        <w:rPr>
          <w:rStyle w:val="CETBodytextCarattere"/>
          <w:i w:val="0"/>
          <w:iCs/>
        </w:rPr>
        <w:t xml:space="preserve"> and salt.</w:t>
      </w:r>
      <w:r w:rsidR="00E43F39">
        <w:rPr>
          <w:rStyle w:val="CETBodytextCarattere"/>
          <w:i w:val="0"/>
          <w:iCs/>
        </w:rPr>
        <w:t xml:space="preserve"> </w:t>
      </w:r>
      <w:r w:rsidR="001E4E75" w:rsidRPr="001E4E75">
        <w:rPr>
          <w:i w:val="0"/>
          <w:iCs/>
        </w:rPr>
        <w:t xml:space="preserve">Conventional activated sludge processes are </w:t>
      </w:r>
      <w:r w:rsidR="007D15E3">
        <w:rPr>
          <w:i w:val="0"/>
          <w:iCs/>
        </w:rPr>
        <w:t xml:space="preserve">energy-intensive because of </w:t>
      </w:r>
      <w:r w:rsidR="001E4E75" w:rsidRPr="001E4E75">
        <w:rPr>
          <w:i w:val="0"/>
          <w:iCs/>
        </w:rPr>
        <w:t xml:space="preserve">continuous aeration, </w:t>
      </w:r>
      <w:r w:rsidR="007D15E3">
        <w:rPr>
          <w:i w:val="0"/>
          <w:iCs/>
        </w:rPr>
        <w:t>accounting</w:t>
      </w:r>
      <w:r w:rsidR="001E4E75" w:rsidRPr="001E4E75">
        <w:rPr>
          <w:i w:val="0"/>
          <w:iCs/>
        </w:rPr>
        <w:t xml:space="preserve"> for approximately 50–70% of the total energy consumption of wastewater treatment plants (Rosso et al., 2008). </w:t>
      </w:r>
      <w:r w:rsidR="007D15E3">
        <w:rPr>
          <w:i w:val="0"/>
          <w:iCs/>
        </w:rPr>
        <w:t>Further,</w:t>
      </w:r>
      <w:r w:rsidR="001E4E75" w:rsidRPr="001E4E75">
        <w:rPr>
          <w:i w:val="0"/>
          <w:iCs/>
        </w:rPr>
        <w:t xml:space="preserve"> advanced oxidation processes and </w:t>
      </w:r>
      <w:r w:rsidR="00E43F39">
        <w:rPr>
          <w:i w:val="0"/>
          <w:iCs/>
        </w:rPr>
        <w:t xml:space="preserve">RO </w:t>
      </w:r>
      <w:r w:rsidR="007D15E3">
        <w:rPr>
          <w:i w:val="0"/>
          <w:iCs/>
        </w:rPr>
        <w:t>demand</w:t>
      </w:r>
      <w:r w:rsidR="001E4E75" w:rsidRPr="001E4E75">
        <w:rPr>
          <w:i w:val="0"/>
          <w:iCs/>
        </w:rPr>
        <w:t xml:space="preserve"> high electrical energy, chemical inputs, and complex post-treatment steps, resulting in elevated operational costs (Oturan and Aaron, 2014</w:t>
      </w:r>
      <w:r w:rsidR="007D15E3">
        <w:rPr>
          <w:i w:val="0"/>
          <w:iCs/>
        </w:rPr>
        <w:t xml:space="preserve">). </w:t>
      </w:r>
      <w:r w:rsidR="00286CEF">
        <w:rPr>
          <w:rStyle w:val="CETBodytextCarattere"/>
          <w:i w:val="0"/>
          <w:iCs/>
        </w:rPr>
        <w:t xml:space="preserve">Additionally, the issue of </w:t>
      </w:r>
      <w:r w:rsidR="00E8043F" w:rsidRPr="00E8043F">
        <w:rPr>
          <w:rStyle w:val="CETBodytextCarattere"/>
          <w:i w:val="0"/>
          <w:iCs/>
        </w:rPr>
        <w:t>membrane fouling limit</w:t>
      </w:r>
      <w:r w:rsidR="00286CEF">
        <w:rPr>
          <w:rStyle w:val="CETBodytextCarattere"/>
          <w:i w:val="0"/>
          <w:iCs/>
        </w:rPr>
        <w:t>s</w:t>
      </w:r>
      <w:r w:rsidR="00E8043F" w:rsidRPr="00E8043F">
        <w:rPr>
          <w:rStyle w:val="CETBodytextCarattere"/>
          <w:i w:val="0"/>
          <w:iCs/>
        </w:rPr>
        <w:t xml:space="preserve"> </w:t>
      </w:r>
      <w:r w:rsidR="001E4E75">
        <w:rPr>
          <w:rStyle w:val="CETBodytextCarattere"/>
          <w:i w:val="0"/>
          <w:iCs/>
        </w:rPr>
        <w:t xml:space="preserve">the </w:t>
      </w:r>
      <w:r w:rsidR="00E8043F" w:rsidRPr="00E8043F">
        <w:rPr>
          <w:rStyle w:val="CETBodytextCarattere"/>
          <w:i w:val="0"/>
          <w:iCs/>
        </w:rPr>
        <w:t>economic viability</w:t>
      </w:r>
      <w:r w:rsidR="001E4E75">
        <w:rPr>
          <w:rStyle w:val="CETBodytextCarattere"/>
          <w:i w:val="0"/>
          <w:iCs/>
        </w:rPr>
        <w:t xml:space="preserve"> of RO</w:t>
      </w:r>
      <w:r w:rsidR="00E8043F" w:rsidRPr="00E8043F">
        <w:rPr>
          <w:rStyle w:val="CETBodytextCarattere"/>
          <w:i w:val="0"/>
          <w:iCs/>
        </w:rPr>
        <w:t xml:space="preserve"> as a stand-alone solution for high-strength industrial effluents</w:t>
      </w:r>
      <w:r w:rsidR="00E43F39">
        <w:rPr>
          <w:rStyle w:val="CETBodytextCarattere"/>
          <w:i w:val="0"/>
          <w:iCs/>
        </w:rPr>
        <w:t xml:space="preserve"> </w:t>
      </w:r>
      <w:r w:rsidR="00E43F39">
        <w:rPr>
          <w:rStyle w:val="CETBodytextCarattere"/>
          <w:i w:val="0"/>
          <w:iCs/>
        </w:rPr>
        <w:fldChar w:fldCharType="begin" w:fldLock="1"/>
      </w:r>
      <w:r w:rsidR="00E43F39">
        <w:rPr>
          <w:rStyle w:val="CETBodytextCarattere"/>
          <w:i w:val="0"/>
          <w:iCs/>
        </w:rPr>
        <w:instrText>ADDIN CSL_CITATION {"citationItems":[{"id":"ITEM-1","itemData":{"DOI":"10.1016/j.jclepro.2018.02.054","ISSN":"09596526","abstract":"Seawater could be a potential source of freshwater to manage the intensified demand of drinking water for new generations. The recent techniques for desalination and wastewater treatment are energy intensive and unsustainable. Therefore, an integrated and sustainable approach is essential to achieve cost-effective desalination through wastewater treatment. Microbial desalination cell (MDC) has been proven to be one of the emerging technologies capable of simultaneous wastewater treatment, seawater desalination and eco-energy production. This technique generates electricity through the bio-electrochemical oxidation of organics present in wastewater. The produced electricity is utilized to drive the migration of ions in MDC system. This ionic migration will result in desalination as well as formation of value-added by-products. The review summarizes the recently investigated MDC configurations along with their critical evolution of designs and operational parameters on the desalination and power generation capabilities. The review also acknowledges the emerging applications of MDC for microbial electrochemical desalination, bio-remediation, nutrients recovery, water softening, and value-added chemical production. The key findings included that the MDC system achieved a remarkable desalination without any external power input, and treatment of wastewater, and recovery of power without intermediate steps. The technical challenges associated with their practical applications were maintaining the pH in cathodic and anodic fluids, higher internal resistance, usage of catalysts on electrodes, and membrane fouling and durability. However, for certain configurations especially for microbial electrolysis and desalination cell (MEDC)/microbial electrolysis desalination and chemical production cell (MEDCC), the integration with electrodialysis module can significantly increase their performances. The installation of ED module will establish the pH neutrality and increased water recovery through recirculation of electrolytes between chambers of ED module and these MDC configurations. However, the sustainable development of MDC technology and its scale-up requires future investigations related to prevention of membrane fouling, materials feasibility, electron transfer kinetics, microbial growth and durability of catalyst. The feasibility studies are also needed to be conducted for determining the suitability of MDC operation in terms of reactor performance and stability.","author":[{"dropping-particle":"","family":"Al-Mamun","given":"Abdullah","non-dropping-particle":"","parse-names":false,"suffix":""},{"dropping-particle":"","family":"Ahmad","given":"Waqar","non-dropping-particle":"","parse-names":false,"suffix":""},{"dropping-particle":"","family":"Baawain","given":"Mahad Said","non-dropping-particle":"","parse-names":false,"suffix":""},{"dropping-particle":"","family":"Khadem","given":"Mohammad","non-dropping-particle":"","parse-names":false,"suffix":""},{"dropping-particle":"","family":"Dhar","given":"Bipro Ranjan","non-dropping-particle":"","parse-names":false,"suffix":""}],"container-title":"Journal of Cleaner Production","id":"ITEM-1","issued":{"date-parts":[["2018","5"]]},"page":"458-480","title":"A review of microbial desalination cell technology: Configurations, optimization and applications","type":"article-journal","volume":"183"},"uris":["http://www.mendeley.com/documents/?uuid=ee80f5eb-65fa-3fc0-a667-14f7ce1ca30a"]}],"mendeley":{"formattedCitation":"(Al-Mamun &lt;i&gt;et al.&lt;/i&gt;, 2018)","plainTextFormattedCitation":"(Al-Mamun et al., 2018)","previouslyFormattedCitation":"(Al-Mamun &lt;i&gt;et al.&lt;/i&gt;, 2018)"},"properties":{"noteIndex":0},"schema":"https://github.com/citation-style-language/schema/raw/master/csl-citation.json"}</w:instrText>
      </w:r>
      <w:r w:rsidR="00E43F39">
        <w:rPr>
          <w:rStyle w:val="CETBodytextCarattere"/>
          <w:i w:val="0"/>
          <w:iCs/>
        </w:rPr>
        <w:fldChar w:fldCharType="separate"/>
      </w:r>
      <w:r w:rsidR="00E43F39" w:rsidRPr="00272022">
        <w:rPr>
          <w:rStyle w:val="CETBodytextCarattere"/>
          <w:i w:val="0"/>
          <w:iCs/>
          <w:noProof/>
        </w:rPr>
        <w:t xml:space="preserve">(Al-Mamun </w:t>
      </w:r>
      <w:r w:rsidR="00E43F39" w:rsidRPr="00272022">
        <w:rPr>
          <w:rStyle w:val="CETBodytextCarattere"/>
          <w:iCs/>
          <w:noProof/>
        </w:rPr>
        <w:t>et al.</w:t>
      </w:r>
      <w:r w:rsidR="00E43F39" w:rsidRPr="00272022">
        <w:rPr>
          <w:rStyle w:val="CETBodytextCarattere"/>
          <w:i w:val="0"/>
          <w:iCs/>
          <w:noProof/>
        </w:rPr>
        <w:t>, 2018)</w:t>
      </w:r>
      <w:r w:rsidR="00E43F39">
        <w:rPr>
          <w:rStyle w:val="CETBodytextCarattere"/>
          <w:i w:val="0"/>
          <w:iCs/>
        </w:rPr>
        <w:fldChar w:fldCharType="end"/>
      </w:r>
      <w:r w:rsidR="00E43F39">
        <w:rPr>
          <w:rStyle w:val="CETBodytextCarattere"/>
          <w:i w:val="0"/>
          <w:iCs/>
        </w:rPr>
        <w:t>.</w:t>
      </w:r>
      <w:r w:rsidR="00E8043F" w:rsidRPr="00E8043F">
        <w:rPr>
          <w:rStyle w:val="CETBodytextCarattere"/>
          <w:i w:val="0"/>
          <w:iCs/>
        </w:rPr>
        <w:t xml:space="preserve"> </w:t>
      </w:r>
      <w:r w:rsidR="00E8043F" w:rsidRPr="00E8043F">
        <w:rPr>
          <w:rStyle w:val="CETBodytextCarattere"/>
          <w:i w:val="0"/>
          <w:iCs/>
        </w:rPr>
        <w:lastRenderedPageBreak/>
        <w:t xml:space="preserve">These </w:t>
      </w:r>
      <w:r w:rsidR="00286CEF">
        <w:rPr>
          <w:rStyle w:val="CETBodytextCarattere"/>
          <w:i w:val="0"/>
          <w:iCs/>
        </w:rPr>
        <w:t>challenges</w:t>
      </w:r>
      <w:r w:rsidR="00E8043F" w:rsidRPr="00E8043F">
        <w:rPr>
          <w:rStyle w:val="CETBodytextCarattere"/>
          <w:i w:val="0"/>
          <w:iCs/>
        </w:rPr>
        <w:t xml:space="preserve"> have driven research toward</w:t>
      </w:r>
      <w:r w:rsidR="00286CEF">
        <w:rPr>
          <w:rStyle w:val="CETBodytextCarattere"/>
          <w:i w:val="0"/>
          <w:iCs/>
        </w:rPr>
        <w:t>s</w:t>
      </w:r>
      <w:r w:rsidR="00E8043F" w:rsidRPr="00E8043F">
        <w:rPr>
          <w:rStyle w:val="CETBodytextCarattere"/>
          <w:i w:val="0"/>
          <w:iCs/>
        </w:rPr>
        <w:t xml:space="preserve"> integrated</w:t>
      </w:r>
      <w:r w:rsidR="00286CEF">
        <w:rPr>
          <w:rStyle w:val="CETBodytextCarattere"/>
          <w:i w:val="0"/>
          <w:iCs/>
        </w:rPr>
        <w:t xml:space="preserve"> and energy-efficient</w:t>
      </w:r>
      <w:r w:rsidR="00E8043F" w:rsidRPr="00E8043F">
        <w:rPr>
          <w:rStyle w:val="CETBodytextCarattere"/>
          <w:i w:val="0"/>
          <w:iCs/>
        </w:rPr>
        <w:t xml:space="preserve"> alternative</w:t>
      </w:r>
      <w:r w:rsidR="00286CEF">
        <w:rPr>
          <w:rStyle w:val="CETBodytextCarattere"/>
          <w:i w:val="0"/>
          <w:iCs/>
        </w:rPr>
        <w:t xml:space="preserve"> technologies</w:t>
      </w:r>
      <w:r w:rsidR="00E8043F" w:rsidRPr="00E8043F">
        <w:rPr>
          <w:rStyle w:val="CETBodytextCarattere"/>
          <w:i w:val="0"/>
          <w:iCs/>
        </w:rPr>
        <w:t xml:space="preserve"> </w:t>
      </w:r>
      <w:r w:rsidR="00286CEF">
        <w:rPr>
          <w:rStyle w:val="CETBodytextCarattere"/>
          <w:i w:val="0"/>
          <w:iCs/>
        </w:rPr>
        <w:t xml:space="preserve">for </w:t>
      </w:r>
      <w:r w:rsidR="00E8043F" w:rsidRPr="00E8043F">
        <w:rPr>
          <w:rStyle w:val="CETBodytextCarattere"/>
          <w:i w:val="0"/>
          <w:iCs/>
        </w:rPr>
        <w:t xml:space="preserve">simultaneous organic </w:t>
      </w:r>
      <w:r w:rsidR="00AF6FB0">
        <w:rPr>
          <w:rStyle w:val="CETBodytextCarattere"/>
          <w:i w:val="0"/>
          <w:iCs/>
        </w:rPr>
        <w:t xml:space="preserve">matter </w:t>
      </w:r>
      <w:r w:rsidR="00E8043F" w:rsidRPr="00E8043F">
        <w:rPr>
          <w:rStyle w:val="CETBodytextCarattere"/>
          <w:i w:val="0"/>
          <w:iCs/>
        </w:rPr>
        <w:t>degradation, desalination, and energy recovery.</w:t>
      </w:r>
      <w:r w:rsidR="005F2334">
        <w:rPr>
          <w:rStyle w:val="CETBodytextCarattere"/>
          <w:i w:val="0"/>
          <w:iCs/>
        </w:rPr>
        <w:t xml:space="preserve"> </w:t>
      </w:r>
    </w:p>
    <w:p w14:paraId="78F4F058" w14:textId="2BDC7D20" w:rsidR="00364446" w:rsidRDefault="005F2334" w:rsidP="00364446">
      <w:pPr>
        <w:pStyle w:val="CETBodytextItalic"/>
        <w:rPr>
          <w:rStyle w:val="CETBodytextCarattere"/>
          <w:i w:val="0"/>
          <w:iCs/>
        </w:rPr>
      </w:pPr>
      <w:r>
        <w:rPr>
          <w:rStyle w:val="CETBodytextCarattere"/>
          <w:i w:val="0"/>
          <w:iCs/>
        </w:rPr>
        <w:t>Microbial desalination cells (MDCs), a type of bioelectrochemical system (BES), represent a promising approach that integrates wastewater treatment</w:t>
      </w:r>
      <w:r w:rsidR="00AF6FB0">
        <w:rPr>
          <w:rStyle w:val="CETBodytextCarattere"/>
          <w:i w:val="0"/>
          <w:iCs/>
        </w:rPr>
        <w:t xml:space="preserve"> and</w:t>
      </w:r>
      <w:r>
        <w:rPr>
          <w:rStyle w:val="CETBodytextCarattere"/>
          <w:i w:val="0"/>
          <w:iCs/>
        </w:rPr>
        <w:t xml:space="preserve"> saltwater desalination in a single process configuration through its self-power generation capability. </w:t>
      </w:r>
      <w:r w:rsidRPr="005F2334">
        <w:rPr>
          <w:rStyle w:val="CETBodytextCarattere"/>
          <w:i w:val="0"/>
          <w:iCs/>
        </w:rPr>
        <w:t>In MDCs, exo</w:t>
      </w:r>
      <w:r>
        <w:rPr>
          <w:rStyle w:val="CETBodytextCarattere"/>
          <w:i w:val="0"/>
          <w:iCs/>
        </w:rPr>
        <w:t>-</w:t>
      </w:r>
      <w:r w:rsidRPr="005F2334">
        <w:rPr>
          <w:rStyle w:val="CETBodytextCarattere"/>
          <w:i w:val="0"/>
          <w:iCs/>
        </w:rPr>
        <w:t>electrogenic micro</w:t>
      </w:r>
      <w:r>
        <w:rPr>
          <w:rStyle w:val="CETBodytextCarattere"/>
          <w:i w:val="0"/>
          <w:iCs/>
        </w:rPr>
        <w:t>bes</w:t>
      </w:r>
      <w:r w:rsidRPr="005F2334">
        <w:rPr>
          <w:rStyle w:val="CETBodytextCarattere"/>
          <w:i w:val="0"/>
          <w:iCs/>
        </w:rPr>
        <w:t xml:space="preserve"> oxidi</w:t>
      </w:r>
      <w:r>
        <w:rPr>
          <w:rStyle w:val="CETBodytextCarattere"/>
          <w:i w:val="0"/>
          <w:iCs/>
        </w:rPr>
        <w:t>s</w:t>
      </w:r>
      <w:r w:rsidRPr="005F2334">
        <w:rPr>
          <w:rStyle w:val="CETBodytextCarattere"/>
          <w:i w:val="0"/>
          <w:iCs/>
        </w:rPr>
        <w:t xml:space="preserve">e </w:t>
      </w:r>
      <w:r>
        <w:rPr>
          <w:rStyle w:val="CETBodytextCarattere"/>
          <w:i w:val="0"/>
          <w:iCs/>
        </w:rPr>
        <w:t xml:space="preserve">the </w:t>
      </w:r>
      <w:r w:rsidRPr="005F2334">
        <w:rPr>
          <w:rStyle w:val="CETBodytextCarattere"/>
          <w:i w:val="0"/>
          <w:iCs/>
        </w:rPr>
        <w:t xml:space="preserve">organic matter in the </w:t>
      </w:r>
      <w:r w:rsidR="00AF6FB0" w:rsidRPr="005F2334">
        <w:rPr>
          <w:rStyle w:val="CETBodytextCarattere"/>
          <w:i w:val="0"/>
          <w:iCs/>
        </w:rPr>
        <w:t>anod</w:t>
      </w:r>
      <w:r w:rsidR="00AF6FB0">
        <w:rPr>
          <w:rStyle w:val="CETBodytextCarattere"/>
          <w:i w:val="0"/>
          <w:iCs/>
        </w:rPr>
        <w:t>ic</w:t>
      </w:r>
      <w:r w:rsidR="00AF6FB0" w:rsidRPr="005F2334">
        <w:rPr>
          <w:rStyle w:val="CETBodytextCarattere"/>
          <w:i w:val="0"/>
          <w:iCs/>
        </w:rPr>
        <w:t xml:space="preserve"> </w:t>
      </w:r>
      <w:r w:rsidRPr="005F2334">
        <w:rPr>
          <w:rStyle w:val="CETBodytextCarattere"/>
          <w:i w:val="0"/>
          <w:iCs/>
        </w:rPr>
        <w:t>chamber</w:t>
      </w:r>
      <w:r>
        <w:rPr>
          <w:rStyle w:val="CETBodytextCarattere"/>
          <w:i w:val="0"/>
          <w:iCs/>
        </w:rPr>
        <w:t>, generating</w:t>
      </w:r>
      <w:r w:rsidRPr="005F2334">
        <w:rPr>
          <w:rStyle w:val="CETBodytextCarattere"/>
          <w:i w:val="0"/>
          <w:iCs/>
        </w:rPr>
        <w:t xml:space="preserve"> electrons that travel through an external circuit to the cathode</w:t>
      </w:r>
      <w:r>
        <w:rPr>
          <w:rStyle w:val="CETBodytextCarattere"/>
          <w:i w:val="0"/>
          <w:iCs/>
        </w:rPr>
        <w:t>,</w:t>
      </w:r>
      <w:r w:rsidRPr="005F2334">
        <w:rPr>
          <w:rStyle w:val="CETBodytextCarattere"/>
          <w:i w:val="0"/>
          <w:iCs/>
        </w:rPr>
        <w:t xml:space="preserve"> </w:t>
      </w:r>
      <w:r>
        <w:rPr>
          <w:rStyle w:val="CETBodytextCarattere"/>
          <w:i w:val="0"/>
          <w:iCs/>
        </w:rPr>
        <w:t>creating a potential difference</w:t>
      </w:r>
      <w:r w:rsidR="00AF6FB0">
        <w:rPr>
          <w:rStyle w:val="CETBodytextCarattere"/>
          <w:i w:val="0"/>
          <w:iCs/>
        </w:rPr>
        <w:t>,</w:t>
      </w:r>
      <w:r>
        <w:rPr>
          <w:rStyle w:val="CETBodytextCarattere"/>
          <w:i w:val="0"/>
          <w:iCs/>
        </w:rPr>
        <w:t xml:space="preserve"> which</w:t>
      </w:r>
      <w:r w:rsidRPr="005F2334">
        <w:rPr>
          <w:rStyle w:val="CETBodytextCarattere"/>
          <w:i w:val="0"/>
          <w:iCs/>
        </w:rPr>
        <w:t xml:space="preserve"> drive</w:t>
      </w:r>
      <w:r>
        <w:rPr>
          <w:rStyle w:val="CETBodytextCarattere"/>
          <w:i w:val="0"/>
          <w:iCs/>
        </w:rPr>
        <w:t>s</w:t>
      </w:r>
      <w:r w:rsidRPr="005F2334">
        <w:rPr>
          <w:rStyle w:val="CETBodytextCarattere"/>
          <w:i w:val="0"/>
          <w:iCs/>
        </w:rPr>
        <w:t xml:space="preserve"> cation</w:t>
      </w:r>
      <w:r>
        <w:rPr>
          <w:rStyle w:val="CETBodytextCarattere"/>
          <w:i w:val="0"/>
          <w:iCs/>
        </w:rPr>
        <w:t xml:space="preserve"> and </w:t>
      </w:r>
      <w:r w:rsidRPr="005F2334">
        <w:rPr>
          <w:rStyle w:val="CETBodytextCarattere"/>
          <w:i w:val="0"/>
          <w:iCs/>
        </w:rPr>
        <w:t>anion migration through ion-exchange membranes</w:t>
      </w:r>
      <w:r w:rsidR="00364446">
        <w:rPr>
          <w:rStyle w:val="CETBodytextCarattere"/>
          <w:i w:val="0"/>
          <w:iCs/>
        </w:rPr>
        <w:t>,</w:t>
      </w:r>
      <w:r>
        <w:rPr>
          <w:rStyle w:val="CETBodytextCarattere"/>
          <w:i w:val="0"/>
          <w:iCs/>
        </w:rPr>
        <w:t xml:space="preserve"> resulting in </w:t>
      </w:r>
      <w:r w:rsidRPr="005F2334">
        <w:rPr>
          <w:rStyle w:val="CETBodytextCarattere"/>
          <w:i w:val="0"/>
          <w:iCs/>
        </w:rPr>
        <w:t>desalination</w:t>
      </w:r>
      <w:r w:rsidR="00AE37D3">
        <w:rPr>
          <w:rStyle w:val="CETBodytextCarattere"/>
          <w:i w:val="0"/>
          <w:iCs/>
        </w:rPr>
        <w:t xml:space="preserve"> </w:t>
      </w:r>
      <w:r w:rsidR="00AE37D3">
        <w:rPr>
          <w:rStyle w:val="CETBodytextCarattere"/>
          <w:i w:val="0"/>
          <w:iCs/>
        </w:rPr>
        <w:fldChar w:fldCharType="begin" w:fldLock="1"/>
      </w:r>
      <w:r w:rsidR="00272022">
        <w:rPr>
          <w:rStyle w:val="CETBodytextCarattere"/>
          <w:i w:val="0"/>
          <w:iCs/>
        </w:rPr>
        <w:instrText>ADDIN CSL_CITATION {"citationItems":[{"id":"ITEM-1","itemData":{"DOI":"10.1016/j.wen.2021.04.002","ISSN":"25889125","abstract":"The Microbial Desalination Cell (MDC) is a technology proposed to either support or replace conventional desalination technologies. This technology allows the simultaneous treatment of wastewater, electricity generation and desalination. These abilities of the MDC technology fit it into the water energy nexus matrix. Also considering the wastewater, electricity generation and desalination abilities of the MDC technology it can be stated that, it has the potential to contribute to the realization of the sustainable developments goals six and seven. Since its introduction in 2009, the MDC technology has evolved quickly in designs and in uses but is faced with a number of problems too. This review discusses the major developments in the MDC technology considering what the MDC technology is about, its diverse uses, the achievements of the technology and the problems the technology is confronted with. Also, a future perspective on how the technology will develop is discussed.","author":[{"dropping-particle":"","family":"Imoro","given":"Abubakari Zarouk","non-dropping-particle":"","parse-names":false,"suffix":""},{"dropping-particle":"","family":"Mensah","given":"Moses","non-dropping-particle":"","parse-names":false,"suffix":""},{"dropping-particle":"","family":"Buamah","given":"Richard","non-dropping-particle":"","parse-names":false,"suffix":""}],"container-title":"Water-Energy Nexus","id":"ITEM-1","issued":{"date-parts":[["2021","1","1"]]},"page":"76-87","publisher":"Elsevier","title":"Developments in the microbial desalination cell technology: A review","type":"article-journal","volume":"4"},"uris":["http://www.mendeley.com/documents/?uuid=867de583-bf79-3b19-ba24-591e8344974f"]}],"mendeley":{"formattedCitation":"(Imoro, Mensah and Buamah, 2021)","plainTextFormattedCitation":"(Imoro, Mensah and Buamah, 2021)","previouslyFormattedCitation":"(Imoro, Mensah and Buamah, 2021)"},"properties":{"noteIndex":0},"schema":"https://github.com/citation-style-language/schema/raw/master/csl-citation.json"}</w:instrText>
      </w:r>
      <w:r w:rsidR="00AE37D3">
        <w:rPr>
          <w:rStyle w:val="CETBodytextCarattere"/>
          <w:i w:val="0"/>
          <w:iCs/>
        </w:rPr>
        <w:fldChar w:fldCharType="separate"/>
      </w:r>
      <w:r w:rsidR="00272022" w:rsidRPr="00272022">
        <w:rPr>
          <w:rStyle w:val="CETBodytextCarattere"/>
          <w:i w:val="0"/>
          <w:iCs/>
          <w:noProof/>
        </w:rPr>
        <w:t>(Imoro, Mensah and Buamah, 2021)</w:t>
      </w:r>
      <w:r w:rsidR="00AE37D3">
        <w:rPr>
          <w:rStyle w:val="CETBodytextCarattere"/>
          <w:i w:val="0"/>
          <w:iCs/>
        </w:rPr>
        <w:fldChar w:fldCharType="end"/>
      </w:r>
      <w:r w:rsidRPr="005F2334">
        <w:rPr>
          <w:rStyle w:val="CETBodytextCarattere"/>
          <w:i w:val="0"/>
          <w:iCs/>
        </w:rPr>
        <w:t>.</w:t>
      </w:r>
      <w:r w:rsidR="00964B41">
        <w:rPr>
          <w:rStyle w:val="CETBodytextCarattere"/>
          <w:i w:val="0"/>
          <w:iCs/>
        </w:rPr>
        <w:t xml:space="preserve"> </w:t>
      </w:r>
      <w:r w:rsidRPr="005F2334">
        <w:rPr>
          <w:rStyle w:val="CETBodytextCarattere"/>
          <w:i w:val="0"/>
          <w:iCs/>
        </w:rPr>
        <w:t xml:space="preserve">The </w:t>
      </w:r>
      <w:r w:rsidR="000D6A1C">
        <w:rPr>
          <w:rStyle w:val="CETBodytextCarattere"/>
          <w:i w:val="0"/>
          <w:iCs/>
        </w:rPr>
        <w:t>potential</w:t>
      </w:r>
      <w:r w:rsidRPr="005F2334">
        <w:rPr>
          <w:rStyle w:val="CETBodytextCarattere"/>
          <w:i w:val="0"/>
          <w:iCs/>
        </w:rPr>
        <w:t xml:space="preserve"> generated </w:t>
      </w:r>
      <w:r w:rsidR="000D6A1C">
        <w:rPr>
          <w:rStyle w:val="CETBodytextCarattere"/>
          <w:i w:val="0"/>
          <w:iCs/>
        </w:rPr>
        <w:t>across the circuit due to</w:t>
      </w:r>
      <w:r w:rsidRPr="005F2334">
        <w:rPr>
          <w:rStyle w:val="CETBodytextCarattere"/>
          <w:i w:val="0"/>
          <w:iCs/>
        </w:rPr>
        <w:t xml:space="preserve"> electron flow </w:t>
      </w:r>
      <w:r w:rsidR="000D6A1C">
        <w:rPr>
          <w:rStyle w:val="CETBodytextCarattere"/>
          <w:i w:val="0"/>
          <w:iCs/>
        </w:rPr>
        <w:t>exempts</w:t>
      </w:r>
      <w:r w:rsidRPr="005F2334">
        <w:rPr>
          <w:rStyle w:val="CETBodytextCarattere"/>
          <w:i w:val="0"/>
          <w:iCs/>
        </w:rPr>
        <w:t xml:space="preserve"> the energy requirement typically associated with external power </w:t>
      </w:r>
      <w:r w:rsidR="000D6A1C">
        <w:rPr>
          <w:rStyle w:val="CETBodytextCarattere"/>
          <w:i w:val="0"/>
          <w:iCs/>
        </w:rPr>
        <w:t>input</w:t>
      </w:r>
      <w:r w:rsidRPr="005F2334">
        <w:rPr>
          <w:rStyle w:val="CETBodytextCarattere"/>
          <w:i w:val="0"/>
          <w:iCs/>
        </w:rPr>
        <w:t xml:space="preserve"> in conventional desalination </w:t>
      </w:r>
      <w:r w:rsidR="000D6A1C">
        <w:rPr>
          <w:rStyle w:val="CETBodytextCarattere"/>
          <w:i w:val="0"/>
          <w:iCs/>
        </w:rPr>
        <w:t>methods</w:t>
      </w:r>
      <w:r w:rsidRPr="005F2334">
        <w:rPr>
          <w:rStyle w:val="CETBodytextCarattere"/>
          <w:i w:val="0"/>
          <w:iCs/>
        </w:rPr>
        <w:t xml:space="preserve">. </w:t>
      </w:r>
      <w:r w:rsidR="000D6A1C">
        <w:rPr>
          <w:rStyle w:val="CETBodytextCarattere"/>
          <w:i w:val="0"/>
          <w:iCs/>
        </w:rPr>
        <w:t xml:space="preserve">Hence, </w:t>
      </w:r>
      <w:r w:rsidRPr="005F2334">
        <w:rPr>
          <w:rStyle w:val="CETBodytextCarattere"/>
          <w:i w:val="0"/>
          <w:iCs/>
        </w:rPr>
        <w:t xml:space="preserve">MDC </w:t>
      </w:r>
      <w:r w:rsidR="000D6A1C">
        <w:rPr>
          <w:rStyle w:val="CETBodytextCarattere"/>
          <w:i w:val="0"/>
          <w:iCs/>
        </w:rPr>
        <w:t>provides</w:t>
      </w:r>
      <w:r w:rsidRPr="005F2334">
        <w:rPr>
          <w:rStyle w:val="CETBodytextCarattere"/>
          <w:i w:val="0"/>
          <w:iCs/>
        </w:rPr>
        <w:t xml:space="preserve"> a sustainable </w:t>
      </w:r>
      <w:r w:rsidR="00AE37D3">
        <w:rPr>
          <w:rStyle w:val="CETBodytextCarattere"/>
          <w:i w:val="0"/>
          <w:iCs/>
        </w:rPr>
        <w:t>substitute</w:t>
      </w:r>
      <w:r w:rsidRPr="005F2334">
        <w:rPr>
          <w:rStyle w:val="CETBodytextCarattere"/>
          <w:i w:val="0"/>
          <w:iCs/>
        </w:rPr>
        <w:t xml:space="preserve"> to treat </w:t>
      </w:r>
      <w:r w:rsidR="008B4DF3">
        <w:rPr>
          <w:rStyle w:val="CETBodytextCarattere"/>
          <w:i w:val="0"/>
          <w:iCs/>
        </w:rPr>
        <w:t>high-strength</w:t>
      </w:r>
      <w:r w:rsidR="00AE37D3">
        <w:rPr>
          <w:rStyle w:val="CETBodytextCarattere"/>
          <w:i w:val="0"/>
          <w:iCs/>
        </w:rPr>
        <w:t xml:space="preserve"> </w:t>
      </w:r>
      <w:r w:rsidRPr="005F2334">
        <w:rPr>
          <w:rStyle w:val="CETBodytextCarattere"/>
          <w:i w:val="0"/>
          <w:iCs/>
        </w:rPr>
        <w:t>COD wastewater</w:t>
      </w:r>
      <w:r w:rsidR="00AF6FB0">
        <w:rPr>
          <w:rStyle w:val="CETBodytextCarattere"/>
          <w:i w:val="0"/>
          <w:iCs/>
        </w:rPr>
        <w:t>,</w:t>
      </w:r>
      <w:r w:rsidRPr="005F2334">
        <w:rPr>
          <w:rStyle w:val="CETBodytextCarattere"/>
          <w:i w:val="0"/>
          <w:iCs/>
        </w:rPr>
        <w:t xml:space="preserve"> while concurrently reducing salinity and harvesting electrical energy</w:t>
      </w:r>
      <w:r w:rsidR="00AE37D3">
        <w:rPr>
          <w:rStyle w:val="CETBodytextCarattere"/>
          <w:i w:val="0"/>
          <w:iCs/>
        </w:rPr>
        <w:t xml:space="preserve"> </w:t>
      </w:r>
      <w:r w:rsidR="00AE37D3">
        <w:rPr>
          <w:rStyle w:val="CETBodytextCarattere"/>
          <w:i w:val="0"/>
          <w:iCs/>
        </w:rPr>
        <w:fldChar w:fldCharType="begin" w:fldLock="1"/>
      </w:r>
      <w:r w:rsidR="00272022">
        <w:rPr>
          <w:rStyle w:val="CETBodytextCarattere"/>
          <w:i w:val="0"/>
          <w:iCs/>
        </w:rPr>
        <w:instrText>ADDIN CSL_CITATION {"citationItems":[{"id":"ITEM-1","itemData":{"DOI":"10.1016/j.biortech.2012.05.135","ISSN":"09608524","PMID":"22728187","abstract":"A separator coupled circulation stacked microbial desalination cell (c-SMDC-S) was constructed to stabilize the pH imbalances in MDCs without buffer solution and achieved the stable desalination. The long-term operation of c-SMDC-S, regular stacked MDC (SMDC) and no separator coupled circulation SMDC (c-SMDC) were tested. The SMDC and c-SMDC could only stably operate for 1. week and 1. month owing to dramatic anolyte pH decrease and serious biofilm growth on the air cathode, respectively. The c-SMDC-S gained in anolyte alkalinity and operated stably for about 60. days without the thick biofilm growth on cathode. Besides, the chemical oxygen demand removal and coulombic efficiency were 64 ± 6% and 30 ± 2%, higher than that of SMDC and c-SMDC, respectively. It was concluded that the circulation of alkalinity could remove pH imbalance while the separator could expand the operation period and promote the conversion of organic matter to electricity. © 2012 Elsevier Ltd.","author":[{"dropping-particle":"","family":"Chen","given":"Xi","non-dropping-particle":"","parse-names":false,"suffix":""},{"dropping-particle":"","family":"Liang","given":"Peng","non-dropping-particle":"","parse-names":false,"suffix":""},{"dropping-particle":"","family":"Wei","given":"Zhimou","non-dropping-particle":"","parse-names":false,"suffix":""},{"dropping-particle":"","family":"Zhang","given":"Xiaoyuan","non-dropping-particle":"","parse-names":false,"suffix":""},{"dropping-particle":"","family":"Huang","given":"Xia","non-dropping-particle":"","parse-names":false,"suffix":""}],"container-title":"Bioresource Technology","id":"ITEM-1","issued":{"date-parts":[["2012"]]},"page":"88-93","title":"Sustainable water desalination and electricity generation in a separator coupled stacked microbial desalination cell with buffer free electrolyte circulation","type":"article-journal","volume":"119"},"uris":["http://www.mendeley.com/documents/?uuid=ddd3464b-d143-353a-8aa7-968927347d79"]}],"mendeley":{"formattedCitation":"(Chen &lt;i&gt;et al.&lt;/i&gt;, 2012)","plainTextFormattedCitation":"(Chen et al., 2012)","previouslyFormattedCitation":"(Chen &lt;i&gt;et al.&lt;/i&gt;, 2012)"},"properties":{"noteIndex":0},"schema":"https://github.com/citation-style-language/schema/raw/master/csl-citation.json"}</w:instrText>
      </w:r>
      <w:r w:rsidR="00AE37D3">
        <w:rPr>
          <w:rStyle w:val="CETBodytextCarattere"/>
          <w:i w:val="0"/>
          <w:iCs/>
        </w:rPr>
        <w:fldChar w:fldCharType="separate"/>
      </w:r>
      <w:r w:rsidR="00272022" w:rsidRPr="00272022">
        <w:rPr>
          <w:rStyle w:val="CETBodytextCarattere"/>
          <w:i w:val="0"/>
          <w:iCs/>
          <w:noProof/>
        </w:rPr>
        <w:t xml:space="preserve">(Chen </w:t>
      </w:r>
      <w:r w:rsidR="00272022" w:rsidRPr="00272022">
        <w:rPr>
          <w:rStyle w:val="CETBodytextCarattere"/>
          <w:iCs/>
          <w:noProof/>
        </w:rPr>
        <w:t>et al.</w:t>
      </w:r>
      <w:r w:rsidR="00272022" w:rsidRPr="00272022">
        <w:rPr>
          <w:rStyle w:val="CETBodytextCarattere"/>
          <w:i w:val="0"/>
          <w:iCs/>
          <w:noProof/>
        </w:rPr>
        <w:t>, 2012)</w:t>
      </w:r>
      <w:r w:rsidR="00AE37D3">
        <w:rPr>
          <w:rStyle w:val="CETBodytextCarattere"/>
          <w:i w:val="0"/>
          <w:iCs/>
        </w:rPr>
        <w:fldChar w:fldCharType="end"/>
      </w:r>
      <w:r w:rsidR="008C59BF">
        <w:rPr>
          <w:rStyle w:val="CETBodytextCarattere"/>
          <w:i w:val="0"/>
          <w:iCs/>
        </w:rPr>
        <w:t xml:space="preserve">. </w:t>
      </w:r>
      <w:r w:rsidR="00364446">
        <w:rPr>
          <w:rStyle w:val="CETBodytextCarattere"/>
          <w:i w:val="0"/>
          <w:iCs/>
        </w:rPr>
        <w:t xml:space="preserve">A significant investigation </w:t>
      </w:r>
      <w:r w:rsidR="00964B41">
        <w:rPr>
          <w:rStyle w:val="CETBodytextCarattere"/>
          <w:i w:val="0"/>
          <w:iCs/>
        </w:rPr>
        <w:t xml:space="preserve">demonstrated the implementation of MDC for substantial COD and TDS reduction in the effluents of textile and tannery, highlighting the trifecta capability of the technology for real-world wastewater matrices </w:t>
      </w:r>
      <w:r w:rsidR="00964B41">
        <w:rPr>
          <w:rStyle w:val="CETBodytextCarattere"/>
          <w:i w:val="0"/>
          <w:iCs/>
        </w:rPr>
        <w:fldChar w:fldCharType="begin" w:fldLock="1"/>
      </w:r>
      <w:r w:rsidR="008C59BF">
        <w:rPr>
          <w:rStyle w:val="CETBodytextCarattere"/>
          <w:i w:val="0"/>
          <w:iCs/>
        </w:rPr>
        <w:instrText>ADDIN CSL_CITATION {"citationItems":[{"id":"ITEM-1","itemData":{"DOI":"10.1039/D4RA06317A","ISSN":"2046-2069","abstract":"Towards sustainable water management: novel strategies for wastewater treatment, saltwater desalination and bioelectricity generation using microbial desalination cells.","author":[{"dropping-particle":"","family":"Sikder","given":"Sadia","non-dropping-particle":"","parse-names":false,"suffix":""},{"dropping-particle":"","family":"Toha","given":"Mohammad","non-dropping-particle":"","parse-names":false,"suffix":""},{"dropping-particle":"","family":"Rahman","given":"Md Mostafizur","non-dropping-particle":"","parse-names":false,"suffix":""},{"dropping-particle":"","family":"Sikder","given":"Mahmudul Hasan","non-dropping-particle":"","parse-names":false,"suffix":""}],"container-title":"RSC Advances","id":"ITEM-1","issue":"52","issued":{"date-parts":[["2024"]]},"page":"38547-38559","title":"Efficiency of microbial desalination cells in treating wastewater, desalinating saltwater, and generating bioelectricity in Bangladesh","type":"article-journal","volume":"14"},"uris":["http://www.mendeley.com/documents/?uuid=304ccfcf-98ec-3862-9efc-ddb6b2a9be1d"]}],"mendeley":{"formattedCitation":"(Sikder &lt;i&gt;et al.&lt;/i&gt;, 2024)","plainTextFormattedCitation":"(Sikder et al., 2024)","previouslyFormattedCitation":"(Sikder &lt;i&gt;et al.&lt;/i&gt;, 2024)"},"properties":{"noteIndex":0},"schema":"https://github.com/citation-style-language/schema/raw/master/csl-citation.json"}</w:instrText>
      </w:r>
      <w:r w:rsidR="00964B41">
        <w:rPr>
          <w:rStyle w:val="CETBodytextCarattere"/>
          <w:i w:val="0"/>
          <w:iCs/>
        </w:rPr>
        <w:fldChar w:fldCharType="separate"/>
      </w:r>
      <w:r w:rsidR="00964B41" w:rsidRPr="00964B41">
        <w:rPr>
          <w:rStyle w:val="CETBodytextCarattere"/>
          <w:i w:val="0"/>
          <w:iCs/>
          <w:noProof/>
        </w:rPr>
        <w:t xml:space="preserve">(Sikder </w:t>
      </w:r>
      <w:r w:rsidR="00964B41" w:rsidRPr="00964B41">
        <w:rPr>
          <w:rStyle w:val="CETBodytextCarattere"/>
          <w:iCs/>
          <w:noProof/>
        </w:rPr>
        <w:t>et al.</w:t>
      </w:r>
      <w:r w:rsidR="00964B41" w:rsidRPr="00964B41">
        <w:rPr>
          <w:rStyle w:val="CETBodytextCarattere"/>
          <w:i w:val="0"/>
          <w:iCs/>
          <w:noProof/>
        </w:rPr>
        <w:t>, 2024)</w:t>
      </w:r>
      <w:r w:rsidR="00964B41">
        <w:rPr>
          <w:rStyle w:val="CETBodytextCarattere"/>
          <w:i w:val="0"/>
          <w:iCs/>
        </w:rPr>
        <w:fldChar w:fldCharType="end"/>
      </w:r>
      <w:r w:rsidR="00964B41">
        <w:rPr>
          <w:rStyle w:val="CETBodytextCarattere"/>
          <w:i w:val="0"/>
          <w:iCs/>
        </w:rPr>
        <w:t xml:space="preserve">. Additionally, comparative experimentation has illustrated the role of cathode type and operational strategies on COD removal pattern, output power generation, and salinity removal in the scenarios of saline wastewater treatment </w:t>
      </w:r>
      <w:r w:rsidR="008C59BF">
        <w:rPr>
          <w:rStyle w:val="CETBodytextCarattere"/>
          <w:i w:val="0"/>
          <w:iCs/>
        </w:rPr>
        <w:fldChar w:fldCharType="begin" w:fldLock="1"/>
      </w:r>
      <w:r w:rsidR="00AA0DD8">
        <w:rPr>
          <w:rStyle w:val="CETBodytextCarattere"/>
          <w:i w:val="0"/>
          <w:iCs/>
        </w:rPr>
        <w:instrText>ADDIN CSL_CITATION {"citationItems":[{"id":"ITEM-1","itemData":{"DOI":"10.1038/s41598-025-01295-6","ISSN":"20452322","PMID":"40346188","abstract":"Microbial desalination cells (MDCs), as an emerging desalination technology, have attracted increasing attention in recent years due to their ability to simultaneously achieve salt removal and wastewater treatment without the need for external energy input. In this study, the performance of two MDC systems with different cathode types—a biocathode (MDC1#) and a permanganate cathode (MDC2#)—was comparatively evaluated for the treatment of saline wastewater, with a particular focus on voltage output, desalination efficiency, and chemical oxygen demand (COD) removal. Experimental results showed that the average output voltage of MDC2# reached 742.02 mV, which was significantly higher than that of MDC1# (695.6 mV). Its maximum power density was as high as 6.22 W/m3, approximately six times that of MDC1#. Moreover, MDC2# exhibited a higher average chloride removal rate in the desalination chamber (32.34 mg/h), compared to 17.13 mg/h for MDC1#, indicating superior desalination performance. However, in terms of electron recovery, MDC1# achieved a much higher average Coulombic efficiency (28.8 ± 18.7%), nearly three times that of MDC2#, suggesting more efficient electron utilization with the biocathode. Regarding ammonium removal, MDC1# demonstrated a higher initial removal efficiency within the first 96 h (74.3%, with an average rate of 4.17 mg/h), but this declined sharply over time, with the later-stage rate dropping to only 0.32 mg/h (less than 10% of the initial rate). In contrast, MDC2# maintained a relatively stable ammonium removal rate throughout the operation (ranging from 0.58 to 3.27 mg/h, with an average of 1.92 mg/h). In addition, both systems achieved stable COD removal at the anode, with efficiencies consistently above 85%. Overall, the permanganate cathode is more suitable for applications that require high voltage output and efficient desalination, whereas the biocathode shows significant advantages in organic pollutant removal and energy recovery. This study provides a theoretical foundation for the rational selection of cathode types based on the characteristics of saline wastewater, offering valuable guidance for optimizing MDC system performance.","author":[{"dropping-particle":"","family":"Jia","given":"Hongsheng","non-dropping-particle":"","parse-names":false,"suffix":""},{"dropping-particle":"","family":"Li","given":"Guang","non-dropping-particle":"","parse-names":false,"suffix":""},{"dropping-particle":"","family":"Liu","given":"Xiaoteng","non-dropping-particle":"","parse-names":false,"suffix":""},{"dropping-particle":"","family":"Ma","given":"Xiaoning","non-dropping-particle":"","parse-names":false,"suffix":""},{"dropping-particle":"","family":"Li","given":"Lianhong","non-dropping-particle":"","parse-names":false,"suffix":""},{"dropping-particle":"","family":"Han","given":"Xinrui","non-dropping-particle":"","parse-names":false,"suffix":""}],"container-title":"Scientific Reports","id":"ITEM-1","issue":"1","issued":{"date-parts":[["2025","5","9"]]},"page":"16178","publisher":"Nature Publishing Group","title":"Performance of microbial desalination cells with different cathode types in treating saline wastewater","type":"article-journal","volume":"15"},"uris":["http://www.mendeley.com/documents/?uuid=e02623a0-dd34-3a8e-b9f5-c41ea2483b49"]}],"mendeley":{"formattedCitation":"(Jia &lt;i&gt;et al.&lt;/i&gt;, 2025)","plainTextFormattedCitation":"(Jia et al., 2025)","previouslyFormattedCitation":"(Jia &lt;i&gt;et al.&lt;/i&gt;, 2025)"},"properties":{"noteIndex":0},"schema":"https://github.com/citation-style-language/schema/raw/master/csl-citation.json"}</w:instrText>
      </w:r>
      <w:r w:rsidR="008C59BF">
        <w:rPr>
          <w:rStyle w:val="CETBodytextCarattere"/>
          <w:i w:val="0"/>
          <w:iCs/>
        </w:rPr>
        <w:fldChar w:fldCharType="separate"/>
      </w:r>
      <w:r w:rsidR="008C59BF" w:rsidRPr="008C59BF">
        <w:rPr>
          <w:rStyle w:val="CETBodytextCarattere"/>
          <w:i w:val="0"/>
          <w:iCs/>
          <w:noProof/>
        </w:rPr>
        <w:t xml:space="preserve">(Jia </w:t>
      </w:r>
      <w:r w:rsidR="008C59BF" w:rsidRPr="008C59BF">
        <w:rPr>
          <w:rStyle w:val="CETBodytextCarattere"/>
          <w:iCs/>
          <w:noProof/>
        </w:rPr>
        <w:t>et al.</w:t>
      </w:r>
      <w:r w:rsidR="008C59BF" w:rsidRPr="008C59BF">
        <w:rPr>
          <w:rStyle w:val="CETBodytextCarattere"/>
          <w:i w:val="0"/>
          <w:iCs/>
          <w:noProof/>
        </w:rPr>
        <w:t>, 2025)</w:t>
      </w:r>
      <w:r w:rsidR="008C59BF">
        <w:rPr>
          <w:rStyle w:val="CETBodytextCarattere"/>
          <w:i w:val="0"/>
          <w:iCs/>
        </w:rPr>
        <w:fldChar w:fldCharType="end"/>
      </w:r>
      <w:r w:rsidR="008C59BF">
        <w:rPr>
          <w:rStyle w:val="CETBodytextCarattere"/>
          <w:i w:val="0"/>
          <w:iCs/>
        </w:rPr>
        <w:t xml:space="preserve">. Thus, such findings demonstrate the critical influence of electron transfer pathways and electrochemical interfaces in </w:t>
      </w:r>
      <w:r w:rsidR="00AF6FB0">
        <w:rPr>
          <w:rStyle w:val="CETBodytextCarattere"/>
          <w:i w:val="0"/>
          <w:iCs/>
        </w:rPr>
        <w:t xml:space="preserve">the </w:t>
      </w:r>
      <w:r w:rsidR="008C59BF">
        <w:rPr>
          <w:rStyle w:val="CETBodytextCarattere"/>
          <w:i w:val="0"/>
          <w:iCs/>
        </w:rPr>
        <w:t>performance</w:t>
      </w:r>
      <w:r w:rsidR="00AF6FB0">
        <w:rPr>
          <w:rStyle w:val="CETBodytextCarattere"/>
          <w:i w:val="0"/>
          <w:iCs/>
        </w:rPr>
        <w:t xml:space="preserve"> of MDC</w:t>
      </w:r>
      <w:r w:rsidR="008C59BF">
        <w:rPr>
          <w:rStyle w:val="CETBodytextCarattere"/>
          <w:i w:val="0"/>
          <w:iCs/>
        </w:rPr>
        <w:t>.</w:t>
      </w:r>
    </w:p>
    <w:p w14:paraId="008B2CB5" w14:textId="5AC77F07" w:rsidR="00964B41" w:rsidRDefault="00AA749A" w:rsidP="00364446">
      <w:pPr>
        <w:pStyle w:val="CETBodytextItalic"/>
        <w:rPr>
          <w:rFonts w:cs="Arial"/>
          <w:i w:val="0"/>
          <w:iCs/>
          <w:color w:val="000000" w:themeColor="text1"/>
          <w:szCs w:val="18"/>
        </w:rPr>
      </w:pPr>
      <w:r>
        <w:rPr>
          <w:rStyle w:val="CETBodytextCarattere"/>
          <w:i w:val="0"/>
          <w:iCs/>
        </w:rPr>
        <w:t xml:space="preserve">Despite the great potential, a persistent bottleneck in MDC functioning and performance is the sluggish oxygen reduction reaction (ORR) at the cathode. The ORR is a multi-electron </w:t>
      </w:r>
      <w:r w:rsidRPr="00AA749A">
        <w:rPr>
          <w:rFonts w:cs="Arial"/>
          <w:i w:val="0"/>
          <w:iCs/>
          <w:color w:val="000000" w:themeColor="text1"/>
          <w:szCs w:val="18"/>
        </w:rPr>
        <w:t xml:space="preserve">process </w:t>
      </w:r>
      <w:r>
        <w:rPr>
          <w:rFonts w:cs="Arial"/>
          <w:i w:val="0"/>
          <w:iCs/>
          <w:color w:val="000000" w:themeColor="text1"/>
          <w:szCs w:val="18"/>
        </w:rPr>
        <w:t>that</w:t>
      </w:r>
      <w:r w:rsidRPr="00AA749A">
        <w:rPr>
          <w:rFonts w:cs="Arial"/>
          <w:i w:val="0"/>
          <w:iCs/>
          <w:color w:val="000000" w:themeColor="text1"/>
          <w:szCs w:val="18"/>
        </w:rPr>
        <w:t xml:space="preserve"> involves the reduction of dissolved oxygen to water (ideally via a four-electron pathway)</w:t>
      </w:r>
      <w:r>
        <w:rPr>
          <w:rFonts w:cs="Arial"/>
          <w:i w:val="0"/>
          <w:iCs/>
          <w:color w:val="000000" w:themeColor="text1"/>
          <w:szCs w:val="18"/>
        </w:rPr>
        <w:t xml:space="preserve">. However, on bare carbon or </w:t>
      </w:r>
      <w:r w:rsidR="004F1B4C">
        <w:rPr>
          <w:rFonts w:cs="Arial"/>
          <w:i w:val="0"/>
          <w:iCs/>
          <w:color w:val="000000" w:themeColor="text1"/>
          <w:szCs w:val="18"/>
        </w:rPr>
        <w:t xml:space="preserve">unmodified electrodes, the ORR is characterised by high overpotentials and lower catalytic activity. This slower reaction at the cathode not only limits the overall power output but also declines the voltage generation responsible for driving ion migration </w:t>
      </w:r>
      <w:r w:rsidR="004F1B4C">
        <w:rPr>
          <w:rFonts w:cs="Arial"/>
          <w:i w:val="0"/>
          <w:iCs/>
          <w:color w:val="000000" w:themeColor="text1"/>
          <w:szCs w:val="18"/>
        </w:rPr>
        <w:fldChar w:fldCharType="begin" w:fldLock="1"/>
      </w:r>
      <w:r w:rsidR="00865F4C">
        <w:rPr>
          <w:rFonts w:cs="Arial"/>
          <w:i w:val="0"/>
          <w:iCs/>
          <w:color w:val="000000" w:themeColor="text1"/>
          <w:szCs w:val="18"/>
        </w:rPr>
        <w:instrText>ADDIN CSL_CITATION {"citationItems":[{"id":"ITEM-1","itemData":{"DOI":"10.3390/en15207459","ISSN":"1996-1073","abstract":"Microbial desalination cells (MDCs) are promising bioelectrochemical systems for desalination using the bacteria-generated electricity from the biodegradation of organic wastes contained in the wastewater. Instead of being a sustainable and eco-friendly desalination technology, the large-scale application of MDC was limited due to the high installation cost of the metal-catalyst-coated cathode electrode and the poor performance of the cathode in long-term operation due to catalyst fouling. Such cathodic limitations have hindered its large-scale application. The cathodic limitation has arisen mainly because of three losses, such as (1) Ohmic loss, (2) mass transfer loss, and (3) activation loss. The catalyst-assisted cathodic reduction reaction is an electrochemical surface phenomenon; thereby, the cathode’s surface charge transfer and thermodynamic efficiency are crucial for reaction kinetics. This review article aims to provide an overview of the MDC process, performance indicators, and summarizes the limiting factors that could hinder the process performance. Then, the article represented a comprehensive summary of the air-cathodic limitations and the mechanisms applied to improve the air-cathodic limitations in MDC to enhance the cathodic reaction kinetics through cathode surface modification through catalysts. The study is significantly different from other review studies by the precise identification and illustration of the cathodic losses and their mitigation strategies through surface modification. The details about the role of photocatalysts in the minimization of the cathode losses and improvement of the performance of MDC were well presented.","author":[{"dropping-particle":"","family":"Juma Al Balushi","given":"Noor","non-dropping-particle":"","parse-names":false,"suffix":""},{"dropping-particle":"","family":"Nayak","given":"Jagdeep Kumar","non-dropping-particle":"","parse-names":false,"suffix":""},{"dropping-particle":"","family":"Rahman","given":"Sadik","non-dropping-particle":"","parse-names":false,"suffix":""},{"dropping-particle":"","family":"Sana","given":"Ahmad","non-dropping-particle":"","parse-names":false,"suffix":""},{"dropping-particle":"","family":"Al-Mamun","given":"Abdullah","non-dropping-particle":"","parse-names":false,"suffix":""}],"container-title":"Energies","id":"ITEM-1","issue":"20","issued":{"date-parts":[["2022","10","11"]]},"page":"7459","publisher":"Multidisciplinary Digital Publishing Institute","title":"A Comprehensive Study on Air-Cathode Limitations and Its Mitigation Strategies in Microbial Desalination Cell—A Review","type":"article-journal","volume":"15"},"uris":["http://www.mendeley.com/documents/?uuid=b5fcb170-e869-3d59-bdfc-2fdfc87157e8"]}],"mendeley":{"formattedCitation":"(Juma Al Balushi &lt;i&gt;et al.&lt;/i&gt;, 2022)","plainTextFormattedCitation":"(Juma Al Balushi et al., 2022)","previouslyFormattedCitation":"(Juma Al Balushi &lt;i&gt;et al.&lt;/i&gt;, 2022)"},"properties":{"noteIndex":0},"schema":"https://github.com/citation-style-language/schema/raw/master/csl-citation.json"}</w:instrText>
      </w:r>
      <w:r w:rsidR="004F1B4C">
        <w:rPr>
          <w:rFonts w:cs="Arial"/>
          <w:i w:val="0"/>
          <w:iCs/>
          <w:color w:val="000000" w:themeColor="text1"/>
          <w:szCs w:val="18"/>
        </w:rPr>
        <w:fldChar w:fldCharType="separate"/>
      </w:r>
      <w:r w:rsidR="004F1B4C" w:rsidRPr="004F1B4C">
        <w:rPr>
          <w:rFonts w:cs="Arial"/>
          <w:i w:val="0"/>
          <w:iCs/>
          <w:noProof/>
          <w:color w:val="000000" w:themeColor="text1"/>
          <w:szCs w:val="18"/>
        </w:rPr>
        <w:t xml:space="preserve">(Juma Al Balushi </w:t>
      </w:r>
      <w:r w:rsidR="004F1B4C" w:rsidRPr="004F1B4C">
        <w:rPr>
          <w:rFonts w:cs="Arial"/>
          <w:iCs/>
          <w:noProof/>
          <w:color w:val="000000" w:themeColor="text1"/>
          <w:szCs w:val="18"/>
        </w:rPr>
        <w:t>et al.</w:t>
      </w:r>
      <w:r w:rsidR="004F1B4C" w:rsidRPr="004F1B4C">
        <w:rPr>
          <w:rFonts w:cs="Arial"/>
          <w:i w:val="0"/>
          <w:iCs/>
          <w:noProof/>
          <w:color w:val="000000" w:themeColor="text1"/>
          <w:szCs w:val="18"/>
        </w:rPr>
        <w:t>, 2022)</w:t>
      </w:r>
      <w:r w:rsidR="004F1B4C">
        <w:rPr>
          <w:rFonts w:cs="Arial"/>
          <w:i w:val="0"/>
          <w:iCs/>
          <w:color w:val="000000" w:themeColor="text1"/>
          <w:szCs w:val="18"/>
        </w:rPr>
        <w:fldChar w:fldCharType="end"/>
      </w:r>
      <w:r w:rsidR="004F1B4C">
        <w:rPr>
          <w:rFonts w:cs="Arial"/>
          <w:i w:val="0"/>
          <w:iCs/>
          <w:color w:val="000000" w:themeColor="text1"/>
          <w:szCs w:val="18"/>
        </w:rPr>
        <w:t>.</w:t>
      </w:r>
      <w:r w:rsidR="002A01A0">
        <w:rPr>
          <w:rFonts w:cs="Arial"/>
          <w:i w:val="0"/>
          <w:iCs/>
          <w:color w:val="000000" w:themeColor="text1"/>
          <w:szCs w:val="18"/>
        </w:rPr>
        <w:t xml:space="preserve"> Initially, precious metal catalysts</w:t>
      </w:r>
      <w:r w:rsidR="00AF6FB0">
        <w:rPr>
          <w:rFonts w:cs="Arial"/>
          <w:i w:val="0"/>
          <w:iCs/>
          <w:color w:val="000000" w:themeColor="text1"/>
          <w:szCs w:val="18"/>
        </w:rPr>
        <w:t>,</w:t>
      </w:r>
      <w:r w:rsidR="002A01A0">
        <w:rPr>
          <w:rFonts w:cs="Arial"/>
          <w:i w:val="0"/>
          <w:iCs/>
          <w:color w:val="000000" w:themeColor="text1"/>
          <w:szCs w:val="18"/>
        </w:rPr>
        <w:t xml:space="preserve"> such as platinum</w:t>
      </w:r>
      <w:r w:rsidR="00AF6FB0">
        <w:rPr>
          <w:rFonts w:cs="Arial"/>
          <w:i w:val="0"/>
          <w:iCs/>
          <w:color w:val="000000" w:themeColor="text1"/>
          <w:szCs w:val="18"/>
        </w:rPr>
        <w:t>,</w:t>
      </w:r>
      <w:r w:rsidR="002A01A0">
        <w:rPr>
          <w:rFonts w:cs="Arial"/>
          <w:i w:val="0"/>
          <w:iCs/>
          <w:color w:val="000000" w:themeColor="text1"/>
          <w:szCs w:val="18"/>
        </w:rPr>
        <w:t xml:space="preserve"> were implemented to enhance the ORR due to their high catalytic activity. However, the high cost associated, susceptibility to toxic nature, and lower long-term stability presented them as impractical for large-scale applications in wastewater treatment. Thus, promoting extensive research on non-precious metal catalysts, carbon-based, and nanostructured composites</w:t>
      </w:r>
      <w:r w:rsidR="00865F4C">
        <w:rPr>
          <w:rFonts w:cs="Arial"/>
          <w:i w:val="0"/>
          <w:iCs/>
          <w:color w:val="000000" w:themeColor="text1"/>
          <w:szCs w:val="18"/>
        </w:rPr>
        <w:t xml:space="preserve">, focusing on the durability and scalability of the material and MDC for extensive </w:t>
      </w:r>
      <w:r w:rsidR="00AA46E5">
        <w:rPr>
          <w:rFonts w:cs="Arial"/>
          <w:i w:val="0"/>
          <w:iCs/>
          <w:color w:val="000000" w:themeColor="text1"/>
          <w:szCs w:val="18"/>
        </w:rPr>
        <w:t>applications</w:t>
      </w:r>
      <w:r w:rsidR="00865F4C">
        <w:rPr>
          <w:rFonts w:cs="Arial"/>
          <w:i w:val="0"/>
          <w:iCs/>
          <w:color w:val="000000" w:themeColor="text1"/>
          <w:szCs w:val="18"/>
        </w:rPr>
        <w:t xml:space="preserve"> </w:t>
      </w:r>
      <w:r w:rsidR="00865F4C">
        <w:rPr>
          <w:rFonts w:cs="Arial"/>
          <w:i w:val="0"/>
          <w:iCs/>
          <w:color w:val="000000" w:themeColor="text1"/>
          <w:szCs w:val="18"/>
        </w:rPr>
        <w:fldChar w:fldCharType="begin" w:fldLock="1"/>
      </w:r>
      <w:r w:rsidR="006E32C2">
        <w:rPr>
          <w:rFonts w:cs="Arial"/>
          <w:i w:val="0"/>
          <w:iCs/>
          <w:color w:val="000000" w:themeColor="text1"/>
          <w:szCs w:val="18"/>
        </w:rPr>
        <w:instrText>ADDIN CSL_CITATION {"citationItems":[{"id":"ITEM-1","itemData":{"DOI":"10.1021/jp500781v","ISSN":"19327455","abstract":"Detailed understanding of the nature of the active centers in non-precious-metal-based electrocatalyst, and their role in oxygen reduction reaction (ORR) mechanistic pathways will have a profound effect on successful commercialization of emission-free energy devices such as fuel cells. Recently, using pyrolyzed model structures of iron porphyrins, we have demonstrated that a covalent integration of the Fe-Nx sites into π-conjugated carbon basal plane modifies electron donating/withdrawing capability of the carbonaceous ligand, consequently improving ORR activity. Here, we employ a combination of in situ X-ray spectroscopy and electrochemical methods to identify the various structural and functional forms of the active centers in non-heme Fe/N/C catalysts. Both methods corroboratively confirm the single site 2e- × 2e- mechanism in alkaline media on the primary Fe2+-N4 centers and the dual-site 2e- × 2e- mechanism in acid media with the significant role of the surface bound coexisting Fe/FexOy nanoparticles (NPs) as the secondary active sites. © 2014 American Chemical Society.","author":[{"dropping-particle":"","family":"Tylus","given":"Urszula","non-dropping-particle":"","parse-names":false,"suffix":""},{"dropping-particle":"","family":"Jia","given":"Qingying","non-dropping-particle":"","parse-names":false,"suffix":""},{"dropping-particle":"","family":"Strickland","given":"Kara","non-dropping-particle":"","parse-names":false,"suffix":""},{"dropping-particle":"","family":"Ramaswamy","given":"Nagappan","non-dropping-particle":"","parse-names":false,"suffix":""},{"dropping-particle":"","family":"Serov","given":"Alexey","non-dropping-particle":"","parse-names":false,"suffix":""},{"dropping-particle":"","family":"Atanassov","given":"Plamen","non-dropping-particle":"","parse-names":false,"suffix":""},{"dropping-particle":"","family":"Mukerjee","given":"Sanjeev","non-dropping-particle":"","parse-names":false,"suffix":""}],"container-title":"Journal of Physical Chemistry C","id":"ITEM-1","issue":"17","issued":{"date-parts":[["2014","5","1"]]},"page":"8999-9008","publisher":"American Chemical Society","title":"Elucidating oxygen reduction active sites in pyrolyzed metal-nitrogen coordinated non-precious-metal electrocatalyst systems","type":"article-journal","volume":"118"},"uris":["http://www.mendeley.com/documents/?uuid=7379f81a-07b3-3a54-b848-8b758f160053"]}],"mendeley":{"formattedCitation":"(Tylus &lt;i&gt;et al.&lt;/i&gt;, 2014)","plainTextFormattedCitation":"(Tylus et al., 2014)","previouslyFormattedCitation":"(Tylus &lt;i&gt;et al.&lt;/i&gt;, 2014)"},"properties":{"noteIndex":0},"schema":"https://github.com/citation-style-language/schema/raw/master/csl-citation.json"}</w:instrText>
      </w:r>
      <w:r w:rsidR="00865F4C">
        <w:rPr>
          <w:rFonts w:cs="Arial"/>
          <w:i w:val="0"/>
          <w:iCs/>
          <w:color w:val="000000" w:themeColor="text1"/>
          <w:szCs w:val="18"/>
        </w:rPr>
        <w:fldChar w:fldCharType="separate"/>
      </w:r>
      <w:r w:rsidR="00865F4C" w:rsidRPr="00865F4C">
        <w:rPr>
          <w:rFonts w:cs="Arial"/>
          <w:i w:val="0"/>
          <w:iCs/>
          <w:noProof/>
          <w:color w:val="000000" w:themeColor="text1"/>
          <w:szCs w:val="18"/>
        </w:rPr>
        <w:t xml:space="preserve">(Tylus </w:t>
      </w:r>
      <w:r w:rsidR="00865F4C" w:rsidRPr="00865F4C">
        <w:rPr>
          <w:rFonts w:cs="Arial"/>
          <w:iCs/>
          <w:noProof/>
          <w:color w:val="000000" w:themeColor="text1"/>
          <w:szCs w:val="18"/>
        </w:rPr>
        <w:t>et al.</w:t>
      </w:r>
      <w:r w:rsidR="00865F4C" w:rsidRPr="00865F4C">
        <w:rPr>
          <w:rFonts w:cs="Arial"/>
          <w:i w:val="0"/>
          <w:iCs/>
          <w:noProof/>
          <w:color w:val="000000" w:themeColor="text1"/>
          <w:szCs w:val="18"/>
        </w:rPr>
        <w:t>, 2014)</w:t>
      </w:r>
      <w:r w:rsidR="00865F4C">
        <w:rPr>
          <w:rFonts w:cs="Arial"/>
          <w:i w:val="0"/>
          <w:iCs/>
          <w:color w:val="000000" w:themeColor="text1"/>
          <w:szCs w:val="18"/>
        </w:rPr>
        <w:fldChar w:fldCharType="end"/>
      </w:r>
      <w:r w:rsidR="00AA46E5">
        <w:rPr>
          <w:rFonts w:cs="Arial"/>
          <w:i w:val="0"/>
          <w:iCs/>
          <w:color w:val="000000" w:themeColor="text1"/>
          <w:szCs w:val="18"/>
        </w:rPr>
        <w:t xml:space="preserve">. </w:t>
      </w:r>
    </w:p>
    <w:p w14:paraId="58133F5A" w14:textId="1EA2D431" w:rsidR="0058168A" w:rsidRDefault="00AA46E5" w:rsidP="0058168A">
      <w:pPr>
        <w:pStyle w:val="CETBodytextItalic"/>
        <w:rPr>
          <w:rFonts w:cs="Arial"/>
          <w:i w:val="0"/>
          <w:iCs/>
          <w:szCs w:val="18"/>
          <w:lang w:val="en-IN" w:eastAsia="en-IN" w:bidi="hi-IN"/>
        </w:rPr>
      </w:pPr>
      <w:r>
        <w:rPr>
          <w:rFonts w:cs="Arial"/>
          <w:i w:val="0"/>
          <w:iCs/>
          <w:color w:val="000000" w:themeColor="text1"/>
          <w:szCs w:val="18"/>
        </w:rPr>
        <w:t xml:space="preserve">One of the promising categories of ORR catalysts is metal-organic framework (MOF) and its derivatives. The MOFs are crystalline porous materials composed of metal ions coordinated </w:t>
      </w:r>
      <w:r w:rsidR="006E32C2">
        <w:rPr>
          <w:rFonts w:cs="Arial"/>
          <w:i w:val="0"/>
          <w:iCs/>
          <w:color w:val="000000" w:themeColor="text1"/>
          <w:szCs w:val="18"/>
        </w:rPr>
        <w:t xml:space="preserve">with organic linkers. They are a </w:t>
      </w:r>
      <w:r w:rsidR="006E32C2" w:rsidRPr="006E32C2">
        <w:rPr>
          <w:rFonts w:cs="Arial"/>
          <w:i w:val="0"/>
          <w:iCs/>
          <w:szCs w:val="18"/>
          <w:lang w:val="en-IN" w:eastAsia="en-IN" w:bidi="hi-IN"/>
        </w:rPr>
        <w:t xml:space="preserve">highly versatile class of functional materials due to their exceptional porosity, tuneable composition, and </w:t>
      </w:r>
      <w:r w:rsidR="006E32C2">
        <w:rPr>
          <w:rFonts w:cs="Arial"/>
          <w:i w:val="0"/>
          <w:iCs/>
          <w:szCs w:val="18"/>
          <w:lang w:val="en-IN" w:eastAsia="en-IN" w:bidi="hi-IN"/>
        </w:rPr>
        <w:t xml:space="preserve">customizable active sites, making them attractive electrocatalyst materials. Moreover, they can be engineered to maximize the exposure of active sites, electron transport, and mass transfer </w:t>
      </w:r>
      <w:r w:rsidR="006E32C2">
        <w:rPr>
          <w:rFonts w:cs="Arial"/>
          <w:i w:val="0"/>
          <w:iCs/>
          <w:szCs w:val="18"/>
          <w:lang w:val="en-IN" w:eastAsia="en-IN" w:bidi="hi-IN"/>
        </w:rPr>
        <w:fldChar w:fldCharType="begin" w:fldLock="1"/>
      </w:r>
      <w:r w:rsidR="00552606">
        <w:rPr>
          <w:rFonts w:cs="Arial"/>
          <w:i w:val="0"/>
          <w:iCs/>
          <w:szCs w:val="18"/>
          <w:lang w:val="en-IN" w:eastAsia="en-IN" w:bidi="hi-IN"/>
        </w:rPr>
        <w:instrText>ADDIN CSL_CITATION {"citationItems":[{"id":"ITEM-1","itemData":{"DOI":"10.1002/anie.201910309","ISSN":"1521-3773","PMID":"31529577","abstract":"In view of the clean and sustainable energy, metal-organic frameworks (MOFs) based materials, including pristine MOFs, MOF composites, and their derivatives are emerging as unique electrocatalysts for oxygen reduction reaction (ORR). Thanks to their tunable compositions and diverse structures, efficient MOF-based materials provide new opportunities to accelerate the sluggish ORR at the cathode in fuel cells and metal-air batteries. This Minireview first provides some introduction of ORR and MOFs, followed by the classification of MOF-based electrocatalysts towards ORR. Recent breakthroughs in engineering MOF-based ORR electrocatalysts are highlighted with an emphasis on synthesis strategy, component, morphology, structure, electrocatalytic performance, and reaction mechanism. Finally, some current challenges and future perspectives for MOF-based ORR electrocatalysts are also discussed.","author":[{"dropping-particle":"","family":"Lu","given":"Xue Feng","non-dropping-particle":"","parse-names":false,"suffix":""},{"dropping-particle":"","family":"Xia","given":"Bao Yu","non-dropping-particle":"","parse-names":false,"suffix":""},{"dropping-particle":"","family":"Zang","given":"Shuang</w:instrText>
      </w:r>
      <w:r w:rsidR="00552606">
        <w:rPr>
          <w:rFonts w:ascii="Cambria Math" w:hAnsi="Cambria Math" w:cs="Cambria Math"/>
          <w:i w:val="0"/>
          <w:iCs/>
          <w:szCs w:val="18"/>
          <w:lang w:val="en-IN" w:eastAsia="en-IN" w:bidi="hi-IN"/>
        </w:rPr>
        <w:instrText>‐</w:instrText>
      </w:r>
      <w:r w:rsidR="00552606">
        <w:rPr>
          <w:rFonts w:cs="Arial"/>
          <w:i w:val="0"/>
          <w:iCs/>
          <w:szCs w:val="18"/>
          <w:lang w:val="en-IN" w:eastAsia="en-IN" w:bidi="hi-IN"/>
        </w:rPr>
        <w:instrText>Quan","non-dropping-particle":"","parse-names":false,"suffix":""},{"dropping-particle":"","family":"Lou","given":"Xiong Wen (David)","non-dropping-particle":"","parse-names":false,"suffix":""}],"container-title":"Angewandte Chemie (International ed. in English)","id":"ITEM-1","issue":"12","issued":{"date-parts":[["2020","3","16"]]},"page":"4634-4650","publisher":"Angew Chem Int Ed Engl","title":"Metal-Organic Frameworks Based Electrocatalysts for the Oxygen Reduction Reaction.","type":"article-journal","volume":"59"},"uris":["http://www.mendeley.com/documents/?uuid=ee00ba8b-1e24-3579-9996-649a41e2dd7d"]}],"mendeley":{"formattedCitation":"(Lu &lt;i&gt;et al.&lt;/i&gt;, 2020)","plainTextFormattedCitation":"(Lu et al., 2020)","previouslyFormattedCitation":"(Lu &lt;i&gt;et al.&lt;/i&gt;, 2020)"},"properties":{"noteIndex":0},"schema":"https://github.com/citation-style-language/schema/raw/master/csl-citation.json"}</w:instrText>
      </w:r>
      <w:r w:rsidR="006E32C2">
        <w:rPr>
          <w:rFonts w:cs="Arial"/>
          <w:i w:val="0"/>
          <w:iCs/>
          <w:szCs w:val="18"/>
          <w:lang w:val="en-IN" w:eastAsia="en-IN" w:bidi="hi-IN"/>
        </w:rPr>
        <w:fldChar w:fldCharType="separate"/>
      </w:r>
      <w:r w:rsidR="006E32C2" w:rsidRPr="006E32C2">
        <w:rPr>
          <w:rFonts w:cs="Arial"/>
          <w:i w:val="0"/>
          <w:iCs/>
          <w:noProof/>
          <w:szCs w:val="18"/>
          <w:lang w:val="en-IN" w:eastAsia="en-IN" w:bidi="hi-IN"/>
        </w:rPr>
        <w:t xml:space="preserve">(Lu </w:t>
      </w:r>
      <w:r w:rsidR="006E32C2" w:rsidRPr="006E32C2">
        <w:rPr>
          <w:rFonts w:cs="Arial"/>
          <w:iCs/>
          <w:noProof/>
          <w:szCs w:val="18"/>
          <w:lang w:val="en-IN" w:eastAsia="en-IN" w:bidi="hi-IN"/>
        </w:rPr>
        <w:t>et al.</w:t>
      </w:r>
      <w:r w:rsidR="006E32C2" w:rsidRPr="006E32C2">
        <w:rPr>
          <w:rFonts w:cs="Arial"/>
          <w:i w:val="0"/>
          <w:iCs/>
          <w:noProof/>
          <w:szCs w:val="18"/>
          <w:lang w:val="en-IN" w:eastAsia="en-IN" w:bidi="hi-IN"/>
        </w:rPr>
        <w:t>, 2020)</w:t>
      </w:r>
      <w:r w:rsidR="006E32C2">
        <w:rPr>
          <w:rFonts w:cs="Arial"/>
          <w:i w:val="0"/>
          <w:iCs/>
          <w:szCs w:val="18"/>
          <w:lang w:val="en-IN" w:eastAsia="en-IN" w:bidi="hi-IN"/>
        </w:rPr>
        <w:fldChar w:fldCharType="end"/>
      </w:r>
      <w:r w:rsidR="006E32C2">
        <w:rPr>
          <w:rFonts w:cs="Arial"/>
          <w:i w:val="0"/>
          <w:iCs/>
          <w:szCs w:val="18"/>
          <w:lang w:val="en-IN" w:eastAsia="en-IN" w:bidi="hi-IN"/>
        </w:rPr>
        <w:t>. Further, MOF can serve as precursors for MOF-derived catalysts, where controlling the thermal and chemical treatment can yield heteroatom-doped porous carbon and metal-nitrogen-carbon (M-N-C) active sites</w:t>
      </w:r>
      <w:r w:rsidR="00552606">
        <w:rPr>
          <w:rFonts w:cs="Arial"/>
          <w:i w:val="0"/>
          <w:iCs/>
          <w:szCs w:val="18"/>
          <w:lang w:val="en-IN" w:eastAsia="en-IN" w:bidi="hi-IN"/>
        </w:rPr>
        <w:t>,</w:t>
      </w:r>
      <w:r w:rsidR="006E32C2">
        <w:rPr>
          <w:rFonts w:cs="Arial"/>
          <w:i w:val="0"/>
          <w:iCs/>
          <w:szCs w:val="18"/>
          <w:lang w:val="en-IN" w:eastAsia="en-IN" w:bidi="hi-IN"/>
        </w:rPr>
        <w:t xml:space="preserve"> which can promote improved ORR</w:t>
      </w:r>
      <w:r w:rsidR="00E55864">
        <w:rPr>
          <w:rFonts w:cs="Arial"/>
          <w:i w:val="0"/>
          <w:iCs/>
          <w:szCs w:val="18"/>
          <w:lang w:val="en-IN" w:eastAsia="en-IN" w:bidi="hi-IN"/>
        </w:rPr>
        <w:t xml:space="preserve"> surpassing the conventional catalysts for MDC applications</w:t>
      </w:r>
      <w:r w:rsidR="00552606">
        <w:rPr>
          <w:rFonts w:cs="Arial"/>
          <w:i w:val="0"/>
          <w:iCs/>
          <w:szCs w:val="18"/>
          <w:lang w:val="en-IN" w:eastAsia="en-IN" w:bidi="hi-IN"/>
        </w:rPr>
        <w:t xml:space="preserve"> </w:t>
      </w:r>
      <w:r w:rsidR="00552606">
        <w:rPr>
          <w:rFonts w:cs="Arial"/>
          <w:i w:val="0"/>
          <w:iCs/>
          <w:szCs w:val="18"/>
          <w:lang w:val="en-IN" w:eastAsia="en-IN" w:bidi="hi-IN"/>
        </w:rPr>
        <w:fldChar w:fldCharType="begin" w:fldLock="1"/>
      </w:r>
      <w:r w:rsidR="00AA0DD8">
        <w:rPr>
          <w:rFonts w:cs="Arial"/>
          <w:i w:val="0"/>
          <w:iCs/>
          <w:szCs w:val="18"/>
          <w:lang w:val="en-IN" w:eastAsia="en-IN" w:bidi="hi-IN"/>
        </w:rPr>
        <w:instrText>ADDIN CSL_CITATION {"citationItems":[{"id":"ITEM-1","itemData":{"DOI":"10.3390/en16134950","ISSN":"19961073","abstract":"High-porosity, crystalline, and surface-area-rich metal–organic frameworks (MOFs) may be employed in electrochemical energy applications for active catalysis. MOFs have recently been modified using secondary building blocks, open metal sites with large pore diameters, and functional ligands for electronic conductivity. They have the potential for excellent performance in fuel cell applications, and they have several possibilities to enhance the fundamental characteristics of mass and electron transportation. MOFs may be combined with other materials, such as solitary metal nanoparticles and carbon and nitrogen composites, to increase their catalytic efficacy, especially in oxygen reduction reaction (ORR). As a result, this study focuses on MOF derivatives for ORR applications, including porous carbon MOF, single metal MOF-derived composites, metal oxides, and metal phosphides. An efficient MOF electrocatalyst platform for ORR applications is presented, along with its prospects. These initiatives promote promising MOF electrocatalysts for enhancing fuel cell efficiency and pique curiosity for possible growth in subsequent research.","author":[{"dropping-particle":"","family":"Dhanabalan","given":"Karmegam","non-dropping-particle":"","parse-names":false,"suffix":""},{"dropping-particle":"","family":"Perumalsamy","given":"Muthukumar","non-dropping-particle":"","parse-names":false,"suffix":""},{"dropping-particle":"","family":"Sriram","given":"Ganesan","non-dropping-particle":"","parse-names":false,"suffix":""},{"dropping-particle":"","family":"Murugan","given":"Nagaraj","non-dropping-particle":"","parse-names":false,"suffix":""},{"dropping-particle":"","family":"Shalu","given":"","non-dropping-particle":"","parse-names":false,"suffix":""},{"dropping-particle":"","family":"Sadhasivam","given":"Thangarasu","non-dropping-particle":"","parse-names":false,"suffix":""},{"dropping-particle":"","family":"Oh","given":"Tae Hwan","non-dropping-particle":"","parse-names":false,"suffix":""}],"container-title":"Energies","id":"ITEM-1","issue":"13","issued":{"date-parts":[["2023","6","26"]]},"page":"4950","publisher":"Multidisciplinary Digital Publishing Institute","title":"Metal–Organic Framework (MOF)-Derived Catalyst for Oxygen Reduction Reaction (ORR) Applications in Fuel Cell Systems: A Review of Current Advancements and Perspectives","type":"article","volume":"16"},"uris":["http://www.mendeley.com/documents/?uuid=d9bacdbe-cf9d-3d60-945b-f4f955795aa1"]}],"mendeley":{"formattedCitation":"(Dhanabalan &lt;i&gt;et al.&lt;/i&gt;, 2023)","plainTextFormattedCitation":"(Dhanabalan et al., 2023)","previouslyFormattedCitation":"(Dhanabalan &lt;i&gt;et al.&lt;/i&gt;, 2023)"},"properties":{"noteIndex":0},"schema":"https://github.com/citation-style-language/schema/raw/master/csl-citation.json"}</w:instrText>
      </w:r>
      <w:r w:rsidR="00552606">
        <w:rPr>
          <w:rFonts w:cs="Arial"/>
          <w:i w:val="0"/>
          <w:iCs/>
          <w:szCs w:val="18"/>
          <w:lang w:val="en-IN" w:eastAsia="en-IN" w:bidi="hi-IN"/>
        </w:rPr>
        <w:fldChar w:fldCharType="separate"/>
      </w:r>
      <w:r w:rsidR="00552606" w:rsidRPr="00552606">
        <w:rPr>
          <w:rFonts w:cs="Arial"/>
          <w:i w:val="0"/>
          <w:iCs/>
          <w:noProof/>
          <w:szCs w:val="18"/>
          <w:lang w:val="en-IN" w:eastAsia="en-IN" w:bidi="hi-IN"/>
        </w:rPr>
        <w:t xml:space="preserve">(Dhanabalan </w:t>
      </w:r>
      <w:r w:rsidR="00552606" w:rsidRPr="00552606">
        <w:rPr>
          <w:rFonts w:cs="Arial"/>
          <w:iCs/>
          <w:noProof/>
          <w:szCs w:val="18"/>
          <w:lang w:val="en-IN" w:eastAsia="en-IN" w:bidi="hi-IN"/>
        </w:rPr>
        <w:t>et al.</w:t>
      </w:r>
      <w:r w:rsidR="00552606" w:rsidRPr="00552606">
        <w:rPr>
          <w:rFonts w:cs="Arial"/>
          <w:i w:val="0"/>
          <w:iCs/>
          <w:noProof/>
          <w:szCs w:val="18"/>
          <w:lang w:val="en-IN" w:eastAsia="en-IN" w:bidi="hi-IN"/>
        </w:rPr>
        <w:t>, 2023)</w:t>
      </w:r>
      <w:r w:rsidR="00552606">
        <w:rPr>
          <w:rFonts w:cs="Arial"/>
          <w:i w:val="0"/>
          <w:iCs/>
          <w:szCs w:val="18"/>
          <w:lang w:val="en-IN" w:eastAsia="en-IN" w:bidi="hi-IN"/>
        </w:rPr>
        <w:fldChar w:fldCharType="end"/>
      </w:r>
      <w:r w:rsidR="00694346">
        <w:rPr>
          <w:rFonts w:cs="Arial"/>
          <w:i w:val="0"/>
          <w:iCs/>
          <w:szCs w:val="18"/>
          <w:lang w:val="en-IN" w:eastAsia="en-IN" w:bidi="hi-IN"/>
        </w:rPr>
        <w:t>.</w:t>
      </w:r>
    </w:p>
    <w:p w14:paraId="3B7A7FF9" w14:textId="7F03E0E4" w:rsidR="00FE38EE" w:rsidRPr="0058168A" w:rsidRDefault="00FE38EE" w:rsidP="0058168A">
      <w:pPr>
        <w:pStyle w:val="CETBodytextItalic"/>
        <w:rPr>
          <w:rFonts w:cs="Arial"/>
          <w:i w:val="0"/>
          <w:iCs/>
          <w:szCs w:val="18"/>
          <w:lang w:val="en-IN" w:eastAsia="en-IN" w:bidi="hi-IN"/>
        </w:rPr>
      </w:pPr>
      <w:r w:rsidRPr="0058168A">
        <w:rPr>
          <w:rFonts w:cs="Arial"/>
          <w:i w:val="0"/>
          <w:iCs/>
          <w:szCs w:val="18"/>
          <w:lang w:val="en-IN" w:eastAsia="en-IN" w:bidi="hi-IN"/>
        </w:rPr>
        <w:t xml:space="preserve">Recent studies have reported significant advances in MOF and MOF-derived catalysts for ORR in bioelectrochemical systems. </w:t>
      </w:r>
      <w:r w:rsidR="0058168A">
        <w:rPr>
          <w:rFonts w:cs="Arial"/>
          <w:i w:val="0"/>
          <w:iCs/>
          <w:szCs w:val="18"/>
          <w:lang w:val="en-IN" w:eastAsia="en-IN" w:bidi="hi-IN"/>
        </w:rPr>
        <w:t xml:space="preserve">A </w:t>
      </w:r>
      <w:r w:rsidRPr="0058168A">
        <w:rPr>
          <w:rFonts w:cs="Arial"/>
          <w:i w:val="0"/>
          <w:iCs/>
          <w:szCs w:val="18"/>
          <w:lang w:val="en-IN" w:eastAsia="en-IN" w:bidi="hi-IN"/>
        </w:rPr>
        <w:t xml:space="preserve">Cu-MOF@Fe-MOF composite </w:t>
      </w:r>
      <w:r w:rsidR="0058168A">
        <w:rPr>
          <w:rFonts w:cs="Arial"/>
          <w:i w:val="0"/>
          <w:iCs/>
          <w:szCs w:val="18"/>
          <w:lang w:val="en-IN" w:eastAsia="en-IN" w:bidi="hi-IN"/>
        </w:rPr>
        <w:t>has</w:t>
      </w:r>
      <w:r w:rsidRPr="0058168A">
        <w:rPr>
          <w:rFonts w:cs="Arial"/>
          <w:i w:val="0"/>
          <w:iCs/>
          <w:szCs w:val="18"/>
          <w:lang w:val="en-IN" w:eastAsia="en-IN" w:bidi="hi-IN"/>
        </w:rPr>
        <w:t xml:space="preserve"> demonstrated enhanced ORR capability with improved stability and increased power density</w:t>
      </w:r>
      <w:r w:rsidR="0058168A">
        <w:rPr>
          <w:rFonts w:cs="Arial"/>
          <w:i w:val="0"/>
          <w:iCs/>
          <w:szCs w:val="18"/>
          <w:lang w:val="en-IN" w:eastAsia="en-IN" w:bidi="hi-IN"/>
        </w:rPr>
        <w:t xml:space="preserve"> by 2.74 times than that of Fe-MOF-MFC from 84.1 mW/m</w:t>
      </w:r>
      <w:r w:rsidR="0058168A">
        <w:rPr>
          <w:rFonts w:cs="Arial"/>
          <w:i w:val="0"/>
          <w:iCs/>
          <w:szCs w:val="18"/>
          <w:vertAlign w:val="superscript"/>
          <w:lang w:val="en-IN" w:eastAsia="en-IN" w:bidi="hi-IN"/>
        </w:rPr>
        <w:t>2</w:t>
      </w:r>
      <w:r w:rsidR="00694346">
        <w:rPr>
          <w:rFonts w:cs="Arial"/>
          <w:i w:val="0"/>
          <w:iCs/>
          <w:szCs w:val="18"/>
          <w:vertAlign w:val="superscript"/>
          <w:lang w:val="en-IN" w:eastAsia="en-IN" w:bidi="hi-IN"/>
        </w:rPr>
        <w:t xml:space="preserve"> </w:t>
      </w:r>
      <w:r w:rsidR="0058168A">
        <w:rPr>
          <w:rFonts w:cs="Arial"/>
          <w:i w:val="0"/>
          <w:iCs/>
          <w:szCs w:val="18"/>
          <w:lang w:val="en-IN" w:eastAsia="en-IN" w:bidi="hi-IN"/>
        </w:rPr>
        <w:t>to 231.2 mW/m</w:t>
      </w:r>
      <w:r w:rsidR="0058168A">
        <w:rPr>
          <w:rFonts w:cs="Arial"/>
          <w:i w:val="0"/>
          <w:iCs/>
          <w:szCs w:val="18"/>
          <w:vertAlign w:val="superscript"/>
          <w:lang w:val="en-IN" w:eastAsia="en-IN" w:bidi="hi-IN"/>
        </w:rPr>
        <w:t>2</w:t>
      </w:r>
      <w:r w:rsidRPr="0058168A">
        <w:rPr>
          <w:rFonts w:cs="Arial"/>
          <w:i w:val="0"/>
          <w:iCs/>
          <w:szCs w:val="18"/>
          <w:lang w:val="en-IN" w:eastAsia="en-IN" w:bidi="hi-IN"/>
        </w:rPr>
        <w:t xml:space="preserve"> when integrated into </w:t>
      </w:r>
      <w:r w:rsidR="0058168A">
        <w:rPr>
          <w:rFonts w:cs="Arial"/>
          <w:i w:val="0"/>
          <w:iCs/>
          <w:szCs w:val="18"/>
          <w:lang w:val="en-IN" w:eastAsia="en-IN" w:bidi="hi-IN"/>
        </w:rPr>
        <w:t xml:space="preserve">a </w:t>
      </w:r>
      <w:r w:rsidRPr="0058168A">
        <w:rPr>
          <w:rFonts w:cs="Arial"/>
          <w:i w:val="0"/>
          <w:iCs/>
          <w:szCs w:val="18"/>
          <w:lang w:val="en-IN" w:eastAsia="en-IN" w:bidi="hi-IN"/>
        </w:rPr>
        <w:t>microbial system. The synergistic architecture increase</w:t>
      </w:r>
      <w:r w:rsidR="0058168A">
        <w:rPr>
          <w:rFonts w:cs="Arial"/>
          <w:i w:val="0"/>
          <w:iCs/>
          <w:szCs w:val="18"/>
          <w:lang w:val="en-IN" w:eastAsia="en-IN" w:bidi="hi-IN"/>
        </w:rPr>
        <w:t>d</w:t>
      </w:r>
      <w:r w:rsidRPr="0058168A">
        <w:rPr>
          <w:rFonts w:cs="Arial"/>
          <w:i w:val="0"/>
          <w:iCs/>
          <w:szCs w:val="18"/>
          <w:lang w:val="en-IN" w:eastAsia="en-IN" w:bidi="hi-IN"/>
        </w:rPr>
        <w:t xml:space="preserve"> </w:t>
      </w:r>
      <w:r w:rsidR="0058168A">
        <w:rPr>
          <w:rFonts w:cs="Arial"/>
          <w:i w:val="0"/>
          <w:iCs/>
          <w:szCs w:val="18"/>
          <w:lang w:val="en-IN" w:eastAsia="en-IN" w:bidi="hi-IN"/>
        </w:rPr>
        <w:t xml:space="preserve">the </w:t>
      </w:r>
      <w:r w:rsidRPr="0058168A">
        <w:rPr>
          <w:rFonts w:cs="Arial"/>
          <w:i w:val="0"/>
          <w:iCs/>
          <w:szCs w:val="18"/>
          <w:lang w:val="en-IN" w:eastAsia="en-IN" w:bidi="hi-IN"/>
        </w:rPr>
        <w:t>accessible active sites and facilitate</w:t>
      </w:r>
      <w:r w:rsidR="0058168A">
        <w:rPr>
          <w:rFonts w:cs="Arial"/>
          <w:i w:val="0"/>
          <w:iCs/>
          <w:szCs w:val="18"/>
          <w:lang w:val="en-IN" w:eastAsia="en-IN" w:bidi="hi-IN"/>
        </w:rPr>
        <w:t>d</w:t>
      </w:r>
      <w:r w:rsidRPr="0058168A">
        <w:rPr>
          <w:rFonts w:cs="Arial"/>
          <w:i w:val="0"/>
          <w:iCs/>
          <w:szCs w:val="18"/>
          <w:lang w:val="en-IN" w:eastAsia="en-IN" w:bidi="hi-IN"/>
        </w:rPr>
        <w:t xml:space="preserve"> efficient electron transfer, outperforming single-component MOF catalysts</w:t>
      </w:r>
      <w:r w:rsidR="0058168A">
        <w:rPr>
          <w:rFonts w:cs="Arial"/>
          <w:i w:val="0"/>
          <w:iCs/>
          <w:szCs w:val="18"/>
          <w:lang w:val="en-IN" w:eastAsia="en-IN" w:bidi="hi-IN"/>
        </w:rPr>
        <w:t xml:space="preserve"> </w:t>
      </w:r>
      <w:r w:rsidR="0058168A">
        <w:rPr>
          <w:rFonts w:cs="Arial"/>
          <w:i w:val="0"/>
          <w:iCs/>
          <w:szCs w:val="18"/>
          <w:lang w:val="en-IN" w:eastAsia="en-IN" w:bidi="hi-IN"/>
        </w:rPr>
        <w:fldChar w:fldCharType="begin" w:fldLock="1"/>
      </w:r>
      <w:r w:rsidR="00AC4A1B">
        <w:rPr>
          <w:rFonts w:cs="Arial"/>
          <w:i w:val="0"/>
          <w:iCs/>
          <w:szCs w:val="18"/>
          <w:lang w:val="en-IN" w:eastAsia="en-IN" w:bidi="hi-IN"/>
        </w:rPr>
        <w:instrText>ADDIN CSL_CITATION {"citationItems":[{"id":"ITEM-1","itemData":{"DOI":"10.1016/j.jece.2025.115448","ISSN":"22133437","abstract":"Cu-metal organic framework@Fe-metal organic framework (Cu-MOF@Fe-MOF) was successfully synthesized by employing a two-step hydrothermal double-solvent method, which was used in cathode of microbial fuel cell (MFC). The Cu-MOF@Fe-MOF showed a unique cylindrical crystal structure with dense lamellar structures embedded on its surface, further enhancing its active site. The maximum power density of Cu-MOF@Fe-MOF-MFC was 231.2 mW/m², which was 2.74 times than that of Fe-MOF-MFC (84.1 mW/m²). The higher maximum power density demonstrated the advantage in improving oxygen reduction reaction (ORR). Furthermore, Cu-MOF@Fe-MOF exhibited high stability and durability, which were demonstrated by its stable operation for over 150 h at a voltage of approximately 238 mV. These properties not only accelerated the rate of electron transfer but also enhanced the efficiency of the catalytic process. This study would provide novel insights and methodologies for the development and utilization of cathode catalysts.","author":[{"dropping-particle":"","family":"Lan","given":"Feng","non-dropping-particle":"","parse-names":false,"suffix":""},{"dropping-particle":"","family":"Huang","given":"Guofu","non-dropping-particle":"","parse-names":false,"suffix":""},{"dropping-particle":"","family":"Cao","given":"Yuchen","non-dropping-particle":"","parse-names":false,"suffix":""},{"dropping-particle":"","family":"Zhang","given":"Xinyi","non-dropping-particle":"","parse-names":false,"suffix":""},{"dropping-particle":"","family":"Wang","given":"Renjun","non-dropping-particle":"","parse-names":false,"suffix":""},{"dropping-particle":"","family":"Chen","given":"Junfeng","non-dropping-particle":"","parse-names":false,"suffix":""}],"container-title":"Journal of Environmental Chemical Engineering","id":"ITEM-1","issue":"2","issued":{"date-parts":[["2025","4","1"]]},"page":"115448","publisher":"Elsevier","title":"Enhancing oxygen reduction reaction in microbial fuel cell by Cu-metal organic framework@Fe-metal organic framework (Cu-MOF@Fe-MOF) as cathode catalyst","type":"article-journal","volume":"13"},"uris":["http://www.mendeley.com/documents/?uuid=f276fdd9-b6d7-3eab-8edf-f860ec78ff7e"]}],"mendeley":{"formattedCitation":"(Lan &lt;i&gt;et al.&lt;/i&gt;, 2025)","plainTextFormattedCitation":"(Lan et al., 2025)","previouslyFormattedCitation":"(Lan &lt;i&gt;et al.&lt;/i&gt;, 2025)"},"properties":{"noteIndex":0},"schema":"https://github.com/citation-style-language/schema/raw/master/csl-citation.json"}</w:instrText>
      </w:r>
      <w:r w:rsidR="0058168A">
        <w:rPr>
          <w:rFonts w:cs="Arial"/>
          <w:i w:val="0"/>
          <w:iCs/>
          <w:szCs w:val="18"/>
          <w:lang w:val="en-IN" w:eastAsia="en-IN" w:bidi="hi-IN"/>
        </w:rPr>
        <w:fldChar w:fldCharType="separate"/>
      </w:r>
      <w:r w:rsidR="0058168A" w:rsidRPr="0058168A">
        <w:rPr>
          <w:rFonts w:cs="Arial"/>
          <w:i w:val="0"/>
          <w:iCs/>
          <w:noProof/>
          <w:szCs w:val="18"/>
          <w:lang w:val="en-IN" w:eastAsia="en-IN" w:bidi="hi-IN"/>
        </w:rPr>
        <w:t xml:space="preserve">(Lan </w:t>
      </w:r>
      <w:r w:rsidR="0058168A" w:rsidRPr="0058168A">
        <w:rPr>
          <w:rFonts w:cs="Arial"/>
          <w:iCs/>
          <w:noProof/>
          <w:szCs w:val="18"/>
          <w:lang w:val="en-IN" w:eastAsia="en-IN" w:bidi="hi-IN"/>
        </w:rPr>
        <w:t>et al.</w:t>
      </w:r>
      <w:r w:rsidR="0058168A" w:rsidRPr="0058168A">
        <w:rPr>
          <w:rFonts w:cs="Arial"/>
          <w:i w:val="0"/>
          <w:iCs/>
          <w:noProof/>
          <w:szCs w:val="18"/>
          <w:lang w:val="en-IN" w:eastAsia="en-IN" w:bidi="hi-IN"/>
        </w:rPr>
        <w:t>, 2025)</w:t>
      </w:r>
      <w:r w:rsidR="0058168A">
        <w:rPr>
          <w:rFonts w:cs="Arial"/>
          <w:i w:val="0"/>
          <w:iCs/>
          <w:szCs w:val="18"/>
          <w:lang w:val="en-IN" w:eastAsia="en-IN" w:bidi="hi-IN"/>
        </w:rPr>
        <w:fldChar w:fldCharType="end"/>
      </w:r>
      <w:r w:rsidRPr="0058168A">
        <w:rPr>
          <w:rFonts w:cs="Arial"/>
          <w:i w:val="0"/>
          <w:iCs/>
          <w:szCs w:val="18"/>
          <w:lang w:val="en-IN" w:eastAsia="en-IN" w:bidi="hi-IN"/>
        </w:rPr>
        <w:t>. Additionally, MOF templates such as ZIF-67 have been carbonized to produce nitrogen-doped carbon catalysts with high ORR activity, offering performance that can rival commercial Pt/C catalysts in some metrics</w:t>
      </w:r>
      <w:r w:rsidR="00AC4A1B">
        <w:rPr>
          <w:rFonts w:cs="Arial"/>
          <w:i w:val="0"/>
          <w:iCs/>
          <w:szCs w:val="18"/>
          <w:lang w:val="en-IN" w:eastAsia="en-IN" w:bidi="hi-IN"/>
        </w:rPr>
        <w:t xml:space="preserve"> </w:t>
      </w:r>
      <w:r w:rsidR="00AC4A1B">
        <w:rPr>
          <w:rFonts w:cs="Arial"/>
          <w:i w:val="0"/>
          <w:iCs/>
          <w:szCs w:val="18"/>
          <w:lang w:val="en-IN" w:eastAsia="en-IN" w:bidi="hi-IN"/>
        </w:rPr>
        <w:fldChar w:fldCharType="begin" w:fldLock="1"/>
      </w:r>
      <w:r w:rsidR="00AA0DD8">
        <w:rPr>
          <w:rFonts w:cs="Arial"/>
          <w:i w:val="0"/>
          <w:iCs/>
          <w:szCs w:val="18"/>
          <w:lang w:val="en-IN" w:eastAsia="en-IN" w:bidi="hi-IN"/>
        </w:rPr>
        <w:instrText>ADDIN CSL_CITATION {"citationItems":[{"id":"ITEM-1","itemData":{"DOI":"10.1021/acsomega.3c02544","ISSN":"2470-1343","PMID":"38046312","abstract":"Developing high surface area catalysts is an effective strategy to enhance the oxygen reduction reaction (ORR) in the application of microbial fuel cells (MFCs). This can be achieved by developing a catalyst based on metal-organic frameworks (MOFs) because they offer a porous active site for ORR. In this work, a novel in situ growth of 2D shell nanowires of ZIF-67 as a template for N-doped carbon (Co/NC) via a carbonization route was developed to enhance the ORR performance. The effects of different reaction times and different annealing temperatures were studied for a better ORR activity. The growth of the MOF template on the carbon cloth was confirmed using scanning electron microscopy, field emission scanning electron microscopy, transmission electron microscopy, X-ray diffraction, X-ray photoelectron spectroscopy, and Fourier transform infrared. The Co/NC-800 exhibited an enhancement in the ORR activity as evidenced by an onset potential and half-wave potential of 0.0 vs V Ag/AgCl and -0.1 vs V Ag/AgCl, respectively, with a limited current density exceeding the commercial Pt/C. Operating Co/NC-800 on MFC revealed a maximum power density of 30 ± 2.5 mW/m2, a maximum current density of 180 ± 2.5 mA/m2.","author":[{"dropping-particle":"","family":"Murisi","given":"Mohammed","non-dropping-particle":"Al","parse-names":false,"suffix":""},{"dropping-particle":"","family":"Al-Asheh","given":"Sameer","non-dropping-particle":"","parse-names":false,"suffix":""},{"dropping-particle":"","family":"Abdelkareem","given":"Mohammad Ali","non-dropping-particle":"","parse-names":false,"suffix":""},{"dropping-particle":"","family":"Aidan","given":"Ahmad","non-dropping-particle":"","parse-names":false,"suffix":""},{"dropping-particle":"","family":"Elsaid","given":"Khaled","non-dropping-particle":"","parse-names":false,"suffix":""},{"dropping-particle":"","family":"Olabi","given":"Abdul Ghani","non-dropping-particle":"","parse-names":false,"suffix":""}],"container-title":"ACS omega","id":"ITEM-1","issue":"47","issued":{"date-parts":[["2023","11","28"]]},"page":"44514-44522","publisher":"ACS Omega","title":"In situ Growth of Zeolite Imidazole Frameworks (ZIF-67) on Carbon Cloth for the Application of Oxygen Reduction Reactions and Microbial Fuel Cells.","type":"article-journal","volume":"8"},"uris":["http://www.mendeley.com/documents/?uuid=db228c23-e53f-3f73-94be-bc8e5dff31bc"]}],"mendeley":{"formattedCitation":"(Al Murisi &lt;i&gt;et al.&lt;/i&gt;, 2023)","plainTextFormattedCitation":"(Al Murisi et al., 2023)","previouslyFormattedCitation":"(Al Murisi &lt;i&gt;et al.&lt;/i&gt;, 2023)"},"properties":{"noteIndex":0},"schema":"https://github.com/citation-style-language/schema/raw/master/csl-citation.json"}</w:instrText>
      </w:r>
      <w:r w:rsidR="00AC4A1B">
        <w:rPr>
          <w:rFonts w:cs="Arial"/>
          <w:i w:val="0"/>
          <w:iCs/>
          <w:szCs w:val="18"/>
          <w:lang w:val="en-IN" w:eastAsia="en-IN" w:bidi="hi-IN"/>
        </w:rPr>
        <w:fldChar w:fldCharType="separate"/>
      </w:r>
      <w:r w:rsidR="00AC4A1B" w:rsidRPr="00AC4A1B">
        <w:rPr>
          <w:rFonts w:cs="Arial"/>
          <w:i w:val="0"/>
          <w:iCs/>
          <w:noProof/>
          <w:szCs w:val="18"/>
          <w:lang w:val="en-IN" w:eastAsia="en-IN" w:bidi="hi-IN"/>
        </w:rPr>
        <w:t xml:space="preserve">(Al Murisi </w:t>
      </w:r>
      <w:r w:rsidR="00AC4A1B" w:rsidRPr="00AC4A1B">
        <w:rPr>
          <w:rFonts w:cs="Arial"/>
          <w:iCs/>
          <w:noProof/>
          <w:szCs w:val="18"/>
          <w:lang w:val="en-IN" w:eastAsia="en-IN" w:bidi="hi-IN"/>
        </w:rPr>
        <w:t>et al.</w:t>
      </w:r>
      <w:r w:rsidR="00AC4A1B" w:rsidRPr="00AC4A1B">
        <w:rPr>
          <w:rFonts w:cs="Arial"/>
          <w:i w:val="0"/>
          <w:iCs/>
          <w:noProof/>
          <w:szCs w:val="18"/>
          <w:lang w:val="en-IN" w:eastAsia="en-IN" w:bidi="hi-IN"/>
        </w:rPr>
        <w:t>, 2023)</w:t>
      </w:r>
      <w:r w:rsidR="00AC4A1B">
        <w:rPr>
          <w:rFonts w:cs="Arial"/>
          <w:i w:val="0"/>
          <w:iCs/>
          <w:szCs w:val="18"/>
          <w:lang w:val="en-IN" w:eastAsia="en-IN" w:bidi="hi-IN"/>
        </w:rPr>
        <w:fldChar w:fldCharType="end"/>
      </w:r>
      <w:r w:rsidR="00B50ED7">
        <w:rPr>
          <w:rFonts w:cs="Arial"/>
          <w:i w:val="0"/>
          <w:iCs/>
          <w:szCs w:val="18"/>
          <w:lang w:val="en-IN" w:eastAsia="en-IN" w:bidi="hi-IN"/>
        </w:rPr>
        <w:t xml:space="preserve">. </w:t>
      </w:r>
      <w:r w:rsidR="00AA0DD8">
        <w:rPr>
          <w:rFonts w:cs="Arial"/>
          <w:i w:val="0"/>
          <w:iCs/>
          <w:szCs w:val="18"/>
          <w:lang w:val="en-IN" w:eastAsia="en-IN" w:bidi="hi-IN"/>
        </w:rPr>
        <w:t xml:space="preserve">The integration of MOF-derived ORR catalysts into MDC cathodes accelerates oxygen reduction kinetics, enhancing the charge transfer process, thereby improving the electrical performance, ion migration, and contaminant removal efficiencies in the MDC </w:t>
      </w:r>
      <w:r w:rsidR="00AA0DD8">
        <w:rPr>
          <w:rFonts w:cs="Arial"/>
          <w:i w:val="0"/>
          <w:iCs/>
          <w:szCs w:val="18"/>
          <w:lang w:val="en-IN" w:eastAsia="en-IN" w:bidi="hi-IN"/>
        </w:rPr>
        <w:fldChar w:fldCharType="begin" w:fldLock="1"/>
      </w:r>
      <w:r w:rsidR="00F07352">
        <w:rPr>
          <w:rFonts w:cs="Arial"/>
          <w:i w:val="0"/>
          <w:iCs/>
          <w:szCs w:val="18"/>
          <w:lang w:val="en-IN" w:eastAsia="en-IN" w:bidi="hi-IN"/>
        </w:rPr>
        <w:instrText>ADDIN CSL_CITATION {"citationItems":[{"id":"ITEM-1","itemData":{"DOI":"10.3390/en16134950","ISSN":"19961073","abstract":"High-porosity, crystalline, and surface-area-rich metal–organic frameworks (MOFs) may be employed in electrochemical energy applications for active catalysis. MOFs have recently been modified using secondary building blocks, open metal sites with large pore diameters, and functional ligands for electronic conductivity. They have the potential for excellent performance in fuel cell applications, and they have several possibilities to enhance the fundamental characteristics of mass and electron transportation. MOFs may be combined with other materials, such as solitary metal nanoparticles and carbon and nitrogen composites, to increase their catalytic efficacy, especially in oxygen reduction reaction (ORR). As a result, this study focuses on MOF derivatives for ORR applications, including porous carbon MOF, single metal MOF-derived composites, metal oxides, and metal phosphides. An efficient MOF electrocatalyst platform for ORR applications is presented, along with its prospects. These initiatives promote promising MOF electrocatalysts for enhancing fuel cell efficiency and pique curiosity for possible growth in subsequent research.","author":[{"dropping-particle":"","family":"Dhanabalan","given":"Karmegam","non-dropping-particle":"","parse-names":false,"suffix":""},{"dropping-particle":"","family":"Perumalsamy","given":"Muthukumar","non-dropping-particle":"","parse-names":false,"suffix":""},{"dropping-particle":"","family":"Sriram","given":"Ganesan","non-dropping-particle":"","parse-names":false,"suffix":""},{"dropping-particle":"","family":"Murugan","given":"Nagaraj","non-dropping-particle":"","parse-names":false,"suffix":""},{"dropping-particle":"","family":"Shalu","given":"","non-dropping-particle":"","parse-names":false,"suffix":""},{"dropping-particle":"","family":"Sadhasivam","given":"Thangarasu","non-dropping-particle":"","parse-names":false,"suffix":""},{"dropping-particle":"","family":"Oh","given":"Tae Hwan","non-dropping-particle":"","parse-names":false,"suffix":""}],"container-title":"Energies","id":"ITEM-1","issue":"13","issued":{"date-parts":[["2023","6","26"]]},"page":"4950","publisher":"Multidisciplinary Digital Publishing Institute","title":"Metal–Organic Framework (MOF)-Derived Catalyst for Oxygen Reduction Reaction (ORR) Applications in Fuel Cell Systems: A Review of Current Advancements and Perspectives","type":"article","volume":"16"},"uris":["http://www.mendeley.com/documents/?uuid=d9bacdbe-cf9d-3d60-945b-f4f955795aa1"]}],"mendeley":{"formattedCitation":"(Dhanabalan &lt;i&gt;et al.&lt;/i&gt;, 2023)","plainTextFormattedCitation":"(Dhanabalan et al., 2023)","previouslyFormattedCitation":"(Dhanabalan &lt;i&gt;et al.&lt;/i&gt;, 2023)"},"properties":{"noteIndex":0},"schema":"https://github.com/citation-style-language/schema/raw/master/csl-citation.json"}</w:instrText>
      </w:r>
      <w:r w:rsidR="00AA0DD8">
        <w:rPr>
          <w:rFonts w:cs="Arial"/>
          <w:i w:val="0"/>
          <w:iCs/>
          <w:szCs w:val="18"/>
          <w:lang w:val="en-IN" w:eastAsia="en-IN" w:bidi="hi-IN"/>
        </w:rPr>
        <w:fldChar w:fldCharType="separate"/>
      </w:r>
      <w:r w:rsidR="00AA0DD8" w:rsidRPr="00AA0DD8">
        <w:rPr>
          <w:rFonts w:cs="Arial"/>
          <w:i w:val="0"/>
          <w:iCs/>
          <w:noProof/>
          <w:szCs w:val="18"/>
          <w:lang w:val="en-IN" w:eastAsia="en-IN" w:bidi="hi-IN"/>
        </w:rPr>
        <w:t xml:space="preserve">(Dhanabalan </w:t>
      </w:r>
      <w:r w:rsidR="00AA0DD8" w:rsidRPr="00AA0DD8">
        <w:rPr>
          <w:rFonts w:cs="Arial"/>
          <w:iCs/>
          <w:noProof/>
          <w:szCs w:val="18"/>
          <w:lang w:val="en-IN" w:eastAsia="en-IN" w:bidi="hi-IN"/>
        </w:rPr>
        <w:t>et al.</w:t>
      </w:r>
      <w:r w:rsidR="00AA0DD8" w:rsidRPr="00AA0DD8">
        <w:rPr>
          <w:rFonts w:cs="Arial"/>
          <w:i w:val="0"/>
          <w:iCs/>
          <w:noProof/>
          <w:szCs w:val="18"/>
          <w:lang w:val="en-IN" w:eastAsia="en-IN" w:bidi="hi-IN"/>
        </w:rPr>
        <w:t>, 2023)</w:t>
      </w:r>
      <w:r w:rsidR="00AA0DD8">
        <w:rPr>
          <w:rFonts w:cs="Arial"/>
          <w:i w:val="0"/>
          <w:iCs/>
          <w:szCs w:val="18"/>
          <w:lang w:val="en-IN" w:eastAsia="en-IN" w:bidi="hi-IN"/>
        </w:rPr>
        <w:fldChar w:fldCharType="end"/>
      </w:r>
      <w:r w:rsidR="00694346">
        <w:rPr>
          <w:rFonts w:cs="Arial"/>
          <w:i w:val="0"/>
          <w:iCs/>
          <w:szCs w:val="18"/>
          <w:lang w:val="en-IN" w:eastAsia="en-IN" w:bidi="hi-IN"/>
        </w:rPr>
        <w:t>.</w:t>
      </w:r>
    </w:p>
    <w:p w14:paraId="57C6226A" w14:textId="71C5A7B0" w:rsidR="00AC4A1B" w:rsidRDefault="00AC4A1B" w:rsidP="00AC4A1B">
      <w:pPr>
        <w:spacing w:line="240" w:lineRule="auto"/>
        <w:rPr>
          <w:rFonts w:cs="Arial"/>
          <w:color w:val="000000" w:themeColor="text1"/>
          <w:szCs w:val="18"/>
        </w:rPr>
      </w:pPr>
      <w:r w:rsidRPr="00AC4A1B">
        <w:rPr>
          <w:rFonts w:cs="Arial"/>
          <w:color w:val="000000" w:themeColor="text1"/>
          <w:szCs w:val="18"/>
        </w:rPr>
        <w:t xml:space="preserve">Given these insights, the present study investigates the synthesis and application of a </w:t>
      </w:r>
      <w:r w:rsidR="006D48CB">
        <w:rPr>
          <w:rFonts w:cs="Arial"/>
          <w:color w:val="000000" w:themeColor="text1"/>
          <w:szCs w:val="18"/>
        </w:rPr>
        <w:t>ZIF–8–ZIF–67</w:t>
      </w:r>
      <w:r w:rsidRPr="00AC4A1B">
        <w:rPr>
          <w:rFonts w:cs="Arial"/>
          <w:color w:val="000000" w:themeColor="text1"/>
          <w:szCs w:val="18"/>
        </w:rPr>
        <w:t xml:space="preserve"> MOF-based cathode catalyst in a lab-scale five-chambered MDC </w:t>
      </w:r>
      <w:r w:rsidR="006D48CB">
        <w:rPr>
          <w:rFonts w:cs="Arial"/>
          <w:color w:val="000000" w:themeColor="text1"/>
          <w:szCs w:val="18"/>
        </w:rPr>
        <w:t>for</w:t>
      </w:r>
      <w:r w:rsidRPr="00AC4A1B">
        <w:rPr>
          <w:rFonts w:cs="Arial"/>
          <w:color w:val="000000" w:themeColor="text1"/>
          <w:szCs w:val="18"/>
        </w:rPr>
        <w:t xml:space="preserve"> </w:t>
      </w:r>
      <w:r w:rsidR="006D48CB">
        <w:rPr>
          <w:rFonts w:cs="Arial"/>
          <w:color w:val="000000" w:themeColor="text1"/>
          <w:szCs w:val="18"/>
        </w:rPr>
        <w:t>treating</w:t>
      </w:r>
      <w:r w:rsidRPr="00AC4A1B">
        <w:rPr>
          <w:rFonts w:cs="Arial"/>
          <w:color w:val="000000" w:themeColor="text1"/>
          <w:szCs w:val="18"/>
        </w:rPr>
        <w:t xml:space="preserve"> high-COD, high-salinity industrial effluent. By systematically characterizing the physicochemical properties of the catalyst and evaluating its impact on key MDC</w:t>
      </w:r>
      <w:r w:rsidR="00694346">
        <w:rPr>
          <w:rFonts w:cs="Arial"/>
          <w:color w:val="000000" w:themeColor="text1"/>
          <w:szCs w:val="18"/>
        </w:rPr>
        <w:t>’s</w:t>
      </w:r>
      <w:r w:rsidRPr="00AC4A1B">
        <w:rPr>
          <w:rFonts w:cs="Arial"/>
          <w:color w:val="000000" w:themeColor="text1"/>
          <w:szCs w:val="18"/>
        </w:rPr>
        <w:t xml:space="preserve"> performance metrics</w:t>
      </w:r>
      <w:r w:rsidR="006D48CB">
        <w:rPr>
          <w:rFonts w:cs="Arial"/>
          <w:color w:val="000000" w:themeColor="text1"/>
          <w:szCs w:val="18"/>
        </w:rPr>
        <w:t xml:space="preserve">, </w:t>
      </w:r>
      <w:r w:rsidRPr="00AC4A1B">
        <w:rPr>
          <w:rFonts w:cs="Arial"/>
          <w:color w:val="000000" w:themeColor="text1"/>
          <w:szCs w:val="18"/>
        </w:rPr>
        <w:t>including COD removal, TDS reduction, desalination efficiency, voltage generation, power density, and coulombic efficiency</w:t>
      </w:r>
      <w:r w:rsidR="006D48CB">
        <w:rPr>
          <w:rFonts w:cs="Arial"/>
          <w:color w:val="000000" w:themeColor="text1"/>
          <w:szCs w:val="18"/>
        </w:rPr>
        <w:t xml:space="preserve">, </w:t>
      </w:r>
      <w:r w:rsidRPr="00AC4A1B">
        <w:rPr>
          <w:rFonts w:cs="Arial"/>
          <w:color w:val="000000" w:themeColor="text1"/>
          <w:szCs w:val="18"/>
        </w:rPr>
        <w:t>this work aims to demonstrate the feasibility of MOF-induced ORR enhancement</w:t>
      </w:r>
      <w:r w:rsidR="00AA0DD8">
        <w:rPr>
          <w:rFonts w:cs="Arial"/>
          <w:color w:val="000000" w:themeColor="text1"/>
          <w:szCs w:val="18"/>
        </w:rPr>
        <w:t xml:space="preserve"> in </w:t>
      </w:r>
      <w:r w:rsidR="00B642B3">
        <w:rPr>
          <w:rFonts w:cs="Arial"/>
          <w:color w:val="000000" w:themeColor="text1"/>
          <w:szCs w:val="18"/>
        </w:rPr>
        <w:t xml:space="preserve">the </w:t>
      </w:r>
      <w:r w:rsidR="00AA0DD8">
        <w:rPr>
          <w:rFonts w:cs="Arial"/>
          <w:color w:val="000000" w:themeColor="text1"/>
          <w:szCs w:val="18"/>
        </w:rPr>
        <w:t>performance</w:t>
      </w:r>
      <w:r w:rsidR="00694346">
        <w:rPr>
          <w:rFonts w:cs="Arial"/>
          <w:color w:val="000000" w:themeColor="text1"/>
          <w:szCs w:val="18"/>
        </w:rPr>
        <w:t xml:space="preserve"> of MDC</w:t>
      </w:r>
      <w:r w:rsidR="00AA0DD8">
        <w:rPr>
          <w:rFonts w:cs="Arial"/>
          <w:color w:val="000000" w:themeColor="text1"/>
          <w:szCs w:val="18"/>
        </w:rPr>
        <w:t>. This also proposes the application of MDC</w:t>
      </w:r>
      <w:r w:rsidRPr="00AC4A1B">
        <w:rPr>
          <w:rFonts w:cs="Arial"/>
          <w:color w:val="000000" w:themeColor="text1"/>
          <w:szCs w:val="18"/>
        </w:rPr>
        <w:t xml:space="preserve"> as a sustainable pre-conditioning </w:t>
      </w:r>
      <w:r w:rsidR="00AA0DD8">
        <w:rPr>
          <w:rFonts w:cs="Arial"/>
          <w:color w:val="000000" w:themeColor="text1"/>
          <w:szCs w:val="18"/>
        </w:rPr>
        <w:t xml:space="preserve">unit </w:t>
      </w:r>
      <w:r w:rsidRPr="00AC4A1B">
        <w:rPr>
          <w:rFonts w:cs="Arial"/>
          <w:color w:val="000000" w:themeColor="text1"/>
          <w:szCs w:val="18"/>
        </w:rPr>
        <w:t>to energy-intensive desalination technologies</w:t>
      </w:r>
      <w:r w:rsidR="00694346">
        <w:rPr>
          <w:rFonts w:cs="Arial"/>
          <w:color w:val="000000" w:themeColor="text1"/>
          <w:szCs w:val="18"/>
        </w:rPr>
        <w:t>,</w:t>
      </w:r>
      <w:r w:rsidRPr="00AC4A1B">
        <w:rPr>
          <w:rFonts w:cs="Arial"/>
          <w:color w:val="000000" w:themeColor="text1"/>
          <w:szCs w:val="18"/>
        </w:rPr>
        <w:t xml:space="preserve"> such as RO</w:t>
      </w:r>
      <w:r w:rsidR="00694346">
        <w:rPr>
          <w:rFonts w:cs="Arial"/>
          <w:color w:val="000000" w:themeColor="text1"/>
          <w:szCs w:val="18"/>
        </w:rPr>
        <w:t>,</w:t>
      </w:r>
      <w:r w:rsidR="00AA0DD8">
        <w:rPr>
          <w:rFonts w:cs="Arial"/>
          <w:color w:val="000000" w:themeColor="text1"/>
          <w:szCs w:val="18"/>
        </w:rPr>
        <w:t xml:space="preserve"> for lowering the external energy requirement in the treatment system</w:t>
      </w:r>
      <w:r w:rsidR="00494C87">
        <w:rPr>
          <w:rFonts w:cs="Arial"/>
          <w:color w:val="000000" w:themeColor="text1"/>
          <w:szCs w:val="18"/>
        </w:rPr>
        <w:t>, as represented in Fig.</w:t>
      </w:r>
      <w:r w:rsidR="00E150E8">
        <w:rPr>
          <w:rFonts w:cs="Arial"/>
          <w:color w:val="000000" w:themeColor="text1"/>
          <w:szCs w:val="18"/>
        </w:rPr>
        <w:t xml:space="preserve"> </w:t>
      </w:r>
      <w:r w:rsidR="00494C87">
        <w:rPr>
          <w:rFonts w:cs="Arial"/>
          <w:color w:val="000000" w:themeColor="text1"/>
          <w:szCs w:val="18"/>
        </w:rPr>
        <w:t xml:space="preserve">1. </w:t>
      </w:r>
    </w:p>
    <w:p w14:paraId="14BD193D" w14:textId="77777777" w:rsidR="00AC4A1B" w:rsidRDefault="00AC4A1B" w:rsidP="00AC4A1B">
      <w:pPr>
        <w:spacing w:line="240" w:lineRule="auto"/>
        <w:rPr>
          <w:rFonts w:cs="Arial"/>
          <w:color w:val="000000" w:themeColor="text1"/>
          <w:szCs w:val="18"/>
        </w:rPr>
      </w:pPr>
    </w:p>
    <w:p w14:paraId="3DCBD9C8" w14:textId="77777777" w:rsidR="00AC4A1B" w:rsidRDefault="00AC4A1B" w:rsidP="00AC4A1B">
      <w:pPr>
        <w:spacing w:line="240" w:lineRule="auto"/>
        <w:rPr>
          <w:rFonts w:cs="Arial"/>
          <w:color w:val="000000" w:themeColor="text1"/>
          <w:szCs w:val="18"/>
        </w:rPr>
      </w:pPr>
    </w:p>
    <w:p w14:paraId="4B6F8BDC" w14:textId="1538A9FF" w:rsidR="00AC4A1B" w:rsidRDefault="00AA0DD8" w:rsidP="00B642B3">
      <w:pPr>
        <w:spacing w:line="240" w:lineRule="auto"/>
        <w:jc w:val="center"/>
        <w:rPr>
          <w:rFonts w:cs="Arial"/>
          <w:color w:val="000000" w:themeColor="text1"/>
          <w:szCs w:val="18"/>
        </w:rPr>
      </w:pPr>
      <w:r>
        <w:rPr>
          <w:rFonts w:cs="Arial"/>
          <w:noProof/>
          <w:color w:val="000000" w:themeColor="text1"/>
          <w:szCs w:val="18"/>
        </w:rPr>
        <w:lastRenderedPageBreak/>
        <w:drawing>
          <wp:inline distT="0" distB="0" distL="0" distR="0" wp14:anchorId="4EDAFEE3" wp14:editId="24F93AC5">
            <wp:extent cx="5523399" cy="1038095"/>
            <wp:effectExtent l="0" t="0" r="1270" b="0"/>
            <wp:docPr id="115709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8278" cy="1040891"/>
                    </a:xfrm>
                    <a:prstGeom prst="rect">
                      <a:avLst/>
                    </a:prstGeom>
                    <a:noFill/>
                  </pic:spPr>
                </pic:pic>
              </a:graphicData>
            </a:graphic>
          </wp:inline>
        </w:drawing>
      </w:r>
    </w:p>
    <w:p w14:paraId="67A3D778" w14:textId="138DF3E2" w:rsidR="00AA0DD8" w:rsidRPr="00AC4A1B" w:rsidRDefault="00AA0DD8" w:rsidP="00AC4A1B">
      <w:pPr>
        <w:spacing w:line="240" w:lineRule="auto"/>
        <w:rPr>
          <w:rFonts w:cs="Arial"/>
          <w:color w:val="000000" w:themeColor="text1"/>
          <w:szCs w:val="18"/>
        </w:rPr>
      </w:pPr>
      <w:r w:rsidRPr="00BD077D">
        <w:rPr>
          <w:rStyle w:val="CETCaptionCarattere"/>
        </w:rPr>
        <w:t>Figure 1</w:t>
      </w:r>
      <w:r>
        <w:rPr>
          <w:rStyle w:val="CETCaptionCarattere"/>
        </w:rPr>
        <w:t xml:space="preserve">: Microbial desalination as a pre-treatment unit to reverse osmosis for industrial wastewater treatment </w:t>
      </w:r>
    </w:p>
    <w:p w14:paraId="5741900F" w14:textId="32722116" w:rsidR="00453E24" w:rsidRDefault="001A0511" w:rsidP="00453E24">
      <w:pPr>
        <w:pStyle w:val="CETHeading1"/>
      </w:pPr>
      <w:r>
        <w:t>Materials and Methods</w:t>
      </w:r>
      <w:r w:rsidR="003F6F2E">
        <w:t xml:space="preserve"> </w:t>
      </w:r>
    </w:p>
    <w:p w14:paraId="52065A74" w14:textId="5669B844" w:rsidR="00A1625B" w:rsidRPr="00A1625B" w:rsidRDefault="00DA6C26" w:rsidP="003F6F2E">
      <w:pPr>
        <w:pStyle w:val="CommentText"/>
      </w:pPr>
      <w:r>
        <w:t xml:space="preserve">The MOF catalyst was synthesised and coated </w:t>
      </w:r>
      <w:r w:rsidR="00A72914">
        <w:t>on the cathode of</w:t>
      </w:r>
      <w:r>
        <w:t xml:space="preserve"> a lab-scale five-chambered MDC of </w:t>
      </w:r>
      <w:r w:rsidR="005F7A24">
        <w:t>400</w:t>
      </w:r>
      <w:r w:rsidR="007C3CED">
        <w:t xml:space="preserve"> </w:t>
      </w:r>
      <w:r>
        <w:t>mL</w:t>
      </w:r>
      <w:r w:rsidR="00A72914">
        <w:t xml:space="preserve"> total volume</w:t>
      </w:r>
      <w:r w:rsidR="007C3CED">
        <w:t>. The setup</w:t>
      </w:r>
      <w:r>
        <w:t xml:space="preserve"> was operated at</w:t>
      </w:r>
      <w:r w:rsidR="000D5BAA">
        <w:t xml:space="preserve"> a </w:t>
      </w:r>
      <w:r w:rsidR="003F6F2E">
        <w:t>fed</w:t>
      </w:r>
      <w:r w:rsidR="003F6F2E">
        <w:t xml:space="preserve"> batch mode with </w:t>
      </w:r>
      <w:r w:rsidR="003F6F2E">
        <w:t xml:space="preserve">a </w:t>
      </w:r>
      <w:r w:rsidR="003F6F2E">
        <w:t>feed cycle time</w:t>
      </w:r>
      <w:r w:rsidR="003F6F2E">
        <w:t xml:space="preserve"> </w:t>
      </w:r>
      <w:r>
        <w:t>of 72</w:t>
      </w:r>
      <w:r w:rsidR="007C3CED">
        <w:t xml:space="preserve"> </w:t>
      </w:r>
      <w:r>
        <w:t>h after an acclimatization period of 15-20 days, and achieving a stable operating voltage</w:t>
      </w:r>
      <w:r w:rsidR="007C3CED">
        <w:t>.</w:t>
      </w:r>
    </w:p>
    <w:p w14:paraId="0636B784" w14:textId="1DDE9181" w:rsidR="00453E24" w:rsidRDefault="00453E24" w:rsidP="00453E24">
      <w:pPr>
        <w:pStyle w:val="CETheadingx"/>
      </w:pPr>
      <w:r>
        <w:t>C</w:t>
      </w:r>
      <w:r w:rsidR="001A651B">
        <w:t>atalyst preparation</w:t>
      </w:r>
      <w:r w:rsidR="007C3CED">
        <w:t xml:space="preserve"> and reactor setup</w:t>
      </w:r>
    </w:p>
    <w:p w14:paraId="3E3C8D1B" w14:textId="0E12F7E0" w:rsidR="00C44BE6" w:rsidRPr="000F19B6" w:rsidRDefault="00C44BE6" w:rsidP="00C44BE6">
      <w:pPr>
        <w:pStyle w:val="CETBodytext"/>
        <w:rPr>
          <w:rFonts w:cs="Arial"/>
          <w:lang w:eastAsia="en-IN"/>
        </w:rPr>
      </w:pPr>
      <w:r>
        <w:rPr>
          <w:lang w:eastAsia="en-IN"/>
        </w:rPr>
        <w:t xml:space="preserve">The synthesis of </w:t>
      </w:r>
      <w:r w:rsidRPr="00A547F0">
        <w:rPr>
          <w:lang w:eastAsia="en-IN"/>
        </w:rPr>
        <w:t>ZIF-8</w:t>
      </w:r>
      <w:r>
        <w:rPr>
          <w:lang w:eastAsia="en-IN"/>
        </w:rPr>
        <w:t xml:space="preserve"> comprised 6.6 g of</w:t>
      </w:r>
      <w:r w:rsidRPr="00A547F0">
        <w:rPr>
          <w:lang w:eastAsia="en-IN"/>
        </w:rPr>
        <w:t xml:space="preserve"> 2-methylimidazole (Hmim) </w:t>
      </w:r>
      <w:r>
        <w:rPr>
          <w:lang w:eastAsia="en-IN"/>
        </w:rPr>
        <w:t>and 3.0 g of</w:t>
      </w:r>
      <w:r w:rsidRPr="00A547F0">
        <w:rPr>
          <w:lang w:eastAsia="en-IN"/>
        </w:rPr>
        <w:t xml:space="preserve"> </w:t>
      </w:r>
      <w:r>
        <w:rPr>
          <w:lang w:eastAsia="en-IN"/>
        </w:rPr>
        <w:t>z</w:t>
      </w:r>
      <w:r w:rsidRPr="00A547F0">
        <w:rPr>
          <w:lang w:eastAsia="en-IN"/>
        </w:rPr>
        <w:t xml:space="preserve">inc nitrate hexahydrate. Both </w:t>
      </w:r>
      <w:r>
        <w:rPr>
          <w:lang w:eastAsia="en-IN"/>
        </w:rPr>
        <w:t xml:space="preserve">precursors </w:t>
      </w:r>
      <w:r w:rsidRPr="00A547F0">
        <w:rPr>
          <w:lang w:eastAsia="en-IN"/>
        </w:rPr>
        <w:t xml:space="preserve">were mixed separately in 25 mL of methanol each and mixed for 10 min. This was followed by mixing </w:t>
      </w:r>
      <w:r w:rsidRPr="00193DFE">
        <w:rPr>
          <w:lang w:eastAsia="en-IN"/>
        </w:rPr>
        <w:t>the two solutions and stirring them for 4 h (Tezerjani</w:t>
      </w:r>
      <w:r>
        <w:rPr>
          <w:lang w:eastAsia="en-IN"/>
        </w:rPr>
        <w:t xml:space="preserve"> et al</w:t>
      </w:r>
      <w:r w:rsidRPr="00193DFE">
        <w:rPr>
          <w:lang w:eastAsia="en-IN"/>
        </w:rPr>
        <w:t>,</w:t>
      </w:r>
      <w:r>
        <w:rPr>
          <w:lang w:eastAsia="en-IN"/>
        </w:rPr>
        <w:t xml:space="preserve"> 2021).</w:t>
      </w:r>
      <w:r w:rsidRPr="00A547F0">
        <w:rPr>
          <w:lang w:eastAsia="en-IN"/>
        </w:rPr>
        <w:t xml:space="preserve"> </w:t>
      </w:r>
      <w:r>
        <w:rPr>
          <w:lang w:eastAsia="en-IN"/>
        </w:rPr>
        <w:t xml:space="preserve">On the other hand, </w:t>
      </w:r>
      <w:r w:rsidRPr="00A547F0">
        <w:rPr>
          <w:lang w:eastAsia="en-IN"/>
        </w:rPr>
        <w:t>ZIF-67</w:t>
      </w:r>
      <w:r>
        <w:rPr>
          <w:lang w:eastAsia="en-IN"/>
        </w:rPr>
        <w:t xml:space="preserve"> was synthesised using</w:t>
      </w:r>
      <w:r w:rsidRPr="00A547F0">
        <w:rPr>
          <w:lang w:eastAsia="en-IN"/>
        </w:rPr>
        <w:t xml:space="preserve"> 11.0 g</w:t>
      </w:r>
      <w:r>
        <w:rPr>
          <w:lang w:eastAsia="en-IN"/>
        </w:rPr>
        <w:t xml:space="preserve"> of</w:t>
      </w:r>
      <w:r w:rsidRPr="00A547F0">
        <w:rPr>
          <w:lang w:eastAsia="en-IN"/>
        </w:rPr>
        <w:t xml:space="preserve"> </w:t>
      </w:r>
      <w:r>
        <w:rPr>
          <w:lang w:eastAsia="en-IN"/>
        </w:rPr>
        <w:t xml:space="preserve">Hmim and 0.9 g of </w:t>
      </w:r>
      <w:r w:rsidRPr="00A547F0">
        <w:rPr>
          <w:lang w:eastAsia="en-IN"/>
        </w:rPr>
        <w:t xml:space="preserve">cobalt nitrate hexahydrate. A similar process was followed, where Hmim </w:t>
      </w:r>
      <w:r>
        <w:rPr>
          <w:lang w:eastAsia="en-IN"/>
        </w:rPr>
        <w:t>and cobalt nitrate were</w:t>
      </w:r>
      <w:r w:rsidRPr="00A547F0">
        <w:rPr>
          <w:lang w:eastAsia="en-IN"/>
        </w:rPr>
        <w:t xml:space="preserve"> dissolved in 40 mL</w:t>
      </w:r>
      <w:r>
        <w:rPr>
          <w:lang w:eastAsia="en-IN"/>
        </w:rPr>
        <w:t xml:space="preserve"> and 6 mL</w:t>
      </w:r>
      <w:r w:rsidRPr="00A547F0">
        <w:rPr>
          <w:lang w:eastAsia="en-IN"/>
        </w:rPr>
        <w:t xml:space="preserve"> of methanol</w:t>
      </w:r>
      <w:r>
        <w:rPr>
          <w:lang w:eastAsia="en-IN"/>
        </w:rPr>
        <w:t>, respectively, for 10 min</w:t>
      </w:r>
      <w:r w:rsidRPr="00A547F0">
        <w:rPr>
          <w:lang w:eastAsia="en-IN"/>
        </w:rPr>
        <w:t xml:space="preserve">. Further, both were mixed and stirred for 4 h at 700 rpm </w:t>
      </w:r>
      <w:r w:rsidRPr="00A547F0">
        <w:rPr>
          <w:lang w:eastAsia="en-IN"/>
        </w:rPr>
        <w:fldChar w:fldCharType="begin" w:fldLock="1"/>
      </w:r>
      <w:r>
        <w:rPr>
          <w:lang w:eastAsia="en-IN"/>
        </w:rPr>
        <w:instrText>ADDIN CSL_CITATION {"citationItems":[{"id":"ITEM-1","itemData":{"DOI":"10.1016/j.mtchem.2021.100685","ISSN":"24685194","abstract":"Sodium nitrate and sodium sulfate are used to study the effect of ZIF-67 on the performance of polysulfone membranes. Zeolitic imidazolate frameworks (ZIFs) have a high surface area, thermally and chemically stable than any other metal–organic frameworks (MOFs) due to the presence of transition metals like cobalt. In this study, the concentration of ZIF-67 was varied from 0, 1, 3, 5 to 7 wt% in polysulfone membranes. It was observed that pure water flux was enhanced from 2.94 L/m2 h (using a pure polysulfone membrane) to 35.39 L/m2h for the membrane with 7 wt% ZIF-67 at 10 kgf/cm2. Also, at a high concentration of ZIF-67 in the membrane, due to aggregation of MOFs, rejection of salts and permeate collected slightly decreased. Hence, 5 wt% ZIF-67 is used as the optimum concentration for better performance in polysulfone membranes.","author":[{"dropping-particle":"","family":"Gupta","given":"Nikita","non-dropping-particle":"","parse-names":false,"suffix":""},{"dropping-particle":"","family":"Murthy","given":"Z. V.P.","non-dropping-particle":"","parse-names":false,"suffix":""}],"container-title":"Materials Today Chemistry","id":"ITEM-1","issued":{"date-parts":[["2022","3","1"]]},"page":"100685","publisher":"Elsevier","title":"Synthesis and application of ZIF-67 on the performance of polysulfone blend membranes","type":"article-journal","volume":"23"},"uris":["http://www.mendeley.com/documents/?uuid=adb7df28-f597-35e8-ae83-c32a5990811a"]}],"mendeley":{"formattedCitation":"(Gupta and Murthy, 2022)","manualFormatting":"(Gupta &amp; Murthy, 2022)","plainTextFormattedCitation":"(Gupta and Murthy, 2022)","previouslyFormattedCitation":"(Gupta and Murthy, 2022)"},"properties":{"noteIndex":0},"schema":"https://github.com/citation-style-language/schema/raw/master/csl-citation.json"}</w:instrText>
      </w:r>
      <w:r w:rsidRPr="00A547F0">
        <w:rPr>
          <w:lang w:eastAsia="en-IN"/>
        </w:rPr>
        <w:fldChar w:fldCharType="separate"/>
      </w:r>
      <w:r w:rsidRPr="00272022">
        <w:rPr>
          <w:noProof/>
          <w:lang w:eastAsia="en-IN"/>
        </w:rPr>
        <w:t xml:space="preserve">(Gupta </w:t>
      </w:r>
      <w:r>
        <w:rPr>
          <w:noProof/>
          <w:lang w:eastAsia="en-IN"/>
        </w:rPr>
        <w:t>&amp;</w:t>
      </w:r>
      <w:r w:rsidRPr="00272022">
        <w:rPr>
          <w:noProof/>
          <w:lang w:eastAsia="en-IN"/>
        </w:rPr>
        <w:t xml:space="preserve"> Murthy, 2022)</w:t>
      </w:r>
      <w:r w:rsidRPr="00A547F0">
        <w:rPr>
          <w:lang w:eastAsia="en-IN"/>
        </w:rPr>
        <w:fldChar w:fldCharType="end"/>
      </w:r>
      <w:r>
        <w:rPr>
          <w:lang w:eastAsia="en-IN"/>
        </w:rPr>
        <w:t xml:space="preserve"> followed by mixing the white </w:t>
      </w:r>
      <w:r w:rsidRPr="00A547F0">
        <w:rPr>
          <w:lang w:eastAsia="en-IN"/>
        </w:rPr>
        <w:t xml:space="preserve">ZIF-8 </w:t>
      </w:r>
      <w:r>
        <w:rPr>
          <w:lang w:eastAsia="en-IN"/>
        </w:rPr>
        <w:t>solution with</w:t>
      </w:r>
      <w:r w:rsidRPr="00A547F0">
        <w:rPr>
          <w:lang w:eastAsia="en-IN"/>
        </w:rPr>
        <w:t xml:space="preserve"> the </w:t>
      </w:r>
      <w:r>
        <w:rPr>
          <w:lang w:eastAsia="en-IN"/>
        </w:rPr>
        <w:t>violet ZIF-67</w:t>
      </w:r>
      <w:r w:rsidRPr="00A547F0">
        <w:rPr>
          <w:lang w:eastAsia="en-IN"/>
        </w:rPr>
        <w:t xml:space="preserve"> solution</w:t>
      </w:r>
      <w:r>
        <w:rPr>
          <w:lang w:eastAsia="en-IN"/>
        </w:rPr>
        <w:t>, which</w:t>
      </w:r>
      <w:r w:rsidRPr="00A547F0">
        <w:rPr>
          <w:lang w:eastAsia="en-IN"/>
        </w:rPr>
        <w:t xml:space="preserve"> w</w:t>
      </w:r>
      <w:r>
        <w:rPr>
          <w:lang w:eastAsia="en-IN"/>
        </w:rPr>
        <w:t>as</w:t>
      </w:r>
      <w:r w:rsidRPr="00A547F0">
        <w:rPr>
          <w:lang w:eastAsia="en-IN"/>
        </w:rPr>
        <w:t xml:space="preserve"> </w:t>
      </w:r>
      <w:r>
        <w:rPr>
          <w:lang w:eastAsia="en-IN"/>
        </w:rPr>
        <w:t xml:space="preserve">then </w:t>
      </w:r>
      <w:r w:rsidRPr="00A547F0">
        <w:rPr>
          <w:lang w:eastAsia="en-IN"/>
        </w:rPr>
        <w:t xml:space="preserve">stirred for an additional 3 h. </w:t>
      </w:r>
      <w:r>
        <w:rPr>
          <w:lang w:eastAsia="en-IN"/>
        </w:rPr>
        <w:t>The precipitate was washed three times with methanol and then centrifuged. The precipitated pellet was dried overnight at 120 °C and ground into a fine powder using a mortar and pestle</w:t>
      </w:r>
      <w:r w:rsidRPr="00A547F0">
        <w:rPr>
          <w:lang w:eastAsia="en-IN"/>
        </w:rPr>
        <w:t>. </w:t>
      </w:r>
      <w:r>
        <w:rPr>
          <w:lang w:eastAsia="en-IN"/>
        </w:rPr>
        <w:t xml:space="preserve">The catalyst was then coated using the drop-cast method onto a 4 cm </w:t>
      </w:r>
      <w:r>
        <w:rPr>
          <w:rFonts w:cs="Arial"/>
          <w:lang w:eastAsia="en-IN"/>
        </w:rPr>
        <w:t xml:space="preserve">× 4 cm graphite felt cathode, using polydimethylsiloxane as a binder. The MDC reactor was constructed from acrylic sheets and comprised a 150 mL cathodic chamber, a 150 mL anodic chamber, a 50 mL desalination chamber, and two 25 mL chambers. These additional chambers </w:t>
      </w:r>
      <w:r w:rsidR="00802AF6">
        <w:rPr>
          <w:rFonts w:cs="Arial"/>
          <w:lang w:eastAsia="en-IN"/>
        </w:rPr>
        <w:t>were</w:t>
      </w:r>
      <w:r>
        <w:rPr>
          <w:rFonts w:cs="Arial"/>
          <w:lang w:eastAsia="en-IN"/>
        </w:rPr>
        <w:t xml:space="preserve"> separated by anion and cation exchange membranes (</w:t>
      </w:r>
      <w:r w:rsidR="0081422A">
        <w:rPr>
          <w:rFonts w:cs="Arial"/>
          <w:lang w:eastAsia="en-IN"/>
        </w:rPr>
        <w:t>Ralex (</w:t>
      </w:r>
      <w:r>
        <w:rPr>
          <w:rFonts w:cs="Arial"/>
          <w:lang w:eastAsia="en-IN"/>
        </w:rPr>
        <w:t>AEM and CEM</w:t>
      </w:r>
      <w:r w:rsidR="0081422A">
        <w:rPr>
          <w:rFonts w:cs="Arial"/>
          <w:lang w:eastAsia="en-IN"/>
        </w:rPr>
        <w:t>)</w:t>
      </w:r>
      <w:r>
        <w:rPr>
          <w:rFonts w:cs="Arial"/>
          <w:lang w:eastAsia="en-IN"/>
        </w:rPr>
        <w:t>), arranged alternately between the anodic and cathodic chambers</w:t>
      </w:r>
      <w:r w:rsidR="008412AD">
        <w:rPr>
          <w:rFonts w:cs="Arial"/>
          <w:lang w:eastAsia="en-IN"/>
        </w:rPr>
        <w:t>.</w:t>
      </w:r>
    </w:p>
    <w:p w14:paraId="11CD0D73" w14:textId="1C2F05B9" w:rsidR="00A547F0" w:rsidRDefault="00A547F0" w:rsidP="00A547F0">
      <w:pPr>
        <w:pStyle w:val="CETheadingx"/>
      </w:pPr>
      <w:r>
        <w:t>Anolyte and catholyte</w:t>
      </w:r>
    </w:p>
    <w:p w14:paraId="35DF92A4" w14:textId="66A7A2F4" w:rsidR="007C678F" w:rsidRDefault="001D5AE1" w:rsidP="007C678F">
      <w:pPr>
        <w:pStyle w:val="CETBodytext"/>
      </w:pPr>
      <w:r w:rsidRPr="001D5AE1">
        <w:t>The anaerobic sludge was collected from the secondary treatment unit of a sewage treatment plant with a capacity of 1350 m³/day located at IIT Kharagpur and</w:t>
      </w:r>
      <w:r>
        <w:rPr>
          <w:b/>
          <w:bCs/>
        </w:rPr>
        <w:t xml:space="preserve"> </w:t>
      </w:r>
      <w:r w:rsidR="007C678F">
        <w:t>was used as inoculum. It was treated using heat shock</w:t>
      </w:r>
      <w:r>
        <w:t xml:space="preserve"> </w:t>
      </w:r>
      <w:r w:rsidRPr="001D5AE1">
        <w:t>at 90 °C for 30 min</w:t>
      </w:r>
      <w:r w:rsidR="007C678F">
        <w:t xml:space="preserve"> for suppressing the methanogens and promoting the exoelectrogens, and was supplied as 10 % volume of the anodic chamber</w:t>
      </w:r>
      <w:r>
        <w:t xml:space="preserve"> </w:t>
      </w:r>
      <w:r w:rsidR="007C678F" w:rsidRPr="00A547F0">
        <w:fldChar w:fldCharType="begin" w:fldLock="1"/>
      </w:r>
      <w:r w:rsidR="007C678F">
        <w:instrText>ADDIN CSL_CITATION {"citationItems":[{"id":"ITEM-1","itemData":{"DOI":"10.1016/j.eti.2019.100509","ISSN":"23521864","abstract":"A major constraint to attaining higher power output from microbial fuel cell (MFC) is the loss of substrate due to methanogenesis. Controlling methanogenesis is imperative to enhance the coulombic efficiency (CE). This study compares the influence of three inoculum treatment methods i.e., heat-treatment (MFC1), ultrasonication (MFC2) and air exposure (MFC3), on suppressing methanogenesis while treating rice mill wastewater. MFC2 and MFC3 exhibited a maximum volumetric power density of 525.62 mW/m3 and 656.10 mW/m3, respectively, which were 1.7 and 2.1 times higher than that of MFC1. Similarly, CE of 9.27%, 14.14% and 17.21% was observed in MFC1, MFC2 and MFC3, respectively. MFC1 shown higher COD removal efficiency (85.22 ± 2.12%) than MFC2 (76.18 ± 1.36%), and MFC3 (71.88 ± 1.71%). Linear sweep voltammetry demonstrated enhanced electrochemical activity in MFC3 (peak current: 15.92 mA) compared to MFC2 (8.40 mA) and MFC1 (3.61 mA). An internal resistance of 294 Ω was observed in MFC3, which was lower than MFC2 (320 Ω) and MFC1 (415 Ω). Intermittent air exposure of the inoculum was found to be more effective for power generation in the MFC. The contribution of planktonic archaeal community towards power generation was studied by removing the suspended inoculum from the anode chamber of all the MFCs. The maximum power density obtained in sludge deprived condition in MFC1, MFC2 and MFC3 was 1.2, 1.4 and 1.2 times less than that obtained when MFCs were operated with suspended inoculum. The study concludes that suspended anaerobic sludge should be used after proper pre-treatment for improved electricity harvesting and efficient wastewater treatment.","author":[{"dropping-particle":"","family":"Raychaudhuri","given":"Aryama","non-dropping-particle":"","parse-names":false,"suffix":""},{"dropping-particle":"","family":"Behera","given":"Manaswini","non-dropping-particle":"","parse-names":false,"suffix":""}],"container-title":"Environmental Technology &amp; Innovation","id":"ITEM-1","issued":{"date-parts":[["2020","2","1"]]},"page":"100509","publisher":"Elsevier","title":"Comparative evaluation of methanogenesis suppression methods in microbial fuel cell during rice mill wastewater treatment","type":"article-journal","volume":"17"},"uris":["http://www.mendeley.com/documents/?uuid=cd8590ed-eb41-3563-9101-da9b4ae8c291"]}],"mendeley":{"formattedCitation":"(Raychaudhuri and Behera, 2020)","plainTextFormattedCitation":"(Raychaudhuri and Behera, 2020)","previouslyFormattedCitation":"(Raychaudhuri and Behera, 2020)"},"properties":{"noteIndex":0},"schema":"https://github.com/citation-style-language/schema/raw/master/csl-citation.json"}</w:instrText>
      </w:r>
      <w:r w:rsidR="007C678F" w:rsidRPr="00A547F0">
        <w:fldChar w:fldCharType="separate"/>
      </w:r>
      <w:r w:rsidR="007C678F" w:rsidRPr="00272022">
        <w:rPr>
          <w:noProof/>
        </w:rPr>
        <w:t>(Raychaudhuri and Behera, 2020)</w:t>
      </w:r>
      <w:r w:rsidR="007C678F" w:rsidRPr="00A547F0">
        <w:fldChar w:fldCharType="end"/>
      </w:r>
      <w:r w:rsidR="007C678F" w:rsidRPr="00A547F0">
        <w:t xml:space="preserve">. </w:t>
      </w:r>
      <w:r w:rsidR="007C678F">
        <w:t>Synthetic feed of COD around 8</w:t>
      </w:r>
      <w:r w:rsidR="007C678F" w:rsidRPr="00A547F0">
        <w:t>000 mg/L</w:t>
      </w:r>
      <w:r w:rsidR="00C6726F">
        <w:t xml:space="preserve"> (mimicking </w:t>
      </w:r>
      <w:r w:rsidR="00C6726F" w:rsidRPr="00C6726F">
        <w:t>wastewater typical of food</w:t>
      </w:r>
      <w:r w:rsidR="00BD3F46">
        <w:t xml:space="preserve"> </w:t>
      </w:r>
      <w:r w:rsidR="00C6726F" w:rsidRPr="00C6726F">
        <w:t xml:space="preserve">processing and </w:t>
      </w:r>
      <w:r w:rsidR="00BD3F46">
        <w:t>fermentation-based</w:t>
      </w:r>
      <w:r w:rsidR="00C6726F" w:rsidRPr="00C6726F">
        <w:t xml:space="preserve"> industries</w:t>
      </w:r>
      <w:r w:rsidR="00C6726F">
        <w:t xml:space="preserve">) </w:t>
      </w:r>
      <w:r w:rsidR="007C678F" w:rsidRPr="00A547F0">
        <w:t xml:space="preserve">was </w:t>
      </w:r>
      <w:r w:rsidR="007C678F">
        <w:t xml:space="preserve">prepared in the lab with a sucrose base and used as anolyte </w:t>
      </w:r>
      <w:r w:rsidR="007C678F" w:rsidRPr="00A547F0">
        <w:fldChar w:fldCharType="begin" w:fldLock="1"/>
      </w:r>
      <w:r w:rsidR="007C678F">
        <w:instrText>ADDIN CSL_CITATION {"citationItems":[{"id":"ITEM-1","itemData":{"DOI":"10.1016/j.biortech.2006.09.050","ISSN":"09608524","PMID":"17107789","abstract":"Performance of mediator-less and membrane-less microbial fuel cell (ML-MFC) was evaluated to treat synthetic wastewater and actual sewage. The ML-MFC gave COD and BOD removal efficiencies of 88% and 87%, respectively, and TKN removal was around 45-50%. Biomass granulation was observed in the anode compartment of ML-MFC. Effect of distance between the electrodes and total surface area of anode on electricity production was evaluated under variable external resistance. Maximum power density of 10.9 and 10.13 mW/m2 was observed at lower spacing between the electrodes (20 cm) and for lesser surface area of the anode, respectively. With variation in the carbon source in the feed, variation in power production was observed. © 2006 Elsevier Ltd. All rights reserved.","author":[{"dropping-particle":"","family":"Ghangrekar","given":"M. M.","non-dropping-particle":"","parse-names":false,"suffix":""},{"dropping-particle":"","family":"Shinde","given":"V. B.","non-dropping-particle":"","parse-names":false,"suffix":""}],"container-title":"Bioresource Technology","id":"ITEM-1","issue":"15","issued":{"date-parts":[["2007","11","1"]]},"page":"2879-2885","publisher":"Elsevier","title":"Performance of membrane-less microbial fuel cell treating wastewater and effect of electrode distance and area on electricity production","type":"article-journal","volume":"98"},"uris":["http://www.mendeley.com/documents/?uuid=998b6d27-297b-3e53-a8ca-04d4159d71c9"]}],"mendeley":{"formattedCitation":"(Ghangrekar and Shinde, 2007)","plainTextFormattedCitation":"(Ghangrekar and Shinde, 2007)","previouslyFormattedCitation":"(Ghangrekar and Shinde, 2007)"},"properties":{"noteIndex":0},"schema":"https://github.com/citation-style-language/schema/raw/master/csl-citation.json"}</w:instrText>
      </w:r>
      <w:r w:rsidR="007C678F" w:rsidRPr="00A547F0">
        <w:fldChar w:fldCharType="separate"/>
      </w:r>
      <w:r w:rsidR="007C678F" w:rsidRPr="00272022">
        <w:rPr>
          <w:noProof/>
        </w:rPr>
        <w:t>(Ghangrekar and Shinde, 2007)</w:t>
      </w:r>
      <w:r w:rsidR="007C678F" w:rsidRPr="00A547F0">
        <w:fldChar w:fldCharType="end"/>
      </w:r>
      <w:r w:rsidR="007C678F">
        <w:t>.</w:t>
      </w:r>
      <w:r w:rsidR="007C678F" w:rsidRPr="00A547F0">
        <w:t xml:space="preserve"> </w:t>
      </w:r>
      <w:r w:rsidR="007C678F">
        <w:t xml:space="preserve">Tap </w:t>
      </w:r>
      <w:r w:rsidR="00696124">
        <w:t xml:space="preserve">water </w:t>
      </w:r>
      <w:r w:rsidR="007C678F">
        <w:t xml:space="preserve">was supplied in </w:t>
      </w:r>
      <w:r w:rsidR="007C678F" w:rsidRPr="00A547F0">
        <w:t>the cathodic chamber</w:t>
      </w:r>
      <w:r w:rsidR="007C678F">
        <w:t>,</w:t>
      </w:r>
      <w:r w:rsidR="007C678F" w:rsidRPr="00A547F0">
        <w:t xml:space="preserve"> </w:t>
      </w:r>
      <w:r w:rsidR="007C678F">
        <w:t xml:space="preserve">and </w:t>
      </w:r>
      <w:r w:rsidR="007C678F" w:rsidRPr="00A547F0">
        <w:t>aeration</w:t>
      </w:r>
      <w:r w:rsidR="007C678F">
        <w:t xml:space="preserve"> was provided using</w:t>
      </w:r>
      <w:r w:rsidR="007C678F" w:rsidRPr="00A547F0">
        <w:t xml:space="preserve"> </w:t>
      </w:r>
      <w:r w:rsidR="007C678F">
        <w:t xml:space="preserve">the </w:t>
      </w:r>
      <w:r w:rsidR="007C678F" w:rsidRPr="00A547F0">
        <w:t>SOBO air pump, India</w:t>
      </w:r>
      <w:r w:rsidR="007C678F">
        <w:t>.</w:t>
      </w:r>
      <w:r w:rsidR="007C678F" w:rsidRPr="00A547F0">
        <w:t xml:space="preserve"> </w:t>
      </w:r>
      <w:r w:rsidR="007C678F">
        <w:t xml:space="preserve">This was done to ensure the availability of </w:t>
      </w:r>
      <w:r w:rsidR="007C678F" w:rsidRPr="00A547F0">
        <w:t xml:space="preserve">dissolved oxygen </w:t>
      </w:r>
      <w:r w:rsidR="007C678F">
        <w:t>at</w:t>
      </w:r>
      <w:r w:rsidR="007C678F" w:rsidRPr="00A547F0">
        <w:t xml:space="preserve"> the cathode through diffusion</w:t>
      </w:r>
      <w:r w:rsidR="007C678F">
        <w:t xml:space="preserve"> for the reduction reaction</w:t>
      </w:r>
      <w:r w:rsidR="007C678F" w:rsidRPr="00A547F0">
        <w:t xml:space="preserve">. </w:t>
      </w:r>
      <w:r w:rsidR="007C678F">
        <w:t>A 15</w:t>
      </w:r>
      <w:r w:rsidR="007C678F" w:rsidRPr="00A547F0">
        <w:t xml:space="preserve"> g/L salt concentration</w:t>
      </w:r>
      <w:r w:rsidR="007C678F">
        <w:t xml:space="preserve"> </w:t>
      </w:r>
      <w:r w:rsidR="00BD3F46">
        <w:t xml:space="preserve">(NaCl) </w:t>
      </w:r>
      <w:r w:rsidR="007C678F">
        <w:t>was prepared with deionized water and used as an initial input into the desalination chamber</w:t>
      </w:r>
      <w:r w:rsidR="007C678F" w:rsidRPr="00A547F0">
        <w:t xml:space="preserve">. </w:t>
      </w:r>
      <w:bookmarkStart w:id="2" w:name="_Hlk198218112"/>
      <w:r w:rsidR="007C678F" w:rsidRPr="00A547F0">
        <w:rPr>
          <w:color w:val="000000" w:themeColor="text1"/>
        </w:rPr>
        <w:t xml:space="preserve">The MDC was kept for the acclimatization period </w:t>
      </w:r>
      <w:r w:rsidR="007C678F">
        <w:rPr>
          <w:color w:val="000000" w:themeColor="text1"/>
        </w:rPr>
        <w:t xml:space="preserve">of 3-4 weeks, and </w:t>
      </w:r>
      <w:r w:rsidR="007C678F" w:rsidRPr="00A547F0">
        <w:rPr>
          <w:color w:val="000000" w:themeColor="text1"/>
        </w:rPr>
        <w:t>feed</w:t>
      </w:r>
      <w:r w:rsidR="007C678F">
        <w:rPr>
          <w:color w:val="000000" w:themeColor="text1"/>
        </w:rPr>
        <w:t xml:space="preserve"> was changed periodically at an interval of</w:t>
      </w:r>
      <w:r w:rsidR="007C678F" w:rsidRPr="00A547F0">
        <w:rPr>
          <w:color w:val="000000" w:themeColor="text1"/>
        </w:rPr>
        <w:t xml:space="preserve"> every 72 h </w:t>
      </w:r>
      <w:r w:rsidR="007C678F" w:rsidRPr="00A547F0">
        <w:rPr>
          <w:color w:val="000000" w:themeColor="text1"/>
        </w:rPr>
        <w:fldChar w:fldCharType="begin" w:fldLock="1"/>
      </w:r>
      <w:r w:rsidR="007C678F">
        <w:rPr>
          <w:color w:val="000000" w:themeColor="text1"/>
        </w:rPr>
        <w:instrText>ADDIN CSL_CITATION {"citationItems":[{"id":"ITEM-1","itemData":{"DOI":"10.1016/j.jiec.2021.11.001","ISSN":"1226086X","abstract":"For accurate and reproducible MFC experiments, it is important to know when MFCs produce stable cell performance. Herein, four replicate single-chamber MFCs were tested for 17 weeks by using polarization and cyclic voltammetry (CV) tests. The strong MFCs (#2,4,3) showing continuous performance enhancement initially (3rd–9th week) produced good subsequent performance (9th–17th week). The weak MFC-1 experienced a performance drop initially and showed bad subsequent performance. All the MFC performance became stable after 9 weeks. The strong MFCs produced power 2.8–3.6 times higher and anode resistance 7.5–23.9 times lower than the weak. However, their cathode resistances were similar. CV results showed anodic current production increased continuously in all MFCs, indicating anode biofilms kept growing;, MFC performance did not increase accordingly. Anodic CVs had a typical S-shape curve, but those of MFC-1 showed straight lines from the 9th week. The weak MFC-1 showed smaller CV currents and thinner CV curves than those of the strong MFCs. In MFC-1, at the 17th week, the anode resistance reduced by 47%, anodic current and cell performance increased. Regression analysis showed anode resistance was a limiting factor of the weak MFC and cathode resistance was that of the strong MFCs. This result suggests one operating principle: improve anodes in weak MFCs and cathodes in strong MFCs to achieve better MFC performance.","author":[{"dropping-particle":"","family":"H. Tran","given":"Huong","non-dropping-particle":"V.","parse-names":false,"suffix":""},{"dropping-particle":"","family":"Kim","given":"Eojin","non-dropping-particle":"","parse-names":false,"suffix":""},{"dropping-particle":"","family":"Jung","given":"Sokhee P.","non-dropping-particle":"","parse-names":false,"suffix":""}],"container-title":"Journal of Industrial and Engineering Chemistry","id":"ITEM-1","issued":{"date-parts":[["2022","2","25"]]},"page":"269-278","publisher":"Elsevier","title":"Anode biofilm maturation time, stable cell performance time, and time-course electrochemistry in a single-chamber microbial fuel cell with a brush-anode","type":"article-journal","volume":"106"},"uris":["http://www.mendeley.com/documents/?uuid=72cfc354-f878-35c3-a1d8-ee2a56880d4e"]}],"mendeley":{"formattedCitation":"(V. H. Tran, Kim and Jung, 2022)","plainTextFormattedCitation":"(V. H. Tran, Kim and Jung, 2022)","previouslyFormattedCitation":"(V. H. Tran, Kim and Jung, 2022)"},"properties":{"noteIndex":0},"schema":"https://github.com/citation-style-language/schema/raw/master/csl-citation.json"}</w:instrText>
      </w:r>
      <w:r w:rsidR="007C678F" w:rsidRPr="00A547F0">
        <w:rPr>
          <w:color w:val="000000" w:themeColor="text1"/>
        </w:rPr>
        <w:fldChar w:fldCharType="separate"/>
      </w:r>
      <w:r w:rsidR="007C678F" w:rsidRPr="00272022">
        <w:rPr>
          <w:noProof/>
          <w:color w:val="000000" w:themeColor="text1"/>
        </w:rPr>
        <w:t>(</w:t>
      </w:r>
      <w:r w:rsidR="00BD3F46">
        <w:rPr>
          <w:noProof/>
          <w:color w:val="000000" w:themeColor="text1"/>
        </w:rPr>
        <w:t>Tran et al.</w:t>
      </w:r>
      <w:r w:rsidR="007C678F" w:rsidRPr="00272022">
        <w:rPr>
          <w:noProof/>
          <w:color w:val="000000" w:themeColor="text1"/>
        </w:rPr>
        <w:t>, 2022)</w:t>
      </w:r>
      <w:r w:rsidR="007C678F" w:rsidRPr="00A547F0">
        <w:rPr>
          <w:color w:val="000000" w:themeColor="text1"/>
        </w:rPr>
        <w:fldChar w:fldCharType="end"/>
      </w:r>
      <w:r w:rsidR="007C678F" w:rsidRPr="00A547F0">
        <w:rPr>
          <w:color w:val="000000" w:themeColor="text1"/>
        </w:rPr>
        <w:t xml:space="preserve">. </w:t>
      </w:r>
      <w:r w:rsidR="007C678F">
        <w:rPr>
          <w:rStyle w:val="im"/>
          <w:rFonts w:cs="Arial"/>
          <w:bCs/>
          <w:color w:val="000000" w:themeColor="text1"/>
          <w:szCs w:val="18"/>
          <w:shd w:val="clear" w:color="auto" w:fill="FFFFFF"/>
        </w:rPr>
        <w:t xml:space="preserve">A </w:t>
      </w:r>
      <w:r w:rsidR="007C678F" w:rsidRPr="00A547F0">
        <w:rPr>
          <w:rStyle w:val="im"/>
          <w:rFonts w:cs="Arial"/>
          <w:bCs/>
          <w:color w:val="000000" w:themeColor="text1"/>
          <w:szCs w:val="18"/>
          <w:shd w:val="clear" w:color="auto" w:fill="FFFFFF"/>
        </w:rPr>
        <w:t>stable voltage performance</w:t>
      </w:r>
      <w:r w:rsidR="007C678F">
        <w:rPr>
          <w:rStyle w:val="im"/>
          <w:rFonts w:cs="Arial"/>
          <w:bCs/>
          <w:color w:val="000000" w:themeColor="text1"/>
          <w:szCs w:val="18"/>
          <w:shd w:val="clear" w:color="auto" w:fill="FFFFFF"/>
        </w:rPr>
        <w:t xml:space="preserve"> was allowed to be achieved</w:t>
      </w:r>
      <w:r w:rsidR="007C678F" w:rsidRPr="00A547F0">
        <w:rPr>
          <w:rStyle w:val="im"/>
          <w:rFonts w:cs="Arial"/>
          <w:bCs/>
          <w:color w:val="000000" w:themeColor="text1"/>
          <w:szCs w:val="18"/>
          <w:shd w:val="clear" w:color="auto" w:fill="FFFFFF"/>
        </w:rPr>
        <w:t xml:space="preserve"> </w:t>
      </w:r>
      <w:r w:rsidR="007C678F">
        <w:rPr>
          <w:rStyle w:val="im"/>
          <w:rFonts w:cs="Arial"/>
          <w:bCs/>
          <w:color w:val="000000" w:themeColor="text1"/>
          <w:szCs w:val="18"/>
          <w:shd w:val="clear" w:color="auto" w:fill="FFFFFF"/>
        </w:rPr>
        <w:t xml:space="preserve">before carrying out </w:t>
      </w:r>
      <w:r w:rsidR="007C678F" w:rsidRPr="00A547F0">
        <w:rPr>
          <w:rStyle w:val="im"/>
          <w:rFonts w:cs="Arial"/>
          <w:bCs/>
          <w:color w:val="000000" w:themeColor="text1"/>
          <w:szCs w:val="18"/>
          <w:shd w:val="clear" w:color="auto" w:fill="FFFFFF"/>
        </w:rPr>
        <w:t>the individual experiments</w:t>
      </w:r>
      <w:r w:rsidR="007C678F" w:rsidRPr="00A547F0">
        <w:t xml:space="preserve">. </w:t>
      </w:r>
      <w:bookmarkEnd w:id="2"/>
      <w:r w:rsidR="007C678F" w:rsidRPr="00A547F0">
        <w:t xml:space="preserve">The </w:t>
      </w:r>
      <w:r w:rsidR="007C678F">
        <w:t xml:space="preserve">voltages (both </w:t>
      </w:r>
      <w:r w:rsidR="007C678F" w:rsidRPr="00A547F0">
        <w:t>operating voltage (OV) and open circuit voltage (OCV)</w:t>
      </w:r>
      <w:r w:rsidR="007C678F">
        <w:t>)</w:t>
      </w:r>
      <w:r w:rsidR="007C678F" w:rsidRPr="00A547F0">
        <w:t xml:space="preserve"> were recorded with a digital multimeter (Agilent Technologies, Malaysia). </w:t>
      </w:r>
      <w:r w:rsidR="007C678F">
        <w:t>Finally, a p</w:t>
      </w:r>
      <w:r w:rsidR="007C678F" w:rsidRPr="00A547F0">
        <w:t>olarization</w:t>
      </w:r>
      <w:r w:rsidR="007C678F">
        <w:t xml:space="preserve"> experiment was performed</w:t>
      </w:r>
      <w:r w:rsidR="007C678F" w:rsidRPr="00A547F0">
        <w:t xml:space="preserve"> for</w:t>
      </w:r>
      <w:r w:rsidR="007C678F">
        <w:t xml:space="preserve"> recording</w:t>
      </w:r>
      <w:r w:rsidR="007C678F" w:rsidRPr="00A547F0">
        <w:t xml:space="preserve"> the power generation with </w:t>
      </w:r>
      <w:r w:rsidR="007C678F">
        <w:t xml:space="preserve">the </w:t>
      </w:r>
      <w:r w:rsidR="007B3EF3">
        <w:t>changing applied</w:t>
      </w:r>
      <w:r w:rsidR="007C678F" w:rsidRPr="00A547F0">
        <w:t xml:space="preserve"> resistance </w:t>
      </w:r>
      <w:r w:rsidR="007C678F">
        <w:t xml:space="preserve">values </w:t>
      </w:r>
      <w:r w:rsidR="007C678F" w:rsidRPr="00A547F0">
        <w:t>using a Decade, India resistance box</w:t>
      </w:r>
      <w:r w:rsidR="00C26C21">
        <w:t>,</w:t>
      </w:r>
      <w:r w:rsidR="007C678F" w:rsidRPr="00A547F0">
        <w:t xml:space="preserve"> </w:t>
      </w:r>
      <w:r w:rsidR="007C678F">
        <w:t>ranging</w:t>
      </w:r>
      <w:r w:rsidR="007C678F" w:rsidRPr="00A547F0">
        <w:t xml:space="preserve"> </w:t>
      </w:r>
      <w:r w:rsidR="007B3EF3">
        <w:t xml:space="preserve">from </w:t>
      </w:r>
      <w:r w:rsidR="007C678F">
        <w:t>11</w:t>
      </w:r>
      <w:r w:rsidR="007C678F" w:rsidRPr="00A547F0">
        <w:t>,000 Ω to 10 Ω</w:t>
      </w:r>
      <w:r w:rsidR="004D777E">
        <w:t>.</w:t>
      </w:r>
    </w:p>
    <w:p w14:paraId="479C23B9" w14:textId="14CA5532" w:rsidR="00157224" w:rsidRDefault="003342C0" w:rsidP="00A547F0">
      <w:pPr>
        <w:pStyle w:val="CETheadingx"/>
      </w:pPr>
      <w:r>
        <w:t>Analytics</w:t>
      </w:r>
    </w:p>
    <w:p w14:paraId="39C7877C" w14:textId="6ECD5324" w:rsidR="00F36301" w:rsidRPr="00F36301" w:rsidRDefault="006009A2" w:rsidP="00F36301">
      <w:pPr>
        <w:rPr>
          <w:rFonts w:cs="Arial"/>
          <w:szCs w:val="18"/>
        </w:rPr>
      </w:pPr>
      <w:r w:rsidRPr="006009A2">
        <w:rPr>
          <w:rFonts w:cs="Arial"/>
          <w:szCs w:val="18"/>
        </w:rPr>
        <w:t>Polarization was performed, noting the current (</w:t>
      </w:r>
      <w:r w:rsidRPr="00C44BE6">
        <w:rPr>
          <w:rFonts w:cs="Arial"/>
          <w:i/>
          <w:iCs/>
          <w:szCs w:val="18"/>
        </w:rPr>
        <w:t>I</w:t>
      </w:r>
      <w:r w:rsidRPr="006009A2">
        <w:rPr>
          <w:rFonts w:cs="Arial"/>
          <w:szCs w:val="18"/>
        </w:rPr>
        <w:t xml:space="preserve">) </w:t>
      </w:r>
      <w:r w:rsidR="003E0BBB">
        <w:rPr>
          <w:rFonts w:cs="Arial"/>
          <w:szCs w:val="18"/>
        </w:rPr>
        <w:t>i</w:t>
      </w:r>
      <w:r w:rsidR="003E0BBB" w:rsidRPr="006009A2">
        <w:rPr>
          <w:rFonts w:cs="Arial"/>
          <w:szCs w:val="18"/>
        </w:rPr>
        <w:t xml:space="preserve">n </w:t>
      </w:r>
      <w:r w:rsidRPr="006009A2">
        <w:rPr>
          <w:rFonts w:cs="Arial"/>
          <w:szCs w:val="18"/>
        </w:rPr>
        <w:t>the circuit by </w:t>
      </w:r>
      <w:r w:rsidRPr="006009A2">
        <w:rPr>
          <w:rFonts w:cs="Arial"/>
          <w:i/>
          <w:iCs/>
          <w:szCs w:val="18"/>
        </w:rPr>
        <w:t>I = V/R</w:t>
      </w:r>
      <w:r w:rsidRPr="006009A2">
        <w:rPr>
          <w:rFonts w:cs="Arial"/>
          <w:szCs w:val="18"/>
        </w:rPr>
        <w:t>; the power (</w:t>
      </w:r>
      <w:r w:rsidRPr="006009A2">
        <w:rPr>
          <w:rFonts w:cs="Arial"/>
          <w:i/>
          <w:iCs/>
          <w:szCs w:val="18"/>
        </w:rPr>
        <w:t>P</w:t>
      </w:r>
      <w:r w:rsidRPr="006009A2">
        <w:rPr>
          <w:rFonts w:cs="Arial"/>
          <w:szCs w:val="18"/>
        </w:rPr>
        <w:t>) output of the cell was calculated as </w:t>
      </w:r>
      <w:r w:rsidRPr="006009A2">
        <w:rPr>
          <w:rFonts w:cs="Arial"/>
          <w:i/>
          <w:iCs/>
          <w:szCs w:val="18"/>
        </w:rPr>
        <w:t>P = I × V</w:t>
      </w:r>
      <w:r w:rsidRPr="006009A2">
        <w:rPr>
          <w:rFonts w:cs="Arial"/>
          <w:szCs w:val="18"/>
        </w:rPr>
        <w:t>. The polarization curve was generated during the stabilized phase of the MDC operation using a variable resistance ranging from 1100 Ω to 10 Ω, and the corresponding voltage drop at every 30 min</w:t>
      </w:r>
      <w:r w:rsidR="00662EE6">
        <w:rPr>
          <w:rFonts w:cs="Arial"/>
          <w:szCs w:val="18"/>
        </w:rPr>
        <w:t xml:space="preserve"> was recorded</w:t>
      </w:r>
      <w:r w:rsidRPr="006009A2">
        <w:rPr>
          <w:rFonts w:cs="Arial"/>
          <w:szCs w:val="18"/>
        </w:rPr>
        <w:t xml:space="preserve"> using a multimeter. Power density (PD, mW/m</w:t>
      </w:r>
      <w:r w:rsidRPr="006009A2">
        <w:rPr>
          <w:rFonts w:cs="Arial"/>
          <w:szCs w:val="18"/>
          <w:vertAlign w:val="superscript"/>
        </w:rPr>
        <w:t>2</w:t>
      </w:r>
      <w:r w:rsidRPr="006009A2">
        <w:rPr>
          <w:rFonts w:cs="Arial"/>
          <w:szCs w:val="18"/>
        </w:rPr>
        <w:t>) and current density (CD, mA/m</w:t>
      </w:r>
      <w:r w:rsidRPr="006009A2">
        <w:rPr>
          <w:rFonts w:cs="Arial"/>
          <w:szCs w:val="18"/>
          <w:vertAlign w:val="superscript"/>
        </w:rPr>
        <w:t>2</w:t>
      </w:r>
      <w:r w:rsidRPr="006009A2">
        <w:rPr>
          <w:rFonts w:cs="Arial"/>
          <w:szCs w:val="18"/>
        </w:rPr>
        <w:t xml:space="preserve">) were expressed based on the electrode </w:t>
      </w:r>
      <w:r w:rsidR="003E0BBB">
        <w:rPr>
          <w:rFonts w:cs="Arial"/>
          <w:szCs w:val="18"/>
        </w:rPr>
        <w:t xml:space="preserve">projected </w:t>
      </w:r>
      <w:r w:rsidRPr="006009A2">
        <w:rPr>
          <w:rFonts w:cs="Arial"/>
          <w:szCs w:val="18"/>
        </w:rPr>
        <w:t>surface area (16 cm</w:t>
      </w:r>
      <w:r w:rsidRPr="006009A2">
        <w:rPr>
          <w:rFonts w:cs="Arial"/>
          <w:szCs w:val="18"/>
          <w:vertAlign w:val="superscript"/>
        </w:rPr>
        <w:t>2</w:t>
      </w:r>
      <w:r w:rsidRPr="006009A2">
        <w:rPr>
          <w:rFonts w:cs="Arial"/>
          <w:szCs w:val="18"/>
        </w:rPr>
        <w:t>). </w:t>
      </w:r>
      <w:r>
        <w:rPr>
          <w:rFonts w:cs="Arial"/>
          <w:szCs w:val="18"/>
        </w:rPr>
        <w:t>The COD, TDS</w:t>
      </w:r>
      <w:r w:rsidR="00265A65">
        <w:rPr>
          <w:rFonts w:cs="Arial"/>
          <w:szCs w:val="18"/>
        </w:rPr>
        <w:t>,</w:t>
      </w:r>
      <w:r>
        <w:rPr>
          <w:rFonts w:cs="Arial"/>
          <w:szCs w:val="18"/>
        </w:rPr>
        <w:t xml:space="preserve"> and salt removal efficiencies </w:t>
      </w:r>
      <w:r w:rsidR="00662EE6">
        <w:rPr>
          <w:rFonts w:cs="Arial"/>
          <w:szCs w:val="18"/>
        </w:rPr>
        <w:t>were</w:t>
      </w:r>
      <w:r>
        <w:rPr>
          <w:rFonts w:cs="Arial"/>
          <w:szCs w:val="18"/>
        </w:rPr>
        <w:t xml:space="preserve"> estimated </w:t>
      </w:r>
      <w:r w:rsidR="007B2C88">
        <w:rPr>
          <w:rFonts w:cs="Arial"/>
          <w:szCs w:val="18"/>
        </w:rPr>
        <w:t xml:space="preserve">based on the percentage reduction </w:t>
      </w:r>
      <w:r>
        <w:rPr>
          <w:rFonts w:cs="Arial"/>
          <w:szCs w:val="18"/>
        </w:rPr>
        <w:t>from the initial and final values</w:t>
      </w:r>
      <w:r w:rsidR="00F36301">
        <w:rPr>
          <w:rFonts w:cs="Arial"/>
          <w:szCs w:val="18"/>
        </w:rPr>
        <w:t xml:space="preserve"> a</w:t>
      </w:r>
      <w:r w:rsidR="00902FF9">
        <w:rPr>
          <w:rFonts w:cs="Arial"/>
          <w:szCs w:val="18"/>
        </w:rPr>
        <w:t>fter</w:t>
      </w:r>
      <w:r w:rsidR="00F36301">
        <w:rPr>
          <w:rFonts w:cs="Arial"/>
          <w:szCs w:val="18"/>
        </w:rPr>
        <w:t xml:space="preserve"> a 72 h </w:t>
      </w:r>
      <w:r w:rsidR="003F6F2E">
        <w:rPr>
          <w:rFonts w:cs="Arial"/>
          <w:szCs w:val="18"/>
        </w:rPr>
        <w:t>feed cycle time</w:t>
      </w:r>
      <w:r w:rsidR="00F36301">
        <w:rPr>
          <w:rFonts w:cs="Arial"/>
          <w:szCs w:val="18"/>
        </w:rPr>
        <w:t xml:space="preserve"> (</w:t>
      </w:r>
      <w:r w:rsidR="00F36301" w:rsidRPr="00DC13D1">
        <w:t xml:space="preserve">as this duration corresponds to system stabilization and steady-state performance </w:t>
      </w:r>
      <w:r w:rsidR="00571F7E">
        <w:t>of</w:t>
      </w:r>
      <w:r w:rsidR="00F36301" w:rsidRPr="00DC13D1">
        <w:t xml:space="preserve"> batch operation</w:t>
      </w:r>
      <w:r w:rsidR="00571F7E">
        <w:t xml:space="preserve"> of MDC</w:t>
      </w:r>
      <w:r w:rsidR="00F36301">
        <w:t xml:space="preserve">) </w:t>
      </w:r>
      <w:r w:rsidR="00F36301" w:rsidRPr="00A547F0">
        <w:rPr>
          <w:color w:val="000000" w:themeColor="text1"/>
        </w:rPr>
        <w:fldChar w:fldCharType="begin" w:fldLock="1"/>
      </w:r>
      <w:r w:rsidR="00F36301">
        <w:rPr>
          <w:color w:val="000000" w:themeColor="text1"/>
        </w:rPr>
        <w:instrText>ADDIN CSL_CITATION {"citationItems":[{"id":"ITEM-1","itemData":{"DOI":"10.1016/j.jiec.2021.11.001","ISSN":"1226086X","abstract":"For accurate and reproducible MFC experiments, it is important to know when MFCs produce stable cell performance. Herein, four replicate single-chamber MFCs were tested for 17 weeks by using polarization and cyclic voltammetry (CV) tests. The strong MFCs (#2,4,3) showing continuous performance enhancement initially (3rd–9th week) produced good subsequent performance (9th–17th week). The weak MFC-1 experienced a performance drop initially and showed bad subsequent performance. All the MFC performance became stable after 9 weeks. The strong MFCs produced power 2.8–3.6 times higher and anode resistance 7.5–23.9 times lower than the weak. However, their cathode resistances were similar. CV results showed anodic current production increased continuously in all MFCs, indicating anode biofilms kept growing;, MFC performance did not increase accordingly. Anodic CVs had a typical S-shape curve, but those of MFC-1 showed straight lines from the 9th week. The weak MFC-1 showed smaller CV currents and thinner CV curves than those of the strong MFCs. In MFC-1, at the 17th week, the anode resistance reduced by 47%, anodic current and cell performance increased. Regression analysis showed anode resistance was a limiting factor of the weak MFC and cathode resistance was that of the strong MFCs. This result suggests one operating principle: improve anodes in weak MFCs and cathodes in strong MFCs to achieve better MFC performance.","author":[{"dropping-particle":"","family":"H. Tran","given":"Huong","non-dropping-particle":"V.","parse-names":false,"suffix":""},{"dropping-particle":"","family":"Kim","given":"Eojin","non-dropping-particle":"","parse-names":false,"suffix":""},{"dropping-particle":"","family":"Jung","given":"Sokhee P.","non-dropping-particle":"","parse-names":false,"suffix":""}],"container-title":"Journal of Industrial and Engineering Chemistry","id":"ITEM-1","issued":{"date-parts":[["2022","2","25"]]},"page":"269-278","publisher":"Elsevier","title":"Anode biofilm maturation time, stable cell performance time, and time-course electrochemistry in a single-chamber microbial fuel cell with a brush-anode","type":"article-journal","volume":"106"},"uris":["http://www.mendeley.com/documents/?uuid=72cfc354-f878-35c3-a1d8-ee2a56880d4e"]}],"mendeley":{"formattedCitation":"(V. H. Tran, Kim and Jung, 2022)","plainTextFormattedCitation":"(V. H. Tran, Kim and Jung, 2022)","previouslyFormattedCitation":"(V. H. Tran, Kim and Jung, 2022)"},"properties":{"noteIndex":0},"schema":"https://github.com/citation-style-language/schema/raw/master/csl-citation.json"}</w:instrText>
      </w:r>
      <w:r w:rsidR="00F36301" w:rsidRPr="00A547F0">
        <w:rPr>
          <w:color w:val="000000" w:themeColor="text1"/>
        </w:rPr>
        <w:fldChar w:fldCharType="separate"/>
      </w:r>
      <w:r w:rsidR="00F36301" w:rsidRPr="00272022">
        <w:rPr>
          <w:noProof/>
          <w:color w:val="000000" w:themeColor="text1"/>
        </w:rPr>
        <w:t>(</w:t>
      </w:r>
      <w:r w:rsidR="00F36301">
        <w:rPr>
          <w:noProof/>
          <w:color w:val="000000" w:themeColor="text1"/>
        </w:rPr>
        <w:t>Tran et al.</w:t>
      </w:r>
      <w:r w:rsidR="00F36301" w:rsidRPr="00272022">
        <w:rPr>
          <w:noProof/>
          <w:color w:val="000000" w:themeColor="text1"/>
        </w:rPr>
        <w:t>, 2022)</w:t>
      </w:r>
      <w:r w:rsidR="00F36301" w:rsidRPr="00A547F0">
        <w:rPr>
          <w:color w:val="000000" w:themeColor="text1"/>
        </w:rPr>
        <w:fldChar w:fldCharType="end"/>
      </w:r>
      <w:r w:rsidR="001846E7">
        <w:rPr>
          <w:rFonts w:cs="Arial"/>
          <w:szCs w:val="18"/>
        </w:rPr>
        <w:t>.</w:t>
      </w:r>
    </w:p>
    <w:p w14:paraId="338D2846" w14:textId="77777777" w:rsidR="005A0176" w:rsidRDefault="005A0176" w:rsidP="0082263C">
      <w:pPr>
        <w:spacing w:after="120" w:line="276" w:lineRule="auto"/>
        <w:rPr>
          <w:rFonts w:cs="Arial"/>
          <w:szCs w:val="18"/>
        </w:rPr>
      </w:pPr>
    </w:p>
    <w:p w14:paraId="43C6E693" w14:textId="77777777" w:rsidR="005A0176" w:rsidRPr="0082263C" w:rsidRDefault="005A0176" w:rsidP="0082263C">
      <w:pPr>
        <w:spacing w:after="120" w:line="276" w:lineRule="auto"/>
        <w:rPr>
          <w:rFonts w:cs="Arial"/>
          <w:szCs w:val="18"/>
        </w:rPr>
      </w:pPr>
    </w:p>
    <w:p w14:paraId="677EBFF0" w14:textId="25DF2627" w:rsidR="00600535" w:rsidRPr="00B57B36" w:rsidRDefault="003342C0" w:rsidP="00600535">
      <w:pPr>
        <w:pStyle w:val="CETHeading1"/>
        <w:tabs>
          <w:tab w:val="clear" w:pos="360"/>
          <w:tab w:val="right" w:pos="7100"/>
        </w:tabs>
        <w:jc w:val="both"/>
        <w:rPr>
          <w:lang w:val="en-GB"/>
        </w:rPr>
      </w:pPr>
      <w:r>
        <w:rPr>
          <w:lang w:val="en-GB"/>
        </w:rPr>
        <w:lastRenderedPageBreak/>
        <w:t>Results and discussion</w:t>
      </w:r>
    </w:p>
    <w:p w14:paraId="04963A06" w14:textId="128D314C" w:rsidR="00600535" w:rsidRDefault="00157224" w:rsidP="00FA5F5F">
      <w:pPr>
        <w:pStyle w:val="CETheadingx"/>
      </w:pPr>
      <w:r>
        <w:t>Catalyst characterisation</w:t>
      </w:r>
    </w:p>
    <w:p w14:paraId="62FDE989" w14:textId="06146014" w:rsidR="000E73C4" w:rsidRPr="000E73C4" w:rsidRDefault="00614CA1" w:rsidP="00314125">
      <w:pPr>
        <w:pStyle w:val="CETBodytext"/>
        <w:spacing w:line="240" w:lineRule="auto"/>
        <w:rPr>
          <w:rFonts w:cs="Arial"/>
          <w:lang w:val="en-IN"/>
        </w:rPr>
      </w:pPr>
      <w:r w:rsidRPr="00F4033C">
        <w:rPr>
          <w:rFonts w:cs="Arial"/>
        </w:rPr>
        <w:t xml:space="preserve">The </w:t>
      </w:r>
      <w:r w:rsidR="00F5041C">
        <w:rPr>
          <w:rFonts w:cs="Arial"/>
        </w:rPr>
        <w:t>CV</w:t>
      </w:r>
      <w:r w:rsidR="00314125">
        <w:rPr>
          <w:rFonts w:cs="Arial"/>
        </w:rPr>
        <w:t xml:space="preserve"> of the synthesised MOF Zif-8-ZiF67 cathode catalyst </w:t>
      </w:r>
      <w:r w:rsidRPr="00F4033C">
        <w:rPr>
          <w:rFonts w:cs="Arial"/>
        </w:rPr>
        <w:t>(Fig. 2a</w:t>
      </w:r>
      <w:r w:rsidR="00314125">
        <w:rPr>
          <w:rFonts w:cs="Arial"/>
        </w:rPr>
        <w:t xml:space="preserve">) </w:t>
      </w:r>
      <w:r w:rsidR="00314125">
        <w:rPr>
          <w:rFonts w:cs="Arial"/>
          <w:lang w:val="en-IN"/>
        </w:rPr>
        <w:t>showed</w:t>
      </w:r>
      <w:r w:rsidR="00F4033C" w:rsidRPr="00F4033C">
        <w:rPr>
          <w:rFonts w:cs="Arial"/>
          <w:lang w:val="en-IN"/>
        </w:rPr>
        <w:t xml:space="preserve"> well-defined anodic and cathodic </w:t>
      </w:r>
      <w:r w:rsidR="00314125">
        <w:rPr>
          <w:rFonts w:cs="Arial"/>
          <w:lang w:val="en-IN"/>
        </w:rPr>
        <w:t>peaks</w:t>
      </w:r>
      <w:r w:rsidR="00F4033C" w:rsidRPr="00F4033C">
        <w:rPr>
          <w:rFonts w:cs="Arial"/>
          <w:lang w:val="en-IN"/>
        </w:rPr>
        <w:t xml:space="preserve">, </w:t>
      </w:r>
      <w:r w:rsidR="00314125">
        <w:rPr>
          <w:rFonts w:cs="Arial"/>
          <w:lang w:val="en-IN"/>
        </w:rPr>
        <w:t>attributing to the</w:t>
      </w:r>
      <w:r w:rsidR="00F4033C" w:rsidRPr="00F4033C">
        <w:rPr>
          <w:rFonts w:cs="Arial"/>
          <w:lang w:val="en-IN"/>
        </w:rPr>
        <w:t xml:space="preserve"> electrochemical activity and reversible redox behaviour</w:t>
      </w:r>
      <w:r w:rsidR="00314125">
        <w:rPr>
          <w:rFonts w:cs="Arial"/>
          <w:lang w:val="en-IN"/>
        </w:rPr>
        <w:t>.</w:t>
      </w:r>
      <w:r w:rsidR="003A74F6">
        <w:rPr>
          <w:rFonts w:cs="Arial"/>
          <w:lang w:val="en-IN"/>
        </w:rPr>
        <w:t xml:space="preserve"> At</w:t>
      </w:r>
      <w:r w:rsidR="00F4033C" w:rsidRPr="00F4033C">
        <w:rPr>
          <w:rFonts w:cs="Arial"/>
          <w:lang w:val="en-IN"/>
        </w:rPr>
        <w:t xml:space="preserve"> different scan rates</w:t>
      </w:r>
      <w:r w:rsidR="00314125">
        <w:rPr>
          <w:rFonts w:cs="Arial"/>
          <w:lang w:val="en-IN"/>
        </w:rPr>
        <w:t>,</w:t>
      </w:r>
      <w:r w:rsidR="00F4033C" w:rsidRPr="00F4033C">
        <w:rPr>
          <w:rFonts w:cs="Arial"/>
          <w:lang w:val="en-IN"/>
        </w:rPr>
        <w:t xml:space="preserve"> </w:t>
      </w:r>
      <w:r w:rsidR="00314125">
        <w:rPr>
          <w:rFonts w:cs="Arial"/>
          <w:lang w:val="en-IN"/>
        </w:rPr>
        <w:t xml:space="preserve">it </w:t>
      </w:r>
      <w:r w:rsidR="00F4033C" w:rsidRPr="00F4033C">
        <w:rPr>
          <w:rFonts w:cs="Arial"/>
          <w:lang w:val="en-IN"/>
        </w:rPr>
        <w:t>display</w:t>
      </w:r>
      <w:r w:rsidR="00314125">
        <w:rPr>
          <w:rFonts w:cs="Arial"/>
          <w:lang w:val="en-IN"/>
        </w:rPr>
        <w:t>ed</w:t>
      </w:r>
      <w:r w:rsidR="00F4033C" w:rsidRPr="00F4033C">
        <w:rPr>
          <w:rFonts w:cs="Arial"/>
          <w:lang w:val="en-IN"/>
        </w:rPr>
        <w:t xml:space="preserve"> an increase</w:t>
      </w:r>
      <w:r w:rsidR="00314125">
        <w:rPr>
          <w:rFonts w:cs="Arial"/>
          <w:lang w:val="en-IN"/>
        </w:rPr>
        <w:t>d</w:t>
      </w:r>
      <w:r w:rsidR="00F4033C" w:rsidRPr="00F4033C">
        <w:rPr>
          <w:rFonts w:cs="Arial"/>
          <w:lang w:val="en-IN"/>
        </w:rPr>
        <w:t xml:space="preserve"> current response with increasing scan rate, confirm</w:t>
      </w:r>
      <w:r w:rsidR="00314125">
        <w:rPr>
          <w:rFonts w:cs="Arial"/>
          <w:lang w:val="en-IN"/>
        </w:rPr>
        <w:t>ing an</w:t>
      </w:r>
      <w:r w:rsidR="00F4033C" w:rsidRPr="00F4033C">
        <w:rPr>
          <w:rFonts w:cs="Arial"/>
          <w:lang w:val="en-IN"/>
        </w:rPr>
        <w:t xml:space="preserve"> effective charge transport and electroactive surface accessibility of the catalyst.</w:t>
      </w:r>
      <w:r w:rsidR="00314125">
        <w:rPr>
          <w:rFonts w:cs="Arial"/>
          <w:lang w:val="en-IN"/>
        </w:rPr>
        <w:t xml:space="preserve"> </w:t>
      </w:r>
      <w:r w:rsidR="00F5041C" w:rsidRPr="00314125">
        <w:rPr>
          <w:rFonts w:cs="Arial"/>
          <w:lang w:val="en-IN"/>
        </w:rPr>
        <w:t xml:space="preserve">The onset potential for ORR </w:t>
      </w:r>
      <w:r w:rsidR="00F5041C">
        <w:rPr>
          <w:rFonts w:cs="Arial"/>
          <w:lang w:val="en-IN"/>
        </w:rPr>
        <w:t>was</w:t>
      </w:r>
      <w:r w:rsidR="00F5041C" w:rsidRPr="00314125">
        <w:rPr>
          <w:rFonts w:cs="Arial"/>
          <w:lang w:val="en-IN"/>
        </w:rPr>
        <w:t xml:space="preserve"> observed at approximately −0.15 to −0.20 V (vs Ag/AgCl</w:t>
      </w:r>
      <w:r w:rsidR="00F5041C">
        <w:rPr>
          <w:rFonts w:cs="Arial"/>
          <w:lang w:val="en-IN"/>
        </w:rPr>
        <w:t>), and t</w:t>
      </w:r>
      <w:r w:rsidR="00F5041C" w:rsidRPr="000E73C4">
        <w:rPr>
          <w:rFonts w:cs="Arial"/>
          <w:lang w:val="en-IN"/>
        </w:rPr>
        <w:t>he peak cathodic current density increase</w:t>
      </w:r>
      <w:r w:rsidR="00F5041C" w:rsidRPr="00314125">
        <w:rPr>
          <w:rFonts w:cs="Arial"/>
          <w:lang w:val="en-IN"/>
        </w:rPr>
        <w:t>d</w:t>
      </w:r>
      <w:r w:rsidR="00F5041C" w:rsidRPr="000E73C4">
        <w:rPr>
          <w:rFonts w:cs="Arial"/>
          <w:lang w:val="en-IN"/>
        </w:rPr>
        <w:t xml:space="preserve"> progressively with scan rate, reaching values in the range of 3.5–5.2 mA</w:t>
      </w:r>
      <w:r w:rsidR="004206DC">
        <w:rPr>
          <w:rFonts w:cs="Arial"/>
          <w:lang w:val="en-IN"/>
        </w:rPr>
        <w:t>/cm</w:t>
      </w:r>
      <w:r w:rsidR="004206DC" w:rsidRPr="004206DC">
        <w:rPr>
          <w:rFonts w:cs="Arial"/>
          <w:vertAlign w:val="superscript"/>
          <w:lang w:val="en-IN"/>
        </w:rPr>
        <w:t>2</w:t>
      </w:r>
      <w:r w:rsidR="00F5041C" w:rsidRPr="000E73C4">
        <w:rPr>
          <w:rFonts w:cs="Arial"/>
          <w:lang w:val="en-IN"/>
        </w:rPr>
        <w:t>, suggesting improved electron transfer and abundant electrochemically active sites.</w:t>
      </w:r>
      <w:r w:rsidR="00F5041C">
        <w:rPr>
          <w:rFonts w:cs="Arial"/>
          <w:lang w:val="en-IN"/>
        </w:rPr>
        <w:t xml:space="preserve"> </w:t>
      </w:r>
      <w:r w:rsidR="00314125">
        <w:rPr>
          <w:rFonts w:cs="Arial"/>
          <w:lang w:val="en-IN"/>
        </w:rPr>
        <w:t xml:space="preserve">Further,  </w:t>
      </w:r>
      <w:r w:rsidR="003A74F6">
        <w:rPr>
          <w:rFonts w:cs="Arial"/>
          <w:lang w:val="en-IN"/>
        </w:rPr>
        <w:t>t</w:t>
      </w:r>
      <w:r w:rsidR="00314125" w:rsidRPr="000E73C4">
        <w:rPr>
          <w:rFonts w:cs="Arial"/>
          <w:lang w:val="en-IN"/>
        </w:rPr>
        <w:t>he quasi-rectangular shape of the CV curves, along with minimal peak separation, indicate</w:t>
      </w:r>
      <w:r w:rsidR="00314125">
        <w:rPr>
          <w:rFonts w:cs="Arial"/>
          <w:lang w:val="en-IN"/>
        </w:rPr>
        <w:t>d</w:t>
      </w:r>
      <w:r w:rsidR="00314125" w:rsidRPr="000E73C4">
        <w:rPr>
          <w:rFonts w:cs="Arial"/>
          <w:lang w:val="en-IN"/>
        </w:rPr>
        <w:t xml:space="preserve"> a combination of double-layer capacitance and pseudocapacitive </w:t>
      </w:r>
      <w:r w:rsidR="00314125" w:rsidRPr="00314125">
        <w:rPr>
          <w:rFonts w:cs="Arial"/>
          <w:lang w:val="en-IN"/>
        </w:rPr>
        <w:t>behaviour</w:t>
      </w:r>
      <w:r w:rsidR="00314125" w:rsidRPr="000E73C4">
        <w:rPr>
          <w:rFonts w:cs="Arial"/>
          <w:lang w:val="en-IN"/>
        </w:rPr>
        <w:t>, attributed to metal–nitrogen coordination sites (Co–N/Zn–N) and high porosity</w:t>
      </w:r>
      <w:r w:rsidR="00F07352">
        <w:rPr>
          <w:rFonts w:cs="Arial"/>
          <w:lang w:val="en-IN"/>
        </w:rPr>
        <w:t xml:space="preserve"> </w:t>
      </w:r>
      <w:r w:rsidR="00F07352">
        <w:rPr>
          <w:rFonts w:cs="Arial"/>
          <w:lang w:val="en-IN"/>
        </w:rPr>
        <w:fldChar w:fldCharType="begin" w:fldLock="1"/>
      </w:r>
      <w:r w:rsidR="002163B3">
        <w:rPr>
          <w:rFonts w:cs="Arial"/>
          <w:lang w:val="en-IN"/>
        </w:rPr>
        <w:instrText>ADDIN CSL_CITATION {"citationItems":[{"id":"ITEM-1","itemData":{"DOI":"10.1016/j.jssc.2018.04.035","ISSN":"1095726X","abstract":"P/Ni/Co/NC electrocatalyst (NC is the abbreviation of nitrogen-doped graphitic carbon), with polyhedral morphology and porous structure, was successfully synthesized by using ZIF-67 as precursor. The doping of Ni and P elements have great influence on the structure and properties of the catalyst. All of the synthesized samples were characterized by X-ray diffraction (XRD), scanning electron microscopy (SEM), energy dispersive spectroscopy (EDS) and transmission electron microscope (TEM). The ORR activities of all samples was evaluated by linear sweep voltammetry (LSV) and rotating disk electrode (RDE) technology. The results show that the P/Ni/Co/NC has porous structure and excellent ORR properties. The ORR onset potential of P/Ni/Co/NC is 0.872 V, which is higher than Co/NC (0.847 V) and Ni/Co/NC (0.856 V). And its Tafel slope value (64 mV/dec) is smaller than Ni/Co/NC (86 mV/dec) and Co/NC (97 mV/dec). The excellent ORR activities of P/Ni/Co/NC make its potential to be used as electrocatalyst for fuel cell applications.","author":[{"dropping-particle":"","family":"Li","given":"Ling","non-dropping-particle":"","parse-names":false,"suffix":""},{"dropping-particle":"","family":"Xie","given":"Weixuan","non-dropping-particle":"","parse-names":false,"suffix":""},{"dropping-particle":"","family":"Chen","given":"Juan","non-dropping-particle":"","parse-names":false,"suffix":""},{"dropping-particle":"","family":"Yang","given":"Juan","non-dropping-particle":"","parse-names":false,"suffix":""}],"container-title":"Journal of Solid State Chemistry","id":"ITEM-1","issued":{"date-parts":[["2018","8","1"]]},"page":"1-5","publisher":"Academic Press Inc.","title":"ZIF-67 derived P/Ni/Co/NC nanoparticles as highly efficient electrocatalyst for oxygen reduction reaction (ORR)","type":"article-journal","volume":"264"},"uris":["http://www.mendeley.com/documents/?uuid=58608b22-4f34-3a81-844d-ea15fda028b9"]}],"mendeley":{"formattedCitation":"(Li &lt;i&gt;et al.&lt;/i&gt;, 2018)","plainTextFormattedCitation":"(Li et al., 2018)","previouslyFormattedCitation":"(Li &lt;i&gt;et al.&lt;/i&gt;, 2018)"},"properties":{"noteIndex":0},"schema":"https://github.com/citation-style-language/schema/raw/master/csl-citation.json"}</w:instrText>
      </w:r>
      <w:r w:rsidR="00F07352">
        <w:rPr>
          <w:rFonts w:cs="Arial"/>
          <w:lang w:val="en-IN"/>
        </w:rPr>
        <w:fldChar w:fldCharType="separate"/>
      </w:r>
      <w:r w:rsidR="00F07352" w:rsidRPr="00F07352">
        <w:rPr>
          <w:rFonts w:cs="Arial"/>
          <w:noProof/>
          <w:lang w:val="en-IN"/>
        </w:rPr>
        <w:t xml:space="preserve">(Li </w:t>
      </w:r>
      <w:r w:rsidR="00F07352" w:rsidRPr="00F07352">
        <w:rPr>
          <w:rFonts w:cs="Arial"/>
          <w:i/>
          <w:noProof/>
          <w:lang w:val="en-IN"/>
        </w:rPr>
        <w:t>et al.</w:t>
      </w:r>
      <w:r w:rsidR="00F07352" w:rsidRPr="00F07352">
        <w:rPr>
          <w:rFonts w:cs="Arial"/>
          <w:noProof/>
          <w:lang w:val="en-IN"/>
        </w:rPr>
        <w:t>, 2018)</w:t>
      </w:r>
      <w:r w:rsidR="00F07352">
        <w:rPr>
          <w:rFonts w:cs="Arial"/>
          <w:lang w:val="en-IN"/>
        </w:rPr>
        <w:fldChar w:fldCharType="end"/>
      </w:r>
      <w:r w:rsidR="00314125" w:rsidRPr="000E73C4">
        <w:rPr>
          <w:rFonts w:cs="Arial"/>
          <w:lang w:val="en-IN"/>
        </w:rPr>
        <w:t>.</w:t>
      </w:r>
      <w:r w:rsidR="00314125">
        <w:rPr>
          <w:rFonts w:cs="Arial"/>
          <w:lang w:val="en-IN"/>
        </w:rPr>
        <w:t xml:space="preserve"> </w:t>
      </w:r>
      <w:r w:rsidR="00F4033C" w:rsidRPr="00F4033C">
        <w:rPr>
          <w:rFonts w:cs="Arial"/>
          <w:lang w:val="en-IN"/>
        </w:rPr>
        <w:t>This behaviour is characteristic of MOF-based and MOF-derived catalysts, where the presence of metal–nitrogen coordination sites and porous carbon frameworks facilitates fast electron transfer and electrolyte penetration.</w:t>
      </w:r>
      <w:r w:rsidR="00F4033C">
        <w:rPr>
          <w:rFonts w:cs="Arial"/>
          <w:lang w:val="en-IN"/>
        </w:rPr>
        <w:t xml:space="preserve"> </w:t>
      </w:r>
      <w:r w:rsidR="000E73C4" w:rsidRPr="000E73C4">
        <w:rPr>
          <w:rFonts w:cs="Arial"/>
          <w:lang w:val="en-IN"/>
        </w:rPr>
        <w:t xml:space="preserve">The linear relationship between peak current and </w:t>
      </w:r>
      <w:r w:rsidR="00314125">
        <w:rPr>
          <w:rFonts w:cs="Arial"/>
          <w:lang w:val="en-IN"/>
        </w:rPr>
        <w:t xml:space="preserve">the </w:t>
      </w:r>
      <w:r w:rsidR="000E73C4" w:rsidRPr="000E73C4">
        <w:rPr>
          <w:rFonts w:cs="Arial"/>
          <w:lang w:val="en-IN"/>
        </w:rPr>
        <w:t>square root of scan rate confirms a diffusion-controlled ORR process, favo</w:t>
      </w:r>
      <w:r w:rsidR="00314125" w:rsidRPr="00314125">
        <w:rPr>
          <w:rFonts w:cs="Arial"/>
          <w:lang w:val="en-IN"/>
        </w:rPr>
        <w:t>u</w:t>
      </w:r>
      <w:r w:rsidR="000E73C4" w:rsidRPr="000E73C4">
        <w:rPr>
          <w:rFonts w:cs="Arial"/>
          <w:lang w:val="en-IN"/>
        </w:rPr>
        <w:t>rable for sustained cathodic performance in MDC operation.</w:t>
      </w:r>
    </w:p>
    <w:p w14:paraId="1B19FBAC" w14:textId="0AB17827" w:rsidR="00314125" w:rsidRPr="000E73C4" w:rsidRDefault="00314125" w:rsidP="00314125">
      <w:pPr>
        <w:pStyle w:val="CETBodytext"/>
        <w:spacing w:line="240" w:lineRule="auto"/>
        <w:rPr>
          <w:rFonts w:cs="Arial"/>
          <w:lang w:val="en-IN"/>
        </w:rPr>
      </w:pPr>
      <w:r w:rsidRPr="00314125">
        <w:rPr>
          <w:rFonts w:cs="Arial"/>
          <w:lang w:val="en-IN"/>
        </w:rPr>
        <w:t xml:space="preserve">The Nyquist plot </w:t>
      </w:r>
      <w:r w:rsidR="00F5041C">
        <w:rPr>
          <w:rFonts w:cs="Arial"/>
          <w:lang w:val="en-IN"/>
        </w:rPr>
        <w:t>(Fig. 2b)</w:t>
      </w:r>
      <w:r w:rsidR="003A74F6">
        <w:rPr>
          <w:rFonts w:cs="Arial"/>
          <w:lang w:val="en-IN"/>
        </w:rPr>
        <w:t xml:space="preserve"> </w:t>
      </w:r>
      <w:r w:rsidRPr="00314125">
        <w:rPr>
          <w:rFonts w:cs="Arial"/>
          <w:lang w:val="en-IN"/>
        </w:rPr>
        <w:t>display</w:t>
      </w:r>
      <w:r>
        <w:rPr>
          <w:rFonts w:cs="Arial"/>
          <w:lang w:val="en-IN"/>
        </w:rPr>
        <w:t>ed</w:t>
      </w:r>
      <w:r w:rsidRPr="00314125">
        <w:rPr>
          <w:rFonts w:cs="Arial"/>
          <w:lang w:val="en-IN"/>
        </w:rPr>
        <w:t xml:space="preserve"> a small semicircle in the high-frequency region, followed by a linear Warburg tail at low frequencies. The solution resistance (</w:t>
      </w:r>
      <w:r w:rsidRPr="00C44BE6">
        <w:rPr>
          <w:rFonts w:cs="Arial"/>
          <w:i/>
          <w:iCs/>
          <w:lang w:val="en-IN"/>
        </w:rPr>
        <w:t>R</w:t>
      </w:r>
      <w:r w:rsidRPr="00C44BE6">
        <w:rPr>
          <w:rFonts w:cs="Arial"/>
          <w:i/>
          <w:iCs/>
          <w:vertAlign w:val="subscript"/>
          <w:lang w:val="en-IN"/>
        </w:rPr>
        <w:t>s</w:t>
      </w:r>
      <w:r w:rsidRPr="00314125">
        <w:rPr>
          <w:rFonts w:cs="Arial"/>
          <w:lang w:val="en-IN"/>
        </w:rPr>
        <w:t xml:space="preserve">), obtained from the high-frequency intercept, </w:t>
      </w:r>
      <w:r w:rsidR="002C7C4A">
        <w:rPr>
          <w:rFonts w:cs="Arial"/>
          <w:lang w:val="en-IN"/>
        </w:rPr>
        <w:t xml:space="preserve">was about </w:t>
      </w:r>
      <w:r w:rsidR="00BE454B">
        <w:rPr>
          <w:rFonts w:cs="Arial"/>
          <w:lang w:val="en-IN"/>
        </w:rPr>
        <w:t xml:space="preserve">11 </w:t>
      </w:r>
      <w:r w:rsidRPr="00314125">
        <w:rPr>
          <w:rFonts w:cs="Arial"/>
          <w:lang w:val="en-IN"/>
        </w:rPr>
        <w:t xml:space="preserve">Ω, indicating good electrolyte conductivity. </w:t>
      </w:r>
      <w:r w:rsidRPr="000E73C4">
        <w:rPr>
          <w:rFonts w:cs="Arial"/>
          <w:lang w:val="en-IN"/>
        </w:rPr>
        <w:t>The charge transfer resistance (</w:t>
      </w:r>
      <w:r w:rsidRPr="00C44BE6">
        <w:rPr>
          <w:rFonts w:cs="Arial"/>
          <w:i/>
          <w:iCs/>
          <w:lang w:val="en-IN"/>
        </w:rPr>
        <w:t>R</w:t>
      </w:r>
      <w:r w:rsidRPr="00C44BE6">
        <w:rPr>
          <w:rFonts w:cs="Arial"/>
          <w:i/>
          <w:iCs/>
          <w:vertAlign w:val="subscript"/>
          <w:lang w:val="en-IN"/>
        </w:rPr>
        <w:t>ct</w:t>
      </w:r>
      <w:r w:rsidRPr="000E73C4">
        <w:rPr>
          <w:rFonts w:cs="Arial"/>
          <w:lang w:val="en-IN"/>
        </w:rPr>
        <w:t xml:space="preserve">) for the MOF-coated cathode is notably low, estimated at </w:t>
      </w:r>
      <w:r w:rsidR="00B25917">
        <w:rPr>
          <w:rFonts w:cs="Arial"/>
          <w:lang w:val="en-IN"/>
        </w:rPr>
        <w:t>49 Ω</w:t>
      </w:r>
      <w:r w:rsidRPr="000E73C4">
        <w:rPr>
          <w:rFonts w:cs="Arial"/>
          <w:lang w:val="en-IN"/>
        </w:rPr>
        <w:t>, which is significantly smaller than that of unmodified carbon cathodes (&gt;</w:t>
      </w:r>
      <w:r w:rsidR="00B25917">
        <w:rPr>
          <w:rFonts w:cs="Arial"/>
          <w:lang w:val="en-IN"/>
        </w:rPr>
        <w:t>120</w:t>
      </w:r>
      <w:r w:rsidRPr="000E73C4">
        <w:rPr>
          <w:rFonts w:cs="Arial"/>
          <w:lang w:val="en-IN"/>
        </w:rPr>
        <w:t xml:space="preserve"> Ω). This low </w:t>
      </w:r>
      <w:r w:rsidRPr="00C44BE6">
        <w:rPr>
          <w:rFonts w:cs="Arial"/>
          <w:i/>
          <w:iCs/>
          <w:lang w:val="en-IN"/>
        </w:rPr>
        <w:t>R</w:t>
      </w:r>
      <w:r w:rsidRPr="00C44BE6">
        <w:rPr>
          <w:rFonts w:cs="Arial"/>
          <w:i/>
          <w:iCs/>
          <w:vertAlign w:val="subscript"/>
          <w:lang w:val="en-IN"/>
        </w:rPr>
        <w:t>ct</w:t>
      </w:r>
      <w:r w:rsidRPr="000E73C4">
        <w:rPr>
          <w:rFonts w:cs="Arial"/>
          <w:vertAlign w:val="subscript"/>
          <w:lang w:val="en-IN"/>
        </w:rPr>
        <w:t xml:space="preserve"> </w:t>
      </w:r>
      <w:r w:rsidRPr="000E73C4">
        <w:rPr>
          <w:rFonts w:cs="Arial"/>
          <w:lang w:val="en-IN"/>
        </w:rPr>
        <w:t>confirm</w:t>
      </w:r>
      <w:r w:rsidR="00C31F29">
        <w:rPr>
          <w:rFonts w:cs="Arial"/>
          <w:lang w:val="en-IN"/>
        </w:rPr>
        <w:t>ed</w:t>
      </w:r>
      <w:r w:rsidRPr="000E73C4">
        <w:rPr>
          <w:rFonts w:cs="Arial"/>
          <w:lang w:val="en-IN"/>
        </w:rPr>
        <w:t xml:space="preserve"> fast ORR kinetics and efficient charge transfer, enabled by conductive pathways and exposed metal active sites. The low-frequency linear region reflect</w:t>
      </w:r>
      <w:r w:rsidR="00C31F29">
        <w:rPr>
          <w:rFonts w:cs="Arial"/>
          <w:lang w:val="en-IN"/>
        </w:rPr>
        <w:t>ed</w:t>
      </w:r>
      <w:r w:rsidRPr="000E73C4">
        <w:rPr>
          <w:rFonts w:cs="Arial"/>
          <w:lang w:val="en-IN"/>
        </w:rPr>
        <w:t xml:space="preserve"> efficient oxygen diffusion, supported by the porous ZIF framework. Overall, the reduced impedance confirm</w:t>
      </w:r>
      <w:r w:rsidR="00C31F29">
        <w:rPr>
          <w:rFonts w:cs="Arial"/>
          <w:lang w:val="en-IN"/>
        </w:rPr>
        <w:t>ed</w:t>
      </w:r>
      <w:r w:rsidRPr="000E73C4">
        <w:rPr>
          <w:rFonts w:cs="Arial"/>
          <w:lang w:val="en-IN"/>
        </w:rPr>
        <w:t xml:space="preserve"> strong electrode–electrolyte interaction and catalytic robustness.</w:t>
      </w:r>
    </w:p>
    <w:p w14:paraId="64FABDE0" w14:textId="1792F86D" w:rsidR="00157224" w:rsidRPr="002D3EAA" w:rsidRDefault="002D3EAA" w:rsidP="00C44BE6">
      <w:pPr>
        <w:pStyle w:val="CETBodytext"/>
        <w:spacing w:after="120" w:line="240" w:lineRule="auto"/>
        <w:rPr>
          <w:rFonts w:cs="Arial"/>
        </w:rPr>
      </w:pPr>
      <w:r w:rsidRPr="002D3EAA">
        <w:rPr>
          <w:rFonts w:cs="Arial"/>
          <w:lang w:val="en-GB"/>
        </w:rPr>
        <w:t>The XRD pattern of the synthesized cathode catalyst exhibit</w:t>
      </w:r>
      <w:r w:rsidR="00EE3E09">
        <w:rPr>
          <w:rFonts w:cs="Arial"/>
          <w:lang w:val="en-GB"/>
        </w:rPr>
        <w:t>ed</w:t>
      </w:r>
      <w:r w:rsidRPr="002D3EAA">
        <w:rPr>
          <w:rFonts w:cs="Arial"/>
          <w:lang w:val="en-GB"/>
        </w:rPr>
        <w:t xml:space="preserve"> distinct</w:t>
      </w:r>
      <w:r w:rsidR="00C31F29">
        <w:rPr>
          <w:rFonts w:cs="Arial"/>
          <w:lang w:val="en-GB"/>
        </w:rPr>
        <w:t>,</w:t>
      </w:r>
      <w:r w:rsidRPr="002D3EAA">
        <w:rPr>
          <w:rFonts w:cs="Arial"/>
          <w:lang w:val="en-GB"/>
        </w:rPr>
        <w:t xml:space="preserve"> sharp diffraction peaks at characteristic 2θ values that align</w:t>
      </w:r>
      <w:r w:rsidR="00EE3E09">
        <w:rPr>
          <w:rFonts w:cs="Arial"/>
          <w:lang w:val="en-GB"/>
        </w:rPr>
        <w:t>ed</w:t>
      </w:r>
      <w:r w:rsidRPr="002D3EAA">
        <w:rPr>
          <w:rFonts w:cs="Arial"/>
          <w:lang w:val="en-GB"/>
        </w:rPr>
        <w:t xml:space="preserve"> well with the crystalline frameworks of zeolitic imidazolate, particularly ZIF-8 and ZIF-67. In ZIF-8, reported intense reflections at approximately 7.3°, 10.4°, 12.7°, and 18.0° indicati</w:t>
      </w:r>
      <w:r w:rsidR="00EE3E09">
        <w:rPr>
          <w:rFonts w:cs="Arial"/>
          <w:lang w:val="en-GB"/>
        </w:rPr>
        <w:t>ng</w:t>
      </w:r>
      <w:r w:rsidRPr="002D3EAA">
        <w:rPr>
          <w:rFonts w:cs="Arial"/>
          <w:lang w:val="en-GB"/>
        </w:rPr>
        <w:t xml:space="preserve"> a sodalite-type topology derived from Zn(II) and 2-methylimidazole ligands. Similarly, ZIF-67 exhibits analogous peak positions due to isostructural Co(II) coordination</w:t>
      </w:r>
      <w:r w:rsidR="00FF1A36">
        <w:rPr>
          <w:rFonts w:cs="Arial"/>
          <w:lang w:val="en-GB"/>
        </w:rPr>
        <w:t xml:space="preserve"> </w:t>
      </w:r>
      <w:r w:rsidR="00F07352">
        <w:rPr>
          <w:rFonts w:cs="Arial"/>
          <w:lang w:val="en-GB"/>
        </w:rPr>
        <w:fldChar w:fldCharType="begin" w:fldLock="1"/>
      </w:r>
      <w:r w:rsidR="002163B3">
        <w:rPr>
          <w:rFonts w:cs="Arial"/>
          <w:lang w:val="en-GB"/>
        </w:rPr>
        <w:instrText>ADDIN CSL_CITATION {"citationItems":[{"id":"ITEM-1","itemData":{"DOI":"10.1039/c3ce27093a","ISSN":"14668033","abstract":"Zeolitic imidazolate frameworks ZIF-8 and ZIF-67 were prepared from stoichiometric metal and ligand aqueous solutions at room temperature within 10 min. Triblock copolymer and ammonium hydroxide are both essential for the formation of ZIFs. Ammonium hydroxide in the aqueous solution deprotonates 2-methylimidazole, and the PEO groups of the triblock copolymer surfactant electrostatically attract metal ions, leading to the formation of ZIF-8 and ZIF-67. The ZIF-8 yield is more than 98%, which is the highest so far. This method is very promising for efficient and environmentally friendly synthesis of ZIFs for practical applications. © 2013 The Royal Society of Chemistry.","author":[{"dropping-particle":"","family":"Yao","given":"Jianfeng","non-dropping-particle":"","parse-names":false,"suffix":""},{"dropping-particle":"","family":"He","given":"Ming","non-dropping-particle":"","parse-names":false,"suffix":""},{"dropping-particle":"","family":"Wang","given":"Kun","non-dropping-particle":"","parse-names":false,"suffix":""},{"dropping-particle":"","family":"Chen","given":"Rizhi","non-dropping-particle":"","parse-names":false,"suffix":""},{"dropping-particle":"","family":"Zhong","given":"Zhaoxiang","non-dropping-particle":"","parse-names":false,"suffix":""},{"dropping-particle":"","family":"Wang","given":"Huanting","non-dropping-particle":"","parse-names":false,"suffix":""}],"container-title":"CrystEngComm","id":"ITEM-1","issue":"18","issued":{"date-parts":[["2013","4","16"]]},"page":"3601-3606","publisher":"The Royal Society of Chemistry","title":"High-yield synthesis of zeolitic imidazolate frameworks from stoichiometric metal and ligand precursor aqueous solutions at room temperature","type":"article-journal","volume":"15"},"uris":["http://www.mendeley.com/documents/?uuid=f783c795-1e29-3a06-817f-bce0eddee7e1"]}],"mendeley":{"formattedCitation":"(Yao &lt;i&gt;et al.&lt;/i&gt;, 2013)","plainTextFormattedCitation":"(Yao et al., 2013)","previouslyFormattedCitation":"(Yao &lt;i&gt;et al.&lt;/i&gt;, 2013)"},"properties":{"noteIndex":0},"schema":"https://github.com/citation-style-language/schema/raw/master/csl-citation.json"}</w:instrText>
      </w:r>
      <w:r w:rsidR="00F07352">
        <w:rPr>
          <w:rFonts w:cs="Arial"/>
          <w:lang w:val="en-GB"/>
        </w:rPr>
        <w:fldChar w:fldCharType="separate"/>
      </w:r>
      <w:r w:rsidR="00F07352" w:rsidRPr="00F07352">
        <w:rPr>
          <w:rFonts w:cs="Arial"/>
          <w:noProof/>
          <w:lang w:val="en-GB"/>
        </w:rPr>
        <w:t xml:space="preserve">(Yao </w:t>
      </w:r>
      <w:r w:rsidR="00F07352" w:rsidRPr="00F07352">
        <w:rPr>
          <w:rFonts w:cs="Arial"/>
          <w:i/>
          <w:noProof/>
          <w:lang w:val="en-GB"/>
        </w:rPr>
        <w:t>et al.</w:t>
      </w:r>
      <w:r w:rsidR="00F07352" w:rsidRPr="00F07352">
        <w:rPr>
          <w:rFonts w:cs="Arial"/>
          <w:noProof/>
          <w:lang w:val="en-GB"/>
        </w:rPr>
        <w:t>, 2013)</w:t>
      </w:r>
      <w:r w:rsidR="00F07352">
        <w:rPr>
          <w:rFonts w:cs="Arial"/>
          <w:lang w:val="en-GB"/>
        </w:rPr>
        <w:fldChar w:fldCharType="end"/>
      </w:r>
      <w:r w:rsidRPr="002D3EAA">
        <w:rPr>
          <w:rFonts w:cs="Arial"/>
          <w:lang w:val="en-GB"/>
        </w:rPr>
        <w:t>. The similarity of peak positions confirm</w:t>
      </w:r>
      <w:r w:rsidR="00C31F29">
        <w:rPr>
          <w:rFonts w:cs="Arial"/>
          <w:lang w:val="en-GB"/>
        </w:rPr>
        <w:t>ed</w:t>
      </w:r>
      <w:r w:rsidRPr="002D3EAA">
        <w:rPr>
          <w:rFonts w:cs="Arial"/>
          <w:lang w:val="en-GB"/>
        </w:rPr>
        <w:t xml:space="preserve"> successful formation of a bimetallic ZIF-8/ZIF-67 hybrid framework, retaining long-range order and phase purity. Additional broad humps in the </w:t>
      </w:r>
      <w:r w:rsidRPr="002D3EAA">
        <w:rPr>
          <w:rFonts w:ascii="Cambria Math" w:hAnsi="Cambria Math" w:cs="Cambria Math"/>
          <w:lang w:val="en-GB"/>
        </w:rPr>
        <w:t>∼</w:t>
      </w:r>
      <w:r w:rsidRPr="002D3EAA">
        <w:rPr>
          <w:rFonts w:cs="Arial"/>
          <w:lang w:val="en-GB"/>
        </w:rPr>
        <w:t>20–30° range</w:t>
      </w:r>
      <w:r w:rsidR="00EE3E09">
        <w:rPr>
          <w:rFonts w:cs="Arial"/>
          <w:lang w:val="en-GB"/>
        </w:rPr>
        <w:t xml:space="preserve"> can be due to</w:t>
      </w:r>
      <w:r w:rsidRPr="002D3EAA">
        <w:rPr>
          <w:rFonts w:cs="Arial"/>
          <w:lang w:val="en-GB"/>
        </w:rPr>
        <w:t xml:space="preserve"> partial carbonization or amorphous carbon presence, often favo</w:t>
      </w:r>
      <w:r w:rsidR="00C31F29">
        <w:rPr>
          <w:rFonts w:cs="Arial"/>
          <w:lang w:val="en-GB"/>
        </w:rPr>
        <w:t>u</w:t>
      </w:r>
      <w:r w:rsidRPr="002D3EAA">
        <w:rPr>
          <w:rFonts w:cs="Arial"/>
          <w:lang w:val="en-GB"/>
        </w:rPr>
        <w:t>rable for electrocatalysis by enhancing electrical conductivity and exposing active sites. The well-defined crystalline structure</w:t>
      </w:r>
      <w:r w:rsidR="00BE454B">
        <w:rPr>
          <w:rFonts w:cs="Arial"/>
          <w:lang w:val="en-GB"/>
        </w:rPr>
        <w:t>,</w:t>
      </w:r>
      <w:r w:rsidRPr="002D3EAA">
        <w:rPr>
          <w:rFonts w:cs="Arial"/>
          <w:lang w:val="en-GB"/>
        </w:rPr>
        <w:t xml:space="preserve"> combined with conductive features</w:t>
      </w:r>
      <w:r w:rsidR="00BE454B">
        <w:rPr>
          <w:rFonts w:cs="Arial"/>
          <w:lang w:val="en-GB"/>
        </w:rPr>
        <w:t>,</w:t>
      </w:r>
      <w:r w:rsidR="00C31F29">
        <w:rPr>
          <w:rFonts w:cs="Arial"/>
          <w:lang w:val="en-GB"/>
        </w:rPr>
        <w:t xml:space="preserve"> can</w:t>
      </w:r>
      <w:r w:rsidRPr="002D3EAA">
        <w:rPr>
          <w:rFonts w:cs="Arial"/>
          <w:lang w:val="en-GB"/>
        </w:rPr>
        <w:t xml:space="preserve"> support efficient </w:t>
      </w:r>
      <w:r w:rsidR="00EE3E09">
        <w:rPr>
          <w:rFonts w:cs="Arial"/>
          <w:lang w:val="en-GB"/>
        </w:rPr>
        <w:t>ORR</w:t>
      </w:r>
      <w:r w:rsidRPr="002D3EAA">
        <w:rPr>
          <w:rFonts w:cs="Arial"/>
          <w:lang w:val="en-GB"/>
        </w:rPr>
        <w:t xml:space="preserve">, </w:t>
      </w:r>
      <w:r w:rsidR="00EE3E09">
        <w:rPr>
          <w:rFonts w:cs="Arial"/>
          <w:lang w:val="en-GB"/>
        </w:rPr>
        <w:t>due to its</w:t>
      </w:r>
      <w:r w:rsidRPr="002D3EAA">
        <w:rPr>
          <w:rFonts w:cs="Arial"/>
          <w:lang w:val="en-GB"/>
        </w:rPr>
        <w:t xml:space="preserve"> high surface area, exposed metal-nitrogen coordination sites, and improved charge transport</w:t>
      </w:r>
      <w:r w:rsidR="00EE3E09">
        <w:rPr>
          <w:rFonts w:cs="Arial"/>
          <w:lang w:val="en-GB"/>
        </w:rPr>
        <w:t xml:space="preserve">. </w:t>
      </w:r>
    </w:p>
    <w:p w14:paraId="010A6613" w14:textId="65162F4C" w:rsidR="009D2193" w:rsidRPr="00157224" w:rsidRDefault="005A0176" w:rsidP="00C44BE6">
      <w:pPr>
        <w:pStyle w:val="CETBodytext"/>
        <w:spacing w:line="240" w:lineRule="auto"/>
      </w:pPr>
      <w:r>
        <w:rPr>
          <w:noProof/>
        </w:rPr>
        <w:drawing>
          <wp:inline distT="0" distB="0" distL="0" distR="0" wp14:anchorId="20DC8D4E" wp14:editId="39192467">
            <wp:extent cx="5496971" cy="1599565"/>
            <wp:effectExtent l="0" t="0" r="8890" b="635"/>
            <wp:docPr id="799278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363" cy="1623540"/>
                    </a:xfrm>
                    <a:prstGeom prst="rect">
                      <a:avLst/>
                    </a:prstGeom>
                    <a:noFill/>
                  </pic:spPr>
                </pic:pic>
              </a:graphicData>
            </a:graphic>
          </wp:inline>
        </w:drawing>
      </w:r>
    </w:p>
    <w:p w14:paraId="15A668B1" w14:textId="5381AF46" w:rsidR="009D2193" w:rsidRDefault="00600535" w:rsidP="004953D6">
      <w:pPr>
        <w:pStyle w:val="CETCaption"/>
        <w:spacing w:before="0"/>
        <w:rPr>
          <w:rStyle w:val="CETCaptionCarattere"/>
          <w:i/>
        </w:rPr>
      </w:pPr>
      <w:r w:rsidRPr="00BD077D">
        <w:rPr>
          <w:rStyle w:val="CETCaptionCarattere"/>
          <w:i/>
        </w:rPr>
        <w:t xml:space="preserve">Figure </w:t>
      </w:r>
      <w:r w:rsidR="00E72F28">
        <w:rPr>
          <w:rStyle w:val="CETCaptionCarattere"/>
          <w:i/>
        </w:rPr>
        <w:t>2</w:t>
      </w:r>
      <w:r w:rsidRPr="00BD077D">
        <w:rPr>
          <w:rStyle w:val="CETCaptionCarattere"/>
          <w:i/>
        </w:rPr>
        <w:t xml:space="preserve">: </w:t>
      </w:r>
      <w:r w:rsidR="002003F1">
        <w:rPr>
          <w:rStyle w:val="CETCaptionCarattere"/>
          <w:i/>
        </w:rPr>
        <w:t xml:space="preserve">(a) Cyclic voltammetry, (b) Nyquist plot, and (c) X-ray diffraction results of </w:t>
      </w:r>
      <w:r w:rsidR="00324EA6">
        <w:rPr>
          <w:rStyle w:val="CETCaptionCarattere"/>
          <w:i/>
        </w:rPr>
        <w:t xml:space="preserve">the </w:t>
      </w:r>
      <w:r w:rsidR="002003F1">
        <w:rPr>
          <w:rStyle w:val="CETCaptionCarattere"/>
          <w:i/>
        </w:rPr>
        <w:t>MOF cathode catalyst</w:t>
      </w:r>
    </w:p>
    <w:p w14:paraId="7CEB9E1B" w14:textId="647EDFFB" w:rsidR="006F1CD3" w:rsidRPr="00265A65" w:rsidRDefault="006F1CD3" w:rsidP="00265A65">
      <w:pPr>
        <w:pStyle w:val="CETCaption"/>
        <w:spacing w:line="240" w:lineRule="auto"/>
        <w:rPr>
          <w:i w:val="0"/>
          <w:lang w:val="en-IN"/>
        </w:rPr>
      </w:pPr>
      <w:r w:rsidRPr="006F1CD3">
        <w:rPr>
          <w:i w:val="0"/>
          <w:lang w:val="en-IN"/>
        </w:rPr>
        <w:t>The SEM micrographs (Fig.</w:t>
      </w:r>
      <w:r w:rsidR="00265A65" w:rsidRPr="00265A65">
        <w:rPr>
          <w:i w:val="0"/>
          <w:lang w:val="en-IN"/>
        </w:rPr>
        <w:t xml:space="preserve"> 3(</w:t>
      </w:r>
      <w:r w:rsidRPr="006F1CD3">
        <w:rPr>
          <w:i w:val="0"/>
          <w:lang w:val="en-IN"/>
        </w:rPr>
        <w:t xml:space="preserve">a–c) </w:t>
      </w:r>
      <w:r w:rsidR="00265A65" w:rsidRPr="00265A65">
        <w:rPr>
          <w:i w:val="0"/>
          <w:lang w:val="en-IN"/>
        </w:rPr>
        <w:t xml:space="preserve">revealed a </w:t>
      </w:r>
      <w:r w:rsidRPr="006F1CD3">
        <w:rPr>
          <w:i w:val="0"/>
          <w:lang w:val="en-IN"/>
        </w:rPr>
        <w:t xml:space="preserve">highly crystalline morphology of the synthesised MOF. At low magnification (Fig. </w:t>
      </w:r>
      <w:r w:rsidR="00265A65" w:rsidRPr="00265A65">
        <w:rPr>
          <w:i w:val="0"/>
          <w:lang w:val="en-IN"/>
        </w:rPr>
        <w:t>3</w:t>
      </w:r>
      <w:r w:rsidRPr="006F1CD3">
        <w:rPr>
          <w:i w:val="0"/>
          <w:lang w:val="en-IN"/>
        </w:rPr>
        <w:t>a), the catalyst exhibit</w:t>
      </w:r>
      <w:r w:rsidR="00EF68FF">
        <w:rPr>
          <w:i w:val="0"/>
          <w:lang w:val="en-IN"/>
        </w:rPr>
        <w:t>ed</w:t>
      </w:r>
      <w:r w:rsidRPr="006F1CD3">
        <w:rPr>
          <w:i w:val="0"/>
          <w:lang w:val="en-IN"/>
        </w:rPr>
        <w:t xml:space="preserve"> spherical agglomerates (~10–20 µm) composed of densely packed microcrystals, indicating uniform nucleation during synthesis. Higher magnification images (Fig. </w:t>
      </w:r>
      <w:r w:rsidR="00265A65" w:rsidRPr="00265A65">
        <w:rPr>
          <w:i w:val="0"/>
          <w:lang w:val="en-IN"/>
        </w:rPr>
        <w:t>3</w:t>
      </w:r>
      <w:r w:rsidRPr="006F1CD3">
        <w:rPr>
          <w:i w:val="0"/>
          <w:lang w:val="en-IN"/>
        </w:rPr>
        <w:t>b and c) clearly show</w:t>
      </w:r>
      <w:r w:rsidR="00265A65" w:rsidRPr="00265A65">
        <w:rPr>
          <w:i w:val="0"/>
          <w:lang w:val="en-IN"/>
        </w:rPr>
        <w:t>ed</w:t>
      </w:r>
      <w:r w:rsidRPr="006F1CD3">
        <w:rPr>
          <w:i w:val="0"/>
          <w:lang w:val="en-IN"/>
        </w:rPr>
        <w:t xml:space="preserve"> well-defined polyhedral crystals with sharp edges and faceted surfaces, characteristic of zeolitic imidazolate frameworks such as ZIF-8 and ZIF-67.</w:t>
      </w:r>
      <w:r w:rsidR="00265A65" w:rsidRPr="00265A65">
        <w:rPr>
          <w:i w:val="0"/>
          <w:lang w:val="en-IN"/>
        </w:rPr>
        <w:t xml:space="preserve"> </w:t>
      </w:r>
      <w:r w:rsidRPr="006F1CD3">
        <w:rPr>
          <w:i w:val="0"/>
          <w:lang w:val="en-IN"/>
        </w:rPr>
        <w:t xml:space="preserve">The primary crystal size </w:t>
      </w:r>
      <w:r w:rsidR="00265A65" w:rsidRPr="00265A65">
        <w:rPr>
          <w:i w:val="0"/>
          <w:lang w:val="en-IN"/>
        </w:rPr>
        <w:t>was</w:t>
      </w:r>
      <w:r w:rsidRPr="006F1CD3">
        <w:rPr>
          <w:i w:val="0"/>
          <w:lang w:val="en-IN"/>
        </w:rPr>
        <w:t xml:space="preserve"> observed in the range of 50–200 nm, which is consistent with reported ZIF-8/ZIF-67 nanocrystals</w:t>
      </w:r>
      <w:r w:rsidR="00BE454B">
        <w:rPr>
          <w:i w:val="0"/>
          <w:lang w:val="en-IN"/>
        </w:rPr>
        <w:t>,</w:t>
      </w:r>
      <w:r w:rsidRPr="006F1CD3">
        <w:rPr>
          <w:i w:val="0"/>
          <w:lang w:val="en-IN"/>
        </w:rPr>
        <w:t xml:space="preserve"> and </w:t>
      </w:r>
      <w:r w:rsidR="003E0BBB">
        <w:rPr>
          <w:i w:val="0"/>
          <w:lang w:val="en-IN"/>
        </w:rPr>
        <w:t xml:space="preserve">it </w:t>
      </w:r>
      <w:r w:rsidRPr="006F1CD3">
        <w:rPr>
          <w:i w:val="0"/>
          <w:lang w:val="en-IN"/>
        </w:rPr>
        <w:t>is advantageous for ORR due to increased electrochemically active surface area and shortened electron transport pathways</w:t>
      </w:r>
      <w:r w:rsidR="002163B3">
        <w:rPr>
          <w:i w:val="0"/>
          <w:lang w:val="en-IN"/>
        </w:rPr>
        <w:t xml:space="preserve"> </w:t>
      </w:r>
      <w:r w:rsidR="002163B3">
        <w:rPr>
          <w:i w:val="0"/>
          <w:lang w:val="en-IN"/>
        </w:rPr>
        <w:fldChar w:fldCharType="begin" w:fldLock="1"/>
      </w:r>
      <w:r w:rsidR="002163B3">
        <w:rPr>
          <w:i w:val="0"/>
          <w:lang w:val="en-IN"/>
        </w:rPr>
        <w:instrText>ADDIN CSL_CITATION {"citationItems":[{"id":"ITEM-1","itemData":{"DOI":"10.1039/c3ce27093a","ISSN":"14668033","abstract":"Zeolitic imidazolate frameworks ZIF-8 and ZIF-67 were prepared from stoichiometric metal and ligand aqueous solutions at room temperature within 10 min. Triblock copolymer and ammonium hydroxide are both essential for the formation of ZIFs. Ammonium hydroxide in the aqueous solution deprotonates 2-methylimidazole, and the PEO groups of the triblock copolymer surfactant electrostatically attract metal ions, leading to the formation of ZIF-8 and ZIF-67. The ZIF-8 yield is more than 98%, which is the highest so far. This method is very promising for efficient and environmentally friendly synthesis of ZIFs for practical applications. © 2013 The Royal Society of Chemistry.","author":[{"dropping-particle":"","family":"Yao","given":"Jianfeng","non-dropping-particle":"","parse-names":false,"suffix":""},{"dropping-particle":"","family":"He","given":"Ming","non-dropping-particle":"","parse-names":false,"suffix":""},{"dropping-particle":"","family":"Wang","given":"Kun","non-dropping-particle":"","parse-names":false,"suffix":""},{"dropping-particle":"","family":"Chen","given":"Rizhi","non-dropping-particle":"","parse-names":false,"suffix":""},{"dropping-particle":"","family":"Zhong","given":"Zhaoxiang","non-dropping-particle":"","parse-names":false,"suffix":""},{"dropping-particle":"","family":"Wang","given":"Huanting","non-dropping-particle":"","parse-names":false,"suffix":""}],"container-title":"CrystEngComm","id":"ITEM-1","issue":"18","issued":{"date-parts":[["2013","4","16"]]},"page":"3601-3606","publisher":"The Royal Society of Chemistry","title":"High-yield synthesis of zeolitic imidazolate frameworks from stoichiometric metal and ligand precursor aqueous solutions at room temperature","type":"article-journal","volume":"15"},"uris":["http://www.mendeley.com/documents/?uuid=f783c795-1e29-3a06-817f-bce0eddee7e1"]}],"mendeley":{"formattedCitation":"(Yao &lt;i&gt;et al.&lt;/i&gt;, 2013)","plainTextFormattedCitation":"(Yao et al., 2013)"},"properties":{"noteIndex":0},"schema":"https://github.com/citation-style-language/schema/raw/master/csl-citation.json"}</w:instrText>
      </w:r>
      <w:r w:rsidR="002163B3">
        <w:rPr>
          <w:i w:val="0"/>
          <w:lang w:val="en-IN"/>
        </w:rPr>
        <w:fldChar w:fldCharType="separate"/>
      </w:r>
      <w:r w:rsidR="002163B3" w:rsidRPr="002163B3">
        <w:rPr>
          <w:i w:val="0"/>
          <w:noProof/>
          <w:lang w:val="en-IN"/>
        </w:rPr>
        <w:t xml:space="preserve">(Yao </w:t>
      </w:r>
      <w:r w:rsidR="002163B3" w:rsidRPr="002163B3">
        <w:rPr>
          <w:noProof/>
          <w:lang w:val="en-IN"/>
        </w:rPr>
        <w:t>et al.</w:t>
      </w:r>
      <w:r w:rsidR="002163B3" w:rsidRPr="002163B3">
        <w:rPr>
          <w:i w:val="0"/>
          <w:noProof/>
          <w:lang w:val="en-IN"/>
        </w:rPr>
        <w:t>, 2013)</w:t>
      </w:r>
      <w:r w:rsidR="002163B3">
        <w:rPr>
          <w:i w:val="0"/>
          <w:lang w:val="en-IN"/>
        </w:rPr>
        <w:fldChar w:fldCharType="end"/>
      </w:r>
      <w:r w:rsidRPr="006F1CD3">
        <w:rPr>
          <w:i w:val="0"/>
          <w:lang w:val="en-IN"/>
        </w:rPr>
        <w:t>.</w:t>
      </w:r>
      <w:r w:rsidR="00EF68FF">
        <w:rPr>
          <w:i w:val="0"/>
          <w:lang w:val="en-IN"/>
        </w:rPr>
        <w:t xml:space="preserve"> </w:t>
      </w:r>
      <w:r w:rsidRPr="006F1CD3">
        <w:rPr>
          <w:i w:val="0"/>
          <w:lang w:val="en-IN"/>
        </w:rPr>
        <w:t>The observed crystallinity and faceted morphology correlate strongly with the sharp and intense XRD reflections previously identified at 2θ ≈ 7.3°, 10.4°, 12.7°, 16.4°, and 18.0°, confirming the formation of a highly ordered sodalite-type framework.</w:t>
      </w:r>
      <w:r w:rsidR="00EF68FF">
        <w:rPr>
          <w:i w:val="0"/>
          <w:lang w:val="en-IN"/>
        </w:rPr>
        <w:t xml:space="preserve"> Additionally, the </w:t>
      </w:r>
      <w:r w:rsidRPr="006F1CD3">
        <w:rPr>
          <w:i w:val="0"/>
          <w:lang w:val="en-IN"/>
        </w:rPr>
        <w:t xml:space="preserve">EDX analysis (Fig. </w:t>
      </w:r>
      <w:r w:rsidR="00EF68FF">
        <w:rPr>
          <w:i w:val="0"/>
          <w:lang w:val="en-IN"/>
        </w:rPr>
        <w:t>3</w:t>
      </w:r>
      <w:r w:rsidRPr="006F1CD3">
        <w:rPr>
          <w:i w:val="0"/>
          <w:lang w:val="en-IN"/>
        </w:rPr>
        <w:t>d) confirm</w:t>
      </w:r>
      <w:r w:rsidR="00265A65" w:rsidRPr="00265A65">
        <w:rPr>
          <w:i w:val="0"/>
          <w:lang w:val="en-IN"/>
        </w:rPr>
        <w:t>ed</w:t>
      </w:r>
      <w:r w:rsidRPr="006F1CD3">
        <w:rPr>
          <w:i w:val="0"/>
          <w:lang w:val="en-IN"/>
        </w:rPr>
        <w:t xml:space="preserve"> the elemental composition of the MOF</w:t>
      </w:r>
      <w:r w:rsidR="002163B3">
        <w:rPr>
          <w:i w:val="0"/>
          <w:lang w:val="en-IN"/>
        </w:rPr>
        <w:t>.</w:t>
      </w:r>
      <w:r w:rsidRPr="006F1CD3">
        <w:rPr>
          <w:i w:val="0"/>
          <w:lang w:val="en-IN"/>
        </w:rPr>
        <w:t xml:space="preserve"> The homogeneous elemental distribution further </w:t>
      </w:r>
      <w:r w:rsidR="00EF68FF">
        <w:rPr>
          <w:i w:val="0"/>
          <w:lang w:val="en-IN"/>
        </w:rPr>
        <w:t>indicated</w:t>
      </w:r>
      <w:r w:rsidRPr="006F1CD3">
        <w:rPr>
          <w:i w:val="0"/>
          <w:lang w:val="en-IN"/>
        </w:rPr>
        <w:t xml:space="preserve"> uniform metal incorporation, reducing charge-transfer resistance and enhancing cathodic performance</w:t>
      </w:r>
      <w:r w:rsidR="00D15C27">
        <w:rPr>
          <w:i w:val="0"/>
          <w:lang w:val="en-IN"/>
        </w:rPr>
        <w:t xml:space="preserve"> </w:t>
      </w:r>
      <w:r w:rsidR="00D15C27">
        <w:rPr>
          <w:i w:val="0"/>
          <w:lang w:val="en-IN"/>
        </w:rPr>
        <w:fldChar w:fldCharType="begin" w:fldLock="1"/>
      </w:r>
      <w:r w:rsidR="00D15C27">
        <w:rPr>
          <w:i w:val="0"/>
          <w:lang w:val="en-IN"/>
        </w:rPr>
        <w:instrText>ADDIN CSL_CITATION {"citationItems":[{"id":"ITEM-1","itemData":{"DOI":"10.1039/c3ce27093a","ISSN":"14668033","abstract":"Zeolitic imidazolate frameworks ZIF-8 and ZIF-67 were prepared from stoichiometric metal and ligand aqueous solutions at room temperature within 10 min. Triblock copolymer and ammonium hydroxide are both essential for the formation of ZIFs. Ammonium hydroxide in the aqueous solution deprotonates 2-methylimidazole, and the PEO groups of the triblock copolymer surfactant electrostatically attract metal ions, leading to the formation of ZIF-8 and ZIF-67. The ZIF-8 yield is more than 98%, which is the highest so far. This method is very promising for efficient and environmentally friendly synthesis of ZIFs for practical applications. © 2013 The Royal Society of Chemistry.","author":[{"dropping-particle":"","family":"Yao","given":"Jianfeng","non-dropping-particle":"","parse-names":false,"suffix":""},{"dropping-particle":"","family":"He","given":"Ming","non-dropping-particle":"","parse-names":false,"suffix":""},{"dropping-particle":"","family":"Wang","given":"Kun","non-dropping-particle":"","parse-names":false,"suffix":""},{"dropping-particle":"","family":"Chen","given":"Rizhi","non-dropping-particle":"","parse-names":false,"suffix":""},{"dropping-particle":"","family":"Zhong","given":"Zhaoxiang","non-dropping-particle":"","parse-names":false,"suffix":""},{"dropping-particle":"","family":"Wang","given":"Huanting","non-dropping-particle":"","parse-names":false,"suffix":""}],"container-title":"CrystEngComm","id":"ITEM-1","issue":"18","issued":{"date-parts":[["2013","4","16"]]},"page":"3601-3606","publisher":"The Royal Society of Chemistry","title":"High-yield synthesis of zeolitic imidazolate frameworks from stoichiometric metal and ligand precursor aqueous solutions at room temperature","type":"article-journal","volume":"15"},"uris":["http://www.mendeley.com/documents/?uuid=f783c795-1e29-3a06-817f-bce0eddee7e1"]}],"mendeley":{"formattedCitation":"(Yao &lt;i&gt;et al.&lt;/i&gt;, 2013)","plainTextFormattedCitation":"(Yao et al., 2013)"},"properties":{"noteIndex":0},"schema":"https://github.com/citation-style-language/schema/raw/master/csl-citation.json"}</w:instrText>
      </w:r>
      <w:r w:rsidR="00D15C27">
        <w:rPr>
          <w:i w:val="0"/>
          <w:lang w:val="en-IN"/>
        </w:rPr>
        <w:fldChar w:fldCharType="separate"/>
      </w:r>
      <w:r w:rsidR="00D15C27" w:rsidRPr="002163B3">
        <w:rPr>
          <w:i w:val="0"/>
          <w:noProof/>
          <w:lang w:val="en-IN"/>
        </w:rPr>
        <w:t xml:space="preserve">(Yao </w:t>
      </w:r>
      <w:r w:rsidR="00D15C27" w:rsidRPr="002163B3">
        <w:rPr>
          <w:noProof/>
          <w:lang w:val="en-IN"/>
        </w:rPr>
        <w:t>et al.</w:t>
      </w:r>
      <w:r w:rsidR="00D15C27" w:rsidRPr="002163B3">
        <w:rPr>
          <w:i w:val="0"/>
          <w:noProof/>
          <w:lang w:val="en-IN"/>
        </w:rPr>
        <w:t>, 2013)</w:t>
      </w:r>
      <w:r w:rsidR="00D15C27">
        <w:rPr>
          <w:i w:val="0"/>
          <w:lang w:val="en-IN"/>
        </w:rPr>
        <w:fldChar w:fldCharType="end"/>
      </w:r>
      <w:r w:rsidRPr="006F1CD3">
        <w:rPr>
          <w:iCs/>
          <w:lang w:val="en-IN"/>
        </w:rPr>
        <w:t>.</w:t>
      </w:r>
    </w:p>
    <w:p w14:paraId="0216320D" w14:textId="4269CC25" w:rsidR="009D2193" w:rsidRDefault="00E50258" w:rsidP="00C44BE6">
      <w:pPr>
        <w:pStyle w:val="CETCaption"/>
        <w:spacing w:after="120" w:line="240" w:lineRule="auto"/>
        <w:jc w:val="center"/>
        <w:rPr>
          <w:i w:val="0"/>
          <w:iCs/>
        </w:rPr>
      </w:pPr>
      <w:r>
        <w:rPr>
          <w:i w:val="0"/>
          <w:iCs/>
          <w:noProof/>
        </w:rPr>
        <w:lastRenderedPageBreak/>
        <w:drawing>
          <wp:inline distT="0" distB="0" distL="0" distR="0" wp14:anchorId="5EB43C86" wp14:editId="04B5E023">
            <wp:extent cx="3500513" cy="2313125"/>
            <wp:effectExtent l="0" t="0" r="5080" b="0"/>
            <wp:docPr id="8584908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0301" cy="2352633"/>
                    </a:xfrm>
                    <a:prstGeom prst="rect">
                      <a:avLst/>
                    </a:prstGeom>
                    <a:noFill/>
                  </pic:spPr>
                </pic:pic>
              </a:graphicData>
            </a:graphic>
          </wp:inline>
        </w:drawing>
      </w:r>
    </w:p>
    <w:p w14:paraId="1DD8617A" w14:textId="4BA63209" w:rsidR="00324EA6" w:rsidRDefault="00324EA6" w:rsidP="004953D6">
      <w:pPr>
        <w:pStyle w:val="CETCaption"/>
        <w:spacing w:before="0"/>
        <w:rPr>
          <w:rStyle w:val="CETCaptionCarattere"/>
          <w:i/>
        </w:rPr>
      </w:pPr>
      <w:r w:rsidRPr="00BD077D">
        <w:rPr>
          <w:rStyle w:val="CETCaptionCarattere"/>
          <w:i/>
        </w:rPr>
        <w:t xml:space="preserve">Figure </w:t>
      </w:r>
      <w:r w:rsidR="00E72F28">
        <w:rPr>
          <w:rStyle w:val="CETCaptionCarattere"/>
          <w:i/>
        </w:rPr>
        <w:t>3</w:t>
      </w:r>
      <w:r w:rsidRPr="00BD077D">
        <w:rPr>
          <w:rStyle w:val="CETCaptionCarattere"/>
          <w:i/>
        </w:rPr>
        <w:t xml:space="preserve">: </w:t>
      </w:r>
      <w:r>
        <w:rPr>
          <w:rStyle w:val="CETCaptionCarattere"/>
          <w:i/>
        </w:rPr>
        <w:t xml:space="preserve">Scanning electron microscopy images at (a) 20 </w:t>
      </w:r>
      <w:r>
        <w:rPr>
          <w:rStyle w:val="CETCaptionCarattere"/>
          <w:rFonts w:cs="Arial"/>
          <w:i/>
        </w:rPr>
        <w:t>µ</w:t>
      </w:r>
      <w:r>
        <w:rPr>
          <w:rStyle w:val="CETCaptionCarattere"/>
          <w:i/>
        </w:rPr>
        <w:t xml:space="preserve">m, (b) 200 </w:t>
      </w:r>
      <w:r>
        <w:rPr>
          <w:rStyle w:val="CETCaptionCarattere"/>
          <w:rFonts w:cs="Arial"/>
          <w:i/>
        </w:rPr>
        <w:t>µ</w:t>
      </w:r>
      <w:r>
        <w:rPr>
          <w:rStyle w:val="CETCaptionCarattere"/>
          <w:i/>
        </w:rPr>
        <w:t xml:space="preserve">m, (c) 2 </w:t>
      </w:r>
      <w:r>
        <w:rPr>
          <w:rStyle w:val="CETCaptionCarattere"/>
          <w:rFonts w:cs="Arial"/>
          <w:i/>
        </w:rPr>
        <w:t>µ</w:t>
      </w:r>
      <w:r>
        <w:rPr>
          <w:rStyle w:val="CETCaptionCarattere"/>
          <w:i/>
        </w:rPr>
        <w:t>m, and (d) EDX results</w:t>
      </w:r>
    </w:p>
    <w:p w14:paraId="523E6B1C" w14:textId="3046BD74" w:rsidR="00F3781D" w:rsidRDefault="00BC43B4" w:rsidP="00F3781D">
      <w:pPr>
        <w:pStyle w:val="CETheadingx"/>
      </w:pPr>
      <w:r>
        <w:t>Performance of MDC</w:t>
      </w:r>
    </w:p>
    <w:p w14:paraId="064C26CD" w14:textId="51674D2D" w:rsidR="00CE5658" w:rsidRPr="00CE5658" w:rsidRDefault="00CE5658" w:rsidP="00CE5658">
      <w:pPr>
        <w:pStyle w:val="CETBodytext"/>
      </w:pPr>
      <w:r>
        <w:t xml:space="preserve">The </w:t>
      </w:r>
      <w:r w:rsidR="00BC43B4">
        <w:t xml:space="preserve">MDC with </w:t>
      </w:r>
      <w:r>
        <w:t>applied cathode catalyst achieved a</w:t>
      </w:r>
      <w:r w:rsidR="001E6BD7">
        <w:t xml:space="preserve"> maximum</w:t>
      </w:r>
      <w:r>
        <w:t xml:space="preserve"> COD removal of 78.8 ± 2.5</w:t>
      </w:r>
      <w:r w:rsidR="002C3922">
        <w:t xml:space="preserve"> </w:t>
      </w:r>
      <w:r>
        <w:t>%, a TDS removal of 81.8 ± 3.2</w:t>
      </w:r>
      <w:r w:rsidR="002C3922">
        <w:t xml:space="preserve"> </w:t>
      </w:r>
      <w:r>
        <w:t>%, and a desalination efficiency of 86.4 ± 1.7</w:t>
      </w:r>
      <w:r w:rsidR="002C3922">
        <w:t xml:space="preserve"> </w:t>
      </w:r>
      <w:r>
        <w:t>%.</w:t>
      </w:r>
      <w:r w:rsidR="001E6BD7">
        <w:t xml:space="preserve"> Whereas, for control MDC, the observed values were 48.2 ± 3.1</w:t>
      </w:r>
      <w:r w:rsidR="002C3922">
        <w:t xml:space="preserve"> </w:t>
      </w:r>
      <w:r w:rsidR="001E6BD7">
        <w:t>%, 50.0 ± 1.6</w:t>
      </w:r>
      <w:r w:rsidR="002C3922">
        <w:t xml:space="preserve"> </w:t>
      </w:r>
      <w:r w:rsidR="001E6BD7">
        <w:t>%</w:t>
      </w:r>
      <w:r w:rsidR="00A60009">
        <w:t>,</w:t>
      </w:r>
      <w:r w:rsidR="001E6BD7">
        <w:t xml:space="preserve"> and 46.6 ± 2.9</w:t>
      </w:r>
      <w:r w:rsidR="002C3922">
        <w:t xml:space="preserve"> </w:t>
      </w:r>
      <w:r w:rsidR="001E6BD7">
        <w:t>% for COD, TDS, and salt removal, respectively.</w:t>
      </w:r>
      <w:r>
        <w:t xml:space="preserve"> </w:t>
      </w:r>
      <w:r w:rsidR="00A60009">
        <w:t xml:space="preserve">Since TDS includes both ionic species and dissolved organic matter, and its removal reflects the combined effects </w:t>
      </w:r>
      <w:r w:rsidR="00A60009" w:rsidRPr="00DC13D1">
        <w:t xml:space="preserve">of ion migration across membranes and partial organic matter degradation, </w:t>
      </w:r>
      <w:r w:rsidR="00A60009">
        <w:t xml:space="preserve">its removal percentage is usually higher than </w:t>
      </w:r>
      <w:r w:rsidR="005201A1">
        <w:t xml:space="preserve">that of </w:t>
      </w:r>
      <w:r w:rsidR="00A60009" w:rsidRPr="00DC13D1">
        <w:t>COD</w:t>
      </w:r>
      <w:r w:rsidR="00A60009">
        <w:t xml:space="preserve">. </w:t>
      </w:r>
      <w:r w:rsidR="00BC43B4">
        <w:t>T</w:t>
      </w:r>
      <w:r>
        <w:t xml:space="preserve">he maximum operating voltage </w:t>
      </w:r>
      <w:r w:rsidR="00BC43B4">
        <w:t xml:space="preserve">for MDC having </w:t>
      </w:r>
      <w:r w:rsidR="002C3922">
        <w:t>the catalyst-coated</w:t>
      </w:r>
      <w:r w:rsidR="00BC43B4">
        <w:t xml:space="preserve"> cathode </w:t>
      </w:r>
      <w:r>
        <w:t xml:space="preserve">was 303 ± 8.9 mV across a 100 Ω external resistor </w:t>
      </w:r>
      <w:r w:rsidR="007D1E27">
        <w:t>(Fig. 4a) compared to 58 ± 7.2 mV of the control MDC</w:t>
      </w:r>
      <w:r>
        <w:t>. Additionally, the</w:t>
      </w:r>
      <w:r w:rsidR="002C3922">
        <w:t xml:space="preserve"> </w:t>
      </w:r>
      <w:r>
        <w:t xml:space="preserve">power density recorded was </w:t>
      </w:r>
      <w:r w:rsidR="002C3922">
        <w:t xml:space="preserve">456.7 ± 18 </w:t>
      </w:r>
      <w:r>
        <w:t xml:space="preserve">mW/m², while the coulombic efficiency was </w:t>
      </w:r>
      <w:r w:rsidR="002C3922">
        <w:t xml:space="preserve">10.45 ± 2.13 </w:t>
      </w:r>
      <w:r>
        <w:t xml:space="preserve">%. The influent wastewater </w:t>
      </w:r>
      <w:r w:rsidR="00B4517B">
        <w:t xml:space="preserve">was having </w:t>
      </w:r>
      <w:r>
        <w:t>COD of 7.98 ± 0.05 g/L, TDS of 24.05 ± 0.11 g/L, and a salinity of 15 g/L</w:t>
      </w:r>
      <w:r w:rsidR="001E6BD7">
        <w:t>.</w:t>
      </w:r>
      <w:r w:rsidR="005201A1">
        <w:t xml:space="preserve"> Additionally, a 30-day operation of 10 cycles did not show any significant reduction in performance. Thus, the synthesised MOF catalyst improved the treatment of industrial effluent using MDC compared to the control MDC</w:t>
      </w:r>
      <w:r w:rsidR="00B4517B">
        <w:t>.</w:t>
      </w:r>
    </w:p>
    <w:p w14:paraId="1AB79821" w14:textId="0440A8DD" w:rsidR="00CE5658" w:rsidRDefault="008B4DF3" w:rsidP="00C44BE6">
      <w:pPr>
        <w:pStyle w:val="CETBodytext"/>
        <w:spacing w:line="240" w:lineRule="auto"/>
        <w:jc w:val="center"/>
      </w:pPr>
      <w:r w:rsidRPr="008412AD">
        <w:rPr>
          <w:noProof/>
          <w:sz w:val="24"/>
          <w:szCs w:val="24"/>
        </w:rPr>
        <w:drawing>
          <wp:inline distT="0" distB="0" distL="0" distR="0" wp14:anchorId="5A12F4FD" wp14:editId="162C58A5">
            <wp:extent cx="4608998" cy="1950295"/>
            <wp:effectExtent l="0" t="0" r="1270" b="0"/>
            <wp:docPr id="83387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1519" cy="1972519"/>
                    </a:xfrm>
                    <a:prstGeom prst="rect">
                      <a:avLst/>
                    </a:prstGeom>
                    <a:noFill/>
                  </pic:spPr>
                </pic:pic>
              </a:graphicData>
            </a:graphic>
          </wp:inline>
        </w:drawing>
      </w:r>
    </w:p>
    <w:p w14:paraId="2C487C9F" w14:textId="05E198A9" w:rsidR="00CE5658" w:rsidRPr="002A3A3A" w:rsidRDefault="00CE5658" w:rsidP="005201A1">
      <w:pPr>
        <w:pStyle w:val="CETCaption"/>
        <w:spacing w:before="0"/>
        <w:jc w:val="center"/>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(a) schematic representation of MDC and (b) polarization curve</w:t>
      </w:r>
    </w:p>
    <w:p w14:paraId="4438AEB7" w14:textId="3666816A" w:rsidR="00EC1702" w:rsidRPr="00647179" w:rsidRDefault="00600535" w:rsidP="00BC43B4">
      <w:pPr>
        <w:pStyle w:val="CETHeading1"/>
        <w:numPr>
          <w:ilvl w:val="1"/>
          <w:numId w:val="23"/>
        </w:numPr>
        <w:rPr>
          <w:lang w:val="en-GB"/>
        </w:rPr>
      </w:pPr>
      <w:r w:rsidRPr="00647179">
        <w:rPr>
          <w:lang w:val="en-GB"/>
        </w:rPr>
        <w:t>Conclusion</w:t>
      </w:r>
      <w:r w:rsidR="00C31F29">
        <w:rPr>
          <w:lang w:val="en-GB"/>
        </w:rPr>
        <w:t xml:space="preserve"> and future </w:t>
      </w:r>
      <w:r w:rsidR="0074100C">
        <w:rPr>
          <w:lang w:val="en-GB"/>
        </w:rPr>
        <w:t>prospects</w:t>
      </w:r>
    </w:p>
    <w:p w14:paraId="566F709B" w14:textId="48A7CAA3" w:rsidR="00194BB1" w:rsidRPr="00157224" w:rsidRDefault="00EC1702" w:rsidP="00C44BE6">
      <w:pPr>
        <w:pStyle w:val="ListParagraph"/>
        <w:tabs>
          <w:tab w:val="clear" w:pos="7100"/>
        </w:tabs>
        <w:spacing w:before="120" w:after="240" w:line="240" w:lineRule="auto"/>
        <w:ind w:left="0"/>
        <w:contextualSpacing w:val="0"/>
        <w:rPr>
          <w:rFonts w:cs="Arial"/>
          <w:szCs w:val="18"/>
          <w:lang w:val="en-IN" w:eastAsia="en-IN" w:bidi="hi-IN"/>
        </w:rPr>
      </w:pPr>
      <w:r w:rsidRPr="00EC1702">
        <w:rPr>
          <w:szCs w:val="18"/>
        </w:rPr>
        <w:t xml:space="preserve">The </w:t>
      </w:r>
      <w:r w:rsidR="00182AAA">
        <w:rPr>
          <w:szCs w:val="18"/>
        </w:rPr>
        <w:t xml:space="preserve">MDC </w:t>
      </w:r>
      <w:r w:rsidRPr="00EC1702">
        <w:rPr>
          <w:szCs w:val="18"/>
        </w:rPr>
        <w:t>system exhibit</w:t>
      </w:r>
      <w:r w:rsidR="0074100C">
        <w:rPr>
          <w:szCs w:val="18"/>
        </w:rPr>
        <w:t>ed</w:t>
      </w:r>
      <w:r w:rsidRPr="00EC1702">
        <w:rPr>
          <w:szCs w:val="18"/>
        </w:rPr>
        <w:t xml:space="preserve"> self-sustaining operation, as the energy derived from microbial metabolism </w:t>
      </w:r>
      <w:r w:rsidR="007E111D">
        <w:rPr>
          <w:szCs w:val="18"/>
        </w:rPr>
        <w:t>was</w:t>
      </w:r>
      <w:r w:rsidRPr="00EC1702">
        <w:rPr>
          <w:szCs w:val="18"/>
        </w:rPr>
        <w:t xml:space="preserve"> internally utilized to control ion transport and cathodic reactions. Thus, the MDC not only treated high-strength wastewater but also produced a low-salinity treated effluent, achieving simultaneous COD reduction, desalination, and energy recovery. This approach demonstrated a promising pathway toward</w:t>
      </w:r>
      <w:r w:rsidR="004E5D69">
        <w:rPr>
          <w:szCs w:val="18"/>
        </w:rPr>
        <w:t xml:space="preserve">s </w:t>
      </w:r>
      <w:r w:rsidRPr="00EC1702">
        <w:rPr>
          <w:szCs w:val="18"/>
        </w:rPr>
        <w:t xml:space="preserve">energy-efficient, carbon-neutral, and cost-effective wastewater treatment, positioning MDCs as a viable </w:t>
      </w:r>
      <w:r w:rsidR="005F123D">
        <w:rPr>
          <w:szCs w:val="18"/>
        </w:rPr>
        <w:t>pretreatment to RO</w:t>
      </w:r>
      <w:r w:rsidRPr="00EC1702">
        <w:rPr>
          <w:szCs w:val="18"/>
        </w:rPr>
        <w:t>.</w:t>
      </w:r>
      <w:r w:rsidR="0074100C">
        <w:rPr>
          <w:szCs w:val="18"/>
        </w:rPr>
        <w:t xml:space="preserve"> </w:t>
      </w:r>
      <w:r w:rsidR="005F123D">
        <w:rPr>
          <w:rFonts w:cs="Arial"/>
          <w:szCs w:val="18"/>
          <w:lang w:val="en-IN" w:eastAsia="en-IN" w:bidi="hi-IN"/>
        </w:rPr>
        <w:t>Further, i</w:t>
      </w:r>
      <w:r w:rsidR="00157224" w:rsidRPr="00FE38EE">
        <w:rPr>
          <w:rFonts w:cs="Arial"/>
          <w:szCs w:val="18"/>
          <w:lang w:val="en-IN" w:eastAsia="en-IN" w:bidi="hi-IN"/>
        </w:rPr>
        <w:t xml:space="preserve">ntegrating MOF-based ORR catalysts into MDC offers a promising strategy to overcome the </w:t>
      </w:r>
      <w:r w:rsidR="00BC43B4">
        <w:rPr>
          <w:rFonts w:cs="Arial"/>
          <w:szCs w:val="18"/>
          <w:lang w:val="en-IN" w:eastAsia="en-IN" w:bidi="hi-IN"/>
        </w:rPr>
        <w:t>present</w:t>
      </w:r>
      <w:r w:rsidR="00BC43B4" w:rsidRPr="00FE38EE">
        <w:rPr>
          <w:rFonts w:cs="Arial"/>
          <w:szCs w:val="18"/>
          <w:lang w:val="en-IN" w:eastAsia="en-IN" w:bidi="hi-IN"/>
        </w:rPr>
        <w:t xml:space="preserve"> </w:t>
      </w:r>
      <w:r w:rsidR="00157224" w:rsidRPr="00FE38EE">
        <w:rPr>
          <w:rFonts w:cs="Arial"/>
          <w:szCs w:val="18"/>
          <w:lang w:val="en-IN" w:eastAsia="en-IN" w:bidi="hi-IN"/>
        </w:rPr>
        <w:t xml:space="preserve">limitations of traditional cathode materials, enabling more efficient and sustainable industrial effluent treatment combined with desalination and energy recovery. Through structural engineering and functional design, MOF catalysts can significantly impact the performance and scalability of MDC technologies, </w:t>
      </w:r>
      <w:r w:rsidR="00B4517B">
        <w:rPr>
          <w:rFonts w:cs="Arial"/>
          <w:szCs w:val="18"/>
          <w:lang w:val="en-IN" w:eastAsia="en-IN" w:bidi="hi-IN"/>
        </w:rPr>
        <w:t xml:space="preserve">thus </w:t>
      </w:r>
      <w:r w:rsidR="00157224" w:rsidRPr="00FE38EE">
        <w:rPr>
          <w:rFonts w:cs="Arial"/>
          <w:szCs w:val="18"/>
          <w:lang w:val="en-IN" w:eastAsia="en-IN" w:bidi="hi-IN"/>
        </w:rPr>
        <w:t>addressing critical challenges in water–energy nexus applications</w:t>
      </w:r>
      <w:r w:rsidR="0074100C">
        <w:rPr>
          <w:rFonts w:cs="Arial"/>
          <w:szCs w:val="18"/>
          <w:lang w:val="en-IN" w:eastAsia="en-IN" w:bidi="hi-IN"/>
        </w:rPr>
        <w:t>. Additionally, due to the design of MDC as a five-chambered</w:t>
      </w:r>
      <w:r w:rsidR="00E64D99">
        <w:rPr>
          <w:rFonts w:cs="Arial"/>
          <w:szCs w:val="18"/>
          <w:lang w:val="en-IN" w:eastAsia="en-IN" w:bidi="hi-IN"/>
        </w:rPr>
        <w:t>,</w:t>
      </w:r>
      <w:r w:rsidR="0074100C">
        <w:rPr>
          <w:rFonts w:cs="Arial"/>
          <w:szCs w:val="18"/>
          <w:lang w:val="en-IN" w:eastAsia="en-IN" w:bidi="hi-IN"/>
        </w:rPr>
        <w:t xml:space="preserve"> the removed ions get accumulated in the </w:t>
      </w:r>
      <w:r w:rsidR="00BC43B4">
        <w:rPr>
          <w:rFonts w:cs="Arial"/>
          <w:szCs w:val="18"/>
          <w:lang w:val="en-IN" w:eastAsia="en-IN" w:bidi="hi-IN"/>
        </w:rPr>
        <w:t xml:space="preserve">concentrate </w:t>
      </w:r>
      <w:r w:rsidR="0074100C">
        <w:rPr>
          <w:rFonts w:cs="Arial"/>
          <w:szCs w:val="18"/>
          <w:lang w:val="en-IN" w:eastAsia="en-IN" w:bidi="hi-IN"/>
        </w:rPr>
        <w:t xml:space="preserve">chambers, which can be tested for the acidity and basicity </w:t>
      </w:r>
      <w:r w:rsidR="0074100C">
        <w:rPr>
          <w:rFonts w:cs="Arial"/>
          <w:szCs w:val="18"/>
          <w:lang w:val="en-IN" w:eastAsia="en-IN" w:bidi="hi-IN"/>
        </w:rPr>
        <w:lastRenderedPageBreak/>
        <w:t>of the obtained electrolyte</w:t>
      </w:r>
      <w:r w:rsidR="007E111D">
        <w:rPr>
          <w:rFonts w:cs="Arial"/>
          <w:szCs w:val="18"/>
          <w:lang w:val="en-IN" w:eastAsia="en-IN" w:bidi="hi-IN"/>
        </w:rPr>
        <w:t xml:space="preserve"> and can be recovered as resources</w:t>
      </w:r>
      <w:r w:rsidR="0074100C">
        <w:rPr>
          <w:rFonts w:cs="Arial"/>
          <w:szCs w:val="18"/>
          <w:lang w:val="en-IN" w:eastAsia="en-IN" w:bidi="hi-IN"/>
        </w:rPr>
        <w:t xml:space="preserve"> for additional application purposes</w:t>
      </w:r>
      <w:r w:rsidR="007E111D">
        <w:rPr>
          <w:rFonts w:cs="Arial"/>
          <w:szCs w:val="18"/>
          <w:lang w:val="en-IN" w:eastAsia="en-IN" w:bidi="hi-IN"/>
        </w:rPr>
        <w:t xml:space="preserve"> or revenue generation.</w:t>
      </w:r>
    </w:p>
    <w:p w14:paraId="459D05E6" w14:textId="77777777" w:rsidR="00600535" w:rsidRPr="00B57B36" w:rsidRDefault="00600535" w:rsidP="00600535">
      <w:pPr>
        <w:pStyle w:val="CETAcknowledgementstitle"/>
      </w:pPr>
      <w:r w:rsidRPr="00B57B36">
        <w:t>Acknowledgments</w:t>
      </w:r>
    </w:p>
    <w:p w14:paraId="633ECFF2" w14:textId="0545A7EB" w:rsidR="00352666" w:rsidRPr="00352666" w:rsidRDefault="00352666" w:rsidP="00352666">
      <w:pPr>
        <w:pStyle w:val="CETBodytext"/>
      </w:pPr>
      <w:r w:rsidRPr="00352666">
        <w:t>This work was supported financially by Praj Industries Limited, India, in collaboration with the Indian Institute of Technology, Kharagpur, India (Project code - IIT/SRIC/CE/OIA/2023-2024/253).</w:t>
      </w:r>
    </w:p>
    <w:p w14:paraId="4F1327F8" w14:textId="77777777" w:rsidR="00600535" w:rsidRDefault="00600535" w:rsidP="00600535">
      <w:pPr>
        <w:pStyle w:val="CETReference"/>
      </w:pPr>
      <w:r w:rsidRPr="00B57B36">
        <w:t>References</w:t>
      </w:r>
    </w:p>
    <w:p w14:paraId="1C320358" w14:textId="77777777" w:rsidR="001E4E75" w:rsidRPr="001E4E75" w:rsidRDefault="001E4E75" w:rsidP="001E4E75">
      <w:pPr>
        <w:pStyle w:val="CETReferencetext"/>
        <w:rPr>
          <w:lang w:val="en-IN"/>
        </w:rPr>
      </w:pPr>
      <w:r w:rsidRPr="001E4E75">
        <w:rPr>
          <w:lang w:val="en-IN"/>
        </w:rPr>
        <w:t xml:space="preserve">Akhundzadeh Tezerjani A., Halladj R., Askari S., 2021, Different view of solvent effect on the synthesis methods of zeolitic imidazolate framework-8 to tuning the crystal structure and properties, </w:t>
      </w:r>
      <w:r w:rsidRPr="001E4E75">
        <w:rPr>
          <w:i/>
          <w:iCs/>
          <w:lang w:val="en-IN"/>
        </w:rPr>
        <w:t>RSC Advances</w:t>
      </w:r>
      <w:r w:rsidRPr="001E4E75">
        <w:rPr>
          <w:lang w:val="en-IN"/>
        </w:rPr>
        <w:t>, 11(32), 19914–19923.</w:t>
      </w:r>
    </w:p>
    <w:p w14:paraId="45B716C4" w14:textId="77777777" w:rsidR="001E4E75" w:rsidRPr="001E4E75" w:rsidRDefault="001E4E75" w:rsidP="001E4E75">
      <w:pPr>
        <w:pStyle w:val="CETReferencetext"/>
        <w:rPr>
          <w:lang w:val="en-IN"/>
        </w:rPr>
      </w:pPr>
      <w:r w:rsidRPr="001E4E75">
        <w:rPr>
          <w:lang w:val="en-IN"/>
        </w:rPr>
        <w:t xml:space="preserve">Al-Mamun A., Baawain M.S., Rahman S.M., Islam S.M.N., 2018, A review of microbial desalination cell technology: Configurations, optimization and applications, </w:t>
      </w:r>
      <w:r w:rsidRPr="001E4E75">
        <w:rPr>
          <w:i/>
          <w:iCs/>
          <w:lang w:val="en-IN"/>
        </w:rPr>
        <w:t>Journal of Cleaner Production</w:t>
      </w:r>
      <w:r w:rsidRPr="001E4E75">
        <w:rPr>
          <w:lang w:val="en-IN"/>
        </w:rPr>
        <w:t>, 183, 458–480.</w:t>
      </w:r>
    </w:p>
    <w:p w14:paraId="1BF14834" w14:textId="77777777" w:rsidR="001E4E75" w:rsidRPr="001E4E75" w:rsidRDefault="001E4E75" w:rsidP="001E4E75">
      <w:pPr>
        <w:pStyle w:val="CETReferencetext"/>
        <w:rPr>
          <w:lang w:val="en-IN"/>
        </w:rPr>
      </w:pPr>
      <w:r w:rsidRPr="001E4E75">
        <w:rPr>
          <w:lang w:val="en-IN"/>
        </w:rPr>
        <w:t xml:space="preserve">Al Murisi M., Al-Mamun A., Baawain M.S., Choudhury M.R., 2023, In situ growth of zeolite imidazole frameworks (ZIF-67) on carbon cloth for the application of oxygen reduction reactions and microbial fuel cells, </w:t>
      </w:r>
      <w:r w:rsidRPr="001E4E75">
        <w:rPr>
          <w:i/>
          <w:iCs/>
          <w:lang w:val="en-IN"/>
        </w:rPr>
        <w:t>ACS Omega</w:t>
      </w:r>
      <w:r w:rsidRPr="001E4E75">
        <w:rPr>
          <w:lang w:val="en-IN"/>
        </w:rPr>
        <w:t>, 8(47), 44514–44522.</w:t>
      </w:r>
    </w:p>
    <w:p w14:paraId="126BB50E" w14:textId="77777777" w:rsidR="001E4E75" w:rsidRPr="001E4E75" w:rsidRDefault="001E4E75" w:rsidP="001E4E75">
      <w:pPr>
        <w:pStyle w:val="CETReferencetext"/>
        <w:rPr>
          <w:lang w:val="en-IN"/>
        </w:rPr>
      </w:pPr>
      <w:r w:rsidRPr="001E4E75">
        <w:rPr>
          <w:lang w:val="en-IN"/>
        </w:rPr>
        <w:t xml:space="preserve">Chen X., Xia X., Liang P., Cao X., Sun H., Huang X., 2012, Sustainable water desalination and electricity generation in a separator coupled stacked microbial desalination cell with buffer-free electrolyte circulation, </w:t>
      </w:r>
      <w:r w:rsidRPr="001E4E75">
        <w:rPr>
          <w:i/>
          <w:iCs/>
          <w:lang w:val="en-IN"/>
        </w:rPr>
        <w:t>Bioresource Technology</w:t>
      </w:r>
      <w:r w:rsidRPr="001E4E75">
        <w:rPr>
          <w:lang w:val="en-IN"/>
        </w:rPr>
        <w:t>, 119, 88–93.</w:t>
      </w:r>
    </w:p>
    <w:p w14:paraId="490D9C79" w14:textId="77777777" w:rsidR="001E4E75" w:rsidRPr="001E4E75" w:rsidRDefault="001E4E75" w:rsidP="001E4E75">
      <w:pPr>
        <w:pStyle w:val="CETReferencetext"/>
        <w:rPr>
          <w:lang w:val="en-IN"/>
        </w:rPr>
      </w:pPr>
      <w:r w:rsidRPr="001E4E75">
        <w:rPr>
          <w:lang w:val="en-IN"/>
        </w:rPr>
        <w:t xml:space="preserve">Dhanabalan K., Arulmani S., Suresh M., Raghavan V., 2023, Metal–organic framework (MOF)-derived catalyst for oxygen reduction reaction (ORR) applications in fuel cell systems: A review of current advancements and perspectives, </w:t>
      </w:r>
      <w:r w:rsidRPr="001E4E75">
        <w:rPr>
          <w:i/>
          <w:iCs/>
          <w:lang w:val="en-IN"/>
        </w:rPr>
        <w:t>Energies</w:t>
      </w:r>
      <w:r w:rsidRPr="001E4E75">
        <w:rPr>
          <w:lang w:val="en-IN"/>
        </w:rPr>
        <w:t>, 16, 4950.</w:t>
      </w:r>
    </w:p>
    <w:p w14:paraId="5A28532D" w14:textId="77777777" w:rsidR="001E4E75" w:rsidRPr="001E4E75" w:rsidRDefault="001E4E75" w:rsidP="001E4E75">
      <w:pPr>
        <w:pStyle w:val="CETReferencetext"/>
        <w:rPr>
          <w:lang w:val="en-IN"/>
        </w:rPr>
      </w:pPr>
      <w:r w:rsidRPr="001E4E75">
        <w:rPr>
          <w:lang w:val="en-IN"/>
        </w:rPr>
        <w:t xml:space="preserve">Ghangrekar M.M., Shinde V.B., 2007, Performance of membrane-less microbial fuel cell treating wastewater and effect of electrode distance and area on electricity production, </w:t>
      </w:r>
      <w:r w:rsidRPr="001E4E75">
        <w:rPr>
          <w:i/>
          <w:iCs/>
          <w:lang w:val="en-IN"/>
        </w:rPr>
        <w:t>Bioresource Technology</w:t>
      </w:r>
      <w:r w:rsidRPr="001E4E75">
        <w:rPr>
          <w:lang w:val="en-IN"/>
        </w:rPr>
        <w:t>, 98(15), 2879–2885.</w:t>
      </w:r>
    </w:p>
    <w:p w14:paraId="580BD7C3" w14:textId="77777777" w:rsidR="001E4E75" w:rsidRPr="001E4E75" w:rsidRDefault="001E4E75" w:rsidP="001E4E75">
      <w:pPr>
        <w:pStyle w:val="CETReferencetext"/>
        <w:rPr>
          <w:lang w:val="en-IN"/>
        </w:rPr>
      </w:pPr>
      <w:r w:rsidRPr="001E4E75">
        <w:rPr>
          <w:lang w:val="en-IN"/>
        </w:rPr>
        <w:t xml:space="preserve">Gupta N., Murthy Z.V.P., 2022, Synthesis and application of ZIF-67 on the performance of polysulfone blend membranes, </w:t>
      </w:r>
      <w:r w:rsidRPr="001E4E75">
        <w:rPr>
          <w:i/>
          <w:iCs/>
          <w:lang w:val="en-IN"/>
        </w:rPr>
        <w:t>Materials Today Chemistry</w:t>
      </w:r>
      <w:r w:rsidRPr="001E4E75">
        <w:rPr>
          <w:lang w:val="en-IN"/>
        </w:rPr>
        <w:t>, 23, 100685.</w:t>
      </w:r>
    </w:p>
    <w:p w14:paraId="59613BB0" w14:textId="77777777" w:rsidR="001E4E75" w:rsidRPr="001E4E75" w:rsidRDefault="001E4E75" w:rsidP="001E4E75">
      <w:pPr>
        <w:pStyle w:val="CETReferencetext"/>
        <w:rPr>
          <w:lang w:val="en-IN"/>
        </w:rPr>
      </w:pPr>
      <w:r w:rsidRPr="001E4E75">
        <w:rPr>
          <w:lang w:val="en-IN"/>
        </w:rPr>
        <w:t xml:space="preserve">Imoro A.Z., Mensah M., Buamah R., 2021, Developments in the microbial desalination cell technology: A review, </w:t>
      </w:r>
      <w:r w:rsidRPr="001E4E75">
        <w:rPr>
          <w:i/>
          <w:iCs/>
          <w:lang w:val="en-IN"/>
        </w:rPr>
        <w:t>Water–Energy Nexus</w:t>
      </w:r>
      <w:r w:rsidRPr="001E4E75">
        <w:rPr>
          <w:lang w:val="en-IN"/>
        </w:rPr>
        <w:t>, 4, 76–87.</w:t>
      </w:r>
    </w:p>
    <w:p w14:paraId="023BC5B4" w14:textId="77777777" w:rsidR="001E4E75" w:rsidRPr="001E4E75" w:rsidRDefault="001E4E75" w:rsidP="001E4E75">
      <w:pPr>
        <w:pStyle w:val="CETReferencetext"/>
        <w:rPr>
          <w:lang w:val="en-IN"/>
        </w:rPr>
      </w:pPr>
      <w:r w:rsidRPr="001E4E75">
        <w:rPr>
          <w:lang w:val="en-IN"/>
        </w:rPr>
        <w:t xml:space="preserve">Jia H., Zhang Y., Li J., Wang X., 2025, Performance of microbial desalination cells with different cathode types in treating saline wastewater, </w:t>
      </w:r>
      <w:r w:rsidRPr="001E4E75">
        <w:rPr>
          <w:i/>
          <w:iCs/>
          <w:lang w:val="en-IN"/>
        </w:rPr>
        <w:t>Scientific Reports</w:t>
      </w:r>
      <w:r w:rsidRPr="001E4E75">
        <w:rPr>
          <w:lang w:val="en-IN"/>
        </w:rPr>
        <w:t>, 15(1), 16178.</w:t>
      </w:r>
    </w:p>
    <w:p w14:paraId="4A1C3A0B" w14:textId="77777777" w:rsidR="001E4E75" w:rsidRPr="001E4E75" w:rsidRDefault="001E4E75" w:rsidP="001E4E75">
      <w:pPr>
        <w:pStyle w:val="CETReferencetext"/>
        <w:rPr>
          <w:lang w:val="en-IN"/>
        </w:rPr>
      </w:pPr>
      <w:r w:rsidRPr="001E4E75">
        <w:rPr>
          <w:lang w:val="en-IN"/>
        </w:rPr>
        <w:t xml:space="preserve">Juma Al Balushi N., Al-Mamun A., Baawain M.S., Choudhury M.R., 2022, A comprehensive study on air-cathode limitations and its mitigation strategies in microbial desalination cell – A review, </w:t>
      </w:r>
      <w:r w:rsidRPr="001E4E75">
        <w:rPr>
          <w:i/>
          <w:iCs/>
          <w:lang w:val="en-IN"/>
        </w:rPr>
        <w:t>Energies</w:t>
      </w:r>
      <w:r w:rsidRPr="001E4E75">
        <w:rPr>
          <w:lang w:val="en-IN"/>
        </w:rPr>
        <w:t>, 15(20), 7459.</w:t>
      </w:r>
    </w:p>
    <w:p w14:paraId="37EBA5EB" w14:textId="77777777" w:rsidR="001E4E75" w:rsidRPr="001E4E75" w:rsidRDefault="001E4E75" w:rsidP="001E4E75">
      <w:pPr>
        <w:pStyle w:val="CETReferencetext"/>
        <w:rPr>
          <w:lang w:val="en-IN"/>
        </w:rPr>
      </w:pPr>
      <w:r w:rsidRPr="001E4E75">
        <w:rPr>
          <w:lang w:val="en-IN"/>
        </w:rPr>
        <w:t xml:space="preserve">Lan F., Zhang J., Liu Y., Chen Y., 2025, Enhancing oxygen reduction reaction in microbial fuel cell by Cu-metal organic framework@Fe-metal organic framework (Cu-MOF@Fe-MOF) as cathode catalyst, </w:t>
      </w:r>
      <w:r w:rsidRPr="001E4E75">
        <w:rPr>
          <w:i/>
          <w:iCs/>
          <w:lang w:val="en-IN"/>
        </w:rPr>
        <w:t>Journal of Environmental Chemical Engineering</w:t>
      </w:r>
      <w:r w:rsidRPr="001E4E75">
        <w:rPr>
          <w:lang w:val="en-IN"/>
        </w:rPr>
        <w:t>, 13(2), 115448.</w:t>
      </w:r>
    </w:p>
    <w:p w14:paraId="664904C1" w14:textId="77777777" w:rsidR="001E4E75" w:rsidRPr="001E4E75" w:rsidRDefault="001E4E75" w:rsidP="001E4E75">
      <w:pPr>
        <w:pStyle w:val="CETReferencetext"/>
        <w:rPr>
          <w:lang w:val="en-IN"/>
        </w:rPr>
      </w:pPr>
      <w:r w:rsidRPr="001E4E75">
        <w:rPr>
          <w:lang w:val="en-IN"/>
        </w:rPr>
        <w:t xml:space="preserve">Li L., Sun Y., Xu J., Shao M., 2018, ZIF-67 derived P/Ni/Co/NC nanoparticles as highly efficient electrocatalyst for oxygen reduction reaction (ORR), </w:t>
      </w:r>
      <w:r w:rsidRPr="001E4E75">
        <w:rPr>
          <w:i/>
          <w:iCs/>
          <w:lang w:val="en-IN"/>
        </w:rPr>
        <w:t>Journal of Solid State Chemistry</w:t>
      </w:r>
      <w:r w:rsidRPr="001E4E75">
        <w:rPr>
          <w:lang w:val="en-IN"/>
        </w:rPr>
        <w:t>, 264, 1–5.</w:t>
      </w:r>
    </w:p>
    <w:p w14:paraId="1A485EE5" w14:textId="77777777" w:rsidR="001E4E75" w:rsidRDefault="001E4E75" w:rsidP="001E4E75">
      <w:pPr>
        <w:pStyle w:val="CETReferencetext"/>
        <w:rPr>
          <w:lang w:val="en-IN"/>
        </w:rPr>
      </w:pPr>
      <w:r w:rsidRPr="001E4E75">
        <w:rPr>
          <w:lang w:val="en-IN"/>
        </w:rPr>
        <w:t xml:space="preserve">Lu X.F., Yu L., Lou X.W., 2020, Metal-organic frameworks based electrocatalysts for the oxygen reduction reaction, </w:t>
      </w:r>
      <w:r w:rsidRPr="001E4E75">
        <w:rPr>
          <w:i/>
          <w:iCs/>
          <w:lang w:val="en-IN"/>
        </w:rPr>
        <w:t>Angewandte Chemie International Edition</w:t>
      </w:r>
      <w:r w:rsidRPr="001E4E75">
        <w:rPr>
          <w:lang w:val="en-IN"/>
        </w:rPr>
        <w:t>, 59(12), 4634–4650.</w:t>
      </w:r>
    </w:p>
    <w:p w14:paraId="1BBF2EC0" w14:textId="1A9D53A2" w:rsidR="007D15E3" w:rsidRPr="001E4E75" w:rsidRDefault="007D15E3" w:rsidP="001E4E75">
      <w:pPr>
        <w:pStyle w:val="CETReferencetext"/>
        <w:rPr>
          <w:lang w:val="en-IN"/>
        </w:rPr>
      </w:pPr>
      <w:r w:rsidRPr="007D15E3">
        <w:t xml:space="preserve">Oturan M.A., Aaron J.J., 2014, Advanced oxidation processes in water/wastewater treatment: Principles and applications, </w:t>
      </w:r>
      <w:r w:rsidRPr="007D15E3">
        <w:rPr>
          <w:i/>
          <w:iCs/>
        </w:rPr>
        <w:t>Critical Reviews in Environmental Science and Technology</w:t>
      </w:r>
      <w:r w:rsidRPr="007D15E3">
        <w:t>, 44, 2577–2641.</w:t>
      </w:r>
    </w:p>
    <w:p w14:paraId="656D378E" w14:textId="77777777" w:rsidR="001E4E75" w:rsidRDefault="001E4E75" w:rsidP="001E4E75">
      <w:pPr>
        <w:pStyle w:val="CETReferencetext"/>
        <w:rPr>
          <w:lang w:val="en-IN"/>
        </w:rPr>
      </w:pPr>
      <w:r w:rsidRPr="001E4E75">
        <w:rPr>
          <w:lang w:val="en-IN"/>
        </w:rPr>
        <w:t xml:space="preserve">Raychaudhuri A., Behera M., 2020, Comparative evaluation of methanogenesis suppression methods in microbial fuel cell during rice mill wastewater treatment, </w:t>
      </w:r>
      <w:r w:rsidRPr="001E4E75">
        <w:rPr>
          <w:i/>
          <w:iCs/>
          <w:lang w:val="en-IN"/>
        </w:rPr>
        <w:t>Environmental Technology &amp; Innovation</w:t>
      </w:r>
      <w:r w:rsidRPr="001E4E75">
        <w:rPr>
          <w:lang w:val="en-IN"/>
        </w:rPr>
        <w:t>, 17, 100509.</w:t>
      </w:r>
    </w:p>
    <w:p w14:paraId="673399DC" w14:textId="5EFC266A" w:rsidR="007D15E3" w:rsidRPr="001E4E75" w:rsidRDefault="007D15E3" w:rsidP="001E4E75">
      <w:pPr>
        <w:pStyle w:val="CETReferencetext"/>
        <w:rPr>
          <w:lang w:val="en-IN"/>
        </w:rPr>
      </w:pPr>
      <w:r w:rsidRPr="007D15E3">
        <w:t xml:space="preserve">Rosso A., Larson L.E., Stenstrom M.K., 2008, Aeration of large-scale municipal wastewater treatment plants: State of the art, </w:t>
      </w:r>
      <w:r w:rsidRPr="007D15E3">
        <w:rPr>
          <w:i/>
          <w:iCs/>
        </w:rPr>
        <w:t>Water Science and Technology</w:t>
      </w:r>
      <w:r w:rsidRPr="007D15E3">
        <w:t>, 57(7), 973–978.</w:t>
      </w:r>
    </w:p>
    <w:p w14:paraId="29F91D8D" w14:textId="77777777" w:rsidR="001E4E75" w:rsidRPr="001E4E75" w:rsidRDefault="001E4E75" w:rsidP="001E4E75">
      <w:pPr>
        <w:pStyle w:val="CETReferencetext"/>
        <w:rPr>
          <w:lang w:val="en-IN"/>
        </w:rPr>
      </w:pPr>
      <w:r w:rsidRPr="001E4E75">
        <w:rPr>
          <w:lang w:val="en-IN"/>
        </w:rPr>
        <w:t xml:space="preserve">Sikder S., Hossain M.F., Islam M.S., Rahman M.M., 2024, Efficiency of microbial desalination cells in treating wastewater, desalinating saltwater, and generating bioelectricity in Bangladesh, </w:t>
      </w:r>
      <w:r w:rsidRPr="001E4E75">
        <w:rPr>
          <w:i/>
          <w:iCs/>
          <w:lang w:val="en-IN"/>
        </w:rPr>
        <w:t>RSC Advances</w:t>
      </w:r>
      <w:r w:rsidRPr="001E4E75">
        <w:rPr>
          <w:lang w:val="en-IN"/>
        </w:rPr>
        <w:t>, 14(52), 38547–38559.</w:t>
      </w:r>
    </w:p>
    <w:p w14:paraId="54EF7154" w14:textId="77777777" w:rsidR="001E4E75" w:rsidRPr="001E4E75" w:rsidRDefault="001E4E75" w:rsidP="001E4E75">
      <w:pPr>
        <w:pStyle w:val="CETReferencetext"/>
        <w:rPr>
          <w:lang w:val="en-IN"/>
        </w:rPr>
      </w:pPr>
      <w:r w:rsidRPr="001E4E75">
        <w:rPr>
          <w:lang w:val="en-IN"/>
        </w:rPr>
        <w:t xml:space="preserve">Tylus U., Jia Q., Strickland K., Ramaswamy N., Serov A., Atanassov P., Mukerjee S., 2014, Elucidating oxygen reduction active sites in pyrolyzed metal–nitrogen coordinated non-precious-metal electrocatalyst systems, </w:t>
      </w:r>
      <w:r w:rsidRPr="001E4E75">
        <w:rPr>
          <w:i/>
          <w:iCs/>
          <w:lang w:val="en-IN"/>
        </w:rPr>
        <w:t>Journal of Physical Chemistry C</w:t>
      </w:r>
      <w:r w:rsidRPr="001E4E75">
        <w:rPr>
          <w:lang w:val="en-IN"/>
        </w:rPr>
        <w:t>, 118(17), 8999–9008.</w:t>
      </w:r>
    </w:p>
    <w:p w14:paraId="00DB8BD2" w14:textId="77777777" w:rsidR="001E4E75" w:rsidRPr="001E4E75" w:rsidRDefault="001E4E75" w:rsidP="001E4E75">
      <w:pPr>
        <w:pStyle w:val="CETReferencetext"/>
        <w:rPr>
          <w:lang w:val="en-IN"/>
        </w:rPr>
      </w:pPr>
      <w:r w:rsidRPr="001E4E75">
        <w:rPr>
          <w:lang w:val="en-IN"/>
        </w:rPr>
        <w:t xml:space="preserve">Tran V.H., Kim E., Jung S.P., 2022, Anode biofilm maturation time, stable cell performance time, and time-course electrochemistry in a single-chamber microbial fuel cell with a brush-anode, </w:t>
      </w:r>
      <w:r w:rsidRPr="001E4E75">
        <w:rPr>
          <w:i/>
          <w:iCs/>
          <w:lang w:val="en-IN"/>
        </w:rPr>
        <w:t>Journal of Industrial and Engineering Chemistry</w:t>
      </w:r>
      <w:r w:rsidRPr="001E4E75">
        <w:rPr>
          <w:lang w:val="en-IN"/>
        </w:rPr>
        <w:t>, 106, 269–278.</w:t>
      </w:r>
    </w:p>
    <w:p w14:paraId="19C4FC68" w14:textId="697B3860" w:rsidR="004628D2" w:rsidRPr="004D777E" w:rsidRDefault="001E4E75" w:rsidP="004D777E">
      <w:pPr>
        <w:pStyle w:val="CETReferencetext"/>
        <w:rPr>
          <w:lang w:val="en-IN"/>
        </w:rPr>
      </w:pPr>
      <w:r w:rsidRPr="001E4E75">
        <w:rPr>
          <w:lang w:val="en-IN"/>
        </w:rPr>
        <w:t xml:space="preserve">Yao J., He M., Wang Y., 2013, High-yield synthesis of zeolitic imidazolate frameworks from stoichiometric metal and ligand precursor aqueous solutions at room temperature, </w:t>
      </w:r>
      <w:r w:rsidRPr="001E4E75">
        <w:rPr>
          <w:i/>
          <w:iCs/>
          <w:lang w:val="en-IN"/>
        </w:rPr>
        <w:t>CrystEngComm</w:t>
      </w:r>
      <w:r w:rsidRPr="001E4E75">
        <w:rPr>
          <w:lang w:val="en-IN"/>
        </w:rPr>
        <w:t>, 15(18), 3601.</w:t>
      </w:r>
    </w:p>
    <w:sectPr w:rsidR="004628D2" w:rsidRPr="004D777E"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70B613" w14:textId="77777777" w:rsidR="009A6156" w:rsidRDefault="009A6156" w:rsidP="004F5E36">
      <w:r>
        <w:separator/>
      </w:r>
    </w:p>
  </w:endnote>
  <w:endnote w:type="continuationSeparator" w:id="0">
    <w:p w14:paraId="269F5A4F" w14:textId="77777777" w:rsidR="009A6156" w:rsidRDefault="009A615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3D36B" w14:textId="77777777" w:rsidR="009A6156" w:rsidRDefault="009A6156" w:rsidP="004F5E36">
      <w:r>
        <w:separator/>
      </w:r>
    </w:p>
  </w:footnote>
  <w:footnote w:type="continuationSeparator" w:id="0">
    <w:p w14:paraId="4523A0AB" w14:textId="77777777" w:rsidR="009A6156" w:rsidRDefault="009A6156"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5A6F6E"/>
    <w:multiLevelType w:val="multilevel"/>
    <w:tmpl w:val="3A14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8217E"/>
    <w:multiLevelType w:val="multilevel"/>
    <w:tmpl w:val="F17228D6"/>
    <w:lvl w:ilvl="0">
      <w:start w:val="1"/>
      <w:numFmt w:val="decimal"/>
      <w:suff w:val="space"/>
      <w:lvlText w:val="Chapter %1"/>
      <w:lvlJc w:val="left"/>
      <w:pPr>
        <w:ind w:left="142"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1873302574">
    <w:abstractNumId w:val="11"/>
    <w:lvlOverride w:ilvl="0">
      <w:startOverride w:val="1"/>
    </w:lvlOverride>
    <w:lvlOverride w:ilvl="1">
      <w:startOverride w:val="4"/>
    </w:lvlOverride>
  </w:num>
  <w:num w:numId="24" w16cid:durableId="21256105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287E"/>
    <w:rsid w:val="000052FB"/>
    <w:rsid w:val="00005A19"/>
    <w:rsid w:val="000117CB"/>
    <w:rsid w:val="00026479"/>
    <w:rsid w:val="0003148D"/>
    <w:rsid w:val="00031EEC"/>
    <w:rsid w:val="00051566"/>
    <w:rsid w:val="00054288"/>
    <w:rsid w:val="000562A9"/>
    <w:rsid w:val="00062A9A"/>
    <w:rsid w:val="00065058"/>
    <w:rsid w:val="00086040"/>
    <w:rsid w:val="00086C39"/>
    <w:rsid w:val="000A03B2"/>
    <w:rsid w:val="000B55D7"/>
    <w:rsid w:val="000C2A21"/>
    <w:rsid w:val="000D0268"/>
    <w:rsid w:val="000D34BE"/>
    <w:rsid w:val="000D5BAA"/>
    <w:rsid w:val="000D6A1C"/>
    <w:rsid w:val="000E102F"/>
    <w:rsid w:val="000E36F1"/>
    <w:rsid w:val="000E3A73"/>
    <w:rsid w:val="000E414A"/>
    <w:rsid w:val="000E73C4"/>
    <w:rsid w:val="000F093C"/>
    <w:rsid w:val="000F787B"/>
    <w:rsid w:val="001009C2"/>
    <w:rsid w:val="0012091F"/>
    <w:rsid w:val="00126BC2"/>
    <w:rsid w:val="001308B6"/>
    <w:rsid w:val="0013121F"/>
    <w:rsid w:val="00131FE6"/>
    <w:rsid w:val="0013263F"/>
    <w:rsid w:val="001331DF"/>
    <w:rsid w:val="00134DE4"/>
    <w:rsid w:val="0014034D"/>
    <w:rsid w:val="00140AE4"/>
    <w:rsid w:val="00144D16"/>
    <w:rsid w:val="00150E59"/>
    <w:rsid w:val="00152DE3"/>
    <w:rsid w:val="00157224"/>
    <w:rsid w:val="00163760"/>
    <w:rsid w:val="00164CF9"/>
    <w:rsid w:val="001667A6"/>
    <w:rsid w:val="001763FF"/>
    <w:rsid w:val="00182AAA"/>
    <w:rsid w:val="001846E7"/>
    <w:rsid w:val="00184AD6"/>
    <w:rsid w:val="00184F5C"/>
    <w:rsid w:val="00194BB1"/>
    <w:rsid w:val="001A0511"/>
    <w:rsid w:val="001A4AF7"/>
    <w:rsid w:val="001A651B"/>
    <w:rsid w:val="001B0349"/>
    <w:rsid w:val="001B1E93"/>
    <w:rsid w:val="001B65C1"/>
    <w:rsid w:val="001C232D"/>
    <w:rsid w:val="001C684B"/>
    <w:rsid w:val="001D0CFB"/>
    <w:rsid w:val="001D21AF"/>
    <w:rsid w:val="001D53FC"/>
    <w:rsid w:val="001D5AE1"/>
    <w:rsid w:val="001E4E75"/>
    <w:rsid w:val="001E6BD7"/>
    <w:rsid w:val="001F42A5"/>
    <w:rsid w:val="001F7B9D"/>
    <w:rsid w:val="001F7F35"/>
    <w:rsid w:val="002003F1"/>
    <w:rsid w:val="00201C93"/>
    <w:rsid w:val="0020300E"/>
    <w:rsid w:val="002163B3"/>
    <w:rsid w:val="002224B4"/>
    <w:rsid w:val="002447EF"/>
    <w:rsid w:val="00247D3B"/>
    <w:rsid w:val="00251550"/>
    <w:rsid w:val="002548C3"/>
    <w:rsid w:val="00263B05"/>
    <w:rsid w:val="00265A65"/>
    <w:rsid w:val="00272022"/>
    <w:rsid w:val="0027221A"/>
    <w:rsid w:val="00275B61"/>
    <w:rsid w:val="00280FAF"/>
    <w:rsid w:val="00282656"/>
    <w:rsid w:val="00286CEF"/>
    <w:rsid w:val="00296B83"/>
    <w:rsid w:val="002A01A0"/>
    <w:rsid w:val="002A3A3A"/>
    <w:rsid w:val="002B4015"/>
    <w:rsid w:val="002B78CE"/>
    <w:rsid w:val="002C0580"/>
    <w:rsid w:val="002C2FB6"/>
    <w:rsid w:val="002C3922"/>
    <w:rsid w:val="002C7C4A"/>
    <w:rsid w:val="002D2E5B"/>
    <w:rsid w:val="002D3EAA"/>
    <w:rsid w:val="002E5FA7"/>
    <w:rsid w:val="002F3309"/>
    <w:rsid w:val="003008CE"/>
    <w:rsid w:val="003009B7"/>
    <w:rsid w:val="00300E56"/>
    <w:rsid w:val="0030152C"/>
    <w:rsid w:val="0030469C"/>
    <w:rsid w:val="00314125"/>
    <w:rsid w:val="00321CA6"/>
    <w:rsid w:val="00323763"/>
    <w:rsid w:val="00323C5F"/>
    <w:rsid w:val="00324EA6"/>
    <w:rsid w:val="003342C0"/>
    <w:rsid w:val="00334C09"/>
    <w:rsid w:val="00352666"/>
    <w:rsid w:val="00364446"/>
    <w:rsid w:val="003723D4"/>
    <w:rsid w:val="00374F0E"/>
    <w:rsid w:val="00375832"/>
    <w:rsid w:val="00381905"/>
    <w:rsid w:val="00384CC8"/>
    <w:rsid w:val="003871FD"/>
    <w:rsid w:val="00396B29"/>
    <w:rsid w:val="003A1E30"/>
    <w:rsid w:val="003A2829"/>
    <w:rsid w:val="003A74F6"/>
    <w:rsid w:val="003A7D1C"/>
    <w:rsid w:val="003B304B"/>
    <w:rsid w:val="003B3146"/>
    <w:rsid w:val="003B7340"/>
    <w:rsid w:val="003D093D"/>
    <w:rsid w:val="003D4432"/>
    <w:rsid w:val="003E0BBB"/>
    <w:rsid w:val="003F015E"/>
    <w:rsid w:val="003F279A"/>
    <w:rsid w:val="003F6F2E"/>
    <w:rsid w:val="00400414"/>
    <w:rsid w:val="0041446B"/>
    <w:rsid w:val="004206DC"/>
    <w:rsid w:val="00423B1E"/>
    <w:rsid w:val="00431D67"/>
    <w:rsid w:val="0044071E"/>
    <w:rsid w:val="0044329C"/>
    <w:rsid w:val="00453E24"/>
    <w:rsid w:val="00457456"/>
    <w:rsid w:val="004577FE"/>
    <w:rsid w:val="00457B9C"/>
    <w:rsid w:val="0046164A"/>
    <w:rsid w:val="004628D2"/>
    <w:rsid w:val="00462DCD"/>
    <w:rsid w:val="004648AD"/>
    <w:rsid w:val="004703A9"/>
    <w:rsid w:val="004760DE"/>
    <w:rsid w:val="004763D7"/>
    <w:rsid w:val="00490EE6"/>
    <w:rsid w:val="00494C87"/>
    <w:rsid w:val="004953D6"/>
    <w:rsid w:val="004A004E"/>
    <w:rsid w:val="004A24CF"/>
    <w:rsid w:val="004A3AE0"/>
    <w:rsid w:val="004C3D1D"/>
    <w:rsid w:val="004C3D84"/>
    <w:rsid w:val="004C7913"/>
    <w:rsid w:val="004D482F"/>
    <w:rsid w:val="004D777E"/>
    <w:rsid w:val="004E4DD6"/>
    <w:rsid w:val="004E5D69"/>
    <w:rsid w:val="004E6820"/>
    <w:rsid w:val="004F1B4C"/>
    <w:rsid w:val="004F5E36"/>
    <w:rsid w:val="00507B47"/>
    <w:rsid w:val="00507BEF"/>
    <w:rsid w:val="00507CC9"/>
    <w:rsid w:val="005119A5"/>
    <w:rsid w:val="005201A1"/>
    <w:rsid w:val="005278B7"/>
    <w:rsid w:val="00532016"/>
    <w:rsid w:val="005346C8"/>
    <w:rsid w:val="00543E7D"/>
    <w:rsid w:val="00547A68"/>
    <w:rsid w:val="00547FA1"/>
    <w:rsid w:val="00552606"/>
    <w:rsid w:val="005531C9"/>
    <w:rsid w:val="00557E00"/>
    <w:rsid w:val="00570C43"/>
    <w:rsid w:val="00571F7E"/>
    <w:rsid w:val="0058168A"/>
    <w:rsid w:val="0059356C"/>
    <w:rsid w:val="005A0176"/>
    <w:rsid w:val="005B2110"/>
    <w:rsid w:val="005B61E6"/>
    <w:rsid w:val="005C77E1"/>
    <w:rsid w:val="005D4219"/>
    <w:rsid w:val="005D668A"/>
    <w:rsid w:val="005D6A2F"/>
    <w:rsid w:val="005E1A82"/>
    <w:rsid w:val="005E794C"/>
    <w:rsid w:val="005F0A28"/>
    <w:rsid w:val="005F0E5E"/>
    <w:rsid w:val="005F123D"/>
    <w:rsid w:val="005F2334"/>
    <w:rsid w:val="005F5448"/>
    <w:rsid w:val="005F7A24"/>
    <w:rsid w:val="00600535"/>
    <w:rsid w:val="006009A2"/>
    <w:rsid w:val="00610CD6"/>
    <w:rsid w:val="00614CA1"/>
    <w:rsid w:val="00620DEE"/>
    <w:rsid w:val="00621F92"/>
    <w:rsid w:val="0062280A"/>
    <w:rsid w:val="00625639"/>
    <w:rsid w:val="00631B33"/>
    <w:rsid w:val="0064184D"/>
    <w:rsid w:val="006422CC"/>
    <w:rsid w:val="00647179"/>
    <w:rsid w:val="006556BE"/>
    <w:rsid w:val="00660E3E"/>
    <w:rsid w:val="00662E74"/>
    <w:rsid w:val="00662EE6"/>
    <w:rsid w:val="00674E8B"/>
    <w:rsid w:val="00680C23"/>
    <w:rsid w:val="00681460"/>
    <w:rsid w:val="00681C81"/>
    <w:rsid w:val="00693766"/>
    <w:rsid w:val="00694346"/>
    <w:rsid w:val="00696124"/>
    <w:rsid w:val="006A3281"/>
    <w:rsid w:val="006B4888"/>
    <w:rsid w:val="006C2E45"/>
    <w:rsid w:val="006C359C"/>
    <w:rsid w:val="006C5579"/>
    <w:rsid w:val="006D48CB"/>
    <w:rsid w:val="006D5F08"/>
    <w:rsid w:val="006D6E8B"/>
    <w:rsid w:val="006E32C2"/>
    <w:rsid w:val="006E6E1C"/>
    <w:rsid w:val="006E737D"/>
    <w:rsid w:val="006F1CD3"/>
    <w:rsid w:val="00700E36"/>
    <w:rsid w:val="00707DD1"/>
    <w:rsid w:val="00713973"/>
    <w:rsid w:val="00720A24"/>
    <w:rsid w:val="00732386"/>
    <w:rsid w:val="0073514D"/>
    <w:rsid w:val="0074100C"/>
    <w:rsid w:val="007447F3"/>
    <w:rsid w:val="0075499F"/>
    <w:rsid w:val="007661C8"/>
    <w:rsid w:val="0077098D"/>
    <w:rsid w:val="00775467"/>
    <w:rsid w:val="007863FC"/>
    <w:rsid w:val="007931FA"/>
    <w:rsid w:val="007A4861"/>
    <w:rsid w:val="007A7BBA"/>
    <w:rsid w:val="007B0C50"/>
    <w:rsid w:val="007B2C88"/>
    <w:rsid w:val="007B3EF3"/>
    <w:rsid w:val="007B48F9"/>
    <w:rsid w:val="007C1A43"/>
    <w:rsid w:val="007C3CED"/>
    <w:rsid w:val="007C678F"/>
    <w:rsid w:val="007D0951"/>
    <w:rsid w:val="007D0A0B"/>
    <w:rsid w:val="007D15E3"/>
    <w:rsid w:val="007D1E27"/>
    <w:rsid w:val="007D2D9D"/>
    <w:rsid w:val="007D732A"/>
    <w:rsid w:val="007E111D"/>
    <w:rsid w:val="0080013E"/>
    <w:rsid w:val="00802AF6"/>
    <w:rsid w:val="00813288"/>
    <w:rsid w:val="0081422A"/>
    <w:rsid w:val="008168FC"/>
    <w:rsid w:val="0082263C"/>
    <w:rsid w:val="00830996"/>
    <w:rsid w:val="008345F1"/>
    <w:rsid w:val="008412AD"/>
    <w:rsid w:val="0086060F"/>
    <w:rsid w:val="00865B07"/>
    <w:rsid w:val="00865F4C"/>
    <w:rsid w:val="008667EA"/>
    <w:rsid w:val="0087637F"/>
    <w:rsid w:val="00882136"/>
    <w:rsid w:val="00892AD5"/>
    <w:rsid w:val="00892DA7"/>
    <w:rsid w:val="008970D2"/>
    <w:rsid w:val="008A1512"/>
    <w:rsid w:val="008A27D8"/>
    <w:rsid w:val="008A5218"/>
    <w:rsid w:val="008B4DF3"/>
    <w:rsid w:val="008C5860"/>
    <w:rsid w:val="008C59BF"/>
    <w:rsid w:val="008D32B9"/>
    <w:rsid w:val="008D433B"/>
    <w:rsid w:val="008D4A16"/>
    <w:rsid w:val="008E2B69"/>
    <w:rsid w:val="008E4B6A"/>
    <w:rsid w:val="008E566E"/>
    <w:rsid w:val="008E58F7"/>
    <w:rsid w:val="008E6A0C"/>
    <w:rsid w:val="008F5A51"/>
    <w:rsid w:val="0090161A"/>
    <w:rsid w:val="00901EB6"/>
    <w:rsid w:val="00902FF9"/>
    <w:rsid w:val="00904C62"/>
    <w:rsid w:val="0092235D"/>
    <w:rsid w:val="00922BA8"/>
    <w:rsid w:val="00924DAC"/>
    <w:rsid w:val="00927058"/>
    <w:rsid w:val="009410CB"/>
    <w:rsid w:val="00942750"/>
    <w:rsid w:val="009450CE"/>
    <w:rsid w:val="009459BB"/>
    <w:rsid w:val="00947179"/>
    <w:rsid w:val="0095164B"/>
    <w:rsid w:val="00951741"/>
    <w:rsid w:val="00954090"/>
    <w:rsid w:val="009573E7"/>
    <w:rsid w:val="00960CFA"/>
    <w:rsid w:val="00963E05"/>
    <w:rsid w:val="00964A45"/>
    <w:rsid w:val="00964B41"/>
    <w:rsid w:val="00967843"/>
    <w:rsid w:val="00967D54"/>
    <w:rsid w:val="00971028"/>
    <w:rsid w:val="00980085"/>
    <w:rsid w:val="00993B84"/>
    <w:rsid w:val="00996483"/>
    <w:rsid w:val="00996F5A"/>
    <w:rsid w:val="009972B7"/>
    <w:rsid w:val="009A6156"/>
    <w:rsid w:val="009A6E76"/>
    <w:rsid w:val="009B041A"/>
    <w:rsid w:val="009C37C3"/>
    <w:rsid w:val="009C7C2A"/>
    <w:rsid w:val="009C7C86"/>
    <w:rsid w:val="009D2193"/>
    <w:rsid w:val="009D2FF7"/>
    <w:rsid w:val="009D4F64"/>
    <w:rsid w:val="009E7884"/>
    <w:rsid w:val="009E788A"/>
    <w:rsid w:val="009F0E08"/>
    <w:rsid w:val="00A1625B"/>
    <w:rsid w:val="00A1763D"/>
    <w:rsid w:val="00A17CEC"/>
    <w:rsid w:val="00A17EDB"/>
    <w:rsid w:val="00A2501F"/>
    <w:rsid w:val="00A27EF0"/>
    <w:rsid w:val="00A42361"/>
    <w:rsid w:val="00A50B20"/>
    <w:rsid w:val="00A51390"/>
    <w:rsid w:val="00A547F0"/>
    <w:rsid w:val="00A60009"/>
    <w:rsid w:val="00A60D13"/>
    <w:rsid w:val="00A714EF"/>
    <w:rsid w:val="00A7223D"/>
    <w:rsid w:val="00A72745"/>
    <w:rsid w:val="00A72914"/>
    <w:rsid w:val="00A76EFC"/>
    <w:rsid w:val="00A87D50"/>
    <w:rsid w:val="00A91010"/>
    <w:rsid w:val="00A97F29"/>
    <w:rsid w:val="00AA0DD8"/>
    <w:rsid w:val="00AA46E5"/>
    <w:rsid w:val="00AA69C3"/>
    <w:rsid w:val="00AA702E"/>
    <w:rsid w:val="00AA749A"/>
    <w:rsid w:val="00AA7D26"/>
    <w:rsid w:val="00AB0964"/>
    <w:rsid w:val="00AB5011"/>
    <w:rsid w:val="00AC4A1B"/>
    <w:rsid w:val="00AC7368"/>
    <w:rsid w:val="00AD16B9"/>
    <w:rsid w:val="00AE377D"/>
    <w:rsid w:val="00AE37D3"/>
    <w:rsid w:val="00AF0EBA"/>
    <w:rsid w:val="00AF46C8"/>
    <w:rsid w:val="00AF6FB0"/>
    <w:rsid w:val="00B02C8A"/>
    <w:rsid w:val="00B17FBD"/>
    <w:rsid w:val="00B2553E"/>
    <w:rsid w:val="00B25917"/>
    <w:rsid w:val="00B27398"/>
    <w:rsid w:val="00B315A6"/>
    <w:rsid w:val="00B31813"/>
    <w:rsid w:val="00B33365"/>
    <w:rsid w:val="00B344BD"/>
    <w:rsid w:val="00B3608C"/>
    <w:rsid w:val="00B4517B"/>
    <w:rsid w:val="00B50ED7"/>
    <w:rsid w:val="00B57B36"/>
    <w:rsid w:val="00B57E6F"/>
    <w:rsid w:val="00B61C65"/>
    <w:rsid w:val="00B62396"/>
    <w:rsid w:val="00B642B3"/>
    <w:rsid w:val="00B8686D"/>
    <w:rsid w:val="00B93F69"/>
    <w:rsid w:val="00BB1DDC"/>
    <w:rsid w:val="00BC30C9"/>
    <w:rsid w:val="00BC43B4"/>
    <w:rsid w:val="00BD077D"/>
    <w:rsid w:val="00BD3F46"/>
    <w:rsid w:val="00BE3E58"/>
    <w:rsid w:val="00BE454B"/>
    <w:rsid w:val="00C01616"/>
    <w:rsid w:val="00C0162B"/>
    <w:rsid w:val="00C068ED"/>
    <w:rsid w:val="00C20EC6"/>
    <w:rsid w:val="00C22E0C"/>
    <w:rsid w:val="00C2379F"/>
    <w:rsid w:val="00C24AF1"/>
    <w:rsid w:val="00C26C21"/>
    <w:rsid w:val="00C31F29"/>
    <w:rsid w:val="00C345B1"/>
    <w:rsid w:val="00C40142"/>
    <w:rsid w:val="00C44BE6"/>
    <w:rsid w:val="00C52C3C"/>
    <w:rsid w:val="00C57182"/>
    <w:rsid w:val="00C57863"/>
    <w:rsid w:val="00C640AF"/>
    <w:rsid w:val="00C655FD"/>
    <w:rsid w:val="00C6726F"/>
    <w:rsid w:val="00C75407"/>
    <w:rsid w:val="00C841C6"/>
    <w:rsid w:val="00C870A8"/>
    <w:rsid w:val="00C87502"/>
    <w:rsid w:val="00C94434"/>
    <w:rsid w:val="00C969A6"/>
    <w:rsid w:val="00CA0D75"/>
    <w:rsid w:val="00CA1AE1"/>
    <w:rsid w:val="00CA1C95"/>
    <w:rsid w:val="00CA5A9C"/>
    <w:rsid w:val="00CC4C20"/>
    <w:rsid w:val="00CD3517"/>
    <w:rsid w:val="00CD5FE2"/>
    <w:rsid w:val="00CE5658"/>
    <w:rsid w:val="00CE7C68"/>
    <w:rsid w:val="00D02B4C"/>
    <w:rsid w:val="00D040C4"/>
    <w:rsid w:val="00D04F8D"/>
    <w:rsid w:val="00D07D26"/>
    <w:rsid w:val="00D1224A"/>
    <w:rsid w:val="00D15C27"/>
    <w:rsid w:val="00D20AD1"/>
    <w:rsid w:val="00D2582C"/>
    <w:rsid w:val="00D2595E"/>
    <w:rsid w:val="00D46B7E"/>
    <w:rsid w:val="00D57C84"/>
    <w:rsid w:val="00D6057D"/>
    <w:rsid w:val="00D71640"/>
    <w:rsid w:val="00D836C5"/>
    <w:rsid w:val="00D84576"/>
    <w:rsid w:val="00DA1399"/>
    <w:rsid w:val="00DA24C6"/>
    <w:rsid w:val="00DA4D7B"/>
    <w:rsid w:val="00DA6C26"/>
    <w:rsid w:val="00DD271C"/>
    <w:rsid w:val="00DE264A"/>
    <w:rsid w:val="00DF5072"/>
    <w:rsid w:val="00E02D18"/>
    <w:rsid w:val="00E041E7"/>
    <w:rsid w:val="00E150E8"/>
    <w:rsid w:val="00E16E77"/>
    <w:rsid w:val="00E23CA1"/>
    <w:rsid w:val="00E409A8"/>
    <w:rsid w:val="00E43F39"/>
    <w:rsid w:val="00E50258"/>
    <w:rsid w:val="00E50C12"/>
    <w:rsid w:val="00E55864"/>
    <w:rsid w:val="00E64D99"/>
    <w:rsid w:val="00E65B91"/>
    <w:rsid w:val="00E7209D"/>
    <w:rsid w:val="00E72EAD"/>
    <w:rsid w:val="00E72F28"/>
    <w:rsid w:val="00E77223"/>
    <w:rsid w:val="00E8043F"/>
    <w:rsid w:val="00E8528B"/>
    <w:rsid w:val="00E85B94"/>
    <w:rsid w:val="00E86B6D"/>
    <w:rsid w:val="00E90A0D"/>
    <w:rsid w:val="00E978D0"/>
    <w:rsid w:val="00EA4613"/>
    <w:rsid w:val="00EA69BC"/>
    <w:rsid w:val="00EA7F91"/>
    <w:rsid w:val="00EB1523"/>
    <w:rsid w:val="00EC0E49"/>
    <w:rsid w:val="00EC101F"/>
    <w:rsid w:val="00EC1702"/>
    <w:rsid w:val="00EC1D9F"/>
    <w:rsid w:val="00EC488B"/>
    <w:rsid w:val="00EC7BA0"/>
    <w:rsid w:val="00EE0131"/>
    <w:rsid w:val="00EE052A"/>
    <w:rsid w:val="00EE17B0"/>
    <w:rsid w:val="00EE3E09"/>
    <w:rsid w:val="00EF06D9"/>
    <w:rsid w:val="00EF68FF"/>
    <w:rsid w:val="00F07352"/>
    <w:rsid w:val="00F3049E"/>
    <w:rsid w:val="00F30C64"/>
    <w:rsid w:val="00F32BA2"/>
    <w:rsid w:val="00F32CDB"/>
    <w:rsid w:val="00F36301"/>
    <w:rsid w:val="00F3781D"/>
    <w:rsid w:val="00F4033C"/>
    <w:rsid w:val="00F41F84"/>
    <w:rsid w:val="00F5041C"/>
    <w:rsid w:val="00F565FE"/>
    <w:rsid w:val="00F63A70"/>
    <w:rsid w:val="00F63D8C"/>
    <w:rsid w:val="00F66807"/>
    <w:rsid w:val="00F7534E"/>
    <w:rsid w:val="00F93EDF"/>
    <w:rsid w:val="00FA1802"/>
    <w:rsid w:val="00FA21D0"/>
    <w:rsid w:val="00FA5F5F"/>
    <w:rsid w:val="00FA79AA"/>
    <w:rsid w:val="00FB730C"/>
    <w:rsid w:val="00FC2695"/>
    <w:rsid w:val="00FC3E03"/>
    <w:rsid w:val="00FC3FC1"/>
    <w:rsid w:val="00FE38EE"/>
    <w:rsid w:val="00FF1A36"/>
  </w:rsids>
  <m:mathPr>
    <m:mathFont m:val="Cambria Math"/>
    <m:brkBin m:val="before"/>
    <m:brkBinSub m:val="--"/>
    <m:smallFrac m:val="0"/>
    <m:dispDef/>
    <m:lMargin m:val="0"/>
    <m:rMargin m:val="0"/>
    <m:defJc m:val="centerGroup"/>
    <m:wrapIndent m:val="1440"/>
    <m:intLim m:val="subSup"/>
    <m:naryLim m:val="undOvr"/>
  </m:mathPr>
  <w:themeFontLang w:val="it-IT" w:eastAsia="zh-C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9972B7"/>
    <w:rPr>
      <w:color w:val="605E5C"/>
      <w:shd w:val="clear" w:color="auto" w:fill="E1DFDD"/>
    </w:rPr>
  </w:style>
  <w:style w:type="paragraph" w:customStyle="1" w:styleId="Default">
    <w:name w:val="Default"/>
    <w:rsid w:val="00EC1702"/>
    <w:pPr>
      <w:autoSpaceDE w:val="0"/>
      <w:autoSpaceDN w:val="0"/>
      <w:adjustRightInd w:val="0"/>
      <w:spacing w:after="0" w:line="240" w:lineRule="auto"/>
    </w:pPr>
    <w:rPr>
      <w:rFonts w:ascii="Calibri" w:hAnsi="Calibri" w:cs="Calibri"/>
      <w:color w:val="000000"/>
      <w:sz w:val="24"/>
      <w:szCs w:val="24"/>
      <w:lang w:val="en-IN" w:bidi="hi-IN"/>
    </w:rPr>
  </w:style>
  <w:style w:type="character" w:customStyle="1" w:styleId="im">
    <w:name w:val="im"/>
    <w:basedOn w:val="DefaultParagraphFont"/>
    <w:rsid w:val="00A547F0"/>
  </w:style>
  <w:style w:type="character" w:styleId="Emphasis">
    <w:name w:val="Emphasis"/>
    <w:basedOn w:val="DefaultParagraphFont"/>
    <w:uiPriority w:val="20"/>
    <w:qFormat/>
    <w:rsid w:val="00A547F0"/>
    <w:rPr>
      <w:i/>
      <w:iCs/>
    </w:rPr>
  </w:style>
  <w:style w:type="character" w:styleId="Strong">
    <w:name w:val="Strong"/>
    <w:basedOn w:val="DefaultParagraphFont"/>
    <w:uiPriority w:val="22"/>
    <w:qFormat/>
    <w:rsid w:val="00FE38EE"/>
    <w:rPr>
      <w:b/>
      <w:bCs/>
    </w:rPr>
  </w:style>
  <w:style w:type="character" w:customStyle="1" w:styleId="ms-1">
    <w:name w:val="ms-1"/>
    <w:basedOn w:val="DefaultParagraphFont"/>
    <w:rsid w:val="00FE38EE"/>
  </w:style>
  <w:style w:type="character" w:customStyle="1" w:styleId="max-w-15ch">
    <w:name w:val="max-w-[15ch]"/>
    <w:basedOn w:val="DefaultParagraphFont"/>
    <w:rsid w:val="00FE38EE"/>
  </w:style>
  <w:style w:type="character" w:customStyle="1" w:styleId="-me-1">
    <w:name w:val="-me-1"/>
    <w:basedOn w:val="DefaultParagraphFont"/>
    <w:rsid w:val="00FE38EE"/>
  </w:style>
  <w:style w:type="paragraph" w:styleId="Revision">
    <w:name w:val="Revision"/>
    <w:hidden/>
    <w:uiPriority w:val="99"/>
    <w:semiHidden/>
    <w:rsid w:val="00AF6FB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hangrekar@civil.iitkgp.ac.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2132441-A222-4390-906A-ED2C43B74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6</Pages>
  <Words>11948</Words>
  <Characters>68108</Characters>
  <Application>Microsoft Office Word</Application>
  <DocSecurity>0</DocSecurity>
  <Lines>567</Lines>
  <Paragraphs>159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79897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Srishti Mishra</cp:lastModifiedBy>
  <cp:revision>10</cp:revision>
  <cp:lastPrinted>2015-05-12T18:31:00Z</cp:lastPrinted>
  <dcterms:created xsi:type="dcterms:W3CDTF">2026-02-04T14:48:00Z</dcterms:created>
  <dcterms:modified xsi:type="dcterms:W3CDTF">2026-02-06T17:45:00Z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9c97118b-ef47-4e01-b71d-d2664e270c00</vt:lpwstr>
  </property>
  <property fmtid="{D5CDD505-2E9C-101B-9397-08002B2CF9AE}" pid="5" name="Mendeley Document_1">
    <vt:lpwstr>True</vt:lpwstr>
  </property>
  <property fmtid="{D5CDD505-2E9C-101B-9397-08002B2CF9AE}" pid="6" name="Mendeley Unique User Id_1">
    <vt:lpwstr>23442ccc-92bc-3834-807c-d0d1caa1bed3</vt:lpwstr>
  </property>
  <property fmtid="{D5CDD505-2E9C-101B-9397-08002B2CF9AE}" pid="7" name="Mendeley Citation Style_1">
    <vt:lpwstr>http://www.zotero.org/styles/harvard1</vt:lpwstr>
  </property>
  <property fmtid="{D5CDD505-2E9C-101B-9397-08002B2CF9AE}" pid="8" name="Mendeley Recent Style Id 0_1">
    <vt:lpwstr>http://www.zotero.org/styles/asce-asme-journal-of-risk-and-uncertainty-in-engineering-systems-part-a-civil-engineering</vt:lpwstr>
  </property>
  <property fmtid="{D5CDD505-2E9C-101B-9397-08002B2CF9AE}" pid="9" name="Mendeley Recent Style Name 0_1">
    <vt:lpwstr>ASCE-ASME Journal of Risk and Uncertainty in Engineering Systems, Part A: Civil Engineering</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6th/7th edition</vt:lpwstr>
  </property>
  <property fmtid="{D5CDD505-2E9C-101B-9397-08002B2CF9AE}" pid="12" name="Mendeley Recent Style Id 2_1">
    <vt:lpwstr>http://www.zotero.org/styles/bioelectrochemistry</vt:lpwstr>
  </property>
  <property fmtid="{D5CDD505-2E9C-101B-9397-08002B2CF9AE}" pid="13" name="Mendeley Recent Style Name 2_1">
    <vt:lpwstr>Bioelectrochemistry</vt:lpwstr>
  </property>
  <property fmtid="{D5CDD505-2E9C-101B-9397-08002B2CF9AE}" pid="14" name="Mendeley Recent Style Id 3_1">
    <vt:lpwstr>http://www.zotero.org/styles/chemical-engineering-journal</vt:lpwstr>
  </property>
  <property fmtid="{D5CDD505-2E9C-101B-9397-08002B2CF9AE}" pid="15" name="Mendeley Recent Style Name 3_1">
    <vt:lpwstr>Chemical Engineering Journal</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http://www.zotero.org/styles/desalination</vt:lpwstr>
  </property>
  <property fmtid="{D5CDD505-2E9C-101B-9397-08002B2CF9AE}" pid="19" name="Mendeley Recent Style Name 5_1">
    <vt:lpwstr>Desalination</vt:lpwstr>
  </property>
  <property fmtid="{D5CDD505-2E9C-101B-9397-08002B2CF9AE}" pid="20" name="Mendeley Recent Style Id 6_1">
    <vt:lpwstr>http://www.zotero.org/styles/harvard1</vt:lpwstr>
  </property>
  <property fmtid="{D5CDD505-2E9C-101B-9397-08002B2CF9AE}" pid="21" name="Mendeley Recent Style Name 6_1">
    <vt:lpwstr>Harvard reference format 1 (deprecated)</vt:lpwstr>
  </property>
  <property fmtid="{D5CDD505-2E9C-101B-9397-08002B2CF9AE}" pid="22" name="Mendeley Recent Style Id 7_1">
    <vt:lpwstr>http://www.zotero.org/styles/ieee</vt:lpwstr>
  </property>
  <property fmtid="{D5CDD505-2E9C-101B-9397-08002B2CF9AE}" pid="23" name="Mendeley Recent Style Name 7_1">
    <vt:lpwstr>IEEE</vt:lpwstr>
  </property>
  <property fmtid="{D5CDD505-2E9C-101B-9397-08002B2CF9AE}" pid="24" name="Mendeley Recent Style Id 8_1">
    <vt:lpwstr>http://www.zotero.org/styles/journal-of-environmental-management</vt:lpwstr>
  </property>
  <property fmtid="{D5CDD505-2E9C-101B-9397-08002B2CF9AE}" pid="25" name="Mendeley Recent Style Name 8_1">
    <vt:lpwstr>Journal of Environmental Management</vt:lpwstr>
  </property>
  <property fmtid="{D5CDD505-2E9C-101B-9397-08002B2CF9AE}" pid="26" name="Mendeley Recent Style Id 9_1">
    <vt:lpwstr>http://www.zotero.org/styles/water-research</vt:lpwstr>
  </property>
  <property fmtid="{D5CDD505-2E9C-101B-9397-08002B2CF9AE}" pid="27" name="Mendeley Recent Style Name 9_1">
    <vt:lpwstr>Water Research</vt:lpwstr>
  </property>
</Properties>
</file>