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887F61" w:rsidRDefault="000A03B2" w:rsidP="003D6DDA">
            <w:pPr>
              <w:tabs>
                <w:tab w:val="left" w:pos="-108"/>
              </w:tabs>
              <w:ind w:left="-108"/>
              <w:jc w:val="both"/>
              <w:rPr>
                <w:rFonts w:cs="Arial"/>
                <w:b/>
                <w:bCs/>
                <w:i/>
                <w:iCs/>
                <w:color w:val="000066"/>
                <w:sz w:val="12"/>
                <w:szCs w:val="12"/>
                <w:lang w:val="en-US"/>
              </w:rPr>
            </w:pPr>
            <w:r w:rsidRPr="00B57B36">
              <w:rPr>
                <w:rFonts w:ascii="AdvP6960" w:hAnsi="AdvP6960" w:cs="AdvP6960"/>
                <w:noProof/>
                <w:color w:val="241F20"/>
                <w:szCs w:val="18"/>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887F61">
              <w:rPr>
                <w:rFonts w:ascii="AdvP6960" w:hAnsi="AdvP6960" w:cs="AdvP6960"/>
                <w:color w:val="241F20"/>
                <w:szCs w:val="18"/>
                <w:lang w:val="en-US"/>
              </w:rPr>
              <w:t xml:space="preserve"> </w:t>
            </w:r>
            <w:r w:rsidRPr="00887F61">
              <w:rPr>
                <w:rFonts w:cs="Arial"/>
                <w:b/>
                <w:bCs/>
                <w:i/>
                <w:iCs/>
                <w:color w:val="000066"/>
                <w:lang w:val="en-US"/>
              </w:rPr>
              <w:t>CHEMICAL ENGINEERING</w:t>
            </w:r>
            <w:r w:rsidRPr="00887F61">
              <w:rPr>
                <w:rFonts w:cs="Arial"/>
                <w:b/>
                <w:bCs/>
                <w:i/>
                <w:iCs/>
                <w:color w:val="0033FF"/>
                <w:lang w:val="en-US"/>
              </w:rPr>
              <w:t xml:space="preserve"> </w:t>
            </w:r>
            <w:r w:rsidRPr="00887F61">
              <w:rPr>
                <w:rFonts w:cs="Arial"/>
                <w:b/>
                <w:bCs/>
                <w:i/>
                <w:iCs/>
                <w:color w:val="666666"/>
                <w:lang w:val="en-US"/>
              </w:rPr>
              <w:t>TRANSACTIONS</w:t>
            </w:r>
            <w:r w:rsidRPr="00887F61">
              <w:rPr>
                <w:color w:val="333333"/>
                <w:lang w:val="en-US"/>
              </w:rPr>
              <w:t xml:space="preserve"> </w:t>
            </w:r>
            <w:r w:rsidRPr="00887F61">
              <w:rPr>
                <w:rFonts w:cs="Arial"/>
                <w:b/>
                <w:bCs/>
                <w:i/>
                <w:iCs/>
                <w:color w:val="000066"/>
                <w:sz w:val="27"/>
                <w:szCs w:val="27"/>
                <w:lang w:val="en-US"/>
              </w:rPr>
              <w:br/>
            </w:r>
          </w:p>
          <w:p w14:paraId="4B780582" w14:textId="753620B8" w:rsidR="000A03B2" w:rsidRPr="00887F61" w:rsidRDefault="00A76EFC" w:rsidP="001D21AF">
            <w:pPr>
              <w:tabs>
                <w:tab w:val="left" w:pos="-108"/>
              </w:tabs>
              <w:ind w:left="-108"/>
              <w:rPr>
                <w:rFonts w:cs="Arial"/>
                <w:b/>
                <w:bCs/>
                <w:i/>
                <w:iCs/>
                <w:color w:val="000066"/>
                <w:sz w:val="22"/>
                <w:szCs w:val="22"/>
                <w:lang w:val="en-US"/>
              </w:rPr>
            </w:pPr>
            <w:r w:rsidRPr="00887F61">
              <w:rPr>
                <w:rFonts w:cs="Arial"/>
                <w:b/>
                <w:bCs/>
                <w:i/>
                <w:iCs/>
                <w:color w:val="000066"/>
                <w:sz w:val="22"/>
                <w:szCs w:val="22"/>
                <w:lang w:val="en-US"/>
              </w:rPr>
              <w:t>VOL.</w:t>
            </w:r>
            <w:r w:rsidR="00785BF9" w:rsidRPr="00887F61">
              <w:rPr>
                <w:rFonts w:cs="Arial"/>
                <w:b/>
                <w:bCs/>
                <w:i/>
                <w:iCs/>
                <w:color w:val="000066"/>
                <w:sz w:val="22"/>
                <w:szCs w:val="22"/>
                <w:lang w:val="en-US"/>
              </w:rPr>
              <w:t xml:space="preserve"> </w:t>
            </w:r>
            <w:r w:rsidR="00AD0278" w:rsidRPr="00887F61">
              <w:rPr>
                <w:rFonts w:cs="Arial"/>
                <w:b/>
                <w:bCs/>
                <w:i/>
                <w:iCs/>
                <w:color w:val="000066"/>
                <w:sz w:val="22"/>
                <w:szCs w:val="22"/>
                <w:lang w:val="en-US"/>
              </w:rPr>
              <w:t>xxx</w:t>
            </w:r>
            <w:r w:rsidR="007B48F9" w:rsidRPr="00887F61">
              <w:rPr>
                <w:rFonts w:cs="Arial"/>
                <w:b/>
                <w:bCs/>
                <w:i/>
                <w:iCs/>
                <w:color w:val="000066"/>
                <w:sz w:val="22"/>
                <w:szCs w:val="22"/>
                <w:lang w:val="en-US"/>
              </w:rPr>
              <w:t>,</w:t>
            </w:r>
            <w:r w:rsidR="00FA5F5F" w:rsidRPr="00887F61">
              <w:rPr>
                <w:rFonts w:cs="Arial"/>
                <w:b/>
                <w:bCs/>
                <w:i/>
                <w:iCs/>
                <w:color w:val="000066"/>
                <w:sz w:val="22"/>
                <w:szCs w:val="22"/>
                <w:lang w:val="en-US"/>
              </w:rPr>
              <w:t xml:space="preserve"> </w:t>
            </w:r>
            <w:r w:rsidR="0030152C" w:rsidRPr="00887F61">
              <w:rPr>
                <w:rFonts w:cs="Arial"/>
                <w:b/>
                <w:bCs/>
                <w:i/>
                <w:iCs/>
                <w:color w:val="000066"/>
                <w:sz w:val="22"/>
                <w:szCs w:val="22"/>
                <w:lang w:val="en-US"/>
              </w:rPr>
              <w:t>202</w:t>
            </w:r>
            <w:r w:rsidR="00AD0278" w:rsidRPr="00887F61">
              <w:rPr>
                <w:rFonts w:cs="Arial"/>
                <w:b/>
                <w:bCs/>
                <w:i/>
                <w:iCs/>
                <w:color w:val="000066"/>
                <w:sz w:val="22"/>
                <w:szCs w:val="22"/>
                <w:lang w:val="en-US"/>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 xml:space="preserve">A </w:t>
            </w:r>
            <w:proofErr w:type="spellStart"/>
            <w:r w:rsidRPr="00B57B36">
              <w:rPr>
                <w:rFonts w:cs="Arial"/>
                <w:sz w:val="14"/>
                <w:szCs w:val="14"/>
              </w:rPr>
              <w:t>publication</w:t>
            </w:r>
            <w:proofErr w:type="spellEnd"/>
            <w:r w:rsidRPr="00B57B36">
              <w:rPr>
                <w:rFonts w:cs="Arial"/>
                <w:sz w:val="14"/>
                <w:szCs w:val="14"/>
              </w:rPr>
              <w:t xml:space="preserve"> of</w:t>
            </w:r>
          </w:p>
          <w:p w14:paraId="599E5441" w14:textId="77777777" w:rsidR="000A03B2" w:rsidRPr="00B57B36" w:rsidRDefault="000A03B2" w:rsidP="00CD5FE2">
            <w:pPr>
              <w:jc w:val="right"/>
            </w:pPr>
            <w:r w:rsidRPr="00B57B36">
              <w:rPr>
                <w:noProof/>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4672A7"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887F61" w:rsidRDefault="000A03B2" w:rsidP="00CD5FE2">
            <w:pPr>
              <w:spacing w:line="140" w:lineRule="atLeast"/>
              <w:jc w:val="right"/>
              <w:rPr>
                <w:rFonts w:cs="Arial"/>
                <w:sz w:val="14"/>
                <w:szCs w:val="14"/>
                <w:lang w:val="en-US"/>
              </w:rPr>
            </w:pPr>
            <w:r w:rsidRPr="00887F61">
              <w:rPr>
                <w:rFonts w:cs="Arial"/>
                <w:sz w:val="14"/>
                <w:szCs w:val="14"/>
                <w:lang w:val="en-US"/>
              </w:rPr>
              <w:t>The Italian Association</w:t>
            </w:r>
          </w:p>
          <w:p w14:paraId="7522B1D2" w14:textId="77777777" w:rsidR="000A03B2" w:rsidRPr="00887F61" w:rsidRDefault="000A03B2" w:rsidP="00CD5FE2">
            <w:pPr>
              <w:spacing w:line="140" w:lineRule="atLeast"/>
              <w:jc w:val="right"/>
              <w:rPr>
                <w:rFonts w:cs="Arial"/>
                <w:sz w:val="14"/>
                <w:szCs w:val="14"/>
                <w:lang w:val="en-US"/>
              </w:rPr>
            </w:pPr>
            <w:r w:rsidRPr="00887F61">
              <w:rPr>
                <w:rFonts w:cs="Arial"/>
                <w:sz w:val="14"/>
                <w:szCs w:val="14"/>
                <w:lang w:val="en-US"/>
              </w:rPr>
              <w:t>of Chemical Engineering</w:t>
            </w:r>
          </w:p>
          <w:p w14:paraId="4F0CC5DE" w14:textId="47FDB2FC" w:rsidR="000A03B2" w:rsidRPr="00887F61" w:rsidRDefault="000D0268" w:rsidP="00CD5FE2">
            <w:pPr>
              <w:spacing w:line="140" w:lineRule="atLeast"/>
              <w:jc w:val="right"/>
              <w:rPr>
                <w:rFonts w:cs="Arial"/>
                <w:sz w:val="13"/>
                <w:szCs w:val="13"/>
                <w:lang w:val="en-US"/>
              </w:rPr>
            </w:pPr>
            <w:r w:rsidRPr="00887F61">
              <w:rPr>
                <w:rFonts w:cs="Arial"/>
                <w:sz w:val="13"/>
                <w:szCs w:val="13"/>
                <w:lang w:val="en-US"/>
              </w:rPr>
              <w:t>Online at www.cetjournal.it</w:t>
            </w:r>
          </w:p>
        </w:tc>
      </w:tr>
      <w:tr w:rsidR="000A03B2" w:rsidRPr="004672A7"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rPr>
            </w:pPr>
            <w:bookmarkStart w:id="0" w:name="_Hlk145068772"/>
            <w:r w:rsidRPr="004A5E57">
              <w:rPr>
                <w:rFonts w:ascii="Tahoma" w:hAnsi="Tahoma" w:cs="Tahoma"/>
                <w:iCs/>
                <w:color w:val="333333"/>
                <w:sz w:val="14"/>
                <w:szCs w:val="14"/>
              </w:rPr>
              <w:t>Guest Editors:</w:t>
            </w:r>
            <w:r w:rsidRPr="004A5E57">
              <w:rPr>
                <w:rFonts w:ascii="Tahoma" w:hAnsi="Tahoma" w:cs="Tahoma"/>
                <w:color w:val="000000"/>
                <w:sz w:val="14"/>
                <w:szCs w:val="14"/>
                <w:shd w:val="clear" w:color="auto" w:fill="FFFFFF"/>
              </w:rPr>
              <w:t xml:space="preserve"> </w:t>
            </w:r>
            <w:r w:rsidR="00005884" w:rsidRPr="00005884">
              <w:rPr>
                <w:rFonts w:ascii="Tahoma" w:hAnsi="Tahoma" w:cs="Tahoma"/>
                <w:color w:val="000000"/>
                <w:sz w:val="14"/>
                <w:szCs w:val="14"/>
                <w:shd w:val="clear" w:color="auto" w:fill="FFFFFF"/>
              </w:rPr>
              <w:t>Marco Bravi, Antonio Marzocchella, Giuseppe Caputo</w:t>
            </w:r>
          </w:p>
          <w:p w14:paraId="1B0F1814" w14:textId="710B7B96" w:rsidR="000A03B2" w:rsidRPr="00887F61" w:rsidRDefault="00AA7D26" w:rsidP="00AA7D26">
            <w:pPr>
              <w:tabs>
                <w:tab w:val="left" w:pos="-108"/>
              </w:tabs>
              <w:spacing w:line="140" w:lineRule="atLeast"/>
              <w:ind w:left="-107"/>
              <w:rPr>
                <w:lang w:val="en-US"/>
              </w:rPr>
            </w:pPr>
            <w:r w:rsidRPr="00887F61">
              <w:rPr>
                <w:rFonts w:ascii="Tahoma" w:hAnsi="Tahoma" w:cs="Tahoma"/>
                <w:iCs/>
                <w:color w:val="333333"/>
                <w:sz w:val="14"/>
                <w:szCs w:val="14"/>
                <w:lang w:val="en-US"/>
              </w:rPr>
              <w:t>Copyright © 202</w:t>
            </w:r>
            <w:r w:rsidR="00005884" w:rsidRPr="00887F61">
              <w:rPr>
                <w:rFonts w:ascii="Tahoma" w:hAnsi="Tahoma" w:cs="Tahoma"/>
                <w:iCs/>
                <w:color w:val="333333"/>
                <w:sz w:val="14"/>
                <w:szCs w:val="14"/>
                <w:lang w:val="en-US"/>
              </w:rPr>
              <w:t>6</w:t>
            </w:r>
            <w:r w:rsidRPr="00887F61">
              <w:rPr>
                <w:rFonts w:ascii="Tahoma" w:hAnsi="Tahoma" w:cs="Tahoma"/>
                <w:iCs/>
                <w:color w:val="333333"/>
                <w:sz w:val="14"/>
                <w:szCs w:val="14"/>
                <w:lang w:val="en-US"/>
              </w:rPr>
              <w:t xml:space="preserve">, AIDIC Servizi </w:t>
            </w:r>
            <w:proofErr w:type="spellStart"/>
            <w:r w:rsidRPr="00887F61">
              <w:rPr>
                <w:rFonts w:ascii="Tahoma" w:hAnsi="Tahoma" w:cs="Tahoma"/>
                <w:iCs/>
                <w:color w:val="333333"/>
                <w:sz w:val="14"/>
                <w:szCs w:val="14"/>
                <w:lang w:val="en-US"/>
              </w:rPr>
              <w:t>S.r.l</w:t>
            </w:r>
            <w:proofErr w:type="spellEnd"/>
            <w:r w:rsidRPr="00887F61">
              <w:rPr>
                <w:rFonts w:ascii="Tahoma" w:hAnsi="Tahoma" w:cs="Tahoma"/>
                <w:iCs/>
                <w:color w:val="333333"/>
                <w:sz w:val="14"/>
                <w:szCs w:val="14"/>
                <w:lang w:val="en-US"/>
              </w:rPr>
              <w:t>.</w:t>
            </w:r>
            <w:r w:rsidRPr="00887F61">
              <w:rPr>
                <w:rFonts w:ascii="Tahoma" w:hAnsi="Tahoma" w:cs="Tahoma"/>
                <w:iCs/>
                <w:color w:val="333333"/>
                <w:sz w:val="14"/>
                <w:szCs w:val="14"/>
                <w:lang w:val="en-US"/>
              </w:rPr>
              <w:br/>
            </w:r>
            <w:r w:rsidRPr="00887F61">
              <w:rPr>
                <w:rFonts w:ascii="Tahoma" w:hAnsi="Tahoma" w:cs="Tahoma"/>
                <w:b/>
                <w:iCs/>
                <w:color w:val="000000"/>
                <w:sz w:val="14"/>
                <w:szCs w:val="14"/>
                <w:lang w:val="en-US"/>
              </w:rPr>
              <w:t>ISBN</w:t>
            </w:r>
            <w:r w:rsidRPr="00887F61">
              <w:rPr>
                <w:rFonts w:ascii="Tahoma" w:hAnsi="Tahoma" w:cs="Tahoma"/>
                <w:iCs/>
                <w:color w:val="000000"/>
                <w:sz w:val="14"/>
                <w:szCs w:val="14"/>
                <w:lang w:val="en-US"/>
              </w:rPr>
              <w:t xml:space="preserve"> </w:t>
            </w:r>
            <w:r w:rsidR="00D2582C" w:rsidRPr="00887F61">
              <w:rPr>
                <w:rFonts w:ascii="Tahoma" w:hAnsi="Tahoma" w:cs="Tahoma"/>
                <w:sz w:val="14"/>
                <w:szCs w:val="14"/>
                <w:lang w:val="en-US"/>
              </w:rPr>
              <w:t>979-12-81206-</w:t>
            </w:r>
            <w:r w:rsidR="00005884" w:rsidRPr="00887F61">
              <w:rPr>
                <w:rFonts w:ascii="Tahoma" w:hAnsi="Tahoma" w:cs="Tahoma"/>
                <w:sz w:val="14"/>
                <w:szCs w:val="14"/>
                <w:lang w:val="en-US"/>
              </w:rPr>
              <w:t>xx</w:t>
            </w:r>
            <w:r w:rsidR="009041F8" w:rsidRPr="00887F61">
              <w:rPr>
                <w:rFonts w:ascii="Tahoma" w:hAnsi="Tahoma" w:cs="Tahoma"/>
                <w:sz w:val="14"/>
                <w:szCs w:val="14"/>
                <w:lang w:val="en-US"/>
              </w:rPr>
              <w:t>-</w:t>
            </w:r>
            <w:r w:rsidR="00005884" w:rsidRPr="00887F61">
              <w:rPr>
                <w:rFonts w:ascii="Tahoma" w:hAnsi="Tahoma" w:cs="Tahoma"/>
                <w:sz w:val="14"/>
                <w:szCs w:val="14"/>
                <w:lang w:val="en-US"/>
              </w:rPr>
              <w:t>x</w:t>
            </w:r>
            <w:r w:rsidRPr="00887F61">
              <w:rPr>
                <w:rFonts w:ascii="Tahoma" w:hAnsi="Tahoma" w:cs="Tahoma"/>
                <w:iCs/>
                <w:color w:val="333333"/>
                <w:sz w:val="14"/>
                <w:szCs w:val="14"/>
                <w:lang w:val="en-US"/>
              </w:rPr>
              <w:t xml:space="preserve">; </w:t>
            </w:r>
            <w:r w:rsidRPr="00887F61">
              <w:rPr>
                <w:rFonts w:ascii="Tahoma" w:hAnsi="Tahoma" w:cs="Tahoma"/>
                <w:b/>
                <w:iCs/>
                <w:color w:val="333333"/>
                <w:sz w:val="14"/>
                <w:szCs w:val="14"/>
                <w:lang w:val="en-US"/>
              </w:rPr>
              <w:t>ISSN</w:t>
            </w:r>
            <w:r w:rsidRPr="00887F61">
              <w:rPr>
                <w:rFonts w:ascii="Tahoma" w:hAnsi="Tahoma" w:cs="Tahoma"/>
                <w:iCs/>
                <w:color w:val="333333"/>
                <w:sz w:val="14"/>
                <w:szCs w:val="14"/>
                <w:lang w:val="en-US"/>
              </w:rPr>
              <w:t xml:space="preserve"> 2283-9216</w:t>
            </w:r>
          </w:p>
        </w:tc>
      </w:tr>
    </w:tbl>
    <w:bookmarkEnd w:id="0"/>
    <w:p w14:paraId="2E667253" w14:textId="474B27A2" w:rsidR="00E978D0" w:rsidRPr="004672A7" w:rsidRDefault="003819B0" w:rsidP="00E978D0">
      <w:pPr>
        <w:pStyle w:val="CETTitle"/>
        <w:rPr>
          <w:lang w:val="it-IT"/>
        </w:rPr>
      </w:pPr>
      <w:r w:rsidRPr="004672A7">
        <w:rPr>
          <w:rFonts w:cs="Arial"/>
          <w:lang w:val="it-IT" w:eastAsia="it-IT"/>
        </w:rPr>
        <w:t xml:space="preserve">Dark </w:t>
      </w:r>
      <w:proofErr w:type="spellStart"/>
      <w:r w:rsidR="003D6DDA" w:rsidRPr="004672A7">
        <w:rPr>
          <w:rFonts w:cs="Arial"/>
          <w:lang w:val="it-IT" w:eastAsia="it-IT"/>
        </w:rPr>
        <w:t>F</w:t>
      </w:r>
      <w:r w:rsidRPr="004672A7">
        <w:rPr>
          <w:rFonts w:cs="Arial"/>
          <w:lang w:val="it-IT" w:eastAsia="it-IT"/>
        </w:rPr>
        <w:t>ermentation</w:t>
      </w:r>
      <w:proofErr w:type="spellEnd"/>
      <w:r w:rsidRPr="004672A7">
        <w:rPr>
          <w:rFonts w:cs="Arial"/>
          <w:lang w:val="it-IT" w:eastAsia="it-IT"/>
        </w:rPr>
        <w:t xml:space="preserve"> </w:t>
      </w:r>
      <w:r w:rsidR="003D6DDA" w:rsidRPr="004672A7">
        <w:rPr>
          <w:rFonts w:cs="Arial"/>
          <w:lang w:val="it-IT" w:eastAsia="it-IT"/>
        </w:rPr>
        <w:t>P</w:t>
      </w:r>
      <w:r w:rsidRPr="004672A7">
        <w:rPr>
          <w:rFonts w:cs="Arial"/>
          <w:lang w:val="it-IT" w:eastAsia="it-IT"/>
        </w:rPr>
        <w:t xml:space="preserve">rocess: </w:t>
      </w:r>
      <w:r w:rsidR="003D6DDA" w:rsidRPr="004672A7">
        <w:rPr>
          <w:rFonts w:cs="Arial"/>
          <w:lang w:val="it-IT" w:eastAsia="it-IT"/>
        </w:rPr>
        <w:t>C</w:t>
      </w:r>
      <w:r w:rsidR="007859D7" w:rsidRPr="004672A7">
        <w:rPr>
          <w:rFonts w:cs="Arial"/>
          <w:lang w:val="it-IT" w:eastAsia="it-IT"/>
        </w:rPr>
        <w:t xml:space="preserve">arrier </w:t>
      </w:r>
      <w:proofErr w:type="spellStart"/>
      <w:r w:rsidR="003D6DDA" w:rsidRPr="004672A7">
        <w:rPr>
          <w:rFonts w:cs="Arial"/>
          <w:lang w:val="it-IT" w:eastAsia="it-IT"/>
        </w:rPr>
        <w:t>S</w:t>
      </w:r>
      <w:r w:rsidRPr="004672A7">
        <w:rPr>
          <w:rFonts w:cs="Arial"/>
          <w:lang w:val="it-IT" w:eastAsia="it-IT"/>
        </w:rPr>
        <w:t>election</w:t>
      </w:r>
      <w:proofErr w:type="spellEnd"/>
      <w:r w:rsidRPr="004672A7">
        <w:rPr>
          <w:rFonts w:cs="Arial"/>
          <w:lang w:val="it-IT" w:eastAsia="it-IT"/>
        </w:rPr>
        <w:t xml:space="preserve"> for </w:t>
      </w:r>
      <w:proofErr w:type="spellStart"/>
      <w:r w:rsidRPr="004672A7">
        <w:rPr>
          <w:rFonts w:cs="Arial"/>
          <w:i/>
          <w:iCs/>
          <w:lang w:val="it-IT" w:eastAsia="it-IT"/>
        </w:rPr>
        <w:t>Thermotoga</w:t>
      </w:r>
      <w:proofErr w:type="spellEnd"/>
      <w:r w:rsidRPr="004672A7">
        <w:rPr>
          <w:rFonts w:cs="Arial"/>
          <w:i/>
          <w:iCs/>
          <w:lang w:val="it-IT" w:eastAsia="it-IT"/>
        </w:rPr>
        <w:t xml:space="preserve"> </w:t>
      </w:r>
      <w:proofErr w:type="spellStart"/>
      <w:r w:rsidRPr="004672A7">
        <w:rPr>
          <w:rFonts w:cs="Arial"/>
          <w:i/>
          <w:iCs/>
          <w:lang w:val="it-IT" w:eastAsia="it-IT"/>
        </w:rPr>
        <w:t>neapolitana</w:t>
      </w:r>
      <w:proofErr w:type="spellEnd"/>
      <w:r w:rsidRPr="004672A7">
        <w:rPr>
          <w:rFonts w:cs="Arial"/>
          <w:lang w:val="it-IT" w:eastAsia="it-IT"/>
        </w:rPr>
        <w:t xml:space="preserve"> </w:t>
      </w:r>
      <w:r w:rsidR="003D6DDA" w:rsidRPr="004672A7">
        <w:rPr>
          <w:rFonts w:cs="Arial"/>
          <w:lang w:val="it-IT" w:eastAsia="it-IT"/>
        </w:rPr>
        <w:t>B</w:t>
      </w:r>
      <w:r w:rsidRPr="004672A7">
        <w:rPr>
          <w:rFonts w:cs="Arial"/>
          <w:lang w:val="it-IT" w:eastAsia="it-IT"/>
        </w:rPr>
        <w:t>iofilm</w:t>
      </w:r>
    </w:p>
    <w:p w14:paraId="0488FED2" w14:textId="68D2B5CF" w:rsidR="00B57E6F" w:rsidRPr="003819B0" w:rsidRDefault="003819B0" w:rsidP="00B57E6F">
      <w:pPr>
        <w:pStyle w:val="CETAuthors"/>
        <w:rPr>
          <w:lang w:val="it-IT"/>
        </w:rPr>
      </w:pPr>
      <w:r w:rsidRPr="004672A7">
        <w:rPr>
          <w:lang w:val="it-IT"/>
        </w:rPr>
        <w:t>Fabiana Lanzillo</w:t>
      </w:r>
      <w:r w:rsidR="00B57E6F" w:rsidRPr="004672A7">
        <w:rPr>
          <w:vertAlign w:val="superscript"/>
          <w:lang w:val="it-IT"/>
        </w:rPr>
        <w:t>a</w:t>
      </w:r>
      <w:r w:rsidRPr="004672A7">
        <w:rPr>
          <w:vertAlign w:val="superscript"/>
          <w:lang w:val="it-IT"/>
        </w:rPr>
        <w:t>,</w:t>
      </w:r>
      <w:r w:rsidRPr="004672A7">
        <w:rPr>
          <w:lang w:val="it-IT"/>
        </w:rPr>
        <w:t>*</w:t>
      </w:r>
      <w:r w:rsidR="00B57E6F" w:rsidRPr="004672A7">
        <w:rPr>
          <w:lang w:val="it-IT"/>
        </w:rPr>
        <w:t xml:space="preserve">, </w:t>
      </w:r>
      <w:r w:rsidRPr="004672A7">
        <w:rPr>
          <w:lang w:val="it-IT"/>
        </w:rPr>
        <w:t>Inge M. Cipriano</w:t>
      </w:r>
      <w:r w:rsidRPr="004672A7">
        <w:rPr>
          <w:vertAlign w:val="superscript"/>
          <w:lang w:val="it-IT"/>
        </w:rPr>
        <w:t>a</w:t>
      </w:r>
      <w:r w:rsidR="00B57E6F" w:rsidRPr="004672A7">
        <w:rPr>
          <w:lang w:val="it-IT"/>
        </w:rPr>
        <w:t xml:space="preserve">, </w:t>
      </w:r>
      <w:r w:rsidRPr="004672A7">
        <w:rPr>
          <w:lang w:val="it-IT"/>
        </w:rPr>
        <w:t>Francesca Raganati</w:t>
      </w:r>
      <w:r w:rsidRPr="004672A7">
        <w:rPr>
          <w:vertAlign w:val="superscript"/>
          <w:lang w:val="it-IT"/>
        </w:rPr>
        <w:t>a</w:t>
      </w:r>
      <w:r w:rsidRPr="004672A7">
        <w:rPr>
          <w:lang w:val="it-IT"/>
        </w:rPr>
        <w:t xml:space="preserve">, </w:t>
      </w:r>
      <w:r>
        <w:rPr>
          <w:lang w:val="it-IT"/>
        </w:rPr>
        <w:t>Piero Salatino</w:t>
      </w:r>
      <w:r w:rsidRPr="003819B0">
        <w:rPr>
          <w:vertAlign w:val="superscript"/>
          <w:lang w:val="it-IT"/>
        </w:rPr>
        <w:t>a</w:t>
      </w:r>
      <w:r>
        <w:rPr>
          <w:lang w:val="it-IT"/>
        </w:rPr>
        <w:t>, Antonio Marzocchella</w:t>
      </w:r>
      <w:r w:rsidRPr="003819B0">
        <w:rPr>
          <w:vertAlign w:val="superscript"/>
          <w:lang w:val="it-IT"/>
        </w:rPr>
        <w:t>a</w:t>
      </w:r>
    </w:p>
    <w:p w14:paraId="10A6149A" w14:textId="77777777" w:rsidR="003819B0" w:rsidRPr="003819B0" w:rsidRDefault="00B57E6F" w:rsidP="003819B0">
      <w:pPr>
        <w:pStyle w:val="NormaleWeb"/>
        <w:shd w:val="clear" w:color="auto" w:fill="FFFFFF"/>
        <w:rPr>
          <w:rFonts w:ascii="Times New Roman" w:hAnsi="Times New Roman"/>
          <w:lang w:val="it-IT" w:eastAsia="it-IT"/>
        </w:rPr>
      </w:pPr>
      <w:proofErr w:type="spellStart"/>
      <w:r w:rsidRPr="003819B0">
        <w:rPr>
          <w:vertAlign w:val="superscript"/>
          <w:lang w:val="it-IT"/>
        </w:rPr>
        <w:t>a</w:t>
      </w:r>
      <w:r w:rsidR="003819B0" w:rsidRPr="003819B0">
        <w:rPr>
          <w:rFonts w:ascii="ArialMT" w:hAnsi="ArialMT"/>
          <w:sz w:val="16"/>
          <w:szCs w:val="16"/>
          <w:lang w:val="it-IT" w:eastAsia="it-IT"/>
        </w:rPr>
        <w:t>Universita</w:t>
      </w:r>
      <w:proofErr w:type="spellEnd"/>
      <w:r w:rsidR="003819B0" w:rsidRPr="003819B0">
        <w:rPr>
          <w:rFonts w:ascii="ArialMT" w:hAnsi="ArialMT"/>
          <w:sz w:val="16"/>
          <w:szCs w:val="16"/>
          <w:lang w:val="it-IT" w:eastAsia="it-IT"/>
        </w:rPr>
        <w:t xml:space="preserve">̀ degli Studi di Napoli Federico II, P. le V. Tecchio 80, 80125 Napoli, Italy </w:t>
      </w:r>
    </w:p>
    <w:p w14:paraId="73F1267A" w14:textId="2107E6BC" w:rsidR="00B57E6F" w:rsidRPr="00517057" w:rsidRDefault="00517057" w:rsidP="00B57E6F">
      <w:pPr>
        <w:pStyle w:val="CETemail"/>
        <w:rPr>
          <w:color w:val="000000" w:themeColor="text1"/>
        </w:rPr>
      </w:pPr>
      <w:hyperlink r:id="rId10" w:history="1">
        <w:r w:rsidRPr="00517057">
          <w:rPr>
            <w:rStyle w:val="Collegamentoipertestuale"/>
            <w:color w:val="000000" w:themeColor="text1"/>
            <w:u w:val="none"/>
          </w:rPr>
          <w:t>fabiana.lanzillo@unina.it</w:t>
        </w:r>
      </w:hyperlink>
    </w:p>
    <w:p w14:paraId="6D87608F" w14:textId="77777777" w:rsidR="002D315E" w:rsidRDefault="00517057" w:rsidP="002D315E">
      <w:pPr>
        <w:pStyle w:val="CETBodytext"/>
        <w:rPr>
          <w:b/>
          <w:bCs/>
          <w:color w:val="000000" w:themeColor="text1"/>
          <w:lang w:val="en-GB"/>
        </w:rPr>
      </w:pPr>
      <w:r w:rsidRPr="00517057">
        <w:rPr>
          <w:b/>
          <w:bCs/>
          <w:color w:val="000000" w:themeColor="text1"/>
          <w:lang w:val="en-GB"/>
        </w:rPr>
        <w:t>Abstract</w:t>
      </w:r>
    </w:p>
    <w:p w14:paraId="1401B966" w14:textId="1A36B539" w:rsidR="002D315E" w:rsidRPr="00B529F9" w:rsidRDefault="002D315E" w:rsidP="002D315E">
      <w:pPr>
        <w:pStyle w:val="CETBodytext"/>
        <w:rPr>
          <w:rFonts w:cs="Arial"/>
          <w:b/>
          <w:bCs/>
          <w:color w:val="000000" w:themeColor="text1"/>
          <w:szCs w:val="18"/>
          <w:lang w:val="en-GB"/>
        </w:rPr>
      </w:pPr>
      <w:r w:rsidRPr="00B529F9">
        <w:rPr>
          <w:rFonts w:cs="Arial"/>
          <w:szCs w:val="18"/>
          <w:lang w:eastAsia="it-IT"/>
        </w:rPr>
        <w:t xml:space="preserve">Hydrogen has attracted significant interest as a sustainable energy carrier due to its high calorific value, high octane number, and the </w:t>
      </w:r>
      <w:r w:rsidR="007859D7">
        <w:rPr>
          <w:rFonts w:cs="Arial"/>
          <w:szCs w:val="18"/>
          <w:lang w:eastAsia="it-IT"/>
        </w:rPr>
        <w:t xml:space="preserve">production of </w:t>
      </w:r>
      <w:r w:rsidRPr="00B529F9">
        <w:rPr>
          <w:rFonts w:cs="Arial"/>
          <w:szCs w:val="18"/>
          <w:lang w:eastAsia="it-IT"/>
        </w:rPr>
        <w:t>water</w:t>
      </w:r>
      <w:r w:rsidR="007859D7">
        <w:rPr>
          <w:rFonts w:cs="Arial"/>
          <w:szCs w:val="18"/>
          <w:lang w:eastAsia="it-IT"/>
        </w:rPr>
        <w:t xml:space="preserve"> as </w:t>
      </w:r>
      <w:r w:rsidR="0063090E">
        <w:rPr>
          <w:rFonts w:cs="Arial"/>
          <w:szCs w:val="18"/>
          <w:lang w:eastAsia="it-IT"/>
        </w:rPr>
        <w:t xml:space="preserve">the only </w:t>
      </w:r>
      <w:r w:rsidR="007859D7">
        <w:rPr>
          <w:rFonts w:cs="Arial"/>
          <w:szCs w:val="18"/>
          <w:lang w:eastAsia="it-IT"/>
        </w:rPr>
        <w:t>combustion product</w:t>
      </w:r>
      <w:r w:rsidRPr="00B529F9">
        <w:rPr>
          <w:rFonts w:cs="Arial"/>
          <w:szCs w:val="18"/>
          <w:lang w:eastAsia="it-IT"/>
        </w:rPr>
        <w:t xml:space="preserve">. However, </w:t>
      </w:r>
      <w:r w:rsidR="00B529F9" w:rsidRPr="00B529F9">
        <w:rPr>
          <w:rFonts w:cs="Arial"/>
          <w:szCs w:val="18"/>
          <w:lang w:eastAsia="it-IT"/>
        </w:rPr>
        <w:t xml:space="preserve">most </w:t>
      </w:r>
      <w:r w:rsidRPr="00B529F9">
        <w:rPr>
          <w:rFonts w:cs="Arial"/>
          <w:szCs w:val="18"/>
          <w:lang w:eastAsia="it-IT"/>
        </w:rPr>
        <w:t xml:space="preserve">hydrogen is produced </w:t>
      </w:r>
      <w:r w:rsidR="007859D7">
        <w:rPr>
          <w:rFonts w:cs="Arial"/>
          <w:szCs w:val="18"/>
          <w:lang w:eastAsia="it-IT"/>
        </w:rPr>
        <w:t>via</w:t>
      </w:r>
      <w:r w:rsidR="007859D7" w:rsidRPr="00B529F9">
        <w:rPr>
          <w:rFonts w:cs="Arial"/>
          <w:szCs w:val="18"/>
          <w:lang w:eastAsia="it-IT"/>
        </w:rPr>
        <w:t xml:space="preserve"> </w:t>
      </w:r>
      <w:r w:rsidRPr="00B529F9">
        <w:rPr>
          <w:rFonts w:cs="Arial"/>
          <w:szCs w:val="18"/>
          <w:lang w:eastAsia="it-IT"/>
        </w:rPr>
        <w:t xml:space="preserve">steam methane reforming, </w:t>
      </w:r>
      <w:r w:rsidR="00E27F71">
        <w:rPr>
          <w:rFonts w:cs="Arial"/>
          <w:szCs w:val="18"/>
          <w:lang w:eastAsia="it-IT"/>
        </w:rPr>
        <w:t>a</w:t>
      </w:r>
      <w:r w:rsidR="007859D7">
        <w:rPr>
          <w:rFonts w:cs="Arial"/>
          <w:szCs w:val="18"/>
          <w:lang w:eastAsia="it-IT"/>
        </w:rPr>
        <w:t xml:space="preserve"> process not enough </w:t>
      </w:r>
      <w:r w:rsidR="00E27F71">
        <w:rPr>
          <w:rFonts w:cs="Arial"/>
          <w:szCs w:val="18"/>
          <w:lang w:eastAsia="it-IT"/>
        </w:rPr>
        <w:t>environmentally sustainable</w:t>
      </w:r>
      <w:r w:rsidRPr="00B529F9">
        <w:rPr>
          <w:rFonts w:cs="Arial"/>
          <w:szCs w:val="18"/>
          <w:lang w:eastAsia="it-IT"/>
        </w:rPr>
        <w:t xml:space="preserve">. Dark </w:t>
      </w:r>
      <w:r w:rsidR="0063090E">
        <w:rPr>
          <w:rFonts w:cs="Arial"/>
          <w:szCs w:val="18"/>
          <w:lang w:eastAsia="it-IT"/>
        </w:rPr>
        <w:t>f</w:t>
      </w:r>
      <w:r w:rsidRPr="00B529F9">
        <w:rPr>
          <w:rFonts w:cs="Arial"/>
          <w:szCs w:val="18"/>
          <w:lang w:eastAsia="it-IT"/>
        </w:rPr>
        <w:t xml:space="preserve">ermentation (DF) </w:t>
      </w:r>
      <w:r w:rsidR="00E27F71">
        <w:rPr>
          <w:rFonts w:cs="Arial"/>
          <w:szCs w:val="18"/>
          <w:lang w:eastAsia="it-IT"/>
        </w:rPr>
        <w:t>is</w:t>
      </w:r>
      <w:r w:rsidRPr="00B529F9">
        <w:rPr>
          <w:rFonts w:cs="Arial"/>
          <w:szCs w:val="18"/>
          <w:lang w:eastAsia="it-IT"/>
        </w:rPr>
        <w:t xml:space="preserve"> a promising and eco-friendly alternative</w:t>
      </w:r>
      <w:r w:rsidR="007859D7">
        <w:rPr>
          <w:rFonts w:cs="Arial"/>
          <w:szCs w:val="18"/>
          <w:lang w:eastAsia="it-IT"/>
        </w:rPr>
        <w:t xml:space="preserve"> to </w:t>
      </w:r>
      <w:proofErr w:type="gramStart"/>
      <w:r w:rsidR="007859D7">
        <w:rPr>
          <w:rFonts w:cs="Arial"/>
          <w:szCs w:val="18"/>
          <w:lang w:eastAsia="it-IT"/>
        </w:rPr>
        <w:t>produce</w:t>
      </w:r>
      <w:proofErr w:type="gramEnd"/>
      <w:r w:rsidR="007859D7">
        <w:rPr>
          <w:rFonts w:cs="Arial"/>
          <w:szCs w:val="18"/>
          <w:lang w:eastAsia="it-IT"/>
        </w:rPr>
        <w:t xml:space="preserve"> hydrogen</w:t>
      </w:r>
      <w:r w:rsidRPr="00B529F9">
        <w:rPr>
          <w:rFonts w:cs="Arial"/>
          <w:szCs w:val="18"/>
          <w:lang w:eastAsia="it-IT"/>
        </w:rPr>
        <w:t xml:space="preserve"> via </w:t>
      </w:r>
      <w:r w:rsidR="00E27F71">
        <w:rPr>
          <w:rFonts w:cs="Arial"/>
          <w:szCs w:val="18"/>
          <w:lang w:eastAsia="it-IT"/>
        </w:rPr>
        <w:t xml:space="preserve">the </w:t>
      </w:r>
      <w:r w:rsidRPr="00B529F9">
        <w:rPr>
          <w:rFonts w:cs="Arial"/>
          <w:szCs w:val="18"/>
          <w:lang w:eastAsia="it-IT"/>
        </w:rPr>
        <w:t xml:space="preserve">microbial oxidation of organic substrates under anaerobic conditions. Among the microorganisms active in DF, </w:t>
      </w:r>
      <w:proofErr w:type="spellStart"/>
      <w:r w:rsidRPr="00B529F9">
        <w:rPr>
          <w:rFonts w:cs="Arial"/>
          <w:i/>
          <w:iCs/>
          <w:szCs w:val="18"/>
          <w:lang w:eastAsia="it-IT"/>
        </w:rPr>
        <w:t>Thermotoga</w:t>
      </w:r>
      <w:proofErr w:type="spellEnd"/>
      <w:r w:rsidRPr="00B529F9">
        <w:rPr>
          <w:rFonts w:cs="Arial"/>
          <w:i/>
          <w:iCs/>
          <w:szCs w:val="18"/>
          <w:lang w:eastAsia="it-IT"/>
        </w:rPr>
        <w:t xml:space="preserve"> </w:t>
      </w:r>
      <w:proofErr w:type="spellStart"/>
      <w:r w:rsidRPr="00B529F9">
        <w:rPr>
          <w:rFonts w:cs="Arial"/>
          <w:i/>
          <w:iCs/>
          <w:szCs w:val="18"/>
          <w:lang w:eastAsia="it-IT"/>
        </w:rPr>
        <w:t>neapolitana</w:t>
      </w:r>
      <w:proofErr w:type="spellEnd"/>
      <w:r w:rsidRPr="00B529F9">
        <w:rPr>
          <w:rFonts w:cs="Arial"/>
          <w:szCs w:val="18"/>
          <w:lang w:eastAsia="it-IT"/>
        </w:rPr>
        <w:t xml:space="preserve"> is particularly noteworthy </w:t>
      </w:r>
      <w:r w:rsidR="00E27F71">
        <w:rPr>
          <w:rFonts w:cs="Arial"/>
          <w:szCs w:val="18"/>
          <w:lang w:eastAsia="it-IT"/>
        </w:rPr>
        <w:t>as it achieves</w:t>
      </w:r>
      <w:r w:rsidRPr="00B529F9">
        <w:rPr>
          <w:rFonts w:cs="Arial"/>
          <w:szCs w:val="18"/>
          <w:lang w:eastAsia="it-IT"/>
        </w:rPr>
        <w:t xml:space="preserve"> the highest hydrogen yields</w:t>
      </w:r>
      <w:r w:rsidR="00BA1C00">
        <w:rPr>
          <w:rFonts w:cs="Arial"/>
          <w:szCs w:val="18"/>
          <w:lang w:eastAsia="it-IT"/>
        </w:rPr>
        <w:t xml:space="preserve"> reported to date</w:t>
      </w:r>
      <w:r w:rsidRPr="00B529F9">
        <w:rPr>
          <w:rFonts w:cs="Arial"/>
          <w:szCs w:val="18"/>
          <w:lang w:eastAsia="it-IT"/>
        </w:rPr>
        <w:t>. This thermophilic bacterium can grow on a wide variety of sugar-based substrates</w:t>
      </w:r>
      <w:r w:rsidR="00A1392A">
        <w:rPr>
          <w:rFonts w:cs="Arial"/>
          <w:szCs w:val="18"/>
          <w:lang w:eastAsia="it-IT"/>
        </w:rPr>
        <w:t xml:space="preserve"> - </w:t>
      </w:r>
      <w:r w:rsidRPr="00B529F9">
        <w:rPr>
          <w:rFonts w:cs="Arial"/>
          <w:szCs w:val="18"/>
          <w:lang w:eastAsia="it-IT"/>
        </w:rPr>
        <w:t>those derived from agro-industrial waste</w:t>
      </w:r>
      <w:r w:rsidR="00A1392A">
        <w:rPr>
          <w:rFonts w:cs="Arial"/>
          <w:szCs w:val="18"/>
          <w:lang w:eastAsia="it-IT"/>
        </w:rPr>
        <w:t xml:space="preserve"> included – and </w:t>
      </w:r>
      <w:r w:rsidRPr="00B529F9">
        <w:rPr>
          <w:rFonts w:cs="Arial"/>
          <w:szCs w:val="18"/>
          <w:lang w:eastAsia="it-IT"/>
        </w:rPr>
        <w:t>produc</w:t>
      </w:r>
      <w:r w:rsidR="00A1392A">
        <w:rPr>
          <w:rFonts w:cs="Arial"/>
          <w:szCs w:val="18"/>
          <w:lang w:eastAsia="it-IT"/>
        </w:rPr>
        <w:t>e</w:t>
      </w:r>
      <w:r w:rsidRPr="00B529F9">
        <w:rPr>
          <w:rFonts w:cs="Arial"/>
          <w:szCs w:val="18"/>
          <w:lang w:eastAsia="it-IT"/>
        </w:rPr>
        <w:t xml:space="preserve"> hydrogen, acetic acid, and lactic acid.</w:t>
      </w:r>
    </w:p>
    <w:p w14:paraId="62AC3B75" w14:textId="0B99AFCC" w:rsidR="002D315E" w:rsidRPr="00C2723F" w:rsidRDefault="002D315E" w:rsidP="00C2723F">
      <w:pPr>
        <w:jc w:val="both"/>
        <w:rPr>
          <w:rFonts w:ascii="Arial" w:hAnsi="Arial" w:cs="Arial"/>
          <w:sz w:val="18"/>
          <w:szCs w:val="18"/>
          <w:lang w:val="en-US"/>
        </w:rPr>
      </w:pPr>
      <w:r w:rsidRPr="00B529F9">
        <w:rPr>
          <w:rFonts w:ascii="Arial" w:hAnsi="Arial" w:cs="Arial"/>
          <w:sz w:val="18"/>
          <w:szCs w:val="18"/>
          <w:lang w:val="en-US"/>
        </w:rPr>
        <w:t>The present study aim</w:t>
      </w:r>
      <w:r w:rsidR="0084154A">
        <w:rPr>
          <w:rFonts w:ascii="Arial" w:hAnsi="Arial" w:cs="Arial"/>
          <w:sz w:val="18"/>
          <w:szCs w:val="18"/>
          <w:lang w:val="en-US"/>
        </w:rPr>
        <w:t>ed</w:t>
      </w:r>
      <w:r w:rsidRPr="00B529F9">
        <w:rPr>
          <w:rFonts w:ascii="Arial" w:hAnsi="Arial" w:cs="Arial"/>
          <w:sz w:val="18"/>
          <w:szCs w:val="18"/>
          <w:lang w:val="en-US"/>
        </w:rPr>
        <w:t xml:space="preserve"> to identify the most suitable </w:t>
      </w:r>
      <w:r w:rsidR="00A1392A">
        <w:rPr>
          <w:rFonts w:ascii="Arial" w:hAnsi="Arial" w:cs="Arial"/>
          <w:sz w:val="18"/>
          <w:szCs w:val="18"/>
          <w:lang w:val="en-US"/>
        </w:rPr>
        <w:t>carrier</w:t>
      </w:r>
      <w:r w:rsidRPr="00B529F9">
        <w:rPr>
          <w:rFonts w:ascii="Arial" w:hAnsi="Arial" w:cs="Arial"/>
          <w:sz w:val="18"/>
          <w:szCs w:val="18"/>
          <w:lang w:val="en-US"/>
        </w:rPr>
        <w:t xml:space="preserve"> for biofilm formation by </w:t>
      </w:r>
      <w:r w:rsidRPr="00B529F9">
        <w:rPr>
          <w:rFonts w:ascii="Arial" w:hAnsi="Arial" w:cs="Arial"/>
          <w:i/>
          <w:iCs/>
          <w:sz w:val="18"/>
          <w:szCs w:val="18"/>
          <w:lang w:val="en-US"/>
        </w:rPr>
        <w:t xml:space="preserve">T. </w:t>
      </w:r>
      <w:proofErr w:type="spellStart"/>
      <w:r w:rsidRPr="00B529F9">
        <w:rPr>
          <w:rFonts w:ascii="Arial" w:hAnsi="Arial" w:cs="Arial"/>
          <w:i/>
          <w:iCs/>
          <w:sz w:val="18"/>
          <w:szCs w:val="18"/>
          <w:lang w:val="en-US"/>
        </w:rPr>
        <w:t>neapolitana</w:t>
      </w:r>
      <w:proofErr w:type="spellEnd"/>
      <w:r w:rsidRPr="00B529F9">
        <w:rPr>
          <w:rFonts w:ascii="Arial" w:hAnsi="Arial" w:cs="Arial"/>
          <w:sz w:val="18"/>
          <w:szCs w:val="18"/>
          <w:lang w:val="en-US"/>
        </w:rPr>
        <w:t xml:space="preserve">. </w:t>
      </w:r>
      <w:r w:rsidR="00D47156" w:rsidRPr="00B529F9">
        <w:rPr>
          <w:rFonts w:ascii="Arial" w:hAnsi="Arial" w:cs="Arial"/>
          <w:sz w:val="18"/>
          <w:szCs w:val="18"/>
          <w:lang w:val="en-US"/>
        </w:rPr>
        <w:t>A</w:t>
      </w:r>
      <w:r w:rsidRPr="00B529F9">
        <w:rPr>
          <w:rFonts w:ascii="Arial" w:hAnsi="Arial" w:cs="Arial"/>
          <w:sz w:val="18"/>
          <w:szCs w:val="18"/>
          <w:lang w:val="en-US"/>
        </w:rPr>
        <w:t xml:space="preserve"> series of batch experiments </w:t>
      </w:r>
      <w:r w:rsidR="0084154A">
        <w:rPr>
          <w:rFonts w:ascii="Arial" w:hAnsi="Arial" w:cs="Arial"/>
          <w:sz w:val="18"/>
          <w:szCs w:val="18"/>
          <w:lang w:val="en-US"/>
        </w:rPr>
        <w:t>was</w:t>
      </w:r>
      <w:r w:rsidRPr="00B529F9">
        <w:rPr>
          <w:rFonts w:ascii="Arial" w:hAnsi="Arial" w:cs="Arial"/>
          <w:sz w:val="18"/>
          <w:szCs w:val="18"/>
          <w:lang w:val="en-US"/>
        </w:rPr>
        <w:t xml:space="preserve"> conducted </w:t>
      </w:r>
      <w:r w:rsidR="0084154A">
        <w:rPr>
          <w:rFonts w:ascii="Arial" w:hAnsi="Arial" w:cs="Arial"/>
          <w:sz w:val="18"/>
          <w:szCs w:val="18"/>
          <w:lang w:val="en-US"/>
        </w:rPr>
        <w:t>to test</w:t>
      </w:r>
      <w:r w:rsidRPr="00B529F9">
        <w:rPr>
          <w:rFonts w:ascii="Arial" w:hAnsi="Arial" w:cs="Arial"/>
          <w:sz w:val="18"/>
          <w:szCs w:val="18"/>
          <w:lang w:val="en-US"/>
        </w:rPr>
        <w:t xml:space="preserve"> various materials as solid supports, including polypropylene, </w:t>
      </w:r>
      <w:r w:rsidR="00C25B01" w:rsidRPr="00C25B01">
        <w:rPr>
          <w:rFonts w:ascii="Arial" w:hAnsi="Arial" w:cs="Arial"/>
          <w:bCs/>
          <w:sz w:val="18"/>
          <w:szCs w:val="18"/>
          <w:lang w:val="en-US"/>
        </w:rPr>
        <w:t>polyurethane s</w:t>
      </w:r>
      <w:r w:rsidRPr="00B529F9">
        <w:rPr>
          <w:rFonts w:ascii="Arial" w:hAnsi="Arial" w:cs="Arial"/>
          <w:sz w:val="18"/>
          <w:szCs w:val="18"/>
          <w:lang w:val="en-US"/>
        </w:rPr>
        <w:t>ponge, silicone (</w:t>
      </w:r>
      <w:proofErr w:type="spellStart"/>
      <w:r w:rsidRPr="00B529F9">
        <w:rPr>
          <w:rFonts w:ascii="Arial" w:hAnsi="Arial" w:cs="Arial"/>
          <w:sz w:val="18"/>
          <w:szCs w:val="18"/>
          <w:lang w:val="en-US"/>
        </w:rPr>
        <w:t>Tygon</w:t>
      </w:r>
      <w:proofErr w:type="spellEnd"/>
      <w:r w:rsidRPr="00B529F9">
        <w:rPr>
          <w:rFonts w:ascii="Arial" w:hAnsi="Arial" w:cs="Arial"/>
          <w:sz w:val="18"/>
          <w:szCs w:val="18"/>
          <w:lang w:val="en-US"/>
        </w:rPr>
        <w:t xml:space="preserve"> tubing), metal </w:t>
      </w:r>
      <w:r w:rsidR="00D844EC" w:rsidRPr="00B529F9">
        <w:rPr>
          <w:rFonts w:ascii="Arial" w:hAnsi="Arial" w:cs="Arial"/>
          <w:sz w:val="18"/>
          <w:szCs w:val="18"/>
          <w:lang w:val="en-US"/>
        </w:rPr>
        <w:t>nets</w:t>
      </w:r>
      <w:r w:rsidRPr="00B529F9">
        <w:rPr>
          <w:rFonts w:ascii="Arial" w:hAnsi="Arial" w:cs="Arial"/>
          <w:sz w:val="18"/>
          <w:szCs w:val="18"/>
          <w:lang w:val="en-US"/>
        </w:rPr>
        <w:t xml:space="preserve">, and nylon </w:t>
      </w:r>
      <w:r w:rsidR="00D844EC" w:rsidRPr="00B529F9">
        <w:rPr>
          <w:rFonts w:ascii="Arial" w:hAnsi="Arial" w:cs="Arial"/>
          <w:sz w:val="18"/>
          <w:szCs w:val="18"/>
          <w:lang w:val="en-US"/>
        </w:rPr>
        <w:t>nets</w:t>
      </w:r>
      <w:r w:rsidRPr="00B529F9">
        <w:rPr>
          <w:rFonts w:ascii="Arial" w:hAnsi="Arial" w:cs="Arial"/>
          <w:sz w:val="18"/>
          <w:szCs w:val="18"/>
          <w:lang w:val="en-US"/>
        </w:rPr>
        <w:t xml:space="preserve">. The nylon </w:t>
      </w:r>
      <w:r w:rsidR="00D844EC" w:rsidRPr="00B529F9">
        <w:rPr>
          <w:rFonts w:ascii="Arial" w:hAnsi="Arial" w:cs="Arial"/>
          <w:sz w:val="18"/>
          <w:szCs w:val="18"/>
          <w:lang w:val="en-US"/>
        </w:rPr>
        <w:t>nets</w:t>
      </w:r>
      <w:r w:rsidRPr="00B529F9">
        <w:rPr>
          <w:rFonts w:ascii="Arial" w:hAnsi="Arial" w:cs="Arial"/>
          <w:sz w:val="18"/>
          <w:szCs w:val="18"/>
          <w:lang w:val="en-US"/>
        </w:rPr>
        <w:t xml:space="preserve"> </w:t>
      </w:r>
      <w:r w:rsidR="00A1392A">
        <w:rPr>
          <w:rFonts w:ascii="Arial" w:hAnsi="Arial" w:cs="Arial"/>
          <w:sz w:val="18"/>
          <w:szCs w:val="18"/>
          <w:lang w:val="en-US"/>
        </w:rPr>
        <w:t xml:space="preserve">provided </w:t>
      </w:r>
      <w:r w:rsidRPr="00B529F9">
        <w:rPr>
          <w:rFonts w:ascii="Arial" w:hAnsi="Arial" w:cs="Arial"/>
          <w:sz w:val="18"/>
          <w:szCs w:val="18"/>
          <w:lang w:val="en-US"/>
        </w:rPr>
        <w:t xml:space="preserve">the best results and </w:t>
      </w:r>
      <w:r w:rsidR="0084154A">
        <w:rPr>
          <w:rFonts w:ascii="Arial" w:hAnsi="Arial" w:cs="Arial"/>
          <w:sz w:val="18"/>
          <w:szCs w:val="18"/>
          <w:lang w:val="en-US"/>
        </w:rPr>
        <w:t>were</w:t>
      </w:r>
      <w:r w:rsidRPr="00B529F9">
        <w:rPr>
          <w:rFonts w:ascii="Arial" w:hAnsi="Arial" w:cs="Arial"/>
          <w:sz w:val="18"/>
          <w:szCs w:val="18"/>
          <w:lang w:val="en-US"/>
        </w:rPr>
        <w:t xml:space="preserve"> used in further experiments</w:t>
      </w:r>
      <w:r w:rsidR="00A1392A">
        <w:rPr>
          <w:rFonts w:ascii="Arial" w:hAnsi="Arial" w:cs="Arial"/>
          <w:sz w:val="18"/>
          <w:szCs w:val="18"/>
          <w:lang w:val="en-US"/>
        </w:rPr>
        <w:t xml:space="preserve"> </w:t>
      </w:r>
      <w:r w:rsidRPr="00B529F9">
        <w:rPr>
          <w:rFonts w:ascii="Arial" w:hAnsi="Arial" w:cs="Arial"/>
          <w:sz w:val="18"/>
          <w:szCs w:val="18"/>
          <w:lang w:val="en-US"/>
        </w:rPr>
        <w:t xml:space="preserve">in continuous </w:t>
      </w:r>
      <w:r w:rsidR="00D47156" w:rsidRPr="00B529F9">
        <w:rPr>
          <w:rFonts w:ascii="Arial" w:hAnsi="Arial" w:cs="Arial"/>
          <w:sz w:val="18"/>
          <w:szCs w:val="18"/>
          <w:lang w:val="en-US"/>
        </w:rPr>
        <w:t>stirre</w:t>
      </w:r>
      <w:r w:rsidR="00F7397B">
        <w:rPr>
          <w:rFonts w:ascii="Arial" w:hAnsi="Arial" w:cs="Arial"/>
          <w:sz w:val="18"/>
          <w:szCs w:val="18"/>
          <w:lang w:val="en-US"/>
        </w:rPr>
        <w:t>d</w:t>
      </w:r>
      <w:r w:rsidR="0063090E">
        <w:rPr>
          <w:rFonts w:ascii="Arial" w:hAnsi="Arial" w:cs="Arial"/>
          <w:sz w:val="18"/>
          <w:szCs w:val="18"/>
          <w:lang w:val="en-US"/>
        </w:rPr>
        <w:t>-</w:t>
      </w:r>
      <w:r w:rsidR="00D47156" w:rsidRPr="00B529F9">
        <w:rPr>
          <w:rFonts w:ascii="Arial" w:hAnsi="Arial" w:cs="Arial"/>
          <w:sz w:val="18"/>
          <w:szCs w:val="18"/>
          <w:lang w:val="en-US"/>
        </w:rPr>
        <w:t xml:space="preserve">tank </w:t>
      </w:r>
      <w:r w:rsidRPr="00B529F9">
        <w:rPr>
          <w:rFonts w:ascii="Arial" w:hAnsi="Arial" w:cs="Arial"/>
          <w:sz w:val="18"/>
          <w:szCs w:val="18"/>
          <w:lang w:val="en-US"/>
        </w:rPr>
        <w:t xml:space="preserve">reactors to </w:t>
      </w:r>
      <w:r w:rsidR="00A1392A">
        <w:rPr>
          <w:rFonts w:ascii="Arial" w:hAnsi="Arial" w:cs="Arial"/>
          <w:sz w:val="18"/>
          <w:szCs w:val="18"/>
          <w:lang w:val="en-US"/>
        </w:rPr>
        <w:t>assess</w:t>
      </w:r>
      <w:r w:rsidR="00A1392A" w:rsidRPr="00B529F9">
        <w:rPr>
          <w:rFonts w:ascii="Arial" w:hAnsi="Arial" w:cs="Arial"/>
          <w:sz w:val="18"/>
          <w:szCs w:val="18"/>
          <w:lang w:val="en-US"/>
        </w:rPr>
        <w:t xml:space="preserve"> </w:t>
      </w:r>
      <w:r w:rsidR="0084154A">
        <w:rPr>
          <w:rFonts w:ascii="Arial" w:hAnsi="Arial" w:cs="Arial"/>
          <w:sz w:val="18"/>
          <w:szCs w:val="18"/>
          <w:lang w:val="en-US"/>
        </w:rPr>
        <w:t>their</w:t>
      </w:r>
      <w:r w:rsidRPr="00B529F9">
        <w:rPr>
          <w:rFonts w:ascii="Arial" w:hAnsi="Arial" w:cs="Arial"/>
          <w:sz w:val="18"/>
          <w:szCs w:val="18"/>
          <w:lang w:val="en-US"/>
        </w:rPr>
        <w:t xml:space="preserve"> performance. </w:t>
      </w:r>
      <w:r w:rsidR="00A1392A">
        <w:rPr>
          <w:rFonts w:ascii="Arial" w:hAnsi="Arial" w:cs="Arial"/>
          <w:sz w:val="18"/>
          <w:szCs w:val="18"/>
          <w:lang w:val="en-US"/>
        </w:rPr>
        <w:t>Results</w:t>
      </w:r>
      <w:r w:rsidRPr="00B529F9">
        <w:rPr>
          <w:rFonts w:ascii="Arial" w:hAnsi="Arial" w:cs="Arial"/>
          <w:sz w:val="18"/>
          <w:szCs w:val="18"/>
          <w:lang w:val="en-US"/>
        </w:rPr>
        <w:t xml:space="preserve"> provide valuable insights </w:t>
      </w:r>
      <w:proofErr w:type="gramStart"/>
      <w:r w:rsidRPr="00B529F9">
        <w:rPr>
          <w:rFonts w:ascii="Arial" w:hAnsi="Arial" w:cs="Arial"/>
          <w:sz w:val="18"/>
          <w:szCs w:val="18"/>
          <w:lang w:val="en-US"/>
        </w:rPr>
        <w:t>for</w:t>
      </w:r>
      <w:proofErr w:type="gramEnd"/>
      <w:r w:rsidR="00F7397B">
        <w:rPr>
          <w:rFonts w:ascii="Arial" w:hAnsi="Arial" w:cs="Arial"/>
          <w:sz w:val="18"/>
          <w:szCs w:val="18"/>
          <w:lang w:val="en-US"/>
        </w:rPr>
        <w:t xml:space="preserve"> the</w:t>
      </w:r>
      <w:r w:rsidRPr="00B529F9">
        <w:rPr>
          <w:rFonts w:ascii="Arial" w:hAnsi="Arial" w:cs="Arial"/>
          <w:sz w:val="18"/>
          <w:szCs w:val="18"/>
          <w:lang w:val="en-US"/>
        </w:rPr>
        <w:t xml:space="preserve"> optimiz</w:t>
      </w:r>
      <w:r w:rsidR="00F7397B">
        <w:rPr>
          <w:rFonts w:ascii="Arial" w:hAnsi="Arial" w:cs="Arial"/>
          <w:sz w:val="18"/>
          <w:szCs w:val="18"/>
          <w:lang w:val="en-US"/>
        </w:rPr>
        <w:t>ation</w:t>
      </w:r>
      <w:r w:rsidRPr="00B529F9">
        <w:rPr>
          <w:rFonts w:ascii="Arial" w:hAnsi="Arial" w:cs="Arial"/>
          <w:sz w:val="18"/>
          <w:szCs w:val="18"/>
          <w:lang w:val="en-US"/>
        </w:rPr>
        <w:t xml:space="preserve"> </w:t>
      </w:r>
      <w:r w:rsidR="00F7397B">
        <w:rPr>
          <w:rFonts w:ascii="Arial" w:hAnsi="Arial" w:cs="Arial"/>
          <w:sz w:val="18"/>
          <w:szCs w:val="18"/>
          <w:lang w:val="en-US"/>
        </w:rPr>
        <w:t xml:space="preserve">of </w:t>
      </w:r>
      <w:r w:rsidRPr="00B529F9">
        <w:rPr>
          <w:rFonts w:ascii="Arial" w:hAnsi="Arial" w:cs="Arial"/>
          <w:sz w:val="18"/>
          <w:szCs w:val="18"/>
          <w:lang w:val="en-US"/>
        </w:rPr>
        <w:t xml:space="preserve">biofilm-based hydrogen production and the potential application of </w:t>
      </w:r>
      <w:r w:rsidRPr="00B529F9">
        <w:rPr>
          <w:rFonts w:ascii="Arial" w:hAnsi="Arial" w:cs="Arial"/>
          <w:i/>
          <w:iCs/>
          <w:sz w:val="18"/>
          <w:szCs w:val="18"/>
          <w:lang w:val="en-US"/>
        </w:rPr>
        <w:t xml:space="preserve">T. </w:t>
      </w:r>
      <w:proofErr w:type="spellStart"/>
      <w:r w:rsidRPr="00B529F9">
        <w:rPr>
          <w:rFonts w:ascii="Arial" w:hAnsi="Arial" w:cs="Arial"/>
          <w:i/>
          <w:iCs/>
          <w:sz w:val="18"/>
          <w:szCs w:val="18"/>
          <w:lang w:val="en-US"/>
        </w:rPr>
        <w:t>neapolitana</w:t>
      </w:r>
      <w:proofErr w:type="spellEnd"/>
      <w:r w:rsidRPr="00B529F9">
        <w:rPr>
          <w:rFonts w:ascii="Arial" w:hAnsi="Arial" w:cs="Arial"/>
          <w:sz w:val="18"/>
          <w:szCs w:val="18"/>
          <w:lang w:val="en-US"/>
        </w:rPr>
        <w:t xml:space="preserve"> in sustainable bioenergy processes.</w:t>
      </w:r>
    </w:p>
    <w:p w14:paraId="476B2F2E" w14:textId="42B554C7" w:rsidR="00600535" w:rsidRPr="004575E2" w:rsidRDefault="00600535" w:rsidP="00C2723F">
      <w:pPr>
        <w:pStyle w:val="CETHeading1"/>
        <w:spacing w:after="0"/>
        <w:rPr>
          <w:lang w:val="en-GB"/>
        </w:rPr>
      </w:pPr>
      <w:r w:rsidRPr="004575E2">
        <w:rPr>
          <w:lang w:val="en-GB"/>
        </w:rPr>
        <w:t>Introduction</w:t>
      </w:r>
      <w:r w:rsidR="00517057" w:rsidRPr="004575E2">
        <w:rPr>
          <w:lang w:val="en-GB"/>
        </w:rPr>
        <w:t xml:space="preserve"> </w:t>
      </w:r>
    </w:p>
    <w:p w14:paraId="6F7993EC" w14:textId="70CCBEA8" w:rsidR="003D5374" w:rsidRPr="003D5374" w:rsidRDefault="003D5374" w:rsidP="00C2723F">
      <w:pPr>
        <w:pStyle w:val="NormaleWeb"/>
        <w:spacing w:line="240" w:lineRule="auto"/>
        <w:contextualSpacing/>
        <w:rPr>
          <w:rFonts w:cs="Arial"/>
          <w:sz w:val="18"/>
          <w:szCs w:val="18"/>
        </w:rPr>
      </w:pPr>
      <w:r w:rsidRPr="00EC121E">
        <w:rPr>
          <w:rFonts w:cs="Arial"/>
          <w:sz w:val="18"/>
          <w:szCs w:val="18"/>
        </w:rPr>
        <w:t>In recent years</w:t>
      </w:r>
      <w:r w:rsidR="0063090E">
        <w:rPr>
          <w:rFonts w:cs="Arial"/>
          <w:sz w:val="18"/>
          <w:szCs w:val="18"/>
        </w:rPr>
        <w:t>,</w:t>
      </w:r>
      <w:r w:rsidRPr="00EC121E">
        <w:rPr>
          <w:rFonts w:cs="Arial"/>
          <w:sz w:val="18"/>
          <w:szCs w:val="18"/>
        </w:rPr>
        <w:t xml:space="preserve"> hydrogen has </w:t>
      </w:r>
      <w:r w:rsidR="00D51C7F">
        <w:rPr>
          <w:rFonts w:cs="Arial"/>
          <w:sz w:val="18"/>
          <w:szCs w:val="18"/>
        </w:rPr>
        <w:t xml:space="preserve">gained increasing </w:t>
      </w:r>
      <w:r w:rsidRPr="00EC121E">
        <w:rPr>
          <w:rFonts w:cs="Arial"/>
          <w:sz w:val="18"/>
          <w:szCs w:val="18"/>
        </w:rPr>
        <w:t>prominence as an energy carrier</w:t>
      </w:r>
      <w:r w:rsidR="00D51C7F">
        <w:rPr>
          <w:rFonts w:cs="Arial"/>
          <w:sz w:val="18"/>
          <w:szCs w:val="18"/>
        </w:rPr>
        <w:t xml:space="preserve"> </w:t>
      </w:r>
      <w:r w:rsidR="0063090E">
        <w:rPr>
          <w:rFonts w:cs="Arial"/>
          <w:sz w:val="18"/>
          <w:szCs w:val="18"/>
        </w:rPr>
        <w:t>due</w:t>
      </w:r>
      <w:r w:rsidR="00A1392A">
        <w:rPr>
          <w:rFonts w:cs="Arial"/>
          <w:sz w:val="18"/>
          <w:szCs w:val="18"/>
        </w:rPr>
        <w:t xml:space="preserve"> </w:t>
      </w:r>
      <w:r w:rsidR="0063090E">
        <w:rPr>
          <w:rFonts w:cs="Arial"/>
          <w:sz w:val="18"/>
          <w:szCs w:val="18"/>
        </w:rPr>
        <w:t>to</w:t>
      </w:r>
      <w:r w:rsidR="00A1392A">
        <w:rPr>
          <w:rFonts w:cs="Arial"/>
          <w:sz w:val="18"/>
          <w:szCs w:val="18"/>
        </w:rPr>
        <w:t xml:space="preserve"> </w:t>
      </w:r>
      <w:r w:rsidRPr="00EC121E">
        <w:rPr>
          <w:rFonts w:cs="Arial"/>
          <w:sz w:val="18"/>
          <w:szCs w:val="18"/>
        </w:rPr>
        <w:t xml:space="preserve">its numerous </w:t>
      </w:r>
      <w:proofErr w:type="spellStart"/>
      <w:r w:rsidR="00D51C7F">
        <w:rPr>
          <w:rFonts w:cs="Arial"/>
          <w:sz w:val="18"/>
          <w:szCs w:val="18"/>
        </w:rPr>
        <w:t>favorable</w:t>
      </w:r>
      <w:proofErr w:type="spellEnd"/>
      <w:r w:rsidRPr="00EC121E">
        <w:rPr>
          <w:rFonts w:cs="Arial"/>
          <w:sz w:val="18"/>
          <w:szCs w:val="18"/>
        </w:rPr>
        <w:t xml:space="preserve"> characteristics and </w:t>
      </w:r>
      <w:r w:rsidR="0063090E">
        <w:rPr>
          <w:rFonts w:cs="Arial"/>
          <w:sz w:val="18"/>
          <w:szCs w:val="18"/>
        </w:rPr>
        <w:t xml:space="preserve">its </w:t>
      </w:r>
      <w:r w:rsidRPr="00EC121E">
        <w:rPr>
          <w:rFonts w:cs="Arial"/>
          <w:sz w:val="18"/>
          <w:szCs w:val="18"/>
        </w:rPr>
        <w:t>potential contribut</w:t>
      </w:r>
      <w:r w:rsidR="0063090E">
        <w:rPr>
          <w:rFonts w:cs="Arial"/>
          <w:sz w:val="18"/>
          <w:szCs w:val="18"/>
        </w:rPr>
        <w:t>ion</w:t>
      </w:r>
      <w:r w:rsidRPr="00EC121E">
        <w:rPr>
          <w:rFonts w:cs="Arial"/>
          <w:sz w:val="18"/>
          <w:szCs w:val="18"/>
        </w:rPr>
        <w:t xml:space="preserve"> to the transition toward a sustainable energy system. In particular, the need to reduce dependence on fossil fuels</w:t>
      </w:r>
      <w:r w:rsidR="00A1392A">
        <w:rPr>
          <w:rFonts w:cs="Arial"/>
          <w:sz w:val="18"/>
          <w:szCs w:val="18"/>
        </w:rPr>
        <w:t xml:space="preserve"> - </w:t>
      </w:r>
      <w:r w:rsidR="0063090E">
        <w:rPr>
          <w:rFonts w:cs="Arial"/>
          <w:sz w:val="18"/>
          <w:szCs w:val="18"/>
        </w:rPr>
        <w:t>primarily</w:t>
      </w:r>
      <w:r w:rsidR="00A1392A">
        <w:rPr>
          <w:rFonts w:cs="Arial"/>
          <w:sz w:val="18"/>
          <w:szCs w:val="18"/>
        </w:rPr>
        <w:t xml:space="preserve"> </w:t>
      </w:r>
      <w:r w:rsidRPr="00EC121E">
        <w:rPr>
          <w:rFonts w:cs="Arial"/>
          <w:sz w:val="18"/>
          <w:szCs w:val="18"/>
        </w:rPr>
        <w:t xml:space="preserve">responsible </w:t>
      </w:r>
      <w:r w:rsidR="0063090E">
        <w:rPr>
          <w:rFonts w:cs="Arial"/>
          <w:sz w:val="18"/>
          <w:szCs w:val="18"/>
        </w:rPr>
        <w:t>for</w:t>
      </w:r>
      <w:r w:rsidR="00A1392A">
        <w:rPr>
          <w:rFonts w:cs="Arial"/>
          <w:sz w:val="18"/>
          <w:szCs w:val="18"/>
        </w:rPr>
        <w:t xml:space="preserve"> </w:t>
      </w:r>
      <w:r w:rsidRPr="00C25B01">
        <w:rPr>
          <w:rFonts w:cs="Arial"/>
          <w:sz w:val="18"/>
          <w:szCs w:val="18"/>
        </w:rPr>
        <w:t>devastating environmental impacts such as global warming, air pollution, and geopolitical and economic conflicts</w:t>
      </w:r>
      <w:r w:rsidR="00A1392A" w:rsidRPr="00C25B01">
        <w:rPr>
          <w:rFonts w:cs="Arial"/>
          <w:sz w:val="18"/>
          <w:szCs w:val="18"/>
        </w:rPr>
        <w:t xml:space="preserve"> - </w:t>
      </w:r>
      <w:r w:rsidRPr="00C25B01">
        <w:rPr>
          <w:rFonts w:cs="Arial"/>
          <w:sz w:val="18"/>
          <w:szCs w:val="18"/>
        </w:rPr>
        <w:t xml:space="preserve">has driven </w:t>
      </w:r>
      <w:r w:rsidR="00A1392A" w:rsidRPr="00C25B01">
        <w:rPr>
          <w:rFonts w:cs="Arial"/>
          <w:sz w:val="18"/>
          <w:szCs w:val="18"/>
        </w:rPr>
        <w:t>re</w:t>
      </w:r>
      <w:r w:rsidRPr="00C25B01">
        <w:rPr>
          <w:rFonts w:cs="Arial"/>
          <w:sz w:val="18"/>
          <w:szCs w:val="18"/>
        </w:rPr>
        <w:t xml:space="preserve">search </w:t>
      </w:r>
      <w:r w:rsidR="0063090E">
        <w:rPr>
          <w:rFonts w:cs="Arial"/>
          <w:sz w:val="18"/>
          <w:szCs w:val="18"/>
        </w:rPr>
        <w:t xml:space="preserve">into </w:t>
      </w:r>
      <w:r w:rsidRPr="00C25B01">
        <w:rPr>
          <w:rFonts w:cs="Arial"/>
          <w:sz w:val="18"/>
          <w:szCs w:val="18"/>
        </w:rPr>
        <w:t>alternative solutions</w:t>
      </w:r>
      <w:r w:rsidR="00FA7A09" w:rsidRPr="00C25B01">
        <w:rPr>
          <w:rFonts w:cs="Arial"/>
          <w:sz w:val="18"/>
          <w:szCs w:val="18"/>
        </w:rPr>
        <w:t xml:space="preserve"> (Lanzillo et al., 2024)</w:t>
      </w:r>
      <w:r w:rsidRPr="00C25B01">
        <w:rPr>
          <w:rFonts w:cs="Arial"/>
          <w:sz w:val="18"/>
          <w:szCs w:val="18"/>
        </w:rPr>
        <w:t xml:space="preserve">. Among these, hydrogen stands out as one of the most promising options </w:t>
      </w:r>
      <w:r w:rsidR="00D51C7F" w:rsidRPr="00C25B01">
        <w:rPr>
          <w:rFonts w:cs="Arial"/>
          <w:sz w:val="18"/>
          <w:szCs w:val="18"/>
        </w:rPr>
        <w:t>because</w:t>
      </w:r>
      <w:r w:rsidRPr="00C25B01">
        <w:rPr>
          <w:rFonts w:cs="Arial"/>
          <w:sz w:val="18"/>
          <w:szCs w:val="18"/>
        </w:rPr>
        <w:t xml:space="preserve"> </w:t>
      </w:r>
      <w:r w:rsidR="00D51C7F" w:rsidRPr="00C25B01">
        <w:rPr>
          <w:rFonts w:cs="Arial"/>
          <w:sz w:val="18"/>
          <w:szCs w:val="18"/>
        </w:rPr>
        <w:t>of</w:t>
      </w:r>
      <w:r w:rsidRPr="00C25B01">
        <w:rPr>
          <w:rFonts w:cs="Arial"/>
          <w:sz w:val="18"/>
          <w:szCs w:val="18"/>
        </w:rPr>
        <w:t xml:space="preserve"> its high energy density (approximately three times that of gasoline), high octane number, and its ability to produce energy without emitting </w:t>
      </w:r>
      <w:r w:rsidR="00945736" w:rsidRPr="00C25B01">
        <w:rPr>
          <w:rFonts w:cs="Arial"/>
          <w:sz w:val="18"/>
          <w:szCs w:val="18"/>
        </w:rPr>
        <w:t>greenhouse</w:t>
      </w:r>
      <w:r w:rsidRPr="00C25B01">
        <w:rPr>
          <w:rFonts w:cs="Arial"/>
          <w:sz w:val="18"/>
          <w:szCs w:val="18"/>
        </w:rPr>
        <w:t xml:space="preserve"> gases. The only </w:t>
      </w:r>
      <w:r w:rsidR="00D51C7F" w:rsidRPr="00C25B01">
        <w:rPr>
          <w:rFonts w:cs="Arial"/>
          <w:sz w:val="18"/>
          <w:szCs w:val="18"/>
        </w:rPr>
        <w:t>byproduct</w:t>
      </w:r>
      <w:r w:rsidRPr="003D5374">
        <w:rPr>
          <w:rFonts w:cs="Arial"/>
          <w:sz w:val="18"/>
          <w:szCs w:val="18"/>
        </w:rPr>
        <w:t xml:space="preserve"> of hydrogen combustion is water, which makes it particularly attractive from an ecological standpoint.</w:t>
      </w:r>
    </w:p>
    <w:p w14:paraId="262CAA30" w14:textId="7A7CAEB5" w:rsidR="003D5374" w:rsidRPr="003D5374" w:rsidRDefault="003D5374" w:rsidP="003D5374">
      <w:pPr>
        <w:pStyle w:val="NormaleWeb"/>
        <w:spacing w:line="240" w:lineRule="auto"/>
        <w:contextualSpacing/>
        <w:rPr>
          <w:rFonts w:cs="Arial"/>
          <w:sz w:val="18"/>
          <w:szCs w:val="18"/>
        </w:rPr>
      </w:pPr>
      <w:r w:rsidRPr="003D5374">
        <w:rPr>
          <w:rFonts w:cs="Arial"/>
          <w:sz w:val="18"/>
          <w:szCs w:val="18"/>
        </w:rPr>
        <w:t xml:space="preserve">However, despite these advantages, large-scale hydrogen production </w:t>
      </w:r>
      <w:r w:rsidR="00925ED3">
        <w:rPr>
          <w:rFonts w:cs="Arial"/>
          <w:sz w:val="18"/>
          <w:szCs w:val="18"/>
        </w:rPr>
        <w:t xml:space="preserve">is </w:t>
      </w:r>
      <w:r w:rsidRPr="003D5374">
        <w:rPr>
          <w:rFonts w:cs="Arial"/>
          <w:sz w:val="18"/>
          <w:szCs w:val="18"/>
        </w:rPr>
        <w:t xml:space="preserve">a </w:t>
      </w:r>
      <w:r w:rsidR="00D51C7F">
        <w:rPr>
          <w:rFonts w:cs="Arial"/>
          <w:sz w:val="18"/>
          <w:szCs w:val="18"/>
        </w:rPr>
        <w:t xml:space="preserve">challenge from both technological and </w:t>
      </w:r>
      <w:r w:rsidR="00D51C7F" w:rsidRPr="0045221D">
        <w:rPr>
          <w:rFonts w:cs="Arial"/>
          <w:sz w:val="18"/>
          <w:szCs w:val="18"/>
        </w:rPr>
        <w:t>economic</w:t>
      </w:r>
      <w:r w:rsidR="00D51C7F">
        <w:rPr>
          <w:rFonts w:cs="Arial"/>
          <w:sz w:val="18"/>
          <w:szCs w:val="18"/>
        </w:rPr>
        <w:t xml:space="preserve"> perspectives</w:t>
      </w:r>
      <w:r w:rsidRPr="003D5374">
        <w:rPr>
          <w:rFonts w:cs="Arial"/>
          <w:sz w:val="18"/>
          <w:szCs w:val="18"/>
        </w:rPr>
        <w:t xml:space="preserve">. Currently, </w:t>
      </w:r>
      <w:r w:rsidR="00D51C7F">
        <w:rPr>
          <w:rFonts w:cs="Arial"/>
          <w:sz w:val="18"/>
          <w:szCs w:val="18"/>
        </w:rPr>
        <w:t>approximately</w:t>
      </w:r>
      <w:r w:rsidRPr="003D5374">
        <w:rPr>
          <w:rFonts w:cs="Arial"/>
          <w:sz w:val="18"/>
          <w:szCs w:val="18"/>
        </w:rPr>
        <w:t xml:space="preserve"> 96% of hydrogen is produced </w:t>
      </w:r>
      <w:r w:rsidR="00925ED3">
        <w:rPr>
          <w:rFonts w:cs="Arial"/>
          <w:sz w:val="18"/>
          <w:szCs w:val="18"/>
        </w:rPr>
        <w:t xml:space="preserve">via </w:t>
      </w:r>
      <w:r w:rsidRPr="00D7199F">
        <w:rPr>
          <w:rStyle w:val="Enfasigrassetto"/>
          <w:rFonts w:cs="Arial"/>
          <w:b w:val="0"/>
          <w:bCs w:val="0"/>
          <w:sz w:val="18"/>
          <w:szCs w:val="18"/>
        </w:rPr>
        <w:t>steam methane reforming (SMR</w:t>
      </w:r>
      <w:r w:rsidR="00925ED3" w:rsidRPr="00D7199F">
        <w:rPr>
          <w:rStyle w:val="Enfasigrassetto"/>
          <w:rFonts w:cs="Arial"/>
          <w:sz w:val="18"/>
          <w:szCs w:val="18"/>
        </w:rPr>
        <w:t>)</w:t>
      </w:r>
      <w:r w:rsidR="00925ED3">
        <w:rPr>
          <w:rFonts w:cs="Arial"/>
          <w:sz w:val="18"/>
          <w:szCs w:val="18"/>
        </w:rPr>
        <w:t>. The SMR</w:t>
      </w:r>
      <w:r w:rsidR="00925ED3" w:rsidRPr="003D5374">
        <w:rPr>
          <w:rFonts w:cs="Arial"/>
          <w:sz w:val="18"/>
          <w:szCs w:val="18"/>
        </w:rPr>
        <w:t xml:space="preserve"> </w:t>
      </w:r>
      <w:r w:rsidR="0045221D">
        <w:rPr>
          <w:rFonts w:cs="Arial"/>
          <w:sz w:val="18"/>
          <w:szCs w:val="18"/>
        </w:rPr>
        <w:t xml:space="preserve">is </w:t>
      </w:r>
      <w:r w:rsidRPr="003D5374">
        <w:rPr>
          <w:rFonts w:cs="Arial"/>
          <w:sz w:val="18"/>
          <w:szCs w:val="18"/>
        </w:rPr>
        <w:t xml:space="preserve">a well-established </w:t>
      </w:r>
      <w:r w:rsidR="00925ED3">
        <w:rPr>
          <w:rFonts w:cs="Arial"/>
          <w:sz w:val="18"/>
          <w:szCs w:val="18"/>
        </w:rPr>
        <w:t xml:space="preserve">efficient </w:t>
      </w:r>
      <w:proofErr w:type="gramStart"/>
      <w:r w:rsidRPr="003D5374">
        <w:rPr>
          <w:rFonts w:cs="Arial"/>
          <w:sz w:val="18"/>
          <w:szCs w:val="18"/>
        </w:rPr>
        <w:t>technology</w:t>
      </w:r>
      <w:proofErr w:type="gramEnd"/>
      <w:r w:rsidR="00925ED3">
        <w:rPr>
          <w:rFonts w:cs="Arial"/>
          <w:sz w:val="18"/>
          <w:szCs w:val="18"/>
        </w:rPr>
        <w:t xml:space="preserve"> but</w:t>
      </w:r>
      <w:r w:rsidR="00925ED3" w:rsidRPr="003D5374">
        <w:rPr>
          <w:rFonts w:cs="Arial"/>
          <w:sz w:val="18"/>
          <w:szCs w:val="18"/>
        </w:rPr>
        <w:t xml:space="preserve"> </w:t>
      </w:r>
      <w:r w:rsidR="00925ED3">
        <w:rPr>
          <w:rFonts w:cs="Arial"/>
          <w:sz w:val="18"/>
          <w:szCs w:val="18"/>
        </w:rPr>
        <w:t xml:space="preserve">it is characterized by </w:t>
      </w:r>
      <w:r w:rsidRPr="003D5374">
        <w:rPr>
          <w:rFonts w:cs="Arial"/>
          <w:sz w:val="18"/>
          <w:szCs w:val="18"/>
        </w:rPr>
        <w:t xml:space="preserve">significant greenhouse gas emissions during the process. The remaining 4% is produced </w:t>
      </w:r>
      <w:r w:rsidR="00925ED3">
        <w:rPr>
          <w:rFonts w:cs="Arial"/>
          <w:sz w:val="18"/>
          <w:szCs w:val="18"/>
        </w:rPr>
        <w:t xml:space="preserve">via </w:t>
      </w:r>
      <w:r w:rsidRPr="00D7199F">
        <w:rPr>
          <w:rStyle w:val="Enfasigrassetto"/>
          <w:rFonts w:cs="Arial"/>
          <w:b w:val="0"/>
          <w:bCs w:val="0"/>
          <w:sz w:val="18"/>
          <w:szCs w:val="18"/>
        </w:rPr>
        <w:t>water electrolysis</w:t>
      </w:r>
      <w:r w:rsidRPr="003D5374">
        <w:rPr>
          <w:rFonts w:cs="Arial"/>
          <w:sz w:val="18"/>
          <w:szCs w:val="18"/>
        </w:rPr>
        <w:t xml:space="preserve">, </w:t>
      </w:r>
      <w:r w:rsidR="00D51C7F">
        <w:rPr>
          <w:rFonts w:cs="Arial"/>
          <w:sz w:val="18"/>
          <w:szCs w:val="18"/>
        </w:rPr>
        <w:t xml:space="preserve">which is </w:t>
      </w:r>
      <w:r w:rsidRPr="003D5374">
        <w:rPr>
          <w:rFonts w:cs="Arial"/>
          <w:sz w:val="18"/>
          <w:szCs w:val="18"/>
        </w:rPr>
        <w:t>a more sustainable process</w:t>
      </w:r>
      <w:r w:rsidR="00EE4A59">
        <w:rPr>
          <w:rFonts w:cs="Arial"/>
          <w:sz w:val="18"/>
          <w:szCs w:val="18"/>
        </w:rPr>
        <w:t xml:space="preserve">. However, </w:t>
      </w:r>
      <w:r w:rsidR="00EE4A59" w:rsidRPr="003D5374">
        <w:rPr>
          <w:rFonts w:cs="Arial"/>
          <w:sz w:val="18"/>
          <w:szCs w:val="18"/>
        </w:rPr>
        <w:t>this</w:t>
      </w:r>
      <w:r w:rsidR="00EE4A59">
        <w:rPr>
          <w:rFonts w:cs="Arial"/>
          <w:sz w:val="18"/>
          <w:szCs w:val="18"/>
        </w:rPr>
        <w:t xml:space="preserve"> process </w:t>
      </w:r>
      <w:r w:rsidRPr="003D5374">
        <w:rPr>
          <w:rFonts w:cs="Arial"/>
          <w:sz w:val="18"/>
          <w:szCs w:val="18"/>
        </w:rPr>
        <w:t xml:space="preserve">requires large amounts of electrical energy, usually </w:t>
      </w:r>
      <w:r w:rsidR="005E20A1">
        <w:rPr>
          <w:rFonts w:cs="Arial"/>
          <w:sz w:val="18"/>
          <w:szCs w:val="18"/>
        </w:rPr>
        <w:t>delivered</w:t>
      </w:r>
      <w:r w:rsidR="005E20A1" w:rsidRPr="003D5374">
        <w:rPr>
          <w:rFonts w:cs="Arial"/>
          <w:sz w:val="18"/>
          <w:szCs w:val="18"/>
        </w:rPr>
        <w:t xml:space="preserve"> </w:t>
      </w:r>
      <w:r w:rsidRPr="003D5374">
        <w:rPr>
          <w:rFonts w:cs="Arial"/>
          <w:sz w:val="18"/>
          <w:szCs w:val="18"/>
        </w:rPr>
        <w:t xml:space="preserve">from non-renewable sources </w:t>
      </w:r>
      <w:r w:rsidR="005E20A1">
        <w:rPr>
          <w:rFonts w:cs="Arial"/>
          <w:sz w:val="18"/>
          <w:szCs w:val="18"/>
        </w:rPr>
        <w:t xml:space="preserve">reducing </w:t>
      </w:r>
      <w:r w:rsidRPr="003D5374">
        <w:rPr>
          <w:rFonts w:cs="Arial"/>
          <w:sz w:val="18"/>
          <w:szCs w:val="18"/>
        </w:rPr>
        <w:t xml:space="preserve">its positive environmental impact. </w:t>
      </w:r>
      <w:r w:rsidR="00D51C7F">
        <w:rPr>
          <w:rFonts w:cs="Arial"/>
          <w:sz w:val="18"/>
          <w:szCs w:val="18"/>
        </w:rPr>
        <w:t>Consequently</w:t>
      </w:r>
      <w:r w:rsidRPr="003D5374">
        <w:rPr>
          <w:rFonts w:cs="Arial"/>
          <w:sz w:val="18"/>
          <w:szCs w:val="18"/>
        </w:rPr>
        <w:t>, research is increasingly focus</w:t>
      </w:r>
      <w:r w:rsidR="0045221D">
        <w:rPr>
          <w:rFonts w:cs="Arial"/>
          <w:sz w:val="18"/>
          <w:szCs w:val="18"/>
        </w:rPr>
        <w:t>ing</w:t>
      </w:r>
      <w:r w:rsidRPr="003D5374">
        <w:rPr>
          <w:rFonts w:cs="Arial"/>
          <w:sz w:val="18"/>
          <w:szCs w:val="18"/>
        </w:rPr>
        <w:t xml:space="preserve"> on alternative methods that could reduce the costs and </w:t>
      </w:r>
      <w:r w:rsidR="005E20A1">
        <w:rPr>
          <w:rFonts w:cs="Arial"/>
          <w:sz w:val="18"/>
          <w:szCs w:val="18"/>
        </w:rPr>
        <w:t xml:space="preserve">the </w:t>
      </w:r>
      <w:r w:rsidRPr="003D5374">
        <w:rPr>
          <w:rFonts w:cs="Arial"/>
          <w:sz w:val="18"/>
          <w:szCs w:val="18"/>
        </w:rPr>
        <w:t>ecological footprint associated with hydrogen production.</w:t>
      </w:r>
    </w:p>
    <w:p w14:paraId="1A89CB2E" w14:textId="2EC183C1" w:rsidR="003D5374" w:rsidRPr="00B11156" w:rsidRDefault="005E20A1" w:rsidP="003D5374">
      <w:pPr>
        <w:pStyle w:val="NormaleWeb"/>
        <w:spacing w:line="240" w:lineRule="auto"/>
        <w:contextualSpacing/>
        <w:rPr>
          <w:rFonts w:cs="Arial"/>
          <w:sz w:val="18"/>
          <w:szCs w:val="18"/>
        </w:rPr>
      </w:pPr>
      <w:r>
        <w:rPr>
          <w:rFonts w:cs="Arial"/>
          <w:sz w:val="18"/>
          <w:szCs w:val="18"/>
        </w:rPr>
        <w:t xml:space="preserve">A </w:t>
      </w:r>
      <w:r w:rsidR="003D5374" w:rsidRPr="003D5374">
        <w:rPr>
          <w:rFonts w:cs="Arial"/>
          <w:sz w:val="18"/>
          <w:szCs w:val="18"/>
        </w:rPr>
        <w:t xml:space="preserve">promising and innovative approach </w:t>
      </w:r>
      <w:r>
        <w:rPr>
          <w:rFonts w:cs="Arial"/>
          <w:sz w:val="18"/>
          <w:szCs w:val="18"/>
        </w:rPr>
        <w:t>to produce hydrogen</w:t>
      </w:r>
      <w:r w:rsidR="003D5374" w:rsidRPr="003D5374">
        <w:rPr>
          <w:rFonts w:cs="Arial"/>
          <w:sz w:val="18"/>
          <w:szCs w:val="18"/>
        </w:rPr>
        <w:t xml:space="preserve"> is the use of </w:t>
      </w:r>
      <w:r w:rsidR="003D5374" w:rsidRPr="00D7199F">
        <w:rPr>
          <w:rStyle w:val="Enfasigrassetto"/>
          <w:rFonts w:cs="Arial"/>
          <w:b w:val="0"/>
          <w:bCs w:val="0"/>
          <w:sz w:val="18"/>
          <w:szCs w:val="18"/>
        </w:rPr>
        <w:t>microorganisms</w:t>
      </w:r>
      <w:r w:rsidR="003D5374" w:rsidRPr="003D5374">
        <w:rPr>
          <w:rFonts w:cs="Arial"/>
          <w:sz w:val="18"/>
          <w:szCs w:val="18"/>
        </w:rPr>
        <w:t xml:space="preserve">. </w:t>
      </w:r>
      <w:r>
        <w:rPr>
          <w:rFonts w:cs="Arial"/>
          <w:sz w:val="18"/>
          <w:szCs w:val="18"/>
        </w:rPr>
        <w:t>D</w:t>
      </w:r>
      <w:r w:rsidR="003D5374" w:rsidRPr="00D7199F">
        <w:rPr>
          <w:rStyle w:val="Enfasigrassetto"/>
          <w:rFonts w:cs="Arial"/>
          <w:b w:val="0"/>
          <w:bCs w:val="0"/>
          <w:sz w:val="18"/>
          <w:szCs w:val="18"/>
        </w:rPr>
        <w:t xml:space="preserve">ark fermentation </w:t>
      </w:r>
      <w:r w:rsidR="006C02AF" w:rsidRPr="00D7199F">
        <w:rPr>
          <w:rStyle w:val="Enfasigrassetto"/>
          <w:rFonts w:cs="Arial"/>
          <w:b w:val="0"/>
          <w:bCs w:val="0"/>
          <w:sz w:val="18"/>
          <w:szCs w:val="18"/>
        </w:rPr>
        <w:t>(</w:t>
      </w:r>
      <w:proofErr w:type="gramStart"/>
      <w:r w:rsidR="006C02AF" w:rsidRPr="00D7199F">
        <w:rPr>
          <w:rStyle w:val="Enfasigrassetto"/>
          <w:rFonts w:cs="Arial"/>
          <w:b w:val="0"/>
          <w:bCs w:val="0"/>
          <w:sz w:val="18"/>
          <w:szCs w:val="18"/>
        </w:rPr>
        <w:t>DF)</w:t>
      </w:r>
      <w:r w:rsidR="006C02AF">
        <w:rPr>
          <w:rFonts w:cs="Arial"/>
          <w:sz w:val="18"/>
          <w:szCs w:val="18"/>
        </w:rPr>
        <w:t xml:space="preserve"> </w:t>
      </w:r>
      <w:r w:rsidR="0045221D">
        <w:rPr>
          <w:rFonts w:cs="Arial"/>
          <w:sz w:val="18"/>
          <w:szCs w:val="18"/>
        </w:rPr>
        <w:t xml:space="preserve"> </w:t>
      </w:r>
      <w:r>
        <w:rPr>
          <w:rFonts w:cs="Arial"/>
          <w:sz w:val="18"/>
          <w:szCs w:val="18"/>
        </w:rPr>
        <w:t>-</w:t>
      </w:r>
      <w:proofErr w:type="gramEnd"/>
      <w:r w:rsidRPr="003D5374">
        <w:rPr>
          <w:rFonts w:cs="Arial"/>
          <w:sz w:val="18"/>
          <w:szCs w:val="18"/>
        </w:rPr>
        <w:t xml:space="preserve"> </w:t>
      </w:r>
      <w:r w:rsidR="003D5374" w:rsidRPr="003D5374">
        <w:rPr>
          <w:rFonts w:cs="Arial"/>
          <w:sz w:val="18"/>
          <w:szCs w:val="18"/>
        </w:rPr>
        <w:t>an anaerobic process in which bacteria and other microorganisms utilize organic substrates to produce hydrogen</w:t>
      </w:r>
      <w:r>
        <w:rPr>
          <w:rFonts w:cs="Arial"/>
          <w:sz w:val="18"/>
          <w:szCs w:val="18"/>
        </w:rPr>
        <w:t xml:space="preserve"> –</w:t>
      </w:r>
      <w:r w:rsidR="0045221D">
        <w:rPr>
          <w:rFonts w:cs="Arial"/>
          <w:sz w:val="18"/>
          <w:szCs w:val="18"/>
        </w:rPr>
        <w:t xml:space="preserve"> </w:t>
      </w:r>
      <w:r w:rsidR="003D5374" w:rsidRPr="003D5374">
        <w:rPr>
          <w:rFonts w:cs="Arial"/>
          <w:sz w:val="18"/>
          <w:szCs w:val="18"/>
        </w:rPr>
        <w:t xml:space="preserve">has garnered considerable </w:t>
      </w:r>
      <w:r w:rsidR="00D51C7F">
        <w:rPr>
          <w:rFonts w:cs="Arial"/>
          <w:sz w:val="18"/>
          <w:szCs w:val="18"/>
        </w:rPr>
        <w:t>attention</w:t>
      </w:r>
      <w:r w:rsidR="003D5374" w:rsidRPr="003D5374">
        <w:rPr>
          <w:rFonts w:cs="Arial"/>
          <w:sz w:val="18"/>
          <w:szCs w:val="18"/>
        </w:rPr>
        <w:t xml:space="preserve">. </w:t>
      </w:r>
      <w:r w:rsidRPr="003D5374">
        <w:rPr>
          <w:rFonts w:cs="Arial"/>
          <w:sz w:val="18"/>
          <w:szCs w:val="18"/>
        </w:rPr>
        <w:t>Th</w:t>
      </w:r>
      <w:r w:rsidR="006C02AF">
        <w:rPr>
          <w:rFonts w:cs="Arial"/>
          <w:sz w:val="18"/>
          <w:szCs w:val="18"/>
        </w:rPr>
        <w:t>is</w:t>
      </w:r>
      <w:r w:rsidRPr="003D5374">
        <w:rPr>
          <w:rFonts w:cs="Arial"/>
          <w:sz w:val="18"/>
          <w:szCs w:val="18"/>
        </w:rPr>
        <w:t xml:space="preserve"> </w:t>
      </w:r>
      <w:r w:rsidR="003D5374" w:rsidRPr="003D5374">
        <w:rPr>
          <w:rFonts w:cs="Arial"/>
          <w:sz w:val="18"/>
          <w:szCs w:val="18"/>
        </w:rPr>
        <w:t>process offers several advantages, including the use of waste materials as substrates, low production costs, and minimal environmental impact</w:t>
      </w:r>
      <w:r w:rsidR="00407D6B">
        <w:rPr>
          <w:rFonts w:cs="Arial"/>
          <w:sz w:val="18"/>
          <w:szCs w:val="18"/>
        </w:rPr>
        <w:t xml:space="preserve"> (Ahmad et al., 2024)</w:t>
      </w:r>
      <w:r w:rsidR="003D5374" w:rsidRPr="003D5374">
        <w:rPr>
          <w:rFonts w:cs="Arial"/>
          <w:sz w:val="18"/>
          <w:szCs w:val="18"/>
        </w:rPr>
        <w:t xml:space="preserve">. Additionally, the </w:t>
      </w:r>
      <w:r w:rsidR="003D5374" w:rsidRPr="00D7199F">
        <w:rPr>
          <w:rStyle w:val="Enfasigrassetto"/>
          <w:rFonts w:cs="Arial"/>
          <w:b w:val="0"/>
          <w:bCs w:val="0"/>
          <w:sz w:val="18"/>
          <w:szCs w:val="18"/>
        </w:rPr>
        <w:t xml:space="preserve">theoretical </w:t>
      </w:r>
      <w:r w:rsidR="003D5374" w:rsidRPr="003D5374">
        <w:rPr>
          <w:rFonts w:cs="Arial"/>
          <w:sz w:val="18"/>
          <w:szCs w:val="18"/>
        </w:rPr>
        <w:t xml:space="preserve">hydrogen </w:t>
      </w:r>
      <w:r w:rsidR="006C02AF">
        <w:rPr>
          <w:rFonts w:cs="Arial"/>
          <w:sz w:val="18"/>
          <w:szCs w:val="18"/>
        </w:rPr>
        <w:t>yield of DF</w:t>
      </w:r>
      <w:r w:rsidR="003D5374" w:rsidRPr="003D5374">
        <w:rPr>
          <w:rFonts w:cs="Arial"/>
          <w:sz w:val="18"/>
          <w:szCs w:val="18"/>
        </w:rPr>
        <w:t xml:space="preserve"> is particularly high, reaching up to 4 moles of H</w:t>
      </w:r>
      <w:r w:rsidR="003D5374" w:rsidRPr="003D5374">
        <w:rPr>
          <w:rFonts w:ascii="Cambria Math" w:hAnsi="Cambria Math" w:cs="Cambria Math"/>
          <w:sz w:val="18"/>
          <w:szCs w:val="18"/>
        </w:rPr>
        <w:t>₂</w:t>
      </w:r>
      <w:r w:rsidR="003D5374" w:rsidRPr="003D5374">
        <w:rPr>
          <w:rFonts w:cs="Arial"/>
          <w:sz w:val="18"/>
          <w:szCs w:val="18"/>
        </w:rPr>
        <w:t xml:space="preserve"> per mole of glucose</w:t>
      </w:r>
      <w:r w:rsidR="009E24AF">
        <w:rPr>
          <w:rFonts w:cs="Arial"/>
          <w:sz w:val="18"/>
          <w:szCs w:val="18"/>
        </w:rPr>
        <w:t xml:space="preserve"> (Jain et al., 2022)</w:t>
      </w:r>
      <w:r w:rsidR="003D5374" w:rsidRPr="003D5374">
        <w:rPr>
          <w:rFonts w:cs="Arial"/>
          <w:sz w:val="18"/>
          <w:szCs w:val="18"/>
        </w:rPr>
        <w:t>, making it a potentially competitive technology for industrial</w:t>
      </w:r>
      <w:r w:rsidR="003D5374" w:rsidRPr="00B11156">
        <w:rPr>
          <w:rFonts w:cs="Arial"/>
          <w:sz w:val="18"/>
          <w:szCs w:val="18"/>
        </w:rPr>
        <w:t>-scale production.</w:t>
      </w:r>
    </w:p>
    <w:p w14:paraId="33447216" w14:textId="58C60704" w:rsidR="003D5374" w:rsidRPr="00CB5D3E" w:rsidRDefault="005E20A1" w:rsidP="003D5374">
      <w:pPr>
        <w:pStyle w:val="NormaleWeb"/>
        <w:spacing w:line="240" w:lineRule="auto"/>
        <w:contextualSpacing/>
        <w:rPr>
          <w:rFonts w:cs="Arial"/>
          <w:sz w:val="18"/>
          <w:szCs w:val="18"/>
        </w:rPr>
      </w:pPr>
      <w:r>
        <w:rPr>
          <w:rFonts w:cs="Arial"/>
          <w:sz w:val="18"/>
          <w:szCs w:val="18"/>
        </w:rPr>
        <w:lastRenderedPageBreak/>
        <w:t xml:space="preserve">A promising </w:t>
      </w:r>
      <w:r w:rsidR="003D5374" w:rsidRPr="00B11156">
        <w:rPr>
          <w:rFonts w:cs="Arial"/>
          <w:sz w:val="18"/>
          <w:szCs w:val="18"/>
        </w:rPr>
        <w:t xml:space="preserve">microorganism </w:t>
      </w:r>
      <w:r>
        <w:rPr>
          <w:rFonts w:cs="Arial"/>
          <w:sz w:val="18"/>
          <w:szCs w:val="18"/>
        </w:rPr>
        <w:t xml:space="preserve">for the DF process </w:t>
      </w:r>
      <w:r w:rsidR="003D5374" w:rsidRPr="00B11156">
        <w:rPr>
          <w:rFonts w:cs="Arial"/>
          <w:sz w:val="18"/>
          <w:szCs w:val="18"/>
        </w:rPr>
        <w:t xml:space="preserve">is </w:t>
      </w:r>
      <w:proofErr w:type="spellStart"/>
      <w:r w:rsidR="003D5374" w:rsidRPr="00B11156">
        <w:rPr>
          <w:rStyle w:val="Enfasigrassetto"/>
          <w:rFonts w:cs="Arial"/>
          <w:b w:val="0"/>
          <w:bCs w:val="0"/>
          <w:i/>
          <w:iCs/>
          <w:sz w:val="18"/>
          <w:szCs w:val="18"/>
        </w:rPr>
        <w:t>Thermotoga</w:t>
      </w:r>
      <w:proofErr w:type="spellEnd"/>
      <w:r w:rsidR="003D5374" w:rsidRPr="00B11156">
        <w:rPr>
          <w:rStyle w:val="Enfasigrassetto"/>
          <w:rFonts w:cs="Arial"/>
          <w:b w:val="0"/>
          <w:bCs w:val="0"/>
          <w:i/>
          <w:iCs/>
          <w:sz w:val="18"/>
          <w:szCs w:val="18"/>
        </w:rPr>
        <w:t xml:space="preserve"> </w:t>
      </w:r>
      <w:proofErr w:type="spellStart"/>
      <w:r w:rsidR="003D5374" w:rsidRPr="00B11156">
        <w:rPr>
          <w:rStyle w:val="Enfasigrassetto"/>
          <w:rFonts w:cs="Arial"/>
          <w:b w:val="0"/>
          <w:bCs w:val="0"/>
          <w:i/>
          <w:iCs/>
          <w:sz w:val="18"/>
          <w:szCs w:val="18"/>
        </w:rPr>
        <w:t>neapolitana</w:t>
      </w:r>
      <w:proofErr w:type="spellEnd"/>
      <w:r w:rsidR="003D5374" w:rsidRPr="00B11156">
        <w:rPr>
          <w:rFonts w:cs="Arial"/>
          <w:sz w:val="18"/>
          <w:szCs w:val="18"/>
        </w:rPr>
        <w:t xml:space="preserve">, a thermophilic bacterium belonging to the family of </w:t>
      </w:r>
      <w:proofErr w:type="spellStart"/>
      <w:r w:rsidR="003D5374" w:rsidRPr="00B11156">
        <w:rPr>
          <w:rStyle w:val="Enfasigrassetto"/>
          <w:rFonts w:cs="Arial"/>
          <w:b w:val="0"/>
          <w:bCs w:val="0"/>
          <w:i/>
          <w:iCs/>
          <w:sz w:val="18"/>
          <w:szCs w:val="18"/>
        </w:rPr>
        <w:t>Thermotogales</w:t>
      </w:r>
      <w:proofErr w:type="spellEnd"/>
      <w:r w:rsidR="001F12E4">
        <w:rPr>
          <w:rStyle w:val="Enfasigrassetto"/>
          <w:rFonts w:cs="Arial"/>
          <w:b w:val="0"/>
          <w:bCs w:val="0"/>
          <w:i/>
          <w:iCs/>
          <w:sz w:val="18"/>
          <w:szCs w:val="18"/>
        </w:rPr>
        <w:t xml:space="preserve"> </w:t>
      </w:r>
      <w:r w:rsidR="001F12E4">
        <w:rPr>
          <w:rStyle w:val="Enfasigrassetto"/>
          <w:rFonts w:cs="Arial"/>
          <w:b w:val="0"/>
          <w:bCs w:val="0"/>
          <w:sz w:val="18"/>
          <w:szCs w:val="18"/>
        </w:rPr>
        <w:t>(</w:t>
      </w:r>
      <w:proofErr w:type="spellStart"/>
      <w:r w:rsidR="001F12E4">
        <w:rPr>
          <w:rStyle w:val="Enfasigrassetto"/>
          <w:rFonts w:cs="Arial"/>
          <w:b w:val="0"/>
          <w:bCs w:val="0"/>
          <w:sz w:val="18"/>
          <w:szCs w:val="18"/>
        </w:rPr>
        <w:t>d’Ippolito</w:t>
      </w:r>
      <w:proofErr w:type="spellEnd"/>
      <w:r w:rsidR="001F12E4">
        <w:rPr>
          <w:rStyle w:val="Enfasigrassetto"/>
          <w:rFonts w:cs="Arial"/>
          <w:b w:val="0"/>
          <w:bCs w:val="0"/>
          <w:sz w:val="18"/>
          <w:szCs w:val="18"/>
        </w:rPr>
        <w:t xml:space="preserve"> et al., 2020)</w:t>
      </w:r>
      <w:r w:rsidR="003D5374" w:rsidRPr="00B11156">
        <w:rPr>
          <w:rFonts w:cs="Arial"/>
          <w:sz w:val="18"/>
          <w:szCs w:val="18"/>
        </w:rPr>
        <w:t>. It grows at high temperature</w:t>
      </w:r>
      <w:r>
        <w:rPr>
          <w:rFonts w:cs="Arial"/>
          <w:sz w:val="18"/>
          <w:szCs w:val="18"/>
        </w:rPr>
        <w:t xml:space="preserve"> </w:t>
      </w:r>
      <w:r w:rsidR="003D5374" w:rsidRPr="00B11156">
        <w:rPr>
          <w:rFonts w:cs="Arial"/>
          <w:sz w:val="18"/>
          <w:szCs w:val="18"/>
        </w:rPr>
        <w:t>(</w:t>
      </w:r>
      <w:r w:rsidR="00D51C7F">
        <w:rPr>
          <w:rFonts w:cs="Arial"/>
          <w:sz w:val="18"/>
          <w:szCs w:val="18"/>
        </w:rPr>
        <w:t>approximately</w:t>
      </w:r>
      <w:r w:rsidR="003D5374" w:rsidRPr="00B11156">
        <w:rPr>
          <w:rFonts w:cs="Arial"/>
          <w:sz w:val="18"/>
          <w:szCs w:val="18"/>
        </w:rPr>
        <w:t xml:space="preserve"> 75°C) and </w:t>
      </w:r>
      <w:r w:rsidR="00D51C7F">
        <w:rPr>
          <w:rFonts w:cs="Arial"/>
          <w:sz w:val="18"/>
          <w:szCs w:val="18"/>
        </w:rPr>
        <w:t>can</w:t>
      </w:r>
      <w:r w:rsidR="003D5374" w:rsidRPr="00B11156">
        <w:rPr>
          <w:rFonts w:cs="Arial"/>
          <w:sz w:val="18"/>
          <w:szCs w:val="18"/>
        </w:rPr>
        <w:t xml:space="preserve"> metabolize a wide range of sugars, including monosaccharides (such as pentoses and hexoses) and disaccharides, to produce </w:t>
      </w:r>
      <w:r w:rsidR="0045221D">
        <w:rPr>
          <w:rFonts w:cs="Arial"/>
          <w:sz w:val="18"/>
          <w:szCs w:val="18"/>
        </w:rPr>
        <w:t>mostly</w:t>
      </w:r>
      <w:r w:rsidR="003D5374" w:rsidRPr="00B11156">
        <w:rPr>
          <w:rFonts w:cs="Arial"/>
          <w:sz w:val="18"/>
          <w:szCs w:val="18"/>
        </w:rPr>
        <w:t xml:space="preserve"> hydrogen and acetic acid</w:t>
      </w:r>
      <w:r w:rsidR="007A3568">
        <w:rPr>
          <w:rFonts w:cs="Arial"/>
          <w:sz w:val="18"/>
          <w:szCs w:val="18"/>
        </w:rPr>
        <w:t xml:space="preserve"> (Pradhan et al., 2015)</w:t>
      </w:r>
      <w:r w:rsidR="003D5374" w:rsidRPr="00B11156">
        <w:rPr>
          <w:rFonts w:cs="Arial"/>
          <w:sz w:val="18"/>
          <w:szCs w:val="18"/>
        </w:rPr>
        <w:t xml:space="preserve">. Despite its promising potential, hydrogen production </w:t>
      </w:r>
      <w:r w:rsidR="00F76DEE">
        <w:rPr>
          <w:rFonts w:cs="Arial"/>
          <w:sz w:val="18"/>
          <w:szCs w:val="18"/>
        </w:rPr>
        <w:t>by</w:t>
      </w:r>
      <w:r w:rsidR="003D5374" w:rsidRPr="00B11156">
        <w:rPr>
          <w:rFonts w:cs="Arial"/>
          <w:sz w:val="18"/>
          <w:szCs w:val="18"/>
        </w:rPr>
        <w:t xml:space="preserve"> </w:t>
      </w:r>
      <w:r w:rsidR="003D5374" w:rsidRPr="00B11156">
        <w:rPr>
          <w:rStyle w:val="Enfasigrassetto"/>
          <w:rFonts w:cs="Arial"/>
          <w:b w:val="0"/>
          <w:bCs w:val="0"/>
          <w:i/>
          <w:iCs/>
          <w:sz w:val="18"/>
          <w:szCs w:val="18"/>
        </w:rPr>
        <w:t xml:space="preserve">T. </w:t>
      </w:r>
      <w:proofErr w:type="spellStart"/>
      <w:r w:rsidR="003D5374" w:rsidRPr="00B11156">
        <w:rPr>
          <w:rStyle w:val="Enfasigrassetto"/>
          <w:rFonts w:cs="Arial"/>
          <w:b w:val="0"/>
          <w:bCs w:val="0"/>
          <w:i/>
          <w:iCs/>
          <w:sz w:val="18"/>
          <w:szCs w:val="18"/>
        </w:rPr>
        <w:t>neapolitana</w:t>
      </w:r>
      <w:proofErr w:type="spellEnd"/>
      <w:r w:rsidR="003D5374" w:rsidRPr="00B11156">
        <w:rPr>
          <w:rFonts w:cs="Arial"/>
          <w:sz w:val="18"/>
          <w:szCs w:val="18"/>
        </w:rPr>
        <w:t xml:space="preserve"> </w:t>
      </w:r>
      <w:r w:rsidR="00E668E5" w:rsidRPr="00CB5D3E">
        <w:rPr>
          <w:rFonts w:cs="Arial"/>
          <w:sz w:val="18"/>
          <w:szCs w:val="18"/>
        </w:rPr>
        <w:t xml:space="preserve">under liquid conditions </w:t>
      </w:r>
      <w:r w:rsidR="003D5374" w:rsidRPr="00CB5D3E">
        <w:rPr>
          <w:rFonts w:cs="Arial"/>
          <w:sz w:val="18"/>
          <w:szCs w:val="18"/>
        </w:rPr>
        <w:t xml:space="preserve">has not yet reached </w:t>
      </w:r>
      <w:r w:rsidR="00D51C7F" w:rsidRPr="00CB5D3E">
        <w:rPr>
          <w:rFonts w:cs="Arial"/>
          <w:sz w:val="18"/>
          <w:szCs w:val="18"/>
        </w:rPr>
        <w:t>sufficient performance</w:t>
      </w:r>
      <w:r w:rsidR="003D5374" w:rsidRPr="00CB5D3E">
        <w:rPr>
          <w:rFonts w:cs="Arial"/>
          <w:sz w:val="18"/>
          <w:szCs w:val="18"/>
        </w:rPr>
        <w:t xml:space="preserve"> to justify large-scale industrial use.</w:t>
      </w:r>
      <w:r w:rsidR="00E668E5" w:rsidRPr="00CB5D3E">
        <w:rPr>
          <w:rFonts w:cs="Arial"/>
          <w:sz w:val="18"/>
          <w:szCs w:val="18"/>
        </w:rPr>
        <w:t xml:space="preserve"> </w:t>
      </w:r>
      <w:r w:rsidR="00E668E5" w:rsidRPr="00CB5D3E">
        <w:rPr>
          <w:rFonts w:cs="Arial"/>
          <w:color w:val="000000" w:themeColor="text1"/>
          <w:sz w:val="18"/>
          <w:szCs w:val="18"/>
        </w:rPr>
        <w:t xml:space="preserve">As a matter of fact, reported volumetric hydrogen production rates are limited, indicating that productivity remains </w:t>
      </w:r>
      <w:r w:rsidR="00CB5D3E" w:rsidRPr="00CB5D3E">
        <w:rPr>
          <w:rFonts w:cs="Arial"/>
          <w:color w:val="000000" w:themeColor="text1"/>
          <w:sz w:val="18"/>
          <w:szCs w:val="18"/>
        </w:rPr>
        <w:t>a limiting factor for a</w:t>
      </w:r>
      <w:r w:rsidR="00E668E5" w:rsidRPr="00CB5D3E">
        <w:rPr>
          <w:rFonts w:cs="Arial"/>
          <w:color w:val="000000" w:themeColor="text1"/>
          <w:sz w:val="18"/>
          <w:szCs w:val="18"/>
        </w:rPr>
        <w:t xml:space="preserve"> viable industrial </w:t>
      </w:r>
      <w:r w:rsidR="00CB5D3E" w:rsidRPr="00CB5D3E">
        <w:rPr>
          <w:rFonts w:cs="Arial"/>
          <w:color w:val="000000" w:themeColor="text1"/>
          <w:sz w:val="18"/>
          <w:szCs w:val="18"/>
        </w:rPr>
        <w:t>application</w:t>
      </w:r>
      <w:r w:rsidR="00E668E5" w:rsidRPr="00CB5D3E">
        <w:rPr>
          <w:rFonts w:cs="Arial"/>
          <w:color w:val="000000" w:themeColor="text1"/>
          <w:sz w:val="18"/>
          <w:szCs w:val="18"/>
        </w:rPr>
        <w:t>. Strategies that enhance biomass retention and cell density, such as biofilm-forming cultures, are therefore being explored to overcome these limitations.</w:t>
      </w:r>
    </w:p>
    <w:p w14:paraId="63D98FAE" w14:textId="7A54A79C" w:rsidR="003D5374" w:rsidRPr="00B11156" w:rsidRDefault="005E20A1" w:rsidP="003D5374">
      <w:pPr>
        <w:pStyle w:val="NormaleWeb"/>
        <w:spacing w:line="240" w:lineRule="auto"/>
        <w:contextualSpacing/>
        <w:rPr>
          <w:rFonts w:cs="Arial"/>
          <w:sz w:val="18"/>
          <w:szCs w:val="18"/>
        </w:rPr>
      </w:pPr>
      <w:r>
        <w:rPr>
          <w:rFonts w:cs="Arial"/>
          <w:sz w:val="18"/>
          <w:szCs w:val="18"/>
        </w:rPr>
        <w:t xml:space="preserve">The present </w:t>
      </w:r>
      <w:r w:rsidR="003D5374" w:rsidRPr="00B11156">
        <w:rPr>
          <w:rFonts w:cs="Arial"/>
          <w:sz w:val="18"/>
          <w:szCs w:val="18"/>
        </w:rPr>
        <w:t xml:space="preserve">study </w:t>
      </w:r>
      <w:r w:rsidR="000452FF">
        <w:rPr>
          <w:rFonts w:cs="Arial"/>
          <w:sz w:val="18"/>
          <w:szCs w:val="18"/>
        </w:rPr>
        <w:t>reports results of tests</w:t>
      </w:r>
      <w:r w:rsidR="003D5374" w:rsidRPr="00B11156">
        <w:rPr>
          <w:rFonts w:cs="Arial"/>
          <w:sz w:val="18"/>
          <w:szCs w:val="18"/>
        </w:rPr>
        <w:t xml:space="preserve"> </w:t>
      </w:r>
      <w:r w:rsidR="000452FF">
        <w:rPr>
          <w:rFonts w:cs="Arial"/>
          <w:sz w:val="18"/>
          <w:szCs w:val="18"/>
        </w:rPr>
        <w:t xml:space="preserve">on a spectrum of </w:t>
      </w:r>
      <w:r w:rsidR="003D5374" w:rsidRPr="00B11156">
        <w:rPr>
          <w:rFonts w:cs="Arial"/>
          <w:sz w:val="18"/>
          <w:szCs w:val="18"/>
        </w:rPr>
        <w:t>materials</w:t>
      </w:r>
      <w:r w:rsidR="00B11156" w:rsidRPr="00B11156">
        <w:rPr>
          <w:rFonts w:cs="Arial"/>
          <w:sz w:val="18"/>
          <w:szCs w:val="18"/>
        </w:rPr>
        <w:t xml:space="preserve"> (</w:t>
      </w:r>
      <w:r w:rsidR="00B11156" w:rsidRPr="002D315E">
        <w:rPr>
          <w:rFonts w:cs="Arial"/>
          <w:sz w:val="18"/>
          <w:szCs w:val="18"/>
          <w:lang w:val="en-US" w:eastAsia="it-IT"/>
        </w:rPr>
        <w:t>polypropylene, sponge, silicone (</w:t>
      </w:r>
      <w:proofErr w:type="spellStart"/>
      <w:r w:rsidR="00B11156" w:rsidRPr="002D315E">
        <w:rPr>
          <w:rFonts w:cs="Arial"/>
          <w:sz w:val="18"/>
          <w:szCs w:val="18"/>
          <w:lang w:val="en-US" w:eastAsia="it-IT"/>
        </w:rPr>
        <w:t>Tygon</w:t>
      </w:r>
      <w:proofErr w:type="spellEnd"/>
      <w:r w:rsidR="00B11156" w:rsidRPr="002D315E">
        <w:rPr>
          <w:rFonts w:cs="Arial"/>
          <w:sz w:val="18"/>
          <w:szCs w:val="18"/>
          <w:lang w:val="en-US" w:eastAsia="it-IT"/>
        </w:rPr>
        <w:t xml:space="preserve"> tubing), metal </w:t>
      </w:r>
      <w:r w:rsidR="00B11156" w:rsidRPr="00B11156">
        <w:rPr>
          <w:rFonts w:cs="Arial"/>
          <w:sz w:val="18"/>
          <w:szCs w:val="18"/>
          <w:lang w:val="en-US" w:eastAsia="it-IT"/>
        </w:rPr>
        <w:t>nets</w:t>
      </w:r>
      <w:r w:rsidR="00B11156" w:rsidRPr="002D315E">
        <w:rPr>
          <w:rFonts w:cs="Arial"/>
          <w:sz w:val="18"/>
          <w:szCs w:val="18"/>
          <w:lang w:val="en-US" w:eastAsia="it-IT"/>
        </w:rPr>
        <w:t xml:space="preserve">, and nylon </w:t>
      </w:r>
      <w:r w:rsidR="00B11156" w:rsidRPr="00B11156">
        <w:rPr>
          <w:rFonts w:cs="Arial"/>
          <w:sz w:val="18"/>
          <w:szCs w:val="18"/>
          <w:lang w:val="en-US" w:eastAsia="it-IT"/>
        </w:rPr>
        <w:t>nets</w:t>
      </w:r>
      <w:r w:rsidR="00B11156" w:rsidRPr="00B11156">
        <w:rPr>
          <w:rFonts w:cs="Arial"/>
          <w:sz w:val="18"/>
          <w:szCs w:val="18"/>
        </w:rPr>
        <w:t>)</w:t>
      </w:r>
      <w:r w:rsidR="003D5374" w:rsidRPr="00B11156">
        <w:rPr>
          <w:rFonts w:cs="Arial"/>
          <w:sz w:val="18"/>
          <w:szCs w:val="18"/>
        </w:rPr>
        <w:t xml:space="preserve"> to promote the formation of</w:t>
      </w:r>
      <w:r w:rsidR="00D7199F" w:rsidRPr="00B11156">
        <w:rPr>
          <w:rFonts w:cs="Arial"/>
          <w:sz w:val="18"/>
          <w:szCs w:val="18"/>
        </w:rPr>
        <w:t xml:space="preserve"> b</w:t>
      </w:r>
      <w:r w:rsidR="003D5374" w:rsidRPr="00B11156">
        <w:rPr>
          <w:rStyle w:val="Enfasigrassetto"/>
          <w:rFonts w:cs="Arial"/>
          <w:b w:val="0"/>
          <w:bCs w:val="0"/>
          <w:sz w:val="18"/>
          <w:szCs w:val="18"/>
        </w:rPr>
        <w:t>iofilms</w:t>
      </w:r>
      <w:r w:rsidR="003D5374" w:rsidRPr="00B11156">
        <w:rPr>
          <w:rFonts w:cs="Arial"/>
          <w:sz w:val="18"/>
          <w:szCs w:val="18"/>
        </w:rPr>
        <w:t xml:space="preserve"> by </w:t>
      </w:r>
      <w:r w:rsidR="003D5374" w:rsidRPr="00B11156">
        <w:rPr>
          <w:rStyle w:val="Enfasigrassetto"/>
          <w:rFonts w:cs="Arial"/>
          <w:b w:val="0"/>
          <w:bCs w:val="0"/>
          <w:i/>
          <w:iCs/>
          <w:sz w:val="18"/>
          <w:szCs w:val="18"/>
        </w:rPr>
        <w:t xml:space="preserve">T. </w:t>
      </w:r>
      <w:proofErr w:type="spellStart"/>
      <w:r w:rsidR="003D5374" w:rsidRPr="00B11156">
        <w:rPr>
          <w:rStyle w:val="Enfasigrassetto"/>
          <w:rFonts w:cs="Arial"/>
          <w:b w:val="0"/>
          <w:bCs w:val="0"/>
          <w:i/>
          <w:iCs/>
          <w:sz w:val="18"/>
          <w:szCs w:val="18"/>
        </w:rPr>
        <w:t>neapolitana</w:t>
      </w:r>
      <w:proofErr w:type="spellEnd"/>
      <w:r w:rsidR="003D5374" w:rsidRPr="00B11156">
        <w:rPr>
          <w:rFonts w:cs="Arial"/>
          <w:sz w:val="18"/>
          <w:szCs w:val="18"/>
        </w:rPr>
        <w:t xml:space="preserve">, </w:t>
      </w:r>
      <w:r w:rsidR="00FC50BA">
        <w:rPr>
          <w:rFonts w:cs="Arial"/>
          <w:sz w:val="18"/>
          <w:szCs w:val="18"/>
        </w:rPr>
        <w:t>with the aim of optimizing</w:t>
      </w:r>
      <w:r w:rsidR="003D5374" w:rsidRPr="00B11156">
        <w:rPr>
          <w:rFonts w:cs="Arial"/>
          <w:sz w:val="18"/>
          <w:szCs w:val="18"/>
        </w:rPr>
        <w:t xml:space="preserve"> hydrogen producti</w:t>
      </w:r>
      <w:r w:rsidR="00FC50BA">
        <w:rPr>
          <w:rFonts w:cs="Arial"/>
          <w:sz w:val="18"/>
          <w:szCs w:val="18"/>
        </w:rPr>
        <w:t>vity</w:t>
      </w:r>
      <w:r w:rsidR="003D5374" w:rsidRPr="00B11156">
        <w:rPr>
          <w:rFonts w:cs="Arial"/>
          <w:sz w:val="18"/>
          <w:szCs w:val="18"/>
        </w:rPr>
        <w:t xml:space="preserve">. </w:t>
      </w:r>
      <w:r w:rsidR="000452FF">
        <w:rPr>
          <w:rFonts w:cs="Arial"/>
          <w:sz w:val="18"/>
          <w:szCs w:val="18"/>
        </w:rPr>
        <w:t xml:space="preserve">It is expected that the </w:t>
      </w:r>
      <w:r w:rsidR="003D5374" w:rsidRPr="00B11156">
        <w:rPr>
          <w:rFonts w:cs="Arial"/>
          <w:sz w:val="18"/>
          <w:szCs w:val="18"/>
        </w:rPr>
        <w:t xml:space="preserve">biofilm could enhance the efficiency of the fermentation process by improving the stability and activity of the microorganism, thus potentially increasing hydrogen </w:t>
      </w:r>
      <w:r w:rsidR="00E81EEE">
        <w:rPr>
          <w:rFonts w:cs="Arial"/>
          <w:sz w:val="18"/>
          <w:szCs w:val="18"/>
        </w:rPr>
        <w:t>production</w:t>
      </w:r>
      <w:r w:rsidR="003D5374" w:rsidRPr="00B11156">
        <w:rPr>
          <w:rFonts w:cs="Arial"/>
          <w:sz w:val="18"/>
          <w:szCs w:val="18"/>
        </w:rPr>
        <w:t xml:space="preserve">. </w:t>
      </w:r>
      <w:r w:rsidR="000452FF">
        <w:rPr>
          <w:rFonts w:cs="Arial"/>
          <w:sz w:val="18"/>
          <w:szCs w:val="18"/>
        </w:rPr>
        <w:t xml:space="preserve">The aim is to </w:t>
      </w:r>
      <w:r w:rsidR="003D5374" w:rsidRPr="00B11156">
        <w:rPr>
          <w:rFonts w:cs="Arial"/>
          <w:sz w:val="18"/>
          <w:szCs w:val="18"/>
        </w:rPr>
        <w:t xml:space="preserve">improve the efficiency of the fermentation process, making biological hydrogen production a competitive solution </w:t>
      </w:r>
      <w:r w:rsidR="000452FF">
        <w:rPr>
          <w:rFonts w:cs="Arial"/>
          <w:sz w:val="18"/>
          <w:szCs w:val="18"/>
        </w:rPr>
        <w:t>with respect</w:t>
      </w:r>
      <w:r w:rsidR="00D67D94">
        <w:rPr>
          <w:rFonts w:cs="Arial"/>
          <w:sz w:val="18"/>
          <w:szCs w:val="18"/>
        </w:rPr>
        <w:t xml:space="preserve"> to</w:t>
      </w:r>
      <w:r w:rsidR="000452FF">
        <w:rPr>
          <w:rFonts w:cs="Arial"/>
          <w:sz w:val="18"/>
          <w:szCs w:val="18"/>
        </w:rPr>
        <w:t xml:space="preserve"> </w:t>
      </w:r>
      <w:r w:rsidR="003D5374" w:rsidRPr="00B11156">
        <w:rPr>
          <w:rFonts w:cs="Arial"/>
          <w:sz w:val="18"/>
          <w:szCs w:val="18"/>
        </w:rPr>
        <w:t>conventional methods.</w:t>
      </w:r>
    </w:p>
    <w:p w14:paraId="014D148B" w14:textId="0519C4B5" w:rsidR="003D5374" w:rsidRDefault="003D5374" w:rsidP="003D5374">
      <w:pPr>
        <w:pStyle w:val="NormaleWeb"/>
        <w:spacing w:line="240" w:lineRule="auto"/>
        <w:contextualSpacing/>
        <w:rPr>
          <w:rFonts w:cs="Arial"/>
          <w:sz w:val="18"/>
          <w:szCs w:val="18"/>
        </w:rPr>
      </w:pPr>
    </w:p>
    <w:p w14:paraId="7EA30C9A" w14:textId="67CF9F73" w:rsidR="007F5EBB" w:rsidRPr="007F5EBB" w:rsidRDefault="003D5374" w:rsidP="00C2723F">
      <w:pPr>
        <w:pStyle w:val="CETHeading1"/>
        <w:spacing w:before="0" w:after="0"/>
        <w:contextualSpacing/>
      </w:pPr>
      <w:r w:rsidRPr="00E660F2">
        <w:t xml:space="preserve">Materials and methods </w:t>
      </w:r>
    </w:p>
    <w:p w14:paraId="147866C0" w14:textId="36B4BA8E" w:rsidR="003D5374" w:rsidRPr="00756CEE" w:rsidRDefault="003D5374" w:rsidP="00C2723F">
      <w:pPr>
        <w:contextualSpacing/>
        <w:jc w:val="both"/>
        <w:rPr>
          <w:rFonts w:ascii="Arial" w:hAnsi="Arial" w:cs="Arial"/>
          <w:b/>
          <w:bCs/>
          <w:sz w:val="18"/>
          <w:szCs w:val="18"/>
          <w:lang w:val="en-US"/>
        </w:rPr>
      </w:pPr>
      <w:r w:rsidRPr="00E660F2">
        <w:rPr>
          <w:rFonts w:ascii="Arial" w:hAnsi="Arial" w:cs="Arial"/>
          <w:b/>
          <w:bCs/>
          <w:sz w:val="18"/>
          <w:szCs w:val="18"/>
          <w:lang w:val="en-US"/>
        </w:rPr>
        <w:t>2.1 Microorganism and culture media</w:t>
      </w:r>
    </w:p>
    <w:p w14:paraId="6A0A9FCD" w14:textId="1491933B" w:rsidR="003D5374" w:rsidRPr="008534DB" w:rsidRDefault="003D5374" w:rsidP="007F5EBB">
      <w:pPr>
        <w:spacing w:before="100" w:beforeAutospacing="1" w:after="100" w:afterAutospacing="1"/>
        <w:contextualSpacing/>
        <w:jc w:val="both"/>
        <w:rPr>
          <w:rFonts w:ascii="Arial" w:hAnsi="Arial" w:cs="Arial"/>
          <w:sz w:val="18"/>
          <w:szCs w:val="18"/>
          <w:lang w:val="en-US"/>
        </w:rPr>
      </w:pPr>
      <w:r w:rsidRPr="008534DB">
        <w:rPr>
          <w:rFonts w:ascii="Arial" w:hAnsi="Arial" w:cs="Arial"/>
          <w:sz w:val="18"/>
          <w:szCs w:val="18"/>
          <w:lang w:val="en-US"/>
        </w:rPr>
        <w:t xml:space="preserve">The </w:t>
      </w:r>
      <w:r w:rsidR="004D03CD">
        <w:rPr>
          <w:rFonts w:ascii="Arial" w:hAnsi="Arial" w:cs="Arial"/>
          <w:sz w:val="18"/>
          <w:szCs w:val="18"/>
          <w:lang w:val="en-US"/>
        </w:rPr>
        <w:t xml:space="preserve">experimental </w:t>
      </w:r>
      <w:r w:rsidR="000452FF">
        <w:rPr>
          <w:rFonts w:ascii="Arial" w:hAnsi="Arial" w:cs="Arial"/>
          <w:sz w:val="18"/>
          <w:szCs w:val="18"/>
          <w:lang w:val="en-US"/>
        </w:rPr>
        <w:t xml:space="preserve">tests </w:t>
      </w:r>
      <w:r w:rsidRPr="008534DB">
        <w:rPr>
          <w:rFonts w:ascii="Arial" w:hAnsi="Arial" w:cs="Arial"/>
          <w:sz w:val="18"/>
          <w:szCs w:val="18"/>
          <w:lang w:val="en-US"/>
        </w:rPr>
        <w:t xml:space="preserve">were carried out </w:t>
      </w:r>
      <w:r w:rsidR="000452FF">
        <w:rPr>
          <w:rFonts w:ascii="Arial" w:hAnsi="Arial" w:cs="Arial"/>
          <w:sz w:val="18"/>
          <w:szCs w:val="18"/>
          <w:lang w:val="en-US"/>
        </w:rPr>
        <w:t xml:space="preserve">with </w:t>
      </w:r>
      <w:proofErr w:type="spellStart"/>
      <w:r w:rsidRPr="008534DB">
        <w:rPr>
          <w:rFonts w:ascii="Arial" w:hAnsi="Arial" w:cs="Arial"/>
          <w:i/>
          <w:iCs/>
          <w:sz w:val="18"/>
          <w:szCs w:val="18"/>
          <w:lang w:val="en-US"/>
        </w:rPr>
        <w:t>Thermotoga</w:t>
      </w:r>
      <w:proofErr w:type="spellEnd"/>
      <w:r w:rsidRPr="008534DB">
        <w:rPr>
          <w:rFonts w:ascii="Arial" w:hAnsi="Arial" w:cs="Arial"/>
          <w:i/>
          <w:iCs/>
          <w:sz w:val="18"/>
          <w:szCs w:val="18"/>
          <w:lang w:val="en-US"/>
        </w:rPr>
        <w:t xml:space="preserve"> </w:t>
      </w:r>
      <w:proofErr w:type="spellStart"/>
      <w:r w:rsidRPr="008534DB">
        <w:rPr>
          <w:rFonts w:ascii="Arial" w:hAnsi="Arial" w:cs="Arial"/>
          <w:i/>
          <w:iCs/>
          <w:sz w:val="18"/>
          <w:szCs w:val="18"/>
          <w:lang w:val="en-US"/>
        </w:rPr>
        <w:t>neapolitana</w:t>
      </w:r>
      <w:proofErr w:type="spellEnd"/>
      <w:r w:rsidRPr="008534DB">
        <w:rPr>
          <w:rFonts w:ascii="Arial" w:hAnsi="Arial" w:cs="Arial"/>
          <w:sz w:val="18"/>
          <w:szCs w:val="18"/>
          <w:lang w:val="en-US"/>
        </w:rPr>
        <w:t xml:space="preserve"> DSM 4359, supplied by the Deutsche </w:t>
      </w:r>
      <w:proofErr w:type="spellStart"/>
      <w:r w:rsidRPr="008534DB">
        <w:rPr>
          <w:rFonts w:ascii="Arial" w:hAnsi="Arial" w:cs="Arial"/>
          <w:sz w:val="18"/>
          <w:szCs w:val="18"/>
          <w:lang w:val="en-US"/>
        </w:rPr>
        <w:t>Sammlung</w:t>
      </w:r>
      <w:proofErr w:type="spellEnd"/>
      <w:r w:rsidRPr="008534DB">
        <w:rPr>
          <w:rFonts w:ascii="Arial" w:hAnsi="Arial" w:cs="Arial"/>
          <w:sz w:val="18"/>
          <w:szCs w:val="18"/>
          <w:lang w:val="en-US"/>
        </w:rPr>
        <w:t xml:space="preserve"> von </w:t>
      </w:r>
      <w:proofErr w:type="spellStart"/>
      <w:r w:rsidRPr="008534DB">
        <w:rPr>
          <w:rFonts w:ascii="Arial" w:hAnsi="Arial" w:cs="Arial"/>
          <w:sz w:val="18"/>
          <w:szCs w:val="18"/>
          <w:lang w:val="en-US"/>
        </w:rPr>
        <w:t>Mikroorganismen</w:t>
      </w:r>
      <w:proofErr w:type="spellEnd"/>
      <w:r w:rsidRPr="008534DB">
        <w:rPr>
          <w:rFonts w:ascii="Arial" w:hAnsi="Arial" w:cs="Arial"/>
          <w:sz w:val="18"/>
          <w:szCs w:val="18"/>
          <w:lang w:val="en-US"/>
        </w:rPr>
        <w:t xml:space="preserve"> und </w:t>
      </w:r>
      <w:proofErr w:type="spellStart"/>
      <w:r w:rsidRPr="008534DB">
        <w:rPr>
          <w:rFonts w:ascii="Arial" w:hAnsi="Arial" w:cs="Arial"/>
          <w:sz w:val="18"/>
          <w:szCs w:val="18"/>
          <w:lang w:val="en-US"/>
        </w:rPr>
        <w:t>Zellkulturen</w:t>
      </w:r>
      <w:proofErr w:type="spellEnd"/>
      <w:r w:rsidRPr="008534DB">
        <w:rPr>
          <w:rFonts w:ascii="Arial" w:hAnsi="Arial" w:cs="Arial"/>
          <w:sz w:val="18"/>
          <w:szCs w:val="18"/>
          <w:lang w:val="en-US"/>
        </w:rPr>
        <w:t xml:space="preserve"> (DSMZ) (Braunschweig, Germany). Pyrex glass bottles</w:t>
      </w:r>
      <w:r w:rsidR="00E25B61">
        <w:rPr>
          <w:rFonts w:ascii="Arial" w:hAnsi="Arial" w:cs="Arial"/>
          <w:sz w:val="18"/>
          <w:szCs w:val="18"/>
          <w:lang w:val="en-US"/>
        </w:rPr>
        <w:t xml:space="preserve"> (</w:t>
      </w:r>
      <w:r w:rsidR="00E25B61" w:rsidRPr="008534DB">
        <w:rPr>
          <w:rFonts w:ascii="Arial" w:hAnsi="Arial" w:cs="Arial"/>
          <w:sz w:val="18"/>
          <w:szCs w:val="18"/>
          <w:lang w:val="en-US"/>
        </w:rPr>
        <w:t>100 mL</w:t>
      </w:r>
      <w:r w:rsidR="00E25B61">
        <w:rPr>
          <w:rFonts w:ascii="Arial" w:hAnsi="Arial" w:cs="Arial"/>
          <w:sz w:val="18"/>
          <w:szCs w:val="18"/>
          <w:lang w:val="en-US"/>
        </w:rPr>
        <w:t>)</w:t>
      </w:r>
      <w:r w:rsidRPr="008534DB">
        <w:rPr>
          <w:rFonts w:ascii="Arial" w:hAnsi="Arial" w:cs="Arial"/>
          <w:sz w:val="18"/>
          <w:szCs w:val="18"/>
          <w:lang w:val="en-US"/>
        </w:rPr>
        <w:t xml:space="preserve"> </w:t>
      </w:r>
      <w:r w:rsidR="00D67D94">
        <w:rPr>
          <w:rFonts w:ascii="Arial" w:hAnsi="Arial" w:cs="Arial"/>
          <w:sz w:val="18"/>
          <w:szCs w:val="18"/>
          <w:lang w:val="en-US"/>
        </w:rPr>
        <w:t>were filled with</w:t>
      </w:r>
      <w:r w:rsidRPr="008534DB">
        <w:rPr>
          <w:rFonts w:ascii="Arial" w:hAnsi="Arial" w:cs="Arial"/>
          <w:sz w:val="18"/>
          <w:szCs w:val="18"/>
          <w:lang w:val="en-US"/>
        </w:rPr>
        <w:t xml:space="preserve"> 50 mL of culture medium. The composition of the culture medium was reported by Lanzillo et al. (2025).</w:t>
      </w:r>
    </w:p>
    <w:p w14:paraId="4A9390D2" w14:textId="596FE418" w:rsidR="008534DB" w:rsidRPr="008534DB" w:rsidRDefault="003D5374" w:rsidP="000452FF">
      <w:pPr>
        <w:contextualSpacing/>
        <w:jc w:val="both"/>
        <w:rPr>
          <w:rFonts w:ascii="Arial" w:hAnsi="Arial" w:cs="Arial"/>
          <w:sz w:val="18"/>
          <w:szCs w:val="18"/>
          <w:lang w:val="en-US"/>
        </w:rPr>
      </w:pPr>
      <w:r w:rsidRPr="008534DB">
        <w:rPr>
          <w:rFonts w:ascii="Arial" w:hAnsi="Arial" w:cs="Arial"/>
          <w:sz w:val="18"/>
          <w:szCs w:val="18"/>
          <w:lang w:val="en-US"/>
        </w:rPr>
        <w:t>The culture medium was prepared in bottles previously degassed with N</w:t>
      </w:r>
      <w:r w:rsidRPr="008534DB">
        <w:rPr>
          <w:rFonts w:ascii="Cambria Math" w:hAnsi="Cambria Math" w:cs="Cambria Math"/>
          <w:sz w:val="18"/>
          <w:szCs w:val="18"/>
          <w:lang w:val="en-US"/>
        </w:rPr>
        <w:t>₂</w:t>
      </w:r>
      <w:r w:rsidRPr="008534DB">
        <w:rPr>
          <w:rFonts w:ascii="Arial" w:hAnsi="Arial" w:cs="Arial"/>
          <w:sz w:val="18"/>
          <w:szCs w:val="18"/>
          <w:lang w:val="en-US"/>
        </w:rPr>
        <w:t xml:space="preserve"> to </w:t>
      </w:r>
      <w:r w:rsidR="000452FF">
        <w:rPr>
          <w:rFonts w:ascii="Arial" w:hAnsi="Arial" w:cs="Arial"/>
          <w:sz w:val="18"/>
          <w:szCs w:val="18"/>
          <w:lang w:val="en-US"/>
        </w:rPr>
        <w:t xml:space="preserve">provide </w:t>
      </w:r>
      <w:r w:rsidRPr="008534DB">
        <w:rPr>
          <w:rFonts w:ascii="Arial" w:hAnsi="Arial" w:cs="Arial"/>
          <w:sz w:val="18"/>
          <w:szCs w:val="18"/>
          <w:lang w:val="en-US"/>
        </w:rPr>
        <w:t>anaerobic conditions</w:t>
      </w:r>
      <w:r w:rsidR="00E81EEE" w:rsidRPr="008534DB">
        <w:rPr>
          <w:rFonts w:ascii="Arial" w:hAnsi="Arial" w:cs="Arial"/>
          <w:sz w:val="18"/>
          <w:szCs w:val="18"/>
          <w:lang w:val="en-US"/>
        </w:rPr>
        <w:t xml:space="preserve">. The </w:t>
      </w:r>
      <w:r w:rsidRPr="008534DB">
        <w:rPr>
          <w:rFonts w:ascii="Arial" w:hAnsi="Arial" w:cs="Arial"/>
          <w:sz w:val="18"/>
          <w:szCs w:val="18"/>
          <w:lang w:val="en-US"/>
        </w:rPr>
        <w:t>bottles were sealed with Viton stoppers</w:t>
      </w:r>
      <w:r w:rsidR="000452FF">
        <w:rPr>
          <w:rFonts w:ascii="Arial" w:hAnsi="Arial" w:cs="Arial"/>
          <w:sz w:val="18"/>
          <w:szCs w:val="18"/>
          <w:lang w:val="en-US"/>
        </w:rPr>
        <w:t xml:space="preserve">, </w:t>
      </w:r>
      <w:r w:rsidRPr="008534DB">
        <w:rPr>
          <w:rFonts w:ascii="Arial" w:hAnsi="Arial" w:cs="Arial"/>
          <w:sz w:val="18"/>
          <w:szCs w:val="18"/>
          <w:lang w:val="en-US"/>
        </w:rPr>
        <w:t xml:space="preserve">secured with </w:t>
      </w:r>
      <w:r w:rsidRPr="00D67D94">
        <w:rPr>
          <w:rFonts w:ascii="Arial" w:hAnsi="Arial" w:cs="Arial"/>
          <w:sz w:val="18"/>
          <w:szCs w:val="18"/>
          <w:lang w:val="en-GB"/>
        </w:rPr>
        <w:t>alumin</w:t>
      </w:r>
      <w:r w:rsidR="00D67D94" w:rsidRPr="00D67D94">
        <w:rPr>
          <w:rFonts w:ascii="Arial" w:hAnsi="Arial" w:cs="Arial"/>
          <w:sz w:val="18"/>
          <w:szCs w:val="18"/>
          <w:lang w:val="en-GB"/>
        </w:rPr>
        <w:t>i</w:t>
      </w:r>
      <w:r w:rsidRPr="00D67D94">
        <w:rPr>
          <w:rFonts w:ascii="Arial" w:hAnsi="Arial" w:cs="Arial"/>
          <w:sz w:val="18"/>
          <w:szCs w:val="18"/>
          <w:lang w:val="en-GB"/>
        </w:rPr>
        <w:t>um</w:t>
      </w:r>
      <w:r w:rsidRPr="008534DB">
        <w:rPr>
          <w:rFonts w:ascii="Arial" w:hAnsi="Arial" w:cs="Arial"/>
          <w:sz w:val="18"/>
          <w:szCs w:val="18"/>
          <w:lang w:val="en-US"/>
        </w:rPr>
        <w:t xml:space="preserve"> </w:t>
      </w:r>
      <w:r w:rsidR="00E81EEE" w:rsidRPr="008534DB">
        <w:rPr>
          <w:rFonts w:ascii="Arial" w:hAnsi="Arial" w:cs="Arial"/>
          <w:sz w:val="18"/>
          <w:szCs w:val="18"/>
          <w:lang w:val="en-US"/>
        </w:rPr>
        <w:t>crimps and</w:t>
      </w:r>
      <w:r w:rsidRPr="008534DB">
        <w:rPr>
          <w:rFonts w:ascii="Arial" w:hAnsi="Arial" w:cs="Arial"/>
          <w:sz w:val="18"/>
          <w:szCs w:val="18"/>
          <w:lang w:val="en-US"/>
        </w:rPr>
        <w:t xml:space="preserve"> sterilized by autoclaving at 120°C for 20 </w:t>
      </w:r>
      <w:r w:rsidR="00E81EEE" w:rsidRPr="008534DB">
        <w:rPr>
          <w:rFonts w:ascii="Arial" w:hAnsi="Arial" w:cs="Arial"/>
          <w:sz w:val="18"/>
          <w:szCs w:val="18"/>
          <w:lang w:val="en-US"/>
        </w:rPr>
        <w:t>min</w:t>
      </w:r>
      <w:r w:rsidRPr="008534DB">
        <w:rPr>
          <w:rFonts w:ascii="Arial" w:hAnsi="Arial" w:cs="Arial"/>
          <w:sz w:val="18"/>
          <w:szCs w:val="18"/>
          <w:lang w:val="en-US"/>
        </w:rPr>
        <w:t>. The strain was initially grown in acclimated pre-cultures incubated in a static oven at 75°C for 24 h to ensure sufficient biomass growth.</w:t>
      </w:r>
      <w:r w:rsidR="000452FF">
        <w:rPr>
          <w:rFonts w:ascii="Arial" w:hAnsi="Arial" w:cs="Arial"/>
          <w:sz w:val="18"/>
          <w:szCs w:val="18"/>
          <w:lang w:val="en-US"/>
        </w:rPr>
        <w:t xml:space="preserve"> As </w:t>
      </w:r>
      <w:proofErr w:type="gramStart"/>
      <w:r w:rsidR="000452FF">
        <w:rPr>
          <w:rFonts w:ascii="Arial" w:hAnsi="Arial" w:cs="Arial"/>
          <w:sz w:val="18"/>
          <w:szCs w:val="18"/>
          <w:lang w:val="en-US"/>
        </w:rPr>
        <w:t>the</w:t>
      </w:r>
      <w:r w:rsidR="008534DB" w:rsidRPr="008534DB">
        <w:rPr>
          <w:rFonts w:ascii="Arial" w:hAnsi="Arial" w:cs="Arial"/>
          <w:sz w:val="18"/>
          <w:szCs w:val="18"/>
          <w:lang w:val="en-US"/>
        </w:rPr>
        <w:t xml:space="preserve"> microbial</w:t>
      </w:r>
      <w:proofErr w:type="gramEnd"/>
      <w:r w:rsidR="008534DB" w:rsidRPr="008534DB">
        <w:rPr>
          <w:rFonts w:ascii="Arial" w:hAnsi="Arial" w:cs="Arial"/>
          <w:sz w:val="18"/>
          <w:szCs w:val="18"/>
          <w:lang w:val="en-US"/>
        </w:rPr>
        <w:t xml:space="preserve"> concentration </w:t>
      </w:r>
      <w:r w:rsidR="000452FF">
        <w:rPr>
          <w:rFonts w:ascii="Arial" w:hAnsi="Arial" w:cs="Arial"/>
          <w:sz w:val="18"/>
          <w:szCs w:val="18"/>
          <w:lang w:val="en-US"/>
        </w:rPr>
        <w:t xml:space="preserve">approached </w:t>
      </w:r>
      <w:r w:rsidR="008534DB" w:rsidRPr="008534DB">
        <w:rPr>
          <w:rFonts w:ascii="Arial" w:hAnsi="Arial" w:cs="Arial"/>
          <w:sz w:val="18"/>
          <w:szCs w:val="18"/>
          <w:lang w:val="en-US"/>
        </w:rPr>
        <w:t xml:space="preserve">0.4 </w:t>
      </w:r>
      <w:proofErr w:type="spellStart"/>
      <w:r w:rsidR="00327C0B" w:rsidRPr="008534DB">
        <w:rPr>
          <w:rFonts w:ascii="Arial" w:hAnsi="Arial" w:cs="Arial"/>
          <w:sz w:val="18"/>
          <w:szCs w:val="18"/>
          <w:lang w:val="en-US"/>
        </w:rPr>
        <w:t>g</w:t>
      </w:r>
      <w:r w:rsidR="00327C0B" w:rsidRPr="00327C0B">
        <w:rPr>
          <w:rFonts w:ascii="Arial" w:hAnsi="Arial" w:cs="Arial"/>
          <w:sz w:val="18"/>
          <w:szCs w:val="18"/>
          <w:vertAlign w:val="subscript"/>
          <w:lang w:val="en-US"/>
        </w:rPr>
        <w:t>DM</w:t>
      </w:r>
      <w:proofErr w:type="spellEnd"/>
      <w:r w:rsidR="00327C0B" w:rsidRPr="008534DB">
        <w:rPr>
          <w:rFonts w:ascii="Arial" w:hAnsi="Arial" w:cs="Arial"/>
          <w:sz w:val="18"/>
          <w:szCs w:val="18"/>
          <w:lang w:val="en-US"/>
        </w:rPr>
        <w:t>/L</w:t>
      </w:r>
      <w:r w:rsidR="008534DB" w:rsidRPr="008534DB">
        <w:rPr>
          <w:rFonts w:ascii="Arial" w:hAnsi="Arial" w:cs="Arial"/>
          <w:sz w:val="18"/>
          <w:szCs w:val="18"/>
          <w:lang w:val="en-US"/>
        </w:rPr>
        <w:t xml:space="preserve">, </w:t>
      </w:r>
      <w:proofErr w:type="gramStart"/>
      <w:r w:rsidR="008534DB" w:rsidRPr="008534DB">
        <w:rPr>
          <w:rFonts w:ascii="Arial" w:hAnsi="Arial" w:cs="Arial"/>
          <w:sz w:val="18"/>
          <w:szCs w:val="18"/>
          <w:lang w:val="en-US"/>
        </w:rPr>
        <w:t>the pre</w:t>
      </w:r>
      <w:proofErr w:type="gramEnd"/>
      <w:r w:rsidR="008534DB" w:rsidRPr="008534DB">
        <w:rPr>
          <w:rFonts w:ascii="Arial" w:hAnsi="Arial" w:cs="Arial"/>
          <w:sz w:val="18"/>
          <w:szCs w:val="18"/>
          <w:lang w:val="en-US"/>
        </w:rPr>
        <w:t xml:space="preserve">-cultures were used to inoculate both the </w:t>
      </w:r>
      <w:r w:rsidR="00E25B61">
        <w:rPr>
          <w:rFonts w:ascii="Arial" w:hAnsi="Arial" w:cs="Arial"/>
          <w:sz w:val="18"/>
          <w:szCs w:val="18"/>
          <w:lang w:val="en-US"/>
        </w:rPr>
        <w:t xml:space="preserve">batch </w:t>
      </w:r>
      <w:r w:rsidR="008534DB" w:rsidRPr="008534DB">
        <w:rPr>
          <w:rFonts w:ascii="Arial" w:hAnsi="Arial" w:cs="Arial"/>
          <w:sz w:val="18"/>
          <w:szCs w:val="18"/>
          <w:lang w:val="en-US"/>
        </w:rPr>
        <w:t xml:space="preserve">bottles and the reactor </w:t>
      </w:r>
      <w:r w:rsidR="000452FF">
        <w:rPr>
          <w:rFonts w:ascii="Arial" w:hAnsi="Arial" w:cs="Arial"/>
          <w:sz w:val="18"/>
          <w:szCs w:val="18"/>
          <w:lang w:val="en-US"/>
        </w:rPr>
        <w:t xml:space="preserve">used </w:t>
      </w:r>
      <w:r w:rsidR="008534DB" w:rsidRPr="008534DB">
        <w:rPr>
          <w:rFonts w:ascii="Arial" w:hAnsi="Arial" w:cs="Arial"/>
          <w:sz w:val="18"/>
          <w:szCs w:val="18"/>
          <w:lang w:val="en-US"/>
        </w:rPr>
        <w:t xml:space="preserve">in the </w:t>
      </w:r>
      <w:r w:rsidR="000452FF">
        <w:rPr>
          <w:rFonts w:ascii="Arial" w:hAnsi="Arial" w:cs="Arial"/>
          <w:sz w:val="18"/>
          <w:szCs w:val="18"/>
          <w:lang w:val="en-US"/>
        </w:rPr>
        <w:t>fermentation campaign</w:t>
      </w:r>
      <w:r w:rsidR="008534DB" w:rsidRPr="008534DB">
        <w:rPr>
          <w:rFonts w:ascii="Arial" w:hAnsi="Arial" w:cs="Arial"/>
          <w:sz w:val="18"/>
          <w:szCs w:val="18"/>
          <w:lang w:val="en-US"/>
        </w:rPr>
        <w:t>.</w:t>
      </w:r>
    </w:p>
    <w:p w14:paraId="028CD250" w14:textId="77777777" w:rsidR="00517057" w:rsidRPr="003D5374" w:rsidRDefault="00517057" w:rsidP="003D5374">
      <w:pPr>
        <w:contextualSpacing/>
        <w:jc w:val="both"/>
        <w:rPr>
          <w:rFonts w:ascii="Arial" w:hAnsi="Arial" w:cs="Arial"/>
          <w:sz w:val="18"/>
          <w:szCs w:val="18"/>
          <w:lang w:val="en-US"/>
        </w:rPr>
      </w:pPr>
    </w:p>
    <w:p w14:paraId="156FB447" w14:textId="711F3367" w:rsidR="00517057" w:rsidRDefault="003D5374" w:rsidP="00517057">
      <w:pPr>
        <w:pStyle w:val="NormaleWeb"/>
        <w:spacing w:line="240" w:lineRule="auto"/>
        <w:contextualSpacing/>
        <w:rPr>
          <w:rFonts w:cs="Arial"/>
          <w:b/>
          <w:bCs/>
          <w:sz w:val="18"/>
          <w:szCs w:val="18"/>
        </w:rPr>
      </w:pPr>
      <w:r w:rsidRPr="003D5374">
        <w:rPr>
          <w:rFonts w:cs="Arial"/>
          <w:sz w:val="18"/>
          <w:szCs w:val="18"/>
          <w:lang w:val="en-US"/>
        </w:rPr>
        <w:t xml:space="preserve"> </w:t>
      </w:r>
      <w:r w:rsidRPr="003D5374">
        <w:rPr>
          <w:rFonts w:cs="Arial"/>
          <w:b/>
          <w:bCs/>
          <w:sz w:val="18"/>
          <w:szCs w:val="18"/>
        </w:rPr>
        <w:t xml:space="preserve">2.2 Batch tests </w:t>
      </w:r>
      <w:r w:rsidR="00E13D35">
        <w:rPr>
          <w:rFonts w:cs="Arial"/>
          <w:b/>
          <w:bCs/>
          <w:sz w:val="18"/>
          <w:szCs w:val="18"/>
        </w:rPr>
        <w:t>for biofilm production</w:t>
      </w:r>
    </w:p>
    <w:p w14:paraId="289E3EC0" w14:textId="6BA06205" w:rsidR="002B2D7A" w:rsidRDefault="003D5374" w:rsidP="002B2D7A">
      <w:pPr>
        <w:pStyle w:val="NormaleWeb"/>
        <w:spacing w:line="240" w:lineRule="auto"/>
        <w:contextualSpacing/>
        <w:rPr>
          <w:rFonts w:cs="Arial"/>
          <w:sz w:val="18"/>
          <w:szCs w:val="18"/>
          <w:lang w:val="en-US" w:eastAsia="it-IT"/>
        </w:rPr>
      </w:pPr>
      <w:r w:rsidRPr="00035DD6">
        <w:rPr>
          <w:rFonts w:cs="Arial"/>
          <w:sz w:val="18"/>
          <w:szCs w:val="18"/>
          <w:lang w:val="en-US" w:eastAsia="it-IT"/>
        </w:rPr>
        <w:t xml:space="preserve">Preliminary </w:t>
      </w:r>
      <w:r w:rsidR="000452FF">
        <w:rPr>
          <w:rFonts w:cs="Arial"/>
          <w:sz w:val="18"/>
          <w:szCs w:val="18"/>
          <w:lang w:val="en-US" w:eastAsia="it-IT"/>
        </w:rPr>
        <w:t>fermentation</w:t>
      </w:r>
      <w:r w:rsidR="00113615">
        <w:rPr>
          <w:rFonts w:cs="Arial"/>
          <w:sz w:val="18"/>
          <w:szCs w:val="18"/>
          <w:lang w:val="en-US" w:eastAsia="it-IT"/>
        </w:rPr>
        <w:t>s</w:t>
      </w:r>
      <w:r w:rsidR="000452FF">
        <w:rPr>
          <w:rFonts w:cs="Arial"/>
          <w:sz w:val="18"/>
          <w:szCs w:val="18"/>
          <w:lang w:val="en-US" w:eastAsia="it-IT"/>
        </w:rPr>
        <w:t xml:space="preserve"> </w:t>
      </w:r>
      <w:r w:rsidRPr="00035DD6">
        <w:rPr>
          <w:rFonts w:cs="Arial"/>
          <w:sz w:val="18"/>
          <w:szCs w:val="18"/>
          <w:lang w:val="en-US" w:eastAsia="it-IT"/>
        </w:rPr>
        <w:t xml:space="preserve">were </w:t>
      </w:r>
      <w:r w:rsidR="000452FF">
        <w:rPr>
          <w:rFonts w:cs="Arial"/>
          <w:sz w:val="18"/>
          <w:szCs w:val="18"/>
          <w:lang w:val="en-US" w:eastAsia="it-IT"/>
        </w:rPr>
        <w:t xml:space="preserve">carried out under batch conditions </w:t>
      </w:r>
      <w:r w:rsidRPr="00035DD6">
        <w:rPr>
          <w:rFonts w:cs="Arial"/>
          <w:sz w:val="18"/>
          <w:szCs w:val="18"/>
          <w:lang w:val="en-US" w:eastAsia="it-IT"/>
        </w:rPr>
        <w:t xml:space="preserve">to </w:t>
      </w:r>
      <w:r w:rsidR="000452FF">
        <w:rPr>
          <w:rFonts w:cs="Arial"/>
          <w:sz w:val="18"/>
          <w:szCs w:val="18"/>
          <w:lang w:val="en-US" w:eastAsia="it-IT"/>
        </w:rPr>
        <w:t xml:space="preserve">test the propensity of </w:t>
      </w:r>
      <w:r w:rsidRPr="00035DD6">
        <w:rPr>
          <w:rFonts w:cs="Arial"/>
          <w:sz w:val="18"/>
          <w:szCs w:val="18"/>
          <w:lang w:val="en-US" w:eastAsia="it-IT"/>
        </w:rPr>
        <w:t xml:space="preserve">different solid </w:t>
      </w:r>
      <w:r w:rsidR="000452FF">
        <w:rPr>
          <w:rFonts w:cs="Arial"/>
          <w:sz w:val="18"/>
          <w:szCs w:val="18"/>
          <w:lang w:val="en-US" w:eastAsia="it-IT"/>
        </w:rPr>
        <w:t>carriers</w:t>
      </w:r>
      <w:r w:rsidR="000452FF" w:rsidRPr="00035DD6">
        <w:rPr>
          <w:rFonts w:cs="Arial"/>
          <w:sz w:val="18"/>
          <w:szCs w:val="18"/>
          <w:lang w:val="en-US" w:eastAsia="it-IT"/>
        </w:rPr>
        <w:t xml:space="preserve"> </w:t>
      </w:r>
      <w:r w:rsidR="000452FF">
        <w:rPr>
          <w:rFonts w:cs="Arial"/>
          <w:sz w:val="18"/>
          <w:szCs w:val="18"/>
          <w:lang w:val="en-US" w:eastAsia="it-IT"/>
        </w:rPr>
        <w:t xml:space="preserve">to support </w:t>
      </w:r>
      <w:r w:rsidRPr="00035DD6">
        <w:rPr>
          <w:rFonts w:cs="Arial"/>
          <w:i/>
          <w:iCs/>
          <w:sz w:val="18"/>
          <w:szCs w:val="18"/>
          <w:lang w:val="en-US" w:eastAsia="it-IT"/>
        </w:rPr>
        <w:t xml:space="preserve">T. </w:t>
      </w:r>
      <w:proofErr w:type="spellStart"/>
      <w:r w:rsidRPr="00035DD6">
        <w:rPr>
          <w:rFonts w:cs="Arial"/>
          <w:i/>
          <w:iCs/>
          <w:sz w:val="18"/>
          <w:szCs w:val="18"/>
          <w:lang w:val="en-US" w:eastAsia="it-IT"/>
        </w:rPr>
        <w:t>neapolitana</w:t>
      </w:r>
      <w:proofErr w:type="spellEnd"/>
      <w:r w:rsidRPr="00035DD6">
        <w:rPr>
          <w:rFonts w:cs="Arial"/>
          <w:sz w:val="18"/>
          <w:szCs w:val="18"/>
          <w:lang w:val="en-US" w:eastAsia="it-IT"/>
        </w:rPr>
        <w:t xml:space="preserve"> biofilm formation. The </w:t>
      </w:r>
      <w:r w:rsidR="000452FF">
        <w:rPr>
          <w:rFonts w:cs="Arial"/>
          <w:sz w:val="18"/>
          <w:szCs w:val="18"/>
          <w:lang w:val="en-US" w:eastAsia="it-IT"/>
        </w:rPr>
        <w:t xml:space="preserve">fermentations </w:t>
      </w:r>
      <w:r w:rsidRPr="00035DD6">
        <w:rPr>
          <w:rFonts w:cs="Arial"/>
          <w:sz w:val="18"/>
          <w:szCs w:val="18"/>
          <w:lang w:val="en-US" w:eastAsia="it-IT"/>
        </w:rPr>
        <w:t xml:space="preserve">were </w:t>
      </w:r>
      <w:r w:rsidR="00CB5D61">
        <w:rPr>
          <w:rFonts w:cs="Arial"/>
          <w:sz w:val="18"/>
          <w:szCs w:val="18"/>
          <w:lang w:val="en-US" w:eastAsia="it-IT"/>
        </w:rPr>
        <w:t>conducted</w:t>
      </w:r>
      <w:r w:rsidR="000452FF">
        <w:rPr>
          <w:rFonts w:cs="Arial"/>
          <w:sz w:val="18"/>
          <w:szCs w:val="18"/>
          <w:lang w:val="en-US" w:eastAsia="it-IT"/>
        </w:rPr>
        <w:t xml:space="preserve"> </w:t>
      </w:r>
      <w:r w:rsidRPr="00035DD6">
        <w:rPr>
          <w:rFonts w:cs="Arial"/>
          <w:sz w:val="18"/>
          <w:szCs w:val="18"/>
          <w:lang w:val="en-US" w:eastAsia="it-IT"/>
        </w:rPr>
        <w:t>in 100 mL bottles containing 30 mL of fermentation medium</w:t>
      </w:r>
      <w:r w:rsidR="000452FF">
        <w:rPr>
          <w:rFonts w:cs="Arial"/>
          <w:sz w:val="18"/>
          <w:szCs w:val="18"/>
          <w:lang w:val="en-US" w:eastAsia="it-IT"/>
        </w:rPr>
        <w:t>. T</w:t>
      </w:r>
      <w:r w:rsidRPr="00035DD6">
        <w:rPr>
          <w:rFonts w:cs="Arial"/>
          <w:sz w:val="18"/>
          <w:szCs w:val="18"/>
          <w:lang w:val="en-US" w:eastAsia="it-IT"/>
        </w:rPr>
        <w:t xml:space="preserve">he solid </w:t>
      </w:r>
      <w:r w:rsidR="000452FF">
        <w:rPr>
          <w:rFonts w:cs="Arial"/>
          <w:sz w:val="18"/>
          <w:szCs w:val="18"/>
          <w:lang w:val="en-US" w:eastAsia="it-IT"/>
        </w:rPr>
        <w:t>carriers</w:t>
      </w:r>
      <w:r w:rsidR="000452FF" w:rsidRPr="00035DD6">
        <w:rPr>
          <w:rFonts w:cs="Arial"/>
          <w:sz w:val="18"/>
          <w:szCs w:val="18"/>
          <w:lang w:val="en-US" w:eastAsia="it-IT"/>
        </w:rPr>
        <w:t xml:space="preserve"> </w:t>
      </w:r>
      <w:r w:rsidRPr="00035DD6">
        <w:rPr>
          <w:rFonts w:cs="Arial"/>
          <w:sz w:val="18"/>
          <w:szCs w:val="18"/>
          <w:lang w:val="en-US" w:eastAsia="it-IT"/>
        </w:rPr>
        <w:t xml:space="preserve">were </w:t>
      </w:r>
      <w:r w:rsidR="000452FF">
        <w:rPr>
          <w:rFonts w:cs="Arial"/>
          <w:sz w:val="18"/>
          <w:szCs w:val="18"/>
          <w:lang w:val="en-US" w:eastAsia="it-IT"/>
        </w:rPr>
        <w:t xml:space="preserve">loaded in the bottles </w:t>
      </w:r>
      <w:r w:rsidRPr="00035DD6">
        <w:rPr>
          <w:rFonts w:cs="Arial"/>
          <w:sz w:val="18"/>
          <w:szCs w:val="18"/>
          <w:lang w:val="en-US" w:eastAsia="it-IT"/>
        </w:rPr>
        <w:t xml:space="preserve">prior to </w:t>
      </w:r>
      <w:r w:rsidR="00DF45F0">
        <w:rPr>
          <w:rFonts w:cs="Arial"/>
          <w:sz w:val="18"/>
          <w:szCs w:val="18"/>
          <w:lang w:val="en-US" w:eastAsia="it-IT"/>
        </w:rPr>
        <w:t>autoclaving</w:t>
      </w:r>
      <w:r w:rsidRPr="00035DD6">
        <w:rPr>
          <w:rFonts w:cs="Arial"/>
          <w:sz w:val="18"/>
          <w:szCs w:val="18"/>
          <w:lang w:val="en-US" w:eastAsia="it-IT"/>
        </w:rPr>
        <w:t xml:space="preserve">. </w:t>
      </w:r>
      <w:r w:rsidR="00CB5D61">
        <w:rPr>
          <w:rFonts w:cs="Arial"/>
          <w:sz w:val="18"/>
          <w:szCs w:val="18"/>
          <w:lang w:val="en-US" w:eastAsia="it-IT"/>
        </w:rPr>
        <w:t xml:space="preserve">The temperature was set </w:t>
      </w:r>
      <w:r w:rsidRPr="00035DD6">
        <w:rPr>
          <w:rFonts w:cs="Arial"/>
          <w:sz w:val="18"/>
          <w:szCs w:val="18"/>
          <w:lang w:val="en-US" w:eastAsia="it-IT"/>
        </w:rPr>
        <w:t>at 75°C</w:t>
      </w:r>
      <w:r w:rsidR="00113615">
        <w:rPr>
          <w:rFonts w:cs="Arial"/>
          <w:sz w:val="18"/>
          <w:szCs w:val="18"/>
          <w:lang w:val="en-US" w:eastAsia="it-IT"/>
        </w:rPr>
        <w:t xml:space="preserve"> and</w:t>
      </w:r>
      <w:r w:rsidRPr="00035DD6">
        <w:rPr>
          <w:rFonts w:cs="Arial"/>
          <w:sz w:val="18"/>
          <w:szCs w:val="18"/>
          <w:lang w:val="en-US" w:eastAsia="it-IT"/>
        </w:rPr>
        <w:t xml:space="preserve"> </w:t>
      </w:r>
      <w:r w:rsidR="00CB5D61">
        <w:rPr>
          <w:rFonts w:cs="Arial"/>
          <w:sz w:val="18"/>
          <w:szCs w:val="18"/>
          <w:lang w:val="en-US" w:eastAsia="it-IT"/>
        </w:rPr>
        <w:t>the</w:t>
      </w:r>
      <w:r w:rsidR="000452FF">
        <w:rPr>
          <w:rFonts w:cs="Arial"/>
          <w:sz w:val="18"/>
          <w:szCs w:val="18"/>
          <w:lang w:val="en-US" w:eastAsia="it-IT"/>
        </w:rPr>
        <w:t xml:space="preserve"> </w:t>
      </w:r>
      <w:r w:rsidR="00CB5D61">
        <w:rPr>
          <w:rFonts w:cs="Arial"/>
          <w:sz w:val="18"/>
          <w:szCs w:val="18"/>
          <w:lang w:val="en-US" w:eastAsia="it-IT"/>
        </w:rPr>
        <w:t xml:space="preserve">initial </w:t>
      </w:r>
      <w:r w:rsidRPr="00035DD6">
        <w:rPr>
          <w:rFonts w:cs="Arial"/>
          <w:sz w:val="18"/>
          <w:szCs w:val="18"/>
          <w:lang w:val="en-US" w:eastAsia="it-IT"/>
        </w:rPr>
        <w:t>pH</w:t>
      </w:r>
      <w:r w:rsidR="00CB5D61">
        <w:rPr>
          <w:rFonts w:cs="Arial"/>
          <w:sz w:val="18"/>
          <w:szCs w:val="18"/>
          <w:lang w:val="en-US" w:eastAsia="it-IT"/>
        </w:rPr>
        <w:t xml:space="preserve"> at</w:t>
      </w:r>
      <w:r w:rsidRPr="00035DD6">
        <w:rPr>
          <w:rFonts w:cs="Arial"/>
          <w:sz w:val="18"/>
          <w:szCs w:val="18"/>
          <w:lang w:val="en-US" w:eastAsia="it-IT"/>
        </w:rPr>
        <w:t xml:space="preserve"> 7.5</w:t>
      </w:r>
      <w:r w:rsidR="00CB5D61">
        <w:rPr>
          <w:rFonts w:cs="Arial"/>
          <w:sz w:val="18"/>
          <w:szCs w:val="18"/>
          <w:lang w:val="en-US" w:eastAsia="it-IT"/>
        </w:rPr>
        <w:t>.</w:t>
      </w:r>
      <w:r w:rsidR="00B06904">
        <w:rPr>
          <w:rFonts w:cs="Arial"/>
          <w:sz w:val="18"/>
          <w:szCs w:val="18"/>
          <w:lang w:val="en-US" w:eastAsia="it-IT"/>
        </w:rPr>
        <w:t xml:space="preserve"> </w:t>
      </w:r>
    </w:p>
    <w:p w14:paraId="67986ED6" w14:textId="7FF6FD92" w:rsidR="00B06904" w:rsidRDefault="00B06904" w:rsidP="002B2D7A">
      <w:pPr>
        <w:pStyle w:val="NormaleWeb"/>
        <w:spacing w:line="240" w:lineRule="auto"/>
        <w:contextualSpacing/>
        <w:rPr>
          <w:rFonts w:cs="Arial"/>
          <w:sz w:val="18"/>
          <w:szCs w:val="18"/>
          <w:lang w:val="en-US" w:eastAsia="it-IT"/>
        </w:rPr>
      </w:pPr>
      <w:r>
        <w:rPr>
          <w:rFonts w:cs="Arial"/>
          <w:sz w:val="18"/>
          <w:szCs w:val="18"/>
          <w:lang w:val="en-US" w:eastAsia="it-IT"/>
        </w:rPr>
        <w:t xml:space="preserve">The substrate used in </w:t>
      </w:r>
      <w:r w:rsidR="00981DDE">
        <w:rPr>
          <w:rFonts w:cs="Arial"/>
          <w:sz w:val="18"/>
          <w:szCs w:val="18"/>
          <w:lang w:val="en-US" w:eastAsia="it-IT"/>
        </w:rPr>
        <w:t>these fermentations</w:t>
      </w:r>
      <w:r>
        <w:rPr>
          <w:rFonts w:cs="Arial"/>
          <w:sz w:val="18"/>
          <w:szCs w:val="18"/>
          <w:lang w:val="en-US" w:eastAsia="it-IT"/>
        </w:rPr>
        <w:t xml:space="preserve"> was glucose at a concentration of 5 g/L.</w:t>
      </w:r>
    </w:p>
    <w:p w14:paraId="33E2DB93" w14:textId="233D26E2" w:rsidR="001537EB" w:rsidRDefault="003D5374" w:rsidP="002B2D7A">
      <w:pPr>
        <w:pStyle w:val="NormaleWeb"/>
        <w:spacing w:line="240" w:lineRule="auto"/>
        <w:contextualSpacing/>
        <w:rPr>
          <w:rFonts w:cs="Arial"/>
          <w:sz w:val="18"/>
          <w:szCs w:val="18"/>
          <w:lang w:val="en-US" w:eastAsia="it-IT"/>
        </w:rPr>
      </w:pPr>
      <w:r w:rsidRPr="00035DD6">
        <w:rPr>
          <w:rFonts w:cs="Arial"/>
          <w:sz w:val="18"/>
          <w:szCs w:val="18"/>
          <w:lang w:val="en-US" w:eastAsia="it-IT"/>
        </w:rPr>
        <w:t xml:space="preserve">The solid </w:t>
      </w:r>
      <w:proofErr w:type="gramStart"/>
      <w:r w:rsidRPr="00035DD6">
        <w:rPr>
          <w:rFonts w:cs="Arial"/>
          <w:sz w:val="18"/>
          <w:szCs w:val="18"/>
          <w:lang w:val="en-US" w:eastAsia="it-IT"/>
        </w:rPr>
        <w:t>supports</w:t>
      </w:r>
      <w:proofErr w:type="gramEnd"/>
      <w:r w:rsidRPr="00035DD6">
        <w:rPr>
          <w:rFonts w:cs="Arial"/>
          <w:sz w:val="18"/>
          <w:szCs w:val="18"/>
          <w:lang w:val="en-US" w:eastAsia="it-IT"/>
        </w:rPr>
        <w:t xml:space="preserve"> tested in these experiments included polypropylene,</w:t>
      </w:r>
      <w:r w:rsidR="00CB5D61">
        <w:rPr>
          <w:rFonts w:cs="Arial"/>
          <w:sz w:val="18"/>
          <w:szCs w:val="18"/>
          <w:lang w:val="en-US" w:eastAsia="it-IT"/>
        </w:rPr>
        <w:t xml:space="preserve"> polyurethane</w:t>
      </w:r>
      <w:r w:rsidRPr="00035DD6">
        <w:rPr>
          <w:rFonts w:cs="Arial"/>
          <w:sz w:val="18"/>
          <w:szCs w:val="18"/>
          <w:lang w:val="en-US" w:eastAsia="it-IT"/>
        </w:rPr>
        <w:t xml:space="preserve"> sponge, silicone, metal </w:t>
      </w:r>
      <w:r w:rsidR="00AC295B">
        <w:rPr>
          <w:rFonts w:cs="Arial"/>
          <w:sz w:val="18"/>
          <w:szCs w:val="18"/>
          <w:lang w:val="en-US" w:eastAsia="it-IT"/>
        </w:rPr>
        <w:t>nets</w:t>
      </w:r>
      <w:r w:rsidRPr="00035DD6">
        <w:rPr>
          <w:rFonts w:cs="Arial"/>
          <w:sz w:val="18"/>
          <w:szCs w:val="18"/>
          <w:lang w:val="en-US" w:eastAsia="it-IT"/>
        </w:rPr>
        <w:t xml:space="preserve">, and nylon. The </w:t>
      </w:r>
      <w:r w:rsidR="000452FF">
        <w:rPr>
          <w:rFonts w:cs="Arial"/>
          <w:sz w:val="18"/>
          <w:szCs w:val="18"/>
          <w:lang w:val="en-US" w:eastAsia="it-IT"/>
        </w:rPr>
        <w:t>main features</w:t>
      </w:r>
      <w:r w:rsidR="000452FF" w:rsidRPr="00035DD6">
        <w:rPr>
          <w:rFonts w:cs="Arial"/>
          <w:sz w:val="18"/>
          <w:szCs w:val="18"/>
          <w:lang w:val="en-US" w:eastAsia="it-IT"/>
        </w:rPr>
        <w:t xml:space="preserve"> </w:t>
      </w:r>
      <w:r w:rsidRPr="00035DD6">
        <w:rPr>
          <w:rFonts w:cs="Arial"/>
          <w:sz w:val="18"/>
          <w:szCs w:val="18"/>
          <w:lang w:val="en-US" w:eastAsia="it-IT"/>
        </w:rPr>
        <w:t xml:space="preserve">of the materials used are </w:t>
      </w:r>
      <w:r w:rsidR="00DF45F0">
        <w:rPr>
          <w:rFonts w:cs="Arial"/>
          <w:sz w:val="18"/>
          <w:szCs w:val="18"/>
          <w:lang w:val="en-US" w:eastAsia="it-IT"/>
        </w:rPr>
        <w:t>listed</w:t>
      </w:r>
      <w:r w:rsidRPr="00035DD6">
        <w:rPr>
          <w:rFonts w:cs="Arial"/>
          <w:sz w:val="18"/>
          <w:szCs w:val="18"/>
          <w:lang w:val="en-US" w:eastAsia="it-IT"/>
        </w:rPr>
        <w:t xml:space="preserve"> in Table 1.</w:t>
      </w:r>
    </w:p>
    <w:p w14:paraId="08956071" w14:textId="3611B154" w:rsidR="002B2D7A" w:rsidRDefault="002B2D7A" w:rsidP="002B2D7A">
      <w:pPr>
        <w:pStyle w:val="NormaleWeb"/>
        <w:spacing w:line="240" w:lineRule="auto"/>
        <w:contextualSpacing/>
        <w:rPr>
          <w:rFonts w:cs="Arial"/>
          <w:sz w:val="18"/>
          <w:szCs w:val="18"/>
        </w:rPr>
      </w:pPr>
    </w:p>
    <w:p w14:paraId="01BCF3D6" w14:textId="29FD577E" w:rsidR="002B2D7A" w:rsidRPr="00C2723F" w:rsidRDefault="00304237" w:rsidP="00C2723F">
      <w:pPr>
        <w:contextualSpacing/>
        <w:rPr>
          <w:rFonts w:cs="Arial"/>
          <w:sz w:val="18"/>
          <w:szCs w:val="18"/>
          <w:lang w:val="en-US"/>
        </w:rPr>
      </w:pPr>
      <w:r w:rsidRPr="00035DD6">
        <w:rPr>
          <w:rFonts w:ascii="Arial" w:hAnsi="Arial" w:cs="Arial"/>
          <w:b/>
          <w:bCs/>
          <w:sz w:val="18"/>
          <w:szCs w:val="18"/>
          <w:lang w:val="en-US"/>
        </w:rPr>
        <w:t>Table 1.</w:t>
      </w:r>
      <w:r w:rsidRPr="00035DD6">
        <w:rPr>
          <w:rFonts w:ascii="Arial" w:hAnsi="Arial" w:cs="Arial"/>
          <w:sz w:val="18"/>
          <w:szCs w:val="18"/>
          <w:lang w:val="en-US"/>
        </w:rPr>
        <w:t xml:space="preserve"> Materials used for biofilm formation in batch experiments.</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375"/>
        <w:gridCol w:w="20"/>
        <w:gridCol w:w="1433"/>
        <w:gridCol w:w="835"/>
        <w:gridCol w:w="2282"/>
        <w:gridCol w:w="20"/>
      </w:tblGrid>
      <w:tr w:rsidR="001537EB" w:rsidRPr="00B57B36" w14:paraId="143F6DB8" w14:textId="77777777" w:rsidTr="00C333D6">
        <w:trPr>
          <w:jc w:val="center"/>
        </w:trPr>
        <w:tc>
          <w:tcPr>
            <w:tcW w:w="2375" w:type="dxa"/>
            <w:tcBorders>
              <w:top w:val="single" w:sz="12" w:space="0" w:color="008000"/>
              <w:bottom w:val="single" w:sz="6" w:space="0" w:color="008000"/>
            </w:tcBorders>
            <w:shd w:val="clear" w:color="auto" w:fill="FFFFFF"/>
            <w:vAlign w:val="center"/>
          </w:tcPr>
          <w:p w14:paraId="501A6B77" w14:textId="204AE116" w:rsidR="001537EB" w:rsidRPr="00C333D6" w:rsidRDefault="001537EB" w:rsidP="00C333D6">
            <w:pPr>
              <w:pStyle w:val="CETBodytext"/>
              <w:jc w:val="center"/>
              <w:rPr>
                <w:b/>
                <w:bCs/>
                <w:lang w:val="en-GB"/>
              </w:rPr>
            </w:pPr>
            <w:r w:rsidRPr="00C333D6">
              <w:rPr>
                <w:b/>
                <w:bCs/>
                <w:lang w:val="en-GB"/>
              </w:rPr>
              <w:t>Material</w:t>
            </w:r>
          </w:p>
        </w:tc>
        <w:tc>
          <w:tcPr>
            <w:tcW w:w="20" w:type="dxa"/>
            <w:tcBorders>
              <w:top w:val="single" w:sz="12" w:space="0" w:color="008000"/>
              <w:bottom w:val="single" w:sz="6" w:space="0" w:color="008000"/>
            </w:tcBorders>
            <w:shd w:val="clear" w:color="auto" w:fill="FFFFFF"/>
            <w:vAlign w:val="center"/>
          </w:tcPr>
          <w:p w14:paraId="50A47F80" w14:textId="77777777" w:rsidR="001537EB" w:rsidRPr="00C333D6" w:rsidRDefault="001537EB" w:rsidP="00C333D6">
            <w:pPr>
              <w:pStyle w:val="CETBodytext"/>
              <w:jc w:val="center"/>
              <w:rPr>
                <w:b/>
                <w:bCs/>
                <w:lang w:val="en-GB"/>
              </w:rPr>
            </w:pPr>
          </w:p>
        </w:tc>
        <w:tc>
          <w:tcPr>
            <w:tcW w:w="1433" w:type="dxa"/>
            <w:tcBorders>
              <w:top w:val="single" w:sz="12" w:space="0" w:color="008000"/>
              <w:bottom w:val="single" w:sz="6" w:space="0" w:color="008000"/>
            </w:tcBorders>
            <w:shd w:val="clear" w:color="auto" w:fill="FFFFFF"/>
            <w:vAlign w:val="center"/>
          </w:tcPr>
          <w:p w14:paraId="20999CC2" w14:textId="25267D60" w:rsidR="001537EB" w:rsidRPr="00C333D6" w:rsidRDefault="001537EB" w:rsidP="00C333D6">
            <w:pPr>
              <w:pStyle w:val="CETBodytext"/>
              <w:jc w:val="center"/>
              <w:rPr>
                <w:b/>
                <w:bCs/>
                <w:lang w:val="en-GB"/>
              </w:rPr>
            </w:pPr>
            <w:r w:rsidRPr="00C333D6">
              <w:rPr>
                <w:b/>
                <w:bCs/>
                <w:lang w:val="en-GB"/>
              </w:rPr>
              <w:t>Amount</w:t>
            </w:r>
          </w:p>
        </w:tc>
        <w:tc>
          <w:tcPr>
            <w:tcW w:w="835" w:type="dxa"/>
            <w:tcBorders>
              <w:top w:val="single" w:sz="12" w:space="0" w:color="008000"/>
              <w:bottom w:val="single" w:sz="6" w:space="0" w:color="008000"/>
            </w:tcBorders>
            <w:shd w:val="clear" w:color="auto" w:fill="FFFFFF"/>
            <w:vAlign w:val="center"/>
          </w:tcPr>
          <w:p w14:paraId="401F80DD" w14:textId="100DFA35" w:rsidR="001537EB" w:rsidRPr="00C333D6" w:rsidRDefault="001537EB" w:rsidP="00C333D6">
            <w:pPr>
              <w:pStyle w:val="CETBodytext"/>
              <w:jc w:val="center"/>
              <w:rPr>
                <w:b/>
                <w:bCs/>
                <w:lang w:val="en-GB"/>
              </w:rPr>
            </w:pPr>
            <w:r w:rsidRPr="00C333D6">
              <w:rPr>
                <w:b/>
                <w:bCs/>
                <w:lang w:val="en-GB"/>
              </w:rPr>
              <w:t>Shape</w:t>
            </w:r>
          </w:p>
        </w:tc>
        <w:tc>
          <w:tcPr>
            <w:tcW w:w="2282" w:type="dxa"/>
            <w:tcBorders>
              <w:top w:val="single" w:sz="12" w:space="0" w:color="008000"/>
              <w:bottom w:val="single" w:sz="6" w:space="0" w:color="008000"/>
            </w:tcBorders>
            <w:shd w:val="clear" w:color="auto" w:fill="FFFFFF"/>
            <w:vAlign w:val="center"/>
          </w:tcPr>
          <w:p w14:paraId="139F7594" w14:textId="2071A063" w:rsidR="001537EB" w:rsidRPr="00C333D6" w:rsidRDefault="001537EB" w:rsidP="00C333D6">
            <w:pPr>
              <w:pStyle w:val="CETBodytext"/>
              <w:ind w:right="-1"/>
              <w:jc w:val="center"/>
              <w:rPr>
                <w:rFonts w:cs="Arial"/>
                <w:b/>
                <w:bCs/>
                <w:szCs w:val="18"/>
                <w:lang w:val="en-GB"/>
              </w:rPr>
            </w:pPr>
            <w:r w:rsidRPr="00C333D6">
              <w:rPr>
                <w:rFonts w:cs="Arial"/>
                <w:b/>
                <w:bCs/>
                <w:szCs w:val="18"/>
                <w:lang w:val="en-GB"/>
              </w:rPr>
              <w:t>Dimensions</w:t>
            </w:r>
          </w:p>
        </w:tc>
        <w:tc>
          <w:tcPr>
            <w:tcW w:w="20" w:type="dxa"/>
            <w:tcBorders>
              <w:top w:val="single" w:sz="12" w:space="0" w:color="008000"/>
              <w:bottom w:val="single" w:sz="6" w:space="0" w:color="008000"/>
            </w:tcBorders>
            <w:shd w:val="clear" w:color="auto" w:fill="FFFFFF"/>
            <w:vAlign w:val="center"/>
          </w:tcPr>
          <w:p w14:paraId="676E79B1" w14:textId="77777777" w:rsidR="001537EB" w:rsidRPr="00C333D6" w:rsidRDefault="001537EB" w:rsidP="00C333D6">
            <w:pPr>
              <w:pStyle w:val="CETBodytext"/>
              <w:ind w:right="-1"/>
              <w:jc w:val="center"/>
              <w:rPr>
                <w:rFonts w:cs="Arial"/>
                <w:b/>
                <w:bCs/>
                <w:szCs w:val="18"/>
                <w:lang w:val="en-GB"/>
              </w:rPr>
            </w:pPr>
          </w:p>
        </w:tc>
      </w:tr>
      <w:tr w:rsidR="00C333D6" w:rsidRPr="00B57B36" w14:paraId="3B3197A3" w14:textId="77777777" w:rsidTr="003E55F0">
        <w:trPr>
          <w:jc w:val="center"/>
        </w:trPr>
        <w:tc>
          <w:tcPr>
            <w:tcW w:w="2375" w:type="dxa"/>
            <w:shd w:val="clear" w:color="auto" w:fill="FFFFFF"/>
          </w:tcPr>
          <w:p w14:paraId="6060ED54" w14:textId="5DCD1927" w:rsidR="00C333D6" w:rsidRPr="001537EB" w:rsidRDefault="00C333D6" w:rsidP="003E55F0">
            <w:pPr>
              <w:pStyle w:val="CETBodytext"/>
              <w:spacing w:line="480" w:lineRule="auto"/>
              <w:jc w:val="center"/>
              <w:rPr>
                <w:rFonts w:cs="Arial"/>
                <w:b/>
                <w:szCs w:val="18"/>
              </w:rPr>
            </w:pPr>
            <w:r w:rsidRPr="00AE5A65">
              <w:rPr>
                <w:rFonts w:cs="Arial"/>
                <w:b/>
                <w:szCs w:val="18"/>
              </w:rPr>
              <w:t>Polypropylene (PP)</w:t>
            </w:r>
          </w:p>
        </w:tc>
        <w:tc>
          <w:tcPr>
            <w:tcW w:w="20" w:type="dxa"/>
            <w:shd w:val="clear" w:color="auto" w:fill="FFFFFF"/>
          </w:tcPr>
          <w:p w14:paraId="3BB4D052" w14:textId="77777777" w:rsidR="00C333D6" w:rsidRPr="00B57B36" w:rsidRDefault="00C333D6" w:rsidP="003E55F0">
            <w:pPr>
              <w:pStyle w:val="CETBodytext"/>
              <w:jc w:val="center"/>
              <w:rPr>
                <w:lang w:val="en-GB"/>
              </w:rPr>
            </w:pPr>
          </w:p>
        </w:tc>
        <w:tc>
          <w:tcPr>
            <w:tcW w:w="1433" w:type="dxa"/>
            <w:shd w:val="clear" w:color="auto" w:fill="FFFFFF"/>
          </w:tcPr>
          <w:p w14:paraId="768DB9E4" w14:textId="77777777" w:rsidR="00C333D6" w:rsidRPr="00AE5A65" w:rsidRDefault="00C333D6" w:rsidP="003E55F0">
            <w:pPr>
              <w:jc w:val="center"/>
              <w:rPr>
                <w:rFonts w:ascii="Arial" w:hAnsi="Arial" w:cs="Arial"/>
                <w:sz w:val="18"/>
                <w:szCs w:val="18"/>
              </w:rPr>
            </w:pPr>
            <w:r w:rsidRPr="00AE5A65">
              <w:rPr>
                <w:rFonts w:ascii="Arial" w:hAnsi="Arial" w:cs="Arial"/>
                <w:sz w:val="18"/>
                <w:szCs w:val="18"/>
              </w:rPr>
              <w:t>13.7 g</w:t>
            </w:r>
          </w:p>
          <w:p w14:paraId="017DA648" w14:textId="51BC311C" w:rsidR="00C333D6" w:rsidRPr="00B57B36" w:rsidRDefault="00C333D6" w:rsidP="003E55F0">
            <w:pPr>
              <w:pStyle w:val="CETBodytext"/>
              <w:jc w:val="center"/>
              <w:rPr>
                <w:lang w:val="en-GB"/>
              </w:rPr>
            </w:pPr>
          </w:p>
        </w:tc>
        <w:tc>
          <w:tcPr>
            <w:tcW w:w="835" w:type="dxa"/>
            <w:shd w:val="clear" w:color="auto" w:fill="FFFFFF"/>
          </w:tcPr>
          <w:p w14:paraId="4C60C7CF" w14:textId="4FBC4788" w:rsidR="00C333D6" w:rsidRPr="00B57B36" w:rsidRDefault="00C333D6" w:rsidP="003E55F0">
            <w:pPr>
              <w:pStyle w:val="CETBodytext"/>
              <w:jc w:val="center"/>
              <w:rPr>
                <w:lang w:val="en-GB"/>
              </w:rPr>
            </w:pPr>
            <w:r w:rsidRPr="00AE5A65">
              <w:rPr>
                <w:rFonts w:cs="Arial"/>
                <w:szCs w:val="18"/>
              </w:rPr>
              <w:t>Cubes</w:t>
            </w:r>
          </w:p>
        </w:tc>
        <w:tc>
          <w:tcPr>
            <w:tcW w:w="2282" w:type="dxa"/>
            <w:shd w:val="clear" w:color="auto" w:fill="FFFFFF"/>
          </w:tcPr>
          <w:p w14:paraId="37DE3E1F" w14:textId="74026472" w:rsidR="00C333D6" w:rsidRPr="00B57B36" w:rsidRDefault="00C333D6" w:rsidP="003E55F0">
            <w:pPr>
              <w:pStyle w:val="CETBodytext"/>
              <w:ind w:right="-1"/>
              <w:jc w:val="center"/>
              <w:rPr>
                <w:rFonts w:cs="Arial"/>
                <w:szCs w:val="18"/>
                <w:lang w:val="en-GB"/>
              </w:rPr>
            </w:pPr>
            <w:r w:rsidRPr="00AE5A65">
              <w:rPr>
                <w:rFonts w:cs="Arial"/>
                <w:szCs w:val="18"/>
              </w:rPr>
              <w:t>1.0x0.5x0.2 cm</w:t>
            </w:r>
          </w:p>
        </w:tc>
        <w:tc>
          <w:tcPr>
            <w:tcW w:w="20" w:type="dxa"/>
            <w:shd w:val="clear" w:color="auto" w:fill="FFFFFF"/>
            <w:vAlign w:val="center"/>
          </w:tcPr>
          <w:p w14:paraId="6401FC1C" w14:textId="77777777" w:rsidR="00C333D6" w:rsidRPr="00B57B36" w:rsidRDefault="00C333D6" w:rsidP="00C333D6">
            <w:pPr>
              <w:pStyle w:val="CETBodytext"/>
              <w:ind w:right="-1"/>
              <w:jc w:val="center"/>
              <w:rPr>
                <w:rFonts w:cs="Arial"/>
                <w:szCs w:val="18"/>
                <w:lang w:val="en-GB"/>
              </w:rPr>
            </w:pPr>
          </w:p>
        </w:tc>
      </w:tr>
      <w:tr w:rsidR="00C333D6" w:rsidRPr="00B57B36" w14:paraId="35548FC4" w14:textId="77777777" w:rsidTr="003E55F0">
        <w:trPr>
          <w:jc w:val="center"/>
        </w:trPr>
        <w:tc>
          <w:tcPr>
            <w:tcW w:w="2375" w:type="dxa"/>
            <w:shd w:val="clear" w:color="auto" w:fill="FFFFFF"/>
          </w:tcPr>
          <w:p w14:paraId="78931D68" w14:textId="399303FA" w:rsidR="00C333D6" w:rsidRPr="00B57B36" w:rsidRDefault="00CB5D61" w:rsidP="003E55F0">
            <w:pPr>
              <w:pStyle w:val="CETBodytext"/>
              <w:spacing w:line="480" w:lineRule="auto"/>
              <w:ind w:right="-1"/>
              <w:jc w:val="center"/>
              <w:rPr>
                <w:rFonts w:cs="Arial"/>
                <w:szCs w:val="18"/>
                <w:lang w:val="en-GB"/>
              </w:rPr>
            </w:pPr>
            <w:r>
              <w:rPr>
                <w:rFonts w:cs="Arial"/>
                <w:b/>
                <w:szCs w:val="18"/>
              </w:rPr>
              <w:t>Polyurethane s</w:t>
            </w:r>
            <w:r w:rsidR="00C333D6" w:rsidRPr="00AE5A65">
              <w:rPr>
                <w:rFonts w:cs="Arial"/>
                <w:b/>
                <w:szCs w:val="18"/>
              </w:rPr>
              <w:t>ponge</w:t>
            </w:r>
          </w:p>
        </w:tc>
        <w:tc>
          <w:tcPr>
            <w:tcW w:w="20" w:type="dxa"/>
            <w:shd w:val="clear" w:color="auto" w:fill="FFFFFF"/>
          </w:tcPr>
          <w:p w14:paraId="3B5F2BEA" w14:textId="77777777" w:rsidR="00C333D6" w:rsidRPr="00B57B36" w:rsidRDefault="00C333D6" w:rsidP="003E55F0">
            <w:pPr>
              <w:pStyle w:val="CETBodytext"/>
              <w:ind w:right="-1"/>
              <w:jc w:val="center"/>
              <w:rPr>
                <w:rFonts w:cs="Arial"/>
                <w:szCs w:val="18"/>
                <w:lang w:val="en-GB"/>
              </w:rPr>
            </w:pPr>
          </w:p>
        </w:tc>
        <w:tc>
          <w:tcPr>
            <w:tcW w:w="1433" w:type="dxa"/>
            <w:shd w:val="clear" w:color="auto" w:fill="FFFFFF"/>
          </w:tcPr>
          <w:p w14:paraId="57B2DF55" w14:textId="77777777" w:rsidR="00C333D6" w:rsidRPr="00AE5A65" w:rsidRDefault="00C333D6" w:rsidP="003E55F0">
            <w:pPr>
              <w:jc w:val="center"/>
              <w:rPr>
                <w:rFonts w:ascii="Arial" w:hAnsi="Arial" w:cs="Arial"/>
                <w:sz w:val="18"/>
                <w:szCs w:val="18"/>
              </w:rPr>
            </w:pPr>
            <w:r w:rsidRPr="00AE5A65">
              <w:rPr>
                <w:rFonts w:ascii="Arial" w:hAnsi="Arial" w:cs="Arial"/>
                <w:sz w:val="18"/>
                <w:szCs w:val="18"/>
              </w:rPr>
              <w:t>1.4 g</w:t>
            </w:r>
          </w:p>
          <w:p w14:paraId="3EDC0CC7" w14:textId="22A8A8C4" w:rsidR="00C333D6" w:rsidRPr="00B57B36" w:rsidRDefault="00C333D6" w:rsidP="003E55F0">
            <w:pPr>
              <w:pStyle w:val="CETBodytext"/>
              <w:ind w:right="-1"/>
              <w:jc w:val="center"/>
              <w:rPr>
                <w:rFonts w:cs="Arial"/>
                <w:szCs w:val="18"/>
                <w:lang w:val="en-GB"/>
              </w:rPr>
            </w:pPr>
          </w:p>
        </w:tc>
        <w:tc>
          <w:tcPr>
            <w:tcW w:w="835" w:type="dxa"/>
            <w:shd w:val="clear" w:color="auto" w:fill="FFFFFF"/>
          </w:tcPr>
          <w:p w14:paraId="1AE2FAA6" w14:textId="0FCD8EE9" w:rsidR="00C333D6" w:rsidRPr="00B57B36" w:rsidRDefault="00C333D6" w:rsidP="003E55F0">
            <w:pPr>
              <w:pStyle w:val="CETBodytext"/>
              <w:ind w:right="-1"/>
              <w:jc w:val="center"/>
              <w:rPr>
                <w:rFonts w:cs="Arial"/>
                <w:szCs w:val="18"/>
                <w:lang w:val="en-GB"/>
              </w:rPr>
            </w:pPr>
            <w:r w:rsidRPr="00AE5A65">
              <w:rPr>
                <w:rFonts w:cs="Arial"/>
                <w:szCs w:val="18"/>
              </w:rPr>
              <w:t>Cubes</w:t>
            </w:r>
          </w:p>
        </w:tc>
        <w:tc>
          <w:tcPr>
            <w:tcW w:w="2282" w:type="dxa"/>
            <w:shd w:val="clear" w:color="auto" w:fill="FFFFFF"/>
          </w:tcPr>
          <w:p w14:paraId="10B6694E" w14:textId="1FCDB42E" w:rsidR="00C333D6" w:rsidRPr="00B57B36" w:rsidRDefault="00C333D6" w:rsidP="003E55F0">
            <w:pPr>
              <w:pStyle w:val="CETBodytext"/>
              <w:ind w:right="-1"/>
              <w:jc w:val="center"/>
              <w:rPr>
                <w:rFonts w:cs="Arial"/>
                <w:szCs w:val="18"/>
                <w:lang w:val="en-GB"/>
              </w:rPr>
            </w:pPr>
            <w:r w:rsidRPr="00AE5A65">
              <w:rPr>
                <w:rFonts w:cs="Arial"/>
                <w:szCs w:val="18"/>
              </w:rPr>
              <w:t>2.0x0.9x1.0 cm</w:t>
            </w:r>
          </w:p>
        </w:tc>
        <w:tc>
          <w:tcPr>
            <w:tcW w:w="20" w:type="dxa"/>
            <w:shd w:val="clear" w:color="auto" w:fill="FFFFFF"/>
            <w:vAlign w:val="center"/>
          </w:tcPr>
          <w:p w14:paraId="40F29540" w14:textId="77777777" w:rsidR="00C333D6" w:rsidRPr="00B57B36" w:rsidRDefault="00C333D6" w:rsidP="00C333D6">
            <w:pPr>
              <w:pStyle w:val="CETBodytext"/>
              <w:ind w:right="-1"/>
              <w:jc w:val="center"/>
              <w:rPr>
                <w:rFonts w:cs="Arial"/>
                <w:szCs w:val="18"/>
                <w:lang w:val="en-GB"/>
              </w:rPr>
            </w:pPr>
          </w:p>
        </w:tc>
      </w:tr>
      <w:tr w:rsidR="00C333D6" w:rsidRPr="00B57B36" w14:paraId="5BB0A11F" w14:textId="77777777" w:rsidTr="003E55F0">
        <w:trPr>
          <w:jc w:val="center"/>
        </w:trPr>
        <w:tc>
          <w:tcPr>
            <w:tcW w:w="2375" w:type="dxa"/>
            <w:shd w:val="clear" w:color="auto" w:fill="FFFFFF"/>
          </w:tcPr>
          <w:p w14:paraId="2222010C" w14:textId="77777777" w:rsidR="00C333D6" w:rsidRPr="00AE5A65" w:rsidRDefault="00C333D6" w:rsidP="003E55F0">
            <w:pPr>
              <w:jc w:val="center"/>
              <w:rPr>
                <w:rFonts w:ascii="Arial" w:hAnsi="Arial" w:cs="Arial"/>
                <w:b/>
                <w:sz w:val="18"/>
                <w:szCs w:val="18"/>
              </w:rPr>
            </w:pPr>
            <w:r w:rsidRPr="00AE5A65">
              <w:rPr>
                <w:rFonts w:ascii="Arial" w:hAnsi="Arial" w:cs="Arial"/>
                <w:b/>
                <w:sz w:val="18"/>
                <w:szCs w:val="18"/>
              </w:rPr>
              <w:t>Silicone tubing</w:t>
            </w:r>
          </w:p>
          <w:p w14:paraId="509750C9" w14:textId="0D8EFA96" w:rsidR="00C333D6" w:rsidRPr="00AE5A65" w:rsidRDefault="00C333D6" w:rsidP="003E55F0">
            <w:pPr>
              <w:pStyle w:val="CETBodytext"/>
              <w:spacing w:line="240" w:lineRule="auto"/>
              <w:ind w:right="-1"/>
              <w:jc w:val="center"/>
              <w:rPr>
                <w:rFonts w:cs="Arial"/>
                <w:b/>
                <w:szCs w:val="18"/>
              </w:rPr>
            </w:pPr>
            <w:r w:rsidRPr="00AE5A65">
              <w:rPr>
                <w:rFonts w:cs="Arial"/>
                <w:b/>
                <w:szCs w:val="18"/>
                <w:lang w:val="it-IT"/>
              </w:rPr>
              <w:t>(</w:t>
            </w:r>
            <w:proofErr w:type="spellStart"/>
            <w:r w:rsidRPr="00AE5A65">
              <w:rPr>
                <w:rFonts w:cs="Arial"/>
                <w:b/>
                <w:szCs w:val="18"/>
                <w:lang w:val="it-IT"/>
              </w:rPr>
              <w:t>tygon</w:t>
            </w:r>
            <w:proofErr w:type="spellEnd"/>
            <w:r w:rsidRPr="00AE5A65">
              <w:rPr>
                <w:rFonts w:cs="Arial"/>
                <w:b/>
                <w:szCs w:val="18"/>
                <w:lang w:val="it-IT"/>
              </w:rPr>
              <w:t xml:space="preserve"> tube)</w:t>
            </w:r>
          </w:p>
        </w:tc>
        <w:tc>
          <w:tcPr>
            <w:tcW w:w="20" w:type="dxa"/>
            <w:shd w:val="clear" w:color="auto" w:fill="FFFFFF"/>
          </w:tcPr>
          <w:p w14:paraId="0B481859" w14:textId="77777777" w:rsidR="00C333D6" w:rsidRPr="00B57B36" w:rsidRDefault="00C333D6" w:rsidP="003E55F0">
            <w:pPr>
              <w:pStyle w:val="CETBodytext"/>
              <w:ind w:right="-1"/>
              <w:jc w:val="center"/>
              <w:rPr>
                <w:rFonts w:cs="Arial"/>
                <w:szCs w:val="18"/>
                <w:lang w:val="en-GB"/>
              </w:rPr>
            </w:pPr>
          </w:p>
        </w:tc>
        <w:tc>
          <w:tcPr>
            <w:tcW w:w="1433" w:type="dxa"/>
            <w:shd w:val="clear" w:color="auto" w:fill="FFFFFF"/>
          </w:tcPr>
          <w:p w14:paraId="042EB645" w14:textId="77777777" w:rsidR="00C333D6" w:rsidRPr="00AE5A65" w:rsidRDefault="00C333D6" w:rsidP="003E55F0">
            <w:pPr>
              <w:jc w:val="center"/>
              <w:rPr>
                <w:rFonts w:ascii="Arial" w:hAnsi="Arial" w:cs="Arial"/>
                <w:sz w:val="18"/>
                <w:szCs w:val="18"/>
              </w:rPr>
            </w:pPr>
            <w:r w:rsidRPr="00AE5A65">
              <w:rPr>
                <w:rFonts w:ascii="Arial" w:hAnsi="Arial" w:cs="Arial"/>
                <w:sz w:val="18"/>
                <w:szCs w:val="18"/>
              </w:rPr>
              <w:t>25 g</w:t>
            </w:r>
          </w:p>
          <w:p w14:paraId="580312F9" w14:textId="4D247923" w:rsidR="00C333D6" w:rsidRPr="00B57B36" w:rsidRDefault="00C333D6" w:rsidP="003E55F0">
            <w:pPr>
              <w:pStyle w:val="CETBodytext"/>
              <w:ind w:right="-1"/>
              <w:jc w:val="center"/>
              <w:rPr>
                <w:rFonts w:cs="Arial"/>
                <w:szCs w:val="18"/>
                <w:lang w:val="en-GB"/>
              </w:rPr>
            </w:pPr>
          </w:p>
        </w:tc>
        <w:tc>
          <w:tcPr>
            <w:tcW w:w="835" w:type="dxa"/>
            <w:shd w:val="clear" w:color="auto" w:fill="FFFFFF"/>
          </w:tcPr>
          <w:p w14:paraId="08FBC023" w14:textId="5EB217E4" w:rsidR="00C333D6" w:rsidRPr="00B57B36" w:rsidRDefault="00C333D6" w:rsidP="003E55F0">
            <w:pPr>
              <w:pStyle w:val="CETBodytext"/>
              <w:ind w:right="-1"/>
              <w:jc w:val="center"/>
              <w:rPr>
                <w:rFonts w:cs="Arial"/>
                <w:szCs w:val="18"/>
                <w:lang w:val="en-GB"/>
              </w:rPr>
            </w:pPr>
            <w:r w:rsidRPr="00AE5A65">
              <w:rPr>
                <w:rFonts w:cs="Arial"/>
                <w:szCs w:val="18"/>
                <w:lang w:val="it-IT"/>
              </w:rPr>
              <w:t>Rings</w:t>
            </w:r>
          </w:p>
        </w:tc>
        <w:tc>
          <w:tcPr>
            <w:tcW w:w="2282" w:type="dxa"/>
            <w:shd w:val="clear" w:color="auto" w:fill="FFFFFF"/>
          </w:tcPr>
          <w:p w14:paraId="3185FD76" w14:textId="77777777" w:rsidR="00C333D6" w:rsidRPr="00AE5A65" w:rsidRDefault="00C333D6" w:rsidP="003E55F0">
            <w:pPr>
              <w:jc w:val="center"/>
              <w:rPr>
                <w:rFonts w:ascii="Arial" w:hAnsi="Arial" w:cs="Arial"/>
                <w:sz w:val="18"/>
                <w:szCs w:val="18"/>
              </w:rPr>
            </w:pPr>
            <w:r w:rsidRPr="00AE5A65">
              <w:rPr>
                <w:rFonts w:ascii="Arial" w:hAnsi="Arial" w:cs="Arial"/>
                <w:sz w:val="18"/>
                <w:szCs w:val="18"/>
              </w:rPr>
              <w:t>L= 1 cm</w:t>
            </w:r>
          </w:p>
          <w:p w14:paraId="7C596CE8" w14:textId="77777777" w:rsidR="00C333D6" w:rsidRPr="00AE5A65" w:rsidRDefault="00C333D6" w:rsidP="003E55F0">
            <w:pPr>
              <w:jc w:val="center"/>
              <w:rPr>
                <w:rFonts w:ascii="Arial" w:hAnsi="Arial" w:cs="Arial"/>
                <w:sz w:val="18"/>
                <w:szCs w:val="18"/>
              </w:rPr>
            </w:pPr>
            <w:r w:rsidRPr="00AE5A65">
              <w:rPr>
                <w:rFonts w:ascii="Arial" w:hAnsi="Arial" w:cs="Arial"/>
                <w:sz w:val="18"/>
                <w:szCs w:val="18"/>
              </w:rPr>
              <w:t>D.I.= 0.5 cm</w:t>
            </w:r>
          </w:p>
          <w:p w14:paraId="3D06C4D9" w14:textId="77777777" w:rsidR="00C333D6" w:rsidRPr="00B57B36" w:rsidRDefault="00C333D6" w:rsidP="003E55F0">
            <w:pPr>
              <w:pStyle w:val="CETBodytext"/>
              <w:ind w:right="-1"/>
              <w:jc w:val="center"/>
              <w:rPr>
                <w:rFonts w:cs="Arial"/>
                <w:szCs w:val="18"/>
                <w:lang w:val="en-GB"/>
              </w:rPr>
            </w:pPr>
          </w:p>
        </w:tc>
        <w:tc>
          <w:tcPr>
            <w:tcW w:w="20" w:type="dxa"/>
            <w:shd w:val="clear" w:color="auto" w:fill="FFFFFF"/>
            <w:vAlign w:val="center"/>
          </w:tcPr>
          <w:p w14:paraId="47BA9345" w14:textId="77777777" w:rsidR="00C333D6" w:rsidRPr="00B57B36" w:rsidRDefault="00C333D6" w:rsidP="00C333D6">
            <w:pPr>
              <w:pStyle w:val="CETBodytext"/>
              <w:ind w:right="-1"/>
              <w:jc w:val="center"/>
              <w:rPr>
                <w:rFonts w:cs="Arial"/>
                <w:szCs w:val="18"/>
                <w:lang w:val="en-GB"/>
              </w:rPr>
            </w:pPr>
          </w:p>
        </w:tc>
      </w:tr>
      <w:tr w:rsidR="00C333D6" w:rsidRPr="00B57B36" w14:paraId="76207B2E" w14:textId="77777777" w:rsidTr="003E55F0">
        <w:trPr>
          <w:trHeight w:val="75"/>
          <w:jc w:val="center"/>
        </w:trPr>
        <w:tc>
          <w:tcPr>
            <w:tcW w:w="2375" w:type="dxa"/>
            <w:shd w:val="clear" w:color="auto" w:fill="FFFFFF"/>
          </w:tcPr>
          <w:p w14:paraId="34907677" w14:textId="41340926" w:rsidR="00C333D6" w:rsidRPr="00304237" w:rsidRDefault="00C333D6" w:rsidP="003E55F0">
            <w:pPr>
              <w:spacing w:line="480" w:lineRule="auto"/>
              <w:jc w:val="center"/>
              <w:rPr>
                <w:rFonts w:cs="Arial"/>
                <w:b/>
                <w:szCs w:val="18"/>
              </w:rPr>
            </w:pPr>
            <w:r w:rsidRPr="00304237">
              <w:rPr>
                <w:rFonts w:ascii="Arial" w:hAnsi="Arial" w:cs="Arial"/>
                <w:b/>
                <w:sz w:val="18"/>
                <w:szCs w:val="18"/>
              </w:rPr>
              <w:t xml:space="preserve">Metal </w:t>
            </w:r>
            <w:r w:rsidR="004A4B79">
              <w:rPr>
                <w:rFonts w:ascii="Arial" w:hAnsi="Arial" w:cs="Arial"/>
                <w:b/>
                <w:sz w:val="18"/>
                <w:szCs w:val="18"/>
              </w:rPr>
              <w:t>nets</w:t>
            </w:r>
          </w:p>
        </w:tc>
        <w:tc>
          <w:tcPr>
            <w:tcW w:w="20" w:type="dxa"/>
            <w:shd w:val="clear" w:color="auto" w:fill="FFFFFF"/>
          </w:tcPr>
          <w:p w14:paraId="4DF6979F" w14:textId="77777777" w:rsidR="00C333D6" w:rsidRPr="00304237" w:rsidRDefault="00C333D6" w:rsidP="003E55F0">
            <w:pPr>
              <w:pStyle w:val="CETBodytext"/>
              <w:ind w:right="-1"/>
              <w:jc w:val="center"/>
              <w:rPr>
                <w:rFonts w:cs="Arial"/>
                <w:szCs w:val="18"/>
                <w:lang w:val="en-GB"/>
              </w:rPr>
            </w:pPr>
          </w:p>
        </w:tc>
        <w:tc>
          <w:tcPr>
            <w:tcW w:w="1433" w:type="dxa"/>
            <w:shd w:val="clear" w:color="auto" w:fill="FFFFFF"/>
          </w:tcPr>
          <w:p w14:paraId="0F13283F" w14:textId="77777777" w:rsidR="00C333D6" w:rsidRPr="00304237" w:rsidRDefault="00C333D6" w:rsidP="003E55F0">
            <w:pPr>
              <w:jc w:val="center"/>
              <w:rPr>
                <w:rFonts w:ascii="Arial" w:hAnsi="Arial" w:cs="Arial"/>
                <w:sz w:val="18"/>
                <w:szCs w:val="18"/>
              </w:rPr>
            </w:pPr>
            <w:r w:rsidRPr="00304237">
              <w:rPr>
                <w:rFonts w:ascii="Arial" w:hAnsi="Arial" w:cs="Arial"/>
                <w:sz w:val="18"/>
                <w:szCs w:val="18"/>
              </w:rPr>
              <w:t>4 g</w:t>
            </w:r>
          </w:p>
          <w:p w14:paraId="251D7F6F" w14:textId="67DABFA2" w:rsidR="00C333D6" w:rsidRPr="00304237" w:rsidRDefault="00C333D6" w:rsidP="003E55F0">
            <w:pPr>
              <w:pStyle w:val="CETBodytext"/>
              <w:ind w:right="-1"/>
              <w:jc w:val="center"/>
              <w:rPr>
                <w:rFonts w:cs="Arial"/>
                <w:szCs w:val="18"/>
                <w:lang w:val="en-GB"/>
              </w:rPr>
            </w:pPr>
          </w:p>
        </w:tc>
        <w:tc>
          <w:tcPr>
            <w:tcW w:w="835" w:type="dxa"/>
            <w:shd w:val="clear" w:color="auto" w:fill="FFFFFF"/>
          </w:tcPr>
          <w:p w14:paraId="77AE94BF" w14:textId="0D219E0E" w:rsidR="00C333D6" w:rsidRPr="00304237" w:rsidRDefault="00D844EC" w:rsidP="003E55F0">
            <w:pPr>
              <w:pStyle w:val="CETBodytext"/>
              <w:ind w:right="-1"/>
              <w:jc w:val="center"/>
              <w:rPr>
                <w:rFonts w:cs="Arial"/>
                <w:szCs w:val="18"/>
                <w:lang w:val="en-GB"/>
              </w:rPr>
            </w:pPr>
            <w:r w:rsidRPr="00304237">
              <w:rPr>
                <w:rFonts w:cs="Arial"/>
                <w:szCs w:val="18"/>
              </w:rPr>
              <w:t>Nets</w:t>
            </w:r>
          </w:p>
        </w:tc>
        <w:tc>
          <w:tcPr>
            <w:tcW w:w="2282" w:type="dxa"/>
            <w:shd w:val="clear" w:color="auto" w:fill="FFFFFF"/>
          </w:tcPr>
          <w:p w14:paraId="7F8D51E7" w14:textId="0DB406B5" w:rsidR="00C333D6" w:rsidRPr="00304237" w:rsidRDefault="00C333D6" w:rsidP="003E55F0">
            <w:pPr>
              <w:pStyle w:val="CETBodytext"/>
              <w:ind w:right="-1"/>
              <w:jc w:val="center"/>
              <w:rPr>
                <w:rFonts w:cs="Arial"/>
                <w:szCs w:val="18"/>
                <w:lang w:val="en-GB"/>
              </w:rPr>
            </w:pPr>
            <w:r w:rsidRPr="00304237">
              <w:rPr>
                <w:rFonts w:cs="Arial"/>
                <w:szCs w:val="18"/>
              </w:rPr>
              <w:t>2.5x2.0 cm</w:t>
            </w:r>
          </w:p>
        </w:tc>
        <w:tc>
          <w:tcPr>
            <w:tcW w:w="20" w:type="dxa"/>
            <w:shd w:val="clear" w:color="auto" w:fill="FFFFFF"/>
            <w:vAlign w:val="center"/>
          </w:tcPr>
          <w:p w14:paraId="6B8C081F" w14:textId="77777777" w:rsidR="00C333D6" w:rsidRPr="00B57B36" w:rsidRDefault="00C333D6" w:rsidP="00C333D6">
            <w:pPr>
              <w:pStyle w:val="CETBodytext"/>
              <w:ind w:right="-1"/>
              <w:jc w:val="center"/>
              <w:rPr>
                <w:rFonts w:cs="Arial"/>
                <w:szCs w:val="18"/>
                <w:lang w:val="en-GB"/>
              </w:rPr>
            </w:pPr>
          </w:p>
        </w:tc>
      </w:tr>
      <w:tr w:rsidR="00C333D6" w:rsidRPr="00B57B36" w14:paraId="1CF4939F" w14:textId="77777777" w:rsidTr="003E55F0">
        <w:trPr>
          <w:jc w:val="center"/>
        </w:trPr>
        <w:tc>
          <w:tcPr>
            <w:tcW w:w="2375" w:type="dxa"/>
            <w:shd w:val="clear" w:color="auto" w:fill="FFFFFF"/>
          </w:tcPr>
          <w:p w14:paraId="194DB2FE" w14:textId="7C27ED90" w:rsidR="00C333D6" w:rsidRPr="00304237" w:rsidRDefault="00C333D6" w:rsidP="003E55F0">
            <w:pPr>
              <w:spacing w:line="480" w:lineRule="auto"/>
              <w:jc w:val="center"/>
              <w:rPr>
                <w:rFonts w:cs="Arial"/>
                <w:b/>
                <w:szCs w:val="18"/>
              </w:rPr>
            </w:pPr>
            <w:r w:rsidRPr="00304237">
              <w:rPr>
                <w:rFonts w:ascii="Arial" w:hAnsi="Arial" w:cs="Arial"/>
                <w:b/>
                <w:sz w:val="18"/>
                <w:szCs w:val="18"/>
              </w:rPr>
              <w:t>Nylon</w:t>
            </w:r>
            <w:r w:rsidR="004A4B79">
              <w:rPr>
                <w:rFonts w:ascii="Arial" w:hAnsi="Arial" w:cs="Arial"/>
                <w:b/>
                <w:sz w:val="18"/>
                <w:szCs w:val="18"/>
              </w:rPr>
              <w:t xml:space="preserve"> nets</w:t>
            </w:r>
          </w:p>
        </w:tc>
        <w:tc>
          <w:tcPr>
            <w:tcW w:w="20" w:type="dxa"/>
            <w:shd w:val="clear" w:color="auto" w:fill="FFFFFF"/>
          </w:tcPr>
          <w:p w14:paraId="56D4A6C3" w14:textId="77777777" w:rsidR="00C333D6" w:rsidRPr="00304237" w:rsidRDefault="00C333D6" w:rsidP="003E55F0">
            <w:pPr>
              <w:pStyle w:val="CETBodytext"/>
              <w:ind w:right="-1"/>
              <w:jc w:val="center"/>
              <w:rPr>
                <w:rFonts w:cs="Arial"/>
                <w:szCs w:val="18"/>
                <w:lang w:val="en-GB"/>
              </w:rPr>
            </w:pPr>
          </w:p>
        </w:tc>
        <w:tc>
          <w:tcPr>
            <w:tcW w:w="1433" w:type="dxa"/>
            <w:shd w:val="clear" w:color="auto" w:fill="FFFFFF"/>
          </w:tcPr>
          <w:p w14:paraId="54D88AD2" w14:textId="038C377E" w:rsidR="00C333D6" w:rsidRPr="00304237" w:rsidRDefault="00C333D6" w:rsidP="003E55F0">
            <w:pPr>
              <w:pStyle w:val="CETBodytext"/>
              <w:ind w:right="-1"/>
              <w:jc w:val="center"/>
              <w:rPr>
                <w:rFonts w:cs="Arial"/>
                <w:szCs w:val="18"/>
                <w:lang w:val="en-GB"/>
              </w:rPr>
            </w:pPr>
            <w:r w:rsidRPr="00304237">
              <w:rPr>
                <w:rFonts w:cs="Arial"/>
                <w:szCs w:val="18"/>
              </w:rPr>
              <w:t>16.8 g</w:t>
            </w:r>
          </w:p>
        </w:tc>
        <w:tc>
          <w:tcPr>
            <w:tcW w:w="835" w:type="dxa"/>
            <w:shd w:val="clear" w:color="auto" w:fill="FFFFFF"/>
          </w:tcPr>
          <w:p w14:paraId="12527E3F" w14:textId="0FEF0389" w:rsidR="00C333D6" w:rsidRPr="00304237" w:rsidRDefault="00D844EC" w:rsidP="003E55F0">
            <w:pPr>
              <w:pStyle w:val="CETBodytext"/>
              <w:ind w:right="-1"/>
              <w:jc w:val="center"/>
              <w:rPr>
                <w:rFonts w:cs="Arial"/>
                <w:szCs w:val="18"/>
                <w:lang w:val="en-GB"/>
              </w:rPr>
            </w:pPr>
            <w:r w:rsidRPr="00304237">
              <w:rPr>
                <w:rFonts w:cs="Arial"/>
                <w:szCs w:val="18"/>
              </w:rPr>
              <w:t>Nets</w:t>
            </w:r>
          </w:p>
        </w:tc>
        <w:tc>
          <w:tcPr>
            <w:tcW w:w="2282" w:type="dxa"/>
            <w:shd w:val="clear" w:color="auto" w:fill="FFFFFF"/>
          </w:tcPr>
          <w:p w14:paraId="01C1F635" w14:textId="4E71FC22" w:rsidR="00C333D6" w:rsidRPr="00304237" w:rsidRDefault="00C333D6" w:rsidP="003E55F0">
            <w:pPr>
              <w:pStyle w:val="CETBodytext"/>
              <w:ind w:right="-1"/>
              <w:jc w:val="center"/>
              <w:rPr>
                <w:rFonts w:cs="Arial"/>
                <w:szCs w:val="18"/>
                <w:lang w:val="en-GB"/>
              </w:rPr>
            </w:pPr>
            <w:r w:rsidRPr="00304237">
              <w:rPr>
                <w:rFonts w:cs="Arial"/>
                <w:szCs w:val="18"/>
                <w:lang w:val="it-IT"/>
              </w:rPr>
              <w:t>2.5x2.0 cm</w:t>
            </w:r>
          </w:p>
        </w:tc>
        <w:tc>
          <w:tcPr>
            <w:tcW w:w="20" w:type="dxa"/>
            <w:shd w:val="clear" w:color="auto" w:fill="FFFFFF"/>
            <w:vAlign w:val="center"/>
          </w:tcPr>
          <w:p w14:paraId="090EEF07" w14:textId="77777777" w:rsidR="00C333D6" w:rsidRPr="00B57B36" w:rsidRDefault="00C333D6" w:rsidP="00C333D6">
            <w:pPr>
              <w:pStyle w:val="CETBodytext"/>
              <w:ind w:right="-1"/>
              <w:jc w:val="center"/>
              <w:rPr>
                <w:rFonts w:cs="Arial"/>
                <w:szCs w:val="18"/>
                <w:lang w:val="en-GB"/>
              </w:rPr>
            </w:pPr>
          </w:p>
        </w:tc>
      </w:tr>
    </w:tbl>
    <w:p w14:paraId="6A790B6C" w14:textId="40D2F2D7" w:rsidR="000005F4" w:rsidRPr="004672A7" w:rsidRDefault="00F06C01" w:rsidP="003D5374">
      <w:pPr>
        <w:spacing w:before="100" w:beforeAutospacing="1" w:after="100" w:afterAutospacing="1"/>
        <w:contextualSpacing/>
        <w:jc w:val="both"/>
        <w:rPr>
          <w:rFonts w:ascii="Arial" w:hAnsi="Arial" w:cs="Arial"/>
          <w:sz w:val="18"/>
          <w:szCs w:val="18"/>
          <w:lang w:val="en-US"/>
        </w:rPr>
      </w:pPr>
      <w:r w:rsidRPr="004672A7">
        <w:rPr>
          <w:rFonts w:ascii="Arial" w:hAnsi="Arial" w:cs="Arial"/>
          <w:sz w:val="18"/>
          <w:szCs w:val="18"/>
          <w:lang w:val="en-US"/>
        </w:rPr>
        <w:t xml:space="preserve">Different masses of the carrier materials were used </w:t>
      </w:r>
      <w:proofErr w:type="gramStart"/>
      <w:r w:rsidRPr="004672A7">
        <w:rPr>
          <w:rFonts w:ascii="Arial" w:hAnsi="Arial" w:cs="Arial"/>
          <w:sz w:val="18"/>
          <w:szCs w:val="18"/>
          <w:lang w:val="en-US"/>
        </w:rPr>
        <w:t>in order to</w:t>
      </w:r>
      <w:proofErr w:type="gramEnd"/>
      <w:r w:rsidRPr="004672A7">
        <w:rPr>
          <w:rFonts w:ascii="Arial" w:hAnsi="Arial" w:cs="Arial"/>
          <w:sz w:val="18"/>
          <w:szCs w:val="18"/>
          <w:lang w:val="en-US"/>
        </w:rPr>
        <w:t xml:space="preserve"> maintain a constant total volume (carrier + medium) of 50 mL in each reactor. This approach allowed us to preserve the same gas–liquid volumetric ratio adopted by Lanzillo et al. (2025), enabling a more appropriate comparison with the operating conditions reported in that study.</w:t>
      </w:r>
    </w:p>
    <w:p w14:paraId="727BCBA5" w14:textId="77777777" w:rsidR="000005F4" w:rsidRPr="00F06C01" w:rsidRDefault="000005F4" w:rsidP="003D5374">
      <w:pPr>
        <w:spacing w:before="100" w:beforeAutospacing="1" w:after="100" w:afterAutospacing="1"/>
        <w:contextualSpacing/>
        <w:jc w:val="both"/>
        <w:rPr>
          <w:rFonts w:ascii="Arial" w:hAnsi="Arial" w:cs="Arial"/>
          <w:b/>
          <w:bCs/>
          <w:sz w:val="18"/>
          <w:szCs w:val="18"/>
          <w:lang w:val="en-US"/>
        </w:rPr>
      </w:pPr>
    </w:p>
    <w:p w14:paraId="3B5D4B96" w14:textId="0D5BA1C5" w:rsidR="003D5374" w:rsidRPr="003D5374" w:rsidRDefault="003D5374" w:rsidP="003D5374">
      <w:pPr>
        <w:spacing w:before="100" w:beforeAutospacing="1" w:after="100" w:afterAutospacing="1"/>
        <w:contextualSpacing/>
        <w:jc w:val="both"/>
        <w:rPr>
          <w:rFonts w:ascii="Arial" w:hAnsi="Arial" w:cs="Arial"/>
          <w:b/>
          <w:bCs/>
          <w:sz w:val="18"/>
          <w:szCs w:val="18"/>
          <w:lang w:val="en-US"/>
        </w:rPr>
      </w:pPr>
      <w:r w:rsidRPr="003D5374">
        <w:rPr>
          <w:rFonts w:ascii="Arial" w:hAnsi="Arial" w:cs="Arial"/>
          <w:b/>
          <w:bCs/>
          <w:sz w:val="18"/>
          <w:szCs w:val="18"/>
          <w:lang w:val="en-US"/>
        </w:rPr>
        <w:t>2.3 Biofilm</w:t>
      </w:r>
      <w:r w:rsidR="0037238B">
        <w:rPr>
          <w:rFonts w:ascii="Arial" w:hAnsi="Arial" w:cs="Arial"/>
          <w:b/>
          <w:bCs/>
          <w:sz w:val="18"/>
          <w:szCs w:val="18"/>
          <w:lang w:val="en-US"/>
        </w:rPr>
        <w:t xml:space="preserve"> tests</w:t>
      </w:r>
      <w:r w:rsidRPr="003D5374">
        <w:rPr>
          <w:rFonts w:ascii="Arial" w:hAnsi="Arial" w:cs="Arial"/>
          <w:b/>
          <w:bCs/>
          <w:sz w:val="18"/>
          <w:szCs w:val="18"/>
          <w:lang w:val="en-US"/>
        </w:rPr>
        <w:t xml:space="preserve"> in continuous stirre</w:t>
      </w:r>
      <w:r w:rsidR="00F7397B">
        <w:rPr>
          <w:rFonts w:ascii="Arial" w:hAnsi="Arial" w:cs="Arial"/>
          <w:b/>
          <w:bCs/>
          <w:sz w:val="18"/>
          <w:szCs w:val="18"/>
          <w:lang w:val="en-US"/>
        </w:rPr>
        <w:t>d</w:t>
      </w:r>
      <w:r w:rsidR="0063090E">
        <w:rPr>
          <w:rFonts w:ascii="Arial" w:hAnsi="Arial" w:cs="Arial"/>
          <w:b/>
          <w:bCs/>
          <w:sz w:val="18"/>
          <w:szCs w:val="18"/>
          <w:lang w:val="en-US"/>
        </w:rPr>
        <w:t>-</w:t>
      </w:r>
      <w:r w:rsidRPr="003D5374">
        <w:rPr>
          <w:rFonts w:ascii="Arial" w:hAnsi="Arial" w:cs="Arial"/>
          <w:b/>
          <w:bCs/>
          <w:sz w:val="18"/>
          <w:szCs w:val="18"/>
          <w:lang w:val="en-US"/>
        </w:rPr>
        <w:t>tank reactor</w:t>
      </w:r>
      <w:r w:rsidR="0037238B">
        <w:rPr>
          <w:rFonts w:ascii="Arial" w:hAnsi="Arial" w:cs="Arial"/>
          <w:b/>
          <w:bCs/>
          <w:sz w:val="18"/>
          <w:szCs w:val="18"/>
          <w:lang w:val="en-US"/>
        </w:rPr>
        <w:t>s</w:t>
      </w:r>
    </w:p>
    <w:p w14:paraId="260BE0CE" w14:textId="02025AA5" w:rsidR="003D5374" w:rsidRPr="005811B1" w:rsidRDefault="003D5374" w:rsidP="003D5374">
      <w:pPr>
        <w:spacing w:before="100" w:beforeAutospacing="1" w:after="100" w:afterAutospacing="1"/>
        <w:contextualSpacing/>
        <w:jc w:val="both"/>
        <w:rPr>
          <w:rFonts w:ascii="Arial" w:hAnsi="Arial" w:cs="Arial"/>
          <w:sz w:val="18"/>
          <w:szCs w:val="18"/>
          <w:lang w:val="en-US"/>
        </w:rPr>
      </w:pPr>
      <w:r w:rsidRPr="005811B1">
        <w:rPr>
          <w:rFonts w:ascii="Arial" w:hAnsi="Arial" w:cs="Arial"/>
          <w:sz w:val="18"/>
          <w:szCs w:val="18"/>
          <w:lang w:val="en-US"/>
        </w:rPr>
        <w:t xml:space="preserve">Biofilm-based fermentations were </w:t>
      </w:r>
      <w:r w:rsidR="0078037D">
        <w:rPr>
          <w:rFonts w:ascii="Arial" w:hAnsi="Arial" w:cs="Arial"/>
          <w:sz w:val="18"/>
          <w:szCs w:val="18"/>
          <w:lang w:val="en-US"/>
        </w:rPr>
        <w:t xml:space="preserve">carried out in </w:t>
      </w:r>
      <w:r w:rsidRPr="005811B1">
        <w:rPr>
          <w:rFonts w:ascii="Arial" w:hAnsi="Arial" w:cs="Arial"/>
          <w:sz w:val="18"/>
          <w:szCs w:val="18"/>
          <w:lang w:val="en-US"/>
        </w:rPr>
        <w:t>a continuous stirred</w:t>
      </w:r>
      <w:r w:rsidR="0063090E">
        <w:rPr>
          <w:rFonts w:ascii="Arial" w:hAnsi="Arial" w:cs="Arial"/>
          <w:sz w:val="18"/>
          <w:szCs w:val="18"/>
          <w:lang w:val="en-US"/>
        </w:rPr>
        <w:t>-</w:t>
      </w:r>
      <w:r w:rsidRPr="005811B1">
        <w:rPr>
          <w:rFonts w:ascii="Arial" w:hAnsi="Arial" w:cs="Arial"/>
          <w:sz w:val="18"/>
          <w:szCs w:val="18"/>
          <w:lang w:val="en-US"/>
        </w:rPr>
        <w:t>tank reactor (CSTR). The system consisted of a Pyrex glass vessel with a total volume of 0.3 L (</w:t>
      </w:r>
      <w:proofErr w:type="spellStart"/>
      <w:r w:rsidRPr="005811B1">
        <w:rPr>
          <w:rFonts w:ascii="Arial" w:hAnsi="Arial" w:cs="Arial"/>
          <w:sz w:val="18"/>
          <w:szCs w:val="18"/>
          <w:lang w:val="en-US"/>
        </w:rPr>
        <w:t>Cheimika</w:t>
      </w:r>
      <w:proofErr w:type="spellEnd"/>
      <w:r w:rsidRPr="005811B1">
        <w:rPr>
          <w:rFonts w:ascii="Arial" w:hAnsi="Arial" w:cs="Arial"/>
          <w:sz w:val="18"/>
          <w:szCs w:val="18"/>
          <w:lang w:val="en-US"/>
        </w:rPr>
        <w:t xml:space="preserve">, Salerno, Italy), equipped with a thermostatic jacket to control the temperature at 75°C. The culture pH was </w:t>
      </w:r>
      <w:r w:rsidR="0078037D">
        <w:rPr>
          <w:rFonts w:ascii="Arial" w:hAnsi="Arial" w:cs="Arial"/>
          <w:sz w:val="18"/>
          <w:szCs w:val="18"/>
          <w:lang w:val="en-US"/>
        </w:rPr>
        <w:t xml:space="preserve">set </w:t>
      </w:r>
      <w:r w:rsidRPr="005811B1">
        <w:rPr>
          <w:rFonts w:ascii="Arial" w:hAnsi="Arial" w:cs="Arial"/>
          <w:sz w:val="18"/>
          <w:szCs w:val="18"/>
          <w:lang w:val="en-US"/>
        </w:rPr>
        <w:t xml:space="preserve">at 7.0 </w:t>
      </w:r>
      <w:r w:rsidR="0078037D">
        <w:rPr>
          <w:rFonts w:ascii="Arial" w:hAnsi="Arial" w:cs="Arial"/>
          <w:sz w:val="18"/>
          <w:szCs w:val="18"/>
          <w:lang w:val="en-US"/>
        </w:rPr>
        <w:t xml:space="preserve">and controlled by </w:t>
      </w:r>
      <w:r w:rsidR="0060157F">
        <w:rPr>
          <w:rFonts w:ascii="Arial" w:hAnsi="Arial" w:cs="Arial"/>
          <w:sz w:val="18"/>
          <w:szCs w:val="18"/>
          <w:lang w:val="en-US"/>
        </w:rPr>
        <w:t>a</w:t>
      </w:r>
      <w:r w:rsidR="0078037D">
        <w:rPr>
          <w:rFonts w:ascii="Arial" w:hAnsi="Arial" w:cs="Arial"/>
          <w:sz w:val="18"/>
          <w:szCs w:val="18"/>
          <w:lang w:val="en-US"/>
        </w:rPr>
        <w:t xml:space="preserve"> supplement </w:t>
      </w:r>
      <w:r w:rsidRPr="005811B1">
        <w:rPr>
          <w:rFonts w:ascii="Arial" w:hAnsi="Arial" w:cs="Arial"/>
          <w:sz w:val="18"/>
          <w:szCs w:val="18"/>
          <w:lang w:val="en-US"/>
        </w:rPr>
        <w:t>of 1 M NaOH and 0.5 M HCl solutions.</w:t>
      </w:r>
    </w:p>
    <w:p w14:paraId="152E0DC0" w14:textId="28B5116F" w:rsidR="0078037D" w:rsidRPr="00260998" w:rsidRDefault="003D5374" w:rsidP="003D5374">
      <w:pPr>
        <w:spacing w:before="100" w:beforeAutospacing="1" w:after="100" w:afterAutospacing="1"/>
        <w:contextualSpacing/>
        <w:jc w:val="both"/>
        <w:rPr>
          <w:rFonts w:ascii="Arial" w:hAnsi="Arial" w:cs="Arial"/>
          <w:sz w:val="18"/>
          <w:szCs w:val="18"/>
          <w:lang w:val="en-US"/>
        </w:rPr>
      </w:pPr>
      <w:r w:rsidRPr="005811B1">
        <w:rPr>
          <w:rFonts w:ascii="Arial" w:hAnsi="Arial" w:cs="Arial"/>
          <w:sz w:val="18"/>
          <w:szCs w:val="18"/>
          <w:lang w:val="en-US"/>
        </w:rPr>
        <w:t xml:space="preserve">Homogeneous mixing within the reactor was </w:t>
      </w:r>
      <w:r w:rsidR="0078037D">
        <w:rPr>
          <w:rFonts w:ascii="Arial" w:hAnsi="Arial" w:cs="Arial"/>
          <w:sz w:val="18"/>
          <w:szCs w:val="18"/>
          <w:lang w:val="en-US"/>
        </w:rPr>
        <w:t xml:space="preserve">provided </w:t>
      </w:r>
      <w:r w:rsidRPr="005811B1">
        <w:rPr>
          <w:rFonts w:ascii="Arial" w:hAnsi="Arial" w:cs="Arial"/>
          <w:sz w:val="18"/>
          <w:szCs w:val="18"/>
          <w:lang w:val="en-US"/>
        </w:rPr>
        <w:t xml:space="preserve">by </w:t>
      </w:r>
      <w:r w:rsidR="0078037D">
        <w:rPr>
          <w:rFonts w:ascii="Arial" w:hAnsi="Arial" w:cs="Arial"/>
          <w:sz w:val="18"/>
          <w:szCs w:val="18"/>
          <w:lang w:val="en-US"/>
        </w:rPr>
        <w:t xml:space="preserve">liquid </w:t>
      </w:r>
      <w:r w:rsidR="00A15641">
        <w:rPr>
          <w:rFonts w:ascii="Arial" w:hAnsi="Arial" w:cs="Arial"/>
          <w:sz w:val="18"/>
          <w:szCs w:val="18"/>
          <w:lang w:val="en-US"/>
        </w:rPr>
        <w:t>recirculat</w:t>
      </w:r>
      <w:r w:rsidR="0078037D">
        <w:rPr>
          <w:rFonts w:ascii="Arial" w:hAnsi="Arial" w:cs="Arial"/>
          <w:sz w:val="18"/>
          <w:szCs w:val="18"/>
          <w:lang w:val="en-US"/>
        </w:rPr>
        <w:t xml:space="preserve">ion </w:t>
      </w:r>
      <w:r w:rsidRPr="005811B1">
        <w:rPr>
          <w:rFonts w:ascii="Arial" w:hAnsi="Arial" w:cs="Arial"/>
          <w:sz w:val="18"/>
          <w:szCs w:val="18"/>
          <w:lang w:val="en-US"/>
        </w:rPr>
        <w:t xml:space="preserve">using a peristaltic pump operating at a recirculation </w:t>
      </w:r>
      <w:r w:rsidR="0078037D">
        <w:rPr>
          <w:rFonts w:ascii="Arial" w:hAnsi="Arial" w:cs="Arial"/>
          <w:sz w:val="18"/>
          <w:szCs w:val="18"/>
          <w:lang w:val="en-US"/>
        </w:rPr>
        <w:t xml:space="preserve">volumetric </w:t>
      </w:r>
      <w:r w:rsidRPr="005811B1">
        <w:rPr>
          <w:rFonts w:ascii="Arial" w:hAnsi="Arial" w:cs="Arial"/>
          <w:sz w:val="18"/>
          <w:szCs w:val="18"/>
          <w:lang w:val="en-US"/>
        </w:rPr>
        <w:t xml:space="preserve">flow rate </w:t>
      </w:r>
      <w:r w:rsidR="00F2621D">
        <w:rPr>
          <w:rFonts w:ascii="Arial" w:hAnsi="Arial" w:cs="Arial"/>
          <w:sz w:val="18"/>
          <w:szCs w:val="18"/>
          <w:lang w:val="en-US"/>
        </w:rPr>
        <w:t xml:space="preserve">much </w:t>
      </w:r>
      <w:r w:rsidRPr="005811B1">
        <w:rPr>
          <w:rFonts w:ascii="Arial" w:hAnsi="Arial" w:cs="Arial"/>
          <w:sz w:val="18"/>
          <w:szCs w:val="18"/>
          <w:lang w:val="en-US"/>
        </w:rPr>
        <w:t xml:space="preserve">higher than the </w:t>
      </w:r>
      <w:r w:rsidR="0078037D">
        <w:rPr>
          <w:rFonts w:ascii="Arial" w:hAnsi="Arial" w:cs="Arial"/>
          <w:sz w:val="18"/>
          <w:szCs w:val="18"/>
          <w:lang w:val="en-US"/>
        </w:rPr>
        <w:t>volumetric feeding</w:t>
      </w:r>
      <w:r w:rsidRPr="005811B1">
        <w:rPr>
          <w:rFonts w:ascii="Arial" w:hAnsi="Arial" w:cs="Arial"/>
          <w:sz w:val="18"/>
          <w:szCs w:val="18"/>
          <w:lang w:val="en-US"/>
        </w:rPr>
        <w:t xml:space="preserve"> rate</w:t>
      </w:r>
      <w:r w:rsidR="0078037D">
        <w:rPr>
          <w:rFonts w:ascii="Arial" w:hAnsi="Arial" w:cs="Arial"/>
          <w:sz w:val="18"/>
          <w:szCs w:val="18"/>
          <w:lang w:val="en-US"/>
        </w:rPr>
        <w:t xml:space="preserve"> to the reactor</w:t>
      </w:r>
      <w:r w:rsidRPr="005811B1">
        <w:rPr>
          <w:rFonts w:ascii="Arial" w:hAnsi="Arial" w:cs="Arial"/>
          <w:sz w:val="18"/>
          <w:szCs w:val="18"/>
          <w:lang w:val="en-US"/>
        </w:rPr>
        <w:t>.</w:t>
      </w:r>
      <w:r w:rsidR="00A15641">
        <w:rPr>
          <w:rFonts w:ascii="Arial" w:hAnsi="Arial" w:cs="Arial"/>
          <w:sz w:val="18"/>
          <w:szCs w:val="18"/>
          <w:lang w:val="en-US"/>
        </w:rPr>
        <w:t xml:space="preserve"> </w:t>
      </w:r>
      <w:r w:rsidR="0078037D">
        <w:rPr>
          <w:rFonts w:ascii="Arial" w:hAnsi="Arial" w:cs="Arial"/>
          <w:sz w:val="18"/>
          <w:szCs w:val="18"/>
          <w:lang w:val="en-US"/>
        </w:rPr>
        <w:t xml:space="preserve">The solid </w:t>
      </w:r>
      <w:r w:rsidR="0078037D" w:rsidRPr="00260998">
        <w:rPr>
          <w:rFonts w:ascii="Arial" w:hAnsi="Arial" w:cs="Arial"/>
          <w:sz w:val="18"/>
          <w:szCs w:val="18"/>
          <w:lang w:val="en-US"/>
        </w:rPr>
        <w:lastRenderedPageBreak/>
        <w:t xml:space="preserve">carrier selected during the batch tests was used in the continuous </w:t>
      </w:r>
      <w:proofErr w:type="gramStart"/>
      <w:r w:rsidR="0078037D" w:rsidRPr="00260998">
        <w:rPr>
          <w:rFonts w:ascii="Arial" w:hAnsi="Arial" w:cs="Arial"/>
          <w:sz w:val="18"/>
          <w:szCs w:val="18"/>
          <w:lang w:val="en-US"/>
        </w:rPr>
        <w:t>fermentations</w:t>
      </w:r>
      <w:proofErr w:type="gramEnd"/>
      <w:r w:rsidR="0078037D" w:rsidRPr="00260998">
        <w:rPr>
          <w:rFonts w:ascii="Arial" w:hAnsi="Arial" w:cs="Arial"/>
          <w:sz w:val="18"/>
          <w:szCs w:val="18"/>
          <w:lang w:val="en-US"/>
        </w:rPr>
        <w:t xml:space="preserve">. The carriers were loaded </w:t>
      </w:r>
      <w:r w:rsidR="0060157F" w:rsidRPr="00260998">
        <w:rPr>
          <w:rFonts w:ascii="Arial" w:hAnsi="Arial" w:cs="Arial"/>
          <w:sz w:val="18"/>
          <w:szCs w:val="18"/>
          <w:lang w:val="en-US"/>
        </w:rPr>
        <w:t>in</w:t>
      </w:r>
      <w:r w:rsidR="0078037D" w:rsidRPr="00260998">
        <w:rPr>
          <w:rFonts w:ascii="Arial" w:hAnsi="Arial" w:cs="Arial"/>
          <w:sz w:val="18"/>
          <w:szCs w:val="18"/>
          <w:lang w:val="en-US"/>
        </w:rPr>
        <w:t>to 140 mL (V</w:t>
      </w:r>
      <w:r w:rsidR="0078037D" w:rsidRPr="00260998">
        <w:rPr>
          <w:rFonts w:ascii="Arial" w:hAnsi="Arial" w:cs="Arial"/>
          <w:sz w:val="18"/>
          <w:szCs w:val="18"/>
          <w:vertAlign w:val="subscript"/>
          <w:lang w:val="en-US"/>
        </w:rPr>
        <w:t>L</w:t>
      </w:r>
      <w:r w:rsidR="0078037D" w:rsidRPr="00260998">
        <w:rPr>
          <w:rFonts w:ascii="Arial" w:hAnsi="Arial" w:cs="Arial"/>
          <w:sz w:val="18"/>
          <w:szCs w:val="18"/>
          <w:lang w:val="en-US"/>
        </w:rPr>
        <w:t>) culture medium.</w:t>
      </w:r>
    </w:p>
    <w:p w14:paraId="4CCFA389" w14:textId="301A34F6" w:rsidR="00260998" w:rsidRPr="004672A7" w:rsidRDefault="003D5374" w:rsidP="00260998">
      <w:pPr>
        <w:spacing w:before="100" w:beforeAutospacing="1" w:after="100" w:afterAutospacing="1"/>
        <w:contextualSpacing/>
        <w:jc w:val="both"/>
        <w:rPr>
          <w:rFonts w:ascii="Arial" w:hAnsi="Arial" w:cs="Arial"/>
          <w:sz w:val="18"/>
          <w:szCs w:val="18"/>
          <w:lang w:val="en-US"/>
        </w:rPr>
      </w:pPr>
      <w:r w:rsidRPr="00260998">
        <w:rPr>
          <w:rFonts w:ascii="Arial" w:hAnsi="Arial" w:cs="Arial"/>
          <w:sz w:val="18"/>
          <w:szCs w:val="18"/>
          <w:lang w:val="en-US"/>
        </w:rPr>
        <w:t xml:space="preserve">The bioreactor </w:t>
      </w:r>
      <w:r w:rsidR="0078037D" w:rsidRPr="00260998">
        <w:rPr>
          <w:rFonts w:ascii="Arial" w:hAnsi="Arial" w:cs="Arial"/>
          <w:sz w:val="18"/>
          <w:szCs w:val="18"/>
          <w:lang w:val="en-US"/>
        </w:rPr>
        <w:t xml:space="preserve">with the carriers </w:t>
      </w:r>
      <w:r w:rsidRPr="00260998">
        <w:rPr>
          <w:rFonts w:ascii="Arial" w:hAnsi="Arial" w:cs="Arial"/>
          <w:sz w:val="18"/>
          <w:szCs w:val="18"/>
          <w:lang w:val="en-US"/>
        </w:rPr>
        <w:t>was sterilized by autoclaving at 121°C for 20 min. After sterilization, nitrogen gas (N</w:t>
      </w:r>
      <w:r w:rsidRPr="00260998">
        <w:rPr>
          <w:rFonts w:ascii="Cambria Math" w:hAnsi="Cambria Math" w:cs="Cambria Math"/>
          <w:sz w:val="18"/>
          <w:szCs w:val="18"/>
          <w:lang w:val="en-US"/>
        </w:rPr>
        <w:t>₂</w:t>
      </w:r>
      <w:r w:rsidRPr="00260998">
        <w:rPr>
          <w:rFonts w:ascii="Arial" w:hAnsi="Arial" w:cs="Arial"/>
          <w:sz w:val="18"/>
          <w:szCs w:val="18"/>
          <w:lang w:val="en-US"/>
        </w:rPr>
        <w:t xml:space="preserve">) was sparged through the culture medium to remove oxygen from both the liquid phase and the headspace. </w:t>
      </w:r>
      <w:r w:rsidR="0078037D" w:rsidRPr="00260998">
        <w:rPr>
          <w:rFonts w:ascii="Arial" w:hAnsi="Arial" w:cs="Arial"/>
          <w:sz w:val="18"/>
          <w:szCs w:val="18"/>
          <w:lang w:val="en-US"/>
        </w:rPr>
        <w:t xml:space="preserve">As </w:t>
      </w:r>
      <w:r w:rsidRPr="00260998">
        <w:rPr>
          <w:rFonts w:ascii="Arial" w:hAnsi="Arial" w:cs="Arial"/>
          <w:sz w:val="18"/>
          <w:szCs w:val="18"/>
          <w:lang w:val="en-US"/>
        </w:rPr>
        <w:t>the temperature dropped below 80°C, trace metals, vitamins, and the carbon source (glucose at concentration of 10 g</w:t>
      </w:r>
      <w:r w:rsidR="00F165C9" w:rsidRPr="00260998">
        <w:rPr>
          <w:rFonts w:ascii="Arial" w:hAnsi="Arial" w:cs="Arial"/>
          <w:sz w:val="18"/>
          <w:szCs w:val="18"/>
          <w:lang w:val="en-US"/>
        </w:rPr>
        <w:t>/</w:t>
      </w:r>
      <w:r w:rsidRPr="00260998">
        <w:rPr>
          <w:rFonts w:ascii="Arial" w:hAnsi="Arial" w:cs="Arial"/>
          <w:sz w:val="18"/>
          <w:szCs w:val="18"/>
          <w:lang w:val="en-US"/>
        </w:rPr>
        <w:t>L) were added.</w:t>
      </w:r>
      <w:r w:rsidR="00260998" w:rsidRPr="00260998">
        <w:rPr>
          <w:rFonts w:ascii="Arial" w:hAnsi="Arial" w:cs="Arial"/>
          <w:sz w:val="18"/>
          <w:szCs w:val="18"/>
          <w:lang w:val="en-US"/>
        </w:rPr>
        <w:t xml:space="preserve"> </w:t>
      </w:r>
      <w:r w:rsidR="0078037D" w:rsidRPr="00260998">
        <w:rPr>
          <w:rFonts w:ascii="Arial" w:hAnsi="Arial" w:cs="Arial"/>
          <w:sz w:val="18"/>
          <w:szCs w:val="18"/>
          <w:lang w:val="en-US"/>
        </w:rPr>
        <w:t>Provided the</w:t>
      </w:r>
      <w:r w:rsidR="00A271CF" w:rsidRPr="00260998">
        <w:rPr>
          <w:rFonts w:ascii="Arial" w:hAnsi="Arial" w:cs="Arial"/>
          <w:sz w:val="18"/>
          <w:szCs w:val="18"/>
          <w:lang w:val="en-US"/>
        </w:rPr>
        <w:t xml:space="preserve"> anaerobic conditions</w:t>
      </w:r>
      <w:r w:rsidRPr="00260998">
        <w:rPr>
          <w:rFonts w:ascii="Arial" w:hAnsi="Arial" w:cs="Arial"/>
          <w:sz w:val="18"/>
          <w:szCs w:val="18"/>
          <w:lang w:val="en-US"/>
        </w:rPr>
        <w:t>, the N</w:t>
      </w:r>
      <w:r w:rsidRPr="00260998">
        <w:rPr>
          <w:rFonts w:ascii="Cambria Math" w:hAnsi="Cambria Math" w:cs="Cambria Math"/>
          <w:sz w:val="18"/>
          <w:szCs w:val="18"/>
          <w:lang w:val="en-US"/>
        </w:rPr>
        <w:t>₂</w:t>
      </w:r>
      <w:r w:rsidRPr="00260998">
        <w:rPr>
          <w:rFonts w:ascii="Arial" w:hAnsi="Arial" w:cs="Arial"/>
          <w:sz w:val="18"/>
          <w:szCs w:val="18"/>
          <w:lang w:val="en-US"/>
        </w:rPr>
        <w:t xml:space="preserve"> flow was stopped and the reactor was inoculated with preculture</w:t>
      </w:r>
      <w:r w:rsidR="0078037D" w:rsidRPr="00260998">
        <w:rPr>
          <w:rFonts w:ascii="Arial" w:hAnsi="Arial" w:cs="Arial"/>
          <w:sz w:val="18"/>
          <w:szCs w:val="18"/>
          <w:lang w:val="en-US"/>
        </w:rPr>
        <w:t>s</w:t>
      </w:r>
      <w:r w:rsidRPr="00260998">
        <w:rPr>
          <w:rFonts w:ascii="Arial" w:hAnsi="Arial" w:cs="Arial"/>
          <w:sz w:val="18"/>
          <w:szCs w:val="18"/>
          <w:lang w:val="en-US"/>
        </w:rPr>
        <w:t xml:space="preserve"> to </w:t>
      </w:r>
      <w:r w:rsidR="0078037D" w:rsidRPr="00260998">
        <w:rPr>
          <w:rFonts w:ascii="Arial" w:hAnsi="Arial" w:cs="Arial"/>
          <w:sz w:val="18"/>
          <w:szCs w:val="18"/>
          <w:lang w:val="en-US"/>
        </w:rPr>
        <w:t xml:space="preserve">set </w:t>
      </w:r>
      <w:r w:rsidRPr="00260998">
        <w:rPr>
          <w:rFonts w:ascii="Arial" w:hAnsi="Arial" w:cs="Arial"/>
          <w:sz w:val="18"/>
          <w:szCs w:val="18"/>
          <w:lang w:val="en-US"/>
        </w:rPr>
        <w:t xml:space="preserve">initial </w:t>
      </w:r>
      <w:r w:rsidR="0078037D" w:rsidRPr="00260998">
        <w:rPr>
          <w:rFonts w:ascii="Arial" w:hAnsi="Arial" w:cs="Arial"/>
          <w:sz w:val="18"/>
          <w:szCs w:val="18"/>
          <w:lang w:val="en-US"/>
        </w:rPr>
        <w:t xml:space="preserve">cell </w:t>
      </w:r>
      <w:r w:rsidR="000260F0" w:rsidRPr="00260998">
        <w:rPr>
          <w:rFonts w:ascii="Arial" w:hAnsi="Arial" w:cs="Arial"/>
          <w:sz w:val="18"/>
          <w:szCs w:val="18"/>
          <w:lang w:val="en-US"/>
        </w:rPr>
        <w:t xml:space="preserve">concentration </w:t>
      </w:r>
      <w:r w:rsidR="0078037D" w:rsidRPr="00260998">
        <w:rPr>
          <w:rFonts w:ascii="Arial" w:hAnsi="Arial" w:cs="Arial"/>
          <w:sz w:val="18"/>
          <w:szCs w:val="18"/>
          <w:lang w:val="en-US"/>
        </w:rPr>
        <w:t xml:space="preserve">at </w:t>
      </w:r>
      <w:r w:rsidR="000260F0" w:rsidRPr="00260998">
        <w:rPr>
          <w:rFonts w:ascii="Arial" w:hAnsi="Arial" w:cs="Arial"/>
          <w:sz w:val="18"/>
          <w:szCs w:val="18"/>
          <w:lang w:val="en-US"/>
        </w:rPr>
        <w:t xml:space="preserve">0.08 </w:t>
      </w:r>
      <w:proofErr w:type="spellStart"/>
      <w:r w:rsidR="00327C0B" w:rsidRPr="00260998">
        <w:rPr>
          <w:rFonts w:ascii="Arial" w:hAnsi="Arial" w:cs="Arial"/>
          <w:sz w:val="18"/>
          <w:szCs w:val="18"/>
          <w:lang w:val="en-US"/>
        </w:rPr>
        <w:t>g</w:t>
      </w:r>
      <w:r w:rsidR="00327C0B" w:rsidRPr="00260998">
        <w:rPr>
          <w:rFonts w:ascii="Arial" w:hAnsi="Arial" w:cs="Arial"/>
          <w:sz w:val="18"/>
          <w:szCs w:val="18"/>
          <w:vertAlign w:val="subscript"/>
          <w:lang w:val="en-US"/>
        </w:rPr>
        <w:t>DM</w:t>
      </w:r>
      <w:proofErr w:type="spellEnd"/>
      <w:r w:rsidR="00327C0B" w:rsidRPr="00260998">
        <w:rPr>
          <w:rFonts w:ascii="Arial" w:hAnsi="Arial" w:cs="Arial"/>
          <w:sz w:val="18"/>
          <w:szCs w:val="18"/>
          <w:lang w:val="en-US"/>
        </w:rPr>
        <w:t>/L</w:t>
      </w:r>
      <w:r w:rsidR="00E06421" w:rsidRPr="00260998">
        <w:rPr>
          <w:rFonts w:ascii="Arial" w:hAnsi="Arial" w:cs="Arial"/>
          <w:sz w:val="18"/>
          <w:szCs w:val="18"/>
          <w:lang w:val="en-US"/>
        </w:rPr>
        <w:t xml:space="preserve">. </w:t>
      </w:r>
      <w:r w:rsidR="0078037D" w:rsidRPr="00260998">
        <w:rPr>
          <w:rFonts w:ascii="Arial" w:hAnsi="Arial" w:cs="Arial"/>
          <w:sz w:val="18"/>
          <w:szCs w:val="18"/>
          <w:lang w:val="en-US"/>
        </w:rPr>
        <w:t>T</w:t>
      </w:r>
      <w:r w:rsidR="00E06421" w:rsidRPr="00260998">
        <w:rPr>
          <w:rFonts w:ascii="Arial" w:hAnsi="Arial" w:cs="Arial"/>
          <w:sz w:val="18"/>
          <w:szCs w:val="18"/>
          <w:lang w:val="en-US"/>
        </w:rPr>
        <w:t xml:space="preserve">he reactor was </w:t>
      </w:r>
      <w:r w:rsidR="0078037D" w:rsidRPr="00260998">
        <w:rPr>
          <w:rFonts w:ascii="Arial" w:hAnsi="Arial" w:cs="Arial"/>
          <w:sz w:val="18"/>
          <w:szCs w:val="18"/>
          <w:lang w:val="en-US"/>
        </w:rPr>
        <w:t xml:space="preserve">initially </w:t>
      </w:r>
      <w:r w:rsidR="00E06421" w:rsidRPr="00260998">
        <w:rPr>
          <w:rFonts w:ascii="Arial" w:hAnsi="Arial" w:cs="Arial"/>
          <w:sz w:val="18"/>
          <w:szCs w:val="18"/>
          <w:lang w:val="en-US"/>
        </w:rPr>
        <w:t xml:space="preserve">operated </w:t>
      </w:r>
      <w:r w:rsidR="0078037D" w:rsidRPr="00260998">
        <w:rPr>
          <w:rFonts w:ascii="Arial" w:hAnsi="Arial" w:cs="Arial"/>
          <w:sz w:val="18"/>
          <w:szCs w:val="18"/>
          <w:lang w:val="en-US"/>
        </w:rPr>
        <w:t xml:space="preserve">under </w:t>
      </w:r>
      <w:r w:rsidR="00E06421" w:rsidRPr="00260998">
        <w:rPr>
          <w:rFonts w:ascii="Arial" w:hAnsi="Arial" w:cs="Arial"/>
          <w:sz w:val="18"/>
          <w:szCs w:val="18"/>
          <w:lang w:val="en-US"/>
        </w:rPr>
        <w:t xml:space="preserve">batch mode </w:t>
      </w:r>
      <w:r w:rsidR="0078037D" w:rsidRPr="00260998">
        <w:rPr>
          <w:rFonts w:ascii="Arial" w:hAnsi="Arial" w:cs="Arial"/>
          <w:sz w:val="18"/>
          <w:szCs w:val="18"/>
          <w:lang w:val="en-US"/>
        </w:rPr>
        <w:t xml:space="preserve">for </w:t>
      </w:r>
      <w:proofErr w:type="gramStart"/>
      <w:r w:rsidR="0078037D" w:rsidRPr="00260998">
        <w:rPr>
          <w:rFonts w:ascii="Arial" w:hAnsi="Arial" w:cs="Arial"/>
          <w:sz w:val="18"/>
          <w:szCs w:val="18"/>
          <w:lang w:val="en-US"/>
        </w:rPr>
        <w:t>a first</w:t>
      </w:r>
      <w:proofErr w:type="gramEnd"/>
      <w:r w:rsidR="0078037D" w:rsidRPr="00260998">
        <w:rPr>
          <w:rFonts w:ascii="Arial" w:hAnsi="Arial" w:cs="Arial"/>
          <w:sz w:val="18"/>
          <w:szCs w:val="18"/>
          <w:lang w:val="en-US"/>
        </w:rPr>
        <w:t xml:space="preserve"> period </w:t>
      </w:r>
      <w:r w:rsidR="00E06421" w:rsidRPr="00260998">
        <w:rPr>
          <w:rFonts w:ascii="Arial" w:hAnsi="Arial" w:cs="Arial"/>
          <w:sz w:val="18"/>
          <w:szCs w:val="18"/>
          <w:lang w:val="en-US"/>
        </w:rPr>
        <w:t>to promote optimal microbial growth. Subsequently, continuous stress cycles for ten days</w:t>
      </w:r>
      <w:r w:rsidR="0078037D" w:rsidRPr="00260998">
        <w:rPr>
          <w:rFonts w:ascii="Arial" w:hAnsi="Arial" w:cs="Arial"/>
          <w:sz w:val="18"/>
          <w:szCs w:val="18"/>
          <w:lang w:val="en-US"/>
        </w:rPr>
        <w:t xml:space="preserve"> were </w:t>
      </w:r>
      <w:r w:rsidR="0076278B" w:rsidRPr="00260998">
        <w:rPr>
          <w:rFonts w:ascii="Arial" w:hAnsi="Arial" w:cs="Arial"/>
          <w:sz w:val="18"/>
          <w:szCs w:val="18"/>
          <w:lang w:val="en-US"/>
        </w:rPr>
        <w:t xml:space="preserve">operated to encourage biofilm formation on the carrier: </w:t>
      </w:r>
      <w:r w:rsidR="00E06421" w:rsidRPr="00260998">
        <w:rPr>
          <w:rFonts w:ascii="Arial" w:hAnsi="Arial" w:cs="Arial"/>
          <w:sz w:val="18"/>
          <w:szCs w:val="18"/>
          <w:lang w:val="en-US"/>
        </w:rPr>
        <w:t xml:space="preserve">the pH </w:t>
      </w:r>
      <w:r w:rsidR="0076278B" w:rsidRPr="00260998">
        <w:rPr>
          <w:rFonts w:ascii="Arial" w:hAnsi="Arial" w:cs="Arial"/>
          <w:sz w:val="18"/>
          <w:szCs w:val="18"/>
          <w:lang w:val="en-US"/>
        </w:rPr>
        <w:t>was</w:t>
      </w:r>
      <w:r w:rsidR="00C73268" w:rsidRPr="00260998">
        <w:rPr>
          <w:rFonts w:ascii="Arial" w:hAnsi="Arial" w:cs="Arial"/>
          <w:sz w:val="18"/>
          <w:szCs w:val="18"/>
          <w:lang w:val="en-US"/>
        </w:rPr>
        <w:t xml:space="preserve"> shifted </w:t>
      </w:r>
      <w:r w:rsidR="00E06421" w:rsidRPr="004672A7">
        <w:rPr>
          <w:rFonts w:ascii="Arial" w:hAnsi="Arial" w:cs="Arial"/>
          <w:sz w:val="18"/>
          <w:szCs w:val="18"/>
          <w:lang w:val="en-US"/>
        </w:rPr>
        <w:t>out</w:t>
      </w:r>
      <w:r w:rsidR="00D66AA2" w:rsidRPr="004672A7">
        <w:rPr>
          <w:rFonts w:ascii="Arial" w:hAnsi="Arial" w:cs="Arial"/>
          <w:sz w:val="18"/>
          <w:szCs w:val="18"/>
          <w:lang w:val="en-US"/>
        </w:rPr>
        <w:t>side</w:t>
      </w:r>
      <w:r w:rsidR="0060157F" w:rsidRPr="004672A7">
        <w:rPr>
          <w:rFonts w:ascii="Arial" w:hAnsi="Arial" w:cs="Arial"/>
          <w:sz w:val="18"/>
          <w:szCs w:val="18"/>
          <w:lang w:val="en-US"/>
        </w:rPr>
        <w:t xml:space="preserve"> of</w:t>
      </w:r>
      <w:r w:rsidR="00E06421" w:rsidRPr="004672A7">
        <w:rPr>
          <w:rFonts w:ascii="Arial" w:hAnsi="Arial" w:cs="Arial"/>
          <w:sz w:val="18"/>
          <w:szCs w:val="18"/>
          <w:lang w:val="en-US"/>
        </w:rPr>
        <w:t xml:space="preserve"> </w:t>
      </w:r>
      <w:r w:rsidR="0060157F" w:rsidRPr="004672A7">
        <w:rPr>
          <w:rFonts w:ascii="Arial" w:hAnsi="Arial" w:cs="Arial"/>
          <w:sz w:val="18"/>
          <w:szCs w:val="18"/>
          <w:lang w:val="en-US"/>
        </w:rPr>
        <w:t>its</w:t>
      </w:r>
      <w:r w:rsidR="0076278B" w:rsidRPr="004672A7">
        <w:rPr>
          <w:rFonts w:ascii="Arial" w:hAnsi="Arial" w:cs="Arial"/>
          <w:sz w:val="18"/>
          <w:szCs w:val="18"/>
          <w:lang w:val="en-US"/>
        </w:rPr>
        <w:t xml:space="preserve"> </w:t>
      </w:r>
      <w:r w:rsidR="00E06421" w:rsidRPr="004672A7">
        <w:rPr>
          <w:rFonts w:ascii="Arial" w:hAnsi="Arial" w:cs="Arial"/>
          <w:sz w:val="18"/>
          <w:szCs w:val="18"/>
          <w:lang w:val="en-US"/>
        </w:rPr>
        <w:t xml:space="preserve">optimal range (6.5–8.0) and </w:t>
      </w:r>
      <w:r w:rsidR="0076278B" w:rsidRPr="004672A7">
        <w:rPr>
          <w:rFonts w:ascii="Arial" w:hAnsi="Arial" w:cs="Arial"/>
          <w:sz w:val="18"/>
          <w:szCs w:val="18"/>
          <w:lang w:val="en-US"/>
        </w:rPr>
        <w:t xml:space="preserve">the volumetric flow rate was set </w:t>
      </w:r>
      <w:r w:rsidR="00E06421" w:rsidRPr="004672A7">
        <w:rPr>
          <w:rFonts w:ascii="Arial" w:hAnsi="Arial" w:cs="Arial"/>
          <w:sz w:val="18"/>
          <w:szCs w:val="18"/>
          <w:lang w:val="en-US"/>
        </w:rPr>
        <w:t>to reach a maximum residence time (</w:t>
      </w:r>
      <w:r w:rsidR="00E06421" w:rsidRPr="004672A7">
        <w:rPr>
          <w:rFonts w:ascii="Arial" w:eastAsia="SimSun" w:hAnsi="Arial" w:cs="Arial"/>
          <w:sz w:val="18"/>
          <w:szCs w:val="18"/>
        </w:rPr>
        <w:sym w:font="Symbol" w:char="F074"/>
      </w:r>
      <w:r w:rsidR="00E06421" w:rsidRPr="004672A7">
        <w:rPr>
          <w:rFonts w:ascii="Arial" w:hAnsi="Arial" w:cs="Arial"/>
          <w:sz w:val="18"/>
          <w:szCs w:val="18"/>
          <w:lang w:val="en-US"/>
        </w:rPr>
        <w:t>) of 2.0 h.</w:t>
      </w:r>
      <w:r w:rsidR="00260998" w:rsidRPr="004672A7">
        <w:rPr>
          <w:rFonts w:ascii="Arial" w:hAnsi="Arial" w:cs="Arial"/>
          <w:sz w:val="18"/>
          <w:szCs w:val="18"/>
          <w:lang w:val="en-US"/>
        </w:rPr>
        <w:t xml:space="preserve"> Specifically, stress cycles consisted of alternating 8 h of operation at </w:t>
      </w:r>
      <w:r w:rsidR="00260998" w:rsidRPr="004672A7">
        <w:rPr>
          <w:rFonts w:ascii="Arial" w:eastAsia="SimSun" w:hAnsi="Arial" w:cs="Arial"/>
          <w:sz w:val="18"/>
          <w:szCs w:val="18"/>
        </w:rPr>
        <w:sym w:font="Symbol" w:char="F074"/>
      </w:r>
      <w:r w:rsidR="00260998" w:rsidRPr="004672A7">
        <w:rPr>
          <w:rFonts w:ascii="Arial" w:eastAsia="SimSun" w:hAnsi="Arial" w:cs="Arial"/>
          <w:sz w:val="18"/>
          <w:szCs w:val="18"/>
          <w:lang w:val="en-US"/>
        </w:rPr>
        <w:t xml:space="preserve"> </w:t>
      </w:r>
      <w:r w:rsidR="00260998" w:rsidRPr="004672A7">
        <w:rPr>
          <w:rFonts w:ascii="Arial" w:hAnsi="Arial" w:cs="Arial"/>
          <w:sz w:val="18"/>
          <w:szCs w:val="18"/>
          <w:lang w:val="en-US"/>
        </w:rPr>
        <w:t xml:space="preserve">of 2 h with the pH maintained at 7.0, and 16 h at a residence time of 12 h, during which the pH was set on alternate days to 6.0, 7.5, and 8.0 to promote biofilm development. At the end of the biofilm formation phase, the amount of attached biomass on the carrier was quantified, and approximately 12 g of biofilm dry weight was obtained, confirming successful biofilm establishment. </w:t>
      </w:r>
      <w:r w:rsidR="0076278B" w:rsidRPr="004672A7">
        <w:rPr>
          <w:rFonts w:ascii="Arial" w:hAnsi="Arial" w:cs="Arial"/>
          <w:sz w:val="18"/>
          <w:szCs w:val="18"/>
          <w:lang w:val="en-US"/>
        </w:rPr>
        <w:t xml:space="preserve">As </w:t>
      </w:r>
      <w:r w:rsidR="00E06421" w:rsidRPr="004672A7">
        <w:rPr>
          <w:rFonts w:ascii="Arial" w:hAnsi="Arial" w:cs="Arial"/>
          <w:sz w:val="18"/>
          <w:szCs w:val="18"/>
          <w:lang w:val="en-US"/>
        </w:rPr>
        <w:t xml:space="preserve">the biofilm layer was established, the </w:t>
      </w:r>
      <w:r w:rsidR="0076278B" w:rsidRPr="004672A7">
        <w:rPr>
          <w:rFonts w:ascii="Arial" w:hAnsi="Arial" w:cs="Arial"/>
          <w:sz w:val="18"/>
          <w:szCs w:val="18"/>
          <w:lang w:val="en-US"/>
        </w:rPr>
        <w:t xml:space="preserve">fermentation </w:t>
      </w:r>
      <w:r w:rsidR="00E06421" w:rsidRPr="004672A7">
        <w:rPr>
          <w:rFonts w:ascii="Arial" w:hAnsi="Arial" w:cs="Arial"/>
          <w:sz w:val="18"/>
          <w:szCs w:val="18"/>
          <w:lang w:val="en-US"/>
        </w:rPr>
        <w:t xml:space="preserve">was </w:t>
      </w:r>
      <w:r w:rsidR="0076278B" w:rsidRPr="004672A7">
        <w:rPr>
          <w:rFonts w:ascii="Arial" w:hAnsi="Arial" w:cs="Arial"/>
          <w:sz w:val="18"/>
          <w:szCs w:val="18"/>
          <w:lang w:val="en-US"/>
        </w:rPr>
        <w:t xml:space="preserve">carried out </w:t>
      </w:r>
      <w:r w:rsidR="00E06421" w:rsidRPr="004672A7">
        <w:rPr>
          <w:rFonts w:ascii="Arial" w:hAnsi="Arial" w:cs="Arial"/>
          <w:sz w:val="18"/>
          <w:szCs w:val="18"/>
          <w:lang w:val="en-US"/>
        </w:rPr>
        <w:t>at dilution rate 0.04</w:t>
      </w:r>
      <w:r w:rsidR="003D6DDA" w:rsidRPr="004672A7">
        <w:rPr>
          <w:rFonts w:ascii="Arial" w:hAnsi="Arial" w:cs="Arial"/>
          <w:sz w:val="18"/>
          <w:szCs w:val="18"/>
          <w:lang w:val="en-US"/>
        </w:rPr>
        <w:t>0</w:t>
      </w:r>
      <w:r w:rsidR="00E06421" w:rsidRPr="004672A7">
        <w:rPr>
          <w:rFonts w:ascii="Arial" w:hAnsi="Arial" w:cs="Arial"/>
          <w:sz w:val="18"/>
          <w:szCs w:val="18"/>
          <w:lang w:val="en-US"/>
        </w:rPr>
        <w:t xml:space="preserve"> h</w:t>
      </w:r>
      <w:r w:rsidR="00E06421" w:rsidRPr="004672A7">
        <w:rPr>
          <w:rFonts w:ascii="Cambria Math" w:hAnsi="Cambria Math" w:cs="Cambria Math"/>
          <w:sz w:val="18"/>
          <w:szCs w:val="18"/>
          <w:lang w:val="en-US"/>
        </w:rPr>
        <w:t>⁻</w:t>
      </w:r>
      <w:r w:rsidR="00E06421" w:rsidRPr="004672A7">
        <w:rPr>
          <w:rFonts w:ascii="Arial" w:hAnsi="Arial" w:cs="Arial"/>
          <w:sz w:val="18"/>
          <w:szCs w:val="18"/>
          <w:lang w:val="en-US"/>
        </w:rPr>
        <w:t>¹.</w:t>
      </w:r>
      <w:r w:rsidR="001E103A" w:rsidRPr="004672A7">
        <w:rPr>
          <w:rFonts w:ascii="Arial" w:hAnsi="Arial" w:cs="Arial"/>
          <w:sz w:val="18"/>
          <w:szCs w:val="18"/>
          <w:lang w:val="en-US"/>
        </w:rPr>
        <w:t xml:space="preserve"> </w:t>
      </w:r>
    </w:p>
    <w:p w14:paraId="57AE46F9" w14:textId="034D9EB8" w:rsidR="00A534D0" w:rsidRPr="004672A7" w:rsidRDefault="001E103A" w:rsidP="00260998">
      <w:pPr>
        <w:spacing w:before="100" w:beforeAutospacing="1" w:after="100" w:afterAutospacing="1"/>
        <w:contextualSpacing/>
        <w:jc w:val="both"/>
        <w:rPr>
          <w:rFonts w:ascii="Arial" w:hAnsi="Arial" w:cs="Arial"/>
          <w:sz w:val="18"/>
          <w:szCs w:val="18"/>
          <w:lang w:val="en-US"/>
        </w:rPr>
      </w:pPr>
      <w:r w:rsidRPr="004672A7">
        <w:rPr>
          <w:rFonts w:ascii="Arial" w:hAnsi="Arial" w:cs="Arial"/>
          <w:sz w:val="18"/>
          <w:szCs w:val="18"/>
          <w:lang w:val="en-US"/>
        </w:rPr>
        <w:t>Continuous tests were carried out at two different dilution rates (D</w:t>
      </w:r>
      <w:r w:rsidRPr="004672A7">
        <w:rPr>
          <w:rFonts w:ascii="Arial" w:hAnsi="Arial" w:cs="Arial"/>
          <w:sz w:val="18"/>
          <w:szCs w:val="18"/>
          <w:vertAlign w:val="subscript"/>
          <w:lang w:val="en-US"/>
        </w:rPr>
        <w:t>L</w:t>
      </w:r>
      <w:r w:rsidRPr="004672A7">
        <w:rPr>
          <w:rFonts w:ascii="Arial" w:hAnsi="Arial" w:cs="Arial"/>
          <w:sz w:val="18"/>
          <w:szCs w:val="18"/>
          <w:lang w:val="en-US"/>
        </w:rPr>
        <w:t>) 0.040 and 0.067 h</w:t>
      </w:r>
      <w:r w:rsidRPr="004672A7">
        <w:rPr>
          <w:rFonts w:ascii="Arial" w:hAnsi="Arial" w:cs="Arial"/>
          <w:sz w:val="18"/>
          <w:szCs w:val="18"/>
          <w:vertAlign w:val="superscript"/>
          <w:lang w:val="en-US"/>
        </w:rPr>
        <w:t>-1</w:t>
      </w:r>
      <w:r w:rsidRPr="004672A7">
        <w:rPr>
          <w:rFonts w:ascii="Arial" w:hAnsi="Arial" w:cs="Arial"/>
          <w:sz w:val="18"/>
          <w:szCs w:val="18"/>
          <w:lang w:val="en-US"/>
        </w:rPr>
        <w:t>. The liquid flow rate (F) was therefore set at 5.6 and 9.4 mL/h</w:t>
      </w:r>
      <w:r w:rsidR="004672A7" w:rsidRPr="004672A7">
        <w:rPr>
          <w:rFonts w:ascii="Arial" w:hAnsi="Arial" w:cs="Arial"/>
          <w:sz w:val="18"/>
          <w:szCs w:val="18"/>
          <w:lang w:val="en-US"/>
        </w:rPr>
        <w:t xml:space="preserve"> respectively</w:t>
      </w:r>
      <w:r w:rsidRPr="004672A7">
        <w:rPr>
          <w:rFonts w:ascii="Arial" w:hAnsi="Arial" w:cs="Arial"/>
          <w:sz w:val="18"/>
          <w:szCs w:val="18"/>
          <w:lang w:val="en-US"/>
        </w:rPr>
        <w:t xml:space="preserve"> (F=D</w:t>
      </w:r>
      <w:r w:rsidRPr="004672A7">
        <w:rPr>
          <w:rFonts w:ascii="Arial" w:hAnsi="Arial" w:cs="Arial"/>
          <w:sz w:val="18"/>
          <w:szCs w:val="18"/>
          <w:vertAlign w:val="subscript"/>
          <w:lang w:val="en-US"/>
        </w:rPr>
        <w:t>L</w:t>
      </w:r>
      <w:r w:rsidRPr="004672A7">
        <w:rPr>
          <w:rFonts w:ascii="Arial" w:hAnsi="Arial" w:cs="Arial"/>
          <w:sz w:val="18"/>
          <w:szCs w:val="18"/>
          <w:lang w:val="en-US"/>
        </w:rPr>
        <w:t>* V).</w:t>
      </w:r>
      <w:r w:rsidR="00260998" w:rsidRPr="004672A7">
        <w:rPr>
          <w:rFonts w:ascii="Arial" w:hAnsi="Arial" w:cs="Arial"/>
          <w:sz w:val="18"/>
          <w:szCs w:val="18"/>
          <w:lang w:val="en-US"/>
        </w:rPr>
        <w:t xml:space="preserve"> </w:t>
      </w:r>
      <w:r w:rsidR="003D5374" w:rsidRPr="004672A7">
        <w:rPr>
          <w:rFonts w:ascii="Arial" w:hAnsi="Arial" w:cs="Arial"/>
          <w:sz w:val="18"/>
          <w:szCs w:val="18"/>
          <w:lang w:val="en-US"/>
        </w:rPr>
        <w:t xml:space="preserve">The dilution rate was </w:t>
      </w:r>
      <w:r w:rsidR="0076278B" w:rsidRPr="004672A7">
        <w:rPr>
          <w:rFonts w:ascii="Arial" w:hAnsi="Arial" w:cs="Arial"/>
          <w:sz w:val="18"/>
          <w:szCs w:val="18"/>
          <w:lang w:val="en-US"/>
        </w:rPr>
        <w:t xml:space="preserve">changed </w:t>
      </w:r>
      <w:r w:rsidR="003D5374" w:rsidRPr="004672A7">
        <w:rPr>
          <w:rFonts w:ascii="Arial" w:hAnsi="Arial" w:cs="Arial"/>
          <w:sz w:val="18"/>
          <w:szCs w:val="18"/>
          <w:lang w:val="en-US"/>
        </w:rPr>
        <w:t xml:space="preserve">to </w:t>
      </w:r>
      <w:r w:rsidR="0076278B" w:rsidRPr="004672A7">
        <w:rPr>
          <w:rFonts w:ascii="Arial" w:hAnsi="Arial" w:cs="Arial"/>
          <w:sz w:val="18"/>
          <w:szCs w:val="18"/>
          <w:lang w:val="en-US"/>
        </w:rPr>
        <w:t xml:space="preserve">assess </w:t>
      </w:r>
      <w:r w:rsidR="003D5374" w:rsidRPr="004672A7">
        <w:rPr>
          <w:rFonts w:ascii="Arial" w:hAnsi="Arial" w:cs="Arial"/>
          <w:sz w:val="18"/>
          <w:szCs w:val="18"/>
          <w:lang w:val="en-US"/>
        </w:rPr>
        <w:t xml:space="preserve">the performance of </w:t>
      </w:r>
      <w:proofErr w:type="spellStart"/>
      <w:r w:rsidR="003D5374" w:rsidRPr="004672A7">
        <w:rPr>
          <w:rFonts w:ascii="Arial" w:hAnsi="Arial" w:cs="Arial"/>
          <w:i/>
          <w:iCs/>
          <w:sz w:val="18"/>
          <w:szCs w:val="18"/>
          <w:lang w:val="en-US"/>
        </w:rPr>
        <w:t>Thermotoga</w:t>
      </w:r>
      <w:proofErr w:type="spellEnd"/>
      <w:r w:rsidR="003D5374" w:rsidRPr="004672A7">
        <w:rPr>
          <w:rFonts w:ascii="Arial" w:hAnsi="Arial" w:cs="Arial"/>
          <w:i/>
          <w:iCs/>
          <w:sz w:val="18"/>
          <w:szCs w:val="18"/>
          <w:lang w:val="en-US"/>
        </w:rPr>
        <w:t xml:space="preserve"> </w:t>
      </w:r>
      <w:proofErr w:type="spellStart"/>
      <w:r w:rsidR="003D5374" w:rsidRPr="004672A7">
        <w:rPr>
          <w:rFonts w:ascii="Arial" w:hAnsi="Arial" w:cs="Arial"/>
          <w:i/>
          <w:iCs/>
          <w:sz w:val="18"/>
          <w:szCs w:val="18"/>
          <w:lang w:val="en-US"/>
        </w:rPr>
        <w:t>neapolitana</w:t>
      </w:r>
      <w:proofErr w:type="spellEnd"/>
      <w:r w:rsidR="003D5374" w:rsidRPr="004672A7">
        <w:rPr>
          <w:rFonts w:ascii="Arial" w:hAnsi="Arial" w:cs="Arial"/>
          <w:sz w:val="18"/>
          <w:szCs w:val="18"/>
          <w:lang w:val="en-US"/>
        </w:rPr>
        <w:t xml:space="preserve"> in terms of acetic acid and hydrogen production. During the experiments, culture samples were periodically collected to </w:t>
      </w:r>
      <w:r w:rsidR="0076278B" w:rsidRPr="004672A7">
        <w:rPr>
          <w:rFonts w:ascii="Arial" w:hAnsi="Arial" w:cs="Arial"/>
          <w:sz w:val="18"/>
          <w:szCs w:val="18"/>
          <w:lang w:val="en-US"/>
        </w:rPr>
        <w:t xml:space="preserve">assess </w:t>
      </w:r>
      <w:r w:rsidR="003D5374" w:rsidRPr="004672A7">
        <w:rPr>
          <w:rFonts w:ascii="Arial" w:hAnsi="Arial" w:cs="Arial"/>
          <w:sz w:val="18"/>
          <w:szCs w:val="18"/>
          <w:lang w:val="en-US"/>
        </w:rPr>
        <w:t xml:space="preserve">cell and metabolite concentrations until steady-state conditions were </w:t>
      </w:r>
      <w:r w:rsidR="0076278B" w:rsidRPr="004672A7">
        <w:rPr>
          <w:rFonts w:ascii="Arial" w:hAnsi="Arial" w:cs="Arial"/>
          <w:sz w:val="18"/>
          <w:szCs w:val="18"/>
          <w:lang w:val="en-US"/>
        </w:rPr>
        <w:t>established</w:t>
      </w:r>
      <w:r w:rsidR="003D5374" w:rsidRPr="004672A7">
        <w:rPr>
          <w:rFonts w:ascii="Arial" w:hAnsi="Arial" w:cs="Arial"/>
          <w:sz w:val="18"/>
          <w:szCs w:val="18"/>
          <w:lang w:val="en-US"/>
        </w:rPr>
        <w:t xml:space="preserve">. Steady-state data were </w:t>
      </w:r>
      <w:r w:rsidR="0076278B" w:rsidRPr="004672A7">
        <w:rPr>
          <w:rFonts w:ascii="Arial" w:hAnsi="Arial" w:cs="Arial"/>
          <w:sz w:val="18"/>
          <w:szCs w:val="18"/>
          <w:lang w:val="en-US"/>
        </w:rPr>
        <w:t xml:space="preserve">processed </w:t>
      </w:r>
      <w:r w:rsidR="003D5374" w:rsidRPr="004672A7">
        <w:rPr>
          <w:rFonts w:ascii="Arial" w:hAnsi="Arial" w:cs="Arial"/>
          <w:sz w:val="18"/>
          <w:szCs w:val="18"/>
          <w:lang w:val="en-US"/>
        </w:rPr>
        <w:t xml:space="preserve">only when </w:t>
      </w:r>
      <w:r w:rsidR="00AE2E17" w:rsidRPr="004672A7">
        <w:rPr>
          <w:rFonts w:ascii="Arial" w:hAnsi="Arial" w:cs="Arial"/>
          <w:sz w:val="18"/>
          <w:szCs w:val="18"/>
          <w:lang w:val="en-US"/>
        </w:rPr>
        <w:t xml:space="preserve">the </w:t>
      </w:r>
      <w:r w:rsidR="003D5374" w:rsidRPr="004672A7">
        <w:rPr>
          <w:rFonts w:ascii="Arial" w:hAnsi="Arial" w:cs="Arial"/>
          <w:sz w:val="18"/>
          <w:szCs w:val="18"/>
          <w:lang w:val="en-US"/>
        </w:rPr>
        <w:t xml:space="preserve">cell and metabolite concentrations </w:t>
      </w:r>
      <w:r w:rsidR="0076278B" w:rsidRPr="004672A7">
        <w:rPr>
          <w:rFonts w:ascii="Arial" w:hAnsi="Arial" w:cs="Arial"/>
          <w:sz w:val="18"/>
          <w:szCs w:val="18"/>
          <w:lang w:val="en-US"/>
        </w:rPr>
        <w:t xml:space="preserve">were </w:t>
      </w:r>
      <w:r w:rsidR="003D5374" w:rsidRPr="004672A7">
        <w:rPr>
          <w:rFonts w:ascii="Arial" w:hAnsi="Arial" w:cs="Arial"/>
          <w:sz w:val="18"/>
          <w:szCs w:val="18"/>
          <w:lang w:val="en-US"/>
        </w:rPr>
        <w:t xml:space="preserve">constant for at least </w:t>
      </w:r>
      <w:r w:rsidR="00D66AA2" w:rsidRPr="004672A7">
        <w:rPr>
          <w:rFonts w:ascii="Arial" w:hAnsi="Arial" w:cs="Arial"/>
          <w:sz w:val="18"/>
          <w:szCs w:val="18"/>
          <w:lang w:val="en-US"/>
        </w:rPr>
        <w:t>2</w:t>
      </w:r>
      <w:r w:rsidR="003D5374" w:rsidRPr="004672A7">
        <w:rPr>
          <w:rFonts w:ascii="Arial" w:hAnsi="Arial" w:cs="Arial"/>
          <w:sz w:val="18"/>
          <w:szCs w:val="18"/>
          <w:lang w:val="en-US"/>
        </w:rPr>
        <w:t>–</w:t>
      </w:r>
      <w:r w:rsidR="00D66AA2" w:rsidRPr="004672A7">
        <w:rPr>
          <w:rFonts w:ascii="Arial" w:hAnsi="Arial" w:cs="Arial"/>
          <w:sz w:val="18"/>
          <w:szCs w:val="18"/>
          <w:lang w:val="en-US"/>
        </w:rPr>
        <w:t>3</w:t>
      </w:r>
      <w:r w:rsidR="003D5374" w:rsidRPr="004672A7">
        <w:rPr>
          <w:rFonts w:ascii="Arial" w:hAnsi="Arial" w:cs="Arial"/>
          <w:sz w:val="18"/>
          <w:szCs w:val="18"/>
          <w:lang w:val="en-US"/>
        </w:rPr>
        <w:t xml:space="preserve"> times the reactor residence time.</w:t>
      </w:r>
    </w:p>
    <w:p w14:paraId="16C6FB12" w14:textId="77777777" w:rsidR="00260998" w:rsidRPr="00260998" w:rsidRDefault="00260998" w:rsidP="00260998">
      <w:pPr>
        <w:spacing w:before="100" w:beforeAutospacing="1" w:after="100" w:afterAutospacing="1"/>
        <w:contextualSpacing/>
        <w:jc w:val="both"/>
        <w:rPr>
          <w:rFonts w:ascii="Arial" w:hAnsi="Arial" w:cs="Arial"/>
          <w:sz w:val="18"/>
          <w:szCs w:val="18"/>
          <w:lang w:val="en-US"/>
        </w:rPr>
      </w:pPr>
    </w:p>
    <w:p w14:paraId="1FDCEF96" w14:textId="7BD9877B" w:rsidR="008B0D38" w:rsidRPr="00887F61" w:rsidRDefault="008B0D38" w:rsidP="00626384">
      <w:pPr>
        <w:spacing w:before="100" w:beforeAutospacing="1" w:after="100" w:afterAutospacing="1"/>
        <w:contextualSpacing/>
        <w:rPr>
          <w:rFonts w:ascii="Arial" w:hAnsi="Arial" w:cs="Arial"/>
          <w:b/>
          <w:bCs/>
          <w:sz w:val="18"/>
          <w:szCs w:val="18"/>
          <w:lang w:val="en-US"/>
        </w:rPr>
      </w:pPr>
      <w:r w:rsidRPr="00887F61">
        <w:rPr>
          <w:rFonts w:ascii="Arial" w:hAnsi="Arial" w:cs="Arial"/>
          <w:b/>
          <w:bCs/>
          <w:sz w:val="18"/>
          <w:szCs w:val="18"/>
          <w:lang w:val="en-US"/>
        </w:rPr>
        <w:t xml:space="preserve">2.4 Analytical methods </w:t>
      </w:r>
    </w:p>
    <w:p w14:paraId="16C2E556" w14:textId="00A96CDF" w:rsidR="00F3160F" w:rsidRPr="00F3160F" w:rsidRDefault="00F3160F" w:rsidP="00626384">
      <w:pPr>
        <w:spacing w:before="100" w:beforeAutospacing="1" w:after="100" w:afterAutospacing="1"/>
        <w:contextualSpacing/>
        <w:jc w:val="both"/>
        <w:rPr>
          <w:rFonts w:ascii="Arial" w:hAnsi="Arial" w:cs="Arial"/>
          <w:sz w:val="18"/>
          <w:szCs w:val="18"/>
          <w:lang w:val="en-US"/>
        </w:rPr>
      </w:pPr>
      <w:r w:rsidRPr="00F3160F">
        <w:rPr>
          <w:rFonts w:ascii="Arial" w:hAnsi="Arial" w:cs="Arial"/>
          <w:sz w:val="18"/>
          <w:szCs w:val="18"/>
          <w:lang w:val="en-US"/>
        </w:rPr>
        <w:t xml:space="preserve">To monitor batch and CSTR fermentations, periodic sampling was performed to evaluate microbial growth in the liquid phase, substrate consumption (glucose), and metabolite production. For liquid-phase analysis, 1 mL of </w:t>
      </w:r>
      <w:r w:rsidR="006C57C8">
        <w:rPr>
          <w:rFonts w:ascii="Arial" w:hAnsi="Arial" w:cs="Arial"/>
          <w:sz w:val="18"/>
          <w:szCs w:val="18"/>
          <w:lang w:val="en-US"/>
        </w:rPr>
        <w:t xml:space="preserve">the </w:t>
      </w:r>
      <w:r w:rsidRPr="00F3160F">
        <w:rPr>
          <w:rFonts w:ascii="Arial" w:hAnsi="Arial" w:cs="Arial"/>
          <w:sz w:val="18"/>
          <w:szCs w:val="18"/>
          <w:lang w:val="en-US"/>
        </w:rPr>
        <w:t>culture medium was withdrawn. The optical density (OD</w:t>
      </w:r>
      <w:r w:rsidRPr="00F3160F">
        <w:rPr>
          <w:rFonts w:ascii="Arial" w:hAnsi="Arial" w:cs="Arial"/>
          <w:sz w:val="18"/>
          <w:szCs w:val="18"/>
        </w:rPr>
        <w:t>λ</w:t>
      </w:r>
      <w:r w:rsidRPr="00F3160F">
        <w:rPr>
          <w:rFonts w:ascii="Arial" w:hAnsi="Arial" w:cs="Arial"/>
          <w:sz w:val="18"/>
          <w:szCs w:val="18"/>
          <w:lang w:val="en-US"/>
        </w:rPr>
        <w:t xml:space="preserve">) of the samples was measured at 600 nm using a UV–visible spectrophotometer (SPECORD 50 UV-VIS; </w:t>
      </w:r>
      <w:proofErr w:type="spellStart"/>
      <w:r w:rsidRPr="00F3160F">
        <w:rPr>
          <w:rFonts w:ascii="Arial" w:hAnsi="Arial" w:cs="Arial"/>
          <w:sz w:val="18"/>
          <w:szCs w:val="18"/>
          <w:lang w:val="en-US"/>
        </w:rPr>
        <w:t>Analytik</w:t>
      </w:r>
      <w:proofErr w:type="spellEnd"/>
      <w:r w:rsidRPr="00F3160F">
        <w:rPr>
          <w:rFonts w:ascii="Arial" w:hAnsi="Arial" w:cs="Arial"/>
          <w:sz w:val="18"/>
          <w:szCs w:val="18"/>
          <w:lang w:val="en-US"/>
        </w:rPr>
        <w:t xml:space="preserve"> Jena, Jena, Germany). Biomass concentration (</w:t>
      </w:r>
      <w:proofErr w:type="spellStart"/>
      <w:r w:rsidRPr="00F3160F">
        <w:rPr>
          <w:rFonts w:ascii="Arial" w:hAnsi="Arial" w:cs="Arial"/>
          <w:sz w:val="18"/>
          <w:szCs w:val="18"/>
          <w:lang w:val="en-US"/>
        </w:rPr>
        <w:t>g</w:t>
      </w:r>
      <w:r w:rsidRPr="00F3160F">
        <w:rPr>
          <w:rFonts w:ascii="Arial" w:hAnsi="Arial" w:cs="Arial"/>
          <w:sz w:val="18"/>
          <w:szCs w:val="18"/>
          <w:vertAlign w:val="subscript"/>
          <w:lang w:val="en-US"/>
        </w:rPr>
        <w:t>DM</w:t>
      </w:r>
      <w:proofErr w:type="spellEnd"/>
      <w:r w:rsidRPr="00A534D0">
        <w:rPr>
          <w:rFonts w:ascii="Arial" w:hAnsi="Arial" w:cs="Arial"/>
          <w:sz w:val="18"/>
          <w:szCs w:val="18"/>
          <w:lang w:val="en-US"/>
        </w:rPr>
        <w:t>/</w:t>
      </w:r>
      <w:r w:rsidRPr="00F3160F">
        <w:rPr>
          <w:rFonts w:ascii="Arial" w:hAnsi="Arial" w:cs="Arial"/>
          <w:sz w:val="18"/>
          <w:szCs w:val="18"/>
          <w:lang w:val="en-US"/>
        </w:rPr>
        <w:t xml:space="preserve">L) was calculated from the absorbance values using a calibration curve (1 OD = 0.4 </w:t>
      </w:r>
      <w:proofErr w:type="spellStart"/>
      <w:r w:rsidRPr="00F3160F">
        <w:rPr>
          <w:rFonts w:ascii="Arial" w:hAnsi="Arial" w:cs="Arial"/>
          <w:sz w:val="18"/>
          <w:szCs w:val="18"/>
          <w:lang w:val="en-US"/>
        </w:rPr>
        <w:t>g</w:t>
      </w:r>
      <w:r w:rsidRPr="00F3160F">
        <w:rPr>
          <w:rFonts w:ascii="Arial" w:hAnsi="Arial" w:cs="Arial"/>
          <w:sz w:val="18"/>
          <w:szCs w:val="18"/>
          <w:vertAlign w:val="subscript"/>
          <w:lang w:val="en-US"/>
        </w:rPr>
        <w:t>DM</w:t>
      </w:r>
      <w:proofErr w:type="spellEnd"/>
      <w:r w:rsidRPr="00A534D0">
        <w:rPr>
          <w:rFonts w:ascii="Arial" w:hAnsi="Arial" w:cs="Arial"/>
          <w:sz w:val="18"/>
          <w:szCs w:val="18"/>
          <w:lang w:val="en-US"/>
        </w:rPr>
        <w:t>/</w:t>
      </w:r>
      <w:r w:rsidRPr="00F3160F">
        <w:rPr>
          <w:rFonts w:ascii="Arial" w:hAnsi="Arial" w:cs="Arial"/>
          <w:sz w:val="18"/>
          <w:szCs w:val="18"/>
          <w:lang w:val="en-US"/>
        </w:rPr>
        <w:t>L).</w:t>
      </w:r>
    </w:p>
    <w:p w14:paraId="4DE4CAB7" w14:textId="0E192037" w:rsidR="00F3160F" w:rsidRPr="004672A7" w:rsidRDefault="00F3160F" w:rsidP="00A534D0">
      <w:pPr>
        <w:spacing w:before="100" w:beforeAutospacing="1" w:after="100" w:afterAutospacing="1"/>
        <w:contextualSpacing/>
        <w:jc w:val="both"/>
        <w:rPr>
          <w:rFonts w:ascii="Arial" w:hAnsi="Arial" w:cs="Arial"/>
          <w:sz w:val="18"/>
          <w:szCs w:val="18"/>
          <w:lang w:val="en-US"/>
        </w:rPr>
      </w:pPr>
      <w:r w:rsidRPr="00F3160F">
        <w:rPr>
          <w:rFonts w:ascii="Arial" w:hAnsi="Arial" w:cs="Arial"/>
          <w:sz w:val="18"/>
          <w:szCs w:val="18"/>
          <w:lang w:val="en-US"/>
        </w:rPr>
        <w:t>Prior to the analysis of water-soluble products, the samples were centrifuged at 13</w:t>
      </w:r>
      <w:r w:rsidRPr="00A534D0">
        <w:rPr>
          <w:rFonts w:ascii="Arial" w:hAnsi="Arial" w:cs="Arial"/>
          <w:sz w:val="18"/>
          <w:szCs w:val="18"/>
          <w:lang w:val="en-US"/>
        </w:rPr>
        <w:t>’</w:t>
      </w:r>
      <w:r w:rsidRPr="00F3160F">
        <w:rPr>
          <w:rFonts w:ascii="Arial" w:hAnsi="Arial" w:cs="Arial"/>
          <w:sz w:val="18"/>
          <w:szCs w:val="18"/>
          <w:lang w:val="en-US"/>
        </w:rPr>
        <w:t xml:space="preserve">000 rpm for 10 min using a </w:t>
      </w:r>
      <w:proofErr w:type="spellStart"/>
      <w:r w:rsidRPr="00F3160F">
        <w:rPr>
          <w:rFonts w:ascii="Arial" w:hAnsi="Arial" w:cs="Arial"/>
          <w:sz w:val="18"/>
          <w:szCs w:val="18"/>
          <w:lang w:val="en-US"/>
        </w:rPr>
        <w:t>MiniSpin</w:t>
      </w:r>
      <w:proofErr w:type="spellEnd"/>
      <w:r w:rsidRPr="00F3160F">
        <w:rPr>
          <w:rFonts w:ascii="Arial" w:hAnsi="Arial" w:cs="Arial"/>
          <w:sz w:val="18"/>
          <w:szCs w:val="18"/>
          <w:lang w:val="en-US"/>
        </w:rPr>
        <w:t xml:space="preserve"> centrifuge (Eppendorf </w:t>
      </w:r>
      <w:r w:rsidRPr="004672A7">
        <w:rPr>
          <w:rFonts w:ascii="Arial" w:hAnsi="Arial" w:cs="Arial"/>
          <w:sz w:val="18"/>
          <w:szCs w:val="18"/>
          <w:lang w:val="en-US"/>
        </w:rPr>
        <w:t xml:space="preserve">Italia, Milan, Italy). The concentrations of acetic acid and sugars were determined using an HPLC system (HP1260, Agilent Co., Santa Clara, CA, USA) equipped with a </w:t>
      </w:r>
      <w:proofErr w:type="spellStart"/>
      <w:r w:rsidRPr="004672A7">
        <w:rPr>
          <w:rFonts w:ascii="Arial" w:hAnsi="Arial" w:cs="Arial"/>
          <w:sz w:val="18"/>
          <w:szCs w:val="18"/>
          <w:lang w:val="en-US"/>
        </w:rPr>
        <w:t>Rezex</w:t>
      </w:r>
      <w:proofErr w:type="spellEnd"/>
      <w:r w:rsidRPr="004672A7">
        <w:rPr>
          <w:rFonts w:ascii="Arial" w:hAnsi="Arial" w:cs="Arial"/>
          <w:sz w:val="18"/>
          <w:szCs w:val="18"/>
          <w:lang w:val="en-US"/>
        </w:rPr>
        <w:t>™ RHM-Monosaccharide H</w:t>
      </w:r>
      <w:r w:rsidRPr="004672A7">
        <w:rPr>
          <w:rFonts w:ascii="Cambria Math" w:hAnsi="Cambria Math" w:cs="Cambria Math"/>
          <w:sz w:val="18"/>
          <w:szCs w:val="18"/>
          <w:lang w:val="en-US"/>
        </w:rPr>
        <w:t>⁺</w:t>
      </w:r>
      <w:r w:rsidRPr="004672A7">
        <w:rPr>
          <w:rFonts w:ascii="Arial" w:hAnsi="Arial" w:cs="Arial"/>
          <w:sz w:val="18"/>
          <w:szCs w:val="18"/>
          <w:lang w:val="en-US"/>
        </w:rPr>
        <w:t xml:space="preserve"> (8%) column (300 × 7.8 mm)</w:t>
      </w:r>
      <w:r w:rsidR="00C2723F" w:rsidRPr="004672A7">
        <w:rPr>
          <w:rFonts w:ascii="Arial" w:hAnsi="Arial" w:cs="Arial"/>
          <w:sz w:val="18"/>
          <w:szCs w:val="18"/>
          <w:lang w:val="en-US"/>
        </w:rPr>
        <w:t xml:space="preserve"> used at 25°C</w:t>
      </w:r>
      <w:r w:rsidRPr="004672A7">
        <w:rPr>
          <w:rFonts w:ascii="Arial" w:hAnsi="Arial" w:cs="Arial"/>
          <w:sz w:val="18"/>
          <w:szCs w:val="18"/>
          <w:lang w:val="en-US"/>
        </w:rPr>
        <w:t xml:space="preserve"> and a refractive index detector (RID) operat</w:t>
      </w:r>
      <w:r w:rsidR="00814BB2" w:rsidRPr="004672A7">
        <w:rPr>
          <w:rFonts w:ascii="Arial" w:hAnsi="Arial" w:cs="Arial"/>
          <w:sz w:val="18"/>
          <w:szCs w:val="18"/>
          <w:lang w:val="en-US"/>
        </w:rPr>
        <w:t>ed</w:t>
      </w:r>
      <w:r w:rsidRPr="004672A7">
        <w:rPr>
          <w:rFonts w:ascii="Arial" w:hAnsi="Arial" w:cs="Arial"/>
          <w:sz w:val="18"/>
          <w:szCs w:val="18"/>
          <w:lang w:val="en-US"/>
        </w:rPr>
        <w:t xml:space="preserve"> at </w:t>
      </w:r>
      <w:r w:rsidR="00C2723F" w:rsidRPr="004672A7">
        <w:rPr>
          <w:rFonts w:ascii="Arial" w:hAnsi="Arial" w:cs="Arial"/>
          <w:sz w:val="18"/>
          <w:szCs w:val="18"/>
          <w:lang w:val="en-US"/>
        </w:rPr>
        <w:t>25°C</w:t>
      </w:r>
      <w:r w:rsidRPr="004672A7">
        <w:rPr>
          <w:rFonts w:ascii="Arial" w:hAnsi="Arial" w:cs="Arial"/>
          <w:sz w:val="18"/>
          <w:szCs w:val="18"/>
          <w:lang w:val="en-US"/>
        </w:rPr>
        <w:t>. Water was used as the mobile phase at a flow rate of 0.6 mL/min.</w:t>
      </w:r>
    </w:p>
    <w:p w14:paraId="3BD60ECB" w14:textId="25B217C4" w:rsidR="00C2723F" w:rsidRPr="004672A7" w:rsidRDefault="00483D02" w:rsidP="00A534D0">
      <w:pPr>
        <w:jc w:val="both"/>
        <w:rPr>
          <w:rFonts w:ascii="Arial" w:hAnsi="Arial" w:cs="Arial"/>
          <w:sz w:val="18"/>
          <w:szCs w:val="18"/>
          <w:lang w:val="en-US"/>
        </w:rPr>
      </w:pPr>
      <w:r w:rsidRPr="004672A7">
        <w:rPr>
          <w:rFonts w:ascii="Arial" w:hAnsi="Arial" w:cs="Arial"/>
          <w:sz w:val="18"/>
          <w:szCs w:val="18"/>
          <w:lang w:val="en-US"/>
        </w:rPr>
        <w:t xml:space="preserve">Gas samples (3 mL) were routinely withdrawn from the batch </w:t>
      </w:r>
      <w:r w:rsidR="007C36EC" w:rsidRPr="004672A7">
        <w:rPr>
          <w:rFonts w:ascii="Arial" w:hAnsi="Arial" w:cs="Arial"/>
          <w:sz w:val="18"/>
          <w:szCs w:val="18"/>
          <w:lang w:val="en-US"/>
        </w:rPr>
        <w:t xml:space="preserve">bottles and CSTR </w:t>
      </w:r>
      <w:r w:rsidRPr="004672A7">
        <w:rPr>
          <w:rFonts w:ascii="Arial" w:hAnsi="Arial" w:cs="Arial"/>
          <w:sz w:val="18"/>
          <w:szCs w:val="18"/>
          <w:lang w:val="en-US"/>
        </w:rPr>
        <w:t>to assess the concentrations of H</w:t>
      </w:r>
      <w:r w:rsidRPr="004672A7">
        <w:rPr>
          <w:rFonts w:ascii="Cambria Math" w:hAnsi="Cambria Math" w:cs="Cambria Math"/>
          <w:sz w:val="18"/>
          <w:szCs w:val="18"/>
          <w:lang w:val="en-US"/>
        </w:rPr>
        <w:t>₂</w:t>
      </w:r>
      <w:r w:rsidRPr="004672A7">
        <w:rPr>
          <w:rFonts w:ascii="Arial" w:hAnsi="Arial" w:cs="Arial"/>
          <w:sz w:val="18"/>
          <w:szCs w:val="18"/>
          <w:lang w:val="en-US"/>
        </w:rPr>
        <w:t xml:space="preserve"> and CO</w:t>
      </w:r>
      <w:r w:rsidRPr="004672A7">
        <w:rPr>
          <w:rFonts w:ascii="Cambria Math" w:hAnsi="Cambria Math" w:cs="Cambria Math"/>
          <w:sz w:val="18"/>
          <w:szCs w:val="18"/>
          <w:lang w:val="en-US"/>
        </w:rPr>
        <w:t>₂</w:t>
      </w:r>
      <w:r w:rsidRPr="004672A7">
        <w:rPr>
          <w:rFonts w:ascii="Arial" w:hAnsi="Arial" w:cs="Arial"/>
          <w:sz w:val="18"/>
          <w:szCs w:val="18"/>
          <w:lang w:val="en-US"/>
        </w:rPr>
        <w:t xml:space="preserve">. </w:t>
      </w:r>
      <w:r w:rsidR="00A51119" w:rsidRPr="004672A7">
        <w:rPr>
          <w:rFonts w:ascii="Arial" w:hAnsi="Arial" w:cs="Arial"/>
          <w:sz w:val="18"/>
          <w:szCs w:val="18"/>
          <w:lang w:val="en-US"/>
        </w:rPr>
        <w:t>Following the protocol of Lanzillo et al. (202</w:t>
      </w:r>
      <w:r w:rsidR="00DF0484" w:rsidRPr="004672A7">
        <w:rPr>
          <w:rFonts w:ascii="Arial" w:hAnsi="Arial" w:cs="Arial"/>
          <w:sz w:val="18"/>
          <w:szCs w:val="18"/>
          <w:lang w:val="en-US"/>
        </w:rPr>
        <w:t>0</w:t>
      </w:r>
      <w:r w:rsidR="00A51119" w:rsidRPr="004672A7">
        <w:rPr>
          <w:rFonts w:ascii="Arial" w:hAnsi="Arial" w:cs="Arial"/>
          <w:sz w:val="18"/>
          <w:szCs w:val="18"/>
          <w:lang w:val="en-US"/>
        </w:rPr>
        <w:t>)</w:t>
      </w:r>
      <w:r w:rsidR="00A51119" w:rsidRPr="004672A7">
        <w:rPr>
          <w:rFonts w:ascii="Arial" w:hAnsi="Arial" w:cs="Arial"/>
          <w:lang w:val="en-US"/>
        </w:rPr>
        <w:t xml:space="preserve"> </w:t>
      </w:r>
      <w:r w:rsidR="00A51119" w:rsidRPr="004672A7">
        <w:rPr>
          <w:rFonts w:ascii="Arial" w:hAnsi="Arial" w:cs="Arial"/>
          <w:sz w:val="18"/>
          <w:szCs w:val="18"/>
          <w:lang w:val="en-US"/>
        </w:rPr>
        <w:t>g</w:t>
      </w:r>
      <w:r w:rsidRPr="004672A7">
        <w:rPr>
          <w:rFonts w:ascii="Arial" w:hAnsi="Arial" w:cs="Arial"/>
          <w:sz w:val="18"/>
          <w:szCs w:val="18"/>
          <w:lang w:val="en-US"/>
        </w:rPr>
        <w:t xml:space="preserve">as composition analysis was </w:t>
      </w:r>
      <w:r w:rsidR="006C57C8" w:rsidRPr="004672A7">
        <w:rPr>
          <w:rFonts w:ascii="Arial" w:hAnsi="Arial" w:cs="Arial"/>
          <w:sz w:val="18"/>
          <w:szCs w:val="18"/>
          <w:lang w:val="en-US"/>
        </w:rPr>
        <w:t>performed</w:t>
      </w:r>
      <w:r w:rsidRPr="004672A7">
        <w:rPr>
          <w:rFonts w:ascii="Arial" w:hAnsi="Arial" w:cs="Arial"/>
          <w:sz w:val="18"/>
          <w:szCs w:val="18"/>
          <w:lang w:val="en-US"/>
        </w:rPr>
        <w:t xml:space="preserve"> using a gas chromatograph (HP6890, Agilent Co., Santa Clara, CA, USA) equipped with a thermal conductivity detector</w:t>
      </w:r>
      <w:r w:rsidR="00814BB2" w:rsidRPr="004672A7">
        <w:rPr>
          <w:rFonts w:ascii="Arial" w:hAnsi="Arial" w:cs="Arial"/>
          <w:sz w:val="18"/>
          <w:szCs w:val="18"/>
          <w:lang w:val="en-US"/>
        </w:rPr>
        <w:t xml:space="preserve"> (TCD) operated</w:t>
      </w:r>
      <w:r w:rsidRPr="004672A7">
        <w:rPr>
          <w:rFonts w:ascii="Arial" w:hAnsi="Arial" w:cs="Arial"/>
          <w:sz w:val="18"/>
          <w:szCs w:val="18"/>
          <w:lang w:val="en-US"/>
        </w:rPr>
        <w:t xml:space="preserve"> </w:t>
      </w:r>
      <w:r w:rsidR="00814BB2" w:rsidRPr="004672A7">
        <w:rPr>
          <w:rFonts w:ascii="Arial" w:hAnsi="Arial" w:cs="Arial"/>
          <w:sz w:val="18"/>
          <w:szCs w:val="18"/>
          <w:lang w:val="en-US"/>
        </w:rPr>
        <w:t>at 100°C</w:t>
      </w:r>
      <w:r w:rsidRPr="004672A7">
        <w:rPr>
          <w:rFonts w:ascii="Arial" w:hAnsi="Arial" w:cs="Arial"/>
          <w:sz w:val="18"/>
          <w:szCs w:val="18"/>
          <w:lang w:val="en-US"/>
        </w:rPr>
        <w:t xml:space="preserve">. The instrument was fitted with an HP-PLOT Molecular Sieve 5A capillary column (15 m length, 0.53 mm internal diameter, 50 </w:t>
      </w:r>
      <w:r w:rsidRPr="004672A7">
        <w:rPr>
          <w:rFonts w:ascii="Arial" w:hAnsi="Arial" w:cs="Arial"/>
          <w:sz w:val="18"/>
          <w:szCs w:val="18"/>
        </w:rPr>
        <w:t>μ</w:t>
      </w:r>
      <w:r w:rsidRPr="004672A7">
        <w:rPr>
          <w:rFonts w:ascii="Arial" w:hAnsi="Arial" w:cs="Arial"/>
          <w:sz w:val="18"/>
          <w:szCs w:val="18"/>
          <w:lang w:val="en-US"/>
        </w:rPr>
        <w:t xml:space="preserve">m film thickness) (Sigma Aldrich, Milan, Italy). </w:t>
      </w:r>
      <w:r w:rsidR="00814BB2" w:rsidRPr="004672A7">
        <w:rPr>
          <w:rFonts w:ascii="Arial" w:hAnsi="Arial" w:cs="Arial"/>
          <w:sz w:val="18"/>
          <w:szCs w:val="18"/>
          <w:lang w:val="en-US"/>
        </w:rPr>
        <w:t>The analyses were performed using helium as the carrier gas at a flow rate of 4 mL/min and a pressure of 3.44 psi, with the system maintained at a static temperature of 50 °C.</w:t>
      </w:r>
    </w:p>
    <w:p w14:paraId="10D4AB31" w14:textId="59FF8D21" w:rsidR="008B0D38" w:rsidRPr="000260F0" w:rsidRDefault="00483D02" w:rsidP="00A534D0">
      <w:pPr>
        <w:jc w:val="both"/>
        <w:rPr>
          <w:rFonts w:ascii="Arial" w:hAnsi="Arial" w:cs="Arial"/>
          <w:sz w:val="18"/>
          <w:szCs w:val="18"/>
          <w:lang w:val="en-US"/>
        </w:rPr>
      </w:pPr>
      <w:r w:rsidRPr="004672A7">
        <w:rPr>
          <w:rFonts w:ascii="Arial" w:hAnsi="Arial" w:cs="Arial"/>
          <w:sz w:val="18"/>
          <w:szCs w:val="18"/>
          <w:lang w:val="en-US"/>
        </w:rPr>
        <w:t xml:space="preserve">The internal pressure of the fermentation bottles was recorded using a pressure gauge (Keller) </w:t>
      </w:r>
      <w:r w:rsidR="006C57C8" w:rsidRPr="004672A7">
        <w:rPr>
          <w:rFonts w:ascii="Arial" w:hAnsi="Arial" w:cs="Arial"/>
          <w:sz w:val="18"/>
          <w:szCs w:val="18"/>
          <w:lang w:val="en-US"/>
        </w:rPr>
        <w:t>before and after</w:t>
      </w:r>
      <w:r w:rsidRPr="004672A7">
        <w:rPr>
          <w:rFonts w:ascii="Arial" w:hAnsi="Arial" w:cs="Arial"/>
          <w:sz w:val="18"/>
          <w:szCs w:val="18"/>
          <w:lang w:val="en-US"/>
        </w:rPr>
        <w:t xml:space="preserve"> each gas sampling.</w:t>
      </w:r>
      <w:r w:rsidR="000260F0" w:rsidRPr="004672A7">
        <w:rPr>
          <w:rFonts w:ascii="Arial" w:hAnsi="Arial" w:cs="Arial"/>
          <w:sz w:val="18"/>
          <w:szCs w:val="18"/>
          <w:lang w:val="en-US"/>
        </w:rPr>
        <w:t xml:space="preserve"> Gas production in the CSTR reactor </w:t>
      </w:r>
      <w:r w:rsidR="000260F0" w:rsidRPr="000260F0">
        <w:rPr>
          <w:rFonts w:ascii="Arial" w:hAnsi="Arial" w:cs="Arial"/>
          <w:sz w:val="18"/>
          <w:szCs w:val="18"/>
          <w:lang w:val="en-US"/>
        </w:rPr>
        <w:t>was instead measured continuously using an automatic flow meter (BPC</w:t>
      </w:r>
      <w:r w:rsidR="000260F0" w:rsidRPr="000260F0">
        <w:rPr>
          <w:rFonts w:ascii="Arial" w:hAnsi="Arial" w:cs="Arial"/>
          <w:sz w:val="18"/>
          <w:szCs w:val="18"/>
          <w:vertAlign w:val="superscript"/>
          <w:lang w:val="en-US"/>
        </w:rPr>
        <w:t>®</w:t>
      </w:r>
      <w:r w:rsidR="000260F0" w:rsidRPr="000260F0">
        <w:rPr>
          <w:rFonts w:ascii="Arial" w:hAnsi="Arial" w:cs="Arial"/>
          <w:sz w:val="18"/>
          <w:szCs w:val="18"/>
          <w:lang w:val="en-US"/>
        </w:rPr>
        <w:t xml:space="preserve"> Go).</w:t>
      </w:r>
    </w:p>
    <w:p w14:paraId="78B29941" w14:textId="6278BB21" w:rsidR="00D7199F" w:rsidRPr="000260F0" w:rsidRDefault="00226B74" w:rsidP="00235774">
      <w:pPr>
        <w:jc w:val="both"/>
        <w:rPr>
          <w:rFonts w:ascii="Arial" w:hAnsi="Arial" w:cs="Arial"/>
          <w:sz w:val="18"/>
          <w:szCs w:val="18"/>
          <w:lang w:val="en-US"/>
        </w:rPr>
      </w:pPr>
      <w:r w:rsidRPr="000260F0">
        <w:rPr>
          <w:rFonts w:ascii="Arial" w:hAnsi="Arial" w:cs="Arial"/>
          <w:sz w:val="18"/>
          <w:szCs w:val="18"/>
          <w:lang w:val="en-US"/>
        </w:rPr>
        <w:t xml:space="preserve">The experiments were </w:t>
      </w:r>
      <w:r w:rsidR="006C57C8" w:rsidRPr="000260F0">
        <w:rPr>
          <w:rFonts w:ascii="Arial" w:hAnsi="Arial" w:cs="Arial"/>
          <w:sz w:val="18"/>
          <w:szCs w:val="18"/>
          <w:lang w:val="en-US"/>
        </w:rPr>
        <w:t>performed</w:t>
      </w:r>
      <w:r w:rsidRPr="000260F0">
        <w:rPr>
          <w:rFonts w:ascii="Arial" w:hAnsi="Arial" w:cs="Arial"/>
          <w:sz w:val="18"/>
          <w:szCs w:val="18"/>
          <w:lang w:val="en-US"/>
        </w:rPr>
        <w:t xml:space="preserve"> in triplicate. </w:t>
      </w:r>
    </w:p>
    <w:p w14:paraId="3D507EDC" w14:textId="319A433B" w:rsidR="00304237" w:rsidRPr="00356331" w:rsidRDefault="00304237" w:rsidP="00C2723F">
      <w:pPr>
        <w:spacing w:before="100" w:beforeAutospacing="1"/>
        <w:rPr>
          <w:rFonts w:ascii="Arial" w:hAnsi="Arial" w:cs="Arial"/>
          <w:b/>
          <w:bCs/>
          <w:sz w:val="20"/>
          <w:lang w:val="en-US"/>
        </w:rPr>
      </w:pPr>
      <w:r w:rsidRPr="00EE4A59">
        <w:rPr>
          <w:rFonts w:ascii="Arial" w:hAnsi="Arial" w:cs="Arial"/>
          <w:b/>
          <w:bCs/>
          <w:sz w:val="20"/>
          <w:szCs w:val="20"/>
          <w:lang w:val="en-US"/>
        </w:rPr>
        <w:t>3. Results</w:t>
      </w:r>
      <w:r w:rsidRPr="00EE4A59">
        <w:rPr>
          <w:rFonts w:ascii="Arial" w:hAnsi="Arial" w:cs="Arial"/>
          <w:b/>
          <w:bCs/>
          <w:sz w:val="20"/>
          <w:lang w:val="en-US"/>
        </w:rPr>
        <w:t xml:space="preserve"> </w:t>
      </w:r>
    </w:p>
    <w:p w14:paraId="6B9961E1" w14:textId="7578F00E" w:rsidR="00337F9A" w:rsidRDefault="00E13D35" w:rsidP="00C2723F">
      <w:pPr>
        <w:jc w:val="both"/>
        <w:rPr>
          <w:rFonts w:ascii="Arial" w:hAnsi="Arial" w:cs="Arial"/>
          <w:sz w:val="18"/>
          <w:szCs w:val="18"/>
          <w:lang w:val="en-US"/>
        </w:rPr>
      </w:pPr>
      <w:r>
        <w:rPr>
          <w:rFonts w:ascii="Arial" w:hAnsi="Arial" w:cs="Arial"/>
          <w:sz w:val="18"/>
          <w:szCs w:val="18"/>
          <w:lang w:val="en-US"/>
        </w:rPr>
        <w:t>This</w:t>
      </w:r>
      <w:r w:rsidR="00337F9A" w:rsidRPr="00337F9A">
        <w:rPr>
          <w:rFonts w:ascii="Arial" w:hAnsi="Arial" w:cs="Arial"/>
          <w:sz w:val="18"/>
          <w:szCs w:val="18"/>
          <w:lang w:val="en-US"/>
        </w:rPr>
        <w:t xml:space="preserve"> study </w:t>
      </w:r>
      <w:r>
        <w:rPr>
          <w:rFonts w:ascii="Arial" w:hAnsi="Arial" w:cs="Arial"/>
          <w:sz w:val="18"/>
          <w:szCs w:val="18"/>
          <w:lang w:val="en-US"/>
        </w:rPr>
        <w:t>aimed</w:t>
      </w:r>
      <w:r w:rsidR="00337F9A" w:rsidRPr="00337F9A">
        <w:rPr>
          <w:rFonts w:ascii="Arial" w:hAnsi="Arial" w:cs="Arial"/>
          <w:sz w:val="18"/>
          <w:szCs w:val="18"/>
          <w:lang w:val="en-US"/>
        </w:rPr>
        <w:t xml:space="preserve"> to </w:t>
      </w:r>
      <w:r w:rsidR="0076278B">
        <w:rPr>
          <w:rFonts w:ascii="Arial" w:hAnsi="Arial" w:cs="Arial"/>
          <w:sz w:val="18"/>
          <w:szCs w:val="18"/>
          <w:lang w:val="en-US"/>
        </w:rPr>
        <w:t>assess</w:t>
      </w:r>
      <w:r w:rsidR="0076278B" w:rsidRPr="00337F9A">
        <w:rPr>
          <w:rFonts w:ascii="Arial" w:hAnsi="Arial" w:cs="Arial"/>
          <w:sz w:val="18"/>
          <w:szCs w:val="18"/>
          <w:lang w:val="en-US"/>
        </w:rPr>
        <w:t xml:space="preserve"> </w:t>
      </w:r>
      <w:r w:rsidR="00337F9A" w:rsidRPr="00337F9A">
        <w:rPr>
          <w:rFonts w:ascii="Arial" w:hAnsi="Arial" w:cs="Arial"/>
          <w:sz w:val="18"/>
          <w:szCs w:val="18"/>
          <w:lang w:val="en-US"/>
        </w:rPr>
        <w:t xml:space="preserve">different types of supports for biofilm formation by the bacterium </w:t>
      </w:r>
      <w:proofErr w:type="spellStart"/>
      <w:r w:rsidR="00337F9A" w:rsidRPr="00337F9A">
        <w:rPr>
          <w:rStyle w:val="Enfasicorsivo"/>
          <w:rFonts w:ascii="Arial" w:hAnsi="Arial" w:cs="Arial"/>
          <w:sz w:val="18"/>
          <w:szCs w:val="18"/>
          <w:lang w:val="en-US"/>
        </w:rPr>
        <w:t>Thermotoga</w:t>
      </w:r>
      <w:proofErr w:type="spellEnd"/>
      <w:r w:rsidR="00337F9A" w:rsidRPr="00337F9A">
        <w:rPr>
          <w:rStyle w:val="Enfasicorsivo"/>
          <w:rFonts w:ascii="Arial" w:hAnsi="Arial" w:cs="Arial"/>
          <w:sz w:val="18"/>
          <w:szCs w:val="18"/>
          <w:lang w:val="en-US"/>
        </w:rPr>
        <w:t xml:space="preserve"> </w:t>
      </w:r>
      <w:proofErr w:type="spellStart"/>
      <w:r w:rsidR="00337F9A" w:rsidRPr="00337F9A">
        <w:rPr>
          <w:rStyle w:val="Enfasicorsivo"/>
          <w:rFonts w:ascii="Arial" w:hAnsi="Arial" w:cs="Arial"/>
          <w:sz w:val="18"/>
          <w:szCs w:val="18"/>
          <w:lang w:val="en-US"/>
        </w:rPr>
        <w:t>neapolitana</w:t>
      </w:r>
      <w:proofErr w:type="spellEnd"/>
      <w:r w:rsidR="00337F9A" w:rsidRPr="00337F9A">
        <w:rPr>
          <w:rFonts w:ascii="Arial" w:hAnsi="Arial" w:cs="Arial"/>
          <w:sz w:val="18"/>
          <w:szCs w:val="18"/>
          <w:lang w:val="en-US"/>
        </w:rPr>
        <w:t xml:space="preserve">. </w:t>
      </w:r>
      <w:r w:rsidR="0076278B">
        <w:rPr>
          <w:rFonts w:ascii="Arial" w:hAnsi="Arial" w:cs="Arial"/>
          <w:sz w:val="18"/>
          <w:szCs w:val="18"/>
          <w:lang w:val="en-US"/>
        </w:rPr>
        <w:t>A fermentation campaign was carried out</w:t>
      </w:r>
      <w:r w:rsidR="00337F9A" w:rsidRPr="00337F9A">
        <w:rPr>
          <w:rFonts w:ascii="Arial" w:hAnsi="Arial" w:cs="Arial"/>
          <w:sz w:val="18"/>
          <w:szCs w:val="18"/>
          <w:lang w:val="en-US"/>
        </w:rPr>
        <w:t xml:space="preserve"> </w:t>
      </w:r>
      <w:r w:rsidR="0076278B">
        <w:rPr>
          <w:rFonts w:ascii="Arial" w:hAnsi="Arial" w:cs="Arial"/>
          <w:sz w:val="18"/>
          <w:szCs w:val="18"/>
          <w:lang w:val="en-US"/>
        </w:rPr>
        <w:t xml:space="preserve">for </w:t>
      </w:r>
      <w:proofErr w:type="gramStart"/>
      <w:r w:rsidR="00337F9A" w:rsidRPr="00337F9A">
        <w:rPr>
          <w:rFonts w:ascii="Arial" w:hAnsi="Arial" w:cs="Arial"/>
          <w:sz w:val="18"/>
          <w:szCs w:val="18"/>
          <w:lang w:val="en-US"/>
        </w:rPr>
        <w:t>a preliminary</w:t>
      </w:r>
      <w:proofErr w:type="gramEnd"/>
      <w:r w:rsidR="00337F9A" w:rsidRPr="00337F9A">
        <w:rPr>
          <w:rFonts w:ascii="Arial" w:hAnsi="Arial" w:cs="Arial"/>
          <w:sz w:val="18"/>
          <w:szCs w:val="18"/>
          <w:lang w:val="en-US"/>
        </w:rPr>
        <w:t xml:space="preserve"> material screening </w:t>
      </w:r>
      <w:r w:rsidR="0076278B">
        <w:rPr>
          <w:rFonts w:ascii="Arial" w:hAnsi="Arial" w:cs="Arial"/>
          <w:sz w:val="18"/>
          <w:szCs w:val="18"/>
          <w:lang w:val="en-US"/>
        </w:rPr>
        <w:t xml:space="preserve">in </w:t>
      </w:r>
      <w:r w:rsidR="00337F9A" w:rsidRPr="00337F9A">
        <w:rPr>
          <w:rFonts w:ascii="Arial" w:hAnsi="Arial" w:cs="Arial"/>
          <w:sz w:val="18"/>
          <w:szCs w:val="18"/>
          <w:lang w:val="en-US"/>
        </w:rPr>
        <w:t xml:space="preserve">batch reactors (100 mL bottles). </w:t>
      </w:r>
      <w:r w:rsidR="0076278B">
        <w:rPr>
          <w:rFonts w:ascii="Arial" w:hAnsi="Arial" w:cs="Arial"/>
          <w:sz w:val="18"/>
          <w:szCs w:val="18"/>
          <w:lang w:val="en-US"/>
        </w:rPr>
        <w:t>The selected carrier -</w:t>
      </w:r>
      <w:r w:rsidR="00337F9A" w:rsidRPr="00337F9A">
        <w:rPr>
          <w:rFonts w:ascii="Arial" w:hAnsi="Arial" w:cs="Arial"/>
          <w:sz w:val="18"/>
          <w:szCs w:val="18"/>
          <w:lang w:val="en-US"/>
        </w:rPr>
        <w:t xml:space="preserve"> nylon </w:t>
      </w:r>
      <w:r w:rsidR="00DF330E">
        <w:rPr>
          <w:rFonts w:ascii="Arial" w:hAnsi="Arial" w:cs="Arial"/>
          <w:sz w:val="18"/>
          <w:szCs w:val="18"/>
          <w:lang w:val="en-US"/>
        </w:rPr>
        <w:t>nets</w:t>
      </w:r>
      <w:r w:rsidR="0076278B">
        <w:rPr>
          <w:rFonts w:ascii="Arial" w:hAnsi="Arial" w:cs="Arial"/>
          <w:sz w:val="18"/>
          <w:szCs w:val="18"/>
          <w:lang w:val="en-US"/>
        </w:rPr>
        <w:t xml:space="preserve"> - was </w:t>
      </w:r>
      <w:r w:rsidR="00A126FD">
        <w:rPr>
          <w:rFonts w:ascii="Arial" w:hAnsi="Arial" w:cs="Arial"/>
          <w:sz w:val="18"/>
          <w:szCs w:val="18"/>
          <w:lang w:val="en-US"/>
        </w:rPr>
        <w:t xml:space="preserve">subsequently </w:t>
      </w:r>
      <w:r w:rsidR="00337F9A" w:rsidRPr="00337F9A">
        <w:rPr>
          <w:rFonts w:ascii="Arial" w:hAnsi="Arial" w:cs="Arial"/>
          <w:sz w:val="18"/>
          <w:szCs w:val="18"/>
          <w:lang w:val="en-US"/>
        </w:rPr>
        <w:t xml:space="preserve">used for tests in </w:t>
      </w:r>
      <w:r w:rsidR="0076278B">
        <w:rPr>
          <w:rFonts w:ascii="Arial" w:hAnsi="Arial" w:cs="Arial"/>
          <w:sz w:val="18"/>
          <w:szCs w:val="18"/>
          <w:lang w:val="en-US"/>
        </w:rPr>
        <w:t xml:space="preserve">a </w:t>
      </w:r>
      <w:r w:rsidR="00337F9A" w:rsidRPr="00337F9A">
        <w:rPr>
          <w:rFonts w:ascii="Arial" w:hAnsi="Arial" w:cs="Arial"/>
          <w:sz w:val="18"/>
          <w:szCs w:val="18"/>
          <w:lang w:val="en-US"/>
        </w:rPr>
        <w:t>continuous stirre</w:t>
      </w:r>
      <w:r w:rsidR="00F7397B">
        <w:rPr>
          <w:rFonts w:ascii="Arial" w:hAnsi="Arial" w:cs="Arial"/>
          <w:sz w:val="18"/>
          <w:szCs w:val="18"/>
          <w:lang w:val="en-US"/>
        </w:rPr>
        <w:t>d</w:t>
      </w:r>
      <w:r w:rsidR="0063090E">
        <w:rPr>
          <w:rFonts w:ascii="Arial" w:hAnsi="Arial" w:cs="Arial"/>
          <w:sz w:val="18"/>
          <w:szCs w:val="18"/>
          <w:lang w:val="en-US"/>
        </w:rPr>
        <w:t>-</w:t>
      </w:r>
      <w:r w:rsidR="00337F9A" w:rsidRPr="00337F9A">
        <w:rPr>
          <w:rFonts w:ascii="Arial" w:hAnsi="Arial" w:cs="Arial"/>
          <w:sz w:val="18"/>
          <w:szCs w:val="18"/>
          <w:lang w:val="en-US"/>
        </w:rPr>
        <w:t>tank reactor (CSTR).</w:t>
      </w:r>
    </w:p>
    <w:p w14:paraId="5FF736D4" w14:textId="77777777" w:rsidR="00626384" w:rsidRPr="00337F9A" w:rsidRDefault="00626384" w:rsidP="00337F9A">
      <w:pPr>
        <w:jc w:val="both"/>
        <w:rPr>
          <w:rFonts w:ascii="Arial" w:hAnsi="Arial" w:cs="Arial"/>
          <w:sz w:val="18"/>
          <w:szCs w:val="18"/>
          <w:lang w:val="en-US"/>
        </w:rPr>
      </w:pPr>
    </w:p>
    <w:p w14:paraId="14BC25A4" w14:textId="10FCCD1D" w:rsidR="00356331" w:rsidRPr="00356331" w:rsidRDefault="00A96329" w:rsidP="00626384">
      <w:pPr>
        <w:spacing w:before="100" w:beforeAutospacing="1" w:after="100" w:afterAutospacing="1"/>
        <w:contextualSpacing/>
        <w:rPr>
          <w:rFonts w:ascii="Arial" w:hAnsi="Arial" w:cs="Arial"/>
          <w:b/>
          <w:bCs/>
          <w:sz w:val="18"/>
          <w:szCs w:val="18"/>
          <w:lang w:val="en-US"/>
        </w:rPr>
      </w:pPr>
      <w:r w:rsidRPr="00356331">
        <w:rPr>
          <w:rFonts w:ascii="Arial" w:hAnsi="Arial" w:cs="Arial"/>
          <w:b/>
          <w:bCs/>
          <w:sz w:val="18"/>
          <w:szCs w:val="18"/>
          <w:lang w:val="en-US"/>
        </w:rPr>
        <w:t>3.1 Batch tests for biofilm production</w:t>
      </w:r>
    </w:p>
    <w:p w14:paraId="52536A2F" w14:textId="221697DC" w:rsidR="006B6EF2" w:rsidRPr="006B6EF2" w:rsidRDefault="006B6EF2" w:rsidP="00626384">
      <w:pPr>
        <w:spacing w:before="100" w:beforeAutospacing="1" w:after="100" w:afterAutospacing="1"/>
        <w:contextualSpacing/>
        <w:jc w:val="both"/>
        <w:rPr>
          <w:rFonts w:ascii="Arial" w:hAnsi="Arial" w:cs="Arial"/>
          <w:sz w:val="18"/>
          <w:szCs w:val="18"/>
          <w:lang w:val="en-US"/>
        </w:rPr>
      </w:pPr>
      <w:r w:rsidRPr="006B6EF2">
        <w:rPr>
          <w:rFonts w:ascii="Arial" w:hAnsi="Arial" w:cs="Arial"/>
          <w:sz w:val="18"/>
          <w:szCs w:val="18"/>
          <w:lang w:val="en-US"/>
        </w:rPr>
        <w:t>Biofilm production is typically associated with aerobic and mesophilic microorganisms</w:t>
      </w:r>
      <w:r w:rsidR="0076278B">
        <w:rPr>
          <w:rFonts w:ascii="Arial" w:hAnsi="Arial" w:cs="Arial"/>
          <w:sz w:val="18"/>
          <w:szCs w:val="18"/>
          <w:lang w:val="en-US"/>
        </w:rPr>
        <w:t>.</w:t>
      </w:r>
      <w:r w:rsidRPr="006B6EF2">
        <w:rPr>
          <w:rFonts w:ascii="Arial" w:hAnsi="Arial" w:cs="Arial"/>
          <w:sz w:val="18"/>
          <w:szCs w:val="18"/>
          <w:lang w:val="en-US"/>
        </w:rPr>
        <w:t xml:space="preserve"> </w:t>
      </w:r>
      <w:r w:rsidR="0076278B">
        <w:rPr>
          <w:rFonts w:ascii="Arial" w:hAnsi="Arial" w:cs="Arial"/>
          <w:sz w:val="18"/>
          <w:szCs w:val="18"/>
          <w:lang w:val="en-US"/>
        </w:rPr>
        <w:t>H</w:t>
      </w:r>
      <w:r w:rsidR="0076278B" w:rsidRPr="006B6EF2">
        <w:rPr>
          <w:rFonts w:ascii="Arial" w:hAnsi="Arial" w:cs="Arial"/>
          <w:sz w:val="18"/>
          <w:szCs w:val="18"/>
          <w:lang w:val="en-US"/>
        </w:rPr>
        <w:t>owever</w:t>
      </w:r>
      <w:r w:rsidRPr="006B6EF2">
        <w:rPr>
          <w:rFonts w:ascii="Arial" w:hAnsi="Arial" w:cs="Arial"/>
          <w:sz w:val="18"/>
          <w:szCs w:val="18"/>
          <w:lang w:val="en-US"/>
        </w:rPr>
        <w:t xml:space="preserve">, bacterial aggregation on solid </w:t>
      </w:r>
      <w:r w:rsidR="0076278B">
        <w:rPr>
          <w:rFonts w:ascii="Arial" w:hAnsi="Arial" w:cs="Arial"/>
          <w:sz w:val="18"/>
          <w:szCs w:val="18"/>
          <w:lang w:val="en-US"/>
        </w:rPr>
        <w:t>carriers</w:t>
      </w:r>
      <w:r w:rsidR="0076278B" w:rsidRPr="006B6EF2">
        <w:rPr>
          <w:rFonts w:ascii="Arial" w:hAnsi="Arial" w:cs="Arial"/>
          <w:sz w:val="18"/>
          <w:szCs w:val="18"/>
          <w:lang w:val="en-US"/>
        </w:rPr>
        <w:t xml:space="preserve"> </w:t>
      </w:r>
      <w:r w:rsidRPr="006B6EF2">
        <w:rPr>
          <w:rFonts w:ascii="Arial" w:hAnsi="Arial" w:cs="Arial"/>
          <w:sz w:val="18"/>
          <w:szCs w:val="18"/>
          <w:lang w:val="en-US"/>
        </w:rPr>
        <w:t xml:space="preserve">has also been observed </w:t>
      </w:r>
      <w:r w:rsidR="0076278B">
        <w:rPr>
          <w:rFonts w:ascii="Arial" w:hAnsi="Arial" w:cs="Arial"/>
          <w:sz w:val="18"/>
          <w:szCs w:val="18"/>
          <w:lang w:val="en-US"/>
        </w:rPr>
        <w:t xml:space="preserve">for </w:t>
      </w:r>
      <w:r w:rsidRPr="006B6EF2">
        <w:rPr>
          <w:rFonts w:ascii="Arial" w:hAnsi="Arial" w:cs="Arial"/>
          <w:sz w:val="18"/>
          <w:szCs w:val="18"/>
          <w:lang w:val="en-US"/>
        </w:rPr>
        <w:t xml:space="preserve">certain anaerobic and thermophilic </w:t>
      </w:r>
      <w:r w:rsidR="00A126FD">
        <w:rPr>
          <w:rFonts w:ascii="Arial" w:hAnsi="Arial" w:cs="Arial"/>
          <w:sz w:val="18"/>
          <w:szCs w:val="18"/>
          <w:lang w:val="en-US"/>
        </w:rPr>
        <w:t>species</w:t>
      </w:r>
      <w:r w:rsidRPr="006B6EF2">
        <w:rPr>
          <w:rFonts w:ascii="Arial" w:hAnsi="Arial" w:cs="Arial"/>
          <w:sz w:val="18"/>
          <w:szCs w:val="18"/>
          <w:lang w:val="en-US"/>
        </w:rPr>
        <w:t xml:space="preserve">. </w:t>
      </w:r>
      <w:proofErr w:type="spellStart"/>
      <w:r w:rsidRPr="006B6EF2">
        <w:rPr>
          <w:rFonts w:ascii="Arial" w:hAnsi="Arial" w:cs="Arial"/>
          <w:sz w:val="18"/>
          <w:szCs w:val="18"/>
          <w:lang w:val="en-US"/>
        </w:rPr>
        <w:t>Reysenbach</w:t>
      </w:r>
      <w:proofErr w:type="spellEnd"/>
      <w:r w:rsidRPr="006B6EF2">
        <w:rPr>
          <w:rFonts w:ascii="Arial" w:hAnsi="Arial" w:cs="Arial"/>
          <w:sz w:val="18"/>
          <w:szCs w:val="18"/>
          <w:lang w:val="en-US"/>
        </w:rPr>
        <w:t xml:space="preserve"> and Shock (2002) reported several cases in which bacteria grown at approximately 80°</w:t>
      </w:r>
      <w:r w:rsidR="00D66AA2">
        <w:rPr>
          <w:rFonts w:ascii="Arial" w:hAnsi="Arial" w:cs="Arial"/>
          <w:sz w:val="18"/>
          <w:szCs w:val="18"/>
          <w:lang w:val="en-US"/>
        </w:rPr>
        <w:t xml:space="preserve"> </w:t>
      </w:r>
      <w:r w:rsidRPr="006B6EF2">
        <w:rPr>
          <w:rFonts w:ascii="Arial" w:hAnsi="Arial" w:cs="Arial"/>
          <w:sz w:val="18"/>
          <w:szCs w:val="18"/>
          <w:lang w:val="en-US"/>
        </w:rPr>
        <w:t xml:space="preserve">C </w:t>
      </w:r>
      <w:r w:rsidR="00E451C7">
        <w:rPr>
          <w:rFonts w:ascii="Arial" w:hAnsi="Arial" w:cs="Arial"/>
          <w:sz w:val="18"/>
          <w:szCs w:val="18"/>
          <w:lang w:val="en-US"/>
        </w:rPr>
        <w:t>produced</w:t>
      </w:r>
      <w:r w:rsidRPr="006B6EF2">
        <w:rPr>
          <w:rFonts w:ascii="Arial" w:hAnsi="Arial" w:cs="Arial"/>
          <w:sz w:val="18"/>
          <w:szCs w:val="18"/>
          <w:lang w:val="en-US"/>
        </w:rPr>
        <w:t xml:space="preserve"> exopolysaccharides, which are fundamental to biofilm formation.</w:t>
      </w:r>
    </w:p>
    <w:p w14:paraId="04848F7B" w14:textId="79C40D3E" w:rsidR="00304237" w:rsidRDefault="006B6EF2" w:rsidP="00D153A2">
      <w:pPr>
        <w:spacing w:before="100" w:beforeAutospacing="1" w:after="100" w:afterAutospacing="1"/>
        <w:contextualSpacing/>
        <w:jc w:val="both"/>
        <w:rPr>
          <w:rFonts w:ascii="Arial" w:hAnsi="Arial" w:cs="Arial"/>
          <w:b/>
          <w:bCs/>
          <w:sz w:val="18"/>
          <w:szCs w:val="18"/>
          <w:lang w:val="en-US"/>
        </w:rPr>
      </w:pPr>
      <w:r w:rsidRPr="006B6EF2">
        <w:rPr>
          <w:rFonts w:ascii="Arial" w:hAnsi="Arial" w:cs="Arial"/>
          <w:sz w:val="18"/>
          <w:szCs w:val="18"/>
          <w:lang w:val="en-US"/>
        </w:rPr>
        <w:t xml:space="preserve">Different types of solid </w:t>
      </w:r>
      <w:r w:rsidR="00E61985">
        <w:rPr>
          <w:rFonts w:ascii="Arial" w:hAnsi="Arial" w:cs="Arial"/>
          <w:sz w:val="18"/>
          <w:szCs w:val="18"/>
          <w:lang w:val="en-US"/>
        </w:rPr>
        <w:t>carriers</w:t>
      </w:r>
      <w:r w:rsidR="00E61985" w:rsidRPr="006B6EF2">
        <w:rPr>
          <w:rFonts w:ascii="Arial" w:hAnsi="Arial" w:cs="Arial"/>
          <w:sz w:val="18"/>
          <w:szCs w:val="18"/>
          <w:lang w:val="en-US"/>
        </w:rPr>
        <w:t xml:space="preserve"> </w:t>
      </w:r>
      <w:r w:rsidRPr="006B6EF2">
        <w:rPr>
          <w:rFonts w:ascii="Arial" w:hAnsi="Arial" w:cs="Arial"/>
          <w:sz w:val="18"/>
          <w:szCs w:val="18"/>
          <w:lang w:val="en-US"/>
        </w:rPr>
        <w:t xml:space="preserve">were tested </w:t>
      </w:r>
      <w:r w:rsidR="00E61985">
        <w:rPr>
          <w:rFonts w:ascii="Arial" w:hAnsi="Arial" w:cs="Arial"/>
          <w:sz w:val="18"/>
          <w:szCs w:val="18"/>
          <w:lang w:val="en-US"/>
        </w:rPr>
        <w:t xml:space="preserve">under </w:t>
      </w:r>
      <w:r w:rsidRPr="006B6EF2">
        <w:rPr>
          <w:rFonts w:ascii="Arial" w:hAnsi="Arial" w:cs="Arial"/>
          <w:sz w:val="18"/>
          <w:szCs w:val="18"/>
          <w:lang w:val="en-US"/>
        </w:rPr>
        <w:t xml:space="preserve">batch </w:t>
      </w:r>
      <w:r w:rsidR="00E61985">
        <w:rPr>
          <w:rFonts w:ascii="Arial" w:hAnsi="Arial" w:cs="Arial"/>
          <w:sz w:val="18"/>
          <w:szCs w:val="18"/>
          <w:lang w:val="en-US"/>
        </w:rPr>
        <w:t xml:space="preserve">conditions </w:t>
      </w:r>
      <w:r w:rsidRPr="006B6EF2">
        <w:rPr>
          <w:rFonts w:ascii="Arial" w:hAnsi="Arial" w:cs="Arial"/>
          <w:sz w:val="18"/>
          <w:szCs w:val="18"/>
          <w:lang w:val="en-US"/>
        </w:rPr>
        <w:t xml:space="preserve">to assess their suitability as </w:t>
      </w:r>
      <w:r w:rsidR="00E61985">
        <w:rPr>
          <w:rFonts w:ascii="Arial" w:hAnsi="Arial" w:cs="Arial"/>
          <w:sz w:val="18"/>
          <w:szCs w:val="18"/>
          <w:lang w:val="en-US"/>
        </w:rPr>
        <w:t xml:space="preserve">support </w:t>
      </w:r>
      <w:r w:rsidRPr="006B6EF2">
        <w:rPr>
          <w:rFonts w:ascii="Arial" w:hAnsi="Arial" w:cs="Arial"/>
          <w:sz w:val="18"/>
          <w:szCs w:val="18"/>
          <w:lang w:val="en-US"/>
        </w:rPr>
        <w:t xml:space="preserve">for </w:t>
      </w:r>
      <w:r w:rsidRPr="006B6EF2">
        <w:rPr>
          <w:rFonts w:ascii="Arial" w:hAnsi="Arial" w:cs="Arial"/>
          <w:i/>
          <w:iCs/>
          <w:sz w:val="18"/>
          <w:szCs w:val="18"/>
          <w:lang w:val="en-US"/>
        </w:rPr>
        <w:t xml:space="preserve">T. </w:t>
      </w:r>
      <w:proofErr w:type="spellStart"/>
      <w:r w:rsidRPr="006B6EF2">
        <w:rPr>
          <w:rFonts w:ascii="Arial" w:hAnsi="Arial" w:cs="Arial"/>
          <w:i/>
          <w:iCs/>
          <w:sz w:val="18"/>
          <w:szCs w:val="18"/>
          <w:lang w:val="en-US"/>
        </w:rPr>
        <w:t>neapolitana</w:t>
      </w:r>
      <w:proofErr w:type="spellEnd"/>
      <w:r w:rsidRPr="006B6EF2">
        <w:rPr>
          <w:rFonts w:ascii="Arial" w:hAnsi="Arial" w:cs="Arial"/>
          <w:sz w:val="18"/>
          <w:szCs w:val="18"/>
          <w:lang w:val="en-US"/>
        </w:rPr>
        <w:t xml:space="preserve"> biofilm. Table 2 summarizes the </w:t>
      </w:r>
      <w:r w:rsidR="00E61985">
        <w:rPr>
          <w:rFonts w:ascii="Arial" w:hAnsi="Arial" w:cs="Arial"/>
          <w:sz w:val="18"/>
          <w:szCs w:val="18"/>
          <w:lang w:val="en-US"/>
        </w:rPr>
        <w:t xml:space="preserve">results </w:t>
      </w:r>
      <w:r w:rsidRPr="006B6EF2">
        <w:rPr>
          <w:rFonts w:ascii="Arial" w:hAnsi="Arial" w:cs="Arial"/>
          <w:sz w:val="18"/>
          <w:szCs w:val="18"/>
          <w:lang w:val="en-US"/>
        </w:rPr>
        <w:t xml:space="preserve">related to biofilm growth on the tested </w:t>
      </w:r>
      <w:r w:rsidR="00E451C7">
        <w:rPr>
          <w:rFonts w:ascii="Arial" w:hAnsi="Arial" w:cs="Arial"/>
          <w:sz w:val="18"/>
          <w:szCs w:val="18"/>
          <w:lang w:val="en-US"/>
        </w:rPr>
        <w:t>support materials</w:t>
      </w:r>
      <w:r w:rsidRPr="006B6EF2">
        <w:rPr>
          <w:rFonts w:ascii="Arial" w:hAnsi="Arial" w:cs="Arial"/>
          <w:sz w:val="18"/>
          <w:szCs w:val="18"/>
          <w:lang w:val="en-US"/>
        </w:rPr>
        <w:t xml:space="preserve">. The evaluation of the materials was based on </w:t>
      </w:r>
      <w:r w:rsidR="00E61985">
        <w:rPr>
          <w:rFonts w:ascii="Arial" w:hAnsi="Arial" w:cs="Arial"/>
          <w:sz w:val="18"/>
          <w:szCs w:val="18"/>
          <w:lang w:val="en-US"/>
        </w:rPr>
        <w:t xml:space="preserve">free </w:t>
      </w:r>
      <w:r w:rsidRPr="006B6EF2">
        <w:rPr>
          <w:rFonts w:ascii="Arial" w:hAnsi="Arial" w:cs="Arial"/>
          <w:sz w:val="18"/>
          <w:szCs w:val="18"/>
          <w:lang w:val="en-US"/>
        </w:rPr>
        <w:t xml:space="preserve">cell growth, </w:t>
      </w:r>
      <w:r w:rsidR="00E451C7">
        <w:rPr>
          <w:rFonts w:ascii="Arial" w:hAnsi="Arial" w:cs="Arial"/>
          <w:sz w:val="18"/>
          <w:szCs w:val="18"/>
          <w:lang w:val="en-US"/>
        </w:rPr>
        <w:t>acetic acid and hydrogen production</w:t>
      </w:r>
      <w:r w:rsidRPr="006B6EF2">
        <w:rPr>
          <w:rFonts w:ascii="Arial" w:hAnsi="Arial" w:cs="Arial"/>
          <w:sz w:val="18"/>
          <w:szCs w:val="18"/>
          <w:lang w:val="en-US"/>
        </w:rPr>
        <w:t xml:space="preserve">, and biofilm formation after </w:t>
      </w:r>
      <w:r w:rsidR="0043262D">
        <w:rPr>
          <w:rFonts w:ascii="Arial" w:hAnsi="Arial" w:cs="Arial"/>
          <w:sz w:val="18"/>
          <w:szCs w:val="18"/>
          <w:lang w:val="en-US"/>
        </w:rPr>
        <w:t>two</w:t>
      </w:r>
      <w:r w:rsidRPr="006B6EF2">
        <w:rPr>
          <w:rFonts w:ascii="Arial" w:hAnsi="Arial" w:cs="Arial"/>
          <w:sz w:val="18"/>
          <w:szCs w:val="18"/>
          <w:lang w:val="en-US"/>
        </w:rPr>
        <w:t xml:space="preserve"> </w:t>
      </w:r>
      <w:r w:rsidR="0043262D">
        <w:rPr>
          <w:rFonts w:ascii="Arial" w:hAnsi="Arial" w:cs="Arial"/>
          <w:sz w:val="18"/>
          <w:szCs w:val="18"/>
          <w:lang w:val="en-US"/>
        </w:rPr>
        <w:t>weeks</w:t>
      </w:r>
      <w:r w:rsidRPr="006B6EF2">
        <w:rPr>
          <w:rFonts w:ascii="Arial" w:hAnsi="Arial" w:cs="Arial"/>
          <w:sz w:val="18"/>
          <w:szCs w:val="18"/>
          <w:lang w:val="en-US"/>
        </w:rPr>
        <w:t xml:space="preserve"> of incubation.</w:t>
      </w:r>
    </w:p>
    <w:p w14:paraId="5139CC47" w14:textId="414F6F0A" w:rsidR="00E61985" w:rsidRDefault="00E61985" w:rsidP="00E61985">
      <w:pPr>
        <w:spacing w:before="100" w:beforeAutospacing="1" w:after="100" w:afterAutospacing="1"/>
        <w:contextualSpacing/>
        <w:jc w:val="both"/>
        <w:rPr>
          <w:rFonts w:ascii="Arial" w:hAnsi="Arial" w:cs="Arial"/>
          <w:sz w:val="18"/>
          <w:szCs w:val="18"/>
          <w:lang w:val="en-US"/>
        </w:rPr>
      </w:pPr>
      <w:r>
        <w:rPr>
          <w:rFonts w:ascii="Arial" w:hAnsi="Arial" w:cs="Arial"/>
          <w:sz w:val="18"/>
          <w:szCs w:val="18"/>
          <w:lang w:val="en-US"/>
        </w:rPr>
        <w:t>The comparison of the results in the present investigation</w:t>
      </w:r>
      <w:r w:rsidR="00D66AA2">
        <w:rPr>
          <w:rFonts w:ascii="Arial" w:hAnsi="Arial" w:cs="Arial"/>
          <w:sz w:val="18"/>
          <w:szCs w:val="18"/>
          <w:lang w:val="en-US"/>
        </w:rPr>
        <w:t xml:space="preserve"> </w:t>
      </w:r>
      <w:r w:rsidRPr="00304237">
        <w:rPr>
          <w:rFonts w:ascii="Arial" w:hAnsi="Arial" w:cs="Arial"/>
          <w:sz w:val="18"/>
          <w:szCs w:val="18"/>
          <w:lang w:val="en-US"/>
        </w:rPr>
        <w:t xml:space="preserve">with </w:t>
      </w:r>
      <w:r>
        <w:rPr>
          <w:rFonts w:ascii="Arial" w:hAnsi="Arial" w:cs="Arial"/>
          <w:sz w:val="18"/>
          <w:szCs w:val="18"/>
          <w:lang w:val="en-US"/>
        </w:rPr>
        <w:t xml:space="preserve">those collected during </w:t>
      </w:r>
      <w:r w:rsidRPr="00304237">
        <w:rPr>
          <w:rFonts w:ascii="Arial" w:hAnsi="Arial" w:cs="Arial"/>
          <w:sz w:val="18"/>
          <w:szCs w:val="18"/>
          <w:lang w:val="en-US"/>
        </w:rPr>
        <w:t xml:space="preserve">batch free-cell fermentation </w:t>
      </w:r>
      <w:r>
        <w:rPr>
          <w:rFonts w:ascii="Arial" w:hAnsi="Arial" w:cs="Arial"/>
          <w:sz w:val="18"/>
          <w:szCs w:val="18"/>
          <w:lang w:val="en-US"/>
        </w:rPr>
        <w:t xml:space="preserve">reported by Lanzillo et al. (2025) </w:t>
      </w:r>
      <w:r w:rsidR="00A126FD">
        <w:rPr>
          <w:rFonts w:ascii="Arial" w:hAnsi="Arial" w:cs="Arial"/>
          <w:sz w:val="18"/>
          <w:szCs w:val="18"/>
          <w:lang w:val="en-US"/>
        </w:rPr>
        <w:t>–</w:t>
      </w:r>
      <w:r>
        <w:rPr>
          <w:rFonts w:ascii="Arial" w:hAnsi="Arial" w:cs="Arial"/>
          <w:sz w:val="18"/>
          <w:szCs w:val="18"/>
          <w:lang w:val="en-US"/>
        </w:rPr>
        <w:t xml:space="preserve"> </w:t>
      </w:r>
      <w:r w:rsidR="00A126FD">
        <w:rPr>
          <w:rFonts w:ascii="Arial" w:hAnsi="Arial" w:cs="Arial"/>
          <w:sz w:val="18"/>
          <w:szCs w:val="18"/>
          <w:lang w:val="en-US"/>
        </w:rPr>
        <w:t xml:space="preserve">performed </w:t>
      </w:r>
      <w:r>
        <w:rPr>
          <w:rFonts w:ascii="Arial" w:hAnsi="Arial" w:cs="Arial"/>
          <w:sz w:val="18"/>
          <w:szCs w:val="18"/>
          <w:lang w:val="en-US"/>
        </w:rPr>
        <w:t xml:space="preserve">under the same operating conditions – suggests </w:t>
      </w:r>
      <w:r w:rsidRPr="00304237">
        <w:rPr>
          <w:rFonts w:ascii="Arial" w:hAnsi="Arial" w:cs="Arial"/>
          <w:sz w:val="18"/>
          <w:szCs w:val="18"/>
          <w:lang w:val="en-US"/>
        </w:rPr>
        <w:t xml:space="preserve">that </w:t>
      </w:r>
      <w:r>
        <w:rPr>
          <w:rFonts w:ascii="Arial" w:hAnsi="Arial" w:cs="Arial"/>
          <w:sz w:val="18"/>
          <w:szCs w:val="18"/>
          <w:lang w:val="en-US"/>
        </w:rPr>
        <w:t>the</w:t>
      </w:r>
      <w:r w:rsidR="00D66AA2">
        <w:rPr>
          <w:rFonts w:ascii="Arial" w:hAnsi="Arial" w:cs="Arial"/>
          <w:sz w:val="18"/>
          <w:szCs w:val="18"/>
          <w:lang w:val="en-US"/>
        </w:rPr>
        <w:t xml:space="preserve"> polyurethane</w:t>
      </w:r>
      <w:r>
        <w:rPr>
          <w:rFonts w:ascii="Arial" w:hAnsi="Arial" w:cs="Arial"/>
          <w:sz w:val="18"/>
          <w:szCs w:val="18"/>
          <w:lang w:val="en-US"/>
        </w:rPr>
        <w:t xml:space="preserve"> </w:t>
      </w:r>
      <w:r w:rsidRPr="00304237">
        <w:rPr>
          <w:rFonts w:ascii="Arial" w:hAnsi="Arial" w:cs="Arial"/>
          <w:sz w:val="18"/>
          <w:szCs w:val="18"/>
          <w:lang w:val="en-US"/>
        </w:rPr>
        <w:t xml:space="preserve">sponge was the only material that </w:t>
      </w:r>
      <w:r w:rsidR="00A126FD">
        <w:rPr>
          <w:rFonts w:ascii="Arial" w:hAnsi="Arial" w:cs="Arial"/>
          <w:sz w:val="18"/>
          <w:szCs w:val="18"/>
          <w:lang w:val="en-US"/>
        </w:rPr>
        <w:t xml:space="preserve">completely inhibited </w:t>
      </w:r>
      <w:r w:rsidRPr="00304237">
        <w:rPr>
          <w:rFonts w:ascii="Arial" w:hAnsi="Arial" w:cs="Arial"/>
          <w:i/>
          <w:iCs/>
          <w:sz w:val="18"/>
          <w:szCs w:val="18"/>
          <w:lang w:val="en-US"/>
        </w:rPr>
        <w:t xml:space="preserve">T. </w:t>
      </w:r>
      <w:proofErr w:type="spellStart"/>
      <w:r w:rsidRPr="00304237">
        <w:rPr>
          <w:rFonts w:ascii="Arial" w:hAnsi="Arial" w:cs="Arial"/>
          <w:i/>
          <w:iCs/>
          <w:sz w:val="18"/>
          <w:szCs w:val="18"/>
          <w:lang w:val="en-US"/>
        </w:rPr>
        <w:t>neapolitana</w:t>
      </w:r>
      <w:proofErr w:type="spellEnd"/>
      <w:r w:rsidRPr="00304237">
        <w:rPr>
          <w:rFonts w:ascii="Arial" w:hAnsi="Arial" w:cs="Arial"/>
          <w:sz w:val="18"/>
          <w:szCs w:val="18"/>
          <w:lang w:val="en-US"/>
        </w:rPr>
        <w:t xml:space="preserve"> growth, likely due to toxic </w:t>
      </w:r>
      <w:r w:rsidRPr="00304237">
        <w:rPr>
          <w:rFonts w:ascii="Arial" w:hAnsi="Arial" w:cs="Arial"/>
          <w:sz w:val="18"/>
          <w:szCs w:val="18"/>
          <w:lang w:val="en-US"/>
        </w:rPr>
        <w:lastRenderedPageBreak/>
        <w:t xml:space="preserve">compounds released during autoclave sterilization. </w:t>
      </w:r>
      <w:r>
        <w:rPr>
          <w:rFonts w:ascii="Arial" w:hAnsi="Arial" w:cs="Arial"/>
          <w:sz w:val="18"/>
          <w:szCs w:val="18"/>
          <w:lang w:val="en-US"/>
        </w:rPr>
        <w:t xml:space="preserve">The </w:t>
      </w:r>
      <w:r w:rsidRPr="00304237">
        <w:rPr>
          <w:rFonts w:ascii="Arial" w:hAnsi="Arial" w:cs="Arial"/>
          <w:sz w:val="18"/>
          <w:szCs w:val="18"/>
          <w:lang w:val="en-US"/>
        </w:rPr>
        <w:t xml:space="preserve">metal </w:t>
      </w:r>
      <w:r>
        <w:rPr>
          <w:rFonts w:ascii="Arial" w:hAnsi="Arial" w:cs="Arial"/>
          <w:sz w:val="18"/>
          <w:szCs w:val="18"/>
          <w:lang w:val="en-US"/>
        </w:rPr>
        <w:t xml:space="preserve">net did not </w:t>
      </w:r>
      <w:r w:rsidR="00113615">
        <w:rPr>
          <w:rFonts w:ascii="Arial" w:hAnsi="Arial" w:cs="Arial"/>
          <w:sz w:val="18"/>
          <w:szCs w:val="18"/>
          <w:lang w:val="en-US"/>
        </w:rPr>
        <w:t>inhibit</w:t>
      </w:r>
      <w:r>
        <w:rPr>
          <w:rFonts w:ascii="Arial" w:hAnsi="Arial" w:cs="Arial"/>
          <w:sz w:val="18"/>
          <w:szCs w:val="18"/>
          <w:lang w:val="en-US"/>
        </w:rPr>
        <w:t xml:space="preserve"> cell </w:t>
      </w:r>
      <w:r w:rsidRPr="00304237">
        <w:rPr>
          <w:rFonts w:ascii="Arial" w:hAnsi="Arial" w:cs="Arial"/>
          <w:sz w:val="18"/>
          <w:szCs w:val="18"/>
          <w:lang w:val="en-US"/>
        </w:rPr>
        <w:t xml:space="preserve">growth and metabolite </w:t>
      </w:r>
      <w:r w:rsidR="00113615" w:rsidRPr="00304237">
        <w:rPr>
          <w:rFonts w:ascii="Arial" w:hAnsi="Arial" w:cs="Arial"/>
          <w:sz w:val="18"/>
          <w:szCs w:val="18"/>
          <w:lang w:val="en-US"/>
        </w:rPr>
        <w:t>production</w:t>
      </w:r>
      <w:r w:rsidR="00A126FD">
        <w:rPr>
          <w:rFonts w:ascii="Arial" w:hAnsi="Arial" w:cs="Arial"/>
          <w:sz w:val="18"/>
          <w:szCs w:val="18"/>
          <w:lang w:val="en-US"/>
        </w:rPr>
        <w:t>;</w:t>
      </w:r>
      <w:r>
        <w:rPr>
          <w:rFonts w:ascii="Arial" w:hAnsi="Arial" w:cs="Arial"/>
          <w:sz w:val="18"/>
          <w:szCs w:val="18"/>
          <w:lang w:val="en-US"/>
        </w:rPr>
        <w:t xml:space="preserve"> </w:t>
      </w:r>
      <w:r w:rsidR="00A126FD">
        <w:rPr>
          <w:rFonts w:ascii="Arial" w:hAnsi="Arial" w:cs="Arial"/>
          <w:sz w:val="18"/>
          <w:szCs w:val="18"/>
          <w:lang w:val="en-US"/>
        </w:rPr>
        <w:t>however,</w:t>
      </w:r>
      <w:r>
        <w:rPr>
          <w:rFonts w:ascii="Arial" w:hAnsi="Arial" w:cs="Arial"/>
          <w:sz w:val="18"/>
          <w:szCs w:val="18"/>
          <w:lang w:val="en-US"/>
        </w:rPr>
        <w:t xml:space="preserve"> </w:t>
      </w:r>
      <w:r w:rsidRPr="00304237">
        <w:rPr>
          <w:rFonts w:ascii="Arial" w:hAnsi="Arial" w:cs="Arial"/>
          <w:sz w:val="18"/>
          <w:szCs w:val="18"/>
          <w:lang w:val="en-US"/>
        </w:rPr>
        <w:t xml:space="preserve">these </w:t>
      </w:r>
      <w:r>
        <w:rPr>
          <w:rFonts w:ascii="Arial" w:hAnsi="Arial" w:cs="Arial"/>
          <w:sz w:val="18"/>
          <w:szCs w:val="18"/>
          <w:lang w:val="en-US"/>
        </w:rPr>
        <w:t xml:space="preserve">processes </w:t>
      </w:r>
      <w:r w:rsidRPr="00304237">
        <w:rPr>
          <w:rFonts w:ascii="Arial" w:hAnsi="Arial" w:cs="Arial"/>
          <w:sz w:val="18"/>
          <w:szCs w:val="18"/>
          <w:lang w:val="en-US"/>
        </w:rPr>
        <w:t xml:space="preserve">occurred at </w:t>
      </w:r>
      <w:r w:rsidR="00AC295B">
        <w:rPr>
          <w:rFonts w:ascii="Arial" w:hAnsi="Arial" w:cs="Arial"/>
          <w:sz w:val="18"/>
          <w:szCs w:val="18"/>
          <w:lang w:val="en-US"/>
        </w:rPr>
        <w:t>a lower rate</w:t>
      </w:r>
      <w:r>
        <w:rPr>
          <w:rFonts w:ascii="Arial" w:hAnsi="Arial" w:cs="Arial"/>
          <w:sz w:val="18"/>
          <w:szCs w:val="18"/>
          <w:lang w:val="en-US"/>
        </w:rPr>
        <w:t xml:space="preserve"> than in free-cell tests</w:t>
      </w:r>
      <w:r w:rsidRPr="00304237">
        <w:rPr>
          <w:rFonts w:ascii="Arial" w:hAnsi="Arial" w:cs="Arial"/>
          <w:sz w:val="18"/>
          <w:szCs w:val="18"/>
          <w:lang w:val="en-US"/>
        </w:rPr>
        <w:t xml:space="preserve">. Polypropylene, silicone, and nylon </w:t>
      </w:r>
      <w:r>
        <w:rPr>
          <w:rFonts w:ascii="Arial" w:hAnsi="Arial" w:cs="Arial"/>
          <w:sz w:val="18"/>
          <w:szCs w:val="18"/>
          <w:lang w:val="en-US"/>
        </w:rPr>
        <w:t>did not exhibit any</w:t>
      </w:r>
      <w:r w:rsidRPr="00304237">
        <w:rPr>
          <w:rFonts w:ascii="Arial" w:hAnsi="Arial" w:cs="Arial"/>
          <w:sz w:val="18"/>
          <w:szCs w:val="18"/>
          <w:lang w:val="en-US"/>
        </w:rPr>
        <w:t xml:space="preserve"> negative effects on cell growth </w:t>
      </w:r>
      <w:r>
        <w:rPr>
          <w:rFonts w:ascii="Arial" w:hAnsi="Arial" w:cs="Arial"/>
          <w:sz w:val="18"/>
          <w:szCs w:val="18"/>
          <w:lang w:val="en-US"/>
        </w:rPr>
        <w:t xml:space="preserve">and </w:t>
      </w:r>
      <w:r w:rsidRPr="00304237">
        <w:rPr>
          <w:rFonts w:ascii="Arial" w:hAnsi="Arial" w:cs="Arial"/>
          <w:sz w:val="18"/>
          <w:szCs w:val="18"/>
          <w:lang w:val="en-US"/>
        </w:rPr>
        <w:t xml:space="preserve">metabolite synthesis. </w:t>
      </w:r>
      <w:r w:rsidR="00A126FD">
        <w:rPr>
          <w:rFonts w:ascii="Arial" w:hAnsi="Arial" w:cs="Arial"/>
          <w:sz w:val="18"/>
          <w:szCs w:val="18"/>
          <w:lang w:val="en-US"/>
        </w:rPr>
        <w:t xml:space="preserve">Notably, </w:t>
      </w:r>
      <w:r w:rsidRPr="00304237">
        <w:rPr>
          <w:rFonts w:ascii="Arial" w:hAnsi="Arial" w:cs="Arial"/>
          <w:sz w:val="18"/>
          <w:szCs w:val="18"/>
          <w:lang w:val="en-US"/>
        </w:rPr>
        <w:t xml:space="preserve">silicone and nylon also promoted slight biofilm formation, identifying them as the most promising materials </w:t>
      </w:r>
      <w:r>
        <w:rPr>
          <w:rFonts w:ascii="Arial" w:hAnsi="Arial" w:cs="Arial"/>
          <w:sz w:val="18"/>
          <w:szCs w:val="18"/>
          <w:lang w:val="en-US"/>
        </w:rPr>
        <w:t>for supporting</w:t>
      </w:r>
      <w:r w:rsidRPr="00304237">
        <w:rPr>
          <w:rFonts w:ascii="Arial" w:hAnsi="Arial" w:cs="Arial"/>
          <w:sz w:val="18"/>
          <w:szCs w:val="18"/>
          <w:lang w:val="en-US"/>
        </w:rPr>
        <w:t xml:space="preserve"> biofilm growth in </w:t>
      </w:r>
      <w:r w:rsidRPr="00654CBE">
        <w:rPr>
          <w:rFonts w:ascii="Arial" w:hAnsi="Arial" w:cs="Arial"/>
          <w:sz w:val="18"/>
          <w:szCs w:val="18"/>
          <w:lang w:val="en-US"/>
        </w:rPr>
        <w:t>continuous stirred</w:t>
      </w:r>
      <w:r w:rsidR="0063090E">
        <w:rPr>
          <w:rFonts w:ascii="Arial" w:hAnsi="Arial" w:cs="Arial"/>
          <w:sz w:val="18"/>
          <w:szCs w:val="18"/>
          <w:lang w:val="en-US"/>
        </w:rPr>
        <w:t>-</w:t>
      </w:r>
      <w:r w:rsidRPr="00654CBE">
        <w:rPr>
          <w:rFonts w:ascii="Arial" w:hAnsi="Arial" w:cs="Arial"/>
          <w:sz w:val="18"/>
          <w:szCs w:val="18"/>
          <w:lang w:val="en-US"/>
        </w:rPr>
        <w:t xml:space="preserve">tank reactors (CSTR). Similar results were reported by Pysz et al. (2004), </w:t>
      </w:r>
      <w:r>
        <w:rPr>
          <w:rFonts w:ascii="Arial" w:hAnsi="Arial" w:cs="Arial"/>
          <w:sz w:val="18"/>
          <w:szCs w:val="18"/>
          <w:lang w:val="en-US"/>
        </w:rPr>
        <w:t xml:space="preserve">who cultivated </w:t>
      </w:r>
      <w:proofErr w:type="spellStart"/>
      <w:r w:rsidRPr="00113615">
        <w:rPr>
          <w:rFonts w:ascii="Arial" w:hAnsi="Arial" w:cs="Arial"/>
          <w:i/>
          <w:iCs/>
          <w:sz w:val="18"/>
          <w:szCs w:val="18"/>
          <w:lang w:val="en-US"/>
        </w:rPr>
        <w:t>Thermotoga</w:t>
      </w:r>
      <w:proofErr w:type="spellEnd"/>
      <w:r w:rsidRPr="00113615">
        <w:rPr>
          <w:rFonts w:ascii="Arial" w:hAnsi="Arial" w:cs="Arial"/>
          <w:i/>
          <w:iCs/>
          <w:sz w:val="18"/>
          <w:szCs w:val="18"/>
          <w:lang w:val="en-US"/>
        </w:rPr>
        <w:t xml:space="preserve"> maritima</w:t>
      </w:r>
      <w:r w:rsidRPr="00654CBE">
        <w:rPr>
          <w:rFonts w:ascii="Arial" w:hAnsi="Arial" w:cs="Arial"/>
          <w:sz w:val="18"/>
          <w:szCs w:val="18"/>
          <w:lang w:val="en-US"/>
        </w:rPr>
        <w:t xml:space="preserve"> in batch and chemostat reactors to investigate biofilm formation and its effects on gene expression. </w:t>
      </w:r>
    </w:p>
    <w:p w14:paraId="4C276658" w14:textId="6CE798A5" w:rsidR="00E61985" w:rsidRPr="00654CBE" w:rsidRDefault="00E61985" w:rsidP="00E61985">
      <w:pPr>
        <w:spacing w:before="100" w:beforeAutospacing="1" w:after="100" w:afterAutospacing="1"/>
        <w:contextualSpacing/>
        <w:jc w:val="both"/>
        <w:rPr>
          <w:rFonts w:ascii="Arial" w:hAnsi="Arial" w:cs="Arial"/>
          <w:sz w:val="18"/>
          <w:szCs w:val="18"/>
          <w:lang w:val="en-US"/>
        </w:rPr>
      </w:pPr>
      <w:r>
        <w:rPr>
          <w:rFonts w:ascii="Arial" w:hAnsi="Arial" w:cs="Arial"/>
          <w:sz w:val="18"/>
          <w:szCs w:val="18"/>
          <w:lang w:val="en-US"/>
        </w:rPr>
        <w:t>In conclusion</w:t>
      </w:r>
      <w:r w:rsidRPr="00654CBE">
        <w:rPr>
          <w:rFonts w:ascii="Arial" w:hAnsi="Arial" w:cs="Arial"/>
          <w:sz w:val="18"/>
          <w:szCs w:val="18"/>
          <w:lang w:val="en-US"/>
        </w:rPr>
        <w:t xml:space="preserve">, nylon nets were </w:t>
      </w:r>
      <w:r>
        <w:rPr>
          <w:rFonts w:ascii="Arial" w:hAnsi="Arial" w:cs="Arial"/>
          <w:sz w:val="18"/>
          <w:szCs w:val="18"/>
          <w:lang w:val="en-US"/>
        </w:rPr>
        <w:t xml:space="preserve">selected </w:t>
      </w:r>
      <w:r w:rsidRPr="00654CBE">
        <w:rPr>
          <w:rFonts w:ascii="Arial" w:hAnsi="Arial" w:cs="Arial"/>
          <w:sz w:val="18"/>
          <w:szCs w:val="18"/>
          <w:lang w:val="en-US"/>
        </w:rPr>
        <w:t>as support for biofilm growth.</w:t>
      </w:r>
    </w:p>
    <w:p w14:paraId="11501712" w14:textId="4891B8FF" w:rsidR="00235774" w:rsidRDefault="00235774" w:rsidP="00D153A2">
      <w:pPr>
        <w:spacing w:before="100" w:beforeAutospacing="1" w:after="100" w:afterAutospacing="1"/>
        <w:contextualSpacing/>
        <w:jc w:val="both"/>
        <w:rPr>
          <w:rFonts w:ascii="Arial" w:hAnsi="Arial" w:cs="Arial"/>
          <w:b/>
          <w:bCs/>
          <w:sz w:val="18"/>
          <w:szCs w:val="18"/>
          <w:lang w:val="en-US"/>
        </w:rPr>
      </w:pPr>
    </w:p>
    <w:p w14:paraId="05379AFC" w14:textId="77777777" w:rsidR="00235774" w:rsidRPr="00235774" w:rsidRDefault="00235774" w:rsidP="00D153A2">
      <w:pPr>
        <w:spacing w:before="100" w:beforeAutospacing="1" w:after="100" w:afterAutospacing="1"/>
        <w:contextualSpacing/>
        <w:jc w:val="both"/>
        <w:rPr>
          <w:rFonts w:ascii="Arial" w:hAnsi="Arial" w:cs="Arial"/>
          <w:b/>
          <w:bCs/>
          <w:sz w:val="18"/>
          <w:szCs w:val="18"/>
          <w:lang w:val="en-US"/>
        </w:rPr>
      </w:pPr>
    </w:p>
    <w:p w14:paraId="0C4065FD" w14:textId="5F5A66EC" w:rsidR="003678AF" w:rsidRPr="00A96329" w:rsidRDefault="00304237" w:rsidP="00C2723F">
      <w:pPr>
        <w:spacing w:before="100" w:beforeAutospacing="1"/>
        <w:contextualSpacing/>
        <w:jc w:val="both"/>
        <w:rPr>
          <w:rFonts w:ascii="Arial" w:hAnsi="Arial" w:cs="Arial"/>
          <w:sz w:val="18"/>
          <w:szCs w:val="18"/>
          <w:lang w:val="en-US"/>
        </w:rPr>
      </w:pPr>
      <w:r w:rsidRPr="00304237">
        <w:rPr>
          <w:rFonts w:ascii="Arial" w:hAnsi="Arial" w:cs="Arial"/>
          <w:b/>
          <w:bCs/>
          <w:sz w:val="18"/>
          <w:szCs w:val="18"/>
          <w:lang w:val="en-US"/>
        </w:rPr>
        <w:t xml:space="preserve">Table </w:t>
      </w:r>
      <w:r w:rsidR="00A96329" w:rsidRPr="005B5381">
        <w:rPr>
          <w:rFonts w:ascii="Arial" w:hAnsi="Arial" w:cs="Arial"/>
          <w:b/>
          <w:bCs/>
          <w:sz w:val="18"/>
          <w:szCs w:val="18"/>
          <w:lang w:val="en-US"/>
        </w:rPr>
        <w:t>2</w:t>
      </w:r>
      <w:r w:rsidRPr="00304237">
        <w:rPr>
          <w:rFonts w:ascii="Arial" w:hAnsi="Arial" w:cs="Arial"/>
          <w:b/>
          <w:bCs/>
          <w:sz w:val="18"/>
          <w:szCs w:val="18"/>
          <w:lang w:val="en-US"/>
        </w:rPr>
        <w:t>:</w:t>
      </w:r>
      <w:r w:rsidRPr="00304237">
        <w:rPr>
          <w:rFonts w:ascii="Arial" w:hAnsi="Arial" w:cs="Arial"/>
          <w:sz w:val="18"/>
          <w:szCs w:val="18"/>
          <w:lang w:val="en-US"/>
        </w:rPr>
        <w:t xml:space="preserve"> </w:t>
      </w:r>
      <w:r w:rsidR="00E61985">
        <w:rPr>
          <w:rFonts w:ascii="Arial" w:hAnsi="Arial" w:cs="Arial"/>
          <w:sz w:val="18"/>
          <w:szCs w:val="18"/>
          <w:lang w:val="en-US"/>
        </w:rPr>
        <w:t>Features</w:t>
      </w:r>
      <w:r w:rsidR="00E61985" w:rsidRPr="00304237">
        <w:rPr>
          <w:rFonts w:ascii="Arial" w:hAnsi="Arial" w:cs="Arial"/>
          <w:sz w:val="18"/>
          <w:szCs w:val="18"/>
          <w:lang w:val="en-US"/>
        </w:rPr>
        <w:t xml:space="preserve"> </w:t>
      </w:r>
      <w:r w:rsidRPr="00304237">
        <w:rPr>
          <w:rFonts w:ascii="Arial" w:hAnsi="Arial" w:cs="Arial"/>
          <w:sz w:val="18"/>
          <w:szCs w:val="18"/>
          <w:lang w:val="en-US"/>
        </w:rPr>
        <w:t xml:space="preserve">and </w:t>
      </w:r>
      <w:r w:rsidR="003C2AD7">
        <w:rPr>
          <w:rFonts w:ascii="Arial" w:hAnsi="Arial" w:cs="Arial"/>
          <w:sz w:val="18"/>
          <w:szCs w:val="18"/>
          <w:lang w:val="en-US"/>
        </w:rPr>
        <w:t xml:space="preserve">fermentation </w:t>
      </w:r>
      <w:r w:rsidRPr="00304237">
        <w:rPr>
          <w:rFonts w:ascii="Arial" w:hAnsi="Arial" w:cs="Arial"/>
          <w:sz w:val="18"/>
          <w:szCs w:val="18"/>
          <w:lang w:val="en-US"/>
        </w:rPr>
        <w:t xml:space="preserve">performance of the solid </w:t>
      </w:r>
      <w:r w:rsidR="003C2AD7">
        <w:rPr>
          <w:rFonts w:ascii="Arial" w:hAnsi="Arial" w:cs="Arial"/>
          <w:sz w:val="18"/>
          <w:szCs w:val="18"/>
          <w:lang w:val="en-US"/>
        </w:rPr>
        <w:t>carriers</w:t>
      </w:r>
      <w:r w:rsidR="003C2AD7" w:rsidRPr="00304237">
        <w:rPr>
          <w:rFonts w:ascii="Arial" w:hAnsi="Arial" w:cs="Arial"/>
          <w:sz w:val="18"/>
          <w:szCs w:val="18"/>
          <w:lang w:val="en-US"/>
        </w:rPr>
        <w:t xml:space="preserve"> </w:t>
      </w:r>
      <w:r w:rsidRPr="00304237">
        <w:rPr>
          <w:rFonts w:ascii="Arial" w:hAnsi="Arial" w:cs="Arial"/>
          <w:sz w:val="18"/>
          <w:szCs w:val="18"/>
          <w:lang w:val="en-US"/>
        </w:rPr>
        <w:t xml:space="preserve">tested as immobilization support for </w:t>
      </w:r>
      <w:r w:rsidRPr="00304237">
        <w:rPr>
          <w:rFonts w:ascii="Arial" w:hAnsi="Arial" w:cs="Arial"/>
          <w:i/>
          <w:iCs/>
          <w:sz w:val="18"/>
          <w:szCs w:val="18"/>
          <w:lang w:val="en-US"/>
        </w:rPr>
        <w:t xml:space="preserve">T. </w:t>
      </w:r>
      <w:proofErr w:type="spellStart"/>
      <w:r w:rsidRPr="00304237">
        <w:rPr>
          <w:rFonts w:ascii="Arial" w:hAnsi="Arial" w:cs="Arial"/>
          <w:i/>
          <w:iCs/>
          <w:sz w:val="18"/>
          <w:szCs w:val="18"/>
          <w:lang w:val="en-US"/>
        </w:rPr>
        <w:t>neapolitana</w:t>
      </w:r>
      <w:proofErr w:type="spellEnd"/>
      <w:r w:rsidRPr="00304237">
        <w:rPr>
          <w:rFonts w:ascii="Arial" w:hAnsi="Arial" w:cs="Arial"/>
          <w:sz w:val="18"/>
          <w:szCs w:val="18"/>
          <w:lang w:val="en-US"/>
        </w:rPr>
        <w:t xml:space="preserve"> biofilm.</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375"/>
        <w:gridCol w:w="20"/>
        <w:gridCol w:w="1433"/>
        <w:gridCol w:w="950"/>
        <w:gridCol w:w="2282"/>
        <w:gridCol w:w="20"/>
      </w:tblGrid>
      <w:tr w:rsidR="00304237" w:rsidRPr="00A96329" w14:paraId="094E3A83" w14:textId="77777777" w:rsidTr="00363159">
        <w:trPr>
          <w:jc w:val="center"/>
        </w:trPr>
        <w:tc>
          <w:tcPr>
            <w:tcW w:w="2375" w:type="dxa"/>
            <w:tcBorders>
              <w:top w:val="single" w:sz="12" w:space="0" w:color="008000"/>
              <w:bottom w:val="single" w:sz="6" w:space="0" w:color="008000"/>
            </w:tcBorders>
            <w:shd w:val="clear" w:color="auto" w:fill="FFFFFF"/>
            <w:vAlign w:val="center"/>
          </w:tcPr>
          <w:p w14:paraId="17CCC389" w14:textId="77777777" w:rsidR="00304237" w:rsidRPr="00A96329" w:rsidRDefault="00304237" w:rsidP="00C2723F">
            <w:pPr>
              <w:pStyle w:val="CETBodytext"/>
              <w:spacing w:line="240" w:lineRule="auto"/>
              <w:contextualSpacing/>
              <w:jc w:val="center"/>
              <w:rPr>
                <w:rFonts w:cs="Arial"/>
                <w:b/>
                <w:bCs/>
                <w:szCs w:val="18"/>
                <w:lang w:val="en-GB"/>
              </w:rPr>
            </w:pPr>
            <w:r w:rsidRPr="00A96329">
              <w:rPr>
                <w:rFonts w:cs="Arial"/>
                <w:b/>
                <w:bCs/>
                <w:szCs w:val="18"/>
                <w:lang w:val="en-GB"/>
              </w:rPr>
              <w:t>Material</w:t>
            </w:r>
          </w:p>
        </w:tc>
        <w:tc>
          <w:tcPr>
            <w:tcW w:w="20" w:type="dxa"/>
            <w:tcBorders>
              <w:top w:val="single" w:sz="12" w:space="0" w:color="008000"/>
              <w:bottom w:val="single" w:sz="6" w:space="0" w:color="008000"/>
            </w:tcBorders>
            <w:shd w:val="clear" w:color="auto" w:fill="FFFFFF"/>
            <w:vAlign w:val="center"/>
          </w:tcPr>
          <w:p w14:paraId="25760FB3" w14:textId="77777777" w:rsidR="00304237" w:rsidRPr="00A96329" w:rsidRDefault="00304237" w:rsidP="00C2723F">
            <w:pPr>
              <w:pStyle w:val="CETBodytext"/>
              <w:spacing w:line="240" w:lineRule="auto"/>
              <w:contextualSpacing/>
              <w:jc w:val="center"/>
              <w:rPr>
                <w:rFonts w:cs="Arial"/>
                <w:b/>
                <w:bCs/>
                <w:szCs w:val="18"/>
                <w:lang w:val="en-GB"/>
              </w:rPr>
            </w:pPr>
          </w:p>
        </w:tc>
        <w:tc>
          <w:tcPr>
            <w:tcW w:w="1433" w:type="dxa"/>
            <w:tcBorders>
              <w:top w:val="single" w:sz="12" w:space="0" w:color="008000"/>
              <w:bottom w:val="single" w:sz="6" w:space="0" w:color="008000"/>
            </w:tcBorders>
            <w:shd w:val="clear" w:color="auto" w:fill="FFFFFF"/>
            <w:vAlign w:val="center"/>
          </w:tcPr>
          <w:p w14:paraId="3D4510F5" w14:textId="18CE4CE5" w:rsidR="00304237" w:rsidRPr="00A96329" w:rsidRDefault="00304237" w:rsidP="00C2723F">
            <w:pPr>
              <w:pStyle w:val="CETBodytext"/>
              <w:spacing w:line="240" w:lineRule="auto"/>
              <w:contextualSpacing/>
              <w:jc w:val="center"/>
              <w:rPr>
                <w:rFonts w:cs="Arial"/>
                <w:b/>
                <w:bCs/>
                <w:szCs w:val="18"/>
                <w:lang w:val="en-GB"/>
              </w:rPr>
            </w:pPr>
            <w:r w:rsidRPr="00A96329">
              <w:rPr>
                <w:rFonts w:cs="Arial"/>
                <w:b/>
                <w:bCs/>
                <w:szCs w:val="18"/>
                <w:lang w:val="en-GB"/>
              </w:rPr>
              <w:t>Growth</w:t>
            </w:r>
          </w:p>
        </w:tc>
        <w:tc>
          <w:tcPr>
            <w:tcW w:w="950" w:type="dxa"/>
            <w:tcBorders>
              <w:top w:val="single" w:sz="12" w:space="0" w:color="008000"/>
              <w:bottom w:val="single" w:sz="6" w:space="0" w:color="008000"/>
            </w:tcBorders>
            <w:shd w:val="clear" w:color="auto" w:fill="FFFFFF"/>
            <w:vAlign w:val="center"/>
          </w:tcPr>
          <w:p w14:paraId="1DA8530F" w14:textId="48E61F76" w:rsidR="00304237" w:rsidRPr="00A96329" w:rsidRDefault="00304237" w:rsidP="00C2723F">
            <w:pPr>
              <w:pStyle w:val="CETBodytext"/>
              <w:spacing w:line="240" w:lineRule="auto"/>
              <w:contextualSpacing/>
              <w:jc w:val="center"/>
              <w:rPr>
                <w:rFonts w:cs="Arial"/>
                <w:b/>
                <w:bCs/>
                <w:szCs w:val="18"/>
                <w:lang w:val="en-GB"/>
              </w:rPr>
            </w:pPr>
            <w:r w:rsidRPr="00A96329">
              <w:rPr>
                <w:rFonts w:cs="Arial"/>
                <w:b/>
                <w:bCs/>
                <w:szCs w:val="18"/>
                <w:lang w:val="en-GB"/>
              </w:rPr>
              <w:t>Production</w:t>
            </w:r>
          </w:p>
        </w:tc>
        <w:tc>
          <w:tcPr>
            <w:tcW w:w="2282" w:type="dxa"/>
            <w:tcBorders>
              <w:top w:val="single" w:sz="12" w:space="0" w:color="008000"/>
              <w:bottom w:val="single" w:sz="6" w:space="0" w:color="008000"/>
            </w:tcBorders>
            <w:shd w:val="clear" w:color="auto" w:fill="FFFFFF"/>
            <w:vAlign w:val="center"/>
          </w:tcPr>
          <w:p w14:paraId="5D8727EF" w14:textId="1DE87A2E" w:rsidR="00304237" w:rsidRPr="00A96329" w:rsidRDefault="00304237" w:rsidP="00C2723F">
            <w:pPr>
              <w:pStyle w:val="CETBodytext"/>
              <w:spacing w:line="240" w:lineRule="auto"/>
              <w:ind w:right="-1"/>
              <w:contextualSpacing/>
              <w:jc w:val="center"/>
              <w:rPr>
                <w:rFonts w:cs="Arial"/>
                <w:b/>
                <w:bCs/>
                <w:szCs w:val="18"/>
                <w:lang w:val="en-GB"/>
              </w:rPr>
            </w:pPr>
            <w:r w:rsidRPr="00A96329">
              <w:rPr>
                <w:rFonts w:cs="Arial"/>
                <w:b/>
                <w:bCs/>
                <w:szCs w:val="18"/>
                <w:lang w:val="en-GB"/>
              </w:rPr>
              <w:t>Biofilm</w:t>
            </w:r>
          </w:p>
        </w:tc>
        <w:tc>
          <w:tcPr>
            <w:tcW w:w="20" w:type="dxa"/>
            <w:tcBorders>
              <w:top w:val="single" w:sz="12" w:space="0" w:color="008000"/>
              <w:bottom w:val="single" w:sz="6" w:space="0" w:color="008000"/>
            </w:tcBorders>
            <w:shd w:val="clear" w:color="auto" w:fill="FFFFFF"/>
            <w:vAlign w:val="center"/>
          </w:tcPr>
          <w:p w14:paraId="2513F296" w14:textId="77777777" w:rsidR="00304237" w:rsidRPr="00A96329" w:rsidRDefault="00304237" w:rsidP="00C2723F">
            <w:pPr>
              <w:pStyle w:val="CETBodytext"/>
              <w:spacing w:line="240" w:lineRule="auto"/>
              <w:ind w:right="-1"/>
              <w:contextualSpacing/>
              <w:jc w:val="center"/>
              <w:rPr>
                <w:rFonts w:cs="Arial"/>
                <w:b/>
                <w:bCs/>
                <w:szCs w:val="18"/>
                <w:lang w:val="en-GB"/>
              </w:rPr>
            </w:pPr>
          </w:p>
        </w:tc>
      </w:tr>
      <w:tr w:rsidR="00363159" w:rsidRPr="00A96329" w14:paraId="6A5F5208" w14:textId="77777777" w:rsidTr="00363159">
        <w:trPr>
          <w:jc w:val="center"/>
        </w:trPr>
        <w:tc>
          <w:tcPr>
            <w:tcW w:w="2375" w:type="dxa"/>
            <w:shd w:val="clear" w:color="auto" w:fill="FFFFFF"/>
          </w:tcPr>
          <w:p w14:paraId="68E8A7EE" w14:textId="6C4310B1" w:rsidR="00363159" w:rsidRPr="00A96329" w:rsidRDefault="00363159" w:rsidP="00C2723F">
            <w:pPr>
              <w:pStyle w:val="CETBodytext"/>
              <w:spacing w:line="480" w:lineRule="auto"/>
              <w:jc w:val="center"/>
              <w:rPr>
                <w:rFonts w:cs="Arial"/>
                <w:b/>
                <w:szCs w:val="18"/>
              </w:rPr>
            </w:pPr>
            <w:r w:rsidRPr="00A96329">
              <w:rPr>
                <w:rFonts w:cs="Arial"/>
                <w:b/>
                <w:szCs w:val="18"/>
              </w:rPr>
              <w:t>Polypropylene (PP)</w:t>
            </w:r>
          </w:p>
        </w:tc>
        <w:tc>
          <w:tcPr>
            <w:tcW w:w="20" w:type="dxa"/>
            <w:shd w:val="clear" w:color="auto" w:fill="FFFFFF"/>
          </w:tcPr>
          <w:p w14:paraId="407F53B7" w14:textId="77777777" w:rsidR="00363159" w:rsidRPr="00A96329" w:rsidRDefault="00363159" w:rsidP="00C2723F">
            <w:pPr>
              <w:pStyle w:val="CETBodytext"/>
              <w:jc w:val="center"/>
              <w:rPr>
                <w:rFonts w:cs="Arial"/>
                <w:szCs w:val="18"/>
                <w:lang w:val="en-GB"/>
              </w:rPr>
            </w:pPr>
          </w:p>
        </w:tc>
        <w:tc>
          <w:tcPr>
            <w:tcW w:w="1433" w:type="dxa"/>
            <w:shd w:val="clear" w:color="auto" w:fill="FFFFFF"/>
          </w:tcPr>
          <w:p w14:paraId="6FBB6FCA" w14:textId="2C560EE5" w:rsidR="00363159" w:rsidRPr="00A96329" w:rsidRDefault="00363159" w:rsidP="00C2723F">
            <w:pPr>
              <w:jc w:val="center"/>
              <w:rPr>
                <w:rFonts w:ascii="Arial" w:hAnsi="Arial" w:cs="Arial"/>
                <w:sz w:val="18"/>
                <w:szCs w:val="18"/>
              </w:rPr>
            </w:pPr>
            <w:r w:rsidRPr="00A96329">
              <w:rPr>
                <w:rFonts w:ascii="Arial" w:hAnsi="Arial" w:cs="Arial"/>
                <w:sz w:val="18"/>
                <w:szCs w:val="18"/>
              </w:rPr>
              <w:t>++</w:t>
            </w:r>
          </w:p>
          <w:p w14:paraId="04BC9032" w14:textId="77777777" w:rsidR="00363159" w:rsidRPr="00A96329" w:rsidRDefault="00363159" w:rsidP="00C2723F">
            <w:pPr>
              <w:pStyle w:val="CETBodytext"/>
              <w:jc w:val="center"/>
              <w:rPr>
                <w:rFonts w:cs="Arial"/>
                <w:szCs w:val="18"/>
                <w:lang w:val="en-GB"/>
              </w:rPr>
            </w:pPr>
          </w:p>
        </w:tc>
        <w:tc>
          <w:tcPr>
            <w:tcW w:w="950" w:type="dxa"/>
            <w:shd w:val="clear" w:color="auto" w:fill="FFFFFF"/>
          </w:tcPr>
          <w:p w14:paraId="50F492B9" w14:textId="3A074BFB" w:rsidR="00363159" w:rsidRPr="00A96329" w:rsidRDefault="00363159" w:rsidP="00C2723F">
            <w:pPr>
              <w:pStyle w:val="CETBodytext"/>
              <w:jc w:val="center"/>
              <w:rPr>
                <w:rFonts w:cs="Arial"/>
                <w:szCs w:val="18"/>
                <w:lang w:val="en-GB"/>
              </w:rPr>
            </w:pPr>
            <w:r w:rsidRPr="00A96329">
              <w:rPr>
                <w:rFonts w:cs="Arial"/>
                <w:szCs w:val="18"/>
              </w:rPr>
              <w:t>++</w:t>
            </w:r>
          </w:p>
        </w:tc>
        <w:tc>
          <w:tcPr>
            <w:tcW w:w="2282" w:type="dxa"/>
            <w:shd w:val="clear" w:color="auto" w:fill="FFFFFF"/>
          </w:tcPr>
          <w:p w14:paraId="51ADA4C3" w14:textId="7DB61C48" w:rsidR="00363159" w:rsidRPr="00A96329" w:rsidRDefault="00363159" w:rsidP="00C2723F">
            <w:pPr>
              <w:pStyle w:val="CETBodytext"/>
              <w:ind w:right="-1"/>
              <w:jc w:val="center"/>
              <w:rPr>
                <w:rFonts w:cs="Arial"/>
                <w:szCs w:val="18"/>
                <w:lang w:val="en-GB"/>
              </w:rPr>
            </w:pPr>
            <w:r w:rsidRPr="00A96329">
              <w:rPr>
                <w:rFonts w:cs="Arial"/>
                <w:szCs w:val="18"/>
              </w:rPr>
              <w:t>NO</w:t>
            </w:r>
          </w:p>
        </w:tc>
        <w:tc>
          <w:tcPr>
            <w:tcW w:w="20" w:type="dxa"/>
            <w:shd w:val="clear" w:color="auto" w:fill="FFFFFF"/>
            <w:vAlign w:val="center"/>
          </w:tcPr>
          <w:p w14:paraId="0D96B9B7" w14:textId="77777777" w:rsidR="00363159" w:rsidRPr="00A96329" w:rsidRDefault="00363159" w:rsidP="00C2723F">
            <w:pPr>
              <w:pStyle w:val="CETBodytext"/>
              <w:ind w:right="-1"/>
              <w:jc w:val="center"/>
              <w:rPr>
                <w:rFonts w:cs="Arial"/>
                <w:szCs w:val="18"/>
                <w:lang w:val="en-GB"/>
              </w:rPr>
            </w:pPr>
          </w:p>
        </w:tc>
      </w:tr>
      <w:tr w:rsidR="00363159" w:rsidRPr="00A96329" w14:paraId="41B3E864" w14:textId="77777777" w:rsidTr="00363159">
        <w:trPr>
          <w:jc w:val="center"/>
        </w:trPr>
        <w:tc>
          <w:tcPr>
            <w:tcW w:w="2375" w:type="dxa"/>
            <w:shd w:val="clear" w:color="auto" w:fill="FFFFFF"/>
          </w:tcPr>
          <w:p w14:paraId="65DAF1B8" w14:textId="76D962D8" w:rsidR="00363159" w:rsidRPr="00A96329" w:rsidRDefault="004A2A6E" w:rsidP="00363159">
            <w:pPr>
              <w:pStyle w:val="CETBodytext"/>
              <w:spacing w:line="480" w:lineRule="auto"/>
              <w:ind w:right="-1"/>
              <w:jc w:val="center"/>
              <w:rPr>
                <w:rFonts w:cs="Arial"/>
                <w:szCs w:val="18"/>
                <w:lang w:val="en-GB"/>
              </w:rPr>
            </w:pPr>
            <w:r>
              <w:rPr>
                <w:rFonts w:cs="Arial"/>
                <w:b/>
                <w:szCs w:val="18"/>
              </w:rPr>
              <w:t>Polyurethane</w:t>
            </w:r>
            <w:r w:rsidRPr="00A96329">
              <w:rPr>
                <w:rFonts w:cs="Arial"/>
                <w:b/>
                <w:szCs w:val="18"/>
              </w:rPr>
              <w:t xml:space="preserve"> </w:t>
            </w:r>
            <w:r>
              <w:rPr>
                <w:rFonts w:cs="Arial"/>
                <w:b/>
                <w:szCs w:val="18"/>
              </w:rPr>
              <w:t>s</w:t>
            </w:r>
            <w:r w:rsidR="00363159" w:rsidRPr="00A96329">
              <w:rPr>
                <w:rFonts w:cs="Arial"/>
                <w:b/>
                <w:szCs w:val="18"/>
              </w:rPr>
              <w:t>ponge</w:t>
            </w:r>
          </w:p>
        </w:tc>
        <w:tc>
          <w:tcPr>
            <w:tcW w:w="20" w:type="dxa"/>
            <w:shd w:val="clear" w:color="auto" w:fill="FFFFFF"/>
          </w:tcPr>
          <w:p w14:paraId="1B780081" w14:textId="77777777" w:rsidR="00363159" w:rsidRPr="00A96329" w:rsidRDefault="00363159" w:rsidP="00363159">
            <w:pPr>
              <w:pStyle w:val="CETBodytext"/>
              <w:ind w:right="-1"/>
              <w:jc w:val="center"/>
              <w:rPr>
                <w:rFonts w:cs="Arial"/>
                <w:szCs w:val="18"/>
                <w:lang w:val="en-GB"/>
              </w:rPr>
            </w:pPr>
          </w:p>
        </w:tc>
        <w:tc>
          <w:tcPr>
            <w:tcW w:w="1433" w:type="dxa"/>
            <w:shd w:val="clear" w:color="auto" w:fill="FFFFFF"/>
          </w:tcPr>
          <w:p w14:paraId="65B8147A" w14:textId="2CABDC5B" w:rsidR="00363159" w:rsidRPr="00A96329" w:rsidRDefault="00363159" w:rsidP="00363159">
            <w:pPr>
              <w:jc w:val="center"/>
              <w:rPr>
                <w:rFonts w:ascii="Arial" w:hAnsi="Arial" w:cs="Arial"/>
                <w:sz w:val="18"/>
                <w:szCs w:val="18"/>
              </w:rPr>
            </w:pPr>
            <w:r w:rsidRPr="00A96329">
              <w:rPr>
                <w:rFonts w:ascii="Arial" w:hAnsi="Arial" w:cs="Arial"/>
                <w:sz w:val="18"/>
                <w:szCs w:val="18"/>
              </w:rPr>
              <w:t>-</w:t>
            </w:r>
          </w:p>
          <w:p w14:paraId="61F66E53" w14:textId="77777777" w:rsidR="00363159" w:rsidRPr="00A96329" w:rsidRDefault="00363159" w:rsidP="00363159">
            <w:pPr>
              <w:pStyle w:val="CETBodytext"/>
              <w:ind w:right="-1"/>
              <w:jc w:val="center"/>
              <w:rPr>
                <w:rFonts w:cs="Arial"/>
                <w:szCs w:val="18"/>
                <w:lang w:val="en-GB"/>
              </w:rPr>
            </w:pPr>
          </w:p>
        </w:tc>
        <w:tc>
          <w:tcPr>
            <w:tcW w:w="950" w:type="dxa"/>
            <w:shd w:val="clear" w:color="auto" w:fill="FFFFFF"/>
          </w:tcPr>
          <w:p w14:paraId="45F35678" w14:textId="7A0DD72C" w:rsidR="00363159" w:rsidRPr="00A96329" w:rsidRDefault="00363159" w:rsidP="00363159">
            <w:pPr>
              <w:pStyle w:val="CETBodytext"/>
              <w:ind w:right="-1"/>
              <w:jc w:val="center"/>
              <w:rPr>
                <w:rFonts w:cs="Arial"/>
                <w:szCs w:val="18"/>
                <w:lang w:val="en-GB"/>
              </w:rPr>
            </w:pPr>
            <w:r w:rsidRPr="00A96329">
              <w:rPr>
                <w:rFonts w:cs="Arial"/>
                <w:szCs w:val="18"/>
              </w:rPr>
              <w:t>-</w:t>
            </w:r>
          </w:p>
        </w:tc>
        <w:tc>
          <w:tcPr>
            <w:tcW w:w="2282" w:type="dxa"/>
            <w:shd w:val="clear" w:color="auto" w:fill="FFFFFF"/>
          </w:tcPr>
          <w:p w14:paraId="23491E26" w14:textId="70BBA95E" w:rsidR="00363159" w:rsidRPr="00A96329" w:rsidRDefault="00363159" w:rsidP="00363159">
            <w:pPr>
              <w:pStyle w:val="CETBodytext"/>
              <w:ind w:right="-1"/>
              <w:jc w:val="center"/>
              <w:rPr>
                <w:rFonts w:cs="Arial"/>
                <w:szCs w:val="18"/>
                <w:lang w:val="en-GB"/>
              </w:rPr>
            </w:pPr>
            <w:r w:rsidRPr="00A96329">
              <w:rPr>
                <w:rFonts w:cs="Arial"/>
                <w:szCs w:val="18"/>
              </w:rPr>
              <w:t>NO</w:t>
            </w:r>
          </w:p>
        </w:tc>
        <w:tc>
          <w:tcPr>
            <w:tcW w:w="20" w:type="dxa"/>
            <w:shd w:val="clear" w:color="auto" w:fill="FFFFFF"/>
            <w:vAlign w:val="center"/>
          </w:tcPr>
          <w:p w14:paraId="47166881" w14:textId="77777777" w:rsidR="00363159" w:rsidRPr="00A96329" w:rsidRDefault="00363159" w:rsidP="00363159">
            <w:pPr>
              <w:pStyle w:val="CETBodytext"/>
              <w:ind w:right="-1"/>
              <w:jc w:val="center"/>
              <w:rPr>
                <w:rFonts w:cs="Arial"/>
                <w:szCs w:val="18"/>
                <w:lang w:val="en-GB"/>
              </w:rPr>
            </w:pPr>
          </w:p>
        </w:tc>
      </w:tr>
      <w:tr w:rsidR="00363159" w:rsidRPr="00A96329" w14:paraId="123D0BA4" w14:textId="77777777" w:rsidTr="00363159">
        <w:trPr>
          <w:jc w:val="center"/>
        </w:trPr>
        <w:tc>
          <w:tcPr>
            <w:tcW w:w="2375" w:type="dxa"/>
            <w:shd w:val="clear" w:color="auto" w:fill="FFFFFF"/>
          </w:tcPr>
          <w:p w14:paraId="0382F424" w14:textId="77777777" w:rsidR="00363159" w:rsidRPr="00A96329" w:rsidRDefault="00363159" w:rsidP="00363159">
            <w:pPr>
              <w:jc w:val="center"/>
              <w:rPr>
                <w:rFonts w:ascii="Arial" w:hAnsi="Arial" w:cs="Arial"/>
                <w:b/>
                <w:sz w:val="18"/>
                <w:szCs w:val="18"/>
              </w:rPr>
            </w:pPr>
            <w:r w:rsidRPr="00A96329">
              <w:rPr>
                <w:rFonts w:ascii="Arial" w:hAnsi="Arial" w:cs="Arial"/>
                <w:b/>
                <w:sz w:val="18"/>
                <w:szCs w:val="18"/>
              </w:rPr>
              <w:t>Silicone tubing</w:t>
            </w:r>
          </w:p>
          <w:p w14:paraId="17072317" w14:textId="51DCC94B" w:rsidR="00363159" w:rsidRPr="00A96329" w:rsidRDefault="00363159" w:rsidP="00363159">
            <w:pPr>
              <w:pStyle w:val="CETBodytext"/>
              <w:spacing w:line="240" w:lineRule="auto"/>
              <w:ind w:right="-1"/>
              <w:jc w:val="center"/>
              <w:rPr>
                <w:rFonts w:cs="Arial"/>
                <w:b/>
                <w:szCs w:val="18"/>
              </w:rPr>
            </w:pPr>
            <w:r w:rsidRPr="00A96329">
              <w:rPr>
                <w:rFonts w:cs="Arial"/>
                <w:b/>
                <w:szCs w:val="18"/>
                <w:lang w:val="it-IT"/>
              </w:rPr>
              <w:t>(</w:t>
            </w:r>
            <w:proofErr w:type="spellStart"/>
            <w:r w:rsidRPr="00A96329">
              <w:rPr>
                <w:rFonts w:cs="Arial"/>
                <w:b/>
                <w:szCs w:val="18"/>
                <w:lang w:val="it-IT"/>
              </w:rPr>
              <w:t>tygon</w:t>
            </w:r>
            <w:proofErr w:type="spellEnd"/>
            <w:r w:rsidRPr="00A96329">
              <w:rPr>
                <w:rFonts w:cs="Arial"/>
                <w:b/>
                <w:szCs w:val="18"/>
                <w:lang w:val="it-IT"/>
              </w:rPr>
              <w:t xml:space="preserve"> tube)</w:t>
            </w:r>
          </w:p>
        </w:tc>
        <w:tc>
          <w:tcPr>
            <w:tcW w:w="20" w:type="dxa"/>
            <w:shd w:val="clear" w:color="auto" w:fill="FFFFFF"/>
          </w:tcPr>
          <w:p w14:paraId="07D9D664" w14:textId="77777777" w:rsidR="00363159" w:rsidRPr="00A96329" w:rsidRDefault="00363159" w:rsidP="00363159">
            <w:pPr>
              <w:pStyle w:val="CETBodytext"/>
              <w:ind w:right="-1"/>
              <w:jc w:val="center"/>
              <w:rPr>
                <w:rFonts w:cs="Arial"/>
                <w:szCs w:val="18"/>
                <w:lang w:val="en-GB"/>
              </w:rPr>
            </w:pPr>
          </w:p>
        </w:tc>
        <w:tc>
          <w:tcPr>
            <w:tcW w:w="1433" w:type="dxa"/>
            <w:shd w:val="clear" w:color="auto" w:fill="FFFFFF"/>
          </w:tcPr>
          <w:p w14:paraId="4B02742C" w14:textId="5914CCB1" w:rsidR="00363159" w:rsidRPr="00A96329" w:rsidRDefault="00363159" w:rsidP="00363159">
            <w:pPr>
              <w:jc w:val="center"/>
              <w:rPr>
                <w:rFonts w:ascii="Arial" w:hAnsi="Arial" w:cs="Arial"/>
                <w:sz w:val="18"/>
                <w:szCs w:val="18"/>
              </w:rPr>
            </w:pPr>
            <w:r w:rsidRPr="00A96329">
              <w:rPr>
                <w:rFonts w:ascii="Arial" w:hAnsi="Arial" w:cs="Arial"/>
                <w:sz w:val="18"/>
                <w:szCs w:val="18"/>
              </w:rPr>
              <w:t>++</w:t>
            </w:r>
          </w:p>
          <w:p w14:paraId="382F9E84" w14:textId="77777777" w:rsidR="00363159" w:rsidRPr="00A96329" w:rsidRDefault="00363159" w:rsidP="00363159">
            <w:pPr>
              <w:pStyle w:val="CETBodytext"/>
              <w:ind w:right="-1"/>
              <w:jc w:val="center"/>
              <w:rPr>
                <w:rFonts w:cs="Arial"/>
                <w:szCs w:val="18"/>
                <w:lang w:val="en-GB"/>
              </w:rPr>
            </w:pPr>
          </w:p>
        </w:tc>
        <w:tc>
          <w:tcPr>
            <w:tcW w:w="950" w:type="dxa"/>
            <w:shd w:val="clear" w:color="auto" w:fill="FFFFFF"/>
          </w:tcPr>
          <w:p w14:paraId="15E10253" w14:textId="41075A3E" w:rsidR="00363159" w:rsidRPr="00A96329" w:rsidRDefault="00363159" w:rsidP="00363159">
            <w:pPr>
              <w:pStyle w:val="CETBodytext"/>
              <w:ind w:right="-1"/>
              <w:jc w:val="center"/>
              <w:rPr>
                <w:rFonts w:cs="Arial"/>
                <w:szCs w:val="18"/>
                <w:lang w:val="en-GB"/>
              </w:rPr>
            </w:pPr>
            <w:r w:rsidRPr="00A96329">
              <w:rPr>
                <w:rFonts w:cs="Arial"/>
                <w:szCs w:val="18"/>
                <w:lang w:val="it-IT"/>
              </w:rPr>
              <w:t>++</w:t>
            </w:r>
          </w:p>
        </w:tc>
        <w:tc>
          <w:tcPr>
            <w:tcW w:w="2282" w:type="dxa"/>
            <w:shd w:val="clear" w:color="auto" w:fill="FFFFFF"/>
          </w:tcPr>
          <w:p w14:paraId="7BA5583D" w14:textId="73160DC1" w:rsidR="00363159" w:rsidRDefault="00363159" w:rsidP="00363159">
            <w:pPr>
              <w:jc w:val="center"/>
              <w:rPr>
                <w:rFonts w:ascii="Arial" w:hAnsi="Arial" w:cs="Arial"/>
                <w:sz w:val="18"/>
                <w:szCs w:val="18"/>
              </w:rPr>
            </w:pPr>
            <w:r w:rsidRPr="00A96329">
              <w:rPr>
                <w:rFonts w:ascii="Arial" w:hAnsi="Arial" w:cs="Arial"/>
                <w:sz w:val="18"/>
                <w:szCs w:val="18"/>
              </w:rPr>
              <w:t>YES</w:t>
            </w:r>
          </w:p>
          <w:p w14:paraId="1946FD4B" w14:textId="77777777" w:rsidR="003678AF" w:rsidRPr="00A96329" w:rsidRDefault="003678AF" w:rsidP="00363159">
            <w:pPr>
              <w:jc w:val="center"/>
              <w:rPr>
                <w:rFonts w:ascii="Arial" w:hAnsi="Arial" w:cs="Arial"/>
                <w:sz w:val="18"/>
                <w:szCs w:val="18"/>
              </w:rPr>
            </w:pPr>
          </w:p>
          <w:p w14:paraId="11371BC4" w14:textId="77777777" w:rsidR="00363159" w:rsidRPr="00A96329" w:rsidRDefault="00363159" w:rsidP="00363159">
            <w:pPr>
              <w:pStyle w:val="CETBodytext"/>
              <w:ind w:right="-1"/>
              <w:jc w:val="center"/>
              <w:rPr>
                <w:rFonts w:cs="Arial"/>
                <w:szCs w:val="18"/>
                <w:lang w:val="en-GB"/>
              </w:rPr>
            </w:pPr>
          </w:p>
        </w:tc>
        <w:tc>
          <w:tcPr>
            <w:tcW w:w="20" w:type="dxa"/>
            <w:shd w:val="clear" w:color="auto" w:fill="FFFFFF"/>
            <w:vAlign w:val="center"/>
          </w:tcPr>
          <w:p w14:paraId="0A30EE92" w14:textId="77777777" w:rsidR="00363159" w:rsidRPr="00A96329" w:rsidRDefault="00363159" w:rsidP="00363159">
            <w:pPr>
              <w:pStyle w:val="CETBodytext"/>
              <w:ind w:right="-1"/>
              <w:jc w:val="center"/>
              <w:rPr>
                <w:rFonts w:cs="Arial"/>
                <w:szCs w:val="18"/>
                <w:lang w:val="en-GB"/>
              </w:rPr>
            </w:pPr>
          </w:p>
        </w:tc>
      </w:tr>
      <w:tr w:rsidR="00363159" w:rsidRPr="00A96329" w14:paraId="7F41988D" w14:textId="77777777" w:rsidTr="00363159">
        <w:trPr>
          <w:trHeight w:val="75"/>
          <w:jc w:val="center"/>
        </w:trPr>
        <w:tc>
          <w:tcPr>
            <w:tcW w:w="2375" w:type="dxa"/>
            <w:shd w:val="clear" w:color="auto" w:fill="FFFFFF"/>
          </w:tcPr>
          <w:p w14:paraId="4AF459AF" w14:textId="1707F553" w:rsidR="00363159" w:rsidRPr="00A96329" w:rsidRDefault="00363159" w:rsidP="00363159">
            <w:pPr>
              <w:spacing w:line="480" w:lineRule="auto"/>
              <w:jc w:val="center"/>
              <w:rPr>
                <w:rFonts w:ascii="Arial" w:hAnsi="Arial" w:cs="Arial"/>
                <w:b/>
                <w:sz w:val="18"/>
                <w:szCs w:val="18"/>
              </w:rPr>
            </w:pPr>
            <w:r w:rsidRPr="00A96329">
              <w:rPr>
                <w:rFonts w:ascii="Arial" w:hAnsi="Arial" w:cs="Arial"/>
                <w:b/>
                <w:sz w:val="18"/>
                <w:szCs w:val="18"/>
              </w:rPr>
              <w:t xml:space="preserve">Metal </w:t>
            </w:r>
            <w:r w:rsidR="004A4B79">
              <w:rPr>
                <w:rFonts w:ascii="Arial" w:hAnsi="Arial" w:cs="Arial"/>
                <w:b/>
                <w:sz w:val="18"/>
                <w:szCs w:val="18"/>
              </w:rPr>
              <w:t>nets</w:t>
            </w:r>
          </w:p>
        </w:tc>
        <w:tc>
          <w:tcPr>
            <w:tcW w:w="20" w:type="dxa"/>
            <w:shd w:val="clear" w:color="auto" w:fill="FFFFFF"/>
          </w:tcPr>
          <w:p w14:paraId="1B2176E1" w14:textId="77777777" w:rsidR="00363159" w:rsidRPr="00A96329" w:rsidRDefault="00363159" w:rsidP="00363159">
            <w:pPr>
              <w:pStyle w:val="CETBodytext"/>
              <w:ind w:right="-1"/>
              <w:jc w:val="center"/>
              <w:rPr>
                <w:rFonts w:cs="Arial"/>
                <w:szCs w:val="18"/>
                <w:lang w:val="en-GB"/>
              </w:rPr>
            </w:pPr>
          </w:p>
        </w:tc>
        <w:tc>
          <w:tcPr>
            <w:tcW w:w="1433" w:type="dxa"/>
            <w:shd w:val="clear" w:color="auto" w:fill="FFFFFF"/>
          </w:tcPr>
          <w:p w14:paraId="6DDA4338" w14:textId="08FD097C" w:rsidR="00363159" w:rsidRPr="00A96329" w:rsidRDefault="00363159" w:rsidP="00363159">
            <w:pPr>
              <w:jc w:val="center"/>
              <w:rPr>
                <w:rFonts w:ascii="Arial" w:hAnsi="Arial" w:cs="Arial"/>
                <w:sz w:val="18"/>
                <w:szCs w:val="18"/>
              </w:rPr>
            </w:pPr>
            <w:r w:rsidRPr="00A96329">
              <w:rPr>
                <w:rFonts w:ascii="Arial" w:hAnsi="Arial" w:cs="Arial"/>
                <w:sz w:val="18"/>
                <w:szCs w:val="18"/>
              </w:rPr>
              <w:t>+</w:t>
            </w:r>
          </w:p>
          <w:p w14:paraId="69519EFF" w14:textId="77777777" w:rsidR="00363159" w:rsidRPr="00A96329" w:rsidRDefault="00363159" w:rsidP="00363159">
            <w:pPr>
              <w:pStyle w:val="CETBodytext"/>
              <w:ind w:right="-1"/>
              <w:jc w:val="center"/>
              <w:rPr>
                <w:rFonts w:cs="Arial"/>
                <w:szCs w:val="18"/>
                <w:lang w:val="en-GB"/>
              </w:rPr>
            </w:pPr>
          </w:p>
        </w:tc>
        <w:tc>
          <w:tcPr>
            <w:tcW w:w="950" w:type="dxa"/>
            <w:shd w:val="clear" w:color="auto" w:fill="FFFFFF"/>
          </w:tcPr>
          <w:p w14:paraId="7B4D8CF3" w14:textId="2FB5BCE5" w:rsidR="00363159" w:rsidRPr="00A96329" w:rsidRDefault="00363159" w:rsidP="00363159">
            <w:pPr>
              <w:pStyle w:val="CETBodytext"/>
              <w:ind w:right="-1"/>
              <w:jc w:val="center"/>
              <w:rPr>
                <w:rFonts w:cs="Arial"/>
                <w:szCs w:val="18"/>
                <w:lang w:val="en-GB"/>
              </w:rPr>
            </w:pPr>
            <w:r w:rsidRPr="00A96329">
              <w:rPr>
                <w:rFonts w:cs="Arial"/>
                <w:szCs w:val="18"/>
              </w:rPr>
              <w:t>+</w:t>
            </w:r>
          </w:p>
        </w:tc>
        <w:tc>
          <w:tcPr>
            <w:tcW w:w="2282" w:type="dxa"/>
            <w:shd w:val="clear" w:color="auto" w:fill="FFFFFF"/>
          </w:tcPr>
          <w:p w14:paraId="69255131" w14:textId="6DE028FF" w:rsidR="00363159" w:rsidRPr="00A96329" w:rsidRDefault="00363159" w:rsidP="00363159">
            <w:pPr>
              <w:pStyle w:val="CETBodytext"/>
              <w:ind w:right="-1"/>
              <w:jc w:val="center"/>
              <w:rPr>
                <w:rFonts w:cs="Arial"/>
                <w:szCs w:val="18"/>
                <w:lang w:val="en-GB"/>
              </w:rPr>
            </w:pPr>
            <w:r w:rsidRPr="00A96329">
              <w:rPr>
                <w:rFonts w:cs="Arial"/>
                <w:szCs w:val="18"/>
              </w:rPr>
              <w:t>NO</w:t>
            </w:r>
          </w:p>
        </w:tc>
        <w:tc>
          <w:tcPr>
            <w:tcW w:w="20" w:type="dxa"/>
            <w:shd w:val="clear" w:color="auto" w:fill="FFFFFF"/>
            <w:vAlign w:val="center"/>
          </w:tcPr>
          <w:p w14:paraId="57A8BC03" w14:textId="77777777" w:rsidR="00363159" w:rsidRPr="00A96329" w:rsidRDefault="00363159" w:rsidP="00363159">
            <w:pPr>
              <w:pStyle w:val="CETBodytext"/>
              <w:ind w:right="-1"/>
              <w:jc w:val="center"/>
              <w:rPr>
                <w:rFonts w:cs="Arial"/>
                <w:szCs w:val="18"/>
                <w:lang w:val="en-GB"/>
              </w:rPr>
            </w:pPr>
          </w:p>
        </w:tc>
      </w:tr>
      <w:tr w:rsidR="00363159" w:rsidRPr="00A96329" w14:paraId="4D570545" w14:textId="77777777" w:rsidTr="00363159">
        <w:trPr>
          <w:jc w:val="center"/>
        </w:trPr>
        <w:tc>
          <w:tcPr>
            <w:tcW w:w="2375" w:type="dxa"/>
            <w:shd w:val="clear" w:color="auto" w:fill="FFFFFF"/>
          </w:tcPr>
          <w:p w14:paraId="128654C8" w14:textId="536F9100" w:rsidR="00363159" w:rsidRPr="00A96329" w:rsidRDefault="00363159" w:rsidP="00363159">
            <w:pPr>
              <w:spacing w:line="480" w:lineRule="auto"/>
              <w:jc w:val="center"/>
              <w:rPr>
                <w:rFonts w:ascii="Arial" w:hAnsi="Arial" w:cs="Arial"/>
                <w:b/>
                <w:sz w:val="18"/>
                <w:szCs w:val="18"/>
              </w:rPr>
            </w:pPr>
            <w:r w:rsidRPr="00A96329">
              <w:rPr>
                <w:rFonts w:ascii="Arial" w:hAnsi="Arial" w:cs="Arial"/>
                <w:b/>
                <w:sz w:val="18"/>
                <w:szCs w:val="18"/>
              </w:rPr>
              <w:t>Nylon</w:t>
            </w:r>
            <w:r w:rsidR="004A4B79">
              <w:rPr>
                <w:rFonts w:ascii="Arial" w:hAnsi="Arial" w:cs="Arial"/>
                <w:b/>
                <w:sz w:val="18"/>
                <w:szCs w:val="18"/>
              </w:rPr>
              <w:t xml:space="preserve"> nets</w:t>
            </w:r>
          </w:p>
        </w:tc>
        <w:tc>
          <w:tcPr>
            <w:tcW w:w="20" w:type="dxa"/>
            <w:shd w:val="clear" w:color="auto" w:fill="FFFFFF"/>
          </w:tcPr>
          <w:p w14:paraId="466F445D" w14:textId="77777777" w:rsidR="00363159" w:rsidRPr="00A96329" w:rsidRDefault="00363159" w:rsidP="00363159">
            <w:pPr>
              <w:pStyle w:val="CETBodytext"/>
              <w:ind w:right="-1"/>
              <w:jc w:val="center"/>
              <w:rPr>
                <w:rFonts w:cs="Arial"/>
                <w:szCs w:val="18"/>
                <w:lang w:val="en-GB"/>
              </w:rPr>
            </w:pPr>
          </w:p>
        </w:tc>
        <w:tc>
          <w:tcPr>
            <w:tcW w:w="1433" w:type="dxa"/>
            <w:shd w:val="clear" w:color="auto" w:fill="FFFFFF"/>
          </w:tcPr>
          <w:p w14:paraId="359E771B" w14:textId="1632FB96" w:rsidR="00363159" w:rsidRPr="00A96329" w:rsidRDefault="00363159" w:rsidP="00363159">
            <w:pPr>
              <w:jc w:val="center"/>
              <w:rPr>
                <w:rFonts w:ascii="Arial" w:hAnsi="Arial" w:cs="Arial"/>
                <w:sz w:val="18"/>
                <w:szCs w:val="18"/>
              </w:rPr>
            </w:pPr>
            <w:r w:rsidRPr="00A96329">
              <w:rPr>
                <w:rFonts w:ascii="Arial" w:hAnsi="Arial" w:cs="Arial"/>
                <w:sz w:val="18"/>
                <w:szCs w:val="18"/>
              </w:rPr>
              <w:t>++</w:t>
            </w:r>
          </w:p>
          <w:p w14:paraId="1B4C200D" w14:textId="77777777" w:rsidR="00363159" w:rsidRPr="00A96329" w:rsidRDefault="00363159" w:rsidP="00363159">
            <w:pPr>
              <w:pStyle w:val="CETBodytext"/>
              <w:ind w:right="-1"/>
              <w:jc w:val="center"/>
              <w:rPr>
                <w:rFonts w:cs="Arial"/>
                <w:szCs w:val="18"/>
                <w:lang w:val="en-GB"/>
              </w:rPr>
            </w:pPr>
          </w:p>
        </w:tc>
        <w:tc>
          <w:tcPr>
            <w:tcW w:w="950" w:type="dxa"/>
            <w:shd w:val="clear" w:color="auto" w:fill="FFFFFF"/>
          </w:tcPr>
          <w:p w14:paraId="52765303" w14:textId="1BFAB874" w:rsidR="00363159" w:rsidRPr="00A96329" w:rsidRDefault="00363159" w:rsidP="00363159">
            <w:pPr>
              <w:pStyle w:val="CETBodytext"/>
              <w:ind w:right="-1"/>
              <w:jc w:val="center"/>
              <w:rPr>
                <w:rFonts w:cs="Arial"/>
                <w:szCs w:val="18"/>
                <w:lang w:val="en-GB"/>
              </w:rPr>
            </w:pPr>
            <w:r w:rsidRPr="00A96329">
              <w:rPr>
                <w:rFonts w:cs="Arial"/>
                <w:szCs w:val="18"/>
              </w:rPr>
              <w:t>++</w:t>
            </w:r>
          </w:p>
        </w:tc>
        <w:tc>
          <w:tcPr>
            <w:tcW w:w="2282" w:type="dxa"/>
            <w:shd w:val="clear" w:color="auto" w:fill="FFFFFF"/>
          </w:tcPr>
          <w:p w14:paraId="205B6E16" w14:textId="161F33A2" w:rsidR="00363159" w:rsidRPr="00A96329" w:rsidRDefault="00363159" w:rsidP="00363159">
            <w:pPr>
              <w:pStyle w:val="CETBodytext"/>
              <w:ind w:right="-1"/>
              <w:jc w:val="center"/>
              <w:rPr>
                <w:rFonts w:cs="Arial"/>
                <w:szCs w:val="18"/>
                <w:lang w:val="en-GB"/>
              </w:rPr>
            </w:pPr>
            <w:r w:rsidRPr="00A96329">
              <w:rPr>
                <w:rFonts w:cs="Arial"/>
                <w:szCs w:val="18"/>
                <w:lang w:val="it-IT"/>
              </w:rPr>
              <w:t>YES</w:t>
            </w:r>
          </w:p>
        </w:tc>
        <w:tc>
          <w:tcPr>
            <w:tcW w:w="20" w:type="dxa"/>
            <w:shd w:val="clear" w:color="auto" w:fill="FFFFFF"/>
            <w:vAlign w:val="center"/>
          </w:tcPr>
          <w:p w14:paraId="6E9B0D38" w14:textId="77777777" w:rsidR="00363159" w:rsidRPr="00A96329" w:rsidRDefault="00363159" w:rsidP="00363159">
            <w:pPr>
              <w:pStyle w:val="CETBodytext"/>
              <w:ind w:right="-1"/>
              <w:jc w:val="center"/>
              <w:rPr>
                <w:rFonts w:cs="Arial"/>
                <w:szCs w:val="18"/>
                <w:lang w:val="en-GB"/>
              </w:rPr>
            </w:pPr>
          </w:p>
        </w:tc>
      </w:tr>
    </w:tbl>
    <w:p w14:paraId="17889952" w14:textId="77777777" w:rsidR="00304237" w:rsidRPr="00A96329" w:rsidRDefault="00304237" w:rsidP="00607AD4">
      <w:pPr>
        <w:pStyle w:val="Paragrafoelenco"/>
        <w:numPr>
          <w:ilvl w:val="0"/>
          <w:numId w:val="24"/>
        </w:numPr>
        <w:tabs>
          <w:tab w:val="clear" w:pos="7100"/>
        </w:tabs>
        <w:spacing w:after="100" w:afterAutospacing="1" w:line="240" w:lineRule="auto"/>
        <w:jc w:val="left"/>
        <w:rPr>
          <w:rFonts w:cs="Arial"/>
          <w:szCs w:val="18"/>
          <w:lang w:val="en-US" w:eastAsia="it-IT"/>
        </w:rPr>
      </w:pPr>
      <w:r w:rsidRPr="00A96329">
        <w:rPr>
          <w:rFonts w:cs="Arial"/>
          <w:szCs w:val="18"/>
          <w:lang w:val="en-US" w:eastAsia="it-IT"/>
        </w:rPr>
        <w:t>"-" means no cell growth or metabolite production</w:t>
      </w:r>
    </w:p>
    <w:p w14:paraId="43ACE79B" w14:textId="77777777" w:rsidR="00304237" w:rsidRPr="00A96329" w:rsidRDefault="00304237" w:rsidP="00607AD4">
      <w:pPr>
        <w:pStyle w:val="Paragrafoelenco"/>
        <w:numPr>
          <w:ilvl w:val="0"/>
          <w:numId w:val="24"/>
        </w:numPr>
        <w:tabs>
          <w:tab w:val="clear" w:pos="7100"/>
        </w:tabs>
        <w:spacing w:after="100" w:afterAutospacing="1" w:line="240" w:lineRule="auto"/>
        <w:jc w:val="left"/>
        <w:rPr>
          <w:rFonts w:cs="Arial"/>
          <w:szCs w:val="18"/>
          <w:lang w:val="en-US" w:eastAsia="it-IT"/>
        </w:rPr>
      </w:pPr>
      <w:r w:rsidRPr="00A96329">
        <w:rPr>
          <w:rFonts w:cs="Arial"/>
          <w:szCs w:val="18"/>
          <w:lang w:val="en-US" w:eastAsia="it-IT"/>
        </w:rPr>
        <w:t>"+" indicates partial inhibition of growth and metabolite production</w:t>
      </w:r>
    </w:p>
    <w:p w14:paraId="1686ED4A" w14:textId="7ED37865" w:rsidR="00654CBE" w:rsidRPr="004A2A6E" w:rsidRDefault="00304237" w:rsidP="004A2A6E">
      <w:pPr>
        <w:pStyle w:val="Paragrafoelenco"/>
        <w:numPr>
          <w:ilvl w:val="0"/>
          <w:numId w:val="24"/>
        </w:numPr>
        <w:tabs>
          <w:tab w:val="clear" w:pos="7100"/>
        </w:tabs>
        <w:spacing w:before="100" w:beforeAutospacing="1" w:after="100" w:afterAutospacing="1" w:line="240" w:lineRule="auto"/>
        <w:jc w:val="left"/>
        <w:rPr>
          <w:rFonts w:cs="Arial"/>
          <w:szCs w:val="18"/>
          <w:lang w:val="en-US" w:eastAsia="it-IT"/>
        </w:rPr>
      </w:pPr>
      <w:r w:rsidRPr="00A96329">
        <w:rPr>
          <w:rFonts w:cs="Arial"/>
          <w:szCs w:val="18"/>
          <w:lang w:val="en-US" w:eastAsia="it-IT"/>
        </w:rPr>
        <w:t>"++" indicates no inhibition effects on growth and metabolite production</w:t>
      </w:r>
    </w:p>
    <w:p w14:paraId="333EADFC" w14:textId="3E93263F" w:rsidR="00756CEE" w:rsidRPr="00AC295B" w:rsidRDefault="00626384" w:rsidP="00EF3A03">
      <w:pPr>
        <w:pStyle w:val="CETheadingx"/>
        <w:rPr>
          <w:b/>
          <w:bCs w:val="0"/>
        </w:rPr>
      </w:pPr>
      <w:r w:rsidRPr="00AC295B">
        <w:rPr>
          <w:b/>
          <w:bCs w:val="0"/>
        </w:rPr>
        <w:t xml:space="preserve">3.2 </w:t>
      </w:r>
      <w:r w:rsidR="00A96329" w:rsidRPr="00AC295B">
        <w:rPr>
          <w:b/>
          <w:bCs w:val="0"/>
        </w:rPr>
        <w:t>Biofilm tests in continuous stirre</w:t>
      </w:r>
      <w:r w:rsidR="004317AD" w:rsidRPr="00AC295B">
        <w:rPr>
          <w:b/>
          <w:bCs w:val="0"/>
        </w:rPr>
        <w:t>d</w:t>
      </w:r>
      <w:r w:rsidR="0063090E">
        <w:rPr>
          <w:b/>
          <w:bCs w:val="0"/>
        </w:rPr>
        <w:t>-</w:t>
      </w:r>
      <w:r w:rsidR="00A96329" w:rsidRPr="00AC295B">
        <w:rPr>
          <w:b/>
          <w:bCs w:val="0"/>
        </w:rPr>
        <w:t>tank reactor</w:t>
      </w:r>
      <w:r w:rsidR="0037238B" w:rsidRPr="00AC295B">
        <w:rPr>
          <w:b/>
          <w:bCs w:val="0"/>
        </w:rPr>
        <w:t>s</w:t>
      </w:r>
    </w:p>
    <w:p w14:paraId="5682EB20" w14:textId="50304BA3" w:rsidR="003C2AD7" w:rsidRPr="00C25B01" w:rsidRDefault="003C2AD7" w:rsidP="00EF3A03">
      <w:pPr>
        <w:pStyle w:val="CETheadingx"/>
        <w:rPr>
          <w:szCs w:val="18"/>
        </w:rPr>
      </w:pPr>
      <w:r w:rsidRPr="00C25B01">
        <w:rPr>
          <w:szCs w:val="18"/>
        </w:rPr>
        <w:t xml:space="preserve">Based on the results obtained from the preliminary batch tests, nylon </w:t>
      </w:r>
      <w:r w:rsidR="00AC295B" w:rsidRPr="00C25B01">
        <w:rPr>
          <w:szCs w:val="18"/>
        </w:rPr>
        <w:t>nets</w:t>
      </w:r>
      <w:r w:rsidRPr="00C25B01">
        <w:rPr>
          <w:szCs w:val="18"/>
        </w:rPr>
        <w:t xml:space="preserve"> (12 g) w</w:t>
      </w:r>
      <w:r w:rsidR="00AC295B" w:rsidRPr="00C25B01">
        <w:rPr>
          <w:szCs w:val="18"/>
        </w:rPr>
        <w:t>ere</w:t>
      </w:r>
      <w:r w:rsidRPr="00C25B01">
        <w:rPr>
          <w:szCs w:val="18"/>
        </w:rPr>
        <w:t xml:space="preserve"> used as</w:t>
      </w:r>
      <w:r w:rsidR="00A126FD">
        <w:rPr>
          <w:szCs w:val="18"/>
        </w:rPr>
        <w:t xml:space="preserve"> the</w:t>
      </w:r>
      <w:r w:rsidRPr="00C25B01">
        <w:rPr>
          <w:szCs w:val="18"/>
        </w:rPr>
        <w:t xml:space="preserve"> carrier for biofilm development. Main features of the carrier are reported in Table 1.</w:t>
      </w:r>
    </w:p>
    <w:p w14:paraId="3D026B2F" w14:textId="3035ED28" w:rsidR="00756CEE" w:rsidRPr="005542F9" w:rsidRDefault="0037238B" w:rsidP="00EF3A03">
      <w:pPr>
        <w:pStyle w:val="CETheadingx"/>
        <w:rPr>
          <w:b/>
        </w:rPr>
      </w:pPr>
      <w:r w:rsidRPr="00D01C95">
        <w:t>Biofilm-based</w:t>
      </w:r>
      <w:r w:rsidR="004C2A12" w:rsidRPr="00D01C95">
        <w:t xml:space="preserve"> fermentation was </w:t>
      </w:r>
      <w:r w:rsidR="003C2AD7">
        <w:t>carried out</w:t>
      </w:r>
      <w:r w:rsidR="003C2AD7" w:rsidRPr="00D01C95">
        <w:t xml:space="preserve"> </w:t>
      </w:r>
      <w:r w:rsidR="004C2A12" w:rsidRPr="00D01C95">
        <w:t>to enhance the production of acetic acid (AA) and hydrogen (H</w:t>
      </w:r>
      <w:r w:rsidR="004C2A12" w:rsidRPr="00D01C95">
        <w:rPr>
          <w:rFonts w:ascii="Cambria Math" w:hAnsi="Cambria Math" w:cs="Cambria Math"/>
        </w:rPr>
        <w:t>₂</w:t>
      </w:r>
      <w:r w:rsidR="004C2A12" w:rsidRPr="00D01C95">
        <w:t xml:space="preserve">). During the first 36 h </w:t>
      </w:r>
      <w:r w:rsidR="003C2AD7">
        <w:t xml:space="preserve">after </w:t>
      </w:r>
      <w:r w:rsidR="004C2A12" w:rsidRPr="00D01C95">
        <w:t xml:space="preserve">inoculation, the reactor was operated </w:t>
      </w:r>
      <w:r w:rsidR="003C2AD7">
        <w:t xml:space="preserve">under </w:t>
      </w:r>
      <w:r w:rsidR="004C2A12" w:rsidRPr="00D01C95">
        <w:t xml:space="preserve">batch </w:t>
      </w:r>
      <w:r w:rsidR="003C2AD7">
        <w:t>condition</w:t>
      </w:r>
      <w:r w:rsidR="00A126FD">
        <w:t>s</w:t>
      </w:r>
      <w:r w:rsidR="003C2AD7">
        <w:t xml:space="preserve"> </w:t>
      </w:r>
      <w:r w:rsidR="004C2A12" w:rsidRPr="00D01C95">
        <w:t>without pH control to promote optimal microbial growth.</w:t>
      </w:r>
      <w:r w:rsidR="005542F9">
        <w:t xml:space="preserve"> </w:t>
      </w:r>
      <w:r w:rsidR="003C2AD7">
        <w:t>R</w:t>
      </w:r>
      <w:r w:rsidR="005542F9" w:rsidRPr="005542F9">
        <w:t xml:space="preserve">epeated stress cycles were applied to the microorganism by </w:t>
      </w:r>
      <w:r w:rsidR="003C2AD7">
        <w:t xml:space="preserve">forcing </w:t>
      </w:r>
      <w:r w:rsidR="005542F9" w:rsidRPr="005542F9">
        <w:t xml:space="preserve">the pH out </w:t>
      </w:r>
      <w:r w:rsidR="00AC295B">
        <w:t xml:space="preserve">of the </w:t>
      </w:r>
      <w:r w:rsidR="005542F9" w:rsidRPr="005542F9">
        <w:t>optimal</w:t>
      </w:r>
      <w:r w:rsidR="00AC295B">
        <w:t xml:space="preserve"> growth</w:t>
      </w:r>
      <w:r w:rsidR="005542F9" w:rsidRPr="005542F9">
        <w:t xml:space="preserve"> range (6.5–8.0) and progressively increasing the </w:t>
      </w:r>
      <w:r w:rsidR="003C2AD7">
        <w:t xml:space="preserve">medium volumetric flow rate </w:t>
      </w:r>
      <w:r w:rsidR="005542F9" w:rsidRPr="005542F9">
        <w:t xml:space="preserve">to </w:t>
      </w:r>
      <w:r w:rsidR="003C2AD7">
        <w:t xml:space="preserve">reduce the </w:t>
      </w:r>
      <w:r w:rsidR="005542F9" w:rsidRPr="005542F9">
        <w:t>residence time (</w:t>
      </w:r>
      <w:r w:rsidR="005542F9">
        <w:rPr>
          <w:rFonts w:eastAsia="SimSun"/>
        </w:rPr>
        <w:sym w:font="Symbol" w:char="F074"/>
      </w:r>
      <w:r w:rsidR="005542F9" w:rsidRPr="005542F9">
        <w:t xml:space="preserve">) </w:t>
      </w:r>
      <w:r w:rsidR="002525AC">
        <w:t>to</w:t>
      </w:r>
      <w:r w:rsidR="003C2AD7">
        <w:t xml:space="preserve"> </w:t>
      </w:r>
      <w:r w:rsidR="005542F9" w:rsidRPr="005542F9">
        <w:t>2 h. After 10 days</w:t>
      </w:r>
      <w:r w:rsidR="003C2AD7">
        <w:t xml:space="preserve"> under stressed conditions</w:t>
      </w:r>
      <w:r w:rsidR="005542F9" w:rsidRPr="005542F9">
        <w:t xml:space="preserve">, a significant biofilm layer was </w:t>
      </w:r>
      <w:r w:rsidR="003C2AD7">
        <w:t>observed</w:t>
      </w:r>
      <w:r w:rsidR="00AC295B">
        <w:t>.</w:t>
      </w:r>
      <w:r w:rsidR="003C2AD7">
        <w:t xml:space="preserve"> </w:t>
      </w:r>
      <w:r w:rsidR="00AC295B">
        <w:t>C</w:t>
      </w:r>
      <w:r w:rsidR="003C2AD7">
        <w:t xml:space="preserve">ontinuous fermentation </w:t>
      </w:r>
      <w:r w:rsidR="005542F9" w:rsidRPr="005542F9">
        <w:t xml:space="preserve">with </w:t>
      </w:r>
      <w:r w:rsidR="009A0613" w:rsidRPr="005542F9">
        <w:t xml:space="preserve">immobilized </w:t>
      </w:r>
      <w:r w:rsidR="005542F9" w:rsidRPr="005542F9">
        <w:t xml:space="preserve">cells </w:t>
      </w:r>
      <w:r w:rsidR="002525AC">
        <w:t>was then initiated</w:t>
      </w:r>
      <w:r w:rsidR="005542F9" w:rsidRPr="005542F9">
        <w:t xml:space="preserve"> by setting </w:t>
      </w:r>
      <w:r w:rsidR="003C2AD7">
        <w:t>the</w:t>
      </w:r>
      <w:r w:rsidR="003C2AD7" w:rsidRPr="005542F9">
        <w:t xml:space="preserve"> </w:t>
      </w:r>
      <w:r w:rsidR="005542F9" w:rsidRPr="005542F9">
        <w:t>dilution rate (D</w:t>
      </w:r>
      <w:r w:rsidR="005542F9" w:rsidRPr="005542F9">
        <w:rPr>
          <w:vertAlign w:val="subscript"/>
        </w:rPr>
        <w:t>L</w:t>
      </w:r>
      <w:r w:rsidR="005542F9" w:rsidRPr="005542F9">
        <w:t>) of 0.04</w:t>
      </w:r>
      <w:r w:rsidR="003D6DDA">
        <w:t xml:space="preserve">0 </w:t>
      </w:r>
      <w:r w:rsidR="005542F9" w:rsidRPr="005542F9">
        <w:t>h</w:t>
      </w:r>
      <w:r w:rsidR="005542F9" w:rsidRPr="005542F9">
        <w:rPr>
          <w:rFonts w:ascii="Cambria Math" w:hAnsi="Cambria Math" w:cs="Cambria Math"/>
        </w:rPr>
        <w:t>⁻</w:t>
      </w:r>
      <w:r w:rsidR="005542F9" w:rsidRPr="005542F9">
        <w:t>¹.</w:t>
      </w:r>
      <w:r w:rsidR="004C2A12" w:rsidRPr="005542F9">
        <w:t xml:space="preserve"> </w:t>
      </w:r>
    </w:p>
    <w:p w14:paraId="161A3566" w14:textId="4AD8820A" w:rsidR="00756CEE" w:rsidRPr="00D01C95" w:rsidRDefault="004A4B79" w:rsidP="00EF3A03">
      <w:pPr>
        <w:pStyle w:val="CETheadingx"/>
        <w:rPr>
          <w:b/>
        </w:rPr>
      </w:pPr>
      <w:r w:rsidRPr="00D01C95">
        <w:t xml:space="preserve">The </w:t>
      </w:r>
      <w:r w:rsidR="003C2AD7">
        <w:t xml:space="preserve">dilution rate </w:t>
      </w:r>
      <w:r w:rsidRPr="00D01C95">
        <w:t xml:space="preserve">was </w:t>
      </w:r>
      <w:r w:rsidR="003C2AD7">
        <w:t xml:space="preserve">set constant </w:t>
      </w:r>
      <w:r w:rsidRPr="00D01C95">
        <w:t>until steady-state</w:t>
      </w:r>
      <w:r w:rsidR="002525AC">
        <w:t xml:space="preserve"> condition</w:t>
      </w:r>
      <w:r w:rsidRPr="00D01C95">
        <w:t xml:space="preserve"> was </w:t>
      </w:r>
      <w:r w:rsidR="003C2AD7">
        <w:t>approached:</w:t>
      </w:r>
      <w:r w:rsidR="003C2AD7" w:rsidRPr="00D01C95">
        <w:t xml:space="preserve"> </w:t>
      </w:r>
      <w:r w:rsidRPr="00D01C95">
        <w:t>glucose consumption</w:t>
      </w:r>
      <w:r w:rsidR="002525AC">
        <w:t>,</w:t>
      </w:r>
      <w:r w:rsidRPr="00D01C95">
        <w:t xml:space="preserve"> acetic acid and hydrogen production</w:t>
      </w:r>
      <w:r w:rsidR="00AA21B9">
        <w:t xml:space="preserve"> were kept</w:t>
      </w:r>
      <w:r w:rsidRPr="00D01C95">
        <w:t xml:space="preserve"> </w:t>
      </w:r>
      <w:r w:rsidR="003C2AD7">
        <w:t xml:space="preserve">constant </w:t>
      </w:r>
      <w:r w:rsidRPr="00D01C95">
        <w:t xml:space="preserve">over </w:t>
      </w:r>
      <w:proofErr w:type="gramStart"/>
      <w:r w:rsidRPr="00D01C95">
        <w:t xml:space="preserve">a </w:t>
      </w:r>
      <w:r w:rsidR="003C2AD7">
        <w:t xml:space="preserve">time </w:t>
      </w:r>
      <w:r w:rsidRPr="00D01C95">
        <w:t>period</w:t>
      </w:r>
      <w:proofErr w:type="gramEnd"/>
      <w:r w:rsidRPr="00D01C95">
        <w:t xml:space="preserve"> corresponding to 2–3 residence times (</w:t>
      </w:r>
      <w:r w:rsidRPr="00D01C95">
        <w:rPr>
          <w:rFonts w:eastAsia="SimSun"/>
        </w:rPr>
        <w:sym w:font="Symbol" w:char="F074"/>
      </w:r>
      <w:r w:rsidRPr="00D01C95">
        <w:t xml:space="preserve">). </w:t>
      </w:r>
      <w:r w:rsidR="003C2AD7">
        <w:t>T</w:t>
      </w:r>
      <w:r w:rsidR="00295906" w:rsidRPr="00D01C95">
        <w:t>he D</w:t>
      </w:r>
      <w:r w:rsidR="00295906" w:rsidRPr="00113615">
        <w:rPr>
          <w:vertAlign w:val="subscript"/>
        </w:rPr>
        <w:t>L</w:t>
      </w:r>
      <w:r w:rsidR="00295906" w:rsidRPr="00D01C95">
        <w:t xml:space="preserve"> was subsequently increased to 0.0</w:t>
      </w:r>
      <w:r w:rsidR="003D6DDA">
        <w:t>67</w:t>
      </w:r>
      <w:r w:rsidR="00295906" w:rsidRPr="00D01C95">
        <w:t xml:space="preserve"> h</w:t>
      </w:r>
      <w:r w:rsidR="00295906" w:rsidRPr="00D01C95">
        <w:rPr>
          <w:rFonts w:ascii="Cambria Math" w:hAnsi="Cambria Math" w:cs="Cambria Math"/>
        </w:rPr>
        <w:t>⁻</w:t>
      </w:r>
      <w:r w:rsidR="00295906" w:rsidRPr="00D01C95">
        <w:t>¹.</w:t>
      </w:r>
    </w:p>
    <w:p w14:paraId="11EF5299" w14:textId="365FA7DD" w:rsidR="00756CEE" w:rsidRPr="004672A7" w:rsidRDefault="004A4B79" w:rsidP="00EF3A03">
      <w:pPr>
        <w:pStyle w:val="CETheadingx"/>
        <w:rPr>
          <w:b/>
        </w:rPr>
      </w:pPr>
      <w:r w:rsidRPr="004672A7">
        <w:t xml:space="preserve">Figure 1 </w:t>
      </w:r>
      <w:r w:rsidR="003C2AD7" w:rsidRPr="004672A7">
        <w:t xml:space="preserve">reports </w:t>
      </w:r>
      <w:r w:rsidRPr="004672A7">
        <w:t xml:space="preserve">the </w:t>
      </w:r>
      <w:r w:rsidR="00EC7B35" w:rsidRPr="004672A7">
        <w:t>results</w:t>
      </w:r>
      <w:r w:rsidRPr="004672A7">
        <w:t xml:space="preserve"> of dark fermentation </w:t>
      </w:r>
      <w:r w:rsidR="00EC7B35" w:rsidRPr="004672A7">
        <w:t xml:space="preserve">carried out </w:t>
      </w:r>
      <w:r w:rsidRPr="004672A7">
        <w:t xml:space="preserve">in </w:t>
      </w:r>
      <w:r w:rsidR="00EC7B35" w:rsidRPr="004672A7">
        <w:t xml:space="preserve">the </w:t>
      </w:r>
      <w:r w:rsidRPr="004672A7">
        <w:t xml:space="preserve">CSTR with </w:t>
      </w:r>
      <w:r w:rsidR="00AA21B9" w:rsidRPr="004672A7">
        <w:t xml:space="preserve">immobilized </w:t>
      </w:r>
      <w:r w:rsidRPr="004672A7">
        <w:t xml:space="preserve">cells on a nylon net support. The biofilm formation phase is not </w:t>
      </w:r>
      <w:r w:rsidR="00EC7B35" w:rsidRPr="004672A7">
        <w:t xml:space="preserve">reported </w:t>
      </w:r>
      <w:r w:rsidRPr="004672A7">
        <w:t>in the graph</w:t>
      </w:r>
      <w:r w:rsidR="00EC7B35" w:rsidRPr="004672A7">
        <w:t xml:space="preserve">. Time zero </w:t>
      </w:r>
      <w:r w:rsidR="002525AC" w:rsidRPr="004672A7">
        <w:t>corresponds to the moment when the</w:t>
      </w:r>
      <w:r w:rsidRPr="004672A7">
        <w:t xml:space="preserve"> D</w:t>
      </w:r>
      <w:r w:rsidRPr="004672A7">
        <w:rPr>
          <w:vertAlign w:val="subscript"/>
        </w:rPr>
        <w:t>L</w:t>
      </w:r>
      <w:r w:rsidRPr="004672A7">
        <w:t xml:space="preserve"> </w:t>
      </w:r>
      <w:r w:rsidR="00EC7B35" w:rsidRPr="004672A7">
        <w:t xml:space="preserve">was set at </w:t>
      </w:r>
      <w:r w:rsidRPr="004672A7">
        <w:t>0.04</w:t>
      </w:r>
      <w:r w:rsidR="003D6DDA" w:rsidRPr="004672A7">
        <w:t>0</w:t>
      </w:r>
      <w:r w:rsidRPr="004672A7">
        <w:t xml:space="preserve"> h</w:t>
      </w:r>
      <w:r w:rsidRPr="004672A7">
        <w:rPr>
          <w:rFonts w:ascii="Cambria Math" w:hAnsi="Cambria Math" w:cs="Cambria Math"/>
        </w:rPr>
        <w:t>⁻</w:t>
      </w:r>
      <w:r w:rsidRPr="004672A7">
        <w:t>¹</w:t>
      </w:r>
      <w:r w:rsidR="00295906" w:rsidRPr="004672A7">
        <w:t xml:space="preserve"> (</w:t>
      </w:r>
      <w:r w:rsidR="005542F9" w:rsidRPr="004672A7">
        <w:rPr>
          <w:rFonts w:eastAsia="SimSun"/>
        </w:rPr>
        <w:sym w:font="Symbol" w:char="F074"/>
      </w:r>
      <w:r w:rsidR="00295906" w:rsidRPr="004672A7">
        <w:t>=25h)</w:t>
      </w:r>
      <w:r w:rsidRPr="004672A7">
        <w:t xml:space="preserve">. The vertical line at 272 h </w:t>
      </w:r>
      <w:r w:rsidR="00EC7B35" w:rsidRPr="004672A7">
        <w:t xml:space="preserve">marks </w:t>
      </w:r>
      <w:r w:rsidRPr="004672A7">
        <w:t xml:space="preserve">the </w:t>
      </w:r>
      <w:r w:rsidR="00EC7B35" w:rsidRPr="004672A7">
        <w:t xml:space="preserve">instant </w:t>
      </w:r>
      <w:r w:rsidRPr="004672A7">
        <w:t>at which the D</w:t>
      </w:r>
      <w:r w:rsidRPr="004672A7">
        <w:rPr>
          <w:vertAlign w:val="subscript"/>
        </w:rPr>
        <w:t>L</w:t>
      </w:r>
      <w:r w:rsidRPr="004672A7">
        <w:t xml:space="preserve"> was increased to 0.0</w:t>
      </w:r>
      <w:r w:rsidR="003D6DDA" w:rsidRPr="004672A7">
        <w:t>67</w:t>
      </w:r>
      <w:r w:rsidRPr="004672A7">
        <w:t xml:space="preserve"> h</w:t>
      </w:r>
      <w:r w:rsidRPr="004672A7">
        <w:rPr>
          <w:rFonts w:ascii="Cambria Math" w:hAnsi="Cambria Math" w:cs="Cambria Math"/>
        </w:rPr>
        <w:t>⁻</w:t>
      </w:r>
      <w:r w:rsidRPr="004672A7">
        <w:t>¹</w:t>
      </w:r>
      <w:r w:rsidR="00295906" w:rsidRPr="004672A7">
        <w:t xml:space="preserve"> (</w:t>
      </w:r>
      <w:r w:rsidR="005542F9" w:rsidRPr="004672A7">
        <w:rPr>
          <w:rFonts w:eastAsia="SimSun"/>
        </w:rPr>
        <w:sym w:font="Symbol" w:char="F074"/>
      </w:r>
      <w:r w:rsidR="00295906" w:rsidRPr="004672A7">
        <w:t>=15h)</w:t>
      </w:r>
      <w:r w:rsidRPr="004672A7">
        <w:t>.</w:t>
      </w:r>
    </w:p>
    <w:p w14:paraId="3187D74E" w14:textId="3F6C3CA7" w:rsidR="00756CEE" w:rsidRPr="004672A7" w:rsidRDefault="0075709D" w:rsidP="00EF3A03">
      <w:pPr>
        <w:pStyle w:val="CETheadingx"/>
        <w:rPr>
          <w:b/>
        </w:rPr>
      </w:pPr>
      <w:r w:rsidRPr="004672A7">
        <w:rPr>
          <w:b/>
          <w:bCs w:val="0"/>
        </w:rPr>
        <w:t>Dilution rate 0.04</w:t>
      </w:r>
      <w:r w:rsidR="003D6DDA" w:rsidRPr="004672A7">
        <w:rPr>
          <w:b/>
          <w:bCs w:val="0"/>
        </w:rPr>
        <w:t>0</w:t>
      </w:r>
      <w:r w:rsidRPr="004672A7">
        <w:rPr>
          <w:b/>
          <w:bCs w:val="0"/>
        </w:rPr>
        <w:t xml:space="preserve"> h</w:t>
      </w:r>
      <w:r w:rsidRPr="004672A7">
        <w:rPr>
          <w:rFonts w:ascii="Cambria Math" w:hAnsi="Cambria Math" w:cs="Cambria Math"/>
          <w:b/>
          <w:bCs w:val="0"/>
        </w:rPr>
        <w:t>⁻</w:t>
      </w:r>
      <w:r w:rsidRPr="004672A7">
        <w:rPr>
          <w:b/>
          <w:bCs w:val="0"/>
        </w:rPr>
        <w:t>¹</w:t>
      </w:r>
      <w:r w:rsidR="00DA79AB" w:rsidRPr="004672A7">
        <w:rPr>
          <w:b/>
          <w:bCs w:val="0"/>
        </w:rPr>
        <w:t xml:space="preserve"> (</w:t>
      </w:r>
      <w:r w:rsidR="005542F9" w:rsidRPr="004672A7">
        <w:rPr>
          <w:rFonts w:eastAsia="SimSun"/>
          <w:b/>
          <w:bCs w:val="0"/>
        </w:rPr>
        <w:sym w:font="Symbol" w:char="F074"/>
      </w:r>
      <w:r w:rsidR="00DA79AB" w:rsidRPr="004672A7">
        <w:rPr>
          <w:b/>
          <w:bCs w:val="0"/>
        </w:rPr>
        <w:t>=25h)</w:t>
      </w:r>
      <w:r w:rsidR="00DA79AB" w:rsidRPr="004672A7">
        <w:t>.</w:t>
      </w:r>
    </w:p>
    <w:p w14:paraId="7DA5CC5A" w14:textId="14440101" w:rsidR="00756CEE" w:rsidRPr="004672A7" w:rsidRDefault="0075709D" w:rsidP="00EF3A03">
      <w:pPr>
        <w:pStyle w:val="CETheadingx"/>
        <w:rPr>
          <w:b/>
        </w:rPr>
      </w:pPr>
      <w:r w:rsidRPr="004672A7">
        <w:t>A</w:t>
      </w:r>
      <w:r w:rsidR="00AB7513" w:rsidRPr="004672A7">
        <w:t xml:space="preserve">fter an initial lag phase, the microorganism began to consume glucose, reaching a conversion of approximately 88% of the sugar substrate. </w:t>
      </w:r>
      <w:r w:rsidR="00EC7B35" w:rsidRPr="004672A7">
        <w:t xml:space="preserve">As </w:t>
      </w:r>
      <w:proofErr w:type="gramStart"/>
      <w:r w:rsidR="00AA21B9" w:rsidRPr="004672A7">
        <w:t xml:space="preserve">the </w:t>
      </w:r>
      <w:r w:rsidR="00AB7513" w:rsidRPr="004672A7">
        <w:t>monosaccharide</w:t>
      </w:r>
      <w:proofErr w:type="gramEnd"/>
      <w:r w:rsidR="00AB7513" w:rsidRPr="004672A7">
        <w:t xml:space="preserve"> </w:t>
      </w:r>
      <w:r w:rsidR="00EC7B35" w:rsidRPr="004672A7">
        <w:t xml:space="preserve">was </w:t>
      </w:r>
      <w:r w:rsidR="00AB7513" w:rsidRPr="004672A7">
        <w:t>consum</w:t>
      </w:r>
      <w:r w:rsidR="00EC7B35" w:rsidRPr="004672A7">
        <w:t>ed</w:t>
      </w:r>
      <w:r w:rsidR="00AB7513" w:rsidRPr="004672A7">
        <w:t xml:space="preserve">, acetic acid was gradually produced reaching a maximum steady-state concentration of 5.0 g/L. </w:t>
      </w:r>
      <w:r w:rsidR="00226BDE" w:rsidRPr="004672A7">
        <w:t>Gas production was observed simultaneously</w:t>
      </w:r>
      <w:r w:rsidR="00AB7513" w:rsidRPr="004672A7">
        <w:t xml:space="preserve"> with acetic acid (AA) </w:t>
      </w:r>
      <w:r w:rsidR="00226BDE" w:rsidRPr="004672A7">
        <w:t>production</w:t>
      </w:r>
      <w:r w:rsidR="00AB7513" w:rsidRPr="004672A7">
        <w:t xml:space="preserve">. The maximum volumetric gas production rate during this phase was </w:t>
      </w:r>
      <w:r w:rsidR="00C972A6" w:rsidRPr="004672A7">
        <w:t xml:space="preserve">55 </w:t>
      </w:r>
      <w:r w:rsidR="00363B11" w:rsidRPr="004672A7">
        <w:t>mL/L*h</w:t>
      </w:r>
      <w:r w:rsidR="00EC7B35" w:rsidRPr="004672A7">
        <w:t xml:space="preserve"> and </w:t>
      </w:r>
      <w:r w:rsidR="00AB7513" w:rsidRPr="004672A7">
        <w:t>hydrogen (H</w:t>
      </w:r>
      <w:r w:rsidR="00AB7513" w:rsidRPr="004672A7">
        <w:rPr>
          <w:rFonts w:ascii="Cambria Math" w:hAnsi="Cambria Math" w:cs="Cambria Math"/>
        </w:rPr>
        <w:t>₂</w:t>
      </w:r>
      <w:r w:rsidR="00AB7513" w:rsidRPr="004672A7">
        <w:t xml:space="preserve">) accounted for 33 </w:t>
      </w:r>
      <w:r w:rsidR="00363B11" w:rsidRPr="004672A7">
        <w:t>mL/L*h</w:t>
      </w:r>
      <w:r w:rsidR="00EE4A59" w:rsidRPr="004672A7">
        <w:t xml:space="preserve"> (mL of H</w:t>
      </w:r>
      <w:r w:rsidR="00EE4A59" w:rsidRPr="004672A7">
        <w:rPr>
          <w:vertAlign w:val="subscript"/>
        </w:rPr>
        <w:t>2</w:t>
      </w:r>
      <w:r w:rsidR="00EE4A59" w:rsidRPr="004672A7">
        <w:t xml:space="preserve"> on L of reaction volume per hour)</w:t>
      </w:r>
      <w:r w:rsidR="00363B11" w:rsidRPr="004672A7">
        <w:t xml:space="preserve">. </w:t>
      </w:r>
    </w:p>
    <w:p w14:paraId="3546BA4F" w14:textId="796BA88C" w:rsidR="00632D88" w:rsidRPr="004672A7" w:rsidRDefault="0075709D" w:rsidP="00EF3A03">
      <w:pPr>
        <w:pStyle w:val="CETheadingx"/>
        <w:rPr>
          <w:b/>
        </w:rPr>
      </w:pPr>
      <w:r w:rsidRPr="004672A7">
        <w:rPr>
          <w:b/>
          <w:bCs w:val="0"/>
        </w:rPr>
        <w:t>Dilution rate 0.0</w:t>
      </w:r>
      <w:r w:rsidR="003D6DDA" w:rsidRPr="004672A7">
        <w:rPr>
          <w:b/>
          <w:bCs w:val="0"/>
        </w:rPr>
        <w:t>67</w:t>
      </w:r>
      <w:r w:rsidRPr="004672A7">
        <w:rPr>
          <w:b/>
          <w:bCs w:val="0"/>
        </w:rPr>
        <w:t xml:space="preserve"> h</w:t>
      </w:r>
      <w:r w:rsidRPr="004672A7">
        <w:rPr>
          <w:rFonts w:ascii="Cambria Math" w:hAnsi="Cambria Math" w:cs="Cambria Math"/>
          <w:b/>
          <w:bCs w:val="0"/>
        </w:rPr>
        <w:t>⁻</w:t>
      </w:r>
      <w:r w:rsidRPr="004672A7">
        <w:rPr>
          <w:b/>
          <w:bCs w:val="0"/>
        </w:rPr>
        <w:t>¹</w:t>
      </w:r>
      <w:r w:rsidR="00DA79AB" w:rsidRPr="004672A7">
        <w:rPr>
          <w:b/>
          <w:bCs w:val="0"/>
        </w:rPr>
        <w:t xml:space="preserve"> (</w:t>
      </w:r>
      <w:r w:rsidR="005542F9" w:rsidRPr="004672A7">
        <w:rPr>
          <w:rFonts w:eastAsia="SimSun"/>
          <w:b/>
          <w:bCs w:val="0"/>
        </w:rPr>
        <w:sym w:font="Symbol" w:char="F074"/>
      </w:r>
      <w:r w:rsidR="00DA79AB" w:rsidRPr="004672A7">
        <w:rPr>
          <w:b/>
          <w:bCs w:val="0"/>
        </w:rPr>
        <w:t>=15h)</w:t>
      </w:r>
      <w:r w:rsidR="00DA79AB" w:rsidRPr="004672A7">
        <w:t>.</w:t>
      </w:r>
    </w:p>
    <w:p w14:paraId="126D71F9" w14:textId="764D3A8F" w:rsidR="00632D88" w:rsidRPr="00D01C95" w:rsidRDefault="0075709D" w:rsidP="00EF3A03">
      <w:pPr>
        <w:pStyle w:val="CETheadingx"/>
        <w:rPr>
          <w:b/>
        </w:rPr>
      </w:pPr>
      <w:r w:rsidRPr="004672A7">
        <w:t xml:space="preserve">At this dilution rate, an immediate decrease in glucose consumption was observed, resulting in a </w:t>
      </w:r>
      <w:r w:rsidR="008546F1" w:rsidRPr="004672A7">
        <w:t>steady-state glucose</w:t>
      </w:r>
      <w:r w:rsidRPr="004672A7">
        <w:t xml:space="preserve"> concentration of approximately 2.5 g/L</w:t>
      </w:r>
      <w:r w:rsidR="00074BDE" w:rsidRPr="004672A7">
        <w:t xml:space="preserve">. </w:t>
      </w:r>
      <w:r w:rsidRPr="004672A7">
        <w:t>Regarding acetic acid production, a slight decrease was noted, reaching a steady-state concentration of 4.6 g/L.</w:t>
      </w:r>
      <w:r w:rsidR="00074BDE" w:rsidRPr="004672A7">
        <w:t xml:space="preserve"> </w:t>
      </w:r>
      <w:r w:rsidR="00632D88" w:rsidRPr="004672A7">
        <w:t xml:space="preserve">This trend is </w:t>
      </w:r>
      <w:proofErr w:type="gramStart"/>
      <w:r w:rsidR="00632D88" w:rsidRPr="004672A7">
        <w:t>similar to</w:t>
      </w:r>
      <w:proofErr w:type="gramEnd"/>
      <w:r w:rsidR="00632D88" w:rsidRPr="004672A7">
        <w:t xml:space="preserve"> that reported by </w:t>
      </w:r>
      <w:proofErr w:type="spellStart"/>
      <w:r w:rsidR="00632D88" w:rsidRPr="004672A7">
        <w:t>Dreschke</w:t>
      </w:r>
      <w:proofErr w:type="spellEnd"/>
      <w:r w:rsidR="00632D88" w:rsidRPr="004672A7">
        <w:t xml:space="preserve"> et al. (2019) </w:t>
      </w:r>
      <w:r w:rsidR="008546F1" w:rsidRPr="00D01C95">
        <w:t>for</w:t>
      </w:r>
      <w:r w:rsidR="00632D88" w:rsidRPr="00D01C95">
        <w:t xml:space="preserve"> a </w:t>
      </w:r>
      <w:r w:rsidR="00146C78" w:rsidRPr="00D01C95">
        <w:t xml:space="preserve">free-cell </w:t>
      </w:r>
      <w:r w:rsidR="00632D88" w:rsidRPr="00D01C95">
        <w:t xml:space="preserve">3 L CSTR using 5 g/L glucose. Specifically, when the residence time </w:t>
      </w:r>
      <w:r w:rsidR="00DC5EA9">
        <w:t>(</w:t>
      </w:r>
      <w:r w:rsidR="00DC5EA9" w:rsidRPr="00D01C95">
        <w:rPr>
          <w:rFonts w:eastAsia="SimSun"/>
        </w:rPr>
        <w:sym w:font="Symbol" w:char="F074"/>
      </w:r>
      <w:r w:rsidR="00DC5EA9">
        <w:rPr>
          <w:rFonts w:eastAsia="SimSun"/>
        </w:rPr>
        <w:t xml:space="preserve">) </w:t>
      </w:r>
      <w:r w:rsidR="00632D88" w:rsidRPr="00D01C95">
        <w:t>was reduced from</w:t>
      </w:r>
      <w:r w:rsidR="00361BDB" w:rsidRPr="00D01C95">
        <w:rPr>
          <w:rFonts w:eastAsia="SimSun"/>
        </w:rPr>
        <w:t xml:space="preserve"> </w:t>
      </w:r>
      <w:r w:rsidR="00632D88" w:rsidRPr="00D01C95">
        <w:t xml:space="preserve">24 to </w:t>
      </w:r>
      <w:r w:rsidR="00632D88" w:rsidRPr="00D01C95">
        <w:lastRenderedPageBreak/>
        <w:t xml:space="preserve">20 h, they observed a rapid decrease in acetic acid and glucose concentrations, followed </w:t>
      </w:r>
      <w:r w:rsidR="008546F1" w:rsidRPr="00D01C95">
        <w:t xml:space="preserve">by stabilization at higher levels </w:t>
      </w:r>
      <w:r w:rsidR="00632D88" w:rsidRPr="00D01C95">
        <w:t>after a few days</w:t>
      </w:r>
      <w:r w:rsidR="008546F1" w:rsidRPr="00D01C95">
        <w:t>.</w:t>
      </w:r>
    </w:p>
    <w:p w14:paraId="1AE5AF91" w14:textId="017E1261" w:rsidR="00632D88" w:rsidRPr="00D01C95" w:rsidRDefault="0075709D" w:rsidP="00EF3A03">
      <w:pPr>
        <w:pStyle w:val="CETheadingx"/>
        <w:rPr>
          <w:b/>
        </w:rPr>
      </w:pPr>
      <w:r w:rsidRPr="00D01C95">
        <w:t xml:space="preserve">In contrast, gas production increased, reaching 87.5 </w:t>
      </w:r>
      <w:r w:rsidR="00363B11" w:rsidRPr="00D01C95">
        <w:t xml:space="preserve">mL/L*h </w:t>
      </w:r>
      <w:r w:rsidR="00C64894">
        <w:t>of</w:t>
      </w:r>
      <w:r w:rsidRPr="00D01C95">
        <w:t xml:space="preserve"> total gas and 56.3 mL</w:t>
      </w:r>
      <w:r w:rsidR="00363B11" w:rsidRPr="00D01C95">
        <w:t>/</w:t>
      </w:r>
      <w:r w:rsidRPr="00D01C95">
        <w:t>L</w:t>
      </w:r>
      <w:r w:rsidR="00363B11" w:rsidRPr="00D01C95">
        <w:t>*h</w:t>
      </w:r>
      <w:r w:rsidRPr="00D01C95">
        <w:t xml:space="preserve"> </w:t>
      </w:r>
      <w:r w:rsidR="00C64894">
        <w:t>of</w:t>
      </w:r>
      <w:r w:rsidRPr="00D01C95">
        <w:t xml:space="preserve"> H</w:t>
      </w:r>
      <w:r w:rsidRPr="00D01C95">
        <w:rPr>
          <w:rFonts w:ascii="Cambria Math" w:hAnsi="Cambria Math" w:cs="Cambria Math"/>
        </w:rPr>
        <w:t>₂</w:t>
      </w:r>
      <w:r w:rsidRPr="00D01C95">
        <w:t>, corresponding to an incr</w:t>
      </w:r>
      <w:r w:rsidR="00DC5EA9">
        <w:t>ement</w:t>
      </w:r>
      <w:r w:rsidRPr="00D01C95">
        <w:t xml:space="preserve"> of over 70% compared </w:t>
      </w:r>
      <w:r w:rsidR="00146C78" w:rsidRPr="00D01C95">
        <w:t>with</w:t>
      </w:r>
      <w:r w:rsidRPr="00D01C95">
        <w:t xml:space="preserve"> the previous dilution rate.</w:t>
      </w:r>
      <w:r w:rsidR="00377443" w:rsidRPr="00D01C95">
        <w:t xml:space="preserve"> This result suggests that higher dilution rates promote H</w:t>
      </w:r>
      <w:r w:rsidR="00377443" w:rsidRPr="00D01C95">
        <w:rPr>
          <w:rFonts w:ascii="Cambria Math" w:hAnsi="Cambria Math" w:cs="Cambria Math"/>
        </w:rPr>
        <w:t>₂</w:t>
      </w:r>
      <w:r w:rsidR="00377443" w:rsidRPr="00D01C95">
        <w:t xml:space="preserve"> production in biofilm-based </w:t>
      </w:r>
      <w:r w:rsidR="00146C78" w:rsidRPr="00D01C95">
        <w:t>systems</w:t>
      </w:r>
      <w:r w:rsidR="00377443" w:rsidRPr="00D01C95">
        <w:t>.</w:t>
      </w:r>
      <w:r w:rsidR="00377443" w:rsidRPr="00D01C95">
        <w:rPr>
          <w:highlight w:val="yellow"/>
        </w:rPr>
        <w:t xml:space="preserve"> </w:t>
      </w:r>
    </w:p>
    <w:p w14:paraId="51F938DA" w14:textId="3260FBF6" w:rsidR="00EF3A03" w:rsidRDefault="00146C78" w:rsidP="00EF3A03">
      <w:pPr>
        <w:pStyle w:val="CETheadingx"/>
        <w:rPr>
          <w:b/>
        </w:rPr>
      </w:pPr>
      <w:r w:rsidRPr="00D01C95">
        <w:t>The</w:t>
      </w:r>
      <w:r w:rsidR="00350748" w:rsidRPr="00D01C95">
        <w:t xml:space="preserve"> presence of biofilm significantly </w:t>
      </w:r>
      <w:r w:rsidRPr="00D01C95">
        <w:t>enhanced</w:t>
      </w:r>
      <w:r w:rsidR="00350748" w:rsidRPr="00D01C95">
        <w:t xml:space="preserve"> the fermentation performance of </w:t>
      </w:r>
      <w:r w:rsidR="00350748" w:rsidRPr="00D01C95">
        <w:rPr>
          <w:rStyle w:val="Enfasicorsivo"/>
          <w:szCs w:val="18"/>
        </w:rPr>
        <w:t xml:space="preserve">T. </w:t>
      </w:r>
      <w:proofErr w:type="spellStart"/>
      <w:r w:rsidR="00350748" w:rsidRPr="00D01C95">
        <w:rPr>
          <w:rStyle w:val="Enfasicorsivo"/>
          <w:szCs w:val="18"/>
        </w:rPr>
        <w:t>neapolitana</w:t>
      </w:r>
      <w:proofErr w:type="spellEnd"/>
      <w:r w:rsidR="00350748" w:rsidRPr="00D01C95">
        <w:t>. In fact,</w:t>
      </w:r>
      <w:r w:rsidR="0095772A">
        <w:t xml:space="preserve"> in this study</w:t>
      </w:r>
      <w:r w:rsidR="00350748" w:rsidRPr="00D01C95">
        <w:t xml:space="preserve"> the acetic acid production was 5.5 times higher </w:t>
      </w:r>
      <w:r w:rsidR="0095772A">
        <w:t xml:space="preserve">than </w:t>
      </w:r>
      <w:r w:rsidR="0095772A" w:rsidRPr="00D01C95">
        <w:t>th</w:t>
      </w:r>
      <w:r w:rsidR="0095772A">
        <w:t xml:space="preserve">e one </w:t>
      </w:r>
      <w:r w:rsidR="0095772A" w:rsidRPr="00D01C95">
        <w:t xml:space="preserve">obtained </w:t>
      </w:r>
      <w:r w:rsidR="0095772A">
        <w:t>by</w:t>
      </w:r>
      <w:r w:rsidR="0095772A" w:rsidRPr="00D01C95">
        <w:t xml:space="preserve"> </w:t>
      </w:r>
      <w:proofErr w:type="spellStart"/>
      <w:r w:rsidR="0095772A" w:rsidRPr="00D01C95">
        <w:t>Dreschke</w:t>
      </w:r>
      <w:proofErr w:type="spellEnd"/>
      <w:r w:rsidR="0095772A" w:rsidRPr="00D01C95">
        <w:t xml:space="preserve"> et al. (2019</w:t>
      </w:r>
      <w:r w:rsidR="0095772A">
        <w:t>) at</w:t>
      </w:r>
      <w:r w:rsidR="0095772A" w:rsidRPr="00D01C95">
        <w:t xml:space="preserve"> </w:t>
      </w:r>
      <w:r w:rsidR="0095772A">
        <w:t>high</w:t>
      </w:r>
      <w:r w:rsidR="0095772A" w:rsidRPr="00D01C95">
        <w:t xml:space="preserve"> residence time</w:t>
      </w:r>
      <w:r w:rsidR="0095772A" w:rsidRPr="0095772A">
        <w:t xml:space="preserve"> </w:t>
      </w:r>
      <w:r w:rsidR="0095772A" w:rsidRPr="00D01C95">
        <w:t>for free cells</w:t>
      </w:r>
      <w:r w:rsidR="00350748" w:rsidRPr="00D01C95">
        <w:t>.</w:t>
      </w:r>
    </w:p>
    <w:p w14:paraId="63374774" w14:textId="73FE59AC" w:rsidR="00EF3A03" w:rsidRPr="00EF3A03" w:rsidRDefault="00EF3A03" w:rsidP="00EF3A03">
      <w:pPr>
        <w:pStyle w:val="CETheadingx"/>
      </w:pPr>
      <w:r w:rsidRPr="00EF3A03">
        <w:t>In the study by Moll et al. (2025), conducted</w:t>
      </w:r>
      <w:r>
        <w:t xml:space="preserve"> with </w:t>
      </w:r>
      <w:r w:rsidRPr="00EF3A03">
        <w:rPr>
          <w:i/>
          <w:iCs/>
        </w:rPr>
        <w:t xml:space="preserve">T. </w:t>
      </w:r>
      <w:proofErr w:type="spellStart"/>
      <w:r w:rsidRPr="00EF3A03">
        <w:rPr>
          <w:i/>
          <w:iCs/>
        </w:rPr>
        <w:t>neapolitana</w:t>
      </w:r>
      <w:proofErr w:type="spellEnd"/>
      <w:r w:rsidRPr="00EF3A03">
        <w:t xml:space="preserve"> in a 0.7 L </w:t>
      </w:r>
      <w:r w:rsidR="00F909F4">
        <w:t xml:space="preserve">free-cells </w:t>
      </w:r>
      <w:r w:rsidRPr="00EF3A03">
        <w:t xml:space="preserve">CSTR operated </w:t>
      </w:r>
      <w:r w:rsidRPr="004672A7">
        <w:t>at 77 °C and pH 7.35, a hydrogen production rate of 70 mL/L*h was obtained at a dilution rate (D</w:t>
      </w:r>
      <w:r w:rsidRPr="004672A7">
        <w:rPr>
          <w:vertAlign w:val="subscript"/>
        </w:rPr>
        <w:t>L</w:t>
      </w:r>
      <w:r w:rsidRPr="004672A7">
        <w:t>) of 0.0</w:t>
      </w:r>
      <w:r w:rsidR="003D6DDA" w:rsidRPr="004672A7">
        <w:t>67</w:t>
      </w:r>
      <w:r w:rsidRPr="004672A7">
        <w:t xml:space="preserve"> h</w:t>
      </w:r>
      <w:r w:rsidRPr="004672A7">
        <w:rPr>
          <w:rFonts w:ascii="Cambria Math" w:hAnsi="Cambria Math" w:cs="Cambria Math"/>
        </w:rPr>
        <w:t>⁻</w:t>
      </w:r>
      <w:r w:rsidRPr="004672A7">
        <w:t xml:space="preserve">¹, which is very similar to the value observed in the present work. This result indicates </w:t>
      </w:r>
      <w:r w:rsidRPr="00EF3A03">
        <w:t xml:space="preserve">that, at such low dilution rates, the positive effect on hydrogen production is not yet evident. Therefore, it is necessary to operate at higher dilution rates </w:t>
      </w:r>
      <w:proofErr w:type="gramStart"/>
      <w:r w:rsidRPr="00EF3A03">
        <w:t>in order to</w:t>
      </w:r>
      <w:proofErr w:type="gramEnd"/>
      <w:r w:rsidRPr="00EF3A03">
        <w:t xml:space="preserve"> achieve a more significant enhancement in hydrogen production.</w:t>
      </w:r>
    </w:p>
    <w:p w14:paraId="20F55A88" w14:textId="77777777" w:rsidR="00EF3A03" w:rsidRDefault="00EF3A03" w:rsidP="00EF3A03">
      <w:pPr>
        <w:pStyle w:val="CETheadingx"/>
      </w:pPr>
    </w:p>
    <w:p w14:paraId="2173B519" w14:textId="417E9A3F" w:rsidR="00F37492" w:rsidRDefault="006C26BE" w:rsidP="00113615">
      <w:pPr>
        <w:pStyle w:val="CETheadingx"/>
        <w:jc w:val="center"/>
        <w:rPr>
          <w:szCs w:val="18"/>
        </w:rPr>
      </w:pPr>
      <w:r>
        <w:rPr>
          <w:noProof/>
          <w:szCs w:val="18"/>
        </w:rPr>
        <w:drawing>
          <wp:inline distT="0" distB="0" distL="0" distR="0" wp14:anchorId="189EC8A2" wp14:editId="44594090">
            <wp:extent cx="4538749" cy="2133600"/>
            <wp:effectExtent l="0" t="0" r="0" b="0"/>
            <wp:docPr id="16337708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7666" cy="2137792"/>
                    </a:xfrm>
                    <a:prstGeom prst="rect">
                      <a:avLst/>
                    </a:prstGeom>
                    <a:noFill/>
                    <a:ln>
                      <a:noFill/>
                    </a:ln>
                  </pic:spPr>
                </pic:pic>
              </a:graphicData>
            </a:graphic>
          </wp:inline>
        </w:drawing>
      </w:r>
    </w:p>
    <w:p w14:paraId="7E82FA2E" w14:textId="7B40E31E" w:rsidR="009061F1" w:rsidRPr="009061F1" w:rsidRDefault="009061F1" w:rsidP="009061F1">
      <w:pPr>
        <w:pStyle w:val="CETBodytext"/>
        <w:jc w:val="center"/>
      </w:pPr>
      <w:r>
        <w:rPr>
          <w:noProof/>
        </w:rPr>
        <w:drawing>
          <wp:inline distT="0" distB="0" distL="0" distR="0" wp14:anchorId="0F4AA7A3" wp14:editId="79199A1D">
            <wp:extent cx="4278467" cy="2171065"/>
            <wp:effectExtent l="0" t="0" r="8255" b="635"/>
            <wp:docPr id="13413955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7481" cy="2185788"/>
                    </a:xfrm>
                    <a:prstGeom prst="rect">
                      <a:avLst/>
                    </a:prstGeom>
                    <a:noFill/>
                    <a:ln>
                      <a:noFill/>
                    </a:ln>
                  </pic:spPr>
                </pic:pic>
              </a:graphicData>
            </a:graphic>
          </wp:inline>
        </w:drawing>
      </w:r>
    </w:p>
    <w:p w14:paraId="7B33C08E" w14:textId="62E5A386" w:rsidR="00F37492" w:rsidRDefault="00F37492" w:rsidP="00632D88">
      <w:pPr>
        <w:pStyle w:val="CETBodytext"/>
        <w:spacing w:line="240" w:lineRule="auto"/>
        <w:rPr>
          <w:rFonts w:eastAsia="SimSun"/>
        </w:rPr>
      </w:pPr>
      <w:r w:rsidRPr="003D3563">
        <w:rPr>
          <w:b/>
          <w:bCs/>
        </w:rPr>
        <w:t>Figure 1:</w:t>
      </w:r>
      <w:r>
        <w:t xml:space="preserve"> Dark Fermentation in a CSTR with a nylon</w:t>
      </w:r>
      <w:r w:rsidR="004A4B79">
        <w:t xml:space="preserve"> net</w:t>
      </w:r>
      <w:r>
        <w:t xml:space="preserve"> support for the formation of biofilm with </w:t>
      </w:r>
      <w:r w:rsidRPr="00F37492">
        <w:rPr>
          <w:i/>
          <w:iCs/>
        </w:rPr>
        <w:t xml:space="preserve">T. </w:t>
      </w:r>
      <w:proofErr w:type="spellStart"/>
      <w:r w:rsidRPr="00F37492">
        <w:rPr>
          <w:i/>
          <w:iCs/>
        </w:rPr>
        <w:t>neapolitana</w:t>
      </w:r>
      <w:proofErr w:type="spellEnd"/>
      <w:r w:rsidR="005E55F2">
        <w:rPr>
          <w:i/>
          <w:iCs/>
        </w:rPr>
        <w:t>:</w:t>
      </w:r>
      <w:r w:rsidR="00A932B8">
        <w:rPr>
          <w:i/>
          <w:iCs/>
        </w:rPr>
        <w:t xml:space="preserve"> </w:t>
      </w:r>
      <w:r w:rsidR="00A932B8" w:rsidRPr="00A932B8">
        <w:t>a)</w:t>
      </w:r>
      <w:r w:rsidR="00A932B8">
        <w:t xml:space="preserve"> </w:t>
      </w:r>
      <w:r w:rsidR="00215B80">
        <w:t>P</w:t>
      </w:r>
      <w:r w:rsidR="00A932B8">
        <w:t>rofile of acetic acid production and glucose consumption</w:t>
      </w:r>
      <w:r w:rsidR="00215B80">
        <w:t>;</w:t>
      </w:r>
      <w:r w:rsidR="00A932B8">
        <w:t xml:space="preserve"> b) </w:t>
      </w:r>
      <w:r w:rsidR="00215B80">
        <w:t>P</w:t>
      </w:r>
      <w:r w:rsidR="00A932B8">
        <w:t>roduction of gas and H</w:t>
      </w:r>
      <w:r w:rsidR="00A932B8" w:rsidRPr="00A932B8">
        <w:rPr>
          <w:vertAlign w:val="subscript"/>
        </w:rPr>
        <w:t>2</w:t>
      </w:r>
      <w:r w:rsidR="00A932B8">
        <w:t xml:space="preserve"> at </w:t>
      </w:r>
      <w:r w:rsidR="00A932B8">
        <w:rPr>
          <w:rFonts w:eastAsia="SimSun"/>
        </w:rPr>
        <w:sym w:font="Symbol" w:char="F074"/>
      </w:r>
      <w:r w:rsidR="00A932B8">
        <w:rPr>
          <w:rFonts w:eastAsia="SimSun"/>
        </w:rPr>
        <w:t xml:space="preserve"> 25 and 15 h. </w:t>
      </w:r>
    </w:p>
    <w:p w14:paraId="619D6B96" w14:textId="77777777" w:rsidR="00C2723F" w:rsidRPr="00A932B8" w:rsidRDefault="00C2723F" w:rsidP="00632D88">
      <w:pPr>
        <w:pStyle w:val="CETBodytext"/>
        <w:spacing w:line="240" w:lineRule="auto"/>
      </w:pPr>
    </w:p>
    <w:p w14:paraId="68D26B83" w14:textId="77AE77B8" w:rsidR="00600535" w:rsidRPr="00235774" w:rsidRDefault="005B5381" w:rsidP="00C2723F">
      <w:pPr>
        <w:pStyle w:val="CETHeading1"/>
        <w:numPr>
          <w:ilvl w:val="0"/>
          <w:numId w:val="0"/>
        </w:numPr>
        <w:spacing w:before="0" w:after="0"/>
      </w:pPr>
      <w:r w:rsidRPr="00235774">
        <w:t xml:space="preserve">4. </w:t>
      </w:r>
      <w:r w:rsidR="00600535" w:rsidRPr="00235774">
        <w:t>Conclusions</w:t>
      </w:r>
    </w:p>
    <w:p w14:paraId="475871AB" w14:textId="3DC6AC50" w:rsidR="001C038A" w:rsidRPr="00D934F5" w:rsidRDefault="001C038A" w:rsidP="00D934F5">
      <w:pPr>
        <w:contextualSpacing/>
        <w:jc w:val="both"/>
        <w:rPr>
          <w:rFonts w:ascii="Arial" w:hAnsi="Arial" w:cs="Arial"/>
          <w:sz w:val="18"/>
          <w:szCs w:val="18"/>
          <w:lang w:val="en-US"/>
        </w:rPr>
      </w:pPr>
      <w:r w:rsidRPr="00D934F5">
        <w:rPr>
          <w:rFonts w:ascii="Arial" w:hAnsi="Arial" w:cs="Arial"/>
          <w:sz w:val="18"/>
          <w:szCs w:val="18"/>
          <w:lang w:val="en-US"/>
        </w:rPr>
        <w:t xml:space="preserve">This study aimed to optimize the dark fermentation process </w:t>
      </w:r>
      <w:r w:rsidR="00C34A59" w:rsidRPr="00D934F5">
        <w:rPr>
          <w:rFonts w:ascii="Arial" w:hAnsi="Arial" w:cs="Arial"/>
          <w:sz w:val="18"/>
          <w:szCs w:val="18"/>
          <w:lang w:val="en-US"/>
        </w:rPr>
        <w:t xml:space="preserve">performed </w:t>
      </w:r>
      <w:r w:rsidRPr="00D934F5">
        <w:rPr>
          <w:rFonts w:ascii="Arial" w:hAnsi="Arial" w:cs="Arial"/>
          <w:sz w:val="18"/>
          <w:szCs w:val="18"/>
          <w:lang w:val="en-US"/>
        </w:rPr>
        <w:t xml:space="preserve">by </w:t>
      </w:r>
      <w:proofErr w:type="spellStart"/>
      <w:r w:rsidRPr="00D934F5">
        <w:rPr>
          <w:rFonts w:ascii="Arial" w:hAnsi="Arial" w:cs="Arial"/>
          <w:i/>
          <w:iCs/>
          <w:sz w:val="18"/>
          <w:szCs w:val="18"/>
          <w:lang w:val="en-US"/>
        </w:rPr>
        <w:t>Thermotoga</w:t>
      </w:r>
      <w:proofErr w:type="spellEnd"/>
      <w:r w:rsidRPr="00D934F5">
        <w:rPr>
          <w:rFonts w:ascii="Arial" w:hAnsi="Arial" w:cs="Arial"/>
          <w:i/>
          <w:iCs/>
          <w:sz w:val="18"/>
          <w:szCs w:val="18"/>
          <w:lang w:val="en-US"/>
        </w:rPr>
        <w:t xml:space="preserve"> </w:t>
      </w:r>
      <w:proofErr w:type="spellStart"/>
      <w:r w:rsidRPr="00D934F5">
        <w:rPr>
          <w:rFonts w:ascii="Arial" w:hAnsi="Arial" w:cs="Arial"/>
          <w:i/>
          <w:iCs/>
          <w:sz w:val="18"/>
          <w:szCs w:val="18"/>
          <w:lang w:val="en-US"/>
        </w:rPr>
        <w:t>neapolitana</w:t>
      </w:r>
      <w:proofErr w:type="spellEnd"/>
      <w:r w:rsidRPr="00D934F5">
        <w:rPr>
          <w:rFonts w:ascii="Arial" w:hAnsi="Arial" w:cs="Arial"/>
          <w:sz w:val="18"/>
          <w:szCs w:val="18"/>
          <w:lang w:val="en-US"/>
        </w:rPr>
        <w:t>, with a particular focus on enhancing H</w:t>
      </w:r>
      <w:r w:rsidRPr="00D934F5">
        <w:rPr>
          <w:rFonts w:ascii="Cambria Math" w:hAnsi="Cambria Math" w:cs="Cambria Math"/>
          <w:sz w:val="18"/>
          <w:szCs w:val="18"/>
          <w:lang w:val="en-US"/>
        </w:rPr>
        <w:t>₂</w:t>
      </w:r>
      <w:r w:rsidRPr="00D934F5">
        <w:rPr>
          <w:rFonts w:ascii="Arial" w:hAnsi="Arial" w:cs="Arial"/>
          <w:sz w:val="18"/>
          <w:szCs w:val="18"/>
          <w:lang w:val="en-US"/>
        </w:rPr>
        <w:t xml:space="preserve"> production yields. To this end, a series of batch experiments </w:t>
      </w:r>
      <w:r w:rsidR="00FA6C8E" w:rsidRPr="00D934F5">
        <w:rPr>
          <w:rFonts w:ascii="Arial" w:hAnsi="Arial" w:cs="Arial"/>
          <w:sz w:val="18"/>
          <w:szCs w:val="18"/>
          <w:lang w:val="en-US"/>
        </w:rPr>
        <w:t>w</w:t>
      </w:r>
      <w:r w:rsidR="00C34A59" w:rsidRPr="00D934F5">
        <w:rPr>
          <w:rFonts w:ascii="Arial" w:hAnsi="Arial" w:cs="Arial"/>
          <w:sz w:val="18"/>
          <w:szCs w:val="18"/>
          <w:lang w:val="en-US"/>
        </w:rPr>
        <w:t>as</w:t>
      </w:r>
      <w:r w:rsidRPr="00D934F5">
        <w:rPr>
          <w:rFonts w:ascii="Arial" w:hAnsi="Arial" w:cs="Arial"/>
          <w:sz w:val="18"/>
          <w:szCs w:val="18"/>
          <w:lang w:val="en-US"/>
        </w:rPr>
        <w:t xml:space="preserve"> </w:t>
      </w:r>
      <w:r w:rsidR="00EC7B35" w:rsidRPr="00D934F5">
        <w:rPr>
          <w:rFonts w:ascii="Arial" w:hAnsi="Arial" w:cs="Arial"/>
          <w:sz w:val="18"/>
          <w:szCs w:val="18"/>
          <w:lang w:val="en-US"/>
        </w:rPr>
        <w:t xml:space="preserve">carried out </w:t>
      </w:r>
      <w:r w:rsidRPr="00D934F5">
        <w:rPr>
          <w:rFonts w:ascii="Arial" w:hAnsi="Arial" w:cs="Arial"/>
          <w:sz w:val="18"/>
          <w:szCs w:val="18"/>
          <w:lang w:val="en-US"/>
        </w:rPr>
        <w:t xml:space="preserve">to evaluate different solid support materials for biofilm formation, including polypropylene, </w:t>
      </w:r>
      <w:r w:rsidR="0095772A" w:rsidRPr="00D934F5">
        <w:rPr>
          <w:rFonts w:ascii="Arial" w:hAnsi="Arial" w:cs="Arial"/>
          <w:sz w:val="18"/>
          <w:szCs w:val="18"/>
          <w:lang w:val="en-US"/>
        </w:rPr>
        <w:t xml:space="preserve">polyurethane </w:t>
      </w:r>
      <w:r w:rsidRPr="00D934F5">
        <w:rPr>
          <w:rFonts w:ascii="Arial" w:hAnsi="Arial" w:cs="Arial"/>
          <w:sz w:val="18"/>
          <w:szCs w:val="18"/>
          <w:lang w:val="en-US"/>
        </w:rPr>
        <w:t>sponge, silicone (</w:t>
      </w:r>
      <w:proofErr w:type="spellStart"/>
      <w:r w:rsidRPr="00D934F5">
        <w:rPr>
          <w:rFonts w:ascii="Arial" w:hAnsi="Arial" w:cs="Arial"/>
          <w:sz w:val="18"/>
          <w:szCs w:val="18"/>
          <w:lang w:val="en-US"/>
        </w:rPr>
        <w:t>Tygon</w:t>
      </w:r>
      <w:proofErr w:type="spellEnd"/>
      <w:r w:rsidRPr="00D934F5">
        <w:rPr>
          <w:rFonts w:ascii="Arial" w:hAnsi="Arial" w:cs="Arial"/>
          <w:sz w:val="18"/>
          <w:szCs w:val="18"/>
          <w:lang w:val="en-US"/>
        </w:rPr>
        <w:t xml:space="preserve"> tubing), metal nets, and nylon nets.</w:t>
      </w:r>
    </w:p>
    <w:p w14:paraId="270D92CD" w14:textId="58CC4713" w:rsidR="001C038A" w:rsidRPr="00D934F5" w:rsidRDefault="001C038A" w:rsidP="00D934F5">
      <w:pPr>
        <w:spacing w:before="100" w:beforeAutospacing="1" w:after="100" w:afterAutospacing="1"/>
        <w:contextualSpacing/>
        <w:jc w:val="both"/>
        <w:rPr>
          <w:rFonts w:ascii="Arial" w:hAnsi="Arial" w:cs="Arial"/>
          <w:sz w:val="18"/>
          <w:szCs w:val="18"/>
          <w:lang w:val="en-US"/>
        </w:rPr>
      </w:pPr>
      <w:r w:rsidRPr="00D934F5">
        <w:rPr>
          <w:rFonts w:ascii="Arial" w:hAnsi="Arial" w:cs="Arial"/>
          <w:sz w:val="18"/>
          <w:szCs w:val="18"/>
          <w:lang w:val="en-US"/>
        </w:rPr>
        <w:t xml:space="preserve">The experimental results demonstrated that </w:t>
      </w:r>
      <w:r w:rsidR="00FA6C8E" w:rsidRPr="00D934F5">
        <w:rPr>
          <w:rFonts w:ascii="Arial" w:hAnsi="Arial" w:cs="Arial"/>
          <w:sz w:val="18"/>
          <w:szCs w:val="18"/>
          <w:lang w:val="en-US"/>
        </w:rPr>
        <w:t xml:space="preserve">the </w:t>
      </w:r>
      <w:r w:rsidR="0095772A" w:rsidRPr="00D934F5">
        <w:rPr>
          <w:rFonts w:ascii="Arial" w:hAnsi="Arial" w:cs="Arial"/>
          <w:sz w:val="18"/>
          <w:szCs w:val="18"/>
          <w:lang w:val="en-US"/>
        </w:rPr>
        <w:t xml:space="preserve">polyurethane </w:t>
      </w:r>
      <w:r w:rsidRPr="00D934F5">
        <w:rPr>
          <w:rFonts w:ascii="Arial" w:hAnsi="Arial" w:cs="Arial"/>
          <w:sz w:val="18"/>
          <w:szCs w:val="18"/>
          <w:lang w:val="en-US"/>
        </w:rPr>
        <w:t xml:space="preserve">sponge acts as a toxic support for the fermentation process, as it inhibits microbial growth. In contrast, nylon nets and silicone tubing proved to be highly suitable supports for </w:t>
      </w:r>
      <w:r w:rsidRPr="00D934F5">
        <w:rPr>
          <w:rFonts w:ascii="Arial" w:hAnsi="Arial" w:cs="Arial"/>
          <w:i/>
          <w:iCs/>
          <w:sz w:val="18"/>
          <w:szCs w:val="18"/>
          <w:lang w:val="en-US"/>
        </w:rPr>
        <w:t xml:space="preserve">T. </w:t>
      </w:r>
      <w:proofErr w:type="spellStart"/>
      <w:r w:rsidRPr="00D934F5">
        <w:rPr>
          <w:rFonts w:ascii="Arial" w:hAnsi="Arial" w:cs="Arial"/>
          <w:i/>
          <w:iCs/>
          <w:sz w:val="18"/>
          <w:szCs w:val="18"/>
          <w:lang w:val="en-US"/>
        </w:rPr>
        <w:t>neapolitana</w:t>
      </w:r>
      <w:proofErr w:type="spellEnd"/>
      <w:r w:rsidRPr="00D934F5">
        <w:rPr>
          <w:rFonts w:ascii="Arial" w:hAnsi="Arial" w:cs="Arial"/>
          <w:sz w:val="18"/>
          <w:szCs w:val="18"/>
          <w:lang w:val="en-US"/>
        </w:rPr>
        <w:t xml:space="preserve"> adhesion and biofilm formation.</w:t>
      </w:r>
    </w:p>
    <w:p w14:paraId="6505473A" w14:textId="39CD1F3C" w:rsidR="00D934F5" w:rsidRPr="004672A7" w:rsidRDefault="001C038A" w:rsidP="00D934F5">
      <w:pPr>
        <w:spacing w:before="100" w:beforeAutospacing="1" w:after="100" w:afterAutospacing="1"/>
        <w:contextualSpacing/>
        <w:jc w:val="both"/>
        <w:rPr>
          <w:rFonts w:ascii="Arial" w:hAnsi="Arial" w:cs="Arial"/>
          <w:sz w:val="18"/>
          <w:szCs w:val="18"/>
          <w:lang w:val="en-US"/>
        </w:rPr>
      </w:pPr>
      <w:r w:rsidRPr="00D934F5">
        <w:rPr>
          <w:rFonts w:ascii="Arial" w:hAnsi="Arial" w:cs="Arial"/>
          <w:sz w:val="18"/>
          <w:szCs w:val="18"/>
          <w:lang w:val="en-US"/>
        </w:rPr>
        <w:t>Based on these findings, a more complex reactor configuration was developed, consisting of a continuous stirred</w:t>
      </w:r>
      <w:r w:rsidR="0063090E" w:rsidRPr="00D934F5">
        <w:rPr>
          <w:rFonts w:ascii="Arial" w:hAnsi="Arial" w:cs="Arial"/>
          <w:sz w:val="18"/>
          <w:szCs w:val="18"/>
          <w:lang w:val="en-US"/>
        </w:rPr>
        <w:t>-</w:t>
      </w:r>
      <w:r w:rsidRPr="00D934F5">
        <w:rPr>
          <w:rFonts w:ascii="Arial" w:hAnsi="Arial" w:cs="Arial"/>
          <w:sz w:val="18"/>
          <w:szCs w:val="18"/>
          <w:lang w:val="en-US"/>
        </w:rPr>
        <w:t>tank reactor (CSTR) in which nylon net</w:t>
      </w:r>
      <w:r w:rsidR="0095772A" w:rsidRPr="00D934F5">
        <w:rPr>
          <w:rFonts w:ascii="Arial" w:hAnsi="Arial" w:cs="Arial"/>
          <w:sz w:val="18"/>
          <w:szCs w:val="18"/>
          <w:lang w:val="en-US"/>
        </w:rPr>
        <w:t>s</w:t>
      </w:r>
      <w:r w:rsidRPr="00D934F5">
        <w:rPr>
          <w:rFonts w:ascii="Arial" w:hAnsi="Arial" w:cs="Arial"/>
          <w:sz w:val="18"/>
          <w:szCs w:val="18"/>
          <w:lang w:val="en-US"/>
        </w:rPr>
        <w:t xml:space="preserve"> w</w:t>
      </w:r>
      <w:r w:rsidR="0095772A" w:rsidRPr="00D934F5">
        <w:rPr>
          <w:rFonts w:ascii="Arial" w:hAnsi="Arial" w:cs="Arial"/>
          <w:sz w:val="18"/>
          <w:szCs w:val="18"/>
          <w:lang w:val="en-US"/>
        </w:rPr>
        <w:t>ere</w:t>
      </w:r>
      <w:r w:rsidRPr="00D934F5">
        <w:rPr>
          <w:rFonts w:ascii="Arial" w:hAnsi="Arial" w:cs="Arial"/>
          <w:sz w:val="18"/>
          <w:szCs w:val="18"/>
          <w:lang w:val="en-US"/>
        </w:rPr>
        <w:t xml:space="preserve"> selected as solid support material. Analysis of the fermentation profiles obtained at dilution rates (D</w:t>
      </w:r>
      <w:r w:rsidR="00F6696A" w:rsidRPr="00D934F5">
        <w:rPr>
          <w:rFonts w:ascii="Arial" w:hAnsi="Arial" w:cs="Arial"/>
          <w:sz w:val="18"/>
          <w:szCs w:val="18"/>
          <w:vertAlign w:val="subscript"/>
          <w:lang w:val="en-US"/>
        </w:rPr>
        <w:t>L</w:t>
      </w:r>
      <w:r w:rsidRPr="00D934F5">
        <w:rPr>
          <w:rFonts w:ascii="Arial" w:hAnsi="Arial" w:cs="Arial"/>
          <w:sz w:val="18"/>
          <w:szCs w:val="18"/>
          <w:lang w:val="en-US"/>
        </w:rPr>
        <w:t>) of 0.04</w:t>
      </w:r>
      <w:r w:rsidR="003D6DDA" w:rsidRPr="00D934F5">
        <w:rPr>
          <w:rFonts w:ascii="Arial" w:hAnsi="Arial" w:cs="Arial"/>
          <w:sz w:val="18"/>
          <w:szCs w:val="18"/>
          <w:lang w:val="en-US"/>
        </w:rPr>
        <w:t>0</w:t>
      </w:r>
      <w:r w:rsidRPr="00D934F5">
        <w:rPr>
          <w:rFonts w:ascii="Arial" w:hAnsi="Arial" w:cs="Arial"/>
          <w:sz w:val="18"/>
          <w:szCs w:val="18"/>
          <w:lang w:val="en-US"/>
        </w:rPr>
        <w:t xml:space="preserve"> and 0.0</w:t>
      </w:r>
      <w:r w:rsidR="003D6DDA" w:rsidRPr="00D934F5">
        <w:rPr>
          <w:rFonts w:ascii="Arial" w:hAnsi="Arial" w:cs="Arial"/>
          <w:sz w:val="18"/>
          <w:szCs w:val="18"/>
          <w:lang w:val="en-US"/>
        </w:rPr>
        <w:t>67</w:t>
      </w:r>
      <w:r w:rsidRPr="00D934F5">
        <w:rPr>
          <w:rFonts w:ascii="Arial" w:hAnsi="Arial" w:cs="Arial"/>
          <w:sz w:val="18"/>
          <w:szCs w:val="18"/>
          <w:lang w:val="en-US"/>
        </w:rPr>
        <w:t xml:space="preserve"> h</w:t>
      </w:r>
      <w:r w:rsidRPr="00D934F5">
        <w:rPr>
          <w:rFonts w:ascii="Cambria Math" w:hAnsi="Cambria Math" w:cs="Cambria Math"/>
          <w:sz w:val="18"/>
          <w:szCs w:val="18"/>
          <w:lang w:val="en-US"/>
        </w:rPr>
        <w:t>⁻</w:t>
      </w:r>
      <w:r w:rsidRPr="00D934F5">
        <w:rPr>
          <w:rFonts w:ascii="Arial" w:hAnsi="Arial" w:cs="Arial"/>
          <w:sz w:val="18"/>
          <w:szCs w:val="18"/>
          <w:lang w:val="en-US"/>
        </w:rPr>
        <w:t xml:space="preserve">¹ revealed a substantial increase in </w:t>
      </w:r>
      <w:r w:rsidRPr="004672A7">
        <w:rPr>
          <w:rFonts w:ascii="Arial" w:hAnsi="Arial" w:cs="Arial"/>
          <w:sz w:val="18"/>
          <w:szCs w:val="18"/>
          <w:lang w:val="en-US"/>
        </w:rPr>
        <w:t>both acetic acid and hydrogen production.</w:t>
      </w:r>
    </w:p>
    <w:p w14:paraId="7DD6FBBE" w14:textId="45F62A25" w:rsidR="00D934F5" w:rsidRPr="004672A7" w:rsidRDefault="008A19EF" w:rsidP="00D934F5">
      <w:pPr>
        <w:spacing w:before="100" w:beforeAutospacing="1" w:after="100" w:afterAutospacing="1"/>
        <w:contextualSpacing/>
        <w:jc w:val="both"/>
        <w:rPr>
          <w:rFonts w:ascii="Arial" w:hAnsi="Arial" w:cs="Arial"/>
          <w:sz w:val="18"/>
          <w:szCs w:val="18"/>
          <w:lang w:val="en-US"/>
        </w:rPr>
      </w:pPr>
      <w:r w:rsidRPr="004672A7">
        <w:rPr>
          <w:rFonts w:ascii="Arial" w:hAnsi="Arial" w:cs="Arial"/>
          <w:sz w:val="18"/>
          <w:szCs w:val="18"/>
          <w:lang w:val="en-US"/>
        </w:rPr>
        <w:t xml:space="preserve">In conclusion, the findings indicate that </w:t>
      </w:r>
      <w:r w:rsidRPr="004672A7">
        <w:rPr>
          <w:rFonts w:ascii="Arial" w:hAnsi="Arial" w:cs="Arial"/>
          <w:i/>
          <w:iCs/>
          <w:sz w:val="18"/>
          <w:szCs w:val="18"/>
          <w:lang w:val="en-US"/>
        </w:rPr>
        <w:t xml:space="preserve">T. </w:t>
      </w:r>
      <w:proofErr w:type="spellStart"/>
      <w:r w:rsidRPr="004672A7">
        <w:rPr>
          <w:rFonts w:ascii="Arial" w:hAnsi="Arial" w:cs="Arial"/>
          <w:i/>
          <w:iCs/>
          <w:sz w:val="18"/>
          <w:szCs w:val="18"/>
          <w:lang w:val="en-US"/>
        </w:rPr>
        <w:t>neapolitana</w:t>
      </w:r>
      <w:proofErr w:type="spellEnd"/>
      <w:r w:rsidRPr="004672A7">
        <w:rPr>
          <w:rFonts w:ascii="Arial" w:hAnsi="Arial" w:cs="Arial"/>
          <w:i/>
          <w:iCs/>
          <w:sz w:val="18"/>
          <w:szCs w:val="18"/>
          <w:lang w:val="en-US"/>
        </w:rPr>
        <w:t xml:space="preserve"> </w:t>
      </w:r>
      <w:r w:rsidRPr="004672A7">
        <w:rPr>
          <w:rFonts w:ascii="Arial" w:hAnsi="Arial" w:cs="Arial"/>
          <w:sz w:val="18"/>
          <w:szCs w:val="18"/>
          <w:lang w:val="en-US"/>
        </w:rPr>
        <w:t>is proficient in forming biofilms on nylon net supports, and that the implementation of an immobilized-cell CSTR is effective.</w:t>
      </w:r>
    </w:p>
    <w:p w14:paraId="7D5BC4D9" w14:textId="320B14AD" w:rsidR="00D934F5" w:rsidRPr="004672A7" w:rsidRDefault="00A06F67" w:rsidP="00D934F5">
      <w:pPr>
        <w:spacing w:before="100" w:beforeAutospacing="1" w:after="100" w:afterAutospacing="1"/>
        <w:contextualSpacing/>
        <w:jc w:val="both"/>
        <w:rPr>
          <w:rFonts w:ascii="Arial" w:hAnsi="Arial" w:cs="Arial"/>
          <w:sz w:val="18"/>
          <w:szCs w:val="18"/>
          <w:lang w:val="en-US"/>
        </w:rPr>
      </w:pPr>
      <w:r w:rsidRPr="004672A7">
        <w:rPr>
          <w:rFonts w:ascii="Arial" w:hAnsi="Arial" w:cs="Arial"/>
          <w:sz w:val="18"/>
          <w:szCs w:val="18"/>
          <w:lang w:val="en-US"/>
        </w:rPr>
        <w:lastRenderedPageBreak/>
        <w:t>This study offers novel insights into the role of support materials in enhancing biofilm-based dark fermentation and presents a practical strategy for improving hydrogen productivity. Consequently, it contributes to the development of more efficient and scalable biohydrogen production systems.</w:t>
      </w:r>
    </w:p>
    <w:p w14:paraId="0187F4D0" w14:textId="0A1FC03F" w:rsidR="00013D58" w:rsidRPr="004672A7" w:rsidRDefault="00280FAF" w:rsidP="00D934F5">
      <w:pPr>
        <w:pStyle w:val="CETHeadingxx"/>
        <w:spacing w:before="0" w:after="0"/>
        <w:rPr>
          <w:rFonts w:eastAsia="SimSun"/>
          <w:b/>
          <w:bCs w:val="0"/>
        </w:rPr>
        <w:sectPr w:rsidR="00013D58" w:rsidRPr="004672A7" w:rsidSect="008314D7">
          <w:type w:val="continuous"/>
          <w:pgSz w:w="11906" w:h="16838" w:code="9"/>
          <w:pgMar w:top="1701" w:right="1418" w:bottom="1701" w:left="1701" w:header="1701" w:footer="0" w:gutter="0"/>
          <w:cols w:space="708"/>
          <w:formProt w:val="0"/>
          <w:titlePg/>
          <w:docGrid w:linePitch="360"/>
        </w:sectPr>
      </w:pPr>
      <w:r w:rsidRPr="004672A7">
        <w:rPr>
          <w:b/>
          <w:bCs w:val="0"/>
        </w:rPr>
        <w:t>Nomenclature</w:t>
      </w:r>
    </w:p>
    <w:p w14:paraId="1C70C302" w14:textId="3B3990D7" w:rsidR="00013D58" w:rsidRPr="004672A7" w:rsidRDefault="00013D58" w:rsidP="00C2723F">
      <w:pPr>
        <w:pStyle w:val="CETBodytext"/>
        <w:jc w:val="left"/>
        <w:rPr>
          <w:rFonts w:eastAsia="SimSun"/>
        </w:rPr>
      </w:pPr>
      <w:r w:rsidRPr="004672A7">
        <w:rPr>
          <w:rFonts w:eastAsia="SimSun"/>
        </w:rPr>
        <w:t>AA – aceti</w:t>
      </w:r>
      <w:r w:rsidR="003D6DDA" w:rsidRPr="004672A7">
        <w:rPr>
          <w:rFonts w:eastAsia="SimSun"/>
        </w:rPr>
        <w:t>c</w:t>
      </w:r>
      <w:r w:rsidRPr="004672A7">
        <w:rPr>
          <w:rFonts w:eastAsia="SimSun"/>
        </w:rPr>
        <w:t xml:space="preserve"> acid, g/L</w:t>
      </w:r>
    </w:p>
    <w:p w14:paraId="2CF5D2B5" w14:textId="77777777" w:rsidR="00013D58" w:rsidRPr="004672A7" w:rsidRDefault="00013D58" w:rsidP="008A360B">
      <w:pPr>
        <w:pStyle w:val="CETBodytext"/>
        <w:jc w:val="left"/>
        <w:rPr>
          <w:rFonts w:eastAsia="SimSun"/>
        </w:rPr>
      </w:pPr>
      <w:r w:rsidRPr="004672A7">
        <w:rPr>
          <w:rFonts w:eastAsia="SimSun"/>
        </w:rPr>
        <w:t>DF – dark fermentation, -</w:t>
      </w:r>
    </w:p>
    <w:p w14:paraId="6DA13F52" w14:textId="77777777" w:rsidR="00013D58" w:rsidRPr="004672A7" w:rsidRDefault="00013D58" w:rsidP="00A55137">
      <w:pPr>
        <w:pStyle w:val="CETBodytext"/>
        <w:jc w:val="left"/>
        <w:rPr>
          <w:rFonts w:eastAsia="SimSun"/>
        </w:rPr>
      </w:pPr>
      <w:r w:rsidRPr="004672A7">
        <w:rPr>
          <w:rFonts w:eastAsia="SimSun"/>
        </w:rPr>
        <w:t>D</w:t>
      </w:r>
      <w:r w:rsidRPr="004672A7">
        <w:rPr>
          <w:rFonts w:eastAsia="SimSun"/>
          <w:vertAlign w:val="subscript"/>
        </w:rPr>
        <w:t>L</w:t>
      </w:r>
      <w:r w:rsidRPr="004672A7">
        <w:rPr>
          <w:rFonts w:eastAsia="SimSun"/>
        </w:rPr>
        <w:t xml:space="preserve"> – dilution rate, 1/h</w:t>
      </w:r>
    </w:p>
    <w:p w14:paraId="5E071743" w14:textId="77777777" w:rsidR="00013D58" w:rsidRPr="004672A7" w:rsidRDefault="00013D58" w:rsidP="00280FAF">
      <w:pPr>
        <w:pStyle w:val="CETBodytext"/>
        <w:jc w:val="left"/>
        <w:rPr>
          <w:rFonts w:eastAsia="SimSun"/>
        </w:rPr>
      </w:pPr>
      <w:r w:rsidRPr="004672A7">
        <w:rPr>
          <w:rFonts w:eastAsia="SimSun"/>
        </w:rPr>
        <w:t>Glu – glucose, g/L</w:t>
      </w:r>
    </w:p>
    <w:p w14:paraId="51144386" w14:textId="772C4DD0" w:rsidR="00013D58" w:rsidRPr="008F4762" w:rsidRDefault="00013D58" w:rsidP="00280FAF">
      <w:pPr>
        <w:pStyle w:val="CETBodytext"/>
        <w:jc w:val="left"/>
        <w:rPr>
          <w:rFonts w:eastAsia="SimSun"/>
        </w:rPr>
      </w:pPr>
      <w:r w:rsidRPr="008F4762">
        <w:rPr>
          <w:rFonts w:eastAsia="SimSun"/>
        </w:rPr>
        <w:t xml:space="preserve">PP – </w:t>
      </w:r>
      <w:r w:rsidR="00F37492" w:rsidRPr="008F4762">
        <w:rPr>
          <w:rFonts w:eastAsia="SimSun"/>
        </w:rPr>
        <w:t>Polypropylene</w:t>
      </w:r>
      <w:r w:rsidRPr="008F4762">
        <w:rPr>
          <w:rFonts w:eastAsia="SimSun"/>
        </w:rPr>
        <w:t>, -</w:t>
      </w:r>
    </w:p>
    <w:p w14:paraId="116F51E3" w14:textId="77777777" w:rsidR="00013D58" w:rsidRPr="00FB2054" w:rsidRDefault="00013D58" w:rsidP="00280FAF">
      <w:pPr>
        <w:pStyle w:val="CETBodytext"/>
        <w:jc w:val="left"/>
        <w:rPr>
          <w:rFonts w:eastAsia="SimSun"/>
        </w:rPr>
      </w:pPr>
      <w:r w:rsidRPr="00FB2054">
        <w:rPr>
          <w:rFonts w:eastAsia="SimSun"/>
        </w:rPr>
        <w:t>X– biomass, g/L</w:t>
      </w:r>
    </w:p>
    <w:p w14:paraId="195891F7" w14:textId="7BF74377" w:rsidR="00246BD0" w:rsidRDefault="00013D58" w:rsidP="00C2723F">
      <w:pPr>
        <w:pStyle w:val="CETBodytext"/>
        <w:jc w:val="left"/>
        <w:rPr>
          <w:rFonts w:eastAsia="SimSun"/>
        </w:rPr>
      </w:pPr>
      <w:r>
        <w:rPr>
          <w:rFonts w:eastAsia="SimSun"/>
        </w:rPr>
        <w:sym w:font="Symbol" w:char="F074"/>
      </w:r>
      <w:r w:rsidRPr="00280FAF">
        <w:rPr>
          <w:rFonts w:eastAsia="SimSun"/>
        </w:rPr>
        <w:t xml:space="preserve"> – </w:t>
      </w:r>
      <w:r w:rsidRPr="008F4762">
        <w:rPr>
          <w:rFonts w:eastAsia="SimSun"/>
        </w:rPr>
        <w:t>retention time</w:t>
      </w:r>
      <w:r w:rsidRPr="00280FAF">
        <w:rPr>
          <w:rFonts w:eastAsia="SimSun"/>
        </w:rPr>
        <w:t xml:space="preserve">, </w:t>
      </w:r>
      <w:r>
        <w:rPr>
          <w:rFonts w:eastAsia="SimSun"/>
        </w:rPr>
        <w:t>h</w:t>
      </w:r>
    </w:p>
    <w:p w14:paraId="6A46A701" w14:textId="77777777" w:rsidR="00C2723F" w:rsidRPr="00C2723F" w:rsidRDefault="00C2723F" w:rsidP="00C2723F">
      <w:pPr>
        <w:pStyle w:val="CETBodytext"/>
        <w:jc w:val="left"/>
        <w:rPr>
          <w:rFonts w:eastAsia="SimSun"/>
        </w:rPr>
      </w:pPr>
    </w:p>
    <w:p w14:paraId="3EA2DE2E" w14:textId="77777777" w:rsidR="00C2723F" w:rsidRDefault="00FA6C8E" w:rsidP="00C2723F">
      <w:pPr>
        <w:pStyle w:val="CETReference"/>
        <w:spacing w:before="0" w:after="0"/>
        <w:rPr>
          <w:lang w:val="it-IT"/>
        </w:rPr>
      </w:pPr>
      <w:proofErr w:type="spellStart"/>
      <w:r w:rsidRPr="008534DB">
        <w:rPr>
          <w:lang w:val="it-IT"/>
        </w:rPr>
        <w:t>Acknowledgments</w:t>
      </w:r>
      <w:proofErr w:type="spellEnd"/>
    </w:p>
    <w:p w14:paraId="23575B1F" w14:textId="648432EF" w:rsidR="00FA6C8E" w:rsidRDefault="00873520" w:rsidP="00C2723F">
      <w:pPr>
        <w:pStyle w:val="CETReference"/>
        <w:spacing w:before="0" w:after="0"/>
        <w:jc w:val="both"/>
        <w:rPr>
          <w:rFonts w:cs="Arial"/>
          <w:b w:val="0"/>
          <w:bCs/>
          <w:szCs w:val="18"/>
          <w:lang w:val="it-IT"/>
        </w:rPr>
      </w:pPr>
      <w:proofErr w:type="spellStart"/>
      <w:r w:rsidRPr="00C2723F">
        <w:rPr>
          <w:rFonts w:cs="Arial"/>
          <w:b w:val="0"/>
          <w:bCs/>
          <w:szCs w:val="18"/>
          <w:lang w:val="it-IT"/>
        </w:rPr>
        <w:t>This</w:t>
      </w:r>
      <w:proofErr w:type="spellEnd"/>
      <w:r w:rsidRPr="00C2723F">
        <w:rPr>
          <w:rFonts w:cs="Arial"/>
          <w:b w:val="0"/>
          <w:bCs/>
          <w:szCs w:val="18"/>
          <w:lang w:val="it-IT"/>
        </w:rPr>
        <w:t xml:space="preserve"> study </w:t>
      </w:r>
      <w:proofErr w:type="spellStart"/>
      <w:r w:rsidRPr="00C2723F">
        <w:rPr>
          <w:rFonts w:cs="Arial"/>
          <w:b w:val="0"/>
          <w:bCs/>
          <w:szCs w:val="18"/>
          <w:lang w:val="it-IT"/>
        </w:rPr>
        <w:t>has</w:t>
      </w:r>
      <w:proofErr w:type="spellEnd"/>
      <w:r w:rsidRPr="00C2723F">
        <w:rPr>
          <w:rFonts w:cs="Arial"/>
          <w:b w:val="0"/>
          <w:bCs/>
          <w:szCs w:val="18"/>
          <w:lang w:val="it-IT"/>
        </w:rPr>
        <w:t xml:space="preserve"> </w:t>
      </w:r>
      <w:proofErr w:type="spellStart"/>
      <w:r w:rsidRPr="00C2723F">
        <w:rPr>
          <w:rFonts w:cs="Arial"/>
          <w:b w:val="0"/>
          <w:bCs/>
          <w:szCs w:val="18"/>
          <w:lang w:val="it-IT"/>
        </w:rPr>
        <w:t>been</w:t>
      </w:r>
      <w:proofErr w:type="spellEnd"/>
      <w:r w:rsidRPr="00C2723F">
        <w:rPr>
          <w:rFonts w:cs="Arial"/>
          <w:b w:val="0"/>
          <w:bCs/>
          <w:szCs w:val="18"/>
          <w:lang w:val="it-IT"/>
        </w:rPr>
        <w:t xml:space="preserve"> </w:t>
      </w:r>
      <w:proofErr w:type="spellStart"/>
      <w:r w:rsidRPr="00C2723F">
        <w:rPr>
          <w:rFonts w:cs="Arial"/>
          <w:b w:val="0"/>
          <w:bCs/>
          <w:szCs w:val="18"/>
          <w:lang w:val="it-IT"/>
        </w:rPr>
        <w:t>funded</w:t>
      </w:r>
      <w:proofErr w:type="spellEnd"/>
      <w:r w:rsidRPr="00C2723F">
        <w:rPr>
          <w:rFonts w:cs="Arial"/>
          <w:b w:val="0"/>
          <w:bCs/>
          <w:szCs w:val="18"/>
          <w:lang w:val="it-IT"/>
        </w:rPr>
        <w:t xml:space="preserve"> by INAIL: Progetto “Processi innovativi biologici e </w:t>
      </w:r>
      <w:proofErr w:type="spellStart"/>
      <w:r w:rsidRPr="00C2723F">
        <w:rPr>
          <w:rFonts w:cs="Arial"/>
          <w:b w:val="0"/>
          <w:bCs/>
          <w:szCs w:val="18"/>
          <w:lang w:val="it-IT"/>
        </w:rPr>
        <w:t>bio</w:t>
      </w:r>
      <w:proofErr w:type="spellEnd"/>
      <w:r w:rsidRPr="00C2723F">
        <w:rPr>
          <w:rFonts w:cs="Arial"/>
          <w:b w:val="0"/>
          <w:bCs/>
          <w:szCs w:val="18"/>
          <w:lang w:val="it-IT"/>
        </w:rPr>
        <w:t>-elettrochimici per la</w:t>
      </w:r>
      <w:r w:rsidR="001058E8" w:rsidRPr="00C2723F">
        <w:rPr>
          <w:rFonts w:cs="Arial"/>
          <w:b w:val="0"/>
          <w:bCs/>
          <w:szCs w:val="18"/>
          <w:lang w:val="it-IT"/>
        </w:rPr>
        <w:t xml:space="preserve"> </w:t>
      </w:r>
      <w:r w:rsidRPr="00C2723F">
        <w:rPr>
          <w:rFonts w:cs="Arial"/>
          <w:b w:val="0"/>
          <w:bCs/>
          <w:szCs w:val="18"/>
          <w:lang w:val="it-IT"/>
        </w:rPr>
        <w:t xml:space="preserve">produzione di idrogeno da matrici organiche di scarto”, Bando </w:t>
      </w:r>
      <w:proofErr w:type="spellStart"/>
      <w:r w:rsidRPr="00C2723F">
        <w:rPr>
          <w:rFonts w:cs="Arial"/>
          <w:b w:val="0"/>
          <w:bCs/>
          <w:szCs w:val="18"/>
          <w:lang w:val="it-IT"/>
        </w:rPr>
        <w:t>BRiC</w:t>
      </w:r>
      <w:proofErr w:type="spellEnd"/>
      <w:r w:rsidRPr="00C2723F">
        <w:rPr>
          <w:rFonts w:cs="Arial"/>
          <w:b w:val="0"/>
          <w:bCs/>
          <w:szCs w:val="18"/>
          <w:lang w:val="it-IT"/>
        </w:rPr>
        <w:t>-INAIL, 2022, Convenzione per la realizzazione del progetto di cui alla tematica ID 64 “Salute e sicurezza nella produzione di biocombustibili dalle biomasse mediante modelli di economia circolare”, Repertorio n. 159/2023, Prot n. 102738 del 03/05/2023, CUP H73C22001670005</w:t>
      </w:r>
      <w:r w:rsidR="00945736" w:rsidRPr="00C2723F">
        <w:rPr>
          <w:rFonts w:cs="Arial"/>
          <w:b w:val="0"/>
          <w:bCs/>
          <w:szCs w:val="18"/>
          <w:lang w:val="it-IT"/>
        </w:rPr>
        <w:t xml:space="preserve">; and the National Recovery and </w:t>
      </w:r>
      <w:proofErr w:type="spellStart"/>
      <w:r w:rsidR="00945736" w:rsidRPr="00C2723F">
        <w:rPr>
          <w:rFonts w:cs="Arial"/>
          <w:b w:val="0"/>
          <w:bCs/>
          <w:szCs w:val="18"/>
          <w:lang w:val="it-IT"/>
        </w:rPr>
        <w:t>Resilience</w:t>
      </w:r>
      <w:proofErr w:type="spellEnd"/>
      <w:r w:rsidR="00945736" w:rsidRPr="00C2723F">
        <w:rPr>
          <w:rFonts w:cs="Arial"/>
          <w:b w:val="0"/>
          <w:bCs/>
          <w:szCs w:val="18"/>
          <w:lang w:val="it-IT"/>
        </w:rPr>
        <w:t xml:space="preserve"> Plan (PNRR), Mission 2 Component 2 Investment 3.5 “</w:t>
      </w:r>
      <w:proofErr w:type="spellStart"/>
      <w:r w:rsidR="00945736" w:rsidRPr="00C2723F">
        <w:rPr>
          <w:rFonts w:cs="Arial"/>
          <w:b w:val="0"/>
          <w:bCs/>
          <w:szCs w:val="18"/>
          <w:lang w:val="it-IT"/>
        </w:rPr>
        <w:t>Fundamental</w:t>
      </w:r>
      <w:proofErr w:type="spellEnd"/>
      <w:r w:rsidR="00945736" w:rsidRPr="00C2723F">
        <w:rPr>
          <w:rFonts w:cs="Arial"/>
          <w:b w:val="0"/>
          <w:bCs/>
          <w:szCs w:val="18"/>
          <w:lang w:val="it-IT"/>
        </w:rPr>
        <w:t xml:space="preserve"> </w:t>
      </w:r>
      <w:proofErr w:type="spellStart"/>
      <w:r w:rsidR="00945736" w:rsidRPr="00C2723F">
        <w:rPr>
          <w:rFonts w:cs="Arial"/>
          <w:b w:val="0"/>
          <w:bCs/>
          <w:szCs w:val="18"/>
          <w:lang w:val="it-IT"/>
        </w:rPr>
        <w:t>research</w:t>
      </w:r>
      <w:proofErr w:type="spellEnd"/>
      <w:r w:rsidR="00945736" w:rsidRPr="00C2723F">
        <w:rPr>
          <w:rFonts w:cs="Arial"/>
          <w:b w:val="0"/>
          <w:bCs/>
          <w:szCs w:val="18"/>
          <w:lang w:val="it-IT"/>
        </w:rPr>
        <w:t xml:space="preserve"> on </w:t>
      </w:r>
      <w:proofErr w:type="spellStart"/>
      <w:r w:rsidR="00945736" w:rsidRPr="00C2723F">
        <w:rPr>
          <w:rFonts w:cs="Arial"/>
          <w:b w:val="0"/>
          <w:bCs/>
          <w:szCs w:val="18"/>
          <w:lang w:val="it-IT"/>
        </w:rPr>
        <w:t>hydrogen</w:t>
      </w:r>
      <w:proofErr w:type="spellEnd"/>
      <w:r w:rsidR="00945736" w:rsidRPr="00C2723F">
        <w:rPr>
          <w:rFonts w:cs="Arial"/>
          <w:b w:val="0"/>
          <w:bCs/>
          <w:szCs w:val="18"/>
          <w:lang w:val="it-IT"/>
        </w:rPr>
        <w:t xml:space="preserve">” – project SPIGA “Sviluppo di una piattaforma di Produzione di Idrogeno Green mediante sistemi innovativi”, </w:t>
      </w:r>
      <w:proofErr w:type="spellStart"/>
      <w:r w:rsidR="00945736" w:rsidRPr="00C2723F">
        <w:rPr>
          <w:rFonts w:cs="Arial"/>
          <w:b w:val="0"/>
          <w:bCs/>
          <w:szCs w:val="18"/>
          <w:lang w:val="it-IT"/>
        </w:rPr>
        <w:t>funded</w:t>
      </w:r>
      <w:proofErr w:type="spellEnd"/>
      <w:r w:rsidR="00945736" w:rsidRPr="00C2723F">
        <w:rPr>
          <w:rFonts w:cs="Arial"/>
          <w:b w:val="0"/>
          <w:bCs/>
          <w:szCs w:val="18"/>
          <w:lang w:val="it-IT"/>
        </w:rPr>
        <w:t xml:space="preserve"> by the </w:t>
      </w:r>
      <w:proofErr w:type="spellStart"/>
      <w:r w:rsidR="00945736" w:rsidRPr="00C2723F">
        <w:rPr>
          <w:rFonts w:cs="Arial"/>
          <w:b w:val="0"/>
          <w:bCs/>
          <w:szCs w:val="18"/>
          <w:lang w:val="it-IT"/>
        </w:rPr>
        <w:t>Italian</w:t>
      </w:r>
      <w:proofErr w:type="spellEnd"/>
      <w:r w:rsidR="00945736" w:rsidRPr="00C2723F">
        <w:rPr>
          <w:rFonts w:cs="Arial"/>
          <w:b w:val="0"/>
          <w:bCs/>
          <w:szCs w:val="18"/>
          <w:lang w:val="it-IT"/>
        </w:rPr>
        <w:t xml:space="preserve"> </w:t>
      </w:r>
      <w:proofErr w:type="spellStart"/>
      <w:r w:rsidR="00945736" w:rsidRPr="00C2723F">
        <w:rPr>
          <w:rFonts w:cs="Arial"/>
          <w:b w:val="0"/>
          <w:bCs/>
          <w:szCs w:val="18"/>
          <w:lang w:val="it-IT"/>
        </w:rPr>
        <w:t>Ministry</w:t>
      </w:r>
      <w:proofErr w:type="spellEnd"/>
      <w:r w:rsidR="00945736" w:rsidRPr="00C2723F">
        <w:rPr>
          <w:rFonts w:cs="Arial"/>
          <w:b w:val="0"/>
          <w:bCs/>
          <w:szCs w:val="18"/>
          <w:lang w:val="it-IT"/>
        </w:rPr>
        <w:t xml:space="preserve"> of Environment and Energy Security (MASE) and by the </w:t>
      </w:r>
      <w:proofErr w:type="spellStart"/>
      <w:r w:rsidR="00945736" w:rsidRPr="00C2723F">
        <w:rPr>
          <w:rFonts w:cs="Arial"/>
          <w:b w:val="0"/>
          <w:bCs/>
          <w:szCs w:val="18"/>
          <w:lang w:val="it-IT"/>
        </w:rPr>
        <w:t>European</w:t>
      </w:r>
      <w:proofErr w:type="spellEnd"/>
      <w:r w:rsidR="00945736" w:rsidRPr="00C2723F">
        <w:rPr>
          <w:rFonts w:cs="Arial"/>
          <w:b w:val="0"/>
          <w:bCs/>
          <w:szCs w:val="18"/>
          <w:lang w:val="it-IT"/>
        </w:rPr>
        <w:t xml:space="preserve"> Union – </w:t>
      </w:r>
      <w:proofErr w:type="spellStart"/>
      <w:r w:rsidR="00945736" w:rsidRPr="00C2723F">
        <w:rPr>
          <w:rFonts w:cs="Arial"/>
          <w:b w:val="0"/>
          <w:bCs/>
          <w:szCs w:val="18"/>
          <w:lang w:val="it-IT"/>
        </w:rPr>
        <w:t>NextGenerationEU</w:t>
      </w:r>
      <w:proofErr w:type="spellEnd"/>
      <w:r w:rsidR="00945736" w:rsidRPr="00C2723F">
        <w:rPr>
          <w:rFonts w:cs="Arial"/>
          <w:b w:val="0"/>
          <w:bCs/>
          <w:szCs w:val="18"/>
          <w:lang w:val="it-IT"/>
        </w:rPr>
        <w:t>.</w:t>
      </w:r>
    </w:p>
    <w:p w14:paraId="56EB89E8" w14:textId="77777777" w:rsidR="00C2723F" w:rsidRPr="00C2723F" w:rsidRDefault="00C2723F" w:rsidP="00C2723F">
      <w:pPr>
        <w:pStyle w:val="CETReference"/>
        <w:spacing w:before="0" w:after="0"/>
        <w:jc w:val="both"/>
        <w:rPr>
          <w:b w:val="0"/>
          <w:bCs/>
          <w:lang w:val="it-IT"/>
        </w:rPr>
      </w:pPr>
    </w:p>
    <w:p w14:paraId="10FEC5A5" w14:textId="18F10CCE" w:rsidR="00C2723F" w:rsidRPr="007859D7" w:rsidRDefault="00600535" w:rsidP="00C2723F">
      <w:pPr>
        <w:pStyle w:val="CETReference"/>
        <w:spacing w:before="0" w:after="0"/>
        <w:rPr>
          <w:lang w:val="en-US"/>
        </w:rPr>
      </w:pPr>
      <w:r w:rsidRPr="007859D7">
        <w:rPr>
          <w:lang w:val="en-US"/>
        </w:rPr>
        <w:t>References</w:t>
      </w:r>
      <w:r w:rsidR="00483D02" w:rsidRPr="007859D7">
        <w:rPr>
          <w:lang w:val="en-US"/>
        </w:rPr>
        <w:t xml:space="preserve"> </w:t>
      </w:r>
    </w:p>
    <w:p w14:paraId="49853686" w14:textId="77777777" w:rsidR="00DB42B7" w:rsidRPr="00FA6C8E" w:rsidRDefault="00DB42B7" w:rsidP="00C2723F">
      <w:pPr>
        <w:pStyle w:val="CETReferencetext"/>
      </w:pPr>
      <w:r>
        <w:t xml:space="preserve">Ahmad A., K R., Hasan S.W., Show P.L., Banat F., 2024, Biohydrogen production through dark fermentation: Recent trends and advances in transition to a circular bioeconomy. </w:t>
      </w:r>
      <w:hyperlink r:id="rId13" w:tooltip="Go to International Journal of Hydrogen Energy on ScienceDirect" w:history="1">
        <w:r w:rsidRPr="008534DB">
          <w:t>International Journal of Hydrogen Energy</w:t>
        </w:r>
      </w:hyperlink>
      <w:r w:rsidRPr="008534DB">
        <w:t>, 52(A), 335-337.</w:t>
      </w:r>
    </w:p>
    <w:p w14:paraId="3414B0AE" w14:textId="77777777" w:rsidR="00DB42B7" w:rsidRPr="00FA6C8E" w:rsidRDefault="00DB42B7" w:rsidP="008534DB">
      <w:pPr>
        <w:pStyle w:val="CETReferencetext"/>
      </w:pPr>
      <w:proofErr w:type="spellStart"/>
      <w:r w:rsidRPr="008534DB">
        <w:t>Dreschke</w:t>
      </w:r>
      <w:proofErr w:type="spellEnd"/>
      <w:r w:rsidRPr="008534DB">
        <w:t xml:space="preserve"> G., </w:t>
      </w:r>
      <w:proofErr w:type="spellStart"/>
      <w:r w:rsidRPr="008534DB">
        <w:t>Papirio</w:t>
      </w:r>
      <w:proofErr w:type="spellEnd"/>
      <w:r w:rsidRPr="008534DB">
        <w:t xml:space="preserve"> S., Scala A., </w:t>
      </w:r>
      <w:proofErr w:type="spellStart"/>
      <w:r w:rsidRPr="008534DB">
        <w:t>Lensc</w:t>
      </w:r>
      <w:proofErr w:type="spellEnd"/>
      <w:r w:rsidRPr="008534DB">
        <w:t xml:space="preserve"> P.N.L., Esposito G., 2019, High rate continuous biohydrogen production by </w:t>
      </w:r>
      <w:proofErr w:type="spellStart"/>
      <w:r w:rsidRPr="008534DB">
        <w:t>hyperthermophilic</w:t>
      </w:r>
      <w:proofErr w:type="spellEnd"/>
      <w:r w:rsidRPr="008534DB">
        <w:t xml:space="preserve"> </w:t>
      </w:r>
      <w:proofErr w:type="spellStart"/>
      <w:r w:rsidRPr="008A764D">
        <w:rPr>
          <w:i/>
          <w:iCs/>
        </w:rPr>
        <w:t>Thermotoga</w:t>
      </w:r>
      <w:proofErr w:type="spellEnd"/>
      <w:r w:rsidRPr="008A764D">
        <w:rPr>
          <w:i/>
          <w:iCs/>
        </w:rPr>
        <w:t xml:space="preserve"> </w:t>
      </w:r>
      <w:proofErr w:type="spellStart"/>
      <w:r w:rsidRPr="008A764D">
        <w:rPr>
          <w:i/>
          <w:iCs/>
        </w:rPr>
        <w:t>neapolitana</w:t>
      </w:r>
      <w:proofErr w:type="spellEnd"/>
      <w:r w:rsidRPr="008534DB">
        <w:t xml:space="preserve">. </w:t>
      </w:r>
      <w:r>
        <w:t>Bioresource Technology, 122033.</w:t>
      </w:r>
    </w:p>
    <w:p w14:paraId="18CAE3CC" w14:textId="77777777" w:rsidR="00DB42B7" w:rsidRPr="00FA6C8E" w:rsidRDefault="00DB42B7" w:rsidP="008534DB">
      <w:pPr>
        <w:pStyle w:val="CETReferencetext"/>
      </w:pPr>
      <w:r w:rsidRPr="00FA6C8E">
        <w:t xml:space="preserve">Giuliana </w:t>
      </w:r>
      <w:proofErr w:type="spellStart"/>
      <w:r w:rsidRPr="00FA6C8E">
        <w:t>d’Ippolito</w:t>
      </w:r>
      <w:proofErr w:type="spellEnd"/>
      <w:r w:rsidRPr="00FA6C8E">
        <w:t xml:space="preserve"> G., Landi S., </w:t>
      </w:r>
      <w:proofErr w:type="spellStart"/>
      <w:r w:rsidRPr="00FA6C8E">
        <w:t>Esercizio</w:t>
      </w:r>
      <w:proofErr w:type="spellEnd"/>
      <w:r w:rsidRPr="00FA6C8E">
        <w:t xml:space="preserve"> N., </w:t>
      </w:r>
      <w:proofErr w:type="spellStart"/>
      <w:r w:rsidRPr="00FA6C8E">
        <w:t>Lanzilli</w:t>
      </w:r>
      <w:proofErr w:type="spellEnd"/>
      <w:r w:rsidRPr="00FA6C8E">
        <w:t xml:space="preserve"> M., Vastano M., </w:t>
      </w:r>
      <w:proofErr w:type="spellStart"/>
      <w:r w:rsidRPr="00FA6C8E">
        <w:t>Dipasquale</w:t>
      </w:r>
      <w:proofErr w:type="spellEnd"/>
      <w:r w:rsidRPr="00FA6C8E">
        <w:t xml:space="preserve"> L., Pradhan N., Fontana A., 2020, CO2-Induced Transcriptional Reorganization: Molecular Basis of </w:t>
      </w:r>
      <w:proofErr w:type="spellStart"/>
      <w:r w:rsidRPr="00FA6C8E">
        <w:t>Capnophillic</w:t>
      </w:r>
      <w:proofErr w:type="spellEnd"/>
      <w:r w:rsidRPr="00FA6C8E">
        <w:t xml:space="preserve"> Lactic Fermentation in </w:t>
      </w:r>
      <w:proofErr w:type="spellStart"/>
      <w:r w:rsidRPr="008A764D">
        <w:rPr>
          <w:i/>
          <w:iCs/>
        </w:rPr>
        <w:t>Thermotoga</w:t>
      </w:r>
      <w:proofErr w:type="spellEnd"/>
      <w:r w:rsidRPr="008A764D">
        <w:rPr>
          <w:i/>
          <w:iCs/>
        </w:rPr>
        <w:t xml:space="preserve"> </w:t>
      </w:r>
      <w:proofErr w:type="spellStart"/>
      <w:r w:rsidRPr="008A764D">
        <w:rPr>
          <w:i/>
          <w:iCs/>
        </w:rPr>
        <w:t>neapolitana</w:t>
      </w:r>
      <w:proofErr w:type="spellEnd"/>
      <w:r w:rsidRPr="008534DB">
        <w:t xml:space="preserve">. </w:t>
      </w:r>
      <w:r w:rsidRPr="00FA6C8E">
        <w:t>Frontiers in Microbiology, 11.</w:t>
      </w:r>
    </w:p>
    <w:p w14:paraId="3A91C1C1" w14:textId="77777777" w:rsidR="00DB42B7" w:rsidRPr="00FA6C8E" w:rsidRDefault="00DB42B7" w:rsidP="008534DB">
      <w:pPr>
        <w:pStyle w:val="CETReferencetext"/>
      </w:pPr>
      <w:r>
        <w:t>Jain R., Panwar N.L., Jain S.K., Gupta T., Agarwal C., Meena S.S., 2022, Bio</w:t>
      </w:r>
      <w:r>
        <w:noBreakHyphen/>
        <w:t>hydrogen production through dark fermentation: an overview. Biomass Conversion and Biorefinery,14, 12699–12724.</w:t>
      </w:r>
    </w:p>
    <w:p w14:paraId="04C2EF3F" w14:textId="2D6B6D4E" w:rsidR="00DB42B7" w:rsidRPr="00FA6C8E" w:rsidRDefault="00DB42B7" w:rsidP="008534DB">
      <w:pPr>
        <w:pStyle w:val="CETReferencetext"/>
      </w:pPr>
      <w:r w:rsidRPr="00DF0484">
        <w:t xml:space="preserve">Lanzillo F., Atanasov G.A., </w:t>
      </w:r>
      <w:proofErr w:type="spellStart"/>
      <w:r w:rsidRPr="00DF0484">
        <w:t>Raganati</w:t>
      </w:r>
      <w:proofErr w:type="spellEnd"/>
      <w:r w:rsidRPr="00DF0484">
        <w:t xml:space="preserve"> F., Salatino P., </w:t>
      </w:r>
      <w:proofErr w:type="spellStart"/>
      <w:r w:rsidRPr="00DF0484">
        <w:t>Marzocchella</w:t>
      </w:r>
      <w:proofErr w:type="spellEnd"/>
      <w:r w:rsidRPr="00DF0484">
        <w:t xml:space="preserve"> A., 2025, Dark Fermentation Process by </w:t>
      </w:r>
      <w:proofErr w:type="spellStart"/>
      <w:r w:rsidRPr="00DF0484">
        <w:rPr>
          <w:i/>
          <w:iCs/>
        </w:rPr>
        <w:t>Thermotoga</w:t>
      </w:r>
      <w:proofErr w:type="spellEnd"/>
      <w:r w:rsidRPr="00DF0484">
        <w:rPr>
          <w:i/>
          <w:iCs/>
        </w:rPr>
        <w:t xml:space="preserve"> </w:t>
      </w:r>
      <w:proofErr w:type="spellStart"/>
      <w:r w:rsidR="008A764D" w:rsidRPr="00DF0484">
        <w:rPr>
          <w:i/>
          <w:iCs/>
        </w:rPr>
        <w:t>n</w:t>
      </w:r>
      <w:r w:rsidRPr="00DF0484">
        <w:rPr>
          <w:i/>
          <w:iCs/>
        </w:rPr>
        <w:t>eapolitana</w:t>
      </w:r>
      <w:proofErr w:type="spellEnd"/>
      <w:r w:rsidRPr="00DF0484">
        <w:t xml:space="preserve">: Effect of Sugar Substrates. </w:t>
      </w:r>
      <w:r w:rsidRPr="00FA6C8E">
        <w:t>Chemical Engineering Transactions, 119, 31-36.</w:t>
      </w:r>
    </w:p>
    <w:p w14:paraId="4560E71A" w14:textId="191C6A31" w:rsidR="00DB42B7" w:rsidRPr="007859D7" w:rsidRDefault="00DB42B7" w:rsidP="008534DB">
      <w:pPr>
        <w:pStyle w:val="CETReferencetext"/>
        <w:rPr>
          <w:lang w:val="en-US"/>
        </w:rPr>
      </w:pPr>
      <w:r w:rsidRPr="008534DB">
        <w:t xml:space="preserve">Lanzillo F., Pisacane S., </w:t>
      </w:r>
      <w:proofErr w:type="spellStart"/>
      <w:r w:rsidRPr="008534DB">
        <w:t>Raganati</w:t>
      </w:r>
      <w:proofErr w:type="spellEnd"/>
      <w:r w:rsidRPr="008534DB">
        <w:t xml:space="preserve"> F., Russo M.E., Salatino P., </w:t>
      </w:r>
      <w:proofErr w:type="spellStart"/>
      <w:r w:rsidRPr="008534DB">
        <w:t>Marzocchella</w:t>
      </w:r>
      <w:proofErr w:type="spellEnd"/>
      <w:r w:rsidRPr="008534DB">
        <w:t xml:space="preserve"> A., 2024, Optimization of CO fermentation by </w:t>
      </w:r>
      <w:r w:rsidRPr="008A764D">
        <w:rPr>
          <w:i/>
          <w:iCs/>
        </w:rPr>
        <w:t xml:space="preserve">Clostridium </w:t>
      </w:r>
      <w:proofErr w:type="spellStart"/>
      <w:r w:rsidRPr="008A764D">
        <w:rPr>
          <w:i/>
          <w:iCs/>
        </w:rPr>
        <w:t>carboxidivorans</w:t>
      </w:r>
      <w:proofErr w:type="spellEnd"/>
      <w:r w:rsidRPr="008534DB">
        <w:t xml:space="preserve"> in batch reactors: Effects of the medium composition. </w:t>
      </w:r>
      <w:r w:rsidRPr="007859D7">
        <w:rPr>
          <w:lang w:val="en-US"/>
        </w:rPr>
        <w:t>Anaerob</w:t>
      </w:r>
      <w:r w:rsidR="000B4F92" w:rsidRPr="007859D7">
        <w:rPr>
          <w:lang w:val="en-US"/>
        </w:rPr>
        <w:t>e</w:t>
      </w:r>
      <w:r w:rsidRPr="007859D7">
        <w:rPr>
          <w:lang w:val="en-US"/>
        </w:rPr>
        <w:t>, 87, 102855.</w:t>
      </w:r>
    </w:p>
    <w:p w14:paraId="6836446C" w14:textId="7B18B35F" w:rsidR="006834F9" w:rsidRPr="007859D7" w:rsidRDefault="006834F9" w:rsidP="008534DB">
      <w:pPr>
        <w:pStyle w:val="CETReferencetext"/>
        <w:rPr>
          <w:lang w:val="it-IT"/>
        </w:rPr>
      </w:pPr>
      <w:r w:rsidRPr="006834F9">
        <w:rPr>
          <w:lang w:val="en-US"/>
        </w:rPr>
        <w:t xml:space="preserve">Lanzillo F., Ruggiero G., </w:t>
      </w:r>
      <w:proofErr w:type="spellStart"/>
      <w:r w:rsidRPr="006834F9">
        <w:rPr>
          <w:lang w:val="en-US"/>
        </w:rPr>
        <w:t>Raganati</w:t>
      </w:r>
      <w:proofErr w:type="spellEnd"/>
      <w:r w:rsidRPr="006834F9">
        <w:rPr>
          <w:lang w:val="en-US"/>
        </w:rPr>
        <w:t xml:space="preserve"> F., Russo M.E., </w:t>
      </w:r>
      <w:proofErr w:type="spellStart"/>
      <w:r w:rsidRPr="006834F9">
        <w:rPr>
          <w:lang w:val="en-US"/>
        </w:rPr>
        <w:t>Marzocchella</w:t>
      </w:r>
      <w:proofErr w:type="spellEnd"/>
      <w:r w:rsidRPr="006834F9">
        <w:rPr>
          <w:lang w:val="en-US"/>
        </w:rPr>
        <w:t xml:space="preserve"> A., 2020, Batch syngas fermentation by </w:t>
      </w:r>
      <w:r w:rsidRPr="0053673B">
        <w:rPr>
          <w:i/>
          <w:iCs/>
          <w:lang w:val="en-US"/>
        </w:rPr>
        <w:t xml:space="preserve">Clostridium </w:t>
      </w:r>
      <w:proofErr w:type="spellStart"/>
      <w:r w:rsidRPr="0053673B">
        <w:rPr>
          <w:i/>
          <w:iCs/>
          <w:lang w:val="en-US"/>
        </w:rPr>
        <w:t>carboxidivorans</w:t>
      </w:r>
      <w:proofErr w:type="spellEnd"/>
      <w:r w:rsidRPr="006834F9">
        <w:rPr>
          <w:lang w:val="en-US"/>
        </w:rPr>
        <w:t xml:space="preserve"> for production of acids</w:t>
      </w:r>
      <w:r>
        <w:rPr>
          <w:lang w:val="en-US"/>
        </w:rPr>
        <w:t xml:space="preserve"> and alcohols. </w:t>
      </w:r>
      <w:proofErr w:type="spellStart"/>
      <w:r w:rsidRPr="007859D7">
        <w:rPr>
          <w:lang w:val="it-IT"/>
        </w:rPr>
        <w:t>Processes</w:t>
      </w:r>
      <w:proofErr w:type="spellEnd"/>
      <w:r w:rsidRPr="007859D7">
        <w:rPr>
          <w:lang w:val="it-IT"/>
        </w:rPr>
        <w:t>, 8, 1075.</w:t>
      </w:r>
    </w:p>
    <w:p w14:paraId="318EB886" w14:textId="77777777" w:rsidR="00DB42B7" w:rsidRPr="00FA6C8E" w:rsidRDefault="00DB42B7" w:rsidP="008534DB">
      <w:pPr>
        <w:pStyle w:val="CETReferencetext"/>
      </w:pPr>
      <w:r w:rsidRPr="008534DB">
        <w:rPr>
          <w:lang w:val="it-IT"/>
        </w:rPr>
        <w:t xml:space="preserve">Pradhan N., Dipasquale L., d’Ippolito G., Panico A., Lens P.N.L., Esposito G., Fontana A., 2015. </w:t>
      </w:r>
      <w:r w:rsidRPr="008534DB">
        <w:t xml:space="preserve">Hydrogen Production by the Thermophilic Bacterium </w:t>
      </w:r>
      <w:proofErr w:type="spellStart"/>
      <w:r w:rsidRPr="008A764D">
        <w:rPr>
          <w:i/>
          <w:iCs/>
        </w:rPr>
        <w:t>Thermotoga</w:t>
      </w:r>
      <w:proofErr w:type="spellEnd"/>
      <w:r w:rsidRPr="008A764D">
        <w:rPr>
          <w:i/>
          <w:iCs/>
        </w:rPr>
        <w:t xml:space="preserve"> </w:t>
      </w:r>
      <w:proofErr w:type="spellStart"/>
      <w:r w:rsidRPr="008A764D">
        <w:rPr>
          <w:i/>
          <w:iCs/>
        </w:rPr>
        <w:t>neapolitana</w:t>
      </w:r>
      <w:proofErr w:type="spellEnd"/>
      <w:r w:rsidRPr="008534DB">
        <w:t>. International Journal of Molecular Sciences, 16, 12578-12600.</w:t>
      </w:r>
    </w:p>
    <w:p w14:paraId="4B49AB9E" w14:textId="77777777" w:rsidR="00DB42B7" w:rsidRPr="00FA6C8E" w:rsidRDefault="00DB42B7" w:rsidP="008534DB">
      <w:pPr>
        <w:pStyle w:val="CETReferencetext"/>
      </w:pPr>
      <w:r w:rsidRPr="00FA6C8E">
        <w:t xml:space="preserve">Pysz M.A., Conners S.B., Montero C.I., Shockley K.R., Johnson M.R., Ward D.E., Kelly R.M., 2004, Transcriptional analysis of biofilm formation processes in the anaerobic, </w:t>
      </w:r>
      <w:proofErr w:type="spellStart"/>
      <w:r w:rsidRPr="00FA6C8E">
        <w:t>hyperthermophilic</w:t>
      </w:r>
      <w:proofErr w:type="spellEnd"/>
      <w:r w:rsidRPr="00FA6C8E">
        <w:t xml:space="preserve"> bacterium </w:t>
      </w:r>
      <w:proofErr w:type="spellStart"/>
      <w:r w:rsidRPr="008A764D">
        <w:rPr>
          <w:i/>
          <w:iCs/>
        </w:rPr>
        <w:t>Thermotoga</w:t>
      </w:r>
      <w:proofErr w:type="spellEnd"/>
      <w:r w:rsidRPr="008A764D">
        <w:rPr>
          <w:i/>
          <w:iCs/>
        </w:rPr>
        <w:t xml:space="preserve"> maritima</w:t>
      </w:r>
      <w:r w:rsidRPr="00FA6C8E">
        <w:t xml:space="preserve">. </w:t>
      </w:r>
      <w:hyperlink r:id="rId14" w:history="1">
        <w:r w:rsidRPr="008534DB">
          <w:t>Applied and Environmental Microbiology</w:t>
        </w:r>
      </w:hyperlink>
      <w:r w:rsidRPr="00FA6C8E">
        <w:t xml:space="preserve">, 70(10), 6098- 112. </w:t>
      </w:r>
    </w:p>
    <w:p w14:paraId="6D71CA36" w14:textId="3EE4FF43" w:rsidR="00E076A5" w:rsidRDefault="00DB42B7" w:rsidP="00113615">
      <w:pPr>
        <w:pStyle w:val="CETReferencetext"/>
        <w:rPr>
          <w:rFonts w:cs="Arial"/>
          <w:szCs w:val="18"/>
          <w:lang w:val="en-US"/>
        </w:rPr>
      </w:pPr>
      <w:proofErr w:type="spellStart"/>
      <w:r w:rsidRPr="00FA6C8E">
        <w:t>Reysenbach</w:t>
      </w:r>
      <w:proofErr w:type="spellEnd"/>
      <w:r w:rsidRPr="00FA6C8E">
        <w:t xml:space="preserve"> A.L. and E. Shock. 2002, Merging genomes with geochemistry in hydrothermal ecosystems. Science 296, 1077–1082.</w:t>
      </w:r>
    </w:p>
    <w:p w14:paraId="2DE4E4CC" w14:textId="2F55D2FC" w:rsidR="007F6C69" w:rsidRPr="00377443" w:rsidRDefault="007F6C69" w:rsidP="00377443">
      <w:pPr>
        <w:pStyle w:val="CETReferencetext"/>
        <w:spacing w:line="240" w:lineRule="auto"/>
        <w:ind w:left="0" w:firstLine="0"/>
        <w:contextualSpacing/>
        <w:rPr>
          <w:rFonts w:cs="Arial"/>
          <w:szCs w:val="18"/>
          <w:lang w:val="en-US"/>
        </w:rPr>
      </w:pPr>
    </w:p>
    <w:sectPr w:rsidR="007F6C69" w:rsidRPr="00377443"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C7F8" w14:textId="77777777" w:rsidR="006E2EAB" w:rsidRDefault="006E2EAB" w:rsidP="004F5E36">
      <w:r>
        <w:separator/>
      </w:r>
    </w:p>
  </w:endnote>
  <w:endnote w:type="continuationSeparator" w:id="0">
    <w:p w14:paraId="51137D44" w14:textId="77777777" w:rsidR="006E2EAB" w:rsidRDefault="006E2EA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2836" w14:textId="77777777" w:rsidR="006E2EAB" w:rsidRDefault="006E2EAB" w:rsidP="004F5E36">
      <w:r>
        <w:separator/>
      </w:r>
    </w:p>
  </w:footnote>
  <w:footnote w:type="continuationSeparator" w:id="0">
    <w:p w14:paraId="11ADCA77" w14:textId="77777777" w:rsidR="006E2EAB" w:rsidRDefault="006E2EA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839196F"/>
    <w:multiLevelType w:val="multilevel"/>
    <w:tmpl w:val="FAA4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D2622"/>
    <w:multiLevelType w:val="hybridMultilevel"/>
    <w:tmpl w:val="9FCA7DA6"/>
    <w:lvl w:ilvl="0" w:tplc="55A619A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9D168C1"/>
    <w:multiLevelType w:val="hybridMultilevel"/>
    <w:tmpl w:val="04708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3750634">
    <w:abstractNumId w:val="12"/>
  </w:num>
  <w:num w:numId="2" w16cid:durableId="1263343138">
    <w:abstractNumId w:val="8"/>
  </w:num>
  <w:num w:numId="3" w16cid:durableId="1667051885">
    <w:abstractNumId w:val="3"/>
  </w:num>
  <w:num w:numId="4" w16cid:durableId="355009702">
    <w:abstractNumId w:val="2"/>
  </w:num>
  <w:num w:numId="5" w16cid:durableId="1006126761">
    <w:abstractNumId w:val="1"/>
  </w:num>
  <w:num w:numId="6" w16cid:durableId="614599603">
    <w:abstractNumId w:val="0"/>
  </w:num>
  <w:num w:numId="7" w16cid:durableId="1192263230">
    <w:abstractNumId w:val="9"/>
  </w:num>
  <w:num w:numId="8" w16cid:durableId="1211453842">
    <w:abstractNumId w:val="7"/>
  </w:num>
  <w:num w:numId="9" w16cid:durableId="390346897">
    <w:abstractNumId w:val="6"/>
  </w:num>
  <w:num w:numId="10" w16cid:durableId="183054663">
    <w:abstractNumId w:val="5"/>
  </w:num>
  <w:num w:numId="11" w16cid:durableId="378671111">
    <w:abstractNumId w:val="4"/>
  </w:num>
  <w:num w:numId="12" w16cid:durableId="1133866483">
    <w:abstractNumId w:val="19"/>
  </w:num>
  <w:num w:numId="13" w16cid:durableId="1243490589">
    <w:abstractNumId w:val="14"/>
  </w:num>
  <w:num w:numId="14" w16cid:durableId="811486959">
    <w:abstractNumId w:val="21"/>
  </w:num>
  <w:num w:numId="15" w16cid:durableId="989871384">
    <w:abstractNumId w:val="23"/>
  </w:num>
  <w:num w:numId="16" w16cid:durableId="909073953">
    <w:abstractNumId w:val="22"/>
  </w:num>
  <w:num w:numId="17" w16cid:durableId="556865089">
    <w:abstractNumId w:val="13"/>
  </w:num>
  <w:num w:numId="18" w16cid:durableId="1570340148">
    <w:abstractNumId w:val="14"/>
    <w:lvlOverride w:ilvl="0">
      <w:startOverride w:val="1"/>
    </w:lvlOverride>
  </w:num>
  <w:num w:numId="19" w16cid:durableId="1117332047">
    <w:abstractNumId w:val="18"/>
  </w:num>
  <w:num w:numId="20" w16cid:durableId="1227762976">
    <w:abstractNumId w:val="17"/>
  </w:num>
  <w:num w:numId="21" w16cid:durableId="646516245">
    <w:abstractNumId w:val="16"/>
  </w:num>
  <w:num w:numId="22" w16cid:durableId="1880431064">
    <w:abstractNumId w:val="15"/>
  </w:num>
  <w:num w:numId="23" w16cid:durableId="992215485">
    <w:abstractNumId w:val="10"/>
  </w:num>
  <w:num w:numId="24" w16cid:durableId="1757169382">
    <w:abstractNumId w:val="20"/>
  </w:num>
  <w:num w:numId="25" w16cid:durableId="1225288053">
    <w:abstractNumId w:val="12"/>
    <w:lvlOverride w:ilvl="0">
      <w:startOverride w:val="1"/>
    </w:lvlOverride>
    <w:lvlOverride w:ilvl="1">
      <w:startOverride w:val="3"/>
    </w:lvlOverride>
    <w:lvlOverride w:ilvl="2">
      <w:startOverride w:val="2"/>
    </w:lvlOverride>
  </w:num>
  <w:num w:numId="26" w16cid:durableId="233665365">
    <w:abstractNumId w:val="11"/>
  </w:num>
  <w:num w:numId="27" w16cid:durableId="1377898496">
    <w:abstractNumId w:val="12"/>
    <w:lvlOverride w:ilvl="0">
      <w:startOverride w:val="1"/>
    </w:lvlOverride>
    <w:lvlOverride w:ilvl="1">
      <w:startOverride w:val="3"/>
    </w:lvlOverride>
    <w:lvlOverride w:ilvl="2">
      <w:startOverride w:val="2"/>
    </w:lvlOverride>
  </w:num>
  <w:num w:numId="28" w16cid:durableId="1064110948">
    <w:abstractNumId w:val="12"/>
    <w:lvlOverride w:ilvl="0">
      <w:startOverride w:val="1"/>
    </w:lvlOverride>
    <w:lvlOverride w:ilvl="1">
      <w:startOverride w:val="3"/>
    </w:lvlOverride>
    <w:lvlOverride w:ilvl="2">
      <w:startOverride w:val="2"/>
    </w:lvlOverride>
  </w:num>
  <w:num w:numId="29" w16cid:durableId="1621492964">
    <w:abstractNumId w:val="12"/>
    <w:lvlOverride w:ilvl="0">
      <w:startOverride w:val="1"/>
    </w:lvlOverride>
    <w:lvlOverride w:ilvl="1">
      <w:startOverride w:val="3"/>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5F4"/>
    <w:rsid w:val="000027C0"/>
    <w:rsid w:val="000052FB"/>
    <w:rsid w:val="00005884"/>
    <w:rsid w:val="00005A19"/>
    <w:rsid w:val="000117CB"/>
    <w:rsid w:val="00011BEF"/>
    <w:rsid w:val="00013D58"/>
    <w:rsid w:val="000260F0"/>
    <w:rsid w:val="00026961"/>
    <w:rsid w:val="0003148D"/>
    <w:rsid w:val="00031EEC"/>
    <w:rsid w:val="000452FF"/>
    <w:rsid w:val="00051566"/>
    <w:rsid w:val="000515E3"/>
    <w:rsid w:val="000562A9"/>
    <w:rsid w:val="00056481"/>
    <w:rsid w:val="00062A9A"/>
    <w:rsid w:val="00065058"/>
    <w:rsid w:val="00070D11"/>
    <w:rsid w:val="00074BDE"/>
    <w:rsid w:val="00083E42"/>
    <w:rsid w:val="00086C39"/>
    <w:rsid w:val="000A03B2"/>
    <w:rsid w:val="000B4F92"/>
    <w:rsid w:val="000D0268"/>
    <w:rsid w:val="000D2DE1"/>
    <w:rsid w:val="000D34BE"/>
    <w:rsid w:val="000E102F"/>
    <w:rsid w:val="000E36F1"/>
    <w:rsid w:val="000E3A73"/>
    <w:rsid w:val="000E414A"/>
    <w:rsid w:val="000E75FD"/>
    <w:rsid w:val="000F093C"/>
    <w:rsid w:val="000F4F85"/>
    <w:rsid w:val="000F51F2"/>
    <w:rsid w:val="000F787B"/>
    <w:rsid w:val="00101FF3"/>
    <w:rsid w:val="001058E8"/>
    <w:rsid w:val="00113615"/>
    <w:rsid w:val="0012091F"/>
    <w:rsid w:val="00124AAD"/>
    <w:rsid w:val="00126BC2"/>
    <w:rsid w:val="001308B6"/>
    <w:rsid w:val="0013121F"/>
    <w:rsid w:val="00131FE6"/>
    <w:rsid w:val="00132093"/>
    <w:rsid w:val="0013263F"/>
    <w:rsid w:val="001331DF"/>
    <w:rsid w:val="00134DE4"/>
    <w:rsid w:val="0014034D"/>
    <w:rsid w:val="00140FE3"/>
    <w:rsid w:val="00141773"/>
    <w:rsid w:val="00144D16"/>
    <w:rsid w:val="00146C78"/>
    <w:rsid w:val="00150E59"/>
    <w:rsid w:val="00152DE3"/>
    <w:rsid w:val="001537EB"/>
    <w:rsid w:val="00164CF9"/>
    <w:rsid w:val="001667A6"/>
    <w:rsid w:val="001737CF"/>
    <w:rsid w:val="00184AD6"/>
    <w:rsid w:val="001A4AF7"/>
    <w:rsid w:val="001B0349"/>
    <w:rsid w:val="001B1E93"/>
    <w:rsid w:val="001B65C1"/>
    <w:rsid w:val="001C038A"/>
    <w:rsid w:val="001C260F"/>
    <w:rsid w:val="001C33F1"/>
    <w:rsid w:val="001C684B"/>
    <w:rsid w:val="001D0CFB"/>
    <w:rsid w:val="001D21AF"/>
    <w:rsid w:val="001D53FC"/>
    <w:rsid w:val="001E1020"/>
    <w:rsid w:val="001E103A"/>
    <w:rsid w:val="001E1653"/>
    <w:rsid w:val="001E23F9"/>
    <w:rsid w:val="001F12E4"/>
    <w:rsid w:val="001F42A5"/>
    <w:rsid w:val="001F7B9D"/>
    <w:rsid w:val="00201C93"/>
    <w:rsid w:val="0021543B"/>
    <w:rsid w:val="00215B80"/>
    <w:rsid w:val="002224B4"/>
    <w:rsid w:val="00226B74"/>
    <w:rsid w:val="00226BDE"/>
    <w:rsid w:val="00235774"/>
    <w:rsid w:val="002447EF"/>
    <w:rsid w:val="00246BD0"/>
    <w:rsid w:val="00251550"/>
    <w:rsid w:val="002525AC"/>
    <w:rsid w:val="00260998"/>
    <w:rsid w:val="00263B05"/>
    <w:rsid w:val="0027221A"/>
    <w:rsid w:val="00275B61"/>
    <w:rsid w:val="00280FAF"/>
    <w:rsid w:val="00282656"/>
    <w:rsid w:val="00284EFA"/>
    <w:rsid w:val="00286970"/>
    <w:rsid w:val="00291139"/>
    <w:rsid w:val="00295906"/>
    <w:rsid w:val="00296B83"/>
    <w:rsid w:val="002A7654"/>
    <w:rsid w:val="002B2D7A"/>
    <w:rsid w:val="002B4015"/>
    <w:rsid w:val="002B78CE"/>
    <w:rsid w:val="002C2FB6"/>
    <w:rsid w:val="002D315E"/>
    <w:rsid w:val="002D62D8"/>
    <w:rsid w:val="002E5858"/>
    <w:rsid w:val="002E5FA7"/>
    <w:rsid w:val="002E73A6"/>
    <w:rsid w:val="002F3309"/>
    <w:rsid w:val="003008CE"/>
    <w:rsid w:val="003009B7"/>
    <w:rsid w:val="00300E56"/>
    <w:rsid w:val="0030152C"/>
    <w:rsid w:val="003035B7"/>
    <w:rsid w:val="00304237"/>
    <w:rsid w:val="0030469C"/>
    <w:rsid w:val="00305F6B"/>
    <w:rsid w:val="0032141E"/>
    <w:rsid w:val="00321CA6"/>
    <w:rsid w:val="00323763"/>
    <w:rsid w:val="00323C5F"/>
    <w:rsid w:val="00327C0B"/>
    <w:rsid w:val="00334C09"/>
    <w:rsid w:val="00337F9A"/>
    <w:rsid w:val="00350748"/>
    <w:rsid w:val="00356331"/>
    <w:rsid w:val="00361BDB"/>
    <w:rsid w:val="00363159"/>
    <w:rsid w:val="00363B11"/>
    <w:rsid w:val="003678AF"/>
    <w:rsid w:val="0037238B"/>
    <w:rsid w:val="003723D4"/>
    <w:rsid w:val="00377443"/>
    <w:rsid w:val="00381905"/>
    <w:rsid w:val="003819B0"/>
    <w:rsid w:val="00384CC8"/>
    <w:rsid w:val="003871FD"/>
    <w:rsid w:val="003A1277"/>
    <w:rsid w:val="003A1E30"/>
    <w:rsid w:val="003A2829"/>
    <w:rsid w:val="003A7D1C"/>
    <w:rsid w:val="003B0CBE"/>
    <w:rsid w:val="003B1513"/>
    <w:rsid w:val="003B304B"/>
    <w:rsid w:val="003B3146"/>
    <w:rsid w:val="003C2AD7"/>
    <w:rsid w:val="003C6641"/>
    <w:rsid w:val="003D1E02"/>
    <w:rsid w:val="003D3563"/>
    <w:rsid w:val="003D5374"/>
    <w:rsid w:val="003D6DDA"/>
    <w:rsid w:val="003E55F0"/>
    <w:rsid w:val="003F015E"/>
    <w:rsid w:val="00400414"/>
    <w:rsid w:val="00406A1D"/>
    <w:rsid w:val="00407D6B"/>
    <w:rsid w:val="0041446B"/>
    <w:rsid w:val="00420FFF"/>
    <w:rsid w:val="004317AD"/>
    <w:rsid w:val="0043262D"/>
    <w:rsid w:val="0044071E"/>
    <w:rsid w:val="0044329C"/>
    <w:rsid w:val="00447FC2"/>
    <w:rsid w:val="00450574"/>
    <w:rsid w:val="0045221D"/>
    <w:rsid w:val="00453E24"/>
    <w:rsid w:val="00457456"/>
    <w:rsid w:val="004575E2"/>
    <w:rsid w:val="004577FE"/>
    <w:rsid w:val="00457B9C"/>
    <w:rsid w:val="0046164A"/>
    <w:rsid w:val="004628D2"/>
    <w:rsid w:val="00462DCD"/>
    <w:rsid w:val="004648AD"/>
    <w:rsid w:val="004672A7"/>
    <w:rsid w:val="004703A9"/>
    <w:rsid w:val="004760DE"/>
    <w:rsid w:val="004763D7"/>
    <w:rsid w:val="00483D02"/>
    <w:rsid w:val="004845C7"/>
    <w:rsid w:val="00495359"/>
    <w:rsid w:val="004A004E"/>
    <w:rsid w:val="004A24CF"/>
    <w:rsid w:val="004A2A6E"/>
    <w:rsid w:val="004A4B79"/>
    <w:rsid w:val="004A5E57"/>
    <w:rsid w:val="004C06C4"/>
    <w:rsid w:val="004C194F"/>
    <w:rsid w:val="004C1C2C"/>
    <w:rsid w:val="004C2A12"/>
    <w:rsid w:val="004C3D1D"/>
    <w:rsid w:val="004C3D84"/>
    <w:rsid w:val="004C7913"/>
    <w:rsid w:val="004D03CD"/>
    <w:rsid w:val="004E1055"/>
    <w:rsid w:val="004E3283"/>
    <w:rsid w:val="004E4DD6"/>
    <w:rsid w:val="004F5E36"/>
    <w:rsid w:val="00503516"/>
    <w:rsid w:val="00507B47"/>
    <w:rsid w:val="00507BEF"/>
    <w:rsid w:val="00507CC9"/>
    <w:rsid w:val="005119A5"/>
    <w:rsid w:val="00517057"/>
    <w:rsid w:val="005278B7"/>
    <w:rsid w:val="00532016"/>
    <w:rsid w:val="005346C8"/>
    <w:rsid w:val="0053673B"/>
    <w:rsid w:val="00537DCC"/>
    <w:rsid w:val="00543E7D"/>
    <w:rsid w:val="00547A68"/>
    <w:rsid w:val="005531C9"/>
    <w:rsid w:val="005542F9"/>
    <w:rsid w:val="005551F9"/>
    <w:rsid w:val="005556C6"/>
    <w:rsid w:val="00566345"/>
    <w:rsid w:val="00570C43"/>
    <w:rsid w:val="00580E42"/>
    <w:rsid w:val="00591050"/>
    <w:rsid w:val="00592274"/>
    <w:rsid w:val="005964BC"/>
    <w:rsid w:val="005B2110"/>
    <w:rsid w:val="005B5381"/>
    <w:rsid w:val="005B61E6"/>
    <w:rsid w:val="005C77E1"/>
    <w:rsid w:val="005D668A"/>
    <w:rsid w:val="005D6A2F"/>
    <w:rsid w:val="005E0592"/>
    <w:rsid w:val="005E1A82"/>
    <w:rsid w:val="005E20A1"/>
    <w:rsid w:val="005E46F8"/>
    <w:rsid w:val="005E55F2"/>
    <w:rsid w:val="005E794C"/>
    <w:rsid w:val="005F0A28"/>
    <w:rsid w:val="005F0E5E"/>
    <w:rsid w:val="00600535"/>
    <w:rsid w:val="0060157F"/>
    <w:rsid w:val="00607AD4"/>
    <w:rsid w:val="00610CD6"/>
    <w:rsid w:val="0061435B"/>
    <w:rsid w:val="00620DEE"/>
    <w:rsid w:val="00621F92"/>
    <w:rsid w:val="0062280A"/>
    <w:rsid w:val="006231E1"/>
    <w:rsid w:val="00625639"/>
    <w:rsid w:val="00626384"/>
    <w:rsid w:val="0063090E"/>
    <w:rsid w:val="00631B33"/>
    <w:rsid w:val="00632D88"/>
    <w:rsid w:val="0064184D"/>
    <w:rsid w:val="006422CC"/>
    <w:rsid w:val="00651D18"/>
    <w:rsid w:val="00654CBE"/>
    <w:rsid w:val="00655F22"/>
    <w:rsid w:val="00660E3E"/>
    <w:rsid w:val="006618F5"/>
    <w:rsid w:val="00662AF2"/>
    <w:rsid w:val="00662E74"/>
    <w:rsid w:val="00680C23"/>
    <w:rsid w:val="006834F9"/>
    <w:rsid w:val="00683E23"/>
    <w:rsid w:val="00693766"/>
    <w:rsid w:val="006A3281"/>
    <w:rsid w:val="006B4888"/>
    <w:rsid w:val="006B6EF2"/>
    <w:rsid w:val="006C02AF"/>
    <w:rsid w:val="006C26BE"/>
    <w:rsid w:val="006C2E45"/>
    <w:rsid w:val="006C359C"/>
    <w:rsid w:val="006C5579"/>
    <w:rsid w:val="006C57C8"/>
    <w:rsid w:val="006D6E8B"/>
    <w:rsid w:val="006D7209"/>
    <w:rsid w:val="006E12EC"/>
    <w:rsid w:val="006E2EAB"/>
    <w:rsid w:val="006E737D"/>
    <w:rsid w:val="00707DD1"/>
    <w:rsid w:val="007126B6"/>
    <w:rsid w:val="00713973"/>
    <w:rsid w:val="0071486C"/>
    <w:rsid w:val="00720A24"/>
    <w:rsid w:val="00732386"/>
    <w:rsid w:val="0073514D"/>
    <w:rsid w:val="00743D4A"/>
    <w:rsid w:val="007447F3"/>
    <w:rsid w:val="0074552F"/>
    <w:rsid w:val="0075482C"/>
    <w:rsid w:val="0075499F"/>
    <w:rsid w:val="00755C11"/>
    <w:rsid w:val="00756CEE"/>
    <w:rsid w:val="0075709D"/>
    <w:rsid w:val="007617CC"/>
    <w:rsid w:val="0076278B"/>
    <w:rsid w:val="007661C8"/>
    <w:rsid w:val="0077098D"/>
    <w:rsid w:val="0078037D"/>
    <w:rsid w:val="007859D7"/>
    <w:rsid w:val="00785BF9"/>
    <w:rsid w:val="00790ED2"/>
    <w:rsid w:val="007931FA"/>
    <w:rsid w:val="00794C2A"/>
    <w:rsid w:val="007A0218"/>
    <w:rsid w:val="007A3568"/>
    <w:rsid w:val="007A4861"/>
    <w:rsid w:val="007A578C"/>
    <w:rsid w:val="007A7BBA"/>
    <w:rsid w:val="007B0C50"/>
    <w:rsid w:val="007B48F9"/>
    <w:rsid w:val="007C1A43"/>
    <w:rsid w:val="007C36EC"/>
    <w:rsid w:val="007D0951"/>
    <w:rsid w:val="007E1B85"/>
    <w:rsid w:val="007F27C8"/>
    <w:rsid w:val="007F5EBB"/>
    <w:rsid w:val="007F6C69"/>
    <w:rsid w:val="0080013E"/>
    <w:rsid w:val="00813288"/>
    <w:rsid w:val="00814BB2"/>
    <w:rsid w:val="008168FC"/>
    <w:rsid w:val="008231D3"/>
    <w:rsid w:val="00830996"/>
    <w:rsid w:val="008314D7"/>
    <w:rsid w:val="008333ED"/>
    <w:rsid w:val="008345F1"/>
    <w:rsid w:val="0084154A"/>
    <w:rsid w:val="008534DB"/>
    <w:rsid w:val="008546F1"/>
    <w:rsid w:val="00865B07"/>
    <w:rsid w:val="008667EA"/>
    <w:rsid w:val="00871216"/>
    <w:rsid w:val="00873520"/>
    <w:rsid w:val="0087637F"/>
    <w:rsid w:val="00887F61"/>
    <w:rsid w:val="00892AD5"/>
    <w:rsid w:val="008A0613"/>
    <w:rsid w:val="008A1512"/>
    <w:rsid w:val="008A19EF"/>
    <w:rsid w:val="008A360B"/>
    <w:rsid w:val="008A764D"/>
    <w:rsid w:val="008B0D38"/>
    <w:rsid w:val="008C573D"/>
    <w:rsid w:val="008D32B9"/>
    <w:rsid w:val="008D433B"/>
    <w:rsid w:val="008D4A16"/>
    <w:rsid w:val="008E209A"/>
    <w:rsid w:val="008E45BC"/>
    <w:rsid w:val="008E566E"/>
    <w:rsid w:val="008E6DFF"/>
    <w:rsid w:val="008F4762"/>
    <w:rsid w:val="0090161A"/>
    <w:rsid w:val="00901EB6"/>
    <w:rsid w:val="009041F8"/>
    <w:rsid w:val="00904C62"/>
    <w:rsid w:val="009061F1"/>
    <w:rsid w:val="00906D53"/>
    <w:rsid w:val="00922BA8"/>
    <w:rsid w:val="00924CC8"/>
    <w:rsid w:val="00924DAC"/>
    <w:rsid w:val="00925ED3"/>
    <w:rsid w:val="00927058"/>
    <w:rsid w:val="00942750"/>
    <w:rsid w:val="009450CE"/>
    <w:rsid w:val="00945736"/>
    <w:rsid w:val="009459BB"/>
    <w:rsid w:val="00946E01"/>
    <w:rsid w:val="00947179"/>
    <w:rsid w:val="0095164B"/>
    <w:rsid w:val="00954090"/>
    <w:rsid w:val="009573E7"/>
    <w:rsid w:val="0095772A"/>
    <w:rsid w:val="00963E05"/>
    <w:rsid w:val="00964A45"/>
    <w:rsid w:val="00967843"/>
    <w:rsid w:val="00967D54"/>
    <w:rsid w:val="00971028"/>
    <w:rsid w:val="00971F98"/>
    <w:rsid w:val="00981DDE"/>
    <w:rsid w:val="00993B84"/>
    <w:rsid w:val="00996483"/>
    <w:rsid w:val="00996F5A"/>
    <w:rsid w:val="009A0613"/>
    <w:rsid w:val="009B041A"/>
    <w:rsid w:val="009C37C3"/>
    <w:rsid w:val="009C7C86"/>
    <w:rsid w:val="009D2FF7"/>
    <w:rsid w:val="009E24AF"/>
    <w:rsid w:val="009E7884"/>
    <w:rsid w:val="009E788A"/>
    <w:rsid w:val="009F0E08"/>
    <w:rsid w:val="00A02F41"/>
    <w:rsid w:val="00A06F67"/>
    <w:rsid w:val="00A079AE"/>
    <w:rsid w:val="00A126FD"/>
    <w:rsid w:val="00A1392A"/>
    <w:rsid w:val="00A15641"/>
    <w:rsid w:val="00A162B4"/>
    <w:rsid w:val="00A1763D"/>
    <w:rsid w:val="00A17CEC"/>
    <w:rsid w:val="00A2271A"/>
    <w:rsid w:val="00A26CBB"/>
    <w:rsid w:val="00A271CF"/>
    <w:rsid w:val="00A27EF0"/>
    <w:rsid w:val="00A42361"/>
    <w:rsid w:val="00A50B20"/>
    <w:rsid w:val="00A51119"/>
    <w:rsid w:val="00A51390"/>
    <w:rsid w:val="00A534D0"/>
    <w:rsid w:val="00A55137"/>
    <w:rsid w:val="00A60D13"/>
    <w:rsid w:val="00A7223D"/>
    <w:rsid w:val="00A72745"/>
    <w:rsid w:val="00A76EFC"/>
    <w:rsid w:val="00A87D50"/>
    <w:rsid w:val="00A91010"/>
    <w:rsid w:val="00A932B8"/>
    <w:rsid w:val="00A96329"/>
    <w:rsid w:val="00A97F29"/>
    <w:rsid w:val="00AA21B9"/>
    <w:rsid w:val="00AA702E"/>
    <w:rsid w:val="00AA7D26"/>
    <w:rsid w:val="00AB0964"/>
    <w:rsid w:val="00AB5011"/>
    <w:rsid w:val="00AB7513"/>
    <w:rsid w:val="00AC295B"/>
    <w:rsid w:val="00AC67E2"/>
    <w:rsid w:val="00AC7368"/>
    <w:rsid w:val="00AD0278"/>
    <w:rsid w:val="00AD16B9"/>
    <w:rsid w:val="00AE2E17"/>
    <w:rsid w:val="00AE377D"/>
    <w:rsid w:val="00AF0EBA"/>
    <w:rsid w:val="00B02C8A"/>
    <w:rsid w:val="00B06904"/>
    <w:rsid w:val="00B11156"/>
    <w:rsid w:val="00B14EFE"/>
    <w:rsid w:val="00B17FBD"/>
    <w:rsid w:val="00B25727"/>
    <w:rsid w:val="00B315A6"/>
    <w:rsid w:val="00B31813"/>
    <w:rsid w:val="00B31D53"/>
    <w:rsid w:val="00B33365"/>
    <w:rsid w:val="00B41B29"/>
    <w:rsid w:val="00B42585"/>
    <w:rsid w:val="00B529F9"/>
    <w:rsid w:val="00B57B36"/>
    <w:rsid w:val="00B57E6F"/>
    <w:rsid w:val="00B660FC"/>
    <w:rsid w:val="00B72EC0"/>
    <w:rsid w:val="00B740B9"/>
    <w:rsid w:val="00B74B04"/>
    <w:rsid w:val="00B8686D"/>
    <w:rsid w:val="00B93F69"/>
    <w:rsid w:val="00BA1C00"/>
    <w:rsid w:val="00BB17DA"/>
    <w:rsid w:val="00BB1DDC"/>
    <w:rsid w:val="00BC30C9"/>
    <w:rsid w:val="00BD077D"/>
    <w:rsid w:val="00BD0CD6"/>
    <w:rsid w:val="00BE3E58"/>
    <w:rsid w:val="00C01616"/>
    <w:rsid w:val="00C0162B"/>
    <w:rsid w:val="00C068ED"/>
    <w:rsid w:val="00C1551B"/>
    <w:rsid w:val="00C208E9"/>
    <w:rsid w:val="00C22E0C"/>
    <w:rsid w:val="00C25B01"/>
    <w:rsid w:val="00C2723F"/>
    <w:rsid w:val="00C333D6"/>
    <w:rsid w:val="00C345B1"/>
    <w:rsid w:val="00C34A59"/>
    <w:rsid w:val="00C40142"/>
    <w:rsid w:val="00C52C3C"/>
    <w:rsid w:val="00C57182"/>
    <w:rsid w:val="00C57863"/>
    <w:rsid w:val="00C640AF"/>
    <w:rsid w:val="00C64894"/>
    <w:rsid w:val="00C655FD"/>
    <w:rsid w:val="00C7167E"/>
    <w:rsid w:val="00C71D0C"/>
    <w:rsid w:val="00C73268"/>
    <w:rsid w:val="00C75407"/>
    <w:rsid w:val="00C841C6"/>
    <w:rsid w:val="00C870A8"/>
    <w:rsid w:val="00C94434"/>
    <w:rsid w:val="00C972A6"/>
    <w:rsid w:val="00CA0D75"/>
    <w:rsid w:val="00CA1C95"/>
    <w:rsid w:val="00CA5A9C"/>
    <w:rsid w:val="00CB2CD5"/>
    <w:rsid w:val="00CB5D3E"/>
    <w:rsid w:val="00CB5D61"/>
    <w:rsid w:val="00CC24B5"/>
    <w:rsid w:val="00CC4C20"/>
    <w:rsid w:val="00CD3517"/>
    <w:rsid w:val="00CD5FE2"/>
    <w:rsid w:val="00CE7C68"/>
    <w:rsid w:val="00D01C95"/>
    <w:rsid w:val="00D02B4C"/>
    <w:rsid w:val="00D040C4"/>
    <w:rsid w:val="00D153A2"/>
    <w:rsid w:val="00D20AD1"/>
    <w:rsid w:val="00D25449"/>
    <w:rsid w:val="00D2582C"/>
    <w:rsid w:val="00D429DF"/>
    <w:rsid w:val="00D46B7E"/>
    <w:rsid w:val="00D47156"/>
    <w:rsid w:val="00D5135E"/>
    <w:rsid w:val="00D51C7F"/>
    <w:rsid w:val="00D53C37"/>
    <w:rsid w:val="00D57C84"/>
    <w:rsid w:val="00D6057D"/>
    <w:rsid w:val="00D66AA2"/>
    <w:rsid w:val="00D67D94"/>
    <w:rsid w:val="00D71640"/>
    <w:rsid w:val="00D7199F"/>
    <w:rsid w:val="00D836C5"/>
    <w:rsid w:val="00D844EC"/>
    <w:rsid w:val="00D84576"/>
    <w:rsid w:val="00D877B6"/>
    <w:rsid w:val="00D934F5"/>
    <w:rsid w:val="00DA1399"/>
    <w:rsid w:val="00DA24C6"/>
    <w:rsid w:val="00DA4D7B"/>
    <w:rsid w:val="00DA79AB"/>
    <w:rsid w:val="00DB1B27"/>
    <w:rsid w:val="00DB42B7"/>
    <w:rsid w:val="00DC5EA9"/>
    <w:rsid w:val="00DD271C"/>
    <w:rsid w:val="00DD742A"/>
    <w:rsid w:val="00DE264A"/>
    <w:rsid w:val="00DF0484"/>
    <w:rsid w:val="00DF330E"/>
    <w:rsid w:val="00DF45F0"/>
    <w:rsid w:val="00DF5072"/>
    <w:rsid w:val="00E02D18"/>
    <w:rsid w:val="00E041E7"/>
    <w:rsid w:val="00E06421"/>
    <w:rsid w:val="00E076A5"/>
    <w:rsid w:val="00E13D35"/>
    <w:rsid w:val="00E23CA1"/>
    <w:rsid w:val="00E25B61"/>
    <w:rsid w:val="00E27F71"/>
    <w:rsid w:val="00E409A8"/>
    <w:rsid w:val="00E4145C"/>
    <w:rsid w:val="00E41CBE"/>
    <w:rsid w:val="00E451C7"/>
    <w:rsid w:val="00E47D61"/>
    <w:rsid w:val="00E50C12"/>
    <w:rsid w:val="00E61985"/>
    <w:rsid w:val="00E65B91"/>
    <w:rsid w:val="00E660DA"/>
    <w:rsid w:val="00E668E5"/>
    <w:rsid w:val="00E7209D"/>
    <w:rsid w:val="00E72EAD"/>
    <w:rsid w:val="00E77223"/>
    <w:rsid w:val="00E77517"/>
    <w:rsid w:val="00E81EEE"/>
    <w:rsid w:val="00E8528B"/>
    <w:rsid w:val="00E85B94"/>
    <w:rsid w:val="00E8621E"/>
    <w:rsid w:val="00E978D0"/>
    <w:rsid w:val="00EA10DF"/>
    <w:rsid w:val="00EA270A"/>
    <w:rsid w:val="00EA4613"/>
    <w:rsid w:val="00EA7F91"/>
    <w:rsid w:val="00EB1523"/>
    <w:rsid w:val="00EC0E49"/>
    <w:rsid w:val="00EC101F"/>
    <w:rsid w:val="00EC1D9F"/>
    <w:rsid w:val="00EC7B35"/>
    <w:rsid w:val="00EE0131"/>
    <w:rsid w:val="00EE17B0"/>
    <w:rsid w:val="00EE4A59"/>
    <w:rsid w:val="00EF06D9"/>
    <w:rsid w:val="00EF0982"/>
    <w:rsid w:val="00EF3A03"/>
    <w:rsid w:val="00F06C01"/>
    <w:rsid w:val="00F165C9"/>
    <w:rsid w:val="00F2621D"/>
    <w:rsid w:val="00F3049E"/>
    <w:rsid w:val="00F30C64"/>
    <w:rsid w:val="00F3160F"/>
    <w:rsid w:val="00F32BA2"/>
    <w:rsid w:val="00F32CDB"/>
    <w:rsid w:val="00F3348F"/>
    <w:rsid w:val="00F37280"/>
    <w:rsid w:val="00F37492"/>
    <w:rsid w:val="00F41EE4"/>
    <w:rsid w:val="00F565FE"/>
    <w:rsid w:val="00F63A70"/>
    <w:rsid w:val="00F63D8C"/>
    <w:rsid w:val="00F63D92"/>
    <w:rsid w:val="00F6696A"/>
    <w:rsid w:val="00F7397B"/>
    <w:rsid w:val="00F7534E"/>
    <w:rsid w:val="00F76DEE"/>
    <w:rsid w:val="00F7783D"/>
    <w:rsid w:val="00F803AC"/>
    <w:rsid w:val="00F909F4"/>
    <w:rsid w:val="00F93EDF"/>
    <w:rsid w:val="00FA1802"/>
    <w:rsid w:val="00FA21D0"/>
    <w:rsid w:val="00FA5F5F"/>
    <w:rsid w:val="00FA6C8E"/>
    <w:rsid w:val="00FA7A09"/>
    <w:rsid w:val="00FB2054"/>
    <w:rsid w:val="00FB730C"/>
    <w:rsid w:val="00FC2695"/>
    <w:rsid w:val="00FC3E03"/>
    <w:rsid w:val="00FC3FC1"/>
    <w:rsid w:val="00FC50BA"/>
    <w:rsid w:val="00FE15FE"/>
    <w:rsid w:val="00FE337B"/>
    <w:rsid w:val="00FF1487"/>
    <w:rsid w:val="00FF722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qFormat/>
    <w:rsid w:val="0035074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tabs>
        <w:tab w:val="right" w:pos="7100"/>
      </w:tabs>
      <w:spacing w:before="200" w:line="264" w:lineRule="auto"/>
      <w:jc w:val="both"/>
      <w:outlineLvl w:val="1"/>
    </w:pPr>
    <w:rPr>
      <w:rFonts w:asciiTheme="majorHAnsi" w:eastAsiaTheme="majorEastAsia" w:hAnsiTheme="majorHAnsi" w:cstheme="majorBidi"/>
      <w:b/>
      <w:bCs/>
      <w:color w:val="4F81BD" w:themeColor="accent1"/>
      <w:sz w:val="26"/>
      <w:szCs w:val="26"/>
      <w:lang w:val="en-GB" w:eastAsia="en-US"/>
    </w:rPr>
  </w:style>
  <w:style w:type="paragraph" w:styleId="Titolo3">
    <w:name w:val="heading 3"/>
    <w:basedOn w:val="Normale"/>
    <w:next w:val="Normale"/>
    <w:link w:val="Titolo3Carattere"/>
    <w:uiPriority w:val="9"/>
    <w:semiHidden/>
    <w:unhideWhenUsed/>
    <w:qFormat/>
    <w:rsid w:val="0003148D"/>
    <w:pPr>
      <w:keepNext/>
      <w:keepLines/>
      <w:tabs>
        <w:tab w:val="right" w:pos="7100"/>
      </w:tabs>
      <w:spacing w:before="200" w:line="264" w:lineRule="auto"/>
      <w:jc w:val="both"/>
      <w:outlineLvl w:val="2"/>
    </w:pPr>
    <w:rPr>
      <w:rFonts w:asciiTheme="majorHAnsi" w:eastAsiaTheme="majorEastAsia" w:hAnsiTheme="majorHAnsi" w:cstheme="majorBidi"/>
      <w:b/>
      <w:bCs/>
      <w:color w:val="4F81BD" w:themeColor="accent1"/>
      <w:sz w:val="18"/>
      <w:szCs w:val="20"/>
      <w:lang w:val="en-GB" w:eastAsia="en-US"/>
    </w:rPr>
  </w:style>
  <w:style w:type="paragraph" w:styleId="Titolo4">
    <w:name w:val="heading 4"/>
    <w:basedOn w:val="Normale"/>
    <w:next w:val="Normale"/>
    <w:link w:val="Titolo4Carattere"/>
    <w:uiPriority w:val="9"/>
    <w:semiHidden/>
    <w:unhideWhenUsed/>
    <w:qFormat/>
    <w:rsid w:val="0003148D"/>
    <w:pPr>
      <w:keepNext/>
      <w:keepLines/>
      <w:tabs>
        <w:tab w:val="right" w:pos="7100"/>
      </w:tabs>
      <w:spacing w:before="200" w:line="264" w:lineRule="auto"/>
      <w:jc w:val="both"/>
      <w:outlineLvl w:val="3"/>
    </w:pPr>
    <w:rPr>
      <w:rFonts w:asciiTheme="majorHAnsi" w:eastAsiaTheme="majorEastAsia" w:hAnsiTheme="majorHAnsi" w:cstheme="majorBidi"/>
      <w:b/>
      <w:bCs/>
      <w:i/>
      <w:iCs/>
      <w:color w:val="4F81BD" w:themeColor="accent1"/>
      <w:sz w:val="18"/>
      <w:szCs w:val="20"/>
      <w:lang w:val="en-GB" w:eastAsia="en-US"/>
    </w:rPr>
  </w:style>
  <w:style w:type="paragraph" w:styleId="Titolo5">
    <w:name w:val="heading 5"/>
    <w:basedOn w:val="Normale"/>
    <w:next w:val="Normale"/>
    <w:link w:val="Titolo5Carattere"/>
    <w:uiPriority w:val="9"/>
    <w:semiHidden/>
    <w:unhideWhenUsed/>
    <w:qFormat/>
    <w:rsid w:val="0003148D"/>
    <w:pPr>
      <w:keepNext/>
      <w:keepLines/>
      <w:tabs>
        <w:tab w:val="right" w:pos="7100"/>
      </w:tabs>
      <w:spacing w:before="200" w:line="264" w:lineRule="auto"/>
      <w:jc w:val="both"/>
      <w:outlineLvl w:val="4"/>
    </w:pPr>
    <w:rPr>
      <w:rFonts w:asciiTheme="majorHAnsi" w:eastAsiaTheme="majorEastAsia" w:hAnsiTheme="majorHAnsi" w:cstheme="majorBidi"/>
      <w:color w:val="243F60" w:themeColor="accent1" w:themeShade="7F"/>
      <w:sz w:val="18"/>
      <w:szCs w:val="20"/>
      <w:lang w:val="en-GB" w:eastAsia="en-US"/>
    </w:rPr>
  </w:style>
  <w:style w:type="paragraph" w:styleId="Titolo6">
    <w:name w:val="heading 6"/>
    <w:basedOn w:val="Normale"/>
    <w:next w:val="Normale"/>
    <w:link w:val="Titolo6Carattere"/>
    <w:uiPriority w:val="9"/>
    <w:semiHidden/>
    <w:unhideWhenUsed/>
    <w:qFormat/>
    <w:rsid w:val="0003148D"/>
    <w:pPr>
      <w:keepNext/>
      <w:keepLines/>
      <w:tabs>
        <w:tab w:val="right" w:pos="7100"/>
      </w:tabs>
      <w:spacing w:before="200" w:line="264" w:lineRule="auto"/>
      <w:jc w:val="both"/>
      <w:outlineLvl w:val="5"/>
    </w:pPr>
    <w:rPr>
      <w:rFonts w:asciiTheme="majorHAnsi" w:eastAsiaTheme="majorEastAsia" w:hAnsiTheme="majorHAnsi" w:cstheme="majorBidi"/>
      <w:i/>
      <w:iCs/>
      <w:color w:val="243F60" w:themeColor="accent1" w:themeShade="7F"/>
      <w:sz w:val="18"/>
      <w:szCs w:val="20"/>
      <w:lang w:val="en-GB" w:eastAsia="en-US"/>
    </w:rPr>
  </w:style>
  <w:style w:type="paragraph" w:styleId="Titolo7">
    <w:name w:val="heading 7"/>
    <w:basedOn w:val="Normale"/>
    <w:next w:val="Normale"/>
    <w:link w:val="Titolo7Carattere"/>
    <w:uiPriority w:val="9"/>
    <w:semiHidden/>
    <w:unhideWhenUsed/>
    <w:qFormat/>
    <w:rsid w:val="0003148D"/>
    <w:pPr>
      <w:keepNext/>
      <w:keepLines/>
      <w:tabs>
        <w:tab w:val="right" w:pos="7100"/>
      </w:tabs>
      <w:spacing w:before="200" w:line="264" w:lineRule="auto"/>
      <w:jc w:val="both"/>
      <w:outlineLvl w:val="6"/>
    </w:pPr>
    <w:rPr>
      <w:rFonts w:asciiTheme="majorHAnsi" w:eastAsiaTheme="majorEastAsia" w:hAnsiTheme="majorHAnsi" w:cstheme="majorBidi"/>
      <w:i/>
      <w:iCs/>
      <w:color w:val="404040" w:themeColor="text1" w:themeTint="BF"/>
      <w:sz w:val="18"/>
      <w:szCs w:val="20"/>
      <w:lang w:val="en-GB" w:eastAsia="en-US"/>
    </w:rPr>
  </w:style>
  <w:style w:type="paragraph" w:styleId="Titolo8">
    <w:name w:val="heading 8"/>
    <w:basedOn w:val="Normale"/>
    <w:next w:val="Normale"/>
    <w:link w:val="Titolo8Carattere"/>
    <w:uiPriority w:val="9"/>
    <w:semiHidden/>
    <w:unhideWhenUsed/>
    <w:qFormat/>
    <w:rsid w:val="0003148D"/>
    <w:pPr>
      <w:keepNext/>
      <w:keepLines/>
      <w:tabs>
        <w:tab w:val="right" w:pos="7100"/>
      </w:tabs>
      <w:spacing w:before="200" w:line="264" w:lineRule="auto"/>
      <w:jc w:val="both"/>
      <w:outlineLvl w:val="7"/>
    </w:pPr>
    <w:rPr>
      <w:rFonts w:asciiTheme="majorHAnsi" w:eastAsiaTheme="majorEastAsia" w:hAnsiTheme="majorHAnsi" w:cstheme="majorBidi"/>
      <w:color w:val="404040" w:themeColor="text1" w:themeTint="BF"/>
      <w:sz w:val="18"/>
      <w:szCs w:val="20"/>
      <w:lang w:val="en-GB" w:eastAsia="en-US"/>
    </w:rPr>
  </w:style>
  <w:style w:type="paragraph" w:styleId="Titolo9">
    <w:name w:val="heading 9"/>
    <w:basedOn w:val="Normale"/>
    <w:next w:val="Normale"/>
    <w:link w:val="Titolo9Carattere"/>
    <w:uiPriority w:val="9"/>
    <w:semiHidden/>
    <w:unhideWhenUsed/>
    <w:qFormat/>
    <w:rsid w:val="0003148D"/>
    <w:pPr>
      <w:keepNext/>
      <w:keepLines/>
      <w:tabs>
        <w:tab w:val="right" w:pos="7100"/>
      </w:tabs>
      <w:spacing w:before="200" w:line="264" w:lineRule="auto"/>
      <w:jc w:val="both"/>
      <w:outlineLvl w:val="8"/>
    </w:pPr>
    <w:rPr>
      <w:rFonts w:asciiTheme="majorHAnsi" w:eastAsiaTheme="majorEastAsia" w:hAnsiTheme="majorHAnsi" w:cstheme="majorBidi"/>
      <w:i/>
      <w:iCs/>
      <w:color w:val="404040" w:themeColor="text1" w:themeTint="BF"/>
      <w:sz w:val="18"/>
      <w:szCs w:val="20"/>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EF3A03"/>
    <w:pPr>
      <w:keepNext/>
      <w:suppressAutoHyphens/>
      <w:spacing w:before="120" w:after="120" w:line="240" w:lineRule="auto"/>
      <w:contextualSpacing/>
      <w:jc w:val="both"/>
    </w:pPr>
    <w:rPr>
      <w:rFonts w:ascii="Arial" w:eastAsia="Times New Roman" w:hAnsi="Arial" w:cs="Arial"/>
      <w:bCs/>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EF3A03"/>
    <w:rPr>
      <w:rFonts w:ascii="Arial" w:eastAsia="Times New Roman" w:hAnsi="Arial" w:cs="Arial"/>
      <w:bCs/>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tabs>
        <w:tab w:val="right" w:pos="7100"/>
      </w:tabs>
      <w:jc w:val="both"/>
    </w:pPr>
    <w:rPr>
      <w:rFonts w:ascii="Tahoma" w:hAnsi="Tahoma" w:cs="Tahoma"/>
      <w:sz w:val="16"/>
      <w:szCs w:val="16"/>
      <w:lang w:val="en-GB" w:eastAsia="en-US"/>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tabs>
        <w:tab w:val="right" w:pos="7100"/>
      </w:tabs>
      <w:spacing w:after="120" w:line="480" w:lineRule="auto"/>
      <w:jc w:val="both"/>
    </w:pPr>
    <w:rPr>
      <w:rFonts w:ascii="Arial" w:hAnsi="Arial"/>
      <w:sz w:val="18"/>
      <w:szCs w:val="20"/>
      <w:lang w:val="en-GB" w:eastAsia="en-US"/>
    </w:r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tabs>
        <w:tab w:val="right" w:pos="7100"/>
      </w:tabs>
      <w:spacing w:after="120" w:line="264" w:lineRule="auto"/>
      <w:jc w:val="both"/>
    </w:pPr>
    <w:rPr>
      <w:rFonts w:ascii="Arial" w:hAnsi="Arial"/>
      <w:sz w:val="16"/>
      <w:szCs w:val="16"/>
      <w:lang w:val="en-GB" w:eastAsia="en-US"/>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tabs>
        <w:tab w:val="right" w:pos="7100"/>
      </w:tabs>
      <w:spacing w:after="120" w:line="264" w:lineRule="auto"/>
      <w:jc w:val="both"/>
    </w:pPr>
    <w:rPr>
      <w:rFonts w:ascii="Arial" w:hAnsi="Arial"/>
      <w:sz w:val="18"/>
      <w:szCs w:val="20"/>
      <w:lang w:val="en-GB" w:eastAsia="en-US"/>
    </w:r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pPr>
      <w:tabs>
        <w:tab w:val="right" w:pos="7100"/>
      </w:tabs>
      <w:spacing w:line="264" w:lineRule="auto"/>
      <w:jc w:val="both"/>
    </w:pPr>
    <w:rPr>
      <w:rFonts w:ascii="Arial" w:hAnsi="Arial"/>
      <w:sz w:val="18"/>
      <w:szCs w:val="20"/>
      <w:lang w:val="en-GB" w:eastAsia="en-US"/>
    </w:rPr>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tabs>
        <w:tab w:val="right" w:pos="7100"/>
      </w:tabs>
      <w:jc w:val="both"/>
    </w:pPr>
    <w:rPr>
      <w:rFonts w:ascii="Arial" w:hAnsi="Arial"/>
      <w:b/>
      <w:bCs/>
      <w:color w:val="4F81BD" w:themeColor="accent1"/>
      <w:sz w:val="18"/>
      <w:szCs w:val="18"/>
      <w:lang w:val="en-GB" w:eastAsia="en-US"/>
    </w:rPr>
  </w:style>
  <w:style w:type="paragraph" w:styleId="Elenco">
    <w:name w:val="List"/>
    <w:basedOn w:val="Normale"/>
    <w:uiPriority w:val="99"/>
    <w:semiHidden/>
    <w:unhideWhenUsed/>
    <w:rsid w:val="0003148D"/>
    <w:pPr>
      <w:tabs>
        <w:tab w:val="right" w:pos="7100"/>
      </w:tabs>
      <w:spacing w:line="264" w:lineRule="auto"/>
      <w:ind w:left="283" w:hanging="283"/>
      <w:contextualSpacing/>
      <w:jc w:val="both"/>
    </w:pPr>
    <w:rPr>
      <w:rFonts w:ascii="Arial" w:hAnsi="Arial"/>
      <w:sz w:val="18"/>
      <w:szCs w:val="20"/>
      <w:lang w:val="en-GB" w:eastAsia="en-US"/>
    </w:rPr>
  </w:style>
  <w:style w:type="paragraph" w:styleId="Elenco2">
    <w:name w:val="List 2"/>
    <w:basedOn w:val="Normale"/>
    <w:uiPriority w:val="99"/>
    <w:semiHidden/>
    <w:unhideWhenUsed/>
    <w:rsid w:val="0003148D"/>
    <w:pPr>
      <w:tabs>
        <w:tab w:val="right" w:pos="7100"/>
      </w:tabs>
      <w:spacing w:line="264" w:lineRule="auto"/>
      <w:ind w:left="566" w:hanging="283"/>
      <w:contextualSpacing/>
      <w:jc w:val="both"/>
    </w:pPr>
    <w:rPr>
      <w:rFonts w:ascii="Arial" w:hAnsi="Arial"/>
      <w:sz w:val="18"/>
      <w:szCs w:val="20"/>
      <w:lang w:val="en-GB" w:eastAsia="en-US"/>
    </w:rPr>
  </w:style>
  <w:style w:type="paragraph" w:styleId="Elenco3">
    <w:name w:val="List 3"/>
    <w:basedOn w:val="Normale"/>
    <w:uiPriority w:val="99"/>
    <w:semiHidden/>
    <w:unhideWhenUsed/>
    <w:rsid w:val="0003148D"/>
    <w:pPr>
      <w:tabs>
        <w:tab w:val="right" w:pos="7100"/>
      </w:tabs>
      <w:spacing w:line="264" w:lineRule="auto"/>
      <w:ind w:left="849" w:hanging="283"/>
      <w:contextualSpacing/>
      <w:jc w:val="both"/>
    </w:pPr>
    <w:rPr>
      <w:rFonts w:ascii="Arial" w:hAnsi="Arial"/>
      <w:sz w:val="18"/>
      <w:szCs w:val="20"/>
      <w:lang w:val="en-GB" w:eastAsia="en-US"/>
    </w:rPr>
  </w:style>
  <w:style w:type="paragraph" w:styleId="Elenco4">
    <w:name w:val="List 4"/>
    <w:basedOn w:val="Normale"/>
    <w:uiPriority w:val="99"/>
    <w:semiHidden/>
    <w:unhideWhenUsed/>
    <w:rsid w:val="0003148D"/>
    <w:pPr>
      <w:tabs>
        <w:tab w:val="right" w:pos="7100"/>
      </w:tabs>
      <w:spacing w:line="264" w:lineRule="auto"/>
      <w:ind w:left="1132" w:hanging="283"/>
      <w:contextualSpacing/>
      <w:jc w:val="both"/>
    </w:pPr>
    <w:rPr>
      <w:rFonts w:ascii="Arial" w:hAnsi="Arial"/>
      <w:sz w:val="18"/>
      <w:szCs w:val="20"/>
      <w:lang w:val="en-GB" w:eastAsia="en-US"/>
    </w:rPr>
  </w:style>
  <w:style w:type="paragraph" w:styleId="Elenco5">
    <w:name w:val="List 5"/>
    <w:basedOn w:val="Normale"/>
    <w:uiPriority w:val="99"/>
    <w:semiHidden/>
    <w:unhideWhenUsed/>
    <w:rsid w:val="0003148D"/>
    <w:pPr>
      <w:tabs>
        <w:tab w:val="right" w:pos="7100"/>
      </w:tabs>
      <w:spacing w:line="264" w:lineRule="auto"/>
      <w:ind w:left="1415" w:hanging="283"/>
      <w:contextualSpacing/>
      <w:jc w:val="both"/>
    </w:pPr>
    <w:rPr>
      <w:rFonts w:ascii="Arial" w:hAnsi="Arial"/>
      <w:sz w:val="18"/>
      <w:szCs w:val="20"/>
      <w:lang w:val="en-GB" w:eastAsia="en-US"/>
    </w:rPr>
  </w:style>
  <w:style w:type="paragraph" w:styleId="Elencocontinua">
    <w:name w:val="List Continue"/>
    <w:basedOn w:val="Normale"/>
    <w:uiPriority w:val="99"/>
    <w:semiHidden/>
    <w:unhideWhenUsed/>
    <w:rsid w:val="0003148D"/>
    <w:pPr>
      <w:tabs>
        <w:tab w:val="right" w:pos="7100"/>
      </w:tabs>
      <w:spacing w:after="120" w:line="264" w:lineRule="auto"/>
      <w:ind w:left="283"/>
      <w:contextualSpacing/>
      <w:jc w:val="both"/>
    </w:pPr>
    <w:rPr>
      <w:rFonts w:ascii="Arial" w:hAnsi="Arial"/>
      <w:sz w:val="18"/>
      <w:szCs w:val="20"/>
      <w:lang w:val="en-GB" w:eastAsia="en-US"/>
    </w:rPr>
  </w:style>
  <w:style w:type="paragraph" w:styleId="Elencocontinua2">
    <w:name w:val="List Continue 2"/>
    <w:basedOn w:val="Normale"/>
    <w:uiPriority w:val="99"/>
    <w:semiHidden/>
    <w:unhideWhenUsed/>
    <w:rsid w:val="0003148D"/>
    <w:pPr>
      <w:tabs>
        <w:tab w:val="right" w:pos="7100"/>
      </w:tabs>
      <w:spacing w:after="120" w:line="264" w:lineRule="auto"/>
      <w:ind w:left="566"/>
      <w:contextualSpacing/>
      <w:jc w:val="both"/>
    </w:pPr>
    <w:rPr>
      <w:rFonts w:ascii="Arial" w:hAnsi="Arial"/>
      <w:sz w:val="18"/>
      <w:szCs w:val="20"/>
      <w:lang w:val="en-GB" w:eastAsia="en-US"/>
    </w:rPr>
  </w:style>
  <w:style w:type="paragraph" w:styleId="Elencocontinua3">
    <w:name w:val="List Continue 3"/>
    <w:basedOn w:val="Normale"/>
    <w:uiPriority w:val="99"/>
    <w:semiHidden/>
    <w:unhideWhenUsed/>
    <w:rsid w:val="0003148D"/>
    <w:pPr>
      <w:tabs>
        <w:tab w:val="right" w:pos="7100"/>
      </w:tabs>
      <w:spacing w:after="120" w:line="264" w:lineRule="auto"/>
      <w:ind w:left="849"/>
      <w:contextualSpacing/>
      <w:jc w:val="both"/>
    </w:pPr>
    <w:rPr>
      <w:rFonts w:ascii="Arial" w:hAnsi="Arial"/>
      <w:sz w:val="18"/>
      <w:szCs w:val="20"/>
      <w:lang w:val="en-GB" w:eastAsia="en-US"/>
    </w:rPr>
  </w:style>
  <w:style w:type="paragraph" w:styleId="Elencocontinua4">
    <w:name w:val="List Continue 4"/>
    <w:basedOn w:val="Normale"/>
    <w:uiPriority w:val="99"/>
    <w:semiHidden/>
    <w:unhideWhenUsed/>
    <w:rsid w:val="0003148D"/>
    <w:pPr>
      <w:tabs>
        <w:tab w:val="right" w:pos="7100"/>
      </w:tabs>
      <w:spacing w:after="120" w:line="264" w:lineRule="auto"/>
      <w:ind w:left="1132"/>
      <w:contextualSpacing/>
      <w:jc w:val="both"/>
    </w:pPr>
    <w:rPr>
      <w:rFonts w:ascii="Arial" w:hAnsi="Arial"/>
      <w:sz w:val="18"/>
      <w:szCs w:val="20"/>
      <w:lang w:val="en-GB" w:eastAsia="en-US"/>
    </w:rPr>
  </w:style>
  <w:style w:type="paragraph" w:styleId="Elencocontinua5">
    <w:name w:val="List Continue 5"/>
    <w:basedOn w:val="Normale"/>
    <w:uiPriority w:val="99"/>
    <w:semiHidden/>
    <w:unhideWhenUsed/>
    <w:rsid w:val="0003148D"/>
    <w:pPr>
      <w:tabs>
        <w:tab w:val="right" w:pos="7100"/>
      </w:tabs>
      <w:spacing w:after="120" w:line="264" w:lineRule="auto"/>
      <w:ind w:left="1415"/>
      <w:contextualSpacing/>
      <w:jc w:val="both"/>
    </w:pPr>
    <w:rPr>
      <w:rFonts w:ascii="Arial" w:hAnsi="Arial"/>
      <w:sz w:val="18"/>
      <w:szCs w:val="20"/>
      <w:lang w:val="en-GB" w:eastAsia="en-US"/>
    </w:rPr>
  </w:style>
  <w:style w:type="paragraph" w:styleId="Firma">
    <w:name w:val="Signature"/>
    <w:basedOn w:val="Normale"/>
    <w:link w:val="FirmaCarattere"/>
    <w:uiPriority w:val="99"/>
    <w:semiHidden/>
    <w:unhideWhenUsed/>
    <w:rsid w:val="0003148D"/>
    <w:pPr>
      <w:tabs>
        <w:tab w:val="right" w:pos="7100"/>
      </w:tabs>
      <w:ind w:left="4252"/>
      <w:jc w:val="both"/>
    </w:pPr>
    <w:rPr>
      <w:rFonts w:ascii="Arial" w:hAnsi="Arial"/>
      <w:sz w:val="18"/>
      <w:szCs w:val="20"/>
      <w:lang w:val="en-GB" w:eastAsia="en-US"/>
    </w:r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pPr>
      <w:tabs>
        <w:tab w:val="right" w:pos="7100"/>
      </w:tabs>
      <w:spacing w:line="264" w:lineRule="auto"/>
      <w:jc w:val="both"/>
    </w:pPr>
    <w:rPr>
      <w:rFonts w:ascii="Arial" w:hAnsi="Arial"/>
      <w:sz w:val="18"/>
      <w:szCs w:val="20"/>
      <w:lang w:val="en-GB" w:eastAsia="en-US"/>
    </w:rPr>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tabs>
        <w:tab w:val="right" w:pos="7100"/>
      </w:tabs>
      <w:ind w:left="4252"/>
      <w:jc w:val="both"/>
    </w:pPr>
    <w:rPr>
      <w:rFonts w:ascii="Arial" w:hAnsi="Arial"/>
      <w:sz w:val="18"/>
      <w:szCs w:val="20"/>
      <w:lang w:val="en-GB" w:eastAsia="en-US"/>
    </w:r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tabs>
        <w:tab w:val="right" w:pos="7100"/>
      </w:tabs>
      <w:ind w:left="220" w:hanging="220"/>
      <w:jc w:val="both"/>
    </w:pPr>
    <w:rPr>
      <w:rFonts w:ascii="Arial" w:hAnsi="Arial"/>
      <w:sz w:val="18"/>
      <w:szCs w:val="20"/>
      <w:lang w:val="en-GB" w:eastAsia="en-US"/>
    </w:rPr>
  </w:style>
  <w:style w:type="paragraph" w:styleId="Indice2">
    <w:name w:val="index 2"/>
    <w:basedOn w:val="Normale"/>
    <w:next w:val="Normale"/>
    <w:autoRedefine/>
    <w:uiPriority w:val="99"/>
    <w:semiHidden/>
    <w:unhideWhenUsed/>
    <w:rsid w:val="0003148D"/>
    <w:pPr>
      <w:tabs>
        <w:tab w:val="right" w:pos="7100"/>
      </w:tabs>
      <w:ind w:left="440" w:hanging="220"/>
      <w:jc w:val="both"/>
    </w:pPr>
    <w:rPr>
      <w:rFonts w:ascii="Arial" w:hAnsi="Arial"/>
      <w:sz w:val="18"/>
      <w:szCs w:val="20"/>
      <w:lang w:val="en-GB" w:eastAsia="en-US"/>
    </w:rPr>
  </w:style>
  <w:style w:type="paragraph" w:styleId="Indice3">
    <w:name w:val="index 3"/>
    <w:basedOn w:val="Normale"/>
    <w:next w:val="Normale"/>
    <w:autoRedefine/>
    <w:uiPriority w:val="99"/>
    <w:semiHidden/>
    <w:unhideWhenUsed/>
    <w:rsid w:val="0003148D"/>
    <w:pPr>
      <w:tabs>
        <w:tab w:val="right" w:pos="7100"/>
      </w:tabs>
      <w:ind w:left="660" w:hanging="220"/>
      <w:jc w:val="both"/>
    </w:pPr>
    <w:rPr>
      <w:rFonts w:ascii="Arial" w:hAnsi="Arial"/>
      <w:sz w:val="18"/>
      <w:szCs w:val="20"/>
      <w:lang w:val="en-GB" w:eastAsia="en-US"/>
    </w:rPr>
  </w:style>
  <w:style w:type="paragraph" w:styleId="Indice4">
    <w:name w:val="index 4"/>
    <w:basedOn w:val="Normale"/>
    <w:next w:val="Normale"/>
    <w:autoRedefine/>
    <w:uiPriority w:val="99"/>
    <w:semiHidden/>
    <w:unhideWhenUsed/>
    <w:rsid w:val="0003148D"/>
    <w:pPr>
      <w:tabs>
        <w:tab w:val="right" w:pos="7100"/>
      </w:tabs>
      <w:ind w:left="880" w:hanging="220"/>
      <w:jc w:val="both"/>
    </w:pPr>
    <w:rPr>
      <w:rFonts w:ascii="Arial" w:hAnsi="Arial"/>
      <w:sz w:val="18"/>
      <w:szCs w:val="20"/>
      <w:lang w:val="en-GB" w:eastAsia="en-US"/>
    </w:rPr>
  </w:style>
  <w:style w:type="paragraph" w:styleId="Indice5">
    <w:name w:val="index 5"/>
    <w:basedOn w:val="Normale"/>
    <w:next w:val="Normale"/>
    <w:autoRedefine/>
    <w:uiPriority w:val="99"/>
    <w:semiHidden/>
    <w:unhideWhenUsed/>
    <w:rsid w:val="0003148D"/>
    <w:pPr>
      <w:tabs>
        <w:tab w:val="right" w:pos="7100"/>
      </w:tabs>
      <w:ind w:left="1100" w:hanging="220"/>
      <w:jc w:val="both"/>
    </w:pPr>
    <w:rPr>
      <w:rFonts w:ascii="Arial" w:hAnsi="Arial"/>
      <w:sz w:val="18"/>
      <w:szCs w:val="20"/>
      <w:lang w:val="en-GB" w:eastAsia="en-US"/>
    </w:rPr>
  </w:style>
  <w:style w:type="paragraph" w:styleId="Indice6">
    <w:name w:val="index 6"/>
    <w:basedOn w:val="Normale"/>
    <w:next w:val="Normale"/>
    <w:autoRedefine/>
    <w:uiPriority w:val="99"/>
    <w:semiHidden/>
    <w:unhideWhenUsed/>
    <w:rsid w:val="0003148D"/>
    <w:pPr>
      <w:tabs>
        <w:tab w:val="right" w:pos="7100"/>
      </w:tabs>
      <w:ind w:left="1320" w:hanging="220"/>
      <w:jc w:val="both"/>
    </w:pPr>
    <w:rPr>
      <w:rFonts w:ascii="Arial" w:hAnsi="Arial"/>
      <w:sz w:val="18"/>
      <w:szCs w:val="20"/>
      <w:lang w:val="en-GB" w:eastAsia="en-US"/>
    </w:rPr>
  </w:style>
  <w:style w:type="paragraph" w:styleId="Indice7">
    <w:name w:val="index 7"/>
    <w:basedOn w:val="Normale"/>
    <w:next w:val="Normale"/>
    <w:autoRedefine/>
    <w:uiPriority w:val="99"/>
    <w:semiHidden/>
    <w:unhideWhenUsed/>
    <w:rsid w:val="0003148D"/>
    <w:pPr>
      <w:tabs>
        <w:tab w:val="right" w:pos="7100"/>
      </w:tabs>
      <w:ind w:left="1540" w:hanging="220"/>
      <w:jc w:val="both"/>
    </w:pPr>
    <w:rPr>
      <w:rFonts w:ascii="Arial" w:hAnsi="Arial"/>
      <w:sz w:val="18"/>
      <w:szCs w:val="20"/>
      <w:lang w:val="en-GB" w:eastAsia="en-US"/>
    </w:rPr>
  </w:style>
  <w:style w:type="paragraph" w:styleId="Indice8">
    <w:name w:val="index 8"/>
    <w:basedOn w:val="Normale"/>
    <w:next w:val="Normale"/>
    <w:autoRedefine/>
    <w:uiPriority w:val="99"/>
    <w:semiHidden/>
    <w:unhideWhenUsed/>
    <w:rsid w:val="0003148D"/>
    <w:pPr>
      <w:tabs>
        <w:tab w:val="right" w:pos="7100"/>
      </w:tabs>
      <w:ind w:left="1760" w:hanging="220"/>
      <w:jc w:val="both"/>
    </w:pPr>
    <w:rPr>
      <w:rFonts w:ascii="Arial" w:hAnsi="Arial"/>
      <w:sz w:val="18"/>
      <w:szCs w:val="20"/>
      <w:lang w:val="en-GB" w:eastAsia="en-US"/>
    </w:rPr>
  </w:style>
  <w:style w:type="paragraph" w:styleId="Indice9">
    <w:name w:val="index 9"/>
    <w:basedOn w:val="Normale"/>
    <w:next w:val="Normale"/>
    <w:autoRedefine/>
    <w:uiPriority w:val="99"/>
    <w:semiHidden/>
    <w:unhideWhenUsed/>
    <w:rsid w:val="0003148D"/>
    <w:pPr>
      <w:tabs>
        <w:tab w:val="right" w:pos="7100"/>
      </w:tabs>
      <w:ind w:left="1980" w:hanging="220"/>
      <w:jc w:val="both"/>
    </w:pPr>
    <w:rPr>
      <w:rFonts w:ascii="Arial" w:hAnsi="Arial"/>
      <w:sz w:val="18"/>
      <w:szCs w:val="20"/>
      <w:lang w:val="en-GB" w:eastAsia="en-US"/>
    </w:rPr>
  </w:style>
  <w:style w:type="paragraph" w:styleId="Indicedellefigure">
    <w:name w:val="table of figures"/>
    <w:basedOn w:val="Normale"/>
    <w:next w:val="Normale"/>
    <w:uiPriority w:val="99"/>
    <w:semiHidden/>
    <w:unhideWhenUsed/>
    <w:rsid w:val="0003148D"/>
    <w:pPr>
      <w:tabs>
        <w:tab w:val="right" w:pos="7100"/>
      </w:tabs>
      <w:spacing w:line="264" w:lineRule="auto"/>
      <w:jc w:val="both"/>
    </w:pPr>
    <w:rPr>
      <w:rFonts w:ascii="Arial" w:hAnsi="Arial"/>
      <w:sz w:val="18"/>
      <w:szCs w:val="20"/>
      <w:lang w:val="en-GB" w:eastAsia="en-US"/>
    </w:rPr>
  </w:style>
  <w:style w:type="paragraph" w:styleId="Indicefonti">
    <w:name w:val="table of authorities"/>
    <w:basedOn w:val="Normale"/>
    <w:next w:val="Normale"/>
    <w:uiPriority w:val="99"/>
    <w:semiHidden/>
    <w:unhideWhenUsed/>
    <w:rsid w:val="0003148D"/>
    <w:pPr>
      <w:tabs>
        <w:tab w:val="right" w:pos="7100"/>
      </w:tabs>
      <w:spacing w:line="264" w:lineRule="auto"/>
      <w:ind w:left="220" w:hanging="220"/>
      <w:jc w:val="both"/>
    </w:pPr>
    <w:rPr>
      <w:rFonts w:ascii="Arial" w:hAnsi="Arial"/>
      <w:sz w:val="18"/>
      <w:szCs w:val="20"/>
      <w:lang w:val="en-GB" w:eastAsia="en-US"/>
    </w:rPr>
  </w:style>
  <w:style w:type="paragraph" w:styleId="Indirizzodestinatario">
    <w:name w:val="envelope address"/>
    <w:basedOn w:val="Normale"/>
    <w:uiPriority w:val="99"/>
    <w:semiHidden/>
    <w:unhideWhenUsed/>
    <w:rsid w:val="0003148D"/>
    <w:pPr>
      <w:framePr w:w="7920" w:h="1980" w:hRule="exact" w:hSpace="180" w:wrap="auto" w:hAnchor="page" w:xAlign="center" w:yAlign="bottom"/>
      <w:tabs>
        <w:tab w:val="right" w:pos="7100"/>
      </w:tabs>
      <w:ind w:left="2880"/>
      <w:jc w:val="both"/>
    </w:pPr>
    <w:rPr>
      <w:rFonts w:asciiTheme="majorHAnsi" w:eastAsiaTheme="majorEastAsia" w:hAnsiTheme="majorHAnsi" w:cstheme="majorBidi"/>
      <w:lang w:val="en-GB" w:eastAsia="en-US"/>
    </w:rPr>
  </w:style>
  <w:style w:type="paragraph" w:styleId="IndirizzoHTML">
    <w:name w:val="HTML Address"/>
    <w:basedOn w:val="Normale"/>
    <w:link w:val="IndirizzoHTMLCarattere"/>
    <w:uiPriority w:val="99"/>
    <w:semiHidden/>
    <w:unhideWhenUsed/>
    <w:rsid w:val="0003148D"/>
    <w:pPr>
      <w:tabs>
        <w:tab w:val="right" w:pos="7100"/>
      </w:tabs>
      <w:jc w:val="both"/>
    </w:pPr>
    <w:rPr>
      <w:rFonts w:ascii="Arial" w:hAnsi="Arial"/>
      <w:i/>
      <w:iCs/>
      <w:sz w:val="18"/>
      <w:szCs w:val="20"/>
      <w:lang w:val="en-GB" w:eastAsia="en-U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tabs>
        <w:tab w:val="right" w:pos="7100"/>
      </w:tabs>
      <w:jc w:val="both"/>
    </w:pPr>
    <w:rPr>
      <w:rFonts w:asciiTheme="majorHAnsi" w:eastAsiaTheme="majorEastAsia" w:hAnsiTheme="majorHAnsi" w:cstheme="majorBidi"/>
      <w:sz w:val="18"/>
      <w:szCs w:val="20"/>
      <w:lang w:val="en-GB" w:eastAsia="en-US"/>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tabs>
        <w:tab w:val="right" w:pos="7100"/>
      </w:tabs>
      <w:ind w:left="1134" w:hanging="1134"/>
      <w:jc w:val="both"/>
    </w:pPr>
    <w:rPr>
      <w:rFonts w:asciiTheme="majorHAnsi" w:eastAsiaTheme="majorEastAsia" w:hAnsiTheme="majorHAnsi" w:cstheme="majorBidi"/>
      <w:lang w:val="en-GB" w:eastAsia="en-US"/>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tabs>
        <w:tab w:val="right" w:pos="7100"/>
      </w:tabs>
      <w:jc w:val="both"/>
    </w:pPr>
    <w:rPr>
      <w:rFonts w:ascii="Tahoma" w:hAnsi="Tahoma" w:cs="Tahoma"/>
      <w:sz w:val="16"/>
      <w:szCs w:val="16"/>
      <w:lang w:val="en-GB" w:eastAsia="en-US"/>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unhideWhenUsed/>
    <w:rsid w:val="0003148D"/>
    <w:pPr>
      <w:tabs>
        <w:tab w:val="right" w:pos="7100"/>
      </w:tabs>
      <w:spacing w:line="264" w:lineRule="auto"/>
      <w:jc w:val="both"/>
    </w:pPr>
    <w:rPr>
      <w:rFonts w:ascii="Arial" w:hAnsi="Arial"/>
      <w:lang w:val="en-GB" w:eastAsia="en-US"/>
    </w:rPr>
  </w:style>
  <w:style w:type="paragraph" w:styleId="Numeroelenco">
    <w:name w:val="List Number"/>
    <w:basedOn w:val="Normale"/>
    <w:uiPriority w:val="99"/>
    <w:semiHidden/>
    <w:unhideWhenUsed/>
    <w:rsid w:val="0003148D"/>
    <w:pPr>
      <w:numPr>
        <w:numId w:val="2"/>
      </w:numPr>
      <w:tabs>
        <w:tab w:val="right" w:pos="7100"/>
      </w:tabs>
      <w:spacing w:line="264" w:lineRule="auto"/>
      <w:contextualSpacing/>
      <w:jc w:val="both"/>
    </w:pPr>
    <w:rPr>
      <w:rFonts w:ascii="Arial" w:hAnsi="Arial"/>
      <w:sz w:val="18"/>
      <w:szCs w:val="20"/>
      <w:lang w:val="en-GB" w:eastAsia="en-US"/>
    </w:rPr>
  </w:style>
  <w:style w:type="paragraph" w:styleId="Numeroelenco2">
    <w:name w:val="List Number 2"/>
    <w:basedOn w:val="Normale"/>
    <w:uiPriority w:val="99"/>
    <w:semiHidden/>
    <w:unhideWhenUsed/>
    <w:rsid w:val="0003148D"/>
    <w:pPr>
      <w:numPr>
        <w:numId w:val="3"/>
      </w:numPr>
      <w:tabs>
        <w:tab w:val="right" w:pos="7100"/>
      </w:tabs>
      <w:spacing w:line="264" w:lineRule="auto"/>
      <w:contextualSpacing/>
      <w:jc w:val="both"/>
    </w:pPr>
    <w:rPr>
      <w:rFonts w:ascii="Arial" w:hAnsi="Arial"/>
      <w:sz w:val="18"/>
      <w:szCs w:val="20"/>
      <w:lang w:val="en-GB" w:eastAsia="en-US"/>
    </w:rPr>
  </w:style>
  <w:style w:type="paragraph" w:styleId="Numeroelenco3">
    <w:name w:val="List Number 3"/>
    <w:basedOn w:val="Normale"/>
    <w:uiPriority w:val="99"/>
    <w:semiHidden/>
    <w:unhideWhenUsed/>
    <w:rsid w:val="0003148D"/>
    <w:pPr>
      <w:numPr>
        <w:numId w:val="4"/>
      </w:numPr>
      <w:tabs>
        <w:tab w:val="right" w:pos="7100"/>
      </w:tabs>
      <w:spacing w:line="264" w:lineRule="auto"/>
      <w:contextualSpacing/>
      <w:jc w:val="both"/>
    </w:pPr>
    <w:rPr>
      <w:rFonts w:ascii="Arial" w:hAnsi="Arial"/>
      <w:sz w:val="18"/>
      <w:szCs w:val="20"/>
      <w:lang w:val="en-GB" w:eastAsia="en-US"/>
    </w:rPr>
  </w:style>
  <w:style w:type="paragraph" w:styleId="Numeroelenco4">
    <w:name w:val="List Number 4"/>
    <w:basedOn w:val="Normale"/>
    <w:uiPriority w:val="99"/>
    <w:semiHidden/>
    <w:unhideWhenUsed/>
    <w:rsid w:val="0003148D"/>
    <w:pPr>
      <w:numPr>
        <w:numId w:val="5"/>
      </w:numPr>
      <w:tabs>
        <w:tab w:val="right" w:pos="7100"/>
      </w:tabs>
      <w:spacing w:line="264" w:lineRule="auto"/>
      <w:contextualSpacing/>
      <w:jc w:val="both"/>
    </w:pPr>
    <w:rPr>
      <w:rFonts w:ascii="Arial" w:hAnsi="Arial"/>
      <w:sz w:val="18"/>
      <w:szCs w:val="20"/>
      <w:lang w:val="en-GB" w:eastAsia="en-US"/>
    </w:rPr>
  </w:style>
  <w:style w:type="paragraph" w:styleId="Numeroelenco5">
    <w:name w:val="List Number 5"/>
    <w:basedOn w:val="Normale"/>
    <w:uiPriority w:val="99"/>
    <w:semiHidden/>
    <w:unhideWhenUsed/>
    <w:rsid w:val="0003148D"/>
    <w:pPr>
      <w:numPr>
        <w:numId w:val="6"/>
      </w:numPr>
      <w:tabs>
        <w:tab w:val="right" w:pos="7100"/>
      </w:tabs>
      <w:spacing w:line="264" w:lineRule="auto"/>
      <w:contextualSpacing/>
      <w:jc w:val="both"/>
    </w:pPr>
    <w:rPr>
      <w:rFonts w:ascii="Arial" w:hAnsi="Arial"/>
      <w:sz w:val="18"/>
      <w:szCs w:val="20"/>
      <w:lang w:val="en-GB" w:eastAsia="en-US"/>
    </w:rPr>
  </w:style>
  <w:style w:type="paragraph" w:styleId="PreformattatoHTML">
    <w:name w:val="HTML Preformatted"/>
    <w:basedOn w:val="Normale"/>
    <w:link w:val="PreformattatoHTMLCarattere"/>
    <w:uiPriority w:val="99"/>
    <w:semiHidden/>
    <w:unhideWhenUsed/>
    <w:rsid w:val="0003148D"/>
    <w:pPr>
      <w:tabs>
        <w:tab w:val="right" w:pos="7100"/>
      </w:tabs>
      <w:jc w:val="both"/>
    </w:pPr>
    <w:rPr>
      <w:rFonts w:ascii="Consolas" w:hAnsi="Consolas" w:cs="Consolas"/>
      <w:sz w:val="18"/>
      <w:szCs w:val="20"/>
      <w:lang w:val="en-GB" w:eastAsia="en-U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tabs>
        <w:tab w:val="right" w:pos="7100"/>
      </w:tabs>
      <w:spacing w:after="120" w:line="264" w:lineRule="auto"/>
      <w:ind w:left="283"/>
      <w:jc w:val="both"/>
    </w:pPr>
    <w:rPr>
      <w:rFonts w:ascii="Arial" w:hAnsi="Arial"/>
      <w:sz w:val="18"/>
      <w:szCs w:val="20"/>
      <w:lang w:val="en-GB" w:eastAsia="en-US"/>
    </w:r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tabs>
        <w:tab w:val="right" w:pos="7100"/>
      </w:tabs>
      <w:spacing w:line="264" w:lineRule="auto"/>
      <w:contextualSpacing/>
      <w:jc w:val="both"/>
    </w:pPr>
    <w:rPr>
      <w:rFonts w:ascii="Arial" w:hAnsi="Arial"/>
      <w:sz w:val="18"/>
      <w:szCs w:val="20"/>
      <w:lang w:val="en-GB" w:eastAsia="en-US"/>
    </w:rPr>
  </w:style>
  <w:style w:type="paragraph" w:styleId="Puntoelenco2">
    <w:name w:val="List Bullet 2"/>
    <w:basedOn w:val="Normale"/>
    <w:uiPriority w:val="99"/>
    <w:semiHidden/>
    <w:unhideWhenUsed/>
    <w:rsid w:val="0003148D"/>
    <w:pPr>
      <w:numPr>
        <w:numId w:val="8"/>
      </w:numPr>
      <w:tabs>
        <w:tab w:val="right" w:pos="7100"/>
      </w:tabs>
      <w:spacing w:line="264" w:lineRule="auto"/>
      <w:contextualSpacing/>
      <w:jc w:val="both"/>
    </w:pPr>
    <w:rPr>
      <w:rFonts w:ascii="Arial" w:hAnsi="Arial"/>
      <w:sz w:val="18"/>
      <w:szCs w:val="20"/>
      <w:lang w:val="en-GB" w:eastAsia="en-US"/>
    </w:rPr>
  </w:style>
  <w:style w:type="paragraph" w:styleId="Puntoelenco3">
    <w:name w:val="List Bullet 3"/>
    <w:basedOn w:val="Normale"/>
    <w:uiPriority w:val="99"/>
    <w:semiHidden/>
    <w:unhideWhenUsed/>
    <w:rsid w:val="0003148D"/>
    <w:pPr>
      <w:numPr>
        <w:numId w:val="9"/>
      </w:numPr>
      <w:tabs>
        <w:tab w:val="right" w:pos="7100"/>
      </w:tabs>
      <w:spacing w:line="264" w:lineRule="auto"/>
      <w:contextualSpacing/>
      <w:jc w:val="both"/>
    </w:pPr>
    <w:rPr>
      <w:rFonts w:ascii="Arial" w:hAnsi="Arial"/>
      <w:sz w:val="18"/>
      <w:szCs w:val="20"/>
      <w:lang w:val="en-GB" w:eastAsia="en-US"/>
    </w:rPr>
  </w:style>
  <w:style w:type="paragraph" w:styleId="Puntoelenco4">
    <w:name w:val="List Bullet 4"/>
    <w:basedOn w:val="Normale"/>
    <w:uiPriority w:val="99"/>
    <w:semiHidden/>
    <w:unhideWhenUsed/>
    <w:rsid w:val="0003148D"/>
    <w:pPr>
      <w:numPr>
        <w:numId w:val="10"/>
      </w:numPr>
      <w:tabs>
        <w:tab w:val="right" w:pos="7100"/>
      </w:tabs>
      <w:spacing w:line="264" w:lineRule="auto"/>
      <w:contextualSpacing/>
      <w:jc w:val="both"/>
    </w:pPr>
    <w:rPr>
      <w:rFonts w:ascii="Arial" w:hAnsi="Arial"/>
      <w:sz w:val="18"/>
      <w:szCs w:val="20"/>
      <w:lang w:val="en-GB" w:eastAsia="en-US"/>
    </w:rPr>
  </w:style>
  <w:style w:type="paragraph" w:styleId="Puntoelenco5">
    <w:name w:val="List Bullet 5"/>
    <w:basedOn w:val="Normale"/>
    <w:uiPriority w:val="99"/>
    <w:semiHidden/>
    <w:unhideWhenUsed/>
    <w:rsid w:val="0003148D"/>
    <w:pPr>
      <w:numPr>
        <w:numId w:val="11"/>
      </w:numPr>
      <w:tabs>
        <w:tab w:val="right" w:pos="7100"/>
      </w:tabs>
      <w:spacing w:line="264" w:lineRule="auto"/>
      <w:contextualSpacing/>
      <w:jc w:val="both"/>
    </w:pPr>
    <w:rPr>
      <w:rFonts w:ascii="Arial" w:hAnsi="Arial"/>
      <w:sz w:val="18"/>
      <w:szCs w:val="20"/>
      <w:lang w:val="en-GB" w:eastAsia="en-US"/>
    </w:rPr>
  </w:style>
  <w:style w:type="paragraph" w:styleId="Rientrocorpodeltesto2">
    <w:name w:val="Body Text Indent 2"/>
    <w:basedOn w:val="Normale"/>
    <w:link w:val="Rientrocorpodeltesto2Carattere"/>
    <w:uiPriority w:val="99"/>
    <w:semiHidden/>
    <w:unhideWhenUsed/>
    <w:rsid w:val="0003148D"/>
    <w:pPr>
      <w:tabs>
        <w:tab w:val="right" w:pos="7100"/>
      </w:tabs>
      <w:spacing w:after="120" w:line="480" w:lineRule="auto"/>
      <w:ind w:left="283"/>
      <w:jc w:val="both"/>
    </w:pPr>
    <w:rPr>
      <w:rFonts w:ascii="Arial" w:hAnsi="Arial"/>
      <w:sz w:val="18"/>
      <w:szCs w:val="20"/>
      <w:lang w:val="en-GB" w:eastAsia="en-US"/>
    </w:r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tabs>
        <w:tab w:val="right" w:pos="7100"/>
      </w:tabs>
      <w:spacing w:after="120" w:line="264" w:lineRule="auto"/>
      <w:ind w:left="283"/>
      <w:jc w:val="both"/>
    </w:pPr>
    <w:rPr>
      <w:rFonts w:ascii="Arial" w:hAnsi="Arial"/>
      <w:sz w:val="16"/>
      <w:szCs w:val="16"/>
      <w:lang w:val="en-GB" w:eastAsia="en-US"/>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tabs>
        <w:tab w:val="right" w:pos="7100"/>
      </w:tabs>
      <w:spacing w:line="264" w:lineRule="auto"/>
      <w:ind w:left="720"/>
      <w:jc w:val="both"/>
    </w:pPr>
    <w:rPr>
      <w:rFonts w:ascii="Arial" w:hAnsi="Arial"/>
      <w:sz w:val="18"/>
      <w:szCs w:val="20"/>
      <w:lang w:val="en-GB" w:eastAsia="en-US"/>
    </w:rPr>
  </w:style>
  <w:style w:type="paragraph" w:styleId="Testocommento">
    <w:name w:val="annotation text"/>
    <w:basedOn w:val="Normale"/>
    <w:link w:val="TestocommentoCarattere"/>
    <w:uiPriority w:val="99"/>
    <w:unhideWhenUsed/>
    <w:rsid w:val="0003148D"/>
    <w:pPr>
      <w:tabs>
        <w:tab w:val="right" w:pos="7100"/>
      </w:tabs>
      <w:jc w:val="both"/>
    </w:pPr>
    <w:rPr>
      <w:rFonts w:ascii="Arial" w:hAnsi="Arial"/>
      <w:sz w:val="18"/>
      <w:szCs w:val="20"/>
      <w:lang w:val="en-GB" w:eastAsia="en-US"/>
    </w:r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tabs>
        <w:tab w:val="right" w:pos="7100"/>
      </w:tabs>
      <w:spacing w:after="100" w:line="264" w:lineRule="auto"/>
      <w:jc w:val="both"/>
    </w:pPr>
    <w:rPr>
      <w:rFonts w:ascii="Arial" w:hAnsi="Arial"/>
      <w:sz w:val="18"/>
      <w:szCs w:val="20"/>
      <w:lang w:val="en-GB" w:eastAsia="en-US"/>
    </w:rPr>
  </w:style>
  <w:style w:type="paragraph" w:styleId="Sommario2">
    <w:name w:val="toc 2"/>
    <w:basedOn w:val="Normale"/>
    <w:next w:val="Normale"/>
    <w:autoRedefine/>
    <w:uiPriority w:val="39"/>
    <w:semiHidden/>
    <w:unhideWhenUsed/>
    <w:rsid w:val="0003148D"/>
    <w:pPr>
      <w:tabs>
        <w:tab w:val="right" w:pos="7100"/>
      </w:tabs>
      <w:spacing w:after="100" w:line="264" w:lineRule="auto"/>
      <w:ind w:left="220"/>
      <w:jc w:val="both"/>
    </w:pPr>
    <w:rPr>
      <w:rFonts w:ascii="Arial" w:hAnsi="Arial"/>
      <w:sz w:val="18"/>
      <w:szCs w:val="20"/>
      <w:lang w:val="en-GB" w:eastAsia="en-US"/>
    </w:rPr>
  </w:style>
  <w:style w:type="paragraph" w:styleId="Sommario3">
    <w:name w:val="toc 3"/>
    <w:basedOn w:val="Normale"/>
    <w:next w:val="Normale"/>
    <w:autoRedefine/>
    <w:uiPriority w:val="39"/>
    <w:semiHidden/>
    <w:unhideWhenUsed/>
    <w:rsid w:val="0003148D"/>
    <w:pPr>
      <w:tabs>
        <w:tab w:val="right" w:pos="7100"/>
      </w:tabs>
      <w:spacing w:after="100" w:line="264" w:lineRule="auto"/>
      <w:ind w:left="440"/>
      <w:jc w:val="both"/>
    </w:pPr>
    <w:rPr>
      <w:rFonts w:ascii="Arial" w:hAnsi="Arial"/>
      <w:sz w:val="18"/>
      <w:szCs w:val="20"/>
      <w:lang w:val="en-GB" w:eastAsia="en-US"/>
    </w:rPr>
  </w:style>
  <w:style w:type="paragraph" w:styleId="Sommario4">
    <w:name w:val="toc 4"/>
    <w:basedOn w:val="Normale"/>
    <w:next w:val="Normale"/>
    <w:autoRedefine/>
    <w:uiPriority w:val="39"/>
    <w:semiHidden/>
    <w:unhideWhenUsed/>
    <w:rsid w:val="0003148D"/>
    <w:pPr>
      <w:tabs>
        <w:tab w:val="right" w:pos="7100"/>
      </w:tabs>
      <w:spacing w:after="100" w:line="264" w:lineRule="auto"/>
      <w:ind w:left="660"/>
      <w:jc w:val="both"/>
    </w:pPr>
    <w:rPr>
      <w:rFonts w:ascii="Arial" w:hAnsi="Arial"/>
      <w:sz w:val="18"/>
      <w:szCs w:val="20"/>
      <w:lang w:val="en-GB" w:eastAsia="en-US"/>
    </w:rPr>
  </w:style>
  <w:style w:type="paragraph" w:styleId="Sommario5">
    <w:name w:val="toc 5"/>
    <w:basedOn w:val="Normale"/>
    <w:next w:val="Normale"/>
    <w:autoRedefine/>
    <w:uiPriority w:val="39"/>
    <w:semiHidden/>
    <w:unhideWhenUsed/>
    <w:rsid w:val="0003148D"/>
    <w:pPr>
      <w:tabs>
        <w:tab w:val="right" w:pos="7100"/>
      </w:tabs>
      <w:spacing w:after="100" w:line="264" w:lineRule="auto"/>
      <w:ind w:left="880"/>
      <w:jc w:val="both"/>
    </w:pPr>
    <w:rPr>
      <w:rFonts w:ascii="Arial" w:hAnsi="Arial"/>
      <w:sz w:val="18"/>
      <w:szCs w:val="20"/>
      <w:lang w:val="en-GB" w:eastAsia="en-US"/>
    </w:rPr>
  </w:style>
  <w:style w:type="paragraph" w:styleId="Sommario6">
    <w:name w:val="toc 6"/>
    <w:basedOn w:val="Normale"/>
    <w:next w:val="Normale"/>
    <w:autoRedefine/>
    <w:uiPriority w:val="39"/>
    <w:semiHidden/>
    <w:unhideWhenUsed/>
    <w:rsid w:val="0003148D"/>
    <w:pPr>
      <w:tabs>
        <w:tab w:val="right" w:pos="7100"/>
      </w:tabs>
      <w:spacing w:after="100" w:line="264" w:lineRule="auto"/>
      <w:ind w:left="1100"/>
      <w:jc w:val="both"/>
    </w:pPr>
    <w:rPr>
      <w:rFonts w:ascii="Arial" w:hAnsi="Arial"/>
      <w:sz w:val="18"/>
      <w:szCs w:val="20"/>
      <w:lang w:val="en-GB" w:eastAsia="en-US"/>
    </w:rPr>
  </w:style>
  <w:style w:type="paragraph" w:styleId="Sommario7">
    <w:name w:val="toc 7"/>
    <w:basedOn w:val="Normale"/>
    <w:next w:val="Normale"/>
    <w:autoRedefine/>
    <w:uiPriority w:val="39"/>
    <w:semiHidden/>
    <w:unhideWhenUsed/>
    <w:rsid w:val="0003148D"/>
    <w:pPr>
      <w:tabs>
        <w:tab w:val="right" w:pos="7100"/>
      </w:tabs>
      <w:spacing w:after="100" w:line="264" w:lineRule="auto"/>
      <w:ind w:left="1320"/>
      <w:jc w:val="both"/>
    </w:pPr>
    <w:rPr>
      <w:rFonts w:ascii="Arial" w:hAnsi="Arial"/>
      <w:sz w:val="18"/>
      <w:szCs w:val="20"/>
      <w:lang w:val="en-GB" w:eastAsia="en-US"/>
    </w:rPr>
  </w:style>
  <w:style w:type="paragraph" w:styleId="Sommario8">
    <w:name w:val="toc 8"/>
    <w:basedOn w:val="Normale"/>
    <w:next w:val="Normale"/>
    <w:autoRedefine/>
    <w:uiPriority w:val="39"/>
    <w:semiHidden/>
    <w:unhideWhenUsed/>
    <w:rsid w:val="0003148D"/>
    <w:pPr>
      <w:tabs>
        <w:tab w:val="right" w:pos="7100"/>
      </w:tabs>
      <w:spacing w:after="100" w:line="264" w:lineRule="auto"/>
      <w:ind w:left="1540"/>
      <w:jc w:val="both"/>
    </w:pPr>
    <w:rPr>
      <w:rFonts w:ascii="Arial" w:hAnsi="Arial"/>
      <w:sz w:val="18"/>
      <w:szCs w:val="20"/>
      <w:lang w:val="en-GB" w:eastAsia="en-US"/>
    </w:rPr>
  </w:style>
  <w:style w:type="paragraph" w:styleId="Sommario9">
    <w:name w:val="toc 9"/>
    <w:basedOn w:val="Normale"/>
    <w:next w:val="Normale"/>
    <w:autoRedefine/>
    <w:uiPriority w:val="39"/>
    <w:semiHidden/>
    <w:unhideWhenUsed/>
    <w:rsid w:val="0003148D"/>
    <w:pPr>
      <w:tabs>
        <w:tab w:val="right" w:pos="7100"/>
      </w:tabs>
      <w:spacing w:after="100" w:line="264" w:lineRule="auto"/>
      <w:ind w:left="1760"/>
      <w:jc w:val="both"/>
    </w:pPr>
    <w:rPr>
      <w:rFonts w:ascii="Arial" w:hAnsi="Arial"/>
      <w:sz w:val="18"/>
      <w:szCs w:val="20"/>
      <w:lang w:val="en-GB" w:eastAsia="en-US"/>
    </w:r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right" w:pos="7100"/>
      </w:tabs>
      <w:spacing w:line="264" w:lineRule="auto"/>
      <w:ind w:left="1152" w:right="1152"/>
      <w:jc w:val="both"/>
    </w:pPr>
    <w:rPr>
      <w:rFonts w:ascii="Arial" w:eastAsiaTheme="minorEastAsia" w:hAnsi="Arial"/>
      <w:i/>
      <w:iCs/>
      <w:color w:val="4F81BD" w:themeColor="accent1"/>
      <w:sz w:val="18"/>
      <w:szCs w:val="20"/>
      <w:lang w:val="en-GB" w:eastAsia="en-US"/>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tabs>
        <w:tab w:val="right" w:pos="7100"/>
      </w:tabs>
      <w:jc w:val="both"/>
    </w:pPr>
    <w:rPr>
      <w:rFonts w:ascii="Consolas" w:hAnsi="Consolas" w:cs="Consolas"/>
      <w:sz w:val="21"/>
      <w:szCs w:val="21"/>
      <w:lang w:val="en-GB" w:eastAsia="en-US"/>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pPr>
      <w:tabs>
        <w:tab w:val="right" w:pos="7100"/>
      </w:tabs>
      <w:spacing w:line="264" w:lineRule="auto"/>
      <w:jc w:val="both"/>
    </w:pPr>
    <w:rPr>
      <w:rFonts w:asciiTheme="majorHAnsi" w:eastAsiaTheme="majorEastAsia" w:hAnsiTheme="majorHAnsi" w:cstheme="majorBidi"/>
      <w:b/>
      <w:bCs/>
      <w:sz w:val="18"/>
      <w:szCs w:val="20"/>
      <w:lang w:val="en-GB" w:eastAsia="en-US"/>
    </w:rPr>
  </w:style>
  <w:style w:type="paragraph" w:styleId="Titoloindicefonti">
    <w:name w:val="toa heading"/>
    <w:basedOn w:val="Normale"/>
    <w:next w:val="Normale"/>
    <w:uiPriority w:val="99"/>
    <w:semiHidden/>
    <w:unhideWhenUsed/>
    <w:rsid w:val="0003148D"/>
    <w:pPr>
      <w:tabs>
        <w:tab w:val="right" w:pos="7100"/>
      </w:tabs>
      <w:spacing w:before="120" w:line="264" w:lineRule="auto"/>
      <w:jc w:val="both"/>
    </w:pPr>
    <w:rPr>
      <w:rFonts w:asciiTheme="majorHAnsi" w:eastAsiaTheme="majorEastAsia" w:hAnsiTheme="majorHAnsi" w:cstheme="majorBidi"/>
      <w:b/>
      <w:bCs/>
      <w:lang w:val="en-GB" w:eastAsia="en-US"/>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enter" w:pos="4819"/>
        <w:tab w:val="right" w:pos="9638"/>
      </w:tabs>
      <w:jc w:val="both"/>
    </w:pPr>
    <w:rPr>
      <w:rFonts w:ascii="Arial" w:hAnsi="Arial"/>
      <w:sz w:val="18"/>
      <w:szCs w:val="20"/>
      <w:lang w:val="en-GB" w:eastAsia="en-US"/>
    </w:r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enter" w:pos="4819"/>
        <w:tab w:val="right" w:pos="9638"/>
      </w:tabs>
      <w:jc w:val="both"/>
    </w:pPr>
    <w:rPr>
      <w:rFonts w:ascii="Arial" w:hAnsi="Arial"/>
      <w:sz w:val="18"/>
      <w:szCs w:val="20"/>
      <w:lang w:val="en-GB" w:eastAsia="en-US"/>
    </w:r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val="0"/>
      <w:bCs/>
      <w:sz w:val="18"/>
      <w:szCs w:val="20"/>
      <w:lang w:val="en-US"/>
    </w:rPr>
  </w:style>
  <w:style w:type="paragraph" w:styleId="Paragrafoelenco">
    <w:name w:val="List Paragraph"/>
    <w:basedOn w:val="Normale"/>
    <w:uiPriority w:val="34"/>
    <w:rsid w:val="00280FAF"/>
    <w:pPr>
      <w:tabs>
        <w:tab w:val="right" w:pos="7100"/>
      </w:tabs>
      <w:spacing w:line="264" w:lineRule="auto"/>
      <w:ind w:left="720"/>
      <w:contextualSpacing/>
      <w:jc w:val="both"/>
    </w:pPr>
    <w:rPr>
      <w:rFonts w:ascii="Arial" w:hAnsi="Arial"/>
      <w:sz w:val="18"/>
      <w:szCs w:val="20"/>
      <w:lang w:val="en-GB" w:eastAsia="en-US"/>
    </w:rPr>
  </w:style>
  <w:style w:type="character" w:customStyle="1" w:styleId="gmail-apple-converted-space">
    <w:name w:val="gmail-apple-converted-space"/>
    <w:basedOn w:val="Carpredefinitoparagrafo"/>
    <w:rsid w:val="00005A19"/>
  </w:style>
  <w:style w:type="character" w:styleId="Enfasigrassetto">
    <w:name w:val="Strong"/>
    <w:basedOn w:val="Carpredefinitoparagrafo"/>
    <w:uiPriority w:val="22"/>
    <w:qFormat/>
    <w:rsid w:val="003D5374"/>
    <w:rPr>
      <w:b/>
      <w:bCs/>
    </w:rPr>
  </w:style>
  <w:style w:type="character" w:styleId="Menzionenonrisolta">
    <w:name w:val="Unresolved Mention"/>
    <w:basedOn w:val="Carpredefinitoparagrafo"/>
    <w:uiPriority w:val="99"/>
    <w:semiHidden/>
    <w:unhideWhenUsed/>
    <w:rsid w:val="00517057"/>
    <w:rPr>
      <w:color w:val="605E5C"/>
      <w:shd w:val="clear" w:color="auto" w:fill="E1DFDD"/>
    </w:rPr>
  </w:style>
  <w:style w:type="character" w:styleId="Enfasicorsivo">
    <w:name w:val="Emphasis"/>
    <w:basedOn w:val="Carpredefinitoparagrafo"/>
    <w:uiPriority w:val="20"/>
    <w:qFormat/>
    <w:rsid w:val="002D315E"/>
    <w:rPr>
      <w:i/>
      <w:iCs/>
    </w:rPr>
  </w:style>
  <w:style w:type="paragraph" w:customStyle="1" w:styleId="Default">
    <w:name w:val="Default"/>
    <w:rsid w:val="00CB2CD5"/>
    <w:pPr>
      <w:autoSpaceDE w:val="0"/>
      <w:autoSpaceDN w:val="0"/>
      <w:adjustRightInd w:val="0"/>
      <w:spacing w:after="0" w:line="240" w:lineRule="auto"/>
    </w:pPr>
    <w:rPr>
      <w:rFonts w:ascii="Arial" w:hAnsi="Arial" w:cs="Arial"/>
      <w:color w:val="000000"/>
      <w:sz w:val="24"/>
      <w:szCs w:val="24"/>
    </w:rPr>
  </w:style>
  <w:style w:type="character" w:customStyle="1" w:styleId="anchor-text">
    <w:name w:val="anchor-text"/>
    <w:basedOn w:val="Carpredefinitoparagrafo"/>
    <w:rsid w:val="00407D6B"/>
  </w:style>
  <w:style w:type="character" w:styleId="Testosegnaposto">
    <w:name w:val="Placeholder Text"/>
    <w:basedOn w:val="Carpredefinitoparagrafo"/>
    <w:uiPriority w:val="99"/>
    <w:semiHidden/>
    <w:rsid w:val="00E27F71"/>
    <w:rPr>
      <w:color w:val="666666"/>
    </w:rPr>
  </w:style>
  <w:style w:type="paragraph" w:styleId="Revisione">
    <w:name w:val="Revision"/>
    <w:hidden/>
    <w:uiPriority w:val="99"/>
    <w:semiHidden/>
    <w:rsid w:val="00E27F71"/>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798">
      <w:bodyDiv w:val="1"/>
      <w:marLeft w:val="0"/>
      <w:marRight w:val="0"/>
      <w:marTop w:val="0"/>
      <w:marBottom w:val="0"/>
      <w:divBdr>
        <w:top w:val="none" w:sz="0" w:space="0" w:color="auto"/>
        <w:left w:val="none" w:sz="0" w:space="0" w:color="auto"/>
        <w:bottom w:val="none" w:sz="0" w:space="0" w:color="auto"/>
        <w:right w:val="none" w:sz="0" w:space="0" w:color="auto"/>
      </w:divBdr>
    </w:div>
    <w:div w:id="180173110">
      <w:bodyDiv w:val="1"/>
      <w:marLeft w:val="0"/>
      <w:marRight w:val="0"/>
      <w:marTop w:val="0"/>
      <w:marBottom w:val="0"/>
      <w:divBdr>
        <w:top w:val="none" w:sz="0" w:space="0" w:color="auto"/>
        <w:left w:val="none" w:sz="0" w:space="0" w:color="auto"/>
        <w:bottom w:val="none" w:sz="0" w:space="0" w:color="auto"/>
        <w:right w:val="none" w:sz="0" w:space="0" w:color="auto"/>
      </w:divBdr>
    </w:div>
    <w:div w:id="207380310">
      <w:bodyDiv w:val="1"/>
      <w:marLeft w:val="0"/>
      <w:marRight w:val="0"/>
      <w:marTop w:val="0"/>
      <w:marBottom w:val="0"/>
      <w:divBdr>
        <w:top w:val="none" w:sz="0" w:space="0" w:color="auto"/>
        <w:left w:val="none" w:sz="0" w:space="0" w:color="auto"/>
        <w:bottom w:val="none" w:sz="0" w:space="0" w:color="auto"/>
        <w:right w:val="none" w:sz="0" w:space="0" w:color="auto"/>
      </w:divBdr>
    </w:div>
    <w:div w:id="243533469">
      <w:bodyDiv w:val="1"/>
      <w:marLeft w:val="0"/>
      <w:marRight w:val="0"/>
      <w:marTop w:val="0"/>
      <w:marBottom w:val="0"/>
      <w:divBdr>
        <w:top w:val="none" w:sz="0" w:space="0" w:color="auto"/>
        <w:left w:val="none" w:sz="0" w:space="0" w:color="auto"/>
        <w:bottom w:val="none" w:sz="0" w:space="0" w:color="auto"/>
        <w:right w:val="none" w:sz="0" w:space="0" w:color="auto"/>
      </w:divBdr>
      <w:divsChild>
        <w:div w:id="311102865">
          <w:marLeft w:val="0"/>
          <w:marRight w:val="0"/>
          <w:marTop w:val="0"/>
          <w:marBottom w:val="0"/>
          <w:divBdr>
            <w:top w:val="none" w:sz="0" w:space="0" w:color="auto"/>
            <w:left w:val="none" w:sz="0" w:space="0" w:color="auto"/>
            <w:bottom w:val="none" w:sz="0" w:space="0" w:color="auto"/>
            <w:right w:val="none" w:sz="0" w:space="0" w:color="auto"/>
          </w:divBdr>
          <w:divsChild>
            <w:div w:id="13859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5828">
      <w:bodyDiv w:val="1"/>
      <w:marLeft w:val="0"/>
      <w:marRight w:val="0"/>
      <w:marTop w:val="0"/>
      <w:marBottom w:val="0"/>
      <w:divBdr>
        <w:top w:val="none" w:sz="0" w:space="0" w:color="auto"/>
        <w:left w:val="none" w:sz="0" w:space="0" w:color="auto"/>
        <w:bottom w:val="none" w:sz="0" w:space="0" w:color="auto"/>
        <w:right w:val="none" w:sz="0" w:space="0" w:color="auto"/>
      </w:divBdr>
    </w:div>
    <w:div w:id="494802616">
      <w:bodyDiv w:val="1"/>
      <w:marLeft w:val="0"/>
      <w:marRight w:val="0"/>
      <w:marTop w:val="0"/>
      <w:marBottom w:val="0"/>
      <w:divBdr>
        <w:top w:val="none" w:sz="0" w:space="0" w:color="auto"/>
        <w:left w:val="none" w:sz="0" w:space="0" w:color="auto"/>
        <w:bottom w:val="none" w:sz="0" w:space="0" w:color="auto"/>
        <w:right w:val="none" w:sz="0" w:space="0" w:color="auto"/>
      </w:divBdr>
    </w:div>
    <w:div w:id="573197808">
      <w:bodyDiv w:val="1"/>
      <w:marLeft w:val="0"/>
      <w:marRight w:val="0"/>
      <w:marTop w:val="0"/>
      <w:marBottom w:val="0"/>
      <w:divBdr>
        <w:top w:val="none" w:sz="0" w:space="0" w:color="auto"/>
        <w:left w:val="none" w:sz="0" w:space="0" w:color="auto"/>
        <w:bottom w:val="none" w:sz="0" w:space="0" w:color="auto"/>
        <w:right w:val="none" w:sz="0" w:space="0" w:color="auto"/>
      </w:divBdr>
    </w:div>
    <w:div w:id="630137868">
      <w:bodyDiv w:val="1"/>
      <w:marLeft w:val="0"/>
      <w:marRight w:val="0"/>
      <w:marTop w:val="0"/>
      <w:marBottom w:val="0"/>
      <w:divBdr>
        <w:top w:val="none" w:sz="0" w:space="0" w:color="auto"/>
        <w:left w:val="none" w:sz="0" w:space="0" w:color="auto"/>
        <w:bottom w:val="none" w:sz="0" w:space="0" w:color="auto"/>
        <w:right w:val="none" w:sz="0" w:space="0" w:color="auto"/>
      </w:divBdr>
      <w:divsChild>
        <w:div w:id="1384451147">
          <w:marLeft w:val="0"/>
          <w:marRight w:val="0"/>
          <w:marTop w:val="0"/>
          <w:marBottom w:val="0"/>
          <w:divBdr>
            <w:top w:val="none" w:sz="0" w:space="0" w:color="auto"/>
            <w:left w:val="none" w:sz="0" w:space="0" w:color="auto"/>
            <w:bottom w:val="none" w:sz="0" w:space="0" w:color="auto"/>
            <w:right w:val="none" w:sz="0" w:space="0" w:color="auto"/>
          </w:divBdr>
          <w:divsChild>
            <w:div w:id="744692677">
              <w:marLeft w:val="0"/>
              <w:marRight w:val="0"/>
              <w:marTop w:val="0"/>
              <w:marBottom w:val="0"/>
              <w:divBdr>
                <w:top w:val="none" w:sz="0" w:space="0" w:color="auto"/>
                <w:left w:val="none" w:sz="0" w:space="0" w:color="auto"/>
                <w:bottom w:val="none" w:sz="0" w:space="0" w:color="auto"/>
                <w:right w:val="none" w:sz="0" w:space="0" w:color="auto"/>
              </w:divBdr>
              <w:divsChild>
                <w:div w:id="788548955">
                  <w:marLeft w:val="0"/>
                  <w:marRight w:val="0"/>
                  <w:marTop w:val="0"/>
                  <w:marBottom w:val="0"/>
                  <w:divBdr>
                    <w:top w:val="none" w:sz="0" w:space="0" w:color="auto"/>
                    <w:left w:val="none" w:sz="0" w:space="0" w:color="auto"/>
                    <w:bottom w:val="none" w:sz="0" w:space="0" w:color="auto"/>
                    <w:right w:val="none" w:sz="0" w:space="0" w:color="auto"/>
                  </w:divBdr>
                  <w:divsChild>
                    <w:div w:id="1194340186">
                      <w:marLeft w:val="0"/>
                      <w:marRight w:val="0"/>
                      <w:marTop w:val="0"/>
                      <w:marBottom w:val="0"/>
                      <w:divBdr>
                        <w:top w:val="none" w:sz="0" w:space="0" w:color="auto"/>
                        <w:left w:val="none" w:sz="0" w:space="0" w:color="auto"/>
                        <w:bottom w:val="none" w:sz="0" w:space="0" w:color="auto"/>
                        <w:right w:val="none" w:sz="0" w:space="0" w:color="auto"/>
                      </w:divBdr>
                      <w:divsChild>
                        <w:div w:id="479739143">
                          <w:marLeft w:val="0"/>
                          <w:marRight w:val="0"/>
                          <w:marTop w:val="0"/>
                          <w:marBottom w:val="0"/>
                          <w:divBdr>
                            <w:top w:val="none" w:sz="0" w:space="0" w:color="auto"/>
                            <w:left w:val="none" w:sz="0" w:space="0" w:color="auto"/>
                            <w:bottom w:val="none" w:sz="0" w:space="0" w:color="auto"/>
                            <w:right w:val="none" w:sz="0" w:space="0" w:color="auto"/>
                          </w:divBdr>
                          <w:divsChild>
                            <w:div w:id="103379693">
                              <w:marLeft w:val="0"/>
                              <w:marRight w:val="0"/>
                              <w:marTop w:val="0"/>
                              <w:marBottom w:val="0"/>
                              <w:divBdr>
                                <w:top w:val="none" w:sz="0" w:space="0" w:color="auto"/>
                                <w:left w:val="none" w:sz="0" w:space="0" w:color="auto"/>
                                <w:bottom w:val="none" w:sz="0" w:space="0" w:color="auto"/>
                                <w:right w:val="none" w:sz="0" w:space="0" w:color="auto"/>
                              </w:divBdr>
                              <w:divsChild>
                                <w:div w:id="14270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372992">
      <w:bodyDiv w:val="1"/>
      <w:marLeft w:val="0"/>
      <w:marRight w:val="0"/>
      <w:marTop w:val="0"/>
      <w:marBottom w:val="0"/>
      <w:divBdr>
        <w:top w:val="none" w:sz="0" w:space="0" w:color="auto"/>
        <w:left w:val="none" w:sz="0" w:space="0" w:color="auto"/>
        <w:bottom w:val="none" w:sz="0" w:space="0" w:color="auto"/>
        <w:right w:val="none" w:sz="0" w:space="0" w:color="auto"/>
      </w:divBdr>
    </w:div>
    <w:div w:id="756752670">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2100">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546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7894">
      <w:bodyDiv w:val="1"/>
      <w:marLeft w:val="0"/>
      <w:marRight w:val="0"/>
      <w:marTop w:val="0"/>
      <w:marBottom w:val="0"/>
      <w:divBdr>
        <w:top w:val="none" w:sz="0" w:space="0" w:color="auto"/>
        <w:left w:val="none" w:sz="0" w:space="0" w:color="auto"/>
        <w:bottom w:val="none" w:sz="0" w:space="0" w:color="auto"/>
        <w:right w:val="none" w:sz="0" w:space="0" w:color="auto"/>
      </w:divBdr>
    </w:div>
    <w:div w:id="1224099728">
      <w:bodyDiv w:val="1"/>
      <w:marLeft w:val="0"/>
      <w:marRight w:val="0"/>
      <w:marTop w:val="0"/>
      <w:marBottom w:val="0"/>
      <w:divBdr>
        <w:top w:val="none" w:sz="0" w:space="0" w:color="auto"/>
        <w:left w:val="none" w:sz="0" w:space="0" w:color="auto"/>
        <w:bottom w:val="none" w:sz="0" w:space="0" w:color="auto"/>
        <w:right w:val="none" w:sz="0" w:space="0" w:color="auto"/>
      </w:divBdr>
    </w:div>
    <w:div w:id="1257056989">
      <w:bodyDiv w:val="1"/>
      <w:marLeft w:val="0"/>
      <w:marRight w:val="0"/>
      <w:marTop w:val="0"/>
      <w:marBottom w:val="0"/>
      <w:divBdr>
        <w:top w:val="none" w:sz="0" w:space="0" w:color="auto"/>
        <w:left w:val="none" w:sz="0" w:space="0" w:color="auto"/>
        <w:bottom w:val="none" w:sz="0" w:space="0" w:color="auto"/>
        <w:right w:val="none" w:sz="0" w:space="0" w:color="auto"/>
      </w:divBdr>
    </w:div>
    <w:div w:id="1308392464">
      <w:bodyDiv w:val="1"/>
      <w:marLeft w:val="0"/>
      <w:marRight w:val="0"/>
      <w:marTop w:val="0"/>
      <w:marBottom w:val="0"/>
      <w:divBdr>
        <w:top w:val="none" w:sz="0" w:space="0" w:color="auto"/>
        <w:left w:val="none" w:sz="0" w:space="0" w:color="auto"/>
        <w:bottom w:val="none" w:sz="0" w:space="0" w:color="auto"/>
        <w:right w:val="none" w:sz="0" w:space="0" w:color="auto"/>
      </w:divBdr>
      <w:divsChild>
        <w:div w:id="1287540323">
          <w:marLeft w:val="0"/>
          <w:marRight w:val="0"/>
          <w:marTop w:val="0"/>
          <w:marBottom w:val="0"/>
          <w:divBdr>
            <w:top w:val="none" w:sz="0" w:space="0" w:color="auto"/>
            <w:left w:val="none" w:sz="0" w:space="0" w:color="auto"/>
            <w:bottom w:val="none" w:sz="0" w:space="0" w:color="auto"/>
            <w:right w:val="none" w:sz="0" w:space="0" w:color="auto"/>
          </w:divBdr>
          <w:divsChild>
            <w:div w:id="1564371627">
              <w:marLeft w:val="0"/>
              <w:marRight w:val="0"/>
              <w:marTop w:val="0"/>
              <w:marBottom w:val="0"/>
              <w:divBdr>
                <w:top w:val="none" w:sz="0" w:space="0" w:color="auto"/>
                <w:left w:val="none" w:sz="0" w:space="0" w:color="auto"/>
                <w:bottom w:val="none" w:sz="0" w:space="0" w:color="auto"/>
                <w:right w:val="none" w:sz="0" w:space="0" w:color="auto"/>
              </w:divBdr>
              <w:divsChild>
                <w:div w:id="17631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1144">
      <w:bodyDiv w:val="1"/>
      <w:marLeft w:val="0"/>
      <w:marRight w:val="0"/>
      <w:marTop w:val="0"/>
      <w:marBottom w:val="0"/>
      <w:divBdr>
        <w:top w:val="none" w:sz="0" w:space="0" w:color="auto"/>
        <w:left w:val="none" w:sz="0" w:space="0" w:color="auto"/>
        <w:bottom w:val="none" w:sz="0" w:space="0" w:color="auto"/>
        <w:right w:val="none" w:sz="0" w:space="0" w:color="auto"/>
      </w:divBdr>
      <w:divsChild>
        <w:div w:id="534001843">
          <w:marLeft w:val="0"/>
          <w:marRight w:val="0"/>
          <w:marTop w:val="0"/>
          <w:marBottom w:val="0"/>
          <w:divBdr>
            <w:top w:val="none" w:sz="0" w:space="0" w:color="auto"/>
            <w:left w:val="none" w:sz="0" w:space="0" w:color="auto"/>
            <w:bottom w:val="none" w:sz="0" w:space="0" w:color="auto"/>
            <w:right w:val="none" w:sz="0" w:space="0" w:color="auto"/>
          </w:divBdr>
          <w:divsChild>
            <w:div w:id="1258564215">
              <w:marLeft w:val="0"/>
              <w:marRight w:val="0"/>
              <w:marTop w:val="0"/>
              <w:marBottom w:val="0"/>
              <w:divBdr>
                <w:top w:val="none" w:sz="0" w:space="0" w:color="auto"/>
                <w:left w:val="none" w:sz="0" w:space="0" w:color="auto"/>
                <w:bottom w:val="none" w:sz="0" w:space="0" w:color="auto"/>
                <w:right w:val="none" w:sz="0" w:space="0" w:color="auto"/>
              </w:divBdr>
              <w:divsChild>
                <w:div w:id="178472079">
                  <w:marLeft w:val="0"/>
                  <w:marRight w:val="0"/>
                  <w:marTop w:val="0"/>
                  <w:marBottom w:val="0"/>
                  <w:divBdr>
                    <w:top w:val="none" w:sz="0" w:space="0" w:color="auto"/>
                    <w:left w:val="none" w:sz="0" w:space="0" w:color="auto"/>
                    <w:bottom w:val="none" w:sz="0" w:space="0" w:color="auto"/>
                    <w:right w:val="none" w:sz="0" w:space="0" w:color="auto"/>
                  </w:divBdr>
                  <w:divsChild>
                    <w:div w:id="152962402">
                      <w:marLeft w:val="0"/>
                      <w:marRight w:val="0"/>
                      <w:marTop w:val="0"/>
                      <w:marBottom w:val="0"/>
                      <w:divBdr>
                        <w:top w:val="none" w:sz="0" w:space="0" w:color="auto"/>
                        <w:left w:val="none" w:sz="0" w:space="0" w:color="auto"/>
                        <w:bottom w:val="none" w:sz="0" w:space="0" w:color="auto"/>
                        <w:right w:val="none" w:sz="0" w:space="0" w:color="auto"/>
                      </w:divBdr>
                      <w:divsChild>
                        <w:div w:id="1379012079">
                          <w:marLeft w:val="0"/>
                          <w:marRight w:val="0"/>
                          <w:marTop w:val="0"/>
                          <w:marBottom w:val="0"/>
                          <w:divBdr>
                            <w:top w:val="none" w:sz="0" w:space="0" w:color="auto"/>
                            <w:left w:val="none" w:sz="0" w:space="0" w:color="auto"/>
                            <w:bottom w:val="none" w:sz="0" w:space="0" w:color="auto"/>
                            <w:right w:val="none" w:sz="0" w:space="0" w:color="auto"/>
                          </w:divBdr>
                          <w:divsChild>
                            <w:div w:id="22563230">
                              <w:marLeft w:val="0"/>
                              <w:marRight w:val="0"/>
                              <w:marTop w:val="0"/>
                              <w:marBottom w:val="0"/>
                              <w:divBdr>
                                <w:top w:val="none" w:sz="0" w:space="0" w:color="auto"/>
                                <w:left w:val="none" w:sz="0" w:space="0" w:color="auto"/>
                                <w:bottom w:val="none" w:sz="0" w:space="0" w:color="auto"/>
                                <w:right w:val="none" w:sz="0" w:space="0" w:color="auto"/>
                              </w:divBdr>
                              <w:divsChild>
                                <w:div w:id="8117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23472853">
      <w:bodyDiv w:val="1"/>
      <w:marLeft w:val="0"/>
      <w:marRight w:val="0"/>
      <w:marTop w:val="0"/>
      <w:marBottom w:val="0"/>
      <w:divBdr>
        <w:top w:val="none" w:sz="0" w:space="0" w:color="auto"/>
        <w:left w:val="none" w:sz="0" w:space="0" w:color="auto"/>
        <w:bottom w:val="none" w:sz="0" w:space="0" w:color="auto"/>
        <w:right w:val="none" w:sz="0" w:space="0" w:color="auto"/>
      </w:divBdr>
    </w:div>
    <w:div w:id="1552840309">
      <w:bodyDiv w:val="1"/>
      <w:marLeft w:val="0"/>
      <w:marRight w:val="0"/>
      <w:marTop w:val="0"/>
      <w:marBottom w:val="0"/>
      <w:divBdr>
        <w:top w:val="none" w:sz="0" w:space="0" w:color="auto"/>
        <w:left w:val="none" w:sz="0" w:space="0" w:color="auto"/>
        <w:bottom w:val="none" w:sz="0" w:space="0" w:color="auto"/>
        <w:right w:val="none" w:sz="0" w:space="0" w:color="auto"/>
      </w:divBdr>
    </w:div>
    <w:div w:id="1593659331">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1377">
      <w:bodyDiv w:val="1"/>
      <w:marLeft w:val="0"/>
      <w:marRight w:val="0"/>
      <w:marTop w:val="0"/>
      <w:marBottom w:val="0"/>
      <w:divBdr>
        <w:top w:val="none" w:sz="0" w:space="0" w:color="auto"/>
        <w:left w:val="none" w:sz="0" w:space="0" w:color="auto"/>
        <w:bottom w:val="none" w:sz="0" w:space="0" w:color="auto"/>
        <w:right w:val="none" w:sz="0" w:space="0" w:color="auto"/>
      </w:divBdr>
    </w:div>
    <w:div w:id="1729692410">
      <w:bodyDiv w:val="1"/>
      <w:marLeft w:val="0"/>
      <w:marRight w:val="0"/>
      <w:marTop w:val="0"/>
      <w:marBottom w:val="0"/>
      <w:divBdr>
        <w:top w:val="none" w:sz="0" w:space="0" w:color="auto"/>
        <w:left w:val="none" w:sz="0" w:space="0" w:color="auto"/>
        <w:bottom w:val="none" w:sz="0" w:space="0" w:color="auto"/>
        <w:right w:val="none" w:sz="0" w:space="0" w:color="auto"/>
      </w:divBdr>
    </w:div>
    <w:div w:id="1732918459">
      <w:bodyDiv w:val="1"/>
      <w:marLeft w:val="0"/>
      <w:marRight w:val="0"/>
      <w:marTop w:val="0"/>
      <w:marBottom w:val="0"/>
      <w:divBdr>
        <w:top w:val="none" w:sz="0" w:space="0" w:color="auto"/>
        <w:left w:val="none" w:sz="0" w:space="0" w:color="auto"/>
        <w:bottom w:val="none" w:sz="0" w:space="0" w:color="auto"/>
        <w:right w:val="none" w:sz="0" w:space="0" w:color="auto"/>
      </w:divBdr>
    </w:div>
    <w:div w:id="1868910602">
      <w:bodyDiv w:val="1"/>
      <w:marLeft w:val="0"/>
      <w:marRight w:val="0"/>
      <w:marTop w:val="0"/>
      <w:marBottom w:val="0"/>
      <w:divBdr>
        <w:top w:val="none" w:sz="0" w:space="0" w:color="auto"/>
        <w:left w:val="none" w:sz="0" w:space="0" w:color="auto"/>
        <w:bottom w:val="none" w:sz="0" w:space="0" w:color="auto"/>
        <w:right w:val="none" w:sz="0" w:space="0" w:color="auto"/>
      </w:divBdr>
    </w:div>
    <w:div w:id="1884831159">
      <w:bodyDiv w:val="1"/>
      <w:marLeft w:val="0"/>
      <w:marRight w:val="0"/>
      <w:marTop w:val="0"/>
      <w:marBottom w:val="0"/>
      <w:divBdr>
        <w:top w:val="none" w:sz="0" w:space="0" w:color="auto"/>
        <w:left w:val="none" w:sz="0" w:space="0" w:color="auto"/>
        <w:bottom w:val="none" w:sz="0" w:space="0" w:color="auto"/>
        <w:right w:val="none" w:sz="0" w:space="0" w:color="auto"/>
      </w:divBdr>
    </w:div>
    <w:div w:id="1939409029">
      <w:bodyDiv w:val="1"/>
      <w:marLeft w:val="0"/>
      <w:marRight w:val="0"/>
      <w:marTop w:val="0"/>
      <w:marBottom w:val="0"/>
      <w:divBdr>
        <w:top w:val="none" w:sz="0" w:space="0" w:color="auto"/>
        <w:left w:val="none" w:sz="0" w:space="0" w:color="auto"/>
        <w:bottom w:val="none" w:sz="0" w:space="0" w:color="auto"/>
        <w:right w:val="none" w:sz="0" w:space="0" w:color="auto"/>
      </w:divBdr>
      <w:divsChild>
        <w:div w:id="1084454323">
          <w:marLeft w:val="0"/>
          <w:marRight w:val="0"/>
          <w:marTop w:val="0"/>
          <w:marBottom w:val="0"/>
          <w:divBdr>
            <w:top w:val="none" w:sz="0" w:space="0" w:color="auto"/>
            <w:left w:val="none" w:sz="0" w:space="0" w:color="auto"/>
            <w:bottom w:val="none" w:sz="0" w:space="0" w:color="auto"/>
            <w:right w:val="none" w:sz="0" w:space="0" w:color="auto"/>
          </w:divBdr>
          <w:divsChild>
            <w:div w:id="1036538477">
              <w:marLeft w:val="0"/>
              <w:marRight w:val="0"/>
              <w:marTop w:val="0"/>
              <w:marBottom w:val="0"/>
              <w:divBdr>
                <w:top w:val="none" w:sz="0" w:space="0" w:color="auto"/>
                <w:left w:val="none" w:sz="0" w:space="0" w:color="auto"/>
                <w:bottom w:val="none" w:sz="0" w:space="0" w:color="auto"/>
                <w:right w:val="none" w:sz="0" w:space="0" w:color="auto"/>
              </w:divBdr>
              <w:divsChild>
                <w:div w:id="270864840">
                  <w:marLeft w:val="0"/>
                  <w:marRight w:val="0"/>
                  <w:marTop w:val="0"/>
                  <w:marBottom w:val="0"/>
                  <w:divBdr>
                    <w:top w:val="none" w:sz="0" w:space="0" w:color="auto"/>
                    <w:left w:val="none" w:sz="0" w:space="0" w:color="auto"/>
                    <w:bottom w:val="none" w:sz="0" w:space="0" w:color="auto"/>
                    <w:right w:val="none" w:sz="0" w:space="0" w:color="auto"/>
                  </w:divBdr>
                  <w:divsChild>
                    <w:div w:id="20995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85585">
      <w:bodyDiv w:val="1"/>
      <w:marLeft w:val="0"/>
      <w:marRight w:val="0"/>
      <w:marTop w:val="0"/>
      <w:marBottom w:val="0"/>
      <w:divBdr>
        <w:top w:val="none" w:sz="0" w:space="0" w:color="auto"/>
        <w:left w:val="none" w:sz="0" w:space="0" w:color="auto"/>
        <w:bottom w:val="none" w:sz="0" w:space="0" w:color="auto"/>
        <w:right w:val="none" w:sz="0" w:space="0" w:color="auto"/>
      </w:divBdr>
    </w:div>
    <w:div w:id="2088109018">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journal/international-journal-of-hydrogen-ener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biana.lanzillo@unin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imagojr.com/journalsearch.php?q=19618&amp;tip=si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A6FA2E-7F6D-B24A-8BA9-916232E19E94}">
  <we:reference id="wa200001361" version="2.129.3.0" store="en-US" storeType="OMEX"/>
  <we:alternateReferences>
    <we:reference id="WA200001361" version="2.129.3.0" store="WA200001361" storeType="OMEX"/>
  </we:alternateReferences>
  <we:properties>
    <we:property name="paperpal-document-id" value="&quot;0f552e5e-3d0b-4eb8-b1e5-a63af98586e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3625</Words>
  <Characters>20682</Characters>
  <Application>Microsoft Office Word</Application>
  <DocSecurity>0</DocSecurity>
  <Lines>380</Lines>
  <Paragraphs>144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INGE MARIA CIPRIANO</cp:lastModifiedBy>
  <cp:revision>2</cp:revision>
  <cp:lastPrinted>2015-05-12T18:31:00Z</cp:lastPrinted>
  <dcterms:created xsi:type="dcterms:W3CDTF">2026-03-06T10:42:00Z</dcterms:created>
  <dcterms:modified xsi:type="dcterms:W3CDTF">2026-03-06T10:42:00Z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d15e8dbb-0343-4f9a-8b31-95b4536501a2</vt:lpwstr>
  </property>
  <property fmtid="{D5CDD505-2E9C-101B-9397-08002B2CF9AE}" pid="5" name="MSIP_Label_2ad0b24d-6422-44b0-b3de-abb3a9e8c81a_Enabled">
    <vt:lpwstr>true</vt:lpwstr>
  </property>
  <property fmtid="{D5CDD505-2E9C-101B-9397-08002B2CF9AE}" pid="6" name="MSIP_Label_2ad0b24d-6422-44b0-b3de-abb3a9e8c81a_SetDate">
    <vt:lpwstr>2026-01-12T12:04:42Z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8277bc5b-8775-4e03-b8b1-1f7a2972e9a1</vt:lpwstr>
  </property>
  <property fmtid="{D5CDD505-2E9C-101B-9397-08002B2CF9AE}" pid="11" name="MSIP_Label_2ad0b24d-6422-44b0-b3de-abb3a9e8c81a_ContentBits">
    <vt:lpwstr>0</vt:lpwstr>
  </property>
</Properties>
</file>