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02799" w14:paraId="2A131A54" w14:textId="77777777" w:rsidTr="00F75C11">
        <w:trPr>
          <w:trHeight w:val="852"/>
          <w:jc w:val="center"/>
        </w:trPr>
        <w:tc>
          <w:tcPr>
            <w:tcW w:w="6940" w:type="dxa"/>
            <w:vMerge w:val="restart"/>
            <w:tcBorders>
              <w:right w:val="single" w:sz="4" w:space="0" w:color="auto"/>
            </w:tcBorders>
          </w:tcPr>
          <w:p w14:paraId="38C3D2BA" w14:textId="242E4DD3" w:rsidR="000A03B2" w:rsidRPr="00002799" w:rsidRDefault="000A03B2" w:rsidP="00DE264A">
            <w:pPr>
              <w:tabs>
                <w:tab w:val="left" w:pos="-108"/>
              </w:tabs>
              <w:ind w:left="-108"/>
              <w:jc w:val="left"/>
              <w:rPr>
                <w:rFonts w:cs="Arial"/>
                <w:b/>
                <w:bCs/>
                <w:i/>
                <w:iCs/>
                <w:color w:val="000066"/>
                <w:sz w:val="12"/>
                <w:szCs w:val="12"/>
                <w:lang w:eastAsia="it-IT"/>
              </w:rPr>
            </w:pPr>
            <w:bookmarkStart w:id="0" w:name="_Hlk145068772"/>
            <w:r w:rsidRPr="0000279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02799">
              <w:rPr>
                <w:rFonts w:ascii="AdvP6960" w:hAnsi="AdvP6960" w:cs="AdvP6960"/>
                <w:color w:val="241F20"/>
                <w:szCs w:val="18"/>
                <w:lang w:eastAsia="it-IT"/>
              </w:rPr>
              <w:t xml:space="preserve"> </w:t>
            </w:r>
            <w:r w:rsidRPr="00002799">
              <w:rPr>
                <w:rFonts w:cs="Arial"/>
                <w:b/>
                <w:bCs/>
                <w:i/>
                <w:iCs/>
                <w:color w:val="000066"/>
                <w:sz w:val="24"/>
                <w:szCs w:val="24"/>
                <w:lang w:eastAsia="it-IT"/>
              </w:rPr>
              <w:t>CHEMICAL ENGINEERING</w:t>
            </w:r>
            <w:r w:rsidRPr="00002799">
              <w:rPr>
                <w:rFonts w:cs="Arial"/>
                <w:b/>
                <w:bCs/>
                <w:i/>
                <w:iCs/>
                <w:color w:val="0033FF"/>
                <w:sz w:val="24"/>
                <w:szCs w:val="24"/>
                <w:lang w:eastAsia="it-IT"/>
              </w:rPr>
              <w:t xml:space="preserve"> </w:t>
            </w:r>
            <w:r w:rsidRPr="00002799">
              <w:rPr>
                <w:rFonts w:cs="Arial"/>
                <w:b/>
                <w:bCs/>
                <w:i/>
                <w:iCs/>
                <w:color w:val="666666"/>
                <w:sz w:val="24"/>
                <w:szCs w:val="24"/>
                <w:lang w:eastAsia="it-IT"/>
              </w:rPr>
              <w:t>TRANSACTIONS</w:t>
            </w:r>
            <w:r w:rsidRPr="00002799">
              <w:rPr>
                <w:color w:val="333333"/>
                <w:sz w:val="24"/>
                <w:szCs w:val="24"/>
                <w:lang w:eastAsia="it-IT"/>
              </w:rPr>
              <w:t xml:space="preserve"> </w:t>
            </w:r>
            <w:r w:rsidRPr="00002799">
              <w:rPr>
                <w:rFonts w:cs="Arial"/>
                <w:b/>
                <w:bCs/>
                <w:i/>
                <w:iCs/>
                <w:color w:val="000066"/>
                <w:sz w:val="27"/>
                <w:szCs w:val="27"/>
                <w:lang w:eastAsia="it-IT"/>
              </w:rPr>
              <w:br/>
            </w:r>
          </w:p>
          <w:p w14:paraId="4B780582" w14:textId="753620B8" w:rsidR="000A03B2" w:rsidRPr="00002799" w:rsidRDefault="00A76EFC" w:rsidP="001D21AF">
            <w:pPr>
              <w:tabs>
                <w:tab w:val="left" w:pos="-108"/>
              </w:tabs>
              <w:ind w:left="-108"/>
              <w:rPr>
                <w:rFonts w:cs="Arial"/>
                <w:b/>
                <w:bCs/>
                <w:i/>
                <w:iCs/>
                <w:color w:val="000066"/>
                <w:sz w:val="22"/>
                <w:szCs w:val="22"/>
                <w:lang w:eastAsia="it-IT"/>
              </w:rPr>
            </w:pPr>
            <w:r w:rsidRPr="00002799">
              <w:rPr>
                <w:rFonts w:cs="Arial"/>
                <w:b/>
                <w:bCs/>
                <w:i/>
                <w:iCs/>
                <w:color w:val="000066"/>
                <w:sz w:val="22"/>
                <w:szCs w:val="22"/>
                <w:lang w:eastAsia="it-IT"/>
              </w:rPr>
              <w:t>VOL.</w:t>
            </w:r>
            <w:r w:rsidR="00785BF9" w:rsidRPr="00002799">
              <w:rPr>
                <w:rFonts w:cs="Arial"/>
                <w:b/>
                <w:bCs/>
                <w:i/>
                <w:iCs/>
                <w:color w:val="000066"/>
                <w:sz w:val="22"/>
                <w:szCs w:val="22"/>
                <w:lang w:eastAsia="it-IT"/>
              </w:rPr>
              <w:t xml:space="preserve"> </w:t>
            </w:r>
            <w:r w:rsidR="00AD0278" w:rsidRPr="00002799">
              <w:rPr>
                <w:rFonts w:cs="Arial"/>
                <w:b/>
                <w:bCs/>
                <w:i/>
                <w:iCs/>
                <w:color w:val="000066"/>
                <w:sz w:val="22"/>
                <w:szCs w:val="22"/>
                <w:lang w:eastAsia="it-IT"/>
              </w:rPr>
              <w:t>xxx</w:t>
            </w:r>
            <w:r w:rsidR="007B48F9" w:rsidRPr="00002799">
              <w:rPr>
                <w:rFonts w:cs="Arial"/>
                <w:b/>
                <w:bCs/>
                <w:i/>
                <w:iCs/>
                <w:color w:val="000066"/>
                <w:sz w:val="22"/>
                <w:szCs w:val="22"/>
                <w:lang w:eastAsia="it-IT"/>
              </w:rPr>
              <w:t>,</w:t>
            </w:r>
            <w:r w:rsidR="00FA5F5F" w:rsidRPr="00002799">
              <w:rPr>
                <w:rFonts w:cs="Arial"/>
                <w:b/>
                <w:bCs/>
                <w:i/>
                <w:iCs/>
                <w:color w:val="000066"/>
                <w:sz w:val="22"/>
                <w:szCs w:val="22"/>
                <w:lang w:eastAsia="it-IT"/>
              </w:rPr>
              <w:t xml:space="preserve"> </w:t>
            </w:r>
            <w:r w:rsidR="0030152C" w:rsidRPr="00002799">
              <w:rPr>
                <w:rFonts w:cs="Arial"/>
                <w:b/>
                <w:bCs/>
                <w:i/>
                <w:iCs/>
                <w:color w:val="000066"/>
                <w:sz w:val="22"/>
                <w:szCs w:val="22"/>
                <w:lang w:eastAsia="it-IT"/>
              </w:rPr>
              <w:t>202</w:t>
            </w:r>
            <w:r w:rsidR="00AD0278" w:rsidRPr="00002799">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002799" w:rsidRDefault="000A03B2" w:rsidP="00CD5FE2">
            <w:pPr>
              <w:spacing w:line="140" w:lineRule="atLeast"/>
              <w:jc w:val="right"/>
              <w:rPr>
                <w:rFonts w:cs="Arial"/>
                <w:sz w:val="14"/>
                <w:szCs w:val="14"/>
              </w:rPr>
            </w:pPr>
            <w:r w:rsidRPr="00002799">
              <w:rPr>
                <w:rFonts w:cs="Arial"/>
                <w:sz w:val="14"/>
                <w:szCs w:val="14"/>
              </w:rPr>
              <w:t>A publication of</w:t>
            </w:r>
          </w:p>
          <w:p w14:paraId="599E5441" w14:textId="77777777" w:rsidR="000A03B2" w:rsidRPr="00002799" w:rsidRDefault="000A03B2" w:rsidP="00CD5FE2">
            <w:pPr>
              <w:jc w:val="right"/>
            </w:pPr>
            <w:r w:rsidRPr="0000279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02799" w14:paraId="380FA3CD" w14:textId="77777777" w:rsidTr="00F75C11">
        <w:trPr>
          <w:trHeight w:val="567"/>
          <w:jc w:val="center"/>
        </w:trPr>
        <w:tc>
          <w:tcPr>
            <w:tcW w:w="6940" w:type="dxa"/>
            <w:vMerge/>
            <w:tcBorders>
              <w:right w:val="single" w:sz="4" w:space="0" w:color="auto"/>
            </w:tcBorders>
          </w:tcPr>
          <w:p w14:paraId="39E5E4C1" w14:textId="77777777" w:rsidR="000A03B2" w:rsidRPr="00002799"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002799" w:rsidRDefault="000A03B2" w:rsidP="00CD5FE2">
            <w:pPr>
              <w:spacing w:line="140" w:lineRule="atLeast"/>
              <w:jc w:val="right"/>
              <w:rPr>
                <w:rFonts w:cs="Arial"/>
                <w:sz w:val="14"/>
                <w:szCs w:val="14"/>
              </w:rPr>
            </w:pPr>
            <w:r w:rsidRPr="00002799">
              <w:rPr>
                <w:rFonts w:cs="Arial"/>
                <w:sz w:val="14"/>
                <w:szCs w:val="14"/>
              </w:rPr>
              <w:t>The Italian Association</w:t>
            </w:r>
          </w:p>
          <w:p w14:paraId="7522B1D2" w14:textId="77777777" w:rsidR="000A03B2" w:rsidRPr="00002799" w:rsidRDefault="000A03B2" w:rsidP="00CD5FE2">
            <w:pPr>
              <w:spacing w:line="140" w:lineRule="atLeast"/>
              <w:jc w:val="right"/>
              <w:rPr>
                <w:rFonts w:cs="Arial"/>
                <w:sz w:val="14"/>
                <w:szCs w:val="14"/>
              </w:rPr>
            </w:pPr>
            <w:r w:rsidRPr="00002799">
              <w:rPr>
                <w:rFonts w:cs="Arial"/>
                <w:sz w:val="14"/>
                <w:szCs w:val="14"/>
              </w:rPr>
              <w:t>of Chemical Engineering</w:t>
            </w:r>
          </w:p>
          <w:p w14:paraId="4F0CC5DE" w14:textId="47FDB2FC" w:rsidR="000A03B2" w:rsidRPr="00002799" w:rsidRDefault="000D0268" w:rsidP="00CD5FE2">
            <w:pPr>
              <w:spacing w:line="140" w:lineRule="atLeast"/>
              <w:jc w:val="right"/>
              <w:rPr>
                <w:rFonts w:cs="Arial"/>
                <w:sz w:val="13"/>
                <w:szCs w:val="13"/>
              </w:rPr>
            </w:pPr>
            <w:r w:rsidRPr="00002799">
              <w:rPr>
                <w:rFonts w:cs="Arial"/>
                <w:sz w:val="13"/>
                <w:szCs w:val="13"/>
              </w:rPr>
              <w:t>Online at www.cetjournal.it</w:t>
            </w:r>
          </w:p>
        </w:tc>
      </w:tr>
      <w:tr w:rsidR="000A03B2" w:rsidRPr="00002799" w14:paraId="2D1B7169" w14:textId="77777777" w:rsidTr="00F75C11">
        <w:trPr>
          <w:trHeight w:val="68"/>
          <w:jc w:val="center"/>
        </w:trPr>
        <w:tc>
          <w:tcPr>
            <w:tcW w:w="8782" w:type="dxa"/>
            <w:gridSpan w:val="2"/>
          </w:tcPr>
          <w:p w14:paraId="1D8DD3C9" w14:textId="252289FB" w:rsidR="00AA7D26" w:rsidRPr="004638A1" w:rsidRDefault="004A5E57" w:rsidP="004A5E57">
            <w:pPr>
              <w:ind w:left="-107"/>
              <w:outlineLvl w:val="2"/>
              <w:rPr>
                <w:rFonts w:ascii="Tahoma" w:hAnsi="Tahoma" w:cs="Tahoma"/>
                <w:bCs/>
                <w:color w:val="000000"/>
                <w:sz w:val="14"/>
                <w:szCs w:val="14"/>
                <w:lang w:val="it-IT" w:eastAsia="it-IT"/>
              </w:rPr>
            </w:pPr>
            <w:r w:rsidRPr="004638A1">
              <w:rPr>
                <w:rFonts w:ascii="Tahoma" w:hAnsi="Tahoma" w:cs="Tahoma"/>
                <w:iCs/>
                <w:color w:val="333333"/>
                <w:sz w:val="14"/>
                <w:szCs w:val="14"/>
                <w:lang w:val="it-IT" w:eastAsia="it-IT"/>
              </w:rPr>
              <w:t>Guest Editors:</w:t>
            </w:r>
            <w:r w:rsidRPr="004638A1">
              <w:rPr>
                <w:rFonts w:ascii="Tahoma" w:hAnsi="Tahoma" w:cs="Tahoma"/>
                <w:color w:val="000000"/>
                <w:sz w:val="14"/>
                <w:szCs w:val="14"/>
                <w:shd w:val="clear" w:color="auto" w:fill="FFFFFF"/>
                <w:lang w:val="it-IT"/>
              </w:rPr>
              <w:t xml:space="preserve"> </w:t>
            </w:r>
            <w:r w:rsidR="00005884" w:rsidRPr="004638A1">
              <w:rPr>
                <w:rFonts w:ascii="Tahoma" w:hAnsi="Tahoma" w:cs="Tahoma"/>
                <w:color w:val="000000"/>
                <w:sz w:val="14"/>
                <w:szCs w:val="14"/>
                <w:shd w:val="clear" w:color="auto" w:fill="FFFFFF"/>
                <w:lang w:val="it-IT"/>
              </w:rPr>
              <w:t>Marco Bravi, Antonio Marzocchella, Giuseppe Caputo</w:t>
            </w:r>
          </w:p>
          <w:p w14:paraId="1B0F1814" w14:textId="710B7B96" w:rsidR="000A03B2" w:rsidRPr="00002799" w:rsidRDefault="00AA7D26" w:rsidP="00AA7D26">
            <w:pPr>
              <w:tabs>
                <w:tab w:val="left" w:pos="-108"/>
              </w:tabs>
              <w:spacing w:line="140" w:lineRule="atLeast"/>
              <w:ind w:left="-107"/>
              <w:jc w:val="left"/>
            </w:pPr>
            <w:r w:rsidRPr="00002799">
              <w:rPr>
                <w:rFonts w:ascii="Tahoma" w:hAnsi="Tahoma" w:cs="Tahoma"/>
                <w:iCs/>
                <w:color w:val="333333"/>
                <w:sz w:val="14"/>
                <w:szCs w:val="14"/>
                <w:lang w:eastAsia="it-IT"/>
              </w:rPr>
              <w:t>Copyright © 202</w:t>
            </w:r>
            <w:r w:rsidR="00005884" w:rsidRPr="00002799">
              <w:rPr>
                <w:rFonts w:ascii="Tahoma" w:hAnsi="Tahoma" w:cs="Tahoma"/>
                <w:iCs/>
                <w:color w:val="333333"/>
                <w:sz w:val="14"/>
                <w:szCs w:val="14"/>
                <w:lang w:eastAsia="it-IT"/>
              </w:rPr>
              <w:t>6</w:t>
            </w:r>
            <w:r w:rsidRPr="00002799">
              <w:rPr>
                <w:rFonts w:ascii="Tahoma" w:hAnsi="Tahoma" w:cs="Tahoma"/>
                <w:iCs/>
                <w:color w:val="333333"/>
                <w:sz w:val="14"/>
                <w:szCs w:val="14"/>
                <w:lang w:eastAsia="it-IT"/>
              </w:rPr>
              <w:t xml:space="preserve">, AIDIC Servizi </w:t>
            </w:r>
            <w:proofErr w:type="spellStart"/>
            <w:r w:rsidRPr="00002799">
              <w:rPr>
                <w:rFonts w:ascii="Tahoma" w:hAnsi="Tahoma" w:cs="Tahoma"/>
                <w:iCs/>
                <w:color w:val="333333"/>
                <w:sz w:val="14"/>
                <w:szCs w:val="14"/>
                <w:lang w:eastAsia="it-IT"/>
              </w:rPr>
              <w:t>S.r.l</w:t>
            </w:r>
            <w:proofErr w:type="spellEnd"/>
            <w:r w:rsidRPr="00002799">
              <w:rPr>
                <w:rFonts w:ascii="Tahoma" w:hAnsi="Tahoma" w:cs="Tahoma"/>
                <w:iCs/>
                <w:color w:val="333333"/>
                <w:sz w:val="14"/>
                <w:szCs w:val="14"/>
                <w:lang w:eastAsia="it-IT"/>
              </w:rPr>
              <w:t>.</w:t>
            </w:r>
            <w:r w:rsidRPr="00002799">
              <w:rPr>
                <w:rFonts w:ascii="Tahoma" w:hAnsi="Tahoma" w:cs="Tahoma"/>
                <w:iCs/>
                <w:color w:val="333333"/>
                <w:sz w:val="14"/>
                <w:szCs w:val="14"/>
                <w:lang w:eastAsia="it-IT"/>
              </w:rPr>
              <w:br/>
            </w:r>
            <w:r w:rsidRPr="00002799">
              <w:rPr>
                <w:rFonts w:ascii="Tahoma" w:hAnsi="Tahoma" w:cs="Tahoma"/>
                <w:b/>
                <w:iCs/>
                <w:color w:val="000000"/>
                <w:sz w:val="14"/>
                <w:szCs w:val="14"/>
                <w:lang w:eastAsia="it-IT"/>
              </w:rPr>
              <w:t>ISBN</w:t>
            </w:r>
            <w:r w:rsidRPr="00002799">
              <w:rPr>
                <w:rFonts w:ascii="Tahoma" w:hAnsi="Tahoma" w:cs="Tahoma"/>
                <w:iCs/>
                <w:color w:val="000000"/>
                <w:sz w:val="14"/>
                <w:szCs w:val="14"/>
                <w:lang w:eastAsia="it-IT"/>
              </w:rPr>
              <w:t xml:space="preserve"> </w:t>
            </w:r>
            <w:r w:rsidR="00D2582C" w:rsidRPr="00002799">
              <w:rPr>
                <w:rFonts w:ascii="Tahoma" w:hAnsi="Tahoma" w:cs="Tahoma"/>
                <w:sz w:val="14"/>
                <w:szCs w:val="14"/>
              </w:rPr>
              <w:t>979-12-81206-</w:t>
            </w:r>
            <w:r w:rsidR="00005884" w:rsidRPr="00002799">
              <w:rPr>
                <w:rFonts w:ascii="Tahoma" w:hAnsi="Tahoma" w:cs="Tahoma"/>
                <w:sz w:val="14"/>
                <w:szCs w:val="14"/>
              </w:rPr>
              <w:t>xx</w:t>
            </w:r>
            <w:r w:rsidR="009041F8" w:rsidRPr="00002799">
              <w:rPr>
                <w:rFonts w:ascii="Tahoma" w:hAnsi="Tahoma" w:cs="Tahoma"/>
                <w:sz w:val="14"/>
                <w:szCs w:val="14"/>
              </w:rPr>
              <w:t>-</w:t>
            </w:r>
            <w:r w:rsidR="00005884" w:rsidRPr="00002799">
              <w:rPr>
                <w:rFonts w:ascii="Tahoma" w:hAnsi="Tahoma" w:cs="Tahoma"/>
                <w:sz w:val="14"/>
                <w:szCs w:val="14"/>
              </w:rPr>
              <w:t>x</w:t>
            </w:r>
            <w:r w:rsidRPr="00002799">
              <w:rPr>
                <w:rFonts w:ascii="Tahoma" w:hAnsi="Tahoma" w:cs="Tahoma"/>
                <w:iCs/>
                <w:color w:val="333333"/>
                <w:sz w:val="14"/>
                <w:szCs w:val="14"/>
                <w:lang w:eastAsia="it-IT"/>
              </w:rPr>
              <w:t xml:space="preserve">; </w:t>
            </w:r>
            <w:r w:rsidRPr="00002799">
              <w:rPr>
                <w:rFonts w:ascii="Tahoma" w:hAnsi="Tahoma" w:cs="Tahoma"/>
                <w:b/>
                <w:iCs/>
                <w:color w:val="333333"/>
                <w:sz w:val="14"/>
                <w:szCs w:val="14"/>
                <w:lang w:eastAsia="it-IT"/>
              </w:rPr>
              <w:t>ISSN</w:t>
            </w:r>
            <w:r w:rsidRPr="00002799">
              <w:rPr>
                <w:rFonts w:ascii="Tahoma" w:hAnsi="Tahoma" w:cs="Tahoma"/>
                <w:iCs/>
                <w:color w:val="333333"/>
                <w:sz w:val="14"/>
                <w:szCs w:val="14"/>
                <w:lang w:eastAsia="it-IT"/>
              </w:rPr>
              <w:t xml:space="preserve"> 2283-9216</w:t>
            </w:r>
          </w:p>
        </w:tc>
      </w:tr>
      <w:bookmarkEnd w:id="0"/>
    </w:tbl>
    <w:p w14:paraId="7C195DD5" w14:textId="77777777" w:rsidR="00AC42E6" w:rsidRPr="00002799" w:rsidRDefault="00AC42E6" w:rsidP="00F75C11">
      <w:pPr>
        <w:jc w:val="center"/>
        <w:rPr>
          <w:rFonts w:cs="Arial"/>
          <w:sz w:val="32"/>
          <w:szCs w:val="28"/>
        </w:rPr>
      </w:pPr>
    </w:p>
    <w:p w14:paraId="2DB3C348" w14:textId="67A659A4" w:rsidR="00F75C11" w:rsidRPr="00002799" w:rsidRDefault="00F75C11" w:rsidP="00F75C11">
      <w:pPr>
        <w:jc w:val="center"/>
        <w:rPr>
          <w:rFonts w:cs="Arial"/>
          <w:sz w:val="32"/>
          <w:szCs w:val="28"/>
        </w:rPr>
      </w:pPr>
      <w:r w:rsidRPr="00002799">
        <w:rPr>
          <w:rFonts w:cs="Arial"/>
          <w:sz w:val="32"/>
          <w:szCs w:val="28"/>
        </w:rPr>
        <w:t xml:space="preserve">An Innovative One-Step Method </w:t>
      </w:r>
      <w:r w:rsidR="009F3B75" w:rsidRPr="00002799">
        <w:rPr>
          <w:rFonts w:cs="Arial"/>
          <w:sz w:val="32"/>
          <w:szCs w:val="28"/>
        </w:rPr>
        <w:t>to</w:t>
      </w:r>
      <w:r w:rsidRPr="00002799">
        <w:rPr>
          <w:rFonts w:cs="Arial"/>
          <w:sz w:val="32"/>
          <w:szCs w:val="28"/>
        </w:rPr>
        <w:t xml:space="preserve"> Produce Membranes </w:t>
      </w:r>
      <w:r w:rsidR="009F3B75" w:rsidRPr="00002799">
        <w:rPr>
          <w:rFonts w:cs="Arial"/>
          <w:sz w:val="32"/>
          <w:szCs w:val="28"/>
        </w:rPr>
        <w:t>w</w:t>
      </w:r>
      <w:r w:rsidRPr="00002799">
        <w:rPr>
          <w:rFonts w:cs="Arial"/>
          <w:sz w:val="32"/>
          <w:szCs w:val="28"/>
        </w:rPr>
        <w:t xml:space="preserve">ith </w:t>
      </w:r>
      <w:r w:rsidR="009F3B75" w:rsidRPr="00002799">
        <w:rPr>
          <w:rFonts w:cs="Arial"/>
          <w:sz w:val="32"/>
          <w:szCs w:val="28"/>
        </w:rPr>
        <w:t>a</w:t>
      </w:r>
      <w:r w:rsidRPr="00002799">
        <w:rPr>
          <w:rFonts w:cs="Arial"/>
          <w:sz w:val="32"/>
          <w:szCs w:val="28"/>
        </w:rPr>
        <w:t xml:space="preserve"> Pore Size Gradient</w:t>
      </w:r>
    </w:p>
    <w:p w14:paraId="0488FED2" w14:textId="1B9C207B" w:rsidR="00B57E6F" w:rsidRPr="004638A1" w:rsidRDefault="001C2104" w:rsidP="00B57E6F">
      <w:pPr>
        <w:pStyle w:val="CETAuthors"/>
        <w:rPr>
          <w:noProof w:val="0"/>
          <w:lang w:val="it-IT"/>
        </w:rPr>
      </w:pPr>
      <w:r w:rsidRPr="004638A1">
        <w:rPr>
          <w:noProof w:val="0"/>
          <w:lang w:val="it-IT"/>
        </w:rPr>
        <w:t>Elena Inzerillo</w:t>
      </w:r>
      <w:r w:rsidR="00F36D7A" w:rsidRPr="004638A1">
        <w:rPr>
          <w:noProof w:val="0"/>
          <w:vertAlign w:val="superscript"/>
          <w:lang w:val="it-IT"/>
        </w:rPr>
        <w:t>*</w:t>
      </w:r>
      <w:r w:rsidRPr="004638A1">
        <w:rPr>
          <w:noProof w:val="0"/>
          <w:lang w:val="it-IT"/>
        </w:rPr>
        <w:t>,</w:t>
      </w:r>
      <w:r w:rsidR="00C62289" w:rsidRPr="004638A1">
        <w:rPr>
          <w:noProof w:val="0"/>
          <w:lang w:val="it-IT"/>
        </w:rPr>
        <w:t xml:space="preserve"> </w:t>
      </w:r>
      <w:r w:rsidR="00C62289" w:rsidRPr="004638A1">
        <w:rPr>
          <w:rFonts w:cs="Arial"/>
          <w:noProof w:val="0"/>
          <w:color w:val="000000" w:themeColor="text1"/>
          <w:lang w:val="it-IT"/>
        </w:rPr>
        <w:t>Valerio Brucato, Gaetano Burriesci, Francesco Carfì Pavia, Tommaso Ingrassia</w:t>
      </w:r>
      <w:r w:rsidR="00B57E6F" w:rsidRPr="004638A1">
        <w:rPr>
          <w:noProof w:val="0"/>
          <w:lang w:val="it-IT"/>
        </w:rPr>
        <w:t xml:space="preserve"> </w:t>
      </w:r>
    </w:p>
    <w:p w14:paraId="6B2D21B3" w14:textId="6A6639BB" w:rsidR="00B57E6F" w:rsidRPr="00002799" w:rsidRDefault="00F36D7A" w:rsidP="00B57E6F">
      <w:pPr>
        <w:pStyle w:val="CETAddress"/>
        <w:rPr>
          <w:noProof w:val="0"/>
        </w:rPr>
      </w:pPr>
      <w:r w:rsidRPr="00002799">
        <w:rPr>
          <w:noProof w:val="0"/>
        </w:rPr>
        <w:t>Department of Engineering</w:t>
      </w:r>
      <w:r w:rsidR="00503B9E" w:rsidRPr="00002799">
        <w:rPr>
          <w:noProof w:val="0"/>
        </w:rPr>
        <w:t xml:space="preserve">, University of Palermo, Viale </w:t>
      </w:r>
      <w:r w:rsidR="004638A1" w:rsidRPr="00002799">
        <w:rPr>
          <w:noProof w:val="0"/>
        </w:rPr>
        <w:t>delle</w:t>
      </w:r>
      <w:r w:rsidR="00503B9E" w:rsidRPr="00002799">
        <w:rPr>
          <w:noProof w:val="0"/>
        </w:rPr>
        <w:t xml:space="preserve"> Scienze, 90128 Palermo, Italy</w:t>
      </w:r>
    </w:p>
    <w:p w14:paraId="73F1267A" w14:textId="05486451" w:rsidR="00B57E6F" w:rsidRPr="00002799" w:rsidRDefault="00D673A0" w:rsidP="00B57E6F">
      <w:pPr>
        <w:pStyle w:val="CETemail"/>
        <w:rPr>
          <w:noProof w:val="0"/>
        </w:rPr>
      </w:pPr>
      <w:hyperlink r:id="rId10" w:history="1">
        <w:r w:rsidRPr="00002799">
          <w:rPr>
            <w:rStyle w:val="Collegamentoipertestuale"/>
            <w:noProof w:val="0"/>
          </w:rPr>
          <w:t>elena.inzerillo@unipa.it</w:t>
        </w:r>
      </w:hyperlink>
      <w:r w:rsidR="00B57E6F" w:rsidRPr="00002799">
        <w:rPr>
          <w:noProof w:val="0"/>
        </w:rPr>
        <w:t xml:space="preserve"> </w:t>
      </w:r>
    </w:p>
    <w:p w14:paraId="268CFF55" w14:textId="6F98F900" w:rsidR="00645C62" w:rsidRPr="00985C50" w:rsidRDefault="0075448A" w:rsidP="00060D8C">
      <w:pPr>
        <w:pStyle w:val="CETBodytext"/>
        <w:spacing w:line="240" w:lineRule="auto"/>
        <w:rPr>
          <w:rFonts w:cs="Arial"/>
          <w:color w:val="000000" w:themeColor="text1"/>
          <w:lang w:val="en-GB"/>
        </w:rPr>
      </w:pPr>
      <w:r w:rsidRPr="00985C50">
        <w:rPr>
          <w:rFonts w:cs="Arial"/>
          <w:color w:val="000000" w:themeColor="text1"/>
          <w:lang w:val="en-GB"/>
        </w:rPr>
        <w:t>The fabrication of porous scaffold</w:t>
      </w:r>
      <w:r w:rsidR="00442A1C" w:rsidRPr="00985C50">
        <w:rPr>
          <w:rFonts w:cs="Arial"/>
          <w:color w:val="000000" w:themeColor="text1"/>
          <w:lang w:val="en-GB"/>
        </w:rPr>
        <w:t>s</w:t>
      </w:r>
      <w:r w:rsidRPr="00985C50">
        <w:rPr>
          <w:rFonts w:cs="Arial"/>
          <w:color w:val="000000" w:themeColor="text1"/>
          <w:lang w:val="en-GB"/>
        </w:rPr>
        <w:t xml:space="preserve"> with continuous pore</w:t>
      </w:r>
      <w:r w:rsidR="00442A1C" w:rsidRPr="00985C50">
        <w:rPr>
          <w:rFonts w:cs="Arial"/>
          <w:color w:val="000000" w:themeColor="text1"/>
          <w:lang w:val="en-GB"/>
        </w:rPr>
        <w:t xml:space="preserve"> </w:t>
      </w:r>
      <w:r w:rsidRPr="00985C50">
        <w:rPr>
          <w:rFonts w:cs="Arial"/>
          <w:color w:val="000000" w:themeColor="text1"/>
          <w:lang w:val="en-GB"/>
        </w:rPr>
        <w:t xml:space="preserve">size </w:t>
      </w:r>
      <w:r w:rsidR="00FA3A1A" w:rsidRPr="00985C50">
        <w:rPr>
          <w:rFonts w:cs="Arial"/>
          <w:color w:val="000000" w:themeColor="text1"/>
          <w:lang w:val="en-GB"/>
        </w:rPr>
        <w:t>gradients is</w:t>
      </w:r>
      <w:r w:rsidR="005F08BD" w:rsidRPr="00985C50">
        <w:rPr>
          <w:rFonts w:cs="Arial"/>
          <w:color w:val="000000" w:themeColor="text1"/>
          <w:lang w:val="en-GB"/>
        </w:rPr>
        <w:t xml:space="preserve"> growing </w:t>
      </w:r>
      <w:r w:rsidR="005E50CE" w:rsidRPr="00985C50">
        <w:rPr>
          <w:rFonts w:cs="Arial"/>
          <w:color w:val="000000" w:themeColor="text1"/>
          <w:lang w:val="en-GB"/>
        </w:rPr>
        <w:t xml:space="preserve">in </w:t>
      </w:r>
      <w:r w:rsidR="00FA3A1A" w:rsidRPr="00985C50">
        <w:rPr>
          <w:rFonts w:cs="Arial"/>
          <w:color w:val="000000" w:themeColor="text1"/>
          <w:lang w:val="en-GB"/>
        </w:rPr>
        <w:t xml:space="preserve">interest in </w:t>
      </w:r>
      <w:r w:rsidR="00F8103D" w:rsidRPr="00985C50">
        <w:rPr>
          <w:rFonts w:cs="Arial"/>
          <w:color w:val="000000" w:themeColor="text1"/>
          <w:lang w:val="en-GB"/>
        </w:rPr>
        <w:t>t</w:t>
      </w:r>
      <w:r w:rsidR="00FA3A1A" w:rsidRPr="00985C50">
        <w:rPr>
          <w:rFonts w:cs="Arial"/>
          <w:color w:val="000000" w:themeColor="text1"/>
          <w:lang w:val="en-GB"/>
        </w:rPr>
        <w:t xml:space="preserve">issue </w:t>
      </w:r>
      <w:r w:rsidR="00F8103D" w:rsidRPr="00985C50">
        <w:rPr>
          <w:rFonts w:cs="Arial"/>
          <w:color w:val="000000" w:themeColor="text1"/>
          <w:lang w:val="en-GB"/>
        </w:rPr>
        <w:t>e</w:t>
      </w:r>
      <w:r w:rsidR="00FA3A1A" w:rsidRPr="00985C50">
        <w:rPr>
          <w:rFonts w:cs="Arial"/>
          <w:color w:val="000000" w:themeColor="text1"/>
          <w:lang w:val="en-GB"/>
        </w:rPr>
        <w:t>ngineering, as graded architectures better mimic the structural</w:t>
      </w:r>
      <w:r w:rsidR="00740A99" w:rsidRPr="00985C50">
        <w:rPr>
          <w:rFonts w:cs="Arial"/>
          <w:color w:val="000000" w:themeColor="text1"/>
          <w:lang w:val="en-GB"/>
        </w:rPr>
        <w:t xml:space="preserve"> heterogeneity</w:t>
      </w:r>
      <w:r w:rsidR="00AD4D8A" w:rsidRPr="00985C50">
        <w:rPr>
          <w:rFonts w:cs="Arial"/>
          <w:color w:val="000000" w:themeColor="text1"/>
          <w:lang w:val="en-GB"/>
        </w:rPr>
        <w:t xml:space="preserve"> of native interfacial tissues</w:t>
      </w:r>
      <w:r w:rsidR="00740A99" w:rsidRPr="00985C50">
        <w:rPr>
          <w:rFonts w:cs="Arial"/>
          <w:color w:val="000000" w:themeColor="text1"/>
          <w:lang w:val="en-GB"/>
        </w:rPr>
        <w:t>.</w:t>
      </w:r>
      <w:r w:rsidR="004A06B7" w:rsidRPr="00985C50">
        <w:rPr>
          <w:rFonts w:cs="Arial"/>
          <w:color w:val="000000" w:themeColor="text1"/>
          <w:lang w:val="en-GB"/>
        </w:rPr>
        <w:t xml:space="preserve"> </w:t>
      </w:r>
      <w:r w:rsidR="00842E2D" w:rsidRPr="00985C50">
        <w:rPr>
          <w:rFonts w:cs="Arial"/>
          <w:color w:val="000000" w:themeColor="text1"/>
          <w:lang w:val="en-GB"/>
        </w:rPr>
        <w:t>Conventional strategies based on monolayer</w:t>
      </w:r>
      <w:r w:rsidR="002F2650" w:rsidRPr="00985C50">
        <w:rPr>
          <w:rFonts w:cs="Arial"/>
          <w:color w:val="000000" w:themeColor="text1"/>
          <w:lang w:val="en-GB"/>
        </w:rPr>
        <w:t xml:space="preserve"> scaffolds fail to reproduce this heterogeneity, while multilayer constructs introduce interfaces that do not ensure continuous transitions in structural and mechanical properties</w:t>
      </w:r>
      <w:r w:rsidR="00E00ED8" w:rsidRPr="00985C50">
        <w:rPr>
          <w:rFonts w:cs="Arial"/>
          <w:color w:val="000000" w:themeColor="text1"/>
          <w:lang w:val="en-GB"/>
        </w:rPr>
        <w:t xml:space="preserve">. </w:t>
      </w:r>
      <w:r w:rsidR="00DA520B" w:rsidRPr="00985C50">
        <w:rPr>
          <w:rFonts w:cs="Arial"/>
          <w:color w:val="000000" w:themeColor="text1"/>
          <w:lang w:val="en-GB"/>
        </w:rPr>
        <w:t>Although</w:t>
      </w:r>
      <w:r w:rsidR="005A4177" w:rsidRPr="00985C50">
        <w:rPr>
          <w:rFonts w:cs="Arial"/>
          <w:color w:val="000000" w:themeColor="text1"/>
          <w:lang w:val="en-GB"/>
        </w:rPr>
        <w:t xml:space="preserve"> most gradient fabrication approaches rely on multistep or post-processing techniques, </w:t>
      </w:r>
      <w:r w:rsidR="00192B0F" w:rsidRPr="00985C50">
        <w:rPr>
          <w:rFonts w:cs="Arial"/>
          <w:color w:val="000000" w:themeColor="text1"/>
          <w:lang w:val="en-GB"/>
        </w:rPr>
        <w:t xml:space="preserve">limited attention has been </w:t>
      </w:r>
      <w:r w:rsidR="00921BE3" w:rsidRPr="00985C50">
        <w:rPr>
          <w:rFonts w:cs="Arial"/>
          <w:color w:val="000000" w:themeColor="text1"/>
          <w:lang w:val="en-GB"/>
        </w:rPr>
        <w:t>focused</w:t>
      </w:r>
      <w:r w:rsidR="00192B0F" w:rsidRPr="00985C50">
        <w:rPr>
          <w:rFonts w:cs="Arial"/>
          <w:color w:val="000000" w:themeColor="text1"/>
          <w:lang w:val="en-GB"/>
        </w:rPr>
        <w:t xml:space="preserve"> to </w:t>
      </w:r>
      <w:r w:rsidR="00633239" w:rsidRPr="00985C50">
        <w:rPr>
          <w:rFonts w:cs="Arial"/>
          <w:color w:val="000000" w:themeColor="text1"/>
          <w:lang w:val="en-GB"/>
        </w:rPr>
        <w:t>procedure</w:t>
      </w:r>
      <w:r w:rsidR="00A25B3C" w:rsidRPr="00985C50">
        <w:rPr>
          <w:rFonts w:cs="Arial"/>
          <w:color w:val="000000" w:themeColor="text1"/>
          <w:lang w:val="en-GB"/>
        </w:rPr>
        <w:t xml:space="preserve">s </w:t>
      </w:r>
      <w:r w:rsidR="003A43D3" w:rsidRPr="00985C50">
        <w:rPr>
          <w:rFonts w:cs="Arial"/>
          <w:color w:val="000000" w:themeColor="text1"/>
          <w:lang w:val="en-GB"/>
        </w:rPr>
        <w:t xml:space="preserve">allowing to obtain directly the final </w:t>
      </w:r>
      <w:r w:rsidR="00073396" w:rsidRPr="00985C50">
        <w:rPr>
          <w:rFonts w:cs="Arial"/>
          <w:color w:val="000000" w:themeColor="text1"/>
          <w:lang w:val="en-GB"/>
        </w:rPr>
        <w:t>scaffold</w:t>
      </w:r>
      <w:r w:rsidR="00192B0F" w:rsidRPr="00985C50">
        <w:rPr>
          <w:rFonts w:cs="Arial"/>
          <w:color w:val="000000" w:themeColor="text1"/>
          <w:lang w:val="en-GB"/>
        </w:rPr>
        <w:t xml:space="preserve">. </w:t>
      </w:r>
      <w:r w:rsidR="00740A99" w:rsidRPr="00985C50">
        <w:rPr>
          <w:rFonts w:cs="Arial"/>
          <w:color w:val="000000" w:themeColor="text1"/>
          <w:lang w:val="en-GB"/>
        </w:rPr>
        <w:t xml:space="preserve">Thermally </w:t>
      </w:r>
      <w:r w:rsidR="00F8103D" w:rsidRPr="00985C50">
        <w:rPr>
          <w:rFonts w:cs="Arial"/>
          <w:color w:val="000000" w:themeColor="text1"/>
          <w:lang w:val="en-GB"/>
        </w:rPr>
        <w:t>i</w:t>
      </w:r>
      <w:r w:rsidR="00740A99" w:rsidRPr="00985C50">
        <w:rPr>
          <w:rFonts w:cs="Arial"/>
          <w:color w:val="000000" w:themeColor="text1"/>
          <w:lang w:val="en-GB"/>
        </w:rPr>
        <w:t xml:space="preserve">nduced </w:t>
      </w:r>
      <w:r w:rsidR="00F8103D" w:rsidRPr="00985C50">
        <w:rPr>
          <w:rFonts w:cs="Arial"/>
          <w:color w:val="000000" w:themeColor="text1"/>
          <w:lang w:val="en-GB"/>
        </w:rPr>
        <w:t>p</w:t>
      </w:r>
      <w:r w:rsidR="00740A99" w:rsidRPr="00985C50">
        <w:rPr>
          <w:rFonts w:cs="Arial"/>
          <w:color w:val="000000" w:themeColor="text1"/>
          <w:lang w:val="en-GB"/>
        </w:rPr>
        <w:t xml:space="preserve">hase </w:t>
      </w:r>
      <w:r w:rsidR="00F8103D" w:rsidRPr="00985C50">
        <w:rPr>
          <w:rFonts w:cs="Arial"/>
          <w:color w:val="000000" w:themeColor="text1"/>
          <w:lang w:val="en-GB"/>
        </w:rPr>
        <w:t>s</w:t>
      </w:r>
      <w:r w:rsidR="00740A99" w:rsidRPr="00985C50">
        <w:rPr>
          <w:rFonts w:cs="Arial"/>
          <w:color w:val="000000" w:themeColor="text1"/>
          <w:lang w:val="en-GB"/>
        </w:rPr>
        <w:t>eparation</w:t>
      </w:r>
      <w:r w:rsidR="006F2658" w:rsidRPr="00985C50">
        <w:rPr>
          <w:rFonts w:cs="Arial"/>
          <w:color w:val="000000" w:themeColor="text1"/>
          <w:lang w:val="en-GB"/>
        </w:rPr>
        <w:t xml:space="preserve"> </w:t>
      </w:r>
      <w:r w:rsidR="0087213C" w:rsidRPr="00985C50">
        <w:rPr>
          <w:rFonts w:cs="Arial"/>
          <w:color w:val="000000" w:themeColor="text1"/>
          <w:lang w:val="en-GB"/>
        </w:rPr>
        <w:t>is</w:t>
      </w:r>
      <w:r w:rsidR="006F2658" w:rsidRPr="00985C50">
        <w:rPr>
          <w:rFonts w:cs="Arial"/>
          <w:color w:val="000000" w:themeColor="text1"/>
          <w:lang w:val="en-GB"/>
        </w:rPr>
        <w:t xml:space="preserve"> a versatile </w:t>
      </w:r>
      <w:r w:rsidR="001E4BB1" w:rsidRPr="00985C50">
        <w:rPr>
          <w:rFonts w:cs="Arial"/>
          <w:color w:val="000000" w:themeColor="text1"/>
          <w:lang w:val="en-GB"/>
        </w:rPr>
        <w:t>method</w:t>
      </w:r>
      <w:r w:rsidR="006F2658" w:rsidRPr="00985C50">
        <w:rPr>
          <w:rFonts w:cs="Arial"/>
          <w:color w:val="000000" w:themeColor="text1"/>
          <w:lang w:val="en-GB"/>
        </w:rPr>
        <w:t xml:space="preserve"> for </w:t>
      </w:r>
      <w:r w:rsidR="00653381" w:rsidRPr="00985C50">
        <w:rPr>
          <w:rFonts w:cs="Arial"/>
          <w:color w:val="000000" w:themeColor="text1"/>
          <w:lang w:val="en-GB"/>
        </w:rPr>
        <w:t xml:space="preserve">regulating </w:t>
      </w:r>
      <w:r w:rsidR="00474A51" w:rsidRPr="00985C50">
        <w:rPr>
          <w:rFonts w:cs="Arial"/>
          <w:color w:val="000000" w:themeColor="text1"/>
          <w:lang w:val="en-GB"/>
        </w:rPr>
        <w:t xml:space="preserve">pore morphology in </w:t>
      </w:r>
      <w:r w:rsidR="00FA3348" w:rsidRPr="00985C50">
        <w:rPr>
          <w:rFonts w:cs="Arial"/>
          <w:color w:val="000000" w:themeColor="text1"/>
          <w:lang w:val="en-GB"/>
        </w:rPr>
        <w:t xml:space="preserve">scaffold </w:t>
      </w:r>
      <w:r w:rsidR="009A5C00" w:rsidRPr="00985C50">
        <w:rPr>
          <w:rFonts w:cs="Arial"/>
          <w:color w:val="000000" w:themeColor="text1"/>
          <w:lang w:val="en-GB"/>
        </w:rPr>
        <w:t>by controlling</w:t>
      </w:r>
      <w:r w:rsidR="00474A51" w:rsidRPr="00985C50">
        <w:rPr>
          <w:rFonts w:cs="Arial"/>
          <w:color w:val="000000" w:themeColor="text1"/>
          <w:lang w:val="en-GB"/>
        </w:rPr>
        <w:t xml:space="preserve"> the</w:t>
      </w:r>
      <w:r w:rsidR="002B0FCF" w:rsidRPr="00985C50">
        <w:rPr>
          <w:rFonts w:cs="Arial"/>
          <w:color w:val="000000" w:themeColor="text1"/>
          <w:lang w:val="en-GB"/>
        </w:rPr>
        <w:t xml:space="preserve"> </w:t>
      </w:r>
      <w:r w:rsidR="00B0295E" w:rsidRPr="00985C50">
        <w:rPr>
          <w:rFonts w:cs="Arial"/>
          <w:color w:val="000000" w:themeColor="text1"/>
          <w:lang w:val="en-GB"/>
        </w:rPr>
        <w:t>thermal</w:t>
      </w:r>
      <w:r w:rsidR="008B21BF" w:rsidRPr="00985C50">
        <w:rPr>
          <w:rFonts w:cs="Arial"/>
          <w:color w:val="000000" w:themeColor="text1"/>
          <w:lang w:val="en-GB"/>
        </w:rPr>
        <w:t xml:space="preserve"> history. </w:t>
      </w:r>
      <w:r w:rsidR="006910D2" w:rsidRPr="00985C50">
        <w:rPr>
          <w:rFonts w:cs="Arial"/>
          <w:color w:val="000000" w:themeColor="text1"/>
          <w:lang w:val="en-GB"/>
        </w:rPr>
        <w:t>This work investigates a TIPS-</w:t>
      </w:r>
      <w:r w:rsidR="00641AB1" w:rsidRPr="00985C50">
        <w:rPr>
          <w:rFonts w:cs="Arial"/>
          <w:color w:val="000000" w:themeColor="text1"/>
          <w:lang w:val="en-GB"/>
        </w:rPr>
        <w:t>based strategy to generate continuous pore</w:t>
      </w:r>
      <w:r w:rsidR="00B83089" w:rsidRPr="00985C50">
        <w:rPr>
          <w:rFonts w:cs="Arial"/>
          <w:color w:val="000000" w:themeColor="text1"/>
          <w:lang w:val="en-GB"/>
        </w:rPr>
        <w:t xml:space="preserve"> </w:t>
      </w:r>
      <w:r w:rsidR="00641AB1" w:rsidRPr="00985C50">
        <w:rPr>
          <w:rFonts w:cs="Arial"/>
          <w:color w:val="000000" w:themeColor="text1"/>
          <w:lang w:val="en-GB"/>
        </w:rPr>
        <w:t>size gradients by tailoring heat</w:t>
      </w:r>
      <w:r w:rsidR="00B83089" w:rsidRPr="00985C50">
        <w:rPr>
          <w:rFonts w:cs="Arial"/>
          <w:color w:val="000000" w:themeColor="text1"/>
          <w:lang w:val="en-GB"/>
        </w:rPr>
        <w:t xml:space="preserve"> </w:t>
      </w:r>
      <w:r w:rsidR="00641AB1" w:rsidRPr="00985C50">
        <w:rPr>
          <w:rFonts w:cs="Arial"/>
          <w:color w:val="000000" w:themeColor="text1"/>
          <w:lang w:val="en-GB"/>
        </w:rPr>
        <w:t xml:space="preserve">transfer directionality. </w:t>
      </w:r>
      <w:r w:rsidR="00DE08E1" w:rsidRPr="00985C50">
        <w:rPr>
          <w:rFonts w:cs="Arial"/>
          <w:color w:val="000000" w:themeColor="text1"/>
          <w:lang w:val="en-GB"/>
        </w:rPr>
        <w:t xml:space="preserve">Poly-L-lactic acid scaffolds were produced </w:t>
      </w:r>
      <w:r w:rsidR="000706E4" w:rsidRPr="00985C50">
        <w:rPr>
          <w:rFonts w:cs="Arial"/>
          <w:color w:val="000000" w:themeColor="text1"/>
          <w:lang w:val="en-GB"/>
        </w:rPr>
        <w:t>using</w:t>
      </w:r>
      <w:r w:rsidR="00DE08E1" w:rsidRPr="00985C50">
        <w:rPr>
          <w:rFonts w:cs="Arial"/>
          <w:color w:val="000000" w:themeColor="text1"/>
          <w:lang w:val="en-GB"/>
        </w:rPr>
        <w:t xml:space="preserve"> two process configurations differing in </w:t>
      </w:r>
      <w:r w:rsidR="007F5D39" w:rsidRPr="00985C50">
        <w:rPr>
          <w:rFonts w:cs="Arial"/>
          <w:color w:val="000000" w:themeColor="text1"/>
          <w:lang w:val="en-GB"/>
        </w:rPr>
        <w:t xml:space="preserve">the presence </w:t>
      </w:r>
      <w:r w:rsidR="00D83745" w:rsidRPr="00985C50">
        <w:rPr>
          <w:rFonts w:cs="Arial"/>
          <w:color w:val="000000" w:themeColor="text1"/>
          <w:lang w:val="en-GB"/>
        </w:rPr>
        <w:t xml:space="preserve">or absence </w:t>
      </w:r>
      <w:r w:rsidR="007F5D39" w:rsidRPr="00985C50">
        <w:rPr>
          <w:rFonts w:cs="Arial"/>
          <w:color w:val="000000" w:themeColor="text1"/>
          <w:lang w:val="en-GB"/>
        </w:rPr>
        <w:t xml:space="preserve">of thermal insulation and </w:t>
      </w:r>
      <w:r w:rsidR="00CA0946" w:rsidRPr="00985C50">
        <w:rPr>
          <w:rFonts w:cs="Arial"/>
          <w:color w:val="000000" w:themeColor="text1"/>
          <w:lang w:val="en-GB"/>
        </w:rPr>
        <w:t>analysed using a combined</w:t>
      </w:r>
      <w:r w:rsidR="00D07EF5" w:rsidRPr="00985C50">
        <w:rPr>
          <w:rFonts w:cs="Arial"/>
          <w:color w:val="000000" w:themeColor="text1"/>
          <w:lang w:val="en-GB"/>
        </w:rPr>
        <w:t xml:space="preserve"> experimental</w:t>
      </w:r>
      <w:r w:rsidR="00D83745" w:rsidRPr="00985C50">
        <w:rPr>
          <w:rFonts w:cs="Arial"/>
          <w:color w:val="000000" w:themeColor="text1"/>
          <w:lang w:val="en-GB"/>
        </w:rPr>
        <w:t xml:space="preserve"> and </w:t>
      </w:r>
      <w:r w:rsidR="00D07EF5" w:rsidRPr="00985C50">
        <w:rPr>
          <w:rFonts w:cs="Arial"/>
          <w:color w:val="000000" w:themeColor="text1"/>
          <w:lang w:val="en-GB"/>
        </w:rPr>
        <w:t>numerical approach. S</w:t>
      </w:r>
      <w:r w:rsidR="007F5D39" w:rsidRPr="00985C50">
        <w:rPr>
          <w:rFonts w:cs="Arial"/>
          <w:color w:val="000000" w:themeColor="text1"/>
          <w:lang w:val="en-GB"/>
        </w:rPr>
        <w:t xml:space="preserve">caffold morphology was </w:t>
      </w:r>
      <w:r w:rsidR="00D07EF5" w:rsidRPr="00985C50">
        <w:rPr>
          <w:rFonts w:cs="Arial"/>
          <w:color w:val="000000" w:themeColor="text1"/>
          <w:lang w:val="en-GB"/>
        </w:rPr>
        <w:t>characterised</w:t>
      </w:r>
      <w:r w:rsidR="007F5D39" w:rsidRPr="00985C50">
        <w:rPr>
          <w:rFonts w:cs="Arial"/>
          <w:color w:val="000000" w:themeColor="text1"/>
          <w:lang w:val="en-GB"/>
        </w:rPr>
        <w:t xml:space="preserve"> by </w:t>
      </w:r>
      <w:r w:rsidR="00F8103D" w:rsidRPr="00985C50">
        <w:rPr>
          <w:rFonts w:cs="Arial"/>
          <w:color w:val="000000" w:themeColor="text1"/>
          <w:lang w:val="en-GB"/>
        </w:rPr>
        <w:t>s</w:t>
      </w:r>
      <w:r w:rsidR="007F5D39" w:rsidRPr="00985C50">
        <w:rPr>
          <w:rFonts w:cs="Arial"/>
          <w:color w:val="000000" w:themeColor="text1"/>
          <w:lang w:val="en-GB"/>
        </w:rPr>
        <w:t xml:space="preserve">canning </w:t>
      </w:r>
      <w:r w:rsidR="00F8103D" w:rsidRPr="00985C50">
        <w:rPr>
          <w:rFonts w:cs="Arial"/>
          <w:color w:val="000000" w:themeColor="text1"/>
          <w:lang w:val="en-GB"/>
        </w:rPr>
        <w:t>e</w:t>
      </w:r>
      <w:r w:rsidR="007F5D39" w:rsidRPr="00985C50">
        <w:rPr>
          <w:rFonts w:cs="Arial"/>
          <w:color w:val="000000" w:themeColor="text1"/>
          <w:lang w:val="en-GB"/>
        </w:rPr>
        <w:t xml:space="preserve">lectron </w:t>
      </w:r>
      <w:r w:rsidR="00F8103D" w:rsidRPr="00985C50">
        <w:rPr>
          <w:rFonts w:cs="Arial"/>
          <w:color w:val="000000" w:themeColor="text1"/>
          <w:lang w:val="en-GB"/>
        </w:rPr>
        <w:t>m</w:t>
      </w:r>
      <w:r w:rsidR="007F5D39" w:rsidRPr="00985C50">
        <w:rPr>
          <w:rFonts w:cs="Arial"/>
          <w:color w:val="000000" w:themeColor="text1"/>
          <w:lang w:val="en-GB"/>
        </w:rPr>
        <w:t>icro</w:t>
      </w:r>
      <w:r w:rsidR="00355FBE" w:rsidRPr="00985C50">
        <w:rPr>
          <w:rFonts w:cs="Arial"/>
          <w:color w:val="000000" w:themeColor="text1"/>
          <w:lang w:val="en-GB"/>
        </w:rPr>
        <w:t>scopy</w:t>
      </w:r>
      <w:r w:rsidR="00036B4B" w:rsidRPr="00985C50">
        <w:rPr>
          <w:rFonts w:cs="Arial"/>
          <w:color w:val="000000" w:themeColor="text1"/>
          <w:lang w:val="en-GB"/>
        </w:rPr>
        <w:t xml:space="preserve">, while </w:t>
      </w:r>
      <w:r w:rsidR="00E5427C" w:rsidRPr="00985C50">
        <w:rPr>
          <w:rFonts w:cs="Arial"/>
          <w:color w:val="000000" w:themeColor="text1"/>
          <w:lang w:val="en-GB"/>
        </w:rPr>
        <w:t>t</w:t>
      </w:r>
      <w:r w:rsidR="0021566E" w:rsidRPr="00985C50">
        <w:rPr>
          <w:color w:val="000000" w:themeColor="text1"/>
          <w:lang w:val="en-GB"/>
        </w:rPr>
        <w:t>hermal transient simulations were performed</w:t>
      </w:r>
      <w:r w:rsidR="000E607D" w:rsidRPr="00985C50">
        <w:rPr>
          <w:color w:val="000000" w:themeColor="text1"/>
          <w:lang w:val="en-GB"/>
        </w:rPr>
        <w:t xml:space="preserve"> to investigate temperature evolu</w:t>
      </w:r>
      <w:r w:rsidR="00FB2657" w:rsidRPr="00985C50">
        <w:rPr>
          <w:color w:val="000000" w:themeColor="text1"/>
          <w:lang w:val="en-GB"/>
        </w:rPr>
        <w:t xml:space="preserve">tion during phase separation and freezing. </w:t>
      </w:r>
      <w:r w:rsidR="00E5427C" w:rsidRPr="00985C50">
        <w:rPr>
          <w:color w:val="000000" w:themeColor="text1"/>
          <w:lang w:val="en-GB"/>
        </w:rPr>
        <w:t xml:space="preserve">The analysis highlights differences in cooling behaviour </w:t>
      </w:r>
      <w:r w:rsidR="00165FC0" w:rsidRPr="00985C50">
        <w:rPr>
          <w:color w:val="000000" w:themeColor="text1"/>
          <w:lang w:val="en-GB"/>
        </w:rPr>
        <w:t>between the two configurations</w:t>
      </w:r>
      <w:r w:rsidR="007B4D33" w:rsidRPr="00985C50">
        <w:rPr>
          <w:color w:val="000000" w:themeColor="text1"/>
          <w:lang w:val="en-GB"/>
        </w:rPr>
        <w:t xml:space="preserve">, </w:t>
      </w:r>
      <w:r w:rsidR="00507F29" w:rsidRPr="00985C50">
        <w:rPr>
          <w:color w:val="000000" w:themeColor="text1"/>
          <w:lang w:val="en-GB"/>
        </w:rPr>
        <w:t>cor</w:t>
      </w:r>
      <w:r w:rsidR="007B4D33" w:rsidRPr="00985C50">
        <w:rPr>
          <w:color w:val="000000" w:themeColor="text1"/>
          <w:lang w:val="en-GB"/>
        </w:rPr>
        <w:t>relating</w:t>
      </w:r>
      <w:r w:rsidR="00507F29" w:rsidRPr="00985C50">
        <w:rPr>
          <w:color w:val="000000" w:themeColor="text1"/>
          <w:lang w:val="en-GB"/>
        </w:rPr>
        <w:t xml:space="preserve"> </w:t>
      </w:r>
      <w:r w:rsidR="004D10BF" w:rsidRPr="00985C50">
        <w:rPr>
          <w:color w:val="000000" w:themeColor="text1"/>
          <w:lang w:val="en-GB"/>
        </w:rPr>
        <w:t xml:space="preserve">these </w:t>
      </w:r>
      <w:r w:rsidR="00282DF7" w:rsidRPr="00985C50">
        <w:rPr>
          <w:color w:val="000000" w:themeColor="text1"/>
          <w:lang w:val="en-GB"/>
        </w:rPr>
        <w:t>with</w:t>
      </w:r>
      <w:r w:rsidR="002369B8" w:rsidRPr="00985C50">
        <w:rPr>
          <w:color w:val="000000" w:themeColor="text1"/>
          <w:lang w:val="en-GB"/>
        </w:rPr>
        <w:t xml:space="preserve"> variation</w:t>
      </w:r>
      <w:r w:rsidR="00507F29" w:rsidRPr="00985C50">
        <w:rPr>
          <w:color w:val="000000" w:themeColor="text1"/>
          <w:lang w:val="en-GB"/>
        </w:rPr>
        <w:t>s</w:t>
      </w:r>
      <w:r w:rsidR="002369B8" w:rsidRPr="00985C50">
        <w:rPr>
          <w:color w:val="000000" w:themeColor="text1"/>
          <w:lang w:val="en-GB"/>
        </w:rPr>
        <w:t xml:space="preserve"> in pore size distribution across the scaffold thickness. </w:t>
      </w:r>
      <w:r w:rsidR="00BE1F92" w:rsidRPr="00985C50">
        <w:rPr>
          <w:color w:val="000000" w:themeColor="text1"/>
          <w:lang w:val="en-GB"/>
        </w:rPr>
        <w:t>The results demonstrated</w:t>
      </w:r>
      <w:r w:rsidR="009C48F9" w:rsidRPr="00985C50">
        <w:rPr>
          <w:color w:val="000000" w:themeColor="text1"/>
          <w:lang w:val="en-GB"/>
        </w:rPr>
        <w:t xml:space="preserve"> that it is possible to obtain scaffold with a </w:t>
      </w:r>
      <w:r w:rsidR="00EB1A62" w:rsidRPr="00985C50">
        <w:rPr>
          <w:color w:val="000000" w:themeColor="text1"/>
          <w:lang w:val="en-GB"/>
        </w:rPr>
        <w:t xml:space="preserve">pore size gradient </w:t>
      </w:r>
      <w:r w:rsidR="00AF59A4" w:rsidRPr="00985C50">
        <w:rPr>
          <w:color w:val="000000" w:themeColor="text1"/>
          <w:lang w:val="en-GB"/>
        </w:rPr>
        <w:t>through a one-step TIPS procedure.</w:t>
      </w:r>
    </w:p>
    <w:p w14:paraId="476B2F2E" w14:textId="19CEEED4" w:rsidR="00600535" w:rsidRPr="00002799" w:rsidRDefault="00600535" w:rsidP="00060D8C">
      <w:pPr>
        <w:pStyle w:val="CETHeading1"/>
        <w:rPr>
          <w:lang w:val="en-GB"/>
        </w:rPr>
      </w:pPr>
      <w:r w:rsidRPr="00002799">
        <w:rPr>
          <w:lang w:val="en-GB"/>
        </w:rPr>
        <w:t>Introduction</w:t>
      </w:r>
      <w:r w:rsidR="00EF1BE3" w:rsidRPr="00002799">
        <w:rPr>
          <w:lang w:val="en-GB"/>
        </w:rPr>
        <w:t xml:space="preserve"> </w:t>
      </w:r>
    </w:p>
    <w:p w14:paraId="0BD6F0B0" w14:textId="5AB52122" w:rsidR="005B6118" w:rsidRPr="00002799" w:rsidRDefault="00CC7B8B" w:rsidP="00060D8C">
      <w:pPr>
        <w:pStyle w:val="CETBodytext"/>
        <w:spacing w:line="240" w:lineRule="auto"/>
        <w:rPr>
          <w:rFonts w:cs="Arial"/>
          <w:color w:val="000000"/>
          <w:lang w:val="en-GB"/>
        </w:rPr>
      </w:pPr>
      <w:r w:rsidRPr="00002799">
        <w:rPr>
          <w:rFonts w:cs="Arial"/>
          <w:lang w:val="en-GB"/>
        </w:rPr>
        <w:t>Several native tissues exhibit gradual transitions in structural and functional properties.</w:t>
      </w:r>
      <w:r w:rsidR="00DE0044">
        <w:rPr>
          <w:rFonts w:cs="Arial"/>
          <w:lang w:val="en-GB"/>
        </w:rPr>
        <w:t xml:space="preserve"> </w:t>
      </w:r>
      <w:r w:rsidRPr="00002799">
        <w:rPr>
          <w:rFonts w:cs="Arial"/>
          <w:lang w:val="en-GB"/>
        </w:rPr>
        <w:t xml:space="preserve">Interfacial tissues, </w:t>
      </w:r>
      <w:r w:rsidR="00F23184">
        <w:rPr>
          <w:rFonts w:cs="Arial"/>
          <w:lang w:val="en-GB"/>
        </w:rPr>
        <w:t>such as</w:t>
      </w:r>
      <w:r w:rsidRPr="00002799">
        <w:rPr>
          <w:rFonts w:cs="Arial"/>
          <w:lang w:val="en-GB"/>
        </w:rPr>
        <w:t xml:space="preserve"> cartilage</w:t>
      </w:r>
      <w:r w:rsidR="00F23184">
        <w:rPr>
          <w:rFonts w:cs="Arial"/>
          <w:lang w:val="en-GB"/>
        </w:rPr>
        <w:t>-</w:t>
      </w:r>
      <w:r w:rsidRPr="00002799">
        <w:rPr>
          <w:rFonts w:cs="Arial"/>
          <w:lang w:val="en-GB"/>
        </w:rPr>
        <w:t>bone and tendon</w:t>
      </w:r>
      <w:r w:rsidR="00F23184">
        <w:rPr>
          <w:rFonts w:cs="Arial"/>
          <w:lang w:val="en-GB"/>
        </w:rPr>
        <w:t>-</w:t>
      </w:r>
      <w:r w:rsidRPr="00002799">
        <w:rPr>
          <w:rFonts w:cs="Arial"/>
          <w:lang w:val="en-GB"/>
        </w:rPr>
        <w:t>bone junctions, are characteri</w:t>
      </w:r>
      <w:r w:rsidR="00A60BDF">
        <w:rPr>
          <w:rFonts w:cs="Arial"/>
          <w:lang w:val="en-GB"/>
        </w:rPr>
        <w:t>z</w:t>
      </w:r>
      <w:r w:rsidRPr="00002799">
        <w:rPr>
          <w:rFonts w:cs="Arial"/>
          <w:lang w:val="en-GB"/>
        </w:rPr>
        <w:t>ed by soft</w:t>
      </w:r>
      <w:r w:rsidR="00F23184">
        <w:rPr>
          <w:rFonts w:cs="Arial"/>
          <w:lang w:val="en-GB"/>
        </w:rPr>
        <w:t>-</w:t>
      </w:r>
      <w:r w:rsidRPr="00002799">
        <w:rPr>
          <w:rFonts w:cs="Arial"/>
          <w:lang w:val="en-GB"/>
        </w:rPr>
        <w:t xml:space="preserve">hard interfaces </w:t>
      </w:r>
      <w:r w:rsidR="00A0420A">
        <w:rPr>
          <w:rFonts w:cs="Arial"/>
          <w:lang w:val="en-GB"/>
        </w:rPr>
        <w:t>where</w:t>
      </w:r>
      <w:r w:rsidRPr="00002799">
        <w:rPr>
          <w:rFonts w:cs="Arial"/>
          <w:lang w:val="en-GB"/>
        </w:rPr>
        <w:t xml:space="preserve"> graded architectures support physiological load transfer and</w:t>
      </w:r>
      <w:r w:rsidR="00A607E1">
        <w:rPr>
          <w:rFonts w:cs="Arial"/>
          <w:lang w:val="en-GB"/>
        </w:rPr>
        <w:t xml:space="preserve"> tissue</w:t>
      </w:r>
      <w:r w:rsidRPr="00002799">
        <w:rPr>
          <w:rFonts w:cs="Arial"/>
          <w:lang w:val="en-GB"/>
        </w:rPr>
        <w:t xml:space="preserve"> integration </w:t>
      </w:r>
      <w:r w:rsidR="009A485F">
        <w:rPr>
          <w:rFonts w:cs="Arial"/>
          <w:lang w:val="en-GB"/>
        </w:rPr>
        <w:fldChar w:fldCharType="begin"/>
      </w:r>
      <w:r w:rsidR="009A485F">
        <w:rPr>
          <w:rFonts w:cs="Arial"/>
          <w:lang w:val="en-GB"/>
        </w:rPr>
        <w:instrText xml:space="preserve"> ADDIN ZOTERO_ITEM CSL_CITATION {"citationID":"QGqmQEqf","properties":{"unsorted":false,"formattedCitation":"(Ansari et al., 2019)","plainCitation":"(Ansari et al., 2019)","noteIndex":0},"citationItems":[{"id":14,"uris":["http://zotero.org/users/local/FYFNTyV4/items/2T25C8LF"],"itemData":{"id":14,"type":"article-journal","abstract":"The osteochondral tissue is an interface between two distinct tissues: articular cartilage and bone. These two tissues are signiﬁcantly diverse with regard to their chemical compositions, mechanical properties, structure, electrical properties, and the amount of nutrient and oxygen consumption. Thus, transition from the surface of the articular cartilage to the subchondral bone needs to face several smooth gradients. These gradients are imperative to study to generate a scaffold suitable for the reconstruction of the cartilaginous and osseous layers of a defected osteochondral tissue, simultaneously. The aim of this review is to peruse the alternation of biochemical, biomechanical, structural, electrical, and metabolic properties of the osteochondral tissue moving from the surface of the articular cartilage to the subchondral bone. Moreover, this review also discusses currently developed approaches and ideal techniques with a focus on gradients present in the interface of the cartilage and bone.","container-title":"Acta Biomaterialia","DOI":"10.1016/j.actbio.2019.01.071","ISSN":"17427061","journalAbbreviation":"Acta Biomaterialia","language":"en","page":"41-54","source":"DOI.org (Crossref)","title":"Engineering of gradient osteochondral tissue: From nature to lab","title-short":"Engineering of gradient osteochondral tissue","volume":"87","author":[{"family":"Ansari","given":"Sana"},{"family":"Khorshidi","given":"Sajedeh"},{"family":"Karkhaneh","given":"Akbar"}],"issued":{"date-parts":[["2019",3]]}}}],"schema":"https://github.com/citation-style-language/schema/raw/master/csl-citation.json"} </w:instrText>
      </w:r>
      <w:r w:rsidR="009A485F">
        <w:rPr>
          <w:rFonts w:cs="Arial"/>
          <w:lang w:val="en-GB"/>
        </w:rPr>
        <w:fldChar w:fldCharType="separate"/>
      </w:r>
      <w:r w:rsidR="009A485F" w:rsidRPr="009A485F">
        <w:rPr>
          <w:rFonts w:cs="Arial"/>
        </w:rPr>
        <w:t>(Ansari et al., 2019)</w:t>
      </w:r>
      <w:r w:rsidR="009A485F">
        <w:rPr>
          <w:rFonts w:cs="Arial"/>
          <w:lang w:val="en-GB"/>
        </w:rPr>
        <w:fldChar w:fldCharType="end"/>
      </w:r>
      <w:r w:rsidR="00E64518" w:rsidRPr="00002799">
        <w:rPr>
          <w:rFonts w:cs="Arial"/>
          <w:color w:val="000000"/>
          <w:lang w:val="en-GB"/>
        </w:rPr>
        <w:t>.</w:t>
      </w:r>
      <w:r w:rsidR="00207160" w:rsidRPr="00002799">
        <w:rPr>
          <w:rFonts w:cs="Arial"/>
          <w:color w:val="000000"/>
          <w:lang w:val="en-GB"/>
        </w:rPr>
        <w:t xml:space="preserve"> </w:t>
      </w:r>
      <w:r w:rsidR="0000122B">
        <w:rPr>
          <w:rFonts w:cs="Arial"/>
          <w:color w:val="000000"/>
          <w:lang w:val="en-GB"/>
        </w:rPr>
        <w:t>T</w:t>
      </w:r>
      <w:r w:rsidR="006E04E5">
        <w:rPr>
          <w:rFonts w:cs="Arial"/>
          <w:color w:val="000000"/>
          <w:lang w:val="en-GB"/>
        </w:rPr>
        <w:t>issue engineering (TE)</w:t>
      </w:r>
      <w:r w:rsidR="007C2717" w:rsidRPr="00002799">
        <w:rPr>
          <w:rFonts w:cs="Arial"/>
          <w:color w:val="000000"/>
          <w:lang w:val="en-GB"/>
        </w:rPr>
        <w:t xml:space="preserve"> </w:t>
      </w:r>
      <w:r w:rsidR="0000122B">
        <w:rPr>
          <w:rFonts w:cs="Arial"/>
          <w:color w:val="000000"/>
          <w:lang w:val="en-GB"/>
        </w:rPr>
        <w:t>aims</w:t>
      </w:r>
      <w:r w:rsidR="00207160" w:rsidRPr="00002799">
        <w:rPr>
          <w:rFonts w:cs="Arial"/>
          <w:color w:val="000000"/>
          <w:lang w:val="en-GB"/>
        </w:rPr>
        <w:t xml:space="preserve"> to </w:t>
      </w:r>
      <w:r w:rsidR="007C2717" w:rsidRPr="00002799">
        <w:rPr>
          <w:rFonts w:cs="Arial"/>
          <w:color w:val="000000"/>
          <w:lang w:val="en-GB"/>
        </w:rPr>
        <w:t>re</w:t>
      </w:r>
      <w:r w:rsidR="00207160" w:rsidRPr="00002799">
        <w:rPr>
          <w:rFonts w:cs="Arial"/>
          <w:color w:val="000000"/>
          <w:lang w:val="en-GB"/>
        </w:rPr>
        <w:t xml:space="preserve">create microenvironments that mimic </w:t>
      </w:r>
      <w:r w:rsidR="00A0420A">
        <w:rPr>
          <w:rFonts w:cs="Arial"/>
          <w:color w:val="000000"/>
          <w:lang w:val="en-GB"/>
        </w:rPr>
        <w:t xml:space="preserve">the </w:t>
      </w:r>
      <w:r w:rsidR="007C2717" w:rsidRPr="00002799">
        <w:rPr>
          <w:rFonts w:cs="Arial"/>
          <w:color w:val="000000"/>
          <w:lang w:val="en-GB"/>
        </w:rPr>
        <w:t>structural and cellular complexity of native tissues</w:t>
      </w:r>
      <w:r w:rsidR="00A0420A">
        <w:rPr>
          <w:rFonts w:cs="Arial"/>
          <w:color w:val="000000"/>
          <w:lang w:val="en-GB"/>
        </w:rPr>
        <w:t>.</w:t>
      </w:r>
      <w:r w:rsidR="00E508E2">
        <w:rPr>
          <w:rFonts w:cs="Arial"/>
          <w:color w:val="000000"/>
          <w:lang w:val="en-GB"/>
        </w:rPr>
        <w:t xml:space="preserve"> </w:t>
      </w:r>
      <w:r w:rsidR="00A0420A">
        <w:rPr>
          <w:rFonts w:cs="Arial"/>
          <w:color w:val="000000"/>
          <w:lang w:val="en-GB"/>
        </w:rPr>
        <w:t>H</w:t>
      </w:r>
      <w:r w:rsidR="00E508E2">
        <w:rPr>
          <w:rFonts w:cs="Arial"/>
          <w:color w:val="000000"/>
          <w:lang w:val="en-GB"/>
        </w:rPr>
        <w:t xml:space="preserve">owever, </w:t>
      </w:r>
      <w:r w:rsidR="00E32CC7" w:rsidRPr="00002799">
        <w:rPr>
          <w:rFonts w:cs="Arial"/>
          <w:color w:val="000000"/>
          <w:lang w:val="en-GB"/>
        </w:rPr>
        <w:t>r</w:t>
      </w:r>
      <w:r w:rsidR="00A36E4D" w:rsidRPr="00002799">
        <w:rPr>
          <w:rFonts w:cs="Arial"/>
          <w:color w:val="000000"/>
          <w:lang w:val="en-GB"/>
        </w:rPr>
        <w:t>eplicating graded features</w:t>
      </w:r>
      <w:r w:rsidR="00375B70">
        <w:rPr>
          <w:rFonts w:cs="Arial"/>
          <w:color w:val="000000"/>
          <w:lang w:val="en-GB"/>
        </w:rPr>
        <w:t xml:space="preserve"> </w:t>
      </w:r>
      <w:r w:rsidR="007C2717" w:rsidRPr="00002799">
        <w:rPr>
          <w:rFonts w:cs="Arial"/>
          <w:color w:val="000000"/>
          <w:lang w:val="en-GB"/>
        </w:rPr>
        <w:t>represents</w:t>
      </w:r>
      <w:r w:rsidR="00A36E4D" w:rsidRPr="00002799">
        <w:rPr>
          <w:rFonts w:cs="Arial"/>
          <w:color w:val="000000"/>
          <w:lang w:val="en-GB"/>
        </w:rPr>
        <w:t xml:space="preserve"> a central challenge</w:t>
      </w:r>
      <w:r w:rsidR="007C2717" w:rsidRPr="00002799">
        <w:rPr>
          <w:rFonts w:cs="Arial"/>
          <w:color w:val="000000"/>
          <w:lang w:val="en-GB"/>
        </w:rPr>
        <w:t xml:space="preserve">, </w:t>
      </w:r>
      <w:r w:rsidR="006217F4" w:rsidRPr="00002799">
        <w:rPr>
          <w:rFonts w:cs="Arial"/>
          <w:color w:val="000000"/>
          <w:lang w:val="en-GB"/>
        </w:rPr>
        <w:t xml:space="preserve">as </w:t>
      </w:r>
      <w:r w:rsidR="00510294" w:rsidRPr="00002799">
        <w:rPr>
          <w:rFonts w:cs="Arial"/>
          <w:color w:val="000000"/>
          <w:lang w:val="en-GB"/>
        </w:rPr>
        <w:t>s</w:t>
      </w:r>
      <w:r w:rsidR="00A36E4D" w:rsidRPr="00002799">
        <w:rPr>
          <w:rFonts w:cs="Arial"/>
          <w:color w:val="000000"/>
          <w:lang w:val="en-GB"/>
        </w:rPr>
        <w:t>patial gradients regulate cellular behaviours</w:t>
      </w:r>
      <w:r w:rsidR="00375B70">
        <w:rPr>
          <w:rFonts w:cs="Arial"/>
          <w:color w:val="000000"/>
          <w:lang w:val="en-GB"/>
        </w:rPr>
        <w:t xml:space="preserve">, </w:t>
      </w:r>
      <w:r w:rsidR="00991080">
        <w:rPr>
          <w:rFonts w:cs="Arial"/>
          <w:color w:val="000000"/>
          <w:lang w:val="en-GB"/>
        </w:rPr>
        <w:t>tissue organization</w:t>
      </w:r>
      <w:r w:rsidR="00A36E4D" w:rsidRPr="00002799">
        <w:rPr>
          <w:rFonts w:cs="Arial"/>
          <w:color w:val="000000"/>
          <w:lang w:val="en-GB"/>
        </w:rPr>
        <w:t xml:space="preserve">, </w:t>
      </w:r>
      <w:r w:rsidR="00492B5E" w:rsidRPr="00002799">
        <w:rPr>
          <w:rFonts w:cs="Arial"/>
          <w:color w:val="000000"/>
          <w:lang w:val="en-GB"/>
        </w:rPr>
        <w:t>nutrient diffusion</w:t>
      </w:r>
      <w:r w:rsidR="00CD4833" w:rsidRPr="00002799">
        <w:rPr>
          <w:rFonts w:cs="Arial"/>
          <w:color w:val="000000"/>
          <w:lang w:val="en-GB"/>
        </w:rPr>
        <w:t xml:space="preserve"> and</w:t>
      </w:r>
      <w:r w:rsidR="00492B5E" w:rsidRPr="00002799">
        <w:rPr>
          <w:rFonts w:cs="Arial"/>
          <w:color w:val="000000"/>
          <w:lang w:val="en-GB"/>
        </w:rPr>
        <w:t xml:space="preserve"> angiogenesis</w:t>
      </w:r>
      <w:r w:rsidR="005B4DC5">
        <w:rPr>
          <w:rFonts w:cs="Arial"/>
          <w:color w:val="000000"/>
          <w:lang w:val="en-GB"/>
        </w:rPr>
        <w:t xml:space="preserve"> </w:t>
      </w:r>
      <w:r w:rsidR="005B4DC5">
        <w:rPr>
          <w:rFonts w:cs="Arial"/>
          <w:color w:val="000000"/>
          <w:lang w:val="en-GB"/>
        </w:rPr>
        <w:fldChar w:fldCharType="begin"/>
      </w:r>
      <w:r w:rsidR="005B4DC5">
        <w:rPr>
          <w:rFonts w:cs="Arial"/>
          <w:color w:val="000000"/>
          <w:lang w:val="en-GB"/>
        </w:rPr>
        <w:instrText xml:space="preserve"> ADDIN ZOTERO_ITEM CSL_CITATION {"citationID":"9PAkUOe5","properties":{"unsorted":false,"formattedCitation":"(Conoscenti et al., 2017)","plainCitation":"(Conoscenti et al., 2017)","noteIndex":0},"citationItems":[{"id":16,"uris":["http://zotero.org/users/local/FYFNTyV4/items/MTDZYK5X"],"itemData":{"id":16,"type":"article-journal","container-title":"Materials Science and Engineering: C","DOI":"10.1016/j.msec.2017.06.011","ISSN":"09284931","journalAbbreviation":"Materials Science and Engineering: C","language":"en","page":"449-459","source":"DOI.org (Crossref)","title":"PLLA scaffolds produced by thermally induced phase separation (TIPS) allow human chondrocyte growth and extracellular matrix formation dependent on pore size","volume":"80","author":[{"family":"Conoscenti","given":"Gioacchino"},{"family":"Schneider","given":"Tobias"},{"family":"Stoelzel","given":"Katharina"},{"family":"Carfì Pavia","given":"Francesco"},{"family":"Brucato","given":"Valerio"},{"family":"Goegele","given":"Clemens"},{"family":"La Carrubba","given":"Vincenzo"},{"family":"Schulze-Tanzil","given":"Gundula"}],"issued":{"date-parts":[["2017",11]]}}}],"schema":"https://github.com/citation-style-language/schema/raw/master/csl-citation.json"} </w:instrText>
      </w:r>
      <w:r w:rsidR="005B4DC5">
        <w:rPr>
          <w:rFonts w:cs="Arial"/>
          <w:color w:val="000000"/>
          <w:lang w:val="en-GB"/>
        </w:rPr>
        <w:fldChar w:fldCharType="separate"/>
      </w:r>
      <w:r w:rsidR="005B4DC5" w:rsidRPr="005B4DC5">
        <w:rPr>
          <w:rFonts w:cs="Arial"/>
        </w:rPr>
        <w:t>(Conoscenti et al., 2017)</w:t>
      </w:r>
      <w:r w:rsidR="005B4DC5">
        <w:rPr>
          <w:rFonts w:cs="Arial"/>
          <w:color w:val="000000"/>
          <w:lang w:val="en-GB"/>
        </w:rPr>
        <w:fldChar w:fldCharType="end"/>
      </w:r>
      <w:r w:rsidR="00D95C29">
        <w:rPr>
          <w:rFonts w:cs="Arial"/>
          <w:color w:val="000000"/>
          <w:lang w:val="en-GB"/>
        </w:rPr>
        <w:t>.</w:t>
      </w:r>
    </w:p>
    <w:p w14:paraId="4246CF1B" w14:textId="6052DAEA" w:rsidR="00646BD0" w:rsidRPr="00002799" w:rsidRDefault="00FC495A" w:rsidP="00060D8C">
      <w:pPr>
        <w:pStyle w:val="CETBodytext"/>
        <w:spacing w:line="240" w:lineRule="auto"/>
        <w:rPr>
          <w:rFonts w:cs="Arial"/>
          <w:color w:val="000000"/>
          <w:szCs w:val="18"/>
          <w:lang w:val="en-GB"/>
        </w:rPr>
      </w:pPr>
      <w:r w:rsidRPr="00002799">
        <w:rPr>
          <w:rFonts w:cs="Arial"/>
          <w:lang w:val="en-GB"/>
        </w:rPr>
        <w:t xml:space="preserve">Several </w:t>
      </w:r>
      <w:r w:rsidR="00E67729" w:rsidRPr="00002799">
        <w:rPr>
          <w:rFonts w:cs="Arial"/>
          <w:lang w:val="en-GB"/>
        </w:rPr>
        <w:t xml:space="preserve">studies </w:t>
      </w:r>
      <w:r w:rsidR="00C47474">
        <w:rPr>
          <w:rFonts w:cs="Arial"/>
          <w:lang w:val="en-GB"/>
        </w:rPr>
        <w:t>aiming</w:t>
      </w:r>
      <w:r w:rsidR="00772D0E">
        <w:rPr>
          <w:rFonts w:cs="Arial"/>
          <w:lang w:val="en-GB"/>
        </w:rPr>
        <w:t xml:space="preserve"> to recreate </w:t>
      </w:r>
      <w:r w:rsidR="00BD435F" w:rsidRPr="00002799">
        <w:rPr>
          <w:rFonts w:cs="Arial"/>
          <w:lang w:val="en-GB"/>
        </w:rPr>
        <w:t>interfacial tissue</w:t>
      </w:r>
      <w:r w:rsidR="00E76DCA" w:rsidRPr="00002799">
        <w:rPr>
          <w:rFonts w:cs="Arial"/>
          <w:lang w:val="en-GB"/>
        </w:rPr>
        <w:t xml:space="preserve"> </w:t>
      </w:r>
      <w:r w:rsidR="00BD435F" w:rsidRPr="00002799">
        <w:rPr>
          <w:rFonts w:cs="Arial"/>
          <w:lang w:val="en-GB"/>
        </w:rPr>
        <w:t>microenvironment</w:t>
      </w:r>
      <w:r w:rsidR="00C47474">
        <w:rPr>
          <w:rFonts w:cs="Arial"/>
          <w:lang w:val="en-GB"/>
        </w:rPr>
        <w:t>s</w:t>
      </w:r>
      <w:r w:rsidR="00970534" w:rsidRPr="00002799">
        <w:rPr>
          <w:rFonts w:cs="Arial"/>
          <w:lang w:val="en-GB"/>
        </w:rPr>
        <w:t xml:space="preserve"> </w:t>
      </w:r>
      <w:r w:rsidR="00E76DCA" w:rsidRPr="00002799">
        <w:rPr>
          <w:rFonts w:cs="Arial"/>
          <w:lang w:val="en-GB"/>
        </w:rPr>
        <w:t xml:space="preserve">are </w:t>
      </w:r>
      <w:r w:rsidR="0023758E" w:rsidRPr="00002799">
        <w:rPr>
          <w:rFonts w:cs="Arial"/>
          <w:lang w:val="en-GB"/>
        </w:rPr>
        <w:t>based on</w:t>
      </w:r>
      <w:r w:rsidR="00E76DCA" w:rsidRPr="00002799">
        <w:rPr>
          <w:rFonts w:cs="Arial"/>
          <w:lang w:val="en-GB"/>
        </w:rPr>
        <w:t xml:space="preserve"> </w:t>
      </w:r>
      <w:r w:rsidR="007B6056" w:rsidRPr="00002799">
        <w:rPr>
          <w:rFonts w:cs="Arial"/>
          <w:lang w:val="en-GB"/>
        </w:rPr>
        <w:t>monolayer and multilayer</w:t>
      </w:r>
      <w:r w:rsidR="009D0298" w:rsidRPr="00002799">
        <w:rPr>
          <w:rFonts w:cs="Arial"/>
          <w:lang w:val="en-GB"/>
        </w:rPr>
        <w:t xml:space="preserve"> scaffold </w:t>
      </w:r>
      <w:r w:rsidR="0023758E" w:rsidRPr="00002799">
        <w:rPr>
          <w:rFonts w:cs="Arial"/>
          <w:lang w:val="en-GB"/>
        </w:rPr>
        <w:t>design</w:t>
      </w:r>
      <w:r w:rsidR="00305737">
        <w:rPr>
          <w:rFonts w:cs="Arial"/>
          <w:lang w:val="en-GB"/>
        </w:rPr>
        <w:t>s</w:t>
      </w:r>
      <w:r w:rsidR="009D0298" w:rsidRPr="00002799">
        <w:rPr>
          <w:rFonts w:cs="Arial"/>
          <w:lang w:val="en-GB"/>
        </w:rPr>
        <w:t xml:space="preserve">. </w:t>
      </w:r>
      <w:r w:rsidR="00CD1AC5" w:rsidRPr="00002799">
        <w:rPr>
          <w:rFonts w:cs="Arial"/>
          <w:lang w:val="en-GB"/>
        </w:rPr>
        <w:t xml:space="preserve">Monolayer scaffolds </w:t>
      </w:r>
      <w:r w:rsidR="00305737">
        <w:rPr>
          <w:rFonts w:cs="Arial"/>
          <w:lang w:val="en-GB"/>
        </w:rPr>
        <w:t>exhibit</w:t>
      </w:r>
      <w:r w:rsidR="00123D63" w:rsidRPr="00002799">
        <w:rPr>
          <w:rFonts w:cs="Arial"/>
          <w:lang w:val="en-GB"/>
        </w:rPr>
        <w:t xml:space="preserve"> uniform porosity and </w:t>
      </w:r>
      <w:r w:rsidR="002E5B49" w:rsidRPr="00002799">
        <w:rPr>
          <w:rFonts w:cs="Arial"/>
          <w:lang w:val="en-GB"/>
        </w:rPr>
        <w:t xml:space="preserve">structural features </w:t>
      </w:r>
      <w:r w:rsidR="006A4AF5" w:rsidRPr="00002799">
        <w:rPr>
          <w:rFonts w:cs="Arial"/>
          <w:lang w:val="en-GB"/>
        </w:rPr>
        <w:t>throughout their</w:t>
      </w:r>
      <w:r w:rsidR="002E5B49" w:rsidRPr="00002799">
        <w:rPr>
          <w:rFonts w:cs="Arial"/>
          <w:lang w:val="en-GB"/>
        </w:rPr>
        <w:t xml:space="preserve"> thickness </w:t>
      </w:r>
      <w:r w:rsidR="006A4AF5" w:rsidRPr="00002799">
        <w:rPr>
          <w:rFonts w:cs="Arial"/>
          <w:lang w:val="en-GB"/>
        </w:rPr>
        <w:t>and</w:t>
      </w:r>
      <w:r w:rsidR="00F65204" w:rsidRPr="00002799">
        <w:rPr>
          <w:rFonts w:cs="Arial"/>
          <w:lang w:val="en-GB"/>
        </w:rPr>
        <w:t xml:space="preserve">, </w:t>
      </w:r>
      <w:r w:rsidR="00FE604A">
        <w:rPr>
          <w:rFonts w:cs="Arial"/>
          <w:lang w:val="en-GB"/>
        </w:rPr>
        <w:t>although</w:t>
      </w:r>
      <w:r w:rsidR="00F65204" w:rsidRPr="00002799">
        <w:rPr>
          <w:rFonts w:cs="Arial"/>
          <w:lang w:val="en-GB"/>
        </w:rPr>
        <w:t xml:space="preserve"> the</w:t>
      </w:r>
      <w:r w:rsidR="00B841D8" w:rsidRPr="00002799">
        <w:rPr>
          <w:rFonts w:cs="Arial"/>
          <w:lang w:val="en-GB"/>
        </w:rPr>
        <w:t xml:space="preserve">y </w:t>
      </w:r>
      <w:r w:rsidR="009744E7" w:rsidRPr="00002799">
        <w:rPr>
          <w:rFonts w:cs="Arial"/>
          <w:lang w:val="en-GB"/>
        </w:rPr>
        <w:t>support cell growth</w:t>
      </w:r>
      <w:r w:rsidR="00B841D8" w:rsidRPr="00002799">
        <w:rPr>
          <w:rFonts w:cs="Arial"/>
          <w:lang w:val="en-GB"/>
        </w:rPr>
        <w:t>,</w:t>
      </w:r>
      <w:r w:rsidR="002E5B49" w:rsidRPr="00002799">
        <w:rPr>
          <w:rFonts w:cs="Arial"/>
          <w:lang w:val="en-GB"/>
        </w:rPr>
        <w:t xml:space="preserve"> they </w:t>
      </w:r>
      <w:r w:rsidR="009744E7" w:rsidRPr="00002799">
        <w:rPr>
          <w:rFonts w:cs="Arial"/>
          <w:lang w:val="en-GB"/>
        </w:rPr>
        <w:t xml:space="preserve">fail </w:t>
      </w:r>
      <w:r w:rsidR="00CA11E7" w:rsidRPr="00002799">
        <w:rPr>
          <w:rFonts w:cs="Arial"/>
          <w:lang w:val="en-GB"/>
        </w:rPr>
        <w:t xml:space="preserve">to </w:t>
      </w:r>
      <w:r w:rsidR="00C22614" w:rsidRPr="00002799">
        <w:rPr>
          <w:rFonts w:cs="Arial"/>
          <w:lang w:val="en-GB"/>
        </w:rPr>
        <w:t xml:space="preserve">reproduce the </w:t>
      </w:r>
      <w:r w:rsidR="002C6A91" w:rsidRPr="00002799">
        <w:rPr>
          <w:rFonts w:cs="Arial"/>
          <w:lang w:val="en-GB"/>
        </w:rPr>
        <w:t>heterogeneity</w:t>
      </w:r>
      <w:r w:rsidR="00C22614" w:rsidRPr="00002799">
        <w:rPr>
          <w:rFonts w:cs="Arial"/>
          <w:lang w:val="en-GB"/>
        </w:rPr>
        <w:t xml:space="preserve"> of native interfacial tissues</w:t>
      </w:r>
      <w:r w:rsidR="002C6A91" w:rsidRPr="00002799">
        <w:rPr>
          <w:rFonts w:cs="Arial"/>
          <w:lang w:val="en-GB"/>
        </w:rPr>
        <w:t xml:space="preserve">. </w:t>
      </w:r>
      <w:r w:rsidR="00D46D19" w:rsidRPr="00002799">
        <w:rPr>
          <w:rFonts w:cs="Arial"/>
          <w:lang w:val="en-GB"/>
        </w:rPr>
        <w:t>To overcome these limitations, multilayer scaffolds composed of di</w:t>
      </w:r>
      <w:r w:rsidR="00F36DA6" w:rsidRPr="00002799">
        <w:rPr>
          <w:rFonts w:cs="Arial"/>
          <w:lang w:val="en-GB"/>
        </w:rPr>
        <w:t>s</w:t>
      </w:r>
      <w:r w:rsidR="00D46D19" w:rsidRPr="00002799">
        <w:rPr>
          <w:rFonts w:cs="Arial"/>
          <w:lang w:val="en-GB"/>
        </w:rPr>
        <w:t>crete layers</w:t>
      </w:r>
      <w:r w:rsidR="00F36DA6" w:rsidRPr="00002799">
        <w:rPr>
          <w:rFonts w:cs="Arial"/>
          <w:lang w:val="en-GB"/>
        </w:rPr>
        <w:t xml:space="preserve"> have been developed. However, </w:t>
      </w:r>
      <w:r w:rsidR="00C354AA">
        <w:rPr>
          <w:rFonts w:cs="Arial"/>
          <w:lang w:val="en-GB"/>
        </w:rPr>
        <w:t>these</w:t>
      </w:r>
      <w:r w:rsidR="00F36DA6" w:rsidRPr="00002799">
        <w:rPr>
          <w:rFonts w:cs="Arial"/>
          <w:lang w:val="en-GB"/>
        </w:rPr>
        <w:t xml:space="preserve"> constructs</w:t>
      </w:r>
      <w:r w:rsidR="00595AE3" w:rsidRPr="00002799">
        <w:rPr>
          <w:rFonts w:cs="Arial"/>
          <w:lang w:val="en-GB"/>
        </w:rPr>
        <w:t xml:space="preserve"> </w:t>
      </w:r>
      <w:r w:rsidR="00C354AA">
        <w:rPr>
          <w:rFonts w:cs="Arial"/>
          <w:lang w:val="en-GB"/>
        </w:rPr>
        <w:t>do not</w:t>
      </w:r>
      <w:r w:rsidR="00C705F7" w:rsidRPr="00002799">
        <w:rPr>
          <w:rFonts w:cs="Arial"/>
          <w:lang w:val="en-GB"/>
        </w:rPr>
        <w:t xml:space="preserve"> ensure a continuous transition </w:t>
      </w:r>
      <w:r w:rsidR="001530F9" w:rsidRPr="00002799">
        <w:rPr>
          <w:rFonts w:cs="Arial"/>
          <w:lang w:val="en-GB"/>
        </w:rPr>
        <w:t>in structural and</w:t>
      </w:r>
      <w:r w:rsidR="00C705F7" w:rsidRPr="00002799">
        <w:rPr>
          <w:rFonts w:cs="Arial"/>
          <w:lang w:val="en-GB"/>
        </w:rPr>
        <w:t xml:space="preserve"> mechanical properties</w:t>
      </w:r>
      <w:r w:rsidR="001530F9" w:rsidRPr="00002799">
        <w:rPr>
          <w:rFonts w:cs="Arial"/>
          <w:lang w:val="en-GB"/>
        </w:rPr>
        <w:t xml:space="preserve"> across the scaffold thickness</w:t>
      </w:r>
      <w:r w:rsidR="00246733" w:rsidRPr="00002799">
        <w:rPr>
          <w:rFonts w:cs="Arial"/>
          <w:lang w:val="en-GB"/>
        </w:rPr>
        <w:t xml:space="preserve"> </w:t>
      </w:r>
      <w:r w:rsidR="000624E5">
        <w:rPr>
          <w:rFonts w:cs="Arial"/>
          <w:lang w:val="en-GB"/>
        </w:rPr>
        <w:fldChar w:fldCharType="begin"/>
      </w:r>
      <w:r w:rsidR="000624E5">
        <w:rPr>
          <w:rFonts w:cs="Arial"/>
          <w:lang w:val="en-GB"/>
        </w:rPr>
        <w:instrText xml:space="preserve"> ADDIN ZOTERO_ITEM CSL_CITATION {"citationID":"GI37kB46","properties":{"unsorted":false,"formattedCitation":"(Niu et al., 2023)","plainCitation":"(Niu et al., 2023)","noteIndex":0},"citationItems":[{"id":15,"uris":["http://zotero.org/users/local/FYFNTyV4/items/C2Y3XIEE"],"itemData":{"id":15,"type":"article-journal","abstract":"The osteochondral defect repair has been most extensively studied due to the rising demand for new therapies to diseases such as osteoarthritis. Tissue engineering has been proposed as a promising strategy to meet the demand of simultaneous regeneration of both cartilage and subchondral bone by constructing integrated gradient tissueengineered osteochondral scaffold (IGTEOS). This review brought forward the main challenges of establishing a satisfactory IGTEOS from the perspectives of the complexity of physiology and microenvironment of osteochondral tissue, and the limitations of obtaining the desired and required scaffold. Then, we comprehensively discussed and summarized the current tissue-engineered efforts to resolve the above challenges, including architecture strategies, fabrication techniques and in vitro/in vivo evaluation methods of the IGTEOS. Especially, we highlighted the advantages and limitations of various fabrication techniques of IGTEOS, and common cases of IGTEOS application. Finally, based on the above challenges and current research progress, we analyzed in details the future perspectives of tissue-engineered osteochondral construct, so as to achieve the perfect reconstruction of the cartilaginous and osseous layers of osteochondral tissue simultaneously. This comprehensive and instructive review could provide deep insights into our current understanding of IGTEOS.","container-title":"Bioactive Materials","DOI":"10.1016/j.bioactmat.2022.06.011","ISSN":"2452199X","journalAbbreviation":"Bioactive Materials","language":"en","page":"574-597","source":"DOI.org (Crossref)","title":"Integrated gradient tissue-engineered osteochondral scaffolds: Challenges, current efforts and future perspectives","title-short":"Integrated gradient tissue-engineered osteochondral scaffolds","volume":"20","author":[{"family":"Niu","given":"Xiaolian"},{"family":"Li","given":"Ning"},{"family":"Du","given":"Zhipo"},{"family":"Li","given":"Xiaoming"}],"issued":{"date-parts":[["2023",2]]}}}],"schema":"https://github.com/citation-style-language/schema/raw/master/csl-citation.json"} </w:instrText>
      </w:r>
      <w:r w:rsidR="000624E5">
        <w:rPr>
          <w:rFonts w:cs="Arial"/>
          <w:lang w:val="en-GB"/>
        </w:rPr>
        <w:fldChar w:fldCharType="separate"/>
      </w:r>
      <w:r w:rsidR="000624E5" w:rsidRPr="000624E5">
        <w:rPr>
          <w:rFonts w:cs="Arial"/>
        </w:rPr>
        <w:t>(Niu et al., 2023)</w:t>
      </w:r>
      <w:r w:rsidR="000624E5">
        <w:rPr>
          <w:rFonts w:cs="Arial"/>
          <w:lang w:val="en-GB"/>
        </w:rPr>
        <w:fldChar w:fldCharType="end"/>
      </w:r>
      <w:r w:rsidR="00246733" w:rsidRPr="00002799">
        <w:rPr>
          <w:rFonts w:cs="Arial"/>
          <w:color w:val="000000"/>
          <w:lang w:val="en-GB"/>
        </w:rPr>
        <w:t>.</w:t>
      </w:r>
      <w:r w:rsidR="00FB08C4" w:rsidRPr="00002799">
        <w:rPr>
          <w:rFonts w:cs="Arial"/>
          <w:color w:val="000000"/>
          <w:lang w:val="en-GB"/>
        </w:rPr>
        <w:t xml:space="preserve"> </w:t>
      </w:r>
      <w:r w:rsidR="00FB08C4" w:rsidRPr="00002799">
        <w:rPr>
          <w:szCs w:val="18"/>
          <w:lang w:val="en-GB"/>
        </w:rPr>
        <w:t xml:space="preserve">For this reason, </w:t>
      </w:r>
      <w:r w:rsidR="001C46D7">
        <w:rPr>
          <w:rStyle w:val="Enfasigrassetto"/>
          <w:b w:val="0"/>
          <w:bCs w:val="0"/>
          <w:szCs w:val="18"/>
          <w:lang w:val="en-GB"/>
        </w:rPr>
        <w:t>scaffolds with</w:t>
      </w:r>
      <w:r w:rsidR="00FB08C4" w:rsidRPr="00002799">
        <w:rPr>
          <w:rStyle w:val="Enfasigrassetto"/>
          <w:b w:val="0"/>
          <w:bCs w:val="0"/>
          <w:szCs w:val="18"/>
          <w:lang w:val="en-GB"/>
        </w:rPr>
        <w:t xml:space="preserve"> pore</w:t>
      </w:r>
      <w:r w:rsidR="00BB341C">
        <w:rPr>
          <w:rStyle w:val="Enfasigrassetto"/>
          <w:b w:val="0"/>
          <w:bCs w:val="0"/>
          <w:szCs w:val="18"/>
          <w:lang w:val="en-GB"/>
        </w:rPr>
        <w:t xml:space="preserve"> </w:t>
      </w:r>
      <w:r w:rsidR="00FB08C4" w:rsidRPr="00002799">
        <w:rPr>
          <w:rStyle w:val="Enfasigrassetto"/>
          <w:b w:val="0"/>
          <w:bCs w:val="0"/>
          <w:szCs w:val="18"/>
          <w:lang w:val="en-GB"/>
        </w:rPr>
        <w:t>size gradients</w:t>
      </w:r>
      <w:r w:rsidR="00FB08C4" w:rsidRPr="00002799">
        <w:rPr>
          <w:b/>
          <w:bCs/>
          <w:szCs w:val="18"/>
          <w:lang w:val="en-GB"/>
        </w:rPr>
        <w:t xml:space="preserve"> </w:t>
      </w:r>
      <w:r w:rsidR="00FB08C4" w:rsidRPr="00002799">
        <w:rPr>
          <w:szCs w:val="18"/>
          <w:lang w:val="en-GB"/>
        </w:rPr>
        <w:t xml:space="preserve">are increasingly explored as a strategy to achieve biomimetic </w:t>
      </w:r>
      <w:r w:rsidR="00BE2ADF" w:rsidRPr="00002799">
        <w:rPr>
          <w:szCs w:val="18"/>
          <w:lang w:val="en-GB"/>
        </w:rPr>
        <w:t xml:space="preserve">scaffold </w:t>
      </w:r>
      <w:r w:rsidR="00FB08C4" w:rsidRPr="00002799">
        <w:rPr>
          <w:szCs w:val="18"/>
          <w:lang w:val="en-GB"/>
        </w:rPr>
        <w:t>architectures</w:t>
      </w:r>
      <w:r w:rsidR="00A12DAA" w:rsidRPr="00002799">
        <w:rPr>
          <w:szCs w:val="18"/>
          <w:lang w:val="en-GB"/>
        </w:rPr>
        <w:t xml:space="preserve">. </w:t>
      </w:r>
      <w:r w:rsidR="00C64CAB" w:rsidRPr="00002799">
        <w:rPr>
          <w:szCs w:val="18"/>
          <w:lang w:val="en-GB"/>
        </w:rPr>
        <w:t>These constructs</w:t>
      </w:r>
      <w:r w:rsidR="00EF2073" w:rsidRPr="00002799">
        <w:rPr>
          <w:szCs w:val="18"/>
          <w:lang w:val="en-GB"/>
        </w:rPr>
        <w:t xml:space="preserve"> </w:t>
      </w:r>
      <w:r w:rsidR="008812F4" w:rsidRPr="00002799">
        <w:rPr>
          <w:szCs w:val="18"/>
          <w:lang w:val="en-GB"/>
        </w:rPr>
        <w:t>are</w:t>
      </w:r>
      <w:r w:rsidR="00BE2ADF" w:rsidRPr="00002799">
        <w:rPr>
          <w:szCs w:val="18"/>
          <w:lang w:val="en-GB"/>
        </w:rPr>
        <w:t xml:space="preserve"> based on a </w:t>
      </w:r>
      <w:r w:rsidR="00F86DCD" w:rsidRPr="00002799">
        <w:rPr>
          <w:szCs w:val="18"/>
          <w:lang w:val="en-GB"/>
        </w:rPr>
        <w:t xml:space="preserve">single continuous </w:t>
      </w:r>
      <w:r w:rsidR="008812F4" w:rsidRPr="00002799">
        <w:rPr>
          <w:szCs w:val="18"/>
          <w:lang w:val="en-GB"/>
        </w:rPr>
        <w:t xml:space="preserve">matrix with </w:t>
      </w:r>
      <w:r w:rsidR="00F86DCD" w:rsidRPr="00002799">
        <w:rPr>
          <w:szCs w:val="18"/>
          <w:lang w:val="en-GB"/>
        </w:rPr>
        <w:t xml:space="preserve">spatially </w:t>
      </w:r>
      <w:r w:rsidR="00770AA9">
        <w:rPr>
          <w:szCs w:val="18"/>
          <w:lang w:val="en-GB"/>
        </w:rPr>
        <w:t>graded</w:t>
      </w:r>
      <w:r w:rsidR="008812F4" w:rsidRPr="00002799">
        <w:rPr>
          <w:szCs w:val="18"/>
          <w:lang w:val="en-GB"/>
        </w:rPr>
        <w:t xml:space="preserve"> properties</w:t>
      </w:r>
      <w:r w:rsidR="00C777BA" w:rsidRPr="00002799">
        <w:rPr>
          <w:szCs w:val="18"/>
          <w:lang w:val="en-GB"/>
        </w:rPr>
        <w:t xml:space="preserve">, </w:t>
      </w:r>
      <w:r w:rsidR="00F86DCD" w:rsidRPr="00002799">
        <w:rPr>
          <w:szCs w:val="18"/>
          <w:lang w:val="en-GB"/>
        </w:rPr>
        <w:t xml:space="preserve">enabling </w:t>
      </w:r>
      <w:r w:rsidR="005E12DA" w:rsidRPr="00002799">
        <w:rPr>
          <w:szCs w:val="18"/>
          <w:lang w:val="en-GB"/>
        </w:rPr>
        <w:t>smooth transition</w:t>
      </w:r>
      <w:r w:rsidR="00F86DCD" w:rsidRPr="00002799">
        <w:rPr>
          <w:szCs w:val="18"/>
          <w:lang w:val="en-GB"/>
        </w:rPr>
        <w:t>s</w:t>
      </w:r>
      <w:r w:rsidR="00B8147A" w:rsidRPr="00002799">
        <w:rPr>
          <w:szCs w:val="18"/>
          <w:lang w:val="en-GB"/>
        </w:rPr>
        <w:t xml:space="preserve"> that avoid</w:t>
      </w:r>
      <w:r w:rsidR="00EB28FF" w:rsidRPr="00002799">
        <w:rPr>
          <w:szCs w:val="18"/>
          <w:lang w:val="en-GB"/>
        </w:rPr>
        <w:t xml:space="preserve"> </w:t>
      </w:r>
      <w:r w:rsidR="00A83F52" w:rsidRPr="00002799">
        <w:rPr>
          <w:szCs w:val="18"/>
          <w:lang w:val="en-GB"/>
        </w:rPr>
        <w:t xml:space="preserve">discrete </w:t>
      </w:r>
      <w:r w:rsidR="0073036C" w:rsidRPr="00002799">
        <w:rPr>
          <w:szCs w:val="18"/>
          <w:lang w:val="en-GB"/>
        </w:rPr>
        <w:t xml:space="preserve">layers </w:t>
      </w:r>
      <w:r w:rsidR="00B8147A" w:rsidRPr="00002799">
        <w:rPr>
          <w:szCs w:val="18"/>
          <w:lang w:val="en-GB"/>
        </w:rPr>
        <w:t xml:space="preserve">stratification </w:t>
      </w:r>
      <w:r w:rsidR="00593FD1" w:rsidRPr="00002799">
        <w:rPr>
          <w:szCs w:val="18"/>
          <w:lang w:val="en-GB"/>
        </w:rPr>
        <w:t>and reduc</w:t>
      </w:r>
      <w:r w:rsidR="00B8147A" w:rsidRPr="00002799">
        <w:rPr>
          <w:szCs w:val="18"/>
          <w:lang w:val="en-GB"/>
        </w:rPr>
        <w:t>e</w:t>
      </w:r>
      <w:r w:rsidR="00593FD1" w:rsidRPr="00002799">
        <w:rPr>
          <w:szCs w:val="18"/>
          <w:lang w:val="en-GB"/>
        </w:rPr>
        <w:t xml:space="preserve"> </w:t>
      </w:r>
      <w:r w:rsidR="00A83F52" w:rsidRPr="00002799">
        <w:rPr>
          <w:szCs w:val="18"/>
          <w:lang w:val="en-GB"/>
        </w:rPr>
        <w:t>interfacial instability</w:t>
      </w:r>
      <w:r w:rsidR="00410D2D" w:rsidRPr="00002799">
        <w:rPr>
          <w:szCs w:val="18"/>
          <w:lang w:val="en-GB"/>
        </w:rPr>
        <w:t>.</w:t>
      </w:r>
      <w:r w:rsidR="00377052" w:rsidRPr="00002799">
        <w:rPr>
          <w:szCs w:val="18"/>
          <w:lang w:val="en-GB"/>
        </w:rPr>
        <w:t xml:space="preserve"> Moreover, t</w:t>
      </w:r>
      <w:r w:rsidR="00410D2D" w:rsidRPr="00002799">
        <w:rPr>
          <w:szCs w:val="18"/>
          <w:lang w:val="en-GB"/>
        </w:rPr>
        <w:t xml:space="preserve">he gradual </w:t>
      </w:r>
      <w:r w:rsidR="00377052" w:rsidRPr="00002799">
        <w:rPr>
          <w:szCs w:val="18"/>
          <w:lang w:val="en-GB"/>
        </w:rPr>
        <w:t>variation of structural features</w:t>
      </w:r>
      <w:r w:rsidR="00E73E8A" w:rsidRPr="00002799">
        <w:rPr>
          <w:szCs w:val="18"/>
          <w:lang w:val="en-GB"/>
        </w:rPr>
        <w:t xml:space="preserve"> enhances fluid and nutrient diffusion, supporting vascular ingrowth and providing appropriate mechanical support</w:t>
      </w:r>
      <w:r w:rsidR="003920B5" w:rsidRPr="00002799">
        <w:rPr>
          <w:szCs w:val="18"/>
          <w:lang w:val="en-GB"/>
        </w:rPr>
        <w:t xml:space="preserve"> </w:t>
      </w:r>
      <w:r w:rsidR="003749DE">
        <w:rPr>
          <w:szCs w:val="18"/>
          <w:lang w:val="en-GB"/>
        </w:rPr>
        <w:fldChar w:fldCharType="begin"/>
      </w:r>
      <w:r w:rsidR="005B4DC5">
        <w:rPr>
          <w:szCs w:val="18"/>
          <w:lang w:val="en-GB"/>
        </w:rPr>
        <w:instrText xml:space="preserve"> ADDIN ZOTERO_ITEM CSL_CITATION {"citationID":"fk38HZxf","properties":{"unsorted":false,"formattedCitation":"(Chen et al., 2023)","plainCitation":"(Chen et al., 2023)","noteIndex":0},"citationItems":[{"id":19,"uris":["http://zotero.org/users/local/FYFNTyV4/items/N43MEIGB"],"itemData":{"id":19,"type":"article-journal","abstract":"Osteochondral (OC) defects cannot adequately repair themselves due to their sophisticated layered structure and lack of blood supply in cartilage. Although therapeutic interventions are reaching an advanced stage, current clinical therapies to repair defects are in their infancy. Among the possible therapies, OC tissue engineering has shown considerable promise, and multiple approaches utilizing scaffolds, cells, and bioactive factors have been pursued. The most recent trend in OC tissue engineering has been to design gradient scaffolds using different materials and construction strategies (such as bi-layered, multi-layered, and continuous gradient structures) to mimic the physiological and mechanical properties of OC tissues while further enabling OC repair. This review focuses speciﬁcally on design and construction strategies for gradient scaffolds and their role in the successful engineering of OC tissues. The current dilemmas in the ﬁeld of OC defect repair and the efforts of tissue engineering to address these challenges were reviewed. In addition, the advantages and limitations of the typical fabrication techniques for gradient scaffolds were discussed, with examples of recent studies summarizing the future prospects for integrated gradient scaffold construction. This updated and enlightening review could provide insights into our current understanding of gradient scaffolds in OC tissue engineering.","container-title":"Bioengineering","DOI":"10.3390/bioengineering10020213","ISSN":"2306-5354","issue":"2","journalAbbreviation":"Bioengineering","language":"en","page":"213","source":"DOI.org (Crossref)","title":"Preparation and Characterization of Biomimetic Functional Scaffold with Gradient Structure for Osteochondral Defect Repair","volume":"10","author":[{"family":"Chen","given":"Li"},{"family":"Wei","given":"Li"},{"family":"Su","given":"Xudong"},{"family":"Qin","given":"Leilei"},{"family":"Xu","given":"Zhenghao"},{"family":"Huang","given":"Xiao"},{"family":"Chen","given":"Hong"},{"family":"Hu","given":"Ning"}],"issued":{"date-parts":[["2023",2,6]]}}}],"schema":"https://github.com/citation-style-language/schema/raw/master/csl-citation.json"} </w:instrText>
      </w:r>
      <w:r w:rsidR="003749DE">
        <w:rPr>
          <w:szCs w:val="18"/>
          <w:lang w:val="en-GB"/>
        </w:rPr>
        <w:fldChar w:fldCharType="separate"/>
      </w:r>
      <w:r w:rsidR="005B4DC5" w:rsidRPr="005B4DC5">
        <w:rPr>
          <w:rFonts w:cs="Arial"/>
        </w:rPr>
        <w:t>(Chen et al., 2023)</w:t>
      </w:r>
      <w:r w:rsidR="003749DE">
        <w:rPr>
          <w:szCs w:val="18"/>
          <w:lang w:val="en-GB"/>
        </w:rPr>
        <w:fldChar w:fldCharType="end"/>
      </w:r>
      <w:r w:rsidR="003749DE">
        <w:rPr>
          <w:rFonts w:cs="Arial"/>
          <w:color w:val="000000"/>
          <w:szCs w:val="18"/>
          <w:lang w:val="en-GB"/>
        </w:rPr>
        <w:t>.</w:t>
      </w:r>
    </w:p>
    <w:p w14:paraId="03816449" w14:textId="546487BD" w:rsidR="00CC6B69" w:rsidRPr="00DC755A" w:rsidRDefault="00801330" w:rsidP="00060D8C">
      <w:pPr>
        <w:pStyle w:val="CETBodytext"/>
        <w:spacing w:line="240" w:lineRule="auto"/>
        <w:rPr>
          <w:rFonts w:cs="Arial"/>
          <w:color w:val="000000"/>
          <w:szCs w:val="18"/>
          <w:lang w:val="en-GB"/>
        </w:rPr>
      </w:pPr>
      <w:r w:rsidRPr="00002799">
        <w:rPr>
          <w:rFonts w:cs="Arial"/>
          <w:color w:val="000000"/>
          <w:szCs w:val="18"/>
          <w:lang w:val="en-GB"/>
        </w:rPr>
        <w:t xml:space="preserve">Scaffold pore size and porosity </w:t>
      </w:r>
      <w:r w:rsidR="0059590A" w:rsidRPr="00002799">
        <w:rPr>
          <w:rFonts w:cs="Arial"/>
          <w:color w:val="000000"/>
          <w:szCs w:val="18"/>
          <w:lang w:val="en-GB"/>
        </w:rPr>
        <w:t>play a key role in regulating cell behaviour</w:t>
      </w:r>
      <w:r w:rsidR="001E61B7" w:rsidRPr="00002799">
        <w:rPr>
          <w:rFonts w:cs="Arial"/>
          <w:color w:val="000000"/>
          <w:szCs w:val="18"/>
          <w:lang w:val="en-GB"/>
        </w:rPr>
        <w:t>, influencing cell adhesion, migration and phenotype expression, as well as nutrient diffusion and degradation kinetics</w:t>
      </w:r>
      <w:r w:rsidR="005B4DC5">
        <w:rPr>
          <w:rFonts w:cs="Arial"/>
          <w:color w:val="000000"/>
          <w:szCs w:val="18"/>
          <w:lang w:val="en-GB"/>
        </w:rPr>
        <w:t xml:space="preserve"> </w:t>
      </w:r>
      <w:r w:rsidR="005B4DC5">
        <w:rPr>
          <w:rFonts w:cs="Arial"/>
          <w:color w:val="000000"/>
          <w:szCs w:val="18"/>
          <w:lang w:val="en-GB"/>
        </w:rPr>
        <w:fldChar w:fldCharType="begin"/>
      </w:r>
      <w:r w:rsidR="005B4DC5">
        <w:rPr>
          <w:rFonts w:cs="Arial"/>
          <w:color w:val="000000"/>
          <w:szCs w:val="18"/>
          <w:lang w:val="en-GB"/>
        </w:rPr>
        <w:instrText xml:space="preserve"> ADDIN ZOTERO_ITEM CSL_CITATION {"citationID":"xtQUOhRq","properties":{"unsorted":false,"formattedCitation":"(Rigogliuso et al., 2012)","plainCitation":"(Rigogliuso et al., 2012)","noteIndex":0},"citationItems":[{"id":22,"uris":["http://zotero.org/users/local/FYFNTyV4/items/GVFQ4QPI"],"itemData":{"id":22,"type":"article-journal","collection-title":"Chemical engineering transactions","language":"en","publisher":"AIDIC","source":"K10plus ISBN","title":"Use of Modified 3D Scaffolds to Improve Cell Adhesion  and Drive Desired Cell Responses","title-short":"IBIC 2012, 3rd International Conference on Industrial Biotechnology","author":[{"family":"Rigogliuso","given":"Salvatrice"},{"family":"Carfì Pavia","given":"Francesco"},{"family":"Brucato","given":"Valerio"},{"family":"La Carrubba","given":"Vincenzo"},{"family":"Favia","given":"Pietro"},{"family":"Intranuovo","given":"Francesca"},{"family":"Gristina","given":"Roberto"},{"family":"Ghersi","given":"Giulio"}],"issued":{"date-parts":[["2012"]]}}}],"schema":"https://github.com/citation-style-language/schema/raw/master/csl-citation.json"} </w:instrText>
      </w:r>
      <w:r w:rsidR="005B4DC5">
        <w:rPr>
          <w:rFonts w:cs="Arial"/>
          <w:color w:val="000000"/>
          <w:szCs w:val="18"/>
          <w:lang w:val="en-GB"/>
        </w:rPr>
        <w:fldChar w:fldCharType="separate"/>
      </w:r>
      <w:r w:rsidR="005B4DC5" w:rsidRPr="00650D57">
        <w:rPr>
          <w:rFonts w:cs="Arial"/>
          <w:color w:val="000000"/>
          <w:szCs w:val="18"/>
          <w:lang w:val="en-GB"/>
        </w:rPr>
        <w:t>(Rigogliuso et al., 2012)</w:t>
      </w:r>
      <w:r w:rsidR="005B4DC5">
        <w:rPr>
          <w:rFonts w:cs="Arial"/>
          <w:color w:val="000000"/>
          <w:szCs w:val="18"/>
          <w:lang w:val="en-GB"/>
        </w:rPr>
        <w:fldChar w:fldCharType="end"/>
      </w:r>
      <w:r w:rsidR="00646BD0" w:rsidRPr="00002799">
        <w:rPr>
          <w:rFonts w:cs="Arial"/>
          <w:color w:val="000000"/>
          <w:szCs w:val="18"/>
          <w:lang w:val="en-GB"/>
        </w:rPr>
        <w:t xml:space="preserve">. </w:t>
      </w:r>
      <w:r w:rsidR="009B2FB1" w:rsidRPr="009B2FB1">
        <w:rPr>
          <w:rFonts w:cs="Arial"/>
          <w:color w:val="000000"/>
          <w:szCs w:val="18"/>
          <w:lang w:val="en-GB"/>
        </w:rPr>
        <w:t xml:space="preserve">Among scaffold fabrication techniques, </w:t>
      </w:r>
      <w:r w:rsidR="006E04E5">
        <w:rPr>
          <w:rFonts w:cs="Arial"/>
          <w:color w:val="000000"/>
          <w:szCs w:val="18"/>
          <w:lang w:val="en-GB"/>
        </w:rPr>
        <w:t>thermally induced phase separation (</w:t>
      </w:r>
      <w:r w:rsidR="009B2FB1" w:rsidRPr="009B2FB1">
        <w:rPr>
          <w:rFonts w:cs="Arial"/>
          <w:color w:val="000000"/>
          <w:szCs w:val="18"/>
          <w:lang w:val="en-GB"/>
        </w:rPr>
        <w:t>TIPS</w:t>
      </w:r>
      <w:r w:rsidR="006E04E5">
        <w:rPr>
          <w:rFonts w:cs="Arial"/>
          <w:color w:val="000000"/>
          <w:szCs w:val="18"/>
          <w:lang w:val="en-GB"/>
        </w:rPr>
        <w:t>)</w:t>
      </w:r>
      <w:r w:rsidR="009B2FB1" w:rsidRPr="009B2FB1">
        <w:rPr>
          <w:rFonts w:cs="Arial"/>
          <w:color w:val="000000"/>
          <w:szCs w:val="18"/>
          <w:lang w:val="en-GB"/>
        </w:rPr>
        <w:t xml:space="preserve"> provides a versatile </w:t>
      </w:r>
      <w:r w:rsidR="00964685">
        <w:rPr>
          <w:rFonts w:cs="Arial"/>
          <w:color w:val="000000"/>
          <w:szCs w:val="18"/>
          <w:lang w:val="en-GB"/>
        </w:rPr>
        <w:t>approach</w:t>
      </w:r>
      <w:r w:rsidR="009B2FB1" w:rsidRPr="009B2FB1">
        <w:rPr>
          <w:rFonts w:cs="Arial"/>
          <w:color w:val="000000"/>
          <w:szCs w:val="18"/>
          <w:lang w:val="en-GB"/>
        </w:rPr>
        <w:t xml:space="preserve"> for tailoring porous architectures through </w:t>
      </w:r>
      <w:r w:rsidR="00964685">
        <w:rPr>
          <w:rFonts w:cs="Arial"/>
          <w:color w:val="000000"/>
          <w:szCs w:val="18"/>
          <w:lang w:val="en-GB"/>
        </w:rPr>
        <w:t>several</w:t>
      </w:r>
      <w:r w:rsidR="009B2FB1" w:rsidRPr="009B2FB1">
        <w:rPr>
          <w:rFonts w:cs="Arial"/>
          <w:color w:val="000000"/>
          <w:szCs w:val="18"/>
          <w:lang w:val="en-GB"/>
        </w:rPr>
        <w:t xml:space="preserve"> processing parameters. In particular, thermal history during processing plays a key role in determining pore morphology and spatial distribution, allowing controlled modulation of pore size and interconnectivity </w:t>
      </w:r>
      <w:r w:rsidR="00275D27">
        <w:rPr>
          <w:rFonts w:cs="Arial"/>
          <w:lang w:val="en-GB"/>
        </w:rPr>
        <w:fldChar w:fldCharType="begin"/>
      </w:r>
      <w:r w:rsidR="005B4DC5">
        <w:rPr>
          <w:rFonts w:cs="Arial"/>
          <w:lang w:val="en-GB"/>
        </w:rPr>
        <w:instrText xml:space="preserve"> ADDIN ZOTERO_ITEM CSL_CITATION {"citationID":"RQTrcrqE","properties":{"unsorted":false,"formattedCitation":"(Chen et al., 2010)","plainCitation":"(Chen et al., 2010)","noteIndex":0},"citationItems":[{"id":12,"uris":["http://zotero.org/users/local/FYFNTyV4/items/Z6TIXIZG"],"itemData":{"id":12,"type":"article-journal","abstract":"Polylactide (PLA) has been widely used as a three-dimensional scaffold for cell transplantation and as a drug carrier for controlled release due to its superior biocompatibility and biodegradability. The technique of thermally induced phase separation (TIPS) is favorable for the fabrication of a porous scaffold due to its various advantages. A diverse range of porous structures can be obtained by TIPS through adjustment of process parameters. In this study, PLA scaffolds were prepared from a ternary PLA–dioxane–water system by the TIPS method. The effects of fabrication parameters, such as quenching route and the composition of the ternary system, on the macroscopic and microscopic morphologies of the scaffolds were studied. The phase diagram of this system showed that the presence of water nonsolvent is essential for a liquid–liquid phase separation to occur. Accordingly, a binary PLA–dioxane system (100/0) exhibited only a solid–liquid phase separation. For a ternary PLA–dioxane–water system, the cloud-point temperature corresponding to a liquid–liquid phase separation was highly dependent on its water content and polymer concentration, while the freezing point corresponding to a solid–liquid phase separation was nearly independent of the polymer concentration and water content. Given a slight increase in the water content of the solvent mixture of 5%, i.e. a change in dioxane/water ratio from 90/10 to 85/15, or an increase in the polymer concentration of 2–30%, there was a substantial 40–50 8C increase in cloud-point temperature, in contrast with a nearly constant freezing point of between 10 and 20 8C. Morphology of the scaffold prepared via solid–liquid phase separation of a binary dioxane–PLA system gave a highly anisotropic tubular morphology with an internal ladder-like structure, while scaffolds prepared via liquid–liquid phase separation of a ternary PLA–dioxane–water system exhibited isotropic morphology. The ultimate pore structure of a scaffold was controlled by various processing parameters such as polymer concentration, water content, quench route and molecular weight of the polymer. Liquid–liquid de-mixing is a highly dynamic process that is subject to the effects of coarsening at the intermediate or later stage of the de-mixing process. For scaffolds prepared from solutions with polymer concentration of less than 7.5 wt%, the pore size decreases with the increase of polymer concentration. The coarsening effect was minimal and the ﬁnal pore structure was found to be mainly determined by the liquid–liquid de-mixing mechanism, attributable to the smaller liquid–liquid demixing gap. For polymer concentrations higher than 7.5 wt%, the coarsening effect was more important, and a bimodal pore-size distribution was observed; in addition to the uniform small pores caused by instantaneous spinodal decomposition, large pores formed during the subsequent coarsening process. SEM micrographs showing that sedimentation occurred by aging time of about 5 and 60 min for scaffolds prepared from a 7.5 wt% PDLLA solution with dioxane/water ratio of 90/10 at 5 and 12 8C, respectively. Although this result suggests that such scaffolds rapidly lost macroscopic uniformity, porosity data indicates that the specimens did not lose integrity by aging for up to 120 min.","container-title":"Journal of the Taiwan Institute of Chemical Engineers","DOI":"10.1016/j.jtice.2009.08.008","ISSN":"18761070","issue":"2","journalAbbreviation":"Journal of the Taiwan Institute of Chemical Engineers","language":"en","license":"https://www.elsevier.com/tdm/userlicense/1.0/","page":"229-238","source":"DOI.org (Crossref)","title":"A morphological study of porous polylactide scaffolds prepared by thermally induced phase separation","volume":"41","author":[{"family":"Chen","given":"Jui Shui"},{"family":"Tu","given":"Shu Ling"},{"family":"Tsay","given":"Ruey Yug"}],"issued":{"date-parts":[["2010",3]]}}}],"schema":"https://github.com/citation-style-language/schema/raw/master/csl-citation.json"} </w:instrText>
      </w:r>
      <w:r w:rsidR="00275D27">
        <w:rPr>
          <w:rFonts w:cs="Arial"/>
          <w:lang w:val="en-GB"/>
        </w:rPr>
        <w:fldChar w:fldCharType="separate"/>
      </w:r>
      <w:r w:rsidR="005B4DC5" w:rsidRPr="005B4DC5">
        <w:rPr>
          <w:rFonts w:cs="Arial"/>
        </w:rPr>
        <w:t>(Chen et al., 2010)</w:t>
      </w:r>
      <w:r w:rsidR="00275D27">
        <w:rPr>
          <w:rFonts w:cs="Arial"/>
          <w:lang w:val="en-GB"/>
        </w:rPr>
        <w:fldChar w:fldCharType="end"/>
      </w:r>
      <w:r w:rsidR="00275D27">
        <w:rPr>
          <w:rFonts w:cs="Arial"/>
          <w:color w:val="000000"/>
          <w:lang w:val="en-GB"/>
        </w:rPr>
        <w:t>.</w:t>
      </w:r>
    </w:p>
    <w:p w14:paraId="544468D9" w14:textId="07854B83" w:rsidR="00016A98" w:rsidRPr="00002799" w:rsidRDefault="00C16744" w:rsidP="00060D8C">
      <w:pPr>
        <w:pStyle w:val="CETBodytext"/>
        <w:spacing w:line="240" w:lineRule="auto"/>
        <w:rPr>
          <w:rFonts w:cs="Arial"/>
          <w:color w:val="000000"/>
          <w:lang w:val="en-GB"/>
        </w:rPr>
      </w:pPr>
      <w:r w:rsidRPr="00002799">
        <w:rPr>
          <w:rFonts w:cs="Arial"/>
          <w:color w:val="000000"/>
          <w:lang w:val="en-GB"/>
        </w:rPr>
        <w:t xml:space="preserve">Despite the growing interest in </w:t>
      </w:r>
      <w:r w:rsidR="003C02FA">
        <w:rPr>
          <w:rFonts w:cs="Arial"/>
          <w:color w:val="000000"/>
          <w:lang w:val="en-GB"/>
        </w:rPr>
        <w:t xml:space="preserve">pore size </w:t>
      </w:r>
      <w:r w:rsidRPr="00002799">
        <w:rPr>
          <w:rFonts w:cs="Arial"/>
          <w:color w:val="000000"/>
          <w:lang w:val="en-GB"/>
        </w:rPr>
        <w:t xml:space="preserve">gradient scaffold, most </w:t>
      </w:r>
      <w:r w:rsidR="000D3EC0">
        <w:rPr>
          <w:rFonts w:cs="Arial"/>
          <w:color w:val="000000"/>
          <w:lang w:val="en-GB"/>
        </w:rPr>
        <w:t>production</w:t>
      </w:r>
      <w:r w:rsidRPr="00002799">
        <w:rPr>
          <w:rFonts w:cs="Arial"/>
          <w:color w:val="000000"/>
          <w:lang w:val="en-GB"/>
        </w:rPr>
        <w:t xml:space="preserve"> </w:t>
      </w:r>
      <w:r w:rsidR="00806907">
        <w:rPr>
          <w:rFonts w:cs="Arial"/>
          <w:color w:val="000000"/>
          <w:lang w:val="en-GB"/>
        </w:rPr>
        <w:t>techniques</w:t>
      </w:r>
      <w:r w:rsidRPr="00002799">
        <w:rPr>
          <w:rFonts w:cs="Arial"/>
          <w:color w:val="000000"/>
          <w:lang w:val="en-GB"/>
        </w:rPr>
        <w:t xml:space="preserve"> rely on complex multistep processes</w:t>
      </w:r>
      <w:r w:rsidR="00415192" w:rsidRPr="00002799">
        <w:rPr>
          <w:rFonts w:cs="Arial"/>
          <w:color w:val="000000"/>
          <w:lang w:val="en-GB"/>
        </w:rPr>
        <w:t xml:space="preserve"> or post-processing strategies to generate</w:t>
      </w:r>
      <w:r w:rsidR="003C02FA">
        <w:rPr>
          <w:rFonts w:cs="Arial"/>
          <w:color w:val="000000"/>
          <w:lang w:val="en-GB"/>
        </w:rPr>
        <w:t xml:space="preserve"> this</w:t>
      </w:r>
      <w:r w:rsidR="00415192" w:rsidRPr="00002799">
        <w:rPr>
          <w:rFonts w:cs="Arial"/>
          <w:color w:val="000000"/>
          <w:lang w:val="en-GB"/>
        </w:rPr>
        <w:t xml:space="preserve"> spatial variation. </w:t>
      </w:r>
      <w:r w:rsidR="00B2555E" w:rsidRPr="00002799">
        <w:rPr>
          <w:rFonts w:cs="Arial"/>
          <w:color w:val="000000"/>
          <w:lang w:val="en-GB"/>
        </w:rPr>
        <w:t xml:space="preserve">Few studies </w:t>
      </w:r>
      <w:r w:rsidR="003B7574" w:rsidRPr="00002799">
        <w:rPr>
          <w:rFonts w:cs="Arial"/>
          <w:color w:val="000000"/>
          <w:lang w:val="en-GB"/>
        </w:rPr>
        <w:t>have</w:t>
      </w:r>
      <w:r w:rsidR="00B2555E" w:rsidRPr="00002799">
        <w:rPr>
          <w:rFonts w:cs="Arial"/>
          <w:color w:val="000000"/>
          <w:lang w:val="en-GB"/>
        </w:rPr>
        <w:t xml:space="preserve"> been focused to directional control </w:t>
      </w:r>
      <w:r w:rsidR="00FA7811" w:rsidRPr="00002799">
        <w:rPr>
          <w:rFonts w:cs="Arial"/>
          <w:color w:val="000000"/>
          <w:lang w:val="en-GB"/>
        </w:rPr>
        <w:t>o</w:t>
      </w:r>
      <w:r w:rsidR="00B2555E" w:rsidRPr="00002799">
        <w:rPr>
          <w:rFonts w:cs="Arial"/>
          <w:color w:val="000000"/>
          <w:lang w:val="en-GB"/>
        </w:rPr>
        <w:t xml:space="preserve">f the cooling process during </w:t>
      </w:r>
      <w:r w:rsidR="00CB4B33">
        <w:rPr>
          <w:rFonts w:cs="Arial"/>
          <w:color w:val="000000"/>
          <w:lang w:val="en-GB"/>
        </w:rPr>
        <w:t>TIPS</w:t>
      </w:r>
      <w:r w:rsidR="00FA7811" w:rsidRPr="00002799">
        <w:rPr>
          <w:rFonts w:cs="Arial"/>
          <w:color w:val="000000"/>
          <w:lang w:val="en-GB"/>
        </w:rPr>
        <w:t xml:space="preserve"> t</w:t>
      </w:r>
      <w:r w:rsidR="007F00A0" w:rsidRPr="00002799">
        <w:rPr>
          <w:rFonts w:cs="Arial"/>
          <w:color w:val="000000"/>
          <w:lang w:val="en-GB"/>
        </w:rPr>
        <w:t>o</w:t>
      </w:r>
      <w:r w:rsidR="00FA7811" w:rsidRPr="00002799">
        <w:rPr>
          <w:rFonts w:cs="Arial"/>
          <w:color w:val="000000"/>
          <w:lang w:val="en-GB"/>
        </w:rPr>
        <w:t xml:space="preserve"> direct</w:t>
      </w:r>
      <w:r w:rsidR="00BE2DC8">
        <w:rPr>
          <w:rFonts w:cs="Arial"/>
          <w:color w:val="000000"/>
          <w:lang w:val="en-GB"/>
        </w:rPr>
        <w:t>ly</w:t>
      </w:r>
      <w:r w:rsidR="00FA7811" w:rsidRPr="00002799">
        <w:rPr>
          <w:rFonts w:cs="Arial"/>
          <w:color w:val="000000"/>
          <w:lang w:val="en-GB"/>
        </w:rPr>
        <w:t xml:space="preserve"> generate continuous pore</w:t>
      </w:r>
      <w:r w:rsidR="008D1BE7">
        <w:rPr>
          <w:rFonts w:cs="Arial"/>
          <w:color w:val="000000"/>
          <w:lang w:val="en-GB"/>
        </w:rPr>
        <w:t xml:space="preserve"> </w:t>
      </w:r>
      <w:r w:rsidR="00FA7811" w:rsidRPr="00002799">
        <w:rPr>
          <w:rFonts w:cs="Arial"/>
          <w:color w:val="000000"/>
          <w:lang w:val="en-GB"/>
        </w:rPr>
        <w:t>size gradients.</w:t>
      </w:r>
    </w:p>
    <w:p w14:paraId="4564A289" w14:textId="3109030E" w:rsidR="00E56FE6" w:rsidRPr="00002799" w:rsidRDefault="007F00A0" w:rsidP="00060D8C">
      <w:pPr>
        <w:pStyle w:val="CETBodytext"/>
        <w:spacing w:line="240" w:lineRule="auto"/>
        <w:rPr>
          <w:rFonts w:cs="Arial"/>
          <w:color w:val="000000"/>
          <w:szCs w:val="18"/>
          <w:lang w:val="en-GB"/>
        </w:rPr>
      </w:pPr>
      <w:r w:rsidRPr="00002799">
        <w:rPr>
          <w:rFonts w:cs="Arial"/>
          <w:color w:val="000000"/>
          <w:lang w:val="en-GB"/>
        </w:rPr>
        <w:lastRenderedPageBreak/>
        <w:t>In this context, th</w:t>
      </w:r>
      <w:r w:rsidR="00E40526">
        <w:rPr>
          <w:rFonts w:cs="Arial"/>
          <w:color w:val="000000"/>
          <w:lang w:val="en-GB"/>
        </w:rPr>
        <w:t>e present</w:t>
      </w:r>
      <w:r w:rsidR="00367BC5">
        <w:rPr>
          <w:rFonts w:cs="Arial"/>
          <w:color w:val="000000"/>
          <w:lang w:val="en-GB"/>
        </w:rPr>
        <w:t xml:space="preserve"> </w:t>
      </w:r>
      <w:r w:rsidRPr="00002799">
        <w:rPr>
          <w:rFonts w:cs="Arial"/>
          <w:color w:val="000000"/>
          <w:lang w:val="en-GB"/>
        </w:rPr>
        <w:t xml:space="preserve">work investigates a </w:t>
      </w:r>
      <w:r w:rsidR="005716AC" w:rsidRPr="00002799">
        <w:rPr>
          <w:rFonts w:cs="Arial"/>
          <w:color w:val="000000"/>
          <w:lang w:val="en-GB"/>
        </w:rPr>
        <w:t>one</w:t>
      </w:r>
      <w:r w:rsidRPr="00002799">
        <w:rPr>
          <w:rFonts w:cs="Arial"/>
          <w:color w:val="000000"/>
          <w:lang w:val="en-GB"/>
        </w:rPr>
        <w:t xml:space="preserve">-step TIPS-based approach to </w:t>
      </w:r>
      <w:r w:rsidR="00CB5702" w:rsidRPr="00002799">
        <w:rPr>
          <w:rFonts w:cs="Arial"/>
          <w:color w:val="000000"/>
          <w:lang w:val="en-GB"/>
        </w:rPr>
        <w:t>produce</w:t>
      </w:r>
      <w:r w:rsidR="009C5378" w:rsidRPr="00002799">
        <w:rPr>
          <w:rFonts w:cs="Arial"/>
          <w:color w:val="000000"/>
          <w:lang w:val="en-GB"/>
        </w:rPr>
        <w:t xml:space="preserve"> scaffolds with a controlled pore</w:t>
      </w:r>
      <w:r w:rsidR="00107248">
        <w:rPr>
          <w:rFonts w:cs="Arial"/>
          <w:color w:val="000000"/>
          <w:lang w:val="en-GB"/>
        </w:rPr>
        <w:t xml:space="preserve"> </w:t>
      </w:r>
      <w:r w:rsidR="009C5378" w:rsidRPr="00002799">
        <w:rPr>
          <w:rFonts w:cs="Arial"/>
          <w:color w:val="000000"/>
          <w:lang w:val="en-GB"/>
        </w:rPr>
        <w:t xml:space="preserve">size gradient by tailoring the direction of heat transfer during </w:t>
      </w:r>
      <w:r w:rsidR="004800D9">
        <w:rPr>
          <w:rFonts w:cs="Arial"/>
          <w:color w:val="000000"/>
          <w:lang w:val="en-GB"/>
        </w:rPr>
        <w:t>the</w:t>
      </w:r>
      <w:r w:rsidR="00136D61" w:rsidRPr="00002799">
        <w:rPr>
          <w:rFonts w:cs="Arial"/>
          <w:color w:val="000000"/>
          <w:lang w:val="en-GB"/>
        </w:rPr>
        <w:t xml:space="preserve"> process</w:t>
      </w:r>
      <w:r w:rsidR="009C5378" w:rsidRPr="00002799">
        <w:rPr>
          <w:rFonts w:cs="Arial"/>
          <w:color w:val="000000"/>
          <w:lang w:val="en-GB"/>
        </w:rPr>
        <w:t>.</w:t>
      </w:r>
      <w:r w:rsidR="00A021C7">
        <w:rPr>
          <w:rFonts w:cs="Arial"/>
          <w:color w:val="000000"/>
          <w:lang w:val="en-GB"/>
        </w:rPr>
        <w:t xml:space="preserve"> Specifically, t</w:t>
      </w:r>
      <w:r w:rsidR="003E2C6F" w:rsidRPr="00002799">
        <w:rPr>
          <w:rFonts w:cs="Arial"/>
          <w:color w:val="000000"/>
          <w:lang w:val="en-GB"/>
        </w:rPr>
        <w:t>he study investigat</w:t>
      </w:r>
      <w:r w:rsidR="004800D9">
        <w:rPr>
          <w:rFonts w:cs="Arial"/>
          <w:color w:val="000000"/>
          <w:lang w:val="en-GB"/>
        </w:rPr>
        <w:t>es</w:t>
      </w:r>
      <w:r w:rsidR="003E2C6F" w:rsidRPr="00002799">
        <w:rPr>
          <w:rFonts w:cs="Arial"/>
          <w:color w:val="000000"/>
          <w:lang w:val="en-GB"/>
        </w:rPr>
        <w:t xml:space="preserve"> how the presence of thermal insulation influences heat</w:t>
      </w:r>
      <w:r w:rsidR="00D64DA8">
        <w:rPr>
          <w:rFonts w:cs="Arial"/>
          <w:color w:val="000000"/>
          <w:lang w:val="en-GB"/>
        </w:rPr>
        <w:t xml:space="preserve"> </w:t>
      </w:r>
      <w:r w:rsidR="003E2C6F" w:rsidRPr="00002799">
        <w:rPr>
          <w:rFonts w:cs="Arial"/>
          <w:color w:val="000000"/>
          <w:lang w:val="en-GB"/>
        </w:rPr>
        <w:t xml:space="preserve">transfer directionality and, consequently, the spatial distribution of pore size across the scaffold thickness. </w:t>
      </w:r>
      <w:r w:rsidR="009D33AD" w:rsidRPr="00002799">
        <w:rPr>
          <w:rFonts w:cs="Arial"/>
          <w:color w:val="000000"/>
          <w:lang w:val="en-GB"/>
        </w:rPr>
        <w:t xml:space="preserve">By controlling thermal conditions, the proposed strategy aims to </w:t>
      </w:r>
      <w:r w:rsidR="0077034C" w:rsidRPr="00002799">
        <w:rPr>
          <w:rFonts w:cs="Arial"/>
          <w:color w:val="000000"/>
          <w:lang w:val="en-GB"/>
        </w:rPr>
        <w:t>e</w:t>
      </w:r>
      <w:r w:rsidR="009D33AD" w:rsidRPr="00002799">
        <w:rPr>
          <w:rFonts w:cs="Arial"/>
          <w:color w:val="000000"/>
          <w:lang w:val="en-GB"/>
        </w:rPr>
        <w:t>nable the forma</w:t>
      </w:r>
      <w:r w:rsidR="0077034C" w:rsidRPr="00002799">
        <w:rPr>
          <w:rFonts w:cs="Arial"/>
          <w:color w:val="000000"/>
          <w:lang w:val="en-GB"/>
        </w:rPr>
        <w:t>tion of continuous pore</w:t>
      </w:r>
      <w:r w:rsidR="00224860">
        <w:rPr>
          <w:rFonts w:cs="Arial"/>
          <w:color w:val="000000"/>
          <w:lang w:val="en-GB"/>
        </w:rPr>
        <w:t xml:space="preserve"> </w:t>
      </w:r>
      <w:r w:rsidR="0077034C" w:rsidRPr="00002799">
        <w:rPr>
          <w:rFonts w:cs="Arial"/>
          <w:color w:val="000000"/>
          <w:lang w:val="en-GB"/>
        </w:rPr>
        <w:t>size gradients without post-processing steps</w:t>
      </w:r>
      <w:r w:rsidR="002F4277" w:rsidRPr="00002799">
        <w:rPr>
          <w:rFonts w:cs="Arial"/>
          <w:color w:val="000000"/>
          <w:lang w:val="en-GB"/>
        </w:rPr>
        <w:t>.</w:t>
      </w:r>
    </w:p>
    <w:p w14:paraId="60133CA5" w14:textId="77777777" w:rsidR="00075C80" w:rsidRPr="00002799" w:rsidRDefault="00E762D4" w:rsidP="00985C50">
      <w:pPr>
        <w:pStyle w:val="CETHeading1"/>
        <w:rPr>
          <w:bCs/>
          <w:lang w:val="en-GB"/>
        </w:rPr>
      </w:pPr>
      <w:r w:rsidRPr="00002799">
        <w:rPr>
          <w:lang w:val="en-GB"/>
        </w:rPr>
        <w:t xml:space="preserve">Materials and method </w:t>
      </w:r>
    </w:p>
    <w:p w14:paraId="6BAD98DD" w14:textId="7A29D586" w:rsidR="00B57AA0" w:rsidRPr="00002799" w:rsidRDefault="00B57AA0" w:rsidP="00060D8C">
      <w:pPr>
        <w:pStyle w:val="CETBodytext"/>
        <w:spacing w:after="240" w:line="240" w:lineRule="auto"/>
        <w:rPr>
          <w:b/>
          <w:bCs/>
          <w:lang w:val="en-GB"/>
        </w:rPr>
      </w:pPr>
      <w:r w:rsidRPr="00002799">
        <w:rPr>
          <w:b/>
          <w:bCs/>
          <w:lang w:val="en-GB"/>
        </w:rPr>
        <w:t>2.</w:t>
      </w:r>
      <w:r>
        <w:rPr>
          <w:b/>
          <w:bCs/>
          <w:lang w:val="en-GB"/>
        </w:rPr>
        <w:t xml:space="preserve">1 </w:t>
      </w:r>
      <w:r w:rsidRPr="00002799">
        <w:rPr>
          <w:b/>
          <w:bCs/>
          <w:lang w:val="en-GB"/>
        </w:rPr>
        <w:t>Thermal transient analysis (MATLAB)</w:t>
      </w:r>
    </w:p>
    <w:p w14:paraId="7DCE5656" w14:textId="04EB3583" w:rsidR="00B57AA0" w:rsidRPr="00002799" w:rsidRDefault="00B57AA0" w:rsidP="00060D8C">
      <w:pPr>
        <w:pStyle w:val="CETBodytext"/>
        <w:spacing w:after="240" w:line="240" w:lineRule="auto"/>
        <w:rPr>
          <w:lang w:val="en-GB"/>
        </w:rPr>
      </w:pPr>
      <w:r w:rsidRPr="00002799">
        <w:rPr>
          <w:lang w:val="en-GB"/>
        </w:rPr>
        <w:t>Thermal transient analyses were performed using the Partial Differential Equations (PDE) Toolbox in MATLAB</w:t>
      </w:r>
      <w:r>
        <w:rPr>
          <w:lang w:val="en-GB"/>
        </w:rPr>
        <w:t xml:space="preserve"> to</w:t>
      </w:r>
      <w:r w:rsidRPr="00002799">
        <w:rPr>
          <w:lang w:val="en-GB"/>
        </w:rPr>
        <w:t xml:space="preserve"> model heat transfer during the TIPS process</w:t>
      </w:r>
      <w:r w:rsidR="00840A04">
        <w:rPr>
          <w:lang w:val="en-GB"/>
        </w:rPr>
        <w:t xml:space="preserve"> and evaluate</w:t>
      </w:r>
      <w:r w:rsidRPr="00002799">
        <w:rPr>
          <w:lang w:val="en-GB"/>
        </w:rPr>
        <w:t xml:space="preserve"> temperature evolution during cooling. Heat transfer was assumed to be conduction-dominate</w:t>
      </w:r>
      <w:r>
        <w:rPr>
          <w:lang w:val="en-GB"/>
        </w:rPr>
        <w:t>d,</w:t>
      </w:r>
      <w:r w:rsidRPr="00002799">
        <w:rPr>
          <w:lang w:val="en-GB"/>
        </w:rPr>
        <w:t xml:space="preserve"> and the transient heat conduction equation (Eq. 1)</w:t>
      </w:r>
      <w:r>
        <w:rPr>
          <w:lang w:val="en-GB"/>
        </w:rPr>
        <w:t xml:space="preserve"> </w:t>
      </w:r>
      <w:r w:rsidRPr="00002799">
        <w:rPr>
          <w:lang w:val="en-GB"/>
        </w:rPr>
        <w:t>was solved:</w:t>
      </w:r>
    </w:p>
    <w:p w14:paraId="6FD30B6A" w14:textId="77777777" w:rsidR="00B57AA0" w:rsidRPr="00002799" w:rsidRDefault="00B57AA0" w:rsidP="00060D8C">
      <w:pPr>
        <w:pStyle w:val="CETBodytext"/>
        <w:spacing w:after="240" w:line="240" w:lineRule="auto"/>
        <w:jc w:val="left"/>
        <w:rPr>
          <w:lang w:val="en-GB"/>
        </w:rPr>
      </w:pPr>
      <m:oMath>
        <m:r>
          <w:rPr>
            <w:rFonts w:ascii="Cambria Math" w:hAnsi="Cambria Math" w:cs="Arial"/>
            <w:lang w:val="en-GB"/>
          </w:rPr>
          <m:t>ρ</m:t>
        </m:r>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p</m:t>
            </m:r>
          </m:sub>
        </m:sSub>
        <m:f>
          <m:fPr>
            <m:ctrlPr>
              <w:rPr>
                <w:rFonts w:ascii="Cambria Math" w:hAnsi="Cambria Math" w:cs="Arial"/>
                <w:i/>
                <w:lang w:val="en-GB"/>
              </w:rPr>
            </m:ctrlPr>
          </m:fPr>
          <m:num>
            <m:r>
              <w:rPr>
                <w:rFonts w:ascii="Cambria Math" w:hAnsi="Cambria Math" w:cs="Arial"/>
                <w:lang w:val="en-GB"/>
              </w:rPr>
              <m:t>∂T</m:t>
            </m:r>
          </m:num>
          <m:den>
            <m:r>
              <w:rPr>
                <w:rFonts w:ascii="Cambria Math" w:hAnsi="Cambria Math" w:cs="Arial"/>
                <w:lang w:val="en-GB"/>
              </w:rPr>
              <m:t>∂t</m:t>
            </m:r>
          </m:den>
        </m:f>
        <m:r>
          <w:rPr>
            <w:rFonts w:ascii="Cambria Math" w:hAnsi="Cambria Math" w:cs="Arial"/>
            <w:lang w:val="en-GB"/>
          </w:rPr>
          <m:t>=</m:t>
        </m:r>
        <m:r>
          <m:rPr>
            <m:sty m:val="p"/>
          </m:rPr>
          <w:rPr>
            <w:rFonts w:ascii="Cambria Math" w:hAnsi="Cambria Math" w:cs="Arial"/>
            <w:lang w:val="en-GB"/>
          </w:rPr>
          <m:t>∇</m:t>
        </m:r>
        <m:r>
          <w:rPr>
            <w:rFonts w:ascii="Cambria Math" w:hAnsi="Cambria Math" w:cs="Arial"/>
            <w:lang w:val="en-GB"/>
          </w:rPr>
          <m:t>(k</m:t>
        </m:r>
        <m:r>
          <m:rPr>
            <m:sty m:val="p"/>
          </m:rPr>
          <w:rPr>
            <w:rFonts w:ascii="Cambria Math" w:hAnsi="Cambria Math" w:cs="Arial"/>
            <w:lang w:val="en-GB"/>
          </w:rPr>
          <m:t>∇</m:t>
        </m:r>
        <m:r>
          <w:rPr>
            <w:rFonts w:ascii="Cambria Math" w:hAnsi="Cambria Math" w:cs="Arial"/>
            <w:lang w:val="en-GB"/>
          </w:rPr>
          <m:t xml:space="preserve">T) </m:t>
        </m:r>
      </m:oMath>
      <w:r w:rsidRPr="00002799">
        <w:rPr>
          <w:lang w:val="en-GB"/>
        </w:rPr>
        <w:t xml:space="preserve">                                                                                                                                     </w:t>
      </w:r>
      <w:r>
        <w:rPr>
          <w:lang w:val="en-GB"/>
        </w:rPr>
        <w:t xml:space="preserve">          </w:t>
      </w:r>
      <w:r w:rsidRPr="00002799">
        <w:rPr>
          <w:lang w:val="en-GB"/>
        </w:rPr>
        <w:t xml:space="preserve"> (1)                 </w:t>
      </w:r>
    </w:p>
    <w:p w14:paraId="63B78D2A" w14:textId="77777777" w:rsidR="00500C56" w:rsidRDefault="00B57AA0" w:rsidP="00060D8C">
      <w:pPr>
        <w:pStyle w:val="CETBodytext"/>
        <w:spacing w:line="240" w:lineRule="auto"/>
        <w:rPr>
          <w:iCs/>
          <w:lang w:val="en-GB"/>
        </w:rPr>
      </w:pPr>
      <w:r w:rsidRPr="00002799">
        <w:rPr>
          <w:lang w:val="en-GB"/>
        </w:rPr>
        <w:t>where ρ is the density, c</w:t>
      </w:r>
      <w:r w:rsidRPr="00002799">
        <w:rPr>
          <w:vertAlign w:val="subscript"/>
          <w:lang w:val="en-GB"/>
        </w:rPr>
        <w:t>p</w:t>
      </w:r>
      <w:r w:rsidRPr="00002799">
        <w:rPr>
          <w:lang w:val="en-GB"/>
        </w:rPr>
        <w:t xml:space="preserve"> the specific heat capacity, k the thermal conductivity</w:t>
      </w:r>
      <w:r>
        <w:rPr>
          <w:lang w:val="en-GB"/>
        </w:rPr>
        <w:t xml:space="preserve"> and </w:t>
      </w:r>
      <w:r w:rsidRPr="00002799">
        <w:rPr>
          <w:lang w:val="en-GB"/>
        </w:rPr>
        <w:t xml:space="preserve">T the temperature.  </w:t>
      </w:r>
    </w:p>
    <w:p w14:paraId="0B7E3D7A" w14:textId="5A74064E" w:rsidR="00B57AA0" w:rsidRPr="00500C56" w:rsidRDefault="00B57AA0" w:rsidP="00060D8C">
      <w:pPr>
        <w:pStyle w:val="CETBodytext"/>
        <w:spacing w:after="240" w:line="240" w:lineRule="auto"/>
        <w:rPr>
          <w:iCs/>
          <w:lang w:val="en-GB"/>
        </w:rPr>
      </w:pPr>
      <w:r>
        <w:rPr>
          <w:lang w:val="en-GB"/>
        </w:rPr>
        <w:t>The t</w:t>
      </w:r>
      <w:r w:rsidRPr="00002799">
        <w:rPr>
          <w:lang w:val="en-GB"/>
        </w:rPr>
        <w:t>hermal properties</w:t>
      </w:r>
      <w:r>
        <w:rPr>
          <w:lang w:val="en-GB"/>
        </w:rPr>
        <w:t xml:space="preserve"> </w:t>
      </w:r>
      <w:r w:rsidR="00C80E01">
        <w:rPr>
          <w:lang w:val="en-GB"/>
        </w:rPr>
        <w:t>of the</w:t>
      </w:r>
      <w:r w:rsidRPr="00002799">
        <w:rPr>
          <w:lang w:val="en-GB"/>
        </w:rPr>
        <w:t xml:space="preserve"> fused-quartz sample holder and the insulating </w:t>
      </w:r>
      <w:r>
        <w:rPr>
          <w:lang w:val="en-GB"/>
        </w:rPr>
        <w:t>layer</w:t>
      </w:r>
      <w:r w:rsidR="00C80E01">
        <w:rPr>
          <w:lang w:val="en-GB"/>
        </w:rPr>
        <w:t xml:space="preserve"> were assumed constant</w:t>
      </w:r>
      <w:r w:rsidRPr="00002799">
        <w:rPr>
          <w:lang w:val="en-GB"/>
        </w:rPr>
        <w:t xml:space="preserve">, while temperature-dependent properties were assigned to the polymeric solution based on mixing rules. </w:t>
      </w:r>
    </w:p>
    <w:p w14:paraId="4B6E9096" w14:textId="13717E80" w:rsidR="00B57AA0" w:rsidRPr="00B57AA0" w:rsidRDefault="00B57AA0" w:rsidP="00060D8C">
      <w:pPr>
        <w:pStyle w:val="CETBodytext"/>
        <w:spacing w:line="240" w:lineRule="auto"/>
        <w:rPr>
          <w:rFonts w:cs="Arial"/>
          <w:color w:val="000000"/>
          <w:lang w:val="en-GB"/>
        </w:rPr>
      </w:pPr>
      <w:r w:rsidRPr="00002799">
        <w:rPr>
          <w:lang w:val="en-GB"/>
        </w:rPr>
        <w:t>For the first thermostatic bath, the initial temperature</w:t>
      </w:r>
      <w:r>
        <w:rPr>
          <w:lang w:val="en-GB"/>
        </w:rPr>
        <w:t>s</w:t>
      </w:r>
      <w:r w:rsidRPr="00002799">
        <w:rPr>
          <w:lang w:val="en-GB"/>
        </w:rPr>
        <w:t xml:space="preserve"> of the polymeric solution and the sample holder </w:t>
      </w:r>
      <w:r>
        <w:rPr>
          <w:lang w:val="en-GB"/>
        </w:rPr>
        <w:t>were</w:t>
      </w:r>
      <w:r w:rsidRPr="00002799">
        <w:rPr>
          <w:lang w:val="en-GB"/>
        </w:rPr>
        <w:t xml:space="preserve"> set to 60 °C, while the insulating layer was set to 25</w:t>
      </w:r>
      <w:r w:rsidR="007D1068">
        <w:rPr>
          <w:lang w:val="en-GB"/>
        </w:rPr>
        <w:t xml:space="preserve"> </w:t>
      </w:r>
      <w:r w:rsidRPr="00002799">
        <w:rPr>
          <w:lang w:val="en-GB"/>
        </w:rPr>
        <w:t>°C</w:t>
      </w:r>
      <w:r w:rsidR="00CF4FD0">
        <w:rPr>
          <w:lang w:val="en-GB"/>
        </w:rPr>
        <w:t xml:space="preserve"> (room temperature)</w:t>
      </w:r>
      <w:r w:rsidRPr="00002799">
        <w:rPr>
          <w:lang w:val="en-GB"/>
        </w:rPr>
        <w:t xml:space="preserve">. </w:t>
      </w:r>
      <w:r w:rsidR="00291E39">
        <w:rPr>
          <w:lang w:val="en-GB"/>
        </w:rPr>
        <w:t>A b</w:t>
      </w:r>
      <w:r w:rsidRPr="00002799">
        <w:rPr>
          <w:lang w:val="en-GB"/>
        </w:rPr>
        <w:t xml:space="preserve">oundary </w:t>
      </w:r>
      <w:r w:rsidR="00291E39">
        <w:rPr>
          <w:lang w:val="en-GB"/>
        </w:rPr>
        <w:t xml:space="preserve">temperature of 30°C was imposed </w:t>
      </w:r>
      <w:r w:rsidRPr="00002799">
        <w:rPr>
          <w:lang w:val="en-GB"/>
        </w:rPr>
        <w:t>on the external faces exposed to the bath. The transient simulation was carried out for 45 min</w:t>
      </w:r>
      <w:r>
        <w:rPr>
          <w:lang w:val="en-GB"/>
        </w:rPr>
        <w:t xml:space="preserve">, </w:t>
      </w:r>
      <w:r w:rsidR="00291E39">
        <w:rPr>
          <w:lang w:val="en-GB"/>
        </w:rPr>
        <w:t>and</w:t>
      </w:r>
      <w:r w:rsidRPr="00002799">
        <w:rPr>
          <w:lang w:val="en-GB"/>
        </w:rPr>
        <w:t xml:space="preserve"> the temperature profiles </w:t>
      </w:r>
      <w:r w:rsidR="00291E39">
        <w:rPr>
          <w:lang w:val="en-GB"/>
        </w:rPr>
        <w:t xml:space="preserve">were </w:t>
      </w:r>
      <w:r w:rsidRPr="00002799">
        <w:rPr>
          <w:lang w:val="en-GB"/>
        </w:rPr>
        <w:t xml:space="preserve">extracted at regular time intervals </w:t>
      </w:r>
      <w:r>
        <w:rPr>
          <w:lang w:val="en-GB"/>
        </w:rPr>
        <w:t>from</w:t>
      </w:r>
      <w:r w:rsidRPr="00002799">
        <w:rPr>
          <w:lang w:val="en-GB"/>
        </w:rPr>
        <w:t xml:space="preserve"> the mid-height plane of the model. For the second thermostatic bath, the initial temperature of all domains was set to 30</w:t>
      </w:r>
      <w:r w:rsidR="00D01706">
        <w:rPr>
          <w:lang w:val="en-GB"/>
        </w:rPr>
        <w:t xml:space="preserve"> </w:t>
      </w:r>
      <w:r w:rsidRPr="00002799">
        <w:rPr>
          <w:lang w:val="en-GB"/>
        </w:rPr>
        <w:t>°C</w:t>
      </w:r>
      <w:r w:rsidR="00D56CC3">
        <w:rPr>
          <w:lang w:val="en-GB"/>
        </w:rPr>
        <w:t>,</w:t>
      </w:r>
      <w:r w:rsidRPr="00002799">
        <w:rPr>
          <w:lang w:val="en-GB"/>
        </w:rPr>
        <w:t xml:space="preserve"> </w:t>
      </w:r>
      <w:r>
        <w:rPr>
          <w:lang w:val="en-GB"/>
        </w:rPr>
        <w:t>with</w:t>
      </w:r>
      <w:r w:rsidRPr="00002799">
        <w:rPr>
          <w:lang w:val="en-GB"/>
        </w:rPr>
        <w:t xml:space="preserve"> a boundary temperature of -20 °C imposed on the external faces exposed to the cooling bath. The thermal transient was simulated for 30 min</w:t>
      </w:r>
      <w:r w:rsidR="006D3A4D">
        <w:rPr>
          <w:lang w:val="en-GB"/>
        </w:rPr>
        <w:t>,</w:t>
      </w:r>
      <w:r w:rsidRPr="00002799">
        <w:rPr>
          <w:lang w:val="en-GB"/>
        </w:rPr>
        <w:t xml:space="preserve"> and temperature profiles were extracted </w:t>
      </w:r>
      <w:r w:rsidR="0050345A">
        <w:rPr>
          <w:lang w:val="en-GB"/>
        </w:rPr>
        <w:t>along</w:t>
      </w:r>
      <w:r w:rsidRPr="00002799">
        <w:rPr>
          <w:lang w:val="en-GB"/>
        </w:rPr>
        <w:t xml:space="preserve"> the same spatial directions.</w:t>
      </w:r>
      <w:r w:rsidR="00F063C3">
        <w:rPr>
          <w:lang w:val="en-GB"/>
        </w:rPr>
        <w:t xml:space="preserve"> </w:t>
      </w:r>
      <w:r>
        <w:rPr>
          <w:lang w:val="en-GB"/>
        </w:rPr>
        <w:t xml:space="preserve">Transient thermal analysis was </w:t>
      </w:r>
      <w:r w:rsidR="002F7DF8">
        <w:rPr>
          <w:lang w:val="en-GB"/>
        </w:rPr>
        <w:t xml:space="preserve">also </w:t>
      </w:r>
      <w:r>
        <w:rPr>
          <w:lang w:val="en-GB"/>
        </w:rPr>
        <w:t xml:space="preserve">performed </w:t>
      </w:r>
      <w:r w:rsidR="002F7DF8">
        <w:rPr>
          <w:lang w:val="en-GB"/>
        </w:rPr>
        <w:t>in</w:t>
      </w:r>
      <w:r>
        <w:rPr>
          <w:lang w:val="en-GB"/>
        </w:rPr>
        <w:t xml:space="preserve"> a</w:t>
      </w:r>
      <w:r w:rsidRPr="00002799">
        <w:rPr>
          <w:lang w:val="en-GB"/>
        </w:rPr>
        <w:t xml:space="preserve"> restricted time interval corresponding to</w:t>
      </w:r>
      <w:r>
        <w:rPr>
          <w:lang w:val="en-GB"/>
        </w:rPr>
        <w:t xml:space="preserve"> the</w:t>
      </w:r>
      <w:r w:rsidRPr="00002799">
        <w:rPr>
          <w:lang w:val="en-GB"/>
        </w:rPr>
        <w:t xml:space="preserve"> solidification </w:t>
      </w:r>
      <w:r w:rsidR="008B2069">
        <w:rPr>
          <w:lang w:val="en-GB"/>
        </w:rPr>
        <w:t>stage</w:t>
      </w:r>
      <w:r w:rsidRPr="00002799">
        <w:rPr>
          <w:lang w:val="en-GB"/>
        </w:rPr>
        <w:t xml:space="preserve"> of the polymeric solution. Based on thermodynamic </w:t>
      </w:r>
      <w:r w:rsidRPr="00985C50">
        <w:rPr>
          <w:color w:val="000000" w:themeColor="text1"/>
          <w:lang w:val="en-GB"/>
        </w:rPr>
        <w:t>data for the water-dioxane system, the onset of solidification occur</w:t>
      </w:r>
      <w:r w:rsidR="003C0940" w:rsidRPr="00985C50">
        <w:rPr>
          <w:color w:val="000000" w:themeColor="text1"/>
          <w:lang w:val="en-GB"/>
        </w:rPr>
        <w:t>s</w:t>
      </w:r>
      <w:r w:rsidRPr="00985C50">
        <w:rPr>
          <w:color w:val="000000" w:themeColor="text1"/>
          <w:lang w:val="en-GB"/>
        </w:rPr>
        <w:t xml:space="preserve"> at approximately 4</w:t>
      </w:r>
      <w:r w:rsidR="00D01706" w:rsidRPr="00985C50">
        <w:rPr>
          <w:color w:val="000000" w:themeColor="text1"/>
          <w:lang w:val="en-GB"/>
        </w:rPr>
        <w:t xml:space="preserve"> </w:t>
      </w:r>
      <w:r w:rsidRPr="00985C50">
        <w:rPr>
          <w:color w:val="000000" w:themeColor="text1"/>
          <w:lang w:val="en-GB"/>
        </w:rPr>
        <w:t xml:space="preserve">°C </w:t>
      </w:r>
      <w:r w:rsidR="00275D27" w:rsidRPr="00985C50">
        <w:rPr>
          <w:color w:val="000000" w:themeColor="text1"/>
          <w:lang w:val="en-GB"/>
        </w:rPr>
        <w:fldChar w:fldCharType="begin"/>
      </w:r>
      <w:r w:rsidR="00275D27" w:rsidRPr="00985C50">
        <w:rPr>
          <w:color w:val="000000" w:themeColor="text1"/>
          <w:lang w:val="en-GB"/>
        </w:rPr>
        <w:instrText xml:space="preserve"> ADDIN ZOTERO_ITEM CSL_CITATION {"citationID":"PNk9CtWe","properties":{"unsorted":false,"formattedCitation":"(Goates &amp; Sullivan, 1958)","plainCitation":"(Goates &amp; Sullivan, 1958)","noteIndex":0},"citationItems":[{"id":20,"uris":["http://zotero.org/users/local/FYFNTyV4/items/WCM93RET"],"itemData":{"id":20,"type":"article-journal","container-title":"The Journal of Physical Chemistry","DOI":"10.1021/j150560a011","ISSN":"0022-3654, 1541-5740","issue":"2","journalAbbreviation":"J. Phys. Chem.","language":"en","page":"188-190","source":"DOI.org (Crossref)","title":"Thermodynamic Properties of the System Water-p-Dioxane","volume":"62","author":[{"family":"Goates","given":"J. Rex"},{"family":"Sullivan","given":"Ralph J."}],"issued":{"date-parts":[["1958",2]]}}}],"schema":"https://github.com/citation-style-language/schema/raw/master/csl-citation.json"} </w:instrText>
      </w:r>
      <w:r w:rsidR="00275D27" w:rsidRPr="00985C50">
        <w:rPr>
          <w:color w:val="000000" w:themeColor="text1"/>
          <w:lang w:val="en-GB"/>
        </w:rPr>
        <w:fldChar w:fldCharType="separate"/>
      </w:r>
      <w:r w:rsidR="00275D27" w:rsidRPr="00985C50">
        <w:rPr>
          <w:rFonts w:cs="Arial"/>
          <w:color w:val="000000" w:themeColor="text1"/>
        </w:rPr>
        <w:t>(Goates &amp; Sullivan, 1958)</w:t>
      </w:r>
      <w:r w:rsidR="00275D27" w:rsidRPr="00985C50">
        <w:rPr>
          <w:color w:val="000000" w:themeColor="text1"/>
          <w:lang w:val="en-GB"/>
        </w:rPr>
        <w:fldChar w:fldCharType="end"/>
      </w:r>
      <w:r w:rsidR="00275D27" w:rsidRPr="00985C50">
        <w:rPr>
          <w:rFonts w:cs="Arial"/>
          <w:color w:val="000000" w:themeColor="text1"/>
        </w:rPr>
        <w:t>.</w:t>
      </w:r>
      <w:r w:rsidRPr="00985C50">
        <w:rPr>
          <w:rFonts w:cs="Arial"/>
          <w:color w:val="000000" w:themeColor="text1"/>
          <w:lang w:val="en-GB"/>
        </w:rPr>
        <w:t xml:space="preserve"> </w:t>
      </w:r>
      <w:r w:rsidR="004A1E9C" w:rsidRPr="00985C50">
        <w:rPr>
          <w:rFonts w:cs="Arial"/>
          <w:color w:val="000000" w:themeColor="text1"/>
          <w:lang w:val="en-GB"/>
        </w:rPr>
        <w:t xml:space="preserve">Considering the low PLLA </w:t>
      </w:r>
      <w:r w:rsidR="003C0940" w:rsidRPr="00985C50">
        <w:rPr>
          <w:rFonts w:cs="Arial"/>
          <w:color w:val="000000" w:themeColor="text1"/>
          <w:lang w:val="en-GB"/>
        </w:rPr>
        <w:t xml:space="preserve">concentration </w:t>
      </w:r>
      <w:r w:rsidR="00D80EDD" w:rsidRPr="00985C50">
        <w:rPr>
          <w:rFonts w:cs="Arial"/>
          <w:color w:val="000000" w:themeColor="text1"/>
          <w:lang w:val="en-GB"/>
        </w:rPr>
        <w:t xml:space="preserve">in the ternary solution </w:t>
      </w:r>
      <w:r w:rsidR="004A1E9C" w:rsidRPr="00985C50">
        <w:rPr>
          <w:rFonts w:cs="Arial"/>
          <w:color w:val="000000" w:themeColor="text1"/>
          <w:lang w:val="en-GB"/>
        </w:rPr>
        <w:t>(4% w/v), its contribution to the freezing</w:t>
      </w:r>
      <w:r w:rsidR="003C0940" w:rsidRPr="00985C50">
        <w:rPr>
          <w:rFonts w:cs="Arial"/>
          <w:color w:val="000000" w:themeColor="text1"/>
          <w:lang w:val="en-GB"/>
        </w:rPr>
        <w:t xml:space="preserve"> </w:t>
      </w:r>
      <w:r w:rsidR="004A1E9C" w:rsidRPr="00985C50">
        <w:rPr>
          <w:rFonts w:cs="Arial"/>
          <w:color w:val="000000" w:themeColor="text1"/>
          <w:lang w:val="en-GB"/>
        </w:rPr>
        <w:t xml:space="preserve">point </w:t>
      </w:r>
      <w:r w:rsidR="00973421" w:rsidRPr="00985C50">
        <w:rPr>
          <w:rFonts w:cs="Arial"/>
          <w:color w:val="000000" w:themeColor="text1"/>
          <w:lang w:val="en-GB"/>
        </w:rPr>
        <w:t>can be considered</w:t>
      </w:r>
      <w:r w:rsidR="004A1E9C" w:rsidRPr="00985C50">
        <w:rPr>
          <w:rFonts w:cs="Arial"/>
          <w:color w:val="000000" w:themeColor="text1"/>
          <w:lang w:val="en-GB"/>
        </w:rPr>
        <w:t xml:space="preserve"> negligible</w:t>
      </w:r>
      <w:r w:rsidR="00612D4D" w:rsidRPr="00985C50">
        <w:rPr>
          <w:rFonts w:cs="Arial"/>
          <w:color w:val="000000" w:themeColor="text1"/>
          <w:lang w:val="en-GB"/>
        </w:rPr>
        <w:t xml:space="preserve"> </w:t>
      </w:r>
      <w:r w:rsidR="00612D4D" w:rsidRPr="00985C50">
        <w:rPr>
          <w:rFonts w:cs="Arial"/>
          <w:color w:val="000000" w:themeColor="text1"/>
          <w:lang w:val="en-GB"/>
        </w:rPr>
        <w:fldChar w:fldCharType="begin"/>
      </w:r>
      <w:r w:rsidR="001B61C1" w:rsidRPr="00985C50">
        <w:rPr>
          <w:rFonts w:cs="Arial"/>
          <w:color w:val="000000" w:themeColor="text1"/>
          <w:lang w:val="en-GB"/>
        </w:rPr>
        <w:instrText xml:space="preserve"> ADDIN ZOTERO_ITEM CSL_CITATION {"citationID":"4JnAXhil","properties":{"unsorted":false,"formattedCitation":"(J.-S. Chen et al., 2010)","plainCitation":"(J.-S. Chen et al., 2010)","dontUpdate":true,"noteIndex":0},"citationItems":[{"id":12,"uris":["http://zotero.org/users/local/FYFNTyV4/items/Z6TIXIZG"],"itemData":{"id":12,"type":"article-journal","abstract":"Polylactide (PLA) has been widely used as a three-dimensional scaffold for cell transplantation and as a drug carrier for controlled release due to its superior biocompatibility and biodegradability. The technique of thermally induced phase separation (TIPS) is favorable for the fabrication of a porous scaffold due to its various advantages. A diverse range of porous structures can be obtained by TIPS through adjustment of process parameters. In this study, PLA scaffolds were prepared from a ternary PLA–dioxane–water system by the TIPS method. The effects of fabrication parameters, such as quenching route and the composition of the ternary system, on the macroscopic and microscopic morphologies of the scaffolds were studied. The phase diagram of this system showed that the presence of water nonsolvent is essential for a liquid–liquid phase separation to occur. Accordingly, a binary PLA–dioxane system (100/0) exhibited only a solid–liquid phase separation. For a ternary PLA–dioxane–water system, the cloud-point temperature corresponding to a liquid–liquid phase separation was highly dependent on its water content and polymer concentration, while the freezing point corresponding to a solid–liquid phase separation was nearly independent of the polymer concentration and water content. Given a slight increase in the water content of the solvent mixture of 5%, i.e. a change in dioxane/water ratio from 90/10 to 85/15, or an increase in the polymer concentration of 2–30%, there was a substantial 40–50 8C increase in cloud-point temperature, in contrast with a nearly constant freezing point of between 10 and 20 8C. Morphology of the scaffold prepared via solid–liquid phase separation of a binary dioxane–PLA system gave a highly anisotropic tubular morphology with an internal ladder-like structure, while scaffolds prepared via liquid–liquid phase separation of a ternary PLA–dioxane–water system exhibited isotropic morphology. The ultimate pore structure of a scaffold was controlled by various processing parameters such as polymer concentration, water content, quench route and molecular weight of the polymer. Liquid–liquid de-mixing is a highly dynamic process that is subject to the effects of coarsening at the intermediate or later stage of the de-mixing process. For scaffolds prepared from solutions with polymer concentration of less than 7.5 wt%, the pore size decreases with the increase of polymer concentration. The coarsening effect was minimal and the ﬁnal pore structure was found to be mainly determined by the liquid–liquid de-mixing mechanism, attributable to the smaller liquid–liquid demixing gap. For polymer concentrations higher than 7.5 wt%, the coarsening effect was more important, and a bimodal pore-size distribution was observed; in addition to the uniform small pores caused by instantaneous spinodal decomposition, large pores formed during the subsequent coarsening process. SEM micrographs showing that sedimentation occurred by aging time of about 5 and 60 min for scaffolds prepared from a 7.5 wt% PDLLA solution with dioxane/water ratio of 90/10 at 5 and 12 8C, respectively. Although this result suggests that such scaffolds rapidly lost macroscopic uniformity, porosity data indicates that the specimens did not lose integrity by aging for up to 120 min.","container-title":"Journal of the Taiwan Institute of Chemical Engineers","DOI":"10.1016/j.jtice.2009.08.008","ISSN":"18761070","issue":"2","journalAbbreviation":"Journal of the Taiwan Institute of Chemical Engineers","language":"en","license":"https://www.elsevier.com/tdm/userlicense/1.0/","page":"229-238","source":"DOI.org (Crossref)","title":"A morphological study of porous polylactide scaffolds prepared by thermally induced phase separation","volume":"41","author":[{"family":"Chen","given":"Jui Shui"},{"family":"Tu","given":"Shu Ling"},{"family":"Tsay","given":"Ruey Yug"}],"issued":{"date-parts":[["2010",3]]}}}],"schema":"https://github.com/citation-style-language/schema/raw/master/csl-citation.json"} </w:instrText>
      </w:r>
      <w:r w:rsidR="00612D4D" w:rsidRPr="00985C50">
        <w:rPr>
          <w:rFonts w:cs="Arial"/>
          <w:color w:val="000000" w:themeColor="text1"/>
          <w:lang w:val="en-GB"/>
        </w:rPr>
        <w:fldChar w:fldCharType="separate"/>
      </w:r>
      <w:r w:rsidR="00612D4D" w:rsidRPr="00985C50">
        <w:rPr>
          <w:rFonts w:cs="Arial"/>
          <w:color w:val="000000" w:themeColor="text1"/>
        </w:rPr>
        <w:t>(J.</w:t>
      </w:r>
      <w:r w:rsidR="00D8095E" w:rsidRPr="00985C50">
        <w:rPr>
          <w:rFonts w:cs="Arial"/>
          <w:color w:val="000000" w:themeColor="text1"/>
        </w:rPr>
        <w:t xml:space="preserve"> </w:t>
      </w:r>
      <w:r w:rsidR="00612D4D" w:rsidRPr="00985C50">
        <w:rPr>
          <w:rFonts w:cs="Arial"/>
          <w:color w:val="000000" w:themeColor="text1"/>
        </w:rPr>
        <w:t>S. Chen et al., 2010)</w:t>
      </w:r>
      <w:r w:rsidR="00612D4D" w:rsidRPr="00985C50">
        <w:rPr>
          <w:rFonts w:cs="Arial"/>
          <w:color w:val="000000" w:themeColor="text1"/>
          <w:lang w:val="en-GB"/>
        </w:rPr>
        <w:fldChar w:fldCharType="end"/>
      </w:r>
      <w:r w:rsidR="00612D4D" w:rsidRPr="00985C50">
        <w:rPr>
          <w:rFonts w:cs="Arial"/>
          <w:color w:val="000000" w:themeColor="text1"/>
          <w:lang w:val="en-GB"/>
        </w:rPr>
        <w:t xml:space="preserve">. </w:t>
      </w:r>
      <w:r w:rsidR="004A1E9C" w:rsidRPr="00985C50">
        <w:rPr>
          <w:rFonts w:cs="Arial"/>
          <w:color w:val="000000" w:themeColor="text1"/>
          <w:lang w:val="en-GB"/>
        </w:rPr>
        <w:t xml:space="preserve">Therefore, the freezing temperature of the ternary system </w:t>
      </w:r>
      <w:r w:rsidR="00861AC0" w:rsidRPr="00985C50">
        <w:rPr>
          <w:rFonts w:cs="Arial"/>
          <w:color w:val="000000" w:themeColor="text1"/>
          <w:lang w:val="en-GB"/>
        </w:rPr>
        <w:t>was</w:t>
      </w:r>
      <w:r w:rsidR="004A1E9C" w:rsidRPr="00985C50">
        <w:rPr>
          <w:rFonts w:cs="Arial"/>
          <w:color w:val="000000" w:themeColor="text1"/>
          <w:lang w:val="en-GB"/>
        </w:rPr>
        <w:t xml:space="preserve"> approximated to that of the binary water</w:t>
      </w:r>
      <w:r w:rsidR="00A444D0" w:rsidRPr="00985C50">
        <w:rPr>
          <w:rFonts w:cs="Arial"/>
          <w:color w:val="000000" w:themeColor="text1"/>
          <w:lang w:val="en-GB"/>
        </w:rPr>
        <w:t>-</w:t>
      </w:r>
      <w:r w:rsidR="004A1E9C" w:rsidRPr="00985C50">
        <w:rPr>
          <w:rFonts w:cs="Arial"/>
          <w:color w:val="000000" w:themeColor="text1"/>
          <w:lang w:val="en-GB"/>
        </w:rPr>
        <w:t xml:space="preserve">dioxane </w:t>
      </w:r>
      <w:r w:rsidR="00A444D0" w:rsidRPr="00985C50">
        <w:rPr>
          <w:rFonts w:cs="Arial"/>
          <w:color w:val="000000" w:themeColor="text1"/>
          <w:lang w:val="en-GB"/>
        </w:rPr>
        <w:t>system</w:t>
      </w:r>
      <w:r w:rsidR="004A1E9C" w:rsidRPr="00985C50">
        <w:rPr>
          <w:rFonts w:cs="Arial"/>
          <w:color w:val="000000" w:themeColor="text1"/>
          <w:lang w:val="en-GB"/>
        </w:rPr>
        <w:t>.</w:t>
      </w:r>
      <w:r w:rsidR="00C247F2" w:rsidRPr="00985C50">
        <w:rPr>
          <w:rFonts w:cs="Arial"/>
          <w:color w:val="000000" w:themeColor="text1"/>
          <w:lang w:val="en-GB"/>
        </w:rPr>
        <w:t xml:space="preserve"> </w:t>
      </w:r>
      <w:r w:rsidRPr="00985C50">
        <w:rPr>
          <w:rFonts w:cs="Arial"/>
          <w:color w:val="000000" w:themeColor="text1"/>
          <w:lang w:val="en-GB"/>
        </w:rPr>
        <w:t>Within this</w:t>
      </w:r>
      <w:r w:rsidR="003B0318" w:rsidRPr="00985C50">
        <w:rPr>
          <w:rFonts w:cs="Arial"/>
          <w:color w:val="000000" w:themeColor="text1"/>
          <w:lang w:val="en-GB"/>
        </w:rPr>
        <w:t xml:space="preserve"> </w:t>
      </w:r>
      <w:r w:rsidRPr="00985C50">
        <w:rPr>
          <w:rFonts w:cs="Arial"/>
          <w:color w:val="000000" w:themeColor="text1"/>
          <w:lang w:val="en-GB"/>
        </w:rPr>
        <w:t xml:space="preserve">interval, temperature profiles were extracted every </w:t>
      </w:r>
      <w:r w:rsidR="000F5341" w:rsidRPr="00985C50">
        <w:rPr>
          <w:rFonts w:cs="Arial"/>
          <w:color w:val="000000" w:themeColor="text1"/>
          <w:lang w:val="en-GB"/>
        </w:rPr>
        <w:t>2</w:t>
      </w:r>
      <w:r w:rsidRPr="00985C50">
        <w:rPr>
          <w:rFonts w:cs="Arial"/>
          <w:color w:val="000000" w:themeColor="text1"/>
          <w:lang w:val="en-GB"/>
        </w:rPr>
        <w:t xml:space="preserve">0 s along the full thickness of the polymeric solution, from the exposed face to the opposite, in both the reference and modified process configurations. </w:t>
      </w:r>
    </w:p>
    <w:p w14:paraId="212E3BE7" w14:textId="142DB457" w:rsidR="00992B4C" w:rsidRPr="00002799" w:rsidRDefault="00992B4C" w:rsidP="00060D8C">
      <w:pPr>
        <w:pStyle w:val="CETHeading1"/>
        <w:numPr>
          <w:ilvl w:val="0"/>
          <w:numId w:val="0"/>
        </w:numPr>
        <w:spacing w:after="240"/>
        <w:rPr>
          <w:bCs/>
          <w:lang w:val="en-GB"/>
        </w:rPr>
      </w:pPr>
      <w:r w:rsidRPr="00002799">
        <w:rPr>
          <w:bCs/>
          <w:sz w:val="18"/>
          <w:szCs w:val="18"/>
          <w:lang w:val="en-GB"/>
        </w:rPr>
        <w:t>2.</w:t>
      </w:r>
      <w:r w:rsidR="00B57AA0">
        <w:rPr>
          <w:bCs/>
          <w:sz w:val="18"/>
          <w:szCs w:val="18"/>
          <w:lang w:val="en-GB"/>
        </w:rPr>
        <w:t>2</w:t>
      </w:r>
      <w:r w:rsidRPr="00002799">
        <w:rPr>
          <w:bCs/>
          <w:sz w:val="18"/>
          <w:szCs w:val="18"/>
          <w:lang w:val="en-GB"/>
        </w:rPr>
        <w:t xml:space="preserve"> Materials</w:t>
      </w:r>
    </w:p>
    <w:p w14:paraId="08EA4A6B" w14:textId="1305C3E3" w:rsidR="00992B4C" w:rsidRPr="00002799" w:rsidRDefault="006E04E5" w:rsidP="00060D8C">
      <w:pPr>
        <w:pStyle w:val="CETBodytext"/>
        <w:spacing w:line="240" w:lineRule="auto"/>
        <w:rPr>
          <w:lang w:val="en-GB"/>
        </w:rPr>
      </w:pPr>
      <w:r>
        <w:rPr>
          <w:lang w:val="en-GB"/>
        </w:rPr>
        <w:t>Poly-L-lactic acid (</w:t>
      </w:r>
      <w:r w:rsidR="004E0742">
        <w:rPr>
          <w:lang w:val="en-GB"/>
        </w:rPr>
        <w:t>PLL</w:t>
      </w:r>
      <w:r>
        <w:rPr>
          <w:lang w:val="en-GB"/>
        </w:rPr>
        <w:t xml:space="preserve">A, </w:t>
      </w:r>
      <w:proofErr w:type="spellStart"/>
      <w:r w:rsidR="00E6569E" w:rsidRPr="00002799">
        <w:rPr>
          <w:lang w:val="en-GB"/>
        </w:rPr>
        <w:t>Resomer</w:t>
      </w:r>
      <w:proofErr w:type="spellEnd"/>
      <w:r w:rsidR="00BF64D5" w:rsidRPr="00002799">
        <w:rPr>
          <w:rFonts w:ascii="Times New Roman" w:hAnsi="Times New Roman"/>
          <w:lang w:val="en-GB"/>
        </w:rPr>
        <w:t>®</w:t>
      </w:r>
      <w:r w:rsidR="00E6569E" w:rsidRPr="00002799">
        <w:rPr>
          <w:lang w:val="en-GB"/>
        </w:rPr>
        <w:t xml:space="preserve"> L 209 S, Evonik Industries, Essen, Germany</w:t>
      </w:r>
      <w:r w:rsidR="00854A10" w:rsidRPr="00002799">
        <w:rPr>
          <w:lang w:val="en-GB"/>
        </w:rPr>
        <w:t>)</w:t>
      </w:r>
      <w:r w:rsidR="0094168A" w:rsidRPr="00002799">
        <w:rPr>
          <w:lang w:val="en-GB"/>
        </w:rPr>
        <w:t>,</w:t>
      </w:r>
      <w:r w:rsidR="001B059E" w:rsidRPr="00002799">
        <w:rPr>
          <w:lang w:val="en-GB"/>
        </w:rPr>
        <w:t xml:space="preserve"> 1,4-dioxane (Sigma-Al</w:t>
      </w:r>
      <w:r w:rsidR="00E3600D" w:rsidRPr="00002799">
        <w:rPr>
          <w:lang w:val="en-GB"/>
        </w:rPr>
        <w:t xml:space="preserve">drich, Munich, Germany) </w:t>
      </w:r>
      <w:r w:rsidR="0094168A" w:rsidRPr="00002799">
        <w:rPr>
          <w:lang w:val="en-GB"/>
        </w:rPr>
        <w:t xml:space="preserve">and </w:t>
      </w:r>
      <w:r w:rsidR="006C22A9">
        <w:rPr>
          <w:lang w:val="en-GB"/>
        </w:rPr>
        <w:t>ultrapure</w:t>
      </w:r>
      <w:r w:rsidR="0094168A" w:rsidRPr="00002799">
        <w:rPr>
          <w:lang w:val="en-GB"/>
        </w:rPr>
        <w:t xml:space="preserve"> water </w:t>
      </w:r>
      <w:r w:rsidR="00E3600D" w:rsidRPr="00002799">
        <w:rPr>
          <w:lang w:val="en-GB"/>
        </w:rPr>
        <w:t xml:space="preserve">were used for scaffold preparation. </w:t>
      </w:r>
    </w:p>
    <w:p w14:paraId="56DB3B2D" w14:textId="77777777" w:rsidR="009304E1" w:rsidRPr="00002799" w:rsidRDefault="009304E1" w:rsidP="00060D8C">
      <w:pPr>
        <w:pStyle w:val="CETBodytext"/>
        <w:spacing w:line="240" w:lineRule="auto"/>
        <w:rPr>
          <w:lang w:val="en-GB"/>
        </w:rPr>
      </w:pPr>
    </w:p>
    <w:p w14:paraId="344F672D" w14:textId="4D88F0D4" w:rsidR="001310DE" w:rsidRPr="00002799" w:rsidRDefault="00992B4C" w:rsidP="00060D8C">
      <w:pPr>
        <w:pStyle w:val="CETBodytext"/>
        <w:spacing w:after="240" w:line="240" w:lineRule="auto"/>
        <w:rPr>
          <w:b/>
          <w:bCs/>
          <w:lang w:val="en-GB"/>
        </w:rPr>
      </w:pPr>
      <w:r w:rsidRPr="00002799">
        <w:rPr>
          <w:b/>
          <w:bCs/>
          <w:lang w:val="en-GB"/>
        </w:rPr>
        <w:t>2.</w:t>
      </w:r>
      <w:r w:rsidR="00B57AA0">
        <w:rPr>
          <w:b/>
          <w:bCs/>
          <w:lang w:val="en-GB"/>
        </w:rPr>
        <w:t>3</w:t>
      </w:r>
      <w:r w:rsidRPr="00002799">
        <w:rPr>
          <w:b/>
          <w:bCs/>
          <w:lang w:val="en-GB"/>
        </w:rPr>
        <w:t xml:space="preserve"> </w:t>
      </w:r>
      <w:r w:rsidR="001F222E" w:rsidRPr="00002799">
        <w:rPr>
          <w:b/>
          <w:bCs/>
          <w:lang w:val="en-GB"/>
        </w:rPr>
        <w:t xml:space="preserve">Scaffold Fabrication via </w:t>
      </w:r>
      <w:r w:rsidR="00A23D78">
        <w:rPr>
          <w:b/>
          <w:bCs/>
          <w:lang w:val="en-GB"/>
        </w:rPr>
        <w:t>t</w:t>
      </w:r>
      <w:r w:rsidR="001F222E" w:rsidRPr="00002799">
        <w:rPr>
          <w:b/>
          <w:bCs/>
          <w:lang w:val="en-GB"/>
        </w:rPr>
        <w:t xml:space="preserve">hermally </w:t>
      </w:r>
      <w:r w:rsidR="00A23D78">
        <w:rPr>
          <w:b/>
          <w:bCs/>
          <w:lang w:val="en-GB"/>
        </w:rPr>
        <w:t>i</w:t>
      </w:r>
      <w:r w:rsidR="001F222E" w:rsidRPr="00002799">
        <w:rPr>
          <w:b/>
          <w:bCs/>
          <w:lang w:val="en-GB"/>
        </w:rPr>
        <w:t xml:space="preserve">nduced </w:t>
      </w:r>
      <w:r w:rsidR="00A23D78">
        <w:rPr>
          <w:b/>
          <w:bCs/>
          <w:lang w:val="en-GB"/>
        </w:rPr>
        <w:t>p</w:t>
      </w:r>
      <w:r w:rsidR="001F222E" w:rsidRPr="00002799">
        <w:rPr>
          <w:b/>
          <w:bCs/>
          <w:lang w:val="en-GB"/>
        </w:rPr>
        <w:t xml:space="preserve">hase </w:t>
      </w:r>
      <w:r w:rsidR="00A23D78">
        <w:rPr>
          <w:b/>
          <w:bCs/>
          <w:lang w:val="en-GB"/>
        </w:rPr>
        <w:t>s</w:t>
      </w:r>
      <w:r w:rsidR="001F222E" w:rsidRPr="00002799">
        <w:rPr>
          <w:b/>
          <w:bCs/>
          <w:lang w:val="en-GB"/>
        </w:rPr>
        <w:t>eparation (TIPS)</w:t>
      </w:r>
    </w:p>
    <w:p w14:paraId="77796569" w14:textId="32F9A409" w:rsidR="00992B4C" w:rsidRPr="00002799" w:rsidRDefault="001310DE" w:rsidP="00060D8C">
      <w:pPr>
        <w:pStyle w:val="CETBodytext"/>
        <w:spacing w:line="240" w:lineRule="auto"/>
        <w:rPr>
          <w:lang w:val="en-GB"/>
        </w:rPr>
      </w:pPr>
      <w:r w:rsidRPr="00002799">
        <w:rPr>
          <w:lang w:val="en-GB"/>
        </w:rPr>
        <w:t xml:space="preserve">A ternary solution of </w:t>
      </w:r>
      <w:r w:rsidR="002D5C53" w:rsidRPr="00002799">
        <w:rPr>
          <w:rStyle w:val="Enfasigrassetto"/>
          <w:rFonts w:cs="Arial"/>
          <w:b w:val="0"/>
          <w:bCs w:val="0"/>
          <w:lang w:val="en-GB"/>
        </w:rPr>
        <w:t>PLLA</w:t>
      </w:r>
      <w:r w:rsidR="002D5C53" w:rsidRPr="00002799">
        <w:rPr>
          <w:rFonts w:cs="Arial"/>
          <w:lang w:val="en-GB"/>
        </w:rPr>
        <w:t>, 1,4-dioxane and water (4% w/w PLLA; 87/13 w/w solvent-antisolvent ratio) was prepared following</w:t>
      </w:r>
      <w:r w:rsidR="005B14D4" w:rsidRPr="00002799">
        <w:rPr>
          <w:rFonts w:cs="Arial"/>
          <w:lang w:val="en-GB"/>
        </w:rPr>
        <w:t xml:space="preserve"> the protocol reported by</w:t>
      </w:r>
      <w:r w:rsidR="002D5C53" w:rsidRPr="00002799">
        <w:rPr>
          <w:rFonts w:cs="Arial"/>
          <w:lang w:val="en-GB"/>
        </w:rPr>
        <w:t xml:space="preserve"> </w:t>
      </w:r>
      <w:r w:rsidR="00612D4D">
        <w:rPr>
          <w:rFonts w:cs="Arial"/>
          <w:lang w:val="en-GB"/>
        </w:rPr>
        <w:fldChar w:fldCharType="begin"/>
      </w:r>
      <w:r w:rsidR="001B61C1">
        <w:rPr>
          <w:rFonts w:cs="Arial"/>
          <w:lang w:val="en-GB"/>
        </w:rPr>
        <w:instrText xml:space="preserve"> ADDIN ZOTERO_ITEM CSL_CITATION {"citationID":"YruAkXYM","properties":{"unsorted":false,"formattedCitation":"(La Carrubba et al., 2008)","plainCitation":"(La Carrubba et al., 2008)","noteIndex":0},"citationItems":[{"id":17,"uris":["http://zotero.org/users/local/FYFNTyV4/items/9C33I4JK"],"itemData":{"id":17,"type":"article-journal","abstract":"Foams for tissue engineering applications were prepared via thermally induced phase separation (TIPS). Poly-L-Lactic Acid (PLLA) and blends of PLLA with PLA in different proportions were used (100/0, 90/10, 75/25, 50/50, 0/100 PLLA/PLA wt/wt) starting from ternary systems where dioxane was the solvent and water the non-solvent. Morphology was evaluated by Scanning Electron Microscopy (average pore size and interconnection) and the void fraction was measured by means of Hg porosimetry. Foams apparent density was also evaluated (porosity ranges from 87% to 92%). Biodegradability was estimated in a body mimicking fluid. Results show that structure and morphology (in terms of average pore size and distribution, interconnectivity and mechanical properties) depend upon the combination of the operating conditions adopted for the process (polymer concentration, solvent/non-solvent ration, demixing temperature and time). Furthermore, by blending PLLA with PLA it is possible to tune the biodegrability of the foam, thus addressing the possible applications in different fields of soft tissue engineering.","container-title":"International Journal of Material Forming","DOI":"10.1007/s12289-008-0332-5","ISSN":"1960-6206, 1960-6214","issue":"S1","journalAbbreviation":"Int J Mater Form","language":"en","license":"http://www.springer.com/tdm","page":"619-622","source":"DOI.org (Crossref)","title":"PLLA/PLA scaffolds prepared via Thermally Induced Phase Separation (TIPS): tuning of properties and biodegradability","title-short":"PLLA/PLA scaffolds prepared via Thermally Induced Phase Separation (TIPS)","volume":"1","author":[{"family":"La Carrubba","given":"Vincenzo"},{"family":"Carfì Pavia","given":"Francesco"},{"family":"Brucato","given":"Valerio"},{"family":"Piccarolo","given":"S."}],"issued":{"date-parts":[["2008",4]]}}}],"schema":"https://github.com/citation-style-language/schema/raw/master/csl-citation.json"} </w:instrText>
      </w:r>
      <w:r w:rsidR="00612D4D">
        <w:rPr>
          <w:rFonts w:cs="Arial"/>
          <w:lang w:val="en-GB"/>
        </w:rPr>
        <w:fldChar w:fldCharType="separate"/>
      </w:r>
      <w:r w:rsidR="00612D4D" w:rsidRPr="00612D4D">
        <w:rPr>
          <w:rFonts w:cs="Arial"/>
        </w:rPr>
        <w:t>(La Carrubba et al., 2008)</w:t>
      </w:r>
      <w:r w:rsidR="00612D4D">
        <w:rPr>
          <w:rFonts w:cs="Arial"/>
          <w:lang w:val="en-GB"/>
        </w:rPr>
        <w:fldChar w:fldCharType="end"/>
      </w:r>
      <w:r w:rsidR="00612D4D">
        <w:rPr>
          <w:rFonts w:cs="Arial"/>
          <w:color w:val="000000"/>
          <w:lang w:val="en-GB"/>
        </w:rPr>
        <w:t xml:space="preserve">. </w:t>
      </w:r>
      <w:r w:rsidR="00002799" w:rsidRPr="00002799">
        <w:rPr>
          <w:rFonts w:cs="Arial"/>
          <w:color w:val="000000"/>
          <w:lang w:val="en-GB"/>
        </w:rPr>
        <w:t xml:space="preserve">First, </w:t>
      </w:r>
      <w:r w:rsidR="00F40424" w:rsidRPr="00002799">
        <w:rPr>
          <w:rFonts w:cs="Arial"/>
          <w:color w:val="000000"/>
          <w:lang w:val="en-GB"/>
        </w:rPr>
        <w:t>PLLA was dissolved i</w:t>
      </w:r>
      <w:r w:rsidR="009F7E30" w:rsidRPr="00002799">
        <w:rPr>
          <w:rFonts w:cs="Arial"/>
          <w:color w:val="000000"/>
          <w:lang w:val="en-GB"/>
        </w:rPr>
        <w:t>n 1,4-dioxane</w:t>
      </w:r>
      <w:r w:rsidR="009733B4" w:rsidRPr="00002799">
        <w:rPr>
          <w:rFonts w:cs="Arial"/>
          <w:color w:val="000000"/>
          <w:lang w:val="en-GB"/>
        </w:rPr>
        <w:t xml:space="preserve"> </w:t>
      </w:r>
      <w:r w:rsidR="00A005A7" w:rsidRPr="00002799">
        <w:rPr>
          <w:rFonts w:cs="Arial"/>
          <w:color w:val="000000"/>
          <w:lang w:val="en-GB"/>
        </w:rPr>
        <w:t>under</w:t>
      </w:r>
      <w:r w:rsidR="009733B4" w:rsidRPr="00002799">
        <w:rPr>
          <w:rFonts w:cs="Arial"/>
          <w:color w:val="000000"/>
          <w:lang w:val="en-GB"/>
        </w:rPr>
        <w:t xml:space="preserve"> magnetic stirring</w:t>
      </w:r>
      <w:r w:rsidR="009F7E30" w:rsidRPr="00002799">
        <w:rPr>
          <w:rFonts w:cs="Arial"/>
          <w:color w:val="000000"/>
          <w:lang w:val="en-GB"/>
        </w:rPr>
        <w:t xml:space="preserve"> at </w:t>
      </w:r>
      <w:r w:rsidR="00002799" w:rsidRPr="00002799">
        <w:rPr>
          <w:rFonts w:cs="Arial"/>
          <w:color w:val="000000"/>
          <w:lang w:val="en-GB"/>
        </w:rPr>
        <w:t>220</w:t>
      </w:r>
      <w:r w:rsidR="00D01706">
        <w:rPr>
          <w:rFonts w:cs="Arial"/>
          <w:color w:val="000000"/>
          <w:lang w:val="en-GB"/>
        </w:rPr>
        <w:t xml:space="preserve"> </w:t>
      </w:r>
      <w:r w:rsidR="00002799" w:rsidRPr="00002799">
        <w:rPr>
          <w:rFonts w:cs="Arial"/>
          <w:color w:val="000000"/>
          <w:lang w:val="en-GB"/>
        </w:rPr>
        <w:t>°C</w:t>
      </w:r>
      <w:r w:rsidR="00D60157" w:rsidRPr="00002799">
        <w:rPr>
          <w:rFonts w:cs="Arial"/>
          <w:color w:val="000000"/>
          <w:lang w:val="en-GB"/>
        </w:rPr>
        <w:t xml:space="preserve"> until complete dissolution was achieved</w:t>
      </w:r>
      <w:r w:rsidR="0061584B" w:rsidRPr="00002799">
        <w:rPr>
          <w:rFonts w:cs="Arial"/>
          <w:color w:val="000000"/>
          <w:lang w:val="en-GB"/>
        </w:rPr>
        <w:t xml:space="preserve">. </w:t>
      </w:r>
      <w:r w:rsidR="00002799">
        <w:rPr>
          <w:rFonts w:cs="Arial"/>
          <w:color w:val="000000"/>
          <w:lang w:val="en-GB"/>
        </w:rPr>
        <w:t xml:space="preserve">Then, </w:t>
      </w:r>
      <w:r w:rsidR="00E31F1E" w:rsidRPr="00002799">
        <w:rPr>
          <w:rFonts w:cs="Arial"/>
          <w:color w:val="000000"/>
          <w:lang w:val="en-GB"/>
        </w:rPr>
        <w:t xml:space="preserve">water was </w:t>
      </w:r>
      <w:r w:rsidR="00A264EF" w:rsidRPr="00002799">
        <w:rPr>
          <w:rFonts w:cs="Arial"/>
          <w:color w:val="000000"/>
          <w:lang w:val="en-GB"/>
        </w:rPr>
        <w:t>added dropwise to the PLLA/1,4-dioxane</w:t>
      </w:r>
      <w:r w:rsidR="00002799">
        <w:rPr>
          <w:rFonts w:cs="Arial"/>
          <w:color w:val="000000"/>
          <w:lang w:val="en-GB"/>
        </w:rPr>
        <w:t xml:space="preserve"> solution</w:t>
      </w:r>
      <w:r w:rsidR="00155457" w:rsidRPr="00002799">
        <w:rPr>
          <w:rFonts w:cs="Arial"/>
          <w:color w:val="000000"/>
          <w:lang w:val="en-GB"/>
        </w:rPr>
        <w:t xml:space="preserve"> at 45 °C</w:t>
      </w:r>
      <w:r w:rsidR="007B21A1" w:rsidRPr="00002799">
        <w:rPr>
          <w:rFonts w:cs="Arial"/>
          <w:color w:val="000000"/>
          <w:lang w:val="en-GB"/>
        </w:rPr>
        <w:t xml:space="preserve"> under continuous stirr</w:t>
      </w:r>
      <w:r w:rsidR="005D4B48" w:rsidRPr="00002799">
        <w:rPr>
          <w:rFonts w:cs="Arial"/>
          <w:color w:val="000000"/>
          <w:lang w:val="en-GB"/>
        </w:rPr>
        <w:t xml:space="preserve">ing, </w:t>
      </w:r>
      <w:r w:rsidR="00155457" w:rsidRPr="00002799">
        <w:rPr>
          <w:rFonts w:cs="Arial"/>
          <w:color w:val="000000"/>
          <w:lang w:val="en-GB"/>
        </w:rPr>
        <w:t xml:space="preserve">and the </w:t>
      </w:r>
      <w:r w:rsidR="005D4B48" w:rsidRPr="00002799">
        <w:rPr>
          <w:rFonts w:cs="Arial"/>
          <w:color w:val="000000"/>
          <w:lang w:val="en-GB"/>
        </w:rPr>
        <w:t>mixture was heated to obtain a homogeneous ternary solution</w:t>
      </w:r>
      <w:r w:rsidR="007019D5" w:rsidRPr="00002799">
        <w:rPr>
          <w:rFonts w:cs="Arial"/>
          <w:color w:val="000000"/>
          <w:lang w:val="en-GB"/>
        </w:rPr>
        <w:t xml:space="preserve">. </w:t>
      </w:r>
      <w:r w:rsidR="00002799">
        <w:rPr>
          <w:rFonts w:cs="Arial"/>
          <w:color w:val="000000"/>
          <w:lang w:val="en-GB"/>
        </w:rPr>
        <w:t>Finally, t</w:t>
      </w:r>
      <w:r w:rsidR="002B17DC" w:rsidRPr="00002799">
        <w:rPr>
          <w:rFonts w:cs="Arial"/>
          <w:color w:val="000000"/>
          <w:lang w:val="en-GB"/>
        </w:rPr>
        <w:t xml:space="preserve">he </w:t>
      </w:r>
      <w:r w:rsidR="00002799">
        <w:rPr>
          <w:rFonts w:cs="Arial"/>
          <w:color w:val="000000"/>
          <w:lang w:val="en-GB"/>
        </w:rPr>
        <w:t>resulting</w:t>
      </w:r>
      <w:r w:rsidR="002B17DC" w:rsidRPr="00002799">
        <w:rPr>
          <w:rFonts w:cs="Arial"/>
          <w:color w:val="000000"/>
          <w:lang w:val="en-GB"/>
        </w:rPr>
        <w:t xml:space="preserve"> solution was </w:t>
      </w:r>
      <w:r w:rsidR="007019D5" w:rsidRPr="00002799">
        <w:rPr>
          <w:rFonts w:cs="Arial"/>
          <w:color w:val="000000"/>
          <w:lang w:val="en-GB"/>
        </w:rPr>
        <w:t>maintained</w:t>
      </w:r>
      <w:r w:rsidR="002B17DC" w:rsidRPr="00002799">
        <w:rPr>
          <w:rFonts w:cs="Arial"/>
          <w:color w:val="000000"/>
          <w:lang w:val="en-GB"/>
        </w:rPr>
        <w:t xml:space="preserve"> at 60 °C</w:t>
      </w:r>
      <w:r w:rsidR="007019D5" w:rsidRPr="00002799">
        <w:rPr>
          <w:rFonts w:cs="Arial"/>
          <w:color w:val="000000"/>
          <w:lang w:val="en-GB"/>
        </w:rPr>
        <w:t xml:space="preserve"> before further processing</w:t>
      </w:r>
      <w:r w:rsidR="002B17DC" w:rsidRPr="00002799">
        <w:rPr>
          <w:rFonts w:cs="Arial"/>
          <w:color w:val="000000"/>
          <w:lang w:val="en-GB"/>
        </w:rPr>
        <w:t>.</w:t>
      </w:r>
    </w:p>
    <w:p w14:paraId="6136DBDD" w14:textId="77777777" w:rsidR="001310DE" w:rsidRPr="00002799" w:rsidRDefault="001310DE" w:rsidP="00060D8C">
      <w:pPr>
        <w:pStyle w:val="CETBodytext"/>
        <w:spacing w:line="240" w:lineRule="auto"/>
        <w:rPr>
          <w:lang w:val="en-GB"/>
        </w:rPr>
      </w:pPr>
    </w:p>
    <w:p w14:paraId="6677C671" w14:textId="29D26BD0" w:rsidR="00E43151" w:rsidRPr="002367AF" w:rsidRDefault="00A96951" w:rsidP="00060D8C">
      <w:pPr>
        <w:pStyle w:val="CETBodytext"/>
        <w:spacing w:after="240" w:line="240" w:lineRule="auto"/>
        <w:rPr>
          <w:rFonts w:cs="Arial"/>
          <w:color w:val="EE0000"/>
        </w:rPr>
      </w:pPr>
      <w:r w:rsidRPr="00002799">
        <w:rPr>
          <w:lang w:val="en-GB"/>
        </w:rPr>
        <w:t xml:space="preserve">PLLA scaffolds </w:t>
      </w:r>
      <w:r w:rsidR="006A71B6" w:rsidRPr="00002799">
        <w:rPr>
          <w:lang w:val="en-GB"/>
        </w:rPr>
        <w:t>were fabricated</w:t>
      </w:r>
      <w:r w:rsidRPr="00002799">
        <w:rPr>
          <w:lang w:val="en-GB"/>
        </w:rPr>
        <w:t xml:space="preserve"> via TIPS </w:t>
      </w:r>
      <w:r w:rsidR="0095418B">
        <w:rPr>
          <w:lang w:val="en-GB"/>
        </w:rPr>
        <w:t>using</w:t>
      </w:r>
      <w:r w:rsidR="006B7B0D" w:rsidRPr="00002799">
        <w:rPr>
          <w:lang w:val="en-GB"/>
        </w:rPr>
        <w:t xml:space="preserve"> a protocol </w:t>
      </w:r>
      <w:r w:rsidR="00F3544D" w:rsidRPr="00002799">
        <w:rPr>
          <w:lang w:val="en-GB"/>
        </w:rPr>
        <w:t>adapted from</w:t>
      </w:r>
      <w:r w:rsidR="006B7B0D" w:rsidRPr="00002799">
        <w:rPr>
          <w:lang w:val="en-GB"/>
        </w:rPr>
        <w:t xml:space="preserve"> </w:t>
      </w:r>
      <w:r w:rsidR="00141B75">
        <w:rPr>
          <w:lang w:val="en-GB"/>
        </w:rPr>
        <w:fldChar w:fldCharType="begin"/>
      </w:r>
      <w:r w:rsidR="00141B75">
        <w:rPr>
          <w:lang w:val="en-GB"/>
        </w:rPr>
        <w:instrText xml:space="preserve"> ADDIN ZOTERO_ITEM CSL_CITATION {"citationID":"6VMd16sn","properties":{"unsorted":false,"formattedCitation":"(Carf\\uc0\\u236{} Pavia et al., 2008)","plainCitation":"(Carfì Pavia et al., 2008)","noteIndex":0},"citationItems":[{"id":18,"uris":["http://zotero.org/users/local/FYFNTyV4/items/67BCMUKR"],"itemData":{"id":18,"type":"article-journal","abstract":"Abstract\n            Scaffolds suitable for tissue engineering applications like dermal reconstruction were prepared by Thermally Induced Phase Separation (TIPS) starting from a ternary solution PLLA/dioxane/water. The experimental protocol consisted of three consecutive steps, a first quench from the homogeneous solution to an appropriate demixing temperature (within the metastable region), a holding stage for a given residence time, and a final quench from the demixing temperature to a low temperature (within the unstable region). A large variety of morphologies, in terms of average pore size and interconnection, were obtained upon modifying the demixing time and temperature, owing to the interplay of nucleation and growth processes during the residence in the metastable state. An interesting combination of micro and macroporosity was observed for long residence times in the metastable state (above 30 min at 35°C). Preliminary degradation tests in a biological mimicking fluid (D</w:instrText>
      </w:r>
      <w:r w:rsidR="00141B75">
        <w:rPr>
          <w:rFonts w:ascii="Cambria Math" w:hAnsi="Cambria Math" w:cs="Cambria Math"/>
          <w:lang w:val="en-GB"/>
        </w:rPr>
        <w:instrText>‐</w:instrText>
      </w:r>
      <w:r w:rsidR="00141B75">
        <w:rPr>
          <w:lang w:val="en-GB"/>
        </w:rPr>
        <w:instrText xml:space="preserve">MEM with bovine serum) showed a significant weight loss during the initial stages (ca. 30% in 30 days) related to the degradation of the amorphous part, followed by a negligible weight loss in the next days (few percent from 30 to 60 days). </w:instrText>
      </w:r>
      <w:r w:rsidR="00141B75">
        <w:rPr>
          <w:rFonts w:cs="Arial"/>
          <w:lang w:val="en-GB"/>
        </w:rPr>
        <w:instrText>©</w:instrText>
      </w:r>
      <w:r w:rsidR="00141B75">
        <w:rPr>
          <w:lang w:val="en-GB"/>
        </w:rPr>
        <w:instrText xml:space="preserve"> 2007 Wiley Periodicals, Inc. J Biomed Mater Res, 2008","container-title":"Journal of Biomedical Materials Research Part A","DOI":"10.1002/jbm.a.31621","ISSN":"1549-3296, 1552-4965","issue":"2","journalAbbreviation":"J Biomedical Materials Res","language":"en","license":"http://onlinelibrary.wiley.com/termsAndConditions#vor","page":"459-466","source":"DOI.org (Crossref)","title":"Polymeric scaffolds prepared via thermally induced phase separation: Tuning of structure and morphology","title-short":"Polymeric scaffolds prepared via thermally induced phase separation","volume":"86A","author":[{"family":"Carfì Pavia","given":"Francesco"},{"family":"La Carrubba","given":"V."},{"family":"Piccarolo","given":"S."},{"family":"Brucato","given":"V."}],"issued":{"date-parts":[["2008",8]]}}}],"schema":"https://github.com/citation-style-language/schema/raw/master/csl-citation.json"} </w:instrText>
      </w:r>
      <w:r w:rsidR="00141B75">
        <w:rPr>
          <w:lang w:val="en-GB"/>
        </w:rPr>
        <w:fldChar w:fldCharType="separate"/>
      </w:r>
      <w:r w:rsidR="00141B75" w:rsidRPr="00141B75">
        <w:rPr>
          <w:rFonts w:cs="Arial"/>
        </w:rPr>
        <w:t>(Carfì Pavia et al., 2008)</w:t>
      </w:r>
      <w:r w:rsidR="00141B75">
        <w:rPr>
          <w:lang w:val="en-GB"/>
        </w:rPr>
        <w:fldChar w:fldCharType="end"/>
      </w:r>
      <w:r w:rsidR="00141B75">
        <w:rPr>
          <w:rFonts w:cs="Arial"/>
          <w:color w:val="000000"/>
          <w:lang w:val="en-GB"/>
        </w:rPr>
        <w:t>.</w:t>
      </w:r>
      <w:r w:rsidR="00E5740C" w:rsidRPr="00002799">
        <w:rPr>
          <w:rFonts w:cs="Arial"/>
          <w:color w:val="000000"/>
          <w:lang w:val="en-GB"/>
        </w:rPr>
        <w:t xml:space="preserve"> </w:t>
      </w:r>
      <w:r w:rsidR="006C33A4" w:rsidRPr="00002799">
        <w:rPr>
          <w:rFonts w:cs="Arial"/>
          <w:color w:val="000000"/>
          <w:lang w:val="en-GB"/>
        </w:rPr>
        <w:t xml:space="preserve">The </w:t>
      </w:r>
      <w:r w:rsidR="00561CA8" w:rsidRPr="00002799">
        <w:rPr>
          <w:rFonts w:cs="Arial"/>
          <w:color w:val="000000"/>
          <w:lang w:val="en-GB"/>
        </w:rPr>
        <w:t>polymer</w:t>
      </w:r>
      <w:r w:rsidR="00F3544D" w:rsidRPr="00002799">
        <w:rPr>
          <w:rFonts w:cs="Arial"/>
          <w:color w:val="000000"/>
          <w:lang w:val="en-GB"/>
        </w:rPr>
        <w:t>ic</w:t>
      </w:r>
      <w:r w:rsidR="00561CA8" w:rsidRPr="00002799">
        <w:rPr>
          <w:rFonts w:cs="Arial"/>
          <w:color w:val="000000"/>
          <w:lang w:val="en-GB"/>
        </w:rPr>
        <w:t xml:space="preserve"> </w:t>
      </w:r>
      <w:r w:rsidR="006C33A4" w:rsidRPr="00002799">
        <w:rPr>
          <w:rFonts w:cs="Arial"/>
          <w:color w:val="000000"/>
          <w:lang w:val="en-GB"/>
        </w:rPr>
        <w:t>solution</w:t>
      </w:r>
      <w:r w:rsidR="00561CA8" w:rsidRPr="00002799">
        <w:rPr>
          <w:rFonts w:cs="Arial"/>
          <w:color w:val="000000"/>
          <w:lang w:val="en-GB"/>
        </w:rPr>
        <w:t xml:space="preserve"> was cast into a</w:t>
      </w:r>
      <w:r w:rsidR="0095418B">
        <w:rPr>
          <w:rFonts w:cs="Arial"/>
          <w:color w:val="000000"/>
          <w:lang w:val="en-GB"/>
        </w:rPr>
        <w:t xml:space="preserve"> preheated</w:t>
      </w:r>
      <w:r w:rsidR="00561CA8" w:rsidRPr="00002799">
        <w:rPr>
          <w:rFonts w:cs="Arial"/>
          <w:color w:val="000000"/>
          <w:lang w:val="en-GB"/>
        </w:rPr>
        <w:t xml:space="preserve"> parallelepipedal fused</w:t>
      </w:r>
      <w:r w:rsidR="00C041A4" w:rsidRPr="00002799">
        <w:rPr>
          <w:rFonts w:cs="Arial"/>
          <w:color w:val="000000"/>
          <w:lang w:val="en-GB"/>
        </w:rPr>
        <w:t>-quartz</w:t>
      </w:r>
      <w:r w:rsidR="00561CA8" w:rsidRPr="00002799">
        <w:rPr>
          <w:rFonts w:cs="Arial"/>
          <w:color w:val="000000"/>
          <w:lang w:val="en-GB"/>
        </w:rPr>
        <w:t xml:space="preserve"> </w:t>
      </w:r>
      <w:r w:rsidR="00A40833" w:rsidRPr="00002799">
        <w:rPr>
          <w:rFonts w:cs="Arial"/>
          <w:color w:val="000000"/>
          <w:lang w:val="en-GB"/>
        </w:rPr>
        <w:t>sample holder at 60</w:t>
      </w:r>
      <w:r w:rsidR="00E556B5" w:rsidRPr="00002799">
        <w:rPr>
          <w:rFonts w:cs="Arial"/>
          <w:color w:val="000000"/>
          <w:lang w:val="en-GB"/>
        </w:rPr>
        <w:t xml:space="preserve"> </w:t>
      </w:r>
      <w:r w:rsidR="00A40833" w:rsidRPr="00002799">
        <w:rPr>
          <w:rFonts w:cs="Arial"/>
          <w:color w:val="000000"/>
          <w:lang w:val="en-GB"/>
        </w:rPr>
        <w:t>°C</w:t>
      </w:r>
      <w:r w:rsidR="00E556B5" w:rsidRPr="00002799">
        <w:rPr>
          <w:rFonts w:cs="Arial"/>
          <w:color w:val="000000"/>
          <w:lang w:val="en-GB"/>
        </w:rPr>
        <w:t xml:space="preserve"> and </w:t>
      </w:r>
      <w:r w:rsidR="0095418B">
        <w:rPr>
          <w:rFonts w:cs="Arial"/>
          <w:color w:val="000000"/>
          <w:lang w:val="en-GB"/>
        </w:rPr>
        <w:t>then</w:t>
      </w:r>
      <w:r w:rsidR="00E556B5" w:rsidRPr="00002799">
        <w:rPr>
          <w:rFonts w:cs="Arial"/>
          <w:color w:val="000000"/>
          <w:lang w:val="en-GB"/>
        </w:rPr>
        <w:t xml:space="preserve"> immersed in a thermostatic bath at 30 °C for 45 min</w:t>
      </w:r>
      <w:r w:rsidR="004202E2" w:rsidRPr="00002799">
        <w:rPr>
          <w:rFonts w:cs="Arial"/>
          <w:color w:val="000000"/>
          <w:lang w:val="en-GB"/>
        </w:rPr>
        <w:t xml:space="preserve"> to induce phase separation</w:t>
      </w:r>
      <w:r w:rsidR="00C041A4" w:rsidRPr="00002799">
        <w:rPr>
          <w:rFonts w:cs="Arial"/>
          <w:color w:val="000000"/>
          <w:lang w:val="en-GB"/>
        </w:rPr>
        <w:t xml:space="preserve">. </w:t>
      </w:r>
      <w:r w:rsidR="002A765C" w:rsidRPr="00002799">
        <w:rPr>
          <w:rFonts w:cs="Arial"/>
          <w:color w:val="000000"/>
          <w:lang w:val="en-GB"/>
        </w:rPr>
        <w:t xml:space="preserve">The system was then transferred to </w:t>
      </w:r>
      <w:r w:rsidR="001C0EAA" w:rsidRPr="00002799">
        <w:rPr>
          <w:rFonts w:cs="Arial"/>
          <w:color w:val="000000"/>
          <w:lang w:val="en-GB"/>
        </w:rPr>
        <w:t xml:space="preserve">a second </w:t>
      </w:r>
      <w:r w:rsidR="00B14264" w:rsidRPr="00002799">
        <w:rPr>
          <w:rFonts w:cs="Arial"/>
          <w:color w:val="000000"/>
          <w:lang w:val="en-GB"/>
        </w:rPr>
        <w:t>thermostatic bath at -20 °C for 30 min</w:t>
      </w:r>
      <w:r w:rsidR="002A765C" w:rsidRPr="00002799">
        <w:rPr>
          <w:rFonts w:cs="Arial"/>
          <w:color w:val="000000"/>
          <w:lang w:val="en-GB"/>
        </w:rPr>
        <w:t xml:space="preserve"> to promote </w:t>
      </w:r>
      <w:r w:rsidR="0095418B">
        <w:rPr>
          <w:rFonts w:cs="Arial"/>
          <w:color w:val="000000"/>
          <w:lang w:val="en-GB"/>
        </w:rPr>
        <w:t xml:space="preserve">the </w:t>
      </w:r>
      <w:r w:rsidR="002A765C" w:rsidRPr="00002799">
        <w:rPr>
          <w:rFonts w:cs="Arial"/>
          <w:color w:val="000000"/>
          <w:lang w:val="en-GB"/>
        </w:rPr>
        <w:t>controlled freezing of the structure</w:t>
      </w:r>
      <w:r w:rsidR="00D8028E" w:rsidRPr="00002799">
        <w:rPr>
          <w:rFonts w:cs="Arial"/>
          <w:color w:val="000000"/>
          <w:lang w:val="en-GB"/>
        </w:rPr>
        <w:t xml:space="preserve">. </w:t>
      </w:r>
      <w:r w:rsidR="004638B1" w:rsidRPr="00002799">
        <w:rPr>
          <w:rFonts w:cs="Arial"/>
          <w:color w:val="000000"/>
          <w:lang w:val="en-GB"/>
        </w:rPr>
        <w:t xml:space="preserve">After solidification, the frozen structure </w:t>
      </w:r>
      <w:r w:rsidR="002A4F54">
        <w:rPr>
          <w:rFonts w:cs="Arial"/>
          <w:color w:val="000000"/>
          <w:lang w:val="en-GB"/>
        </w:rPr>
        <w:t>was</w:t>
      </w:r>
      <w:r w:rsidR="004638B1" w:rsidRPr="00002799">
        <w:rPr>
          <w:rFonts w:cs="Arial"/>
          <w:color w:val="000000"/>
          <w:lang w:val="en-GB"/>
        </w:rPr>
        <w:t xml:space="preserve"> removed from the sample holder</w:t>
      </w:r>
      <w:r w:rsidR="00194C87">
        <w:rPr>
          <w:rFonts w:cs="Arial"/>
          <w:color w:val="000000"/>
          <w:lang w:val="en-GB"/>
        </w:rPr>
        <w:t xml:space="preserve">, </w:t>
      </w:r>
      <w:r w:rsidR="004638B1" w:rsidRPr="00002799">
        <w:rPr>
          <w:rFonts w:cs="Arial"/>
          <w:color w:val="000000"/>
          <w:lang w:val="en-GB"/>
        </w:rPr>
        <w:t>washed in water to remove residual solvent</w:t>
      </w:r>
      <w:r w:rsidR="00194C87">
        <w:rPr>
          <w:rFonts w:cs="Arial"/>
          <w:color w:val="000000"/>
          <w:lang w:val="en-GB"/>
        </w:rPr>
        <w:t xml:space="preserve"> and then dried</w:t>
      </w:r>
      <w:r w:rsidR="004638B1" w:rsidRPr="00002799">
        <w:rPr>
          <w:rFonts w:cs="Arial"/>
          <w:color w:val="000000"/>
          <w:lang w:val="en-GB"/>
        </w:rPr>
        <w:t xml:space="preserve"> at 60 °C.</w:t>
      </w:r>
      <w:r w:rsidR="006749E4">
        <w:rPr>
          <w:rFonts w:cs="Arial"/>
          <w:color w:val="000000"/>
          <w:lang w:val="en-GB"/>
        </w:rPr>
        <w:t xml:space="preserve"> </w:t>
      </w:r>
      <w:r w:rsidR="002A765C" w:rsidRPr="00002799">
        <w:rPr>
          <w:rFonts w:cs="Arial"/>
          <w:color w:val="000000"/>
          <w:lang w:val="en-GB"/>
        </w:rPr>
        <w:t xml:space="preserve">Two </w:t>
      </w:r>
      <w:r w:rsidR="00D1189A" w:rsidRPr="00002799">
        <w:rPr>
          <w:rFonts w:cs="Arial"/>
          <w:color w:val="000000"/>
          <w:lang w:val="en-GB"/>
        </w:rPr>
        <w:t>different</w:t>
      </w:r>
      <w:r w:rsidR="002A765C" w:rsidRPr="00002799">
        <w:rPr>
          <w:rFonts w:cs="Arial"/>
          <w:color w:val="000000"/>
          <w:lang w:val="en-GB"/>
        </w:rPr>
        <w:t xml:space="preserve"> process configuratio</w:t>
      </w:r>
      <w:r w:rsidR="00B62B28" w:rsidRPr="00002799">
        <w:rPr>
          <w:rFonts w:cs="Arial"/>
          <w:color w:val="000000"/>
          <w:lang w:val="en-GB"/>
        </w:rPr>
        <w:t>ns were investigated. In the reference configuration, the sample holder was</w:t>
      </w:r>
      <w:r w:rsidR="00203BD5">
        <w:rPr>
          <w:rFonts w:cs="Arial"/>
          <w:color w:val="000000"/>
          <w:lang w:val="en-GB"/>
        </w:rPr>
        <w:t xml:space="preserve"> directly</w:t>
      </w:r>
      <w:r w:rsidR="00B62B28" w:rsidRPr="00002799">
        <w:rPr>
          <w:rFonts w:cs="Arial"/>
          <w:color w:val="000000"/>
          <w:lang w:val="en-GB"/>
        </w:rPr>
        <w:t xml:space="preserve"> immersed in the </w:t>
      </w:r>
      <w:r w:rsidR="005F7FD0">
        <w:rPr>
          <w:rFonts w:cs="Arial"/>
          <w:color w:val="000000"/>
          <w:lang w:val="en-GB"/>
        </w:rPr>
        <w:t>thermostatic</w:t>
      </w:r>
      <w:r w:rsidR="00B62B28" w:rsidRPr="00002799">
        <w:rPr>
          <w:rFonts w:cs="Arial"/>
          <w:color w:val="000000"/>
          <w:lang w:val="en-GB"/>
        </w:rPr>
        <w:t xml:space="preserve"> bat</w:t>
      </w:r>
      <w:r w:rsidR="00D1189A" w:rsidRPr="00002799">
        <w:rPr>
          <w:rFonts w:cs="Arial"/>
          <w:color w:val="000000"/>
          <w:lang w:val="en-GB"/>
        </w:rPr>
        <w:t xml:space="preserve">hs. In the modified configuration, a </w:t>
      </w:r>
      <w:r w:rsidR="00CA2FC3" w:rsidRPr="00002799">
        <w:rPr>
          <w:rFonts w:cs="Arial"/>
          <w:color w:val="000000"/>
          <w:lang w:val="en-GB"/>
        </w:rPr>
        <w:t>5 mm expanded polyethylene insulating layer was applied</w:t>
      </w:r>
      <w:r w:rsidR="004477C5" w:rsidRPr="00002799">
        <w:rPr>
          <w:rFonts w:cs="Arial"/>
          <w:color w:val="000000"/>
          <w:lang w:val="en-GB"/>
        </w:rPr>
        <w:t xml:space="preserve"> </w:t>
      </w:r>
      <w:r w:rsidR="00CA2FC3" w:rsidRPr="00002799">
        <w:rPr>
          <w:rFonts w:cs="Arial"/>
          <w:color w:val="000000"/>
          <w:lang w:val="en-GB"/>
        </w:rPr>
        <w:t xml:space="preserve">to three sides of the sample holder </w:t>
      </w:r>
      <w:r w:rsidR="004477C5" w:rsidRPr="00002799">
        <w:rPr>
          <w:rFonts w:cs="Arial"/>
          <w:color w:val="000000"/>
          <w:lang w:val="en-GB"/>
        </w:rPr>
        <w:t>during both therma</w:t>
      </w:r>
      <w:r w:rsidR="00F56B46" w:rsidRPr="00002799">
        <w:rPr>
          <w:rFonts w:cs="Arial"/>
          <w:color w:val="000000"/>
          <w:lang w:val="en-GB"/>
        </w:rPr>
        <w:t>l</w:t>
      </w:r>
      <w:r w:rsidR="004477C5" w:rsidRPr="00002799">
        <w:rPr>
          <w:rFonts w:cs="Arial"/>
          <w:color w:val="000000"/>
          <w:lang w:val="en-GB"/>
        </w:rPr>
        <w:t xml:space="preserve"> steps</w:t>
      </w:r>
      <w:r w:rsidR="00313799" w:rsidRPr="00002799">
        <w:rPr>
          <w:rFonts w:cs="Arial"/>
          <w:color w:val="000000"/>
          <w:lang w:val="en-GB"/>
        </w:rPr>
        <w:t xml:space="preserve"> to impose a preferential</w:t>
      </w:r>
      <w:r w:rsidR="002A4F54">
        <w:rPr>
          <w:rFonts w:cs="Arial"/>
          <w:color w:val="000000"/>
          <w:lang w:val="en-GB"/>
        </w:rPr>
        <w:t xml:space="preserve"> </w:t>
      </w:r>
      <w:r w:rsidR="002A4F54" w:rsidRPr="00002799">
        <w:rPr>
          <w:rFonts w:cs="Arial"/>
          <w:color w:val="000000"/>
          <w:lang w:val="en-GB"/>
        </w:rPr>
        <w:t>direction</w:t>
      </w:r>
      <w:r w:rsidR="002A4F54">
        <w:rPr>
          <w:rFonts w:cs="Arial"/>
          <w:color w:val="000000"/>
          <w:lang w:val="en-GB"/>
        </w:rPr>
        <w:t xml:space="preserve"> of</w:t>
      </w:r>
      <w:r w:rsidR="00313799" w:rsidRPr="00002799">
        <w:rPr>
          <w:rFonts w:cs="Arial"/>
          <w:color w:val="000000"/>
          <w:lang w:val="en-GB"/>
        </w:rPr>
        <w:t xml:space="preserve"> heat transfer</w:t>
      </w:r>
      <w:r w:rsidR="00F56B46" w:rsidRPr="00002799">
        <w:rPr>
          <w:rFonts w:cs="Arial"/>
          <w:color w:val="000000"/>
          <w:lang w:val="en-GB"/>
        </w:rPr>
        <w:t xml:space="preserve">. </w:t>
      </w:r>
    </w:p>
    <w:p w14:paraId="53DA1F04" w14:textId="2FD8BE6E" w:rsidR="00554D92" w:rsidRPr="00002799" w:rsidRDefault="00554D92" w:rsidP="00060D8C">
      <w:pPr>
        <w:pStyle w:val="CETBodytext"/>
        <w:spacing w:after="240" w:line="240" w:lineRule="auto"/>
        <w:rPr>
          <w:b/>
          <w:bCs/>
          <w:lang w:val="en-GB"/>
        </w:rPr>
      </w:pPr>
      <w:r w:rsidRPr="00002799">
        <w:rPr>
          <w:b/>
          <w:bCs/>
          <w:lang w:val="en-GB"/>
        </w:rPr>
        <w:t>2.</w:t>
      </w:r>
      <w:r w:rsidR="001F222E">
        <w:rPr>
          <w:b/>
          <w:bCs/>
          <w:lang w:val="en-GB"/>
        </w:rPr>
        <w:t>4</w:t>
      </w:r>
      <w:r w:rsidRPr="00002799">
        <w:rPr>
          <w:b/>
          <w:bCs/>
          <w:lang w:val="en-GB"/>
        </w:rPr>
        <w:t xml:space="preserve"> Morphological characterization with </w:t>
      </w:r>
      <w:r w:rsidR="00A23D78">
        <w:rPr>
          <w:b/>
          <w:bCs/>
          <w:lang w:val="en-GB"/>
        </w:rPr>
        <w:t>s</w:t>
      </w:r>
      <w:r w:rsidRPr="00002799">
        <w:rPr>
          <w:b/>
          <w:bCs/>
          <w:lang w:val="en-GB"/>
        </w:rPr>
        <w:t xml:space="preserve">canning </w:t>
      </w:r>
      <w:r w:rsidR="00A23D78">
        <w:rPr>
          <w:b/>
          <w:bCs/>
          <w:lang w:val="en-GB"/>
        </w:rPr>
        <w:t>e</w:t>
      </w:r>
      <w:r w:rsidRPr="00002799">
        <w:rPr>
          <w:b/>
          <w:bCs/>
          <w:lang w:val="en-GB"/>
        </w:rPr>
        <w:t xml:space="preserve">lectron </w:t>
      </w:r>
      <w:r w:rsidR="00A23D78">
        <w:rPr>
          <w:b/>
          <w:bCs/>
          <w:lang w:val="en-GB"/>
        </w:rPr>
        <w:t>m</w:t>
      </w:r>
      <w:r w:rsidRPr="00002799">
        <w:rPr>
          <w:b/>
          <w:bCs/>
          <w:lang w:val="en-GB"/>
        </w:rPr>
        <w:t>icroscopy (SEM)</w:t>
      </w:r>
    </w:p>
    <w:p w14:paraId="55060BDF" w14:textId="34315492" w:rsidR="00554D92" w:rsidRPr="00103C0B" w:rsidRDefault="00554D92" w:rsidP="00060D8C">
      <w:pPr>
        <w:pStyle w:val="CETBodytext"/>
        <w:spacing w:line="240" w:lineRule="auto"/>
        <w:rPr>
          <w:color w:val="EE0000"/>
        </w:rPr>
      </w:pPr>
      <w:r w:rsidRPr="00002799">
        <w:rPr>
          <w:lang w:val="en-GB"/>
        </w:rPr>
        <w:t xml:space="preserve">Scaffold morphology was analysed </w:t>
      </w:r>
      <w:r>
        <w:rPr>
          <w:lang w:val="en-GB"/>
        </w:rPr>
        <w:t>using</w:t>
      </w:r>
      <w:r w:rsidRPr="00002799">
        <w:rPr>
          <w:lang w:val="en-GB"/>
        </w:rPr>
        <w:t xml:space="preserve"> Scanning Electron Microscopy (SEM) </w:t>
      </w:r>
      <w:r>
        <w:rPr>
          <w:lang w:val="en-GB"/>
        </w:rPr>
        <w:t>with</w:t>
      </w:r>
      <w:r w:rsidRPr="00002799">
        <w:rPr>
          <w:lang w:val="en-GB"/>
        </w:rPr>
        <w:t xml:space="preserve"> a Philips Quanta 200 F microscope operated at an accelerating voltage of 10 kV. </w:t>
      </w:r>
      <w:r w:rsidR="00CF4FD0">
        <w:rPr>
          <w:lang w:val="en-GB"/>
        </w:rPr>
        <w:t>Parallelepipedal scaffold</w:t>
      </w:r>
      <w:r w:rsidR="00CE3D74">
        <w:rPr>
          <w:lang w:val="en-GB"/>
        </w:rPr>
        <w:t>s</w:t>
      </w:r>
      <w:r w:rsidR="00CF4FD0">
        <w:rPr>
          <w:lang w:val="en-GB"/>
        </w:rPr>
        <w:t xml:space="preserve"> were sectioned to obtain a cross </w:t>
      </w:r>
      <w:r w:rsidR="00CE3D74">
        <w:rPr>
          <w:lang w:val="en-GB"/>
        </w:rPr>
        <w:t xml:space="preserve">section with a thickness of approximately 2 mm. </w:t>
      </w:r>
      <w:r>
        <w:rPr>
          <w:lang w:val="en-GB"/>
        </w:rPr>
        <w:t xml:space="preserve">Each </w:t>
      </w:r>
      <w:r w:rsidRPr="00002799">
        <w:rPr>
          <w:lang w:val="en-GB"/>
        </w:rPr>
        <w:t xml:space="preserve">sample was </w:t>
      </w:r>
      <w:r>
        <w:rPr>
          <w:lang w:val="en-GB"/>
        </w:rPr>
        <w:t xml:space="preserve">then </w:t>
      </w:r>
      <w:r w:rsidRPr="00002799">
        <w:rPr>
          <w:lang w:val="en-GB"/>
        </w:rPr>
        <w:t xml:space="preserve">sputter-coated with a thin gold </w:t>
      </w:r>
      <w:r w:rsidRPr="00002799">
        <w:rPr>
          <w:lang w:val="en-GB"/>
        </w:rPr>
        <w:lastRenderedPageBreak/>
        <w:t>layer using</w:t>
      </w:r>
      <w:r>
        <w:rPr>
          <w:lang w:val="en-GB"/>
        </w:rPr>
        <w:t xml:space="preserve"> a</w:t>
      </w:r>
      <w:r w:rsidRPr="00002799">
        <w:rPr>
          <w:lang w:val="en-GB"/>
        </w:rPr>
        <w:t xml:space="preserve"> </w:t>
      </w:r>
      <w:proofErr w:type="spellStart"/>
      <w:r w:rsidRPr="00002799">
        <w:rPr>
          <w:lang w:val="en-GB"/>
        </w:rPr>
        <w:t>ScanCoat</w:t>
      </w:r>
      <w:proofErr w:type="spellEnd"/>
      <w:r w:rsidRPr="00002799">
        <w:rPr>
          <w:lang w:val="en-GB"/>
        </w:rPr>
        <w:t xml:space="preserve"> Six sputter coater (Edwards, Irvine, CA, USA) under vacuum and an argon atmosphere for 120 s to ensure surface </w:t>
      </w:r>
      <w:r w:rsidRPr="00985C50">
        <w:rPr>
          <w:color w:val="000000" w:themeColor="text1"/>
          <w:lang w:val="en-GB"/>
        </w:rPr>
        <w:t>conductivity.</w:t>
      </w:r>
      <w:r w:rsidR="00C247F2" w:rsidRPr="00985C50">
        <w:rPr>
          <w:color w:val="000000" w:themeColor="text1"/>
          <w:lang w:val="en-GB"/>
        </w:rPr>
        <w:t xml:space="preserve"> </w:t>
      </w:r>
      <w:r w:rsidR="00AA68CF" w:rsidRPr="00985C50">
        <w:rPr>
          <w:color w:val="000000" w:themeColor="text1"/>
          <w:lang w:val="en-GB"/>
        </w:rPr>
        <w:t>Pore</w:t>
      </w:r>
      <w:r w:rsidR="0009348C" w:rsidRPr="00985C50">
        <w:rPr>
          <w:color w:val="000000" w:themeColor="text1"/>
        </w:rPr>
        <w:t xml:space="preserve"> size measurements </w:t>
      </w:r>
      <w:r w:rsidR="004808C2" w:rsidRPr="00985C50">
        <w:rPr>
          <w:color w:val="000000" w:themeColor="text1"/>
        </w:rPr>
        <w:t xml:space="preserve">were performed </w:t>
      </w:r>
      <w:r w:rsidR="00AA68CF" w:rsidRPr="00985C50">
        <w:rPr>
          <w:color w:val="000000" w:themeColor="text1"/>
        </w:rPr>
        <w:t xml:space="preserve">on SEM images of </w:t>
      </w:r>
      <w:r w:rsidR="00294B49" w:rsidRPr="00985C50">
        <w:rPr>
          <w:color w:val="000000" w:themeColor="text1"/>
        </w:rPr>
        <w:t xml:space="preserve">both </w:t>
      </w:r>
      <w:r w:rsidR="00AA68CF" w:rsidRPr="00985C50">
        <w:rPr>
          <w:color w:val="000000" w:themeColor="text1"/>
        </w:rPr>
        <w:t xml:space="preserve">the </w:t>
      </w:r>
      <w:r w:rsidR="002367AF" w:rsidRPr="00985C50">
        <w:rPr>
          <w:color w:val="000000" w:themeColor="text1"/>
        </w:rPr>
        <w:t xml:space="preserve">reference and </w:t>
      </w:r>
      <w:r w:rsidR="00AA68CF" w:rsidRPr="00985C50">
        <w:rPr>
          <w:color w:val="000000" w:themeColor="text1"/>
        </w:rPr>
        <w:t xml:space="preserve">modified configuration </w:t>
      </w:r>
      <w:r w:rsidR="004808C2" w:rsidRPr="00985C50">
        <w:rPr>
          <w:color w:val="000000" w:themeColor="text1"/>
        </w:rPr>
        <w:t>using ImageJ software</w:t>
      </w:r>
      <w:r w:rsidR="00294B49" w:rsidRPr="00985C50">
        <w:rPr>
          <w:color w:val="000000" w:themeColor="text1"/>
        </w:rPr>
        <w:t xml:space="preserve">. </w:t>
      </w:r>
      <w:r w:rsidR="00FC4417" w:rsidRPr="00985C50">
        <w:rPr>
          <w:color w:val="000000" w:themeColor="text1"/>
        </w:rPr>
        <w:t xml:space="preserve">Measurements were taken within the first 1.5 cm from the </w:t>
      </w:r>
      <w:r w:rsidR="00470FFF" w:rsidRPr="00985C50">
        <w:rPr>
          <w:color w:val="000000" w:themeColor="text1"/>
        </w:rPr>
        <w:t>two opposite borders</w:t>
      </w:r>
      <w:r w:rsidR="00DF3EAE" w:rsidRPr="00985C50">
        <w:rPr>
          <w:color w:val="000000" w:themeColor="text1"/>
        </w:rPr>
        <w:t xml:space="preserve"> of each scaffold</w:t>
      </w:r>
      <w:r w:rsidR="004C7D6C" w:rsidRPr="00985C50">
        <w:rPr>
          <w:color w:val="000000" w:themeColor="text1"/>
        </w:rPr>
        <w:t xml:space="preserve"> and a total of 30 pores per region were analyzed</w:t>
      </w:r>
      <w:r w:rsidR="0048726A" w:rsidRPr="00985C50">
        <w:rPr>
          <w:color w:val="000000" w:themeColor="text1"/>
        </w:rPr>
        <w:t xml:space="preserve">. </w:t>
      </w:r>
      <w:r w:rsidR="00DC0C70" w:rsidRPr="00985C50">
        <w:rPr>
          <w:color w:val="000000" w:themeColor="text1"/>
        </w:rPr>
        <w:t>To assess</w:t>
      </w:r>
      <w:r w:rsidR="0098013B" w:rsidRPr="00985C50">
        <w:rPr>
          <w:color w:val="000000" w:themeColor="text1"/>
        </w:rPr>
        <w:t xml:space="preserve"> statistical differences between </w:t>
      </w:r>
      <w:r w:rsidR="001C0B74" w:rsidRPr="00985C50">
        <w:rPr>
          <w:color w:val="000000" w:themeColor="text1"/>
        </w:rPr>
        <w:t xml:space="preserve">pore diameters measured in the small-pore </w:t>
      </w:r>
      <w:r w:rsidR="008008E1" w:rsidRPr="00985C50">
        <w:rPr>
          <w:color w:val="000000" w:themeColor="text1"/>
        </w:rPr>
        <w:t>and large-pore regions of the scaffold</w:t>
      </w:r>
      <w:r w:rsidR="005A5FA8" w:rsidRPr="00985C50">
        <w:rPr>
          <w:color w:val="000000" w:themeColor="text1"/>
        </w:rPr>
        <w:t>, a two-sample t-test was performed.</w:t>
      </w:r>
    </w:p>
    <w:p w14:paraId="677EBFF0" w14:textId="1C738B66" w:rsidR="00600535" w:rsidRDefault="00080B41" w:rsidP="00985C50">
      <w:pPr>
        <w:pStyle w:val="CETHeading1"/>
        <w:tabs>
          <w:tab w:val="clear" w:pos="360"/>
          <w:tab w:val="right" w:pos="7100"/>
        </w:tabs>
        <w:jc w:val="both"/>
        <w:rPr>
          <w:lang w:val="en-GB"/>
        </w:rPr>
      </w:pPr>
      <w:r w:rsidRPr="00002799">
        <w:rPr>
          <w:lang w:val="en-GB"/>
        </w:rPr>
        <w:t>Results</w:t>
      </w:r>
      <w:r w:rsidR="00E15F1C" w:rsidRPr="00002799">
        <w:rPr>
          <w:lang w:val="en-GB"/>
        </w:rPr>
        <w:t xml:space="preserve"> and discussion </w:t>
      </w:r>
    </w:p>
    <w:p w14:paraId="4FC9F0F1" w14:textId="37A12D2F" w:rsidR="00F66A58" w:rsidRDefault="00F66A58" w:rsidP="00060D8C">
      <w:pPr>
        <w:pStyle w:val="CETheadingx"/>
        <w:spacing w:line="240" w:lineRule="auto"/>
      </w:pPr>
      <w:r>
        <w:t>Model geometry</w:t>
      </w:r>
    </w:p>
    <w:p w14:paraId="03FB1429" w14:textId="16C4C7F6" w:rsidR="00060D8C" w:rsidRDefault="00196494" w:rsidP="00060D8C">
      <w:pPr>
        <w:pStyle w:val="CETBodytext"/>
        <w:spacing w:after="240" w:line="240" w:lineRule="auto"/>
        <w:rPr>
          <w:lang w:val="en-GB"/>
        </w:rPr>
      </w:pPr>
      <w:r w:rsidRPr="00002799">
        <w:rPr>
          <w:lang w:val="en-GB"/>
        </w:rPr>
        <w:t>The model geometry</w:t>
      </w:r>
      <w:r w:rsidR="00514F4B">
        <w:rPr>
          <w:lang w:val="en-GB"/>
        </w:rPr>
        <w:t xml:space="preserve"> of the reference configuration</w:t>
      </w:r>
      <w:r w:rsidR="00D811CC">
        <w:rPr>
          <w:lang w:val="en-GB"/>
        </w:rPr>
        <w:t xml:space="preserve"> contained two domains: </w:t>
      </w:r>
      <w:r w:rsidRPr="00002799">
        <w:rPr>
          <w:lang w:val="en-GB"/>
        </w:rPr>
        <w:t xml:space="preserve">the polymer solution and the sample holder. In the modified configuration, a third domain representing the insulating layer was added and positioned to cover three sides of the sample holder. Figure 1 shows </w:t>
      </w:r>
      <w:r>
        <w:rPr>
          <w:lang w:val="en-GB"/>
        </w:rPr>
        <w:t>a</w:t>
      </w:r>
      <w:r w:rsidRPr="00002799">
        <w:rPr>
          <w:lang w:val="en-GB"/>
        </w:rPr>
        <w:t xml:space="preserve"> schematic representation of the domain</w:t>
      </w:r>
      <w:r>
        <w:rPr>
          <w:lang w:val="en-GB"/>
        </w:rPr>
        <w:t>s</w:t>
      </w:r>
      <w:r w:rsidRPr="00002799">
        <w:rPr>
          <w:lang w:val="en-GB"/>
        </w:rPr>
        <w:t xml:space="preserve"> </w:t>
      </w:r>
      <w:r>
        <w:rPr>
          <w:lang w:val="en-GB"/>
        </w:rPr>
        <w:t>in</w:t>
      </w:r>
      <w:r w:rsidRPr="00002799">
        <w:rPr>
          <w:lang w:val="en-GB"/>
        </w:rPr>
        <w:t xml:space="preserve"> both configurations.</w:t>
      </w:r>
    </w:p>
    <w:p w14:paraId="4AEE13DB" w14:textId="172BBCEA" w:rsidR="00196494" w:rsidRPr="00002799" w:rsidRDefault="00196494" w:rsidP="00060D8C">
      <w:pPr>
        <w:pStyle w:val="CETBodytext"/>
        <w:keepNext/>
        <w:spacing w:line="240" w:lineRule="auto"/>
        <w:rPr>
          <w:lang w:val="en-GB"/>
        </w:rPr>
      </w:pPr>
      <w:r w:rsidRPr="00002799">
        <w:rPr>
          <w:noProof/>
          <w:lang w:val="en-GB"/>
        </w:rPr>
        <w:drawing>
          <wp:inline distT="0" distB="0" distL="0" distR="0" wp14:anchorId="0320DAE8" wp14:editId="104A8DB9">
            <wp:extent cx="2339180" cy="1618130"/>
            <wp:effectExtent l="0" t="0" r="4445" b="0"/>
            <wp:docPr id="1114576105" name="Immagine 1" descr="Immagine che contiene testo, diagramma, Disegno tecn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76105" name="Immagine 1" descr="Immagine che contiene testo, diagramma, Disegno tecnico&#10;&#10;Il contenuto generato dall'IA potrebbe non essere corretto."/>
                    <pic:cNvPicPr/>
                  </pic:nvPicPr>
                  <pic:blipFill rotWithShape="1">
                    <a:blip r:embed="rId11"/>
                    <a:srcRect t="1" b="-4909"/>
                    <a:stretch>
                      <a:fillRect/>
                    </a:stretch>
                  </pic:blipFill>
                  <pic:spPr bwMode="auto">
                    <a:xfrm>
                      <a:off x="0" y="0"/>
                      <a:ext cx="2432458" cy="1682655"/>
                    </a:xfrm>
                    <a:prstGeom prst="rect">
                      <a:avLst/>
                    </a:prstGeom>
                    <a:ln>
                      <a:noFill/>
                    </a:ln>
                    <a:extLst>
                      <a:ext uri="{53640926-AAD7-44D8-BBD7-CCE9431645EC}">
                        <a14:shadowObscured xmlns:a14="http://schemas.microsoft.com/office/drawing/2010/main"/>
                      </a:ext>
                    </a:extLst>
                  </pic:spPr>
                </pic:pic>
              </a:graphicData>
            </a:graphic>
          </wp:inline>
        </w:drawing>
      </w:r>
    </w:p>
    <w:p w14:paraId="2A7C994B" w14:textId="00C8FD22" w:rsidR="00196494" w:rsidRPr="00002799" w:rsidRDefault="00196494" w:rsidP="00060D8C">
      <w:pPr>
        <w:pStyle w:val="Didascalia"/>
        <w:spacing w:after="240"/>
        <w:rPr>
          <w:b w:val="0"/>
          <w:bCs w:val="0"/>
          <w:i/>
          <w:iCs/>
          <w:color w:val="000000" w:themeColor="text1"/>
        </w:rPr>
      </w:pPr>
      <w:r w:rsidRPr="00002799">
        <w:rPr>
          <w:b w:val="0"/>
          <w:bCs w:val="0"/>
          <w:i/>
          <w:iCs/>
          <w:color w:val="000000" w:themeColor="text1"/>
        </w:rPr>
        <w:t xml:space="preserve">Figure </w:t>
      </w:r>
      <w:r w:rsidRPr="00002799">
        <w:rPr>
          <w:b w:val="0"/>
          <w:bCs w:val="0"/>
          <w:i/>
          <w:iCs/>
          <w:color w:val="000000" w:themeColor="text1"/>
        </w:rPr>
        <w:fldChar w:fldCharType="begin"/>
      </w:r>
      <w:r w:rsidRPr="00002799">
        <w:rPr>
          <w:b w:val="0"/>
          <w:bCs w:val="0"/>
          <w:i/>
          <w:iCs/>
          <w:color w:val="000000" w:themeColor="text1"/>
        </w:rPr>
        <w:instrText xml:space="preserve"> SEQ Figure \* ARABIC </w:instrText>
      </w:r>
      <w:r w:rsidRPr="00002799">
        <w:rPr>
          <w:b w:val="0"/>
          <w:bCs w:val="0"/>
          <w:i/>
          <w:iCs/>
          <w:color w:val="000000" w:themeColor="text1"/>
        </w:rPr>
        <w:fldChar w:fldCharType="separate"/>
      </w:r>
      <w:r w:rsidR="00B0235A">
        <w:rPr>
          <w:b w:val="0"/>
          <w:bCs w:val="0"/>
          <w:i/>
          <w:iCs/>
          <w:noProof/>
          <w:color w:val="000000" w:themeColor="text1"/>
        </w:rPr>
        <w:t>1</w:t>
      </w:r>
      <w:r w:rsidRPr="00002799">
        <w:rPr>
          <w:b w:val="0"/>
          <w:bCs w:val="0"/>
          <w:i/>
          <w:iCs/>
          <w:color w:val="000000" w:themeColor="text1"/>
        </w:rPr>
        <w:fldChar w:fldCharType="end"/>
      </w:r>
      <w:r w:rsidRPr="00002799">
        <w:rPr>
          <w:b w:val="0"/>
          <w:bCs w:val="0"/>
          <w:i/>
          <w:iCs/>
          <w:color w:val="000000" w:themeColor="text1"/>
        </w:rPr>
        <w:t>: Computational domains used for thermal transient analysis: (a) reference configuration without thermal insulation; (b) modified configuration with an insulating layer applied to three sides of the sample holder.</w:t>
      </w:r>
    </w:p>
    <w:p w14:paraId="59394BC4" w14:textId="7DB78172" w:rsidR="00E528B0" w:rsidRPr="00E528B0" w:rsidRDefault="00196494" w:rsidP="00060D8C">
      <w:pPr>
        <w:pStyle w:val="CETBodytext"/>
        <w:spacing w:line="240" w:lineRule="auto"/>
        <w:rPr>
          <w:lang w:val="en-GB"/>
        </w:rPr>
      </w:pPr>
      <w:r w:rsidRPr="00002799">
        <w:rPr>
          <w:lang w:val="en-GB"/>
        </w:rPr>
        <w:t>A Cartesian reference system was defined with the origin located at the geometric centre of the polymeric solution.</w:t>
      </w:r>
      <w:r w:rsidR="00A75D0F">
        <w:rPr>
          <w:lang w:val="en-GB"/>
        </w:rPr>
        <w:t xml:space="preserve"> </w:t>
      </w:r>
      <w:r w:rsidR="00A75D0F" w:rsidRPr="00A75D0F">
        <w:rPr>
          <w:lang w:val="en-GB"/>
        </w:rPr>
        <w:t>Temperature profiles were extracted along three spatial directions in both configurations</w:t>
      </w:r>
      <w:r w:rsidR="00A75D0F">
        <w:rPr>
          <w:lang w:val="en-GB"/>
        </w:rPr>
        <w:t>.</w:t>
      </w:r>
      <w:r w:rsidRPr="00002799">
        <w:rPr>
          <w:lang w:val="en-GB"/>
        </w:rPr>
        <w:t xml:space="preserve"> </w:t>
      </w:r>
      <w:r w:rsidR="007A276F">
        <w:rPr>
          <w:lang w:val="en-GB"/>
        </w:rPr>
        <w:t xml:space="preserve">As shown in Figure 2, </w:t>
      </w:r>
      <w:r w:rsidRPr="00002799">
        <w:rPr>
          <w:lang w:val="en-GB"/>
        </w:rPr>
        <w:t>the +X direction was defined as normal to the face</w:t>
      </w:r>
      <w:r>
        <w:rPr>
          <w:lang w:val="en-GB"/>
        </w:rPr>
        <w:t xml:space="preserve"> </w:t>
      </w:r>
      <w:r w:rsidR="00D811CC">
        <w:rPr>
          <w:lang w:val="en-GB"/>
        </w:rPr>
        <w:t xml:space="preserve">directly </w:t>
      </w:r>
      <w:r w:rsidRPr="00002799">
        <w:rPr>
          <w:lang w:val="en-GB"/>
        </w:rPr>
        <w:t>exposed to the thermostatic bath, the −X direction</w:t>
      </w:r>
      <w:r>
        <w:rPr>
          <w:lang w:val="en-GB"/>
        </w:rPr>
        <w:t xml:space="preserve"> was normal</w:t>
      </w:r>
      <w:r w:rsidRPr="00002799">
        <w:rPr>
          <w:lang w:val="en-GB"/>
        </w:rPr>
        <w:t xml:space="preserve"> </w:t>
      </w:r>
      <w:r>
        <w:rPr>
          <w:lang w:val="en-GB"/>
        </w:rPr>
        <w:t>to</w:t>
      </w:r>
      <w:r w:rsidRPr="00002799">
        <w:rPr>
          <w:lang w:val="en-GB"/>
        </w:rPr>
        <w:t xml:space="preserve"> the opposite</w:t>
      </w:r>
      <w:r w:rsidR="002D316F">
        <w:rPr>
          <w:lang w:val="en-GB"/>
        </w:rPr>
        <w:t xml:space="preserve">, </w:t>
      </w:r>
      <w:r w:rsidRPr="00002799">
        <w:rPr>
          <w:lang w:val="en-GB"/>
        </w:rPr>
        <w:t xml:space="preserve">insulated </w:t>
      </w:r>
      <w:r w:rsidR="00A56835">
        <w:rPr>
          <w:lang w:val="en-GB"/>
        </w:rPr>
        <w:t>side</w:t>
      </w:r>
      <w:r w:rsidRPr="00002799">
        <w:rPr>
          <w:lang w:val="en-GB"/>
        </w:rPr>
        <w:t xml:space="preserve"> and the Y direction </w:t>
      </w:r>
      <w:r>
        <w:rPr>
          <w:lang w:val="en-GB"/>
        </w:rPr>
        <w:t>was normal to</w:t>
      </w:r>
      <w:r w:rsidRPr="00002799">
        <w:rPr>
          <w:lang w:val="en-GB"/>
        </w:rPr>
        <w:t xml:space="preserve"> the lateral face of the sample holder.</w:t>
      </w:r>
    </w:p>
    <w:p w14:paraId="44222FE7" w14:textId="68DEE807" w:rsidR="00FB6892" w:rsidRDefault="00491324" w:rsidP="00060D8C">
      <w:pPr>
        <w:pStyle w:val="CETBodytext"/>
        <w:keepNext/>
        <w:spacing w:line="240" w:lineRule="auto"/>
        <w:rPr>
          <w:noProof/>
        </w:rPr>
      </w:pPr>
      <w:r w:rsidRPr="00491324">
        <w:rPr>
          <w:noProof/>
        </w:rPr>
        <w:drawing>
          <wp:inline distT="0" distB="0" distL="0" distR="0" wp14:anchorId="39D57068" wp14:editId="079F9255">
            <wp:extent cx="1115631" cy="994896"/>
            <wp:effectExtent l="0" t="0" r="8890" b="0"/>
            <wp:docPr id="150397062" name="Immagine 1" descr="Immagine che contiene testo, schermata, diagramm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7062" name="Immagine 1" descr="Immagine che contiene testo, schermata, diagramma, Rettangolo&#10;&#10;Il contenuto generato dall'IA potrebbe non essere corretto."/>
                    <pic:cNvPicPr/>
                  </pic:nvPicPr>
                  <pic:blipFill rotWithShape="1">
                    <a:blip r:embed="rId12"/>
                    <a:srcRect t="7334" r="61125" b="12308"/>
                    <a:stretch>
                      <a:fillRect/>
                    </a:stretch>
                  </pic:blipFill>
                  <pic:spPr bwMode="auto">
                    <a:xfrm>
                      <a:off x="0" y="0"/>
                      <a:ext cx="1130957" cy="1008563"/>
                    </a:xfrm>
                    <a:prstGeom prst="rect">
                      <a:avLst/>
                    </a:prstGeom>
                    <a:ln>
                      <a:noFill/>
                    </a:ln>
                    <a:extLst>
                      <a:ext uri="{53640926-AAD7-44D8-BBD7-CCE9431645EC}">
                        <a14:shadowObscured xmlns:a14="http://schemas.microsoft.com/office/drawing/2010/main"/>
                      </a:ext>
                    </a:extLst>
                  </pic:spPr>
                </pic:pic>
              </a:graphicData>
            </a:graphic>
          </wp:inline>
        </w:drawing>
      </w:r>
      <w:r w:rsidR="00FB6892">
        <w:t xml:space="preserve"> </w:t>
      </w:r>
      <w:r w:rsidR="00FB6892" w:rsidRPr="00491324">
        <w:rPr>
          <w:noProof/>
        </w:rPr>
        <w:drawing>
          <wp:inline distT="0" distB="0" distL="0" distR="0" wp14:anchorId="4B091D25" wp14:editId="2F2C7713">
            <wp:extent cx="1151255" cy="1093256"/>
            <wp:effectExtent l="0" t="0" r="0" b="0"/>
            <wp:docPr id="600883756" name="Immagine 1" descr="Immagine che contiene testo, schermata, diagramm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7062" name="Immagine 1" descr="Immagine che contiene testo, schermata, diagramma, Rettangolo&#10;&#10;Il contenuto generato dall'IA potrebbe non essere corretto."/>
                    <pic:cNvPicPr/>
                  </pic:nvPicPr>
                  <pic:blipFill rotWithShape="1">
                    <a:blip r:embed="rId12"/>
                    <a:srcRect l="51593" t="-6553" b="6"/>
                    <a:stretch>
                      <a:fillRect/>
                    </a:stretch>
                  </pic:blipFill>
                  <pic:spPr bwMode="auto">
                    <a:xfrm>
                      <a:off x="0" y="0"/>
                      <a:ext cx="1189697" cy="1129761"/>
                    </a:xfrm>
                    <a:prstGeom prst="rect">
                      <a:avLst/>
                    </a:prstGeom>
                    <a:ln>
                      <a:noFill/>
                    </a:ln>
                    <a:extLst>
                      <a:ext uri="{53640926-AAD7-44D8-BBD7-CCE9431645EC}">
                        <a14:shadowObscured xmlns:a14="http://schemas.microsoft.com/office/drawing/2010/main"/>
                      </a:ext>
                    </a:extLst>
                  </pic:spPr>
                </pic:pic>
              </a:graphicData>
            </a:graphic>
          </wp:inline>
        </w:drawing>
      </w:r>
    </w:p>
    <w:p w14:paraId="08A882F7" w14:textId="098C9623" w:rsidR="00B918C6" w:rsidRPr="00B0235A" w:rsidRDefault="00B0235A" w:rsidP="00060D8C">
      <w:pPr>
        <w:pStyle w:val="Didascalia"/>
        <w:spacing w:after="240"/>
        <w:rPr>
          <w:b w:val="0"/>
          <w:bCs w:val="0"/>
          <w:i/>
          <w:iCs/>
          <w:color w:val="000000" w:themeColor="text1"/>
        </w:rPr>
      </w:pPr>
      <w:r w:rsidRPr="00B0235A">
        <w:rPr>
          <w:b w:val="0"/>
          <w:bCs w:val="0"/>
          <w:i/>
          <w:iCs/>
          <w:color w:val="000000" w:themeColor="text1"/>
        </w:rPr>
        <w:t xml:space="preserve">Figure </w:t>
      </w:r>
      <w:r w:rsidRPr="00B0235A">
        <w:rPr>
          <w:b w:val="0"/>
          <w:bCs w:val="0"/>
          <w:i/>
          <w:iCs/>
          <w:color w:val="000000" w:themeColor="text1"/>
        </w:rPr>
        <w:fldChar w:fldCharType="begin"/>
      </w:r>
      <w:r w:rsidRPr="00B0235A">
        <w:rPr>
          <w:b w:val="0"/>
          <w:bCs w:val="0"/>
          <w:i/>
          <w:iCs/>
          <w:color w:val="000000" w:themeColor="text1"/>
        </w:rPr>
        <w:instrText xml:space="preserve"> SEQ Figure \* ARABIC </w:instrText>
      </w:r>
      <w:r w:rsidRPr="00B0235A">
        <w:rPr>
          <w:b w:val="0"/>
          <w:bCs w:val="0"/>
          <w:i/>
          <w:iCs/>
          <w:color w:val="000000" w:themeColor="text1"/>
        </w:rPr>
        <w:fldChar w:fldCharType="separate"/>
      </w:r>
      <w:r w:rsidRPr="00B0235A">
        <w:rPr>
          <w:b w:val="0"/>
          <w:bCs w:val="0"/>
          <w:i/>
          <w:iCs/>
          <w:noProof/>
          <w:color w:val="000000" w:themeColor="text1"/>
        </w:rPr>
        <w:t>2</w:t>
      </w:r>
      <w:r w:rsidRPr="00B0235A">
        <w:rPr>
          <w:b w:val="0"/>
          <w:bCs w:val="0"/>
          <w:i/>
          <w:iCs/>
          <w:color w:val="000000" w:themeColor="text1"/>
        </w:rPr>
        <w:fldChar w:fldCharType="end"/>
      </w:r>
      <w:r w:rsidRPr="00B0235A">
        <w:rPr>
          <w:b w:val="0"/>
          <w:bCs w:val="0"/>
          <w:i/>
          <w:iCs/>
          <w:color w:val="000000" w:themeColor="text1"/>
        </w:rPr>
        <w:t>: Schematic representation of the system (above view) in the (a) reference configuration and (b)</w:t>
      </w:r>
      <w:r w:rsidRPr="00B0235A">
        <w:rPr>
          <w:b w:val="0"/>
          <w:bCs w:val="0"/>
          <w:i/>
          <w:iCs/>
          <w:noProof/>
          <w:color w:val="000000" w:themeColor="text1"/>
        </w:rPr>
        <w:t xml:space="preserve"> modified configuration</w:t>
      </w:r>
    </w:p>
    <w:p w14:paraId="53AF52B0" w14:textId="77777777" w:rsidR="002D316F" w:rsidRPr="00002799" w:rsidRDefault="002D316F" w:rsidP="00060D8C">
      <w:pPr>
        <w:pStyle w:val="CETheadingx"/>
        <w:spacing w:line="240" w:lineRule="auto"/>
      </w:pPr>
      <w:r w:rsidRPr="00002799">
        <w:t>Thermal transient analysis (MATLAB)</w:t>
      </w:r>
    </w:p>
    <w:p w14:paraId="08041850" w14:textId="5A8CEFFE" w:rsidR="002D316F" w:rsidRPr="00002799" w:rsidRDefault="00091FF2" w:rsidP="00060D8C">
      <w:pPr>
        <w:pStyle w:val="CETBodytext"/>
        <w:spacing w:after="240" w:line="240" w:lineRule="auto"/>
        <w:rPr>
          <w:lang w:val="en-GB"/>
        </w:rPr>
      </w:pPr>
      <w:r>
        <w:rPr>
          <w:lang w:val="en-GB"/>
        </w:rPr>
        <w:t xml:space="preserve">During </w:t>
      </w:r>
      <w:r w:rsidR="002D316F" w:rsidRPr="00002799">
        <w:rPr>
          <w:lang w:val="en-GB"/>
        </w:rPr>
        <w:t xml:space="preserve">the first thermostatic bath (60 °C </w:t>
      </w:r>
      <w:r w:rsidR="002D316F" w:rsidRPr="00002799">
        <w:rPr>
          <w:lang w:val="en-GB"/>
        </w:rPr>
        <w:sym w:font="Wingdings" w:char="F0E0"/>
      </w:r>
      <w:r w:rsidR="002D316F" w:rsidRPr="00002799">
        <w:rPr>
          <w:lang w:val="en-GB"/>
        </w:rPr>
        <w:t xml:space="preserve"> 30 °C)</w:t>
      </w:r>
      <w:r>
        <w:rPr>
          <w:lang w:val="en-GB"/>
        </w:rPr>
        <w:t xml:space="preserve">, the system’s thermal </w:t>
      </w:r>
      <w:r w:rsidR="00E02A5D">
        <w:rPr>
          <w:lang w:val="en-GB"/>
        </w:rPr>
        <w:t>behaviour</w:t>
      </w:r>
      <w:r>
        <w:rPr>
          <w:lang w:val="en-GB"/>
        </w:rPr>
        <w:t xml:space="preserve"> was analysed to asses</w:t>
      </w:r>
      <w:r w:rsidR="00DC0816">
        <w:rPr>
          <w:lang w:val="en-GB"/>
        </w:rPr>
        <w:t>s</w:t>
      </w:r>
      <w:r>
        <w:rPr>
          <w:lang w:val="en-GB"/>
        </w:rPr>
        <w:t xml:space="preserve"> the influence of thermal insulatio</w:t>
      </w:r>
      <w:r w:rsidR="00E02A5D">
        <w:rPr>
          <w:lang w:val="en-GB"/>
        </w:rPr>
        <w:t xml:space="preserve">n on temperature evolution </w:t>
      </w:r>
      <w:r w:rsidR="005C064E">
        <w:rPr>
          <w:lang w:val="en-GB"/>
        </w:rPr>
        <w:t>over</w:t>
      </w:r>
      <w:r w:rsidR="00E02A5D">
        <w:rPr>
          <w:lang w:val="en-GB"/>
        </w:rPr>
        <w:t xml:space="preserve"> time.</w:t>
      </w:r>
      <w:r w:rsidR="002D316F" w:rsidRPr="00002799">
        <w:rPr>
          <w:lang w:val="en-GB"/>
        </w:rPr>
        <w:t xml:space="preserve"> </w:t>
      </w:r>
      <w:r w:rsidR="00DC0816">
        <w:rPr>
          <w:lang w:val="en-GB"/>
        </w:rPr>
        <w:t>In both the reference and modified configurations, the polymeric solution exhibited</w:t>
      </w:r>
      <w:r w:rsidR="00C36D6E">
        <w:rPr>
          <w:lang w:val="en-GB"/>
        </w:rPr>
        <w:t xml:space="preserve"> a </w:t>
      </w:r>
      <w:r w:rsidR="003B32C9">
        <w:rPr>
          <w:lang w:val="en-GB"/>
        </w:rPr>
        <w:t>rapid and homogeneous</w:t>
      </w:r>
      <w:r w:rsidR="00E5515E">
        <w:rPr>
          <w:lang w:val="en-GB"/>
        </w:rPr>
        <w:t xml:space="preserve"> </w:t>
      </w:r>
      <w:r w:rsidR="00C36D6E">
        <w:rPr>
          <w:lang w:val="en-GB"/>
        </w:rPr>
        <w:t>cooling behaviour</w:t>
      </w:r>
      <w:r w:rsidR="00E5515E">
        <w:rPr>
          <w:lang w:val="en-GB"/>
        </w:rPr>
        <w:t xml:space="preserve">, </w:t>
      </w:r>
      <w:r w:rsidR="007A012E">
        <w:rPr>
          <w:lang w:val="en-GB"/>
        </w:rPr>
        <w:t>achieving</w:t>
      </w:r>
      <w:r w:rsidR="002D316F" w:rsidRPr="00002799">
        <w:rPr>
          <w:lang w:val="en-GB"/>
        </w:rPr>
        <w:t xml:space="preserve"> the </w:t>
      </w:r>
      <w:r w:rsidR="002D316F">
        <w:rPr>
          <w:lang w:val="en-GB"/>
        </w:rPr>
        <w:t xml:space="preserve">thermal equilibrium with the </w:t>
      </w:r>
      <w:r w:rsidR="002D316F" w:rsidRPr="00002799">
        <w:rPr>
          <w:lang w:val="en-GB"/>
        </w:rPr>
        <w:t xml:space="preserve">30 °C </w:t>
      </w:r>
      <w:r w:rsidR="00FE1E92" w:rsidRPr="00002799">
        <w:rPr>
          <w:lang w:val="en-GB"/>
        </w:rPr>
        <w:t xml:space="preserve">bath </w:t>
      </w:r>
      <w:r w:rsidR="002D316F" w:rsidRPr="00002799">
        <w:rPr>
          <w:lang w:val="en-GB"/>
        </w:rPr>
        <w:t xml:space="preserve">without </w:t>
      </w:r>
      <w:r w:rsidR="0058023A">
        <w:rPr>
          <w:lang w:val="en-GB"/>
        </w:rPr>
        <w:t>developing</w:t>
      </w:r>
      <w:r w:rsidR="005C064E">
        <w:rPr>
          <w:lang w:val="en-GB"/>
        </w:rPr>
        <w:t xml:space="preserve"> </w:t>
      </w:r>
      <w:r w:rsidR="002D316F" w:rsidRPr="00002799">
        <w:rPr>
          <w:lang w:val="en-GB"/>
        </w:rPr>
        <w:t>spatial temperature gradients.</w:t>
      </w:r>
      <w:r w:rsidR="00DA4CCB">
        <w:rPr>
          <w:lang w:val="en-GB"/>
        </w:rPr>
        <w:t xml:space="preserve"> </w:t>
      </w:r>
      <w:r w:rsidR="00DA4CCB" w:rsidRPr="00DA4CCB">
        <w:rPr>
          <w:lang w:val="en-GB"/>
        </w:rPr>
        <w:t xml:space="preserve">The </w:t>
      </w:r>
      <w:r w:rsidR="0058023A">
        <w:rPr>
          <w:lang w:val="en-GB"/>
        </w:rPr>
        <w:t>insulating layer</w:t>
      </w:r>
      <w:r w:rsidR="006129C0">
        <w:rPr>
          <w:lang w:val="en-GB"/>
        </w:rPr>
        <w:t xml:space="preserve"> had a small effect</w:t>
      </w:r>
      <w:r w:rsidR="003C7A4B">
        <w:rPr>
          <w:lang w:val="en-GB"/>
        </w:rPr>
        <w:t xml:space="preserve"> on</w:t>
      </w:r>
      <w:r w:rsidR="00DA4CCB" w:rsidRPr="00DA4CCB">
        <w:rPr>
          <w:lang w:val="en-GB"/>
        </w:rPr>
        <w:t xml:space="preserve"> the cooling kinetics, resulting in a delay</w:t>
      </w:r>
      <w:r w:rsidR="00FE2E46">
        <w:rPr>
          <w:lang w:val="en-GB"/>
        </w:rPr>
        <w:t xml:space="preserve"> of </w:t>
      </w:r>
      <w:r w:rsidR="00DA4CCB">
        <w:rPr>
          <w:lang w:val="en-GB"/>
        </w:rPr>
        <w:t>approximately 5 min</w:t>
      </w:r>
      <w:r w:rsidR="00DA4CCB" w:rsidRPr="00DA4CCB">
        <w:rPr>
          <w:lang w:val="en-GB"/>
        </w:rPr>
        <w:t xml:space="preserve"> in reaching the bath temperature.</w:t>
      </w:r>
      <w:r w:rsidR="00494B67">
        <w:rPr>
          <w:lang w:val="en-GB"/>
        </w:rPr>
        <w:t xml:space="preserve"> </w:t>
      </w:r>
      <w:r w:rsidR="00494B67" w:rsidRPr="00494B67">
        <w:rPr>
          <w:lang w:val="en-GB"/>
        </w:rPr>
        <w:t xml:space="preserve">However, </w:t>
      </w:r>
      <w:r w:rsidR="003C7A4B">
        <w:rPr>
          <w:lang w:val="en-GB"/>
        </w:rPr>
        <w:t>given that</w:t>
      </w:r>
      <w:r w:rsidR="00494B67" w:rsidRPr="00494B67">
        <w:rPr>
          <w:lang w:val="en-GB"/>
        </w:rPr>
        <w:t xml:space="preserve"> the total residence time in the first thermostatic bath</w:t>
      </w:r>
      <w:r w:rsidR="0009382A">
        <w:rPr>
          <w:lang w:val="en-GB"/>
        </w:rPr>
        <w:t xml:space="preserve"> is</w:t>
      </w:r>
      <w:r w:rsidR="0009382A" w:rsidRPr="00494B67">
        <w:rPr>
          <w:lang w:val="en-GB"/>
        </w:rPr>
        <w:t xml:space="preserve"> 45 min</w:t>
      </w:r>
      <w:r w:rsidR="00494B67" w:rsidRPr="00494B67">
        <w:rPr>
          <w:lang w:val="en-GB"/>
        </w:rPr>
        <w:t xml:space="preserve">, </w:t>
      </w:r>
      <w:r w:rsidR="00E22583">
        <w:rPr>
          <w:lang w:val="en-GB"/>
        </w:rPr>
        <w:t xml:space="preserve">it can be assumed that </w:t>
      </w:r>
      <w:r w:rsidR="00494B67" w:rsidRPr="00494B67">
        <w:rPr>
          <w:lang w:val="en-GB"/>
        </w:rPr>
        <w:t xml:space="preserve">this </w:t>
      </w:r>
      <w:r w:rsidR="0009382A">
        <w:rPr>
          <w:lang w:val="en-GB"/>
        </w:rPr>
        <w:t>delay</w:t>
      </w:r>
      <w:r w:rsidR="00494B67" w:rsidRPr="00494B67">
        <w:rPr>
          <w:lang w:val="en-GB"/>
        </w:rPr>
        <w:t xml:space="preserve"> </w:t>
      </w:r>
      <w:r w:rsidR="00E22583">
        <w:rPr>
          <w:lang w:val="en-GB"/>
        </w:rPr>
        <w:t>should</w:t>
      </w:r>
      <w:r w:rsidR="00494B67" w:rsidRPr="00494B67">
        <w:rPr>
          <w:lang w:val="en-GB"/>
        </w:rPr>
        <w:t xml:space="preserve"> not affect the overall thermal uniformity of the system. These results </w:t>
      </w:r>
      <w:r w:rsidR="00436279">
        <w:rPr>
          <w:lang w:val="en-GB"/>
        </w:rPr>
        <w:t>suggest</w:t>
      </w:r>
      <w:r w:rsidR="00494B67" w:rsidRPr="00494B67">
        <w:rPr>
          <w:lang w:val="en-GB"/>
        </w:rPr>
        <w:t xml:space="preserve"> that </w:t>
      </w:r>
      <w:r w:rsidR="00436279" w:rsidRPr="00494B67">
        <w:rPr>
          <w:lang w:val="en-GB"/>
        </w:rPr>
        <w:t>phase separation</w:t>
      </w:r>
      <w:r w:rsidR="00494B67" w:rsidRPr="00494B67">
        <w:rPr>
          <w:lang w:val="en-GB"/>
        </w:rPr>
        <w:t xml:space="preserve"> </w:t>
      </w:r>
      <w:r w:rsidR="00BA183F">
        <w:rPr>
          <w:lang w:val="en-GB"/>
        </w:rPr>
        <w:t>during</w:t>
      </w:r>
      <w:r w:rsidR="00570A4C">
        <w:rPr>
          <w:lang w:val="en-GB"/>
        </w:rPr>
        <w:t xml:space="preserve"> the </w:t>
      </w:r>
      <w:r w:rsidR="00494B67" w:rsidRPr="00494B67">
        <w:rPr>
          <w:lang w:val="en-GB"/>
        </w:rPr>
        <w:t>first cooling step under</w:t>
      </w:r>
      <w:r w:rsidR="00BA183F">
        <w:rPr>
          <w:lang w:val="en-GB"/>
        </w:rPr>
        <w:t xml:space="preserve"> carried </w:t>
      </w:r>
      <w:r w:rsidR="00384FB1">
        <w:rPr>
          <w:lang w:val="en-GB"/>
        </w:rPr>
        <w:t>out in</w:t>
      </w:r>
      <w:r w:rsidR="00494B67" w:rsidRPr="00494B67">
        <w:rPr>
          <w:lang w:val="en-GB"/>
        </w:rPr>
        <w:t xml:space="preserve"> homogeneous thermal conditions and does not contribute to the development of directional thermal gradients.</w:t>
      </w:r>
    </w:p>
    <w:p w14:paraId="13CE52F8" w14:textId="63456C41" w:rsidR="00060D8C" w:rsidRPr="00060D8C" w:rsidRDefault="002D316F" w:rsidP="00060D8C">
      <w:pPr>
        <w:pStyle w:val="CETBodytext"/>
        <w:spacing w:after="240" w:line="240" w:lineRule="auto"/>
        <w:rPr>
          <w:rFonts w:cs="Arial"/>
          <w:color w:val="EE0000"/>
          <w:lang w:val="en-GB"/>
        </w:rPr>
      </w:pPr>
      <w:r w:rsidRPr="00002799">
        <w:rPr>
          <w:rFonts w:cs="Arial"/>
          <w:lang w:val="en-GB"/>
        </w:rPr>
        <w:t xml:space="preserve">Figure </w:t>
      </w:r>
      <w:r w:rsidR="007E3A5C">
        <w:rPr>
          <w:rFonts w:cs="Arial"/>
          <w:lang w:val="en-GB"/>
        </w:rPr>
        <w:t>3</w:t>
      </w:r>
      <w:r w:rsidRPr="00002799">
        <w:rPr>
          <w:rFonts w:cs="Arial"/>
          <w:lang w:val="en-GB"/>
        </w:rPr>
        <w:t xml:space="preserve"> </w:t>
      </w:r>
      <w:r>
        <w:rPr>
          <w:rFonts w:cs="Arial"/>
          <w:lang w:val="en-GB"/>
        </w:rPr>
        <w:t>reports</w:t>
      </w:r>
      <w:r w:rsidRPr="00002799">
        <w:rPr>
          <w:rFonts w:cs="Arial"/>
          <w:lang w:val="en-GB"/>
        </w:rPr>
        <w:t xml:space="preserve"> the simulated temperature profiles during the second thermostatic bath (30 °C </w:t>
      </w:r>
      <w:r w:rsidRPr="00002799">
        <w:rPr>
          <w:rFonts w:cs="Arial"/>
          <w:lang w:val="en-GB"/>
        </w:rPr>
        <w:sym w:font="Wingdings" w:char="F0E0"/>
      </w:r>
      <w:r w:rsidRPr="00002799">
        <w:rPr>
          <w:rFonts w:cs="Arial"/>
          <w:lang w:val="en-GB"/>
        </w:rPr>
        <w:t xml:space="preserve"> -20 °C) for both process configurations.</w:t>
      </w:r>
      <w:r w:rsidR="0021169D">
        <w:rPr>
          <w:rFonts w:cs="Arial"/>
          <w:lang w:val="en-GB"/>
        </w:rPr>
        <w:t xml:space="preserve"> For each spatial direction, temperature pro</w:t>
      </w:r>
      <w:r w:rsidR="00CD14E6">
        <w:rPr>
          <w:rFonts w:cs="Arial"/>
          <w:lang w:val="en-GB"/>
        </w:rPr>
        <w:t>files obtained i</w:t>
      </w:r>
      <w:r w:rsidRPr="00002799">
        <w:rPr>
          <w:rFonts w:cs="Arial"/>
          <w:lang w:val="en-GB"/>
        </w:rPr>
        <w:t xml:space="preserve">n the reference configuration (Figure </w:t>
      </w:r>
      <w:r w:rsidR="0018460E">
        <w:rPr>
          <w:rFonts w:cs="Arial"/>
          <w:lang w:val="en-GB"/>
        </w:rPr>
        <w:t>3</w:t>
      </w:r>
      <w:r w:rsidRPr="00002799">
        <w:rPr>
          <w:rFonts w:cs="Arial"/>
          <w:lang w:val="en-GB"/>
        </w:rPr>
        <w:t>a)</w:t>
      </w:r>
      <w:r w:rsidR="000B1516">
        <w:rPr>
          <w:rFonts w:cs="Arial"/>
          <w:lang w:val="en-GB"/>
        </w:rPr>
        <w:t xml:space="preserve"> </w:t>
      </w:r>
      <w:r>
        <w:rPr>
          <w:rFonts w:cs="Arial"/>
          <w:lang w:val="en-GB"/>
        </w:rPr>
        <w:t xml:space="preserve">exhibit a </w:t>
      </w:r>
      <w:r w:rsidR="00CD14E6">
        <w:rPr>
          <w:rFonts w:cs="Arial"/>
          <w:lang w:val="en-GB"/>
        </w:rPr>
        <w:t>symmetric</w:t>
      </w:r>
      <w:r>
        <w:rPr>
          <w:rFonts w:cs="Arial"/>
          <w:lang w:val="en-GB"/>
        </w:rPr>
        <w:t xml:space="preserve"> behaviour, indicating </w:t>
      </w:r>
      <w:r w:rsidRPr="00002799">
        <w:rPr>
          <w:rFonts w:cs="Arial"/>
          <w:lang w:val="en-GB"/>
        </w:rPr>
        <w:t>an isotropic heat</w:t>
      </w:r>
      <w:r>
        <w:rPr>
          <w:rFonts w:cs="Arial"/>
          <w:lang w:val="en-GB"/>
        </w:rPr>
        <w:t xml:space="preserve"> </w:t>
      </w:r>
      <w:r w:rsidRPr="00002799">
        <w:rPr>
          <w:rFonts w:cs="Arial"/>
          <w:lang w:val="en-GB"/>
        </w:rPr>
        <w:t>transfer process.</w:t>
      </w:r>
      <w:r w:rsidR="0096398A">
        <w:rPr>
          <w:rFonts w:cs="Arial"/>
          <w:lang w:val="en-GB"/>
        </w:rPr>
        <w:t xml:space="preserve"> </w:t>
      </w:r>
      <w:r w:rsidRPr="00002799">
        <w:rPr>
          <w:rFonts w:cs="Arial"/>
          <w:lang w:val="en-GB"/>
        </w:rPr>
        <w:t xml:space="preserve">In contrast, a markedly different thermal </w:t>
      </w:r>
      <w:r w:rsidR="0096398A">
        <w:rPr>
          <w:rFonts w:cs="Arial"/>
          <w:lang w:val="en-GB"/>
        </w:rPr>
        <w:t>response</w:t>
      </w:r>
      <w:r w:rsidRPr="00002799">
        <w:rPr>
          <w:rFonts w:cs="Arial"/>
          <w:lang w:val="en-GB"/>
        </w:rPr>
        <w:t xml:space="preserve"> is observed in the modified configuration (Figure </w:t>
      </w:r>
      <w:r w:rsidR="0018460E">
        <w:rPr>
          <w:rFonts w:cs="Arial"/>
          <w:lang w:val="en-GB"/>
        </w:rPr>
        <w:t>3</w:t>
      </w:r>
      <w:r w:rsidRPr="00002799">
        <w:rPr>
          <w:rFonts w:cs="Arial"/>
          <w:lang w:val="en-GB"/>
        </w:rPr>
        <w:t xml:space="preserve">b). Temperature profiles </w:t>
      </w:r>
      <w:r w:rsidR="00577243">
        <w:rPr>
          <w:rFonts w:cs="Arial"/>
          <w:lang w:val="en-GB"/>
        </w:rPr>
        <w:t>along</w:t>
      </w:r>
      <w:r>
        <w:rPr>
          <w:rFonts w:cs="Arial"/>
          <w:lang w:val="en-GB"/>
        </w:rPr>
        <w:t xml:space="preserve"> the</w:t>
      </w:r>
      <w:r w:rsidRPr="00002799">
        <w:rPr>
          <w:rFonts w:cs="Arial"/>
          <w:lang w:val="en-GB"/>
        </w:rPr>
        <w:t xml:space="preserve"> +X direction</w:t>
      </w:r>
      <w:r w:rsidR="00577243">
        <w:rPr>
          <w:rFonts w:cs="Arial"/>
          <w:lang w:val="en-GB"/>
        </w:rPr>
        <w:t xml:space="preserve"> </w:t>
      </w:r>
      <w:r w:rsidRPr="00002799">
        <w:rPr>
          <w:rFonts w:cs="Arial"/>
          <w:lang w:val="en-GB"/>
        </w:rPr>
        <w:t xml:space="preserve">show </w:t>
      </w:r>
      <w:r w:rsidR="00577243">
        <w:rPr>
          <w:rFonts w:cs="Arial"/>
          <w:lang w:val="en-GB"/>
        </w:rPr>
        <w:t xml:space="preserve">a </w:t>
      </w:r>
      <w:r w:rsidRPr="00002799">
        <w:rPr>
          <w:rFonts w:cs="Arial"/>
          <w:lang w:val="en-GB"/>
        </w:rPr>
        <w:t>faster</w:t>
      </w:r>
      <w:r>
        <w:rPr>
          <w:rFonts w:cs="Arial"/>
          <w:lang w:val="en-GB"/>
        </w:rPr>
        <w:t xml:space="preserve"> temperature</w:t>
      </w:r>
      <w:r w:rsidRPr="00002799">
        <w:rPr>
          <w:rFonts w:cs="Arial"/>
          <w:lang w:val="en-GB"/>
        </w:rPr>
        <w:t xml:space="preserve"> decrease compared to the -X direction, where the </w:t>
      </w:r>
      <w:r w:rsidRPr="00002799">
        <w:rPr>
          <w:rFonts w:cs="Arial"/>
          <w:lang w:val="en-GB"/>
        </w:rPr>
        <w:lastRenderedPageBreak/>
        <w:t xml:space="preserve">presence of the insulating layer slows heat transfer. As a result, a pronounced temperature gradient </w:t>
      </w:r>
      <w:r w:rsidR="00384FB1">
        <w:rPr>
          <w:rFonts w:cs="Arial"/>
          <w:lang w:val="en-GB"/>
        </w:rPr>
        <w:t>should develop</w:t>
      </w:r>
      <w:r w:rsidRPr="00002799">
        <w:rPr>
          <w:rFonts w:cs="Arial"/>
          <w:lang w:val="en-GB"/>
        </w:rPr>
        <w:t xml:space="preserve"> across </w:t>
      </w:r>
      <w:r w:rsidR="00384FB1">
        <w:rPr>
          <w:rFonts w:cs="Arial"/>
          <w:lang w:val="en-GB"/>
        </w:rPr>
        <w:t>X direction</w:t>
      </w:r>
      <w:r w:rsidRPr="00002799">
        <w:rPr>
          <w:rFonts w:cs="Arial"/>
          <w:lang w:val="en-GB"/>
        </w:rPr>
        <w:t xml:space="preserve">. Temperature profiles along the Y direction remain uniform </w:t>
      </w:r>
      <w:r>
        <w:rPr>
          <w:rFonts w:cs="Arial"/>
          <w:lang w:val="en-GB"/>
        </w:rPr>
        <w:t>across</w:t>
      </w:r>
      <w:r w:rsidRPr="00002799">
        <w:rPr>
          <w:rFonts w:cs="Arial"/>
          <w:lang w:val="en-GB"/>
        </w:rPr>
        <w:t xml:space="preserve"> the sample length, </w:t>
      </w:r>
      <w:r>
        <w:rPr>
          <w:rFonts w:cs="Arial"/>
          <w:lang w:val="en-GB"/>
        </w:rPr>
        <w:t>suggesting</w:t>
      </w:r>
      <w:r w:rsidRPr="00002799">
        <w:rPr>
          <w:rFonts w:cs="Arial"/>
          <w:lang w:val="en-GB"/>
        </w:rPr>
        <w:t xml:space="preserve"> the absence of significant lateral thermal gradients</w:t>
      </w:r>
      <w:r w:rsidR="0099237B">
        <w:rPr>
          <w:rFonts w:cs="Arial"/>
          <w:lang w:val="en-GB"/>
        </w:rPr>
        <w:t>.</w:t>
      </w:r>
      <w:r w:rsidR="00E523FB">
        <w:rPr>
          <w:rFonts w:cs="Arial"/>
          <w:color w:val="EE0000"/>
          <w:lang w:val="en-GB"/>
        </w:rPr>
        <w:t xml:space="preserve"> </w:t>
      </w:r>
    </w:p>
    <w:p w14:paraId="6D379F5A" w14:textId="2AF1736C" w:rsidR="00EC3A02" w:rsidRPr="00060D8C" w:rsidRDefault="00BE6341" w:rsidP="00060D8C">
      <w:pPr>
        <w:pStyle w:val="CETBodytext"/>
        <w:keepNext/>
        <w:spacing w:line="240" w:lineRule="auto"/>
        <w:jc w:val="left"/>
        <w:rPr>
          <w:rFonts w:cs="Arial"/>
          <w:noProof/>
          <w:color w:val="EE0000"/>
          <w:lang w:val="en-GB"/>
        </w:rPr>
      </w:pPr>
      <w:r w:rsidRPr="00BE6341">
        <w:rPr>
          <w:noProof/>
          <w:lang w:val="en-GB"/>
        </w:rPr>
        <w:drawing>
          <wp:inline distT="0" distB="0" distL="0" distR="0" wp14:anchorId="2DF7829D" wp14:editId="64CC1FBB">
            <wp:extent cx="4993341" cy="3245337"/>
            <wp:effectExtent l="0" t="0" r="0" b="0"/>
            <wp:docPr id="1189934976" name="Immagine 1" descr="Immagine che contiene testo, schermata, Parallel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34976" name="Immagine 1" descr="Immagine che contiene testo, schermata, Parallelo, linea&#10;&#10;Il contenuto generato dall'IA potrebbe non essere corretto."/>
                    <pic:cNvPicPr/>
                  </pic:nvPicPr>
                  <pic:blipFill rotWithShape="1">
                    <a:blip r:embed="rId13"/>
                    <a:srcRect b="-2993"/>
                    <a:stretch>
                      <a:fillRect/>
                    </a:stretch>
                  </pic:blipFill>
                  <pic:spPr bwMode="auto">
                    <a:xfrm>
                      <a:off x="0" y="0"/>
                      <a:ext cx="5029470" cy="3268819"/>
                    </a:xfrm>
                    <a:prstGeom prst="rect">
                      <a:avLst/>
                    </a:prstGeom>
                    <a:ln>
                      <a:noFill/>
                    </a:ln>
                    <a:extLst>
                      <a:ext uri="{53640926-AAD7-44D8-BBD7-CCE9431645EC}">
                        <a14:shadowObscured xmlns:a14="http://schemas.microsoft.com/office/drawing/2010/main"/>
                      </a:ext>
                    </a:extLst>
                  </pic:spPr>
                </pic:pic>
              </a:graphicData>
            </a:graphic>
          </wp:inline>
        </w:drawing>
      </w:r>
      <w:r w:rsidRPr="00F64A6C">
        <w:rPr>
          <w:rFonts w:cs="Arial"/>
          <w:noProof/>
          <w:color w:val="EE0000"/>
          <w:lang w:val="en-GB"/>
        </w:rPr>
        <w:drawing>
          <wp:inline distT="0" distB="0" distL="0" distR="0" wp14:anchorId="6F3C8922" wp14:editId="79C1C416">
            <wp:extent cx="372035" cy="1232647"/>
            <wp:effectExtent l="0" t="0" r="9525" b="5715"/>
            <wp:docPr id="1867939641" name="Immagine 1"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39641" name="Immagine 1" descr="Immagine che contiene testo, schermata, Carattere, numero&#10;&#10;Il contenuto generato dall'IA potrebbe non essere corretto."/>
                    <pic:cNvPicPr/>
                  </pic:nvPicPr>
                  <pic:blipFill rotWithShape="1">
                    <a:blip r:embed="rId14"/>
                    <a:srcRect l="1" r="-1764" b="-4815"/>
                    <a:stretch>
                      <a:fillRect/>
                    </a:stretch>
                  </pic:blipFill>
                  <pic:spPr bwMode="auto">
                    <a:xfrm>
                      <a:off x="0" y="0"/>
                      <a:ext cx="408378" cy="1353062"/>
                    </a:xfrm>
                    <a:prstGeom prst="rect">
                      <a:avLst/>
                    </a:prstGeom>
                    <a:ln>
                      <a:noFill/>
                    </a:ln>
                    <a:extLst>
                      <a:ext uri="{53640926-AAD7-44D8-BBD7-CCE9431645EC}">
                        <a14:shadowObscured xmlns:a14="http://schemas.microsoft.com/office/drawing/2010/main"/>
                      </a:ext>
                    </a:extLst>
                  </pic:spPr>
                </pic:pic>
              </a:graphicData>
            </a:graphic>
          </wp:inline>
        </w:drawing>
      </w:r>
    </w:p>
    <w:p w14:paraId="585E0155" w14:textId="23044F71" w:rsidR="002D316F" w:rsidRPr="00002799" w:rsidRDefault="002D316F" w:rsidP="00060D8C">
      <w:pPr>
        <w:pStyle w:val="Didascalia"/>
        <w:spacing w:after="240"/>
        <w:rPr>
          <w:b w:val="0"/>
          <w:bCs w:val="0"/>
          <w:i/>
          <w:iCs/>
          <w:color w:val="000000" w:themeColor="text1"/>
        </w:rPr>
      </w:pPr>
      <w:r w:rsidRPr="00002799">
        <w:rPr>
          <w:b w:val="0"/>
          <w:bCs w:val="0"/>
          <w:i/>
          <w:iCs/>
          <w:color w:val="000000" w:themeColor="text1"/>
        </w:rPr>
        <w:t xml:space="preserve">Figure </w:t>
      </w:r>
      <w:r w:rsidR="007E3A5C">
        <w:rPr>
          <w:b w:val="0"/>
          <w:bCs w:val="0"/>
          <w:i/>
          <w:iCs/>
          <w:color w:val="000000" w:themeColor="text1"/>
        </w:rPr>
        <w:t>3</w:t>
      </w:r>
      <w:r w:rsidRPr="00002799">
        <w:rPr>
          <w:b w:val="0"/>
          <w:bCs w:val="0"/>
          <w:i/>
          <w:iCs/>
          <w:color w:val="000000" w:themeColor="text1"/>
        </w:rPr>
        <w:t>: Temperature profiles during the second thermostatic bath (-20 °C) for (a) reference configuration and (b) modified configuration</w:t>
      </w:r>
    </w:p>
    <w:p w14:paraId="2965EED9" w14:textId="6252E9C2" w:rsidR="002D316F" w:rsidRPr="00002799" w:rsidRDefault="002D316F" w:rsidP="00060D8C">
      <w:pPr>
        <w:pStyle w:val="CETBodytext"/>
        <w:spacing w:line="240" w:lineRule="auto"/>
        <w:rPr>
          <w:lang w:val="en-GB"/>
        </w:rPr>
      </w:pPr>
      <w:r w:rsidRPr="00002799">
        <w:rPr>
          <w:lang w:val="en-GB"/>
        </w:rPr>
        <w:t xml:space="preserve">Figure </w:t>
      </w:r>
      <w:r w:rsidR="00EA4451">
        <w:rPr>
          <w:lang w:val="en-GB"/>
        </w:rPr>
        <w:t>4</w:t>
      </w:r>
      <w:r w:rsidRPr="00002799">
        <w:rPr>
          <w:lang w:val="en-GB"/>
        </w:rPr>
        <w:t xml:space="preserve"> </w:t>
      </w:r>
      <w:r>
        <w:rPr>
          <w:lang w:val="en-GB"/>
        </w:rPr>
        <w:t>reports</w:t>
      </w:r>
      <w:r w:rsidRPr="00002799">
        <w:rPr>
          <w:lang w:val="en-GB"/>
        </w:rPr>
        <w:t xml:space="preserve"> the </w:t>
      </w:r>
      <w:r>
        <w:rPr>
          <w:lang w:val="en-GB"/>
        </w:rPr>
        <w:t xml:space="preserve">simulated </w:t>
      </w:r>
      <w:r w:rsidRPr="00002799">
        <w:rPr>
          <w:lang w:val="en-GB"/>
        </w:rPr>
        <w:t>temperature profiles during the early stages of</w:t>
      </w:r>
      <w:r>
        <w:rPr>
          <w:lang w:val="en-GB"/>
        </w:rPr>
        <w:t xml:space="preserve"> scaffold</w:t>
      </w:r>
      <w:r w:rsidRPr="00002799">
        <w:rPr>
          <w:lang w:val="en-GB"/>
        </w:rPr>
        <w:t xml:space="preserve"> freezing, focusing on the first 140 s of the second thermostatic bath. The isothermal line indicates the estimated freezing temperature of the polymeric solution (</w:t>
      </w:r>
      <w:r w:rsidR="00DA62F0">
        <w:rPr>
          <w:rFonts w:cs="Arial"/>
          <w:lang w:val="en-GB"/>
        </w:rPr>
        <w:t>~</w:t>
      </w:r>
      <w:r w:rsidR="00DA62F0">
        <w:rPr>
          <w:lang w:val="en-GB"/>
        </w:rPr>
        <w:t xml:space="preserve"> </w:t>
      </w:r>
      <w:r w:rsidRPr="00002799">
        <w:rPr>
          <w:lang w:val="en-GB"/>
        </w:rPr>
        <w:t>4 °C).</w:t>
      </w:r>
    </w:p>
    <w:p w14:paraId="09F43D21" w14:textId="642229C6" w:rsidR="00060D8C" w:rsidRDefault="002D316F" w:rsidP="00060D8C">
      <w:pPr>
        <w:pStyle w:val="CETBodytext"/>
        <w:spacing w:after="240" w:line="240" w:lineRule="auto"/>
        <w:rPr>
          <w:lang w:val="en-GB"/>
        </w:rPr>
      </w:pPr>
      <w:r w:rsidRPr="00002799">
        <w:rPr>
          <w:lang w:val="en-GB"/>
        </w:rPr>
        <w:t xml:space="preserve">In the reference configuration (Figure </w:t>
      </w:r>
      <w:r w:rsidR="00EA4451">
        <w:rPr>
          <w:lang w:val="en-GB"/>
        </w:rPr>
        <w:t>4</w:t>
      </w:r>
      <w:r w:rsidRPr="00002799">
        <w:rPr>
          <w:lang w:val="en-GB"/>
        </w:rPr>
        <w:t>a), the temperature profiles exhibit symmetric</w:t>
      </w:r>
      <w:r>
        <w:rPr>
          <w:lang w:val="en-GB"/>
        </w:rPr>
        <w:t>al</w:t>
      </w:r>
      <w:r w:rsidRPr="00002799">
        <w:rPr>
          <w:lang w:val="en-GB"/>
        </w:rPr>
        <w:t xml:space="preserve"> behaviour with respect to the centre of the sample. The freezing threshold is reached earlier </w:t>
      </w:r>
      <w:r>
        <w:rPr>
          <w:lang w:val="en-GB"/>
        </w:rPr>
        <w:t>in</w:t>
      </w:r>
      <w:r w:rsidRPr="00002799">
        <w:rPr>
          <w:lang w:val="en-GB"/>
        </w:rPr>
        <w:t xml:space="preserve"> the outer regions of the sample and progressively later toward</w:t>
      </w:r>
      <w:r>
        <w:rPr>
          <w:lang w:val="en-GB"/>
        </w:rPr>
        <w:t>s</w:t>
      </w:r>
      <w:r w:rsidRPr="00002799">
        <w:rPr>
          <w:lang w:val="en-GB"/>
        </w:rPr>
        <w:t xml:space="preserve"> the centre, resulting in a symmetric, centripetal solidification pattern characteri</w:t>
      </w:r>
      <w:r w:rsidR="00802937">
        <w:rPr>
          <w:lang w:val="en-GB"/>
        </w:rPr>
        <w:t>z</w:t>
      </w:r>
      <w:r w:rsidRPr="00002799">
        <w:rPr>
          <w:lang w:val="en-GB"/>
        </w:rPr>
        <w:t xml:space="preserve">ed by a parabolic temperature distribution across the thickness. In contrast, the modified configuration (Figure </w:t>
      </w:r>
      <w:r w:rsidR="00EA4451">
        <w:rPr>
          <w:lang w:val="en-GB"/>
        </w:rPr>
        <w:t>4</w:t>
      </w:r>
      <w:r w:rsidRPr="00002799">
        <w:rPr>
          <w:lang w:val="en-GB"/>
        </w:rPr>
        <w:t xml:space="preserve">b) </w:t>
      </w:r>
      <w:r>
        <w:rPr>
          <w:lang w:val="en-GB"/>
        </w:rPr>
        <w:t>exhibits</w:t>
      </w:r>
      <w:r w:rsidRPr="00002799">
        <w:rPr>
          <w:lang w:val="en-GB"/>
        </w:rPr>
        <w:t xml:space="preserve"> markedly different thermal evolution</w:t>
      </w:r>
      <w:r>
        <w:rPr>
          <w:lang w:val="en-GB"/>
        </w:rPr>
        <w:t xml:space="preserve"> behaviour</w:t>
      </w:r>
      <w:r w:rsidRPr="00002799">
        <w:rPr>
          <w:lang w:val="en-GB"/>
        </w:rPr>
        <w:t xml:space="preserve">. The freezing threshold is first reached near the face directly exposed to the cooling bath and progressively </w:t>
      </w:r>
      <w:r w:rsidRPr="00F0147A">
        <w:rPr>
          <w:color w:val="000000" w:themeColor="text1"/>
          <w:lang w:val="en-GB"/>
        </w:rPr>
        <w:t xml:space="preserve">advances towards the insulated face. This </w:t>
      </w:r>
      <w:r w:rsidR="003C35AE" w:rsidRPr="00F0147A">
        <w:rPr>
          <w:color w:val="000000" w:themeColor="text1"/>
          <w:lang w:val="en-GB"/>
        </w:rPr>
        <w:t>ph</w:t>
      </w:r>
      <w:r w:rsidR="00B16C95" w:rsidRPr="00F0147A">
        <w:rPr>
          <w:color w:val="000000" w:themeColor="text1"/>
          <w:lang w:val="en-GB"/>
        </w:rPr>
        <w:t>enomenon</w:t>
      </w:r>
      <w:r w:rsidRPr="00F0147A">
        <w:rPr>
          <w:color w:val="000000" w:themeColor="text1"/>
          <w:lang w:val="en-GB"/>
        </w:rPr>
        <w:t xml:space="preserve"> </w:t>
      </w:r>
      <w:r w:rsidR="003E4EED" w:rsidRPr="00F0147A">
        <w:rPr>
          <w:color w:val="000000" w:themeColor="text1"/>
          <w:lang w:val="en-GB"/>
        </w:rPr>
        <w:t>generates</w:t>
      </w:r>
      <w:r w:rsidRPr="00F0147A">
        <w:rPr>
          <w:color w:val="000000" w:themeColor="text1"/>
          <w:lang w:val="en-GB"/>
        </w:rPr>
        <w:t xml:space="preserve"> a cooling front </w:t>
      </w:r>
      <w:r w:rsidR="00D630A4" w:rsidRPr="00F0147A">
        <w:rPr>
          <w:color w:val="000000" w:themeColor="text1"/>
          <w:lang w:val="en-GB"/>
        </w:rPr>
        <w:t>propagation</w:t>
      </w:r>
      <w:r w:rsidRPr="00F0147A">
        <w:rPr>
          <w:color w:val="000000" w:themeColor="text1"/>
          <w:lang w:val="en-GB"/>
        </w:rPr>
        <w:t xml:space="preserve"> along the X direction.</w:t>
      </w:r>
      <w:r w:rsidR="00FF2C03" w:rsidRPr="00F0147A">
        <w:rPr>
          <w:color w:val="000000" w:themeColor="text1"/>
          <w:lang w:val="en-GB"/>
        </w:rPr>
        <w:t xml:space="preserve"> </w:t>
      </w:r>
      <w:r w:rsidR="0095255B" w:rsidRPr="00F0147A">
        <w:rPr>
          <w:color w:val="000000" w:themeColor="text1"/>
          <w:lang w:val="en-GB"/>
        </w:rPr>
        <w:t>Consequently</w:t>
      </w:r>
      <w:r w:rsidR="0093298A" w:rsidRPr="00F0147A">
        <w:rPr>
          <w:color w:val="000000" w:themeColor="text1"/>
          <w:lang w:val="en-GB"/>
        </w:rPr>
        <w:t>,</w:t>
      </w:r>
      <w:r w:rsidR="00052E9A" w:rsidRPr="00F0147A">
        <w:rPr>
          <w:color w:val="000000" w:themeColor="text1"/>
          <w:lang w:val="en-GB"/>
        </w:rPr>
        <w:t xml:space="preserve"> in this case the </w:t>
      </w:r>
      <w:r w:rsidR="00380354" w:rsidRPr="00F0147A">
        <w:rPr>
          <w:color w:val="000000" w:themeColor="text1"/>
          <w:lang w:val="en-GB"/>
        </w:rPr>
        <w:t xml:space="preserve">solution does not cool </w:t>
      </w:r>
      <w:r w:rsidR="00C0786A" w:rsidRPr="00F0147A">
        <w:rPr>
          <w:color w:val="000000" w:themeColor="text1"/>
          <w:lang w:val="en-GB"/>
        </w:rPr>
        <w:t>symmetrically</w:t>
      </w:r>
      <w:r w:rsidR="00380354" w:rsidRPr="00F0147A">
        <w:rPr>
          <w:color w:val="000000" w:themeColor="text1"/>
          <w:lang w:val="en-GB"/>
        </w:rPr>
        <w:t>, as in</w:t>
      </w:r>
      <w:r w:rsidR="00C0786A" w:rsidRPr="00F0147A">
        <w:rPr>
          <w:color w:val="000000" w:themeColor="text1"/>
          <w:lang w:val="en-GB"/>
        </w:rPr>
        <w:t xml:space="preserve"> reference configuration, b</w:t>
      </w:r>
      <w:r w:rsidR="005D0D44" w:rsidRPr="00F0147A">
        <w:rPr>
          <w:color w:val="000000" w:themeColor="text1"/>
          <w:lang w:val="en-GB"/>
        </w:rPr>
        <w:t>u</w:t>
      </w:r>
      <w:r w:rsidR="00C0786A" w:rsidRPr="00F0147A">
        <w:rPr>
          <w:color w:val="000000" w:themeColor="text1"/>
          <w:lang w:val="en-GB"/>
        </w:rPr>
        <w:t xml:space="preserve">t </w:t>
      </w:r>
      <w:r w:rsidR="00E66ED9" w:rsidRPr="00F0147A">
        <w:rPr>
          <w:color w:val="000000" w:themeColor="text1"/>
          <w:lang w:val="en-GB"/>
        </w:rPr>
        <w:t>it</w:t>
      </w:r>
      <w:r w:rsidR="00C0786A" w:rsidRPr="00F0147A">
        <w:rPr>
          <w:color w:val="000000" w:themeColor="text1"/>
          <w:lang w:val="en-GB"/>
        </w:rPr>
        <w:t xml:space="preserve"> co</w:t>
      </w:r>
      <w:r w:rsidR="00E66ED9" w:rsidRPr="00F0147A">
        <w:rPr>
          <w:color w:val="000000" w:themeColor="text1"/>
          <w:lang w:val="en-GB"/>
        </w:rPr>
        <w:t>o</w:t>
      </w:r>
      <w:r w:rsidR="00C0786A" w:rsidRPr="00F0147A">
        <w:rPr>
          <w:color w:val="000000" w:themeColor="text1"/>
          <w:lang w:val="en-GB"/>
        </w:rPr>
        <w:t>ls</w:t>
      </w:r>
      <w:r w:rsidR="00380354" w:rsidRPr="00F0147A">
        <w:rPr>
          <w:color w:val="000000" w:themeColor="text1"/>
          <w:lang w:val="en-GB"/>
        </w:rPr>
        <w:t xml:space="preserve"> </w:t>
      </w:r>
      <w:r w:rsidR="00E66ED9" w:rsidRPr="00F0147A">
        <w:rPr>
          <w:color w:val="000000" w:themeColor="text1"/>
          <w:lang w:val="en-GB"/>
        </w:rPr>
        <w:t>following a preferential direction, giving rise</w:t>
      </w:r>
      <w:r w:rsidR="00BA5313" w:rsidRPr="00F0147A">
        <w:rPr>
          <w:color w:val="000000" w:themeColor="text1"/>
          <w:lang w:val="en-GB"/>
        </w:rPr>
        <w:t xml:space="preserve"> to temperature gradient </w:t>
      </w:r>
      <w:r w:rsidR="0095255B" w:rsidRPr="00F0147A">
        <w:rPr>
          <w:color w:val="000000" w:themeColor="text1"/>
          <w:lang w:val="en-GB"/>
        </w:rPr>
        <w:t xml:space="preserve">along </w:t>
      </w:r>
      <w:r w:rsidR="00147616" w:rsidRPr="00F0147A">
        <w:rPr>
          <w:color w:val="000000" w:themeColor="text1"/>
          <w:lang w:val="en-GB"/>
        </w:rPr>
        <w:t>X axis</w:t>
      </w:r>
      <w:r w:rsidR="00595444" w:rsidRPr="00F0147A">
        <w:rPr>
          <w:color w:val="000000" w:themeColor="text1"/>
          <w:lang w:val="en-GB"/>
        </w:rPr>
        <w:t xml:space="preserve">, which should </w:t>
      </w:r>
      <w:r w:rsidR="00DA62F0" w:rsidRPr="00F0147A">
        <w:rPr>
          <w:color w:val="000000" w:themeColor="text1"/>
          <w:lang w:val="en-GB"/>
        </w:rPr>
        <w:t>lead</w:t>
      </w:r>
      <w:r w:rsidR="00595444" w:rsidRPr="00F0147A">
        <w:rPr>
          <w:color w:val="000000" w:themeColor="text1"/>
          <w:lang w:val="en-GB"/>
        </w:rPr>
        <w:t xml:space="preserve"> in a difference in pore size</w:t>
      </w:r>
      <w:r w:rsidR="006349BF" w:rsidRPr="00F0147A">
        <w:rPr>
          <w:color w:val="000000" w:themeColor="text1"/>
          <w:lang w:val="en-GB"/>
        </w:rPr>
        <w:t xml:space="preserve"> in the </w:t>
      </w:r>
      <w:r w:rsidR="00147616" w:rsidRPr="00F0147A">
        <w:rPr>
          <w:color w:val="000000" w:themeColor="text1"/>
          <w:lang w:val="en-GB"/>
        </w:rPr>
        <w:t xml:space="preserve">resulting </w:t>
      </w:r>
      <w:r w:rsidR="006349BF" w:rsidRPr="00F0147A">
        <w:rPr>
          <w:color w:val="000000" w:themeColor="text1"/>
          <w:lang w:val="en-GB"/>
        </w:rPr>
        <w:t>scaffolds</w:t>
      </w:r>
      <w:r w:rsidR="00595444" w:rsidRPr="00F0147A">
        <w:rPr>
          <w:color w:val="000000" w:themeColor="text1"/>
          <w:lang w:val="en-GB"/>
        </w:rPr>
        <w:t xml:space="preserve">. </w:t>
      </w:r>
    </w:p>
    <w:p w14:paraId="75DA6103" w14:textId="63974DA5" w:rsidR="002D316F" w:rsidRPr="00002799" w:rsidRDefault="00907B74" w:rsidP="00060D8C">
      <w:pPr>
        <w:pStyle w:val="CETBodytext"/>
        <w:keepNext/>
        <w:spacing w:line="240" w:lineRule="auto"/>
        <w:jc w:val="left"/>
        <w:rPr>
          <w:noProof/>
          <w:lang w:val="en-GB"/>
        </w:rPr>
      </w:pPr>
      <w:r w:rsidRPr="00907B74">
        <w:rPr>
          <w:noProof/>
          <w:lang w:val="en-GB"/>
        </w:rPr>
        <w:drawing>
          <wp:inline distT="0" distB="0" distL="0" distR="0" wp14:anchorId="6C5C4B16" wp14:editId="5C13989B">
            <wp:extent cx="5172635" cy="1661646"/>
            <wp:effectExtent l="0" t="0" r="0" b="0"/>
            <wp:docPr id="2037882612" name="Immagine 1" descr="Immagine che contiene linea, diagramma, Diagramma, pend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2612" name="Immagine 1" descr="Immagine che contiene linea, diagramma, Diagramma, pendio&#10;&#10;Il contenuto generato dall'IA potrebbe non essere corretto."/>
                    <pic:cNvPicPr/>
                  </pic:nvPicPr>
                  <pic:blipFill rotWithShape="1">
                    <a:blip r:embed="rId15"/>
                    <a:srcRect t="-1" b="-2869"/>
                    <a:stretch>
                      <a:fillRect/>
                    </a:stretch>
                  </pic:blipFill>
                  <pic:spPr bwMode="auto">
                    <a:xfrm>
                      <a:off x="0" y="0"/>
                      <a:ext cx="5204166" cy="1671775"/>
                    </a:xfrm>
                    <a:prstGeom prst="rect">
                      <a:avLst/>
                    </a:prstGeom>
                    <a:ln>
                      <a:noFill/>
                    </a:ln>
                    <a:extLst>
                      <a:ext uri="{53640926-AAD7-44D8-BBD7-CCE9431645EC}">
                        <a14:shadowObscured xmlns:a14="http://schemas.microsoft.com/office/drawing/2010/main"/>
                      </a:ext>
                    </a:extLst>
                  </pic:spPr>
                </pic:pic>
              </a:graphicData>
            </a:graphic>
          </wp:inline>
        </w:drawing>
      </w:r>
      <w:r w:rsidR="00E523FB" w:rsidRPr="00E523FB">
        <w:rPr>
          <w:noProof/>
          <w:lang w:val="en-GB"/>
        </w:rPr>
        <w:drawing>
          <wp:inline distT="0" distB="0" distL="0" distR="0" wp14:anchorId="016E0F29" wp14:editId="03FC6D4B">
            <wp:extent cx="372035" cy="923364"/>
            <wp:effectExtent l="0" t="0" r="9525" b="0"/>
            <wp:docPr id="1159236875" name="Immagine 1"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36875" name="Immagine 1" descr="Immagine che contiene testo, schermata, Carattere, numero&#10;&#10;Il contenuto generato dall'IA potrebbe non essere corretto."/>
                    <pic:cNvPicPr/>
                  </pic:nvPicPr>
                  <pic:blipFill rotWithShape="1">
                    <a:blip r:embed="rId16"/>
                    <a:srcRect l="-1" t="1" r="-8496" b="-7793"/>
                    <a:stretch>
                      <a:fillRect/>
                    </a:stretch>
                  </pic:blipFill>
                  <pic:spPr bwMode="auto">
                    <a:xfrm>
                      <a:off x="0" y="0"/>
                      <a:ext cx="395153" cy="980742"/>
                    </a:xfrm>
                    <a:prstGeom prst="rect">
                      <a:avLst/>
                    </a:prstGeom>
                    <a:ln>
                      <a:noFill/>
                    </a:ln>
                    <a:extLst>
                      <a:ext uri="{53640926-AAD7-44D8-BBD7-CCE9431645EC}">
                        <a14:shadowObscured xmlns:a14="http://schemas.microsoft.com/office/drawing/2010/main"/>
                      </a:ext>
                    </a:extLst>
                  </pic:spPr>
                </pic:pic>
              </a:graphicData>
            </a:graphic>
          </wp:inline>
        </w:drawing>
      </w:r>
    </w:p>
    <w:p w14:paraId="23497236" w14:textId="5EA5BAC4" w:rsidR="002D316F" w:rsidRPr="00140CEC" w:rsidRDefault="002D316F" w:rsidP="00060D8C">
      <w:pPr>
        <w:pStyle w:val="Didascalia"/>
        <w:spacing w:after="240"/>
        <w:rPr>
          <w:b w:val="0"/>
          <w:bCs w:val="0"/>
          <w:i/>
          <w:iCs/>
          <w:color w:val="000000" w:themeColor="text1"/>
        </w:rPr>
      </w:pPr>
      <w:r w:rsidRPr="00002799">
        <w:rPr>
          <w:b w:val="0"/>
          <w:bCs w:val="0"/>
          <w:i/>
          <w:iCs/>
          <w:color w:val="000000" w:themeColor="text1"/>
        </w:rPr>
        <w:t xml:space="preserve">Figure </w:t>
      </w:r>
      <w:r w:rsidR="005F1D89">
        <w:rPr>
          <w:b w:val="0"/>
          <w:bCs w:val="0"/>
          <w:i/>
          <w:iCs/>
          <w:color w:val="000000" w:themeColor="text1"/>
        </w:rPr>
        <w:t>4</w:t>
      </w:r>
      <w:r w:rsidRPr="00002799">
        <w:rPr>
          <w:b w:val="0"/>
          <w:bCs w:val="0"/>
          <w:i/>
          <w:iCs/>
          <w:color w:val="000000" w:themeColor="text1"/>
        </w:rPr>
        <w:t>: Temperature profiles along the scaffold thickness during the early freezing stage (first 140 s of the second thermostatic bath) for (a) the reference configuration and (b) the modified configuration.</w:t>
      </w:r>
    </w:p>
    <w:p w14:paraId="039F3C0B" w14:textId="4B17AF75" w:rsidR="00164745" w:rsidRPr="00002799" w:rsidRDefault="00CF25AF" w:rsidP="00060D8C">
      <w:pPr>
        <w:pStyle w:val="CETheadingx"/>
        <w:spacing w:line="240" w:lineRule="auto"/>
      </w:pPr>
      <w:r w:rsidRPr="00002799">
        <w:t>Morphological characterization with Scanning Electron Microscopy (SEM)</w:t>
      </w:r>
    </w:p>
    <w:p w14:paraId="5A43FCAF" w14:textId="1F498632" w:rsidR="00427662" w:rsidRDefault="002522BB" w:rsidP="00060D8C">
      <w:pPr>
        <w:pStyle w:val="CETBodytext"/>
        <w:spacing w:after="240" w:line="240" w:lineRule="auto"/>
        <w:rPr>
          <w:rFonts w:cs="Arial"/>
          <w:lang w:val="en-GB"/>
        </w:rPr>
      </w:pPr>
      <w:r>
        <w:rPr>
          <w:rFonts w:cs="Arial"/>
          <w:lang w:val="en-GB"/>
        </w:rPr>
        <w:t xml:space="preserve">In the </w:t>
      </w:r>
      <w:r w:rsidR="00AA59F4" w:rsidRPr="00002799">
        <w:rPr>
          <w:rFonts w:cs="Arial"/>
          <w:lang w:val="en-GB"/>
        </w:rPr>
        <w:t xml:space="preserve">Figure </w:t>
      </w:r>
      <w:r w:rsidR="005F1D89">
        <w:rPr>
          <w:rFonts w:cs="Arial"/>
          <w:lang w:val="en-GB"/>
        </w:rPr>
        <w:t>5</w:t>
      </w:r>
      <w:r w:rsidR="00AA59F4" w:rsidRPr="00002799">
        <w:rPr>
          <w:rFonts w:cs="Arial"/>
          <w:lang w:val="en-GB"/>
        </w:rPr>
        <w:t xml:space="preserve"> </w:t>
      </w:r>
      <w:r>
        <w:rPr>
          <w:rFonts w:cs="Arial"/>
          <w:lang w:val="en-GB"/>
        </w:rPr>
        <w:t>is reported the comparison of</w:t>
      </w:r>
      <w:r w:rsidR="00AA59F4" w:rsidRPr="00002799">
        <w:rPr>
          <w:rFonts w:cs="Arial"/>
          <w:lang w:val="en-GB"/>
        </w:rPr>
        <w:t xml:space="preserve"> scaffold morphologies obtained </w:t>
      </w:r>
      <w:r w:rsidR="009A3EFA">
        <w:rPr>
          <w:rFonts w:cs="Arial"/>
          <w:lang w:val="en-GB"/>
        </w:rPr>
        <w:t>from the</w:t>
      </w:r>
      <w:r w:rsidR="00AA59F4" w:rsidRPr="00002799">
        <w:rPr>
          <w:rFonts w:cs="Arial"/>
          <w:lang w:val="en-GB"/>
        </w:rPr>
        <w:t xml:space="preserve"> </w:t>
      </w:r>
      <w:r w:rsidR="00063186" w:rsidRPr="00002799">
        <w:rPr>
          <w:rFonts w:cs="Arial"/>
          <w:lang w:val="en-GB"/>
        </w:rPr>
        <w:t>reference</w:t>
      </w:r>
      <w:r w:rsidR="00AA59F4" w:rsidRPr="00002799">
        <w:rPr>
          <w:rFonts w:cs="Arial"/>
          <w:lang w:val="en-GB"/>
        </w:rPr>
        <w:t xml:space="preserve"> and the modified process confi</w:t>
      </w:r>
      <w:r w:rsidR="00063186" w:rsidRPr="00002799">
        <w:rPr>
          <w:rFonts w:cs="Arial"/>
          <w:lang w:val="en-GB"/>
        </w:rPr>
        <w:t xml:space="preserve">gurations. </w:t>
      </w:r>
      <w:r w:rsidR="00DF3341" w:rsidRPr="00002799">
        <w:rPr>
          <w:rFonts w:cs="Arial"/>
          <w:lang w:val="en-GB"/>
        </w:rPr>
        <w:t>SEM images</w:t>
      </w:r>
      <w:r w:rsidR="00490421">
        <w:rPr>
          <w:rFonts w:cs="Arial"/>
          <w:lang w:val="en-GB"/>
        </w:rPr>
        <w:t xml:space="preserve"> of the reference configuration (Figure </w:t>
      </w:r>
      <w:r w:rsidR="005F1D89">
        <w:rPr>
          <w:rFonts w:cs="Arial"/>
          <w:lang w:val="en-GB"/>
        </w:rPr>
        <w:t>5</w:t>
      </w:r>
      <w:r w:rsidR="00490421">
        <w:rPr>
          <w:rFonts w:cs="Arial"/>
          <w:lang w:val="en-GB"/>
        </w:rPr>
        <w:t>a)</w:t>
      </w:r>
      <w:r w:rsidR="00DF3341" w:rsidRPr="00002799">
        <w:rPr>
          <w:rFonts w:cs="Arial"/>
          <w:lang w:val="en-GB"/>
        </w:rPr>
        <w:t xml:space="preserve"> exhibit a region of smaller pores </w:t>
      </w:r>
      <w:r w:rsidR="00DF3341" w:rsidRPr="00002799">
        <w:rPr>
          <w:rFonts w:cs="Arial"/>
          <w:lang w:val="en-GB"/>
        </w:rPr>
        <w:lastRenderedPageBreak/>
        <w:t xml:space="preserve">at the sample </w:t>
      </w:r>
      <w:r w:rsidR="00BF52BF" w:rsidRPr="00002799">
        <w:rPr>
          <w:rFonts w:cs="Arial"/>
          <w:lang w:val="en-GB"/>
        </w:rPr>
        <w:t>border</w:t>
      </w:r>
      <w:r w:rsidR="00B47420">
        <w:rPr>
          <w:rFonts w:cs="Arial"/>
          <w:lang w:val="en-GB"/>
        </w:rPr>
        <w:t>s</w:t>
      </w:r>
      <w:r w:rsidR="00BF52BF" w:rsidRPr="00002799">
        <w:rPr>
          <w:rFonts w:cs="Arial"/>
          <w:lang w:val="en-GB"/>
        </w:rPr>
        <w:t xml:space="preserve">, followed by a gradual increase in pore size toward the </w:t>
      </w:r>
      <w:r w:rsidR="0096193E" w:rsidRPr="00002799">
        <w:rPr>
          <w:rFonts w:cs="Arial"/>
          <w:lang w:val="en-GB"/>
        </w:rPr>
        <w:t>centre</w:t>
      </w:r>
      <w:r w:rsidR="00BF52BF" w:rsidRPr="00002799">
        <w:rPr>
          <w:rFonts w:cs="Arial"/>
          <w:lang w:val="en-GB"/>
        </w:rPr>
        <w:t xml:space="preserve"> of the scaffold. This morphology reflects a symmetr</w:t>
      </w:r>
      <w:r w:rsidR="00AC0904" w:rsidRPr="00002799">
        <w:rPr>
          <w:rFonts w:cs="Arial"/>
          <w:lang w:val="en-GB"/>
        </w:rPr>
        <w:t>ic cooling process</w:t>
      </w:r>
      <w:r w:rsidR="00E90779" w:rsidRPr="00002799">
        <w:rPr>
          <w:rFonts w:cs="Arial"/>
          <w:lang w:val="en-GB"/>
        </w:rPr>
        <w:t>, in which</w:t>
      </w:r>
      <w:r w:rsidR="00AD2B58">
        <w:rPr>
          <w:rFonts w:cs="Arial"/>
          <w:lang w:val="en-GB"/>
        </w:rPr>
        <w:t>, as shown above,</w:t>
      </w:r>
      <w:r w:rsidR="00E90779" w:rsidRPr="00002799">
        <w:rPr>
          <w:rFonts w:cs="Arial"/>
          <w:lang w:val="en-GB"/>
        </w:rPr>
        <w:t xml:space="preserve"> heat transfer</w:t>
      </w:r>
      <w:r w:rsidR="00DB4212" w:rsidRPr="00002799">
        <w:rPr>
          <w:rFonts w:cs="Arial"/>
          <w:lang w:val="en-GB"/>
        </w:rPr>
        <w:t xml:space="preserve"> occurs simultaneously from all external faces </w:t>
      </w:r>
      <w:r w:rsidR="00DB4212" w:rsidRPr="00F0147A">
        <w:rPr>
          <w:rFonts w:cs="Arial"/>
          <w:color w:val="000000" w:themeColor="text1"/>
          <w:lang w:val="en-GB"/>
        </w:rPr>
        <w:t>toward</w:t>
      </w:r>
      <w:r w:rsidR="0096193E" w:rsidRPr="00F0147A">
        <w:rPr>
          <w:rFonts w:cs="Arial"/>
          <w:color w:val="000000" w:themeColor="text1"/>
          <w:lang w:val="en-GB"/>
        </w:rPr>
        <w:t>s</w:t>
      </w:r>
      <w:r w:rsidR="00DB4212" w:rsidRPr="00F0147A">
        <w:rPr>
          <w:rFonts w:cs="Arial"/>
          <w:color w:val="000000" w:themeColor="text1"/>
          <w:lang w:val="en-GB"/>
        </w:rPr>
        <w:t xml:space="preserve"> the core of the sample.</w:t>
      </w:r>
      <w:r w:rsidR="00EA4451" w:rsidRPr="00F0147A">
        <w:rPr>
          <w:rFonts w:cs="Arial"/>
          <w:color w:val="000000" w:themeColor="text1"/>
          <w:lang w:val="en-GB"/>
        </w:rPr>
        <w:t xml:space="preserve"> </w:t>
      </w:r>
      <w:r w:rsidR="00C8475A" w:rsidRPr="00F0147A">
        <w:rPr>
          <w:rFonts w:cs="Arial"/>
          <w:color w:val="000000" w:themeColor="text1"/>
          <w:lang w:val="en-GB"/>
        </w:rPr>
        <w:t xml:space="preserve">In contrast, </w:t>
      </w:r>
      <w:r w:rsidR="00A763BE" w:rsidRPr="00F0147A">
        <w:rPr>
          <w:rFonts w:cs="Arial"/>
          <w:color w:val="000000" w:themeColor="text1"/>
          <w:lang w:val="en-GB"/>
        </w:rPr>
        <w:t xml:space="preserve">SEM images </w:t>
      </w:r>
      <w:r w:rsidR="0096193E" w:rsidRPr="00F0147A">
        <w:rPr>
          <w:rFonts w:cs="Arial"/>
          <w:color w:val="000000" w:themeColor="text1"/>
          <w:lang w:val="en-GB"/>
        </w:rPr>
        <w:t>of</w:t>
      </w:r>
      <w:r w:rsidR="00C8475A" w:rsidRPr="00F0147A">
        <w:rPr>
          <w:rFonts w:cs="Arial"/>
          <w:color w:val="000000" w:themeColor="text1"/>
          <w:lang w:val="en-GB"/>
        </w:rPr>
        <w:t xml:space="preserve"> the modified configuration</w:t>
      </w:r>
      <w:r w:rsidR="0096193E" w:rsidRPr="00F0147A">
        <w:rPr>
          <w:rFonts w:cs="Arial"/>
          <w:color w:val="000000" w:themeColor="text1"/>
          <w:lang w:val="en-GB"/>
        </w:rPr>
        <w:t xml:space="preserve"> (Figure </w:t>
      </w:r>
      <w:r w:rsidR="005F1D89" w:rsidRPr="00F0147A">
        <w:rPr>
          <w:rFonts w:cs="Arial"/>
          <w:color w:val="000000" w:themeColor="text1"/>
          <w:lang w:val="en-GB"/>
        </w:rPr>
        <w:t>5</w:t>
      </w:r>
      <w:r w:rsidR="0096193E" w:rsidRPr="00F0147A">
        <w:rPr>
          <w:rFonts w:cs="Arial"/>
          <w:color w:val="000000" w:themeColor="text1"/>
          <w:lang w:val="en-GB"/>
        </w:rPr>
        <w:t>b)</w:t>
      </w:r>
      <w:r w:rsidR="00C8475A" w:rsidRPr="00F0147A">
        <w:rPr>
          <w:rFonts w:cs="Arial"/>
          <w:color w:val="000000" w:themeColor="text1"/>
          <w:lang w:val="en-GB"/>
        </w:rPr>
        <w:t xml:space="preserve"> </w:t>
      </w:r>
      <w:r w:rsidR="0096193E" w:rsidRPr="00F0147A">
        <w:rPr>
          <w:rFonts w:cs="Arial"/>
          <w:color w:val="000000" w:themeColor="text1"/>
          <w:lang w:val="en-GB"/>
        </w:rPr>
        <w:t>show</w:t>
      </w:r>
      <w:r w:rsidR="00A763BE" w:rsidRPr="00F0147A">
        <w:rPr>
          <w:rFonts w:cs="Arial"/>
          <w:color w:val="000000" w:themeColor="text1"/>
          <w:lang w:val="en-GB"/>
        </w:rPr>
        <w:t xml:space="preserve"> a markedly different </w:t>
      </w:r>
      <w:r w:rsidR="005C4A09" w:rsidRPr="00F0147A">
        <w:rPr>
          <w:rFonts w:cs="Arial"/>
          <w:color w:val="000000" w:themeColor="text1"/>
          <w:lang w:val="en-GB"/>
        </w:rPr>
        <w:t>pore</w:t>
      </w:r>
      <w:r w:rsidR="0096193E" w:rsidRPr="00F0147A">
        <w:rPr>
          <w:rFonts w:cs="Arial"/>
          <w:color w:val="000000" w:themeColor="text1"/>
          <w:lang w:val="en-GB"/>
        </w:rPr>
        <w:t xml:space="preserve"> </w:t>
      </w:r>
      <w:r w:rsidR="005C4A09" w:rsidRPr="00F0147A">
        <w:rPr>
          <w:rFonts w:cs="Arial"/>
          <w:color w:val="000000" w:themeColor="text1"/>
          <w:lang w:val="en-GB"/>
        </w:rPr>
        <w:t xml:space="preserve">size distribution. </w:t>
      </w:r>
      <w:r w:rsidR="00F56A65" w:rsidRPr="00F0147A">
        <w:rPr>
          <w:rFonts w:cs="Arial"/>
          <w:color w:val="000000" w:themeColor="text1"/>
          <w:lang w:val="en-GB"/>
        </w:rPr>
        <w:t>The exposed</w:t>
      </w:r>
      <w:r w:rsidR="0096193E" w:rsidRPr="00F0147A">
        <w:rPr>
          <w:rFonts w:cs="Arial"/>
          <w:color w:val="000000" w:themeColor="text1"/>
          <w:lang w:val="en-GB"/>
        </w:rPr>
        <w:t xml:space="preserve"> side of the scaffold</w:t>
      </w:r>
      <w:r w:rsidR="004B598C" w:rsidRPr="00F0147A">
        <w:rPr>
          <w:rFonts w:cs="Arial"/>
          <w:color w:val="000000" w:themeColor="text1"/>
          <w:lang w:val="en-GB"/>
        </w:rPr>
        <w:t xml:space="preserve"> exhibits a</w:t>
      </w:r>
      <w:r w:rsidR="005C4A09" w:rsidRPr="00F0147A">
        <w:rPr>
          <w:rFonts w:cs="Arial"/>
          <w:color w:val="000000" w:themeColor="text1"/>
          <w:lang w:val="en-GB"/>
        </w:rPr>
        <w:t xml:space="preserve"> region of smaller pores</w:t>
      </w:r>
      <w:r w:rsidR="004B598C" w:rsidRPr="00F0147A">
        <w:rPr>
          <w:rFonts w:cs="Arial"/>
          <w:color w:val="000000" w:themeColor="text1"/>
          <w:lang w:val="en-GB"/>
        </w:rPr>
        <w:t xml:space="preserve">, </w:t>
      </w:r>
      <w:r w:rsidR="00F234FB" w:rsidRPr="00F0147A">
        <w:rPr>
          <w:rFonts w:cs="Arial"/>
          <w:color w:val="000000" w:themeColor="text1"/>
          <w:lang w:val="en-GB"/>
        </w:rPr>
        <w:t xml:space="preserve">while pore size progressively </w:t>
      </w:r>
      <w:r w:rsidR="00CB5D27" w:rsidRPr="00F0147A">
        <w:rPr>
          <w:rFonts w:cs="Arial"/>
          <w:color w:val="000000" w:themeColor="text1"/>
          <w:lang w:val="en-GB"/>
        </w:rPr>
        <w:t>increases toward</w:t>
      </w:r>
      <w:r w:rsidR="004B598C" w:rsidRPr="00F0147A">
        <w:rPr>
          <w:rFonts w:cs="Arial"/>
          <w:color w:val="000000" w:themeColor="text1"/>
          <w:lang w:val="en-GB"/>
        </w:rPr>
        <w:t>s</w:t>
      </w:r>
      <w:r w:rsidR="00CB5D27" w:rsidRPr="00F0147A">
        <w:rPr>
          <w:rFonts w:cs="Arial"/>
          <w:color w:val="000000" w:themeColor="text1"/>
          <w:lang w:val="en-GB"/>
        </w:rPr>
        <w:t xml:space="preserve"> the opposite side</w:t>
      </w:r>
      <w:r w:rsidR="004B598C" w:rsidRPr="00F0147A">
        <w:rPr>
          <w:rFonts w:cs="Arial"/>
          <w:color w:val="000000" w:themeColor="text1"/>
          <w:lang w:val="en-GB"/>
        </w:rPr>
        <w:t xml:space="preserve">. </w:t>
      </w:r>
      <w:r w:rsidR="002C113D" w:rsidRPr="00F0147A">
        <w:rPr>
          <w:rFonts w:cs="Arial"/>
          <w:color w:val="000000" w:themeColor="text1"/>
          <w:lang w:val="en-GB"/>
        </w:rPr>
        <w:t>Pore size measurements performed on the modified configuration confirm this trend</w:t>
      </w:r>
      <w:r w:rsidR="003F4311" w:rsidRPr="00F0147A">
        <w:rPr>
          <w:rFonts w:cs="Arial"/>
          <w:color w:val="000000" w:themeColor="text1"/>
          <w:lang w:val="en-GB"/>
        </w:rPr>
        <w:t xml:space="preserve"> </w:t>
      </w:r>
      <w:r w:rsidR="00A076CD" w:rsidRPr="00F0147A">
        <w:rPr>
          <w:rFonts w:cs="Arial"/>
          <w:color w:val="000000" w:themeColor="text1"/>
          <w:lang w:val="en-GB"/>
        </w:rPr>
        <w:t>(</w:t>
      </w:r>
      <w:r w:rsidR="003F4311" w:rsidRPr="00F0147A">
        <w:rPr>
          <w:rFonts w:cs="Arial"/>
          <w:color w:val="000000" w:themeColor="text1"/>
          <w:lang w:val="en-GB"/>
        </w:rPr>
        <w:t xml:space="preserve">Table </w:t>
      </w:r>
      <w:r w:rsidR="001F0983" w:rsidRPr="00F0147A">
        <w:rPr>
          <w:rFonts w:cs="Arial"/>
          <w:color w:val="000000" w:themeColor="text1"/>
          <w:lang w:val="en-GB"/>
        </w:rPr>
        <w:t>1</w:t>
      </w:r>
      <w:r w:rsidR="00A076CD" w:rsidRPr="00F0147A">
        <w:rPr>
          <w:rFonts w:cs="Arial"/>
          <w:color w:val="000000" w:themeColor="text1"/>
          <w:lang w:val="en-GB"/>
        </w:rPr>
        <w:t>)</w:t>
      </w:r>
      <w:r w:rsidR="003F4311" w:rsidRPr="00F0147A">
        <w:rPr>
          <w:rFonts w:cs="Arial"/>
          <w:color w:val="000000" w:themeColor="text1"/>
          <w:lang w:val="en-GB"/>
        </w:rPr>
        <w:t xml:space="preserve">, showing an increase in average pore </w:t>
      </w:r>
      <w:r w:rsidR="00961E84" w:rsidRPr="00F0147A">
        <w:rPr>
          <w:rFonts w:cs="Arial"/>
          <w:color w:val="000000" w:themeColor="text1"/>
          <w:lang w:val="en-GB"/>
        </w:rPr>
        <w:t xml:space="preserve">diameter from </w:t>
      </w:r>
      <w:r w:rsidR="00961E84" w:rsidRPr="00F0147A">
        <w:rPr>
          <w:rFonts w:cs="Arial"/>
          <w:color w:val="000000" w:themeColor="text1"/>
          <w:szCs w:val="18"/>
          <w:lang w:eastAsia="ko-KR"/>
        </w:rPr>
        <w:t>134.6</w:t>
      </w:r>
      <w:r w:rsidR="00B63371" w:rsidRPr="00F0147A">
        <w:rPr>
          <w:rFonts w:cs="Arial"/>
          <w:color w:val="000000" w:themeColor="text1"/>
          <w:szCs w:val="18"/>
          <w:lang w:eastAsia="ko-KR"/>
        </w:rPr>
        <w:t>3</w:t>
      </w:r>
      <w:r w:rsidR="00961E84" w:rsidRPr="00F0147A">
        <w:rPr>
          <w:rFonts w:cs="Arial"/>
          <w:color w:val="000000" w:themeColor="text1"/>
          <w:szCs w:val="18"/>
          <w:lang w:eastAsia="ko-KR"/>
        </w:rPr>
        <w:t xml:space="preserve"> ± 20.73 µm </w:t>
      </w:r>
      <w:r w:rsidR="00F957AF" w:rsidRPr="00F0147A">
        <w:rPr>
          <w:rFonts w:cs="Arial"/>
          <w:color w:val="000000" w:themeColor="text1"/>
          <w:szCs w:val="18"/>
          <w:lang w:eastAsia="ko-KR"/>
        </w:rPr>
        <w:t>at the exposed border to 189</w:t>
      </w:r>
      <w:r w:rsidR="00B63371" w:rsidRPr="00F0147A">
        <w:rPr>
          <w:rFonts w:cs="Arial"/>
          <w:color w:val="000000" w:themeColor="text1"/>
          <w:szCs w:val="18"/>
          <w:lang w:eastAsia="ko-KR"/>
        </w:rPr>
        <w:t>.</w:t>
      </w:r>
      <w:r w:rsidR="00F957AF" w:rsidRPr="00F0147A">
        <w:rPr>
          <w:rFonts w:cs="Arial"/>
          <w:color w:val="000000" w:themeColor="text1"/>
          <w:szCs w:val="18"/>
          <w:lang w:eastAsia="ko-KR"/>
        </w:rPr>
        <w:t>7</w:t>
      </w:r>
      <w:r w:rsidR="00B63371" w:rsidRPr="00F0147A">
        <w:rPr>
          <w:rFonts w:cs="Arial"/>
          <w:color w:val="000000" w:themeColor="text1"/>
          <w:szCs w:val="18"/>
          <w:lang w:eastAsia="ko-KR"/>
        </w:rPr>
        <w:t>6</w:t>
      </w:r>
      <w:r w:rsidR="00F957AF" w:rsidRPr="00F0147A">
        <w:rPr>
          <w:rFonts w:cs="Arial"/>
          <w:color w:val="000000" w:themeColor="text1"/>
          <w:szCs w:val="18"/>
          <w:lang w:eastAsia="ko-KR"/>
        </w:rPr>
        <w:t xml:space="preserve"> ± 38</w:t>
      </w:r>
      <w:r w:rsidR="00B63371" w:rsidRPr="00F0147A">
        <w:rPr>
          <w:rFonts w:cs="Arial"/>
          <w:color w:val="000000" w:themeColor="text1"/>
          <w:szCs w:val="18"/>
          <w:lang w:eastAsia="ko-KR"/>
        </w:rPr>
        <w:t>.</w:t>
      </w:r>
      <w:r w:rsidR="00F957AF" w:rsidRPr="00F0147A">
        <w:rPr>
          <w:rFonts w:cs="Arial"/>
          <w:color w:val="000000" w:themeColor="text1"/>
          <w:szCs w:val="18"/>
          <w:lang w:eastAsia="ko-KR"/>
        </w:rPr>
        <w:t>77 µm</w:t>
      </w:r>
      <w:r w:rsidR="00061951" w:rsidRPr="00F0147A">
        <w:rPr>
          <w:rFonts w:cs="Arial"/>
          <w:color w:val="000000" w:themeColor="text1"/>
          <w:szCs w:val="18"/>
          <w:lang w:eastAsia="ko-KR"/>
        </w:rPr>
        <w:t xml:space="preserve"> towards the insulated side.</w:t>
      </w:r>
      <w:r w:rsidR="00061951" w:rsidRPr="00F0147A">
        <w:rPr>
          <w:rFonts w:cs="Arial"/>
          <w:color w:val="000000" w:themeColor="text1"/>
          <w:lang w:val="en-GB"/>
        </w:rPr>
        <w:t xml:space="preserve"> </w:t>
      </w:r>
      <w:r w:rsidR="00137533" w:rsidRPr="00F0147A">
        <w:rPr>
          <w:rFonts w:cs="Arial"/>
          <w:color w:val="000000" w:themeColor="text1"/>
          <w:lang w:val="en-GB"/>
        </w:rPr>
        <w:t xml:space="preserve">Statistical analysis using a two-sample t-test confirmed that the difference between the two pore populations is statistically significant (p &lt; 0.001). </w:t>
      </w:r>
      <w:r w:rsidR="00061951" w:rsidRPr="00F0147A">
        <w:rPr>
          <w:rFonts w:cs="Arial"/>
          <w:color w:val="000000" w:themeColor="text1"/>
          <w:lang w:val="en-GB"/>
        </w:rPr>
        <w:t xml:space="preserve">Hence, the modified configuration, according </w:t>
      </w:r>
      <w:r w:rsidR="00AD5A37" w:rsidRPr="00F0147A">
        <w:rPr>
          <w:rFonts w:cs="Arial"/>
          <w:color w:val="000000" w:themeColor="text1"/>
          <w:lang w:val="en-GB"/>
        </w:rPr>
        <w:t>to</w:t>
      </w:r>
      <w:r w:rsidR="00061951" w:rsidRPr="00F0147A">
        <w:rPr>
          <w:rFonts w:cs="Arial"/>
          <w:color w:val="000000" w:themeColor="text1"/>
          <w:lang w:val="en-GB"/>
        </w:rPr>
        <w:t xml:space="preserve"> the simulations, gives rise to a continuous pore size gradient along the scaffold thickness.</w:t>
      </w:r>
      <w:r w:rsidR="004A7CB1" w:rsidRPr="00F0147A">
        <w:rPr>
          <w:rFonts w:cs="Arial"/>
          <w:color w:val="000000" w:themeColor="text1"/>
          <w:lang w:val="en-GB"/>
        </w:rPr>
        <w:t xml:space="preserve"> </w:t>
      </w:r>
    </w:p>
    <w:p w14:paraId="3729FDDC" w14:textId="36721F56" w:rsidR="006F0A70" w:rsidRPr="006F0A70" w:rsidRDefault="006F0A70" w:rsidP="00060D8C">
      <w:pPr>
        <w:pStyle w:val="Didascalia"/>
        <w:keepNext/>
        <w:spacing w:after="240"/>
        <w:rPr>
          <w:b w:val="0"/>
          <w:bCs w:val="0"/>
          <w:i/>
          <w:iCs/>
          <w:color w:val="000000" w:themeColor="text1"/>
        </w:rPr>
      </w:pPr>
      <w:r w:rsidRPr="006F0A70">
        <w:rPr>
          <w:b w:val="0"/>
          <w:bCs w:val="0"/>
          <w:i/>
          <w:iCs/>
          <w:color w:val="000000" w:themeColor="text1"/>
        </w:rPr>
        <w:t xml:space="preserve">Table </w:t>
      </w:r>
      <w:r w:rsidRPr="006F0A70">
        <w:rPr>
          <w:b w:val="0"/>
          <w:bCs w:val="0"/>
          <w:i/>
          <w:iCs/>
          <w:color w:val="000000" w:themeColor="text1"/>
        </w:rPr>
        <w:fldChar w:fldCharType="begin"/>
      </w:r>
      <w:r w:rsidRPr="006F0A70">
        <w:rPr>
          <w:b w:val="0"/>
          <w:bCs w:val="0"/>
          <w:i/>
          <w:iCs/>
          <w:color w:val="000000" w:themeColor="text1"/>
        </w:rPr>
        <w:instrText xml:space="preserve"> SEQ Table \* ARABIC </w:instrText>
      </w:r>
      <w:r w:rsidRPr="006F0A70">
        <w:rPr>
          <w:b w:val="0"/>
          <w:bCs w:val="0"/>
          <w:i/>
          <w:iCs/>
          <w:color w:val="000000" w:themeColor="text1"/>
        </w:rPr>
        <w:fldChar w:fldCharType="separate"/>
      </w:r>
      <w:r w:rsidRPr="006F0A70">
        <w:rPr>
          <w:b w:val="0"/>
          <w:bCs w:val="0"/>
          <w:i/>
          <w:iCs/>
          <w:noProof/>
          <w:color w:val="000000" w:themeColor="text1"/>
        </w:rPr>
        <w:t>1</w:t>
      </w:r>
      <w:r w:rsidRPr="006F0A70">
        <w:rPr>
          <w:b w:val="0"/>
          <w:bCs w:val="0"/>
          <w:i/>
          <w:iCs/>
          <w:color w:val="000000" w:themeColor="text1"/>
        </w:rPr>
        <w:fldChar w:fldCharType="end"/>
      </w:r>
      <w:r w:rsidRPr="006F0A70">
        <w:rPr>
          <w:b w:val="0"/>
          <w:bCs w:val="0"/>
          <w:i/>
          <w:iCs/>
          <w:color w:val="000000" w:themeColor="text1"/>
        </w:rPr>
        <w:t xml:space="preserve">: </w:t>
      </w:r>
      <w:r w:rsidR="00EB40E1">
        <w:rPr>
          <w:b w:val="0"/>
          <w:bCs w:val="0"/>
          <w:i/>
          <w:iCs/>
          <w:color w:val="000000" w:themeColor="text1"/>
        </w:rPr>
        <w:t>A</w:t>
      </w:r>
      <w:r w:rsidRPr="006F0A70">
        <w:rPr>
          <w:b w:val="0"/>
          <w:bCs w:val="0"/>
          <w:i/>
          <w:iCs/>
          <w:color w:val="000000" w:themeColor="text1"/>
        </w:rPr>
        <w:t>verage pore size</w:t>
      </w:r>
      <w:r w:rsidR="00EB40E1">
        <w:rPr>
          <w:b w:val="0"/>
          <w:bCs w:val="0"/>
          <w:i/>
          <w:iCs/>
          <w:color w:val="000000" w:themeColor="text1"/>
        </w:rPr>
        <w:t xml:space="preserve"> measurements</w:t>
      </w:r>
    </w:p>
    <w:tbl>
      <w:tblPr>
        <w:tblW w:w="808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2127"/>
        <w:gridCol w:w="2127"/>
        <w:gridCol w:w="2127"/>
      </w:tblGrid>
      <w:tr w:rsidR="00EA2E5B" w:rsidRPr="00B57B36" w14:paraId="61930AC3" w14:textId="7A51EF97" w:rsidTr="00EA2E5B">
        <w:tc>
          <w:tcPr>
            <w:tcW w:w="1701" w:type="dxa"/>
            <w:tcBorders>
              <w:top w:val="single" w:sz="12" w:space="0" w:color="008000"/>
              <w:bottom w:val="single" w:sz="6" w:space="0" w:color="008000"/>
            </w:tcBorders>
            <w:shd w:val="clear" w:color="auto" w:fill="FFFFFF"/>
          </w:tcPr>
          <w:p w14:paraId="08159EEF" w14:textId="27A3ED93" w:rsidR="00EA2E5B" w:rsidRPr="000877A8" w:rsidRDefault="00323CBD" w:rsidP="00060D8C">
            <w:pPr>
              <w:pStyle w:val="CETBodytext"/>
              <w:spacing w:line="240" w:lineRule="auto"/>
              <w:jc w:val="center"/>
              <w:rPr>
                <w:b/>
                <w:bCs/>
                <w:lang w:val="en-GB"/>
              </w:rPr>
            </w:pPr>
            <w:r>
              <w:rPr>
                <w:b/>
                <w:bCs/>
                <w:lang w:val="en-GB"/>
              </w:rPr>
              <w:t>Configuration</w:t>
            </w:r>
          </w:p>
        </w:tc>
        <w:tc>
          <w:tcPr>
            <w:tcW w:w="2127" w:type="dxa"/>
            <w:tcBorders>
              <w:top w:val="single" w:sz="12" w:space="0" w:color="008000"/>
              <w:bottom w:val="single" w:sz="6" w:space="0" w:color="008000"/>
            </w:tcBorders>
            <w:shd w:val="clear" w:color="auto" w:fill="FFFFFF"/>
          </w:tcPr>
          <w:p w14:paraId="216C23D9" w14:textId="43E1305F" w:rsidR="00EA2E5B" w:rsidRDefault="001F0983" w:rsidP="00060D8C">
            <w:pPr>
              <w:pStyle w:val="CETBodytext"/>
              <w:spacing w:line="240" w:lineRule="auto"/>
              <w:jc w:val="center"/>
              <w:rPr>
                <w:b/>
                <w:bCs/>
                <w:lang w:val="en-GB"/>
              </w:rPr>
            </w:pPr>
            <w:r>
              <w:rPr>
                <w:b/>
                <w:bCs/>
                <w:lang w:val="en-GB"/>
              </w:rPr>
              <w:t>Scaffold region</w:t>
            </w:r>
          </w:p>
        </w:tc>
        <w:tc>
          <w:tcPr>
            <w:tcW w:w="2127" w:type="dxa"/>
            <w:tcBorders>
              <w:top w:val="single" w:sz="12" w:space="0" w:color="008000"/>
              <w:bottom w:val="single" w:sz="6" w:space="0" w:color="008000"/>
            </w:tcBorders>
            <w:shd w:val="clear" w:color="auto" w:fill="FFFFFF"/>
          </w:tcPr>
          <w:p w14:paraId="407EF53D" w14:textId="542EC70A" w:rsidR="00EA2E5B" w:rsidRPr="000877A8" w:rsidRDefault="00EA2E5B" w:rsidP="00060D8C">
            <w:pPr>
              <w:pStyle w:val="CETBodytext"/>
              <w:spacing w:line="240" w:lineRule="auto"/>
              <w:jc w:val="center"/>
              <w:rPr>
                <w:b/>
                <w:bCs/>
                <w:lang w:val="en-GB"/>
              </w:rPr>
            </w:pPr>
            <w:r>
              <w:rPr>
                <w:b/>
                <w:bCs/>
                <w:lang w:val="en-GB"/>
              </w:rPr>
              <w:t>Average p</w:t>
            </w:r>
            <w:r w:rsidRPr="000877A8">
              <w:rPr>
                <w:b/>
                <w:bCs/>
                <w:lang w:val="en-GB"/>
              </w:rPr>
              <w:t>ore size [</w:t>
            </w:r>
            <w:r w:rsidRPr="000877A8">
              <w:rPr>
                <w:rFonts w:cs="Arial"/>
                <w:b/>
                <w:bCs/>
                <w:lang w:val="en-GB"/>
              </w:rPr>
              <w:t>µ</w:t>
            </w:r>
            <w:r w:rsidRPr="000877A8">
              <w:rPr>
                <w:b/>
                <w:bCs/>
                <w:lang w:val="en-GB"/>
              </w:rPr>
              <w:t>m]</w:t>
            </w:r>
          </w:p>
        </w:tc>
        <w:tc>
          <w:tcPr>
            <w:tcW w:w="2127" w:type="dxa"/>
            <w:tcBorders>
              <w:top w:val="single" w:sz="12" w:space="0" w:color="008000"/>
              <w:bottom w:val="single" w:sz="6" w:space="0" w:color="008000"/>
            </w:tcBorders>
            <w:shd w:val="clear" w:color="auto" w:fill="FFFFFF"/>
          </w:tcPr>
          <w:p w14:paraId="3461728F" w14:textId="3AB4AA49" w:rsidR="00EA2E5B" w:rsidRDefault="00EA2E5B" w:rsidP="00060D8C">
            <w:pPr>
              <w:pStyle w:val="CETBodytext"/>
              <w:spacing w:line="240" w:lineRule="auto"/>
              <w:jc w:val="center"/>
              <w:rPr>
                <w:b/>
                <w:bCs/>
                <w:lang w:val="en-GB"/>
              </w:rPr>
            </w:pPr>
            <w:r>
              <w:rPr>
                <w:b/>
                <w:bCs/>
                <w:lang w:val="en-GB"/>
              </w:rPr>
              <w:t>p value</w:t>
            </w:r>
          </w:p>
        </w:tc>
      </w:tr>
      <w:tr w:rsidR="00A57970" w:rsidRPr="00B57B36" w14:paraId="59DCDB00" w14:textId="77777777" w:rsidTr="00EA2E5B">
        <w:tc>
          <w:tcPr>
            <w:tcW w:w="1701" w:type="dxa"/>
            <w:tcBorders>
              <w:top w:val="single" w:sz="12" w:space="0" w:color="008000"/>
              <w:bottom w:val="single" w:sz="6" w:space="0" w:color="008000"/>
            </w:tcBorders>
            <w:shd w:val="clear" w:color="auto" w:fill="FFFFFF"/>
          </w:tcPr>
          <w:p w14:paraId="4536A4EA" w14:textId="66DD75A7" w:rsidR="00A57970" w:rsidRPr="000877A8" w:rsidRDefault="00A57970" w:rsidP="00060D8C">
            <w:pPr>
              <w:pStyle w:val="CETBodytext"/>
              <w:spacing w:line="240" w:lineRule="auto"/>
              <w:jc w:val="center"/>
              <w:rPr>
                <w:b/>
                <w:bCs/>
                <w:lang w:val="en-GB"/>
              </w:rPr>
            </w:pPr>
            <w:r>
              <w:rPr>
                <w:lang w:val="en-GB"/>
              </w:rPr>
              <w:t>Reference configuration</w:t>
            </w:r>
          </w:p>
        </w:tc>
        <w:tc>
          <w:tcPr>
            <w:tcW w:w="2127" w:type="dxa"/>
            <w:tcBorders>
              <w:top w:val="single" w:sz="12" w:space="0" w:color="008000"/>
              <w:bottom w:val="single" w:sz="6" w:space="0" w:color="008000"/>
            </w:tcBorders>
            <w:shd w:val="clear" w:color="auto" w:fill="FFFFFF"/>
          </w:tcPr>
          <w:p w14:paraId="222EC0D3" w14:textId="77777777" w:rsidR="00A57970" w:rsidRDefault="00A57970" w:rsidP="00060D8C">
            <w:pPr>
              <w:pStyle w:val="CETBodytext"/>
              <w:spacing w:line="240" w:lineRule="auto"/>
              <w:jc w:val="center"/>
              <w:rPr>
                <w:lang w:val="en-GB"/>
              </w:rPr>
            </w:pPr>
            <w:r>
              <w:rPr>
                <w:lang w:val="en-GB"/>
              </w:rPr>
              <w:t>Left border</w:t>
            </w:r>
          </w:p>
          <w:p w14:paraId="5C617DCC" w14:textId="76A81A38" w:rsidR="00A57970" w:rsidRPr="000877A8" w:rsidRDefault="00A57970" w:rsidP="00060D8C">
            <w:pPr>
              <w:pStyle w:val="CETBodytext"/>
              <w:spacing w:line="240" w:lineRule="auto"/>
              <w:jc w:val="center"/>
              <w:rPr>
                <w:b/>
                <w:bCs/>
                <w:lang w:val="en-GB"/>
              </w:rPr>
            </w:pPr>
            <w:r>
              <w:rPr>
                <w:rFonts w:cs="Arial"/>
                <w:szCs w:val="18"/>
                <w:lang w:val="en-GB"/>
              </w:rPr>
              <w:t>Right border</w:t>
            </w:r>
          </w:p>
        </w:tc>
        <w:tc>
          <w:tcPr>
            <w:tcW w:w="2127" w:type="dxa"/>
            <w:tcBorders>
              <w:top w:val="single" w:sz="12" w:space="0" w:color="008000"/>
              <w:bottom w:val="single" w:sz="6" w:space="0" w:color="008000"/>
            </w:tcBorders>
            <w:shd w:val="clear" w:color="auto" w:fill="FFFFFF"/>
          </w:tcPr>
          <w:p w14:paraId="33DE1246" w14:textId="77777777" w:rsidR="00A57970" w:rsidRDefault="00A57970" w:rsidP="00060D8C">
            <w:pPr>
              <w:pStyle w:val="CETBodytext"/>
              <w:spacing w:line="240" w:lineRule="auto"/>
              <w:jc w:val="center"/>
              <w:rPr>
                <w:lang w:val="it-IT"/>
              </w:rPr>
            </w:pPr>
            <w:r w:rsidRPr="00D25904">
              <w:rPr>
                <w:lang w:val="it-IT"/>
              </w:rPr>
              <w:t>13</w:t>
            </w:r>
            <w:r>
              <w:rPr>
                <w:lang w:val="it-IT"/>
              </w:rPr>
              <w:t>0.33</w:t>
            </w:r>
            <w:r w:rsidRPr="00D25904">
              <w:rPr>
                <w:lang w:val="it-IT"/>
              </w:rPr>
              <w:t xml:space="preserve"> ± </w:t>
            </w:r>
            <w:r>
              <w:rPr>
                <w:lang w:val="it-IT"/>
              </w:rPr>
              <w:t>37.72</w:t>
            </w:r>
          </w:p>
          <w:p w14:paraId="2323DE51" w14:textId="696FD3DB" w:rsidR="00A57970" w:rsidRDefault="00A57970" w:rsidP="00060D8C">
            <w:pPr>
              <w:pStyle w:val="CETBodytext"/>
              <w:spacing w:line="240" w:lineRule="auto"/>
              <w:jc w:val="center"/>
              <w:rPr>
                <w:b/>
                <w:bCs/>
                <w:lang w:val="en-GB"/>
              </w:rPr>
            </w:pPr>
            <w:r w:rsidRPr="00922492">
              <w:rPr>
                <w:rFonts w:cs="Arial"/>
                <w:szCs w:val="18"/>
                <w:lang w:val="it-IT"/>
              </w:rPr>
              <w:t>1</w:t>
            </w:r>
            <w:r>
              <w:rPr>
                <w:rFonts w:cs="Arial"/>
                <w:szCs w:val="18"/>
                <w:lang w:val="it-IT"/>
              </w:rPr>
              <w:t>37</w:t>
            </w:r>
            <w:r w:rsidRPr="00922492">
              <w:rPr>
                <w:rFonts w:cs="Arial"/>
                <w:szCs w:val="18"/>
                <w:lang w:val="it-IT"/>
              </w:rPr>
              <w:t xml:space="preserve"> ± 3</w:t>
            </w:r>
            <w:r>
              <w:rPr>
                <w:rFonts w:cs="Arial"/>
                <w:szCs w:val="18"/>
                <w:lang w:val="it-IT"/>
              </w:rPr>
              <w:t>1.32</w:t>
            </w:r>
          </w:p>
        </w:tc>
        <w:tc>
          <w:tcPr>
            <w:tcW w:w="2127" w:type="dxa"/>
            <w:tcBorders>
              <w:top w:val="single" w:sz="12" w:space="0" w:color="008000"/>
              <w:bottom w:val="single" w:sz="6" w:space="0" w:color="008000"/>
            </w:tcBorders>
            <w:shd w:val="clear" w:color="auto" w:fill="FFFFFF"/>
          </w:tcPr>
          <w:p w14:paraId="32148FC9" w14:textId="68DB5883" w:rsidR="00D768CA" w:rsidRPr="00323CBD" w:rsidRDefault="00057F8F" w:rsidP="00060D8C">
            <w:pPr>
              <w:pStyle w:val="CETBodytext"/>
              <w:spacing w:line="240" w:lineRule="auto"/>
              <w:jc w:val="center"/>
              <w:rPr>
                <w:rFonts w:cs="Arial"/>
                <w:szCs w:val="18"/>
                <w:lang w:val="it-IT"/>
              </w:rPr>
            </w:pPr>
            <w:r>
              <w:rPr>
                <w:rFonts w:cs="Arial"/>
                <w:szCs w:val="18"/>
                <w:lang w:val="it-IT"/>
              </w:rPr>
              <w:t>&gt;</w:t>
            </w:r>
            <w:r w:rsidR="00A57970">
              <w:rPr>
                <w:rFonts w:cs="Arial"/>
                <w:szCs w:val="18"/>
                <w:lang w:val="it-IT"/>
              </w:rPr>
              <w:t xml:space="preserve"> 0.0</w:t>
            </w:r>
            <w:r w:rsidR="00D768CA">
              <w:rPr>
                <w:rFonts w:cs="Arial"/>
                <w:szCs w:val="18"/>
                <w:lang w:val="it-IT"/>
              </w:rPr>
              <w:t>5</w:t>
            </w:r>
            <w:r w:rsidR="00323CBD">
              <w:rPr>
                <w:rFonts w:cs="Arial"/>
                <w:szCs w:val="18"/>
                <w:lang w:val="it-IT"/>
              </w:rPr>
              <w:t xml:space="preserve"> </w:t>
            </w:r>
          </w:p>
        </w:tc>
      </w:tr>
      <w:tr w:rsidR="00A57970" w:rsidRPr="00B57B36" w14:paraId="5E9392A1" w14:textId="076D5DBB" w:rsidTr="00EA2E5B">
        <w:tc>
          <w:tcPr>
            <w:tcW w:w="1701" w:type="dxa"/>
            <w:vMerge w:val="restart"/>
            <w:shd w:val="clear" w:color="auto" w:fill="FFFFFF"/>
          </w:tcPr>
          <w:p w14:paraId="6110C05E" w14:textId="1A0B7558" w:rsidR="00A57970" w:rsidRPr="00B57B36" w:rsidRDefault="00A57970" w:rsidP="00060D8C">
            <w:pPr>
              <w:pStyle w:val="CETBodytext"/>
              <w:spacing w:line="240" w:lineRule="auto"/>
              <w:ind w:right="-1"/>
              <w:jc w:val="center"/>
              <w:rPr>
                <w:lang w:val="en-GB"/>
              </w:rPr>
            </w:pPr>
            <w:r>
              <w:rPr>
                <w:lang w:val="en-GB"/>
              </w:rPr>
              <w:t>Modified configuration</w:t>
            </w:r>
          </w:p>
        </w:tc>
        <w:tc>
          <w:tcPr>
            <w:tcW w:w="2127" w:type="dxa"/>
            <w:shd w:val="clear" w:color="auto" w:fill="FFFFFF"/>
          </w:tcPr>
          <w:p w14:paraId="4D707475" w14:textId="0253D067" w:rsidR="00A57970" w:rsidRPr="00D25904" w:rsidRDefault="00D768CA" w:rsidP="00060D8C">
            <w:pPr>
              <w:pStyle w:val="CETBodytext"/>
              <w:spacing w:line="240" w:lineRule="auto"/>
              <w:jc w:val="center"/>
              <w:rPr>
                <w:lang w:val="it-IT"/>
              </w:rPr>
            </w:pPr>
            <w:r>
              <w:rPr>
                <w:rFonts w:cs="Arial"/>
                <w:szCs w:val="18"/>
                <w:lang w:val="en-GB"/>
              </w:rPr>
              <w:t>Exposed</w:t>
            </w:r>
            <w:r w:rsidR="00A57970">
              <w:rPr>
                <w:rFonts w:cs="Arial"/>
                <w:szCs w:val="18"/>
                <w:lang w:val="en-GB"/>
              </w:rPr>
              <w:t xml:space="preserve"> border</w:t>
            </w:r>
          </w:p>
        </w:tc>
        <w:tc>
          <w:tcPr>
            <w:tcW w:w="2127" w:type="dxa"/>
            <w:shd w:val="clear" w:color="auto" w:fill="FFFFFF"/>
          </w:tcPr>
          <w:p w14:paraId="4811666F" w14:textId="52D15609" w:rsidR="00A57970" w:rsidRPr="00922492" w:rsidRDefault="00D768CA" w:rsidP="00060D8C">
            <w:pPr>
              <w:pStyle w:val="CETBodytext"/>
              <w:spacing w:line="240" w:lineRule="auto"/>
              <w:jc w:val="center"/>
              <w:rPr>
                <w:lang w:val="it-IT"/>
              </w:rPr>
            </w:pPr>
            <w:r w:rsidRPr="00D25904">
              <w:rPr>
                <w:lang w:val="it-IT"/>
              </w:rPr>
              <w:t>134.6</w:t>
            </w:r>
            <w:r>
              <w:rPr>
                <w:lang w:val="it-IT"/>
              </w:rPr>
              <w:t>3</w:t>
            </w:r>
            <w:r w:rsidRPr="00D25904">
              <w:rPr>
                <w:lang w:val="it-IT"/>
              </w:rPr>
              <w:t xml:space="preserve"> ± 20.73</w:t>
            </w:r>
          </w:p>
        </w:tc>
        <w:tc>
          <w:tcPr>
            <w:tcW w:w="2127" w:type="dxa"/>
            <w:vMerge w:val="restart"/>
            <w:shd w:val="clear" w:color="auto" w:fill="FFFFFF"/>
          </w:tcPr>
          <w:p w14:paraId="09B194C5" w14:textId="4BE9F150" w:rsidR="00057F8F" w:rsidRPr="00323CBD" w:rsidRDefault="00057F8F" w:rsidP="00060D8C">
            <w:pPr>
              <w:pStyle w:val="CETBodytext"/>
              <w:spacing w:line="240" w:lineRule="auto"/>
              <w:ind w:right="-1"/>
              <w:jc w:val="center"/>
              <w:rPr>
                <w:rFonts w:cs="Arial"/>
                <w:szCs w:val="18"/>
                <w:lang w:val="it-IT"/>
              </w:rPr>
            </w:pPr>
            <w:r>
              <w:rPr>
                <w:rFonts w:cs="Arial"/>
                <w:szCs w:val="18"/>
                <w:lang w:val="it-IT"/>
              </w:rPr>
              <w:t>&lt;</w:t>
            </w:r>
            <w:r w:rsidR="00A57970">
              <w:rPr>
                <w:rFonts w:cs="Arial"/>
                <w:szCs w:val="18"/>
                <w:lang w:val="it-IT"/>
              </w:rPr>
              <w:t xml:space="preserve"> 0.</w:t>
            </w:r>
            <w:r w:rsidR="00D768CA">
              <w:rPr>
                <w:rFonts w:cs="Arial"/>
                <w:szCs w:val="18"/>
                <w:lang w:val="it-IT"/>
              </w:rPr>
              <w:t>0</w:t>
            </w:r>
            <w:r w:rsidR="00E31A59">
              <w:rPr>
                <w:rFonts w:cs="Arial"/>
                <w:szCs w:val="18"/>
                <w:lang w:val="it-IT"/>
              </w:rPr>
              <w:t>01</w:t>
            </w:r>
            <w:r w:rsidR="00323CBD">
              <w:rPr>
                <w:rFonts w:cs="Arial"/>
                <w:szCs w:val="18"/>
                <w:lang w:val="it-IT"/>
              </w:rPr>
              <w:t xml:space="preserve"> </w:t>
            </w:r>
          </w:p>
        </w:tc>
      </w:tr>
      <w:tr w:rsidR="00A57970" w:rsidRPr="00B57B36" w14:paraId="404D2555" w14:textId="451A917B" w:rsidTr="00EA2E5B">
        <w:tc>
          <w:tcPr>
            <w:tcW w:w="1701" w:type="dxa"/>
            <w:vMerge/>
            <w:shd w:val="clear" w:color="auto" w:fill="FFFFFF"/>
          </w:tcPr>
          <w:p w14:paraId="5E6D1050" w14:textId="5A196182" w:rsidR="00A57970" w:rsidRPr="00B57B36" w:rsidRDefault="00A57970" w:rsidP="00060D8C">
            <w:pPr>
              <w:pStyle w:val="CETBodytext"/>
              <w:spacing w:line="240" w:lineRule="auto"/>
              <w:ind w:right="-1"/>
              <w:jc w:val="center"/>
              <w:rPr>
                <w:rFonts w:cs="Arial"/>
                <w:szCs w:val="18"/>
                <w:lang w:val="en-GB"/>
              </w:rPr>
            </w:pPr>
          </w:p>
        </w:tc>
        <w:tc>
          <w:tcPr>
            <w:tcW w:w="2127" w:type="dxa"/>
            <w:shd w:val="clear" w:color="auto" w:fill="FFFFFF"/>
          </w:tcPr>
          <w:p w14:paraId="6ADC760B" w14:textId="3826D1F4" w:rsidR="00A57970" w:rsidRPr="00922492" w:rsidRDefault="00D768CA" w:rsidP="00060D8C">
            <w:pPr>
              <w:pStyle w:val="CETBodytext"/>
              <w:spacing w:line="240" w:lineRule="auto"/>
              <w:ind w:right="-1"/>
              <w:jc w:val="center"/>
              <w:rPr>
                <w:rFonts w:cs="Arial"/>
                <w:szCs w:val="18"/>
                <w:lang w:val="it-IT"/>
              </w:rPr>
            </w:pPr>
            <w:r>
              <w:rPr>
                <w:rFonts w:cs="Arial"/>
                <w:szCs w:val="18"/>
                <w:lang w:val="en-GB"/>
              </w:rPr>
              <w:t>Insulated</w:t>
            </w:r>
            <w:r w:rsidR="00A57970">
              <w:rPr>
                <w:rFonts w:cs="Arial"/>
                <w:szCs w:val="18"/>
                <w:lang w:val="en-GB"/>
              </w:rPr>
              <w:t xml:space="preserve"> border</w:t>
            </w:r>
          </w:p>
        </w:tc>
        <w:tc>
          <w:tcPr>
            <w:tcW w:w="2127" w:type="dxa"/>
            <w:shd w:val="clear" w:color="auto" w:fill="FFFFFF"/>
          </w:tcPr>
          <w:p w14:paraId="1917C77F" w14:textId="7F1868AF" w:rsidR="00A57970" w:rsidRPr="00922492" w:rsidRDefault="00D768CA" w:rsidP="00060D8C">
            <w:pPr>
              <w:pStyle w:val="CETBodytext"/>
              <w:spacing w:line="240" w:lineRule="auto"/>
              <w:ind w:right="-1"/>
              <w:jc w:val="center"/>
              <w:rPr>
                <w:rFonts w:cs="Arial"/>
                <w:szCs w:val="18"/>
                <w:lang w:val="it-IT"/>
              </w:rPr>
            </w:pPr>
            <w:r w:rsidRPr="00922492">
              <w:rPr>
                <w:rFonts w:cs="Arial"/>
                <w:szCs w:val="18"/>
                <w:lang w:val="it-IT"/>
              </w:rPr>
              <w:t>189.7</w:t>
            </w:r>
            <w:r>
              <w:rPr>
                <w:rFonts w:cs="Arial"/>
                <w:szCs w:val="18"/>
                <w:lang w:val="it-IT"/>
              </w:rPr>
              <w:t>6</w:t>
            </w:r>
            <w:r w:rsidRPr="00922492">
              <w:rPr>
                <w:rFonts w:cs="Arial"/>
                <w:szCs w:val="18"/>
                <w:lang w:val="it-IT"/>
              </w:rPr>
              <w:t xml:space="preserve"> ± 38</w:t>
            </w:r>
            <w:r>
              <w:rPr>
                <w:rFonts w:cs="Arial"/>
                <w:szCs w:val="18"/>
                <w:lang w:val="it-IT"/>
              </w:rPr>
              <w:t>.</w:t>
            </w:r>
            <w:r w:rsidRPr="00922492">
              <w:rPr>
                <w:rFonts w:cs="Arial"/>
                <w:szCs w:val="18"/>
                <w:lang w:val="it-IT"/>
              </w:rPr>
              <w:t>77</w:t>
            </w:r>
          </w:p>
        </w:tc>
        <w:tc>
          <w:tcPr>
            <w:tcW w:w="2127" w:type="dxa"/>
            <w:vMerge/>
            <w:shd w:val="clear" w:color="auto" w:fill="FFFFFF"/>
          </w:tcPr>
          <w:p w14:paraId="274BE291" w14:textId="56EB295D" w:rsidR="00A57970" w:rsidRPr="00922492" w:rsidRDefault="00A57970" w:rsidP="00060D8C">
            <w:pPr>
              <w:pStyle w:val="CETBodytext"/>
              <w:spacing w:line="240" w:lineRule="auto"/>
              <w:ind w:right="-1"/>
              <w:jc w:val="center"/>
              <w:rPr>
                <w:rFonts w:cs="Arial"/>
                <w:szCs w:val="18"/>
                <w:lang w:val="it-IT"/>
              </w:rPr>
            </w:pPr>
          </w:p>
        </w:tc>
      </w:tr>
    </w:tbl>
    <w:p w14:paraId="29F4B62D" w14:textId="1DF803A7" w:rsidR="00134B00" w:rsidRDefault="000113FC" w:rsidP="00060D8C">
      <w:pPr>
        <w:pStyle w:val="CETBodytext"/>
        <w:keepNext/>
        <w:spacing w:before="240" w:line="240" w:lineRule="auto"/>
        <w:jc w:val="left"/>
      </w:pPr>
      <w:r w:rsidRPr="000113FC">
        <w:rPr>
          <w:noProof/>
        </w:rPr>
        <w:drawing>
          <wp:inline distT="0" distB="0" distL="0" distR="0" wp14:anchorId="05553559" wp14:editId="0EC61FF2">
            <wp:extent cx="3814794" cy="2173941"/>
            <wp:effectExtent l="0" t="0" r="0" b="0"/>
            <wp:docPr id="1552185205" name="Immagine 1" descr="Immagine che contiene monocromatico, schermata, bianco e nero, stam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5205" name="Immagine 1" descr="Immagine che contiene monocromatico, schermata, bianco e nero, stampa&#10;&#10;Il contenuto generato dall'IA potrebbe non essere corretto."/>
                    <pic:cNvPicPr/>
                  </pic:nvPicPr>
                  <pic:blipFill rotWithShape="1">
                    <a:blip r:embed="rId17"/>
                    <a:srcRect b="-4714"/>
                    <a:stretch>
                      <a:fillRect/>
                    </a:stretch>
                  </pic:blipFill>
                  <pic:spPr bwMode="auto">
                    <a:xfrm>
                      <a:off x="0" y="0"/>
                      <a:ext cx="3875217" cy="2208374"/>
                    </a:xfrm>
                    <a:prstGeom prst="rect">
                      <a:avLst/>
                    </a:prstGeom>
                    <a:ln>
                      <a:noFill/>
                    </a:ln>
                    <a:extLst>
                      <a:ext uri="{53640926-AAD7-44D8-BBD7-CCE9431645EC}">
                        <a14:shadowObscured xmlns:a14="http://schemas.microsoft.com/office/drawing/2010/main"/>
                      </a:ext>
                    </a:extLst>
                  </pic:spPr>
                </pic:pic>
              </a:graphicData>
            </a:graphic>
          </wp:inline>
        </w:drawing>
      </w:r>
    </w:p>
    <w:p w14:paraId="07C48585" w14:textId="7EEFD296" w:rsidR="00B75C49" w:rsidRPr="00134B00" w:rsidRDefault="00314313" w:rsidP="00060D8C">
      <w:pPr>
        <w:pStyle w:val="Didascalia"/>
        <w:spacing w:after="240"/>
        <w:rPr>
          <w:rFonts w:cs="Arial"/>
          <w:b w:val="0"/>
          <w:bCs w:val="0"/>
          <w:i/>
          <w:iCs/>
          <w:color w:val="000000" w:themeColor="text1"/>
        </w:rPr>
      </w:pPr>
      <w:r>
        <w:rPr>
          <w:b w:val="0"/>
          <w:bCs w:val="0"/>
          <w:i/>
          <w:iCs/>
          <w:color w:val="000000" w:themeColor="text1"/>
        </w:rPr>
        <w:tab/>
      </w:r>
      <w:r w:rsidR="00134B00" w:rsidRPr="00134B00">
        <w:rPr>
          <w:b w:val="0"/>
          <w:bCs w:val="0"/>
          <w:i/>
          <w:iCs/>
          <w:color w:val="000000" w:themeColor="text1"/>
        </w:rPr>
        <w:t xml:space="preserve">Figure </w:t>
      </w:r>
      <w:r w:rsidR="005F1D89">
        <w:rPr>
          <w:b w:val="0"/>
          <w:bCs w:val="0"/>
          <w:i/>
          <w:iCs/>
          <w:color w:val="000000" w:themeColor="text1"/>
        </w:rPr>
        <w:t>5</w:t>
      </w:r>
      <w:r w:rsidR="00134B00" w:rsidRPr="00134B00">
        <w:rPr>
          <w:b w:val="0"/>
          <w:bCs w:val="0"/>
          <w:i/>
          <w:iCs/>
          <w:color w:val="000000" w:themeColor="text1"/>
        </w:rPr>
        <w:t>: SEM images of scaffold from the (a) reference configuration and (b) modified configuration</w:t>
      </w:r>
    </w:p>
    <w:p w14:paraId="68D26B83" w14:textId="65EDB7F2" w:rsidR="00600535" w:rsidRPr="00002799" w:rsidRDefault="00600535" w:rsidP="00060D8C">
      <w:pPr>
        <w:pStyle w:val="CETHeading1"/>
        <w:rPr>
          <w:lang w:val="en-GB"/>
        </w:rPr>
      </w:pPr>
      <w:r w:rsidRPr="00002799">
        <w:rPr>
          <w:lang w:val="en-GB"/>
        </w:rPr>
        <w:t>Conclusions</w:t>
      </w:r>
      <w:r w:rsidR="00B41A40" w:rsidRPr="00002799">
        <w:rPr>
          <w:lang w:val="en-GB"/>
        </w:rPr>
        <w:t xml:space="preserve"> </w:t>
      </w:r>
    </w:p>
    <w:p w14:paraId="3B41F829" w14:textId="77777777" w:rsidR="00C204D5" w:rsidRDefault="00FD0AAC" w:rsidP="00060D8C">
      <w:pPr>
        <w:pStyle w:val="CETHeadingxx"/>
        <w:spacing w:after="0" w:line="240" w:lineRule="auto"/>
        <w:jc w:val="both"/>
        <w:rPr>
          <w:b w:val="0"/>
          <w:bCs/>
          <w:lang w:val="en-GB"/>
        </w:rPr>
      </w:pPr>
      <w:r w:rsidRPr="001F62D5">
        <w:rPr>
          <w:b w:val="0"/>
          <w:bCs/>
        </w:rPr>
        <w:t xml:space="preserve">This study </w:t>
      </w:r>
      <w:r w:rsidR="00D32B47" w:rsidRPr="001F62D5">
        <w:rPr>
          <w:b w:val="0"/>
          <w:bCs/>
        </w:rPr>
        <w:t xml:space="preserve">compared two TIPS-based process configurations to investigate </w:t>
      </w:r>
      <w:r w:rsidR="00FD3FA9" w:rsidRPr="001F62D5">
        <w:rPr>
          <w:b w:val="0"/>
          <w:bCs/>
        </w:rPr>
        <w:t>the role of heat</w:t>
      </w:r>
      <w:r w:rsidR="006F65D8" w:rsidRPr="001F62D5">
        <w:rPr>
          <w:b w:val="0"/>
          <w:bCs/>
        </w:rPr>
        <w:t xml:space="preserve"> </w:t>
      </w:r>
      <w:r w:rsidR="00FD3FA9" w:rsidRPr="001F62D5">
        <w:rPr>
          <w:b w:val="0"/>
          <w:bCs/>
        </w:rPr>
        <w:t xml:space="preserve">transfer control on </w:t>
      </w:r>
      <w:r w:rsidR="005C4FE9" w:rsidRPr="001F62D5">
        <w:rPr>
          <w:b w:val="0"/>
          <w:bCs/>
        </w:rPr>
        <w:t xml:space="preserve">the </w:t>
      </w:r>
      <w:r w:rsidR="00FD3FA9" w:rsidRPr="001F62D5">
        <w:rPr>
          <w:b w:val="0"/>
          <w:bCs/>
        </w:rPr>
        <w:t>scaffold morphology and</w:t>
      </w:r>
      <w:r w:rsidR="00512D50" w:rsidRPr="001F62D5">
        <w:rPr>
          <w:b w:val="0"/>
          <w:bCs/>
        </w:rPr>
        <w:t xml:space="preserve"> its</w:t>
      </w:r>
      <w:r w:rsidR="00FD3FA9" w:rsidRPr="001F62D5">
        <w:rPr>
          <w:b w:val="0"/>
          <w:bCs/>
        </w:rPr>
        <w:t xml:space="preserve"> pore</w:t>
      </w:r>
      <w:r w:rsidR="00B770E8" w:rsidRPr="001F62D5">
        <w:rPr>
          <w:b w:val="0"/>
          <w:bCs/>
        </w:rPr>
        <w:t xml:space="preserve"> </w:t>
      </w:r>
      <w:r w:rsidR="00FD3FA9" w:rsidRPr="001F62D5">
        <w:rPr>
          <w:b w:val="0"/>
          <w:bCs/>
        </w:rPr>
        <w:t xml:space="preserve">size distribution. </w:t>
      </w:r>
      <w:r w:rsidR="00EA60DA" w:rsidRPr="001F62D5">
        <w:rPr>
          <w:b w:val="0"/>
          <w:bCs/>
        </w:rPr>
        <w:t>Without thermal insulation, t</w:t>
      </w:r>
      <w:r w:rsidR="00FD3FA9" w:rsidRPr="001F62D5">
        <w:rPr>
          <w:b w:val="0"/>
          <w:bCs/>
        </w:rPr>
        <w:t>he resul</w:t>
      </w:r>
      <w:r w:rsidR="00B44A7A" w:rsidRPr="001F62D5">
        <w:rPr>
          <w:b w:val="0"/>
          <w:bCs/>
        </w:rPr>
        <w:t>ts demonstrated that heat</w:t>
      </w:r>
      <w:r w:rsidR="00EA60DA" w:rsidRPr="001F62D5">
        <w:rPr>
          <w:b w:val="0"/>
          <w:bCs/>
        </w:rPr>
        <w:t xml:space="preserve"> </w:t>
      </w:r>
      <w:r w:rsidR="00B44A7A" w:rsidRPr="001F62D5">
        <w:rPr>
          <w:b w:val="0"/>
          <w:bCs/>
        </w:rPr>
        <w:t>transfer occurs symmetrically from all external surfaces</w:t>
      </w:r>
      <w:r w:rsidR="00BC7101" w:rsidRPr="001F62D5">
        <w:rPr>
          <w:b w:val="0"/>
          <w:bCs/>
        </w:rPr>
        <w:t>, leading to a centripetal cooling process and non-directional pore</w:t>
      </w:r>
      <w:r w:rsidR="00EA60DA" w:rsidRPr="001F62D5">
        <w:rPr>
          <w:b w:val="0"/>
          <w:bCs/>
        </w:rPr>
        <w:t xml:space="preserve"> </w:t>
      </w:r>
      <w:r w:rsidR="00BC7101" w:rsidRPr="001F62D5">
        <w:rPr>
          <w:b w:val="0"/>
          <w:bCs/>
        </w:rPr>
        <w:t xml:space="preserve">size distributions. </w:t>
      </w:r>
      <w:r w:rsidR="00E164EC" w:rsidRPr="001F62D5">
        <w:rPr>
          <w:b w:val="0"/>
          <w:bCs/>
        </w:rPr>
        <w:t xml:space="preserve">In contrast, the introduction of </w:t>
      </w:r>
      <w:r w:rsidR="00FB5200">
        <w:rPr>
          <w:b w:val="0"/>
          <w:bCs/>
        </w:rPr>
        <w:t xml:space="preserve">a </w:t>
      </w:r>
      <w:r w:rsidR="00E164EC" w:rsidRPr="001F62D5">
        <w:rPr>
          <w:b w:val="0"/>
          <w:bCs/>
        </w:rPr>
        <w:t xml:space="preserve">thermal insulating </w:t>
      </w:r>
      <w:r w:rsidR="0060717E" w:rsidRPr="001F62D5">
        <w:rPr>
          <w:b w:val="0"/>
          <w:bCs/>
        </w:rPr>
        <w:t>layer influenced</w:t>
      </w:r>
      <w:r w:rsidR="00AC6319" w:rsidRPr="001F62D5">
        <w:rPr>
          <w:b w:val="0"/>
          <w:bCs/>
        </w:rPr>
        <w:t xml:space="preserve"> the</w:t>
      </w:r>
      <w:r w:rsidR="0060717E" w:rsidRPr="001F62D5">
        <w:rPr>
          <w:b w:val="0"/>
          <w:bCs/>
        </w:rPr>
        <w:t xml:space="preserve"> heat</w:t>
      </w:r>
      <w:r w:rsidR="00AC6319" w:rsidRPr="001F62D5">
        <w:rPr>
          <w:b w:val="0"/>
          <w:bCs/>
        </w:rPr>
        <w:t xml:space="preserve"> </w:t>
      </w:r>
      <w:r w:rsidR="0060717E" w:rsidRPr="001F62D5">
        <w:rPr>
          <w:b w:val="0"/>
          <w:bCs/>
        </w:rPr>
        <w:t>transfer directionality</w:t>
      </w:r>
      <w:r w:rsidR="00960184" w:rsidRPr="001F62D5">
        <w:rPr>
          <w:b w:val="0"/>
          <w:bCs/>
        </w:rPr>
        <w:t>, promoting an asymmetric and progressive</w:t>
      </w:r>
      <w:r w:rsidR="00334888" w:rsidRPr="001F62D5">
        <w:rPr>
          <w:b w:val="0"/>
          <w:bCs/>
        </w:rPr>
        <w:t xml:space="preserve"> cooling front</w:t>
      </w:r>
      <w:r w:rsidR="00C51419" w:rsidRPr="001F62D5">
        <w:rPr>
          <w:b w:val="0"/>
          <w:bCs/>
        </w:rPr>
        <w:t xml:space="preserve"> across the scaffold thickness</w:t>
      </w:r>
      <w:r w:rsidR="00F0767E" w:rsidRPr="001F62D5">
        <w:rPr>
          <w:b w:val="0"/>
          <w:bCs/>
        </w:rPr>
        <w:t xml:space="preserve"> and enabling the formation of a continuous pore</w:t>
      </w:r>
      <w:r w:rsidR="008F3783" w:rsidRPr="001F62D5">
        <w:rPr>
          <w:b w:val="0"/>
          <w:bCs/>
        </w:rPr>
        <w:t xml:space="preserve"> </w:t>
      </w:r>
      <w:r w:rsidR="00F0767E" w:rsidRPr="001F62D5">
        <w:rPr>
          <w:b w:val="0"/>
          <w:bCs/>
        </w:rPr>
        <w:t xml:space="preserve">size </w:t>
      </w:r>
      <w:r w:rsidR="004668D6" w:rsidRPr="001F62D5">
        <w:rPr>
          <w:b w:val="0"/>
          <w:bCs/>
        </w:rPr>
        <w:t xml:space="preserve">gradient. </w:t>
      </w:r>
      <w:r w:rsidR="00312A1C" w:rsidRPr="00312A1C">
        <w:rPr>
          <w:b w:val="0"/>
          <w:bCs/>
          <w:lang w:val="en-GB"/>
        </w:rPr>
        <w:t>Experimentally, pore size increased from approximately 13</w:t>
      </w:r>
      <w:r w:rsidR="00312A1C">
        <w:rPr>
          <w:b w:val="0"/>
          <w:bCs/>
          <w:lang w:val="en-GB"/>
        </w:rPr>
        <w:t>5</w:t>
      </w:r>
      <w:r w:rsidR="00312A1C" w:rsidRPr="00312A1C">
        <w:rPr>
          <w:b w:val="0"/>
          <w:bCs/>
          <w:lang w:val="en-GB"/>
        </w:rPr>
        <w:t xml:space="preserve"> µm at the exposed border to about 190 µm towards the insulated side of the scaffold.</w:t>
      </w:r>
    </w:p>
    <w:p w14:paraId="0F5868B0" w14:textId="04D35A75" w:rsidR="00686132" w:rsidRPr="001F62D5" w:rsidRDefault="00686132" w:rsidP="00060D8C">
      <w:pPr>
        <w:pStyle w:val="CETHeadingxx"/>
        <w:spacing w:line="240" w:lineRule="auto"/>
        <w:jc w:val="both"/>
        <w:rPr>
          <w:b w:val="0"/>
          <w:bCs/>
        </w:rPr>
      </w:pPr>
      <w:r w:rsidRPr="001F62D5">
        <w:rPr>
          <w:b w:val="0"/>
          <w:bCs/>
        </w:rPr>
        <w:t>The proposed one-step TIPS</w:t>
      </w:r>
      <w:r w:rsidR="00AF4695" w:rsidRPr="001F62D5">
        <w:rPr>
          <w:b w:val="0"/>
          <w:bCs/>
        </w:rPr>
        <w:t xml:space="preserve"> approach </w:t>
      </w:r>
      <w:r w:rsidR="008F3783" w:rsidRPr="001F62D5">
        <w:rPr>
          <w:b w:val="0"/>
          <w:bCs/>
        </w:rPr>
        <w:t>is</w:t>
      </w:r>
      <w:r w:rsidR="00AF4695" w:rsidRPr="001F62D5">
        <w:rPr>
          <w:b w:val="0"/>
          <w:bCs/>
        </w:rPr>
        <w:t xml:space="preserve"> an effective stra</w:t>
      </w:r>
      <w:r w:rsidR="007D64E8" w:rsidRPr="001F62D5">
        <w:rPr>
          <w:b w:val="0"/>
          <w:bCs/>
        </w:rPr>
        <w:t xml:space="preserve">tegy </w:t>
      </w:r>
      <w:r w:rsidR="008F3783" w:rsidRPr="001F62D5">
        <w:rPr>
          <w:b w:val="0"/>
          <w:bCs/>
        </w:rPr>
        <w:t>for generating</w:t>
      </w:r>
      <w:r w:rsidR="00410965" w:rsidRPr="001F62D5">
        <w:rPr>
          <w:b w:val="0"/>
          <w:bCs/>
        </w:rPr>
        <w:t xml:space="preserve"> gradient porous architecture</w:t>
      </w:r>
      <w:r w:rsidR="008F3783" w:rsidRPr="001F62D5">
        <w:rPr>
          <w:b w:val="0"/>
          <w:bCs/>
        </w:rPr>
        <w:t>, eliminating</w:t>
      </w:r>
      <w:r w:rsidR="00410965" w:rsidRPr="001F62D5">
        <w:rPr>
          <w:b w:val="0"/>
          <w:bCs/>
        </w:rPr>
        <w:t xml:space="preserve"> the need for post-</w:t>
      </w:r>
      <w:r w:rsidR="00414F63" w:rsidRPr="001F62D5">
        <w:rPr>
          <w:b w:val="0"/>
          <w:bCs/>
        </w:rPr>
        <w:t>processing steps</w:t>
      </w:r>
      <w:r w:rsidR="00E94EAB" w:rsidRPr="001F62D5">
        <w:rPr>
          <w:b w:val="0"/>
          <w:bCs/>
        </w:rPr>
        <w:t>.</w:t>
      </w:r>
      <w:r w:rsidR="000370CD" w:rsidRPr="001F62D5">
        <w:rPr>
          <w:b w:val="0"/>
          <w:bCs/>
        </w:rPr>
        <w:t xml:space="preserve"> </w:t>
      </w:r>
      <w:r w:rsidR="00902BB7" w:rsidRPr="001F62D5">
        <w:rPr>
          <w:b w:val="0"/>
          <w:bCs/>
        </w:rPr>
        <w:t xml:space="preserve">Combined </w:t>
      </w:r>
      <w:r w:rsidR="000370CD" w:rsidRPr="001F62D5">
        <w:rPr>
          <w:b w:val="0"/>
          <w:bCs/>
        </w:rPr>
        <w:t>experimental and numerical analyses highlighted the central role of thermal history</w:t>
      </w:r>
      <w:r w:rsidR="00902BB7" w:rsidRPr="001F62D5">
        <w:rPr>
          <w:b w:val="0"/>
          <w:bCs/>
        </w:rPr>
        <w:t xml:space="preserve"> </w:t>
      </w:r>
      <w:r w:rsidR="000370CD" w:rsidRPr="001F62D5">
        <w:rPr>
          <w:b w:val="0"/>
          <w:bCs/>
        </w:rPr>
        <w:t xml:space="preserve">and </w:t>
      </w:r>
      <w:r w:rsidR="0083320A" w:rsidRPr="001F62D5">
        <w:rPr>
          <w:b w:val="0"/>
          <w:bCs/>
        </w:rPr>
        <w:t>controlled cooling direction in governing solidification dynamics and final scaffold morphology.</w:t>
      </w:r>
      <w:r w:rsidR="00B57FE1" w:rsidRPr="001F62D5">
        <w:rPr>
          <w:b w:val="0"/>
          <w:bCs/>
        </w:rPr>
        <w:t xml:space="preserve"> </w:t>
      </w:r>
      <w:r w:rsidR="00292E9C" w:rsidRPr="001F62D5">
        <w:rPr>
          <w:b w:val="0"/>
          <w:bCs/>
        </w:rPr>
        <w:t xml:space="preserve">These findings </w:t>
      </w:r>
      <w:r w:rsidR="001F62D5" w:rsidRPr="001F62D5">
        <w:rPr>
          <w:b w:val="0"/>
          <w:bCs/>
        </w:rPr>
        <w:t>suggest</w:t>
      </w:r>
      <w:r w:rsidR="00292E9C" w:rsidRPr="001F62D5">
        <w:rPr>
          <w:b w:val="0"/>
          <w:bCs/>
        </w:rPr>
        <w:t xml:space="preserve"> that directional thermal control during TIPS </w:t>
      </w:r>
      <w:r w:rsidR="004F2611" w:rsidRPr="001F62D5">
        <w:rPr>
          <w:b w:val="0"/>
          <w:bCs/>
        </w:rPr>
        <w:t>could</w:t>
      </w:r>
      <w:r w:rsidR="00292E9C" w:rsidRPr="001F62D5">
        <w:rPr>
          <w:b w:val="0"/>
          <w:bCs/>
        </w:rPr>
        <w:t xml:space="preserve"> be </w:t>
      </w:r>
      <w:r w:rsidR="00657B88" w:rsidRPr="001F62D5">
        <w:rPr>
          <w:b w:val="0"/>
          <w:bCs/>
        </w:rPr>
        <w:t>employed</w:t>
      </w:r>
      <w:r w:rsidR="009F462A" w:rsidRPr="001F62D5">
        <w:rPr>
          <w:b w:val="0"/>
          <w:bCs/>
        </w:rPr>
        <w:t xml:space="preserve"> as a versatile method </w:t>
      </w:r>
      <w:r w:rsidR="00657B88" w:rsidRPr="001F62D5">
        <w:rPr>
          <w:b w:val="0"/>
          <w:bCs/>
        </w:rPr>
        <w:t>for</w:t>
      </w:r>
      <w:r w:rsidR="009F462A" w:rsidRPr="001F62D5">
        <w:rPr>
          <w:b w:val="0"/>
          <w:bCs/>
        </w:rPr>
        <w:t xml:space="preserve"> </w:t>
      </w:r>
      <w:r w:rsidR="00D00CF8" w:rsidRPr="001F62D5">
        <w:rPr>
          <w:b w:val="0"/>
          <w:bCs/>
        </w:rPr>
        <w:t>engineer</w:t>
      </w:r>
      <w:r w:rsidR="00657B88" w:rsidRPr="001F62D5">
        <w:rPr>
          <w:b w:val="0"/>
          <w:bCs/>
        </w:rPr>
        <w:t>ing</w:t>
      </w:r>
      <w:r w:rsidR="00D00CF8" w:rsidRPr="001F62D5">
        <w:rPr>
          <w:b w:val="0"/>
          <w:bCs/>
        </w:rPr>
        <w:t xml:space="preserve"> continuous pore</w:t>
      </w:r>
      <w:r w:rsidR="00657B88" w:rsidRPr="001F62D5">
        <w:rPr>
          <w:b w:val="0"/>
          <w:bCs/>
        </w:rPr>
        <w:t xml:space="preserve"> </w:t>
      </w:r>
      <w:r w:rsidR="00D00CF8" w:rsidRPr="001F62D5">
        <w:rPr>
          <w:b w:val="0"/>
          <w:bCs/>
        </w:rPr>
        <w:t xml:space="preserve">size gradients. </w:t>
      </w:r>
    </w:p>
    <w:p w14:paraId="07A6D20F" w14:textId="13163BAB" w:rsidR="00B4643F" w:rsidRPr="00002799" w:rsidRDefault="00280FAF" w:rsidP="00060D8C">
      <w:pPr>
        <w:pStyle w:val="CETHeadingxx"/>
        <w:spacing w:line="240" w:lineRule="auto"/>
        <w:sectPr w:rsidR="00B4643F" w:rsidRPr="00002799" w:rsidSect="00500C56">
          <w:type w:val="continuous"/>
          <w:pgSz w:w="11906" w:h="16838" w:code="9"/>
          <w:pgMar w:top="1701" w:right="1418" w:bottom="1701" w:left="1701" w:header="1701" w:footer="0" w:gutter="0"/>
          <w:cols w:space="708"/>
          <w:formProt w:val="0"/>
          <w:titlePg/>
          <w:docGrid w:linePitch="360"/>
        </w:sectPr>
      </w:pPr>
      <w:r w:rsidRPr="00002799">
        <w:t>Nomenclature</w:t>
      </w:r>
    </w:p>
    <w:p w14:paraId="5D3C7FCF" w14:textId="7235399B" w:rsidR="00B4643F" w:rsidRPr="00002799" w:rsidRDefault="00B4643F" w:rsidP="00060D8C">
      <w:pPr>
        <w:pStyle w:val="CETBodytext"/>
        <w:spacing w:line="240" w:lineRule="auto"/>
        <w:rPr>
          <w:vertAlign w:val="superscript"/>
          <w:lang w:val="en-GB"/>
        </w:rPr>
      </w:pPr>
      <w:r w:rsidRPr="00002799">
        <w:rPr>
          <w:lang w:val="en-GB"/>
        </w:rPr>
        <w:t xml:space="preserve">ρ </w:t>
      </w:r>
      <w:r w:rsidR="00EC31F3" w:rsidRPr="00002799">
        <w:rPr>
          <w:lang w:val="en-GB"/>
        </w:rPr>
        <w:t>–</w:t>
      </w:r>
      <w:r w:rsidRPr="00002799">
        <w:rPr>
          <w:lang w:val="en-GB"/>
        </w:rPr>
        <w:t xml:space="preserve">density, </w:t>
      </w:r>
      <w:r w:rsidR="00E97DEC" w:rsidRPr="00002799">
        <w:rPr>
          <w:lang w:val="en-GB"/>
        </w:rPr>
        <w:t>kg/m</w:t>
      </w:r>
      <w:r w:rsidR="00E97DEC" w:rsidRPr="00002799">
        <w:rPr>
          <w:vertAlign w:val="superscript"/>
          <w:lang w:val="en-GB"/>
        </w:rPr>
        <w:t>3</w:t>
      </w:r>
    </w:p>
    <w:p w14:paraId="61BC44A7" w14:textId="3F5FFE6B" w:rsidR="00B4643F" w:rsidRPr="00002799" w:rsidRDefault="00B4643F" w:rsidP="00060D8C">
      <w:pPr>
        <w:pStyle w:val="CETBodytext"/>
        <w:spacing w:line="240" w:lineRule="auto"/>
        <w:rPr>
          <w:lang w:val="en-GB"/>
        </w:rPr>
      </w:pPr>
      <w:r w:rsidRPr="00002799">
        <w:rPr>
          <w:lang w:val="en-GB"/>
        </w:rPr>
        <w:t xml:space="preserve">cp </w:t>
      </w:r>
      <w:r w:rsidR="00EC31F3" w:rsidRPr="00002799">
        <w:rPr>
          <w:lang w:val="en-GB"/>
        </w:rPr>
        <w:t>–</w:t>
      </w:r>
      <w:r w:rsidRPr="00002799">
        <w:rPr>
          <w:lang w:val="en-GB"/>
        </w:rPr>
        <w:t xml:space="preserve"> specific heat</w:t>
      </w:r>
      <w:r w:rsidR="00F50C42" w:rsidRPr="00002799">
        <w:rPr>
          <w:lang w:val="en-GB"/>
        </w:rPr>
        <w:t xml:space="preserve"> capacity</w:t>
      </w:r>
      <w:r w:rsidR="00E97DEC" w:rsidRPr="00002799">
        <w:rPr>
          <w:lang w:val="en-GB"/>
        </w:rPr>
        <w:t xml:space="preserve">, </w:t>
      </w:r>
      <w:r w:rsidR="00D7472A" w:rsidRPr="00002799">
        <w:rPr>
          <w:lang w:val="en-GB"/>
        </w:rPr>
        <w:t>J/</w:t>
      </w:r>
      <w:r w:rsidR="00F50C42" w:rsidRPr="00002799">
        <w:rPr>
          <w:lang w:val="en-GB"/>
        </w:rPr>
        <w:t>(</w:t>
      </w:r>
      <w:proofErr w:type="spellStart"/>
      <w:r w:rsidR="00D7472A" w:rsidRPr="00002799">
        <w:rPr>
          <w:lang w:val="en-GB"/>
        </w:rPr>
        <w:t>kg</w:t>
      </w:r>
      <w:r w:rsidR="00A5092F" w:rsidRPr="00002799">
        <w:rPr>
          <w:rFonts w:ascii="Times New Roman" w:hAnsi="Times New Roman"/>
          <w:lang w:val="en-GB"/>
        </w:rPr>
        <w:t>·</w:t>
      </w:r>
      <w:r w:rsidR="00D7472A" w:rsidRPr="00002799">
        <w:rPr>
          <w:lang w:val="en-GB"/>
        </w:rPr>
        <w:t>K</w:t>
      </w:r>
      <w:proofErr w:type="spellEnd"/>
      <w:r w:rsidR="00F50C42" w:rsidRPr="00002799">
        <w:rPr>
          <w:lang w:val="en-GB"/>
        </w:rPr>
        <w:t>)</w:t>
      </w:r>
    </w:p>
    <w:p w14:paraId="7754CBDD" w14:textId="635E2589" w:rsidR="00D605C3" w:rsidRPr="00002799" w:rsidRDefault="00B4643F" w:rsidP="00060D8C">
      <w:pPr>
        <w:pStyle w:val="CETBodytext"/>
        <w:spacing w:line="240" w:lineRule="auto"/>
        <w:rPr>
          <w:lang w:val="en-GB"/>
        </w:rPr>
      </w:pPr>
      <w:r w:rsidRPr="00002799">
        <w:rPr>
          <w:lang w:val="en-GB"/>
        </w:rPr>
        <w:t xml:space="preserve">k </w:t>
      </w:r>
      <w:r w:rsidR="00EC31F3" w:rsidRPr="00002799">
        <w:rPr>
          <w:lang w:val="en-GB"/>
        </w:rPr>
        <w:t>–</w:t>
      </w:r>
      <w:r w:rsidRPr="00002799">
        <w:rPr>
          <w:lang w:val="en-GB"/>
        </w:rPr>
        <w:t xml:space="preserve"> thermal </w:t>
      </w:r>
      <w:r w:rsidR="00D605C3" w:rsidRPr="00002799">
        <w:rPr>
          <w:lang w:val="en-GB"/>
        </w:rPr>
        <w:t>conductivity</w:t>
      </w:r>
      <w:r w:rsidR="00D7472A" w:rsidRPr="00002799">
        <w:rPr>
          <w:lang w:val="en-GB"/>
        </w:rPr>
        <w:t>, W/</w:t>
      </w:r>
      <w:r w:rsidR="00F50C42" w:rsidRPr="00002799">
        <w:rPr>
          <w:lang w:val="en-GB"/>
        </w:rPr>
        <w:t>(</w:t>
      </w:r>
      <w:proofErr w:type="spellStart"/>
      <w:r w:rsidR="00D7472A" w:rsidRPr="00002799">
        <w:rPr>
          <w:lang w:val="en-GB"/>
        </w:rPr>
        <w:t>m</w:t>
      </w:r>
      <w:r w:rsidR="00A5092F" w:rsidRPr="00002799">
        <w:rPr>
          <w:rFonts w:ascii="Times New Roman" w:hAnsi="Times New Roman"/>
          <w:lang w:val="en-GB"/>
        </w:rPr>
        <w:t>·</w:t>
      </w:r>
      <w:r w:rsidR="00D7472A" w:rsidRPr="00002799">
        <w:rPr>
          <w:lang w:val="en-GB"/>
        </w:rPr>
        <w:t>K</w:t>
      </w:r>
      <w:proofErr w:type="spellEnd"/>
      <w:r w:rsidR="00F50C42" w:rsidRPr="00002799">
        <w:rPr>
          <w:lang w:val="en-GB"/>
        </w:rPr>
        <w:t>)</w:t>
      </w:r>
    </w:p>
    <w:p w14:paraId="7173608E" w14:textId="51FB46B5" w:rsidR="00D605C3" w:rsidRPr="00002799" w:rsidRDefault="00D605C3" w:rsidP="00060D8C">
      <w:pPr>
        <w:pStyle w:val="CETBodytext"/>
        <w:spacing w:line="240" w:lineRule="auto"/>
        <w:rPr>
          <w:lang w:val="en-GB"/>
        </w:rPr>
      </w:pPr>
      <w:r w:rsidRPr="00002799">
        <w:rPr>
          <w:lang w:val="en-GB"/>
        </w:rPr>
        <w:t xml:space="preserve">T – </w:t>
      </w:r>
      <w:r w:rsidR="00EC31F3" w:rsidRPr="00002799">
        <w:rPr>
          <w:lang w:val="en-GB"/>
        </w:rPr>
        <w:t>t</w:t>
      </w:r>
      <w:r w:rsidRPr="00002799">
        <w:rPr>
          <w:lang w:val="en-GB"/>
        </w:rPr>
        <w:t>emperature</w:t>
      </w:r>
      <w:r w:rsidR="00D7472A" w:rsidRPr="00002799">
        <w:rPr>
          <w:lang w:val="en-GB"/>
        </w:rPr>
        <w:t xml:space="preserve">, </w:t>
      </w:r>
      <w:r w:rsidR="00ED70CE">
        <w:rPr>
          <w:lang w:val="en-GB"/>
        </w:rPr>
        <w:t>°C</w:t>
      </w:r>
    </w:p>
    <w:p w14:paraId="7311980C" w14:textId="639B1C0A" w:rsidR="00D605C3" w:rsidRPr="00002799" w:rsidRDefault="00B220DE" w:rsidP="00060D8C">
      <w:pPr>
        <w:pStyle w:val="CETBodytext"/>
        <w:spacing w:line="240" w:lineRule="auto"/>
        <w:rPr>
          <w:lang w:val="en-GB"/>
        </w:rPr>
      </w:pPr>
      <w:r w:rsidRPr="00002799">
        <w:rPr>
          <w:lang w:val="en-GB"/>
        </w:rPr>
        <w:t>t – time</w:t>
      </w:r>
      <w:r w:rsidR="00EC31F3" w:rsidRPr="00002799">
        <w:rPr>
          <w:lang w:val="en-GB"/>
        </w:rPr>
        <w:t>, s</w:t>
      </w:r>
    </w:p>
    <w:p w14:paraId="4D30D7C0" w14:textId="73197446" w:rsidR="00B4643F" w:rsidRDefault="0023159E" w:rsidP="00060D8C">
      <w:pPr>
        <w:pStyle w:val="CETBodytext"/>
        <w:spacing w:line="240" w:lineRule="auto"/>
        <w:rPr>
          <w:lang w:val="en-GB"/>
        </w:rPr>
      </w:pPr>
      <w:r w:rsidRPr="00002799">
        <w:rPr>
          <w:lang w:val="en-GB"/>
        </w:rPr>
        <w:t>X, Y – spatial coordinates, m</w:t>
      </w:r>
    </w:p>
    <w:p w14:paraId="5781CE1C" w14:textId="77777777" w:rsidR="00F7561C" w:rsidRDefault="00F7561C" w:rsidP="00060D8C">
      <w:pPr>
        <w:pStyle w:val="CETBodytext"/>
        <w:spacing w:line="240" w:lineRule="auto"/>
        <w:rPr>
          <w:lang w:val="en-GB"/>
        </w:rPr>
      </w:pPr>
    </w:p>
    <w:p w14:paraId="330D4A04" w14:textId="280F0783" w:rsidR="00F7561C" w:rsidRPr="00C80357" w:rsidRDefault="00480B58" w:rsidP="00060D8C">
      <w:pPr>
        <w:pStyle w:val="CETBodytext"/>
        <w:spacing w:after="240" w:line="240" w:lineRule="auto"/>
        <w:rPr>
          <w:b/>
          <w:bCs/>
          <w:lang w:val="en-GB"/>
        </w:rPr>
      </w:pPr>
      <w:r w:rsidRPr="00C80357">
        <w:rPr>
          <w:b/>
          <w:bCs/>
          <w:lang w:val="en-GB"/>
        </w:rPr>
        <w:t>Acknowledgment</w:t>
      </w:r>
      <w:r>
        <w:rPr>
          <w:b/>
          <w:bCs/>
          <w:lang w:val="en-GB"/>
        </w:rPr>
        <w:t>s</w:t>
      </w:r>
    </w:p>
    <w:p w14:paraId="0F1797E9" w14:textId="1B88EED7" w:rsidR="00060D8C" w:rsidRPr="00126F9F" w:rsidRDefault="00E54E19" w:rsidP="00126F9F">
      <w:pPr>
        <w:pStyle w:val="CETBodytext"/>
        <w:spacing w:line="240" w:lineRule="auto"/>
        <w:rPr>
          <w:lang w:val="en-GB"/>
        </w:rPr>
      </w:pPr>
      <w:r>
        <w:rPr>
          <w:lang w:val="en-GB"/>
        </w:rPr>
        <w:t>E.I. would</w:t>
      </w:r>
      <w:r w:rsidR="00082C04">
        <w:rPr>
          <w:lang w:val="en-GB"/>
        </w:rPr>
        <w:t xml:space="preserve"> like to</w:t>
      </w:r>
      <w:r>
        <w:rPr>
          <w:lang w:val="en-GB"/>
        </w:rPr>
        <w:t xml:space="preserve"> thank </w:t>
      </w:r>
      <w:r w:rsidR="003902F8">
        <w:rPr>
          <w:lang w:val="en-GB"/>
        </w:rPr>
        <w:t>Dott</w:t>
      </w:r>
      <w:r>
        <w:rPr>
          <w:lang w:val="en-GB"/>
        </w:rPr>
        <w:t xml:space="preserve">. Dario Davì </w:t>
      </w:r>
      <w:r w:rsidR="00082C04">
        <w:rPr>
          <w:lang w:val="en-GB"/>
        </w:rPr>
        <w:t xml:space="preserve">for </w:t>
      </w:r>
      <w:r w:rsidR="00C80357">
        <w:rPr>
          <w:lang w:val="en-GB"/>
        </w:rPr>
        <w:t>his valuable contribution to the transient thermal analyses.</w:t>
      </w:r>
    </w:p>
    <w:p w14:paraId="19C4FC68" w14:textId="3C868135" w:rsidR="004628D2" w:rsidRDefault="00600535" w:rsidP="00060D8C">
      <w:pPr>
        <w:pStyle w:val="CETReference"/>
      </w:pPr>
      <w:r w:rsidRPr="00002799">
        <w:lastRenderedPageBreak/>
        <w:t>References</w:t>
      </w:r>
      <w:r w:rsidR="00952940" w:rsidRPr="00002799">
        <w:t xml:space="preserve"> </w:t>
      </w:r>
    </w:p>
    <w:p w14:paraId="1B9D8E5D" w14:textId="77777777" w:rsidR="005B4DC5" w:rsidRPr="005B4DC5" w:rsidRDefault="00D95C29" w:rsidP="00060D8C">
      <w:pPr>
        <w:pStyle w:val="Bibliografia"/>
      </w:pPr>
      <w:r>
        <w:fldChar w:fldCharType="begin"/>
      </w:r>
      <w:r w:rsidR="001B61C1">
        <w:instrText xml:space="preserve"> ADDIN ZOTERO_BIBL {"uncited":[],"omitted":[],"custom":[]} CSL_BIBLIOGRAPHY </w:instrText>
      </w:r>
      <w:r>
        <w:fldChar w:fldCharType="separate"/>
      </w:r>
      <w:r w:rsidR="005B4DC5" w:rsidRPr="005B4DC5">
        <w:t xml:space="preserve">Ansari, S., Khorshidi, S., &amp; Karkhaneh, A. (2019). Engineering of gradient osteochondral tissue: From nature to lab. </w:t>
      </w:r>
      <w:r w:rsidR="005B4DC5" w:rsidRPr="005B4DC5">
        <w:rPr>
          <w:i/>
          <w:iCs/>
        </w:rPr>
        <w:t>Acta Biomaterialia</w:t>
      </w:r>
      <w:r w:rsidR="005B4DC5" w:rsidRPr="005B4DC5">
        <w:t xml:space="preserve">, </w:t>
      </w:r>
      <w:r w:rsidR="005B4DC5" w:rsidRPr="005B4DC5">
        <w:rPr>
          <w:i/>
          <w:iCs/>
        </w:rPr>
        <w:t>87</w:t>
      </w:r>
      <w:r w:rsidR="005B4DC5" w:rsidRPr="005B4DC5">
        <w:t>, 41–54. https://doi.org/10.1016/j.actbio.2019.01.071</w:t>
      </w:r>
    </w:p>
    <w:p w14:paraId="066B39A4" w14:textId="77777777" w:rsidR="005B4DC5" w:rsidRPr="005B4DC5" w:rsidRDefault="005B4DC5" w:rsidP="00060D8C">
      <w:pPr>
        <w:pStyle w:val="Bibliografia"/>
      </w:pPr>
      <w:r w:rsidRPr="005B4DC5">
        <w:rPr>
          <w:lang w:val="it-IT"/>
        </w:rPr>
        <w:t xml:space="preserve">Carfì Pavia, F., La Carrubba, V., Piccarolo, S., &amp; Brucato, V. (2008). </w:t>
      </w:r>
      <w:r w:rsidRPr="005B4DC5">
        <w:t xml:space="preserve">Polymeric scaffolds prepared via thermally induced phase separation: Tuning of structure and morphology. </w:t>
      </w:r>
      <w:r w:rsidRPr="005B4DC5">
        <w:rPr>
          <w:i/>
          <w:iCs/>
        </w:rPr>
        <w:t>Journal of Biomedical Materials Research Part A</w:t>
      </w:r>
      <w:r w:rsidRPr="005B4DC5">
        <w:t xml:space="preserve">, </w:t>
      </w:r>
      <w:r w:rsidRPr="005B4DC5">
        <w:rPr>
          <w:i/>
          <w:iCs/>
        </w:rPr>
        <w:t>86A</w:t>
      </w:r>
      <w:r w:rsidRPr="005B4DC5">
        <w:t>(2), 459–466. https://doi.org/10.1002/jbm.a.31621</w:t>
      </w:r>
    </w:p>
    <w:p w14:paraId="5A8EF05D" w14:textId="77777777" w:rsidR="005B4DC5" w:rsidRPr="005B4DC5" w:rsidRDefault="005B4DC5" w:rsidP="00060D8C">
      <w:pPr>
        <w:pStyle w:val="Bibliografia"/>
      </w:pPr>
      <w:r w:rsidRPr="005B4DC5">
        <w:t xml:space="preserve">Chen, J. S., Tu, S. L., &amp; Tsay, R. Y. (2010). A morphological study of porous polylactide scaffolds prepared by thermally induced phase separation. </w:t>
      </w:r>
      <w:r w:rsidRPr="005B4DC5">
        <w:rPr>
          <w:i/>
          <w:iCs/>
        </w:rPr>
        <w:t>Journal of the Taiwan Institute of Chemical Engineers</w:t>
      </w:r>
      <w:r w:rsidRPr="005B4DC5">
        <w:t xml:space="preserve">, </w:t>
      </w:r>
      <w:r w:rsidRPr="005B4DC5">
        <w:rPr>
          <w:i/>
          <w:iCs/>
        </w:rPr>
        <w:t>41</w:t>
      </w:r>
      <w:r w:rsidRPr="005B4DC5">
        <w:t>(2), 229–238. https://doi.org/10.1016/j.jtice.2009.08.008</w:t>
      </w:r>
    </w:p>
    <w:p w14:paraId="38A80AEF" w14:textId="77777777" w:rsidR="005B4DC5" w:rsidRPr="005B4DC5" w:rsidRDefault="005B4DC5" w:rsidP="00060D8C">
      <w:pPr>
        <w:pStyle w:val="Bibliografia"/>
        <w:rPr>
          <w:lang w:val="it-IT"/>
        </w:rPr>
      </w:pPr>
      <w:r w:rsidRPr="005B4DC5">
        <w:t xml:space="preserve">Chen, L., Wei, L., Su, X., Qin, L., Xu, Z., Huang, X., Chen, H., &amp; Hu, N. (2023). Preparation and Characterization of Biomimetic Functional Scaffold with Gradient Structure for Osteochondral Defect Repair. </w:t>
      </w:r>
      <w:r w:rsidRPr="005B4DC5">
        <w:rPr>
          <w:i/>
          <w:iCs/>
          <w:lang w:val="it-IT"/>
        </w:rPr>
        <w:t>Bioengineering</w:t>
      </w:r>
      <w:r w:rsidRPr="005B4DC5">
        <w:rPr>
          <w:lang w:val="it-IT"/>
        </w:rPr>
        <w:t xml:space="preserve">, </w:t>
      </w:r>
      <w:r w:rsidRPr="005B4DC5">
        <w:rPr>
          <w:i/>
          <w:iCs/>
          <w:lang w:val="it-IT"/>
        </w:rPr>
        <w:t>10</w:t>
      </w:r>
      <w:r w:rsidRPr="005B4DC5">
        <w:rPr>
          <w:lang w:val="it-IT"/>
        </w:rPr>
        <w:t>(2), 213. https://doi.org/10.3390/bioengineering10020213</w:t>
      </w:r>
    </w:p>
    <w:p w14:paraId="21B842ED" w14:textId="77777777" w:rsidR="005B4DC5" w:rsidRPr="005B4DC5" w:rsidRDefault="005B4DC5" w:rsidP="00060D8C">
      <w:pPr>
        <w:pStyle w:val="Bibliografia"/>
      </w:pPr>
      <w:r w:rsidRPr="005B4DC5">
        <w:rPr>
          <w:lang w:val="it-IT"/>
        </w:rPr>
        <w:t xml:space="preserve">Conoscenti, G., Schneider, T., Stoelzel, K., Carfì Pavia, F., Brucato, V., Goegele, C., La Carrubba, V., &amp; Schulze-Tanzil, G. (2017). </w:t>
      </w:r>
      <w:r w:rsidRPr="005B4DC5">
        <w:t xml:space="preserve">PLLA scaffolds produced by thermally induced phase separation (TIPS) allow human chondrocyte growth and extracellular matrix formation dependent on pore size. </w:t>
      </w:r>
      <w:r w:rsidRPr="005B4DC5">
        <w:rPr>
          <w:i/>
          <w:iCs/>
        </w:rPr>
        <w:t>Materials Science and Engineering: C</w:t>
      </w:r>
      <w:r w:rsidRPr="005B4DC5">
        <w:t xml:space="preserve">, </w:t>
      </w:r>
      <w:r w:rsidRPr="005B4DC5">
        <w:rPr>
          <w:i/>
          <w:iCs/>
        </w:rPr>
        <w:t>80</w:t>
      </w:r>
      <w:r w:rsidRPr="005B4DC5">
        <w:t>, 449–459. https://doi.org/10.1016/j.msec.2017.06.011</w:t>
      </w:r>
    </w:p>
    <w:p w14:paraId="34EC383E" w14:textId="77777777" w:rsidR="005B4DC5" w:rsidRPr="005B4DC5" w:rsidRDefault="005B4DC5" w:rsidP="00060D8C">
      <w:pPr>
        <w:pStyle w:val="Bibliografia"/>
      </w:pPr>
      <w:r w:rsidRPr="005B4DC5">
        <w:t xml:space="preserve">Goates, J. R., &amp; Sullivan, R. J. (1958). Thermodynamic Properties of the System Water-p-Dioxane. </w:t>
      </w:r>
      <w:r w:rsidRPr="005B4DC5">
        <w:rPr>
          <w:i/>
          <w:iCs/>
        </w:rPr>
        <w:t>The Journal of Physical Chemistry</w:t>
      </w:r>
      <w:r w:rsidRPr="005B4DC5">
        <w:t xml:space="preserve">, </w:t>
      </w:r>
      <w:r w:rsidRPr="005B4DC5">
        <w:rPr>
          <w:i/>
          <w:iCs/>
        </w:rPr>
        <w:t>62</w:t>
      </w:r>
      <w:r w:rsidRPr="005B4DC5">
        <w:t>(2), 188–190. https://doi.org/10.1021/j150560a011</w:t>
      </w:r>
    </w:p>
    <w:p w14:paraId="65367A90" w14:textId="77777777" w:rsidR="005B4DC5" w:rsidRPr="005B4DC5" w:rsidRDefault="005B4DC5" w:rsidP="00060D8C">
      <w:pPr>
        <w:pStyle w:val="Bibliografia"/>
      </w:pPr>
      <w:r w:rsidRPr="005B4DC5">
        <w:t xml:space="preserve">La Carrubba, V., Carfì Pavia, F., Brucato, V., &amp; Piccarolo, S. (2008). PLLA/PLA scaffolds prepared via Thermally Induced Phase Separation (TIPS): Tuning of properties and biodegradability. </w:t>
      </w:r>
      <w:r w:rsidRPr="005B4DC5">
        <w:rPr>
          <w:i/>
          <w:iCs/>
        </w:rPr>
        <w:t>International Journal of Material Forming</w:t>
      </w:r>
      <w:r w:rsidRPr="005B4DC5">
        <w:t xml:space="preserve">, </w:t>
      </w:r>
      <w:r w:rsidRPr="005B4DC5">
        <w:rPr>
          <w:i/>
          <w:iCs/>
        </w:rPr>
        <w:t>1</w:t>
      </w:r>
      <w:r w:rsidRPr="005B4DC5">
        <w:t>(S1), 619–622. https://doi.org/10.1007/s12289-008-0332-5</w:t>
      </w:r>
    </w:p>
    <w:p w14:paraId="7608D08F" w14:textId="77777777" w:rsidR="005B4DC5" w:rsidRPr="005B4DC5" w:rsidRDefault="005B4DC5" w:rsidP="00060D8C">
      <w:pPr>
        <w:pStyle w:val="Bibliografia"/>
        <w:rPr>
          <w:lang w:val="it-IT"/>
        </w:rPr>
      </w:pPr>
      <w:r w:rsidRPr="005B4DC5">
        <w:rPr>
          <w:lang w:val="it-IT"/>
        </w:rPr>
        <w:t xml:space="preserve">Niu, X., Li, N., Du, Z., &amp; Li, X. (2023). </w:t>
      </w:r>
      <w:r w:rsidRPr="005B4DC5">
        <w:t xml:space="preserve">Integrated gradient tissue-engineered osteochondral scaffolds: Challenges, current efforts and future perspectives. </w:t>
      </w:r>
      <w:r w:rsidRPr="005B4DC5">
        <w:rPr>
          <w:i/>
          <w:iCs/>
          <w:lang w:val="it-IT"/>
        </w:rPr>
        <w:t>Bioactive Materials</w:t>
      </w:r>
      <w:r w:rsidRPr="005B4DC5">
        <w:rPr>
          <w:lang w:val="it-IT"/>
        </w:rPr>
        <w:t xml:space="preserve">, </w:t>
      </w:r>
      <w:r w:rsidRPr="005B4DC5">
        <w:rPr>
          <w:i/>
          <w:iCs/>
          <w:lang w:val="it-IT"/>
        </w:rPr>
        <w:t>20</w:t>
      </w:r>
      <w:r w:rsidRPr="005B4DC5">
        <w:rPr>
          <w:lang w:val="it-IT"/>
        </w:rPr>
        <w:t>, 574–597. https://doi.org/10.1016/j.bioactmat.2022.06.011</w:t>
      </w:r>
    </w:p>
    <w:p w14:paraId="4B35ED84" w14:textId="4DE7600C" w:rsidR="005B4DC5" w:rsidRPr="005B4DC5" w:rsidRDefault="005B4DC5" w:rsidP="00060D8C">
      <w:pPr>
        <w:pStyle w:val="Bibliografia"/>
      </w:pPr>
      <w:r w:rsidRPr="005B4DC5">
        <w:rPr>
          <w:lang w:val="it-IT"/>
        </w:rPr>
        <w:t xml:space="preserve">Rigogliuso, S., Carfì Pavia, F., Brucato, V., La Carrubba, V., Favia, P., Intranuovo, F., Gristina, R., &amp; Ghersi, G. (2012). </w:t>
      </w:r>
      <w:r w:rsidRPr="005B4DC5">
        <w:rPr>
          <w:i/>
          <w:iCs/>
        </w:rPr>
        <w:t>Use of Modified 3D Scaffolds to Improve Cell Adhesion and Drive Desired Cell Responses</w:t>
      </w:r>
      <w:r w:rsidRPr="005B4DC5">
        <w:t xml:space="preserve">. </w:t>
      </w:r>
      <w:r w:rsidRPr="005B4DC5">
        <w:rPr>
          <w:i/>
          <w:iCs/>
        </w:rPr>
        <w:t>Chemical Engineering Transactions</w:t>
      </w:r>
      <w:r w:rsidRPr="005B4DC5">
        <w:t>.</w:t>
      </w:r>
    </w:p>
    <w:p w14:paraId="168261A7" w14:textId="5D07873D" w:rsidR="00D95C29" w:rsidRPr="00D95C29" w:rsidRDefault="00D95C29" w:rsidP="00060D8C">
      <w:pPr>
        <w:pStyle w:val="CETReference"/>
      </w:pPr>
      <w:r>
        <w:fldChar w:fldCharType="end"/>
      </w:r>
    </w:p>
    <w:sectPr w:rsidR="00D95C29" w:rsidRPr="00D95C29"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53AEF" w14:textId="77777777" w:rsidR="00AB03E0" w:rsidRPr="00002799" w:rsidRDefault="00AB03E0" w:rsidP="004F5E36">
      <w:r w:rsidRPr="00002799">
        <w:separator/>
      </w:r>
    </w:p>
  </w:endnote>
  <w:endnote w:type="continuationSeparator" w:id="0">
    <w:p w14:paraId="7FC7391B" w14:textId="77777777" w:rsidR="00AB03E0" w:rsidRPr="00002799" w:rsidRDefault="00AB03E0" w:rsidP="004F5E36">
      <w:r w:rsidRPr="0000279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B0EFD" w14:textId="77777777" w:rsidR="00AB03E0" w:rsidRPr="00002799" w:rsidRDefault="00AB03E0" w:rsidP="004F5E36">
      <w:r w:rsidRPr="00002799">
        <w:separator/>
      </w:r>
    </w:p>
  </w:footnote>
  <w:footnote w:type="continuationSeparator" w:id="0">
    <w:p w14:paraId="6AD2AECE" w14:textId="77777777" w:rsidR="00AB03E0" w:rsidRPr="00002799" w:rsidRDefault="00AB03E0" w:rsidP="004F5E36">
      <w:r w:rsidRPr="0000279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0E05F70"/>
    <w:multiLevelType w:val="hybridMultilevel"/>
    <w:tmpl w:val="E3A0EC8A"/>
    <w:lvl w:ilvl="0" w:tplc="11B6F87A">
      <w:start w:val="3"/>
      <w:numFmt w:val="bullet"/>
      <w:lvlText w:val="-"/>
      <w:lvlJc w:val="left"/>
      <w:pPr>
        <w:ind w:left="800" w:hanging="360"/>
      </w:pPr>
      <w:rPr>
        <w:rFonts w:ascii="Arial" w:eastAsia="Times New Roman" w:hAnsi="Arial" w:cs="Aria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2438217E"/>
    <w:multiLevelType w:val="multilevel"/>
    <w:tmpl w:val="E54ACE8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851"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9FE1EBE"/>
    <w:multiLevelType w:val="hybridMultilevel"/>
    <w:tmpl w:val="D00CFDA4"/>
    <w:lvl w:ilvl="0" w:tplc="07AA4B1A">
      <w:numFmt w:val="bullet"/>
      <w:lvlText w:val="-"/>
      <w:lvlJc w:val="left"/>
      <w:pPr>
        <w:ind w:left="440" w:hanging="440"/>
      </w:pPr>
      <w:rPr>
        <w:rFonts w:ascii="Aptos" w:eastAsiaTheme="minorHAnsi" w:hAnsi="Aptos" w:cstheme="minorBid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A531385"/>
    <w:multiLevelType w:val="hybridMultilevel"/>
    <w:tmpl w:val="248695FC"/>
    <w:lvl w:ilvl="0" w:tplc="07AA4B1A">
      <w:numFmt w:val="bullet"/>
      <w:lvlText w:val="-"/>
      <w:lvlJc w:val="left"/>
      <w:pPr>
        <w:ind w:left="880" w:hanging="440"/>
      </w:pPr>
      <w:rPr>
        <w:rFonts w:ascii="Aptos" w:eastAsiaTheme="minorHAnsi" w:hAnsi="Aptos" w:cstheme="minorBid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432E40"/>
    <w:multiLevelType w:val="hybridMultilevel"/>
    <w:tmpl w:val="2DE2AFA2"/>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70855D9A"/>
    <w:multiLevelType w:val="hybridMultilevel"/>
    <w:tmpl w:val="E6FCDF08"/>
    <w:lvl w:ilvl="0" w:tplc="07AA4B1A">
      <w:numFmt w:val="bullet"/>
      <w:lvlText w:val="-"/>
      <w:lvlJc w:val="left"/>
      <w:pPr>
        <w:ind w:left="880" w:hanging="440"/>
      </w:pPr>
      <w:rPr>
        <w:rFonts w:ascii="Aptos" w:eastAsiaTheme="minorHAnsi" w:hAnsi="Aptos" w:cstheme="minorBid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 w15:restartNumberingAfterBreak="0">
    <w:nsid w:val="7E6B2CBF"/>
    <w:multiLevelType w:val="hybridMultilevel"/>
    <w:tmpl w:val="8876B60C"/>
    <w:lvl w:ilvl="0" w:tplc="07AA4B1A">
      <w:numFmt w:val="bullet"/>
      <w:lvlText w:val="-"/>
      <w:lvlJc w:val="left"/>
      <w:pPr>
        <w:ind w:left="880" w:hanging="440"/>
      </w:pPr>
      <w:rPr>
        <w:rFonts w:ascii="Aptos" w:eastAsiaTheme="minorHAnsi" w:hAnsi="Aptos" w:cstheme="minorBid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4"/>
  </w:num>
  <w:num w:numId="14" w16cid:durableId="145903400">
    <w:abstractNumId w:val="21"/>
  </w:num>
  <w:num w:numId="15" w16cid:durableId="19162326">
    <w:abstractNumId w:val="23"/>
  </w:num>
  <w:num w:numId="16" w16cid:durableId="1977102699">
    <w:abstractNumId w:val="22"/>
  </w:num>
  <w:num w:numId="17" w16cid:durableId="860774865">
    <w:abstractNumId w:val="13"/>
  </w:num>
  <w:num w:numId="18" w16cid:durableId="313221457">
    <w:abstractNumId w:val="14"/>
    <w:lvlOverride w:ilvl="0">
      <w:startOverride w:val="1"/>
    </w:lvlOverride>
  </w:num>
  <w:num w:numId="19" w16cid:durableId="534971577">
    <w:abstractNumId w:val="19"/>
  </w:num>
  <w:num w:numId="20" w16cid:durableId="1150947773">
    <w:abstractNumId w:val="18"/>
  </w:num>
  <w:num w:numId="21" w16cid:durableId="124660497">
    <w:abstractNumId w:val="16"/>
  </w:num>
  <w:num w:numId="22" w16cid:durableId="2099861471">
    <w:abstractNumId w:val="15"/>
  </w:num>
  <w:num w:numId="23" w16cid:durableId="702290305">
    <w:abstractNumId w:val="12"/>
  </w:num>
  <w:num w:numId="24" w16cid:durableId="725300650">
    <w:abstractNumId w:val="26"/>
  </w:num>
  <w:num w:numId="25" w16cid:durableId="2008094717">
    <w:abstractNumId w:val="24"/>
  </w:num>
  <w:num w:numId="26" w16cid:durableId="825441907">
    <w:abstractNumId w:val="25"/>
  </w:num>
  <w:num w:numId="27" w16cid:durableId="1830486260">
    <w:abstractNumId w:val="17"/>
  </w:num>
  <w:num w:numId="28" w16cid:durableId="19547068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22B"/>
    <w:rsid w:val="00002799"/>
    <w:rsid w:val="000027C0"/>
    <w:rsid w:val="000052FB"/>
    <w:rsid w:val="00005884"/>
    <w:rsid w:val="00005A19"/>
    <w:rsid w:val="000113FC"/>
    <w:rsid w:val="000116EE"/>
    <w:rsid w:val="000117CB"/>
    <w:rsid w:val="00016A98"/>
    <w:rsid w:val="00016B1B"/>
    <w:rsid w:val="0002410B"/>
    <w:rsid w:val="00026E02"/>
    <w:rsid w:val="00027D8E"/>
    <w:rsid w:val="0003148D"/>
    <w:rsid w:val="00031EEC"/>
    <w:rsid w:val="00032665"/>
    <w:rsid w:val="00032D54"/>
    <w:rsid w:val="00036B4B"/>
    <w:rsid w:val="000370CD"/>
    <w:rsid w:val="00037B90"/>
    <w:rsid w:val="000475AF"/>
    <w:rsid w:val="00051566"/>
    <w:rsid w:val="00052E9A"/>
    <w:rsid w:val="000562A9"/>
    <w:rsid w:val="00056578"/>
    <w:rsid w:val="00056EA2"/>
    <w:rsid w:val="000570B2"/>
    <w:rsid w:val="00057325"/>
    <w:rsid w:val="00057D80"/>
    <w:rsid w:val="00057F8F"/>
    <w:rsid w:val="00060D8C"/>
    <w:rsid w:val="00061951"/>
    <w:rsid w:val="000624E5"/>
    <w:rsid w:val="00062A9A"/>
    <w:rsid w:val="00063186"/>
    <w:rsid w:val="00065058"/>
    <w:rsid w:val="000706E4"/>
    <w:rsid w:val="00071D22"/>
    <w:rsid w:val="00073396"/>
    <w:rsid w:val="00073B8F"/>
    <w:rsid w:val="00075C80"/>
    <w:rsid w:val="00077879"/>
    <w:rsid w:val="00080B41"/>
    <w:rsid w:val="0008264F"/>
    <w:rsid w:val="00082C04"/>
    <w:rsid w:val="0008310C"/>
    <w:rsid w:val="0008357C"/>
    <w:rsid w:val="00084C8B"/>
    <w:rsid w:val="000850CA"/>
    <w:rsid w:val="00086C39"/>
    <w:rsid w:val="000877A8"/>
    <w:rsid w:val="0008798C"/>
    <w:rsid w:val="00090D6C"/>
    <w:rsid w:val="00091FF2"/>
    <w:rsid w:val="0009348C"/>
    <w:rsid w:val="0009382A"/>
    <w:rsid w:val="000A03B2"/>
    <w:rsid w:val="000A088A"/>
    <w:rsid w:val="000A1738"/>
    <w:rsid w:val="000A1DAC"/>
    <w:rsid w:val="000A42E9"/>
    <w:rsid w:val="000A4CDE"/>
    <w:rsid w:val="000B1213"/>
    <w:rsid w:val="000B1516"/>
    <w:rsid w:val="000B2DCF"/>
    <w:rsid w:val="000B6E32"/>
    <w:rsid w:val="000B7059"/>
    <w:rsid w:val="000B7E15"/>
    <w:rsid w:val="000C1216"/>
    <w:rsid w:val="000C504E"/>
    <w:rsid w:val="000C5DDF"/>
    <w:rsid w:val="000D0268"/>
    <w:rsid w:val="000D34BE"/>
    <w:rsid w:val="000D3B12"/>
    <w:rsid w:val="000D3EC0"/>
    <w:rsid w:val="000E05A4"/>
    <w:rsid w:val="000E102F"/>
    <w:rsid w:val="000E36F1"/>
    <w:rsid w:val="000E3A73"/>
    <w:rsid w:val="000E414A"/>
    <w:rsid w:val="000E607D"/>
    <w:rsid w:val="000E75CE"/>
    <w:rsid w:val="000E75FD"/>
    <w:rsid w:val="000F013F"/>
    <w:rsid w:val="000F093C"/>
    <w:rsid w:val="000F14DF"/>
    <w:rsid w:val="000F5341"/>
    <w:rsid w:val="000F6C06"/>
    <w:rsid w:val="000F787B"/>
    <w:rsid w:val="00103105"/>
    <w:rsid w:val="00103C0B"/>
    <w:rsid w:val="00106138"/>
    <w:rsid w:val="00107248"/>
    <w:rsid w:val="00110E88"/>
    <w:rsid w:val="0012091F"/>
    <w:rsid w:val="00123230"/>
    <w:rsid w:val="00123D63"/>
    <w:rsid w:val="00124AAD"/>
    <w:rsid w:val="0012560E"/>
    <w:rsid w:val="00126BC2"/>
    <w:rsid w:val="00126F9F"/>
    <w:rsid w:val="001308B6"/>
    <w:rsid w:val="001310DE"/>
    <w:rsid w:val="0013121F"/>
    <w:rsid w:val="00131FE6"/>
    <w:rsid w:val="0013263F"/>
    <w:rsid w:val="001331DF"/>
    <w:rsid w:val="00134B00"/>
    <w:rsid w:val="00134DE4"/>
    <w:rsid w:val="00136D61"/>
    <w:rsid w:val="00137533"/>
    <w:rsid w:val="0014034D"/>
    <w:rsid w:val="00140CEC"/>
    <w:rsid w:val="00140FE3"/>
    <w:rsid w:val="0014133A"/>
    <w:rsid w:val="00141B75"/>
    <w:rsid w:val="00142A99"/>
    <w:rsid w:val="00144D16"/>
    <w:rsid w:val="00145548"/>
    <w:rsid w:val="00145636"/>
    <w:rsid w:val="00147616"/>
    <w:rsid w:val="00147E0F"/>
    <w:rsid w:val="00150E59"/>
    <w:rsid w:val="00152A8B"/>
    <w:rsid w:val="00152DE3"/>
    <w:rsid w:val="001530F9"/>
    <w:rsid w:val="00153E63"/>
    <w:rsid w:val="00155457"/>
    <w:rsid w:val="00155D77"/>
    <w:rsid w:val="00156A39"/>
    <w:rsid w:val="00164745"/>
    <w:rsid w:val="00164CF9"/>
    <w:rsid w:val="00165FC0"/>
    <w:rsid w:val="001667A6"/>
    <w:rsid w:val="00172B4F"/>
    <w:rsid w:val="00180027"/>
    <w:rsid w:val="00180434"/>
    <w:rsid w:val="0018460E"/>
    <w:rsid w:val="00184AD6"/>
    <w:rsid w:val="001861CA"/>
    <w:rsid w:val="001864BC"/>
    <w:rsid w:val="00187D89"/>
    <w:rsid w:val="00191088"/>
    <w:rsid w:val="00192B0F"/>
    <w:rsid w:val="00194C87"/>
    <w:rsid w:val="00196494"/>
    <w:rsid w:val="001A0F60"/>
    <w:rsid w:val="001A1D15"/>
    <w:rsid w:val="001A42B2"/>
    <w:rsid w:val="001A4AF7"/>
    <w:rsid w:val="001A5E16"/>
    <w:rsid w:val="001A6BD8"/>
    <w:rsid w:val="001B0349"/>
    <w:rsid w:val="001B059E"/>
    <w:rsid w:val="001B0F67"/>
    <w:rsid w:val="001B1E93"/>
    <w:rsid w:val="001B32E9"/>
    <w:rsid w:val="001B61C1"/>
    <w:rsid w:val="001B65C1"/>
    <w:rsid w:val="001C0B74"/>
    <w:rsid w:val="001C0EAA"/>
    <w:rsid w:val="001C161A"/>
    <w:rsid w:val="001C2104"/>
    <w:rsid w:val="001C2177"/>
    <w:rsid w:val="001C260F"/>
    <w:rsid w:val="001C2A26"/>
    <w:rsid w:val="001C33F1"/>
    <w:rsid w:val="001C46D7"/>
    <w:rsid w:val="001C5D7D"/>
    <w:rsid w:val="001C684B"/>
    <w:rsid w:val="001D04D2"/>
    <w:rsid w:val="001D0CFB"/>
    <w:rsid w:val="001D21AF"/>
    <w:rsid w:val="001D50C9"/>
    <w:rsid w:val="001D53FC"/>
    <w:rsid w:val="001D5F77"/>
    <w:rsid w:val="001E0250"/>
    <w:rsid w:val="001E0482"/>
    <w:rsid w:val="001E2581"/>
    <w:rsid w:val="001E319C"/>
    <w:rsid w:val="001E36A9"/>
    <w:rsid w:val="001E4BB1"/>
    <w:rsid w:val="001E61B7"/>
    <w:rsid w:val="001E62A6"/>
    <w:rsid w:val="001E7BAE"/>
    <w:rsid w:val="001F0983"/>
    <w:rsid w:val="001F222E"/>
    <w:rsid w:val="001F32C9"/>
    <w:rsid w:val="001F3631"/>
    <w:rsid w:val="001F42A5"/>
    <w:rsid w:val="001F62D5"/>
    <w:rsid w:val="001F7B9D"/>
    <w:rsid w:val="00201C93"/>
    <w:rsid w:val="002031BA"/>
    <w:rsid w:val="0020330C"/>
    <w:rsid w:val="00203BD5"/>
    <w:rsid w:val="00207160"/>
    <w:rsid w:val="0021169D"/>
    <w:rsid w:val="00211743"/>
    <w:rsid w:val="00212D72"/>
    <w:rsid w:val="0021566E"/>
    <w:rsid w:val="00217797"/>
    <w:rsid w:val="002224B4"/>
    <w:rsid w:val="00224860"/>
    <w:rsid w:val="00225A8E"/>
    <w:rsid w:val="0023010C"/>
    <w:rsid w:val="0023159E"/>
    <w:rsid w:val="002367AF"/>
    <w:rsid w:val="002369B8"/>
    <w:rsid w:val="0023758E"/>
    <w:rsid w:val="002423B8"/>
    <w:rsid w:val="00242A35"/>
    <w:rsid w:val="002447EF"/>
    <w:rsid w:val="00246733"/>
    <w:rsid w:val="00251550"/>
    <w:rsid w:val="00251B17"/>
    <w:rsid w:val="002522BB"/>
    <w:rsid w:val="00252516"/>
    <w:rsid w:val="00255F49"/>
    <w:rsid w:val="00257246"/>
    <w:rsid w:val="00263B05"/>
    <w:rsid w:val="00265183"/>
    <w:rsid w:val="0027221A"/>
    <w:rsid w:val="00275B61"/>
    <w:rsid w:val="00275D27"/>
    <w:rsid w:val="0028022D"/>
    <w:rsid w:val="00280871"/>
    <w:rsid w:val="00280FAF"/>
    <w:rsid w:val="00282656"/>
    <w:rsid w:val="00282DF7"/>
    <w:rsid w:val="00291E39"/>
    <w:rsid w:val="0029215D"/>
    <w:rsid w:val="00292E9C"/>
    <w:rsid w:val="00294B49"/>
    <w:rsid w:val="00296B83"/>
    <w:rsid w:val="0029766B"/>
    <w:rsid w:val="002A4F54"/>
    <w:rsid w:val="002A765C"/>
    <w:rsid w:val="002B0E55"/>
    <w:rsid w:val="002B0FCF"/>
    <w:rsid w:val="002B17DC"/>
    <w:rsid w:val="002B4015"/>
    <w:rsid w:val="002B6E1D"/>
    <w:rsid w:val="002B78CE"/>
    <w:rsid w:val="002C01B6"/>
    <w:rsid w:val="002C113D"/>
    <w:rsid w:val="002C2FB6"/>
    <w:rsid w:val="002C46AB"/>
    <w:rsid w:val="002C6749"/>
    <w:rsid w:val="002C6A91"/>
    <w:rsid w:val="002D28AA"/>
    <w:rsid w:val="002D2A07"/>
    <w:rsid w:val="002D2E91"/>
    <w:rsid w:val="002D316F"/>
    <w:rsid w:val="002D5C53"/>
    <w:rsid w:val="002E00F0"/>
    <w:rsid w:val="002E0FB2"/>
    <w:rsid w:val="002E1554"/>
    <w:rsid w:val="002E5B49"/>
    <w:rsid w:val="002E5FA7"/>
    <w:rsid w:val="002E6204"/>
    <w:rsid w:val="002E6BD3"/>
    <w:rsid w:val="002F2650"/>
    <w:rsid w:val="002F3309"/>
    <w:rsid w:val="002F3EFA"/>
    <w:rsid w:val="002F4277"/>
    <w:rsid w:val="002F7DF8"/>
    <w:rsid w:val="003008CE"/>
    <w:rsid w:val="003009B7"/>
    <w:rsid w:val="00300DB3"/>
    <w:rsid w:val="00300E56"/>
    <w:rsid w:val="0030152C"/>
    <w:rsid w:val="00302DE5"/>
    <w:rsid w:val="00303FA3"/>
    <w:rsid w:val="0030469C"/>
    <w:rsid w:val="00305737"/>
    <w:rsid w:val="0030772D"/>
    <w:rsid w:val="00312A1C"/>
    <w:rsid w:val="00313799"/>
    <w:rsid w:val="00314313"/>
    <w:rsid w:val="00321CA6"/>
    <w:rsid w:val="00323763"/>
    <w:rsid w:val="00323C5F"/>
    <w:rsid w:val="00323CBD"/>
    <w:rsid w:val="0032439C"/>
    <w:rsid w:val="00325F2D"/>
    <w:rsid w:val="00325FE4"/>
    <w:rsid w:val="0032697A"/>
    <w:rsid w:val="003314F0"/>
    <w:rsid w:val="00331576"/>
    <w:rsid w:val="00334888"/>
    <w:rsid w:val="003348DC"/>
    <w:rsid w:val="003348FA"/>
    <w:rsid w:val="00334C09"/>
    <w:rsid w:val="00335460"/>
    <w:rsid w:val="00346BE2"/>
    <w:rsid w:val="00346F8A"/>
    <w:rsid w:val="00352911"/>
    <w:rsid w:val="003552CA"/>
    <w:rsid w:val="00355FBE"/>
    <w:rsid w:val="00367BC5"/>
    <w:rsid w:val="0037193E"/>
    <w:rsid w:val="00371D1D"/>
    <w:rsid w:val="003723D4"/>
    <w:rsid w:val="003728F2"/>
    <w:rsid w:val="00372DEE"/>
    <w:rsid w:val="00373E02"/>
    <w:rsid w:val="003749DE"/>
    <w:rsid w:val="00375B70"/>
    <w:rsid w:val="00377052"/>
    <w:rsid w:val="003778E1"/>
    <w:rsid w:val="00380354"/>
    <w:rsid w:val="003804D1"/>
    <w:rsid w:val="00381905"/>
    <w:rsid w:val="00384CC8"/>
    <w:rsid w:val="00384FAD"/>
    <w:rsid w:val="00384FB1"/>
    <w:rsid w:val="0038697C"/>
    <w:rsid w:val="003871FD"/>
    <w:rsid w:val="003902F8"/>
    <w:rsid w:val="00390F0D"/>
    <w:rsid w:val="003920B5"/>
    <w:rsid w:val="00394AFA"/>
    <w:rsid w:val="003A005C"/>
    <w:rsid w:val="003A1E30"/>
    <w:rsid w:val="003A2829"/>
    <w:rsid w:val="003A2FFF"/>
    <w:rsid w:val="003A40AA"/>
    <w:rsid w:val="003A43D3"/>
    <w:rsid w:val="003A6258"/>
    <w:rsid w:val="003A63EC"/>
    <w:rsid w:val="003A7D1C"/>
    <w:rsid w:val="003B0318"/>
    <w:rsid w:val="003B304B"/>
    <w:rsid w:val="003B3146"/>
    <w:rsid w:val="003B32C9"/>
    <w:rsid w:val="003B6C83"/>
    <w:rsid w:val="003B7574"/>
    <w:rsid w:val="003C02FA"/>
    <w:rsid w:val="003C05F0"/>
    <w:rsid w:val="003C0940"/>
    <w:rsid w:val="003C0A1E"/>
    <w:rsid w:val="003C0B8B"/>
    <w:rsid w:val="003C35AE"/>
    <w:rsid w:val="003C6979"/>
    <w:rsid w:val="003C72A8"/>
    <w:rsid w:val="003C7A4B"/>
    <w:rsid w:val="003D1E02"/>
    <w:rsid w:val="003D38B0"/>
    <w:rsid w:val="003E01BA"/>
    <w:rsid w:val="003E2C6F"/>
    <w:rsid w:val="003E4EED"/>
    <w:rsid w:val="003E71A0"/>
    <w:rsid w:val="003E7626"/>
    <w:rsid w:val="003F015E"/>
    <w:rsid w:val="003F377E"/>
    <w:rsid w:val="003F3B26"/>
    <w:rsid w:val="003F4311"/>
    <w:rsid w:val="003F4E59"/>
    <w:rsid w:val="00400414"/>
    <w:rsid w:val="00405762"/>
    <w:rsid w:val="004063FD"/>
    <w:rsid w:val="00410965"/>
    <w:rsid w:val="00410D2D"/>
    <w:rsid w:val="0041446B"/>
    <w:rsid w:val="00414F63"/>
    <w:rsid w:val="00415192"/>
    <w:rsid w:val="004202E2"/>
    <w:rsid w:val="00421371"/>
    <w:rsid w:val="00424684"/>
    <w:rsid w:val="004246C3"/>
    <w:rsid w:val="00427662"/>
    <w:rsid w:val="00436279"/>
    <w:rsid w:val="004378D9"/>
    <w:rsid w:val="0044071E"/>
    <w:rsid w:val="00442A1C"/>
    <w:rsid w:val="0044329C"/>
    <w:rsid w:val="004477C5"/>
    <w:rsid w:val="004525C0"/>
    <w:rsid w:val="00453E24"/>
    <w:rsid w:val="00457456"/>
    <w:rsid w:val="004577FE"/>
    <w:rsid w:val="00457B9C"/>
    <w:rsid w:val="0046164A"/>
    <w:rsid w:val="004628D2"/>
    <w:rsid w:val="00462DCD"/>
    <w:rsid w:val="004638A1"/>
    <w:rsid w:val="004638B1"/>
    <w:rsid w:val="004648AD"/>
    <w:rsid w:val="0046548B"/>
    <w:rsid w:val="0046673D"/>
    <w:rsid w:val="004668D6"/>
    <w:rsid w:val="00466F50"/>
    <w:rsid w:val="00466FFA"/>
    <w:rsid w:val="004703A9"/>
    <w:rsid w:val="00470FFF"/>
    <w:rsid w:val="00471A73"/>
    <w:rsid w:val="00471D83"/>
    <w:rsid w:val="00474A51"/>
    <w:rsid w:val="004760DE"/>
    <w:rsid w:val="004763D7"/>
    <w:rsid w:val="0047768E"/>
    <w:rsid w:val="00477C59"/>
    <w:rsid w:val="00477C82"/>
    <w:rsid w:val="004800D9"/>
    <w:rsid w:val="004808C2"/>
    <w:rsid w:val="00480B58"/>
    <w:rsid w:val="0048126C"/>
    <w:rsid w:val="0048260F"/>
    <w:rsid w:val="0048726A"/>
    <w:rsid w:val="00490421"/>
    <w:rsid w:val="00490975"/>
    <w:rsid w:val="00491324"/>
    <w:rsid w:val="00492B5E"/>
    <w:rsid w:val="00494B67"/>
    <w:rsid w:val="004A004E"/>
    <w:rsid w:val="004A06B7"/>
    <w:rsid w:val="004A07BB"/>
    <w:rsid w:val="004A1857"/>
    <w:rsid w:val="004A1E9C"/>
    <w:rsid w:val="004A24CF"/>
    <w:rsid w:val="004A5E57"/>
    <w:rsid w:val="004A6288"/>
    <w:rsid w:val="004A7CB1"/>
    <w:rsid w:val="004B5644"/>
    <w:rsid w:val="004B5722"/>
    <w:rsid w:val="004B598C"/>
    <w:rsid w:val="004C15D5"/>
    <w:rsid w:val="004C194F"/>
    <w:rsid w:val="004C3D1D"/>
    <w:rsid w:val="004C3D84"/>
    <w:rsid w:val="004C3E5B"/>
    <w:rsid w:val="004C7913"/>
    <w:rsid w:val="004C7A71"/>
    <w:rsid w:val="004C7D6C"/>
    <w:rsid w:val="004D0B95"/>
    <w:rsid w:val="004D10BF"/>
    <w:rsid w:val="004D2987"/>
    <w:rsid w:val="004D7B85"/>
    <w:rsid w:val="004E0742"/>
    <w:rsid w:val="004E176F"/>
    <w:rsid w:val="004E485E"/>
    <w:rsid w:val="004E4DD6"/>
    <w:rsid w:val="004E6FC3"/>
    <w:rsid w:val="004F0A4B"/>
    <w:rsid w:val="004F2611"/>
    <w:rsid w:val="004F5E36"/>
    <w:rsid w:val="004F6244"/>
    <w:rsid w:val="004F7D05"/>
    <w:rsid w:val="00500C56"/>
    <w:rsid w:val="0050345A"/>
    <w:rsid w:val="00503B9E"/>
    <w:rsid w:val="00507B47"/>
    <w:rsid w:val="00507BEF"/>
    <w:rsid w:val="00507CC9"/>
    <w:rsid w:val="00507F29"/>
    <w:rsid w:val="00510294"/>
    <w:rsid w:val="005119A5"/>
    <w:rsid w:val="00512D50"/>
    <w:rsid w:val="00513771"/>
    <w:rsid w:val="00514F4B"/>
    <w:rsid w:val="005205FA"/>
    <w:rsid w:val="00520C74"/>
    <w:rsid w:val="00525F3B"/>
    <w:rsid w:val="005278B7"/>
    <w:rsid w:val="00532016"/>
    <w:rsid w:val="005346C8"/>
    <w:rsid w:val="0053731F"/>
    <w:rsid w:val="00543E7D"/>
    <w:rsid w:val="00544464"/>
    <w:rsid w:val="00545F7F"/>
    <w:rsid w:val="005475EF"/>
    <w:rsid w:val="00547A68"/>
    <w:rsid w:val="005531C9"/>
    <w:rsid w:val="00553B86"/>
    <w:rsid w:val="00554376"/>
    <w:rsid w:val="00554AC0"/>
    <w:rsid w:val="00554D92"/>
    <w:rsid w:val="005550B6"/>
    <w:rsid w:val="00555AE0"/>
    <w:rsid w:val="00557C24"/>
    <w:rsid w:val="00561289"/>
    <w:rsid w:val="00561CA8"/>
    <w:rsid w:val="00566452"/>
    <w:rsid w:val="005664DC"/>
    <w:rsid w:val="00566678"/>
    <w:rsid w:val="00570A4C"/>
    <w:rsid w:val="00570C43"/>
    <w:rsid w:val="005716AC"/>
    <w:rsid w:val="00577243"/>
    <w:rsid w:val="0058023A"/>
    <w:rsid w:val="005812AE"/>
    <w:rsid w:val="00581739"/>
    <w:rsid w:val="00592274"/>
    <w:rsid w:val="00592700"/>
    <w:rsid w:val="00593FD1"/>
    <w:rsid w:val="00594028"/>
    <w:rsid w:val="005943C7"/>
    <w:rsid w:val="00594C2D"/>
    <w:rsid w:val="00595444"/>
    <w:rsid w:val="0059590A"/>
    <w:rsid w:val="00595AE3"/>
    <w:rsid w:val="005A1E0C"/>
    <w:rsid w:val="005A3827"/>
    <w:rsid w:val="005A4177"/>
    <w:rsid w:val="005A5FA8"/>
    <w:rsid w:val="005A691C"/>
    <w:rsid w:val="005B14D4"/>
    <w:rsid w:val="005B2110"/>
    <w:rsid w:val="005B4DC5"/>
    <w:rsid w:val="005B59D8"/>
    <w:rsid w:val="005B6118"/>
    <w:rsid w:val="005B61E6"/>
    <w:rsid w:val="005B6BAF"/>
    <w:rsid w:val="005C0345"/>
    <w:rsid w:val="005C064E"/>
    <w:rsid w:val="005C0FA0"/>
    <w:rsid w:val="005C1A1D"/>
    <w:rsid w:val="005C4A09"/>
    <w:rsid w:val="005C4FE9"/>
    <w:rsid w:val="005C77E1"/>
    <w:rsid w:val="005D0D44"/>
    <w:rsid w:val="005D1163"/>
    <w:rsid w:val="005D4B48"/>
    <w:rsid w:val="005D5886"/>
    <w:rsid w:val="005D668A"/>
    <w:rsid w:val="005D6A2F"/>
    <w:rsid w:val="005D7946"/>
    <w:rsid w:val="005E0592"/>
    <w:rsid w:val="005E12DA"/>
    <w:rsid w:val="005E1A82"/>
    <w:rsid w:val="005E2AA9"/>
    <w:rsid w:val="005E3427"/>
    <w:rsid w:val="005E4739"/>
    <w:rsid w:val="005E50CE"/>
    <w:rsid w:val="005E794C"/>
    <w:rsid w:val="005F08BD"/>
    <w:rsid w:val="005F0A28"/>
    <w:rsid w:val="005F0E5E"/>
    <w:rsid w:val="005F1D89"/>
    <w:rsid w:val="005F43BF"/>
    <w:rsid w:val="005F6D68"/>
    <w:rsid w:val="005F7D11"/>
    <w:rsid w:val="005F7FD0"/>
    <w:rsid w:val="00600535"/>
    <w:rsid w:val="00604C1D"/>
    <w:rsid w:val="006061B6"/>
    <w:rsid w:val="0060717E"/>
    <w:rsid w:val="00607A6A"/>
    <w:rsid w:val="00610CD6"/>
    <w:rsid w:val="006129C0"/>
    <w:rsid w:val="006129F6"/>
    <w:rsid w:val="00612D4D"/>
    <w:rsid w:val="0061584B"/>
    <w:rsid w:val="00615F7B"/>
    <w:rsid w:val="006163A8"/>
    <w:rsid w:val="00620BB3"/>
    <w:rsid w:val="00620DEE"/>
    <w:rsid w:val="006217F4"/>
    <w:rsid w:val="00621F92"/>
    <w:rsid w:val="0062280A"/>
    <w:rsid w:val="00622FA7"/>
    <w:rsid w:val="006231E1"/>
    <w:rsid w:val="00625225"/>
    <w:rsid w:val="00625639"/>
    <w:rsid w:val="00631429"/>
    <w:rsid w:val="00631672"/>
    <w:rsid w:val="00631B33"/>
    <w:rsid w:val="00633239"/>
    <w:rsid w:val="006349BF"/>
    <w:rsid w:val="0063692B"/>
    <w:rsid w:val="0064184D"/>
    <w:rsid w:val="00641AB1"/>
    <w:rsid w:val="006421EB"/>
    <w:rsid w:val="006422CC"/>
    <w:rsid w:val="006454B5"/>
    <w:rsid w:val="00645C62"/>
    <w:rsid w:val="00646BD0"/>
    <w:rsid w:val="006476E3"/>
    <w:rsid w:val="00650D57"/>
    <w:rsid w:val="00651358"/>
    <w:rsid w:val="00651D18"/>
    <w:rsid w:val="00653381"/>
    <w:rsid w:val="00655695"/>
    <w:rsid w:val="00656466"/>
    <w:rsid w:val="00657B88"/>
    <w:rsid w:val="00660201"/>
    <w:rsid w:val="00660E3E"/>
    <w:rsid w:val="00662050"/>
    <w:rsid w:val="00662E74"/>
    <w:rsid w:val="00663610"/>
    <w:rsid w:val="00663DEB"/>
    <w:rsid w:val="00665C6A"/>
    <w:rsid w:val="006746B1"/>
    <w:rsid w:val="006749E4"/>
    <w:rsid w:val="006763F0"/>
    <w:rsid w:val="00680C23"/>
    <w:rsid w:val="00683E23"/>
    <w:rsid w:val="00686132"/>
    <w:rsid w:val="006910D2"/>
    <w:rsid w:val="00693766"/>
    <w:rsid w:val="006938DA"/>
    <w:rsid w:val="00693F34"/>
    <w:rsid w:val="006968CB"/>
    <w:rsid w:val="006A15D6"/>
    <w:rsid w:val="006A2471"/>
    <w:rsid w:val="006A3281"/>
    <w:rsid w:val="006A3FAE"/>
    <w:rsid w:val="006A4AF5"/>
    <w:rsid w:val="006A71B6"/>
    <w:rsid w:val="006A7EE8"/>
    <w:rsid w:val="006B4888"/>
    <w:rsid w:val="006B5275"/>
    <w:rsid w:val="006B7B0D"/>
    <w:rsid w:val="006C22A9"/>
    <w:rsid w:val="006C2E45"/>
    <w:rsid w:val="006C33A4"/>
    <w:rsid w:val="006C359C"/>
    <w:rsid w:val="006C5579"/>
    <w:rsid w:val="006C6B7E"/>
    <w:rsid w:val="006C6EFF"/>
    <w:rsid w:val="006C760C"/>
    <w:rsid w:val="006D12E9"/>
    <w:rsid w:val="006D3A4D"/>
    <w:rsid w:val="006D3E09"/>
    <w:rsid w:val="006D68EA"/>
    <w:rsid w:val="006D6E8B"/>
    <w:rsid w:val="006D7209"/>
    <w:rsid w:val="006E04E5"/>
    <w:rsid w:val="006E166A"/>
    <w:rsid w:val="006E2CC4"/>
    <w:rsid w:val="006E3F83"/>
    <w:rsid w:val="006E6919"/>
    <w:rsid w:val="006E710D"/>
    <w:rsid w:val="006E737D"/>
    <w:rsid w:val="006F0A70"/>
    <w:rsid w:val="006F2658"/>
    <w:rsid w:val="006F3E8F"/>
    <w:rsid w:val="006F65D8"/>
    <w:rsid w:val="006F665C"/>
    <w:rsid w:val="007019D5"/>
    <w:rsid w:val="00703999"/>
    <w:rsid w:val="0070415B"/>
    <w:rsid w:val="00704F87"/>
    <w:rsid w:val="00707DD1"/>
    <w:rsid w:val="00710D59"/>
    <w:rsid w:val="007132FF"/>
    <w:rsid w:val="007138AD"/>
    <w:rsid w:val="00713973"/>
    <w:rsid w:val="00717DC1"/>
    <w:rsid w:val="00720A24"/>
    <w:rsid w:val="00727812"/>
    <w:rsid w:val="0073036C"/>
    <w:rsid w:val="00732386"/>
    <w:rsid w:val="0073514D"/>
    <w:rsid w:val="00740A99"/>
    <w:rsid w:val="00741824"/>
    <w:rsid w:val="007425D0"/>
    <w:rsid w:val="007447F3"/>
    <w:rsid w:val="00746D3A"/>
    <w:rsid w:val="00750653"/>
    <w:rsid w:val="00752E0D"/>
    <w:rsid w:val="0075377F"/>
    <w:rsid w:val="0075448A"/>
    <w:rsid w:val="0075499F"/>
    <w:rsid w:val="00761238"/>
    <w:rsid w:val="007617CC"/>
    <w:rsid w:val="007637EE"/>
    <w:rsid w:val="00764617"/>
    <w:rsid w:val="00765CA9"/>
    <w:rsid w:val="007661C8"/>
    <w:rsid w:val="0077034C"/>
    <w:rsid w:val="0077098D"/>
    <w:rsid w:val="00770AA9"/>
    <w:rsid w:val="00772D0E"/>
    <w:rsid w:val="00780E5F"/>
    <w:rsid w:val="00781DD1"/>
    <w:rsid w:val="0078469D"/>
    <w:rsid w:val="00785BF9"/>
    <w:rsid w:val="00785E3D"/>
    <w:rsid w:val="00791E48"/>
    <w:rsid w:val="00792200"/>
    <w:rsid w:val="007931FA"/>
    <w:rsid w:val="00793636"/>
    <w:rsid w:val="00796A32"/>
    <w:rsid w:val="00797980"/>
    <w:rsid w:val="007A012E"/>
    <w:rsid w:val="007A1210"/>
    <w:rsid w:val="007A276F"/>
    <w:rsid w:val="007A4861"/>
    <w:rsid w:val="007A4B0A"/>
    <w:rsid w:val="007A51E4"/>
    <w:rsid w:val="007A5891"/>
    <w:rsid w:val="007A7BBA"/>
    <w:rsid w:val="007A7D14"/>
    <w:rsid w:val="007B0C50"/>
    <w:rsid w:val="007B21A1"/>
    <w:rsid w:val="007B260D"/>
    <w:rsid w:val="007B369B"/>
    <w:rsid w:val="007B48F9"/>
    <w:rsid w:val="007B4D33"/>
    <w:rsid w:val="007B5BE6"/>
    <w:rsid w:val="007B6056"/>
    <w:rsid w:val="007B650F"/>
    <w:rsid w:val="007B6C48"/>
    <w:rsid w:val="007B7B33"/>
    <w:rsid w:val="007C1A43"/>
    <w:rsid w:val="007C2717"/>
    <w:rsid w:val="007C335C"/>
    <w:rsid w:val="007C7ACE"/>
    <w:rsid w:val="007D0951"/>
    <w:rsid w:val="007D1068"/>
    <w:rsid w:val="007D64E8"/>
    <w:rsid w:val="007E0295"/>
    <w:rsid w:val="007E1225"/>
    <w:rsid w:val="007E3A5C"/>
    <w:rsid w:val="007E44EB"/>
    <w:rsid w:val="007F00A0"/>
    <w:rsid w:val="007F06BD"/>
    <w:rsid w:val="007F27C8"/>
    <w:rsid w:val="007F3570"/>
    <w:rsid w:val="007F5D39"/>
    <w:rsid w:val="007F7646"/>
    <w:rsid w:val="007F77F8"/>
    <w:rsid w:val="0080013E"/>
    <w:rsid w:val="008008E1"/>
    <w:rsid w:val="00801330"/>
    <w:rsid w:val="00802937"/>
    <w:rsid w:val="00806808"/>
    <w:rsid w:val="00806907"/>
    <w:rsid w:val="00813288"/>
    <w:rsid w:val="008168FC"/>
    <w:rsid w:val="00816C46"/>
    <w:rsid w:val="00821256"/>
    <w:rsid w:val="008225C0"/>
    <w:rsid w:val="00825482"/>
    <w:rsid w:val="008258DE"/>
    <w:rsid w:val="00827B1A"/>
    <w:rsid w:val="00830996"/>
    <w:rsid w:val="00830D4F"/>
    <w:rsid w:val="008314D7"/>
    <w:rsid w:val="0083320A"/>
    <w:rsid w:val="008345F1"/>
    <w:rsid w:val="00834EBA"/>
    <w:rsid w:val="00840A04"/>
    <w:rsid w:val="00840C59"/>
    <w:rsid w:val="00842E2D"/>
    <w:rsid w:val="00844316"/>
    <w:rsid w:val="0085020F"/>
    <w:rsid w:val="00850DA0"/>
    <w:rsid w:val="00852FC7"/>
    <w:rsid w:val="00854A10"/>
    <w:rsid w:val="00857137"/>
    <w:rsid w:val="00861AC0"/>
    <w:rsid w:val="00863123"/>
    <w:rsid w:val="00865B07"/>
    <w:rsid w:val="008667EA"/>
    <w:rsid w:val="008704B1"/>
    <w:rsid w:val="00870C67"/>
    <w:rsid w:val="0087213C"/>
    <w:rsid w:val="0087637F"/>
    <w:rsid w:val="008812F4"/>
    <w:rsid w:val="00884676"/>
    <w:rsid w:val="00892AD5"/>
    <w:rsid w:val="008970EB"/>
    <w:rsid w:val="008A1512"/>
    <w:rsid w:val="008A1779"/>
    <w:rsid w:val="008A2509"/>
    <w:rsid w:val="008A258D"/>
    <w:rsid w:val="008A3333"/>
    <w:rsid w:val="008A54DC"/>
    <w:rsid w:val="008B2069"/>
    <w:rsid w:val="008B21BF"/>
    <w:rsid w:val="008B3AE6"/>
    <w:rsid w:val="008B7081"/>
    <w:rsid w:val="008B7820"/>
    <w:rsid w:val="008C01CC"/>
    <w:rsid w:val="008C1285"/>
    <w:rsid w:val="008C1FEE"/>
    <w:rsid w:val="008D0BF6"/>
    <w:rsid w:val="008D0C39"/>
    <w:rsid w:val="008D139F"/>
    <w:rsid w:val="008D1BE7"/>
    <w:rsid w:val="008D32B9"/>
    <w:rsid w:val="008D433B"/>
    <w:rsid w:val="008D4A16"/>
    <w:rsid w:val="008E017D"/>
    <w:rsid w:val="008E178F"/>
    <w:rsid w:val="008E209A"/>
    <w:rsid w:val="008E3AA1"/>
    <w:rsid w:val="008E45BC"/>
    <w:rsid w:val="008E566E"/>
    <w:rsid w:val="008F1ADC"/>
    <w:rsid w:val="008F2316"/>
    <w:rsid w:val="008F3783"/>
    <w:rsid w:val="008F4616"/>
    <w:rsid w:val="0090161A"/>
    <w:rsid w:val="00901EB6"/>
    <w:rsid w:val="00902BB7"/>
    <w:rsid w:val="009041F8"/>
    <w:rsid w:val="009043F4"/>
    <w:rsid w:val="00904C62"/>
    <w:rsid w:val="00907B74"/>
    <w:rsid w:val="00911AC0"/>
    <w:rsid w:val="00912624"/>
    <w:rsid w:val="00921BE3"/>
    <w:rsid w:val="00922492"/>
    <w:rsid w:val="00922BA8"/>
    <w:rsid w:val="00922E50"/>
    <w:rsid w:val="00924DAC"/>
    <w:rsid w:val="00925688"/>
    <w:rsid w:val="00925FBD"/>
    <w:rsid w:val="0092666C"/>
    <w:rsid w:val="00927058"/>
    <w:rsid w:val="00927A56"/>
    <w:rsid w:val="009304E1"/>
    <w:rsid w:val="0093298A"/>
    <w:rsid w:val="00932B01"/>
    <w:rsid w:val="00932EBD"/>
    <w:rsid w:val="0094117F"/>
    <w:rsid w:val="0094168A"/>
    <w:rsid w:val="009419B8"/>
    <w:rsid w:val="0094240C"/>
    <w:rsid w:val="00942750"/>
    <w:rsid w:val="00943DCB"/>
    <w:rsid w:val="009445AE"/>
    <w:rsid w:val="00944FEA"/>
    <w:rsid w:val="009450CE"/>
    <w:rsid w:val="009459BB"/>
    <w:rsid w:val="00947179"/>
    <w:rsid w:val="009510E2"/>
    <w:rsid w:val="0095164B"/>
    <w:rsid w:val="0095255B"/>
    <w:rsid w:val="00952940"/>
    <w:rsid w:val="00954090"/>
    <w:rsid w:val="0095418B"/>
    <w:rsid w:val="009573E7"/>
    <w:rsid w:val="009577C7"/>
    <w:rsid w:val="00960184"/>
    <w:rsid w:val="009606E8"/>
    <w:rsid w:val="0096193E"/>
    <w:rsid w:val="00961E84"/>
    <w:rsid w:val="0096294B"/>
    <w:rsid w:val="0096398A"/>
    <w:rsid w:val="00963E05"/>
    <w:rsid w:val="00964685"/>
    <w:rsid w:val="00964A45"/>
    <w:rsid w:val="00967843"/>
    <w:rsid w:val="00967D54"/>
    <w:rsid w:val="00970534"/>
    <w:rsid w:val="00971028"/>
    <w:rsid w:val="00971ACE"/>
    <w:rsid w:val="00972ADD"/>
    <w:rsid w:val="0097308B"/>
    <w:rsid w:val="009733B4"/>
    <w:rsid w:val="00973421"/>
    <w:rsid w:val="009744E7"/>
    <w:rsid w:val="00975437"/>
    <w:rsid w:val="009757A6"/>
    <w:rsid w:val="00975822"/>
    <w:rsid w:val="009758CA"/>
    <w:rsid w:val="00976B9D"/>
    <w:rsid w:val="00977B6D"/>
    <w:rsid w:val="00977D2E"/>
    <w:rsid w:val="0098013B"/>
    <w:rsid w:val="00985C50"/>
    <w:rsid w:val="0098771E"/>
    <w:rsid w:val="00991080"/>
    <w:rsid w:val="0099237B"/>
    <w:rsid w:val="00992B4C"/>
    <w:rsid w:val="00993B84"/>
    <w:rsid w:val="00996483"/>
    <w:rsid w:val="00996F5A"/>
    <w:rsid w:val="00997CD8"/>
    <w:rsid w:val="009A3EFA"/>
    <w:rsid w:val="009A4522"/>
    <w:rsid w:val="009A485F"/>
    <w:rsid w:val="009A5C00"/>
    <w:rsid w:val="009A75B1"/>
    <w:rsid w:val="009A7AA0"/>
    <w:rsid w:val="009B041A"/>
    <w:rsid w:val="009B2FB1"/>
    <w:rsid w:val="009B4115"/>
    <w:rsid w:val="009C37C3"/>
    <w:rsid w:val="009C48F9"/>
    <w:rsid w:val="009C5378"/>
    <w:rsid w:val="009C6EE9"/>
    <w:rsid w:val="009C7C86"/>
    <w:rsid w:val="009D0298"/>
    <w:rsid w:val="009D2FF7"/>
    <w:rsid w:val="009D33AD"/>
    <w:rsid w:val="009D696E"/>
    <w:rsid w:val="009E42EE"/>
    <w:rsid w:val="009E7884"/>
    <w:rsid w:val="009E788A"/>
    <w:rsid w:val="009E7C8D"/>
    <w:rsid w:val="009F0E08"/>
    <w:rsid w:val="009F1384"/>
    <w:rsid w:val="009F3B75"/>
    <w:rsid w:val="009F462A"/>
    <w:rsid w:val="009F5991"/>
    <w:rsid w:val="009F65F1"/>
    <w:rsid w:val="009F7E1C"/>
    <w:rsid w:val="009F7E30"/>
    <w:rsid w:val="00A005A7"/>
    <w:rsid w:val="00A021C7"/>
    <w:rsid w:val="00A022F5"/>
    <w:rsid w:val="00A035EB"/>
    <w:rsid w:val="00A03DC7"/>
    <w:rsid w:val="00A040F2"/>
    <w:rsid w:val="00A0420A"/>
    <w:rsid w:val="00A076CD"/>
    <w:rsid w:val="00A079AE"/>
    <w:rsid w:val="00A12DAA"/>
    <w:rsid w:val="00A136C0"/>
    <w:rsid w:val="00A137C1"/>
    <w:rsid w:val="00A14F2A"/>
    <w:rsid w:val="00A1763D"/>
    <w:rsid w:val="00A17CEC"/>
    <w:rsid w:val="00A22814"/>
    <w:rsid w:val="00A22C45"/>
    <w:rsid w:val="00A23A0A"/>
    <w:rsid w:val="00A23D78"/>
    <w:rsid w:val="00A25B3C"/>
    <w:rsid w:val="00A2621C"/>
    <w:rsid w:val="00A264EF"/>
    <w:rsid w:val="00A26CBB"/>
    <w:rsid w:val="00A27EF0"/>
    <w:rsid w:val="00A304FE"/>
    <w:rsid w:val="00A342C6"/>
    <w:rsid w:val="00A365C4"/>
    <w:rsid w:val="00A36E4D"/>
    <w:rsid w:val="00A371CD"/>
    <w:rsid w:val="00A40124"/>
    <w:rsid w:val="00A40241"/>
    <w:rsid w:val="00A40833"/>
    <w:rsid w:val="00A4143B"/>
    <w:rsid w:val="00A42361"/>
    <w:rsid w:val="00A43B67"/>
    <w:rsid w:val="00A444D0"/>
    <w:rsid w:val="00A46800"/>
    <w:rsid w:val="00A46C21"/>
    <w:rsid w:val="00A5092F"/>
    <w:rsid w:val="00A50B20"/>
    <w:rsid w:val="00A51390"/>
    <w:rsid w:val="00A52D79"/>
    <w:rsid w:val="00A53041"/>
    <w:rsid w:val="00A549E6"/>
    <w:rsid w:val="00A56835"/>
    <w:rsid w:val="00A57970"/>
    <w:rsid w:val="00A607E1"/>
    <w:rsid w:val="00A60BDF"/>
    <w:rsid w:val="00A60D13"/>
    <w:rsid w:val="00A62842"/>
    <w:rsid w:val="00A7223D"/>
    <w:rsid w:val="00A72745"/>
    <w:rsid w:val="00A72E04"/>
    <w:rsid w:val="00A753F9"/>
    <w:rsid w:val="00A75D0F"/>
    <w:rsid w:val="00A763BE"/>
    <w:rsid w:val="00A76EFC"/>
    <w:rsid w:val="00A826B6"/>
    <w:rsid w:val="00A83F52"/>
    <w:rsid w:val="00A85F2E"/>
    <w:rsid w:val="00A86DE1"/>
    <w:rsid w:val="00A87D50"/>
    <w:rsid w:val="00A91010"/>
    <w:rsid w:val="00A93E44"/>
    <w:rsid w:val="00A96951"/>
    <w:rsid w:val="00A97F29"/>
    <w:rsid w:val="00AA1A2F"/>
    <w:rsid w:val="00AA3359"/>
    <w:rsid w:val="00AA379F"/>
    <w:rsid w:val="00AA3A19"/>
    <w:rsid w:val="00AA59F4"/>
    <w:rsid w:val="00AA68CF"/>
    <w:rsid w:val="00AA702E"/>
    <w:rsid w:val="00AA725F"/>
    <w:rsid w:val="00AA7D26"/>
    <w:rsid w:val="00AB01BC"/>
    <w:rsid w:val="00AB03E0"/>
    <w:rsid w:val="00AB0964"/>
    <w:rsid w:val="00AB2CFA"/>
    <w:rsid w:val="00AB5011"/>
    <w:rsid w:val="00AC0234"/>
    <w:rsid w:val="00AC0904"/>
    <w:rsid w:val="00AC42E6"/>
    <w:rsid w:val="00AC6319"/>
    <w:rsid w:val="00AC7368"/>
    <w:rsid w:val="00AD0278"/>
    <w:rsid w:val="00AD11F1"/>
    <w:rsid w:val="00AD1397"/>
    <w:rsid w:val="00AD15F3"/>
    <w:rsid w:val="00AD16B9"/>
    <w:rsid w:val="00AD2B58"/>
    <w:rsid w:val="00AD4D8A"/>
    <w:rsid w:val="00AD5A37"/>
    <w:rsid w:val="00AE0364"/>
    <w:rsid w:val="00AE0E0C"/>
    <w:rsid w:val="00AE377D"/>
    <w:rsid w:val="00AF0EBA"/>
    <w:rsid w:val="00AF29D2"/>
    <w:rsid w:val="00AF4695"/>
    <w:rsid w:val="00AF59A4"/>
    <w:rsid w:val="00B0235A"/>
    <w:rsid w:val="00B0295E"/>
    <w:rsid w:val="00B02C8A"/>
    <w:rsid w:val="00B04600"/>
    <w:rsid w:val="00B0470E"/>
    <w:rsid w:val="00B0526A"/>
    <w:rsid w:val="00B060B3"/>
    <w:rsid w:val="00B079CB"/>
    <w:rsid w:val="00B10530"/>
    <w:rsid w:val="00B14264"/>
    <w:rsid w:val="00B1431F"/>
    <w:rsid w:val="00B14521"/>
    <w:rsid w:val="00B14D2F"/>
    <w:rsid w:val="00B158DA"/>
    <w:rsid w:val="00B16C95"/>
    <w:rsid w:val="00B17FBD"/>
    <w:rsid w:val="00B20D2C"/>
    <w:rsid w:val="00B220DE"/>
    <w:rsid w:val="00B25433"/>
    <w:rsid w:val="00B2555E"/>
    <w:rsid w:val="00B27904"/>
    <w:rsid w:val="00B3103E"/>
    <w:rsid w:val="00B315A6"/>
    <w:rsid w:val="00B31813"/>
    <w:rsid w:val="00B32FE4"/>
    <w:rsid w:val="00B330A5"/>
    <w:rsid w:val="00B33365"/>
    <w:rsid w:val="00B34299"/>
    <w:rsid w:val="00B3700B"/>
    <w:rsid w:val="00B41A40"/>
    <w:rsid w:val="00B43477"/>
    <w:rsid w:val="00B44A7A"/>
    <w:rsid w:val="00B4643F"/>
    <w:rsid w:val="00B46F11"/>
    <w:rsid w:val="00B47420"/>
    <w:rsid w:val="00B477B4"/>
    <w:rsid w:val="00B47ADE"/>
    <w:rsid w:val="00B5140C"/>
    <w:rsid w:val="00B56467"/>
    <w:rsid w:val="00B57AA0"/>
    <w:rsid w:val="00B57B36"/>
    <w:rsid w:val="00B57E6F"/>
    <w:rsid w:val="00B57FE1"/>
    <w:rsid w:val="00B60407"/>
    <w:rsid w:val="00B60467"/>
    <w:rsid w:val="00B6110E"/>
    <w:rsid w:val="00B62486"/>
    <w:rsid w:val="00B62B28"/>
    <w:rsid w:val="00B63371"/>
    <w:rsid w:val="00B643C1"/>
    <w:rsid w:val="00B710BB"/>
    <w:rsid w:val="00B7165F"/>
    <w:rsid w:val="00B7442E"/>
    <w:rsid w:val="00B75643"/>
    <w:rsid w:val="00B75C49"/>
    <w:rsid w:val="00B770E8"/>
    <w:rsid w:val="00B8147A"/>
    <w:rsid w:val="00B83089"/>
    <w:rsid w:val="00B841D8"/>
    <w:rsid w:val="00B85055"/>
    <w:rsid w:val="00B8686D"/>
    <w:rsid w:val="00B869FD"/>
    <w:rsid w:val="00B86F92"/>
    <w:rsid w:val="00B87687"/>
    <w:rsid w:val="00B918C6"/>
    <w:rsid w:val="00B91BDB"/>
    <w:rsid w:val="00B93F69"/>
    <w:rsid w:val="00BA0EB8"/>
    <w:rsid w:val="00BA0FBF"/>
    <w:rsid w:val="00BA183F"/>
    <w:rsid w:val="00BA249B"/>
    <w:rsid w:val="00BA24C3"/>
    <w:rsid w:val="00BA5167"/>
    <w:rsid w:val="00BA5313"/>
    <w:rsid w:val="00BA657A"/>
    <w:rsid w:val="00BA7D3A"/>
    <w:rsid w:val="00BB1DDC"/>
    <w:rsid w:val="00BB341C"/>
    <w:rsid w:val="00BB5B9B"/>
    <w:rsid w:val="00BB69D8"/>
    <w:rsid w:val="00BB70DB"/>
    <w:rsid w:val="00BC30C9"/>
    <w:rsid w:val="00BC6F79"/>
    <w:rsid w:val="00BC7101"/>
    <w:rsid w:val="00BC796C"/>
    <w:rsid w:val="00BD077D"/>
    <w:rsid w:val="00BD435F"/>
    <w:rsid w:val="00BD647E"/>
    <w:rsid w:val="00BE0CD5"/>
    <w:rsid w:val="00BE1F92"/>
    <w:rsid w:val="00BE2ADF"/>
    <w:rsid w:val="00BE2CA1"/>
    <w:rsid w:val="00BE2DC8"/>
    <w:rsid w:val="00BE3E58"/>
    <w:rsid w:val="00BE4A6C"/>
    <w:rsid w:val="00BE6341"/>
    <w:rsid w:val="00BF0FDF"/>
    <w:rsid w:val="00BF2039"/>
    <w:rsid w:val="00BF2CDE"/>
    <w:rsid w:val="00BF37C9"/>
    <w:rsid w:val="00BF52BF"/>
    <w:rsid w:val="00BF64D5"/>
    <w:rsid w:val="00C01616"/>
    <w:rsid w:val="00C0162B"/>
    <w:rsid w:val="00C041A4"/>
    <w:rsid w:val="00C0522B"/>
    <w:rsid w:val="00C068ED"/>
    <w:rsid w:val="00C0786A"/>
    <w:rsid w:val="00C16744"/>
    <w:rsid w:val="00C17F09"/>
    <w:rsid w:val="00C2014C"/>
    <w:rsid w:val="00C204D5"/>
    <w:rsid w:val="00C208E9"/>
    <w:rsid w:val="00C22614"/>
    <w:rsid w:val="00C22D71"/>
    <w:rsid w:val="00C22E0C"/>
    <w:rsid w:val="00C247F2"/>
    <w:rsid w:val="00C275D8"/>
    <w:rsid w:val="00C278BE"/>
    <w:rsid w:val="00C345B1"/>
    <w:rsid w:val="00C354AA"/>
    <w:rsid w:val="00C36628"/>
    <w:rsid w:val="00C36D6E"/>
    <w:rsid w:val="00C40142"/>
    <w:rsid w:val="00C41B5E"/>
    <w:rsid w:val="00C45899"/>
    <w:rsid w:val="00C47474"/>
    <w:rsid w:val="00C51419"/>
    <w:rsid w:val="00C52C3C"/>
    <w:rsid w:val="00C563BE"/>
    <w:rsid w:val="00C57182"/>
    <w:rsid w:val="00C57863"/>
    <w:rsid w:val="00C57D5F"/>
    <w:rsid w:val="00C57E59"/>
    <w:rsid w:val="00C62289"/>
    <w:rsid w:val="00C640AF"/>
    <w:rsid w:val="00C64CAB"/>
    <w:rsid w:val="00C655FD"/>
    <w:rsid w:val="00C65E09"/>
    <w:rsid w:val="00C670E6"/>
    <w:rsid w:val="00C705F7"/>
    <w:rsid w:val="00C75407"/>
    <w:rsid w:val="00C777BA"/>
    <w:rsid w:val="00C80357"/>
    <w:rsid w:val="00C80E01"/>
    <w:rsid w:val="00C841C6"/>
    <w:rsid w:val="00C8475A"/>
    <w:rsid w:val="00C84992"/>
    <w:rsid w:val="00C870A8"/>
    <w:rsid w:val="00C94434"/>
    <w:rsid w:val="00CA0037"/>
    <w:rsid w:val="00CA0946"/>
    <w:rsid w:val="00CA0D75"/>
    <w:rsid w:val="00CA0E56"/>
    <w:rsid w:val="00CA11E7"/>
    <w:rsid w:val="00CA1C95"/>
    <w:rsid w:val="00CA2FC3"/>
    <w:rsid w:val="00CA33BF"/>
    <w:rsid w:val="00CA3CF0"/>
    <w:rsid w:val="00CA5A9C"/>
    <w:rsid w:val="00CB1234"/>
    <w:rsid w:val="00CB28B2"/>
    <w:rsid w:val="00CB3D98"/>
    <w:rsid w:val="00CB4B33"/>
    <w:rsid w:val="00CB5280"/>
    <w:rsid w:val="00CB5702"/>
    <w:rsid w:val="00CB5D27"/>
    <w:rsid w:val="00CB6792"/>
    <w:rsid w:val="00CB798A"/>
    <w:rsid w:val="00CC13A8"/>
    <w:rsid w:val="00CC3D2C"/>
    <w:rsid w:val="00CC4C20"/>
    <w:rsid w:val="00CC4F8F"/>
    <w:rsid w:val="00CC62F2"/>
    <w:rsid w:val="00CC658F"/>
    <w:rsid w:val="00CC6B69"/>
    <w:rsid w:val="00CC76C7"/>
    <w:rsid w:val="00CC7B8B"/>
    <w:rsid w:val="00CD14E6"/>
    <w:rsid w:val="00CD1AC5"/>
    <w:rsid w:val="00CD3517"/>
    <w:rsid w:val="00CD44C0"/>
    <w:rsid w:val="00CD4833"/>
    <w:rsid w:val="00CD5FE2"/>
    <w:rsid w:val="00CD6973"/>
    <w:rsid w:val="00CD7F7E"/>
    <w:rsid w:val="00CE0BFC"/>
    <w:rsid w:val="00CE2242"/>
    <w:rsid w:val="00CE3D74"/>
    <w:rsid w:val="00CE3D75"/>
    <w:rsid w:val="00CE7C68"/>
    <w:rsid w:val="00CF170F"/>
    <w:rsid w:val="00CF25AF"/>
    <w:rsid w:val="00CF4EFD"/>
    <w:rsid w:val="00CF4FD0"/>
    <w:rsid w:val="00CF7CF9"/>
    <w:rsid w:val="00D00CF8"/>
    <w:rsid w:val="00D01706"/>
    <w:rsid w:val="00D02B4C"/>
    <w:rsid w:val="00D04001"/>
    <w:rsid w:val="00D040C4"/>
    <w:rsid w:val="00D07EF5"/>
    <w:rsid w:val="00D1189A"/>
    <w:rsid w:val="00D15606"/>
    <w:rsid w:val="00D202A4"/>
    <w:rsid w:val="00D20AD1"/>
    <w:rsid w:val="00D217FE"/>
    <w:rsid w:val="00D21825"/>
    <w:rsid w:val="00D2582C"/>
    <w:rsid w:val="00D25904"/>
    <w:rsid w:val="00D31557"/>
    <w:rsid w:val="00D32B47"/>
    <w:rsid w:val="00D32C70"/>
    <w:rsid w:val="00D345AC"/>
    <w:rsid w:val="00D36B48"/>
    <w:rsid w:val="00D4167A"/>
    <w:rsid w:val="00D42BC6"/>
    <w:rsid w:val="00D451F1"/>
    <w:rsid w:val="00D464C5"/>
    <w:rsid w:val="00D46B7E"/>
    <w:rsid w:val="00D46D19"/>
    <w:rsid w:val="00D513BC"/>
    <w:rsid w:val="00D541CC"/>
    <w:rsid w:val="00D56CC3"/>
    <w:rsid w:val="00D57C84"/>
    <w:rsid w:val="00D60157"/>
    <w:rsid w:val="00D6057D"/>
    <w:rsid w:val="00D605C3"/>
    <w:rsid w:val="00D6154B"/>
    <w:rsid w:val="00D630A4"/>
    <w:rsid w:val="00D64D17"/>
    <w:rsid w:val="00D64DA8"/>
    <w:rsid w:val="00D658A5"/>
    <w:rsid w:val="00D66A2A"/>
    <w:rsid w:val="00D673A0"/>
    <w:rsid w:val="00D71640"/>
    <w:rsid w:val="00D7182E"/>
    <w:rsid w:val="00D7360D"/>
    <w:rsid w:val="00D73DFF"/>
    <w:rsid w:val="00D7472A"/>
    <w:rsid w:val="00D768CA"/>
    <w:rsid w:val="00D77C21"/>
    <w:rsid w:val="00D8028E"/>
    <w:rsid w:val="00D8095E"/>
    <w:rsid w:val="00D80EDD"/>
    <w:rsid w:val="00D811CC"/>
    <w:rsid w:val="00D831BF"/>
    <w:rsid w:val="00D836C5"/>
    <w:rsid w:val="00D83745"/>
    <w:rsid w:val="00D83F8C"/>
    <w:rsid w:val="00D84576"/>
    <w:rsid w:val="00D87C95"/>
    <w:rsid w:val="00D958A9"/>
    <w:rsid w:val="00D95C29"/>
    <w:rsid w:val="00DA1399"/>
    <w:rsid w:val="00DA24C6"/>
    <w:rsid w:val="00DA43F4"/>
    <w:rsid w:val="00DA4CCB"/>
    <w:rsid w:val="00DA4D7B"/>
    <w:rsid w:val="00DA520B"/>
    <w:rsid w:val="00DA62F0"/>
    <w:rsid w:val="00DA6D24"/>
    <w:rsid w:val="00DB0B8A"/>
    <w:rsid w:val="00DB4212"/>
    <w:rsid w:val="00DB787C"/>
    <w:rsid w:val="00DC0816"/>
    <w:rsid w:val="00DC0A85"/>
    <w:rsid w:val="00DC0C70"/>
    <w:rsid w:val="00DC0E5C"/>
    <w:rsid w:val="00DC1262"/>
    <w:rsid w:val="00DC659E"/>
    <w:rsid w:val="00DC68C2"/>
    <w:rsid w:val="00DC6AA3"/>
    <w:rsid w:val="00DC755A"/>
    <w:rsid w:val="00DD12EF"/>
    <w:rsid w:val="00DD25EA"/>
    <w:rsid w:val="00DD271C"/>
    <w:rsid w:val="00DD2918"/>
    <w:rsid w:val="00DD4EAD"/>
    <w:rsid w:val="00DE0044"/>
    <w:rsid w:val="00DE08E1"/>
    <w:rsid w:val="00DE264A"/>
    <w:rsid w:val="00DE4477"/>
    <w:rsid w:val="00DE647C"/>
    <w:rsid w:val="00DF05B5"/>
    <w:rsid w:val="00DF0904"/>
    <w:rsid w:val="00DF19CA"/>
    <w:rsid w:val="00DF1D30"/>
    <w:rsid w:val="00DF3341"/>
    <w:rsid w:val="00DF3EAE"/>
    <w:rsid w:val="00DF5072"/>
    <w:rsid w:val="00E0094B"/>
    <w:rsid w:val="00E00ED8"/>
    <w:rsid w:val="00E02A5D"/>
    <w:rsid w:val="00E02D18"/>
    <w:rsid w:val="00E041E7"/>
    <w:rsid w:val="00E04F9F"/>
    <w:rsid w:val="00E051E7"/>
    <w:rsid w:val="00E07FB7"/>
    <w:rsid w:val="00E11E41"/>
    <w:rsid w:val="00E15F1C"/>
    <w:rsid w:val="00E164EC"/>
    <w:rsid w:val="00E21124"/>
    <w:rsid w:val="00E22583"/>
    <w:rsid w:val="00E23CA1"/>
    <w:rsid w:val="00E278BD"/>
    <w:rsid w:val="00E31A59"/>
    <w:rsid w:val="00E31F1E"/>
    <w:rsid w:val="00E32CC7"/>
    <w:rsid w:val="00E33F5B"/>
    <w:rsid w:val="00E343F1"/>
    <w:rsid w:val="00E3600D"/>
    <w:rsid w:val="00E37133"/>
    <w:rsid w:val="00E40526"/>
    <w:rsid w:val="00E408AE"/>
    <w:rsid w:val="00E409A8"/>
    <w:rsid w:val="00E42668"/>
    <w:rsid w:val="00E42A6E"/>
    <w:rsid w:val="00E43151"/>
    <w:rsid w:val="00E4431D"/>
    <w:rsid w:val="00E44356"/>
    <w:rsid w:val="00E4501A"/>
    <w:rsid w:val="00E47D61"/>
    <w:rsid w:val="00E508E2"/>
    <w:rsid w:val="00E50C12"/>
    <w:rsid w:val="00E523FB"/>
    <w:rsid w:val="00E528B0"/>
    <w:rsid w:val="00E5427C"/>
    <w:rsid w:val="00E54641"/>
    <w:rsid w:val="00E54E19"/>
    <w:rsid w:val="00E5515E"/>
    <w:rsid w:val="00E556B5"/>
    <w:rsid w:val="00E56516"/>
    <w:rsid w:val="00E56FE6"/>
    <w:rsid w:val="00E5740C"/>
    <w:rsid w:val="00E61FD1"/>
    <w:rsid w:val="00E62B6A"/>
    <w:rsid w:val="00E64518"/>
    <w:rsid w:val="00E6569E"/>
    <w:rsid w:val="00E65B91"/>
    <w:rsid w:val="00E65DA1"/>
    <w:rsid w:val="00E65F32"/>
    <w:rsid w:val="00E66ED9"/>
    <w:rsid w:val="00E670B2"/>
    <w:rsid w:val="00E67729"/>
    <w:rsid w:val="00E70170"/>
    <w:rsid w:val="00E7209D"/>
    <w:rsid w:val="00E72EAD"/>
    <w:rsid w:val="00E73E8A"/>
    <w:rsid w:val="00E762D4"/>
    <w:rsid w:val="00E76DCA"/>
    <w:rsid w:val="00E77223"/>
    <w:rsid w:val="00E8528B"/>
    <w:rsid w:val="00E85741"/>
    <w:rsid w:val="00E85B94"/>
    <w:rsid w:val="00E85FB5"/>
    <w:rsid w:val="00E87B03"/>
    <w:rsid w:val="00E90779"/>
    <w:rsid w:val="00E94EAB"/>
    <w:rsid w:val="00E96602"/>
    <w:rsid w:val="00E966B8"/>
    <w:rsid w:val="00E978D0"/>
    <w:rsid w:val="00E97DEC"/>
    <w:rsid w:val="00EA15D3"/>
    <w:rsid w:val="00EA2E5B"/>
    <w:rsid w:val="00EA39B8"/>
    <w:rsid w:val="00EA4451"/>
    <w:rsid w:val="00EA4613"/>
    <w:rsid w:val="00EA60DA"/>
    <w:rsid w:val="00EA6BE1"/>
    <w:rsid w:val="00EA7F91"/>
    <w:rsid w:val="00EB072A"/>
    <w:rsid w:val="00EB1523"/>
    <w:rsid w:val="00EB1A62"/>
    <w:rsid w:val="00EB28FF"/>
    <w:rsid w:val="00EB40E1"/>
    <w:rsid w:val="00EB6197"/>
    <w:rsid w:val="00EB71DD"/>
    <w:rsid w:val="00EC06A5"/>
    <w:rsid w:val="00EC0E49"/>
    <w:rsid w:val="00EC101F"/>
    <w:rsid w:val="00EC1D9F"/>
    <w:rsid w:val="00EC31F3"/>
    <w:rsid w:val="00EC3551"/>
    <w:rsid w:val="00EC3A02"/>
    <w:rsid w:val="00EC4410"/>
    <w:rsid w:val="00EC5F30"/>
    <w:rsid w:val="00EC745D"/>
    <w:rsid w:val="00ED4BE2"/>
    <w:rsid w:val="00ED70CE"/>
    <w:rsid w:val="00EE0131"/>
    <w:rsid w:val="00EE104B"/>
    <w:rsid w:val="00EE1329"/>
    <w:rsid w:val="00EE17B0"/>
    <w:rsid w:val="00EE77AE"/>
    <w:rsid w:val="00EF06D9"/>
    <w:rsid w:val="00EF0982"/>
    <w:rsid w:val="00EF1BE3"/>
    <w:rsid w:val="00EF2073"/>
    <w:rsid w:val="00EF2B96"/>
    <w:rsid w:val="00F0147A"/>
    <w:rsid w:val="00F01E7F"/>
    <w:rsid w:val="00F063C3"/>
    <w:rsid w:val="00F0767E"/>
    <w:rsid w:val="00F11BCE"/>
    <w:rsid w:val="00F157CC"/>
    <w:rsid w:val="00F15BB5"/>
    <w:rsid w:val="00F2029B"/>
    <w:rsid w:val="00F22D39"/>
    <w:rsid w:val="00F23184"/>
    <w:rsid w:val="00F234FB"/>
    <w:rsid w:val="00F250FD"/>
    <w:rsid w:val="00F3049E"/>
    <w:rsid w:val="00F30946"/>
    <w:rsid w:val="00F30C64"/>
    <w:rsid w:val="00F32BA2"/>
    <w:rsid w:val="00F32CDB"/>
    <w:rsid w:val="00F32DA6"/>
    <w:rsid w:val="00F3348F"/>
    <w:rsid w:val="00F3544D"/>
    <w:rsid w:val="00F36D7A"/>
    <w:rsid w:val="00F36DA6"/>
    <w:rsid w:val="00F37280"/>
    <w:rsid w:val="00F40424"/>
    <w:rsid w:val="00F41EE4"/>
    <w:rsid w:val="00F428DA"/>
    <w:rsid w:val="00F44B52"/>
    <w:rsid w:val="00F461F7"/>
    <w:rsid w:val="00F507C7"/>
    <w:rsid w:val="00F5090C"/>
    <w:rsid w:val="00F50C42"/>
    <w:rsid w:val="00F53011"/>
    <w:rsid w:val="00F53067"/>
    <w:rsid w:val="00F551EC"/>
    <w:rsid w:val="00F565FE"/>
    <w:rsid w:val="00F5683B"/>
    <w:rsid w:val="00F56A65"/>
    <w:rsid w:val="00F56B46"/>
    <w:rsid w:val="00F57B88"/>
    <w:rsid w:val="00F63A70"/>
    <w:rsid w:val="00F63D8C"/>
    <w:rsid w:val="00F64A6C"/>
    <w:rsid w:val="00F65204"/>
    <w:rsid w:val="00F66A58"/>
    <w:rsid w:val="00F70A6A"/>
    <w:rsid w:val="00F7534E"/>
    <w:rsid w:val="00F7561C"/>
    <w:rsid w:val="00F75C11"/>
    <w:rsid w:val="00F8103D"/>
    <w:rsid w:val="00F81571"/>
    <w:rsid w:val="00F81E29"/>
    <w:rsid w:val="00F82226"/>
    <w:rsid w:val="00F83340"/>
    <w:rsid w:val="00F857FD"/>
    <w:rsid w:val="00F86549"/>
    <w:rsid w:val="00F86DCD"/>
    <w:rsid w:val="00F908A6"/>
    <w:rsid w:val="00F93370"/>
    <w:rsid w:val="00F93EDF"/>
    <w:rsid w:val="00F957AF"/>
    <w:rsid w:val="00FA12C9"/>
    <w:rsid w:val="00FA1802"/>
    <w:rsid w:val="00FA21D0"/>
    <w:rsid w:val="00FA3348"/>
    <w:rsid w:val="00FA3A1A"/>
    <w:rsid w:val="00FA5F5F"/>
    <w:rsid w:val="00FA7811"/>
    <w:rsid w:val="00FB08C4"/>
    <w:rsid w:val="00FB2657"/>
    <w:rsid w:val="00FB2AC3"/>
    <w:rsid w:val="00FB5200"/>
    <w:rsid w:val="00FB5B14"/>
    <w:rsid w:val="00FB6892"/>
    <w:rsid w:val="00FB730C"/>
    <w:rsid w:val="00FC2695"/>
    <w:rsid w:val="00FC33AC"/>
    <w:rsid w:val="00FC3E03"/>
    <w:rsid w:val="00FC3FC1"/>
    <w:rsid w:val="00FC4417"/>
    <w:rsid w:val="00FC4835"/>
    <w:rsid w:val="00FC495A"/>
    <w:rsid w:val="00FC6157"/>
    <w:rsid w:val="00FD0AAC"/>
    <w:rsid w:val="00FD18BD"/>
    <w:rsid w:val="00FD2496"/>
    <w:rsid w:val="00FD3FA9"/>
    <w:rsid w:val="00FE1E92"/>
    <w:rsid w:val="00FE2205"/>
    <w:rsid w:val="00FE2E46"/>
    <w:rsid w:val="00FE604A"/>
    <w:rsid w:val="00FF1220"/>
    <w:rsid w:val="00FF2C0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F62D5"/>
    <w:pPr>
      <w:keepNext/>
      <w:numPr>
        <w:ilvl w:val="2"/>
        <w:numId w:val="1"/>
      </w:numPr>
      <w:suppressAutoHyphens/>
      <w:spacing w:after="12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F62D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D673A0"/>
    <w:rPr>
      <w:color w:val="605E5C"/>
      <w:shd w:val="clear" w:color="auto" w:fill="E1DFDD"/>
    </w:rPr>
  </w:style>
  <w:style w:type="character" w:styleId="Testosegnaposto">
    <w:name w:val="Placeholder Text"/>
    <w:basedOn w:val="Carpredefinitoparagrafo"/>
    <w:uiPriority w:val="99"/>
    <w:semiHidden/>
    <w:rsid w:val="00E64518"/>
    <w:rPr>
      <w:color w:val="666666"/>
    </w:rPr>
  </w:style>
  <w:style w:type="character" w:styleId="Enfasigrassetto">
    <w:name w:val="Strong"/>
    <w:basedOn w:val="Carpredefinitoparagrafo"/>
    <w:uiPriority w:val="22"/>
    <w:qFormat/>
    <w:rsid w:val="00FB08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2716">
      <w:marLeft w:val="480"/>
      <w:marRight w:val="0"/>
      <w:marTop w:val="0"/>
      <w:marBottom w:val="0"/>
      <w:divBdr>
        <w:top w:val="none" w:sz="0" w:space="0" w:color="auto"/>
        <w:left w:val="none" w:sz="0" w:space="0" w:color="auto"/>
        <w:bottom w:val="none" w:sz="0" w:space="0" w:color="auto"/>
        <w:right w:val="none" w:sz="0" w:space="0" w:color="auto"/>
      </w:divBdr>
      <w:divsChild>
        <w:div w:id="1614557735">
          <w:marLeft w:val="480"/>
          <w:marRight w:val="0"/>
          <w:marTop w:val="0"/>
          <w:marBottom w:val="0"/>
          <w:divBdr>
            <w:top w:val="none" w:sz="0" w:space="0" w:color="auto"/>
            <w:left w:val="none" w:sz="0" w:space="0" w:color="auto"/>
            <w:bottom w:val="none" w:sz="0" w:space="0" w:color="auto"/>
            <w:right w:val="none" w:sz="0" w:space="0" w:color="auto"/>
          </w:divBdr>
        </w:div>
        <w:div w:id="294912318">
          <w:marLeft w:val="480"/>
          <w:marRight w:val="0"/>
          <w:marTop w:val="0"/>
          <w:marBottom w:val="0"/>
          <w:divBdr>
            <w:top w:val="none" w:sz="0" w:space="0" w:color="auto"/>
            <w:left w:val="none" w:sz="0" w:space="0" w:color="auto"/>
            <w:bottom w:val="none" w:sz="0" w:space="0" w:color="auto"/>
            <w:right w:val="none" w:sz="0" w:space="0" w:color="auto"/>
          </w:divBdr>
        </w:div>
        <w:div w:id="1303732365">
          <w:marLeft w:val="480"/>
          <w:marRight w:val="0"/>
          <w:marTop w:val="0"/>
          <w:marBottom w:val="0"/>
          <w:divBdr>
            <w:top w:val="none" w:sz="0" w:space="0" w:color="auto"/>
            <w:left w:val="none" w:sz="0" w:space="0" w:color="auto"/>
            <w:bottom w:val="none" w:sz="0" w:space="0" w:color="auto"/>
            <w:right w:val="none" w:sz="0" w:space="0" w:color="auto"/>
          </w:divBdr>
        </w:div>
        <w:div w:id="1104226896">
          <w:marLeft w:val="480"/>
          <w:marRight w:val="0"/>
          <w:marTop w:val="0"/>
          <w:marBottom w:val="0"/>
          <w:divBdr>
            <w:top w:val="none" w:sz="0" w:space="0" w:color="auto"/>
            <w:left w:val="none" w:sz="0" w:space="0" w:color="auto"/>
            <w:bottom w:val="none" w:sz="0" w:space="0" w:color="auto"/>
            <w:right w:val="none" w:sz="0" w:space="0" w:color="auto"/>
          </w:divBdr>
        </w:div>
        <w:div w:id="654797605">
          <w:marLeft w:val="480"/>
          <w:marRight w:val="0"/>
          <w:marTop w:val="0"/>
          <w:marBottom w:val="0"/>
          <w:divBdr>
            <w:top w:val="none" w:sz="0" w:space="0" w:color="auto"/>
            <w:left w:val="none" w:sz="0" w:space="0" w:color="auto"/>
            <w:bottom w:val="none" w:sz="0" w:space="0" w:color="auto"/>
            <w:right w:val="none" w:sz="0" w:space="0" w:color="auto"/>
          </w:divBdr>
        </w:div>
        <w:div w:id="925378903">
          <w:marLeft w:val="480"/>
          <w:marRight w:val="0"/>
          <w:marTop w:val="0"/>
          <w:marBottom w:val="0"/>
          <w:divBdr>
            <w:top w:val="none" w:sz="0" w:space="0" w:color="auto"/>
            <w:left w:val="none" w:sz="0" w:space="0" w:color="auto"/>
            <w:bottom w:val="none" w:sz="0" w:space="0" w:color="auto"/>
            <w:right w:val="none" w:sz="0" w:space="0" w:color="auto"/>
          </w:divBdr>
        </w:div>
        <w:div w:id="704643332">
          <w:marLeft w:val="480"/>
          <w:marRight w:val="0"/>
          <w:marTop w:val="0"/>
          <w:marBottom w:val="0"/>
          <w:divBdr>
            <w:top w:val="none" w:sz="0" w:space="0" w:color="auto"/>
            <w:left w:val="none" w:sz="0" w:space="0" w:color="auto"/>
            <w:bottom w:val="none" w:sz="0" w:space="0" w:color="auto"/>
            <w:right w:val="none" w:sz="0" w:space="0" w:color="auto"/>
          </w:divBdr>
        </w:div>
        <w:div w:id="1274173026">
          <w:marLeft w:val="480"/>
          <w:marRight w:val="0"/>
          <w:marTop w:val="0"/>
          <w:marBottom w:val="0"/>
          <w:divBdr>
            <w:top w:val="none" w:sz="0" w:space="0" w:color="auto"/>
            <w:left w:val="none" w:sz="0" w:space="0" w:color="auto"/>
            <w:bottom w:val="none" w:sz="0" w:space="0" w:color="auto"/>
            <w:right w:val="none" w:sz="0" w:space="0" w:color="auto"/>
          </w:divBdr>
        </w:div>
        <w:div w:id="1088768878">
          <w:marLeft w:val="480"/>
          <w:marRight w:val="0"/>
          <w:marTop w:val="0"/>
          <w:marBottom w:val="0"/>
          <w:divBdr>
            <w:top w:val="none" w:sz="0" w:space="0" w:color="auto"/>
            <w:left w:val="none" w:sz="0" w:space="0" w:color="auto"/>
            <w:bottom w:val="none" w:sz="0" w:space="0" w:color="auto"/>
            <w:right w:val="none" w:sz="0" w:space="0" w:color="auto"/>
          </w:divBdr>
        </w:div>
        <w:div w:id="1514146312">
          <w:marLeft w:val="480"/>
          <w:marRight w:val="0"/>
          <w:marTop w:val="0"/>
          <w:marBottom w:val="0"/>
          <w:divBdr>
            <w:top w:val="none" w:sz="0" w:space="0" w:color="auto"/>
            <w:left w:val="none" w:sz="0" w:space="0" w:color="auto"/>
            <w:bottom w:val="none" w:sz="0" w:space="0" w:color="auto"/>
            <w:right w:val="none" w:sz="0" w:space="0" w:color="auto"/>
          </w:divBdr>
        </w:div>
        <w:div w:id="825780368">
          <w:marLeft w:val="480"/>
          <w:marRight w:val="0"/>
          <w:marTop w:val="0"/>
          <w:marBottom w:val="0"/>
          <w:divBdr>
            <w:top w:val="none" w:sz="0" w:space="0" w:color="auto"/>
            <w:left w:val="none" w:sz="0" w:space="0" w:color="auto"/>
            <w:bottom w:val="none" w:sz="0" w:space="0" w:color="auto"/>
            <w:right w:val="none" w:sz="0" w:space="0" w:color="auto"/>
          </w:divBdr>
        </w:div>
        <w:div w:id="543323414">
          <w:marLeft w:val="480"/>
          <w:marRight w:val="0"/>
          <w:marTop w:val="0"/>
          <w:marBottom w:val="0"/>
          <w:divBdr>
            <w:top w:val="none" w:sz="0" w:space="0" w:color="auto"/>
            <w:left w:val="none" w:sz="0" w:space="0" w:color="auto"/>
            <w:bottom w:val="none" w:sz="0" w:space="0" w:color="auto"/>
            <w:right w:val="none" w:sz="0" w:space="0" w:color="auto"/>
          </w:divBdr>
        </w:div>
        <w:div w:id="1617520221">
          <w:marLeft w:val="480"/>
          <w:marRight w:val="0"/>
          <w:marTop w:val="0"/>
          <w:marBottom w:val="0"/>
          <w:divBdr>
            <w:top w:val="none" w:sz="0" w:space="0" w:color="auto"/>
            <w:left w:val="none" w:sz="0" w:space="0" w:color="auto"/>
            <w:bottom w:val="none" w:sz="0" w:space="0" w:color="auto"/>
            <w:right w:val="none" w:sz="0" w:space="0" w:color="auto"/>
          </w:divBdr>
        </w:div>
        <w:div w:id="1717973611">
          <w:marLeft w:val="480"/>
          <w:marRight w:val="0"/>
          <w:marTop w:val="0"/>
          <w:marBottom w:val="0"/>
          <w:divBdr>
            <w:top w:val="none" w:sz="0" w:space="0" w:color="auto"/>
            <w:left w:val="none" w:sz="0" w:space="0" w:color="auto"/>
            <w:bottom w:val="none" w:sz="0" w:space="0" w:color="auto"/>
            <w:right w:val="none" w:sz="0" w:space="0" w:color="auto"/>
          </w:divBdr>
        </w:div>
        <w:div w:id="1412040798">
          <w:marLeft w:val="480"/>
          <w:marRight w:val="0"/>
          <w:marTop w:val="0"/>
          <w:marBottom w:val="0"/>
          <w:divBdr>
            <w:top w:val="none" w:sz="0" w:space="0" w:color="auto"/>
            <w:left w:val="none" w:sz="0" w:space="0" w:color="auto"/>
            <w:bottom w:val="none" w:sz="0" w:space="0" w:color="auto"/>
            <w:right w:val="none" w:sz="0" w:space="0" w:color="auto"/>
          </w:divBdr>
        </w:div>
        <w:div w:id="2096197857">
          <w:marLeft w:val="480"/>
          <w:marRight w:val="0"/>
          <w:marTop w:val="0"/>
          <w:marBottom w:val="0"/>
          <w:divBdr>
            <w:top w:val="none" w:sz="0" w:space="0" w:color="auto"/>
            <w:left w:val="none" w:sz="0" w:space="0" w:color="auto"/>
            <w:bottom w:val="none" w:sz="0" w:space="0" w:color="auto"/>
            <w:right w:val="none" w:sz="0" w:space="0" w:color="auto"/>
          </w:divBdr>
        </w:div>
        <w:div w:id="620964588">
          <w:marLeft w:val="480"/>
          <w:marRight w:val="0"/>
          <w:marTop w:val="0"/>
          <w:marBottom w:val="0"/>
          <w:divBdr>
            <w:top w:val="none" w:sz="0" w:space="0" w:color="auto"/>
            <w:left w:val="none" w:sz="0" w:space="0" w:color="auto"/>
            <w:bottom w:val="none" w:sz="0" w:space="0" w:color="auto"/>
            <w:right w:val="none" w:sz="0" w:space="0" w:color="auto"/>
          </w:divBdr>
        </w:div>
        <w:div w:id="520164937">
          <w:marLeft w:val="480"/>
          <w:marRight w:val="0"/>
          <w:marTop w:val="0"/>
          <w:marBottom w:val="0"/>
          <w:divBdr>
            <w:top w:val="none" w:sz="0" w:space="0" w:color="auto"/>
            <w:left w:val="none" w:sz="0" w:space="0" w:color="auto"/>
            <w:bottom w:val="none" w:sz="0" w:space="0" w:color="auto"/>
            <w:right w:val="none" w:sz="0" w:space="0" w:color="auto"/>
          </w:divBdr>
        </w:div>
        <w:div w:id="574515189">
          <w:marLeft w:val="480"/>
          <w:marRight w:val="0"/>
          <w:marTop w:val="0"/>
          <w:marBottom w:val="0"/>
          <w:divBdr>
            <w:top w:val="none" w:sz="0" w:space="0" w:color="auto"/>
            <w:left w:val="none" w:sz="0" w:space="0" w:color="auto"/>
            <w:bottom w:val="none" w:sz="0" w:space="0" w:color="auto"/>
            <w:right w:val="none" w:sz="0" w:space="0" w:color="auto"/>
          </w:divBdr>
        </w:div>
        <w:div w:id="1941454063">
          <w:marLeft w:val="480"/>
          <w:marRight w:val="0"/>
          <w:marTop w:val="0"/>
          <w:marBottom w:val="0"/>
          <w:divBdr>
            <w:top w:val="none" w:sz="0" w:space="0" w:color="auto"/>
            <w:left w:val="none" w:sz="0" w:space="0" w:color="auto"/>
            <w:bottom w:val="none" w:sz="0" w:space="0" w:color="auto"/>
            <w:right w:val="none" w:sz="0" w:space="0" w:color="auto"/>
          </w:divBdr>
        </w:div>
        <w:div w:id="676886807">
          <w:marLeft w:val="480"/>
          <w:marRight w:val="0"/>
          <w:marTop w:val="0"/>
          <w:marBottom w:val="0"/>
          <w:divBdr>
            <w:top w:val="none" w:sz="0" w:space="0" w:color="auto"/>
            <w:left w:val="none" w:sz="0" w:space="0" w:color="auto"/>
            <w:bottom w:val="none" w:sz="0" w:space="0" w:color="auto"/>
            <w:right w:val="none" w:sz="0" w:space="0" w:color="auto"/>
          </w:divBdr>
        </w:div>
        <w:div w:id="1939555233">
          <w:marLeft w:val="480"/>
          <w:marRight w:val="0"/>
          <w:marTop w:val="0"/>
          <w:marBottom w:val="0"/>
          <w:divBdr>
            <w:top w:val="none" w:sz="0" w:space="0" w:color="auto"/>
            <w:left w:val="none" w:sz="0" w:space="0" w:color="auto"/>
            <w:bottom w:val="none" w:sz="0" w:space="0" w:color="auto"/>
            <w:right w:val="none" w:sz="0" w:space="0" w:color="auto"/>
          </w:divBdr>
        </w:div>
        <w:div w:id="447092522">
          <w:marLeft w:val="480"/>
          <w:marRight w:val="0"/>
          <w:marTop w:val="0"/>
          <w:marBottom w:val="0"/>
          <w:divBdr>
            <w:top w:val="none" w:sz="0" w:space="0" w:color="auto"/>
            <w:left w:val="none" w:sz="0" w:space="0" w:color="auto"/>
            <w:bottom w:val="none" w:sz="0" w:space="0" w:color="auto"/>
            <w:right w:val="none" w:sz="0" w:space="0" w:color="auto"/>
          </w:divBdr>
        </w:div>
        <w:div w:id="1785879323">
          <w:marLeft w:val="480"/>
          <w:marRight w:val="0"/>
          <w:marTop w:val="0"/>
          <w:marBottom w:val="0"/>
          <w:divBdr>
            <w:top w:val="none" w:sz="0" w:space="0" w:color="auto"/>
            <w:left w:val="none" w:sz="0" w:space="0" w:color="auto"/>
            <w:bottom w:val="none" w:sz="0" w:space="0" w:color="auto"/>
            <w:right w:val="none" w:sz="0" w:space="0" w:color="auto"/>
          </w:divBdr>
        </w:div>
        <w:div w:id="1089883680">
          <w:marLeft w:val="480"/>
          <w:marRight w:val="0"/>
          <w:marTop w:val="0"/>
          <w:marBottom w:val="0"/>
          <w:divBdr>
            <w:top w:val="none" w:sz="0" w:space="0" w:color="auto"/>
            <w:left w:val="none" w:sz="0" w:space="0" w:color="auto"/>
            <w:bottom w:val="none" w:sz="0" w:space="0" w:color="auto"/>
            <w:right w:val="none" w:sz="0" w:space="0" w:color="auto"/>
          </w:divBdr>
        </w:div>
        <w:div w:id="1640067680">
          <w:marLeft w:val="480"/>
          <w:marRight w:val="0"/>
          <w:marTop w:val="0"/>
          <w:marBottom w:val="0"/>
          <w:divBdr>
            <w:top w:val="none" w:sz="0" w:space="0" w:color="auto"/>
            <w:left w:val="none" w:sz="0" w:space="0" w:color="auto"/>
            <w:bottom w:val="none" w:sz="0" w:space="0" w:color="auto"/>
            <w:right w:val="none" w:sz="0" w:space="0" w:color="auto"/>
          </w:divBdr>
        </w:div>
        <w:div w:id="574821351">
          <w:marLeft w:val="480"/>
          <w:marRight w:val="0"/>
          <w:marTop w:val="0"/>
          <w:marBottom w:val="0"/>
          <w:divBdr>
            <w:top w:val="none" w:sz="0" w:space="0" w:color="auto"/>
            <w:left w:val="none" w:sz="0" w:space="0" w:color="auto"/>
            <w:bottom w:val="none" w:sz="0" w:space="0" w:color="auto"/>
            <w:right w:val="none" w:sz="0" w:space="0" w:color="auto"/>
          </w:divBdr>
        </w:div>
        <w:div w:id="1311908926">
          <w:marLeft w:val="480"/>
          <w:marRight w:val="0"/>
          <w:marTop w:val="0"/>
          <w:marBottom w:val="0"/>
          <w:divBdr>
            <w:top w:val="none" w:sz="0" w:space="0" w:color="auto"/>
            <w:left w:val="none" w:sz="0" w:space="0" w:color="auto"/>
            <w:bottom w:val="none" w:sz="0" w:space="0" w:color="auto"/>
            <w:right w:val="none" w:sz="0" w:space="0" w:color="auto"/>
          </w:divBdr>
        </w:div>
        <w:div w:id="1950239742">
          <w:marLeft w:val="480"/>
          <w:marRight w:val="0"/>
          <w:marTop w:val="0"/>
          <w:marBottom w:val="0"/>
          <w:divBdr>
            <w:top w:val="none" w:sz="0" w:space="0" w:color="auto"/>
            <w:left w:val="none" w:sz="0" w:space="0" w:color="auto"/>
            <w:bottom w:val="none" w:sz="0" w:space="0" w:color="auto"/>
            <w:right w:val="none" w:sz="0" w:space="0" w:color="auto"/>
          </w:divBdr>
        </w:div>
        <w:div w:id="1846551206">
          <w:marLeft w:val="480"/>
          <w:marRight w:val="0"/>
          <w:marTop w:val="0"/>
          <w:marBottom w:val="0"/>
          <w:divBdr>
            <w:top w:val="none" w:sz="0" w:space="0" w:color="auto"/>
            <w:left w:val="none" w:sz="0" w:space="0" w:color="auto"/>
            <w:bottom w:val="none" w:sz="0" w:space="0" w:color="auto"/>
            <w:right w:val="none" w:sz="0" w:space="0" w:color="auto"/>
          </w:divBdr>
        </w:div>
        <w:div w:id="48305706">
          <w:marLeft w:val="480"/>
          <w:marRight w:val="0"/>
          <w:marTop w:val="0"/>
          <w:marBottom w:val="0"/>
          <w:divBdr>
            <w:top w:val="none" w:sz="0" w:space="0" w:color="auto"/>
            <w:left w:val="none" w:sz="0" w:space="0" w:color="auto"/>
            <w:bottom w:val="none" w:sz="0" w:space="0" w:color="auto"/>
            <w:right w:val="none" w:sz="0" w:space="0" w:color="auto"/>
          </w:divBdr>
        </w:div>
        <w:div w:id="1186089982">
          <w:marLeft w:val="480"/>
          <w:marRight w:val="0"/>
          <w:marTop w:val="0"/>
          <w:marBottom w:val="0"/>
          <w:divBdr>
            <w:top w:val="none" w:sz="0" w:space="0" w:color="auto"/>
            <w:left w:val="none" w:sz="0" w:space="0" w:color="auto"/>
            <w:bottom w:val="none" w:sz="0" w:space="0" w:color="auto"/>
            <w:right w:val="none" w:sz="0" w:space="0" w:color="auto"/>
          </w:divBdr>
        </w:div>
        <w:div w:id="907959671">
          <w:marLeft w:val="480"/>
          <w:marRight w:val="0"/>
          <w:marTop w:val="0"/>
          <w:marBottom w:val="0"/>
          <w:divBdr>
            <w:top w:val="none" w:sz="0" w:space="0" w:color="auto"/>
            <w:left w:val="none" w:sz="0" w:space="0" w:color="auto"/>
            <w:bottom w:val="none" w:sz="0" w:space="0" w:color="auto"/>
            <w:right w:val="none" w:sz="0" w:space="0" w:color="auto"/>
          </w:divBdr>
        </w:div>
        <w:div w:id="639069111">
          <w:marLeft w:val="480"/>
          <w:marRight w:val="0"/>
          <w:marTop w:val="0"/>
          <w:marBottom w:val="0"/>
          <w:divBdr>
            <w:top w:val="none" w:sz="0" w:space="0" w:color="auto"/>
            <w:left w:val="none" w:sz="0" w:space="0" w:color="auto"/>
            <w:bottom w:val="none" w:sz="0" w:space="0" w:color="auto"/>
            <w:right w:val="none" w:sz="0" w:space="0" w:color="auto"/>
          </w:divBdr>
        </w:div>
        <w:div w:id="763305441">
          <w:marLeft w:val="480"/>
          <w:marRight w:val="0"/>
          <w:marTop w:val="0"/>
          <w:marBottom w:val="0"/>
          <w:divBdr>
            <w:top w:val="none" w:sz="0" w:space="0" w:color="auto"/>
            <w:left w:val="none" w:sz="0" w:space="0" w:color="auto"/>
            <w:bottom w:val="none" w:sz="0" w:space="0" w:color="auto"/>
            <w:right w:val="none" w:sz="0" w:space="0" w:color="auto"/>
          </w:divBdr>
        </w:div>
        <w:div w:id="881942227">
          <w:marLeft w:val="480"/>
          <w:marRight w:val="0"/>
          <w:marTop w:val="0"/>
          <w:marBottom w:val="0"/>
          <w:divBdr>
            <w:top w:val="none" w:sz="0" w:space="0" w:color="auto"/>
            <w:left w:val="none" w:sz="0" w:space="0" w:color="auto"/>
            <w:bottom w:val="none" w:sz="0" w:space="0" w:color="auto"/>
            <w:right w:val="none" w:sz="0" w:space="0" w:color="auto"/>
          </w:divBdr>
        </w:div>
        <w:div w:id="1589117002">
          <w:marLeft w:val="480"/>
          <w:marRight w:val="0"/>
          <w:marTop w:val="0"/>
          <w:marBottom w:val="0"/>
          <w:divBdr>
            <w:top w:val="none" w:sz="0" w:space="0" w:color="auto"/>
            <w:left w:val="none" w:sz="0" w:space="0" w:color="auto"/>
            <w:bottom w:val="none" w:sz="0" w:space="0" w:color="auto"/>
            <w:right w:val="none" w:sz="0" w:space="0" w:color="auto"/>
          </w:divBdr>
        </w:div>
        <w:div w:id="2021468700">
          <w:marLeft w:val="480"/>
          <w:marRight w:val="0"/>
          <w:marTop w:val="0"/>
          <w:marBottom w:val="0"/>
          <w:divBdr>
            <w:top w:val="none" w:sz="0" w:space="0" w:color="auto"/>
            <w:left w:val="none" w:sz="0" w:space="0" w:color="auto"/>
            <w:bottom w:val="none" w:sz="0" w:space="0" w:color="auto"/>
            <w:right w:val="none" w:sz="0" w:space="0" w:color="auto"/>
          </w:divBdr>
        </w:div>
        <w:div w:id="182020964">
          <w:marLeft w:val="480"/>
          <w:marRight w:val="0"/>
          <w:marTop w:val="0"/>
          <w:marBottom w:val="0"/>
          <w:divBdr>
            <w:top w:val="none" w:sz="0" w:space="0" w:color="auto"/>
            <w:left w:val="none" w:sz="0" w:space="0" w:color="auto"/>
            <w:bottom w:val="none" w:sz="0" w:space="0" w:color="auto"/>
            <w:right w:val="none" w:sz="0" w:space="0" w:color="auto"/>
          </w:divBdr>
        </w:div>
        <w:div w:id="3560684">
          <w:marLeft w:val="480"/>
          <w:marRight w:val="0"/>
          <w:marTop w:val="0"/>
          <w:marBottom w:val="0"/>
          <w:divBdr>
            <w:top w:val="none" w:sz="0" w:space="0" w:color="auto"/>
            <w:left w:val="none" w:sz="0" w:space="0" w:color="auto"/>
            <w:bottom w:val="none" w:sz="0" w:space="0" w:color="auto"/>
            <w:right w:val="none" w:sz="0" w:space="0" w:color="auto"/>
          </w:divBdr>
        </w:div>
        <w:div w:id="1493641923">
          <w:marLeft w:val="480"/>
          <w:marRight w:val="0"/>
          <w:marTop w:val="0"/>
          <w:marBottom w:val="0"/>
          <w:divBdr>
            <w:top w:val="none" w:sz="0" w:space="0" w:color="auto"/>
            <w:left w:val="none" w:sz="0" w:space="0" w:color="auto"/>
            <w:bottom w:val="none" w:sz="0" w:space="0" w:color="auto"/>
            <w:right w:val="none" w:sz="0" w:space="0" w:color="auto"/>
          </w:divBdr>
        </w:div>
        <w:div w:id="1365254030">
          <w:marLeft w:val="480"/>
          <w:marRight w:val="0"/>
          <w:marTop w:val="0"/>
          <w:marBottom w:val="0"/>
          <w:divBdr>
            <w:top w:val="none" w:sz="0" w:space="0" w:color="auto"/>
            <w:left w:val="none" w:sz="0" w:space="0" w:color="auto"/>
            <w:bottom w:val="none" w:sz="0" w:space="0" w:color="auto"/>
            <w:right w:val="none" w:sz="0" w:space="0" w:color="auto"/>
          </w:divBdr>
        </w:div>
        <w:div w:id="1886985224">
          <w:marLeft w:val="480"/>
          <w:marRight w:val="0"/>
          <w:marTop w:val="0"/>
          <w:marBottom w:val="0"/>
          <w:divBdr>
            <w:top w:val="none" w:sz="0" w:space="0" w:color="auto"/>
            <w:left w:val="none" w:sz="0" w:space="0" w:color="auto"/>
            <w:bottom w:val="none" w:sz="0" w:space="0" w:color="auto"/>
            <w:right w:val="none" w:sz="0" w:space="0" w:color="auto"/>
          </w:divBdr>
        </w:div>
        <w:div w:id="1621060807">
          <w:marLeft w:val="480"/>
          <w:marRight w:val="0"/>
          <w:marTop w:val="0"/>
          <w:marBottom w:val="0"/>
          <w:divBdr>
            <w:top w:val="none" w:sz="0" w:space="0" w:color="auto"/>
            <w:left w:val="none" w:sz="0" w:space="0" w:color="auto"/>
            <w:bottom w:val="none" w:sz="0" w:space="0" w:color="auto"/>
            <w:right w:val="none" w:sz="0" w:space="0" w:color="auto"/>
          </w:divBdr>
        </w:div>
        <w:div w:id="557324964">
          <w:marLeft w:val="480"/>
          <w:marRight w:val="0"/>
          <w:marTop w:val="0"/>
          <w:marBottom w:val="0"/>
          <w:divBdr>
            <w:top w:val="none" w:sz="0" w:space="0" w:color="auto"/>
            <w:left w:val="none" w:sz="0" w:space="0" w:color="auto"/>
            <w:bottom w:val="none" w:sz="0" w:space="0" w:color="auto"/>
            <w:right w:val="none" w:sz="0" w:space="0" w:color="auto"/>
          </w:divBdr>
        </w:div>
        <w:div w:id="302934162">
          <w:marLeft w:val="480"/>
          <w:marRight w:val="0"/>
          <w:marTop w:val="0"/>
          <w:marBottom w:val="0"/>
          <w:divBdr>
            <w:top w:val="none" w:sz="0" w:space="0" w:color="auto"/>
            <w:left w:val="none" w:sz="0" w:space="0" w:color="auto"/>
            <w:bottom w:val="none" w:sz="0" w:space="0" w:color="auto"/>
            <w:right w:val="none" w:sz="0" w:space="0" w:color="auto"/>
          </w:divBdr>
        </w:div>
        <w:div w:id="1275553096">
          <w:marLeft w:val="480"/>
          <w:marRight w:val="0"/>
          <w:marTop w:val="0"/>
          <w:marBottom w:val="0"/>
          <w:divBdr>
            <w:top w:val="none" w:sz="0" w:space="0" w:color="auto"/>
            <w:left w:val="none" w:sz="0" w:space="0" w:color="auto"/>
            <w:bottom w:val="none" w:sz="0" w:space="0" w:color="auto"/>
            <w:right w:val="none" w:sz="0" w:space="0" w:color="auto"/>
          </w:divBdr>
        </w:div>
        <w:div w:id="2069724668">
          <w:marLeft w:val="480"/>
          <w:marRight w:val="0"/>
          <w:marTop w:val="0"/>
          <w:marBottom w:val="0"/>
          <w:divBdr>
            <w:top w:val="none" w:sz="0" w:space="0" w:color="auto"/>
            <w:left w:val="none" w:sz="0" w:space="0" w:color="auto"/>
            <w:bottom w:val="none" w:sz="0" w:space="0" w:color="auto"/>
            <w:right w:val="none" w:sz="0" w:space="0" w:color="auto"/>
          </w:divBdr>
        </w:div>
        <w:div w:id="1343895145">
          <w:marLeft w:val="480"/>
          <w:marRight w:val="0"/>
          <w:marTop w:val="0"/>
          <w:marBottom w:val="0"/>
          <w:divBdr>
            <w:top w:val="none" w:sz="0" w:space="0" w:color="auto"/>
            <w:left w:val="none" w:sz="0" w:space="0" w:color="auto"/>
            <w:bottom w:val="none" w:sz="0" w:space="0" w:color="auto"/>
            <w:right w:val="none" w:sz="0" w:space="0" w:color="auto"/>
          </w:divBdr>
        </w:div>
        <w:div w:id="1981381271">
          <w:marLeft w:val="480"/>
          <w:marRight w:val="0"/>
          <w:marTop w:val="0"/>
          <w:marBottom w:val="0"/>
          <w:divBdr>
            <w:top w:val="none" w:sz="0" w:space="0" w:color="auto"/>
            <w:left w:val="none" w:sz="0" w:space="0" w:color="auto"/>
            <w:bottom w:val="none" w:sz="0" w:space="0" w:color="auto"/>
            <w:right w:val="none" w:sz="0" w:space="0" w:color="auto"/>
          </w:divBdr>
        </w:div>
        <w:div w:id="1611665075">
          <w:marLeft w:val="480"/>
          <w:marRight w:val="0"/>
          <w:marTop w:val="0"/>
          <w:marBottom w:val="0"/>
          <w:divBdr>
            <w:top w:val="none" w:sz="0" w:space="0" w:color="auto"/>
            <w:left w:val="none" w:sz="0" w:space="0" w:color="auto"/>
            <w:bottom w:val="none" w:sz="0" w:space="0" w:color="auto"/>
            <w:right w:val="none" w:sz="0" w:space="0" w:color="auto"/>
          </w:divBdr>
        </w:div>
        <w:div w:id="1267538735">
          <w:marLeft w:val="480"/>
          <w:marRight w:val="0"/>
          <w:marTop w:val="0"/>
          <w:marBottom w:val="0"/>
          <w:divBdr>
            <w:top w:val="none" w:sz="0" w:space="0" w:color="auto"/>
            <w:left w:val="none" w:sz="0" w:space="0" w:color="auto"/>
            <w:bottom w:val="none" w:sz="0" w:space="0" w:color="auto"/>
            <w:right w:val="none" w:sz="0" w:space="0" w:color="auto"/>
          </w:divBdr>
        </w:div>
        <w:div w:id="2082943220">
          <w:marLeft w:val="480"/>
          <w:marRight w:val="0"/>
          <w:marTop w:val="0"/>
          <w:marBottom w:val="0"/>
          <w:divBdr>
            <w:top w:val="none" w:sz="0" w:space="0" w:color="auto"/>
            <w:left w:val="none" w:sz="0" w:space="0" w:color="auto"/>
            <w:bottom w:val="none" w:sz="0" w:space="0" w:color="auto"/>
            <w:right w:val="none" w:sz="0" w:space="0" w:color="auto"/>
          </w:divBdr>
        </w:div>
        <w:div w:id="884827344">
          <w:marLeft w:val="480"/>
          <w:marRight w:val="0"/>
          <w:marTop w:val="0"/>
          <w:marBottom w:val="0"/>
          <w:divBdr>
            <w:top w:val="none" w:sz="0" w:space="0" w:color="auto"/>
            <w:left w:val="none" w:sz="0" w:space="0" w:color="auto"/>
            <w:bottom w:val="none" w:sz="0" w:space="0" w:color="auto"/>
            <w:right w:val="none" w:sz="0" w:space="0" w:color="auto"/>
          </w:divBdr>
        </w:div>
        <w:div w:id="346836253">
          <w:marLeft w:val="480"/>
          <w:marRight w:val="0"/>
          <w:marTop w:val="0"/>
          <w:marBottom w:val="0"/>
          <w:divBdr>
            <w:top w:val="none" w:sz="0" w:space="0" w:color="auto"/>
            <w:left w:val="none" w:sz="0" w:space="0" w:color="auto"/>
            <w:bottom w:val="none" w:sz="0" w:space="0" w:color="auto"/>
            <w:right w:val="none" w:sz="0" w:space="0" w:color="auto"/>
          </w:divBdr>
        </w:div>
        <w:div w:id="1724593423">
          <w:marLeft w:val="480"/>
          <w:marRight w:val="0"/>
          <w:marTop w:val="0"/>
          <w:marBottom w:val="0"/>
          <w:divBdr>
            <w:top w:val="none" w:sz="0" w:space="0" w:color="auto"/>
            <w:left w:val="none" w:sz="0" w:space="0" w:color="auto"/>
            <w:bottom w:val="none" w:sz="0" w:space="0" w:color="auto"/>
            <w:right w:val="none" w:sz="0" w:space="0" w:color="auto"/>
          </w:divBdr>
        </w:div>
        <w:div w:id="595332279">
          <w:marLeft w:val="480"/>
          <w:marRight w:val="0"/>
          <w:marTop w:val="0"/>
          <w:marBottom w:val="0"/>
          <w:divBdr>
            <w:top w:val="none" w:sz="0" w:space="0" w:color="auto"/>
            <w:left w:val="none" w:sz="0" w:space="0" w:color="auto"/>
            <w:bottom w:val="none" w:sz="0" w:space="0" w:color="auto"/>
            <w:right w:val="none" w:sz="0" w:space="0" w:color="auto"/>
          </w:divBdr>
        </w:div>
        <w:div w:id="1388453853">
          <w:marLeft w:val="480"/>
          <w:marRight w:val="0"/>
          <w:marTop w:val="0"/>
          <w:marBottom w:val="0"/>
          <w:divBdr>
            <w:top w:val="none" w:sz="0" w:space="0" w:color="auto"/>
            <w:left w:val="none" w:sz="0" w:space="0" w:color="auto"/>
            <w:bottom w:val="none" w:sz="0" w:space="0" w:color="auto"/>
            <w:right w:val="none" w:sz="0" w:space="0" w:color="auto"/>
          </w:divBdr>
        </w:div>
        <w:div w:id="970406370">
          <w:marLeft w:val="480"/>
          <w:marRight w:val="0"/>
          <w:marTop w:val="0"/>
          <w:marBottom w:val="0"/>
          <w:divBdr>
            <w:top w:val="none" w:sz="0" w:space="0" w:color="auto"/>
            <w:left w:val="none" w:sz="0" w:space="0" w:color="auto"/>
            <w:bottom w:val="none" w:sz="0" w:space="0" w:color="auto"/>
            <w:right w:val="none" w:sz="0" w:space="0" w:color="auto"/>
          </w:divBdr>
        </w:div>
        <w:div w:id="369768749">
          <w:marLeft w:val="480"/>
          <w:marRight w:val="0"/>
          <w:marTop w:val="0"/>
          <w:marBottom w:val="0"/>
          <w:divBdr>
            <w:top w:val="none" w:sz="0" w:space="0" w:color="auto"/>
            <w:left w:val="none" w:sz="0" w:space="0" w:color="auto"/>
            <w:bottom w:val="none" w:sz="0" w:space="0" w:color="auto"/>
            <w:right w:val="none" w:sz="0" w:space="0" w:color="auto"/>
          </w:divBdr>
        </w:div>
        <w:div w:id="216403894">
          <w:marLeft w:val="480"/>
          <w:marRight w:val="0"/>
          <w:marTop w:val="0"/>
          <w:marBottom w:val="0"/>
          <w:divBdr>
            <w:top w:val="none" w:sz="0" w:space="0" w:color="auto"/>
            <w:left w:val="none" w:sz="0" w:space="0" w:color="auto"/>
            <w:bottom w:val="none" w:sz="0" w:space="0" w:color="auto"/>
            <w:right w:val="none" w:sz="0" w:space="0" w:color="auto"/>
          </w:divBdr>
        </w:div>
        <w:div w:id="389960969">
          <w:marLeft w:val="480"/>
          <w:marRight w:val="0"/>
          <w:marTop w:val="0"/>
          <w:marBottom w:val="0"/>
          <w:divBdr>
            <w:top w:val="none" w:sz="0" w:space="0" w:color="auto"/>
            <w:left w:val="none" w:sz="0" w:space="0" w:color="auto"/>
            <w:bottom w:val="none" w:sz="0" w:space="0" w:color="auto"/>
            <w:right w:val="none" w:sz="0" w:space="0" w:color="auto"/>
          </w:divBdr>
        </w:div>
        <w:div w:id="1755976456">
          <w:marLeft w:val="480"/>
          <w:marRight w:val="0"/>
          <w:marTop w:val="0"/>
          <w:marBottom w:val="0"/>
          <w:divBdr>
            <w:top w:val="none" w:sz="0" w:space="0" w:color="auto"/>
            <w:left w:val="none" w:sz="0" w:space="0" w:color="auto"/>
            <w:bottom w:val="none" w:sz="0" w:space="0" w:color="auto"/>
            <w:right w:val="none" w:sz="0" w:space="0" w:color="auto"/>
          </w:divBdr>
        </w:div>
        <w:div w:id="1954627845">
          <w:marLeft w:val="480"/>
          <w:marRight w:val="0"/>
          <w:marTop w:val="0"/>
          <w:marBottom w:val="0"/>
          <w:divBdr>
            <w:top w:val="none" w:sz="0" w:space="0" w:color="auto"/>
            <w:left w:val="none" w:sz="0" w:space="0" w:color="auto"/>
            <w:bottom w:val="none" w:sz="0" w:space="0" w:color="auto"/>
            <w:right w:val="none" w:sz="0" w:space="0" w:color="auto"/>
          </w:divBdr>
        </w:div>
        <w:div w:id="739333130">
          <w:marLeft w:val="480"/>
          <w:marRight w:val="0"/>
          <w:marTop w:val="0"/>
          <w:marBottom w:val="0"/>
          <w:divBdr>
            <w:top w:val="none" w:sz="0" w:space="0" w:color="auto"/>
            <w:left w:val="none" w:sz="0" w:space="0" w:color="auto"/>
            <w:bottom w:val="none" w:sz="0" w:space="0" w:color="auto"/>
            <w:right w:val="none" w:sz="0" w:space="0" w:color="auto"/>
          </w:divBdr>
        </w:div>
        <w:div w:id="148324882">
          <w:marLeft w:val="480"/>
          <w:marRight w:val="0"/>
          <w:marTop w:val="0"/>
          <w:marBottom w:val="0"/>
          <w:divBdr>
            <w:top w:val="none" w:sz="0" w:space="0" w:color="auto"/>
            <w:left w:val="none" w:sz="0" w:space="0" w:color="auto"/>
            <w:bottom w:val="none" w:sz="0" w:space="0" w:color="auto"/>
            <w:right w:val="none" w:sz="0" w:space="0" w:color="auto"/>
          </w:divBdr>
        </w:div>
        <w:div w:id="106968910">
          <w:marLeft w:val="480"/>
          <w:marRight w:val="0"/>
          <w:marTop w:val="0"/>
          <w:marBottom w:val="0"/>
          <w:divBdr>
            <w:top w:val="none" w:sz="0" w:space="0" w:color="auto"/>
            <w:left w:val="none" w:sz="0" w:space="0" w:color="auto"/>
            <w:bottom w:val="none" w:sz="0" w:space="0" w:color="auto"/>
            <w:right w:val="none" w:sz="0" w:space="0" w:color="auto"/>
          </w:divBdr>
        </w:div>
        <w:div w:id="45882580">
          <w:marLeft w:val="480"/>
          <w:marRight w:val="0"/>
          <w:marTop w:val="0"/>
          <w:marBottom w:val="0"/>
          <w:divBdr>
            <w:top w:val="none" w:sz="0" w:space="0" w:color="auto"/>
            <w:left w:val="none" w:sz="0" w:space="0" w:color="auto"/>
            <w:bottom w:val="none" w:sz="0" w:space="0" w:color="auto"/>
            <w:right w:val="none" w:sz="0" w:space="0" w:color="auto"/>
          </w:divBdr>
        </w:div>
        <w:div w:id="1767573489">
          <w:marLeft w:val="480"/>
          <w:marRight w:val="0"/>
          <w:marTop w:val="0"/>
          <w:marBottom w:val="0"/>
          <w:divBdr>
            <w:top w:val="none" w:sz="0" w:space="0" w:color="auto"/>
            <w:left w:val="none" w:sz="0" w:space="0" w:color="auto"/>
            <w:bottom w:val="none" w:sz="0" w:space="0" w:color="auto"/>
            <w:right w:val="none" w:sz="0" w:space="0" w:color="auto"/>
          </w:divBdr>
        </w:div>
        <w:div w:id="1258513859">
          <w:marLeft w:val="480"/>
          <w:marRight w:val="0"/>
          <w:marTop w:val="0"/>
          <w:marBottom w:val="0"/>
          <w:divBdr>
            <w:top w:val="none" w:sz="0" w:space="0" w:color="auto"/>
            <w:left w:val="none" w:sz="0" w:space="0" w:color="auto"/>
            <w:bottom w:val="none" w:sz="0" w:space="0" w:color="auto"/>
            <w:right w:val="none" w:sz="0" w:space="0" w:color="auto"/>
          </w:divBdr>
        </w:div>
        <w:div w:id="1221290506">
          <w:marLeft w:val="480"/>
          <w:marRight w:val="0"/>
          <w:marTop w:val="0"/>
          <w:marBottom w:val="0"/>
          <w:divBdr>
            <w:top w:val="none" w:sz="0" w:space="0" w:color="auto"/>
            <w:left w:val="none" w:sz="0" w:space="0" w:color="auto"/>
            <w:bottom w:val="none" w:sz="0" w:space="0" w:color="auto"/>
            <w:right w:val="none" w:sz="0" w:space="0" w:color="auto"/>
          </w:divBdr>
        </w:div>
      </w:divsChild>
    </w:div>
    <w:div w:id="283080710">
      <w:marLeft w:val="480"/>
      <w:marRight w:val="0"/>
      <w:marTop w:val="0"/>
      <w:marBottom w:val="0"/>
      <w:divBdr>
        <w:top w:val="none" w:sz="0" w:space="0" w:color="auto"/>
        <w:left w:val="none" w:sz="0" w:space="0" w:color="auto"/>
        <w:bottom w:val="none" w:sz="0" w:space="0" w:color="auto"/>
        <w:right w:val="none" w:sz="0" w:space="0" w:color="auto"/>
      </w:divBdr>
    </w:div>
    <w:div w:id="333730147">
      <w:marLeft w:val="480"/>
      <w:marRight w:val="0"/>
      <w:marTop w:val="0"/>
      <w:marBottom w:val="0"/>
      <w:divBdr>
        <w:top w:val="none" w:sz="0" w:space="0" w:color="auto"/>
        <w:left w:val="none" w:sz="0" w:space="0" w:color="auto"/>
        <w:bottom w:val="none" w:sz="0" w:space="0" w:color="auto"/>
        <w:right w:val="none" w:sz="0" w:space="0" w:color="auto"/>
      </w:divBdr>
    </w:div>
    <w:div w:id="333998808">
      <w:marLeft w:val="480"/>
      <w:marRight w:val="0"/>
      <w:marTop w:val="0"/>
      <w:marBottom w:val="0"/>
      <w:divBdr>
        <w:top w:val="none" w:sz="0" w:space="0" w:color="auto"/>
        <w:left w:val="none" w:sz="0" w:space="0" w:color="auto"/>
        <w:bottom w:val="none" w:sz="0" w:space="0" w:color="auto"/>
        <w:right w:val="none" w:sz="0" w:space="0" w:color="auto"/>
      </w:divBdr>
    </w:div>
    <w:div w:id="396826940">
      <w:marLeft w:val="480"/>
      <w:marRight w:val="0"/>
      <w:marTop w:val="0"/>
      <w:marBottom w:val="0"/>
      <w:divBdr>
        <w:top w:val="none" w:sz="0" w:space="0" w:color="auto"/>
        <w:left w:val="none" w:sz="0" w:space="0" w:color="auto"/>
        <w:bottom w:val="none" w:sz="0" w:space="0" w:color="auto"/>
        <w:right w:val="none" w:sz="0" w:space="0" w:color="auto"/>
      </w:divBdr>
    </w:div>
    <w:div w:id="621305473">
      <w:marLeft w:val="480"/>
      <w:marRight w:val="0"/>
      <w:marTop w:val="0"/>
      <w:marBottom w:val="0"/>
      <w:divBdr>
        <w:top w:val="none" w:sz="0" w:space="0" w:color="auto"/>
        <w:left w:val="none" w:sz="0" w:space="0" w:color="auto"/>
        <w:bottom w:val="none" w:sz="0" w:space="0" w:color="auto"/>
        <w:right w:val="none" w:sz="0" w:space="0" w:color="auto"/>
      </w:divBdr>
    </w:div>
    <w:div w:id="671831998">
      <w:marLeft w:val="480"/>
      <w:marRight w:val="0"/>
      <w:marTop w:val="0"/>
      <w:marBottom w:val="0"/>
      <w:divBdr>
        <w:top w:val="none" w:sz="0" w:space="0" w:color="auto"/>
        <w:left w:val="none" w:sz="0" w:space="0" w:color="auto"/>
        <w:bottom w:val="none" w:sz="0" w:space="0" w:color="auto"/>
        <w:right w:val="none" w:sz="0" w:space="0" w:color="auto"/>
      </w:divBdr>
    </w:div>
    <w:div w:id="742145375">
      <w:marLeft w:val="480"/>
      <w:marRight w:val="0"/>
      <w:marTop w:val="0"/>
      <w:marBottom w:val="0"/>
      <w:divBdr>
        <w:top w:val="none" w:sz="0" w:space="0" w:color="auto"/>
        <w:left w:val="none" w:sz="0" w:space="0" w:color="auto"/>
        <w:bottom w:val="none" w:sz="0" w:space="0" w:color="auto"/>
        <w:right w:val="none" w:sz="0" w:space="0" w:color="auto"/>
      </w:divBdr>
    </w:div>
    <w:div w:id="759564488">
      <w:marLeft w:val="480"/>
      <w:marRight w:val="0"/>
      <w:marTop w:val="0"/>
      <w:marBottom w:val="0"/>
      <w:divBdr>
        <w:top w:val="none" w:sz="0" w:space="0" w:color="auto"/>
        <w:left w:val="none" w:sz="0" w:space="0" w:color="auto"/>
        <w:bottom w:val="none" w:sz="0" w:space="0" w:color="auto"/>
        <w:right w:val="none" w:sz="0" w:space="0" w:color="auto"/>
      </w:divBdr>
    </w:div>
    <w:div w:id="768159465">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41104">
      <w:marLeft w:val="480"/>
      <w:marRight w:val="0"/>
      <w:marTop w:val="0"/>
      <w:marBottom w:val="0"/>
      <w:divBdr>
        <w:top w:val="none" w:sz="0" w:space="0" w:color="auto"/>
        <w:left w:val="none" w:sz="0" w:space="0" w:color="auto"/>
        <w:bottom w:val="none" w:sz="0" w:space="0" w:color="auto"/>
        <w:right w:val="none" w:sz="0" w:space="0" w:color="auto"/>
      </w:divBdr>
    </w:div>
    <w:div w:id="822548887">
      <w:marLeft w:val="480"/>
      <w:marRight w:val="0"/>
      <w:marTop w:val="0"/>
      <w:marBottom w:val="0"/>
      <w:divBdr>
        <w:top w:val="none" w:sz="0" w:space="0" w:color="auto"/>
        <w:left w:val="none" w:sz="0" w:space="0" w:color="auto"/>
        <w:bottom w:val="none" w:sz="0" w:space="0" w:color="auto"/>
        <w:right w:val="none" w:sz="0" w:space="0" w:color="auto"/>
      </w:divBdr>
    </w:div>
    <w:div w:id="825901779">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217766">
      <w:marLeft w:val="480"/>
      <w:marRight w:val="0"/>
      <w:marTop w:val="0"/>
      <w:marBottom w:val="0"/>
      <w:divBdr>
        <w:top w:val="none" w:sz="0" w:space="0" w:color="auto"/>
        <w:left w:val="none" w:sz="0" w:space="0" w:color="auto"/>
        <w:bottom w:val="none" w:sz="0" w:space="0" w:color="auto"/>
        <w:right w:val="none" w:sz="0" w:space="0" w:color="auto"/>
      </w:divBdr>
    </w:div>
    <w:div w:id="916742162">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4828">
      <w:marLeft w:val="480"/>
      <w:marRight w:val="0"/>
      <w:marTop w:val="0"/>
      <w:marBottom w:val="0"/>
      <w:divBdr>
        <w:top w:val="none" w:sz="0" w:space="0" w:color="auto"/>
        <w:left w:val="none" w:sz="0" w:space="0" w:color="auto"/>
        <w:bottom w:val="none" w:sz="0" w:space="0" w:color="auto"/>
        <w:right w:val="none" w:sz="0" w:space="0" w:color="auto"/>
      </w:divBdr>
    </w:div>
    <w:div w:id="966662002">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7040471">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47832833">
      <w:marLeft w:val="480"/>
      <w:marRight w:val="0"/>
      <w:marTop w:val="0"/>
      <w:marBottom w:val="0"/>
      <w:divBdr>
        <w:top w:val="none" w:sz="0" w:space="0" w:color="auto"/>
        <w:left w:val="none" w:sz="0" w:space="0" w:color="auto"/>
        <w:bottom w:val="none" w:sz="0" w:space="0" w:color="auto"/>
        <w:right w:val="none" w:sz="0" w:space="0" w:color="auto"/>
      </w:divBdr>
    </w:div>
    <w:div w:id="1559196729">
      <w:marLeft w:val="480"/>
      <w:marRight w:val="0"/>
      <w:marTop w:val="0"/>
      <w:marBottom w:val="0"/>
      <w:divBdr>
        <w:top w:val="none" w:sz="0" w:space="0" w:color="auto"/>
        <w:left w:val="none" w:sz="0" w:space="0" w:color="auto"/>
        <w:bottom w:val="none" w:sz="0" w:space="0" w:color="auto"/>
        <w:right w:val="none" w:sz="0" w:space="0" w:color="auto"/>
      </w:divBdr>
    </w:div>
    <w:div w:id="1578443987">
      <w:marLeft w:val="480"/>
      <w:marRight w:val="0"/>
      <w:marTop w:val="0"/>
      <w:marBottom w:val="0"/>
      <w:divBdr>
        <w:top w:val="none" w:sz="0" w:space="0" w:color="auto"/>
        <w:left w:val="none" w:sz="0" w:space="0" w:color="auto"/>
        <w:bottom w:val="none" w:sz="0" w:space="0" w:color="auto"/>
        <w:right w:val="none" w:sz="0" w:space="0" w:color="auto"/>
      </w:divBdr>
    </w:div>
    <w:div w:id="1604921495">
      <w:marLeft w:val="480"/>
      <w:marRight w:val="0"/>
      <w:marTop w:val="0"/>
      <w:marBottom w:val="0"/>
      <w:divBdr>
        <w:top w:val="none" w:sz="0" w:space="0" w:color="auto"/>
        <w:left w:val="none" w:sz="0" w:space="0" w:color="auto"/>
        <w:bottom w:val="none" w:sz="0" w:space="0" w:color="auto"/>
        <w:right w:val="none" w:sz="0" w:space="0" w:color="auto"/>
      </w:divBdr>
    </w:div>
    <w:div w:id="1636638437">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61048">
      <w:marLeft w:val="480"/>
      <w:marRight w:val="0"/>
      <w:marTop w:val="0"/>
      <w:marBottom w:val="0"/>
      <w:divBdr>
        <w:top w:val="none" w:sz="0" w:space="0" w:color="auto"/>
        <w:left w:val="none" w:sz="0" w:space="0" w:color="auto"/>
        <w:bottom w:val="none" w:sz="0" w:space="0" w:color="auto"/>
        <w:right w:val="none" w:sz="0" w:space="0" w:color="auto"/>
      </w:divBdr>
    </w:div>
    <w:div w:id="1800996740">
      <w:marLeft w:val="480"/>
      <w:marRight w:val="0"/>
      <w:marTop w:val="0"/>
      <w:marBottom w:val="0"/>
      <w:divBdr>
        <w:top w:val="none" w:sz="0" w:space="0" w:color="auto"/>
        <w:left w:val="none" w:sz="0" w:space="0" w:color="auto"/>
        <w:bottom w:val="none" w:sz="0" w:space="0" w:color="auto"/>
        <w:right w:val="none" w:sz="0" w:space="0" w:color="auto"/>
      </w:divBdr>
    </w:div>
    <w:div w:id="1828351654">
      <w:marLeft w:val="480"/>
      <w:marRight w:val="0"/>
      <w:marTop w:val="0"/>
      <w:marBottom w:val="0"/>
      <w:divBdr>
        <w:top w:val="none" w:sz="0" w:space="0" w:color="auto"/>
        <w:left w:val="none" w:sz="0" w:space="0" w:color="auto"/>
        <w:bottom w:val="none" w:sz="0" w:space="0" w:color="auto"/>
        <w:right w:val="none" w:sz="0" w:space="0" w:color="auto"/>
      </w:divBdr>
    </w:div>
    <w:div w:id="1933199709">
      <w:marLeft w:val="480"/>
      <w:marRight w:val="0"/>
      <w:marTop w:val="0"/>
      <w:marBottom w:val="0"/>
      <w:divBdr>
        <w:top w:val="none" w:sz="0" w:space="0" w:color="auto"/>
        <w:left w:val="none" w:sz="0" w:space="0" w:color="auto"/>
        <w:bottom w:val="none" w:sz="0" w:space="0" w:color="auto"/>
        <w:right w:val="none" w:sz="0" w:space="0" w:color="auto"/>
      </w:divBdr>
    </w:div>
    <w:div w:id="1937640468">
      <w:marLeft w:val="480"/>
      <w:marRight w:val="0"/>
      <w:marTop w:val="0"/>
      <w:marBottom w:val="0"/>
      <w:divBdr>
        <w:top w:val="none" w:sz="0" w:space="0" w:color="auto"/>
        <w:left w:val="none" w:sz="0" w:space="0" w:color="auto"/>
        <w:bottom w:val="none" w:sz="0" w:space="0" w:color="auto"/>
        <w:right w:val="none" w:sz="0" w:space="0" w:color="auto"/>
      </w:divBdr>
    </w:div>
    <w:div w:id="2108259717">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elena.inzerillo@unip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E8B032-1706-4890-BD57-A102B493167A}">
  <we:reference id="f78a3046-9e99-4300-aa2b-5814002b01a2" version="1.55.1.0" store="EXCatalog" storeType="EXCatalog"/>
  <we:alternateReferences>
    <we:reference id="WA104382081" version="1.55.1.0" store="it-IT" storeType="OMEX"/>
  </we:alternateReferences>
  <we:properties>
    <we:property name="MENDELEY_BIBLIOGRAPHY_IS_DIRTY" value="true"/>
    <we:property name="MENDELEY_BIBLIOGRAPHY_LAST_MODIFIED" value="1772721324666"/>
    <we:property name="MENDELEY_CITATIONS" value="[{&quot;citationID&quot;:&quot;MENDELEY_CITATION_85dc223a-a484-4c20-880c-09700f512398&quot;,&quot;properties&quot;:{&quot;noteIndex&quot;:0},&quot;isEdited&quot;:false,&quot;manualOverride&quot;:{&quot;isManuallyOverridden&quot;:false,&quot;citeprocText&quot;:&quot;(Ansari et al., 2019)&quot;,&quot;manualOverrideText&quot;:&quot;&quot;},&quot;citationTag&quot;:&quot;MENDELEY_CITATION_v3_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&quot;,&quot;citationItems&quot;:[{&quot;id&quot;:&quot;07442c4b-7f71-3905-ba17-00578ab83dbb&quot;,&quot;itemData&quot;:{&quot;type&quot;:&quot;article&quot;,&quot;id&quot;:&quot;07442c4b-7f71-3905-ba17-00578ab83dbb&quot;,&quot;title&quot;:&quot;Engineering of gradient osteochondral tissue: From nature to lab&quot;,&quot;author&quot;:[{&quot;family&quot;:&quot;Ansari&quot;,&quot;given&quot;:&quot;Sana&quot;,&quot;parse-names&quot;:false,&quot;dropping-particle&quot;:&quot;&quot;,&quot;non-dropping-particle&quot;:&quot;&quot;},{&quot;family&quot;:&quot;Khorshidi&quot;,&quot;given&quot;:&quot;Sajedeh&quot;,&quot;parse-names&quot;:false,&quot;dropping-particle&quot;:&quot;&quot;,&quot;non-dropping-particle&quot;:&quot;&quot;},{&quot;family&quot;:&quot;Karkhaneh&quot;,&quot;given&quot;:&quot;Akbar&quot;,&quot;parse-names&quot;:false,&quot;dropping-particle&quot;:&quot;&quot;,&quot;non-dropping-particle&quot;:&quot;&quot;}],&quot;container-title&quot;:&quot;Acta Biomaterialia&quot;,&quot;container-title-short&quot;:&quot;Acta Biomater.&quot;,&quot;DOI&quot;:&quot;10.1016/j.actbio.2019.01.071&quot;,&quot;ISSN&quot;:&quot;18787568&quot;,&quot;PMID&quot;:&quot;30721785&quot;,&quot;issued&quot;:{&quot;date-parts&quot;:[[2019,3,15]]},&quot;page&quot;:&quot;41-54&quot;,&quot;abstract&quot;:&quot;The osteochondral tissue is an interface between two distinct tissues: articular cartilage and bone. These two tissues are significantly diverse with regard to their chemical compositions, mechanical properties, structure, electrical properties, and the amount of nutrient and oxygen consumption. Thus, transition from the surface of the articular cartilage to the subchondral bone needs to face several smooth gradients. These gradients are imperative to study to generate a scaffold suitable for the reconstruction of the cartilaginous and osseous layers of a defected osteochondral tissue, simultaneously. The aim of this review is to peruse the alternation of biochemical, biomechanical, structural, electrical, and metabolic properties of the osteochondral tissue moving from the surface of the articular cartilage to the subchondral bone. Moreover, this review also discusses currently developed approaches and ideal techniques with a focus on gradients present in the interface of the cartilage and bone. Statement of significance: The submitted review paper entitled as “Engineering of the gradient osteochondral tissue: from nature to lab” is a complete review with regard to the osteochondral tissue and transition of different properties between the cartilage and bone tissues. Moreover, previous studies on the osteochondral tissue engineering have been reviewed in this paper. This complete information can be a valuable and useful source for current and future researchers and scientists. Considering the scope of the submitted paper, Acta Biomaterialia would be a suitable journal for publishing this article.&quot;,&quot;publisher&quot;:&quot;Acta Materialia Inc&quot;,&quot;volume&quot;:&quot;87&quot;},&quot;isTemporary&quot;:false}]},{&quot;citationID&quot;:&quot;MENDELEY_CITATION_ee246948-5985-41e5-affc-005686ff8d8a&quot;,&quot;properties&quot;:{&quot;noteIndex&quot;:0},&quot;isEdited&quot;:false,&quot;manualOverride&quot;:{&quot;isManuallyOverridden&quot;:false,&quot;citeprocText&quot;:&quot;(Sant et al., 2010)&quot;,&quot;manualOverrideText&quot;:&quot;&quot;},&quot;citationTag&quot;:&quot;MENDELEY_CITATION_v3_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&quot;,&quot;citationItems&quot;:[{&quot;id&quot;:&quot;08352658-21ae-3b1e-af67-a3cd649d5fb1&quot;,&quot;itemData&quot;:{&quot;type&quot;:&quot;article-journal&quot;,&quot;id&quot;:&quot;08352658-21ae-3b1e-af67-a3cd649d5fb1&quot;,&quot;title&quot;:&quot;Biomimetic gradient hydrogels for tissue engineering&quot;,&quot;author&quot;:[{&quot;family&quot;:&quot;Sant&quot;,&quot;given&quot;:&quot;Shilpa&quot;,&quot;parse-names&quot;:false,&quot;dropping-particle&quot;:&quot;&quot;,&quot;non-dropping-particle&quot;:&quot;&quot;},{&quot;family&quot;:&quot;Hancock&quot;,&quot;given&quot;:&quot;Matthew J.&quot;,&quot;parse-names&quot;:false,&quot;dropping-particle&quot;:&quot;&quot;,&quot;non-dropping-particle&quot;:&quot;&quot;},{&quot;family&quot;:&quot;Donnelly&quot;,&quot;given&quot;:&quot;Joseph P.&quot;,&quot;parse-names&quot;:false,&quot;dropping-particle&quot;:&quot;&quot;,&quot;non-dropping-particle&quot;:&quot;&quot;},{&quot;family&quot;:&quot;Iyer&quot;,&quot;given&quot;:&quot;Dharini&quot;,&quot;parse-names&quot;:false,&quot;dropping-particle&quot;:&quot;&quot;,&quot;non-dropping-particle&quot;:&quot;&quot;},{&quot;family&quot;:&quot;Khademhosseini&quot;,&quot;given&quot;:&quot;Ali&quot;,&quot;parse-names&quot;:false,&quot;dropping-particle&quot;:&quot;&quot;,&quot;non-dropping-particle&quot;:&quot;&quot;}],&quot;container-title&quot;:&quot;Canadian Journal of Chemical Engineering&quot;,&quot;DOI&quot;:&quot;10.1002/cjce.20411&quot;,&quot;ISSN&quot;:&quot;00084034&quot;,&quot;issued&quot;:{&quot;date-parts&quot;:[[2010,12]]},&quot;page&quot;:&quot;899-911&quot;,&quot;abstract&quot;:&quot;During tissue morphogenesis and homeostasis, cells experience various signals in their environments, including gradients of physical and chemical cues. Spatial and temporal gradients regulate various cell behaviours such as proliferation, migration, and differentiation during development, inflammation, wound healing, and cancer. One of the goals of functional tissue engineering is to create microenvironments that mimic the cellular and tissue complexity found in vivo by incorporating physical, chemical, temporal, and spatial gradients within engineered three-dimensional (3D) scaffolds. Hydrogels are ideal materials for 3D tissue scaffolds that mimic the extracellular matrix (ECM). Various techniques from material science, microscale engineering, and microfluidics are used to synthesise biomimetic hydrogels with encapsulated cells and tailored microenvironments. In particular, a host of methods exist to incorporate micrometer to centimetre scale chemical and physical gradients within hydrogels to mimic the cellular cues found in vivo. In this review, we draw on specific biological examples to motivate hydrogel gradients as tools for studying cell-material interactions. We provide a brief overview of techniques to generate gradient hydrogels and showcase their use to study particular cell behaviours in two-dimensional (2D) and 3D environments. We conclude by summarizing the current and future trends in gradient hydrogels and cell-material interactions in context with the long-term goals of tissue engineering. © 2010 Canadian Society for Chemical Engineering.&quot;,&quot;issue&quot;:&quot;6&quot;,&quot;volume&quot;:&quot;88&quot;,&quot;container-title-short&quot;:&quot;&quot;},&quot;isTemporary&quot;:false}]},{&quot;citationID&quot;:&quot;MENDELEY_CITATION_ffd63793-381f-4945-882f-6502b756c9db&quot;,&quot;properties&quot;:{&quot;noteIndex&quot;:0},&quot;isEdited&quot;:false,&quot;manualOverride&quot;:{&quot;isManuallyOverridden&quot;:false,&quot;citeprocText&quot;:&quot;(Niu et al., 2023)&quot;,&quot;manualOverrideText&quot;:&quot;&quot;},&quot;citationTag&quot;:&quot;MENDELEY_CITATION_v3_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&quot;,&quot;citationItems&quot;:[{&quot;id&quot;:&quot;c3e3a871-bbfd-32b9-a589-7c9cd8daf5a9&quot;,&quot;itemData&quot;:{&quot;type&quot;:&quot;article&quot;,&quot;id&quot;:&quot;c3e3a871-bbfd-32b9-a589-7c9cd8daf5a9&quot;,&quot;title&quot;:&quot;Integrated gradient tissue-engineered osteochondral scaffolds: Challenges, current efforts and future perspectives&quot;,&quot;author&quot;:[{&quot;family&quot;:&quot;Niu&quot;,&quot;given&quot;:&quot;Xiaolian&quot;,&quot;parse-names&quot;:false,&quot;dropping-particle&quot;:&quot;&quot;,&quot;non-dropping-particle&quot;:&quot;&quot;},{&quot;family&quot;:&quot;Li&quot;,&quot;given&quot;:&quot;Ning&quot;,&quot;parse-names&quot;:false,&quot;dropping-particle&quot;:&quot;&quot;,&quot;non-dropping-particle&quot;:&quot;&quot;},{&quot;family&quot;:&quot;Du&quot;,&quot;given&quot;:&quot;Zhipo&quot;,&quot;parse-names&quot;:false,&quot;dropping-particle&quot;:&quot;&quot;,&quot;non-dropping-particle&quot;:&quot;&quot;},{&quot;family&quot;:&quot;Li&quot;,&quot;given&quot;:&quot;Xiaoming&quot;,&quot;parse-names&quot;:false,&quot;dropping-particle&quot;:&quot;&quot;,&quot;non-dropping-particle&quot;:&quot;&quot;}],&quot;container-title&quot;:&quot;Bioactive Materials&quot;,&quot;container-title-short&quot;:&quot;Bioact. Mater.&quot;,&quot;DOI&quot;:&quot;10.1016/j.bioactmat.2022.06.011&quot;,&quot;ISSN&quot;:&quot;2452199X&quot;,&quot;issued&quot;:{&quot;date-parts&quot;:[[2023,2,1]]},&quot;page&quot;:&quot;574-597&quot;,&quot;abstract&quot;:&quot;The osteochondral defect repair has been most extensively studied due to the rising demand for new therapies to diseases such as osteoarthritis. Tissue engineering has been proposed as a promising strategy to meet the demand of simultaneous regeneration of both cartilage and subchondral bone by constructing integrated gradient tissue-engineered osteochondral scaffold (IGTEOS). This review brought forward the main challenges of establishing a satisfactory IGTEOS from the perspectives of the complexity of physiology and microenvironment of osteochondral tissue, and the limitations of obtaining the desired and required scaffold. Then, we comprehensively discussed and summarized the current tissue-engineered efforts to resolve the above challenges, including architecture strategies, fabrication techniques and in vitro/in vivo evaluation methods of the IGTEOS. Especially, we highlighted the advantages and limitations of various fabrication techniques of IGTEOS, and common cases of IGTEOS application. Finally, based on the above challenges and current research progress, we analyzed in details the future perspectives of tissue-engineered osteochondral construct, so as to achieve the perfect reconstruction of the cartilaginous and osseous layers of osteochondral tissue simultaneously. This comprehensive and instructive review could provide deep insights into our current understanding of IGTEOS.&quot;,&quot;publisher&quot;:&quot;KeAi Communications Co.&quot;,&quot;volume&quot;:&quot;20&quot;},&quot;isTemporary&quot;:false}]},{&quot;citationID&quot;:&quot;MENDELEY_CITATION_eaa20dc6-7a79-4486-9d8b-1efb92843504&quot;,&quot;properties&quot;:{&quot;noteIndex&quot;:0},&quot;isEdited&quot;:false,&quot;manualOverride&quot;:{&quot;isManuallyOverridden&quot;:false,&quot;citeprocText&quot;:&quot;(L. Chen et al., 2023)&quot;,&quot;manualOverrideText&quot;:&quot;&quot;},&quot;citationTag&quot;:&quot;MENDELEY_CITATION_v3_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&quot;,&quot;citationItems&quot;:[{&quot;id&quot;:&quot;6a5b696e-e014-3c50-9ff4-be99881dd550&quot;,&quot;itemData&quot;:{&quot;type&quot;:&quot;article&quot;,&quot;id&quot;:&quot;6a5b696e-e014-3c50-9ff4-be99881dd550&quot;,&quot;title&quot;:&quot;Preparation and Characterization of Biomimetic Functional Scaffold with Gradient Structure for Osteochondral Defect Repair&quot;,&quot;author&quot;:[{&quot;family&quot;:&quot;Chen&quot;,&quot;given&quot;:&quot;Li&quot;,&quot;parse-names&quot;:false,&quot;dropping-particle&quot;:&quot;&quot;,&quot;non-dropping-particle&quot;:&quot;&quot;},{&quot;family&quot;:&quot;Wei&quot;,&quot;given&quot;:&quot;Li&quot;,&quot;parse-names&quot;:false,&quot;dropping-particle&quot;:&quot;&quot;,&quot;non-dropping-particle&quot;:&quot;&quot;},{&quot;family&quot;:&quot;Su&quot;,&quot;given&quot;:&quot;Xudong&quot;,&quot;parse-names&quot;:false,&quot;dropping-particle&quot;:&quot;&quot;,&quot;non-dropping-particle&quot;:&quot;&quot;},{&quot;family&quot;:&quot;Qin&quot;,&quot;given&quot;:&quot;Leilei&quot;,&quot;parse-names&quot;:false,&quot;dropping-particle&quot;:&quot;&quot;,&quot;non-dropping-particle&quot;:&quot;&quot;},{&quot;family&quot;:&quot;Xu&quot;,&quot;given&quot;:&quot;Zhenghao&quot;,&quot;parse-names&quot;:false,&quot;dropping-particle&quot;:&quot;&quot;,&quot;non-dropping-particle&quot;:&quot;&quot;},{&quot;family&quot;:&quot;Huang&quot;,&quot;given&quot;:&quot;Xiao&quot;,&quot;parse-names&quot;:false,&quot;dropping-particle&quot;:&quot;&quot;,&quot;non-dropping-particle&quot;:&quot;&quot;},{&quot;family&quot;:&quot;Chen&quot;,&quot;given&quot;:&quot;Hong&quot;,&quot;parse-names&quot;:false,&quot;dropping-particle&quot;:&quot;&quot;,&quot;non-dropping-particle&quot;:&quot;&quot;},{&quot;family&quot;:&quot;Hu&quot;,&quot;given&quot;:&quot;Ning&quot;,&quot;parse-names&quot;:false,&quot;dropping-particle&quot;:&quot;&quot;,&quot;non-dropping-particle&quot;:&quot;&quot;}],&quot;container-title&quot;:&quot;Bioengineering&quot;,&quot;DOI&quot;:&quot;10.3390/bioengineering10020213&quot;,&quot;ISSN&quot;:&quot;23065354&quot;,&quot;issued&quot;:{&quot;date-parts&quot;:[[2023,2,1]]},&quot;abstract&quot;:&quot;Osteochondral (OC) defects cannot adequately repair themselves due to their sophisticated layered structure and lack of blood supply in cartilage. Although therapeutic interventions are reaching an advanced stage, current clinical therapies to repair defects are in their infancy. Among the possible therapies, OC tissue engineering has shown considerable promise, and multiple approaches utilizing scaffolds, cells, and bioactive factors have been pursued. The most recent trend in OC tissue engineering has been to design gradient scaffolds using different materials and construction strategies (such as bi-layered, multi-layered, and continuous gradient structures) to mimic the physiological and mechanical properties of OC tissues while further enabling OC repair. This review focuses specifically on design and construction strategies for gradient scaffolds and their role in the successful engineering of OC tissues. The current dilemmas in the field of OC defect repair and the efforts of tissue engineering to address these challenges were reviewed. In addition, the advantages and limitations of the typical fabrication techniques for gradient scaffolds were discussed, with examples of recent studies summarizing the future prospects for integrated gradient scaffold construction. This updated and enlightening review could provide insights into our current understanding of gradient scaffolds in OC tissue engineering.&quot;,&quot;publisher&quot;:&quot;MDPI&quot;,&quot;issue&quot;:&quot;2&quot;,&quot;volume&quot;:&quot;10&quot;,&quot;container-title-short&quot;:&quot;&quot;},&quot;isTemporary&quot;:false}]},{&quot;citationID&quot;:&quot;MENDELEY_CITATION_3c1e7bf7-0b08-4699-ac78-085a6ff7cb55&quot;,&quot;properties&quot;:{&quot;noteIndex&quot;:0},&quot;isEdited&quot;:false,&quot;manualOverride&quot;:{&quot;isManuallyOverridden&quot;:false,&quot;citeprocText&quot;:&quot;(Rigogliuso Salvatrice et al., 2012)&quot;,&quot;manualOverrideText&quot;:&quot;&quot;},&quot;citationTag&quot;:&quot;MENDELEY_CITATION_v3_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&quot;,&quot;citationItems&quot;:[{&quot;id&quot;:&quot;d0e41c80-9d66-39db-b53d-bb3f1aad8491&quot;,&quot;itemData&quot;:{&quot;type&quot;:&quot;paper-conference&quot;,&quot;id&quot;:&quot;d0e41c80-9d66-39db-b53d-bb3f1aad8491&quot;,&quot;title&quot;:&quot;Use of Modified 3D Scaffolds to Improve Cell Adhesion and Drive Desired Cell Responses&quot;,&quot;author&quot;:[{&quot;family&quot;:&quot;Rigogliuso Salvatrice&quot;,&quot;given&quot;:&quot;&quot;,&quot;parse-names&quot;:false,&quot;dropping-particle&quot;:&quot;&quot;,&quot;non-dropping-particle&quot;:&quot;&quot;},{&quot;family&quot;:&quot;Carfì Pavia Francesco&quot;,&quot;given&quot;:&quot;&quot;,&quot;parse-names&quot;:false,&quot;dropping-particle&quot;:&quot;&quot;,&quot;non-dropping-particle&quot;:&quot;&quot;},{&quot;family&quot;:&quot;Brucato Valerio&quot;,&quot;given&quot;:&quot;&quot;,&quot;parse-names&quot;:false,&quot;dropping-particle&quot;:&quot;&quot;,&quot;non-dropping-particle&quot;:&quot;&quot;},{&quot;family&quot;:&quot;Carrubba Vincenzo&quot;,&quot;given&quot;:&quot;&quot;,&quot;parse-names&quot;:false,&quot;dropping-particle&quot;:&quot;&quot;,&quot;non-dropping-particle&quot;:&quot;La&quot;},{&quot;family&quot;:&quot;Favia Pietro&quot;,&quot;given&quot;:&quot;&quot;,&quot;parse-names&quot;:false,&quot;dropping-particle&quot;:&quot;&quot;,&quot;non-dropping-particle&quot;:&quot;&quot;},{&quot;family&quot;:&quot;Intranuovo Francesca&quot;,&quot;given&quot;:&quot;&quot;,&quot;parse-names&quot;:false,&quot;dropping-particle&quot;:&quot;&quot;,&quot;non-dropping-particle&quot;:&quot;&quot;},{&quot;family&quot;:&quot;Gristina Roberto&quot;,&quot;given&quot;:&quot;&quot;,&quot;parse-names&quot;:false,&quot;dropping-particle&quot;:&quot;&quot;,&quot;non-dropping-particle&quot;:&quot;&quot;},{&quot;family&quot;:&quot;Ghersi Giulio&quot;,&quot;given&quot;:&quot;&quot;,&quot;parse-names&quot;:false,&quot;dropping-particle&quot;:&quot;&quot;,&quot;non-dropping-particle&quot;:&quot;&quot;}],&quot;ISBN&quot;:&quot;978-88-95608-18-1&quot;,&quot;ISSN&quot;:&quot;1974-9791&quot;,&quot;URL&quot;:&quot;www.aidic.it/cet&quot;,&quot;issued&quot;:{&quot;date-parts&quot;:[[2012]]},&quot;volume&quot;:&quot;27&quot;},&quot;isTemporary&quot;:false}]},{&quot;citationID&quot;:&quot;MENDELEY_CITATION_7df3f612-227e-40b9-951f-8be80c6d8826&quot;,&quot;properties&quot;:{&quot;noteIndex&quot;:0},&quot;isEdited&quot;:false,&quot;manualOverride&quot;:{&quot;isManuallyOverridden&quot;:false,&quot;citeprocText&quot;:&quot;(Conoscenti et al., 2017)&quot;,&quot;manualOverrideText&quot;:&quot;&quot;},&quot;citationTag&quot;:&quot;MENDELEY_CITATION_v3_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&quot;,&quot;citationItems&quot;:[{&quot;id&quot;:&quot;f5e23434-1dc7-3a0d-9583-c103146d0bd2&quot;,&quot;itemData&quot;:{&quot;type&quot;:&quot;article-journal&quot;,&quot;id&quot;:&quot;f5e23434-1dc7-3a0d-9583-c103146d0bd2&quot;,&quot;title&quot;:&quot;PLLA scaffolds produced by thermally induced phase separation (TIPS) allow human chondrocyte growth and extracellular matrix formation dependent on pore size&quot;,&quot;author&quot;:[{&quot;family&quot;:&quot;Conoscenti&quot;,&quot;given&quot;:&quot;Gioacchino&quot;,&quot;parse-names&quot;:false,&quot;dropping-particle&quot;:&quot;&quot;,&quot;non-dropping-particle&quot;:&quot;&quot;},{&quot;family&quot;:&quot;Schneider&quot;,&quot;given&quot;:&quot;Tobias&quot;,&quot;parse-names&quot;:false,&quot;dropping-particle&quot;:&quot;&quot;,&quot;non-dropping-particle&quot;:&quot;&quot;},{&quot;family&quot;:&quot;Stoelzel&quot;,&quot;given&quot;:&quot;Katharina&quot;,&quot;parse-names&quot;:false,&quot;dropping-particle&quot;:&quot;&quot;,&quot;non-dropping-particle&quot;:&quot;&quot;},{&quot;family&quot;:&quot;Carfì Pavia&quot;,&quot;given&quot;:&quot;Francesco&quot;,&quot;parse-names&quot;:false,&quot;dropping-particle&quot;:&quot;&quot;,&quot;non-dropping-particle&quot;:&quot;&quot;},{&quot;family&quot;:&quot;Brucato&quot;,&quot;given&quot;:&quot;Valerio&quot;,&quot;parse-names&quot;:false,&quot;dropping-particle&quot;:&quot;&quot;,&quot;non-dropping-particle&quot;:&quot;&quot;},{&quot;family&quot;:&quot;Goegele&quot;,&quot;given&quot;:&quot;Clemens&quot;,&quot;parse-names&quot;:false,&quot;dropping-particle&quot;:&quot;&quot;,&quot;non-dropping-particle&quot;:&quot;&quot;},{&quot;family&quot;:&quot;Carrubba&quot;,&quot;given&quot;:&quot;Vincenzo&quot;,&quot;parse-names&quot;:false,&quot;dropping-particle&quot;:&quot;&quot;,&quot;non-dropping-particle&quot;:&quot;La&quot;},{&quot;family&quot;:&quot;Schulze-Tanzil&quot;,&quot;given&quot;:&quot;Gundula&quot;,&quot;parse-names&quot;:false,&quot;dropping-particle&quot;:&quot;&quot;,&quot;non-dropping-particle&quot;:&quot;&quot;}],&quot;container-title&quot;:&quot;Materials Science and Engineering C&quot;,&quot;DOI&quot;:&quot;10.1016/j.msec.2017.06.011&quot;,&quot;ISSN&quot;:&quot;09284931&quot;,&quot;PMID&quot;:&quot;28866186&quot;,&quot;issued&quot;:{&quot;date-parts&quot;:[[2017,11,1]]},&quot;page&quot;:&quot;449-459&quot;,&quot;abstract&quot;:&quot;Damage of hyaline cartilage species such as nasoseptal or joint cartilage requires proper reconstruction, which remains challenging due to the low intrinsic repair capacity of this tissue. Implantation of autologous chondrocytes in combination with a biomimetic biomaterial represents a promising strategy to support cartilage repair. The aim of this work was to assess the viability, attachment, morphology, extracellular matrix (ECM) production of human articular and nasoseptal chondrocytes cultured in vitro in porous poly(L-lactic) (PLLA) scaffolds of two selected pore sizes (100 and 200 μm). The PLLA scaffolds with 100 and 200 μm pore sizes were prepared via ternary thermally induced phase separation (TIPS) technique and analyzed using scanning electron microscopy (SEM). Articular and nasoseptal chondrocytes were seeded on the scaffold and cultures maintained for 7 and 14 days. Live/dead staining, (immuno-)histology and gene expression analysis of type II, type I collagen, aggrecan and SOX9 were performed to assess scaffold cytocompatibility and chondrocyte phenotype. The majority of both chondrocyte types survived on both scaffolds for the whole culture period. Hematoxylin-eosin (HE), alcian blue (visualizing glycosaminoglycans) stainings, immunoreactivity and gene expression of ECM proteins and cartilage marker (type II, I collagen, aggrecan, SOX9) of the chondrocyte scaffold constructs indicated that the smaller pore dimensions promoted the differentiation of the chondrocytes compared with the larger pore size. The present work revealed that the scaffold pore size is an important factor influencing chondrocyte differentiation and indicated that the scaffolds with 100 μm pores serve as a cytocompatible basis for further future modifications.&quot;,&quot;publisher&quot;:&quot;Elsevier Ltd&quot;,&quot;volume&quot;:&quot;80&quot;,&quot;container-title-short&quot;:&quot;&quot;},&quot;isTemporary&quot;:false}]},{&quot;citationID&quot;:&quot;MENDELEY_CITATION_c21fd108-5abd-4f29-b5b2-e9d463828938&quot;,&quot;properties&quot;:{&quot;noteIndex&quot;:0},&quot;isEdited&quot;:false,&quot;manualOverride&quot;:{&quot;isManuallyOverridden&quot;:false,&quot;citeprocText&quot;:&quot;(Chen Jui Shui et al., 2010)&quot;,&quot;manualOverrideText&quot;:&quot;&quot;},&quot;citationTag&quot;:&quot;MENDELEY_CITATION_v3_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&quot;,&quot;citationItems&quot;:[{&quot;id&quot;:&quot;d4aefeab-9536-3f3b-9296-1e3a08909a4b&quot;,&quot;itemData&quot;:{&quot;type&quot;:&quot;article-journal&quot;,&quot;id&quot;:&quot;d4aefeab-9536-3f3b-9296-1e3a08909a4b&quot;,&quot;title&quot;:&quot;A morphological study of porous polylactide scaffolds prepared by thermally induced phase separation&quot;,&quot;author&quot;:[{&quot;family&quot;:&quot;Chen Jui Shui&quot;,&quot;given&quot;:&quot;&quot;,&quot;parse-names&quot;:false,&quot;dropping-particle&quot;:&quot;&quot;,&quot;non-dropping-particle&quot;:&quot;&quot;},{&quot;family&quot;:&quot;Tu Shu Ling&quot;,&quot;given&quot;:&quot;&quot;,&quot;parse-names&quot;:false,&quot;dropping-particle&quot;:&quot;&quot;,&quot;non-dropping-particle&quot;:&quot;&quot;},{&quot;family&quot;:&quot;Tsay Ruey Yug&quot;,&quot;given&quot;:&quot;&quot;,&quot;parse-names&quot;:false,&quot;dropping-particle&quot;:&quot;&quot;,&quot;non-dropping-particle&quot;:&quot;&quot;}],&quot;container-title&quot;:&quot;Journal of the Taiwan Institute of Chemical Engineers&quot;,&quot;container-title-short&quot;:&quot;J. Taiwan Inst. Chem. Eng.&quot;,&quot;DOI&quot;:&quot;10.1016/j.jtice.2009.08.008&quot;,&quot;ISSN&quot;:&quot;18761070&quot;,&quot;issued&quot;:{&quot;date-parts&quot;:[[2010,3]]},&quot;page&quot;:&quot;229-238&quot;,&quot;abstract&quot;:&quot;Polylactide (PLA) has been widely used as a three-dimensional scaffold for cell transplantation and as a drug carrier for controlled release due to its superior biocompatibility and biodegradability. The technique of thermally induced phase separation (TIPS) is favorable for the fabrication of a porous scaffold due to its various advantages. A diverse range of porous structures can be obtained by TIPS through adjustment of process parameters. In this study, PLA scaffolds were prepared from a ternary PLA-dioxane-water system by the TIPS method. The effects of fabrication parameters, such as quenching route and the composition of the ternary system, on the macroscopic and microscopic morphologies of the scaffolds were studied. The phase diagram of this system showed that the presence of water non-solvent is essential for a liquid-liquid phase separation to occur. Accordingly, a binary PLA-dioxane system (100/0) exhibited only a solid-liquid phase separation. For a ternary PLA-dioxane-water system, the cloud-point temperature corresponding to a liquid-liquid phase separation was highly dependent on its water content and polymer concentration, while the freezing point corresponding to a solid-liquid phase separation was nearly independent of the polymer concentration and water content. Given a slight increase in the water content of the solvent mixture of 5%, i.e. a change in dioxane/water ratio from 90/10 to 85/15, or an increase in the polymer concentration of 2-30%, there was a substantial 40-50 °C increase in cloud-point temperature, in contrast with a nearly constant freezing point of between -10 and -20 °C. Morphology of the scaffold prepared via solid-liquid phase separation of a binary dioxane-PLA system gave a highly anisotropic tubular morphology with an internal ladder-like structure, while scaffolds prepared via liquid-liquid phase separation of a ternary PLA-dioxane-water system exhibited isotropic morphology. The ultimate pore structure of a scaffold was controlled by various processing parameters such as polymer concentration, water content, quench route and molecular weight of the polymer. Liquid-liquid de-mixing is a highly dynamic process that is subject to the effects of coarsening at the intermediate or later stage of the de-mixing process. For scaffolds prepared from solutions with polymer concentration of less than 7.5 wt%, the pore size decreases with the increase of polymer concentration. The coarsening effect was minimal and the final pore structure was found to be mainly determined by the liquid-liquid de-mixing mechanism, attributable to the smaller liquid-liquid de-mixing gap. For polymer concentrations higher than 7.5 wt%, the coarsening effect was more important, and a bimodal pore-size distribution was observed; in addition to the uniform small pores caused by instantaneous spinodal decomposition, large pores formed during the subsequent coarsening process. SEM micrographs showing that sedimentation occurred by aging time of about 5 and 60 min for scaffolds prepared from a 7.5 wt% PDLLA solution with dioxane/water ratio of 90/10 at -5 and -12 °C, respectively. Although this result suggests that such scaffolds rapidly lost macroscopic uniformity, porosity data indicates that the specimens did not lose integrity by aging for up to 120 min. © 2009 Taiwan Institute of Chemical Engineers.&quot;,&quot;issue&quot;:&quot;2&quot;,&quot;volume&quot;:&quot;41&quot;},&quot;isTemporary&quot;:false}]},{&quot;citationID&quot;:&quot;MENDELEY_CITATION_3777181d-efc3-4c9b-9f66-c602fa51b8b2&quot;,&quot;properties&quot;:{&quot;noteIndex&quot;:0},&quot;isEdited&quot;:false,&quot;manualOverride&quot;:{&quot;isManuallyOverridden&quot;:false,&quot;citeprocText&quot;:&quot;(Goates J. R. &amp;#38; Sullivan R. J., 1958)&quot;,&quot;manualOverrideText&quot;:&quot;&quot;},&quot;citationTag&quot;:&quot;MENDELEY_CITATION_v3_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&quot;,&quot;citationItems&quot;:[{&quot;id&quot;:&quot;f56c8c07-0d1f-3864-807a-c7334ab8e030&quot;,&quot;itemData&quot;:{&quot;type&quot;:&quot;report&quot;,&quot;id&quot;:&quot;f56c8c07-0d1f-3864-807a-c7334ab8e030&quot;,&quot;title&quot;:&quot;Thermodynamic Properties of the System Water-p-Dioxane Calorimetric Heats of Mixing of Water (1) and Dioxane (2) at 25°&quot;,&quot;author&quot;:[{&quot;family&quot;:&quot;Goates J. R.&quot;,&quot;given&quot;:&quot;&quot;,&quot;parse-names&quot;:false,&quot;dropping-particle&quot;:&quot;&quot;,&quot;non-dropping-particle&quot;:&quot;&quot;},{&quot;family&quot;:&quot;Sullivan R. J.&quot;,&quot;given&quot;:&quot;&quot;,&quot;parse-names&quot;:false,&quot;dropping-particle&quot;:&quot;&quot;,&quot;non-dropping-particle&quot;:&quot;&quot;}],&quot;issued&quot;:{&quot;date-parts&quot;:[[1958]]},&quot;abstract&quot;:&quot;189 tents, Li, were obtained by numerical differentiation of AHf/xi as a function of x-Jxí data. This operation was simplified by the fact that AHf/xi as a function of x2/xi is very nearly linear over the composition range in which ^/ 2 vs. Xi/Xi undergoes rapid change of slope; and conversely, AHf/xz vs. /xi is very nearly linear over the range in which AHf/xi ro. Xi/xi goes through a maximum. Accordingly, the values of Li were obtained from these nearly linear portions, and the corresponding L¡ values were calculated from AHf = XiLi + X2L2 (1) Activities at the temperatures of the freezing point of the solution were calculated from Zd In AHm ,n. V dT RT1 (1 with the heat of fusion, AHm, being expressed as a function of temperature by the Kirchoff relation. The values of the constants used for water4 were H°m = 1436.3 cal./mole, ACP = 8.911 cal./mole, °C.; and for dioxane5 were AHm° = 3070 cal./mole, ACp =-2.64 cal./mole, °C. The standard state for each substance was chosen as pure liquid at 1 atmosphere pressure. These activities were then adjusted to a temperature of 25° by use of Li data. Over the composition range x-¿ = 0-0.1429 (eutectic) a2 values were calculated from those of cn; and over the range x2 =0.1429-1, ai from a2 by graphical integration of the Gibbs-Duhem equation. The excess free energy of mixing, 1*, was calculated from AF®-RT 2 N¡ In 7i (3) The excess entropy of mixing, AS®, was calculated from the corresponding free energy and heat of mixing. Using 1% as an average uncertainty in AHf, 0.1% uncertainty in freezing point lowering, 0.1% in AHm of water, 1% in AHm of dioxane, and 0.01% in composition, we calculate the uncertainty in the derived properties to be approximately 5% for the relative partial molar heat contents, less than 0.4% for the activities, and approximately 1.5% for the free energies and entropies.&quot;},&quot;isTemporary&quot;:false}]},{&quot;citationID&quot;:&quot;MENDELEY_CITATION_dee346dd-0956-462e-8234-2f7dc83c8ee5&quot;,&quot;properties&quot;:{&quot;noteIndex&quot;:0},&quot;isEdited&quot;:false,&quot;manualOverride&quot;:{&quot;isManuallyOverridden&quot;:false,&quot;citeprocText&quot;:&quot;(Chen Jui Shui et al., 2010)&quot;,&quot;manualOverrideText&quot;:&quot;&quot;},&quot;citationTag&quot;:&quot;MENDELEY_CITATION_v3_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&quot;,&quot;citationItems&quot;:[{&quot;id&quot;:&quot;d4aefeab-9536-3f3b-9296-1e3a08909a4b&quot;,&quot;itemData&quot;:{&quot;type&quot;:&quot;article-journal&quot;,&quot;id&quot;:&quot;d4aefeab-9536-3f3b-9296-1e3a08909a4b&quot;,&quot;title&quot;:&quot;A morphological study of porous polylactide scaffolds prepared by thermally induced phase separation&quot;,&quot;author&quot;:[{&quot;family&quot;:&quot;Chen Jui Shui&quot;,&quot;given&quot;:&quot;&quot;,&quot;parse-names&quot;:false,&quot;dropping-particle&quot;:&quot;&quot;,&quot;non-dropping-particle&quot;:&quot;&quot;},{&quot;family&quot;:&quot;Tu Shu Ling&quot;,&quot;given&quot;:&quot;&quot;,&quot;parse-names&quot;:false,&quot;dropping-particle&quot;:&quot;&quot;,&quot;non-dropping-particle&quot;:&quot;&quot;},{&quot;family&quot;:&quot;Tsay Ruey Yug&quot;,&quot;given&quot;:&quot;&quot;,&quot;parse-names&quot;:false,&quot;dropping-particle&quot;:&quot;&quot;,&quot;non-dropping-particle&quot;:&quot;&quot;}],&quot;container-title&quot;:&quot;Journal of the Taiwan Institute of Chemical Engineers&quot;,&quot;container-title-short&quot;:&quot;J. Taiwan Inst. Chem. Eng.&quot;,&quot;DOI&quot;:&quot;10.1016/j.jtice.2009.08.008&quot;,&quot;ISSN&quot;:&quot;18761070&quot;,&quot;issued&quot;:{&quot;date-parts&quot;:[[2010,3]]},&quot;page&quot;:&quot;229-238&quot;,&quot;abstract&quot;:&quot;Polylactide (PLA) has been widely used as a three-dimensional scaffold for cell transplantation and as a drug carrier for controlled release due to its superior biocompatibility and biodegradability. The technique of thermally induced phase separation (TIPS) is favorable for the fabrication of a porous scaffold due to its various advantages. A diverse range of porous structures can be obtained by TIPS through adjustment of process parameters. In this study, PLA scaffolds were prepared from a ternary PLA-dioxane-water system by the TIPS method. The effects of fabrication parameters, such as quenching route and the composition of the ternary system, on the macroscopic and microscopic morphologies of the scaffolds were studied. The phase diagram of this system showed that the presence of water non-solvent is essential for a liquid-liquid phase separation to occur. Accordingly, a binary PLA-dioxane system (100/0) exhibited only a solid-liquid phase separation. For a ternary PLA-dioxane-water system, the cloud-point temperature corresponding to a liquid-liquid phase separation was highly dependent on its water content and polymer concentration, while the freezing point corresponding to a solid-liquid phase separation was nearly independent of the polymer concentration and water content. Given a slight increase in the water content of the solvent mixture of 5%, i.e. a change in dioxane/water ratio from 90/10 to 85/15, or an increase in the polymer concentration of 2-30%, there was a substantial 40-50 °C increase in cloud-point temperature, in contrast with a nearly constant freezing point of between -10 and -20 °C. Morphology of the scaffold prepared via solid-liquid phase separation of a binary dioxane-PLA system gave a highly anisotropic tubular morphology with an internal ladder-like structure, while scaffolds prepared via liquid-liquid phase separation of a ternary PLA-dioxane-water system exhibited isotropic morphology. The ultimate pore structure of a scaffold was controlled by various processing parameters such as polymer concentration, water content, quench route and molecular weight of the polymer. Liquid-liquid de-mixing is a highly dynamic process that is subject to the effects of coarsening at the intermediate or later stage of the de-mixing process. For scaffolds prepared from solutions with polymer concentration of less than 7.5 wt%, the pore size decreases with the increase of polymer concentration. The coarsening effect was minimal and the final pore structure was found to be mainly determined by the liquid-liquid de-mixing mechanism, attributable to the smaller liquid-liquid de-mixing gap. For polymer concentrations higher than 7.5 wt%, the coarsening effect was more important, and a bimodal pore-size distribution was observed; in addition to the uniform small pores caused by instantaneous spinodal decomposition, large pores formed during the subsequent coarsening process. SEM micrographs showing that sedimentation occurred by aging time of about 5 and 60 min for scaffolds prepared from a 7.5 wt% PDLLA solution with dioxane/water ratio of 90/10 at -5 and -12 °C, respectively. Although this result suggests that such scaffolds rapidly lost macroscopic uniformity, porosity data indicates that the specimens did not lose integrity by aging for up to 120 min. © 2009 Taiwan Institute of Chemical Engineers.&quot;,&quot;issue&quot;:&quot;2&quot;,&quot;volume&quot;:&quot;41&quot;},&quot;isTemporary&quot;:false}]},{&quot;citationID&quot;:&quot;MENDELEY_CITATION_09b7d26c-9818-42c0-b0bd-5477aca76152&quot;,&quot;properties&quot;:{&quot;noteIndex&quot;:0},&quot;isEdited&quot;:false,&quot;manualOverride&quot;:{&quot;isManuallyOverridden&quot;:false,&quot;citeprocText&quot;:&quot;(La Carrubba et al., 2008)&quot;,&quot;manualOverrideText&quot;:&quot;&quot;},&quot;citationTag&quot;:&quot;MENDELEY_CITATION_v3_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&quot;,&quot;citationItems&quot;:[{&quot;id&quot;:&quot;34a45ba7-9a8a-3bf1-b655-184854893c56&quot;,&quot;itemData&quot;:{&quot;type&quot;:&quot;article-journal&quot;,&quot;id&quot;:&quot;34a45ba7-9a8a-3bf1-b655-184854893c56&quot;,&quot;title&quot;:&quot;PLLA/PLA scaffolds prepared via thermally induced phase separation (TIPS): Tuning of properties and biodegradability&quot;,&quot;author&quot;:[{&quot;family&quot;:&quot;Carrubba&quot;,&quot;given&quot;:&quot;V.&quot;,&quot;parse-names&quot;:false,&quot;dropping-particle&quot;:&quot;&quot;,&quot;non-dropping-particle&quot;:&quot;La&quot;},{&quot;family&quot;:&quot;Carfì Pavia&quot;,&quot;given&quot;:&quot;F.&quot;,&quot;parse-names&quot;:false,&quot;dropping-particle&quot;:&quot;&quot;,&quot;non-dropping-particle&quot;:&quot;&quot;},{&quot;family&quot;:&quot;Brucato&quot;,&quot;given&quot;:&quot;V.&quot;,&quot;parse-names&quot;:false,&quot;dropping-particle&quot;:&quot;&quot;,&quot;non-dropping-particle&quot;:&quot;&quot;},{&quot;family&quot;:&quot;Piccarolo&quot;,&quot;given&quot;:&quot;S.&quot;,&quot;parse-names&quot;:false,&quot;dropping-particle&quot;:&quot;&quot;,&quot;non-dropping-particle&quot;:&quot;&quot;}],&quot;container-title&quot;:&quot;International Journal of Material Forming&quot;,&quot;DOI&quot;:&quot;10.1007/s12289-008-0332-5&quot;,&quot;ISSN&quot;:&quot;19606206&quot;,&quot;issued&quot;:{&quot;date-parts&quot;:[[2008,7]]},&quot;page&quot;:&quot;619-622&quot;,&quot;abstract&quot;:&quot;Foams for tissue engineering applications were prepared via thermally induced phase separation (TIPS). Poly-L-Lactic Acid (PLLA) and blends of PLLA with PLA in different proportions were used (100/0, 90/10, 75/25, 50/50, 0/100 PLLA/PLA wt/wt) starting from ternary systems where dioxane was the solvent and water the non-solvent. Morphology was evaluated by Scanning Electron Microscopy (average pore size and interconnection) and the void fraction was measured by means of Hg porosimetry. Foams apparent density was also evaluated (porosity ranges from 87% to 92%). Biodegradability was estimated in a body mimicking fluid. Results show that structure and morphology (in terms of average pore size and distribution, interconnectivity and mechanical properties) depend upon the combination of the operating conditions adopted for the process (polymer concentration, solvent/non-solvent ration, demixing temperature and time). Furthermore, by blending PLLA with PLA it is possible to tune the biodegrability of the foam, thus addressing the possible applications in different fields of soft tissue engineering. © Springer/ESAFORM 2008.&quot;,&quot;issue&quot;:&quot;SUPPL. 1&quot;,&quot;volume&quot;:&quot;1&quot;},&quot;isTemporary&quot;:false}]},{&quot;citationID&quot;:&quot;MENDELEY_CITATION_540a4103-9ea9-44b1-a3ae-aac61a727cf6&quot;,&quot;properties&quot;:{&quot;noteIndex&quot;:0},&quot;isEdited&quot;:false,&quot;manualOverride&quot;:{&quot;isManuallyOverridden&quot;:false,&quot;citeprocText&quot;:&quot;(Carfì Pavia et al., 2008)&quot;,&quot;manualOverrideText&quot;:&quot;&quot;},&quot;citationTag&quot;:&quot;MENDELEY_CITATION_v3_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&quot;,&quot;citationItems&quot;:[{&quot;id&quot;:&quot;c3ff4b0d-f150-3b2a-9e19-7f2ef68af059&quot;,&quot;itemData&quot;:{&quot;type&quot;:&quot;article-journal&quot;,&quot;id&quot;:&quot;c3ff4b0d-f150-3b2a-9e19-7f2ef68af059&quot;,&quot;title&quot;:&quot;Polymeric scaffolds prepared via thermally induced phase separation: Tuning of structure and morphology&quot;,&quot;author&quot;:[{&quot;family&quot;:&quot;Carfì Pavia&quot;,&quot;given&quot;:&quot;F.&quot;,&quot;parse-names&quot;:false,&quot;dropping-particle&quot;:&quot;&quot;,&quot;non-dropping-particle&quot;:&quot;&quot;},{&quot;family&quot;:&quot;Carrubba&quot;,&quot;given&quot;:&quot;V.&quot;,&quot;parse-names&quot;:false,&quot;dropping-particle&quot;:&quot;&quot;,&quot;non-dropping-particle&quot;:&quot;La&quot;},{&quot;family&quot;:&quot;Piccarolo&quot;,&quot;given&quot;:&quot;S.&quot;,&quot;parse-names&quot;:false,&quot;dropping-particle&quot;:&quot;&quot;,&quot;non-dropping-particle&quot;:&quot;&quot;},{&quot;family&quot;:&quot;Brucato&quot;,&quot;given&quot;:&quot;V.&quot;,&quot;parse-names&quot;:false,&quot;dropping-particle&quot;:&quot;&quot;,&quot;non-dropping-particle&quot;:&quot;&quot;}],&quot;container-title&quot;:&quot;Journal of Biomedical Materials Research - Part A&quot;,&quot;container-title-short&quot;:&quot;J. Biomed. Mater. Res. A&quot;,&quot;DOI&quot;:&quot;10.1002/jbm.a.31621&quot;,&quot;ISSN&quot;:&quot;15493296&quot;,&quot;PMID&quot;:&quot;17975822&quot;,&quot;issued&quot;:{&quot;date-parts&quot;:[[2008,8]]},&quot;page&quot;:&quot;459-466&quot;,&quot;abstract&quot;:&quot;Scaffolds suitable for tissue engineering applications like dermal reconstruction were prepared by Thermally Induced Phase Separation (TIPS) starting from a ternary solution PLLA/dioxane/water. The experimental protocol consisted of three consecutive steps, a first quench from the homogeneous solution to an appropriate demixing temperature (within the metastable region), a holding stage for a given residence time, and a final quench from the demixing temperature to a low temperature (within the unstable region). A large variety of morphologies, in terms of average pore size and interconnection, were obtained upon modifying the demixing time and temperature, owing to the interplay of nucleation and growth processes during the residence in the metastable state. An interesting combination of micro and macroporosity was observed for long residence times in the metastable state (above 30 min at 35°C). Preliminary degradation tests in a biological mimicking fluid (D-MEM with bovine serum) showed a significant weight loss during the initial stages (ca. 30% in 30 days) related to the degradation of the amorphous part, followed by a negligible weight loss in the next days (few percent from 30 to 60 days). © 2007 Wiley Periodicals, Inc.&quot;,&quot;issue&quot;:&quot;2&quot;,&quot;volume&quot;:&quot;86&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6</Pages>
  <Words>6681</Words>
  <Characters>38085</Characters>
  <Application>Microsoft Office Word</Application>
  <DocSecurity>0</DocSecurity>
  <Lines>317</Lines>
  <Paragraphs>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ELENA INZERILLO</cp:lastModifiedBy>
  <cp:revision>352</cp:revision>
  <cp:lastPrinted>2015-05-12T18:31:00Z</cp:lastPrinted>
  <dcterms:created xsi:type="dcterms:W3CDTF">2026-01-30T14:07:00Z</dcterms:created>
  <dcterms:modified xsi:type="dcterms:W3CDTF">2026-03-10T16:28:00Z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id="I5TVBEBL"/&gt;&lt;style id="http://www.zotero.org/styles/apa" locale="it-IT" hasBibliography="1" bibliographyStyleHasBeenSet="1"/&gt;&lt;prefs&gt;&lt;pref name="fieldType" value="Field"/&gt;&lt;pref name="storeReferences</vt:lpwstr>
  </property>
  <property fmtid="{D5CDD505-2E9C-101B-9397-08002B2CF9AE}" pid="3" name="ZOTERO_PREF_2">
    <vt:lpwstr>" value="true"/&gt;&lt;/prefs&gt;&lt;/data&gt;</vt:lpwstr>
  </property>
</Properties>
</file>