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B57B36" w14:paraId="18C64C09" w14:textId="77777777" w:rsidTr="00DE264A">
        <w:trPr>
          <w:trHeight w:val="852"/>
          <w:jc w:val="center"/>
        </w:trPr>
        <w:tc>
          <w:tcPr>
            <w:tcW w:w="6946" w:type="dxa"/>
            <w:vMerge w:val="restart"/>
            <w:tcBorders>
              <w:right w:val="single" w:sz="4" w:space="0" w:color="auto"/>
            </w:tcBorders>
          </w:tcPr>
          <w:p w14:paraId="55F24E5D" w14:textId="067C6E0D"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eastAsia="en-GB"/>
              </w:rPr>
              <w:drawing>
                <wp:inline distT="0" distB="0" distL="0" distR="0" wp14:anchorId="558C6B6D" wp14:editId="07020E37">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B53820" w14:textId="77777777"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02370483"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13B4C3C0" w14:textId="77777777" w:rsidR="000A03B2" w:rsidRPr="00B57B36" w:rsidRDefault="000A03B2" w:rsidP="00CD5FE2">
            <w:pPr>
              <w:jc w:val="right"/>
            </w:pPr>
            <w:r w:rsidRPr="00B57B36">
              <w:rPr>
                <w:noProof/>
                <w:lang w:eastAsia="en-GB"/>
              </w:rPr>
              <w:drawing>
                <wp:inline distT="0" distB="0" distL="0" distR="0" wp14:anchorId="74E810BF" wp14:editId="05D75525">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4DCE7638" w14:textId="77777777" w:rsidTr="00DE264A">
        <w:trPr>
          <w:trHeight w:val="567"/>
          <w:jc w:val="center"/>
        </w:trPr>
        <w:tc>
          <w:tcPr>
            <w:tcW w:w="6946" w:type="dxa"/>
            <w:vMerge/>
            <w:tcBorders>
              <w:right w:val="single" w:sz="4" w:space="0" w:color="auto"/>
            </w:tcBorders>
          </w:tcPr>
          <w:p w14:paraId="0A5FB0FE"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1415AAD6"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1E478DD0"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3A1835A3" w14:textId="77777777"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7018439D" w14:textId="77777777" w:rsidTr="00DE264A">
        <w:trPr>
          <w:trHeight w:val="68"/>
          <w:jc w:val="center"/>
        </w:trPr>
        <w:tc>
          <w:tcPr>
            <w:tcW w:w="8789" w:type="dxa"/>
            <w:gridSpan w:val="2"/>
          </w:tcPr>
          <w:p w14:paraId="049A318B" w14:textId="77777777"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2A6B43E4" w14:textId="77777777"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39D2658C" w14:textId="18130DE4" w:rsidR="00F326B3" w:rsidRDefault="00A90E8B" w:rsidP="000C5D8A">
      <w:pPr>
        <w:pStyle w:val="CETTitle"/>
        <w:rPr>
          <w:bCs/>
        </w:rPr>
      </w:pPr>
      <w:r w:rsidRPr="00B37C0E">
        <w:rPr>
          <w:bCs/>
          <w:i/>
          <w:iCs/>
          <w:lang w:val="en-US"/>
        </w:rPr>
        <w:t>Evaluation of Succinic Acid as an Alternative Substrate in Clostridium kluyveri Fermentation for Chain Elongation</w:t>
      </w:r>
      <w:r w:rsidR="00F326B3">
        <w:rPr>
          <w:bCs/>
          <w:i/>
          <w:iCs/>
          <w:lang w:val="en-US"/>
        </w:rPr>
        <w:t xml:space="preserve"> </w:t>
      </w:r>
    </w:p>
    <w:p w14:paraId="49EBFE4F" w14:textId="77777777" w:rsidR="00B57E6F" w:rsidRPr="000C5D8A" w:rsidRDefault="000C5D8A" w:rsidP="00B57E6F">
      <w:pPr>
        <w:pStyle w:val="CETAuthors"/>
        <w:rPr>
          <w:lang w:val="it-IT"/>
        </w:rPr>
      </w:pPr>
      <w:r w:rsidRPr="000C5D8A">
        <w:rPr>
          <w:lang w:val="it-IT"/>
        </w:rPr>
        <w:t>Sara Pisacane, Fabiana Lanzillo, Francesca Raganati</w:t>
      </w:r>
      <w:r w:rsidRPr="000C5D8A">
        <w:rPr>
          <w:vertAlign w:val="superscript"/>
          <w:lang w:val="it-IT"/>
        </w:rPr>
        <w:t>a</w:t>
      </w:r>
      <w:r w:rsidR="001F144E">
        <w:rPr>
          <w:vertAlign w:val="superscript"/>
          <w:lang w:val="it-IT"/>
        </w:rPr>
        <w:t>*</w:t>
      </w:r>
      <w:r w:rsidRPr="000C5D8A">
        <w:rPr>
          <w:lang w:val="it-IT"/>
        </w:rPr>
        <w:t>, Piero Salatino, Antonio Marzocchella</w:t>
      </w:r>
    </w:p>
    <w:p w14:paraId="7D87ECCB" w14:textId="77777777" w:rsidR="00B57E6F" w:rsidRPr="000C5D8A" w:rsidRDefault="00B57E6F" w:rsidP="00B57E6F">
      <w:pPr>
        <w:pStyle w:val="CETAddress"/>
        <w:rPr>
          <w:lang w:val="it-IT"/>
        </w:rPr>
      </w:pPr>
      <w:r w:rsidRPr="000C5D8A">
        <w:rPr>
          <w:vertAlign w:val="superscript"/>
          <w:lang w:val="it-IT"/>
        </w:rPr>
        <w:t>a</w:t>
      </w:r>
      <w:r w:rsidR="000C5D8A" w:rsidRPr="000C5D8A">
        <w:rPr>
          <w:lang w:val="it-IT"/>
        </w:rPr>
        <w:t>Dipartimento di Ingegneria Chimica, dei Materiali e della Produzione Industriale - Università degli Studi di Napoli Federico II, P.le V. Tecchio 80, 80125 Napoli, Italy</w:t>
      </w:r>
    </w:p>
    <w:p w14:paraId="62942E9D" w14:textId="77777777" w:rsidR="00B57E6F" w:rsidRPr="00B57B36" w:rsidRDefault="001F144E" w:rsidP="00B57E6F">
      <w:pPr>
        <w:pStyle w:val="CETemail"/>
      </w:pPr>
      <w:r>
        <w:t>*</w:t>
      </w:r>
      <w:r w:rsidR="00C97042">
        <w:t xml:space="preserve"> </w:t>
      </w:r>
      <w:r w:rsidR="000C5D8A">
        <w:t>francesca.raganati</w:t>
      </w:r>
      <w:r w:rsidR="00B57E6F" w:rsidRPr="00B57B36">
        <w:t>@</w:t>
      </w:r>
      <w:r w:rsidR="000C5D8A">
        <w:t>unina.it</w:t>
      </w:r>
      <w:r w:rsidR="00B57E6F" w:rsidRPr="00B57B36">
        <w:t xml:space="preserve"> </w:t>
      </w:r>
    </w:p>
    <w:p w14:paraId="69CD3B70" w14:textId="072033AD" w:rsidR="000C5D8A" w:rsidRPr="000C5D8A" w:rsidRDefault="00B37C0E" w:rsidP="000C5D8A">
      <w:pPr>
        <w:pStyle w:val="CETBodytext"/>
      </w:pPr>
      <w:r>
        <w:t xml:space="preserve">Microbial chain elongation represents an attractive alternative to chemical synthesis for the production of medium-chain fatty acids (MCFAs), enabling the upgrading of short-chain organic acids and alcohols through reverse β-oxidation. </w:t>
      </w:r>
      <w:r>
        <w:rPr>
          <w:rStyle w:val="Emphasis"/>
        </w:rPr>
        <w:t>Clostridium kluyveri</w:t>
      </w:r>
      <w:r>
        <w:t xml:space="preserve"> typically utilizes ethanol as an electron donor and acetate as a carbon acceptor; however, the potential of alternative substrates derived from industrial and biorefinery waste streams, such as succinic acid, remains poorly investigated. </w:t>
      </w:r>
      <w:r>
        <w:t xml:space="preserve">This study investigated the feasibility of using succinic acid as an alternative electron acceptor in </w:t>
      </w:r>
      <w:r>
        <w:rPr>
          <w:rStyle w:val="Emphasis"/>
        </w:rPr>
        <w:t>C. kluyveri</w:t>
      </w:r>
      <w:r>
        <w:t xml:space="preserve"> fermentation for MCFA production.</w:t>
      </w:r>
      <w:r w:rsidR="003C6D95">
        <w:rPr>
          <w:lang w:val="en-GB"/>
        </w:rPr>
        <w:t xml:space="preserve"> </w:t>
      </w:r>
    </w:p>
    <w:p w14:paraId="2483A434" w14:textId="71C721C9" w:rsidR="00B37C0E" w:rsidRDefault="00B37C0E" w:rsidP="000C5D8A">
      <w:pPr>
        <w:pStyle w:val="CETBodytext"/>
        <w:rPr>
          <w:lang w:val="en-GB"/>
        </w:rPr>
      </w:pPr>
      <w:r>
        <w:t>Anaerobic batch fermentations were conducted in sealed serum bottles (40 mL working volume) at 37°C and initial pH 6.8, evaluating the co-utilization of succinate and ethanol. The effects of succinate on metabolic activity, product distribution, and product yields were assessed.</w:t>
      </w:r>
    </w:p>
    <w:p w14:paraId="05BF7E4C" w14:textId="0FB7B400" w:rsidR="00B37C0E" w:rsidRDefault="00B37C0E" w:rsidP="000C5D8A">
      <w:pPr>
        <w:pStyle w:val="CETBodytext"/>
      </w:pPr>
      <w:r>
        <w:t xml:space="preserve">The results demonstrated that succinate can sustain </w:t>
      </w:r>
      <w:r>
        <w:rPr>
          <w:rStyle w:val="Emphasis"/>
        </w:rPr>
        <w:t>C. kluyveri</w:t>
      </w:r>
      <w:r>
        <w:t xml:space="preserve"> metabolism under anaerobic conditions, resulting in hexanoic acid concentrations of approximately 4.3–4.7 g/L when ethanol was supplied as the reducing equivalent source.</w:t>
      </w:r>
      <w:r>
        <w:t xml:space="preserve"> The co-utilization of succinate and ethanol promoted butyrate and hexanoate formation, confirming the activation of chain elongation pathways and highlighting the strong dependence of succinate conversion on ethanol availability</w:t>
      </w:r>
      <w:r>
        <w:t>.</w:t>
      </w:r>
    </w:p>
    <w:p w14:paraId="198723FD" w14:textId="2AF91DC7" w:rsidR="00B37C0E" w:rsidRPr="00B37C0E" w:rsidRDefault="00B37C0E" w:rsidP="000C5D8A">
      <w:pPr>
        <w:pStyle w:val="CETBodytext"/>
      </w:pPr>
      <w:r>
        <w:t xml:space="preserve">Overall, these findings demonstrate the metabolic flexibility of </w:t>
      </w:r>
      <w:r>
        <w:rPr>
          <w:rStyle w:val="Emphasis"/>
        </w:rPr>
        <w:t>C. kluyveri</w:t>
      </w:r>
      <w:r>
        <w:t xml:space="preserve"> and support the integration of succinate-rich waste streams into MCFA bioproduction processes, provided sufficient reducing equivalents are available.</w:t>
      </w:r>
    </w:p>
    <w:p w14:paraId="24D2019E" w14:textId="77777777" w:rsidR="00B37C0E" w:rsidRDefault="00B37C0E" w:rsidP="000C5D8A">
      <w:pPr>
        <w:pStyle w:val="CETBodytext"/>
        <w:rPr>
          <w:lang w:val="en-GB"/>
        </w:rPr>
      </w:pPr>
    </w:p>
    <w:p w14:paraId="5DF0D8CE" w14:textId="77777777" w:rsidR="00600535" w:rsidRDefault="00600535" w:rsidP="00600535">
      <w:pPr>
        <w:pStyle w:val="CETHeading1"/>
        <w:rPr>
          <w:lang w:val="en-GB"/>
        </w:rPr>
      </w:pPr>
      <w:r w:rsidRPr="00B57B36">
        <w:rPr>
          <w:lang w:val="en-GB"/>
        </w:rPr>
        <w:t>Introduction</w:t>
      </w:r>
    </w:p>
    <w:p w14:paraId="7BBA42A8" w14:textId="0A147DB4" w:rsidR="002E764D" w:rsidRDefault="0047408D" w:rsidP="009C0A3D">
      <w:pPr>
        <w:pStyle w:val="CETBodytext"/>
        <w:rPr>
          <w:lang w:val="en-GB"/>
        </w:rPr>
      </w:pPr>
      <w:r w:rsidRPr="009C0A3D">
        <w:t xml:space="preserve">The transition toward a circular and low-carbon economy </w:t>
      </w:r>
      <w:r>
        <w:t xml:space="preserve">requires </w:t>
      </w:r>
      <w:r w:rsidRPr="009C0A3D">
        <w:t xml:space="preserve">the development of sustainable routes </w:t>
      </w:r>
      <w:r>
        <w:t>for producing</w:t>
      </w:r>
      <w:r w:rsidRPr="009C0A3D">
        <w:t xml:space="preserve"> chemicals and fuels from renewable and waste-derived resources.</w:t>
      </w:r>
      <w:r w:rsidR="009C0A3D" w:rsidRPr="009C0A3D">
        <w:rPr>
          <w:lang w:val="en-GB"/>
        </w:rPr>
        <w:t xml:space="preserve"> </w:t>
      </w:r>
      <w:r w:rsidR="00B37C0E" w:rsidRPr="009C0A3D">
        <w:t xml:space="preserve">Microbial fermentation has emerged as a key enabling technology for converting carbon-rich waste streams into value-added products, </w:t>
      </w:r>
      <w:r w:rsidR="00B37C0E" w:rsidRPr="009C0A3D">
        <w:t>thereby reducing greenhouse gas emissions and dependence on fossil resources (</w:t>
      </w:r>
      <w:r w:rsidR="00B37C0E" w:rsidRPr="005C3B0F">
        <w:rPr>
          <w:rFonts w:eastAsiaTheme="minorHAnsi" w:cs="Arial"/>
          <w:szCs w:val="18"/>
        </w:rPr>
        <w:t>Angenent</w:t>
      </w:r>
      <w:r w:rsidR="00B37C0E">
        <w:t xml:space="preserve"> et al., 2016</w:t>
      </w:r>
      <w:r w:rsidR="00B37C0E" w:rsidRPr="009C0A3D">
        <w:t>).</w:t>
      </w:r>
      <w:r w:rsidR="009C0A3D" w:rsidRPr="009C0A3D">
        <w:rPr>
          <w:lang w:val="en-GB"/>
        </w:rPr>
        <w:t xml:space="preserve"> </w:t>
      </w:r>
    </w:p>
    <w:p w14:paraId="339C0F7B" w14:textId="16D48924" w:rsidR="002E764D" w:rsidRDefault="00B37C0E" w:rsidP="009C0A3D">
      <w:pPr>
        <w:pStyle w:val="CETBodytext"/>
        <w:rPr>
          <w:lang w:val="en-GB"/>
        </w:rPr>
      </w:pPr>
      <w:r w:rsidRPr="002E764D">
        <w:t xml:space="preserve">Among the available fermentation-based strategies, chain elongation has gained increasing attention as an effective microbial route </w:t>
      </w:r>
      <w:r>
        <w:t>for upgrading</w:t>
      </w:r>
      <w:r w:rsidRPr="002E764D">
        <w:t xml:space="preserve"> short-chain carboxylates and alcohols to medium-chain fatty acids (MCFAs)</w:t>
      </w:r>
      <w:r>
        <w:t>,</w:t>
      </w:r>
      <w:r w:rsidRPr="002E764D">
        <w:t xml:space="preserve"> </w:t>
      </w:r>
      <w:r>
        <w:t>such as</w:t>
      </w:r>
      <w:r w:rsidRPr="002E764D">
        <w:t xml:space="preserve"> butyrate and caproate</w:t>
      </w:r>
      <w:r>
        <w:t>.</w:t>
      </w:r>
      <w:r w:rsidR="00F83792" w:rsidRPr="002E764D">
        <w:rPr>
          <w:lang w:val="en-GB"/>
        </w:rPr>
        <w:t xml:space="preserve"> </w:t>
      </w:r>
      <w:r w:rsidR="0047408D">
        <w:t xml:space="preserve">MCFAs are characterized by </w:t>
      </w:r>
      <w:r w:rsidR="0047408D" w:rsidRPr="002E764D">
        <w:t xml:space="preserve">a higher market value and lower water solubility </w:t>
      </w:r>
      <w:r w:rsidR="0047408D">
        <w:t>than</w:t>
      </w:r>
      <w:r w:rsidR="0047408D" w:rsidRPr="002E764D">
        <w:t xml:space="preserve"> their short-chain </w:t>
      </w:r>
      <w:r w:rsidR="0047408D">
        <w:t>counterparts</w:t>
      </w:r>
      <w:r w:rsidR="0047408D" w:rsidRPr="002E764D">
        <w:t xml:space="preserve"> (</w:t>
      </w:r>
      <w:r w:rsidR="0047408D">
        <w:t>Wang and Yin, 2022</w:t>
      </w:r>
      <w:r w:rsidR="0047408D" w:rsidRPr="002E764D">
        <w:t>).</w:t>
      </w:r>
      <w:r w:rsidR="002E764D" w:rsidRPr="002E764D">
        <w:rPr>
          <w:lang w:val="en-GB"/>
        </w:rPr>
        <w:t xml:space="preserve"> </w:t>
      </w:r>
      <w:r w:rsidR="0047408D">
        <w:t>These peculiar</w:t>
      </w:r>
      <w:r w:rsidR="0047408D" w:rsidRPr="002E764D">
        <w:t xml:space="preserve"> </w:t>
      </w:r>
      <w:r w:rsidR="0047408D">
        <w:t>features</w:t>
      </w:r>
      <w:r w:rsidR="0047408D" w:rsidRPr="002E764D">
        <w:t xml:space="preserve"> facilitate downstream separation and improve the overall economic feasibility of anaerobic fermentation processes</w:t>
      </w:r>
      <w:r w:rsidR="0047408D">
        <w:t xml:space="preserve"> (Sarkar et al., 2021)</w:t>
      </w:r>
      <w:r w:rsidR="0047408D" w:rsidRPr="002E764D">
        <w:t>.</w:t>
      </w:r>
    </w:p>
    <w:p w14:paraId="050AC378" w14:textId="77777777" w:rsidR="003C65AD" w:rsidRDefault="003C65AD" w:rsidP="009C0A3D">
      <w:pPr>
        <w:pStyle w:val="CETBodytext"/>
        <w:rPr>
          <w:lang w:val="en-GB"/>
        </w:rPr>
      </w:pPr>
      <w:r w:rsidRPr="003C65AD">
        <w:rPr>
          <w:i/>
          <w:iCs/>
          <w:lang w:val="en-GB"/>
        </w:rPr>
        <w:t>Clostridium kluyveri</w:t>
      </w:r>
      <w:r w:rsidRPr="003C65AD">
        <w:rPr>
          <w:lang w:val="en-GB"/>
        </w:rPr>
        <w:t xml:space="preserve"> is a well-established model microorganism for chain elongation</w:t>
      </w:r>
      <w:r w:rsidR="00777F5E">
        <w:rPr>
          <w:lang w:val="en-GB"/>
        </w:rPr>
        <w:t xml:space="preserve"> studies</w:t>
      </w:r>
      <w:r w:rsidRPr="003C65AD">
        <w:rPr>
          <w:lang w:val="en-GB"/>
        </w:rPr>
        <w:t xml:space="preserve">. </w:t>
      </w:r>
      <w:r w:rsidR="0047408D" w:rsidRPr="003C65AD">
        <w:t>This strictly anaerobic bacterium converts ethanol and short-chain carboxylates</w:t>
      </w:r>
      <w:r w:rsidR="0047408D">
        <w:t xml:space="preserve">, </w:t>
      </w:r>
      <w:r w:rsidR="0047408D" w:rsidRPr="003C65AD">
        <w:t>mainly acetate</w:t>
      </w:r>
      <w:r w:rsidR="0047408D">
        <w:t>,</w:t>
      </w:r>
      <w:r w:rsidR="0047408D" w:rsidRPr="003C65AD">
        <w:t xml:space="preserve"> into longer-chain fatty acids through the reverse β-oxidation pathway, elongating the carbon chain by two carbon units per cycle (Seedorf et al., 2008).</w:t>
      </w:r>
      <w:r w:rsidRPr="003C65AD">
        <w:rPr>
          <w:lang w:val="en-GB"/>
        </w:rPr>
        <w:t xml:space="preserve"> </w:t>
      </w:r>
      <w:r w:rsidR="00777F5E">
        <w:rPr>
          <w:lang w:val="en-GB"/>
        </w:rPr>
        <w:t>Owing</w:t>
      </w:r>
      <w:r w:rsidRPr="003C65AD">
        <w:rPr>
          <w:lang w:val="en-GB"/>
        </w:rPr>
        <w:t xml:space="preserve"> to its well-defined metabolism and robustness, </w:t>
      </w:r>
      <w:r w:rsidRPr="003C65AD">
        <w:rPr>
          <w:i/>
          <w:iCs/>
          <w:lang w:val="en-GB"/>
        </w:rPr>
        <w:t>C. kluyveri</w:t>
      </w:r>
      <w:r w:rsidRPr="003C65AD">
        <w:rPr>
          <w:lang w:val="en-GB"/>
        </w:rPr>
        <w:t xml:space="preserve"> has been extensively investigated </w:t>
      </w:r>
      <w:r w:rsidR="00777F5E">
        <w:rPr>
          <w:lang w:val="en-GB"/>
        </w:rPr>
        <w:t>for MCFA production in both batch and continuous systems</w:t>
      </w:r>
      <w:r w:rsidRPr="003C65AD">
        <w:rPr>
          <w:lang w:val="en-GB"/>
        </w:rPr>
        <w:t xml:space="preserve"> (</w:t>
      </w:r>
      <w:r w:rsidR="007275ED">
        <w:rPr>
          <w:lang w:val="en-GB"/>
        </w:rPr>
        <w:t>Zhao et al., 2024</w:t>
      </w:r>
      <w:r w:rsidRPr="003C65AD">
        <w:rPr>
          <w:lang w:val="en-GB"/>
        </w:rPr>
        <w:t>).</w:t>
      </w:r>
    </w:p>
    <w:p w14:paraId="08F987A6" w14:textId="1B87B8F7" w:rsidR="007747F4" w:rsidRDefault="0047408D" w:rsidP="009C0A3D">
      <w:pPr>
        <w:pStyle w:val="CETBodytext"/>
        <w:rPr>
          <w:lang w:val="en-GB"/>
        </w:rPr>
      </w:pPr>
      <w:r w:rsidRPr="007747F4">
        <w:lastRenderedPageBreak/>
        <w:t xml:space="preserve">The metabolism of </w:t>
      </w:r>
      <w:r w:rsidRPr="007747F4">
        <w:rPr>
          <w:i/>
          <w:iCs/>
        </w:rPr>
        <w:t>C. kluyveri</w:t>
      </w:r>
      <w:r w:rsidRPr="007747F4">
        <w:t xml:space="preserve"> is traditionally associated with ethanol as the primary electron donor and acetate as the carbon acceptor, making the availability of reducing equivalents a key factor </w:t>
      </w:r>
      <w:r>
        <w:t xml:space="preserve">in </w:t>
      </w:r>
      <w:r w:rsidRPr="007747F4">
        <w:t xml:space="preserve">controlling growth and </w:t>
      </w:r>
      <w:r>
        <w:t>metabolite</w:t>
      </w:r>
      <w:r w:rsidRPr="007747F4">
        <w:t xml:space="preserve"> distribution (San-Valero et al., 2019).</w:t>
      </w:r>
      <w:r w:rsidR="007747F4" w:rsidRPr="007747F4">
        <w:rPr>
          <w:lang w:val="en-GB"/>
        </w:rPr>
        <w:t xml:space="preserve"> Recent studies have highlighted that changes in electron balance and inorganic carbon availability can significantly affect </w:t>
      </w:r>
      <w:r w:rsidR="007747F4" w:rsidRPr="007747F4">
        <w:rPr>
          <w:i/>
          <w:iCs/>
          <w:lang w:val="en-GB"/>
        </w:rPr>
        <w:t>C. kluyveri</w:t>
      </w:r>
      <w:r w:rsidR="007747F4" w:rsidRPr="007747F4">
        <w:rPr>
          <w:lang w:val="en-GB"/>
        </w:rPr>
        <w:t xml:space="preserve"> physiology and chain elongation performance (</w:t>
      </w:r>
      <w:r w:rsidR="007747F4">
        <w:rPr>
          <w:lang w:val="en-GB"/>
        </w:rPr>
        <w:t>Pisacane et al., 2025</w:t>
      </w:r>
      <w:r w:rsidR="007747F4" w:rsidRPr="007747F4">
        <w:rPr>
          <w:lang w:val="en-GB"/>
        </w:rPr>
        <w:t>).</w:t>
      </w:r>
      <w:r w:rsidR="000001C4">
        <w:rPr>
          <w:lang w:val="en-GB"/>
        </w:rPr>
        <w:t xml:space="preserve"> </w:t>
      </w:r>
      <w:r w:rsidR="00A31587">
        <w:t>Moreover, recent studies on continuous microbial fermentation systems have indicated that variables, such as pH, electron donor-to-acceptor ratios, and substrate composition, can strongly modulate the metabolic profile and yield of chain-elongated products, providing insights for designing more resilient and efficient bioprocesses (Pisacane et al., 2024; Lanzillo et al., 2025).</w:t>
      </w:r>
    </w:p>
    <w:p w14:paraId="731AACB4" w14:textId="51DB7CB9" w:rsidR="00C112F1" w:rsidRDefault="00A31587" w:rsidP="009C0A3D">
      <w:pPr>
        <w:pStyle w:val="CETBodytext"/>
        <w:rPr>
          <w:lang w:val="en-GB"/>
        </w:rPr>
      </w:pPr>
      <w:r w:rsidRPr="00963004">
        <w:t xml:space="preserve">Despite extensive investigations into ethanol–acetate systems, the role of alternative organic acids, such as succinate, in supporting </w:t>
      </w:r>
      <w:r w:rsidRPr="007D6364">
        <w:rPr>
          <w:i/>
          <w:iCs/>
        </w:rPr>
        <w:t>C. kluyveri</w:t>
      </w:r>
      <w:r w:rsidRPr="00963004">
        <w:t xml:space="preserve"> metabolism remains poorly understood</w:t>
      </w:r>
      <w:r w:rsidRPr="008C5987">
        <w:t>.</w:t>
      </w:r>
      <w:r w:rsidR="008C5987" w:rsidRPr="008C5987">
        <w:rPr>
          <w:lang w:val="en-GB"/>
        </w:rPr>
        <w:t xml:space="preserve"> </w:t>
      </w:r>
      <w:r>
        <w:t>Organic acids, such as succinate, are frequently detected in mixed-acid fermentation broths, anaerobic digestion effluents, and biorefinery waste streams, making them attractive candidates for integrated bioprocesses.</w:t>
      </w:r>
      <w:r w:rsidR="00C112F1">
        <w:t xml:space="preserve"> Early studies reported that </w:t>
      </w:r>
      <w:r w:rsidR="00C112F1">
        <w:rPr>
          <w:rStyle w:val="Emphasis"/>
        </w:rPr>
        <w:t>C. kluyveri</w:t>
      </w:r>
      <w:r w:rsidR="00C112F1">
        <w:t xml:space="preserve"> can metabolize succinate under anaerobic conditions; however, its utilization appears to be strongly dependent on the availability of suitable electron donors, particularly ethanol (Kenealy and Waselefsky, 1985). </w:t>
      </w:r>
      <w:r>
        <w:t>Therefore, determining whether succinate can effectively function as a carbon acceptor within the reverse β-oxidation pathway is essential to broaden the substrate spectrum and operational flexibility of chain elongation processes.</w:t>
      </w:r>
    </w:p>
    <w:p w14:paraId="06EECAB7" w14:textId="0845E306" w:rsidR="002E764D" w:rsidRDefault="001318DB" w:rsidP="009C0A3D">
      <w:pPr>
        <w:pStyle w:val="CETBodytext"/>
        <w:rPr>
          <w:lang w:val="en-GB"/>
        </w:rPr>
      </w:pPr>
      <w:r>
        <w:t xml:space="preserve">Therefore, the aim of this study is to evaluate the potential of succinic acid as an alternative substrate for </w:t>
      </w:r>
      <w:r w:rsidRPr="007D6364">
        <w:rPr>
          <w:i/>
        </w:rPr>
        <w:t>Clostridium kluyveri</w:t>
      </w:r>
      <w:r>
        <w:t xml:space="preserve"> growth and medium-chain fatty acid production</w:t>
      </w:r>
      <w:r w:rsidR="0047408D" w:rsidRPr="00414476">
        <w:t>.</w:t>
      </w:r>
      <w:r w:rsidR="00414476" w:rsidRPr="00414476">
        <w:rPr>
          <w:lang w:val="en-GB"/>
        </w:rPr>
        <w:t xml:space="preserve"> </w:t>
      </w:r>
      <w:r w:rsidR="0047408D" w:rsidRPr="00414476">
        <w:t xml:space="preserve">Batch fermentation experiments were </w:t>
      </w:r>
      <w:r w:rsidR="0047408D">
        <w:t xml:space="preserve">conducted </w:t>
      </w:r>
      <w:r w:rsidR="0047408D" w:rsidRPr="00414476">
        <w:t>to assess the impact of succinate on metabolic activity, product spectrum, and chain elongation performance, with particular emphasis on its interaction with ethanol as a source of reducing equivalents.</w:t>
      </w:r>
    </w:p>
    <w:p w14:paraId="11E37E37" w14:textId="77777777" w:rsidR="00A16CD4" w:rsidRDefault="00A16CD4" w:rsidP="00A16CD4">
      <w:pPr>
        <w:pStyle w:val="CETHeading1"/>
      </w:pPr>
      <w:r>
        <w:t xml:space="preserve">Materials and methods </w:t>
      </w:r>
    </w:p>
    <w:p w14:paraId="5F6DAC24" w14:textId="77777777" w:rsidR="00A16CD4" w:rsidRDefault="00A16CD4" w:rsidP="00A16CD4">
      <w:pPr>
        <w:pStyle w:val="CETheadingx"/>
      </w:pPr>
      <w:r w:rsidRPr="00A16CD4">
        <w:t>Microorganism and media</w:t>
      </w:r>
    </w:p>
    <w:p w14:paraId="0D71C8B5" w14:textId="49749E6B" w:rsidR="00A16CD4" w:rsidRDefault="00A16CD4" w:rsidP="00600535">
      <w:pPr>
        <w:pStyle w:val="CETBodytext"/>
        <w:rPr>
          <w:b/>
          <w:bCs/>
          <w:lang w:val="en-GB"/>
        </w:rPr>
      </w:pPr>
      <w:r w:rsidRPr="00A16CD4">
        <w:rPr>
          <w:lang w:val="en-GB"/>
        </w:rPr>
        <w:t xml:space="preserve">An active strain of </w:t>
      </w:r>
      <w:r w:rsidRPr="00A16CD4">
        <w:rPr>
          <w:i/>
          <w:iCs/>
          <w:lang w:val="en-GB"/>
        </w:rPr>
        <w:t>Clostridium kluyveri</w:t>
      </w:r>
      <w:r w:rsidRPr="00A16CD4">
        <w:rPr>
          <w:lang w:val="en-GB"/>
        </w:rPr>
        <w:t xml:space="preserve"> (DSM 555) was obtained from the German Collection of Microorganisms and Cell Cultures (DSMZ, Braunschweig, Germany). </w:t>
      </w:r>
      <w:r w:rsidR="00A31587" w:rsidRPr="00A16CD4">
        <w:t>Stock preservation, preculture preparation, and anaerobic cultivation were performed at 37 °C according to the protocol described by Pisacane et al. (2025).</w:t>
      </w:r>
      <w:r w:rsidRPr="00A16CD4">
        <w:rPr>
          <w:b/>
          <w:bCs/>
          <w:lang w:val="en-GB"/>
        </w:rPr>
        <w:t xml:space="preserve"> </w:t>
      </w:r>
    </w:p>
    <w:p w14:paraId="612D833F" w14:textId="0BD48F3F" w:rsidR="00F75946" w:rsidRDefault="00184E10">
      <w:pPr>
        <w:pStyle w:val="CETBodytext"/>
        <w:tabs>
          <w:tab w:val="left" w:pos="3870"/>
        </w:tabs>
        <w:rPr>
          <w:lang w:val="en-GB"/>
        </w:rPr>
      </w:pPr>
      <w:r w:rsidRPr="00184E10">
        <w:rPr>
          <w:lang w:val="en-GB"/>
        </w:rPr>
        <w:t>The fermentation medium was prepared using acetic acid, ethanol, and succinic acid as substrates. Ethanol was supplied at a fixed concentration of 13 g</w:t>
      </w:r>
      <w:r>
        <w:rPr>
          <w:lang w:val="en-GB"/>
        </w:rPr>
        <w:t>/</w:t>
      </w:r>
      <w:r w:rsidRPr="00184E10">
        <w:rPr>
          <w:lang w:val="en-GB"/>
        </w:rPr>
        <w:t xml:space="preserve">L </w:t>
      </w:r>
      <w:r w:rsidR="00777F5E">
        <w:rPr>
          <w:lang w:val="en-GB"/>
        </w:rPr>
        <w:t>under</w:t>
      </w:r>
      <w:r w:rsidRPr="00184E10">
        <w:rPr>
          <w:lang w:val="en-GB"/>
        </w:rPr>
        <w:t xml:space="preserve"> all experimental conditions, </w:t>
      </w:r>
      <w:r w:rsidR="00777F5E">
        <w:rPr>
          <w:lang w:val="en-GB"/>
        </w:rPr>
        <w:t>whereas</w:t>
      </w:r>
      <w:r w:rsidRPr="00184E10">
        <w:rPr>
          <w:lang w:val="en-GB"/>
        </w:rPr>
        <w:t xml:space="preserve"> succinic acid was added at 6 g</w:t>
      </w:r>
      <w:r>
        <w:rPr>
          <w:lang w:val="en-GB"/>
        </w:rPr>
        <w:t>/</w:t>
      </w:r>
      <w:r w:rsidRPr="00184E10">
        <w:rPr>
          <w:lang w:val="en-GB"/>
        </w:rPr>
        <w:t xml:space="preserve">L. </w:t>
      </w:r>
      <w:r w:rsidR="00A31587" w:rsidRPr="00184E10">
        <w:t>Acetic acid was supplied at concentrations of 1 or 2 g</w:t>
      </w:r>
      <w:r w:rsidR="00A31587">
        <w:t>/</w:t>
      </w:r>
      <w:r w:rsidR="00A31587" w:rsidRPr="00184E10">
        <w:t>L, depending on the experimental setup.</w:t>
      </w:r>
      <w:r w:rsidRPr="00184E10">
        <w:rPr>
          <w:lang w:val="en-GB"/>
        </w:rPr>
        <w:t xml:space="preserve"> </w:t>
      </w:r>
      <w:r w:rsidR="0047408D">
        <w:t>Specific</w:t>
      </w:r>
      <w:r w:rsidR="0047408D" w:rsidRPr="00184E10">
        <w:t xml:space="preserve"> details regarding </w:t>
      </w:r>
      <w:r w:rsidR="0047408D">
        <w:t xml:space="preserve">the </w:t>
      </w:r>
      <w:r w:rsidR="0047408D" w:rsidRPr="00184E10">
        <w:t xml:space="preserve">substrate combinations and experimental conditions are </w:t>
      </w:r>
      <w:r w:rsidR="0047408D">
        <w:t>listed</w:t>
      </w:r>
      <w:r w:rsidR="0047408D" w:rsidRPr="00184E10">
        <w:t xml:space="preserve"> in </w:t>
      </w:r>
      <w:r w:rsidR="0047408D">
        <w:t>Table 1</w:t>
      </w:r>
      <w:r w:rsidR="0047408D" w:rsidRPr="00184E10">
        <w:t>.</w:t>
      </w:r>
      <w:r w:rsidRPr="00184E10">
        <w:rPr>
          <w:lang w:val="en-GB"/>
        </w:rPr>
        <w:t xml:space="preserve"> All chemicals were purchased from Sigma-Aldrich (Milan, Italy).</w:t>
      </w:r>
    </w:p>
    <w:p w14:paraId="2A10EA45" w14:textId="77777777" w:rsidR="00ED7252" w:rsidRDefault="00ED7252" w:rsidP="00ED7252">
      <w:pPr>
        <w:pStyle w:val="CETheadingx"/>
      </w:pPr>
      <w:r w:rsidRPr="00ED7252">
        <w:t xml:space="preserve">Apparatus and operative conditions </w:t>
      </w:r>
    </w:p>
    <w:p w14:paraId="65F81F7F" w14:textId="27F81660" w:rsidR="006D11B4" w:rsidRPr="006973D0" w:rsidRDefault="0047408D" w:rsidP="0051561B">
      <w:pPr>
        <w:pStyle w:val="CETheadingx"/>
        <w:numPr>
          <w:ilvl w:val="0"/>
          <w:numId w:val="0"/>
        </w:numPr>
        <w:contextualSpacing/>
        <w:jc w:val="both"/>
        <w:rPr>
          <w:rFonts w:cs="Arial"/>
          <w:b w:val="0"/>
          <w:lang w:val="en-GB"/>
        </w:rPr>
      </w:pPr>
      <w:r w:rsidRPr="006973D0">
        <w:rPr>
          <w:b w:val="0"/>
        </w:rPr>
        <w:t>Batch fermentations were performed in 100 mL sealed serum bottles, and the working volume (V</w:t>
      </w:r>
      <w:r w:rsidRPr="006973D0">
        <w:rPr>
          <w:b w:val="0"/>
          <w:vertAlign w:val="subscript"/>
        </w:rPr>
        <w:t>L</w:t>
      </w:r>
      <w:r w:rsidRPr="006973D0">
        <w:rPr>
          <w:b w:val="0"/>
        </w:rPr>
        <w:t>) was set to 40 mL.</w:t>
      </w:r>
      <w:r w:rsidR="00ED7252" w:rsidRPr="006973D0">
        <w:rPr>
          <w:b w:val="0"/>
          <w:lang w:val="en-GB"/>
        </w:rPr>
        <w:t xml:space="preserve"> A defined volume of medium was dispensed into the bottles and </w:t>
      </w:r>
      <w:r w:rsidR="00E46CB8" w:rsidRPr="006973D0">
        <w:rPr>
          <w:b w:val="0"/>
          <w:lang w:val="en-GB"/>
        </w:rPr>
        <w:t>boiled</w:t>
      </w:r>
      <w:r w:rsidR="00ED7252" w:rsidRPr="006973D0">
        <w:rPr>
          <w:b w:val="0"/>
          <w:lang w:val="en-GB"/>
        </w:rPr>
        <w:t>. During cooling, the medium was sparged with a stream of nitrogen (N</w:t>
      </w:r>
      <w:r w:rsidR="00ED7252" w:rsidRPr="006973D0">
        <w:rPr>
          <w:rFonts w:ascii="Cambria Math" w:hAnsi="Cambria Math" w:cs="Cambria Math"/>
          <w:b w:val="0"/>
          <w:lang w:val="en-GB"/>
        </w:rPr>
        <w:t>₂</w:t>
      </w:r>
      <w:r w:rsidR="00ED7252" w:rsidRPr="006973D0">
        <w:rPr>
          <w:b w:val="0"/>
          <w:lang w:val="en-GB"/>
        </w:rPr>
        <w:t xml:space="preserve">) to maintain anaerobic conditions </w:t>
      </w:r>
      <w:r w:rsidR="00ED7252" w:rsidRPr="006973D0">
        <w:rPr>
          <w:rFonts w:cs="Arial"/>
          <w:b w:val="0"/>
          <w:lang w:val="en-GB"/>
        </w:rPr>
        <w:t xml:space="preserve">and autoclaved for 20 min at 121 </w:t>
      </w:r>
      <w:r w:rsidR="00ED7252" w:rsidRPr="00A31587">
        <w:rPr>
          <w:rFonts w:cs="Arial"/>
          <w:b w:val="0"/>
          <w:lang w:val="en-GB"/>
        </w:rPr>
        <w:t xml:space="preserve">°C. </w:t>
      </w:r>
      <w:r w:rsidR="00A31587" w:rsidRPr="00A31587">
        <w:rPr>
          <w:rFonts w:cs="Arial"/>
          <w:b w:val="0"/>
        </w:rPr>
        <w:t>After sterilization and cooling of the medium in the bottles, cysteine-HCl, carbonate, and sulfide were added from sterile degassed stock solutions (details of the stock solutions can be found in DSMZ 52 medium).</w:t>
      </w:r>
      <w:r w:rsidR="006D11B4" w:rsidRPr="00A31587">
        <w:rPr>
          <w:rFonts w:cs="Arial"/>
          <w:b w:val="0"/>
          <w:lang w:val="en-GB"/>
        </w:rPr>
        <w:t xml:space="preserve"> </w:t>
      </w:r>
      <w:r w:rsidR="00A31587" w:rsidRPr="00A31587">
        <w:rPr>
          <w:rFonts w:cs="Arial"/>
          <w:b w:val="0"/>
        </w:rPr>
        <w:t>The pH was adjusted to 6.8, and vitamins were finally added.</w:t>
      </w:r>
      <w:r w:rsidR="006D11B4" w:rsidRPr="00A31587">
        <w:rPr>
          <w:rFonts w:cs="Arial"/>
          <w:b w:val="0"/>
          <w:lang w:val="en-GB"/>
        </w:rPr>
        <w:t xml:space="preserve"> </w:t>
      </w:r>
      <w:r w:rsidR="009C67B7" w:rsidRPr="00A31587">
        <w:rPr>
          <w:rFonts w:cs="Arial"/>
          <w:b w:val="0"/>
          <w:lang w:val="en-GB"/>
        </w:rPr>
        <w:t>The inoculum was prepared by cultivating C. kluyveri in DSMZ 52 medium in 15 mL Hungate tubes containing 10 mL of medium, under the same temperature and strictly anaerobic conditions adopted for the fermentation experiments.</w:t>
      </w:r>
      <w:r w:rsidR="009C67B7" w:rsidRPr="009C67B7">
        <w:rPr>
          <w:rFonts w:cs="Arial"/>
          <w:b w:val="0"/>
          <w:bCs/>
          <w:lang w:val="en-GB"/>
        </w:rPr>
        <w:t xml:space="preserve"> Cultures were grown until the exponential phase and then used to inoculate the experimental bottles</w:t>
      </w:r>
      <w:r w:rsidR="005563BA" w:rsidRPr="005563BA">
        <w:rPr>
          <w:rFonts w:cs="Arial"/>
          <w:b w:val="0"/>
          <w:bCs/>
          <w:lang w:val="en-GB"/>
        </w:rPr>
        <w:t>.</w:t>
      </w:r>
    </w:p>
    <w:p w14:paraId="7ADD4172" w14:textId="750D9E28" w:rsidR="0051561B" w:rsidRPr="006973D0" w:rsidRDefault="009C67B7" w:rsidP="0051561B">
      <w:pPr>
        <w:pStyle w:val="CETheadingx"/>
        <w:numPr>
          <w:ilvl w:val="0"/>
          <w:numId w:val="0"/>
        </w:numPr>
        <w:contextualSpacing/>
        <w:jc w:val="both"/>
        <w:rPr>
          <w:rFonts w:cs="Arial"/>
          <w:b w:val="0"/>
          <w:lang w:val="en-GB"/>
        </w:rPr>
      </w:pPr>
      <w:r>
        <w:rPr>
          <w:rFonts w:cs="Arial"/>
          <w:b w:val="0"/>
          <w:lang w:val="en-GB"/>
        </w:rPr>
        <w:t>S</w:t>
      </w:r>
      <w:r w:rsidR="006D11B4" w:rsidRPr="006973D0">
        <w:rPr>
          <w:rFonts w:cs="Arial"/>
          <w:b w:val="0"/>
          <w:lang w:val="en-GB"/>
        </w:rPr>
        <w:t xml:space="preserve">erum bottles were inoculated to achieve an initial </w:t>
      </w:r>
      <w:r>
        <w:rPr>
          <w:rFonts w:cs="Arial"/>
          <w:b w:val="0"/>
          <w:lang w:val="en-GB"/>
        </w:rPr>
        <w:t xml:space="preserve">cell </w:t>
      </w:r>
      <w:r w:rsidR="009F39FF" w:rsidRPr="006973D0">
        <w:rPr>
          <w:rFonts w:cs="Arial"/>
          <w:b w:val="0"/>
          <w:lang w:val="en-GB"/>
        </w:rPr>
        <w:t>concentration of 0.02</w:t>
      </w:r>
      <w:r w:rsidR="00332C1B" w:rsidRPr="006973D0">
        <w:rPr>
          <w:rFonts w:cs="Arial"/>
          <w:b w:val="0"/>
          <w:lang w:val="en-GB"/>
        </w:rPr>
        <w:t xml:space="preserve"> </w:t>
      </w:r>
      <w:r w:rsidR="009F39FF" w:rsidRPr="006973D0">
        <w:rPr>
          <w:rFonts w:cs="Arial"/>
          <w:b w:val="0"/>
          <w:lang w:val="en-GB"/>
        </w:rPr>
        <w:t>g</w:t>
      </w:r>
      <w:r w:rsidR="009F39FF" w:rsidRPr="006973D0">
        <w:rPr>
          <w:rFonts w:cs="Arial"/>
          <w:b w:val="0"/>
          <w:vertAlign w:val="subscript"/>
          <w:lang w:val="en-GB"/>
        </w:rPr>
        <w:t>DM</w:t>
      </w:r>
      <w:r w:rsidR="009F39FF" w:rsidRPr="006973D0">
        <w:rPr>
          <w:rFonts w:cs="Arial"/>
          <w:b w:val="0"/>
          <w:lang w:val="en-GB"/>
        </w:rPr>
        <w:t>/L</w:t>
      </w:r>
      <w:r w:rsidR="006D11B4" w:rsidRPr="006973D0">
        <w:rPr>
          <w:rFonts w:cs="Arial"/>
          <w:b w:val="0"/>
          <w:lang w:val="en-GB"/>
        </w:rPr>
        <w:t xml:space="preserve">. </w:t>
      </w:r>
      <w:r w:rsidRPr="009C67B7">
        <w:rPr>
          <w:rFonts w:cs="Arial"/>
          <w:b w:val="0"/>
          <w:lang w:val="en-GB"/>
        </w:rPr>
        <w:t xml:space="preserve">Fermentations were carried out at 37 °C with orbital shaking at 130 rpm for </w:t>
      </w:r>
      <w:r>
        <w:rPr>
          <w:rFonts w:cs="Arial"/>
          <w:b w:val="0"/>
          <w:lang w:val="en-GB"/>
        </w:rPr>
        <w:t>about 80</w:t>
      </w:r>
      <w:r w:rsidRPr="009C67B7">
        <w:rPr>
          <w:rFonts w:cs="Arial"/>
          <w:b w:val="0"/>
          <w:lang w:val="en-GB"/>
        </w:rPr>
        <w:t xml:space="preserve"> h. Process monitoring was performed at least once per day by measuring biomass concentration as well as acid and alcohol concentrations</w:t>
      </w:r>
      <w:r w:rsidR="006D11B4" w:rsidRPr="006973D0">
        <w:rPr>
          <w:rFonts w:cs="Arial"/>
          <w:b w:val="0"/>
          <w:lang w:val="en-GB"/>
        </w:rPr>
        <w:t xml:space="preserve">. </w:t>
      </w:r>
    </w:p>
    <w:p w14:paraId="3ACE559E" w14:textId="017A4FEE" w:rsidR="005563BA" w:rsidRPr="008E0E32" w:rsidRDefault="00943142" w:rsidP="005563BA">
      <w:pPr>
        <w:pStyle w:val="CETheadingx"/>
        <w:numPr>
          <w:ilvl w:val="0"/>
          <w:numId w:val="0"/>
        </w:numPr>
        <w:spacing w:before="240"/>
        <w:contextualSpacing/>
        <w:jc w:val="both"/>
        <w:rPr>
          <w:rFonts w:cs="Arial"/>
          <w:b w:val="0"/>
          <w:lang w:val="en-GB"/>
        </w:rPr>
      </w:pPr>
      <w:r w:rsidRPr="00943142">
        <w:rPr>
          <w:rFonts w:cs="Arial"/>
          <w:b w:val="0"/>
        </w:rPr>
        <w:t>All experiments were conducted in biological triplicate, and results are reported as mean values ± standard deviation. Biomass and metabolite concentrations were determined using calibrated analytical methods. Calibration curves were established prior to analysis using standard solutions of the target compounds over an appropriate concentration range</w:t>
      </w:r>
      <w:r w:rsidR="005563BA" w:rsidRPr="005563BA">
        <w:rPr>
          <w:rFonts w:cs="Arial"/>
          <w:b w:val="0"/>
          <w:lang w:val="en-GB"/>
        </w:rPr>
        <w:t>.</w:t>
      </w:r>
    </w:p>
    <w:p w14:paraId="18B75189" w14:textId="39B3C66D" w:rsidR="003F3F54" w:rsidRPr="003F3F54" w:rsidRDefault="008E0E32" w:rsidP="003F3F54">
      <w:pPr>
        <w:pStyle w:val="CETheadingx"/>
        <w:spacing w:before="240"/>
      </w:pPr>
      <w:r>
        <w:t>Analytical</w:t>
      </w:r>
      <w:r w:rsidR="008638F0">
        <w:t xml:space="preserve"> methods</w:t>
      </w:r>
    </w:p>
    <w:p w14:paraId="4BBFC504" w14:textId="77777777" w:rsidR="008071E7" w:rsidRPr="00FE4789" w:rsidRDefault="00FE4789" w:rsidP="001524C8">
      <w:pPr>
        <w:pStyle w:val="CETBodytext"/>
        <w:rPr>
          <w:lang w:val="en-GB"/>
        </w:rPr>
      </w:pPr>
      <w:r w:rsidRPr="00FE4789">
        <w:rPr>
          <w:lang w:val="en-GB"/>
        </w:rPr>
        <w:t xml:space="preserve">The pH of the cultures was measured at regular intervals using a standard pH meter. </w:t>
      </w:r>
      <w:r w:rsidR="00DF0399" w:rsidRPr="00FE4789">
        <w:t>Liquid samples (1 mL) were periodically withdrawn to determine biomass and metabolite concentrations</w:t>
      </w:r>
      <w:r w:rsidR="00DF0399">
        <w:t>,</w:t>
      </w:r>
      <w:r w:rsidR="00DF0399" w:rsidRPr="00FE4789">
        <w:t xml:space="preserve"> following the procedure </w:t>
      </w:r>
      <w:r w:rsidR="00DF0399">
        <w:t>described by</w:t>
      </w:r>
      <w:r w:rsidR="00DF0399" w:rsidRPr="00FE4789">
        <w:t xml:space="preserve"> Lanzillo et al. (2020).</w:t>
      </w:r>
      <w:r w:rsidRPr="00FE4789">
        <w:rPr>
          <w:lang w:val="en-GB"/>
        </w:rPr>
        <w:t xml:space="preserve"> The optical density at 600 nm (OD</w:t>
      </w:r>
      <w:r w:rsidRPr="00FE4789">
        <w:rPr>
          <w:rFonts w:ascii="Cambria Math" w:hAnsi="Cambria Math" w:cs="Cambria Math"/>
          <w:lang w:val="en-GB"/>
        </w:rPr>
        <w:t>₆₀₀</w:t>
      </w:r>
      <w:r w:rsidRPr="00FE4789">
        <w:rPr>
          <w:lang w:val="en-GB"/>
        </w:rPr>
        <w:t>) was recorded using a UV</w:t>
      </w:r>
      <w:r w:rsidRPr="00FE4789">
        <w:rPr>
          <w:rFonts w:cs="Arial"/>
          <w:lang w:val="en-GB"/>
        </w:rPr>
        <w:t>–</w:t>
      </w:r>
      <w:r w:rsidRPr="00FE4789">
        <w:rPr>
          <w:lang w:val="en-GB"/>
        </w:rPr>
        <w:t xml:space="preserve">visible spectrophotometer (SPECORD 50 UV-VIS, Analytik Jena, Jena, Germany), and </w:t>
      </w:r>
      <w:r w:rsidR="004B6626">
        <w:rPr>
          <w:lang w:val="en-GB"/>
        </w:rPr>
        <w:t xml:space="preserve">the </w:t>
      </w:r>
      <w:r w:rsidRPr="00FE4789">
        <w:rPr>
          <w:lang w:val="en-GB"/>
        </w:rPr>
        <w:t>cell dry weight (g</w:t>
      </w:r>
      <w:r w:rsidR="00C56592" w:rsidRPr="00C56592">
        <w:rPr>
          <w:vertAlign w:val="subscript"/>
          <w:lang w:val="en-GB"/>
        </w:rPr>
        <w:t>DM</w:t>
      </w:r>
      <w:r w:rsidRPr="00FE4789">
        <w:rPr>
          <w:lang w:val="en-GB"/>
        </w:rPr>
        <w:t>/L) was estimated based on a calibration curve (1 OD = 0.4 g</w:t>
      </w:r>
      <w:r w:rsidR="00C56592" w:rsidRPr="00C56592">
        <w:rPr>
          <w:vertAlign w:val="subscript"/>
          <w:lang w:val="en-GB"/>
        </w:rPr>
        <w:t>DM</w:t>
      </w:r>
      <w:r w:rsidRPr="00FE4789">
        <w:rPr>
          <w:lang w:val="en-GB"/>
        </w:rPr>
        <w:t xml:space="preserve">/L). </w:t>
      </w:r>
      <w:r w:rsidR="00DF0399" w:rsidRPr="00FE4789">
        <w:t xml:space="preserve">Samples were centrifuged at 13,000 rpm for </w:t>
      </w:r>
      <w:r w:rsidR="00DF0399" w:rsidRPr="00FE4789">
        <w:lastRenderedPageBreak/>
        <w:t xml:space="preserve">10 </w:t>
      </w:r>
      <w:r w:rsidR="00DF0399">
        <w:t>min</w:t>
      </w:r>
      <w:r w:rsidR="00DF0399" w:rsidRPr="00FE4789">
        <w:t xml:space="preserve"> using a MiniSpin® centrifuge (Eppendorf Italia, Milan, Italy), and the supernatant was analyzed for the soluble metabolites.</w:t>
      </w:r>
      <w:r w:rsidRPr="00FE4789">
        <w:rPr>
          <w:lang w:val="en-GB"/>
        </w:rPr>
        <w:t xml:space="preserve"> </w:t>
      </w:r>
      <w:r w:rsidR="00D35872">
        <w:rPr>
          <w:lang w:val="en-GB"/>
        </w:rPr>
        <w:t>The concentrations</w:t>
      </w:r>
      <w:r w:rsidRPr="00FE4789">
        <w:rPr>
          <w:lang w:val="en-GB"/>
        </w:rPr>
        <w:t xml:space="preserve"> of acids and alcohols, including acetic, butyric, and hexanoic acids, as well as ethanol, were quantified using an HPLC system (HP1</w:t>
      </w:r>
      <w:r w:rsidR="00636DF2">
        <w:rPr>
          <w:lang w:val="en-GB"/>
        </w:rPr>
        <w:t>26</w:t>
      </w:r>
      <w:r w:rsidRPr="00FE4789">
        <w:rPr>
          <w:lang w:val="en-GB"/>
        </w:rPr>
        <w:t>0, Agilent Co., Santa Clara, CA, USA) equipped with a Rezex™ ROA-Organic Acid H</w:t>
      </w:r>
      <w:r w:rsidRPr="00FE4789">
        <w:rPr>
          <w:rFonts w:ascii="Cambria Math" w:hAnsi="Cambria Math" w:cs="Cambria Math"/>
          <w:lang w:val="en-GB"/>
        </w:rPr>
        <w:t>⁺</w:t>
      </w:r>
      <w:r w:rsidRPr="00FE4789">
        <w:rPr>
          <w:lang w:val="en-GB"/>
        </w:rPr>
        <w:t xml:space="preserve"> column (8 %, 150 </w:t>
      </w:r>
      <w:r w:rsidRPr="00FE4789">
        <w:rPr>
          <w:rFonts w:cs="Arial"/>
          <w:lang w:val="en-GB"/>
        </w:rPr>
        <w:t>×</w:t>
      </w:r>
      <w:r w:rsidRPr="00FE4789">
        <w:rPr>
          <w:lang w:val="en-GB"/>
        </w:rPr>
        <w:t xml:space="preserve"> 7.8 mm) and </w:t>
      </w:r>
      <w:r w:rsidR="00D35872">
        <w:rPr>
          <w:lang w:val="en-GB"/>
        </w:rPr>
        <w:t>a</w:t>
      </w:r>
      <w:r w:rsidRPr="00FE4789">
        <w:rPr>
          <w:lang w:val="en-GB"/>
        </w:rPr>
        <w:t xml:space="preserve"> RID detector (Column Temperature Controller, Thermasphere</w:t>
      </w:r>
      <w:r w:rsidRPr="00FE4789">
        <w:rPr>
          <w:rFonts w:cs="Arial"/>
          <w:lang w:val="en-GB"/>
        </w:rPr>
        <w:t>™</w:t>
      </w:r>
      <w:r w:rsidRPr="00FE4789">
        <w:rPr>
          <w:lang w:val="en-GB"/>
        </w:rPr>
        <w:t xml:space="preserve"> TS-130). </w:t>
      </w:r>
      <w:r w:rsidR="00DF0399" w:rsidRPr="00FE4789">
        <w:t>The mobile phase consisted of 3 mM H</w:t>
      </w:r>
      <w:r w:rsidR="00DF0399" w:rsidRPr="00FE4789">
        <w:rPr>
          <w:rFonts w:ascii="Cambria Math" w:hAnsi="Cambria Math" w:cs="Cambria Math"/>
        </w:rPr>
        <w:t>₂</w:t>
      </w:r>
      <w:r w:rsidR="00DF0399" w:rsidRPr="00FE4789">
        <w:t>SO</w:t>
      </w:r>
      <w:r w:rsidR="00DF0399" w:rsidRPr="00FE4789">
        <w:rPr>
          <w:rFonts w:ascii="Cambria Math" w:hAnsi="Cambria Math" w:cs="Cambria Math"/>
        </w:rPr>
        <w:t>₄</w:t>
      </w:r>
      <w:r w:rsidR="00DF0399">
        <w:rPr>
          <w:rFonts w:ascii="Cambria Math" w:hAnsi="Cambria Math" w:cs="Cambria Math"/>
        </w:rPr>
        <w:t>,</w:t>
      </w:r>
      <w:r w:rsidR="00DF0399" w:rsidRPr="00FE4789">
        <w:t xml:space="preserve"> delivered at a flow rate of 0.8 mL/min, at room temperature.</w:t>
      </w:r>
    </w:p>
    <w:p w14:paraId="16F618E6" w14:textId="77777777" w:rsidR="00A16CD4" w:rsidRDefault="008071E7" w:rsidP="008071E7">
      <w:pPr>
        <w:pStyle w:val="CETHeading1"/>
      </w:pPr>
      <w:r>
        <w:t xml:space="preserve">Results </w:t>
      </w:r>
    </w:p>
    <w:p w14:paraId="7A25FF5A" w14:textId="77777777" w:rsidR="00513226" w:rsidRDefault="00DF0399" w:rsidP="008071E7">
      <w:pPr>
        <w:pStyle w:val="CETBodytext"/>
        <w:rPr>
          <w:lang w:val="en-GB"/>
        </w:rPr>
      </w:pPr>
      <w:r w:rsidRPr="00070C44">
        <w:t xml:space="preserve">The production of medium-chain fatty acids (MCFAs) by </w:t>
      </w:r>
      <w:r w:rsidRPr="00070C44">
        <w:rPr>
          <w:i/>
          <w:iCs/>
        </w:rPr>
        <w:t>Clostridium kluyveri</w:t>
      </w:r>
      <w:r w:rsidRPr="00070C44">
        <w:t xml:space="preserve"> using alternative electron acceptors was investigated </w:t>
      </w:r>
      <w:r>
        <w:t>using batch fermentation experiments with</w:t>
      </w:r>
      <w:r w:rsidRPr="00070C44">
        <w:t xml:space="preserve"> a pure culture.</w:t>
      </w:r>
      <w:r w:rsidR="00070C44" w:rsidRPr="00070C44">
        <w:rPr>
          <w:lang w:val="en-GB"/>
        </w:rPr>
        <w:t xml:space="preserve"> </w:t>
      </w:r>
      <w:r w:rsidRPr="00070C44">
        <w:t xml:space="preserve">The experiments aimed to </w:t>
      </w:r>
      <w:r>
        <w:t xml:space="preserve">assess </w:t>
      </w:r>
      <w:r w:rsidRPr="00070C44">
        <w:t xml:space="preserve">the impact of succinate and acetate on </w:t>
      </w:r>
      <w:r>
        <w:t>cell growth</w:t>
      </w:r>
      <w:r w:rsidRPr="00070C44">
        <w:t xml:space="preserve">, substrate utilization, and MCFA production, with </w:t>
      </w:r>
      <w:r>
        <w:t xml:space="preserve">a </w:t>
      </w:r>
      <w:r w:rsidRPr="00070C44">
        <w:t xml:space="preserve">particular focus on butyric and hexanoic </w:t>
      </w:r>
      <w:r>
        <w:t>acid formation</w:t>
      </w:r>
      <w:r w:rsidRPr="00070C44">
        <w:t>.</w:t>
      </w:r>
      <w:r w:rsidR="00070C44" w:rsidRPr="00070C44">
        <w:rPr>
          <w:lang w:val="en-GB"/>
        </w:rPr>
        <w:t xml:space="preserve"> </w:t>
      </w:r>
    </w:p>
    <w:p w14:paraId="1EC20AB2" w14:textId="77777777" w:rsidR="00F405E3" w:rsidRDefault="00F405E3" w:rsidP="00F405E3">
      <w:pPr>
        <w:pStyle w:val="CETBodytext"/>
        <w:spacing w:after="120"/>
        <w:rPr>
          <w:lang w:val="en-GB"/>
        </w:rPr>
      </w:pPr>
      <w:r w:rsidRPr="00F405E3">
        <w:rPr>
          <w:lang w:val="en-GB"/>
        </w:rPr>
        <w:t xml:space="preserve">Table 1 summarizes the initial substrate concentration, </w:t>
      </w:r>
      <w:r w:rsidR="005E7CED">
        <w:rPr>
          <w:lang w:val="en-GB"/>
        </w:rPr>
        <w:t xml:space="preserve">the </w:t>
      </w:r>
      <w:r w:rsidRPr="00F405E3">
        <w:rPr>
          <w:lang w:val="en-GB"/>
        </w:rPr>
        <w:t xml:space="preserve">maximum product concentration, yield </w:t>
      </w:r>
      <w:r w:rsidR="005E7CED">
        <w:rPr>
          <w:lang w:val="en-GB"/>
        </w:rPr>
        <w:t xml:space="preserve">regarding </w:t>
      </w:r>
      <w:r w:rsidRPr="00F405E3">
        <w:rPr>
          <w:lang w:val="en-GB"/>
        </w:rPr>
        <w:t>hexanoic acid production (Y</w:t>
      </w:r>
      <w:r w:rsidRPr="00F405E3">
        <w:rPr>
          <w:vertAlign w:val="subscript"/>
          <w:lang w:val="en-GB"/>
        </w:rPr>
        <w:t>HA/X</w:t>
      </w:r>
      <w:r w:rsidRPr="00F405E3">
        <w:rPr>
          <w:lang w:val="en-GB"/>
        </w:rPr>
        <w:t>, Y</w:t>
      </w:r>
      <w:r w:rsidRPr="00F405E3">
        <w:rPr>
          <w:vertAlign w:val="subscript"/>
          <w:lang w:val="en-GB"/>
        </w:rPr>
        <w:t>HA/AA</w:t>
      </w:r>
      <w:r w:rsidRPr="00F405E3">
        <w:rPr>
          <w:lang w:val="en-GB"/>
        </w:rPr>
        <w:t>, Y</w:t>
      </w:r>
      <w:r w:rsidRPr="00F405E3">
        <w:rPr>
          <w:vertAlign w:val="subscript"/>
          <w:lang w:val="en-GB"/>
        </w:rPr>
        <w:t>HA/E</w:t>
      </w:r>
      <w:r w:rsidRPr="00F405E3">
        <w:rPr>
          <w:lang w:val="en-GB"/>
        </w:rPr>
        <w:t>, and Y</w:t>
      </w:r>
      <w:r w:rsidRPr="00F405E3">
        <w:rPr>
          <w:vertAlign w:val="subscript"/>
          <w:lang w:val="en-GB"/>
        </w:rPr>
        <w:t>HA/SA</w:t>
      </w:r>
      <w:r w:rsidRPr="00F405E3">
        <w:rPr>
          <w:lang w:val="en-GB"/>
        </w:rPr>
        <w:t>), and specific cell growth rate (μ)</w:t>
      </w:r>
      <w:r w:rsidR="0017101C">
        <w:rPr>
          <w:lang w:val="en-GB"/>
        </w:rPr>
        <w:t xml:space="preserve"> </w:t>
      </w:r>
      <w:r w:rsidR="004146DA">
        <w:rPr>
          <w:lang w:val="en-GB"/>
        </w:rPr>
        <w:t xml:space="preserve">assessed </w:t>
      </w:r>
      <w:r w:rsidR="0017101C">
        <w:rPr>
          <w:lang w:val="en-GB"/>
        </w:rPr>
        <w:t>for each test</w:t>
      </w:r>
      <w:r w:rsidRPr="00F405E3">
        <w:rPr>
          <w:lang w:val="en-GB"/>
        </w:rPr>
        <w:t>.</w:t>
      </w:r>
    </w:p>
    <w:p w14:paraId="152110D4" w14:textId="77777777" w:rsidR="005D5157" w:rsidRDefault="005D5157" w:rsidP="00AD7E39">
      <w:pPr>
        <w:pStyle w:val="CETBodytext"/>
        <w:tabs>
          <w:tab w:val="left" w:pos="7663"/>
        </w:tabs>
        <w:rPr>
          <w:i/>
          <w:iCs/>
          <w:noProof/>
        </w:rPr>
      </w:pPr>
    </w:p>
    <w:p w14:paraId="308F5767" w14:textId="77777777" w:rsidR="009F39FF" w:rsidRDefault="00F405E3" w:rsidP="00AD7E39">
      <w:pPr>
        <w:pStyle w:val="CETBodytext"/>
        <w:tabs>
          <w:tab w:val="left" w:pos="7663"/>
        </w:tabs>
        <w:rPr>
          <w:i/>
          <w:iCs/>
          <w:noProof/>
        </w:rPr>
      </w:pPr>
      <w:r w:rsidRPr="00F405E3">
        <w:rPr>
          <w:i/>
          <w:iCs/>
          <w:noProof/>
        </w:rPr>
        <w:t xml:space="preserve">Table 1: </w:t>
      </w:r>
      <w:r w:rsidR="004146DA">
        <w:rPr>
          <w:i/>
          <w:iCs/>
          <w:noProof/>
        </w:rPr>
        <w:t>Initial c</w:t>
      </w:r>
      <w:r w:rsidR="004146DA" w:rsidRPr="00F405E3">
        <w:rPr>
          <w:i/>
          <w:iCs/>
          <w:noProof/>
        </w:rPr>
        <w:t xml:space="preserve">oncentration </w:t>
      </w:r>
      <w:r w:rsidRPr="00F405E3">
        <w:rPr>
          <w:i/>
          <w:iCs/>
          <w:noProof/>
        </w:rPr>
        <w:t>of substrate</w:t>
      </w:r>
      <w:r w:rsidR="004146DA">
        <w:rPr>
          <w:i/>
          <w:iCs/>
          <w:noProof/>
        </w:rPr>
        <w:t xml:space="preserve"> and </w:t>
      </w:r>
      <w:r w:rsidR="0077169D">
        <w:rPr>
          <w:i/>
          <w:iCs/>
          <w:noProof/>
        </w:rPr>
        <w:t xml:space="preserve">fermentation results in terms of </w:t>
      </w:r>
      <w:r w:rsidR="00113AC6">
        <w:rPr>
          <w:i/>
          <w:iCs/>
          <w:noProof/>
        </w:rPr>
        <w:t xml:space="preserve">maximum </w:t>
      </w:r>
      <w:r w:rsidRPr="00F405E3">
        <w:rPr>
          <w:i/>
          <w:iCs/>
          <w:noProof/>
        </w:rPr>
        <w:t>metabolite</w:t>
      </w:r>
      <w:r w:rsidR="0077169D">
        <w:rPr>
          <w:i/>
          <w:iCs/>
          <w:noProof/>
        </w:rPr>
        <w:t xml:space="preserve"> concentrations</w:t>
      </w:r>
      <w:r w:rsidRPr="00F405E3">
        <w:rPr>
          <w:b/>
          <w:bCs/>
          <w:i/>
          <w:iCs/>
          <w:noProof/>
        </w:rPr>
        <w:t xml:space="preserve">, </w:t>
      </w:r>
      <w:r w:rsidRPr="00F405E3">
        <w:rPr>
          <w:i/>
          <w:iCs/>
          <w:noProof/>
        </w:rPr>
        <w:t>yields, and specific cell growth rate</w:t>
      </w:r>
    </w:p>
    <w:tbl>
      <w:tblPr>
        <w:tblpPr w:leftFromText="141" w:rightFromText="141" w:vertAnchor="text" w:horzAnchor="margin" w:tblpY="121"/>
        <w:tblW w:w="8505" w:type="dxa"/>
        <w:tblBorders>
          <w:top w:val="single" w:sz="12" w:space="0" w:color="76923C" w:themeColor="accent3" w:themeShade="BF"/>
          <w:bottom w:val="single" w:sz="12" w:space="0" w:color="76923C" w:themeColor="accent3" w:themeShade="BF"/>
          <w:insideH w:val="single" w:sz="12" w:space="0" w:color="76923C" w:themeColor="accent3" w:themeShade="BF"/>
        </w:tblBorders>
        <w:shd w:val="clear" w:color="auto" w:fill="FFFFFF"/>
        <w:tblLayout w:type="fixed"/>
        <w:tblCellMar>
          <w:left w:w="0" w:type="dxa"/>
          <w:right w:w="0" w:type="dxa"/>
        </w:tblCellMar>
        <w:tblLook w:val="00A0" w:firstRow="1" w:lastRow="0" w:firstColumn="1" w:lastColumn="0" w:noHBand="0" w:noVBand="0"/>
      </w:tblPr>
      <w:tblGrid>
        <w:gridCol w:w="562"/>
        <w:gridCol w:w="903"/>
        <w:gridCol w:w="797"/>
        <w:gridCol w:w="991"/>
        <w:gridCol w:w="967"/>
        <w:gridCol w:w="859"/>
        <w:gridCol w:w="18"/>
        <w:gridCol w:w="688"/>
        <w:gridCol w:w="27"/>
        <w:gridCol w:w="851"/>
        <w:gridCol w:w="850"/>
        <w:gridCol w:w="142"/>
        <w:gridCol w:w="850"/>
      </w:tblGrid>
      <w:tr w:rsidR="00DB6E90" w:rsidRPr="00F01C87" w14:paraId="5EF1D0BD" w14:textId="77777777" w:rsidTr="00A50471">
        <w:trPr>
          <w:trHeight w:val="537"/>
        </w:trPr>
        <w:tc>
          <w:tcPr>
            <w:tcW w:w="562" w:type="dxa"/>
            <w:shd w:val="clear" w:color="auto" w:fill="FFFFFF"/>
            <w:vAlign w:val="center"/>
          </w:tcPr>
          <w:p w14:paraId="0618E1B7" w14:textId="77777777" w:rsidR="00DB6E90" w:rsidRPr="00F01C87" w:rsidRDefault="00DB6E90">
            <w:pPr>
              <w:pStyle w:val="ListParagraph"/>
              <w:spacing w:before="198" w:after="198"/>
              <w:ind w:left="0"/>
              <w:jc w:val="center"/>
              <w:rPr>
                <w:rFonts w:cs="Arial"/>
                <w:noProof/>
                <w:szCs w:val="18"/>
              </w:rPr>
            </w:pPr>
            <w:r>
              <w:rPr>
                <w:rFonts w:cs="Arial"/>
                <w:noProof/>
                <w:szCs w:val="18"/>
              </w:rPr>
              <w:t>Test</w:t>
            </w:r>
          </w:p>
        </w:tc>
        <w:tc>
          <w:tcPr>
            <w:tcW w:w="2691" w:type="dxa"/>
            <w:gridSpan w:val="3"/>
            <w:tcBorders>
              <w:right w:val="nil"/>
            </w:tcBorders>
            <w:shd w:val="clear" w:color="auto" w:fill="FFFFFF"/>
            <w:vAlign w:val="center"/>
          </w:tcPr>
          <w:p w14:paraId="0397CE0D" w14:textId="77777777" w:rsidR="00DB6E90" w:rsidRDefault="00DB6E90">
            <w:pPr>
              <w:pStyle w:val="ListParagraph"/>
              <w:spacing w:before="198" w:after="198"/>
              <w:ind w:left="0"/>
              <w:jc w:val="center"/>
              <w:rPr>
                <w:rFonts w:cs="Arial"/>
                <w:noProof/>
                <w:szCs w:val="18"/>
              </w:rPr>
            </w:pPr>
            <w:r>
              <w:rPr>
                <w:rFonts w:cs="Arial"/>
                <w:noProof/>
                <w:szCs w:val="18"/>
              </w:rPr>
              <w:t>Initial substrate conc.</w:t>
            </w:r>
          </w:p>
          <w:p w14:paraId="71C86E69" w14:textId="77777777" w:rsidR="00DB6E90" w:rsidRPr="00F01C87" w:rsidRDefault="00DB6E90">
            <w:pPr>
              <w:pStyle w:val="ListParagraph"/>
              <w:spacing w:before="198" w:after="198"/>
              <w:ind w:left="0"/>
              <w:jc w:val="center"/>
              <w:rPr>
                <w:rFonts w:cs="Arial"/>
                <w:noProof/>
                <w:szCs w:val="18"/>
              </w:rPr>
            </w:pPr>
            <w:r>
              <w:rPr>
                <w:rFonts w:cs="Arial"/>
                <w:noProof/>
                <w:szCs w:val="18"/>
              </w:rPr>
              <w:t>g/L</w:t>
            </w:r>
          </w:p>
        </w:tc>
        <w:tc>
          <w:tcPr>
            <w:tcW w:w="1844" w:type="dxa"/>
            <w:gridSpan w:val="3"/>
            <w:tcBorders>
              <w:top w:val="single" w:sz="4" w:space="0" w:color="76923C" w:themeColor="accent3" w:themeShade="BF"/>
              <w:left w:val="nil"/>
              <w:bottom w:val="single" w:sz="4" w:space="0" w:color="76923C" w:themeColor="accent3" w:themeShade="BF"/>
              <w:right w:val="nil"/>
            </w:tcBorders>
            <w:shd w:val="clear" w:color="auto" w:fill="FFFFFF"/>
            <w:vAlign w:val="center"/>
          </w:tcPr>
          <w:p w14:paraId="314099FF" w14:textId="77777777" w:rsidR="00DB6E90" w:rsidRPr="00F01C87" w:rsidRDefault="00DB6E90" w:rsidP="00DB6E90">
            <w:pPr>
              <w:pStyle w:val="ListParagraph"/>
              <w:spacing w:before="198" w:after="198"/>
              <w:ind w:left="0"/>
              <w:jc w:val="center"/>
              <w:rPr>
                <w:rFonts w:cs="Arial"/>
                <w:noProof/>
                <w:szCs w:val="18"/>
              </w:rPr>
            </w:pPr>
            <w:r w:rsidRPr="00F01C87">
              <w:rPr>
                <w:rFonts w:cs="Arial"/>
                <w:noProof/>
                <w:szCs w:val="18"/>
              </w:rPr>
              <w:t xml:space="preserve">Maximum </w:t>
            </w:r>
            <w:r>
              <w:rPr>
                <w:rFonts w:cs="Arial"/>
                <w:noProof/>
                <w:szCs w:val="18"/>
              </w:rPr>
              <w:t xml:space="preserve">product </w:t>
            </w:r>
            <w:r w:rsidRPr="00F01C87">
              <w:rPr>
                <w:rFonts w:cs="Arial"/>
                <w:noProof/>
                <w:szCs w:val="18"/>
              </w:rPr>
              <w:t>conc</w:t>
            </w:r>
            <w:r>
              <w:rPr>
                <w:rFonts w:cs="Arial"/>
                <w:noProof/>
                <w:szCs w:val="18"/>
              </w:rPr>
              <w:t>.</w:t>
            </w:r>
          </w:p>
          <w:p w14:paraId="16609C0A" w14:textId="77777777" w:rsidR="00DB6E90" w:rsidRPr="00F01C87" w:rsidRDefault="00DB6E90" w:rsidP="00DB6E90">
            <w:pPr>
              <w:pStyle w:val="ListParagraph"/>
              <w:spacing w:before="198" w:after="198"/>
              <w:ind w:left="0"/>
              <w:jc w:val="center"/>
              <w:rPr>
                <w:rFonts w:cs="Arial"/>
                <w:noProof/>
                <w:szCs w:val="18"/>
              </w:rPr>
            </w:pPr>
            <w:r>
              <w:rPr>
                <w:rFonts w:cs="Arial"/>
                <w:noProof/>
                <w:szCs w:val="18"/>
              </w:rPr>
              <w:t>g/L</w:t>
            </w:r>
          </w:p>
        </w:tc>
        <w:tc>
          <w:tcPr>
            <w:tcW w:w="2558" w:type="dxa"/>
            <w:gridSpan w:val="5"/>
            <w:tcBorders>
              <w:top w:val="single" w:sz="4" w:space="0" w:color="76923C" w:themeColor="accent3" w:themeShade="BF"/>
              <w:left w:val="nil"/>
              <w:bottom w:val="single" w:sz="4" w:space="0" w:color="76923C" w:themeColor="accent3" w:themeShade="BF"/>
              <w:right w:val="nil"/>
            </w:tcBorders>
            <w:shd w:val="clear" w:color="auto" w:fill="FFFFFF"/>
            <w:vAlign w:val="center"/>
          </w:tcPr>
          <w:p w14:paraId="134EDB4A" w14:textId="77777777" w:rsidR="00DB6E90" w:rsidRDefault="00DB6E90" w:rsidP="00DB6E90">
            <w:pPr>
              <w:pStyle w:val="ListParagraph"/>
              <w:spacing w:before="198" w:after="198"/>
              <w:ind w:left="0"/>
              <w:jc w:val="center"/>
              <w:rPr>
                <w:rFonts w:cs="Arial"/>
                <w:noProof/>
                <w:szCs w:val="18"/>
              </w:rPr>
            </w:pPr>
            <w:r w:rsidRPr="00F01C87">
              <w:rPr>
                <w:rFonts w:cs="Arial"/>
                <w:noProof/>
                <w:szCs w:val="18"/>
              </w:rPr>
              <w:t>Yields</w:t>
            </w:r>
          </w:p>
          <w:p w14:paraId="533F6D70" w14:textId="77777777" w:rsidR="00DB6E90" w:rsidRPr="00F01C87" w:rsidRDefault="00DB6E90" w:rsidP="00DB6E90">
            <w:pPr>
              <w:pStyle w:val="ListParagraph"/>
              <w:spacing w:before="198" w:after="198"/>
              <w:ind w:left="0"/>
              <w:jc w:val="center"/>
              <w:rPr>
                <w:rFonts w:cs="Arial"/>
                <w:noProof/>
                <w:szCs w:val="18"/>
              </w:rPr>
            </w:pPr>
            <w:r>
              <w:rPr>
                <w:rFonts w:cs="Arial"/>
                <w:noProof/>
                <w:szCs w:val="18"/>
                <w:lang w:val="en-US"/>
              </w:rPr>
              <w:t>g/g</w:t>
            </w:r>
          </w:p>
        </w:tc>
        <w:tc>
          <w:tcPr>
            <w:tcW w:w="850" w:type="dxa"/>
            <w:tcBorders>
              <w:top w:val="single" w:sz="4" w:space="0" w:color="76923C" w:themeColor="accent3" w:themeShade="BF"/>
              <w:left w:val="nil"/>
              <w:bottom w:val="single" w:sz="4" w:space="0" w:color="76923C" w:themeColor="accent3" w:themeShade="BF"/>
              <w:right w:val="nil"/>
            </w:tcBorders>
            <w:shd w:val="clear" w:color="auto" w:fill="FFFFFF"/>
            <w:vAlign w:val="center"/>
          </w:tcPr>
          <w:p w14:paraId="43564D6F" w14:textId="77777777" w:rsidR="00DB6E90" w:rsidRDefault="00DB6E90" w:rsidP="00657F4D">
            <w:pPr>
              <w:pStyle w:val="CETBodytext"/>
              <w:tabs>
                <w:tab w:val="left" w:pos="7663"/>
              </w:tabs>
              <w:jc w:val="center"/>
              <w:rPr>
                <w:rFonts w:cs="Arial"/>
                <w:noProof/>
                <w:szCs w:val="18"/>
              </w:rPr>
            </w:pPr>
            <w:r>
              <w:rPr>
                <w:rFonts w:cs="Arial"/>
                <w:noProof/>
                <w:szCs w:val="18"/>
              </w:rPr>
              <w:t>Growth rate</w:t>
            </w:r>
          </w:p>
          <w:p w14:paraId="60E57CCE" w14:textId="77777777" w:rsidR="00DB6E90" w:rsidRPr="00F01C87" w:rsidRDefault="00DB6E90" w:rsidP="00DB6E90">
            <w:pPr>
              <w:pStyle w:val="ListParagraph"/>
              <w:spacing w:before="198" w:after="198"/>
              <w:ind w:left="0"/>
              <w:jc w:val="center"/>
              <w:rPr>
                <w:rFonts w:cs="Arial"/>
                <w:noProof/>
                <w:szCs w:val="18"/>
              </w:rPr>
            </w:pPr>
            <w:r w:rsidRPr="00F01C87">
              <w:rPr>
                <w:rFonts w:cs="Arial"/>
                <w:noProof/>
                <w:szCs w:val="18"/>
                <w:lang w:val="en-US"/>
              </w:rPr>
              <w:t>h</w:t>
            </w:r>
            <w:r w:rsidRPr="00F01C87">
              <w:rPr>
                <w:rFonts w:cs="Arial"/>
                <w:noProof/>
                <w:szCs w:val="18"/>
                <w:vertAlign w:val="superscript"/>
                <w:lang w:val="en-US"/>
              </w:rPr>
              <w:t>-1</w:t>
            </w:r>
          </w:p>
        </w:tc>
      </w:tr>
      <w:tr w:rsidR="00DB6E90" w:rsidRPr="00F01C87" w14:paraId="3529A6EE" w14:textId="77777777" w:rsidTr="00A50471">
        <w:trPr>
          <w:trHeight w:val="537"/>
        </w:trPr>
        <w:tc>
          <w:tcPr>
            <w:tcW w:w="562" w:type="dxa"/>
            <w:shd w:val="clear" w:color="auto" w:fill="FFFFFF"/>
            <w:vAlign w:val="center"/>
          </w:tcPr>
          <w:p w14:paraId="7DE1BDB2" w14:textId="77777777" w:rsidR="00DB6E90" w:rsidRPr="00F01C87" w:rsidRDefault="00DB6E90">
            <w:pPr>
              <w:pStyle w:val="ListParagraph"/>
              <w:spacing w:before="198" w:after="198"/>
              <w:ind w:left="0"/>
              <w:jc w:val="center"/>
              <w:rPr>
                <w:rFonts w:cs="Arial"/>
                <w:noProof/>
                <w:szCs w:val="18"/>
              </w:rPr>
            </w:pPr>
          </w:p>
        </w:tc>
        <w:tc>
          <w:tcPr>
            <w:tcW w:w="903" w:type="dxa"/>
            <w:shd w:val="clear" w:color="auto" w:fill="FFFFFF"/>
            <w:vAlign w:val="center"/>
          </w:tcPr>
          <w:p w14:paraId="58374A1A" w14:textId="77777777" w:rsidR="00DB6E90" w:rsidRPr="00F01C87" w:rsidRDefault="00DB6E90">
            <w:pPr>
              <w:pStyle w:val="ListParagraph"/>
              <w:spacing w:before="198" w:after="198"/>
              <w:ind w:left="0"/>
              <w:jc w:val="center"/>
              <w:rPr>
                <w:rFonts w:cs="Arial"/>
                <w:noProof/>
                <w:szCs w:val="18"/>
              </w:rPr>
            </w:pPr>
            <w:r>
              <w:rPr>
                <w:rFonts w:cs="Arial"/>
                <w:noProof/>
                <w:szCs w:val="18"/>
              </w:rPr>
              <w:t>E</w:t>
            </w:r>
          </w:p>
        </w:tc>
        <w:tc>
          <w:tcPr>
            <w:tcW w:w="797" w:type="dxa"/>
            <w:shd w:val="clear" w:color="auto" w:fill="FFFFFF"/>
            <w:vAlign w:val="center"/>
          </w:tcPr>
          <w:p w14:paraId="5C22AB9F" w14:textId="77777777" w:rsidR="00DB6E90" w:rsidRPr="00F01C87" w:rsidRDefault="00DB6E90">
            <w:pPr>
              <w:pStyle w:val="ListParagraph"/>
              <w:spacing w:before="198" w:after="198"/>
              <w:ind w:left="0"/>
              <w:jc w:val="center"/>
              <w:rPr>
                <w:rFonts w:cs="Arial"/>
                <w:noProof/>
                <w:szCs w:val="18"/>
              </w:rPr>
            </w:pPr>
            <w:r>
              <w:rPr>
                <w:rFonts w:cs="Arial"/>
                <w:noProof/>
                <w:szCs w:val="18"/>
              </w:rPr>
              <w:t>A</w:t>
            </w:r>
            <w:r w:rsidR="00062567">
              <w:rPr>
                <w:rFonts w:cs="Arial"/>
                <w:noProof/>
                <w:szCs w:val="18"/>
              </w:rPr>
              <w:t>A</w:t>
            </w:r>
          </w:p>
        </w:tc>
        <w:tc>
          <w:tcPr>
            <w:tcW w:w="991" w:type="dxa"/>
            <w:shd w:val="clear" w:color="auto" w:fill="FFFFFF"/>
            <w:vAlign w:val="center"/>
          </w:tcPr>
          <w:p w14:paraId="391EED58" w14:textId="77777777" w:rsidR="00DB6E90" w:rsidRDefault="00DB6E90">
            <w:pPr>
              <w:pStyle w:val="ListParagraph"/>
              <w:spacing w:before="198" w:after="198"/>
              <w:ind w:left="0"/>
              <w:jc w:val="center"/>
              <w:rPr>
                <w:rFonts w:cs="Arial"/>
                <w:noProof/>
                <w:szCs w:val="18"/>
              </w:rPr>
            </w:pPr>
            <w:r>
              <w:rPr>
                <w:rFonts w:cs="Arial"/>
                <w:noProof/>
                <w:szCs w:val="18"/>
              </w:rPr>
              <w:t>S</w:t>
            </w:r>
            <w:r w:rsidR="00062567">
              <w:rPr>
                <w:rFonts w:cs="Arial"/>
                <w:noProof/>
                <w:szCs w:val="18"/>
              </w:rPr>
              <w:t>A</w:t>
            </w:r>
          </w:p>
        </w:tc>
        <w:tc>
          <w:tcPr>
            <w:tcW w:w="967" w:type="dxa"/>
            <w:shd w:val="clear" w:color="auto" w:fill="FFFFFF"/>
            <w:vAlign w:val="center"/>
          </w:tcPr>
          <w:p w14:paraId="72842919" w14:textId="77777777" w:rsidR="00DB6E90" w:rsidRPr="00F01C87" w:rsidRDefault="00062567">
            <w:pPr>
              <w:pStyle w:val="ListParagraph"/>
              <w:spacing w:before="198" w:after="198"/>
              <w:ind w:left="0"/>
              <w:jc w:val="center"/>
              <w:rPr>
                <w:rFonts w:cs="Arial"/>
                <w:noProof/>
                <w:szCs w:val="18"/>
              </w:rPr>
            </w:pPr>
            <w:r>
              <w:rPr>
                <w:rFonts w:cs="Arial"/>
                <w:noProof/>
                <w:szCs w:val="18"/>
              </w:rPr>
              <w:t>BA</w:t>
            </w:r>
          </w:p>
        </w:tc>
        <w:tc>
          <w:tcPr>
            <w:tcW w:w="859" w:type="dxa"/>
            <w:shd w:val="clear" w:color="auto" w:fill="FFFFFF"/>
            <w:vAlign w:val="center"/>
          </w:tcPr>
          <w:p w14:paraId="5329A602" w14:textId="77777777" w:rsidR="00DB6E90" w:rsidRPr="00F01C87" w:rsidRDefault="00DB6E90" w:rsidP="00062567">
            <w:pPr>
              <w:pStyle w:val="ListParagraph"/>
              <w:spacing w:before="198" w:after="198"/>
              <w:ind w:left="0"/>
              <w:jc w:val="center"/>
              <w:rPr>
                <w:rFonts w:cs="Arial"/>
                <w:noProof/>
                <w:szCs w:val="18"/>
              </w:rPr>
            </w:pPr>
            <w:r w:rsidRPr="00F01C87">
              <w:rPr>
                <w:rFonts w:cs="Arial"/>
                <w:noProof/>
                <w:szCs w:val="18"/>
              </w:rPr>
              <w:t>H</w:t>
            </w:r>
            <w:r w:rsidR="00062567">
              <w:rPr>
                <w:rFonts w:cs="Arial"/>
                <w:noProof/>
                <w:szCs w:val="18"/>
              </w:rPr>
              <w:t>A</w:t>
            </w:r>
          </w:p>
        </w:tc>
        <w:tc>
          <w:tcPr>
            <w:tcW w:w="706" w:type="dxa"/>
            <w:gridSpan w:val="2"/>
            <w:shd w:val="clear" w:color="auto" w:fill="FFFFFF"/>
            <w:vAlign w:val="center"/>
          </w:tcPr>
          <w:p w14:paraId="7FD27337" w14:textId="77777777" w:rsidR="00DB6E90" w:rsidRPr="00F01C87" w:rsidRDefault="00DB6E90">
            <w:pPr>
              <w:pStyle w:val="ListParagraph"/>
              <w:spacing w:before="198" w:after="198"/>
              <w:ind w:left="0"/>
              <w:jc w:val="center"/>
              <w:rPr>
                <w:rFonts w:cs="Arial"/>
                <w:noProof/>
                <w:szCs w:val="18"/>
              </w:rPr>
            </w:pPr>
            <w:r w:rsidRPr="00F01C87">
              <w:rPr>
                <w:rFonts w:cs="Arial"/>
                <w:noProof/>
                <w:szCs w:val="18"/>
              </w:rPr>
              <w:t>Y</w:t>
            </w:r>
            <w:r w:rsidRPr="00F01C87">
              <w:rPr>
                <w:rFonts w:cs="Arial"/>
                <w:noProof/>
                <w:sz w:val="10"/>
                <w:szCs w:val="10"/>
              </w:rPr>
              <w:t>HA/X</w:t>
            </w:r>
          </w:p>
        </w:tc>
        <w:tc>
          <w:tcPr>
            <w:tcW w:w="27" w:type="dxa"/>
            <w:shd w:val="clear" w:color="auto" w:fill="FFFFFF"/>
            <w:vAlign w:val="center"/>
          </w:tcPr>
          <w:p w14:paraId="479AF2AD" w14:textId="77777777" w:rsidR="00DB6E90" w:rsidRPr="00F01C87" w:rsidRDefault="00DB6E90">
            <w:pPr>
              <w:pStyle w:val="ListParagraph"/>
              <w:spacing w:before="198" w:after="198"/>
              <w:ind w:left="0"/>
              <w:jc w:val="center"/>
              <w:rPr>
                <w:rFonts w:cs="Arial"/>
                <w:noProof/>
                <w:szCs w:val="18"/>
              </w:rPr>
            </w:pPr>
          </w:p>
        </w:tc>
        <w:tc>
          <w:tcPr>
            <w:tcW w:w="851" w:type="dxa"/>
            <w:shd w:val="clear" w:color="auto" w:fill="FFFFFF"/>
            <w:vAlign w:val="center"/>
          </w:tcPr>
          <w:p w14:paraId="1E5CADB1" w14:textId="77777777" w:rsidR="00DB6E90" w:rsidRPr="00F01C87" w:rsidRDefault="00DB6E90">
            <w:pPr>
              <w:pStyle w:val="ListParagraph"/>
              <w:spacing w:before="198" w:after="198"/>
              <w:ind w:left="0"/>
              <w:jc w:val="center"/>
              <w:rPr>
                <w:rFonts w:cs="Arial"/>
                <w:noProof/>
                <w:szCs w:val="18"/>
              </w:rPr>
            </w:pPr>
            <w:r w:rsidRPr="00F01C87">
              <w:rPr>
                <w:rFonts w:cs="Arial"/>
                <w:noProof/>
                <w:szCs w:val="18"/>
              </w:rPr>
              <w:t>Y</w:t>
            </w:r>
            <w:r w:rsidRPr="00F01C87">
              <w:rPr>
                <w:rFonts w:cs="Arial"/>
                <w:noProof/>
                <w:sz w:val="10"/>
                <w:szCs w:val="10"/>
              </w:rPr>
              <w:t>HA/E</w:t>
            </w:r>
          </w:p>
        </w:tc>
        <w:tc>
          <w:tcPr>
            <w:tcW w:w="850" w:type="dxa"/>
            <w:shd w:val="clear" w:color="auto" w:fill="FFFFFF"/>
            <w:vAlign w:val="center"/>
          </w:tcPr>
          <w:p w14:paraId="648026C8" w14:textId="77777777" w:rsidR="00DB6E90" w:rsidRPr="00F01C87" w:rsidRDefault="00DB6E90">
            <w:pPr>
              <w:pStyle w:val="ListParagraph"/>
              <w:spacing w:before="198" w:after="198"/>
              <w:ind w:left="0"/>
              <w:jc w:val="center"/>
              <w:rPr>
                <w:rFonts w:cs="Arial"/>
                <w:noProof/>
                <w:szCs w:val="18"/>
              </w:rPr>
            </w:pPr>
            <w:r w:rsidRPr="00F01C87">
              <w:rPr>
                <w:rFonts w:cs="Arial"/>
                <w:noProof/>
                <w:szCs w:val="18"/>
              </w:rPr>
              <w:t>Y</w:t>
            </w:r>
            <w:r w:rsidRPr="00F01C87">
              <w:rPr>
                <w:rFonts w:cs="Arial"/>
                <w:noProof/>
                <w:sz w:val="10"/>
                <w:szCs w:val="10"/>
              </w:rPr>
              <w:t>HA/</w:t>
            </w:r>
            <w:r>
              <w:rPr>
                <w:rFonts w:cs="Arial"/>
                <w:noProof/>
                <w:sz w:val="10"/>
                <w:szCs w:val="10"/>
              </w:rPr>
              <w:t>S</w:t>
            </w:r>
            <w:r w:rsidRPr="00F01C87">
              <w:rPr>
                <w:rFonts w:cs="Arial"/>
                <w:noProof/>
                <w:sz w:val="10"/>
                <w:szCs w:val="10"/>
              </w:rPr>
              <w:t>A</w:t>
            </w:r>
          </w:p>
        </w:tc>
        <w:tc>
          <w:tcPr>
            <w:tcW w:w="992" w:type="dxa"/>
            <w:gridSpan w:val="2"/>
            <w:shd w:val="clear" w:color="auto" w:fill="FFFFFF"/>
            <w:vAlign w:val="center"/>
          </w:tcPr>
          <w:p w14:paraId="235CAB70" w14:textId="77777777" w:rsidR="00DB6E90" w:rsidRPr="00A50471" w:rsidRDefault="00DB6E90" w:rsidP="00A50471">
            <w:pPr>
              <w:pStyle w:val="ListParagraph"/>
              <w:spacing w:before="198" w:after="198"/>
              <w:ind w:left="0"/>
              <w:jc w:val="center"/>
              <w:rPr>
                <w:rFonts w:cs="Arial"/>
                <w:noProof/>
                <w:szCs w:val="18"/>
                <w:lang w:val="en-US"/>
              </w:rPr>
            </w:pPr>
            <w:r w:rsidRPr="00F01C87">
              <w:rPr>
                <w:rFonts w:cs="Arial"/>
                <w:noProof/>
                <w:szCs w:val="18"/>
                <w:lang w:val="en-US"/>
              </w:rPr>
              <w:t>μ</w:t>
            </w:r>
          </w:p>
        </w:tc>
      </w:tr>
      <w:tr w:rsidR="00DB6E90" w:rsidRPr="00F01C87" w14:paraId="68B169EC" w14:textId="77777777" w:rsidTr="00A50471">
        <w:trPr>
          <w:trHeight w:val="431"/>
        </w:trPr>
        <w:tc>
          <w:tcPr>
            <w:tcW w:w="562" w:type="dxa"/>
            <w:tcBorders>
              <w:bottom w:val="single" w:sz="12" w:space="0" w:color="76923C" w:themeColor="accent3" w:themeShade="BF"/>
            </w:tcBorders>
            <w:shd w:val="clear" w:color="auto" w:fill="FFFFFF"/>
            <w:vAlign w:val="center"/>
          </w:tcPr>
          <w:p w14:paraId="19F5B7A1" w14:textId="77777777" w:rsidR="00DB6E90" w:rsidRPr="00F01C87" w:rsidRDefault="00DB6E90">
            <w:pPr>
              <w:pStyle w:val="ListParagraph"/>
              <w:spacing w:line="240" w:lineRule="auto"/>
              <w:ind w:left="0"/>
              <w:jc w:val="center"/>
              <w:rPr>
                <w:rFonts w:cs="Arial"/>
                <w:noProof/>
                <w:szCs w:val="18"/>
              </w:rPr>
            </w:pPr>
            <w:r>
              <w:rPr>
                <w:rFonts w:cs="Arial"/>
                <w:noProof/>
                <w:szCs w:val="18"/>
              </w:rPr>
              <w:t>I</w:t>
            </w:r>
          </w:p>
        </w:tc>
        <w:tc>
          <w:tcPr>
            <w:tcW w:w="903" w:type="dxa"/>
            <w:tcBorders>
              <w:bottom w:val="single" w:sz="12" w:space="0" w:color="76923C" w:themeColor="accent3" w:themeShade="BF"/>
            </w:tcBorders>
            <w:shd w:val="clear" w:color="auto" w:fill="FFFFFF"/>
            <w:vAlign w:val="center"/>
          </w:tcPr>
          <w:p w14:paraId="029253B0" w14:textId="77777777" w:rsidR="00DB6E90" w:rsidRPr="00F01C87" w:rsidRDefault="00DB6E90">
            <w:pPr>
              <w:pStyle w:val="ListParagraph"/>
              <w:spacing w:line="240" w:lineRule="auto"/>
              <w:ind w:left="0"/>
              <w:jc w:val="center"/>
              <w:rPr>
                <w:rFonts w:cs="Arial"/>
                <w:noProof/>
                <w:szCs w:val="18"/>
              </w:rPr>
            </w:pPr>
            <w:r>
              <w:rPr>
                <w:rFonts w:cs="Arial"/>
                <w:noProof/>
                <w:szCs w:val="18"/>
              </w:rPr>
              <w:t>13</w:t>
            </w:r>
          </w:p>
        </w:tc>
        <w:tc>
          <w:tcPr>
            <w:tcW w:w="797" w:type="dxa"/>
            <w:tcBorders>
              <w:bottom w:val="single" w:sz="12" w:space="0" w:color="76923C" w:themeColor="accent3" w:themeShade="BF"/>
            </w:tcBorders>
            <w:shd w:val="clear" w:color="auto" w:fill="FFFFFF"/>
            <w:vAlign w:val="center"/>
          </w:tcPr>
          <w:p w14:paraId="42A14341" w14:textId="77777777" w:rsidR="00DB6E90" w:rsidRPr="00F01C87" w:rsidRDefault="00DB6E90">
            <w:pPr>
              <w:pStyle w:val="ListParagraph"/>
              <w:spacing w:line="240" w:lineRule="auto"/>
              <w:ind w:left="0"/>
              <w:jc w:val="center"/>
              <w:rPr>
                <w:rFonts w:cs="Arial"/>
                <w:noProof/>
                <w:szCs w:val="18"/>
              </w:rPr>
            </w:pPr>
            <w:r>
              <w:rPr>
                <w:rFonts w:cs="Arial"/>
                <w:noProof/>
                <w:szCs w:val="18"/>
              </w:rPr>
              <w:t>1</w:t>
            </w:r>
          </w:p>
        </w:tc>
        <w:tc>
          <w:tcPr>
            <w:tcW w:w="991" w:type="dxa"/>
            <w:tcBorders>
              <w:bottom w:val="single" w:sz="12" w:space="0" w:color="76923C" w:themeColor="accent3" w:themeShade="BF"/>
            </w:tcBorders>
            <w:shd w:val="clear" w:color="auto" w:fill="FFFFFF"/>
            <w:vAlign w:val="center"/>
          </w:tcPr>
          <w:p w14:paraId="3F9DF6EC" w14:textId="77777777" w:rsidR="00DB6E90" w:rsidRDefault="00DB6E90">
            <w:pPr>
              <w:pStyle w:val="ListParagraph"/>
              <w:spacing w:line="240" w:lineRule="auto"/>
              <w:ind w:left="0"/>
              <w:jc w:val="center"/>
              <w:rPr>
                <w:rFonts w:cs="Arial"/>
                <w:noProof/>
                <w:szCs w:val="18"/>
              </w:rPr>
            </w:pPr>
            <w:r>
              <w:rPr>
                <w:rFonts w:cs="Arial"/>
                <w:noProof/>
                <w:szCs w:val="18"/>
              </w:rPr>
              <w:t>6</w:t>
            </w:r>
          </w:p>
        </w:tc>
        <w:tc>
          <w:tcPr>
            <w:tcW w:w="967" w:type="dxa"/>
            <w:tcBorders>
              <w:bottom w:val="single" w:sz="12" w:space="0" w:color="76923C" w:themeColor="accent3" w:themeShade="BF"/>
            </w:tcBorders>
            <w:shd w:val="clear" w:color="auto" w:fill="FFFFFF"/>
            <w:vAlign w:val="center"/>
          </w:tcPr>
          <w:p w14:paraId="2A169234" w14:textId="77777777" w:rsidR="00DB6E90" w:rsidRPr="00F01C87" w:rsidRDefault="00DB6E90">
            <w:pPr>
              <w:pStyle w:val="ListParagraph"/>
              <w:spacing w:line="240" w:lineRule="auto"/>
              <w:ind w:left="0"/>
              <w:jc w:val="center"/>
              <w:rPr>
                <w:rFonts w:cs="Arial"/>
                <w:noProof/>
                <w:szCs w:val="18"/>
              </w:rPr>
            </w:pPr>
            <w:r>
              <w:rPr>
                <w:rFonts w:cs="Arial"/>
                <w:noProof/>
                <w:szCs w:val="18"/>
              </w:rPr>
              <w:t>3.7</w:t>
            </w:r>
            <w:r w:rsidR="00C83F19" w:rsidRPr="00C83F19">
              <w:rPr>
                <w:rFonts w:cs="Arial"/>
                <w:noProof/>
                <w:szCs w:val="18"/>
              </w:rPr>
              <w:t>±0.3</w:t>
            </w:r>
          </w:p>
        </w:tc>
        <w:tc>
          <w:tcPr>
            <w:tcW w:w="859" w:type="dxa"/>
            <w:tcBorders>
              <w:bottom w:val="single" w:sz="12" w:space="0" w:color="76923C" w:themeColor="accent3" w:themeShade="BF"/>
            </w:tcBorders>
            <w:shd w:val="clear" w:color="auto" w:fill="FFFFFF"/>
            <w:vAlign w:val="center"/>
          </w:tcPr>
          <w:p w14:paraId="3EF39FE5" w14:textId="77777777" w:rsidR="00DB6E90" w:rsidRPr="00F01C87" w:rsidRDefault="00DB6E90">
            <w:pPr>
              <w:pStyle w:val="ListParagraph"/>
              <w:spacing w:line="240" w:lineRule="auto"/>
              <w:ind w:left="0"/>
              <w:jc w:val="center"/>
              <w:rPr>
                <w:rFonts w:cs="Arial"/>
                <w:noProof/>
                <w:szCs w:val="18"/>
              </w:rPr>
            </w:pPr>
            <w:r>
              <w:rPr>
                <w:rFonts w:cs="Arial"/>
                <w:noProof/>
                <w:szCs w:val="18"/>
              </w:rPr>
              <w:t>4.7</w:t>
            </w:r>
            <w:r w:rsidR="00062567" w:rsidRPr="00062567">
              <w:rPr>
                <w:rFonts w:cs="Arial"/>
                <w:noProof/>
                <w:szCs w:val="18"/>
              </w:rPr>
              <w:t>±0.3</w:t>
            </w:r>
          </w:p>
        </w:tc>
        <w:tc>
          <w:tcPr>
            <w:tcW w:w="706" w:type="dxa"/>
            <w:gridSpan w:val="2"/>
            <w:tcBorders>
              <w:bottom w:val="single" w:sz="12" w:space="0" w:color="76923C" w:themeColor="accent3" w:themeShade="BF"/>
            </w:tcBorders>
            <w:shd w:val="clear" w:color="auto" w:fill="FFFFFF"/>
            <w:vAlign w:val="center"/>
          </w:tcPr>
          <w:p w14:paraId="2349E737" w14:textId="77777777" w:rsidR="00DB6E90" w:rsidRPr="00F01C87" w:rsidRDefault="00DB6E90">
            <w:pPr>
              <w:pStyle w:val="ListParagraph"/>
              <w:spacing w:line="240" w:lineRule="auto"/>
              <w:ind w:left="0"/>
              <w:jc w:val="center"/>
              <w:rPr>
                <w:rFonts w:cs="Arial"/>
                <w:noProof/>
                <w:szCs w:val="18"/>
              </w:rPr>
            </w:pPr>
            <w:r>
              <w:rPr>
                <w:rFonts w:cs="Arial"/>
                <w:noProof/>
                <w:szCs w:val="18"/>
              </w:rPr>
              <w:t>6.9</w:t>
            </w:r>
            <w:r w:rsidR="00062567" w:rsidRPr="00062567">
              <w:rPr>
                <w:rFonts w:cs="Arial"/>
                <w:noProof/>
                <w:szCs w:val="18"/>
              </w:rPr>
              <w:t>±0.3</w:t>
            </w:r>
          </w:p>
        </w:tc>
        <w:tc>
          <w:tcPr>
            <w:tcW w:w="27" w:type="dxa"/>
            <w:tcBorders>
              <w:bottom w:val="single" w:sz="12" w:space="0" w:color="76923C" w:themeColor="accent3" w:themeShade="BF"/>
            </w:tcBorders>
            <w:shd w:val="clear" w:color="auto" w:fill="FFFFFF"/>
            <w:vAlign w:val="center"/>
          </w:tcPr>
          <w:p w14:paraId="6537E658" w14:textId="77777777" w:rsidR="00DB6E90" w:rsidRPr="00F01C87" w:rsidRDefault="00DB6E90">
            <w:pPr>
              <w:pStyle w:val="ListParagraph"/>
              <w:spacing w:line="240" w:lineRule="auto"/>
              <w:ind w:left="0"/>
              <w:jc w:val="center"/>
              <w:rPr>
                <w:rFonts w:cs="Arial"/>
                <w:noProof/>
                <w:szCs w:val="18"/>
              </w:rPr>
            </w:pPr>
          </w:p>
        </w:tc>
        <w:tc>
          <w:tcPr>
            <w:tcW w:w="851" w:type="dxa"/>
            <w:tcBorders>
              <w:bottom w:val="single" w:sz="12" w:space="0" w:color="76923C" w:themeColor="accent3" w:themeShade="BF"/>
            </w:tcBorders>
            <w:shd w:val="clear" w:color="auto" w:fill="FFFFFF"/>
            <w:vAlign w:val="center"/>
          </w:tcPr>
          <w:p w14:paraId="2C8CB51B" w14:textId="77777777" w:rsidR="00DB6E90" w:rsidRPr="00A40BF7" w:rsidRDefault="00DB6E90">
            <w:pPr>
              <w:pStyle w:val="ListParagraph"/>
              <w:spacing w:line="240" w:lineRule="auto"/>
              <w:ind w:left="0"/>
              <w:jc w:val="center"/>
              <w:rPr>
                <w:rFonts w:cs="Arial"/>
                <w:noProof/>
                <w:szCs w:val="18"/>
              </w:rPr>
            </w:pPr>
            <w:r w:rsidRPr="00A40BF7">
              <w:rPr>
                <w:rFonts w:cs="Arial"/>
                <w:noProof/>
                <w:szCs w:val="18"/>
              </w:rPr>
              <w:t>0.5</w:t>
            </w:r>
            <w:r w:rsidR="00D00F98">
              <w:rPr>
                <w:rFonts w:cs="Arial"/>
                <w:noProof/>
                <w:szCs w:val="18"/>
              </w:rPr>
              <w:t>0</w:t>
            </w:r>
            <w:r w:rsidR="00062567" w:rsidRPr="00062567">
              <w:rPr>
                <w:rFonts w:cs="Arial"/>
                <w:noProof/>
                <w:szCs w:val="18"/>
              </w:rPr>
              <w:t>±0.</w:t>
            </w:r>
            <w:r w:rsidR="00D00F98">
              <w:rPr>
                <w:rFonts w:cs="Arial"/>
                <w:noProof/>
                <w:szCs w:val="18"/>
              </w:rPr>
              <w:t>03</w:t>
            </w:r>
          </w:p>
        </w:tc>
        <w:tc>
          <w:tcPr>
            <w:tcW w:w="850" w:type="dxa"/>
            <w:tcBorders>
              <w:bottom w:val="single" w:sz="12" w:space="0" w:color="76923C" w:themeColor="accent3" w:themeShade="BF"/>
            </w:tcBorders>
            <w:shd w:val="clear" w:color="auto" w:fill="FFFFFF"/>
            <w:vAlign w:val="center"/>
          </w:tcPr>
          <w:p w14:paraId="2D0C9F4E" w14:textId="77777777" w:rsidR="00DB6E90" w:rsidRPr="001C1703" w:rsidRDefault="00DB6E90">
            <w:pPr>
              <w:pStyle w:val="ListParagraph"/>
              <w:spacing w:line="240" w:lineRule="auto"/>
              <w:ind w:left="0"/>
              <w:jc w:val="center"/>
              <w:rPr>
                <w:rFonts w:cs="Arial"/>
                <w:noProof/>
                <w:szCs w:val="18"/>
              </w:rPr>
            </w:pPr>
            <w:r w:rsidRPr="001C1703">
              <w:rPr>
                <w:rFonts w:cs="Arial"/>
                <w:noProof/>
                <w:szCs w:val="18"/>
              </w:rPr>
              <w:t>0.8</w:t>
            </w:r>
            <w:r w:rsidR="00F37E65">
              <w:rPr>
                <w:rFonts w:cs="Arial"/>
                <w:noProof/>
                <w:szCs w:val="18"/>
              </w:rPr>
              <w:t>0</w:t>
            </w:r>
            <w:r w:rsidR="00F37E65" w:rsidRPr="00F37E65">
              <w:rPr>
                <w:rFonts w:cs="Arial"/>
                <w:noProof/>
                <w:szCs w:val="18"/>
              </w:rPr>
              <w:t>±0.</w:t>
            </w:r>
            <w:r w:rsidR="00A50471">
              <w:rPr>
                <w:rFonts w:cs="Arial"/>
                <w:noProof/>
                <w:szCs w:val="18"/>
              </w:rPr>
              <w:t>0</w:t>
            </w:r>
            <w:r w:rsidR="00F37E65" w:rsidRPr="00F37E65">
              <w:rPr>
                <w:rFonts w:cs="Arial"/>
                <w:noProof/>
                <w:szCs w:val="18"/>
              </w:rPr>
              <w:t>3</w:t>
            </w:r>
          </w:p>
        </w:tc>
        <w:tc>
          <w:tcPr>
            <w:tcW w:w="992" w:type="dxa"/>
            <w:gridSpan w:val="2"/>
            <w:tcBorders>
              <w:bottom w:val="single" w:sz="12" w:space="0" w:color="76923C" w:themeColor="accent3" w:themeShade="BF"/>
            </w:tcBorders>
            <w:shd w:val="clear" w:color="auto" w:fill="FFFFFF"/>
            <w:vAlign w:val="center"/>
          </w:tcPr>
          <w:p w14:paraId="58484CA6" w14:textId="77777777" w:rsidR="00DB6E90" w:rsidRPr="00F01C87" w:rsidRDefault="00DB6E90">
            <w:pPr>
              <w:pStyle w:val="ListParagraph"/>
              <w:spacing w:line="240" w:lineRule="auto"/>
              <w:ind w:left="0"/>
              <w:jc w:val="center"/>
              <w:rPr>
                <w:rFonts w:cs="Arial"/>
                <w:noProof/>
                <w:szCs w:val="18"/>
              </w:rPr>
            </w:pPr>
            <w:r w:rsidRPr="00F01C87">
              <w:rPr>
                <w:rFonts w:cs="Arial"/>
                <w:noProof/>
                <w:szCs w:val="18"/>
              </w:rPr>
              <w:t>0.0</w:t>
            </w:r>
            <w:r>
              <w:rPr>
                <w:rFonts w:cs="Arial"/>
                <w:noProof/>
                <w:szCs w:val="18"/>
              </w:rPr>
              <w:t>9</w:t>
            </w:r>
            <w:r w:rsidR="00A50471">
              <w:rPr>
                <w:rFonts w:cs="Arial"/>
                <w:noProof/>
                <w:szCs w:val="18"/>
              </w:rPr>
              <w:t>0</w:t>
            </w:r>
            <w:r w:rsidR="00A50471" w:rsidRPr="00A50471">
              <w:rPr>
                <w:rFonts w:cs="Arial"/>
                <w:noProof/>
                <w:szCs w:val="18"/>
              </w:rPr>
              <w:t>±0.</w:t>
            </w:r>
            <w:r w:rsidR="00A50471">
              <w:rPr>
                <w:rFonts w:cs="Arial"/>
                <w:noProof/>
                <w:szCs w:val="18"/>
              </w:rPr>
              <w:t>06</w:t>
            </w:r>
          </w:p>
        </w:tc>
      </w:tr>
      <w:tr w:rsidR="00DB6E90" w:rsidRPr="00F01C87" w14:paraId="40F2DD64" w14:textId="77777777" w:rsidTr="00A50471">
        <w:trPr>
          <w:trHeight w:val="521"/>
        </w:trPr>
        <w:tc>
          <w:tcPr>
            <w:tcW w:w="562" w:type="dxa"/>
            <w:shd w:val="clear" w:color="auto" w:fill="FFFFFF"/>
            <w:vAlign w:val="center"/>
          </w:tcPr>
          <w:p w14:paraId="793978F8" w14:textId="77777777" w:rsidR="00DB6E90" w:rsidRPr="00F01C87" w:rsidRDefault="00DB6E90">
            <w:pPr>
              <w:pStyle w:val="ListParagraph"/>
              <w:spacing w:line="240" w:lineRule="auto"/>
              <w:ind w:left="0"/>
              <w:jc w:val="center"/>
              <w:rPr>
                <w:rFonts w:cs="Arial"/>
                <w:noProof/>
                <w:szCs w:val="18"/>
              </w:rPr>
            </w:pPr>
            <w:r>
              <w:rPr>
                <w:rFonts w:cs="Arial"/>
                <w:noProof/>
                <w:szCs w:val="18"/>
              </w:rPr>
              <w:t>II</w:t>
            </w:r>
          </w:p>
        </w:tc>
        <w:tc>
          <w:tcPr>
            <w:tcW w:w="903" w:type="dxa"/>
            <w:shd w:val="clear" w:color="auto" w:fill="FFFFFF"/>
            <w:vAlign w:val="center"/>
          </w:tcPr>
          <w:p w14:paraId="2CE2B410" w14:textId="77777777" w:rsidR="00DB6E90" w:rsidRPr="00F01C87" w:rsidRDefault="00DB6E90">
            <w:pPr>
              <w:pStyle w:val="ListParagraph"/>
              <w:spacing w:line="240" w:lineRule="auto"/>
              <w:ind w:left="0"/>
              <w:jc w:val="center"/>
              <w:rPr>
                <w:rFonts w:cs="Arial"/>
                <w:noProof/>
                <w:szCs w:val="18"/>
              </w:rPr>
            </w:pPr>
            <w:r>
              <w:rPr>
                <w:rFonts w:cs="Arial"/>
                <w:noProof/>
                <w:szCs w:val="18"/>
              </w:rPr>
              <w:t>13</w:t>
            </w:r>
          </w:p>
        </w:tc>
        <w:tc>
          <w:tcPr>
            <w:tcW w:w="797" w:type="dxa"/>
            <w:shd w:val="clear" w:color="auto" w:fill="FFFFFF"/>
            <w:vAlign w:val="center"/>
          </w:tcPr>
          <w:p w14:paraId="102287EE" w14:textId="77777777" w:rsidR="00DB6E90" w:rsidRPr="00F01C87" w:rsidRDefault="00DB6E90">
            <w:pPr>
              <w:pStyle w:val="ListParagraph"/>
              <w:spacing w:line="240" w:lineRule="auto"/>
              <w:ind w:left="0"/>
              <w:jc w:val="center"/>
              <w:rPr>
                <w:rFonts w:cs="Arial"/>
                <w:noProof/>
                <w:szCs w:val="18"/>
              </w:rPr>
            </w:pPr>
            <w:r>
              <w:rPr>
                <w:rFonts w:cs="Arial"/>
                <w:noProof/>
                <w:szCs w:val="18"/>
              </w:rPr>
              <w:t>2</w:t>
            </w:r>
          </w:p>
        </w:tc>
        <w:tc>
          <w:tcPr>
            <w:tcW w:w="991" w:type="dxa"/>
            <w:shd w:val="clear" w:color="auto" w:fill="FFFFFF"/>
            <w:vAlign w:val="center"/>
          </w:tcPr>
          <w:p w14:paraId="17C57F31" w14:textId="77777777" w:rsidR="00DB6E90" w:rsidRDefault="00DB6E90">
            <w:pPr>
              <w:pStyle w:val="ListParagraph"/>
              <w:spacing w:line="240" w:lineRule="auto"/>
              <w:ind w:left="0"/>
              <w:jc w:val="center"/>
              <w:rPr>
                <w:rFonts w:cs="Arial"/>
                <w:noProof/>
                <w:szCs w:val="18"/>
              </w:rPr>
            </w:pPr>
            <w:r>
              <w:rPr>
                <w:rFonts w:cs="Arial"/>
                <w:noProof/>
                <w:szCs w:val="18"/>
              </w:rPr>
              <w:t>6</w:t>
            </w:r>
          </w:p>
        </w:tc>
        <w:tc>
          <w:tcPr>
            <w:tcW w:w="967" w:type="dxa"/>
            <w:shd w:val="clear" w:color="auto" w:fill="FFFFFF"/>
            <w:vAlign w:val="center"/>
          </w:tcPr>
          <w:p w14:paraId="0EAD4A74" w14:textId="77777777" w:rsidR="00DB6E90" w:rsidRPr="00F01C87" w:rsidRDefault="00DB6E90">
            <w:pPr>
              <w:pStyle w:val="ListParagraph"/>
              <w:spacing w:line="240" w:lineRule="auto"/>
              <w:ind w:left="0"/>
              <w:jc w:val="center"/>
              <w:rPr>
                <w:rFonts w:cs="Arial"/>
                <w:noProof/>
                <w:szCs w:val="18"/>
              </w:rPr>
            </w:pPr>
            <w:r>
              <w:rPr>
                <w:rFonts w:cs="Arial"/>
                <w:noProof/>
                <w:szCs w:val="18"/>
              </w:rPr>
              <w:t>3.7</w:t>
            </w:r>
            <w:r w:rsidR="00C83F19" w:rsidRPr="00C83F19">
              <w:rPr>
                <w:rFonts w:cs="Arial"/>
                <w:noProof/>
                <w:szCs w:val="18"/>
              </w:rPr>
              <w:t>±0.3</w:t>
            </w:r>
          </w:p>
        </w:tc>
        <w:tc>
          <w:tcPr>
            <w:tcW w:w="859" w:type="dxa"/>
            <w:shd w:val="clear" w:color="auto" w:fill="FFFFFF"/>
            <w:vAlign w:val="center"/>
          </w:tcPr>
          <w:p w14:paraId="290DFAD7" w14:textId="77777777" w:rsidR="00DB6E90" w:rsidRPr="00F01C87" w:rsidRDefault="00DB6E90">
            <w:pPr>
              <w:pStyle w:val="ListParagraph"/>
              <w:spacing w:line="240" w:lineRule="auto"/>
              <w:ind w:left="0"/>
              <w:jc w:val="center"/>
              <w:rPr>
                <w:rFonts w:cs="Arial"/>
                <w:noProof/>
                <w:szCs w:val="18"/>
              </w:rPr>
            </w:pPr>
            <w:r>
              <w:rPr>
                <w:rFonts w:cs="Arial"/>
                <w:noProof/>
                <w:szCs w:val="18"/>
              </w:rPr>
              <w:t>4.5</w:t>
            </w:r>
            <w:r w:rsidR="00062567" w:rsidRPr="00062567">
              <w:rPr>
                <w:rFonts w:cs="Arial"/>
                <w:noProof/>
                <w:szCs w:val="18"/>
              </w:rPr>
              <w:t>±0.3</w:t>
            </w:r>
          </w:p>
        </w:tc>
        <w:tc>
          <w:tcPr>
            <w:tcW w:w="706" w:type="dxa"/>
            <w:gridSpan w:val="2"/>
            <w:shd w:val="clear" w:color="auto" w:fill="FFFFFF"/>
            <w:vAlign w:val="center"/>
          </w:tcPr>
          <w:p w14:paraId="185CD483" w14:textId="77777777" w:rsidR="00DB6E90" w:rsidRPr="00F01C87" w:rsidRDefault="007164D8">
            <w:pPr>
              <w:pStyle w:val="ListParagraph"/>
              <w:spacing w:line="240" w:lineRule="auto"/>
              <w:ind w:left="0"/>
              <w:jc w:val="center"/>
              <w:rPr>
                <w:rFonts w:cs="Arial"/>
                <w:noProof/>
                <w:szCs w:val="18"/>
              </w:rPr>
            </w:pPr>
            <w:r>
              <w:rPr>
                <w:rFonts w:cs="Arial"/>
                <w:noProof/>
                <w:szCs w:val="18"/>
              </w:rPr>
              <w:t>7.5</w:t>
            </w:r>
            <w:r w:rsidR="00062567" w:rsidRPr="00062567">
              <w:rPr>
                <w:rFonts w:cs="Arial"/>
                <w:noProof/>
                <w:szCs w:val="18"/>
              </w:rPr>
              <w:t>±0.</w:t>
            </w:r>
            <w:r w:rsidR="00062567">
              <w:rPr>
                <w:rFonts w:cs="Arial"/>
                <w:noProof/>
                <w:szCs w:val="18"/>
              </w:rPr>
              <w:t>4</w:t>
            </w:r>
          </w:p>
        </w:tc>
        <w:tc>
          <w:tcPr>
            <w:tcW w:w="27" w:type="dxa"/>
            <w:shd w:val="clear" w:color="auto" w:fill="FFFFFF"/>
            <w:vAlign w:val="center"/>
          </w:tcPr>
          <w:p w14:paraId="3C51673A" w14:textId="77777777" w:rsidR="00DB6E90" w:rsidRPr="00A40BF7" w:rsidRDefault="00DB6E90">
            <w:pPr>
              <w:pStyle w:val="ListParagraph"/>
              <w:spacing w:line="240" w:lineRule="auto"/>
              <w:ind w:left="0"/>
              <w:jc w:val="center"/>
              <w:rPr>
                <w:rFonts w:cs="Arial"/>
                <w:noProof/>
                <w:szCs w:val="18"/>
                <w:highlight w:val="yellow"/>
              </w:rPr>
            </w:pPr>
          </w:p>
        </w:tc>
        <w:tc>
          <w:tcPr>
            <w:tcW w:w="851" w:type="dxa"/>
            <w:shd w:val="clear" w:color="auto" w:fill="FFFFFF"/>
            <w:vAlign w:val="center"/>
          </w:tcPr>
          <w:p w14:paraId="19F1FA68" w14:textId="77777777" w:rsidR="00DB6E90" w:rsidRPr="00A40BF7" w:rsidRDefault="00DB6E90">
            <w:pPr>
              <w:pStyle w:val="ListParagraph"/>
              <w:spacing w:line="240" w:lineRule="auto"/>
              <w:ind w:left="0"/>
              <w:jc w:val="center"/>
              <w:rPr>
                <w:rFonts w:cs="Arial"/>
                <w:noProof/>
                <w:szCs w:val="18"/>
              </w:rPr>
            </w:pPr>
            <w:r w:rsidRPr="00A40BF7">
              <w:rPr>
                <w:rFonts w:cs="Arial"/>
                <w:noProof/>
                <w:szCs w:val="18"/>
              </w:rPr>
              <w:t>0.6</w:t>
            </w:r>
            <w:r w:rsidR="00D00F98">
              <w:rPr>
                <w:rFonts w:cs="Arial"/>
                <w:noProof/>
                <w:szCs w:val="18"/>
              </w:rPr>
              <w:t>0</w:t>
            </w:r>
            <w:r w:rsidR="00062567" w:rsidRPr="00062567">
              <w:rPr>
                <w:rFonts w:cs="Arial"/>
                <w:noProof/>
                <w:szCs w:val="18"/>
              </w:rPr>
              <w:t>±0.</w:t>
            </w:r>
            <w:r w:rsidR="00D00F98">
              <w:rPr>
                <w:rFonts w:cs="Arial"/>
                <w:noProof/>
                <w:szCs w:val="18"/>
              </w:rPr>
              <w:t>0</w:t>
            </w:r>
            <w:r w:rsidR="00F37E65">
              <w:rPr>
                <w:rFonts w:cs="Arial"/>
                <w:noProof/>
                <w:szCs w:val="18"/>
              </w:rPr>
              <w:t>4</w:t>
            </w:r>
          </w:p>
        </w:tc>
        <w:tc>
          <w:tcPr>
            <w:tcW w:w="850" w:type="dxa"/>
            <w:shd w:val="clear" w:color="auto" w:fill="FFFFFF"/>
            <w:vAlign w:val="center"/>
          </w:tcPr>
          <w:p w14:paraId="7320358E" w14:textId="77777777" w:rsidR="00DB6E90" w:rsidRPr="001C1703" w:rsidRDefault="00DB6E90">
            <w:pPr>
              <w:pStyle w:val="ListParagraph"/>
              <w:spacing w:line="240" w:lineRule="auto"/>
              <w:ind w:left="0"/>
              <w:jc w:val="center"/>
              <w:rPr>
                <w:rFonts w:cs="Arial"/>
                <w:noProof/>
                <w:szCs w:val="18"/>
              </w:rPr>
            </w:pPr>
            <w:r w:rsidRPr="001C1703">
              <w:rPr>
                <w:rFonts w:cs="Arial"/>
                <w:noProof/>
                <w:szCs w:val="18"/>
              </w:rPr>
              <w:t>0.9</w:t>
            </w:r>
            <w:r w:rsidR="00F37E65">
              <w:rPr>
                <w:rFonts w:cs="Arial"/>
                <w:noProof/>
                <w:szCs w:val="18"/>
              </w:rPr>
              <w:t>0</w:t>
            </w:r>
            <w:r w:rsidR="00F37E65" w:rsidRPr="00F37E65">
              <w:rPr>
                <w:rFonts w:cs="Arial"/>
                <w:noProof/>
                <w:szCs w:val="18"/>
              </w:rPr>
              <w:t>±0.</w:t>
            </w:r>
            <w:r w:rsidR="00A50471">
              <w:rPr>
                <w:rFonts w:cs="Arial"/>
                <w:noProof/>
                <w:szCs w:val="18"/>
              </w:rPr>
              <w:t>0</w:t>
            </w:r>
            <w:r w:rsidR="00F37E65" w:rsidRPr="00F37E65">
              <w:rPr>
                <w:rFonts w:cs="Arial"/>
                <w:noProof/>
                <w:szCs w:val="18"/>
              </w:rPr>
              <w:t>3</w:t>
            </w:r>
          </w:p>
        </w:tc>
        <w:tc>
          <w:tcPr>
            <w:tcW w:w="992" w:type="dxa"/>
            <w:gridSpan w:val="2"/>
            <w:shd w:val="clear" w:color="auto" w:fill="FFFFFF"/>
            <w:vAlign w:val="center"/>
          </w:tcPr>
          <w:p w14:paraId="35B37742" w14:textId="77777777" w:rsidR="00DB6E90" w:rsidRPr="00F01C87" w:rsidRDefault="00DB6E90">
            <w:pPr>
              <w:pStyle w:val="ListParagraph"/>
              <w:spacing w:line="240" w:lineRule="auto"/>
              <w:ind w:left="0"/>
              <w:jc w:val="center"/>
              <w:rPr>
                <w:rFonts w:cs="Arial"/>
                <w:noProof/>
                <w:szCs w:val="18"/>
              </w:rPr>
            </w:pPr>
            <w:r w:rsidRPr="00F01C87">
              <w:rPr>
                <w:rFonts w:cs="Arial"/>
                <w:noProof/>
                <w:szCs w:val="18"/>
              </w:rPr>
              <w:t>0.0</w:t>
            </w:r>
            <w:r>
              <w:rPr>
                <w:rFonts w:cs="Arial"/>
                <w:noProof/>
                <w:szCs w:val="18"/>
              </w:rPr>
              <w:t>85</w:t>
            </w:r>
            <w:r w:rsidR="00A50471" w:rsidRPr="00A50471">
              <w:rPr>
                <w:rFonts w:cs="Arial"/>
                <w:noProof/>
                <w:szCs w:val="18"/>
              </w:rPr>
              <w:t>±0.</w:t>
            </w:r>
            <w:r w:rsidR="00A50471">
              <w:rPr>
                <w:rFonts w:cs="Arial"/>
                <w:noProof/>
                <w:szCs w:val="18"/>
              </w:rPr>
              <w:t>06</w:t>
            </w:r>
          </w:p>
        </w:tc>
      </w:tr>
      <w:tr w:rsidR="00DB6E90" w:rsidRPr="00F01C87" w14:paraId="72D8F460" w14:textId="77777777" w:rsidTr="00A50471">
        <w:trPr>
          <w:trHeight w:val="521"/>
        </w:trPr>
        <w:tc>
          <w:tcPr>
            <w:tcW w:w="562" w:type="dxa"/>
            <w:tcBorders>
              <w:bottom w:val="single" w:sz="12" w:space="0" w:color="76923C" w:themeColor="accent3" w:themeShade="BF"/>
            </w:tcBorders>
            <w:shd w:val="clear" w:color="auto" w:fill="FFFFFF"/>
            <w:vAlign w:val="center"/>
          </w:tcPr>
          <w:p w14:paraId="40242AEE" w14:textId="77777777" w:rsidR="00DB6E90" w:rsidRDefault="00DB6E90">
            <w:pPr>
              <w:pStyle w:val="ListParagraph"/>
              <w:spacing w:line="240" w:lineRule="auto"/>
              <w:ind w:left="0"/>
              <w:jc w:val="center"/>
              <w:rPr>
                <w:rFonts w:cs="Arial"/>
                <w:noProof/>
                <w:szCs w:val="18"/>
              </w:rPr>
            </w:pPr>
            <w:r>
              <w:rPr>
                <w:rFonts w:cs="Arial"/>
                <w:noProof/>
                <w:szCs w:val="18"/>
              </w:rPr>
              <w:t>III</w:t>
            </w:r>
          </w:p>
        </w:tc>
        <w:tc>
          <w:tcPr>
            <w:tcW w:w="903" w:type="dxa"/>
            <w:tcBorders>
              <w:bottom w:val="single" w:sz="12" w:space="0" w:color="76923C" w:themeColor="accent3" w:themeShade="BF"/>
            </w:tcBorders>
            <w:shd w:val="clear" w:color="auto" w:fill="FFFFFF"/>
            <w:vAlign w:val="center"/>
          </w:tcPr>
          <w:p w14:paraId="468FD1FD" w14:textId="77777777" w:rsidR="00DB6E90" w:rsidRDefault="00DB6E90">
            <w:pPr>
              <w:pStyle w:val="ListParagraph"/>
              <w:spacing w:line="240" w:lineRule="auto"/>
              <w:ind w:left="0"/>
              <w:jc w:val="center"/>
              <w:rPr>
                <w:rFonts w:cs="Arial"/>
                <w:noProof/>
                <w:szCs w:val="18"/>
              </w:rPr>
            </w:pPr>
            <w:r>
              <w:rPr>
                <w:rFonts w:cs="Arial"/>
                <w:noProof/>
                <w:szCs w:val="18"/>
              </w:rPr>
              <w:t>13</w:t>
            </w:r>
          </w:p>
        </w:tc>
        <w:tc>
          <w:tcPr>
            <w:tcW w:w="797" w:type="dxa"/>
            <w:tcBorders>
              <w:bottom w:val="single" w:sz="12" w:space="0" w:color="76923C" w:themeColor="accent3" w:themeShade="BF"/>
            </w:tcBorders>
            <w:shd w:val="clear" w:color="auto" w:fill="FFFFFF"/>
            <w:vAlign w:val="center"/>
          </w:tcPr>
          <w:p w14:paraId="1677B579" w14:textId="77777777" w:rsidR="00DB6E90" w:rsidRDefault="00DB6E90">
            <w:pPr>
              <w:pStyle w:val="ListParagraph"/>
              <w:spacing w:line="240" w:lineRule="auto"/>
              <w:ind w:left="0"/>
              <w:jc w:val="center"/>
              <w:rPr>
                <w:rFonts w:cs="Arial"/>
                <w:noProof/>
                <w:szCs w:val="18"/>
              </w:rPr>
            </w:pPr>
            <w:r>
              <w:rPr>
                <w:rFonts w:cs="Arial"/>
                <w:noProof/>
                <w:szCs w:val="18"/>
              </w:rPr>
              <w:t>-</w:t>
            </w:r>
          </w:p>
        </w:tc>
        <w:tc>
          <w:tcPr>
            <w:tcW w:w="991" w:type="dxa"/>
            <w:tcBorders>
              <w:bottom w:val="single" w:sz="12" w:space="0" w:color="76923C" w:themeColor="accent3" w:themeShade="BF"/>
            </w:tcBorders>
            <w:shd w:val="clear" w:color="auto" w:fill="FFFFFF"/>
            <w:vAlign w:val="center"/>
          </w:tcPr>
          <w:p w14:paraId="09799F47" w14:textId="77777777" w:rsidR="00DB6E90" w:rsidRDefault="00DB6E90">
            <w:pPr>
              <w:pStyle w:val="ListParagraph"/>
              <w:spacing w:line="240" w:lineRule="auto"/>
              <w:ind w:left="0"/>
              <w:jc w:val="center"/>
              <w:rPr>
                <w:rFonts w:cs="Arial"/>
                <w:noProof/>
                <w:szCs w:val="18"/>
              </w:rPr>
            </w:pPr>
            <w:r>
              <w:rPr>
                <w:rFonts w:cs="Arial"/>
                <w:noProof/>
                <w:szCs w:val="18"/>
              </w:rPr>
              <w:t>6</w:t>
            </w:r>
          </w:p>
        </w:tc>
        <w:tc>
          <w:tcPr>
            <w:tcW w:w="967" w:type="dxa"/>
            <w:tcBorders>
              <w:bottom w:val="single" w:sz="12" w:space="0" w:color="76923C" w:themeColor="accent3" w:themeShade="BF"/>
            </w:tcBorders>
            <w:shd w:val="clear" w:color="auto" w:fill="FFFFFF"/>
            <w:vAlign w:val="center"/>
          </w:tcPr>
          <w:p w14:paraId="19E022BD" w14:textId="77777777" w:rsidR="00DB6E90" w:rsidRPr="00F01C87" w:rsidRDefault="00DB6E90">
            <w:pPr>
              <w:pStyle w:val="ListParagraph"/>
              <w:spacing w:line="240" w:lineRule="auto"/>
              <w:ind w:left="0"/>
              <w:jc w:val="center"/>
              <w:rPr>
                <w:rFonts w:cs="Arial"/>
                <w:noProof/>
                <w:szCs w:val="18"/>
              </w:rPr>
            </w:pPr>
            <w:r>
              <w:rPr>
                <w:rFonts w:cs="Arial"/>
                <w:noProof/>
                <w:szCs w:val="18"/>
              </w:rPr>
              <w:t>2.8</w:t>
            </w:r>
            <w:r w:rsidR="00C83F19" w:rsidRPr="00C83F19">
              <w:rPr>
                <w:rFonts w:cs="Arial"/>
                <w:noProof/>
                <w:szCs w:val="18"/>
              </w:rPr>
              <w:t>±0.</w:t>
            </w:r>
            <w:r w:rsidR="00C83F19">
              <w:rPr>
                <w:rFonts w:cs="Arial"/>
                <w:noProof/>
                <w:szCs w:val="18"/>
              </w:rPr>
              <w:t>1</w:t>
            </w:r>
          </w:p>
        </w:tc>
        <w:tc>
          <w:tcPr>
            <w:tcW w:w="859" w:type="dxa"/>
            <w:tcBorders>
              <w:bottom w:val="single" w:sz="12" w:space="0" w:color="76923C" w:themeColor="accent3" w:themeShade="BF"/>
            </w:tcBorders>
            <w:shd w:val="clear" w:color="auto" w:fill="FFFFFF"/>
            <w:vAlign w:val="center"/>
          </w:tcPr>
          <w:p w14:paraId="46A16C20" w14:textId="77777777" w:rsidR="00DB6E90" w:rsidRPr="00F01C87" w:rsidRDefault="00DB6E90">
            <w:pPr>
              <w:pStyle w:val="ListParagraph"/>
              <w:spacing w:line="240" w:lineRule="auto"/>
              <w:ind w:left="0"/>
              <w:jc w:val="center"/>
              <w:rPr>
                <w:rFonts w:cs="Arial"/>
                <w:noProof/>
                <w:szCs w:val="18"/>
              </w:rPr>
            </w:pPr>
            <w:r>
              <w:rPr>
                <w:rFonts w:cs="Arial"/>
                <w:noProof/>
                <w:szCs w:val="18"/>
              </w:rPr>
              <w:t>4.3</w:t>
            </w:r>
            <w:r w:rsidR="00062567" w:rsidRPr="00062567">
              <w:rPr>
                <w:rFonts w:cs="Arial"/>
                <w:noProof/>
                <w:szCs w:val="18"/>
              </w:rPr>
              <w:t>±0.3</w:t>
            </w:r>
          </w:p>
        </w:tc>
        <w:tc>
          <w:tcPr>
            <w:tcW w:w="706" w:type="dxa"/>
            <w:gridSpan w:val="2"/>
            <w:tcBorders>
              <w:bottom w:val="single" w:sz="12" w:space="0" w:color="76923C" w:themeColor="accent3" w:themeShade="BF"/>
            </w:tcBorders>
            <w:shd w:val="clear" w:color="auto" w:fill="FFFFFF"/>
            <w:vAlign w:val="center"/>
          </w:tcPr>
          <w:p w14:paraId="39BDDBB2" w14:textId="77777777" w:rsidR="00DB6E90" w:rsidRPr="00F01C87" w:rsidRDefault="00DB6E90">
            <w:pPr>
              <w:pStyle w:val="ListParagraph"/>
              <w:spacing w:line="240" w:lineRule="auto"/>
              <w:ind w:left="0"/>
              <w:jc w:val="center"/>
              <w:rPr>
                <w:rFonts w:cs="Arial"/>
                <w:noProof/>
                <w:szCs w:val="18"/>
              </w:rPr>
            </w:pPr>
            <w:r>
              <w:rPr>
                <w:rFonts w:cs="Arial"/>
                <w:noProof/>
                <w:szCs w:val="18"/>
              </w:rPr>
              <w:t>7.2</w:t>
            </w:r>
            <w:r w:rsidR="00062567" w:rsidRPr="00062567">
              <w:rPr>
                <w:rFonts w:cs="Arial"/>
                <w:noProof/>
                <w:szCs w:val="18"/>
              </w:rPr>
              <w:t>±0.</w:t>
            </w:r>
            <w:r w:rsidR="00062567">
              <w:rPr>
                <w:rFonts w:cs="Arial"/>
                <w:noProof/>
                <w:szCs w:val="18"/>
              </w:rPr>
              <w:t>4</w:t>
            </w:r>
          </w:p>
        </w:tc>
        <w:tc>
          <w:tcPr>
            <w:tcW w:w="27" w:type="dxa"/>
            <w:tcBorders>
              <w:bottom w:val="single" w:sz="12" w:space="0" w:color="76923C" w:themeColor="accent3" w:themeShade="BF"/>
            </w:tcBorders>
            <w:shd w:val="clear" w:color="auto" w:fill="FFFFFF"/>
            <w:vAlign w:val="center"/>
          </w:tcPr>
          <w:p w14:paraId="43A20DDC" w14:textId="77777777" w:rsidR="00DB6E90" w:rsidRPr="00F01C87" w:rsidRDefault="00DB6E90">
            <w:pPr>
              <w:pStyle w:val="ListParagraph"/>
              <w:spacing w:line="240" w:lineRule="auto"/>
              <w:ind w:left="0"/>
              <w:jc w:val="center"/>
              <w:rPr>
                <w:rFonts w:cs="Arial"/>
                <w:noProof/>
                <w:szCs w:val="18"/>
              </w:rPr>
            </w:pPr>
          </w:p>
        </w:tc>
        <w:tc>
          <w:tcPr>
            <w:tcW w:w="851" w:type="dxa"/>
            <w:tcBorders>
              <w:bottom w:val="single" w:sz="12" w:space="0" w:color="76923C" w:themeColor="accent3" w:themeShade="BF"/>
            </w:tcBorders>
            <w:shd w:val="clear" w:color="auto" w:fill="FFFFFF"/>
            <w:vAlign w:val="center"/>
          </w:tcPr>
          <w:p w14:paraId="3AFA94BA" w14:textId="77777777" w:rsidR="00DB6E90" w:rsidRPr="00A40BF7" w:rsidRDefault="00DB6E90">
            <w:pPr>
              <w:pStyle w:val="ListParagraph"/>
              <w:spacing w:line="240" w:lineRule="auto"/>
              <w:ind w:left="0"/>
              <w:jc w:val="center"/>
              <w:rPr>
                <w:rFonts w:cs="Arial"/>
                <w:noProof/>
                <w:szCs w:val="18"/>
              </w:rPr>
            </w:pPr>
            <w:r w:rsidRPr="00A40BF7">
              <w:rPr>
                <w:rFonts w:cs="Arial"/>
                <w:noProof/>
                <w:szCs w:val="18"/>
              </w:rPr>
              <w:t>0.6</w:t>
            </w:r>
            <w:r w:rsidR="00D00F98">
              <w:rPr>
                <w:rFonts w:cs="Arial"/>
                <w:noProof/>
                <w:szCs w:val="18"/>
              </w:rPr>
              <w:t>0</w:t>
            </w:r>
            <w:r w:rsidR="00062567" w:rsidRPr="00062567">
              <w:rPr>
                <w:rFonts w:cs="Arial"/>
                <w:noProof/>
                <w:szCs w:val="18"/>
              </w:rPr>
              <w:t>±0.</w:t>
            </w:r>
            <w:r w:rsidR="00F37E65">
              <w:rPr>
                <w:rFonts w:cs="Arial"/>
                <w:noProof/>
                <w:szCs w:val="18"/>
              </w:rPr>
              <w:t>06</w:t>
            </w:r>
          </w:p>
        </w:tc>
        <w:tc>
          <w:tcPr>
            <w:tcW w:w="850" w:type="dxa"/>
            <w:tcBorders>
              <w:bottom w:val="single" w:sz="12" w:space="0" w:color="76923C" w:themeColor="accent3" w:themeShade="BF"/>
            </w:tcBorders>
            <w:shd w:val="clear" w:color="auto" w:fill="FFFFFF"/>
            <w:vAlign w:val="center"/>
          </w:tcPr>
          <w:p w14:paraId="3A287B50" w14:textId="77777777" w:rsidR="00DB6E90" w:rsidRPr="00F01C87" w:rsidRDefault="00DB6E90">
            <w:pPr>
              <w:pStyle w:val="ListParagraph"/>
              <w:spacing w:line="240" w:lineRule="auto"/>
              <w:ind w:left="0"/>
              <w:jc w:val="center"/>
              <w:rPr>
                <w:rFonts w:cs="Arial"/>
                <w:noProof/>
                <w:szCs w:val="18"/>
              </w:rPr>
            </w:pPr>
            <w:r>
              <w:rPr>
                <w:rFonts w:cs="Arial"/>
                <w:noProof/>
                <w:szCs w:val="18"/>
              </w:rPr>
              <w:t>1.0</w:t>
            </w:r>
            <w:r w:rsidR="00F37E65">
              <w:rPr>
                <w:rFonts w:cs="Arial"/>
                <w:noProof/>
                <w:szCs w:val="18"/>
              </w:rPr>
              <w:t>0</w:t>
            </w:r>
            <w:r w:rsidR="00F37E65" w:rsidRPr="00F37E65">
              <w:rPr>
                <w:rFonts w:cs="Arial"/>
                <w:noProof/>
                <w:szCs w:val="18"/>
              </w:rPr>
              <w:t>±0.</w:t>
            </w:r>
            <w:r w:rsidR="00A50471">
              <w:rPr>
                <w:rFonts w:cs="Arial"/>
                <w:noProof/>
                <w:szCs w:val="18"/>
              </w:rPr>
              <w:t>07</w:t>
            </w:r>
          </w:p>
        </w:tc>
        <w:tc>
          <w:tcPr>
            <w:tcW w:w="992" w:type="dxa"/>
            <w:gridSpan w:val="2"/>
            <w:tcBorders>
              <w:bottom w:val="single" w:sz="12" w:space="0" w:color="76923C" w:themeColor="accent3" w:themeShade="BF"/>
            </w:tcBorders>
            <w:shd w:val="clear" w:color="auto" w:fill="FFFFFF"/>
            <w:vAlign w:val="center"/>
          </w:tcPr>
          <w:p w14:paraId="3E0F7A70" w14:textId="77777777" w:rsidR="00DB6E90" w:rsidRPr="00F01C87" w:rsidRDefault="00DB6E90">
            <w:pPr>
              <w:pStyle w:val="ListParagraph"/>
              <w:spacing w:line="240" w:lineRule="auto"/>
              <w:ind w:left="0"/>
              <w:jc w:val="center"/>
              <w:rPr>
                <w:rFonts w:cs="Arial"/>
                <w:noProof/>
                <w:szCs w:val="18"/>
              </w:rPr>
            </w:pPr>
            <w:r>
              <w:rPr>
                <w:rFonts w:cs="Arial"/>
                <w:noProof/>
                <w:szCs w:val="18"/>
              </w:rPr>
              <w:t>0.041</w:t>
            </w:r>
            <w:r w:rsidR="00A50471" w:rsidRPr="00A50471">
              <w:rPr>
                <w:rFonts w:cs="Arial"/>
                <w:noProof/>
                <w:szCs w:val="18"/>
              </w:rPr>
              <w:t>±0.</w:t>
            </w:r>
            <w:r w:rsidR="00A50471">
              <w:rPr>
                <w:rFonts w:cs="Arial"/>
                <w:noProof/>
                <w:szCs w:val="18"/>
              </w:rPr>
              <w:t>04</w:t>
            </w:r>
          </w:p>
        </w:tc>
      </w:tr>
    </w:tbl>
    <w:p w14:paraId="0823F0FA" w14:textId="77777777" w:rsidR="005F43FF" w:rsidRDefault="005F43FF" w:rsidP="008071E7">
      <w:pPr>
        <w:pStyle w:val="CETBodytext"/>
        <w:rPr>
          <w:i/>
          <w:iCs/>
          <w:noProof/>
        </w:rPr>
      </w:pPr>
    </w:p>
    <w:p w14:paraId="65E06216" w14:textId="7DFCBC73" w:rsidR="00EE1E0D" w:rsidRDefault="00DF0399" w:rsidP="008071E7">
      <w:pPr>
        <w:pStyle w:val="CETBodytext"/>
      </w:pPr>
      <w:r w:rsidRPr="00070C44">
        <w:t xml:space="preserve">Figure </w:t>
      </w:r>
      <w:r>
        <w:t>1</w:t>
      </w:r>
      <w:r w:rsidRPr="00070C44">
        <w:t xml:space="preserve"> </w:t>
      </w:r>
      <w:r>
        <w:t>shows</w:t>
      </w:r>
      <w:r w:rsidRPr="00070C44">
        <w:t xml:space="preserve"> the time profiles of </w:t>
      </w:r>
      <w:r>
        <w:t>the pH and the biomass, substrate, and product concentrations under</w:t>
      </w:r>
      <w:r w:rsidRPr="00070C44">
        <w:t xml:space="preserve"> different experimental conditions.</w:t>
      </w:r>
      <w:r w:rsidR="001C0881">
        <w:rPr>
          <w:lang w:val="en-GB"/>
        </w:rPr>
        <w:t xml:space="preserve"> </w:t>
      </w:r>
      <w:r w:rsidR="00FC2D93" w:rsidRPr="00070C44">
        <w:t xml:space="preserve">All tests were carried out at </w:t>
      </w:r>
      <w:r w:rsidR="00FC2D93">
        <w:t xml:space="preserve">initial concentrations of </w:t>
      </w:r>
      <w:r w:rsidR="00FC2D93" w:rsidRPr="00070C44">
        <w:t xml:space="preserve">ethanol </w:t>
      </w:r>
      <w:r w:rsidR="00FC2D93">
        <w:t>(</w:t>
      </w:r>
      <w:r w:rsidR="00FC2D93" w:rsidRPr="00070C44">
        <w:t>main electron donor</w:t>
      </w:r>
      <w:r w:rsidR="00FC2D93">
        <w:t>) and succinic acid of 13 and 6 g/L, respectively</w:t>
      </w:r>
      <w:r w:rsidR="00FC2D93" w:rsidRPr="00070C44">
        <w:t>.</w:t>
      </w:r>
      <w:r w:rsidR="001C0881" w:rsidRPr="00070C44">
        <w:rPr>
          <w:lang w:val="en-GB"/>
        </w:rPr>
        <w:t xml:space="preserve"> </w:t>
      </w:r>
      <w:r w:rsidRPr="00070C44">
        <w:t xml:space="preserve">The effect of acetate availability on microbial growth and product formation was assessed by </w:t>
      </w:r>
      <w:r>
        <w:t xml:space="preserve">tuning </w:t>
      </w:r>
      <w:r w:rsidRPr="00070C44">
        <w:t xml:space="preserve">the initial </w:t>
      </w:r>
      <w:r>
        <w:t>concentration of acetic acid:</w:t>
      </w:r>
      <w:r w:rsidRPr="00070C44">
        <w:t xml:space="preserve"> fermentation </w:t>
      </w:r>
      <w:r>
        <w:t>tests</w:t>
      </w:r>
      <w:r w:rsidRPr="00070C44">
        <w:t xml:space="preserve"> were </w:t>
      </w:r>
      <w:r>
        <w:t xml:space="preserve">carried out </w:t>
      </w:r>
      <w:r w:rsidRPr="00070C44">
        <w:t xml:space="preserve">at initial acetate concentrations of 1 </w:t>
      </w:r>
      <w:r>
        <w:t>(A-B) and</w:t>
      </w:r>
      <w:r w:rsidRPr="00070C44">
        <w:t xml:space="preserve"> 2 </w:t>
      </w:r>
      <w:r>
        <w:t xml:space="preserve">(C-D) </w:t>
      </w:r>
      <w:r w:rsidRPr="00070C44">
        <w:t>g/L</w:t>
      </w:r>
      <w:r>
        <w:t>, and without</w:t>
      </w:r>
      <w:r w:rsidRPr="00070C44">
        <w:t xml:space="preserve"> acetate </w:t>
      </w:r>
      <w:r>
        <w:t>(E-F)</w:t>
      </w:r>
      <w:r w:rsidRPr="00070C44">
        <w:t>.</w:t>
      </w:r>
      <w:r w:rsidR="00EE1E0D" w:rsidRPr="00EE1E0D">
        <w:t xml:space="preserve"> </w:t>
      </w:r>
    </w:p>
    <w:p w14:paraId="1CF4932D" w14:textId="6984F10A" w:rsidR="00113AC6" w:rsidRDefault="008638F0" w:rsidP="005E7CED">
      <w:pPr>
        <w:pStyle w:val="CETBodytext"/>
        <w:spacing w:after="120"/>
        <w:contextualSpacing/>
      </w:pPr>
      <w:r w:rsidRPr="008638F0">
        <w:rPr>
          <w:lang w:val="en-GB"/>
        </w:rPr>
        <w:t xml:space="preserve">Significant cell growth was observed under all tested conditions, confirming the ability of </w:t>
      </w:r>
      <w:r w:rsidR="00C65C39" w:rsidRPr="004E4432">
        <w:rPr>
          <w:i/>
          <w:iCs/>
        </w:rPr>
        <w:t>C. kluyveri</w:t>
      </w:r>
      <w:r w:rsidRPr="008638F0">
        <w:rPr>
          <w:lang w:val="en-GB"/>
        </w:rPr>
        <w:t xml:space="preserve"> to utilize the tested substrates</w:t>
      </w:r>
      <w:r w:rsidR="00DF0399">
        <w:t>Tests I and II were characterized by a rapid increase in the biomass concentration from the beginning of fermentation, approaching a maximum value after approximately 24 h.</w:t>
      </w:r>
      <w:r w:rsidR="008F1139">
        <w:t xml:space="preserve"> </w:t>
      </w:r>
      <w:r w:rsidR="008F1139" w:rsidRPr="00AF6CBE">
        <w:t xml:space="preserve">No appreciable differences were observed in either the maximum cell concentration or the specific growth rate, which were </w:t>
      </w:r>
      <w:r w:rsidR="008F1139" w:rsidRPr="00AF6CBE">
        <w:rPr>
          <w:rStyle w:val="Strong"/>
          <w:b w:val="0"/>
        </w:rPr>
        <w:t>0.65 and 0.6</w:t>
      </w:r>
      <w:r w:rsidR="00330EC1" w:rsidRPr="00AF6CBE">
        <w:rPr>
          <w:rStyle w:val="Strong"/>
          <w:b w:val="0"/>
        </w:rPr>
        <w:t>0</w:t>
      </w:r>
      <w:r w:rsidR="008F1139" w:rsidRPr="00AF6CBE">
        <w:rPr>
          <w:rStyle w:val="Strong"/>
          <w:b w:val="0"/>
        </w:rPr>
        <w:t xml:space="preserve"> g L</w:t>
      </w:r>
      <w:r w:rsidR="008F1139" w:rsidRPr="00AF6CBE">
        <w:rPr>
          <w:rStyle w:val="Strong"/>
          <w:rFonts w:ascii="Cambria Math" w:hAnsi="Cambria Math" w:cs="Cambria Math"/>
          <w:b w:val="0"/>
        </w:rPr>
        <w:t>⁻</w:t>
      </w:r>
      <w:r w:rsidR="008F1139" w:rsidRPr="00AF6CBE">
        <w:rPr>
          <w:rStyle w:val="Strong"/>
          <w:rFonts w:cs="Arial"/>
          <w:b w:val="0"/>
        </w:rPr>
        <w:t>¹</w:t>
      </w:r>
      <w:r w:rsidR="008F1139" w:rsidRPr="00AF6CBE">
        <w:t xml:space="preserve"> and </w:t>
      </w:r>
      <w:r w:rsidR="008F1139" w:rsidRPr="00AF6CBE">
        <w:rPr>
          <w:rStyle w:val="Strong"/>
          <w:b w:val="0"/>
        </w:rPr>
        <w:t>0.</w:t>
      </w:r>
      <w:r w:rsidR="00330EC1" w:rsidRPr="00AF6CBE">
        <w:rPr>
          <w:rStyle w:val="Strong"/>
          <w:b w:val="0"/>
        </w:rPr>
        <w:t>090</w:t>
      </w:r>
      <w:r w:rsidR="008F1139" w:rsidRPr="00AF6CBE">
        <w:rPr>
          <w:rStyle w:val="Strong"/>
          <w:b w:val="0"/>
        </w:rPr>
        <w:t xml:space="preserve"> and 0.</w:t>
      </w:r>
      <w:r w:rsidR="00330EC1" w:rsidRPr="00AF6CBE">
        <w:rPr>
          <w:rStyle w:val="Strong"/>
          <w:b w:val="0"/>
        </w:rPr>
        <w:t>085</w:t>
      </w:r>
      <w:r w:rsidR="008F1139" w:rsidRPr="00AF6CBE">
        <w:rPr>
          <w:rStyle w:val="Strong"/>
          <w:b w:val="0"/>
        </w:rPr>
        <w:t xml:space="preserve"> h</w:t>
      </w:r>
      <w:r w:rsidR="008F1139" w:rsidRPr="00AF6CBE">
        <w:rPr>
          <w:rStyle w:val="Strong"/>
          <w:rFonts w:ascii="Cambria Math" w:hAnsi="Cambria Math" w:cs="Cambria Math"/>
          <w:b w:val="0"/>
        </w:rPr>
        <w:t>⁻</w:t>
      </w:r>
      <w:r w:rsidR="008F1139" w:rsidRPr="00AF6CBE">
        <w:rPr>
          <w:rStyle w:val="Strong"/>
          <w:rFonts w:cs="Arial"/>
          <w:b w:val="0"/>
        </w:rPr>
        <w:t>¹</w:t>
      </w:r>
      <w:r w:rsidR="008F1139" w:rsidRPr="00AF6CBE">
        <w:t xml:space="preserve"> </w:t>
      </w:r>
      <w:r w:rsidR="00330EC1" w:rsidRPr="00AF6CBE">
        <w:t>for t</w:t>
      </w:r>
      <w:r w:rsidR="008F1139" w:rsidRPr="00AF6CBE">
        <w:t>ests I and II, respectively (Table 1).</w:t>
      </w:r>
      <w:r w:rsidR="00113AC6">
        <w:t xml:space="preserve"> </w:t>
      </w:r>
      <w:r w:rsidR="00CD73BB">
        <w:t>The cell growth rate measured in test III was slower than that measured in tests I and II.</w:t>
      </w:r>
      <w:r w:rsidR="00113AC6">
        <w:t xml:space="preserve"> </w:t>
      </w:r>
      <w:r w:rsidR="00CD73BB">
        <w:t>Cell growth extended over a longer period, and the maximum biomass concentration (0.62 g/L) was approached only after approximately 48 h, including a short lag phase.</w:t>
      </w:r>
      <w:r w:rsidR="00113AC6">
        <w:t xml:space="preserve"> This </w:t>
      </w:r>
      <w:r w:rsidR="005E7CED">
        <w:t xml:space="preserve">lag phase </w:t>
      </w:r>
      <w:r w:rsidR="00113AC6">
        <w:t>was likely due to the absence of acetic acid and the need for the bacteria to adapt to succinate as the sole electron acceptor.</w:t>
      </w:r>
    </w:p>
    <w:p w14:paraId="6DBEF43F" w14:textId="0C61DFD6" w:rsidR="00113AC6" w:rsidRDefault="002279C9" w:rsidP="00113AC6">
      <w:pPr>
        <w:pStyle w:val="CETBodytext"/>
        <w:spacing w:after="120"/>
        <w:contextualSpacing/>
      </w:pPr>
      <w:r>
        <w:t xml:space="preserve">There are few reports on the specific growth rate of </w:t>
      </w:r>
      <w:r w:rsidRPr="003F1AE5">
        <w:rPr>
          <w:i/>
          <w:iCs/>
        </w:rPr>
        <w:t>C. kluyveri</w:t>
      </w:r>
      <w:r>
        <w:t xml:space="preserve"> in the presence of succinate plus ethanol</w:t>
      </w:r>
      <w:r w:rsidRPr="00722602">
        <w:t>.</w:t>
      </w:r>
      <w:r w:rsidR="00113AC6" w:rsidRPr="00722602">
        <w:t xml:space="preserve"> </w:t>
      </w:r>
      <w:r w:rsidR="00CD73BB">
        <w:t>S</w:t>
      </w:r>
      <w:r w:rsidR="00CD73BB" w:rsidRPr="00722602">
        <w:t>pecific growth rates reported for growth on other C4 substrates</w:t>
      </w:r>
      <w:r w:rsidR="00CD73BB">
        <w:t>,</w:t>
      </w:r>
      <w:r w:rsidR="00CD73BB" w:rsidRPr="00722602">
        <w:t xml:space="preserve"> such as butyrate</w:t>
      </w:r>
      <w:r w:rsidR="00CD73BB">
        <w:t>,</w:t>
      </w:r>
      <w:r w:rsidR="00CD73BB" w:rsidRPr="00722602">
        <w:t xml:space="preserve"> range </w:t>
      </w:r>
      <w:r w:rsidR="00CD73BB">
        <w:t xml:space="preserve">between </w:t>
      </w:r>
      <w:r w:rsidR="00CD73BB" w:rsidRPr="00722602">
        <w:t>0.029 h</w:t>
      </w:r>
      <w:r w:rsidR="00CD73BB" w:rsidRPr="00722602">
        <w:rPr>
          <w:rFonts w:ascii="Cambria Math" w:hAnsi="Cambria Math" w:cs="Cambria Math"/>
        </w:rPr>
        <w:t>⁻</w:t>
      </w:r>
      <w:r w:rsidR="00CD73BB" w:rsidRPr="00722602">
        <w:rPr>
          <w:rFonts w:cs="Arial"/>
        </w:rPr>
        <w:t>¹</w:t>
      </w:r>
      <w:r w:rsidR="00CD73BB" w:rsidRPr="00722602">
        <w:t xml:space="preserve"> in the presence of 2.2 g/L butyrate and 16 g/L ethanol (Weimer and Stevenson, 2012)</w:t>
      </w:r>
      <w:r w:rsidR="00CD73BB">
        <w:t xml:space="preserve"> and </w:t>
      </w:r>
      <w:r w:rsidR="00CD73BB" w:rsidRPr="00722602">
        <w:t>high values (0.039 h</w:t>
      </w:r>
      <w:r w:rsidR="00CD73BB" w:rsidRPr="001B13FA">
        <w:rPr>
          <w:vertAlign w:val="superscript"/>
        </w:rPr>
        <w:t>-1</w:t>
      </w:r>
      <w:r w:rsidR="00CD73BB" w:rsidRPr="00722602">
        <w:t xml:space="preserve">) </w:t>
      </w:r>
      <w:r w:rsidR="00CD73BB">
        <w:t xml:space="preserve">measured </w:t>
      </w:r>
      <w:r w:rsidR="00CD73BB" w:rsidRPr="00722602">
        <w:t xml:space="preserve">for ethanol/acetate/butyrate mixtures </w:t>
      </w:r>
      <w:r w:rsidR="00CD73BB">
        <w:t xml:space="preserve">at concentrations of 15, 5.3, and 8.5 g/L, respectively </w:t>
      </w:r>
      <w:r w:rsidR="00CD73BB" w:rsidRPr="00722602">
        <w:t>(San Valero et al., 2019).</w:t>
      </w:r>
      <w:r w:rsidR="00113AC6" w:rsidRPr="00722602">
        <w:t xml:space="preserve"> </w:t>
      </w:r>
      <w:r w:rsidR="00CD73BB" w:rsidRPr="00722602">
        <w:t xml:space="preserve">The slightly higher growth rates </w:t>
      </w:r>
      <w:r w:rsidR="00CD73BB">
        <w:t xml:space="preserve">measured </w:t>
      </w:r>
      <w:r w:rsidR="00CD73BB" w:rsidRPr="00722602">
        <w:t xml:space="preserve">in this study </w:t>
      </w:r>
      <w:r w:rsidR="00CD73BB">
        <w:t xml:space="preserve">with respect to data reported in the literature </w:t>
      </w:r>
      <w:r w:rsidR="00CD73BB" w:rsidRPr="009C5174">
        <w:t xml:space="preserve">suggest that the growth kinetics of </w:t>
      </w:r>
      <w:r w:rsidR="00CD73BB" w:rsidRPr="009C5174">
        <w:rPr>
          <w:i/>
          <w:iCs/>
        </w:rPr>
        <w:t>C. kluyveri</w:t>
      </w:r>
      <w:r w:rsidR="00CD73BB" w:rsidRPr="009C5174">
        <w:t xml:space="preserve"> may be strongly </w:t>
      </w:r>
      <w:r w:rsidR="00CD73BB">
        <w:t xml:space="preserve">affected </w:t>
      </w:r>
      <w:r w:rsidR="00CD73BB" w:rsidRPr="009C5174">
        <w:t xml:space="preserve">by substrate concentration </w:t>
      </w:r>
      <w:r w:rsidR="00CD73BB">
        <w:t xml:space="preserve">and </w:t>
      </w:r>
      <w:r w:rsidR="00CD73BB" w:rsidRPr="009C5174">
        <w:t>the nature of the electron donors and acceptors provided.</w:t>
      </w:r>
      <w:r w:rsidR="00D41EE6">
        <w:t xml:space="preserve"> </w:t>
      </w:r>
    </w:p>
    <w:p w14:paraId="51ACF8FD" w14:textId="77777777" w:rsidR="00113AC6" w:rsidRDefault="00CD73BB" w:rsidP="00113AC6">
      <w:pPr>
        <w:pStyle w:val="CETBodytext"/>
        <w:spacing w:after="120"/>
        <w:contextualSpacing/>
        <w:rPr>
          <w:iCs/>
          <w:color w:val="000000" w:themeColor="text1"/>
        </w:rPr>
      </w:pPr>
      <w:r w:rsidRPr="00E239D8">
        <w:rPr>
          <w:iCs/>
          <w:color w:val="000000" w:themeColor="text1"/>
        </w:rPr>
        <w:t>Ethanol and succinic acid concentrations decreased progressively as the cells gr</w:t>
      </w:r>
      <w:r>
        <w:rPr>
          <w:iCs/>
          <w:color w:val="000000" w:themeColor="text1"/>
        </w:rPr>
        <w:t>ew</w:t>
      </w:r>
      <w:r w:rsidRPr="00E239D8">
        <w:rPr>
          <w:iCs/>
          <w:color w:val="000000" w:themeColor="text1"/>
        </w:rPr>
        <w:t>.</w:t>
      </w:r>
      <w:r w:rsidR="00113AC6" w:rsidRPr="00E239D8">
        <w:rPr>
          <w:iCs/>
          <w:color w:val="000000" w:themeColor="text1"/>
        </w:rPr>
        <w:t xml:space="preserve"> </w:t>
      </w:r>
      <w:r w:rsidR="00D41EE6">
        <w:rPr>
          <w:iCs/>
          <w:color w:val="000000" w:themeColor="text1"/>
        </w:rPr>
        <w:t>S</w:t>
      </w:r>
      <w:r w:rsidR="00113AC6" w:rsidRPr="00E239D8">
        <w:rPr>
          <w:iCs/>
          <w:color w:val="000000" w:themeColor="text1"/>
        </w:rPr>
        <w:t xml:space="preserve">uccinic acid was almost completely consumed </w:t>
      </w:r>
      <w:r w:rsidR="00113AC6">
        <w:rPr>
          <w:iCs/>
          <w:color w:val="000000" w:themeColor="text1"/>
        </w:rPr>
        <w:t>under</w:t>
      </w:r>
      <w:r w:rsidR="00113AC6" w:rsidRPr="00E239D8">
        <w:rPr>
          <w:iCs/>
          <w:color w:val="000000" w:themeColor="text1"/>
        </w:rPr>
        <w:t xml:space="preserve"> all </w:t>
      </w:r>
      <w:r w:rsidR="00D41EE6">
        <w:rPr>
          <w:iCs/>
          <w:color w:val="000000" w:themeColor="text1"/>
        </w:rPr>
        <w:t xml:space="preserve">operating </w:t>
      </w:r>
      <w:r w:rsidR="00B344DA" w:rsidRPr="00E239D8">
        <w:rPr>
          <w:iCs/>
          <w:color w:val="000000" w:themeColor="text1"/>
        </w:rPr>
        <w:t>conditions;</w:t>
      </w:r>
      <w:r w:rsidR="00113AC6" w:rsidRPr="00E239D8">
        <w:rPr>
          <w:iCs/>
          <w:color w:val="000000" w:themeColor="text1"/>
        </w:rPr>
        <w:t xml:space="preserve"> ethanol </w:t>
      </w:r>
      <w:r w:rsidR="00D41EE6">
        <w:rPr>
          <w:iCs/>
          <w:color w:val="000000" w:themeColor="text1"/>
        </w:rPr>
        <w:t xml:space="preserve">approached </w:t>
      </w:r>
      <w:r w:rsidR="00113AC6" w:rsidRPr="00E239D8">
        <w:rPr>
          <w:iCs/>
          <w:color w:val="000000" w:themeColor="text1"/>
        </w:rPr>
        <w:t xml:space="preserve">a residual concentration of approximately 3 g/L in </w:t>
      </w:r>
      <w:r w:rsidR="00B344DA">
        <w:rPr>
          <w:iCs/>
          <w:color w:val="000000" w:themeColor="text1"/>
        </w:rPr>
        <w:t>tests</w:t>
      </w:r>
      <w:r w:rsidR="00113AC6">
        <w:rPr>
          <w:iCs/>
          <w:color w:val="000000" w:themeColor="text1"/>
        </w:rPr>
        <w:t xml:space="preserve"> I and II and approximately 4 </w:t>
      </w:r>
      <w:r w:rsidR="00113AC6" w:rsidRPr="00E239D8">
        <w:rPr>
          <w:iCs/>
          <w:color w:val="000000" w:themeColor="text1"/>
        </w:rPr>
        <w:t xml:space="preserve">g/L in </w:t>
      </w:r>
      <w:r w:rsidR="00D41EE6">
        <w:rPr>
          <w:iCs/>
          <w:color w:val="000000" w:themeColor="text1"/>
        </w:rPr>
        <w:t xml:space="preserve">test </w:t>
      </w:r>
      <w:r w:rsidR="00930B56">
        <w:rPr>
          <w:iCs/>
          <w:color w:val="000000" w:themeColor="text1"/>
        </w:rPr>
        <w:t>III</w:t>
      </w:r>
      <w:r w:rsidR="00D41EE6">
        <w:rPr>
          <w:iCs/>
          <w:color w:val="000000" w:themeColor="text1"/>
        </w:rPr>
        <w:t xml:space="preserve">. </w:t>
      </w:r>
    </w:p>
    <w:p w14:paraId="73D8F586" w14:textId="37DED1A3" w:rsidR="00113AC6" w:rsidRDefault="00113AC6" w:rsidP="00113AC6">
      <w:pPr>
        <w:pStyle w:val="CETBodytext"/>
        <w:spacing w:after="120"/>
        <w:contextualSpacing/>
        <w:rPr>
          <w:iCs/>
          <w:lang w:val="en-GB"/>
        </w:rPr>
      </w:pPr>
      <w:r w:rsidRPr="0049209D">
        <w:rPr>
          <w:iCs/>
          <w:lang w:val="en-GB"/>
        </w:rPr>
        <w:lastRenderedPageBreak/>
        <w:t xml:space="preserve">The main products obtained during batch </w:t>
      </w:r>
      <w:r>
        <w:rPr>
          <w:iCs/>
          <w:lang w:val="en-GB"/>
        </w:rPr>
        <w:t>fermentation</w:t>
      </w:r>
      <w:r w:rsidRPr="0049209D">
        <w:rPr>
          <w:iCs/>
          <w:lang w:val="en-GB"/>
        </w:rPr>
        <w:t xml:space="preserve"> using </w:t>
      </w:r>
      <w:r w:rsidRPr="0049209D">
        <w:rPr>
          <w:i/>
          <w:lang w:val="en-GB"/>
        </w:rPr>
        <w:t>C. kluyveri</w:t>
      </w:r>
      <w:r w:rsidRPr="0049209D">
        <w:rPr>
          <w:iCs/>
          <w:lang w:val="en-GB"/>
        </w:rPr>
        <w:t xml:space="preserve"> with ethanol and succinic acid were butyric </w:t>
      </w:r>
      <w:r>
        <w:rPr>
          <w:iCs/>
          <w:lang w:val="en-GB"/>
        </w:rPr>
        <w:t xml:space="preserve">and hexanoic acids. </w:t>
      </w:r>
      <w:r w:rsidR="00CD73BB">
        <w:rPr>
          <w:iCs/>
        </w:rPr>
        <w:t>In tests I (Figure B) and II</w:t>
      </w:r>
      <w:r w:rsidR="00CD73BB" w:rsidRPr="0049209D">
        <w:rPr>
          <w:iCs/>
        </w:rPr>
        <w:t xml:space="preserve"> (Figure D)</w:t>
      </w:r>
      <w:r w:rsidR="00CD73BB">
        <w:rPr>
          <w:iCs/>
        </w:rPr>
        <w:t>,</w:t>
      </w:r>
      <w:r w:rsidR="00CD73BB" w:rsidRPr="0049209D">
        <w:rPr>
          <w:iCs/>
        </w:rPr>
        <w:t xml:space="preserve"> butyric acid production started in the first 12 h of the process </w:t>
      </w:r>
      <w:r w:rsidR="00CD73BB">
        <w:rPr>
          <w:iCs/>
        </w:rPr>
        <w:t>at the onset of ethanol and succinate uptake</w:t>
      </w:r>
      <w:r w:rsidR="00CD73BB" w:rsidRPr="0049209D">
        <w:rPr>
          <w:iCs/>
        </w:rPr>
        <w:t>.</w:t>
      </w:r>
      <w:r w:rsidRPr="0049209D">
        <w:rPr>
          <w:i/>
          <w:lang w:val="en-GB"/>
        </w:rPr>
        <w:t xml:space="preserve"> </w:t>
      </w:r>
      <w:r w:rsidRPr="0049209D">
        <w:rPr>
          <w:iCs/>
          <w:lang w:val="en-GB"/>
        </w:rPr>
        <w:t xml:space="preserve">In both cases, the butyric acid concentration increased rapidly, </w:t>
      </w:r>
      <w:r w:rsidR="00655451">
        <w:rPr>
          <w:iCs/>
          <w:lang w:val="en-GB"/>
        </w:rPr>
        <w:t xml:space="preserve">approaching </w:t>
      </w:r>
      <w:r w:rsidRPr="0049209D">
        <w:rPr>
          <w:iCs/>
          <w:lang w:val="en-GB"/>
        </w:rPr>
        <w:t xml:space="preserve">a plateau </w:t>
      </w:r>
      <w:r>
        <w:rPr>
          <w:iCs/>
          <w:lang w:val="en-GB"/>
        </w:rPr>
        <w:t xml:space="preserve">at </w:t>
      </w:r>
      <w:r w:rsidR="00655451">
        <w:rPr>
          <w:iCs/>
          <w:lang w:val="en-GB"/>
        </w:rPr>
        <w:t xml:space="preserve">about </w:t>
      </w:r>
      <w:r w:rsidRPr="0049209D">
        <w:rPr>
          <w:iCs/>
          <w:lang w:val="en-GB"/>
        </w:rPr>
        <w:t>3.5 g/L after approximately 36–48 h of fermentation</w:t>
      </w:r>
      <w:r w:rsidR="00655451">
        <w:rPr>
          <w:iCs/>
          <w:lang w:val="en-GB"/>
        </w:rPr>
        <w:t>. T</w:t>
      </w:r>
      <w:r w:rsidRPr="0049209D">
        <w:rPr>
          <w:iCs/>
          <w:lang w:val="en-GB"/>
        </w:rPr>
        <w:t xml:space="preserve">he slight increase in </w:t>
      </w:r>
      <w:r>
        <w:rPr>
          <w:iCs/>
          <w:lang w:val="en-GB"/>
        </w:rPr>
        <w:t xml:space="preserve">the </w:t>
      </w:r>
      <w:r w:rsidRPr="0049209D">
        <w:rPr>
          <w:iCs/>
          <w:lang w:val="en-GB"/>
        </w:rPr>
        <w:t xml:space="preserve">initial acetate concentration </w:t>
      </w:r>
      <w:r w:rsidR="00655451">
        <w:rPr>
          <w:iCs/>
          <w:lang w:val="en-GB"/>
        </w:rPr>
        <w:t xml:space="preserve">- </w:t>
      </w:r>
      <w:r w:rsidRPr="0049209D">
        <w:rPr>
          <w:iCs/>
          <w:lang w:val="en-GB"/>
        </w:rPr>
        <w:t>from 1 g/L to 2 g/L</w:t>
      </w:r>
      <w:r w:rsidR="00655451">
        <w:rPr>
          <w:iCs/>
          <w:lang w:val="en-GB"/>
        </w:rPr>
        <w:t xml:space="preserve"> -</w:t>
      </w:r>
      <w:r w:rsidRPr="0049209D">
        <w:rPr>
          <w:iCs/>
          <w:lang w:val="en-GB"/>
        </w:rPr>
        <w:t xml:space="preserve"> had a </w:t>
      </w:r>
      <w:r w:rsidR="009F41D0">
        <w:rPr>
          <w:iCs/>
          <w:lang w:val="en-GB"/>
        </w:rPr>
        <w:t>negligi</w:t>
      </w:r>
      <w:r w:rsidR="00655451">
        <w:rPr>
          <w:iCs/>
          <w:lang w:val="en-GB"/>
        </w:rPr>
        <w:t xml:space="preserve">ble </w:t>
      </w:r>
      <w:r w:rsidRPr="0049209D">
        <w:rPr>
          <w:iCs/>
          <w:lang w:val="en-GB"/>
        </w:rPr>
        <w:t>effect on the overall kinetics.</w:t>
      </w:r>
      <w:r w:rsidRPr="0049209D">
        <w:rPr>
          <w:i/>
          <w:lang w:val="en-GB"/>
        </w:rPr>
        <w:t xml:space="preserve"> </w:t>
      </w:r>
      <w:r w:rsidRPr="0049209D">
        <w:rPr>
          <w:iCs/>
          <w:lang w:val="en-GB"/>
        </w:rPr>
        <w:t>Hexanoic acid began to accumulate only after 12 h of fermentation</w:t>
      </w:r>
      <w:r w:rsidR="00B344DA">
        <w:rPr>
          <w:iCs/>
          <w:lang w:val="en-GB"/>
        </w:rPr>
        <w:t xml:space="preserve"> </w:t>
      </w:r>
      <w:r w:rsidR="00655451">
        <w:rPr>
          <w:iCs/>
          <w:lang w:val="en-GB"/>
        </w:rPr>
        <w:t xml:space="preserve">and approached the </w:t>
      </w:r>
      <w:r w:rsidRPr="0049209D">
        <w:rPr>
          <w:iCs/>
          <w:lang w:val="en-GB"/>
        </w:rPr>
        <w:t xml:space="preserve">concentrations </w:t>
      </w:r>
      <w:r w:rsidR="00655451">
        <w:rPr>
          <w:iCs/>
          <w:lang w:val="en-GB"/>
        </w:rPr>
        <w:t xml:space="preserve">of about </w:t>
      </w:r>
      <w:r w:rsidRPr="0049209D">
        <w:rPr>
          <w:iCs/>
          <w:lang w:val="en-GB"/>
        </w:rPr>
        <w:t xml:space="preserve">4.5 g/L by the end of the </w:t>
      </w:r>
      <w:r w:rsidR="00655451">
        <w:rPr>
          <w:iCs/>
          <w:lang w:val="en-GB"/>
        </w:rPr>
        <w:t>tests</w:t>
      </w:r>
      <w:r w:rsidRPr="0049209D">
        <w:rPr>
          <w:iCs/>
          <w:lang w:val="en-GB"/>
        </w:rPr>
        <w:t>.</w:t>
      </w:r>
    </w:p>
    <w:p w14:paraId="654FF9EF" w14:textId="379EB069" w:rsidR="00A55633" w:rsidRDefault="00FC2D93" w:rsidP="00A55633">
      <w:pPr>
        <w:pStyle w:val="CETBodytext"/>
        <w:rPr>
          <w:i/>
        </w:rPr>
      </w:pPr>
      <w:r>
        <w:rPr>
          <w:iCs/>
          <w:noProof/>
          <w:lang w:val="en-GB" w:eastAsia="en-GB"/>
        </w:rPr>
        <w:drawing>
          <wp:anchor distT="0" distB="0" distL="114300" distR="114300" simplePos="0" relativeHeight="251662336" behindDoc="0" locked="0" layoutInCell="1" allowOverlap="1" wp14:anchorId="5DE27439" wp14:editId="0DC73E7B">
            <wp:simplePos x="0" y="0"/>
            <wp:positionH relativeFrom="column">
              <wp:posOffset>0</wp:posOffset>
            </wp:positionH>
            <wp:positionV relativeFrom="paragraph">
              <wp:posOffset>148590</wp:posOffset>
            </wp:positionV>
            <wp:extent cx="5988050" cy="5039360"/>
            <wp:effectExtent l="19050" t="0" r="0" b="0"/>
            <wp:wrapTopAndBottom/>
            <wp:docPr id="1" name="Immagine 1" descr="A group of graphs showing different types of 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A group of graphs showing different types of ph&#10;&#10;AI-generated content may be incorrect."/>
                    <pic:cNvPicPr>
                      <a:picLocks noChangeAspect="1" noChangeArrowheads="1"/>
                    </pic:cNvPicPr>
                  </pic:nvPicPr>
                  <pic:blipFill>
                    <a:blip r:embed="rId10"/>
                    <a:srcRect/>
                    <a:stretch>
                      <a:fillRect/>
                    </a:stretch>
                  </pic:blipFill>
                  <pic:spPr bwMode="auto">
                    <a:xfrm>
                      <a:off x="0" y="0"/>
                      <a:ext cx="5988050" cy="5039360"/>
                    </a:xfrm>
                    <a:prstGeom prst="rect">
                      <a:avLst/>
                    </a:prstGeom>
                    <a:noFill/>
                    <a:ln w="9525">
                      <a:noFill/>
                      <a:miter lim="800000"/>
                      <a:headEnd/>
                      <a:tailEnd/>
                    </a:ln>
                  </pic:spPr>
                </pic:pic>
              </a:graphicData>
            </a:graphic>
          </wp:anchor>
        </w:drawing>
      </w:r>
      <w:r w:rsidR="00632097">
        <w:rPr>
          <w:noProof/>
        </w:rPr>
        <w:pict w14:anchorId="4A5DD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2050" type="#_x0000_t75" style="position:absolute;left:0;text-align:left;margin-left:688.05pt;margin-top:306.4pt;width:1.65pt;height:2.15pt;z-index:251660288;visibility:visible;mso-wrap-style:square;mso-width-percent:0;mso-height-percent:0;mso-wrap-distance-left:3.44969mm;mso-wrap-distance-top:.28186mm;mso-wrap-distance-right:3.44258mm;mso-wrap-distance-bottom:.2731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">
            <v:imagedata r:id="rId11" o:title=""/>
            <o:lock v:ext="edit" rotation="t" aspectratio="f"/>
          </v:shape>
        </w:pict>
      </w:r>
    </w:p>
    <w:p w14:paraId="48342103" w14:textId="77777777" w:rsidR="006F745E" w:rsidRPr="00307D00" w:rsidRDefault="006F745E" w:rsidP="00A55633">
      <w:pPr>
        <w:pStyle w:val="CETBodytext"/>
        <w:rPr>
          <w:i/>
          <w:lang w:val="en-GB"/>
        </w:rPr>
      </w:pPr>
      <w:r w:rsidRPr="00802ADC">
        <w:rPr>
          <w:i/>
        </w:rPr>
        <w:t xml:space="preserve">Figure 1: </w:t>
      </w:r>
      <w:r w:rsidRPr="008071E7">
        <w:rPr>
          <w:i/>
          <w:lang w:val="en-GB"/>
        </w:rPr>
        <w:t>Data measured during batch fermentation</w:t>
      </w:r>
      <w:r w:rsidR="00113AC6">
        <w:rPr>
          <w:i/>
          <w:lang w:val="en-GB"/>
        </w:rPr>
        <w:t>s:</w:t>
      </w:r>
      <w:r w:rsidRPr="008071E7">
        <w:rPr>
          <w:i/>
          <w:lang w:val="en-GB"/>
        </w:rPr>
        <w:t xml:space="preserve"> concentration of cells and pH (left </w:t>
      </w:r>
      <w:r w:rsidR="00113AC6">
        <w:rPr>
          <w:i/>
          <w:lang w:val="en-GB"/>
        </w:rPr>
        <w:t>axis</w:t>
      </w:r>
      <w:r w:rsidRPr="008071E7">
        <w:rPr>
          <w:i/>
          <w:lang w:val="en-GB"/>
        </w:rPr>
        <w:t xml:space="preserve">) and concentration of ethanol, acetic acid, butyric acid, and hexanoic acid (right </w:t>
      </w:r>
      <w:r w:rsidR="00113AC6">
        <w:rPr>
          <w:i/>
          <w:lang w:val="en-GB"/>
        </w:rPr>
        <w:t>axis</w:t>
      </w:r>
      <w:r w:rsidRPr="008071E7">
        <w:rPr>
          <w:i/>
          <w:lang w:val="en-GB"/>
        </w:rPr>
        <w:t xml:space="preserve">). A-B) </w:t>
      </w:r>
      <w:r w:rsidR="00AC7034">
        <w:rPr>
          <w:i/>
          <w:lang w:val="en-GB"/>
        </w:rPr>
        <w:t>Test</w:t>
      </w:r>
      <w:r w:rsidR="00AC7034" w:rsidRPr="008071E7">
        <w:rPr>
          <w:i/>
          <w:lang w:val="en-GB"/>
        </w:rPr>
        <w:t xml:space="preserve"> </w:t>
      </w:r>
      <w:r>
        <w:rPr>
          <w:i/>
          <w:lang w:val="en-GB"/>
        </w:rPr>
        <w:t>I</w:t>
      </w:r>
      <w:r w:rsidRPr="008071E7">
        <w:rPr>
          <w:i/>
          <w:lang w:val="en-GB"/>
        </w:rPr>
        <w:t xml:space="preserve">; C-D) </w:t>
      </w:r>
      <w:r w:rsidR="00AC7034">
        <w:rPr>
          <w:i/>
          <w:lang w:val="en-GB"/>
        </w:rPr>
        <w:t>Test</w:t>
      </w:r>
      <w:r w:rsidR="00AC7034" w:rsidRPr="008071E7">
        <w:rPr>
          <w:i/>
          <w:lang w:val="en-GB"/>
        </w:rPr>
        <w:t xml:space="preserve"> </w:t>
      </w:r>
      <w:r>
        <w:rPr>
          <w:i/>
          <w:lang w:val="en-GB"/>
        </w:rPr>
        <w:t>II</w:t>
      </w:r>
      <w:r w:rsidRPr="008071E7">
        <w:rPr>
          <w:i/>
          <w:lang w:val="en-GB"/>
        </w:rPr>
        <w:t xml:space="preserve">; E-F) </w:t>
      </w:r>
      <w:r w:rsidR="00AC7034">
        <w:rPr>
          <w:i/>
          <w:lang w:val="en-GB"/>
        </w:rPr>
        <w:t>Test</w:t>
      </w:r>
      <w:r w:rsidR="00AC7034" w:rsidRPr="008071E7">
        <w:rPr>
          <w:i/>
          <w:lang w:val="en-GB"/>
        </w:rPr>
        <w:t xml:space="preserve"> </w:t>
      </w:r>
      <w:r>
        <w:rPr>
          <w:i/>
          <w:lang w:val="en-GB"/>
        </w:rPr>
        <w:t>III</w:t>
      </w:r>
      <w:r w:rsidRPr="008071E7">
        <w:rPr>
          <w:i/>
          <w:lang w:val="en-GB"/>
        </w:rPr>
        <w:t>.</w:t>
      </w:r>
      <w:r w:rsidR="00307D00" w:rsidRPr="00307D00">
        <w:rPr>
          <w:i/>
        </w:rPr>
        <w:t xml:space="preserve"> </w:t>
      </w:r>
    </w:p>
    <w:p w14:paraId="12E34C1B" w14:textId="77777777" w:rsidR="005D5157" w:rsidRDefault="005D5157" w:rsidP="0049209D">
      <w:pPr>
        <w:pStyle w:val="CETBodytext"/>
        <w:spacing w:after="120"/>
        <w:contextualSpacing/>
      </w:pPr>
    </w:p>
    <w:p w14:paraId="34EB5D62" w14:textId="77777777" w:rsidR="004D378F" w:rsidRDefault="00655451" w:rsidP="0049209D">
      <w:pPr>
        <w:pStyle w:val="CETBodytext"/>
        <w:spacing w:after="120"/>
        <w:contextualSpacing/>
      </w:pPr>
      <w:r>
        <w:t xml:space="preserve">As regards </w:t>
      </w:r>
      <w:r w:rsidR="00A15837" w:rsidRPr="00BE3126">
        <w:t xml:space="preserve">the yields reported in Table 1, </w:t>
      </w:r>
      <w:r w:rsidR="009672B2">
        <w:t>test</w:t>
      </w:r>
      <w:r w:rsidR="009672B2" w:rsidRPr="00BE3126">
        <w:t xml:space="preserve"> </w:t>
      </w:r>
      <w:r w:rsidR="00A15837" w:rsidRPr="00BE3126">
        <w:t xml:space="preserve">II </w:t>
      </w:r>
      <w:r>
        <w:t xml:space="preserve">was characterized by </w:t>
      </w:r>
      <w:r w:rsidR="009672B2">
        <w:t xml:space="preserve">a </w:t>
      </w:r>
      <w:r w:rsidR="00A15837" w:rsidRPr="00BE3126">
        <w:t>slightly high</w:t>
      </w:r>
      <w:r>
        <w:t>er</w:t>
      </w:r>
      <w:r w:rsidR="00A15837" w:rsidRPr="00BE3126">
        <w:t xml:space="preserve"> overall product formation efficiency (</w:t>
      </w:r>
      <w:r w:rsidR="00A15837" w:rsidRPr="00BE3126">
        <w:rPr>
          <w:rFonts w:cs="Arial"/>
          <w:noProof/>
          <w:szCs w:val="18"/>
        </w:rPr>
        <w:t>Y</w:t>
      </w:r>
      <w:r w:rsidR="00A15837" w:rsidRPr="00BE3126">
        <w:rPr>
          <w:rFonts w:cs="Arial"/>
          <w:noProof/>
          <w:sz w:val="10"/>
          <w:szCs w:val="10"/>
        </w:rPr>
        <w:t>HA/X</w:t>
      </w:r>
      <w:r w:rsidR="00A15837" w:rsidRPr="00BE3126">
        <w:t xml:space="preserve"> = </w:t>
      </w:r>
      <w:r w:rsidR="00B344DA">
        <w:t>7.5</w:t>
      </w:r>
      <w:r w:rsidR="00A15837" w:rsidRPr="00BE3126">
        <w:t xml:space="preserve"> g/g) </w:t>
      </w:r>
      <w:r w:rsidR="009672B2">
        <w:t>than</w:t>
      </w:r>
      <w:r w:rsidR="00A15837" w:rsidRPr="00BE3126">
        <w:t xml:space="preserve"> </w:t>
      </w:r>
      <w:r w:rsidR="009672B2">
        <w:t>test</w:t>
      </w:r>
      <w:r w:rsidR="009672B2" w:rsidRPr="00BE3126">
        <w:t xml:space="preserve"> </w:t>
      </w:r>
      <w:r w:rsidR="00A15837" w:rsidRPr="00BE3126">
        <w:t>I (</w:t>
      </w:r>
      <w:r w:rsidR="00A15837" w:rsidRPr="00BE3126">
        <w:rPr>
          <w:rFonts w:cs="Arial"/>
          <w:noProof/>
          <w:szCs w:val="18"/>
        </w:rPr>
        <w:t>Y</w:t>
      </w:r>
      <w:r w:rsidR="00A15837" w:rsidRPr="00BE3126">
        <w:rPr>
          <w:rFonts w:cs="Arial"/>
          <w:noProof/>
          <w:sz w:val="10"/>
          <w:szCs w:val="10"/>
        </w:rPr>
        <w:t>HA/X</w:t>
      </w:r>
      <w:r w:rsidR="00A15837" w:rsidRPr="00BE3126">
        <w:t xml:space="preserve"> = 6.9 g/g), </w:t>
      </w:r>
      <w:r w:rsidR="004D378F" w:rsidRPr="00BE3126">
        <w:t>suggesting that cell grow</w:t>
      </w:r>
      <w:r>
        <w:t>th</w:t>
      </w:r>
      <w:r w:rsidR="004D378F" w:rsidRPr="00BE3126">
        <w:t xml:space="preserve"> </w:t>
      </w:r>
      <w:r w:rsidR="00422690">
        <w:t>at</w:t>
      </w:r>
      <w:r w:rsidR="004D378F" w:rsidRPr="00BE3126">
        <w:t xml:space="preserve"> a higher initial acetate concentration produced more hexanoate </w:t>
      </w:r>
      <w:r>
        <w:t xml:space="preserve">at </w:t>
      </w:r>
      <w:r w:rsidR="004D378F" w:rsidRPr="00BE3126">
        <w:t>the same amount of biomass</w:t>
      </w:r>
      <w:r>
        <w:t xml:space="preserve"> produced</w:t>
      </w:r>
      <w:r w:rsidR="00BE3126" w:rsidRPr="00BE3126">
        <w:t>.</w:t>
      </w:r>
    </w:p>
    <w:p w14:paraId="446A4D92" w14:textId="77777777" w:rsidR="007D1A2D" w:rsidRDefault="00655451" w:rsidP="0049209D">
      <w:pPr>
        <w:pStyle w:val="CETBodytext"/>
        <w:spacing w:after="120"/>
        <w:contextualSpacing/>
      </w:pPr>
      <w:r>
        <w:t>On the contrary</w:t>
      </w:r>
      <w:r w:rsidR="009672B2">
        <w:t>, the Y</w:t>
      </w:r>
      <w:r w:rsidR="00496DE3" w:rsidRPr="00496DE3">
        <w:rPr>
          <w:vertAlign w:val="subscript"/>
        </w:rPr>
        <w:t>HA/X</w:t>
      </w:r>
      <w:r w:rsidR="009672B2">
        <w:t xml:space="preserve"> values for </w:t>
      </w:r>
      <w:r w:rsidR="009B5479">
        <w:t>tests</w:t>
      </w:r>
      <w:r w:rsidR="009672B2">
        <w:t xml:space="preserve"> I and III were </w:t>
      </w:r>
      <w:r w:rsidR="000E7DCF">
        <w:t>very close</w:t>
      </w:r>
      <w:r w:rsidR="009672B2">
        <w:t xml:space="preserve">, suggesting that the absence of acetate in </w:t>
      </w:r>
      <w:r w:rsidR="007C095C">
        <w:t>test</w:t>
      </w:r>
      <w:r w:rsidR="009672B2">
        <w:t xml:space="preserve"> III exerted only a </w:t>
      </w:r>
      <w:r w:rsidR="00035443">
        <w:t>negligi</w:t>
      </w:r>
      <w:r w:rsidR="000E7DCF">
        <w:t xml:space="preserve">ble </w:t>
      </w:r>
      <w:r w:rsidR="009672B2">
        <w:t xml:space="preserve">effect on hexanoate production per unit of biomass. </w:t>
      </w:r>
      <w:r w:rsidR="00FE31A4">
        <w:t>However, it slowed cell growth kinetics and extended the period to approach the maximum biomass and hexanoate concentrations.</w:t>
      </w:r>
      <w:r w:rsidR="000E7DCF">
        <w:t xml:space="preserve"> As a matter of fact, the productivity of hexanoate decreased.</w:t>
      </w:r>
    </w:p>
    <w:p w14:paraId="3D2EB321" w14:textId="77777777" w:rsidR="0044167E" w:rsidRDefault="00FE31A4" w:rsidP="0049209D">
      <w:pPr>
        <w:pStyle w:val="CETBodytext"/>
        <w:spacing w:after="120"/>
        <w:contextualSpacing/>
      </w:pPr>
      <w:r>
        <w:t>The hexanoate yield per unit of ethanol consumed (Y</w:t>
      </w:r>
      <w:r w:rsidRPr="00B16472">
        <w:rPr>
          <w:vertAlign w:val="subscript"/>
        </w:rPr>
        <w:t>HA/E</w:t>
      </w:r>
      <w:r>
        <w:t>) changed remarkably: 0.5 g/g in test I and 0.6 g/g in tests II and III.</w:t>
      </w:r>
      <w:r w:rsidR="000E7DCF">
        <w:t xml:space="preserve"> </w:t>
      </w:r>
      <w:r>
        <w:t>The ethanol conversion efficiency to hexanoate was only slightly affected by experimental conditions.</w:t>
      </w:r>
    </w:p>
    <w:p w14:paraId="439AD1B4" w14:textId="77777777" w:rsidR="00710CD3" w:rsidRDefault="00FE31A4" w:rsidP="0049209D">
      <w:pPr>
        <w:pStyle w:val="CETBodytext"/>
        <w:spacing w:after="120"/>
        <w:contextualSpacing/>
      </w:pPr>
      <w:r>
        <w:t>T</w:t>
      </w:r>
      <w:r w:rsidRPr="00710CD3">
        <w:t xml:space="preserve">he </w:t>
      </w:r>
      <w:r>
        <w:t>constancy</w:t>
      </w:r>
      <w:r w:rsidRPr="00710CD3">
        <w:t xml:space="preserve"> </w:t>
      </w:r>
      <w:r>
        <w:t>of Y</w:t>
      </w:r>
      <w:r w:rsidRPr="00B16472">
        <w:rPr>
          <w:vertAlign w:val="subscript"/>
        </w:rPr>
        <w:t>HA/E</w:t>
      </w:r>
      <w:r w:rsidRPr="00710CD3">
        <w:t xml:space="preserve"> </w:t>
      </w:r>
      <w:r>
        <w:t xml:space="preserve">for </w:t>
      </w:r>
      <w:r w:rsidRPr="00710CD3">
        <w:t>all tests and the accumulation of both butyrate and hexanoate suggest that a substantial fraction of the butyrate formed was elongated to hexanoate.</w:t>
      </w:r>
      <w:r w:rsidR="00710CD3" w:rsidRPr="00710CD3">
        <w:t xml:space="preserve"> This pattern is consistent with the </w:t>
      </w:r>
      <w:r w:rsidR="00710CD3" w:rsidRPr="00710CD3">
        <w:lastRenderedPageBreak/>
        <w:t xml:space="preserve">established reverse </w:t>
      </w:r>
      <w:r w:rsidR="005775A3">
        <w:t>β-oxidation</w:t>
      </w:r>
      <w:r w:rsidR="00710CD3" w:rsidRPr="00710CD3">
        <w:t xml:space="preserve"> pathway in </w:t>
      </w:r>
      <w:r w:rsidR="00710CD3" w:rsidRPr="00EE027C">
        <w:rPr>
          <w:i/>
          <w:iCs/>
        </w:rPr>
        <w:t>C. kluyveri</w:t>
      </w:r>
      <w:r w:rsidR="006373B7">
        <w:t>:</w:t>
      </w:r>
      <w:r w:rsidR="006373B7" w:rsidRPr="00710CD3">
        <w:t xml:space="preserve"> </w:t>
      </w:r>
      <w:r w:rsidR="00710CD3" w:rsidRPr="00710CD3">
        <w:t xml:space="preserve">ethanol-derived </w:t>
      </w:r>
      <w:r w:rsidR="005775A3">
        <w:t>acetyl-CoA</w:t>
      </w:r>
      <w:r w:rsidR="00710CD3" w:rsidRPr="00710CD3">
        <w:t xml:space="preserve"> is first condensed to </w:t>
      </w:r>
      <w:r w:rsidR="005775A3">
        <w:t>butyryl-CoA</w:t>
      </w:r>
      <w:r w:rsidR="00710CD3" w:rsidRPr="00710CD3">
        <w:t xml:space="preserve"> (leading to extracellular butyrate) and then further converted to </w:t>
      </w:r>
      <w:r w:rsidR="005775A3">
        <w:t>hexanoyl-CoA</w:t>
      </w:r>
      <w:r w:rsidR="00710CD3" w:rsidRPr="00710CD3">
        <w:t xml:space="preserve"> before hexanoic acid is released (Candry et al., 2018).</w:t>
      </w:r>
    </w:p>
    <w:p w14:paraId="256BC2A1" w14:textId="77777777" w:rsidR="00BC2882" w:rsidRDefault="00FE31A4" w:rsidP="0049209D">
      <w:pPr>
        <w:pStyle w:val="CETBodytext"/>
        <w:spacing w:after="120"/>
        <w:contextualSpacing/>
      </w:pPr>
      <w:r w:rsidRPr="007B54D7">
        <w:t>In experiment III (Figure F), performed without acetic acid supplementation, both butyric and hexanoic acids accumulated more slowly than in the acetate-supplemented tests (I and II).</w:t>
      </w:r>
      <w:r w:rsidR="00BC2882" w:rsidRPr="007B54D7">
        <w:t xml:space="preserve"> </w:t>
      </w:r>
      <w:r w:rsidRPr="007B54D7">
        <w:t xml:space="preserve">Butyric acid approached a low final concentration (~2.8 g/L), whereas hexanoic acid accumulated at ~4.3 g/L after 48 h, </w:t>
      </w:r>
      <w:r w:rsidRPr="00162A37">
        <w:t>as measured in tests I and II (~4.5 g/L).</w:t>
      </w:r>
      <w:r w:rsidR="00BC2882" w:rsidRPr="00162A37">
        <w:t xml:space="preserve"> </w:t>
      </w:r>
      <w:r w:rsidR="00E71C11" w:rsidRPr="00162A37">
        <w:t>The results</w:t>
      </w:r>
      <w:r w:rsidR="00E71C11" w:rsidRPr="007B54D7">
        <w:t xml:space="preserve"> suggest that acetate </w:t>
      </w:r>
      <w:r w:rsidR="00E71C11">
        <w:t xml:space="preserve">supplementation increased </w:t>
      </w:r>
      <w:r w:rsidR="00E71C11" w:rsidRPr="00BC2882">
        <w:t xml:space="preserve">the growth </w:t>
      </w:r>
      <w:r w:rsidR="00E71C11">
        <w:t>rate</w:t>
      </w:r>
      <w:r w:rsidR="00E71C11" w:rsidRPr="00BC2882">
        <w:t xml:space="preserve"> and butyrate production without substantially altering </w:t>
      </w:r>
      <w:r w:rsidR="00E71C11">
        <w:t xml:space="preserve">the </w:t>
      </w:r>
      <w:r w:rsidR="00E71C11" w:rsidRPr="00BC2882">
        <w:t>final hexanoate titers.</w:t>
      </w:r>
      <w:r w:rsidR="00BC2882" w:rsidRPr="00BC2882">
        <w:t xml:space="preserve"> </w:t>
      </w:r>
      <w:r w:rsidR="00E71C11" w:rsidRPr="00BC2882">
        <w:t xml:space="preserve">The slow </w:t>
      </w:r>
      <w:r w:rsidR="00E71C11">
        <w:t xml:space="preserve">cell </w:t>
      </w:r>
      <w:r w:rsidR="00E71C11" w:rsidRPr="00BC2882">
        <w:t xml:space="preserve">kinetics </w:t>
      </w:r>
      <w:r w:rsidR="00E71C11">
        <w:t xml:space="preserve">measured </w:t>
      </w:r>
      <w:r w:rsidR="00E71C11" w:rsidRPr="00BC2882">
        <w:t xml:space="preserve">in </w:t>
      </w:r>
      <w:r w:rsidR="00E71C11">
        <w:t>t</w:t>
      </w:r>
      <w:r w:rsidR="00E71C11" w:rsidRPr="00BC2882">
        <w:t xml:space="preserve">est III may reflect a temporary limitation of C2 unit availability for chain elongation initiation, as acetyl-CoA formation is coupled </w:t>
      </w:r>
      <w:r w:rsidR="00E71C11">
        <w:t>to</w:t>
      </w:r>
      <w:r w:rsidR="00E71C11" w:rsidRPr="00BC2882">
        <w:t xml:space="preserve"> ethanol oxidation</w:t>
      </w:r>
      <w:r w:rsidR="00E71C11">
        <w:t>.</w:t>
      </w:r>
      <w:r w:rsidR="00422690">
        <w:t xml:space="preserve"> However</w:t>
      </w:r>
      <w:r w:rsidR="00BC2882" w:rsidRPr="00BC2882">
        <w:t xml:space="preserve">, the comparable final hexanoate suggests that </w:t>
      </w:r>
      <w:r w:rsidR="00C56592" w:rsidRPr="00C56592">
        <w:rPr>
          <w:i/>
          <w:iCs/>
        </w:rPr>
        <w:t>C. kluyveri</w:t>
      </w:r>
      <w:r w:rsidR="00BC2882" w:rsidRPr="00BC2882">
        <w:t xml:space="preserve"> can adapt by generating sufficient acetyl-CoA from ethanol</w:t>
      </w:r>
      <w:r w:rsidR="00422690">
        <w:t>,</w:t>
      </w:r>
      <w:r w:rsidR="00BC2882" w:rsidRPr="00BC2882">
        <w:t xml:space="preserve"> even </w:t>
      </w:r>
      <w:r w:rsidR="00422690">
        <w:t>in the absence of</w:t>
      </w:r>
      <w:r w:rsidR="00BC2882" w:rsidRPr="00BC2882">
        <w:t xml:space="preserve"> exogenous acetate (Angenent et al., 2016). The</w:t>
      </w:r>
      <w:r w:rsidR="00EE027C">
        <w:t xml:space="preserve"> </w:t>
      </w:r>
      <w:r w:rsidR="00BC2882" w:rsidRPr="00BC2882">
        <w:t xml:space="preserve">acetate accumulation patterns discussed </w:t>
      </w:r>
      <w:r w:rsidR="00422690">
        <w:t>below</w:t>
      </w:r>
      <w:r w:rsidR="00BC2882" w:rsidRPr="00BC2882">
        <w:t xml:space="preserve"> further support this metabolic flexibility.</w:t>
      </w:r>
    </w:p>
    <w:p w14:paraId="321664F8" w14:textId="77777777" w:rsidR="005C2E1C" w:rsidRDefault="00E71C11" w:rsidP="0049209D">
      <w:pPr>
        <w:pStyle w:val="CETBodytext"/>
        <w:spacing w:after="120"/>
        <w:contextualSpacing/>
      </w:pPr>
      <w:r>
        <w:t>The dynamics of acetate are worth considering</w:t>
      </w:r>
      <w:r w:rsidRPr="005C2E1C">
        <w:t>.</w:t>
      </w:r>
      <w:r w:rsidR="005C2E1C" w:rsidRPr="005C2E1C">
        <w:t xml:space="preserve"> </w:t>
      </w:r>
      <w:r w:rsidRPr="005C2E1C">
        <w:t xml:space="preserve">Although </w:t>
      </w:r>
      <w:r>
        <w:t>acetate was initially supplemented as a substrate to initiate chain elongation, its</w:t>
      </w:r>
      <w:r w:rsidRPr="005C2E1C">
        <w:t xml:space="preserve"> concentration did not progressively decrease as an electron/carbon acceptor</w:t>
      </w:r>
      <w:r>
        <w:t>.</w:t>
      </w:r>
      <w:r w:rsidR="006373B7" w:rsidRPr="005C2E1C">
        <w:t xml:space="preserve"> </w:t>
      </w:r>
      <w:r>
        <w:t>I</w:t>
      </w:r>
      <w:r w:rsidRPr="005C2E1C">
        <w:t xml:space="preserve">nstead, </w:t>
      </w:r>
      <w:r>
        <w:t xml:space="preserve">the concentration </w:t>
      </w:r>
      <w:r w:rsidRPr="005C2E1C">
        <w:t>increased under all conditions, reaching final levels that exceeded the initial supply.</w:t>
      </w:r>
      <w:r w:rsidR="005C2E1C">
        <w:t xml:space="preserve"> </w:t>
      </w:r>
      <w:r w:rsidR="00F259FC" w:rsidRPr="005C2E1C">
        <w:t xml:space="preserve">In </w:t>
      </w:r>
      <w:r w:rsidR="00F259FC">
        <w:t>t</w:t>
      </w:r>
      <w:r w:rsidR="00F259FC" w:rsidRPr="005C2E1C">
        <w:t xml:space="preserve">ests I and II (Figures B and D), the acetate </w:t>
      </w:r>
      <w:r w:rsidR="00F259FC">
        <w:t xml:space="preserve">concentration was almost constant </w:t>
      </w:r>
      <w:r w:rsidR="00F259FC" w:rsidRPr="005C2E1C">
        <w:t xml:space="preserve">at </w:t>
      </w:r>
      <w:r w:rsidR="00F259FC">
        <w:t xml:space="preserve">the </w:t>
      </w:r>
      <w:r w:rsidR="00F259FC" w:rsidRPr="005C2E1C">
        <w:t xml:space="preserve">initial </w:t>
      </w:r>
      <w:r w:rsidR="00F259FC">
        <w:t xml:space="preserve">value </w:t>
      </w:r>
      <w:r w:rsidR="00F259FC" w:rsidRPr="005C2E1C">
        <w:t xml:space="preserve">(~1–2 g/L) for the first 12 h, then rose </w:t>
      </w:r>
      <w:r w:rsidR="00F259FC">
        <w:t>and</w:t>
      </w:r>
      <w:r w:rsidR="00F259FC" w:rsidRPr="005C2E1C">
        <w:t xml:space="preserve"> </w:t>
      </w:r>
      <w:r w:rsidR="00F259FC">
        <w:t>stabilized</w:t>
      </w:r>
      <w:r w:rsidR="00F259FC" w:rsidRPr="005C2E1C">
        <w:t xml:space="preserve"> at 2.4–2.7 g/L.</w:t>
      </w:r>
      <w:r w:rsidR="005C2E1C" w:rsidRPr="005C2E1C">
        <w:t xml:space="preserve"> A similar but les</w:t>
      </w:r>
      <w:r w:rsidR="005E0981">
        <w:t>s pronounced trend occurred in t</w:t>
      </w:r>
      <w:r w:rsidR="005C2E1C" w:rsidRPr="005C2E1C">
        <w:t>est III (Figure F), with acetate accumulating to ~1.6 g/L</w:t>
      </w:r>
      <w:r w:rsidR="00E440BD">
        <w:t xml:space="preserve">. </w:t>
      </w:r>
      <w:r w:rsidR="00E440BD" w:rsidRPr="00E440BD">
        <w:t xml:space="preserve">This counterintuitive behavior reflects the metabolic flexibility of </w:t>
      </w:r>
      <w:r w:rsidR="00C56592" w:rsidRPr="00C56592">
        <w:rPr>
          <w:i/>
          <w:iCs/>
        </w:rPr>
        <w:t>C. kluyveri</w:t>
      </w:r>
      <w:r w:rsidR="00E440BD" w:rsidRPr="00E440BD">
        <w:t>. During ethanol oxidation, a portion of acetyl-CoA is diverted to acetate via the phosphotransacetylase–acetate kinase (PTA–ACK) pathway to generate ATP, even when exogenous acetate is supplied</w:t>
      </w:r>
      <w:r w:rsidR="00E67C46">
        <w:t xml:space="preserve"> - </w:t>
      </w:r>
      <w:r w:rsidR="00E440BD" w:rsidRPr="00E440BD">
        <w:t>particularly during active growth phases</w:t>
      </w:r>
      <w:r w:rsidR="00E67C46">
        <w:t xml:space="preserve"> - </w:t>
      </w:r>
      <w:r w:rsidR="00E440BD" w:rsidRPr="00E440BD">
        <w:t>before the remainder is channeled into reverse β-oxidation (Barker and Taha, 1942; Bornstein and Barker, 1948).”</w:t>
      </w:r>
    </w:p>
    <w:p w14:paraId="202C46B4" w14:textId="1F47426D" w:rsidR="00562CA2" w:rsidRPr="00055ED0" w:rsidRDefault="00F259FC" w:rsidP="00E239D8">
      <w:pPr>
        <w:pStyle w:val="CETBodytext"/>
        <w:spacing w:after="120"/>
        <w:contextualSpacing/>
      </w:pPr>
      <w:r>
        <w:t>Under</w:t>
      </w:r>
      <w:r w:rsidRPr="00CD64E5">
        <w:t xml:space="preserve"> succinate-supplemented conditions, </w:t>
      </w:r>
      <w:r w:rsidRPr="00C56592">
        <w:rPr>
          <w:i/>
          <w:iCs/>
        </w:rPr>
        <w:t>C. kluyveri</w:t>
      </w:r>
      <w:r w:rsidRPr="00CD64E5">
        <w:t xml:space="preserve"> can assimilate succinate when reduced co-substrates</w:t>
      </w:r>
      <w:r>
        <w:t>, such as</w:t>
      </w:r>
      <w:r w:rsidRPr="00CD64E5">
        <w:t xml:space="preserve"> ethanol</w:t>
      </w:r>
      <w:r>
        <w:t>,</w:t>
      </w:r>
      <w:r w:rsidRPr="00CD64E5">
        <w:t xml:space="preserve"> are available (Kenealy and Waselefsky, 1985).</w:t>
      </w:r>
      <w:r w:rsidR="00CD64E5" w:rsidRPr="00CD64E5">
        <w:t xml:space="preserve"> </w:t>
      </w:r>
      <w:r>
        <w:t>Ethanol plays a dual role:</w:t>
      </w:r>
      <w:r w:rsidRPr="00CD64E5">
        <w:t xml:space="preserve"> as an electron donor for reductive chain elongation and as a substrate for </w:t>
      </w:r>
      <w:r>
        <w:t>energy conservation through</w:t>
      </w:r>
      <w:r w:rsidRPr="00CD64E5">
        <w:t xml:space="preserve"> ATP-generating oxidation</w:t>
      </w:r>
      <w:r>
        <w:t xml:space="preserve"> reactions</w:t>
      </w:r>
      <w:r w:rsidRPr="00CD64E5">
        <w:t>.</w:t>
      </w:r>
      <w:r w:rsidR="00CD64E5" w:rsidRPr="00CD64E5">
        <w:t xml:space="preserve"> </w:t>
      </w:r>
      <w:r w:rsidR="002279C9" w:rsidRPr="00CD64E5">
        <w:t xml:space="preserve">This partitioning creates a metabolic trade-off between energy conservation and MCFA production, contributing to the observed acetate accumulation and explaining </w:t>
      </w:r>
      <w:r w:rsidR="002279C9">
        <w:t>the robust chain elongation efficiency</w:t>
      </w:r>
      <w:r w:rsidR="002279C9" w:rsidRPr="00CD64E5">
        <w:t xml:space="preserve"> despite acetate buildup.</w:t>
      </w:r>
    </w:p>
    <w:p w14:paraId="5DA11B3D" w14:textId="77777777" w:rsidR="00600535" w:rsidRPr="00B57B36" w:rsidRDefault="00600535" w:rsidP="00600535">
      <w:pPr>
        <w:pStyle w:val="CETHeading1"/>
        <w:rPr>
          <w:lang w:val="en-GB"/>
        </w:rPr>
      </w:pPr>
      <w:r w:rsidRPr="00B57B36">
        <w:rPr>
          <w:lang w:val="en-GB"/>
        </w:rPr>
        <w:t>Conclusions</w:t>
      </w:r>
    </w:p>
    <w:p w14:paraId="1E026795" w14:textId="1C9CDB74" w:rsidR="00EC725A" w:rsidRPr="00EC725A" w:rsidRDefault="00EC725A" w:rsidP="00055ED0">
      <w:pPr>
        <w:tabs>
          <w:tab w:val="clear" w:pos="7100"/>
        </w:tabs>
        <w:spacing w:after="200" w:line="276" w:lineRule="auto"/>
        <w:rPr>
          <w:rStyle w:val="Strong"/>
          <w:b w:val="0"/>
          <w:bCs w:val="0"/>
          <w:lang w:val="en-US"/>
        </w:rPr>
      </w:pPr>
      <w:r>
        <w:t>T</w:t>
      </w:r>
      <w:r>
        <w:t xml:space="preserve">he results of this study demonstrate that succinic acid can effectively function as an alternative electron acceptor in </w:t>
      </w:r>
      <w:r>
        <w:rPr>
          <w:rStyle w:val="Emphasis"/>
        </w:rPr>
        <w:t>Clostridium kluyveri</w:t>
      </w:r>
      <w:r>
        <w:t xml:space="preserve"> chain elongation, expanding beyond the conventional ethanol–acetate system. Succinic acid supported both microbial growth and medium-chain fatty acid production under all tested conditions, confirming its compatibility with the reverse β-oxidation pathway.</w:t>
      </w:r>
    </w:p>
    <w:p w14:paraId="1BF4A05B" w14:textId="617066A4" w:rsidR="00EC725A" w:rsidRDefault="002279C9" w:rsidP="00055ED0">
      <w:pPr>
        <w:tabs>
          <w:tab w:val="clear" w:pos="7100"/>
        </w:tabs>
        <w:spacing w:after="200" w:line="276" w:lineRule="auto"/>
        <w:rPr>
          <w:rStyle w:val="Strong"/>
          <w:b w:val="0"/>
          <w:bCs w:val="0"/>
        </w:rPr>
      </w:pPr>
      <w:r>
        <w:t>Although acetate supplementation enhanced biomass growth and increased butyrate formation rates, the final hexanoate titers remained comparable across all operating conditions (~4.3–4.7 g/L).</w:t>
      </w:r>
      <w:r w:rsidR="00EC725A">
        <w:t xml:space="preserve"> </w:t>
      </w:r>
      <w:r>
        <w:t>This finding indicates that succinate can sustain robust hexanoate production from ethanol, even in the absence of externally supplied acetate.</w:t>
      </w:r>
      <w:r w:rsidR="00EC725A">
        <w:t xml:space="preserve"> </w:t>
      </w:r>
      <w:r>
        <w:t xml:space="preserve">The acetate accumulation observed during fermentation further highlights the metabolic flexibility of </w:t>
      </w:r>
      <w:r>
        <w:rPr>
          <w:rStyle w:val="Emphasis"/>
        </w:rPr>
        <w:t>C. kluyveri</w:t>
      </w:r>
      <w:r>
        <w:t>, in which ethanol oxidation contributes to ATP generation via the PTA–ACK pathway while simultaneously providing acetyl-CoA for chain elongation.</w:t>
      </w:r>
    </w:p>
    <w:p w14:paraId="310E6FE6" w14:textId="63DAFAB4" w:rsidR="00EC725A" w:rsidRDefault="002279C9" w:rsidP="00055ED0">
      <w:pPr>
        <w:tabs>
          <w:tab w:val="clear" w:pos="7100"/>
        </w:tabs>
        <w:spacing w:after="200" w:line="276" w:lineRule="auto"/>
        <w:rPr>
          <w:rStyle w:val="Strong"/>
          <w:b w:val="0"/>
          <w:bCs w:val="0"/>
        </w:rPr>
      </w:pPr>
      <w:r>
        <w:t xml:space="preserve">Overall, these findings broaden the substrate spectrum available for </w:t>
      </w:r>
      <w:r>
        <w:rPr>
          <w:rStyle w:val="Emphasis"/>
        </w:rPr>
        <w:t>C. kluyveri</w:t>
      </w:r>
      <w:r>
        <w:t>-based processes and demonstrate the potential of succinate as a viable carbon acceptor for MCFA.</w:t>
      </w:r>
      <w:r w:rsidR="007E255E">
        <w:t xml:space="preserve"> </w:t>
      </w:r>
      <w:r>
        <w:t>From a biorefinery perspective, this approach enables valorisation of succinate- or C4-rich waste streams within integrated fermentation platforms for medium-chain fatty acid production.</w:t>
      </w:r>
      <w:r w:rsidR="007E255E">
        <w:t xml:space="preserve"> Future research should focus on validating this strategy in continuous systems, optimizing ethanol-to-succinate ratios to overcome redox constraints, and assessing process scale-up to enhance productivity and evaluate industrial feasibility</w:t>
      </w:r>
      <w:r w:rsidR="00EC725A">
        <w:t>.</w:t>
      </w:r>
    </w:p>
    <w:p w14:paraId="532A9CA2" w14:textId="77777777" w:rsidR="00F63B1F" w:rsidRPr="00280FAF" w:rsidRDefault="00F63B1F">
      <w:pPr>
        <w:tabs>
          <w:tab w:val="clear" w:pos="7100"/>
        </w:tabs>
        <w:spacing w:after="200" w:line="276" w:lineRule="auto"/>
        <w:rPr>
          <w:b/>
        </w:rPr>
        <w:sectPr w:rsidR="00F63B1F" w:rsidRPr="00280FAF" w:rsidSect="00DB6E90">
          <w:type w:val="continuous"/>
          <w:pgSz w:w="11906" w:h="16838" w:code="9"/>
          <w:pgMar w:top="1701" w:right="1418" w:bottom="1701" w:left="1701" w:header="1701" w:footer="0" w:gutter="0"/>
          <w:cols w:space="708"/>
          <w:formProt w:val="0"/>
          <w:titlePg/>
          <w:docGrid w:linePitch="360"/>
        </w:sectPr>
      </w:pPr>
      <w:r>
        <w:t>Nomenclature</w:t>
      </w:r>
    </w:p>
    <w:p w14:paraId="24C7C2F4" w14:textId="77777777" w:rsidR="00F63B1F" w:rsidRPr="00280FAF" w:rsidRDefault="00F63B1F" w:rsidP="00F63B1F">
      <w:pPr>
        <w:pStyle w:val="CETBodytext"/>
        <w:spacing w:line="240" w:lineRule="auto"/>
        <w:jc w:val="left"/>
        <w:rPr>
          <w:rFonts w:eastAsia="SimSun"/>
        </w:rPr>
      </w:pPr>
      <w:r>
        <w:rPr>
          <w:rFonts w:eastAsia="SimSun"/>
        </w:rPr>
        <w:t>AA</w:t>
      </w:r>
      <w:r w:rsidRPr="00280FAF">
        <w:rPr>
          <w:rFonts w:eastAsia="SimSun"/>
        </w:rPr>
        <w:t xml:space="preserve"> – </w:t>
      </w:r>
      <w:r>
        <w:rPr>
          <w:rFonts w:eastAsia="SimSun"/>
        </w:rPr>
        <w:t>acetic acid concentration (g/L)</w:t>
      </w:r>
    </w:p>
    <w:p w14:paraId="1E8EC4CA" w14:textId="77777777" w:rsidR="00F63B1F" w:rsidRPr="00280FAF" w:rsidRDefault="00F63B1F" w:rsidP="00F63B1F">
      <w:pPr>
        <w:pStyle w:val="CETBodytext"/>
        <w:spacing w:line="240" w:lineRule="auto"/>
        <w:jc w:val="left"/>
        <w:rPr>
          <w:rFonts w:eastAsia="SimSun"/>
        </w:rPr>
        <w:sectPr w:rsidR="00F63B1F" w:rsidRPr="00280FAF" w:rsidSect="00DB6E90">
          <w:type w:val="continuous"/>
          <w:pgSz w:w="11906" w:h="16838" w:code="9"/>
          <w:pgMar w:top="1701" w:right="1418" w:bottom="1701" w:left="1701" w:header="1701" w:footer="0" w:gutter="0"/>
          <w:cols w:space="708"/>
          <w:formProt w:val="0"/>
          <w:titlePg/>
          <w:docGrid w:linePitch="360"/>
        </w:sectPr>
      </w:pPr>
    </w:p>
    <w:p w14:paraId="66202B0F" w14:textId="77777777" w:rsidR="00F63B1F" w:rsidRPr="00280FAF" w:rsidRDefault="00F63B1F" w:rsidP="00F63B1F">
      <w:pPr>
        <w:pStyle w:val="CETBodytext"/>
        <w:spacing w:line="240" w:lineRule="auto"/>
        <w:jc w:val="left"/>
        <w:rPr>
          <w:rFonts w:eastAsia="SimSun"/>
        </w:rPr>
      </w:pPr>
      <w:r>
        <w:rPr>
          <w:rFonts w:eastAsia="SimSun"/>
        </w:rPr>
        <w:t>BA</w:t>
      </w:r>
      <w:r w:rsidRPr="00280FAF">
        <w:rPr>
          <w:rFonts w:eastAsia="SimSun"/>
        </w:rPr>
        <w:t xml:space="preserve"> – </w:t>
      </w:r>
      <w:r>
        <w:rPr>
          <w:rFonts w:eastAsia="SimSun"/>
        </w:rPr>
        <w:t xml:space="preserve">butyric acid concentration (g/L) </w:t>
      </w:r>
    </w:p>
    <w:p w14:paraId="7B20C8B2" w14:textId="77777777" w:rsidR="00F63B1F" w:rsidRPr="00EC4F3F" w:rsidRDefault="00F63B1F" w:rsidP="00F63B1F">
      <w:pPr>
        <w:pStyle w:val="CETBodytext"/>
        <w:spacing w:line="240" w:lineRule="auto"/>
        <w:jc w:val="left"/>
        <w:rPr>
          <w:rFonts w:eastAsia="SimSun"/>
          <w:lang w:val="en-GB"/>
        </w:rPr>
      </w:pPr>
      <w:r w:rsidRPr="00EC4F3F">
        <w:rPr>
          <w:rFonts w:eastAsia="SimSun"/>
          <w:lang w:val="en-GB"/>
        </w:rPr>
        <w:t xml:space="preserve">E – ethanol concentration </w:t>
      </w:r>
      <w:r>
        <w:rPr>
          <w:rFonts w:eastAsia="SimSun"/>
          <w:lang w:val="en-GB"/>
        </w:rPr>
        <w:t>(</w:t>
      </w:r>
      <w:r w:rsidRPr="00EC4F3F">
        <w:rPr>
          <w:rFonts w:eastAsia="SimSun"/>
          <w:lang w:val="en-GB"/>
        </w:rPr>
        <w:t>g/L</w:t>
      </w:r>
      <w:r>
        <w:rPr>
          <w:rFonts w:eastAsia="SimSun"/>
          <w:lang w:val="en-GB"/>
        </w:rPr>
        <w:t>)</w:t>
      </w:r>
    </w:p>
    <w:p w14:paraId="33C0443C" w14:textId="77777777" w:rsidR="00F63B1F" w:rsidRPr="00EC4F3F" w:rsidRDefault="00F63B1F" w:rsidP="00F63B1F">
      <w:pPr>
        <w:pStyle w:val="CETBodytext"/>
        <w:spacing w:line="240" w:lineRule="auto"/>
        <w:jc w:val="left"/>
        <w:rPr>
          <w:rFonts w:eastAsia="SimSun"/>
          <w:lang w:val="en-GB"/>
        </w:rPr>
      </w:pPr>
      <w:r w:rsidRPr="00EC4F3F">
        <w:rPr>
          <w:rFonts w:eastAsia="SimSun"/>
          <w:lang w:val="en-GB"/>
        </w:rPr>
        <w:t xml:space="preserve">HA – hexanoic acid concentration </w:t>
      </w:r>
      <w:r>
        <w:rPr>
          <w:rFonts w:eastAsia="SimSun"/>
          <w:lang w:val="en-GB"/>
        </w:rPr>
        <w:t>(</w:t>
      </w:r>
      <w:r w:rsidRPr="00EC4F3F">
        <w:rPr>
          <w:rFonts w:eastAsia="SimSun"/>
          <w:lang w:val="en-GB"/>
        </w:rPr>
        <w:t>g/L</w:t>
      </w:r>
      <w:r>
        <w:rPr>
          <w:rFonts w:eastAsia="SimSun"/>
          <w:lang w:val="en-GB"/>
        </w:rPr>
        <w:t>)</w:t>
      </w:r>
    </w:p>
    <w:p w14:paraId="7206771A" w14:textId="77777777" w:rsidR="00F63B1F" w:rsidRPr="00280FAF" w:rsidRDefault="00F63B1F" w:rsidP="00F63B1F">
      <w:pPr>
        <w:pStyle w:val="CETBodytext"/>
        <w:spacing w:line="240" w:lineRule="auto"/>
        <w:jc w:val="left"/>
        <w:rPr>
          <w:rFonts w:eastAsia="SimSun"/>
        </w:rPr>
      </w:pPr>
      <w:r w:rsidRPr="00D41F4C">
        <w:rPr>
          <w:lang w:val="en-GB"/>
        </w:rPr>
        <w:t>OD</w:t>
      </w:r>
      <w:r w:rsidRPr="00D41F4C">
        <w:rPr>
          <w:vertAlign w:val="subscript"/>
        </w:rPr>
        <w:t>λ</w:t>
      </w:r>
      <w:r w:rsidRPr="00280FAF">
        <w:rPr>
          <w:rFonts w:eastAsia="SimSun"/>
        </w:rPr>
        <w:t xml:space="preserve"> – </w:t>
      </w:r>
      <w:r>
        <w:rPr>
          <w:rFonts w:eastAsia="SimSun"/>
        </w:rPr>
        <w:t xml:space="preserve">optical density </w:t>
      </w:r>
    </w:p>
    <w:p w14:paraId="7D142152" w14:textId="77777777" w:rsidR="00F63B1F" w:rsidRPr="00917072" w:rsidRDefault="00F63B1F" w:rsidP="00F63B1F">
      <w:pPr>
        <w:pStyle w:val="CETBodytext"/>
        <w:spacing w:line="240" w:lineRule="auto"/>
        <w:rPr>
          <w:rFonts w:eastAsia="SimSun"/>
        </w:rPr>
      </w:pPr>
      <w:r w:rsidRPr="00917072">
        <w:rPr>
          <w:rFonts w:eastAsia="SimSun"/>
        </w:rPr>
        <w:t>T – fermentation temperature (°C)</w:t>
      </w:r>
    </w:p>
    <w:p w14:paraId="084F30D1" w14:textId="77777777" w:rsidR="00F63B1F" w:rsidRPr="00917072" w:rsidRDefault="00F63B1F" w:rsidP="00F63B1F">
      <w:pPr>
        <w:pStyle w:val="CETBodytext"/>
        <w:spacing w:line="240" w:lineRule="auto"/>
        <w:rPr>
          <w:rFonts w:eastAsia="SimSun"/>
        </w:rPr>
      </w:pPr>
      <w:r w:rsidRPr="00917072">
        <w:rPr>
          <w:rFonts w:eastAsia="SimSun"/>
        </w:rPr>
        <w:t>X – cell concentration (g</w:t>
      </w:r>
      <w:r w:rsidRPr="00917072">
        <w:rPr>
          <w:rFonts w:eastAsia="SimSun"/>
          <w:vertAlign w:val="subscript"/>
        </w:rPr>
        <w:t>DM</w:t>
      </w:r>
      <w:r w:rsidRPr="00917072">
        <w:rPr>
          <w:rFonts w:eastAsia="SimSun"/>
        </w:rPr>
        <w:t>/L)</w:t>
      </w:r>
    </w:p>
    <w:p w14:paraId="6110764D" w14:textId="77777777" w:rsidR="005A410B" w:rsidRDefault="00F63B1F" w:rsidP="00F63B1F">
      <w:pPr>
        <w:pStyle w:val="CETBodytext"/>
        <w:spacing w:line="240" w:lineRule="auto"/>
        <w:rPr>
          <w:rFonts w:eastAsia="SimSun"/>
        </w:rPr>
      </w:pPr>
      <w:r w:rsidRPr="00917072">
        <w:rPr>
          <w:rFonts w:eastAsia="SimSun"/>
          <w:lang w:val="en-GB"/>
        </w:rPr>
        <w:lastRenderedPageBreak/>
        <w:t>μ</w:t>
      </w:r>
      <w:r w:rsidRPr="00917072">
        <w:rPr>
          <w:rFonts w:eastAsia="SimSun"/>
        </w:rPr>
        <w:t xml:space="preserve"> – specific cell growth rate (h</w:t>
      </w:r>
      <w:r w:rsidRPr="00917072">
        <w:rPr>
          <w:rFonts w:eastAsia="SimSun"/>
          <w:vertAlign w:val="superscript"/>
        </w:rPr>
        <w:t>-1</w:t>
      </w:r>
      <w:r w:rsidRPr="00917072">
        <w:rPr>
          <w:rFonts w:eastAsia="SimSun"/>
        </w:rPr>
        <w:t>)</w:t>
      </w:r>
    </w:p>
    <w:p w14:paraId="4F97408A" w14:textId="77777777" w:rsidR="005A410B" w:rsidRDefault="005A410B" w:rsidP="008F1139">
      <w:pPr>
        <w:pStyle w:val="CETAcknowledgementstitle"/>
        <w:spacing w:before="120" w:line="240" w:lineRule="auto"/>
      </w:pPr>
      <w:r w:rsidRPr="00B57B36">
        <w:t>Acknowledgments</w:t>
      </w:r>
    </w:p>
    <w:p w14:paraId="7893BC6E" w14:textId="77777777" w:rsidR="008F1139" w:rsidRDefault="008F1139" w:rsidP="008F1139">
      <w:pPr>
        <w:pStyle w:val="CETHeading1"/>
        <w:numPr>
          <w:ilvl w:val="0"/>
          <w:numId w:val="0"/>
        </w:numPr>
        <w:jc w:val="both"/>
        <w:rPr>
          <w:b w:val="0"/>
          <w:sz w:val="18"/>
        </w:rPr>
      </w:pPr>
      <w:r w:rsidRPr="008F1139">
        <w:rPr>
          <w:b w:val="0"/>
          <w:sz w:val="18"/>
        </w:rPr>
        <w:t>The study has been funded under the Italian National Recovery and Resilience Plan (NRRP), Mission 4 Component 2 Investment 1.3 - Call for tender No. 1561 of 11.10.2022 of Ministero dell’Università e della Ricerca (MUR) funded by the European Union – NextGenerationEU; Project code PE0000021, Concession Decree No. 1561 of 11.10.2022 adopted by Ministero dell’Università e della Ricerca (MUR), Project title “Network 4 Energy Sustainable Transition – NEST”</w:t>
      </w:r>
    </w:p>
    <w:p w14:paraId="56B0C10B" w14:textId="77777777" w:rsidR="00600535" w:rsidRPr="005A410B" w:rsidRDefault="00600535" w:rsidP="005A410B">
      <w:pPr>
        <w:pStyle w:val="CETHeading1"/>
        <w:numPr>
          <w:ilvl w:val="0"/>
          <w:numId w:val="0"/>
        </w:numPr>
        <w:rPr>
          <w:sz w:val="18"/>
          <w:szCs w:val="18"/>
        </w:rPr>
      </w:pPr>
      <w:r w:rsidRPr="005A410B">
        <w:rPr>
          <w:sz w:val="18"/>
          <w:szCs w:val="18"/>
        </w:rPr>
        <w:t>References</w:t>
      </w:r>
    </w:p>
    <w:p w14:paraId="55EAB137" w14:textId="1541DA17" w:rsidR="00D6567D" w:rsidRDefault="005C3B0F" w:rsidP="00D6567D">
      <w:pPr>
        <w:pStyle w:val="ListParagraph"/>
        <w:tabs>
          <w:tab w:val="clear" w:pos="7100"/>
        </w:tabs>
        <w:autoSpaceDE w:val="0"/>
        <w:autoSpaceDN w:val="0"/>
        <w:adjustRightInd w:val="0"/>
        <w:spacing w:line="240" w:lineRule="auto"/>
        <w:ind w:left="284" w:hanging="284"/>
        <w:rPr>
          <w:rFonts w:eastAsiaTheme="minorHAnsi" w:cs="Arial"/>
          <w:szCs w:val="18"/>
        </w:rPr>
      </w:pPr>
      <w:r w:rsidRPr="005C3B0F">
        <w:rPr>
          <w:rFonts w:eastAsiaTheme="minorHAnsi" w:cs="Arial"/>
          <w:szCs w:val="18"/>
        </w:rPr>
        <w:t>Angenent L.T., Richter H., Buckel W., Spirito C.M., Steinbusch K.J.J., Plugge C.M., Strik</w:t>
      </w:r>
      <w:r>
        <w:rPr>
          <w:rFonts w:eastAsiaTheme="minorHAnsi" w:cs="Arial"/>
          <w:szCs w:val="18"/>
        </w:rPr>
        <w:t xml:space="preserve"> </w:t>
      </w:r>
      <w:r w:rsidRPr="005C3B0F">
        <w:rPr>
          <w:rFonts w:eastAsiaTheme="minorHAnsi" w:cs="Arial"/>
          <w:szCs w:val="18"/>
        </w:rPr>
        <w:t>D.P.B.T.B., Grootscholten T.I.M., Buisman C.J.N., Hamelers H.V.M., 2016. Chain Elongation with</w:t>
      </w:r>
      <w:r>
        <w:rPr>
          <w:rFonts w:eastAsiaTheme="minorHAnsi" w:cs="Arial"/>
          <w:szCs w:val="18"/>
        </w:rPr>
        <w:t xml:space="preserve"> Reactor Microbiomes</w:t>
      </w:r>
      <w:r w:rsidRPr="005C3B0F">
        <w:rPr>
          <w:rFonts w:eastAsiaTheme="minorHAnsi" w:cs="Arial"/>
          <w:szCs w:val="18"/>
        </w:rPr>
        <w:t>: Open-Culture Biotechnology To Produce Biochemicals. Environ. Sci. Technol. 50</w:t>
      </w:r>
      <w:r w:rsidR="005F35C5">
        <w:rPr>
          <w:rFonts w:eastAsiaTheme="minorHAnsi" w:cs="Arial"/>
          <w:szCs w:val="18"/>
        </w:rPr>
        <w:t xml:space="preserve">, </w:t>
      </w:r>
      <w:r w:rsidRPr="005C3B0F">
        <w:rPr>
          <w:rFonts w:eastAsiaTheme="minorHAnsi" w:cs="Arial"/>
          <w:szCs w:val="18"/>
        </w:rPr>
        <w:t>2796</w:t>
      </w:r>
      <w:r w:rsidR="005F35C5">
        <w:rPr>
          <w:rFonts w:eastAsiaTheme="minorHAnsi" w:cs="Arial"/>
          <w:szCs w:val="18"/>
        </w:rPr>
        <w:t>-</w:t>
      </w:r>
      <w:r w:rsidRPr="005C3B0F">
        <w:rPr>
          <w:rFonts w:eastAsiaTheme="minorHAnsi" w:cs="Arial"/>
          <w:szCs w:val="18"/>
        </w:rPr>
        <w:t xml:space="preserve"> 2810. doi: 10.1021/acs.est.5b04847</w:t>
      </w:r>
    </w:p>
    <w:p w14:paraId="279D6C3D" w14:textId="77777777" w:rsidR="00E55DD9" w:rsidRPr="005F35C5" w:rsidRDefault="00BE6488" w:rsidP="00D6567D">
      <w:pPr>
        <w:pStyle w:val="ListParagraph"/>
        <w:tabs>
          <w:tab w:val="clear" w:pos="7100"/>
        </w:tabs>
        <w:autoSpaceDE w:val="0"/>
        <w:autoSpaceDN w:val="0"/>
        <w:adjustRightInd w:val="0"/>
        <w:spacing w:line="240" w:lineRule="auto"/>
        <w:ind w:left="284" w:hanging="284"/>
        <w:rPr>
          <w:rStyle w:val="Strong"/>
          <w:rFonts w:eastAsiaTheme="minorHAnsi" w:cs="Arial"/>
          <w:b w:val="0"/>
          <w:bCs w:val="0"/>
          <w:szCs w:val="18"/>
        </w:rPr>
      </w:pPr>
      <w:r w:rsidRPr="00BE6488">
        <w:rPr>
          <w:rStyle w:val="Strong"/>
          <w:b w:val="0"/>
        </w:rPr>
        <w:t>Barker H. A., Taha, S. M., 1942.</w:t>
      </w:r>
      <w:r w:rsidRPr="00BE6488">
        <w:t xml:space="preserve"> </w:t>
      </w:r>
      <w:r w:rsidRPr="00BE6488">
        <w:rPr>
          <w:i/>
        </w:rPr>
        <w:t xml:space="preserve">Clostridium </w:t>
      </w:r>
      <w:r w:rsidRPr="005F35C5">
        <w:rPr>
          <w:i/>
        </w:rPr>
        <w:t>kluyveri</w:t>
      </w:r>
      <w:r w:rsidRPr="005F35C5">
        <w:t xml:space="preserve">, an organism concerned in the formation of caproic acid from ethyl alcohol. </w:t>
      </w:r>
      <w:r w:rsidRPr="005F35C5">
        <w:rPr>
          <w:rStyle w:val="Emphasis"/>
        </w:rPr>
        <w:t>Journal of Bacteriology</w:t>
      </w:r>
      <w:r w:rsidRPr="005F35C5">
        <w:t xml:space="preserve">, </w:t>
      </w:r>
      <w:r w:rsidR="00C65C39" w:rsidRPr="00C65C39">
        <w:rPr>
          <w:rStyle w:val="Strong"/>
          <w:b w:val="0"/>
          <w:bCs w:val="0"/>
        </w:rPr>
        <w:t>43</w:t>
      </w:r>
      <w:r w:rsidRPr="005F35C5">
        <w:t>, 347–363.</w:t>
      </w:r>
    </w:p>
    <w:p w14:paraId="5D4E3128" w14:textId="77777777" w:rsidR="00096B4B" w:rsidRPr="005F35C5" w:rsidRDefault="00AE74BD" w:rsidP="00096B4B">
      <w:pPr>
        <w:pStyle w:val="CETReferencetext"/>
      </w:pPr>
      <w:r w:rsidRPr="005F35C5">
        <w:rPr>
          <w:rStyle w:val="Strong"/>
          <w:b w:val="0"/>
          <w:bCs w:val="0"/>
        </w:rPr>
        <w:t>Bornstein B. T., Barker H. A., 1948.</w:t>
      </w:r>
      <w:r w:rsidRPr="005F35C5">
        <w:t xml:space="preserve"> The energy metabolism of </w:t>
      </w:r>
      <w:r w:rsidRPr="005F35C5">
        <w:rPr>
          <w:rStyle w:val="Emphasis"/>
        </w:rPr>
        <w:t>Clostridium kluyveri</w:t>
      </w:r>
      <w:r w:rsidRPr="005F35C5">
        <w:t xml:space="preserve"> and the synthesis of fatty acids. </w:t>
      </w:r>
      <w:r w:rsidRPr="005F35C5">
        <w:rPr>
          <w:rStyle w:val="Emphasis"/>
        </w:rPr>
        <w:t>Journal of Biological Chemistry</w:t>
      </w:r>
      <w:r w:rsidRPr="005F35C5">
        <w:t xml:space="preserve">, </w:t>
      </w:r>
      <w:r w:rsidR="00C65C39" w:rsidRPr="00C65C39">
        <w:rPr>
          <w:rStyle w:val="Strong"/>
          <w:b w:val="0"/>
          <w:bCs w:val="0"/>
        </w:rPr>
        <w:t>172</w:t>
      </w:r>
      <w:r w:rsidRPr="005F35C5">
        <w:t>, 659–669.</w:t>
      </w:r>
      <w:r w:rsidR="00096B4B" w:rsidRPr="005F35C5">
        <w:t xml:space="preserve"> </w:t>
      </w:r>
    </w:p>
    <w:p w14:paraId="1BC0B2EF" w14:textId="1A586CF7" w:rsidR="00096B4B" w:rsidRPr="00096B4B" w:rsidRDefault="00096B4B" w:rsidP="00096B4B">
      <w:pPr>
        <w:pStyle w:val="CETReferencetext"/>
        <w:rPr>
          <w:szCs w:val="18"/>
        </w:rPr>
      </w:pPr>
      <w:r w:rsidRPr="00096B4B">
        <w:rPr>
          <w:rFonts w:eastAsiaTheme="minorHAnsi" w:cs="Arial"/>
          <w:szCs w:val="18"/>
        </w:rPr>
        <w:t>Candry P., Van Daele T., Denis K., Amerlinck Y., Andersen S.J., Ganigué R., Arends J.B.A.,</w:t>
      </w:r>
      <w:r>
        <w:rPr>
          <w:rFonts w:eastAsiaTheme="minorHAnsi" w:cs="Arial"/>
          <w:szCs w:val="18"/>
        </w:rPr>
        <w:t xml:space="preserve"> </w:t>
      </w:r>
      <w:r w:rsidRPr="00096B4B">
        <w:rPr>
          <w:rFonts w:eastAsiaTheme="minorHAnsi" w:cs="Arial"/>
          <w:szCs w:val="18"/>
        </w:rPr>
        <w:t xml:space="preserve">Nopens I., Rabaey K., 2018. A novel high-throughput method for kinetic characterisation of anaerobic bioproduction strains, applied to </w:t>
      </w:r>
      <w:r w:rsidRPr="00096B4B">
        <w:rPr>
          <w:rFonts w:eastAsiaTheme="minorHAnsi" w:cs="Arial"/>
          <w:i/>
          <w:szCs w:val="18"/>
        </w:rPr>
        <w:t>Clostridium kluyveri</w:t>
      </w:r>
      <w:r w:rsidRPr="00096B4B">
        <w:rPr>
          <w:rFonts w:eastAsiaTheme="minorHAnsi" w:cs="Arial"/>
          <w:szCs w:val="18"/>
        </w:rPr>
        <w:t>. Scientific reports, 8</w:t>
      </w:r>
      <w:r w:rsidR="005F35C5">
        <w:rPr>
          <w:rFonts w:eastAsiaTheme="minorHAnsi" w:cs="Arial"/>
          <w:szCs w:val="18"/>
        </w:rPr>
        <w:t xml:space="preserve">, </w:t>
      </w:r>
      <w:r w:rsidRPr="00096B4B">
        <w:rPr>
          <w:rFonts w:eastAsiaTheme="minorHAnsi" w:cs="Arial"/>
          <w:szCs w:val="18"/>
        </w:rPr>
        <w:t>9724. DOI:10.1038/s41598-018-27594-9.</w:t>
      </w:r>
    </w:p>
    <w:p w14:paraId="4A9D47C6" w14:textId="77777777" w:rsidR="00EF52D8" w:rsidRPr="00723358" w:rsidRDefault="00EF52D8" w:rsidP="00096B4B">
      <w:pPr>
        <w:pStyle w:val="CETReferencetext"/>
        <w:rPr>
          <w:lang w:val="it-IT"/>
        </w:rPr>
      </w:pPr>
      <w:r w:rsidRPr="00EF52D8">
        <w:t xml:space="preserve">Kenealy W. R. and Waselefsky D. M., 1985. Studies on the substrate range of </w:t>
      </w:r>
      <w:r w:rsidRPr="00EF52D8">
        <w:rPr>
          <w:i/>
          <w:iCs/>
        </w:rPr>
        <w:t>Clostridium kluyveri</w:t>
      </w:r>
      <w:r w:rsidRPr="00EF52D8">
        <w:t xml:space="preserve">; the use of propanol and succinate. </w:t>
      </w:r>
      <w:r w:rsidR="00C56592" w:rsidRPr="00C56592">
        <w:rPr>
          <w:lang w:val="it-IT"/>
        </w:rPr>
        <w:t>Arch Microbiol, 141:187-194.</w:t>
      </w:r>
    </w:p>
    <w:p w14:paraId="0ED765AD" w14:textId="77777777" w:rsidR="00D6567D" w:rsidRDefault="00D6567D" w:rsidP="00D6567D">
      <w:pPr>
        <w:pStyle w:val="CETReferencetext"/>
        <w:rPr>
          <w:szCs w:val="18"/>
        </w:rPr>
      </w:pPr>
      <w:r w:rsidRPr="00D6567D">
        <w:rPr>
          <w:szCs w:val="18"/>
          <w:lang w:val="it-IT"/>
        </w:rPr>
        <w:t xml:space="preserve">Lanzillo F., </w:t>
      </w:r>
      <w:r>
        <w:rPr>
          <w:szCs w:val="18"/>
          <w:lang w:val="it-IT"/>
        </w:rPr>
        <w:t>Pisacane S., Raganati F., Russo M.E., Salatino P., Marzocchella</w:t>
      </w:r>
      <w:r w:rsidRPr="00D6567D">
        <w:rPr>
          <w:szCs w:val="18"/>
          <w:lang w:val="it-IT"/>
        </w:rPr>
        <w:t xml:space="preserve"> A., 2025. </w:t>
      </w:r>
      <w:r w:rsidRPr="00D6567D">
        <w:rPr>
          <w:szCs w:val="18"/>
        </w:rPr>
        <w:t xml:space="preserve">Kinetic modelling and metabolic shifts in </w:t>
      </w:r>
      <w:r w:rsidRPr="00D6567D">
        <w:rPr>
          <w:i/>
          <w:iCs/>
          <w:szCs w:val="18"/>
        </w:rPr>
        <w:t>Clostridium carboxidivorans</w:t>
      </w:r>
      <w:r>
        <w:rPr>
          <w:i/>
          <w:iCs/>
          <w:szCs w:val="18"/>
        </w:rPr>
        <w:t xml:space="preserve"> </w:t>
      </w:r>
      <w:r w:rsidRPr="00D6567D">
        <w:rPr>
          <w:szCs w:val="18"/>
        </w:rPr>
        <w:t>during CO-driven continuous fermentation. Chemical Engineering Science, Volume 317.</w:t>
      </w:r>
      <w:r>
        <w:rPr>
          <w:szCs w:val="18"/>
        </w:rPr>
        <w:t xml:space="preserve"> </w:t>
      </w:r>
      <w:r w:rsidRPr="00D6567D">
        <w:rPr>
          <w:szCs w:val="18"/>
        </w:rPr>
        <w:t>https://doi.org/10.1016/j.ces.2025.122049.</w:t>
      </w:r>
    </w:p>
    <w:p w14:paraId="78646327" w14:textId="77777777" w:rsidR="000001C4" w:rsidRPr="00D6567D" w:rsidRDefault="000001C4" w:rsidP="00D6567D">
      <w:pPr>
        <w:pStyle w:val="CETReferencetext"/>
        <w:rPr>
          <w:szCs w:val="18"/>
        </w:rPr>
      </w:pPr>
      <w:r w:rsidRPr="000001C4">
        <w:rPr>
          <w:rFonts w:eastAsiaTheme="minorHAnsi" w:cs="Arial"/>
          <w:szCs w:val="18"/>
        </w:rPr>
        <w:t xml:space="preserve">Pisacane S., Lanzillo F., Raganati F., Marzocchella A., 2024, Production of Alcohols from C1-waste Gas Fermentation by </w:t>
      </w:r>
      <w:r w:rsidRPr="000001C4">
        <w:rPr>
          <w:rFonts w:eastAsiaTheme="minorHAnsi" w:cs="Arial"/>
          <w:i/>
          <w:iCs/>
          <w:szCs w:val="18"/>
        </w:rPr>
        <w:t xml:space="preserve">Clostridium carboxidivorans </w:t>
      </w:r>
      <w:r w:rsidRPr="000001C4">
        <w:rPr>
          <w:rFonts w:eastAsiaTheme="minorHAnsi" w:cs="Arial"/>
          <w:szCs w:val="18"/>
        </w:rPr>
        <w:t>in a Continuous Gas Fed Bioreactor. Chem.</w:t>
      </w:r>
      <w:r>
        <w:rPr>
          <w:rFonts w:eastAsiaTheme="minorHAnsi" w:cs="Arial"/>
          <w:szCs w:val="18"/>
        </w:rPr>
        <w:t xml:space="preserve"> </w:t>
      </w:r>
      <w:r w:rsidRPr="000001C4">
        <w:rPr>
          <w:rFonts w:eastAsiaTheme="minorHAnsi" w:cs="Arial"/>
          <w:szCs w:val="18"/>
        </w:rPr>
        <w:t>Eng. Trans. 110, 181–186. https://doi.org/10.3303/ CET24110031</w:t>
      </w:r>
      <w:r w:rsidR="00D6567D">
        <w:rPr>
          <w:rFonts w:eastAsiaTheme="minorHAnsi" w:cs="Arial"/>
          <w:szCs w:val="18"/>
        </w:rPr>
        <w:t>.</w:t>
      </w:r>
    </w:p>
    <w:p w14:paraId="3E3CD00C" w14:textId="77777777" w:rsidR="00784AA2" w:rsidRDefault="00784AA2" w:rsidP="006B4888">
      <w:pPr>
        <w:pStyle w:val="CETReferencetext"/>
      </w:pPr>
      <w:r w:rsidRPr="00784AA2">
        <w:t xml:space="preserve">Pisacane S., Lanzillo F., Ascolese P., Raganati F., Salatino P., Marzocchella A., 2025, Chain Elongation by </w:t>
      </w:r>
      <w:r w:rsidRPr="00784AA2">
        <w:rPr>
          <w:i/>
          <w:iCs/>
        </w:rPr>
        <w:t>Clostridium Kluyveri</w:t>
      </w:r>
      <w:r w:rsidRPr="00784AA2">
        <w:t xml:space="preserve">: Effect of Substrates, Chemical Engineering Transactions, 119, 157-162. </w:t>
      </w:r>
      <w:hyperlink r:id="rId12" w:history="1">
        <w:r w:rsidRPr="00784AA2">
          <w:rPr>
            <w:rStyle w:val="Hyperlink"/>
            <w:color w:val="auto"/>
            <w:u w:val="none"/>
          </w:rPr>
          <w:t>https://doi.org/10.3303/CET25119027</w:t>
        </w:r>
      </w:hyperlink>
    </w:p>
    <w:p w14:paraId="3E062005" w14:textId="77777777" w:rsidR="00A24077" w:rsidRDefault="00A24077" w:rsidP="006B4888">
      <w:pPr>
        <w:pStyle w:val="CETReferencetext"/>
      </w:pPr>
      <w:r w:rsidRPr="00A24077">
        <w:t xml:space="preserve">San-Valero P., Fernandez-Naveira Veiga, M.C. Kennes, C., 2019, Influence of electron acceptors on hexanoic acid production by </w:t>
      </w:r>
      <w:r w:rsidRPr="004A1B1C">
        <w:rPr>
          <w:i/>
        </w:rPr>
        <w:t>Clostridium kluyveri</w:t>
      </w:r>
      <w:r w:rsidRPr="00A24077">
        <w:t>, J. Environ. Manage., 242, 515–521.</w:t>
      </w:r>
    </w:p>
    <w:p w14:paraId="0C073A7C" w14:textId="4D58F395" w:rsidR="00BB016F" w:rsidRDefault="00BB016F" w:rsidP="006B4888">
      <w:pPr>
        <w:pStyle w:val="CETReferencetext"/>
      </w:pPr>
      <w:r w:rsidRPr="00BB016F">
        <w:t>Sarkar O., Rova U., Christakopoulos P., Matsakas L., 2021</w:t>
      </w:r>
      <w:r>
        <w:t>,</w:t>
      </w:r>
      <w:r w:rsidRPr="00BB016F">
        <w:t xml:space="preserve"> Ethanol addition promotes elongation of short-chain fatty acids to medium-chain fatty acids using brewery spent grains as substrate. Journal of Environmental Chemical Engineering 9, 105990.</w:t>
      </w:r>
    </w:p>
    <w:p w14:paraId="0C5B5249" w14:textId="77777777" w:rsidR="008E5204" w:rsidRDefault="008E5204" w:rsidP="006B4888">
      <w:pPr>
        <w:pStyle w:val="CETReferencetext"/>
      </w:pPr>
      <w:r w:rsidRPr="008E5204">
        <w:t xml:space="preserve">Seedorf H., Fricke W.F., Veith B., Brüggeman H., Liesegang H., Strittmatter A., Miethke M., Buckel W., Hinderberger J., Li F., Hagemeier C., Thauer R.K., Gottschalk G., 2008, The genome of </w:t>
      </w:r>
      <w:r w:rsidRPr="008E5204">
        <w:rPr>
          <w:i/>
          <w:iCs/>
        </w:rPr>
        <w:t>Clostridium kluyveri</w:t>
      </w:r>
      <w:r w:rsidRPr="008E5204">
        <w:t>, a strict anaerobe, Proc. Natl. Acad. Sci. U. S. A. 105, 2128–2133.</w:t>
      </w:r>
    </w:p>
    <w:p w14:paraId="26706694" w14:textId="77777777" w:rsidR="00BB016F" w:rsidRDefault="00BB016F" w:rsidP="006B4888">
      <w:pPr>
        <w:pStyle w:val="CETReferencetext"/>
      </w:pPr>
      <w:r w:rsidRPr="00BB016F">
        <w:t>Wang J., Yin Y., 2022</w:t>
      </w:r>
      <w:r>
        <w:t>,</w:t>
      </w:r>
      <w:r w:rsidRPr="00BB016F">
        <w:t xml:space="preserve"> Biological production of medium-chain carboxylates through chain elongation: An overview. Biotechnol. Adv. 55, 107882.</w:t>
      </w:r>
      <w:r>
        <w:t xml:space="preserve"> </w:t>
      </w:r>
    </w:p>
    <w:p w14:paraId="411C0E1D" w14:textId="77777777" w:rsidR="00A90C6A" w:rsidRDefault="00A90C6A" w:rsidP="006B4888">
      <w:pPr>
        <w:pStyle w:val="CETReferencetext"/>
      </w:pPr>
      <w:r w:rsidRPr="00A90C6A">
        <w:t>Weimer, P. J., &amp; Stevenson, D. M.</w:t>
      </w:r>
      <w:r>
        <w:t xml:space="preserve">, </w:t>
      </w:r>
      <w:r w:rsidRPr="00A90C6A">
        <w:t>2012. Isolation, characterization, and quantification of</w:t>
      </w:r>
      <w:r w:rsidRPr="00A90C6A">
        <w:rPr>
          <w:i/>
          <w:iCs/>
        </w:rPr>
        <w:t xml:space="preserve"> Clostridium kluyveri </w:t>
      </w:r>
      <w:r w:rsidRPr="00A90C6A">
        <w:t>from the bovine rumen. Applied Microbiology and Biotechnology,</w:t>
      </w:r>
      <w:r w:rsidRPr="00A90C6A">
        <w:rPr>
          <w:i/>
          <w:iCs/>
        </w:rPr>
        <w:t xml:space="preserve"> 94</w:t>
      </w:r>
      <w:r w:rsidRPr="00A90C6A">
        <w:t>(2), 461–466. https://doi.org/10.1007/s00253</w:t>
      </w:r>
      <w:r w:rsidRPr="00A90C6A">
        <w:noBreakHyphen/>
        <w:t>011</w:t>
      </w:r>
      <w:r w:rsidRPr="00A90C6A">
        <w:noBreakHyphen/>
        <w:t>3751</w:t>
      </w:r>
      <w:r w:rsidRPr="00A90C6A">
        <w:noBreakHyphen/>
        <w:t>z</w:t>
      </w:r>
    </w:p>
    <w:p w14:paraId="6C5639E9" w14:textId="77777777" w:rsidR="00BB016F" w:rsidRPr="00784AA2" w:rsidRDefault="00BB016F" w:rsidP="006B4888">
      <w:pPr>
        <w:pStyle w:val="CETReferencetext"/>
      </w:pPr>
      <w:r w:rsidRPr="00BB016F">
        <w:t>Zhao W., Jiang H., Dong W., Liang Q., Yan B., Zhang Y., 2024</w:t>
      </w:r>
      <w:r>
        <w:t>,</w:t>
      </w:r>
      <w:r w:rsidRPr="00BB016F">
        <w:t xml:space="preserve"> Elevated caproic acid production from one-stage anaerobic fermentation of organic waste and its selective recovery by electro-membrane process. Bioresour. Technol. 399, 130647.</w:t>
      </w:r>
    </w:p>
    <w:p w14:paraId="42F89582" w14:textId="77777777" w:rsidR="004628D2" w:rsidRDefault="004628D2" w:rsidP="00FA5F5F">
      <w:pPr>
        <w:pStyle w:val="CETHeading1"/>
        <w:numPr>
          <w:ilvl w:val="0"/>
          <w:numId w:val="0"/>
        </w:numPr>
      </w:pPr>
    </w:p>
    <w:sectPr w:rsidR="004628D2" w:rsidSect="00DB6E90">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2207" w14:textId="77777777" w:rsidR="00632097" w:rsidRDefault="00632097" w:rsidP="004F5E36">
      <w:r>
        <w:separator/>
      </w:r>
    </w:p>
  </w:endnote>
  <w:endnote w:type="continuationSeparator" w:id="0">
    <w:p w14:paraId="4BB14B0C" w14:textId="77777777" w:rsidR="00632097" w:rsidRDefault="00632097"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Cambria"/>
    <w:panose1 w:val="020B0604020202020204"/>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2233" w14:textId="77777777" w:rsidR="00632097" w:rsidRDefault="00632097" w:rsidP="004F5E36">
      <w:r>
        <w:separator/>
      </w:r>
    </w:p>
  </w:footnote>
  <w:footnote w:type="continuationSeparator" w:id="0">
    <w:p w14:paraId="32BB9DD7" w14:textId="77777777" w:rsidR="00632097" w:rsidRDefault="00632097"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832203">
    <w:abstractNumId w:val="10"/>
  </w:num>
  <w:num w:numId="2" w16cid:durableId="280579723">
    <w:abstractNumId w:val="8"/>
  </w:num>
  <w:num w:numId="3" w16cid:durableId="1824852220">
    <w:abstractNumId w:val="3"/>
  </w:num>
  <w:num w:numId="4" w16cid:durableId="1118185489">
    <w:abstractNumId w:val="2"/>
  </w:num>
  <w:num w:numId="5" w16cid:durableId="522406575">
    <w:abstractNumId w:val="1"/>
  </w:num>
  <w:num w:numId="6" w16cid:durableId="2136555139">
    <w:abstractNumId w:val="0"/>
  </w:num>
  <w:num w:numId="7" w16cid:durableId="1055158299">
    <w:abstractNumId w:val="9"/>
  </w:num>
  <w:num w:numId="8" w16cid:durableId="1530876318">
    <w:abstractNumId w:val="7"/>
  </w:num>
  <w:num w:numId="9" w16cid:durableId="239675215">
    <w:abstractNumId w:val="6"/>
  </w:num>
  <w:num w:numId="10" w16cid:durableId="334698431">
    <w:abstractNumId w:val="5"/>
  </w:num>
  <w:num w:numId="11" w16cid:durableId="2097898337">
    <w:abstractNumId w:val="4"/>
  </w:num>
  <w:num w:numId="12" w16cid:durableId="1955363637">
    <w:abstractNumId w:val="17"/>
  </w:num>
  <w:num w:numId="13" w16cid:durableId="1678119224">
    <w:abstractNumId w:val="12"/>
  </w:num>
  <w:num w:numId="14" w16cid:durableId="1338575440">
    <w:abstractNumId w:val="18"/>
  </w:num>
  <w:num w:numId="15" w16cid:durableId="166411323">
    <w:abstractNumId w:val="20"/>
  </w:num>
  <w:num w:numId="16" w16cid:durableId="101803661">
    <w:abstractNumId w:val="19"/>
  </w:num>
  <w:num w:numId="17" w16cid:durableId="1732776176">
    <w:abstractNumId w:val="11"/>
  </w:num>
  <w:num w:numId="18" w16cid:durableId="1839348852">
    <w:abstractNumId w:val="12"/>
    <w:lvlOverride w:ilvl="0">
      <w:startOverride w:val="1"/>
    </w:lvlOverride>
  </w:num>
  <w:num w:numId="19" w16cid:durableId="1822504981">
    <w:abstractNumId w:val="16"/>
  </w:num>
  <w:num w:numId="20" w16cid:durableId="1686326279">
    <w:abstractNumId w:val="15"/>
  </w:num>
  <w:num w:numId="21" w16cid:durableId="265503843">
    <w:abstractNumId w:val="14"/>
  </w:num>
  <w:num w:numId="22" w16cid:durableId="923345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8"/>
  <w:hyphenationZone w:val="283"/>
  <w:clickAndTypeStyle w:val="CETBodytext"/>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1C4"/>
    <w:rsid w:val="000027C0"/>
    <w:rsid w:val="000052FB"/>
    <w:rsid w:val="00005884"/>
    <w:rsid w:val="00005A19"/>
    <w:rsid w:val="000117CB"/>
    <w:rsid w:val="00026118"/>
    <w:rsid w:val="0003148D"/>
    <w:rsid w:val="00031EEC"/>
    <w:rsid w:val="00035443"/>
    <w:rsid w:val="000416FF"/>
    <w:rsid w:val="00045498"/>
    <w:rsid w:val="00051566"/>
    <w:rsid w:val="00054AD8"/>
    <w:rsid w:val="00055ED0"/>
    <w:rsid w:val="000561DB"/>
    <w:rsid w:val="000562A9"/>
    <w:rsid w:val="0005721A"/>
    <w:rsid w:val="00062567"/>
    <w:rsid w:val="00062A9A"/>
    <w:rsid w:val="00065058"/>
    <w:rsid w:val="00070C44"/>
    <w:rsid w:val="00086C39"/>
    <w:rsid w:val="00090C45"/>
    <w:rsid w:val="000920A1"/>
    <w:rsid w:val="00096B4B"/>
    <w:rsid w:val="000A03B2"/>
    <w:rsid w:val="000A26AA"/>
    <w:rsid w:val="000C5D8A"/>
    <w:rsid w:val="000D0268"/>
    <w:rsid w:val="000D34BE"/>
    <w:rsid w:val="000E102F"/>
    <w:rsid w:val="000E36F1"/>
    <w:rsid w:val="000E3A73"/>
    <w:rsid w:val="000E414A"/>
    <w:rsid w:val="000E75FD"/>
    <w:rsid w:val="000E7DCF"/>
    <w:rsid w:val="000F093C"/>
    <w:rsid w:val="000F18B3"/>
    <w:rsid w:val="000F787B"/>
    <w:rsid w:val="00113AC6"/>
    <w:rsid w:val="0012091F"/>
    <w:rsid w:val="00124AAD"/>
    <w:rsid w:val="00125B47"/>
    <w:rsid w:val="001264E6"/>
    <w:rsid w:val="00126BC2"/>
    <w:rsid w:val="0013030E"/>
    <w:rsid w:val="001308B6"/>
    <w:rsid w:val="0013121F"/>
    <w:rsid w:val="001318DB"/>
    <w:rsid w:val="00131FE6"/>
    <w:rsid w:val="0013263F"/>
    <w:rsid w:val="001331DF"/>
    <w:rsid w:val="00134DE4"/>
    <w:rsid w:val="0014034D"/>
    <w:rsid w:val="0014057C"/>
    <w:rsid w:val="00140FE3"/>
    <w:rsid w:val="0014426A"/>
    <w:rsid w:val="00144D16"/>
    <w:rsid w:val="00145BA6"/>
    <w:rsid w:val="00150E59"/>
    <w:rsid w:val="001524C8"/>
    <w:rsid w:val="00152DE3"/>
    <w:rsid w:val="00162A37"/>
    <w:rsid w:val="00164CF9"/>
    <w:rsid w:val="001667A6"/>
    <w:rsid w:val="0017101C"/>
    <w:rsid w:val="00177032"/>
    <w:rsid w:val="00177C5E"/>
    <w:rsid w:val="00184AD6"/>
    <w:rsid w:val="00184E10"/>
    <w:rsid w:val="00187298"/>
    <w:rsid w:val="001A24FE"/>
    <w:rsid w:val="001A4AF7"/>
    <w:rsid w:val="001A5DAB"/>
    <w:rsid w:val="001B0349"/>
    <w:rsid w:val="001B13FA"/>
    <w:rsid w:val="001B1AD7"/>
    <w:rsid w:val="001B1E93"/>
    <w:rsid w:val="001B65C1"/>
    <w:rsid w:val="001C0881"/>
    <w:rsid w:val="001C1703"/>
    <w:rsid w:val="001C260F"/>
    <w:rsid w:val="001C33F1"/>
    <w:rsid w:val="001C684B"/>
    <w:rsid w:val="001D0CFB"/>
    <w:rsid w:val="001D21AF"/>
    <w:rsid w:val="001D53FC"/>
    <w:rsid w:val="001F144E"/>
    <w:rsid w:val="001F42A5"/>
    <w:rsid w:val="001F7B9D"/>
    <w:rsid w:val="00201C93"/>
    <w:rsid w:val="0022136B"/>
    <w:rsid w:val="002224B4"/>
    <w:rsid w:val="002279C9"/>
    <w:rsid w:val="00231DF5"/>
    <w:rsid w:val="002447EF"/>
    <w:rsid w:val="00251550"/>
    <w:rsid w:val="00263B05"/>
    <w:rsid w:val="0027221A"/>
    <w:rsid w:val="00275B61"/>
    <w:rsid w:val="00280FAF"/>
    <w:rsid w:val="00282656"/>
    <w:rsid w:val="00283DAA"/>
    <w:rsid w:val="00296B83"/>
    <w:rsid w:val="002B1AEB"/>
    <w:rsid w:val="002B4015"/>
    <w:rsid w:val="002B78CE"/>
    <w:rsid w:val="002C2FB6"/>
    <w:rsid w:val="002E09BC"/>
    <w:rsid w:val="002E4C4E"/>
    <w:rsid w:val="002E5FA7"/>
    <w:rsid w:val="002E6895"/>
    <w:rsid w:val="002E764D"/>
    <w:rsid w:val="002F3309"/>
    <w:rsid w:val="002F6DF3"/>
    <w:rsid w:val="003008CE"/>
    <w:rsid w:val="003009B7"/>
    <w:rsid w:val="00300E56"/>
    <w:rsid w:val="0030152C"/>
    <w:rsid w:val="0030469C"/>
    <w:rsid w:val="00307D00"/>
    <w:rsid w:val="00321CA6"/>
    <w:rsid w:val="00323763"/>
    <w:rsid w:val="00323C5F"/>
    <w:rsid w:val="00327EB6"/>
    <w:rsid w:val="00330EC1"/>
    <w:rsid w:val="00332C1B"/>
    <w:rsid w:val="00334C09"/>
    <w:rsid w:val="00344E15"/>
    <w:rsid w:val="00350C64"/>
    <w:rsid w:val="00361104"/>
    <w:rsid w:val="003723D4"/>
    <w:rsid w:val="00375163"/>
    <w:rsid w:val="00381905"/>
    <w:rsid w:val="00384CC8"/>
    <w:rsid w:val="003871FD"/>
    <w:rsid w:val="003924EC"/>
    <w:rsid w:val="003A1E30"/>
    <w:rsid w:val="003A2829"/>
    <w:rsid w:val="003A7D1C"/>
    <w:rsid w:val="003B2134"/>
    <w:rsid w:val="003B2FD9"/>
    <w:rsid w:val="003B304B"/>
    <w:rsid w:val="003B3146"/>
    <w:rsid w:val="003C65AD"/>
    <w:rsid w:val="003C6D95"/>
    <w:rsid w:val="003D1E02"/>
    <w:rsid w:val="003D6058"/>
    <w:rsid w:val="003E5D79"/>
    <w:rsid w:val="003F015E"/>
    <w:rsid w:val="003F1AE5"/>
    <w:rsid w:val="003F3F54"/>
    <w:rsid w:val="00400414"/>
    <w:rsid w:val="0041446B"/>
    <w:rsid w:val="00414476"/>
    <w:rsid w:val="004146DA"/>
    <w:rsid w:val="00422690"/>
    <w:rsid w:val="00427A48"/>
    <w:rsid w:val="0043008E"/>
    <w:rsid w:val="00432EC4"/>
    <w:rsid w:val="00436BAB"/>
    <w:rsid w:val="0044071E"/>
    <w:rsid w:val="0044167E"/>
    <w:rsid w:val="0044329C"/>
    <w:rsid w:val="00453E24"/>
    <w:rsid w:val="00455E5F"/>
    <w:rsid w:val="00457456"/>
    <w:rsid w:val="004577FE"/>
    <w:rsid w:val="00457B9C"/>
    <w:rsid w:val="0046164A"/>
    <w:rsid w:val="004628D2"/>
    <w:rsid w:val="00462DCD"/>
    <w:rsid w:val="004648AD"/>
    <w:rsid w:val="004703A9"/>
    <w:rsid w:val="004731C5"/>
    <w:rsid w:val="0047408D"/>
    <w:rsid w:val="004760DE"/>
    <w:rsid w:val="004763D7"/>
    <w:rsid w:val="0049209D"/>
    <w:rsid w:val="00495A60"/>
    <w:rsid w:val="00496DE3"/>
    <w:rsid w:val="004A004E"/>
    <w:rsid w:val="004A03D7"/>
    <w:rsid w:val="004A1B1C"/>
    <w:rsid w:val="004A24CF"/>
    <w:rsid w:val="004A5E57"/>
    <w:rsid w:val="004B493A"/>
    <w:rsid w:val="004B6626"/>
    <w:rsid w:val="004B6CEE"/>
    <w:rsid w:val="004C02AF"/>
    <w:rsid w:val="004C194F"/>
    <w:rsid w:val="004C3D1D"/>
    <w:rsid w:val="004C3D84"/>
    <w:rsid w:val="004C7913"/>
    <w:rsid w:val="004D378F"/>
    <w:rsid w:val="004E4432"/>
    <w:rsid w:val="004E4DD6"/>
    <w:rsid w:val="004F5E36"/>
    <w:rsid w:val="005024BE"/>
    <w:rsid w:val="00507B47"/>
    <w:rsid w:val="00507BEF"/>
    <w:rsid w:val="00507CC9"/>
    <w:rsid w:val="005119A5"/>
    <w:rsid w:val="00513226"/>
    <w:rsid w:val="0051561B"/>
    <w:rsid w:val="0051669C"/>
    <w:rsid w:val="005278B7"/>
    <w:rsid w:val="00532016"/>
    <w:rsid w:val="005346C8"/>
    <w:rsid w:val="00543E7D"/>
    <w:rsid w:val="00547800"/>
    <w:rsid w:val="00547A68"/>
    <w:rsid w:val="005531C9"/>
    <w:rsid w:val="005563BA"/>
    <w:rsid w:val="00562CA2"/>
    <w:rsid w:val="00570C43"/>
    <w:rsid w:val="00571E5A"/>
    <w:rsid w:val="005775A3"/>
    <w:rsid w:val="00592274"/>
    <w:rsid w:val="00595E80"/>
    <w:rsid w:val="005A1B2D"/>
    <w:rsid w:val="005A40F3"/>
    <w:rsid w:val="005A410B"/>
    <w:rsid w:val="005A44AB"/>
    <w:rsid w:val="005B2110"/>
    <w:rsid w:val="005B2B62"/>
    <w:rsid w:val="005B61E6"/>
    <w:rsid w:val="005C2E1C"/>
    <w:rsid w:val="005C3B0F"/>
    <w:rsid w:val="005C77E1"/>
    <w:rsid w:val="005D2E1B"/>
    <w:rsid w:val="005D5157"/>
    <w:rsid w:val="005D668A"/>
    <w:rsid w:val="005D6A2F"/>
    <w:rsid w:val="005E0592"/>
    <w:rsid w:val="005E0981"/>
    <w:rsid w:val="005E1A82"/>
    <w:rsid w:val="005E794C"/>
    <w:rsid w:val="005E7CED"/>
    <w:rsid w:val="005F0A28"/>
    <w:rsid w:val="005F0E5E"/>
    <w:rsid w:val="005F35C5"/>
    <w:rsid w:val="005F43FF"/>
    <w:rsid w:val="00600535"/>
    <w:rsid w:val="0060243F"/>
    <w:rsid w:val="0060476C"/>
    <w:rsid w:val="006071E8"/>
    <w:rsid w:val="00610CD6"/>
    <w:rsid w:val="00620DEE"/>
    <w:rsid w:val="00621F92"/>
    <w:rsid w:val="0062280A"/>
    <w:rsid w:val="006231E1"/>
    <w:rsid w:val="00625639"/>
    <w:rsid w:val="00631B33"/>
    <w:rsid w:val="00632097"/>
    <w:rsid w:val="00636DF2"/>
    <w:rsid w:val="006373B7"/>
    <w:rsid w:val="0064184D"/>
    <w:rsid w:val="006422CC"/>
    <w:rsid w:val="006501CE"/>
    <w:rsid w:val="00651D18"/>
    <w:rsid w:val="00655451"/>
    <w:rsid w:val="00657F4D"/>
    <w:rsid w:val="00660E3E"/>
    <w:rsid w:val="00662E74"/>
    <w:rsid w:val="006653A0"/>
    <w:rsid w:val="00680C23"/>
    <w:rsid w:val="00683E23"/>
    <w:rsid w:val="00693766"/>
    <w:rsid w:val="006952E8"/>
    <w:rsid w:val="006973D0"/>
    <w:rsid w:val="006977C4"/>
    <w:rsid w:val="006A3281"/>
    <w:rsid w:val="006B4888"/>
    <w:rsid w:val="006C2E45"/>
    <w:rsid w:val="006C359C"/>
    <w:rsid w:val="006C5579"/>
    <w:rsid w:val="006D11B4"/>
    <w:rsid w:val="006D6E8B"/>
    <w:rsid w:val="006D7209"/>
    <w:rsid w:val="006E737D"/>
    <w:rsid w:val="006F266A"/>
    <w:rsid w:val="006F745E"/>
    <w:rsid w:val="00707DD1"/>
    <w:rsid w:val="00710CD3"/>
    <w:rsid w:val="00713973"/>
    <w:rsid w:val="007164D8"/>
    <w:rsid w:val="00720A24"/>
    <w:rsid w:val="00722602"/>
    <w:rsid w:val="00723358"/>
    <w:rsid w:val="007275ED"/>
    <w:rsid w:val="00732386"/>
    <w:rsid w:val="0073514D"/>
    <w:rsid w:val="007447F3"/>
    <w:rsid w:val="00747532"/>
    <w:rsid w:val="007536C7"/>
    <w:rsid w:val="007545EB"/>
    <w:rsid w:val="007548D8"/>
    <w:rsid w:val="0075499F"/>
    <w:rsid w:val="007617CC"/>
    <w:rsid w:val="00765F53"/>
    <w:rsid w:val="007661C8"/>
    <w:rsid w:val="00766517"/>
    <w:rsid w:val="0077098D"/>
    <w:rsid w:val="0077169D"/>
    <w:rsid w:val="007747F4"/>
    <w:rsid w:val="00777F5E"/>
    <w:rsid w:val="00784AA2"/>
    <w:rsid w:val="00785A96"/>
    <w:rsid w:val="00785BF9"/>
    <w:rsid w:val="0079091F"/>
    <w:rsid w:val="007931FA"/>
    <w:rsid w:val="00797A7A"/>
    <w:rsid w:val="007A4861"/>
    <w:rsid w:val="007A7BBA"/>
    <w:rsid w:val="007B0C50"/>
    <w:rsid w:val="007B48F9"/>
    <w:rsid w:val="007B54D7"/>
    <w:rsid w:val="007C095C"/>
    <w:rsid w:val="007C1A43"/>
    <w:rsid w:val="007C6B45"/>
    <w:rsid w:val="007D0951"/>
    <w:rsid w:val="007D1A2D"/>
    <w:rsid w:val="007D535D"/>
    <w:rsid w:val="007D5EAE"/>
    <w:rsid w:val="007D6364"/>
    <w:rsid w:val="007E255E"/>
    <w:rsid w:val="007F27C8"/>
    <w:rsid w:val="0080013E"/>
    <w:rsid w:val="0080027E"/>
    <w:rsid w:val="00802ADC"/>
    <w:rsid w:val="008071E7"/>
    <w:rsid w:val="00813288"/>
    <w:rsid w:val="008168FC"/>
    <w:rsid w:val="00817446"/>
    <w:rsid w:val="00825972"/>
    <w:rsid w:val="00830996"/>
    <w:rsid w:val="008314D7"/>
    <w:rsid w:val="008345F1"/>
    <w:rsid w:val="0085186C"/>
    <w:rsid w:val="008638F0"/>
    <w:rsid w:val="00865B07"/>
    <w:rsid w:val="008667EA"/>
    <w:rsid w:val="008702D5"/>
    <w:rsid w:val="0087637F"/>
    <w:rsid w:val="00890E90"/>
    <w:rsid w:val="00892AD5"/>
    <w:rsid w:val="00894380"/>
    <w:rsid w:val="008A1512"/>
    <w:rsid w:val="008A329F"/>
    <w:rsid w:val="008C19D5"/>
    <w:rsid w:val="008C5987"/>
    <w:rsid w:val="008D32B9"/>
    <w:rsid w:val="008D433B"/>
    <w:rsid w:val="008D4A16"/>
    <w:rsid w:val="008D5A44"/>
    <w:rsid w:val="008E0E32"/>
    <w:rsid w:val="008E1032"/>
    <w:rsid w:val="008E209A"/>
    <w:rsid w:val="008E2FD8"/>
    <w:rsid w:val="008E45BC"/>
    <w:rsid w:val="008E5204"/>
    <w:rsid w:val="008E566E"/>
    <w:rsid w:val="008F1139"/>
    <w:rsid w:val="008F59FA"/>
    <w:rsid w:val="008F60D7"/>
    <w:rsid w:val="0090161A"/>
    <w:rsid w:val="00901EB6"/>
    <w:rsid w:val="00903898"/>
    <w:rsid w:val="009041F8"/>
    <w:rsid w:val="00904C62"/>
    <w:rsid w:val="00914CE5"/>
    <w:rsid w:val="00916503"/>
    <w:rsid w:val="00922BA8"/>
    <w:rsid w:val="00924DAC"/>
    <w:rsid w:val="00927058"/>
    <w:rsid w:val="00930B56"/>
    <w:rsid w:val="009334A8"/>
    <w:rsid w:val="00942750"/>
    <w:rsid w:val="00943142"/>
    <w:rsid w:val="00944B7B"/>
    <w:rsid w:val="009450CE"/>
    <w:rsid w:val="009459BB"/>
    <w:rsid w:val="00947179"/>
    <w:rsid w:val="0095164B"/>
    <w:rsid w:val="00954090"/>
    <w:rsid w:val="00955075"/>
    <w:rsid w:val="009573E7"/>
    <w:rsid w:val="00957926"/>
    <w:rsid w:val="00963004"/>
    <w:rsid w:val="00963E05"/>
    <w:rsid w:val="00964A45"/>
    <w:rsid w:val="00966825"/>
    <w:rsid w:val="009672B2"/>
    <w:rsid w:val="00967843"/>
    <w:rsid w:val="00967D54"/>
    <w:rsid w:val="00971028"/>
    <w:rsid w:val="00993B84"/>
    <w:rsid w:val="00994E98"/>
    <w:rsid w:val="00996483"/>
    <w:rsid w:val="00996F5A"/>
    <w:rsid w:val="009A1561"/>
    <w:rsid w:val="009B041A"/>
    <w:rsid w:val="009B212D"/>
    <w:rsid w:val="009B4560"/>
    <w:rsid w:val="009B5479"/>
    <w:rsid w:val="009C0A3D"/>
    <w:rsid w:val="009C37C3"/>
    <w:rsid w:val="009C5174"/>
    <w:rsid w:val="009C67B7"/>
    <w:rsid w:val="009C7C86"/>
    <w:rsid w:val="009D1D84"/>
    <w:rsid w:val="009D2FF7"/>
    <w:rsid w:val="009E7884"/>
    <w:rsid w:val="009E788A"/>
    <w:rsid w:val="009F0E08"/>
    <w:rsid w:val="009F39FF"/>
    <w:rsid w:val="009F41D0"/>
    <w:rsid w:val="009F4AA0"/>
    <w:rsid w:val="009F6BCB"/>
    <w:rsid w:val="00A079AE"/>
    <w:rsid w:val="00A15837"/>
    <w:rsid w:val="00A16CD4"/>
    <w:rsid w:val="00A1763D"/>
    <w:rsid w:val="00A17CEC"/>
    <w:rsid w:val="00A204A6"/>
    <w:rsid w:val="00A24077"/>
    <w:rsid w:val="00A26CBB"/>
    <w:rsid w:val="00A27EF0"/>
    <w:rsid w:val="00A31587"/>
    <w:rsid w:val="00A40BF7"/>
    <w:rsid w:val="00A4160E"/>
    <w:rsid w:val="00A4202D"/>
    <w:rsid w:val="00A42361"/>
    <w:rsid w:val="00A50471"/>
    <w:rsid w:val="00A50B20"/>
    <w:rsid w:val="00A51390"/>
    <w:rsid w:val="00A55633"/>
    <w:rsid w:val="00A60D13"/>
    <w:rsid w:val="00A61F40"/>
    <w:rsid w:val="00A63003"/>
    <w:rsid w:val="00A7223D"/>
    <w:rsid w:val="00A72745"/>
    <w:rsid w:val="00A73834"/>
    <w:rsid w:val="00A76EFC"/>
    <w:rsid w:val="00A87D50"/>
    <w:rsid w:val="00A90C6A"/>
    <w:rsid w:val="00A90E8B"/>
    <w:rsid w:val="00A91010"/>
    <w:rsid w:val="00A97F29"/>
    <w:rsid w:val="00AA0B27"/>
    <w:rsid w:val="00AA1DE7"/>
    <w:rsid w:val="00AA702E"/>
    <w:rsid w:val="00AA7D26"/>
    <w:rsid w:val="00AB0964"/>
    <w:rsid w:val="00AB5011"/>
    <w:rsid w:val="00AC3A0A"/>
    <w:rsid w:val="00AC4983"/>
    <w:rsid w:val="00AC6F74"/>
    <w:rsid w:val="00AC7034"/>
    <w:rsid w:val="00AC7368"/>
    <w:rsid w:val="00AD0278"/>
    <w:rsid w:val="00AD0CE2"/>
    <w:rsid w:val="00AD16B9"/>
    <w:rsid w:val="00AD7E39"/>
    <w:rsid w:val="00AE0926"/>
    <w:rsid w:val="00AE377D"/>
    <w:rsid w:val="00AE74BD"/>
    <w:rsid w:val="00AF0D17"/>
    <w:rsid w:val="00AF0EBA"/>
    <w:rsid w:val="00AF6CBE"/>
    <w:rsid w:val="00AF6D90"/>
    <w:rsid w:val="00B00DF8"/>
    <w:rsid w:val="00B00F73"/>
    <w:rsid w:val="00B02C8A"/>
    <w:rsid w:val="00B16472"/>
    <w:rsid w:val="00B17FBD"/>
    <w:rsid w:val="00B315A6"/>
    <w:rsid w:val="00B31813"/>
    <w:rsid w:val="00B33365"/>
    <w:rsid w:val="00B344DA"/>
    <w:rsid w:val="00B37C0E"/>
    <w:rsid w:val="00B5126B"/>
    <w:rsid w:val="00B57B36"/>
    <w:rsid w:val="00B57E6F"/>
    <w:rsid w:val="00B616FE"/>
    <w:rsid w:val="00B80057"/>
    <w:rsid w:val="00B816C6"/>
    <w:rsid w:val="00B8686D"/>
    <w:rsid w:val="00B93F69"/>
    <w:rsid w:val="00B945B6"/>
    <w:rsid w:val="00B95D25"/>
    <w:rsid w:val="00B96627"/>
    <w:rsid w:val="00BA4B9C"/>
    <w:rsid w:val="00BB016F"/>
    <w:rsid w:val="00BB1DDC"/>
    <w:rsid w:val="00BB4F6F"/>
    <w:rsid w:val="00BB7839"/>
    <w:rsid w:val="00BC2882"/>
    <w:rsid w:val="00BC30C9"/>
    <w:rsid w:val="00BC4C2F"/>
    <w:rsid w:val="00BD077D"/>
    <w:rsid w:val="00BD14C7"/>
    <w:rsid w:val="00BE3126"/>
    <w:rsid w:val="00BE3E58"/>
    <w:rsid w:val="00BE6488"/>
    <w:rsid w:val="00BF6F49"/>
    <w:rsid w:val="00BF7FE4"/>
    <w:rsid w:val="00C01616"/>
    <w:rsid w:val="00C0162B"/>
    <w:rsid w:val="00C062E9"/>
    <w:rsid w:val="00C068ED"/>
    <w:rsid w:val="00C112F1"/>
    <w:rsid w:val="00C208E9"/>
    <w:rsid w:val="00C22E0C"/>
    <w:rsid w:val="00C30832"/>
    <w:rsid w:val="00C345B1"/>
    <w:rsid w:val="00C40142"/>
    <w:rsid w:val="00C40675"/>
    <w:rsid w:val="00C4655A"/>
    <w:rsid w:val="00C509F6"/>
    <w:rsid w:val="00C52804"/>
    <w:rsid w:val="00C52C3C"/>
    <w:rsid w:val="00C56592"/>
    <w:rsid w:val="00C57182"/>
    <w:rsid w:val="00C57863"/>
    <w:rsid w:val="00C638CE"/>
    <w:rsid w:val="00C640AF"/>
    <w:rsid w:val="00C655FD"/>
    <w:rsid w:val="00C65C39"/>
    <w:rsid w:val="00C75407"/>
    <w:rsid w:val="00C83F19"/>
    <w:rsid w:val="00C841C6"/>
    <w:rsid w:val="00C85D51"/>
    <w:rsid w:val="00C870A8"/>
    <w:rsid w:val="00C919C6"/>
    <w:rsid w:val="00C94434"/>
    <w:rsid w:val="00C94A9F"/>
    <w:rsid w:val="00C95CD0"/>
    <w:rsid w:val="00C97042"/>
    <w:rsid w:val="00CA0D75"/>
    <w:rsid w:val="00CA1C95"/>
    <w:rsid w:val="00CA5A9C"/>
    <w:rsid w:val="00CB1978"/>
    <w:rsid w:val="00CB3748"/>
    <w:rsid w:val="00CB7292"/>
    <w:rsid w:val="00CC00C9"/>
    <w:rsid w:val="00CC4C20"/>
    <w:rsid w:val="00CD15DD"/>
    <w:rsid w:val="00CD3517"/>
    <w:rsid w:val="00CD4093"/>
    <w:rsid w:val="00CD5FE2"/>
    <w:rsid w:val="00CD64E5"/>
    <w:rsid w:val="00CD73BB"/>
    <w:rsid w:val="00CE0A13"/>
    <w:rsid w:val="00CE1F01"/>
    <w:rsid w:val="00CE3EC7"/>
    <w:rsid w:val="00CE7C68"/>
    <w:rsid w:val="00CF2018"/>
    <w:rsid w:val="00D00F98"/>
    <w:rsid w:val="00D02B4C"/>
    <w:rsid w:val="00D040C4"/>
    <w:rsid w:val="00D20AD1"/>
    <w:rsid w:val="00D2582C"/>
    <w:rsid w:val="00D27213"/>
    <w:rsid w:val="00D27B02"/>
    <w:rsid w:val="00D35872"/>
    <w:rsid w:val="00D41EE6"/>
    <w:rsid w:val="00D4287A"/>
    <w:rsid w:val="00D43BB9"/>
    <w:rsid w:val="00D46B7E"/>
    <w:rsid w:val="00D5483D"/>
    <w:rsid w:val="00D57C84"/>
    <w:rsid w:val="00D6057D"/>
    <w:rsid w:val="00D6567D"/>
    <w:rsid w:val="00D71640"/>
    <w:rsid w:val="00D71BAF"/>
    <w:rsid w:val="00D8365A"/>
    <w:rsid w:val="00D836C5"/>
    <w:rsid w:val="00D84576"/>
    <w:rsid w:val="00D91B5C"/>
    <w:rsid w:val="00D94259"/>
    <w:rsid w:val="00DA1399"/>
    <w:rsid w:val="00DA24C6"/>
    <w:rsid w:val="00DA4D7B"/>
    <w:rsid w:val="00DB3E58"/>
    <w:rsid w:val="00DB6E90"/>
    <w:rsid w:val="00DD271C"/>
    <w:rsid w:val="00DE2635"/>
    <w:rsid w:val="00DE264A"/>
    <w:rsid w:val="00DF0399"/>
    <w:rsid w:val="00DF5072"/>
    <w:rsid w:val="00DF708A"/>
    <w:rsid w:val="00DF78F6"/>
    <w:rsid w:val="00E02D18"/>
    <w:rsid w:val="00E041E7"/>
    <w:rsid w:val="00E22D88"/>
    <w:rsid w:val="00E239D8"/>
    <w:rsid w:val="00E23CA1"/>
    <w:rsid w:val="00E409A8"/>
    <w:rsid w:val="00E4308E"/>
    <w:rsid w:val="00E440BD"/>
    <w:rsid w:val="00E46CB8"/>
    <w:rsid w:val="00E47D61"/>
    <w:rsid w:val="00E50C12"/>
    <w:rsid w:val="00E52137"/>
    <w:rsid w:val="00E55DD9"/>
    <w:rsid w:val="00E6047B"/>
    <w:rsid w:val="00E65B91"/>
    <w:rsid w:val="00E67C46"/>
    <w:rsid w:val="00E71C11"/>
    <w:rsid w:val="00E7209D"/>
    <w:rsid w:val="00E72EAD"/>
    <w:rsid w:val="00E77223"/>
    <w:rsid w:val="00E8528B"/>
    <w:rsid w:val="00E85B94"/>
    <w:rsid w:val="00E91101"/>
    <w:rsid w:val="00E978D0"/>
    <w:rsid w:val="00EA4613"/>
    <w:rsid w:val="00EA6F75"/>
    <w:rsid w:val="00EA7F91"/>
    <w:rsid w:val="00EB1523"/>
    <w:rsid w:val="00EC0E49"/>
    <w:rsid w:val="00EC101F"/>
    <w:rsid w:val="00EC1D9F"/>
    <w:rsid w:val="00EC725A"/>
    <w:rsid w:val="00ED7252"/>
    <w:rsid w:val="00ED7D41"/>
    <w:rsid w:val="00EE0131"/>
    <w:rsid w:val="00EE027C"/>
    <w:rsid w:val="00EE17B0"/>
    <w:rsid w:val="00EE1E0D"/>
    <w:rsid w:val="00EF058D"/>
    <w:rsid w:val="00EF06D9"/>
    <w:rsid w:val="00EF0982"/>
    <w:rsid w:val="00EF52D8"/>
    <w:rsid w:val="00F07D42"/>
    <w:rsid w:val="00F15D65"/>
    <w:rsid w:val="00F17B40"/>
    <w:rsid w:val="00F259FC"/>
    <w:rsid w:val="00F3049E"/>
    <w:rsid w:val="00F30C64"/>
    <w:rsid w:val="00F326B3"/>
    <w:rsid w:val="00F32BA2"/>
    <w:rsid w:val="00F32CDB"/>
    <w:rsid w:val="00F3348F"/>
    <w:rsid w:val="00F37280"/>
    <w:rsid w:val="00F37E65"/>
    <w:rsid w:val="00F405E3"/>
    <w:rsid w:val="00F41EE4"/>
    <w:rsid w:val="00F51D2D"/>
    <w:rsid w:val="00F565FE"/>
    <w:rsid w:val="00F63A70"/>
    <w:rsid w:val="00F63B1F"/>
    <w:rsid w:val="00F63D8C"/>
    <w:rsid w:val="00F7534E"/>
    <w:rsid w:val="00F75946"/>
    <w:rsid w:val="00F8315B"/>
    <w:rsid w:val="00F83792"/>
    <w:rsid w:val="00F87CFA"/>
    <w:rsid w:val="00F93EDF"/>
    <w:rsid w:val="00FA1802"/>
    <w:rsid w:val="00FA21D0"/>
    <w:rsid w:val="00FA3A75"/>
    <w:rsid w:val="00FA5F5F"/>
    <w:rsid w:val="00FB2123"/>
    <w:rsid w:val="00FB4E41"/>
    <w:rsid w:val="00FB730C"/>
    <w:rsid w:val="00FC2695"/>
    <w:rsid w:val="00FC2D93"/>
    <w:rsid w:val="00FC32A7"/>
    <w:rsid w:val="00FC3E03"/>
    <w:rsid w:val="00FC3FC1"/>
    <w:rsid w:val="00FC68A6"/>
    <w:rsid w:val="00FC6E3B"/>
    <w:rsid w:val="00FE31A4"/>
    <w:rsid w:val="00FE4789"/>
    <w:rsid w:val="00FF1504"/>
    <w:rsid w:val="00FF5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A23D14B"/>
  <w15:docId w15:val="{86DED6A0-4631-9D4F-B7BB-58E113C0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customStyle="1" w:styleId="UnresolvedMention1">
    <w:name w:val="Unresolved Mention1"/>
    <w:basedOn w:val="DefaultParagraphFont"/>
    <w:uiPriority w:val="99"/>
    <w:semiHidden/>
    <w:unhideWhenUsed/>
    <w:rsid w:val="00784AA2"/>
    <w:rPr>
      <w:color w:val="605E5C"/>
      <w:shd w:val="clear" w:color="auto" w:fill="E1DFDD"/>
    </w:rPr>
  </w:style>
  <w:style w:type="character" w:styleId="Emphasis">
    <w:name w:val="Emphasis"/>
    <w:basedOn w:val="DefaultParagraphFont"/>
    <w:uiPriority w:val="20"/>
    <w:qFormat/>
    <w:rsid w:val="002B1AEB"/>
    <w:rPr>
      <w:i/>
      <w:iCs/>
    </w:rPr>
  </w:style>
  <w:style w:type="character" w:styleId="Strong">
    <w:name w:val="Strong"/>
    <w:basedOn w:val="DefaultParagraphFont"/>
    <w:uiPriority w:val="22"/>
    <w:qFormat/>
    <w:rsid w:val="00914CE5"/>
    <w:rPr>
      <w:b/>
      <w:bCs/>
    </w:rPr>
  </w:style>
  <w:style w:type="character" w:customStyle="1" w:styleId="ms-1">
    <w:name w:val="ms-1"/>
    <w:basedOn w:val="DefaultParagraphFont"/>
    <w:rsid w:val="00096B4B"/>
  </w:style>
  <w:style w:type="character" w:customStyle="1" w:styleId="max-w-15ch">
    <w:name w:val="max-w-[15ch]"/>
    <w:basedOn w:val="DefaultParagraphFont"/>
    <w:rsid w:val="00096B4B"/>
  </w:style>
  <w:style w:type="paragraph" w:styleId="Revision">
    <w:name w:val="Revision"/>
    <w:hidden/>
    <w:uiPriority w:val="99"/>
    <w:semiHidden/>
    <w:rsid w:val="00090C45"/>
    <w:pPr>
      <w:spacing w:after="0" w:line="240" w:lineRule="auto"/>
    </w:pPr>
    <w:rPr>
      <w:rFonts w:ascii="Arial" w:eastAsia="Times New Roman" w:hAnsi="Arial" w:cs="Times New Roman"/>
      <w:sz w:val="18"/>
      <w:szCs w:val="20"/>
      <w:lang w:val="en-GB"/>
    </w:rPr>
  </w:style>
  <w:style w:type="character" w:styleId="PlaceholderText">
    <w:name w:val="Placeholder Text"/>
    <w:basedOn w:val="DefaultParagraphFont"/>
    <w:uiPriority w:val="99"/>
    <w:semiHidden/>
    <w:rsid w:val="007233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40771">
      <w:bodyDiv w:val="1"/>
      <w:marLeft w:val="0"/>
      <w:marRight w:val="0"/>
      <w:marTop w:val="0"/>
      <w:marBottom w:val="0"/>
      <w:divBdr>
        <w:top w:val="none" w:sz="0" w:space="0" w:color="auto"/>
        <w:left w:val="none" w:sz="0" w:space="0" w:color="auto"/>
        <w:bottom w:val="none" w:sz="0" w:space="0" w:color="auto"/>
        <w:right w:val="none" w:sz="0" w:space="0" w:color="auto"/>
      </w:divBdr>
    </w:div>
    <w:div w:id="591932501">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71050582">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0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03/CET251190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47F75F-78B0-0F47-B08B-AF38A9A3CF33}">
  <we:reference id="wa200001361" version="2.129.3.0" store="en-US" storeType="OMEX"/>
  <we:alternateReferences>
    <we:reference id="WA200001361" version="2.129.3.0" store="WA200001361" storeType="OMEX"/>
  </we:alternateReferences>
  <we:properties>
    <we:property name="paperpal-document-id" value="&quot;f14fe578-1b67-4fb0-af28-c1a14e5332c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6321-BFF2-48CF-96AF-FD6C25FB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3430</Words>
  <Characters>20312</Characters>
  <Application>Microsoft Office Word</Application>
  <DocSecurity>0</DocSecurity>
  <Lines>344</Lines>
  <Paragraphs>160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MARZOCCHELLA</dc:creator>
  <cp:keywords/>
  <dc:description/>
  <cp:lastModifiedBy>FRANCESCA RAGANATI</cp:lastModifiedBy>
  <cp:revision>35</cp:revision>
  <cp:lastPrinted>2026-02-18T11:44:00Z</cp:lastPrinted>
  <dcterms:created xsi:type="dcterms:W3CDTF">2026-02-18T11:44:00Z</dcterms:created>
  <dcterms:modified xsi:type="dcterms:W3CDTF">2026-03-12T14:09:00Z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SIP_Label_2ad0b24d-6422-44b0-b3de-abb3a9e8c81a_Enabled">
    <vt:lpwstr>true</vt:lpwstr>
  </property>
  <property fmtid="{D5CDD505-2E9C-101B-9397-08002B2CF9AE}" pid="5" name="MSIP_Label_2ad0b24d-6422-44b0-b3de-abb3a9e8c81a_SetDate">
    <vt:lpwstr>2025-12-23T11:13:50Z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72bd8454-bc7d-44a0-b0d1-43c30559b1f8</vt:lpwstr>
  </property>
  <property fmtid="{D5CDD505-2E9C-101B-9397-08002B2CF9AE}" pid="10" name="MSIP_Label_2ad0b24d-6422-44b0-b3de-abb3a9e8c81a_ContentBits">
    <vt:lpwstr>0</vt:lpwstr>
  </property>
  <property fmtid="{D5CDD505-2E9C-101B-9397-08002B2CF9AE}" pid="11" name="MSIP_Label_2ad0b24d-6422-44b0-b3de-abb3a9e8c81a_Tag">
    <vt:lpwstr>10, 3, 0, 1</vt:lpwstr>
  </property>
  <property fmtid="{D5CDD505-2E9C-101B-9397-08002B2CF9AE}" pid="12" name="GrammarlyDocumentId">
    <vt:lpwstr>a7cb1a6c-e52a-4693-8e5a-0c647fc71fe2</vt:lpwstr>
  </property>
</Properties>
</file>