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5A3D1F">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753620B8"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AD0278">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AD0278">
              <w:rPr>
                <w:rFonts w:cs="Arial"/>
                <w:b/>
                <w:bCs/>
                <w:i/>
                <w:iCs/>
                <w:color w:val="000066"/>
                <w:sz w:val="22"/>
                <w:szCs w:val="22"/>
                <w:lang w:eastAsia="it-IT"/>
              </w:rPr>
              <w:t>6</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5A3D1F">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5A3D1F">
        <w:trPr>
          <w:trHeight w:val="68"/>
          <w:jc w:val="center"/>
        </w:trPr>
        <w:tc>
          <w:tcPr>
            <w:tcW w:w="8782" w:type="dxa"/>
            <w:gridSpan w:val="2"/>
          </w:tcPr>
          <w:p w14:paraId="1D8DD3C9" w14:textId="252289FB" w:rsidR="00AA7D26" w:rsidRPr="00005884" w:rsidRDefault="004A5E57" w:rsidP="004A5E57">
            <w:pPr>
              <w:ind w:left="-107"/>
              <w:outlineLvl w:val="2"/>
              <w:rPr>
                <w:rFonts w:ascii="Tahoma" w:hAnsi="Tahoma" w:cs="Tahoma"/>
                <w:bCs/>
                <w:color w:val="000000"/>
                <w:sz w:val="14"/>
                <w:szCs w:val="14"/>
                <w:lang w:val="it-IT" w:eastAsia="it-IT"/>
              </w:rPr>
            </w:pPr>
            <w:r w:rsidRPr="004A5E57">
              <w:rPr>
                <w:rFonts w:ascii="Tahoma" w:hAnsi="Tahoma" w:cs="Tahoma"/>
                <w:iCs/>
                <w:color w:val="333333"/>
                <w:sz w:val="14"/>
                <w:szCs w:val="14"/>
                <w:lang w:val="it-IT" w:eastAsia="it-IT"/>
              </w:rPr>
              <w:t>Guest Editors:</w:t>
            </w:r>
            <w:r w:rsidRPr="004A5E57">
              <w:rPr>
                <w:rFonts w:ascii="Tahoma" w:hAnsi="Tahoma" w:cs="Tahoma"/>
                <w:color w:val="000000"/>
                <w:sz w:val="14"/>
                <w:szCs w:val="14"/>
                <w:shd w:val="clear" w:color="auto" w:fill="FFFFFF"/>
                <w:lang w:val="it-IT"/>
              </w:rPr>
              <w:t xml:space="preserve"> </w:t>
            </w:r>
            <w:r w:rsidR="00005884" w:rsidRPr="00005884">
              <w:rPr>
                <w:rFonts w:ascii="Tahoma" w:hAnsi="Tahoma" w:cs="Tahoma"/>
                <w:color w:val="000000"/>
                <w:sz w:val="14"/>
                <w:szCs w:val="14"/>
                <w:shd w:val="clear" w:color="auto" w:fill="FFFFFF"/>
                <w:lang w:val="it-IT"/>
              </w:rPr>
              <w:t xml:space="preserve">Marco Bravi, Antonio </w:t>
            </w:r>
            <w:proofErr w:type="spellStart"/>
            <w:r w:rsidR="00005884" w:rsidRPr="00005884">
              <w:rPr>
                <w:rFonts w:ascii="Tahoma" w:hAnsi="Tahoma" w:cs="Tahoma"/>
                <w:color w:val="000000"/>
                <w:sz w:val="14"/>
                <w:szCs w:val="14"/>
                <w:shd w:val="clear" w:color="auto" w:fill="FFFFFF"/>
                <w:lang w:val="it-IT"/>
              </w:rPr>
              <w:t>Marzocchella</w:t>
            </w:r>
            <w:proofErr w:type="spellEnd"/>
            <w:r w:rsidR="00005884" w:rsidRPr="00005884">
              <w:rPr>
                <w:rFonts w:ascii="Tahoma" w:hAnsi="Tahoma" w:cs="Tahoma"/>
                <w:color w:val="000000"/>
                <w:sz w:val="14"/>
                <w:szCs w:val="14"/>
                <w:shd w:val="clear" w:color="auto" w:fill="FFFFFF"/>
                <w:lang w:val="it-IT"/>
              </w:rPr>
              <w:t>, Giuseppe Caputo</w:t>
            </w:r>
          </w:p>
          <w:p w14:paraId="1B0F1814" w14:textId="710B7B96"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005884">
              <w:rPr>
                <w:rFonts w:ascii="Tahoma" w:hAnsi="Tahoma" w:cs="Tahoma"/>
                <w:iCs/>
                <w:color w:val="333333"/>
                <w:sz w:val="14"/>
                <w:szCs w:val="14"/>
                <w:lang w:eastAsia="it-IT"/>
              </w:rPr>
              <w:t>6</w:t>
            </w:r>
            <w:r w:rsidRPr="00B57B36">
              <w:rPr>
                <w:rFonts w:ascii="Tahoma" w:hAnsi="Tahoma" w:cs="Tahoma"/>
                <w:iCs/>
                <w:color w:val="333333"/>
                <w:sz w:val="14"/>
                <w:szCs w:val="14"/>
                <w:lang w:eastAsia="it-IT"/>
              </w:rPr>
              <w:t xml:space="preserve">, AIDIC Servizi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D2582C" w:rsidRPr="000562A9">
              <w:rPr>
                <w:rFonts w:ascii="Tahoma" w:hAnsi="Tahoma" w:cs="Tahoma"/>
                <w:sz w:val="14"/>
                <w:szCs w:val="14"/>
              </w:rPr>
              <w:t>97</w:t>
            </w:r>
            <w:r w:rsidR="00D2582C">
              <w:rPr>
                <w:rFonts w:ascii="Tahoma" w:hAnsi="Tahoma" w:cs="Tahoma"/>
                <w:sz w:val="14"/>
                <w:szCs w:val="14"/>
              </w:rPr>
              <w:t>9</w:t>
            </w:r>
            <w:r w:rsidR="00D2582C" w:rsidRPr="000562A9">
              <w:rPr>
                <w:rFonts w:ascii="Tahoma" w:hAnsi="Tahoma" w:cs="Tahoma"/>
                <w:sz w:val="14"/>
                <w:szCs w:val="14"/>
              </w:rPr>
              <w:t>-</w:t>
            </w:r>
            <w:r w:rsidR="00D2582C">
              <w:rPr>
                <w:rFonts w:ascii="Tahoma" w:hAnsi="Tahoma" w:cs="Tahoma"/>
                <w:sz w:val="14"/>
                <w:szCs w:val="14"/>
              </w:rPr>
              <w:t>12</w:t>
            </w:r>
            <w:r w:rsidR="00D2582C" w:rsidRPr="000562A9">
              <w:rPr>
                <w:rFonts w:ascii="Tahoma" w:hAnsi="Tahoma" w:cs="Tahoma"/>
                <w:sz w:val="14"/>
                <w:szCs w:val="14"/>
              </w:rPr>
              <w:t>-</w:t>
            </w:r>
            <w:r w:rsidR="00D2582C">
              <w:rPr>
                <w:rFonts w:ascii="Tahoma" w:hAnsi="Tahoma" w:cs="Tahoma"/>
                <w:sz w:val="14"/>
                <w:szCs w:val="14"/>
              </w:rPr>
              <w:t>81206-</w:t>
            </w:r>
            <w:r w:rsidR="00005884">
              <w:rPr>
                <w:rFonts w:ascii="Tahoma" w:hAnsi="Tahoma" w:cs="Tahoma"/>
                <w:sz w:val="14"/>
                <w:szCs w:val="14"/>
              </w:rPr>
              <w:t>xx</w:t>
            </w:r>
            <w:r w:rsidR="009041F8">
              <w:rPr>
                <w:rFonts w:ascii="Tahoma" w:hAnsi="Tahoma" w:cs="Tahoma"/>
                <w:sz w:val="14"/>
                <w:szCs w:val="14"/>
              </w:rPr>
              <w:t>-</w:t>
            </w:r>
            <w:r w:rsidR="00005884">
              <w:rPr>
                <w:rFonts w:ascii="Tahoma" w:hAnsi="Tahoma" w:cs="Tahoma"/>
                <w:sz w:val="14"/>
                <w:szCs w:val="14"/>
              </w:rPr>
              <w:t>x</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29C63E6A" w14:textId="64547CF7" w:rsidR="005A3D1F" w:rsidRPr="007A1DEE" w:rsidRDefault="0036464C" w:rsidP="005A3D1F">
      <w:pPr>
        <w:pStyle w:val="CETTitle"/>
        <w:rPr>
          <w:lang w:val="en-US"/>
        </w:rPr>
      </w:pPr>
      <w:r w:rsidRPr="0036464C">
        <w:rPr>
          <w:lang w:val="en-US"/>
        </w:rPr>
        <w:t xml:space="preserve">Wine lees </w:t>
      </w:r>
      <w:proofErr w:type="spellStart"/>
      <w:r w:rsidRPr="0036464C">
        <w:rPr>
          <w:lang w:val="en-US"/>
        </w:rPr>
        <w:t>valorisation</w:t>
      </w:r>
      <w:proofErr w:type="spellEnd"/>
      <w:r w:rsidRPr="0036464C">
        <w:rPr>
          <w:lang w:val="en-US"/>
        </w:rPr>
        <w:t xml:space="preserve"> via pilot-scale production of phototrophic purple bacteria for aquaculture applications</w:t>
      </w:r>
    </w:p>
    <w:p w14:paraId="35552739" w14:textId="77777777" w:rsidR="005A3D1F" w:rsidRPr="00FC1FEB" w:rsidRDefault="005A3D1F" w:rsidP="005A3D1F">
      <w:pPr>
        <w:pStyle w:val="CETAuthors"/>
        <w:jc w:val="center"/>
        <w:rPr>
          <w:lang w:val="it-IT"/>
        </w:rPr>
      </w:pPr>
      <w:r>
        <w:rPr>
          <w:lang w:val="it-IT"/>
        </w:rPr>
        <w:t>A</w:t>
      </w:r>
      <w:r w:rsidRPr="00FC1FEB">
        <w:rPr>
          <w:lang w:val="it-IT"/>
        </w:rPr>
        <w:t>.</w:t>
      </w:r>
      <w:r>
        <w:rPr>
          <w:lang w:val="it-IT"/>
        </w:rPr>
        <w:t>C.</w:t>
      </w:r>
      <w:r w:rsidRPr="00FC1FEB">
        <w:rPr>
          <w:lang w:val="it-IT"/>
        </w:rPr>
        <w:t xml:space="preserve"> </w:t>
      </w:r>
      <w:r>
        <w:rPr>
          <w:lang w:val="it-IT"/>
        </w:rPr>
        <w:t>Parmar</w:t>
      </w:r>
      <w:r>
        <w:rPr>
          <w:vertAlign w:val="superscript"/>
          <w:lang w:val="it-IT"/>
        </w:rPr>
        <w:t>a</w:t>
      </w:r>
      <w:r w:rsidRPr="00FC1FEB">
        <w:rPr>
          <w:lang w:val="it-IT"/>
        </w:rPr>
        <w:t xml:space="preserve">, </w:t>
      </w:r>
      <w:r>
        <w:rPr>
          <w:lang w:val="it-IT"/>
        </w:rPr>
        <w:t>S</w:t>
      </w:r>
      <w:r w:rsidRPr="00FC1FEB">
        <w:rPr>
          <w:lang w:val="it-IT"/>
        </w:rPr>
        <w:t xml:space="preserve">. </w:t>
      </w:r>
      <w:r>
        <w:rPr>
          <w:lang w:val="it-IT"/>
        </w:rPr>
        <w:t>Danieli</w:t>
      </w:r>
      <w:r>
        <w:rPr>
          <w:vertAlign w:val="superscript"/>
          <w:lang w:val="it-IT"/>
        </w:rPr>
        <w:t>a</w:t>
      </w:r>
      <w:r w:rsidRPr="00FC1FEB">
        <w:rPr>
          <w:lang w:val="it-IT"/>
        </w:rPr>
        <w:t xml:space="preserve">, </w:t>
      </w:r>
      <w:r>
        <w:rPr>
          <w:lang w:val="it-IT"/>
        </w:rPr>
        <w:t>F</w:t>
      </w:r>
      <w:r w:rsidRPr="00FC1FEB">
        <w:rPr>
          <w:lang w:val="it-IT"/>
        </w:rPr>
        <w:t xml:space="preserve">. </w:t>
      </w:r>
      <w:r>
        <w:rPr>
          <w:lang w:val="it-IT"/>
        </w:rPr>
        <w:t>Battista</w:t>
      </w:r>
      <w:r w:rsidRPr="00FC1FEB">
        <w:rPr>
          <w:vertAlign w:val="superscript"/>
          <w:lang w:val="it-IT"/>
        </w:rPr>
        <w:t>b</w:t>
      </w:r>
      <w:r w:rsidRPr="00FC1FEB">
        <w:rPr>
          <w:lang w:val="it-IT"/>
        </w:rPr>
        <w:t xml:space="preserve">, </w:t>
      </w:r>
      <w:r>
        <w:rPr>
          <w:lang w:val="it-IT"/>
        </w:rPr>
        <w:t>J. Dosta</w:t>
      </w:r>
      <w:r w:rsidRPr="007A1DEE">
        <w:rPr>
          <w:vertAlign w:val="superscript"/>
          <w:lang w:val="it-IT"/>
        </w:rPr>
        <w:t>c</w:t>
      </w:r>
      <w:r>
        <w:rPr>
          <w:lang w:val="it-IT"/>
        </w:rPr>
        <w:t>, P. Pavan</w:t>
      </w:r>
      <w:r>
        <w:rPr>
          <w:vertAlign w:val="superscript"/>
          <w:lang w:val="it-IT"/>
        </w:rPr>
        <w:t>a</w:t>
      </w:r>
      <w:r>
        <w:rPr>
          <w:lang w:val="it-IT"/>
        </w:rPr>
        <w:t>, F. Valentino</w:t>
      </w:r>
      <w:r>
        <w:rPr>
          <w:vertAlign w:val="superscript"/>
          <w:lang w:val="it-IT"/>
        </w:rPr>
        <w:t>a</w:t>
      </w:r>
    </w:p>
    <w:p w14:paraId="1ECE90D2" w14:textId="77777777" w:rsidR="005A3D1F" w:rsidRPr="00205FE2" w:rsidRDefault="005A3D1F" w:rsidP="005A3D1F">
      <w:pPr>
        <w:autoSpaceDE w:val="0"/>
        <w:autoSpaceDN w:val="0"/>
        <w:adjustRightInd w:val="0"/>
        <w:spacing w:line="240" w:lineRule="auto"/>
        <w:rPr>
          <w:noProof/>
          <w:sz w:val="16"/>
          <w:lang w:val="it-IT"/>
        </w:rPr>
      </w:pPr>
      <w:r w:rsidRPr="00205FE2">
        <w:rPr>
          <w:vertAlign w:val="superscript"/>
          <w:lang w:val="it-IT"/>
        </w:rPr>
        <w:t xml:space="preserve">a </w:t>
      </w:r>
      <w:r w:rsidRPr="00205FE2">
        <w:rPr>
          <w:noProof/>
          <w:sz w:val="16"/>
          <w:lang w:val="it-IT"/>
        </w:rPr>
        <w:t>Department of Environmental Science, Informatics and Statistics, Ca’ Foscari University of Venice, Via Torino 155, 30172 Venezia Mestre, Italy</w:t>
      </w:r>
    </w:p>
    <w:p w14:paraId="75969D54" w14:textId="77777777" w:rsidR="005A3D1F" w:rsidRPr="00205FE2" w:rsidRDefault="005A3D1F" w:rsidP="005A3D1F">
      <w:pPr>
        <w:autoSpaceDE w:val="0"/>
        <w:autoSpaceDN w:val="0"/>
        <w:adjustRightInd w:val="0"/>
        <w:spacing w:line="240" w:lineRule="auto"/>
        <w:rPr>
          <w:noProof/>
          <w:sz w:val="16"/>
          <w:lang w:val="it-IT"/>
        </w:rPr>
      </w:pPr>
      <w:r w:rsidRPr="00205FE2">
        <w:rPr>
          <w:noProof/>
          <w:sz w:val="16"/>
          <w:vertAlign w:val="superscript"/>
          <w:lang w:val="it-IT"/>
        </w:rPr>
        <w:t>b</w:t>
      </w:r>
      <w:r w:rsidRPr="00205FE2">
        <w:rPr>
          <w:noProof/>
          <w:sz w:val="16"/>
          <w:lang w:val="it-IT"/>
        </w:rPr>
        <w:t xml:space="preserve"> Department of Biotechnology, University of Verona, Strada Le Grazie 15, 37134 Verona, Italy</w:t>
      </w:r>
    </w:p>
    <w:p w14:paraId="2E1EA5F0" w14:textId="77777777" w:rsidR="005A3D1F" w:rsidRDefault="005A3D1F" w:rsidP="005A3D1F">
      <w:pPr>
        <w:autoSpaceDE w:val="0"/>
        <w:autoSpaceDN w:val="0"/>
        <w:adjustRightInd w:val="0"/>
        <w:spacing w:line="240" w:lineRule="auto"/>
        <w:rPr>
          <w:noProof/>
          <w:sz w:val="16"/>
        </w:rPr>
      </w:pPr>
      <w:r w:rsidRPr="007A1DEE">
        <w:rPr>
          <w:noProof/>
          <w:sz w:val="16"/>
          <w:vertAlign w:val="superscript"/>
        </w:rPr>
        <w:t>c</w:t>
      </w:r>
      <w:r>
        <w:rPr>
          <w:noProof/>
          <w:sz w:val="16"/>
        </w:rPr>
        <w:t xml:space="preserve"> </w:t>
      </w:r>
      <w:r w:rsidRPr="00E679DD">
        <w:rPr>
          <w:noProof/>
          <w:sz w:val="16"/>
        </w:rPr>
        <w:t>Department of Chemical Engineering and Analytical Chemistry, University of Barcelona, C/Marti i Franquès 1, Barcelona, Spain</w:t>
      </w:r>
    </w:p>
    <w:p w14:paraId="68D0BCC8" w14:textId="77777777" w:rsidR="005A3D1F" w:rsidRPr="00B57B36" w:rsidRDefault="005A3D1F" w:rsidP="005A3D1F">
      <w:pPr>
        <w:pStyle w:val="CETAddress"/>
      </w:pPr>
      <w:hyperlink r:id="rId10" w:history="1">
        <w:r w:rsidRPr="00DB015A">
          <w:rPr>
            <w:rStyle w:val="Collegamentoipertestuale"/>
          </w:rPr>
          <w:t>francesco.valentino@unive.it</w:t>
        </w:r>
      </w:hyperlink>
      <w:r>
        <w:t xml:space="preserve"> </w:t>
      </w:r>
    </w:p>
    <w:p w14:paraId="2AE72145" w14:textId="77777777" w:rsidR="005A3D1F" w:rsidRDefault="005A3D1F" w:rsidP="005A3D1F">
      <w:pPr>
        <w:pStyle w:val="CETBodytext"/>
        <w:rPr>
          <w:lang w:val="en-GB"/>
        </w:rPr>
      </w:pPr>
      <w:bookmarkStart w:id="1" w:name="_Hlk495475023"/>
    </w:p>
    <w:p w14:paraId="7FF41B05" w14:textId="336B3190" w:rsidR="005A3D1F" w:rsidRPr="00E679DD" w:rsidRDefault="005A3D1F" w:rsidP="005A3D1F">
      <w:pPr>
        <w:pStyle w:val="CETBodytext"/>
        <w:rPr>
          <w:lang w:val="en-GB"/>
        </w:rPr>
      </w:pPr>
      <w:r w:rsidRPr="00E679DD">
        <w:rPr>
          <w:lang w:val="en-GB"/>
        </w:rPr>
        <w:t xml:space="preserve">Phototrophic purple bacteria (PPB) are </w:t>
      </w:r>
      <w:r w:rsidR="00DE5511">
        <w:rPr>
          <w:lang w:val="en-GB"/>
        </w:rPr>
        <w:t xml:space="preserve">a </w:t>
      </w:r>
      <w:r w:rsidRPr="00E679DD">
        <w:rPr>
          <w:lang w:val="en-GB"/>
        </w:rPr>
        <w:t>ubiquitous group of anoxygenic phototrophs, that can use organic/inorganic electron donors for anaerobic growth under heterotrophic and autotrophic conditions. PPB can collect light via bacteriochlorophylls (</w:t>
      </w:r>
      <w:proofErr w:type="spellStart"/>
      <w:r w:rsidRPr="00E679DD">
        <w:rPr>
          <w:lang w:val="en-GB"/>
        </w:rPr>
        <w:t>BChls</w:t>
      </w:r>
      <w:proofErr w:type="spellEnd"/>
      <w:r w:rsidRPr="00E679DD">
        <w:rPr>
          <w:lang w:val="en-GB"/>
        </w:rPr>
        <w:t>) and carotenoids</w:t>
      </w:r>
      <w:r w:rsidR="00A27C80">
        <w:rPr>
          <w:lang w:val="en-GB"/>
        </w:rPr>
        <w:t xml:space="preserve"> (</w:t>
      </w:r>
      <w:proofErr w:type="spellStart"/>
      <w:r w:rsidR="00A27C80">
        <w:rPr>
          <w:lang w:val="en-GB"/>
        </w:rPr>
        <w:t>Crts</w:t>
      </w:r>
      <w:proofErr w:type="spellEnd"/>
      <w:r w:rsidR="00A27C80">
        <w:rPr>
          <w:lang w:val="en-GB"/>
        </w:rPr>
        <w:t>)</w:t>
      </w:r>
      <w:r w:rsidRPr="00E679DD">
        <w:rPr>
          <w:lang w:val="en-GB"/>
        </w:rPr>
        <w:t xml:space="preserve">, also in non-sterile environments, and can contain approximately 60% of crude protein. These factors make PPB an ideal </w:t>
      </w:r>
      <w:r w:rsidR="0036464C" w:rsidRPr="00E679DD">
        <w:rPr>
          <w:lang w:val="en-GB"/>
        </w:rPr>
        <w:t>microorganism</w:t>
      </w:r>
      <w:r w:rsidR="0036464C">
        <w:rPr>
          <w:lang w:val="en-GB"/>
        </w:rPr>
        <w:t>s’ group</w:t>
      </w:r>
      <w:r w:rsidRPr="00E679DD">
        <w:rPr>
          <w:lang w:val="en-GB"/>
        </w:rPr>
        <w:t xml:space="preserve"> for assimilation</w:t>
      </w:r>
      <w:r w:rsidR="00D37CAE">
        <w:rPr>
          <w:lang w:val="en-GB"/>
        </w:rPr>
        <w:t xml:space="preserve"> of nutrients</w:t>
      </w:r>
      <w:r w:rsidRPr="00E679DD">
        <w:rPr>
          <w:lang w:val="en-GB"/>
        </w:rPr>
        <w:t xml:space="preserve"> from waste/wastewater, yielding a product with potential interest as aquaculture feed or fish-feed additive. </w:t>
      </w:r>
      <w:r>
        <w:rPr>
          <w:lang w:val="en-GB"/>
        </w:rPr>
        <w:t>In this work, w</w:t>
      </w:r>
      <w:r w:rsidRPr="00E679DD">
        <w:rPr>
          <w:lang w:val="en-GB"/>
        </w:rPr>
        <w:t xml:space="preserve">ine lees (WL) was exploited as renewable carbon source </w:t>
      </w:r>
      <w:r>
        <w:rPr>
          <w:lang w:val="en-GB"/>
        </w:rPr>
        <w:t>for</w:t>
      </w:r>
      <w:r w:rsidRPr="00E679DD">
        <w:rPr>
          <w:lang w:val="en-GB"/>
        </w:rPr>
        <w:t xml:space="preserve"> PPB production </w:t>
      </w:r>
      <w:r>
        <w:rPr>
          <w:lang w:val="en-GB"/>
        </w:rPr>
        <w:t>in t</w:t>
      </w:r>
      <w:r w:rsidRPr="00E679DD">
        <w:rPr>
          <w:lang w:val="en-GB"/>
        </w:rPr>
        <w:t xml:space="preserve">hree tubular pilot-scale photobioreactors (PBRs; </w:t>
      </w:r>
      <w:r w:rsidR="00251B7B">
        <w:rPr>
          <w:lang w:val="en-GB"/>
        </w:rPr>
        <w:t>5</w:t>
      </w:r>
      <w:r w:rsidRPr="00E679DD">
        <w:rPr>
          <w:lang w:val="en-GB"/>
        </w:rPr>
        <w:t>0 L each) under different operating conditions, which were set to investigate the impact of the light availability (24h/day and 12h/day) and hydraulic retention time (HRT; 3 – 6 days). The organic loading rate was set at 1.0 g COD/(L d) (as soluble COD); wine lees was previously fermented to produce a volatile fatty acids (VFA) rich stream mainly composed by acetic, butyric and propionic acid (</w:t>
      </w:r>
      <w:r>
        <w:rPr>
          <w:lang w:val="en-GB"/>
        </w:rPr>
        <w:t>6</w:t>
      </w:r>
      <w:r w:rsidRPr="00E679DD">
        <w:rPr>
          <w:lang w:val="en-GB"/>
        </w:rPr>
        <w:t xml:space="preserve">5%, 29% and 8% respectively). Each PBR was maintained in a dark thermostatic (25°C) container, illuminated by 4 LED lamps (122W in total) in far-red and infrared spectrum. </w:t>
      </w:r>
    </w:p>
    <w:p w14:paraId="52BD8F8B" w14:textId="5CE1E8F8" w:rsidR="005A3D1F" w:rsidRPr="00E679DD" w:rsidRDefault="005A3D1F" w:rsidP="005A3D1F">
      <w:pPr>
        <w:pStyle w:val="CETBodytext"/>
        <w:rPr>
          <w:lang w:val="en-GB"/>
        </w:rPr>
      </w:pPr>
      <w:r w:rsidRPr="00E679DD">
        <w:rPr>
          <w:lang w:val="en-GB"/>
        </w:rPr>
        <w:t xml:space="preserve">The continuous light availability supported the growth of PPB and </w:t>
      </w:r>
      <w:r w:rsidR="000C3020">
        <w:rPr>
          <w:lang w:val="en-GB"/>
        </w:rPr>
        <w:t>the</w:t>
      </w:r>
      <w:r w:rsidRPr="00E679DD">
        <w:rPr>
          <w:lang w:val="en-GB"/>
        </w:rPr>
        <w:t xml:space="preserve"> synthesis </w:t>
      </w:r>
      <w:r w:rsidR="000C3020">
        <w:rPr>
          <w:lang w:val="en-GB"/>
        </w:rPr>
        <w:t xml:space="preserve">of pigments </w:t>
      </w:r>
      <w:r w:rsidRPr="00E679DD">
        <w:rPr>
          <w:lang w:val="en-GB"/>
        </w:rPr>
        <w:t>better than intermittent light, with a growth yield of 0.</w:t>
      </w:r>
      <w:r w:rsidR="003D105B">
        <w:rPr>
          <w:lang w:val="en-GB"/>
        </w:rPr>
        <w:t>43</w:t>
      </w:r>
      <w:r w:rsidRPr="00E679DD">
        <w:rPr>
          <w:lang w:val="en-GB"/>
        </w:rPr>
        <w:t xml:space="preserve"> COD</w:t>
      </w:r>
      <w:r w:rsidRPr="0007342A">
        <w:rPr>
          <w:vertAlign w:val="subscript"/>
          <w:lang w:val="en-GB"/>
        </w:rPr>
        <w:t>PPB</w:t>
      </w:r>
      <w:r w:rsidRPr="00E679DD">
        <w:rPr>
          <w:lang w:val="en-GB"/>
        </w:rPr>
        <w:t>/COD</w:t>
      </w:r>
      <w:r w:rsidRPr="0007342A">
        <w:rPr>
          <w:vertAlign w:val="subscript"/>
          <w:lang w:val="en-GB"/>
        </w:rPr>
        <w:t>SOL</w:t>
      </w:r>
      <w:r w:rsidRPr="00E679DD">
        <w:rPr>
          <w:lang w:val="en-GB"/>
        </w:rPr>
        <w:t xml:space="preserve"> (20% higher than PBR with 12 h light/day). However, intermittent light promoted the storage of intracellular polyhydroxyalkanoates (PHA; up to </w:t>
      </w:r>
      <w:r w:rsidR="003D105B">
        <w:rPr>
          <w:lang w:val="en-GB"/>
        </w:rPr>
        <w:t>6</w:t>
      </w:r>
      <w:r w:rsidRPr="00E679DD">
        <w:rPr>
          <w:lang w:val="en-GB"/>
        </w:rPr>
        <w:t>% of cells’ dry weight), presumably as response to the stress caused by discontinuous illumination. On the contrary, PHA was not detected in the PPB grown under continuous light. Regarding the effect of HRT, when it was set at 6 days a 100% VFA removal was observed, which decreased to 75% when the HRT was reduced to 3 days. This suggested the necessity to investigate intermediate HRT values.</w:t>
      </w:r>
      <w:r w:rsidR="00860862">
        <w:rPr>
          <w:lang w:val="en-GB"/>
        </w:rPr>
        <w:t xml:space="preserve"> </w:t>
      </w:r>
    </w:p>
    <w:p w14:paraId="4D38A395" w14:textId="0E03E73F" w:rsidR="005A3D1F" w:rsidRDefault="005A3D1F" w:rsidP="005A3D1F">
      <w:pPr>
        <w:pStyle w:val="CETBodytext"/>
        <w:rPr>
          <w:lang w:val="en-GB"/>
        </w:rPr>
      </w:pPr>
      <w:r w:rsidRPr="00E679DD">
        <w:rPr>
          <w:lang w:val="en-GB"/>
        </w:rPr>
        <w:t xml:space="preserve">In terms of nutritional value, the crude protein content of the three biomasses (separately collected from the three PBRs) was in the range </w:t>
      </w:r>
      <w:r>
        <w:rPr>
          <w:lang w:val="en-GB"/>
        </w:rPr>
        <w:t>44</w:t>
      </w:r>
      <w:r w:rsidRPr="00E679DD">
        <w:rPr>
          <w:lang w:val="en-GB"/>
        </w:rPr>
        <w:t>-5</w:t>
      </w:r>
      <w:r>
        <w:rPr>
          <w:lang w:val="en-GB"/>
        </w:rPr>
        <w:t>6</w:t>
      </w:r>
      <w:r w:rsidRPr="00E679DD">
        <w:rPr>
          <w:lang w:val="en-GB"/>
        </w:rPr>
        <w:t xml:space="preserve"> </w:t>
      </w:r>
      <w:proofErr w:type="spellStart"/>
      <w:r w:rsidRPr="00E679DD">
        <w:rPr>
          <w:lang w:val="en-GB"/>
        </w:rPr>
        <w:t>wt</w:t>
      </w:r>
      <w:proofErr w:type="spellEnd"/>
      <w:r w:rsidRPr="00E679DD">
        <w:rPr>
          <w:lang w:val="en-GB"/>
        </w:rPr>
        <w:t>%. The highest value was obtained in the PBR operated under continuous light and 3 days as HRT. Other analyses are ongoing and addressed to measure carbohydrates, lipids and aminoacidic profile</w:t>
      </w:r>
      <w:r w:rsidR="0036464C">
        <w:rPr>
          <w:lang w:val="en-GB"/>
        </w:rPr>
        <w:t xml:space="preserve"> </w:t>
      </w:r>
      <w:r w:rsidR="0036464C" w:rsidRPr="0036464C">
        <w:rPr>
          <w:lang w:val="en-GB"/>
        </w:rPr>
        <w:t>highlighting the potential of PPB biomass as a high protein, pigment rich ingredient for aquafeeds</w:t>
      </w:r>
    </w:p>
    <w:bookmarkEnd w:id="1"/>
    <w:p w14:paraId="10E86E0A" w14:textId="77777777" w:rsidR="005A3D1F" w:rsidRDefault="005A3D1F" w:rsidP="005A3D1F">
      <w:pPr>
        <w:pStyle w:val="CETHeading1"/>
        <w:rPr>
          <w:lang w:val="en-GB"/>
        </w:rPr>
      </w:pPr>
      <w:r w:rsidRPr="00B57B36">
        <w:rPr>
          <w:lang w:val="en-GB"/>
        </w:rPr>
        <w:t>Introduction</w:t>
      </w:r>
    </w:p>
    <w:p w14:paraId="3FD2201E" w14:textId="61A062F2" w:rsidR="005A3D1F" w:rsidRDefault="005A3D1F" w:rsidP="00A14E53">
      <w:pPr>
        <w:pStyle w:val="CETBodytext"/>
      </w:pPr>
      <w:r w:rsidRPr="00F76850">
        <w:t>Winemaking generates several by-products</w:t>
      </w:r>
      <w:r>
        <w:t xml:space="preserve">, </w:t>
      </w:r>
      <w:r w:rsidRPr="00F76850">
        <w:t>including wine lees, grape pomace, and winery wastewater</w:t>
      </w:r>
      <w:r w:rsidR="0036464C">
        <w:t>,</w:t>
      </w:r>
      <w:r w:rsidRPr="00F76850">
        <w:t xml:space="preserve"> which, if not properly managed, can cause significant environmental impacts due to their high organic load, phenolic content, and mineral salts. However, wine lees </w:t>
      </w:r>
      <w:r>
        <w:t xml:space="preserve">(WL) </w:t>
      </w:r>
      <w:r w:rsidRPr="00F76850">
        <w:t xml:space="preserve">also represent a promising substrate for bio-based processes: they contain residual yeasts and bacteria, sugars, organic acids, nitrogen compounds, and micronutrients, making them suitable for microbial </w:t>
      </w:r>
      <w:proofErr w:type="spellStart"/>
      <w:r w:rsidRPr="00F76850">
        <w:t>valorisation</w:t>
      </w:r>
      <w:proofErr w:type="spellEnd"/>
      <w:r w:rsidRPr="00F76850">
        <w:t xml:space="preserve"> within circular bio-refinery schemes. Recent studies have emphasized the potential of transforming wine lees from waste into valuable feedstocks for microbial cultivation and the extraction of bioactive compounds (</w:t>
      </w:r>
      <w:proofErr w:type="spellStart"/>
      <w:r w:rsidRPr="00F76850">
        <w:t>Chetrariu</w:t>
      </w:r>
      <w:proofErr w:type="spellEnd"/>
      <w:r w:rsidRPr="00F76850">
        <w:t xml:space="preserve"> et al., 2025).</w:t>
      </w:r>
    </w:p>
    <w:p w14:paraId="7B26F85C" w14:textId="2F047058" w:rsidR="005A3D1F" w:rsidRDefault="005A3D1F" w:rsidP="00A14E53">
      <w:pPr>
        <w:pStyle w:val="CETBodytext"/>
      </w:pPr>
      <w:r w:rsidRPr="00F76850">
        <w:t>Purple phototrophic bacteria (PPB)</w:t>
      </w:r>
      <w:r>
        <w:t xml:space="preserve"> and </w:t>
      </w:r>
      <w:r w:rsidRPr="00F76850">
        <w:t>particularly purple non-</w:t>
      </w:r>
      <w:proofErr w:type="spellStart"/>
      <w:r w:rsidR="00A27C80" w:rsidRPr="00F76850">
        <w:t>sulphur</w:t>
      </w:r>
      <w:proofErr w:type="spellEnd"/>
      <w:r w:rsidRPr="00F76850">
        <w:t xml:space="preserve"> bacteria (PNSB)</w:t>
      </w:r>
      <w:r>
        <w:t xml:space="preserve"> </w:t>
      </w:r>
      <w:r w:rsidRPr="00F76850">
        <w:t xml:space="preserve">are metabolically versatile microorganisms capable of anoxygenic photosynthesis using bacteriochlorophylls and carotenoids, </w:t>
      </w:r>
      <w:r w:rsidRPr="00F76850">
        <w:lastRenderedPageBreak/>
        <w:t xml:space="preserve">which confer their characteristic reddish-purple pigmentation. PNSB can grow </w:t>
      </w:r>
      <w:proofErr w:type="spellStart"/>
      <w:r w:rsidRPr="00F76850">
        <w:t>photoautotrophically</w:t>
      </w:r>
      <w:proofErr w:type="spellEnd"/>
      <w:r w:rsidRPr="00F76850">
        <w:t xml:space="preserve">, photoheterotrophically, or </w:t>
      </w:r>
      <w:proofErr w:type="spellStart"/>
      <w:r w:rsidRPr="00F76850">
        <w:t>chemoheterotrophically</w:t>
      </w:r>
      <w:proofErr w:type="spellEnd"/>
      <w:r w:rsidRPr="00F76850">
        <w:t>, and they efficiently utilize a wide range of organic substrates while adapting to fluctuating oxygen and light conditions. This metabolic flexibility enables their application in sustainable biotechnological processes such as wastewater treatment, biohydrogen production, biopolymer synthesis, and microbial protein generation (Bayon-Vicente et al., 2025).</w:t>
      </w:r>
      <w:r>
        <w:t xml:space="preserve"> </w:t>
      </w:r>
      <w:r w:rsidRPr="00F76850">
        <w:t>Among these applications, the use of P</w:t>
      </w:r>
      <w:r>
        <w:t>P</w:t>
      </w:r>
      <w:r w:rsidRPr="00F76850">
        <w:t xml:space="preserve">B as a source of microbial protein (single-cell protein, SCP) for aquaculture feed has recently gained attention. PPB biomass typically contains 50–70% protein (dry weight), along with </w:t>
      </w:r>
      <w:r>
        <w:t xml:space="preserve">bacteriochlorophylls, </w:t>
      </w:r>
      <w:r w:rsidRPr="00F76850">
        <w:t>carotenoids, vitamins, and essential amino acids that can enhance the nutritional value of aquafeeds while reducing the reliance on fishmeal. Moreover, P</w:t>
      </w:r>
      <w:r>
        <w:t>P</w:t>
      </w:r>
      <w:r w:rsidRPr="00F76850">
        <w:t>B cultivation can be performed on agro-industrial residues such as wine lees, thereby coupling nutrient recovery with high-value biomass production (</w:t>
      </w:r>
      <w:r w:rsidRPr="0007342A">
        <w:t xml:space="preserve">Capson-Tojo </w:t>
      </w:r>
      <w:r>
        <w:t>et a. 2020</w:t>
      </w:r>
      <w:r w:rsidRPr="00F76850">
        <w:t>).</w:t>
      </w:r>
    </w:p>
    <w:p w14:paraId="2112DCFB" w14:textId="77777777" w:rsidR="005A3D1F" w:rsidRPr="00F76850" w:rsidRDefault="005A3D1F" w:rsidP="00A14E53">
      <w:pPr>
        <w:pStyle w:val="CETBodytext"/>
      </w:pPr>
      <w:r w:rsidRPr="00F76850">
        <w:t xml:space="preserve">Using </w:t>
      </w:r>
      <w:r>
        <w:t>WL</w:t>
      </w:r>
      <w:r w:rsidRPr="00F76850">
        <w:t xml:space="preserve"> as a substrate for PNSB cultivation presents both opportunities and challenges. The high nutrient content supports microbial growth, but phenolic compounds and seasonal variability may require pretreatment (e.g., dilution, pH adjustment, filtration, or co-substrate addition) to enhance biodegradability. </w:t>
      </w:r>
      <w:r>
        <w:t>Acidogenic fermentation under pH-control strategy is a feasible method to convert most of organic material (soluble and/or suspended) into volatile fatty acids (VFA), which can be easily metabolized by PPB under chemo heterotrophic growth conditions (Almeida et al., 2021)</w:t>
      </w:r>
      <w:r w:rsidRPr="00F76850">
        <w:t>.</w:t>
      </w:r>
    </w:p>
    <w:p w14:paraId="547BA10B" w14:textId="512E4912" w:rsidR="005A3D1F" w:rsidRPr="00F76850" w:rsidRDefault="005A3D1F" w:rsidP="00A14E53">
      <w:pPr>
        <w:pStyle w:val="CETBodytext"/>
      </w:pPr>
      <w:r w:rsidRPr="00F76850">
        <w:t>Recent pilot-scale studies have demonstrated the technical feasibility of continuous P</w:t>
      </w:r>
      <w:r>
        <w:t>P</w:t>
      </w:r>
      <w:r w:rsidRPr="00F76850">
        <w:t>B cultivation systems, where biomass productivity and protein yields can be significantly improved compared to batch setups (A</w:t>
      </w:r>
      <w:r>
        <w:t>lmeida et al., 2024</w:t>
      </w:r>
      <w:r w:rsidRPr="00F76850">
        <w:t xml:space="preserve">). These systems, operated under controlled light and hydraulic retention conditions, have reached medium technology readiness levels (TRL 5–6), showing stable performance over extended periods and validating the scalability of PPB-based </w:t>
      </w:r>
      <w:proofErr w:type="spellStart"/>
      <w:r w:rsidRPr="00F76850">
        <w:t>valorisation</w:t>
      </w:r>
      <w:proofErr w:type="spellEnd"/>
      <w:r w:rsidRPr="00F76850">
        <w:t xml:space="preserve"> processes. Continuous</w:t>
      </w:r>
      <w:r>
        <w:t xml:space="preserve"> and/or semicontinuous feeding PBRs </w:t>
      </w:r>
      <w:r w:rsidRPr="00F76850">
        <w:t xml:space="preserve">are particularly attractive </w:t>
      </w:r>
      <w:r>
        <w:t>since</w:t>
      </w:r>
      <w:r w:rsidRPr="00F76850">
        <w:t xml:space="preserve"> steady organic loads can support sustainable microbial protein production with </w:t>
      </w:r>
      <w:r>
        <w:t xml:space="preserve">a stable biomass characteristics such as pigments’ content and polyhydroxyalkanoates, apart from PPB concentration and productivity. </w:t>
      </w:r>
      <w:r w:rsidRPr="00F76850">
        <w:t xml:space="preserve">In this context, </w:t>
      </w:r>
      <w:proofErr w:type="spellStart"/>
      <w:r w:rsidRPr="00F76850">
        <w:t>valorising</w:t>
      </w:r>
      <w:proofErr w:type="spellEnd"/>
      <w:r w:rsidRPr="00F76850">
        <w:t xml:space="preserve"> wine lees through continuous cultivation of </w:t>
      </w:r>
      <w:r>
        <w:t>PPB</w:t>
      </w:r>
      <w:r w:rsidRPr="00F76850">
        <w:t xml:space="preserve"> represents a promising approach to integrate </w:t>
      </w:r>
      <w:r w:rsidR="009B7E39">
        <w:t>winery industry by-products</w:t>
      </w:r>
      <w:r w:rsidRPr="00F76850">
        <w:t xml:space="preserve"> </w:t>
      </w:r>
      <w:r w:rsidR="009B7E39">
        <w:t>conversion</w:t>
      </w:r>
      <w:r w:rsidRPr="00F76850">
        <w:t xml:space="preserve"> with aquafeed production. This </w:t>
      </w:r>
      <w:r w:rsidR="009B7E39">
        <w:t>proposed bioprocess</w:t>
      </w:r>
      <w:r w:rsidRPr="00F76850">
        <w:t xml:space="preserve"> </w:t>
      </w:r>
      <w:r w:rsidR="009B7E39">
        <w:t xml:space="preserve">is based on </w:t>
      </w:r>
      <w:r w:rsidRPr="00F76850">
        <w:t>(</w:t>
      </w:r>
      <w:r w:rsidR="009B7E39">
        <w:t>a</w:t>
      </w:r>
      <w:r w:rsidRPr="00F76850">
        <w:t xml:space="preserve">) the bioconversion of a </w:t>
      </w:r>
      <w:r w:rsidR="009B7E39">
        <w:t xml:space="preserve">high-COD content </w:t>
      </w:r>
      <w:r w:rsidRPr="00F76850">
        <w:t xml:space="preserve">winery </w:t>
      </w:r>
      <w:r w:rsidR="009B7E39">
        <w:t>by-product</w:t>
      </w:r>
      <w:r w:rsidRPr="00F76850">
        <w:t xml:space="preserve"> into a </w:t>
      </w:r>
      <w:r w:rsidR="009B7E39">
        <w:t xml:space="preserve">low-COD </w:t>
      </w:r>
      <w:r w:rsidRPr="00F76850">
        <w:t xml:space="preserve">effluent </w:t>
      </w:r>
      <w:r w:rsidR="009B7E39">
        <w:t>at reduced nutrients’ content</w:t>
      </w:r>
      <w:r w:rsidRPr="00F76850">
        <w:t>, and (</w:t>
      </w:r>
      <w:r w:rsidR="009B7E39">
        <w:t>b</w:t>
      </w:r>
      <w:r w:rsidRPr="00F76850">
        <w:t xml:space="preserve">) the production of high-protein microbial biomass for </w:t>
      </w:r>
      <w:r w:rsidR="009B7E39">
        <w:t>the formulation of</w:t>
      </w:r>
      <w:r w:rsidRPr="00F76850">
        <w:t xml:space="preserve"> aquaculture feeds.</w:t>
      </w:r>
      <w:r w:rsidR="009B7E39">
        <w:t xml:space="preserve"> </w:t>
      </w:r>
      <w:r w:rsidRPr="00F76850">
        <w:t xml:space="preserve">Therefore, the main objective of this work is to evaluate the potential of </w:t>
      </w:r>
      <w:r>
        <w:t>WL</w:t>
      </w:r>
      <w:r w:rsidRPr="00F76850">
        <w:t xml:space="preserve"> as a substrate for the growth and enrichment of P</w:t>
      </w:r>
      <w:r>
        <w:t>P</w:t>
      </w:r>
      <w:r w:rsidRPr="00F76850">
        <w:t xml:space="preserve">B in a pilot-scale photobioreactor aimed at microbial protein production for aquaculture. The study focuses on characterizing the enriched PPB communities, </w:t>
      </w:r>
      <w:r>
        <w:t xml:space="preserve">mainly </w:t>
      </w:r>
      <w:r w:rsidRPr="00F76850">
        <w:t xml:space="preserve">assessing growth </w:t>
      </w:r>
      <w:r>
        <w:t>yield</w:t>
      </w:r>
      <w:r w:rsidRPr="00F76850">
        <w:t xml:space="preserve">, protein </w:t>
      </w:r>
      <w:r>
        <w:t xml:space="preserve">content, pigments and PHA concentration as added-value components </w:t>
      </w:r>
      <w:r w:rsidRPr="00F76850">
        <w:t>under steady-state photoheterotrophic conditions.</w:t>
      </w:r>
    </w:p>
    <w:p w14:paraId="25DE09BA" w14:textId="77777777" w:rsidR="005A3D1F" w:rsidRPr="001D74FE" w:rsidRDefault="005A3D1F" w:rsidP="005A3D1F">
      <w:pPr>
        <w:pStyle w:val="CETHeading1"/>
        <w:rPr>
          <w:lang w:val="en-GB"/>
        </w:rPr>
      </w:pPr>
      <w:r w:rsidRPr="001D74FE">
        <w:rPr>
          <w:lang w:val="en-GB"/>
        </w:rPr>
        <w:t>Materials and Methods</w:t>
      </w:r>
    </w:p>
    <w:p w14:paraId="2C275E53" w14:textId="443B324C" w:rsidR="00CB5A94" w:rsidRDefault="00F27B56" w:rsidP="005A3D1F">
      <w:pPr>
        <w:pStyle w:val="CETBodytext"/>
        <w:rPr>
          <w:lang w:val="en-GB"/>
        </w:rPr>
      </w:pPr>
      <w:r w:rsidRPr="00F27B56">
        <w:rPr>
          <w:lang w:val="en-GB"/>
        </w:rPr>
        <w:t>The inoculum was obtained by collecting a mixed water and sediment sample from the Sile river</w:t>
      </w:r>
      <w:r>
        <w:rPr>
          <w:lang w:val="en-GB"/>
        </w:rPr>
        <w:t xml:space="preserve"> (Treviso, northeast Italy)</w:t>
      </w:r>
      <w:r w:rsidRPr="00F27B56">
        <w:rPr>
          <w:lang w:val="en-GB"/>
        </w:rPr>
        <w:t>. This mixture, after the addition of a fermented carbon source derived from parallel research activit</w:t>
      </w:r>
      <w:r w:rsidR="001C4EB7">
        <w:rPr>
          <w:lang w:val="en-GB"/>
        </w:rPr>
        <w:t>y</w:t>
      </w:r>
      <w:r w:rsidRPr="00F27B56">
        <w:rPr>
          <w:lang w:val="en-GB"/>
        </w:rPr>
        <w:t xml:space="preserve">, was maintained under anaerobic conditions in a </w:t>
      </w:r>
      <w:r w:rsidR="00CB5A94">
        <w:rPr>
          <w:lang w:val="en-GB"/>
        </w:rPr>
        <w:t>2</w:t>
      </w:r>
      <w:r w:rsidR="001C4EB7">
        <w:rPr>
          <w:lang w:val="en-GB"/>
        </w:rPr>
        <w:t xml:space="preserve"> </w:t>
      </w:r>
      <w:r>
        <w:rPr>
          <w:lang w:val="en-GB"/>
        </w:rPr>
        <w:t>L lab</w:t>
      </w:r>
      <w:r w:rsidR="001C4EB7">
        <w:rPr>
          <w:lang w:val="en-GB"/>
        </w:rPr>
        <w:t xml:space="preserve"> </w:t>
      </w:r>
      <w:r>
        <w:rPr>
          <w:lang w:val="en-GB"/>
        </w:rPr>
        <w:t xml:space="preserve">scale </w:t>
      </w:r>
      <w:r w:rsidRPr="00F27B56">
        <w:rPr>
          <w:lang w:val="en-GB"/>
        </w:rPr>
        <w:t>photobioreactor and exposed to continuous IR illumination to select and enrich the culture in PPB</w:t>
      </w:r>
      <w:r>
        <w:rPr>
          <w:lang w:val="en-GB"/>
        </w:rPr>
        <w:t>.</w:t>
      </w:r>
      <w:r w:rsidRPr="00F27B56">
        <w:rPr>
          <w:lang w:val="en-GB"/>
        </w:rPr>
        <w:t xml:space="preserve"> </w:t>
      </w:r>
      <w:r>
        <w:rPr>
          <w:lang w:val="en-GB"/>
        </w:rPr>
        <w:t xml:space="preserve">In one week, </w:t>
      </w:r>
      <w:r w:rsidRPr="00F27B56">
        <w:rPr>
          <w:lang w:val="en-GB"/>
        </w:rPr>
        <w:t xml:space="preserve">the biomass turned to the characteristic purple colour </w:t>
      </w:r>
      <w:r>
        <w:rPr>
          <w:lang w:val="en-GB"/>
        </w:rPr>
        <w:t>(</w:t>
      </w:r>
      <w:r w:rsidR="00281DF5">
        <w:rPr>
          <w:lang w:val="en-GB"/>
        </w:rPr>
        <w:t xml:space="preserve">Figure </w:t>
      </w:r>
      <w:r>
        <w:rPr>
          <w:lang w:val="en-GB"/>
        </w:rPr>
        <w:t>1).</w:t>
      </w:r>
    </w:p>
    <w:p w14:paraId="1DE2E1C9" w14:textId="37C7B97B" w:rsidR="00CB5A94" w:rsidRDefault="00CB5A94" w:rsidP="00A14E53">
      <w:pPr>
        <w:pStyle w:val="CETBodytext"/>
      </w:pPr>
      <w:r w:rsidRPr="00CB5A94">
        <w:rPr>
          <w:noProof/>
        </w:rPr>
        <w:drawing>
          <wp:inline distT="0" distB="0" distL="0" distR="0" wp14:anchorId="042379A1" wp14:editId="510CB4A1">
            <wp:extent cx="2892217" cy="1551600"/>
            <wp:effectExtent l="0" t="0" r="3810" b="0"/>
            <wp:docPr id="862721472" name="Elemento 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721472"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2892217" cy="1551600"/>
                    </a:xfrm>
                    <a:prstGeom prst="rect">
                      <a:avLst/>
                    </a:prstGeom>
                  </pic:spPr>
                </pic:pic>
              </a:graphicData>
            </a:graphic>
          </wp:inline>
        </w:drawing>
      </w:r>
    </w:p>
    <w:p w14:paraId="2CA67AF7" w14:textId="6253E934" w:rsidR="00CB5A94" w:rsidRPr="00A14E53" w:rsidRDefault="00CB5A94" w:rsidP="001C4EB7">
      <w:pPr>
        <w:pStyle w:val="CETBodytext"/>
        <w:rPr>
          <w:i/>
          <w:iCs/>
        </w:rPr>
      </w:pPr>
      <w:r w:rsidRPr="00A14E53">
        <w:rPr>
          <w:i/>
          <w:iCs/>
        </w:rPr>
        <w:t xml:space="preserve">Figure 1. </w:t>
      </w:r>
      <w:r w:rsidR="001C4EB7">
        <w:rPr>
          <w:i/>
          <w:iCs/>
        </w:rPr>
        <w:t>M</w:t>
      </w:r>
      <w:r w:rsidR="001C4EB7" w:rsidRPr="001C4EB7">
        <w:rPr>
          <w:i/>
          <w:iCs/>
        </w:rPr>
        <w:t>ixed liquor after PPB enrichment</w:t>
      </w:r>
      <w:r w:rsidR="001C4EB7">
        <w:rPr>
          <w:i/>
          <w:iCs/>
        </w:rPr>
        <w:t xml:space="preserve"> (a)</w:t>
      </w:r>
      <w:r w:rsidR="001C4EB7" w:rsidRPr="001C4EB7">
        <w:rPr>
          <w:i/>
          <w:iCs/>
        </w:rPr>
        <w:t>; PPB biofilm</w:t>
      </w:r>
      <w:r w:rsidR="001C4EB7">
        <w:rPr>
          <w:i/>
          <w:iCs/>
        </w:rPr>
        <w:t xml:space="preserve"> </w:t>
      </w:r>
      <w:r w:rsidR="001C4EB7" w:rsidRPr="001C4EB7">
        <w:rPr>
          <w:i/>
          <w:iCs/>
        </w:rPr>
        <w:t>attached to the photobioreactor wall</w:t>
      </w:r>
      <w:r w:rsidR="001C4EB7" w:rsidRPr="001C4EB7">
        <w:rPr>
          <w:i/>
          <w:iCs/>
        </w:rPr>
        <w:t xml:space="preserve"> </w:t>
      </w:r>
      <w:r w:rsidRPr="00A14E53">
        <w:rPr>
          <w:i/>
          <w:iCs/>
        </w:rPr>
        <w:t>(b)</w:t>
      </w:r>
      <w:r w:rsidR="001C4EB7">
        <w:rPr>
          <w:i/>
          <w:iCs/>
        </w:rPr>
        <w:t>.</w:t>
      </w:r>
    </w:p>
    <w:p w14:paraId="343A8080" w14:textId="51C22DB7" w:rsidR="005A3D1F" w:rsidRDefault="00CE4C27" w:rsidP="005A3D1F">
      <w:pPr>
        <w:pStyle w:val="CETheadingx"/>
      </w:pPr>
      <w:r>
        <w:t xml:space="preserve">WL characteristics and </w:t>
      </w:r>
      <w:r w:rsidR="00CB5A94">
        <w:t>PPB cultivation in PBRs</w:t>
      </w:r>
    </w:p>
    <w:p w14:paraId="291B807B" w14:textId="5277AD9E" w:rsidR="00CE4C27" w:rsidRDefault="00CE4C27" w:rsidP="00A14E53">
      <w:pPr>
        <w:pStyle w:val="CETBodytext"/>
        <w:rPr>
          <w:lang w:val="en-GB"/>
        </w:rPr>
      </w:pPr>
      <w:r>
        <w:rPr>
          <w:lang w:val="en-GB"/>
        </w:rPr>
        <w:t xml:space="preserve">WL was collected from </w:t>
      </w:r>
      <w:r w:rsidR="001C4EB7">
        <w:rPr>
          <w:lang w:val="en-GB"/>
        </w:rPr>
        <w:t xml:space="preserve">a </w:t>
      </w:r>
      <w:r>
        <w:rPr>
          <w:lang w:val="en-GB"/>
        </w:rPr>
        <w:t xml:space="preserve">local company and stored in the fridge (4°C) to prevent its COD degradation. Given the high soluble COD level (close to 60 g/L), mainly represented by ethanol (more than </w:t>
      </w:r>
      <w:r w:rsidR="00ED474A">
        <w:rPr>
          <w:lang w:val="en-GB"/>
        </w:rPr>
        <w:t>3</w:t>
      </w:r>
      <w:r>
        <w:rPr>
          <w:lang w:val="en-GB"/>
        </w:rPr>
        <w:t xml:space="preserve">0%), an acidogenic dark  fermentation step was performed </w:t>
      </w:r>
      <w:r w:rsidR="00EA17F5">
        <w:rPr>
          <w:lang w:val="en-GB"/>
        </w:rPr>
        <w:t xml:space="preserve">to produce VFA as precursors </w:t>
      </w:r>
      <w:r>
        <w:rPr>
          <w:lang w:val="en-GB"/>
        </w:rPr>
        <w:t xml:space="preserve">for PPB cultivation. The dark fermentation was conducted in 5 L </w:t>
      </w:r>
      <w:r w:rsidR="00EA17F5">
        <w:rPr>
          <w:lang w:val="en-GB"/>
        </w:rPr>
        <w:t>m</w:t>
      </w:r>
      <w:r w:rsidRPr="00CE4C27">
        <w:rPr>
          <w:lang w:val="en-GB"/>
        </w:rPr>
        <w:t>esophilic semi-continuous stirred tank reactor (CSTR), mechanically stirred and</w:t>
      </w:r>
      <w:r w:rsidR="00EA17F5">
        <w:rPr>
          <w:lang w:val="en-GB"/>
        </w:rPr>
        <w:t xml:space="preserve"> </w:t>
      </w:r>
      <w:r w:rsidRPr="00CE4C27">
        <w:rPr>
          <w:lang w:val="en-GB"/>
        </w:rPr>
        <w:t>under temperature control (37</w:t>
      </w:r>
      <w:r w:rsidR="001C4EB7">
        <w:rPr>
          <w:lang w:val="en-GB"/>
        </w:rPr>
        <w:t xml:space="preserve"> </w:t>
      </w:r>
      <w:r w:rsidR="00EA17F5">
        <w:rPr>
          <w:lang w:val="en-GB"/>
        </w:rPr>
        <w:t>°</w:t>
      </w:r>
      <w:r w:rsidRPr="00CE4C27">
        <w:rPr>
          <w:lang w:val="en-GB"/>
        </w:rPr>
        <w:t>C) using a thermostatic jacket. The hydraulic</w:t>
      </w:r>
      <w:r w:rsidR="00EA17F5">
        <w:rPr>
          <w:lang w:val="en-GB"/>
        </w:rPr>
        <w:t xml:space="preserve"> </w:t>
      </w:r>
      <w:r w:rsidRPr="00CE4C27">
        <w:rPr>
          <w:lang w:val="en-GB"/>
        </w:rPr>
        <w:t xml:space="preserve">retention time (HRT) was set at </w:t>
      </w:r>
      <w:r w:rsidR="00251B7B">
        <w:rPr>
          <w:lang w:val="en-GB"/>
        </w:rPr>
        <w:t>4</w:t>
      </w:r>
      <w:r w:rsidRPr="00CE4C27">
        <w:rPr>
          <w:lang w:val="en-GB"/>
        </w:rPr>
        <w:t xml:space="preserve"> days</w:t>
      </w:r>
      <w:r w:rsidR="00EA17F5">
        <w:rPr>
          <w:lang w:val="en-GB"/>
        </w:rPr>
        <w:t xml:space="preserve"> </w:t>
      </w:r>
      <w:r w:rsidR="00EA17F5">
        <w:rPr>
          <w:lang w:val="en-GB"/>
        </w:rPr>
        <w:lastRenderedPageBreak/>
        <w:t xml:space="preserve">and the </w:t>
      </w:r>
      <w:r w:rsidRPr="00CE4C27">
        <w:rPr>
          <w:lang w:val="en-GB"/>
        </w:rPr>
        <w:t>pH (</w:t>
      </w:r>
      <w:r w:rsidR="00EA17F5">
        <w:rPr>
          <w:lang w:val="en-GB"/>
        </w:rPr>
        <w:t>6</w:t>
      </w:r>
      <w:r w:rsidRPr="00CE4C27">
        <w:rPr>
          <w:lang w:val="en-GB"/>
        </w:rPr>
        <w:t>.</w:t>
      </w:r>
      <w:r w:rsidR="00EA17F5">
        <w:rPr>
          <w:lang w:val="en-GB"/>
        </w:rPr>
        <w:t>0 – 6.</w:t>
      </w:r>
      <w:r w:rsidRPr="00CE4C27">
        <w:rPr>
          <w:lang w:val="en-GB"/>
        </w:rPr>
        <w:t>5) was externally controlled with a peristaltic</w:t>
      </w:r>
      <w:r w:rsidR="00EA17F5">
        <w:rPr>
          <w:lang w:val="en-GB"/>
        </w:rPr>
        <w:t xml:space="preserve"> </w:t>
      </w:r>
      <w:r w:rsidRPr="00CE4C27">
        <w:rPr>
          <w:lang w:val="en-GB"/>
        </w:rPr>
        <w:t xml:space="preserve">pump </w:t>
      </w:r>
      <w:r w:rsidR="00EA17F5">
        <w:rPr>
          <w:lang w:val="en-GB"/>
        </w:rPr>
        <w:t xml:space="preserve">(NaOH 3M dosage) </w:t>
      </w:r>
      <w:r w:rsidRPr="00CE4C27">
        <w:rPr>
          <w:lang w:val="en-GB"/>
        </w:rPr>
        <w:t>connected to a software designed by Idea Bioprocess Technology</w:t>
      </w:r>
      <w:r w:rsidR="00EA17F5">
        <w:rPr>
          <w:lang w:val="en-GB"/>
        </w:rPr>
        <w:t xml:space="preserve"> </w:t>
      </w:r>
      <w:proofErr w:type="spellStart"/>
      <w:r w:rsidRPr="00CE4C27">
        <w:rPr>
          <w:lang w:val="en-GB"/>
        </w:rPr>
        <w:t>Srl</w:t>
      </w:r>
      <w:proofErr w:type="spellEnd"/>
      <w:r w:rsidRPr="00CE4C27">
        <w:rPr>
          <w:lang w:val="en-GB"/>
        </w:rPr>
        <w:t xml:space="preserve">. The applied OLR was </w:t>
      </w:r>
      <w:r w:rsidR="00EA17F5">
        <w:rPr>
          <w:lang w:val="en-GB"/>
        </w:rPr>
        <w:t xml:space="preserve">in the range 8.0 – 10.5 g VS/(L d), according to the VS content of the WL. Daily, </w:t>
      </w:r>
      <w:r w:rsidRPr="00CE4C27">
        <w:rPr>
          <w:lang w:val="en-GB"/>
        </w:rPr>
        <w:t xml:space="preserve">the fermented </w:t>
      </w:r>
      <w:r w:rsidR="00EA17F5">
        <w:rPr>
          <w:lang w:val="en-GB"/>
        </w:rPr>
        <w:t>VFA</w:t>
      </w:r>
      <w:r w:rsidRPr="00CE4C27">
        <w:rPr>
          <w:lang w:val="en-GB"/>
        </w:rPr>
        <w:t>-rich stream was centrifuged (Heraeus</w:t>
      </w:r>
      <w:r w:rsidR="00EA17F5">
        <w:rPr>
          <w:lang w:val="en-GB"/>
        </w:rPr>
        <w:t xml:space="preserve"> </w:t>
      </w:r>
      <w:proofErr w:type="spellStart"/>
      <w:r w:rsidRPr="00CE4C27">
        <w:rPr>
          <w:lang w:val="en-GB"/>
        </w:rPr>
        <w:t>Megafuge</w:t>
      </w:r>
      <w:proofErr w:type="spellEnd"/>
      <w:r w:rsidRPr="00CE4C27">
        <w:rPr>
          <w:lang w:val="en-GB"/>
        </w:rPr>
        <w:t xml:space="preserve"> 40,</w:t>
      </w:r>
      <w:r w:rsidR="00A14E53">
        <w:rPr>
          <w:lang w:val="en-GB"/>
        </w:rPr>
        <w:t xml:space="preserve"> </w:t>
      </w:r>
      <w:r w:rsidR="00A14E53" w:rsidRPr="00A14E53">
        <w:rPr>
          <w:lang w:val="en-GB"/>
        </w:rPr>
        <w:t>Swinging Bucket Rotor</w:t>
      </w:r>
      <w:r w:rsidR="00A14E53">
        <w:rPr>
          <w:lang w:val="en-GB"/>
        </w:rPr>
        <w:t xml:space="preserve"> with </w:t>
      </w:r>
      <w:r w:rsidR="00A14E53" w:rsidRPr="00A14E53">
        <w:rPr>
          <w:lang w:val="en-GB"/>
        </w:rPr>
        <w:t>maximum radius 195 mm</w:t>
      </w:r>
      <w:r w:rsidR="00A14E53">
        <w:rPr>
          <w:lang w:val="en-GB"/>
        </w:rPr>
        <w:t xml:space="preserve"> and</w:t>
      </w:r>
      <w:r w:rsidR="00A14E53" w:rsidRPr="00A14E53">
        <w:rPr>
          <w:lang w:val="en-GB"/>
        </w:rPr>
        <w:t xml:space="preserve"> minimum radius 83 mm;</w:t>
      </w:r>
      <w:r w:rsidRPr="00CE4C27">
        <w:rPr>
          <w:lang w:val="en-GB"/>
        </w:rPr>
        <w:t xml:space="preserve"> </w:t>
      </w:r>
      <w:proofErr w:type="spellStart"/>
      <w:r w:rsidRPr="00CE4C27">
        <w:rPr>
          <w:lang w:val="en-GB"/>
        </w:rPr>
        <w:t>Thermo</w:t>
      </w:r>
      <w:proofErr w:type="spellEnd"/>
      <w:r w:rsidRPr="00CE4C27">
        <w:rPr>
          <w:lang w:val="en-GB"/>
        </w:rPr>
        <w:t xml:space="preserve"> Fisher Scientific, Waltham, MA, United</w:t>
      </w:r>
      <w:r w:rsidR="00EA17F5">
        <w:rPr>
          <w:lang w:val="en-GB"/>
        </w:rPr>
        <w:t xml:space="preserve"> </w:t>
      </w:r>
      <w:r w:rsidRPr="00CE4C27">
        <w:rPr>
          <w:lang w:val="en-GB"/>
        </w:rPr>
        <w:t>States) for 15 min at 4700 rpm, to remove the solid fraction</w:t>
      </w:r>
      <w:r w:rsidR="00A43AA2">
        <w:rPr>
          <w:lang w:val="en-GB"/>
        </w:rPr>
        <w:t>,</w:t>
      </w:r>
      <w:r w:rsidRPr="00CE4C27">
        <w:rPr>
          <w:lang w:val="en-GB"/>
        </w:rPr>
        <w:t xml:space="preserve"> </w:t>
      </w:r>
      <w:r w:rsidR="00EA17F5">
        <w:rPr>
          <w:lang w:val="en-GB"/>
        </w:rPr>
        <w:t xml:space="preserve">and </w:t>
      </w:r>
      <w:r w:rsidR="00251B7B">
        <w:rPr>
          <w:lang w:val="en-GB"/>
        </w:rPr>
        <w:t xml:space="preserve">then collected and </w:t>
      </w:r>
      <w:r w:rsidR="00EA17F5">
        <w:rPr>
          <w:lang w:val="en-GB"/>
        </w:rPr>
        <w:t>stored at 4°C before its use</w:t>
      </w:r>
      <w:r w:rsidRPr="00CE4C27">
        <w:rPr>
          <w:lang w:val="en-GB"/>
        </w:rPr>
        <w:t>.</w:t>
      </w:r>
      <w:r>
        <w:rPr>
          <w:lang w:val="en-GB"/>
        </w:rPr>
        <w:t xml:space="preserve"> </w:t>
      </w:r>
      <w:r w:rsidR="00ED474A">
        <w:rPr>
          <w:lang w:val="en-GB"/>
        </w:rPr>
        <w:t xml:space="preserve">The following </w:t>
      </w:r>
      <w:r w:rsidR="001C4EB7">
        <w:rPr>
          <w:lang w:val="en-GB"/>
        </w:rPr>
        <w:t>T</w:t>
      </w:r>
      <w:r w:rsidR="00ED474A">
        <w:rPr>
          <w:lang w:val="en-GB"/>
        </w:rPr>
        <w:t>able 1 summarizes the physical-chemical features of the WL (immediately after collection and after fermentation process).</w:t>
      </w:r>
    </w:p>
    <w:p w14:paraId="0B9952BF" w14:textId="77777777" w:rsidR="00860862" w:rsidRDefault="00860862" w:rsidP="005A3D1F">
      <w:pPr>
        <w:pStyle w:val="CETBodytext"/>
        <w:rPr>
          <w:lang w:val="en-GB"/>
        </w:rPr>
      </w:pPr>
    </w:p>
    <w:p w14:paraId="5A451510" w14:textId="562AB532" w:rsidR="00ED474A" w:rsidRPr="00860862" w:rsidRDefault="00ED474A" w:rsidP="00860862">
      <w:pPr>
        <w:pStyle w:val="CETBodytext"/>
        <w:rPr>
          <w:i/>
          <w:iCs/>
        </w:rPr>
      </w:pPr>
      <w:bookmarkStart w:id="2" w:name="OLE_LINK1"/>
      <w:r w:rsidRPr="00860862">
        <w:rPr>
          <w:i/>
          <w:iCs/>
        </w:rPr>
        <w:t>Table 1: Main parameters of wine lees (WL) before and after acidogenic fermentation step</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090"/>
        <w:gridCol w:w="1370"/>
        <w:gridCol w:w="1785"/>
        <w:gridCol w:w="1559"/>
      </w:tblGrid>
      <w:tr w:rsidR="00ED474A" w:rsidRPr="00B57B36" w14:paraId="1A603AC8" w14:textId="77777777" w:rsidTr="001F1622">
        <w:trPr>
          <w:trHeight w:val="215"/>
        </w:trPr>
        <w:tc>
          <w:tcPr>
            <w:tcW w:w="2090" w:type="dxa"/>
            <w:tcBorders>
              <w:top w:val="single" w:sz="12" w:space="0" w:color="008000"/>
              <w:bottom w:val="single" w:sz="12" w:space="0" w:color="008000"/>
            </w:tcBorders>
            <w:shd w:val="clear" w:color="auto" w:fill="FFFFFF"/>
          </w:tcPr>
          <w:bookmarkEnd w:id="2"/>
          <w:p w14:paraId="2745FCD4" w14:textId="77777777" w:rsidR="00ED474A" w:rsidRPr="006E0B6B" w:rsidRDefault="00ED474A" w:rsidP="001F1622">
            <w:pPr>
              <w:pStyle w:val="CETBodytext"/>
              <w:jc w:val="left"/>
              <w:rPr>
                <w:rFonts w:cs="Arial"/>
                <w:szCs w:val="18"/>
                <w:lang w:val="en-GB"/>
              </w:rPr>
            </w:pPr>
            <w:r>
              <w:rPr>
                <w:rFonts w:cs="Arial"/>
                <w:szCs w:val="18"/>
              </w:rPr>
              <w:t>Parameters</w:t>
            </w:r>
          </w:p>
        </w:tc>
        <w:tc>
          <w:tcPr>
            <w:tcW w:w="1370" w:type="dxa"/>
            <w:tcBorders>
              <w:top w:val="single" w:sz="12" w:space="0" w:color="008000"/>
              <w:bottom w:val="single" w:sz="12" w:space="0" w:color="008000"/>
            </w:tcBorders>
            <w:shd w:val="clear" w:color="auto" w:fill="FFFFFF"/>
          </w:tcPr>
          <w:p w14:paraId="430107B7" w14:textId="77777777" w:rsidR="00ED474A" w:rsidRPr="006E0B6B" w:rsidRDefault="00ED474A" w:rsidP="001F1622">
            <w:pPr>
              <w:pStyle w:val="CETBodytext"/>
              <w:jc w:val="left"/>
              <w:rPr>
                <w:rFonts w:cs="Arial"/>
                <w:szCs w:val="18"/>
                <w:lang w:val="en-GB"/>
              </w:rPr>
            </w:pPr>
            <w:r>
              <w:rPr>
                <w:rFonts w:cs="Arial"/>
                <w:szCs w:val="18"/>
              </w:rPr>
              <w:t>Unit</w:t>
            </w:r>
          </w:p>
        </w:tc>
        <w:tc>
          <w:tcPr>
            <w:tcW w:w="1785" w:type="dxa"/>
            <w:tcBorders>
              <w:top w:val="single" w:sz="12" w:space="0" w:color="008000"/>
              <w:bottom w:val="single" w:sz="12" w:space="0" w:color="008000"/>
            </w:tcBorders>
            <w:shd w:val="clear" w:color="auto" w:fill="FFFFFF"/>
          </w:tcPr>
          <w:p w14:paraId="1991C1E3" w14:textId="16B4BAD0" w:rsidR="00ED474A" w:rsidRPr="006E0B6B" w:rsidRDefault="00ED474A" w:rsidP="001F1622">
            <w:pPr>
              <w:pStyle w:val="CETBodytext"/>
              <w:jc w:val="left"/>
              <w:rPr>
                <w:rFonts w:cs="Arial"/>
                <w:szCs w:val="18"/>
                <w:lang w:val="en-GB"/>
              </w:rPr>
            </w:pPr>
            <w:r>
              <w:rPr>
                <w:rFonts w:cs="Arial"/>
                <w:szCs w:val="18"/>
              </w:rPr>
              <w:t>WL</w:t>
            </w:r>
          </w:p>
        </w:tc>
        <w:tc>
          <w:tcPr>
            <w:tcW w:w="1559" w:type="dxa"/>
            <w:tcBorders>
              <w:top w:val="single" w:sz="12" w:space="0" w:color="008000"/>
              <w:bottom w:val="single" w:sz="12" w:space="0" w:color="008000"/>
            </w:tcBorders>
            <w:shd w:val="clear" w:color="auto" w:fill="FFFFFF"/>
          </w:tcPr>
          <w:p w14:paraId="07C7E31B" w14:textId="744517F1" w:rsidR="00ED474A" w:rsidRPr="006E0B6B" w:rsidRDefault="00ED474A" w:rsidP="001F1622">
            <w:pPr>
              <w:pStyle w:val="CETBodytext"/>
              <w:ind w:right="-1"/>
              <w:jc w:val="left"/>
              <w:rPr>
                <w:rFonts w:cs="Arial"/>
                <w:szCs w:val="18"/>
                <w:lang w:val="en-GB"/>
              </w:rPr>
            </w:pPr>
            <w:r>
              <w:rPr>
                <w:rFonts w:cs="Arial"/>
                <w:szCs w:val="18"/>
                <w:lang w:val="en-GB"/>
              </w:rPr>
              <w:t>fermented WL*</w:t>
            </w:r>
          </w:p>
        </w:tc>
      </w:tr>
      <w:tr w:rsidR="00ED474A" w:rsidRPr="00B57B36" w14:paraId="4527EADD" w14:textId="77777777" w:rsidTr="001F1622">
        <w:trPr>
          <w:trHeight w:val="228"/>
        </w:trPr>
        <w:tc>
          <w:tcPr>
            <w:tcW w:w="2090" w:type="dxa"/>
            <w:tcBorders>
              <w:top w:val="nil"/>
            </w:tcBorders>
            <w:shd w:val="clear" w:color="auto" w:fill="FFFFFF"/>
          </w:tcPr>
          <w:p w14:paraId="78BBD86E" w14:textId="4423036F" w:rsidR="00ED474A" w:rsidRPr="006E0B6B" w:rsidRDefault="001C4EB7" w:rsidP="001F1622">
            <w:pPr>
              <w:pStyle w:val="CETBodytext"/>
              <w:ind w:right="-1"/>
              <w:jc w:val="left"/>
              <w:rPr>
                <w:rFonts w:cs="Arial"/>
                <w:szCs w:val="18"/>
                <w:lang w:val="en-GB"/>
              </w:rPr>
            </w:pPr>
            <w:r>
              <w:rPr>
                <w:rFonts w:cs="Arial"/>
                <w:szCs w:val="18"/>
              </w:rPr>
              <w:t>Total Solids (</w:t>
            </w:r>
            <w:r w:rsidR="00ED474A">
              <w:rPr>
                <w:rFonts w:cs="Arial"/>
                <w:szCs w:val="18"/>
              </w:rPr>
              <w:t>TS</w:t>
            </w:r>
            <w:r>
              <w:rPr>
                <w:rFonts w:cs="Arial"/>
                <w:szCs w:val="18"/>
              </w:rPr>
              <w:t>)</w:t>
            </w:r>
          </w:p>
        </w:tc>
        <w:tc>
          <w:tcPr>
            <w:tcW w:w="1370" w:type="dxa"/>
            <w:tcBorders>
              <w:top w:val="nil"/>
            </w:tcBorders>
            <w:shd w:val="clear" w:color="auto" w:fill="FFFFFF"/>
          </w:tcPr>
          <w:p w14:paraId="596AE2A1" w14:textId="77777777" w:rsidR="00ED474A" w:rsidRPr="006E0B6B" w:rsidRDefault="00ED474A" w:rsidP="001F1622">
            <w:pPr>
              <w:pStyle w:val="CETBodytext"/>
              <w:ind w:right="-1"/>
              <w:jc w:val="left"/>
              <w:rPr>
                <w:rFonts w:cs="Arial"/>
                <w:szCs w:val="18"/>
                <w:lang w:val="en-GB"/>
              </w:rPr>
            </w:pPr>
            <w:r w:rsidRPr="006E0B6B">
              <w:rPr>
                <w:rFonts w:cs="Arial"/>
                <w:szCs w:val="18"/>
              </w:rPr>
              <w:t>g/L</w:t>
            </w:r>
          </w:p>
        </w:tc>
        <w:tc>
          <w:tcPr>
            <w:tcW w:w="1785" w:type="dxa"/>
            <w:tcBorders>
              <w:top w:val="nil"/>
            </w:tcBorders>
            <w:shd w:val="clear" w:color="auto" w:fill="FFFFFF"/>
          </w:tcPr>
          <w:p w14:paraId="74851F44" w14:textId="4EFE6BBA" w:rsidR="00ED474A" w:rsidRPr="006E0B6B" w:rsidRDefault="00ED474A" w:rsidP="001F1622">
            <w:pPr>
              <w:pStyle w:val="CETBodytext"/>
              <w:ind w:right="-1"/>
              <w:jc w:val="left"/>
              <w:rPr>
                <w:rFonts w:cs="Arial"/>
                <w:szCs w:val="18"/>
                <w:lang w:val="en-GB"/>
              </w:rPr>
            </w:pPr>
            <w:r>
              <w:rPr>
                <w:rFonts w:cs="Arial"/>
                <w:szCs w:val="18"/>
              </w:rPr>
              <w:t>2.1</w:t>
            </w:r>
            <w:r w:rsidRPr="006E0B6B">
              <w:rPr>
                <w:rFonts w:cs="Arial"/>
                <w:szCs w:val="18"/>
              </w:rPr>
              <w:t xml:space="preserve"> ± </w:t>
            </w:r>
            <w:r>
              <w:rPr>
                <w:rFonts w:cs="Arial"/>
                <w:szCs w:val="18"/>
              </w:rPr>
              <w:t>0.2</w:t>
            </w:r>
          </w:p>
        </w:tc>
        <w:tc>
          <w:tcPr>
            <w:tcW w:w="1559" w:type="dxa"/>
            <w:tcBorders>
              <w:top w:val="nil"/>
            </w:tcBorders>
            <w:shd w:val="clear" w:color="auto" w:fill="FFFFFF"/>
          </w:tcPr>
          <w:p w14:paraId="320D594F" w14:textId="065B3677" w:rsidR="00ED474A" w:rsidRPr="006E0B6B" w:rsidRDefault="00ED474A" w:rsidP="001F1622">
            <w:pPr>
              <w:pStyle w:val="CETBodytext"/>
              <w:ind w:right="-1"/>
              <w:jc w:val="left"/>
              <w:rPr>
                <w:rFonts w:cs="Arial"/>
                <w:szCs w:val="18"/>
                <w:lang w:val="en-GB"/>
              </w:rPr>
            </w:pPr>
            <w:r>
              <w:rPr>
                <w:rFonts w:cs="Arial"/>
                <w:szCs w:val="18"/>
              </w:rPr>
              <w:t>-</w:t>
            </w:r>
          </w:p>
        </w:tc>
      </w:tr>
      <w:tr w:rsidR="00ED474A" w:rsidRPr="00B57B36" w14:paraId="67116311" w14:textId="77777777" w:rsidTr="001F1622">
        <w:trPr>
          <w:trHeight w:val="215"/>
        </w:trPr>
        <w:tc>
          <w:tcPr>
            <w:tcW w:w="2090" w:type="dxa"/>
            <w:shd w:val="clear" w:color="auto" w:fill="FFFFFF"/>
          </w:tcPr>
          <w:p w14:paraId="2769FED9" w14:textId="793F902D" w:rsidR="00ED474A" w:rsidRPr="006E0B6B" w:rsidRDefault="00ED474A" w:rsidP="001F1622">
            <w:pPr>
              <w:pStyle w:val="CETBodytext"/>
              <w:ind w:right="-1"/>
              <w:jc w:val="left"/>
              <w:rPr>
                <w:rFonts w:cs="Arial"/>
                <w:szCs w:val="18"/>
                <w:lang w:val="en-GB"/>
              </w:rPr>
            </w:pPr>
            <w:r>
              <w:rPr>
                <w:rFonts w:cs="Arial"/>
                <w:szCs w:val="18"/>
              </w:rPr>
              <w:t>V</w:t>
            </w:r>
            <w:r w:rsidR="001C4EB7">
              <w:rPr>
                <w:rFonts w:cs="Arial"/>
                <w:szCs w:val="18"/>
              </w:rPr>
              <w:t xml:space="preserve">olatile </w:t>
            </w:r>
            <w:r>
              <w:rPr>
                <w:rFonts w:cs="Arial"/>
                <w:szCs w:val="18"/>
              </w:rPr>
              <w:t>S</w:t>
            </w:r>
            <w:r w:rsidR="001C4EB7">
              <w:rPr>
                <w:rFonts w:cs="Arial"/>
                <w:szCs w:val="18"/>
              </w:rPr>
              <w:t>olids (VS)</w:t>
            </w:r>
          </w:p>
        </w:tc>
        <w:tc>
          <w:tcPr>
            <w:tcW w:w="1370" w:type="dxa"/>
            <w:shd w:val="clear" w:color="auto" w:fill="FFFFFF"/>
          </w:tcPr>
          <w:p w14:paraId="28628727" w14:textId="77777777" w:rsidR="00ED474A" w:rsidRPr="006E0B6B" w:rsidRDefault="00ED474A" w:rsidP="001F1622">
            <w:pPr>
              <w:pStyle w:val="CETBodytext"/>
              <w:ind w:right="-1"/>
              <w:jc w:val="left"/>
              <w:rPr>
                <w:rFonts w:cs="Arial"/>
                <w:szCs w:val="18"/>
                <w:lang w:val="en-GB"/>
              </w:rPr>
            </w:pPr>
            <w:r w:rsidRPr="006E0B6B">
              <w:rPr>
                <w:rFonts w:cs="Arial"/>
                <w:szCs w:val="18"/>
              </w:rPr>
              <w:t>g/L</w:t>
            </w:r>
          </w:p>
        </w:tc>
        <w:tc>
          <w:tcPr>
            <w:tcW w:w="1785" w:type="dxa"/>
            <w:shd w:val="clear" w:color="auto" w:fill="FFFFFF"/>
          </w:tcPr>
          <w:p w14:paraId="66E79F1C" w14:textId="1AE9FB6C" w:rsidR="00ED474A" w:rsidRPr="006E0B6B" w:rsidRDefault="00ED474A" w:rsidP="001F1622">
            <w:pPr>
              <w:pStyle w:val="CETBodytext"/>
              <w:ind w:right="-1"/>
              <w:jc w:val="left"/>
              <w:rPr>
                <w:rFonts w:cs="Arial"/>
                <w:szCs w:val="18"/>
                <w:lang w:val="en-GB"/>
              </w:rPr>
            </w:pPr>
            <w:r>
              <w:rPr>
                <w:rFonts w:cs="Arial"/>
                <w:szCs w:val="18"/>
              </w:rPr>
              <w:t>1.6</w:t>
            </w:r>
            <w:r w:rsidRPr="006E0B6B">
              <w:rPr>
                <w:rFonts w:cs="Arial"/>
                <w:szCs w:val="18"/>
              </w:rPr>
              <w:t xml:space="preserve"> ± </w:t>
            </w:r>
            <w:r>
              <w:rPr>
                <w:rFonts w:cs="Arial"/>
                <w:szCs w:val="18"/>
              </w:rPr>
              <w:t>0.3</w:t>
            </w:r>
          </w:p>
        </w:tc>
        <w:tc>
          <w:tcPr>
            <w:tcW w:w="1559" w:type="dxa"/>
            <w:shd w:val="clear" w:color="auto" w:fill="FFFFFF"/>
          </w:tcPr>
          <w:p w14:paraId="5ECFDAFF" w14:textId="66E33A7F" w:rsidR="00ED474A" w:rsidRPr="006E0B6B" w:rsidRDefault="00ED474A" w:rsidP="001F1622">
            <w:pPr>
              <w:pStyle w:val="CETBodytext"/>
              <w:ind w:right="-1"/>
              <w:jc w:val="left"/>
              <w:rPr>
                <w:rFonts w:cs="Arial"/>
                <w:szCs w:val="18"/>
                <w:lang w:val="en-GB"/>
              </w:rPr>
            </w:pPr>
            <w:r>
              <w:rPr>
                <w:rFonts w:cs="Arial"/>
                <w:szCs w:val="18"/>
              </w:rPr>
              <w:t>-</w:t>
            </w:r>
          </w:p>
        </w:tc>
      </w:tr>
      <w:tr w:rsidR="00ED474A" w:rsidRPr="00B57B36" w14:paraId="23D7C841" w14:textId="77777777" w:rsidTr="001F1622">
        <w:trPr>
          <w:trHeight w:val="215"/>
        </w:trPr>
        <w:tc>
          <w:tcPr>
            <w:tcW w:w="2090" w:type="dxa"/>
            <w:shd w:val="clear" w:color="auto" w:fill="FFFFFF"/>
          </w:tcPr>
          <w:p w14:paraId="21127BBD" w14:textId="77777777" w:rsidR="00ED474A" w:rsidRPr="006E0B6B" w:rsidRDefault="00ED474A" w:rsidP="001F1622">
            <w:pPr>
              <w:pStyle w:val="CETBodytext"/>
              <w:ind w:right="-1"/>
              <w:jc w:val="left"/>
              <w:rPr>
                <w:rFonts w:cs="Arial"/>
                <w:szCs w:val="18"/>
                <w:lang w:val="en-GB"/>
              </w:rPr>
            </w:pPr>
            <w:r w:rsidRPr="006E0B6B">
              <w:rPr>
                <w:rFonts w:cs="Arial"/>
                <w:szCs w:val="18"/>
              </w:rPr>
              <w:t>COD</w:t>
            </w:r>
            <w:r w:rsidRPr="006E0B6B">
              <w:rPr>
                <w:rFonts w:cs="Arial"/>
                <w:szCs w:val="18"/>
                <w:vertAlign w:val="subscript"/>
              </w:rPr>
              <w:t>SOL</w:t>
            </w:r>
          </w:p>
        </w:tc>
        <w:tc>
          <w:tcPr>
            <w:tcW w:w="1370" w:type="dxa"/>
            <w:shd w:val="clear" w:color="auto" w:fill="FFFFFF"/>
          </w:tcPr>
          <w:p w14:paraId="5D21BF1A" w14:textId="77777777" w:rsidR="00ED474A" w:rsidRPr="006E0B6B" w:rsidRDefault="00ED474A" w:rsidP="001F1622">
            <w:pPr>
              <w:pStyle w:val="CETBodytext"/>
              <w:ind w:right="-1"/>
              <w:jc w:val="left"/>
              <w:rPr>
                <w:rFonts w:cs="Arial"/>
                <w:szCs w:val="18"/>
                <w:lang w:val="en-GB"/>
              </w:rPr>
            </w:pPr>
            <w:r>
              <w:rPr>
                <w:rFonts w:cs="Arial"/>
                <w:szCs w:val="18"/>
              </w:rPr>
              <w:t>g/L</w:t>
            </w:r>
          </w:p>
        </w:tc>
        <w:tc>
          <w:tcPr>
            <w:tcW w:w="1785" w:type="dxa"/>
            <w:shd w:val="clear" w:color="auto" w:fill="FFFFFF"/>
          </w:tcPr>
          <w:p w14:paraId="72AD202F" w14:textId="6518EF64" w:rsidR="00ED474A" w:rsidRPr="006E0B6B" w:rsidRDefault="00ED474A" w:rsidP="001F1622">
            <w:pPr>
              <w:pStyle w:val="CETBodytext"/>
              <w:ind w:right="-1"/>
              <w:jc w:val="left"/>
              <w:rPr>
                <w:rFonts w:cs="Arial"/>
                <w:szCs w:val="18"/>
                <w:lang w:val="en-GB"/>
              </w:rPr>
            </w:pPr>
            <w:r>
              <w:rPr>
                <w:rFonts w:cs="Arial"/>
                <w:szCs w:val="18"/>
              </w:rPr>
              <w:t>58.7</w:t>
            </w:r>
            <w:r w:rsidRPr="006E0B6B">
              <w:rPr>
                <w:rFonts w:cs="Arial"/>
                <w:szCs w:val="18"/>
              </w:rPr>
              <w:t xml:space="preserve"> ± 0.</w:t>
            </w:r>
            <w:r>
              <w:rPr>
                <w:rFonts w:cs="Arial"/>
                <w:szCs w:val="18"/>
              </w:rPr>
              <w:t>9</w:t>
            </w:r>
          </w:p>
        </w:tc>
        <w:tc>
          <w:tcPr>
            <w:tcW w:w="1559" w:type="dxa"/>
            <w:shd w:val="clear" w:color="auto" w:fill="FFFFFF"/>
          </w:tcPr>
          <w:p w14:paraId="76B89FCF" w14:textId="31443F36" w:rsidR="00ED474A" w:rsidRPr="006E0B6B" w:rsidRDefault="00ED474A" w:rsidP="001F1622">
            <w:pPr>
              <w:pStyle w:val="CETBodytext"/>
              <w:ind w:right="-1"/>
              <w:jc w:val="left"/>
              <w:rPr>
                <w:rFonts w:cs="Arial"/>
                <w:szCs w:val="18"/>
                <w:lang w:val="en-GB"/>
              </w:rPr>
            </w:pPr>
            <w:r>
              <w:rPr>
                <w:rFonts w:cs="Arial"/>
                <w:szCs w:val="18"/>
              </w:rPr>
              <w:t>6</w:t>
            </w:r>
            <w:r w:rsidR="001D2D8C">
              <w:rPr>
                <w:rFonts w:cs="Arial"/>
                <w:szCs w:val="18"/>
              </w:rPr>
              <w:t>1</w:t>
            </w:r>
            <w:r w:rsidRPr="006E0B6B">
              <w:rPr>
                <w:rFonts w:cs="Arial"/>
                <w:szCs w:val="18"/>
              </w:rPr>
              <w:t xml:space="preserve"> ± </w:t>
            </w:r>
            <w:r w:rsidR="001D2D8C">
              <w:rPr>
                <w:rFonts w:cs="Arial"/>
                <w:szCs w:val="18"/>
              </w:rPr>
              <w:t>1</w:t>
            </w:r>
          </w:p>
        </w:tc>
      </w:tr>
      <w:tr w:rsidR="00ED474A" w:rsidRPr="00B57B36" w14:paraId="562551C9" w14:textId="77777777" w:rsidTr="001F1622">
        <w:trPr>
          <w:trHeight w:val="193"/>
        </w:trPr>
        <w:tc>
          <w:tcPr>
            <w:tcW w:w="2090" w:type="dxa"/>
            <w:shd w:val="clear" w:color="auto" w:fill="FFFFFF"/>
          </w:tcPr>
          <w:p w14:paraId="282A296D" w14:textId="77777777" w:rsidR="00ED474A" w:rsidRPr="006E0B6B" w:rsidRDefault="00ED474A" w:rsidP="001F1622">
            <w:pPr>
              <w:pStyle w:val="CETBodytext"/>
              <w:ind w:right="-1"/>
              <w:jc w:val="left"/>
              <w:rPr>
                <w:rFonts w:cs="Arial"/>
                <w:szCs w:val="18"/>
                <w:lang w:val="en-GB"/>
              </w:rPr>
            </w:pPr>
            <w:r w:rsidRPr="006E0B6B">
              <w:rPr>
                <w:rFonts w:cs="Arial"/>
                <w:szCs w:val="18"/>
              </w:rPr>
              <w:t>COD</w:t>
            </w:r>
            <w:r w:rsidRPr="006E0B6B">
              <w:rPr>
                <w:rFonts w:cs="Arial"/>
                <w:szCs w:val="18"/>
                <w:vertAlign w:val="subscript"/>
              </w:rPr>
              <w:t>VFA</w:t>
            </w:r>
          </w:p>
        </w:tc>
        <w:tc>
          <w:tcPr>
            <w:tcW w:w="1370" w:type="dxa"/>
            <w:shd w:val="clear" w:color="auto" w:fill="FFFFFF"/>
          </w:tcPr>
          <w:p w14:paraId="7483FCD5" w14:textId="77777777" w:rsidR="00ED474A" w:rsidRPr="006E0B6B" w:rsidRDefault="00ED474A" w:rsidP="001F1622">
            <w:pPr>
              <w:pStyle w:val="CETBodytext"/>
              <w:ind w:right="-1"/>
              <w:jc w:val="left"/>
              <w:rPr>
                <w:rFonts w:cs="Arial"/>
                <w:szCs w:val="18"/>
                <w:lang w:val="en-GB"/>
              </w:rPr>
            </w:pPr>
            <w:r w:rsidRPr="006E0B6B">
              <w:rPr>
                <w:rFonts w:cs="Arial"/>
                <w:szCs w:val="18"/>
              </w:rPr>
              <w:t>g</w:t>
            </w:r>
            <w:r>
              <w:rPr>
                <w:rFonts w:cs="Arial"/>
                <w:szCs w:val="18"/>
              </w:rPr>
              <w:t>/L</w:t>
            </w:r>
          </w:p>
        </w:tc>
        <w:tc>
          <w:tcPr>
            <w:tcW w:w="1785" w:type="dxa"/>
            <w:shd w:val="clear" w:color="auto" w:fill="FFFFFF"/>
          </w:tcPr>
          <w:p w14:paraId="0687671A" w14:textId="686F62F5" w:rsidR="00ED474A" w:rsidRPr="006E0B6B" w:rsidRDefault="001D2D8C" w:rsidP="001F1622">
            <w:pPr>
              <w:pStyle w:val="CETBodytext"/>
              <w:ind w:right="-1"/>
              <w:jc w:val="left"/>
              <w:rPr>
                <w:rFonts w:cs="Arial"/>
                <w:szCs w:val="18"/>
                <w:lang w:val="en-GB"/>
              </w:rPr>
            </w:pPr>
            <w:r>
              <w:rPr>
                <w:rFonts w:cs="Arial"/>
                <w:szCs w:val="18"/>
              </w:rPr>
              <w:t>8</w:t>
            </w:r>
            <w:r w:rsidR="00ED474A">
              <w:rPr>
                <w:rFonts w:cs="Arial"/>
                <w:szCs w:val="18"/>
              </w:rPr>
              <w:t xml:space="preserve">.3 </w:t>
            </w:r>
            <w:r w:rsidR="00ED474A" w:rsidRPr="006E0B6B">
              <w:rPr>
                <w:rFonts w:cs="Arial"/>
                <w:szCs w:val="18"/>
              </w:rPr>
              <w:t>± 0.</w:t>
            </w:r>
            <w:r w:rsidR="00ED474A">
              <w:rPr>
                <w:rFonts w:cs="Arial"/>
                <w:szCs w:val="18"/>
              </w:rPr>
              <w:t>2</w:t>
            </w:r>
          </w:p>
        </w:tc>
        <w:tc>
          <w:tcPr>
            <w:tcW w:w="1559" w:type="dxa"/>
            <w:shd w:val="clear" w:color="auto" w:fill="FFFFFF"/>
          </w:tcPr>
          <w:p w14:paraId="138AFD55" w14:textId="73D67878" w:rsidR="00ED474A" w:rsidRPr="006E0B6B" w:rsidRDefault="005D564B" w:rsidP="001F1622">
            <w:pPr>
              <w:pStyle w:val="CETBodytext"/>
              <w:ind w:right="-1"/>
              <w:jc w:val="left"/>
              <w:rPr>
                <w:rFonts w:cs="Arial"/>
                <w:szCs w:val="18"/>
                <w:lang w:val="en-GB"/>
              </w:rPr>
            </w:pPr>
            <w:r>
              <w:rPr>
                <w:rFonts w:cs="Arial"/>
                <w:szCs w:val="18"/>
              </w:rPr>
              <w:t>36</w:t>
            </w:r>
            <w:r w:rsidR="00ED474A" w:rsidRPr="006E0B6B">
              <w:rPr>
                <w:rFonts w:cs="Arial"/>
                <w:szCs w:val="18"/>
              </w:rPr>
              <w:t>.</w:t>
            </w:r>
            <w:r>
              <w:rPr>
                <w:rFonts w:cs="Arial"/>
                <w:szCs w:val="18"/>
              </w:rPr>
              <w:t>7</w:t>
            </w:r>
            <w:r w:rsidR="00ED474A" w:rsidRPr="006E0B6B">
              <w:rPr>
                <w:rFonts w:cs="Arial"/>
                <w:szCs w:val="18"/>
              </w:rPr>
              <w:t xml:space="preserve"> ± 0.</w:t>
            </w:r>
            <w:r>
              <w:rPr>
                <w:rFonts w:cs="Arial"/>
                <w:szCs w:val="18"/>
              </w:rPr>
              <w:t>5</w:t>
            </w:r>
          </w:p>
        </w:tc>
      </w:tr>
      <w:tr w:rsidR="005D564B" w:rsidRPr="00B57B36" w14:paraId="7DB05FD7" w14:textId="77777777" w:rsidTr="001F1622">
        <w:trPr>
          <w:trHeight w:val="228"/>
        </w:trPr>
        <w:tc>
          <w:tcPr>
            <w:tcW w:w="2090" w:type="dxa"/>
            <w:shd w:val="clear" w:color="auto" w:fill="FFFFFF"/>
          </w:tcPr>
          <w:p w14:paraId="661DBB0E" w14:textId="031F81CD" w:rsidR="005D564B" w:rsidRDefault="005D564B" w:rsidP="001F1622">
            <w:pPr>
              <w:pStyle w:val="CETBodytext"/>
              <w:ind w:right="-1"/>
              <w:jc w:val="left"/>
              <w:rPr>
                <w:rFonts w:cs="Arial"/>
                <w:szCs w:val="18"/>
              </w:rPr>
            </w:pPr>
            <w:r>
              <w:rPr>
                <w:rFonts w:cs="Arial"/>
                <w:szCs w:val="18"/>
              </w:rPr>
              <w:t>Acetic acid</w:t>
            </w:r>
          </w:p>
        </w:tc>
        <w:tc>
          <w:tcPr>
            <w:tcW w:w="1370" w:type="dxa"/>
            <w:shd w:val="clear" w:color="auto" w:fill="FFFFFF"/>
          </w:tcPr>
          <w:p w14:paraId="1D9E0196" w14:textId="45919CCD" w:rsidR="005D564B" w:rsidRDefault="005D564B" w:rsidP="001F1622">
            <w:pPr>
              <w:pStyle w:val="CETBodytext"/>
              <w:ind w:right="-1"/>
              <w:jc w:val="left"/>
              <w:rPr>
                <w:rFonts w:cs="Arial"/>
                <w:szCs w:val="18"/>
              </w:rPr>
            </w:pPr>
            <w:r>
              <w:rPr>
                <w:rFonts w:cs="Arial"/>
                <w:szCs w:val="18"/>
              </w:rPr>
              <w:t>g COD/L</w:t>
            </w:r>
          </w:p>
        </w:tc>
        <w:tc>
          <w:tcPr>
            <w:tcW w:w="1785" w:type="dxa"/>
            <w:shd w:val="clear" w:color="auto" w:fill="FFFFFF"/>
          </w:tcPr>
          <w:p w14:paraId="51AF8C2B" w14:textId="2A35C586" w:rsidR="005D564B" w:rsidRDefault="001D2D8C" w:rsidP="001F1622">
            <w:pPr>
              <w:pStyle w:val="CETBodytext"/>
              <w:ind w:right="-1"/>
              <w:jc w:val="left"/>
              <w:rPr>
                <w:rFonts w:cs="Arial"/>
                <w:szCs w:val="18"/>
              </w:rPr>
            </w:pPr>
            <w:r>
              <w:rPr>
                <w:rFonts w:cs="Arial"/>
                <w:szCs w:val="18"/>
              </w:rPr>
              <w:t>8</w:t>
            </w:r>
            <w:r w:rsidR="005D564B">
              <w:rPr>
                <w:rFonts w:cs="Arial"/>
                <w:szCs w:val="18"/>
              </w:rPr>
              <w:t xml:space="preserve">.3 </w:t>
            </w:r>
            <w:r w:rsidR="005D564B" w:rsidRPr="006E0B6B">
              <w:rPr>
                <w:rFonts w:cs="Arial"/>
                <w:szCs w:val="18"/>
              </w:rPr>
              <w:t>± 0.</w:t>
            </w:r>
            <w:r w:rsidR="005D564B">
              <w:rPr>
                <w:rFonts w:cs="Arial"/>
                <w:szCs w:val="18"/>
              </w:rPr>
              <w:t>2</w:t>
            </w:r>
          </w:p>
        </w:tc>
        <w:tc>
          <w:tcPr>
            <w:tcW w:w="1559" w:type="dxa"/>
            <w:shd w:val="clear" w:color="auto" w:fill="FFFFFF"/>
          </w:tcPr>
          <w:p w14:paraId="56A11BB2" w14:textId="3DFD7899" w:rsidR="005D564B" w:rsidRDefault="005D564B" w:rsidP="001F1622">
            <w:pPr>
              <w:pStyle w:val="CETBodytext"/>
              <w:ind w:right="-1"/>
              <w:jc w:val="left"/>
              <w:rPr>
                <w:rFonts w:cs="Arial"/>
                <w:szCs w:val="18"/>
              </w:rPr>
            </w:pPr>
            <w:r>
              <w:rPr>
                <w:rFonts w:cs="Arial"/>
                <w:szCs w:val="18"/>
              </w:rPr>
              <w:t xml:space="preserve">23.6 </w:t>
            </w:r>
            <w:r w:rsidRPr="006E0B6B">
              <w:rPr>
                <w:rFonts w:cs="Arial"/>
                <w:szCs w:val="18"/>
              </w:rPr>
              <w:t>± 0.</w:t>
            </w:r>
            <w:r>
              <w:rPr>
                <w:rFonts w:cs="Arial"/>
                <w:szCs w:val="18"/>
              </w:rPr>
              <w:t>4</w:t>
            </w:r>
          </w:p>
        </w:tc>
      </w:tr>
      <w:tr w:rsidR="005D564B" w:rsidRPr="00B57B36" w14:paraId="0C7D3449" w14:textId="77777777" w:rsidTr="001F1622">
        <w:trPr>
          <w:trHeight w:val="228"/>
        </w:trPr>
        <w:tc>
          <w:tcPr>
            <w:tcW w:w="2090" w:type="dxa"/>
            <w:shd w:val="clear" w:color="auto" w:fill="FFFFFF"/>
          </w:tcPr>
          <w:p w14:paraId="7259B5AF" w14:textId="42956052" w:rsidR="005D564B" w:rsidRDefault="005D564B" w:rsidP="001F1622">
            <w:pPr>
              <w:pStyle w:val="CETBodytext"/>
              <w:ind w:right="-1"/>
              <w:jc w:val="left"/>
              <w:rPr>
                <w:rFonts w:cs="Arial"/>
                <w:szCs w:val="18"/>
              </w:rPr>
            </w:pPr>
            <w:r>
              <w:rPr>
                <w:rFonts w:cs="Arial"/>
                <w:szCs w:val="18"/>
              </w:rPr>
              <w:t>Propionic acid</w:t>
            </w:r>
          </w:p>
        </w:tc>
        <w:tc>
          <w:tcPr>
            <w:tcW w:w="1370" w:type="dxa"/>
            <w:shd w:val="clear" w:color="auto" w:fill="FFFFFF"/>
          </w:tcPr>
          <w:p w14:paraId="769C0111" w14:textId="7E393085" w:rsidR="005D564B" w:rsidRDefault="005D564B" w:rsidP="001F1622">
            <w:pPr>
              <w:pStyle w:val="CETBodytext"/>
              <w:ind w:right="-1"/>
              <w:jc w:val="left"/>
              <w:rPr>
                <w:rFonts w:cs="Arial"/>
                <w:szCs w:val="18"/>
              </w:rPr>
            </w:pPr>
            <w:r>
              <w:rPr>
                <w:rFonts w:cs="Arial"/>
                <w:szCs w:val="18"/>
              </w:rPr>
              <w:t>g COD/L</w:t>
            </w:r>
          </w:p>
        </w:tc>
        <w:tc>
          <w:tcPr>
            <w:tcW w:w="1785" w:type="dxa"/>
            <w:shd w:val="clear" w:color="auto" w:fill="FFFFFF"/>
          </w:tcPr>
          <w:p w14:paraId="59E1EB2D" w14:textId="5146980B" w:rsidR="005D564B" w:rsidRDefault="005D564B" w:rsidP="001F1622">
            <w:pPr>
              <w:pStyle w:val="CETBodytext"/>
              <w:ind w:right="-1"/>
              <w:jc w:val="left"/>
              <w:rPr>
                <w:rFonts w:cs="Arial"/>
                <w:szCs w:val="18"/>
              </w:rPr>
            </w:pPr>
            <w:r>
              <w:rPr>
                <w:rFonts w:cs="Arial"/>
                <w:szCs w:val="18"/>
              </w:rPr>
              <w:t>-</w:t>
            </w:r>
          </w:p>
        </w:tc>
        <w:tc>
          <w:tcPr>
            <w:tcW w:w="1559" w:type="dxa"/>
            <w:shd w:val="clear" w:color="auto" w:fill="FFFFFF"/>
          </w:tcPr>
          <w:p w14:paraId="4B07FCE2" w14:textId="1C3703AE" w:rsidR="005D564B" w:rsidRDefault="005D564B" w:rsidP="001F1622">
            <w:pPr>
              <w:pStyle w:val="CETBodytext"/>
              <w:ind w:right="-1"/>
              <w:jc w:val="left"/>
              <w:rPr>
                <w:rFonts w:cs="Arial"/>
                <w:szCs w:val="18"/>
              </w:rPr>
            </w:pPr>
            <w:r>
              <w:rPr>
                <w:rFonts w:cs="Arial"/>
                <w:szCs w:val="18"/>
              </w:rPr>
              <w:t xml:space="preserve">3.2 </w:t>
            </w:r>
            <w:r w:rsidRPr="006E0B6B">
              <w:rPr>
                <w:rFonts w:cs="Arial"/>
                <w:szCs w:val="18"/>
              </w:rPr>
              <w:t>± 0.</w:t>
            </w:r>
            <w:r>
              <w:rPr>
                <w:rFonts w:cs="Arial"/>
                <w:szCs w:val="18"/>
              </w:rPr>
              <w:t>7</w:t>
            </w:r>
          </w:p>
        </w:tc>
      </w:tr>
      <w:tr w:rsidR="005D564B" w:rsidRPr="00B57B36" w14:paraId="35202A60" w14:textId="77777777" w:rsidTr="001F1622">
        <w:trPr>
          <w:trHeight w:val="228"/>
        </w:trPr>
        <w:tc>
          <w:tcPr>
            <w:tcW w:w="2090" w:type="dxa"/>
            <w:shd w:val="clear" w:color="auto" w:fill="FFFFFF"/>
          </w:tcPr>
          <w:p w14:paraId="6EAAC061" w14:textId="18726F2A" w:rsidR="005D564B" w:rsidRDefault="005D564B" w:rsidP="001F1622">
            <w:pPr>
              <w:pStyle w:val="CETBodytext"/>
              <w:ind w:right="-1"/>
              <w:jc w:val="left"/>
              <w:rPr>
                <w:rFonts w:cs="Arial"/>
                <w:szCs w:val="18"/>
              </w:rPr>
            </w:pPr>
            <w:r>
              <w:rPr>
                <w:rFonts w:cs="Arial"/>
                <w:szCs w:val="18"/>
              </w:rPr>
              <w:t>Butyric acid</w:t>
            </w:r>
          </w:p>
        </w:tc>
        <w:tc>
          <w:tcPr>
            <w:tcW w:w="1370" w:type="dxa"/>
            <w:shd w:val="clear" w:color="auto" w:fill="FFFFFF"/>
          </w:tcPr>
          <w:p w14:paraId="27A32B06" w14:textId="73076C87" w:rsidR="005D564B" w:rsidRDefault="005D564B" w:rsidP="001F1622">
            <w:pPr>
              <w:pStyle w:val="CETBodytext"/>
              <w:ind w:right="-1"/>
              <w:jc w:val="left"/>
              <w:rPr>
                <w:rFonts w:cs="Arial"/>
                <w:szCs w:val="18"/>
              </w:rPr>
            </w:pPr>
            <w:r>
              <w:rPr>
                <w:rFonts w:cs="Arial"/>
                <w:szCs w:val="18"/>
              </w:rPr>
              <w:t>g COD/L</w:t>
            </w:r>
          </w:p>
        </w:tc>
        <w:tc>
          <w:tcPr>
            <w:tcW w:w="1785" w:type="dxa"/>
            <w:shd w:val="clear" w:color="auto" w:fill="FFFFFF"/>
          </w:tcPr>
          <w:p w14:paraId="39B63A4E" w14:textId="1C43BBBC" w:rsidR="005D564B" w:rsidRDefault="005D564B" w:rsidP="001F1622">
            <w:pPr>
              <w:pStyle w:val="CETBodytext"/>
              <w:ind w:right="-1"/>
              <w:jc w:val="left"/>
              <w:rPr>
                <w:rFonts w:cs="Arial"/>
                <w:szCs w:val="18"/>
              </w:rPr>
            </w:pPr>
            <w:r>
              <w:rPr>
                <w:rFonts w:cs="Arial"/>
                <w:szCs w:val="18"/>
              </w:rPr>
              <w:t>-</w:t>
            </w:r>
          </w:p>
        </w:tc>
        <w:tc>
          <w:tcPr>
            <w:tcW w:w="1559" w:type="dxa"/>
            <w:shd w:val="clear" w:color="auto" w:fill="FFFFFF"/>
          </w:tcPr>
          <w:p w14:paraId="1EE793DC" w14:textId="51C28154" w:rsidR="005D564B" w:rsidRDefault="005D564B" w:rsidP="001F1622">
            <w:pPr>
              <w:pStyle w:val="CETBodytext"/>
              <w:ind w:right="-1"/>
              <w:jc w:val="left"/>
              <w:rPr>
                <w:rFonts w:cs="Arial"/>
                <w:szCs w:val="18"/>
              </w:rPr>
            </w:pPr>
            <w:r>
              <w:rPr>
                <w:rFonts w:cs="Arial"/>
                <w:szCs w:val="18"/>
              </w:rPr>
              <w:t xml:space="preserve">10.7 </w:t>
            </w:r>
            <w:r w:rsidRPr="006E0B6B">
              <w:rPr>
                <w:rFonts w:cs="Arial"/>
                <w:szCs w:val="18"/>
              </w:rPr>
              <w:t>± 0.</w:t>
            </w:r>
            <w:r>
              <w:rPr>
                <w:rFonts w:cs="Arial"/>
                <w:szCs w:val="18"/>
              </w:rPr>
              <w:t>3</w:t>
            </w:r>
          </w:p>
        </w:tc>
      </w:tr>
      <w:tr w:rsidR="00ED474A" w:rsidRPr="00B57B36" w14:paraId="7EDEB289" w14:textId="77777777" w:rsidTr="001F1622">
        <w:trPr>
          <w:trHeight w:val="228"/>
        </w:trPr>
        <w:tc>
          <w:tcPr>
            <w:tcW w:w="2090" w:type="dxa"/>
            <w:shd w:val="clear" w:color="auto" w:fill="FFFFFF"/>
          </w:tcPr>
          <w:p w14:paraId="73F2E172" w14:textId="14B28836" w:rsidR="00ED474A" w:rsidRPr="006E0B6B" w:rsidRDefault="00ED474A" w:rsidP="001F1622">
            <w:pPr>
              <w:pStyle w:val="CETBodytext"/>
              <w:ind w:right="-1"/>
              <w:jc w:val="left"/>
              <w:rPr>
                <w:rFonts w:cs="Arial"/>
                <w:szCs w:val="18"/>
              </w:rPr>
            </w:pPr>
            <w:r>
              <w:rPr>
                <w:rFonts w:cs="Arial"/>
                <w:szCs w:val="18"/>
              </w:rPr>
              <w:t>Ethanol</w:t>
            </w:r>
          </w:p>
        </w:tc>
        <w:tc>
          <w:tcPr>
            <w:tcW w:w="1370" w:type="dxa"/>
            <w:shd w:val="clear" w:color="auto" w:fill="FFFFFF"/>
          </w:tcPr>
          <w:p w14:paraId="47BFC6C7" w14:textId="3D69C5A3" w:rsidR="00ED474A" w:rsidRPr="006E0B6B" w:rsidRDefault="00ED474A" w:rsidP="001F1622">
            <w:pPr>
              <w:pStyle w:val="CETBodytext"/>
              <w:ind w:right="-1"/>
              <w:jc w:val="left"/>
              <w:rPr>
                <w:rFonts w:cs="Arial"/>
                <w:szCs w:val="18"/>
              </w:rPr>
            </w:pPr>
            <w:r>
              <w:rPr>
                <w:rFonts w:cs="Arial"/>
                <w:szCs w:val="18"/>
              </w:rPr>
              <w:t>g COD/L</w:t>
            </w:r>
          </w:p>
        </w:tc>
        <w:tc>
          <w:tcPr>
            <w:tcW w:w="1785" w:type="dxa"/>
            <w:shd w:val="clear" w:color="auto" w:fill="FFFFFF"/>
          </w:tcPr>
          <w:p w14:paraId="23399D95" w14:textId="6A602279" w:rsidR="00ED474A" w:rsidRDefault="00ED474A" w:rsidP="001F1622">
            <w:pPr>
              <w:pStyle w:val="CETBodytext"/>
              <w:ind w:right="-1"/>
              <w:jc w:val="left"/>
              <w:rPr>
                <w:rFonts w:cs="Arial"/>
                <w:szCs w:val="18"/>
              </w:rPr>
            </w:pPr>
            <w:r>
              <w:rPr>
                <w:rFonts w:cs="Arial"/>
                <w:szCs w:val="18"/>
              </w:rPr>
              <w:t xml:space="preserve">19.6 </w:t>
            </w:r>
            <w:r w:rsidRPr="006E0B6B">
              <w:rPr>
                <w:rFonts w:cs="Arial"/>
                <w:szCs w:val="18"/>
              </w:rPr>
              <w:t>± 0.</w:t>
            </w:r>
            <w:r>
              <w:rPr>
                <w:rFonts w:cs="Arial"/>
                <w:szCs w:val="18"/>
              </w:rPr>
              <w:t>4</w:t>
            </w:r>
          </w:p>
        </w:tc>
        <w:tc>
          <w:tcPr>
            <w:tcW w:w="1559" w:type="dxa"/>
            <w:shd w:val="clear" w:color="auto" w:fill="FFFFFF"/>
          </w:tcPr>
          <w:p w14:paraId="745F1612" w14:textId="595C1628" w:rsidR="00ED474A" w:rsidRDefault="005D564B" w:rsidP="001F1622">
            <w:pPr>
              <w:pStyle w:val="CETBodytext"/>
              <w:ind w:right="-1"/>
              <w:jc w:val="left"/>
              <w:rPr>
                <w:rFonts w:cs="Arial"/>
                <w:szCs w:val="18"/>
              </w:rPr>
            </w:pPr>
            <w:r>
              <w:rPr>
                <w:rFonts w:cs="Arial"/>
                <w:szCs w:val="18"/>
              </w:rPr>
              <w:t xml:space="preserve">2.2 </w:t>
            </w:r>
            <w:r w:rsidRPr="006E0B6B">
              <w:rPr>
                <w:rFonts w:cs="Arial"/>
                <w:szCs w:val="18"/>
              </w:rPr>
              <w:t>± 0.</w:t>
            </w:r>
            <w:r>
              <w:rPr>
                <w:rFonts w:cs="Arial"/>
                <w:szCs w:val="18"/>
              </w:rPr>
              <w:t>1</w:t>
            </w:r>
          </w:p>
        </w:tc>
      </w:tr>
      <w:tr w:rsidR="00ED474A" w:rsidRPr="00B57B36" w14:paraId="5212FC92" w14:textId="77777777" w:rsidTr="001F1622">
        <w:trPr>
          <w:trHeight w:val="228"/>
        </w:trPr>
        <w:tc>
          <w:tcPr>
            <w:tcW w:w="2090" w:type="dxa"/>
            <w:shd w:val="clear" w:color="auto" w:fill="FFFFFF"/>
          </w:tcPr>
          <w:p w14:paraId="70BF76CA" w14:textId="77777777" w:rsidR="00ED474A" w:rsidRPr="006E0B6B" w:rsidRDefault="00ED474A" w:rsidP="001F1622">
            <w:pPr>
              <w:pStyle w:val="CETBodytext"/>
              <w:ind w:right="-1"/>
              <w:jc w:val="left"/>
              <w:rPr>
                <w:rFonts w:cs="Arial"/>
                <w:szCs w:val="18"/>
                <w:lang w:val="en-GB"/>
              </w:rPr>
            </w:pPr>
            <w:r w:rsidRPr="006E0B6B">
              <w:rPr>
                <w:rFonts w:cs="Arial"/>
                <w:szCs w:val="18"/>
              </w:rPr>
              <w:t>pH</w:t>
            </w:r>
          </w:p>
        </w:tc>
        <w:tc>
          <w:tcPr>
            <w:tcW w:w="1370" w:type="dxa"/>
            <w:shd w:val="clear" w:color="auto" w:fill="FFFFFF"/>
          </w:tcPr>
          <w:p w14:paraId="7C3D1D5D" w14:textId="77777777" w:rsidR="00ED474A" w:rsidRPr="006E0B6B" w:rsidRDefault="00ED474A" w:rsidP="001F1622">
            <w:pPr>
              <w:pStyle w:val="CETBodytext"/>
              <w:ind w:right="-1"/>
              <w:jc w:val="left"/>
              <w:rPr>
                <w:rFonts w:cs="Arial"/>
                <w:szCs w:val="18"/>
                <w:lang w:val="en-GB"/>
              </w:rPr>
            </w:pPr>
            <w:r w:rsidRPr="006E0B6B">
              <w:rPr>
                <w:rFonts w:cs="Arial"/>
                <w:szCs w:val="18"/>
              </w:rPr>
              <w:t>-</w:t>
            </w:r>
          </w:p>
        </w:tc>
        <w:tc>
          <w:tcPr>
            <w:tcW w:w="1785" w:type="dxa"/>
            <w:shd w:val="clear" w:color="auto" w:fill="FFFFFF"/>
          </w:tcPr>
          <w:p w14:paraId="4F9C6DE6" w14:textId="5D6E17FB" w:rsidR="00ED474A" w:rsidRPr="006E0B6B" w:rsidRDefault="00ED474A" w:rsidP="001F1622">
            <w:pPr>
              <w:pStyle w:val="CETBodytext"/>
              <w:ind w:right="-1"/>
              <w:jc w:val="left"/>
              <w:rPr>
                <w:rFonts w:cs="Arial"/>
                <w:szCs w:val="18"/>
                <w:lang w:val="en-GB"/>
              </w:rPr>
            </w:pPr>
            <w:r>
              <w:rPr>
                <w:rFonts w:cs="Arial"/>
                <w:szCs w:val="18"/>
              </w:rPr>
              <w:t>6</w:t>
            </w:r>
            <w:r w:rsidRPr="006E0B6B">
              <w:rPr>
                <w:rFonts w:cs="Arial"/>
                <w:szCs w:val="18"/>
              </w:rPr>
              <w:t>.</w:t>
            </w:r>
            <w:r>
              <w:rPr>
                <w:rFonts w:cs="Arial"/>
                <w:szCs w:val="18"/>
              </w:rPr>
              <w:t>4</w:t>
            </w:r>
            <w:r w:rsidRPr="006E0B6B">
              <w:rPr>
                <w:rFonts w:cs="Arial"/>
                <w:szCs w:val="18"/>
              </w:rPr>
              <w:t xml:space="preserve"> ± </w:t>
            </w:r>
            <w:r>
              <w:rPr>
                <w:rFonts w:cs="Arial"/>
                <w:szCs w:val="18"/>
              </w:rPr>
              <w:t>0</w:t>
            </w:r>
            <w:r w:rsidRPr="006E0B6B">
              <w:rPr>
                <w:rFonts w:cs="Arial"/>
                <w:szCs w:val="18"/>
              </w:rPr>
              <w:t>.</w:t>
            </w:r>
            <w:r>
              <w:rPr>
                <w:rFonts w:cs="Arial"/>
                <w:szCs w:val="18"/>
              </w:rPr>
              <w:t>3</w:t>
            </w:r>
          </w:p>
        </w:tc>
        <w:tc>
          <w:tcPr>
            <w:tcW w:w="1559" w:type="dxa"/>
            <w:shd w:val="clear" w:color="auto" w:fill="FFFFFF"/>
          </w:tcPr>
          <w:p w14:paraId="3F30E6CC" w14:textId="276F32F8" w:rsidR="00ED474A" w:rsidRPr="006E0B6B" w:rsidRDefault="005D564B" w:rsidP="001F1622">
            <w:pPr>
              <w:pStyle w:val="CETBodytext"/>
              <w:ind w:right="-1"/>
              <w:jc w:val="left"/>
              <w:rPr>
                <w:rFonts w:cs="Arial"/>
                <w:szCs w:val="18"/>
                <w:lang w:val="en-GB"/>
              </w:rPr>
            </w:pPr>
            <w:r>
              <w:rPr>
                <w:rFonts w:cs="Arial"/>
                <w:szCs w:val="18"/>
              </w:rPr>
              <w:t>6</w:t>
            </w:r>
            <w:r w:rsidR="00ED474A" w:rsidRPr="006E0B6B">
              <w:rPr>
                <w:rFonts w:cs="Arial"/>
                <w:szCs w:val="18"/>
              </w:rPr>
              <w:t>.</w:t>
            </w:r>
            <w:r>
              <w:rPr>
                <w:rFonts w:cs="Arial"/>
                <w:szCs w:val="18"/>
              </w:rPr>
              <w:t>0</w:t>
            </w:r>
            <w:r w:rsidR="00ED474A" w:rsidRPr="006E0B6B">
              <w:rPr>
                <w:rFonts w:cs="Arial"/>
                <w:szCs w:val="18"/>
              </w:rPr>
              <w:t xml:space="preserve"> ± 0.</w:t>
            </w:r>
            <w:r>
              <w:rPr>
                <w:rFonts w:cs="Arial"/>
                <w:szCs w:val="18"/>
              </w:rPr>
              <w:t>2</w:t>
            </w:r>
          </w:p>
        </w:tc>
      </w:tr>
      <w:tr w:rsidR="00ED474A" w:rsidRPr="00B57B36" w14:paraId="44A0F4B2" w14:textId="77777777" w:rsidTr="001F1622">
        <w:trPr>
          <w:trHeight w:val="215"/>
        </w:trPr>
        <w:tc>
          <w:tcPr>
            <w:tcW w:w="2090" w:type="dxa"/>
            <w:shd w:val="clear" w:color="auto" w:fill="FFFFFF"/>
          </w:tcPr>
          <w:p w14:paraId="3D704C6C" w14:textId="77777777" w:rsidR="00ED474A" w:rsidRPr="006E0B6B" w:rsidRDefault="00ED474A" w:rsidP="001F1622">
            <w:pPr>
              <w:pStyle w:val="CETBodytext"/>
              <w:ind w:right="-1"/>
              <w:jc w:val="left"/>
              <w:rPr>
                <w:rFonts w:cs="Arial"/>
                <w:szCs w:val="18"/>
                <w:lang w:val="en-GB"/>
              </w:rPr>
            </w:pPr>
            <w:r>
              <w:rPr>
                <w:rFonts w:cs="Arial"/>
                <w:szCs w:val="18"/>
              </w:rPr>
              <w:t>Ammonia</w:t>
            </w:r>
          </w:p>
        </w:tc>
        <w:tc>
          <w:tcPr>
            <w:tcW w:w="1370" w:type="dxa"/>
            <w:shd w:val="clear" w:color="auto" w:fill="FFFFFF"/>
          </w:tcPr>
          <w:p w14:paraId="1830ADD8" w14:textId="77777777" w:rsidR="00ED474A" w:rsidRPr="006E0B6B" w:rsidRDefault="00ED474A" w:rsidP="001F1622">
            <w:pPr>
              <w:pStyle w:val="CETBodytext"/>
              <w:ind w:right="-1"/>
              <w:jc w:val="left"/>
              <w:rPr>
                <w:rFonts w:cs="Arial"/>
                <w:szCs w:val="18"/>
                <w:lang w:val="en-GB"/>
              </w:rPr>
            </w:pPr>
            <w:r w:rsidRPr="006E0B6B">
              <w:rPr>
                <w:rFonts w:cs="Arial"/>
                <w:szCs w:val="18"/>
              </w:rPr>
              <w:t xml:space="preserve">g </w:t>
            </w:r>
            <w:r>
              <w:rPr>
                <w:rFonts w:cs="Arial"/>
                <w:szCs w:val="18"/>
              </w:rPr>
              <w:t>N-NH</w:t>
            </w:r>
            <w:r w:rsidRPr="00641790">
              <w:rPr>
                <w:rFonts w:cs="Arial"/>
                <w:szCs w:val="18"/>
                <w:vertAlign w:val="subscript"/>
              </w:rPr>
              <w:t>4</w:t>
            </w:r>
            <w:r w:rsidRPr="00641790">
              <w:rPr>
                <w:rFonts w:cs="Arial"/>
                <w:szCs w:val="18"/>
                <w:vertAlign w:val="superscript"/>
              </w:rPr>
              <w:t>+</w:t>
            </w:r>
            <w:r>
              <w:rPr>
                <w:rFonts w:cs="Arial"/>
                <w:szCs w:val="18"/>
              </w:rPr>
              <w:t>/</w:t>
            </w:r>
            <w:r w:rsidRPr="006E0B6B">
              <w:rPr>
                <w:rFonts w:cs="Arial"/>
                <w:szCs w:val="18"/>
              </w:rPr>
              <w:t>L</w:t>
            </w:r>
          </w:p>
        </w:tc>
        <w:tc>
          <w:tcPr>
            <w:tcW w:w="1785" w:type="dxa"/>
            <w:shd w:val="clear" w:color="auto" w:fill="FFFFFF"/>
          </w:tcPr>
          <w:p w14:paraId="1E89EC72" w14:textId="0849D66D" w:rsidR="00ED474A" w:rsidRPr="006E0B6B" w:rsidRDefault="00ED474A" w:rsidP="001F1622">
            <w:pPr>
              <w:pStyle w:val="CETBodytext"/>
              <w:ind w:right="-1"/>
              <w:jc w:val="left"/>
              <w:rPr>
                <w:rFonts w:cs="Arial"/>
                <w:szCs w:val="18"/>
                <w:lang w:val="en-GB"/>
              </w:rPr>
            </w:pPr>
            <w:r w:rsidRPr="006E0B6B">
              <w:rPr>
                <w:rFonts w:cs="Arial"/>
                <w:szCs w:val="18"/>
              </w:rPr>
              <w:t>0.</w:t>
            </w:r>
            <w:r w:rsidR="005D564B">
              <w:rPr>
                <w:rFonts w:cs="Arial"/>
                <w:szCs w:val="18"/>
              </w:rPr>
              <w:t>21</w:t>
            </w:r>
            <w:r w:rsidRPr="006E0B6B">
              <w:rPr>
                <w:rFonts w:cs="Arial"/>
                <w:szCs w:val="18"/>
              </w:rPr>
              <w:t xml:space="preserve"> ± 0.0</w:t>
            </w:r>
            <w:r>
              <w:rPr>
                <w:rFonts w:cs="Arial"/>
                <w:szCs w:val="18"/>
              </w:rPr>
              <w:t>6</w:t>
            </w:r>
          </w:p>
        </w:tc>
        <w:tc>
          <w:tcPr>
            <w:tcW w:w="1559" w:type="dxa"/>
            <w:shd w:val="clear" w:color="auto" w:fill="FFFFFF"/>
          </w:tcPr>
          <w:p w14:paraId="2C409500" w14:textId="77650A67" w:rsidR="00ED474A" w:rsidRPr="006E0B6B" w:rsidRDefault="00ED474A" w:rsidP="001F1622">
            <w:pPr>
              <w:pStyle w:val="CETBodytext"/>
              <w:ind w:right="-1"/>
              <w:jc w:val="left"/>
              <w:rPr>
                <w:rFonts w:cs="Arial"/>
                <w:szCs w:val="18"/>
                <w:lang w:val="en-GB"/>
              </w:rPr>
            </w:pPr>
            <w:r w:rsidRPr="006E0B6B">
              <w:rPr>
                <w:rFonts w:cs="Arial"/>
                <w:szCs w:val="18"/>
              </w:rPr>
              <w:t>0.</w:t>
            </w:r>
            <w:r w:rsidR="005D564B">
              <w:rPr>
                <w:rFonts w:cs="Arial"/>
                <w:szCs w:val="18"/>
              </w:rPr>
              <w:t>44</w:t>
            </w:r>
            <w:r w:rsidRPr="006E0B6B">
              <w:rPr>
                <w:rFonts w:cs="Arial"/>
                <w:szCs w:val="18"/>
              </w:rPr>
              <w:t xml:space="preserve"> ± 0.0</w:t>
            </w:r>
            <w:r>
              <w:rPr>
                <w:rFonts w:cs="Arial"/>
                <w:szCs w:val="18"/>
              </w:rPr>
              <w:t>2</w:t>
            </w:r>
          </w:p>
        </w:tc>
      </w:tr>
      <w:tr w:rsidR="00ED474A" w:rsidRPr="00B57B36" w14:paraId="71410D9C" w14:textId="77777777" w:rsidTr="001F1622">
        <w:trPr>
          <w:trHeight w:val="215"/>
        </w:trPr>
        <w:tc>
          <w:tcPr>
            <w:tcW w:w="2090" w:type="dxa"/>
            <w:shd w:val="clear" w:color="auto" w:fill="FFFFFF"/>
          </w:tcPr>
          <w:p w14:paraId="6DD82661" w14:textId="77777777" w:rsidR="00ED474A" w:rsidRPr="006E0B6B" w:rsidRDefault="00ED474A" w:rsidP="001F1622">
            <w:pPr>
              <w:pStyle w:val="CETBodytext"/>
              <w:ind w:right="-1"/>
              <w:jc w:val="left"/>
              <w:rPr>
                <w:rFonts w:cs="Arial"/>
                <w:szCs w:val="18"/>
                <w:lang w:val="en-GB"/>
              </w:rPr>
            </w:pPr>
            <w:r>
              <w:rPr>
                <w:rFonts w:cs="Arial"/>
                <w:szCs w:val="18"/>
              </w:rPr>
              <w:t>Phosphate</w:t>
            </w:r>
          </w:p>
        </w:tc>
        <w:tc>
          <w:tcPr>
            <w:tcW w:w="1370" w:type="dxa"/>
            <w:shd w:val="clear" w:color="auto" w:fill="FFFFFF"/>
          </w:tcPr>
          <w:p w14:paraId="18454FA7" w14:textId="77777777" w:rsidR="00ED474A" w:rsidRPr="006E0B6B" w:rsidRDefault="00ED474A" w:rsidP="001F1622">
            <w:pPr>
              <w:pStyle w:val="CETBodytext"/>
              <w:ind w:right="-1"/>
              <w:jc w:val="left"/>
              <w:rPr>
                <w:rFonts w:cs="Arial"/>
                <w:szCs w:val="18"/>
                <w:lang w:val="en-GB"/>
              </w:rPr>
            </w:pPr>
            <w:r w:rsidRPr="006E0B6B">
              <w:rPr>
                <w:rFonts w:cs="Arial"/>
                <w:szCs w:val="18"/>
              </w:rPr>
              <w:t xml:space="preserve">g </w:t>
            </w:r>
            <w:r>
              <w:rPr>
                <w:rFonts w:cs="Arial"/>
                <w:szCs w:val="18"/>
              </w:rPr>
              <w:t>P-PO</w:t>
            </w:r>
            <w:r w:rsidRPr="00641790">
              <w:rPr>
                <w:rFonts w:cs="Arial"/>
                <w:szCs w:val="18"/>
                <w:vertAlign w:val="subscript"/>
              </w:rPr>
              <w:t>4</w:t>
            </w:r>
            <w:r>
              <w:rPr>
                <w:rFonts w:cs="Arial"/>
                <w:szCs w:val="18"/>
                <w:vertAlign w:val="superscript"/>
              </w:rPr>
              <w:t>3-</w:t>
            </w:r>
            <w:r>
              <w:rPr>
                <w:rFonts w:cs="Arial"/>
                <w:szCs w:val="18"/>
              </w:rPr>
              <w:t>/</w:t>
            </w:r>
            <w:r w:rsidRPr="006E0B6B">
              <w:rPr>
                <w:rFonts w:cs="Arial"/>
                <w:szCs w:val="18"/>
              </w:rPr>
              <w:t>L</w:t>
            </w:r>
          </w:p>
        </w:tc>
        <w:tc>
          <w:tcPr>
            <w:tcW w:w="1785" w:type="dxa"/>
            <w:shd w:val="clear" w:color="auto" w:fill="FFFFFF"/>
          </w:tcPr>
          <w:p w14:paraId="360D6940" w14:textId="21A5FA46" w:rsidR="00ED474A" w:rsidRPr="006E0B6B" w:rsidRDefault="00ED474A" w:rsidP="001F1622">
            <w:pPr>
              <w:pStyle w:val="CETBodytext"/>
              <w:ind w:right="-1"/>
              <w:jc w:val="left"/>
              <w:rPr>
                <w:rFonts w:cs="Arial"/>
                <w:szCs w:val="18"/>
                <w:lang w:val="en-GB"/>
              </w:rPr>
            </w:pPr>
            <w:r w:rsidRPr="006E0B6B">
              <w:rPr>
                <w:rFonts w:cs="Arial"/>
                <w:szCs w:val="18"/>
              </w:rPr>
              <w:t>0.</w:t>
            </w:r>
            <w:r w:rsidR="005D564B">
              <w:rPr>
                <w:rFonts w:cs="Arial"/>
                <w:szCs w:val="18"/>
              </w:rPr>
              <w:t>35</w:t>
            </w:r>
            <w:r w:rsidRPr="006E0B6B">
              <w:rPr>
                <w:rFonts w:cs="Arial"/>
                <w:szCs w:val="18"/>
              </w:rPr>
              <w:t xml:space="preserve"> ± 0.0</w:t>
            </w:r>
            <w:r>
              <w:rPr>
                <w:rFonts w:cs="Arial"/>
                <w:szCs w:val="18"/>
              </w:rPr>
              <w:t>2</w:t>
            </w:r>
          </w:p>
        </w:tc>
        <w:tc>
          <w:tcPr>
            <w:tcW w:w="1559" w:type="dxa"/>
            <w:shd w:val="clear" w:color="auto" w:fill="FFFFFF"/>
          </w:tcPr>
          <w:p w14:paraId="3B8B7CD7" w14:textId="6F5A4B9D" w:rsidR="00ED474A" w:rsidRPr="006E0B6B" w:rsidRDefault="00ED474A" w:rsidP="001F1622">
            <w:pPr>
              <w:pStyle w:val="CETBodytext"/>
              <w:ind w:right="-1"/>
              <w:jc w:val="left"/>
              <w:rPr>
                <w:rFonts w:cs="Arial"/>
                <w:szCs w:val="18"/>
                <w:lang w:val="en-GB"/>
              </w:rPr>
            </w:pPr>
            <w:r w:rsidRPr="006E0B6B">
              <w:rPr>
                <w:rFonts w:cs="Arial"/>
                <w:szCs w:val="18"/>
              </w:rPr>
              <w:t>0.</w:t>
            </w:r>
            <w:r w:rsidR="005D564B">
              <w:rPr>
                <w:rFonts w:cs="Arial"/>
                <w:szCs w:val="18"/>
              </w:rPr>
              <w:t>39</w:t>
            </w:r>
            <w:r w:rsidRPr="006E0B6B">
              <w:rPr>
                <w:rFonts w:cs="Arial"/>
                <w:szCs w:val="18"/>
              </w:rPr>
              <w:t xml:space="preserve"> ± 0.0</w:t>
            </w:r>
            <w:r>
              <w:rPr>
                <w:rFonts w:cs="Arial"/>
                <w:szCs w:val="18"/>
              </w:rPr>
              <w:t>1</w:t>
            </w:r>
          </w:p>
        </w:tc>
      </w:tr>
    </w:tbl>
    <w:p w14:paraId="4AD43E2A" w14:textId="648FEF73" w:rsidR="00ED474A" w:rsidRDefault="00ED474A" w:rsidP="00ED474A">
      <w:pPr>
        <w:pStyle w:val="CETBodytext"/>
        <w:rPr>
          <w:lang w:val="en-GB"/>
        </w:rPr>
      </w:pPr>
      <w:r>
        <w:rPr>
          <w:lang w:val="en-GB"/>
        </w:rPr>
        <w:t>*after centrifugation</w:t>
      </w:r>
      <w:r w:rsidR="001C4EB7">
        <w:rPr>
          <w:lang w:val="en-GB"/>
        </w:rPr>
        <w:t xml:space="preserve"> of fermented WL</w:t>
      </w:r>
    </w:p>
    <w:p w14:paraId="327F574E" w14:textId="77777777" w:rsidR="00ED474A" w:rsidRDefault="00ED474A" w:rsidP="005A3D1F">
      <w:pPr>
        <w:pStyle w:val="CETBodytext"/>
        <w:rPr>
          <w:lang w:val="en-GB"/>
        </w:rPr>
      </w:pPr>
    </w:p>
    <w:p w14:paraId="2D3E4175" w14:textId="6315A2AF" w:rsidR="007B611F" w:rsidRPr="00E679DD" w:rsidRDefault="007361EC" w:rsidP="007B611F">
      <w:pPr>
        <w:pStyle w:val="CETBodytext"/>
        <w:rPr>
          <w:lang w:val="en-GB"/>
        </w:rPr>
      </w:pPr>
      <w:r>
        <w:rPr>
          <w:lang w:val="en-GB"/>
        </w:rPr>
        <w:t>Pilot</w:t>
      </w:r>
      <w:r w:rsidR="001C4EB7">
        <w:rPr>
          <w:lang w:val="en-GB"/>
        </w:rPr>
        <w:t xml:space="preserve"> </w:t>
      </w:r>
      <w:r>
        <w:rPr>
          <w:lang w:val="en-GB"/>
        </w:rPr>
        <w:t xml:space="preserve">scale PBRs operations were conducted in parallel to avoid any differences in the adaptation and composition of the  inoculum, which was produced in a lab-scale PBR and maintained for one week in the pilot reactors with a culture media described elsewhere (Yu et al., 2021) at the working volume of 40 L. The plexiglass tubular PBRs </w:t>
      </w:r>
      <w:r w:rsidR="007B611F">
        <w:rPr>
          <w:lang w:val="en-GB"/>
        </w:rPr>
        <w:t>(</w:t>
      </w:r>
      <w:r w:rsidR="00A43AA2" w:rsidRPr="00A43AA2">
        <w:rPr>
          <w:lang w:val="en-GB"/>
        </w:rPr>
        <w:t>height</w:t>
      </w:r>
      <w:r w:rsidR="007B611F">
        <w:rPr>
          <w:lang w:val="en-GB"/>
        </w:rPr>
        <w:t xml:space="preserve"> 1.1 m; diameter 250 mm) </w:t>
      </w:r>
      <w:r>
        <w:rPr>
          <w:lang w:val="en-GB"/>
        </w:rPr>
        <w:t>were maintained under mixing with recirculation pump</w:t>
      </w:r>
      <w:r w:rsidR="00264F03">
        <w:rPr>
          <w:lang w:val="en-GB"/>
        </w:rPr>
        <w:t>s 24 h a day; the feeding and discharging were made manually once a day</w:t>
      </w:r>
      <w:r w:rsidR="007B611F">
        <w:rPr>
          <w:lang w:val="en-GB"/>
        </w:rPr>
        <w:t xml:space="preserve"> (cycle length 24 h)</w:t>
      </w:r>
      <w:r w:rsidR="00264F03">
        <w:rPr>
          <w:lang w:val="en-GB"/>
        </w:rPr>
        <w:t>.</w:t>
      </w:r>
      <w:r>
        <w:rPr>
          <w:lang w:val="en-GB"/>
        </w:rPr>
        <w:t xml:space="preserve"> </w:t>
      </w:r>
      <w:r w:rsidR="00264F03">
        <w:rPr>
          <w:lang w:val="en-GB"/>
        </w:rPr>
        <w:t xml:space="preserve">In all the three PBRs, the OLR was set at the medium-low value of </w:t>
      </w:r>
      <w:r w:rsidR="00264F03" w:rsidRPr="00E679DD">
        <w:rPr>
          <w:lang w:val="en-GB"/>
        </w:rPr>
        <w:t>1.0 g COD</w:t>
      </w:r>
      <w:r w:rsidR="00264F03" w:rsidRPr="00264F03">
        <w:rPr>
          <w:vertAlign w:val="subscript"/>
          <w:lang w:val="en-GB"/>
        </w:rPr>
        <w:t>SOL</w:t>
      </w:r>
      <w:r w:rsidR="00264F03" w:rsidRPr="00E679DD">
        <w:rPr>
          <w:lang w:val="en-GB"/>
        </w:rPr>
        <w:t>/(L d)</w:t>
      </w:r>
      <w:r w:rsidR="00264F03">
        <w:rPr>
          <w:lang w:val="en-GB"/>
        </w:rPr>
        <w:t>, to prevent the risk of high concentration of residual organics in the media and, in turn, the proliferation of competitive bacterial or algal populations. The</w:t>
      </w:r>
      <w:r w:rsidR="00264F03" w:rsidRPr="00E679DD">
        <w:rPr>
          <w:lang w:val="en-GB"/>
        </w:rPr>
        <w:t xml:space="preserve"> PBR</w:t>
      </w:r>
      <w:r w:rsidR="00264F03">
        <w:rPr>
          <w:lang w:val="en-GB"/>
        </w:rPr>
        <w:t>s</w:t>
      </w:r>
      <w:r w:rsidR="00264F03" w:rsidRPr="00E679DD">
        <w:rPr>
          <w:lang w:val="en-GB"/>
        </w:rPr>
        <w:t xml:space="preserve"> w</w:t>
      </w:r>
      <w:r w:rsidR="00264F03">
        <w:rPr>
          <w:lang w:val="en-GB"/>
        </w:rPr>
        <w:t>ere</w:t>
      </w:r>
      <w:r w:rsidR="00264F03" w:rsidRPr="00E679DD">
        <w:rPr>
          <w:lang w:val="en-GB"/>
        </w:rPr>
        <w:t xml:space="preserve"> </w:t>
      </w:r>
      <w:r w:rsidR="00264F03">
        <w:rPr>
          <w:lang w:val="en-GB"/>
        </w:rPr>
        <w:t xml:space="preserve">placed </w:t>
      </w:r>
      <w:r w:rsidR="00264F03" w:rsidRPr="00E679DD">
        <w:rPr>
          <w:lang w:val="en-GB"/>
        </w:rPr>
        <w:t>in a dark thermostatic container</w:t>
      </w:r>
      <w:r w:rsidR="001C4EB7">
        <w:rPr>
          <w:lang w:val="en-GB"/>
        </w:rPr>
        <w:t xml:space="preserve"> (25 °C)</w:t>
      </w:r>
      <w:r w:rsidR="00264F03">
        <w:rPr>
          <w:lang w:val="en-GB"/>
        </w:rPr>
        <w:t>; each of them was</w:t>
      </w:r>
      <w:r w:rsidR="00264F03" w:rsidRPr="00E679DD">
        <w:rPr>
          <w:lang w:val="en-GB"/>
        </w:rPr>
        <w:t xml:space="preserve"> illuminated by 4 LED lamps in far-red and infrared spectrum. </w:t>
      </w:r>
      <w:r w:rsidR="00264F03">
        <w:rPr>
          <w:lang w:val="en-GB"/>
        </w:rPr>
        <w:t>In total, three conditions have been investigated</w:t>
      </w:r>
      <w:r w:rsidR="00CF2BB5">
        <w:rPr>
          <w:lang w:val="en-GB"/>
        </w:rPr>
        <w:t>: PBR-1 was maintained at an HRT of 3 days, with continuous light availability (24 h/d) at</w:t>
      </w:r>
      <w:r w:rsidR="007B611F">
        <w:rPr>
          <w:lang w:val="en-GB"/>
        </w:rPr>
        <w:t xml:space="preserve"> 140 W/m</w:t>
      </w:r>
      <w:r w:rsidR="007B611F" w:rsidRPr="007B611F">
        <w:rPr>
          <w:vertAlign w:val="superscript"/>
          <w:lang w:val="en-GB"/>
        </w:rPr>
        <w:t>2</w:t>
      </w:r>
      <w:r w:rsidR="00CF2BB5">
        <w:rPr>
          <w:lang w:val="en-GB"/>
        </w:rPr>
        <w:t xml:space="preserve">; PBR-2 was maintained at an HRT of 6 days, with continuous light availability (24 h/d) </w:t>
      </w:r>
      <w:r w:rsidR="007B611F">
        <w:rPr>
          <w:lang w:val="en-GB"/>
        </w:rPr>
        <w:t>at 140 W/m</w:t>
      </w:r>
      <w:r w:rsidR="007B611F" w:rsidRPr="007B611F">
        <w:rPr>
          <w:vertAlign w:val="superscript"/>
          <w:lang w:val="en-GB"/>
        </w:rPr>
        <w:t>2</w:t>
      </w:r>
      <w:r w:rsidR="00CF2BB5">
        <w:rPr>
          <w:lang w:val="en-GB"/>
        </w:rPr>
        <w:t xml:space="preserve">; PBR-3 was maintained at an HRT of 6 days, with intermittent light availability (12 h/d) </w:t>
      </w:r>
      <w:r w:rsidR="007B611F">
        <w:rPr>
          <w:lang w:val="en-GB"/>
        </w:rPr>
        <w:t>at 140 W/m</w:t>
      </w:r>
      <w:r w:rsidR="007B611F" w:rsidRPr="007B611F">
        <w:rPr>
          <w:vertAlign w:val="superscript"/>
          <w:lang w:val="en-GB"/>
        </w:rPr>
        <w:t>2</w:t>
      </w:r>
      <w:r w:rsidR="00CF2BB5">
        <w:rPr>
          <w:lang w:val="en-GB"/>
        </w:rPr>
        <w:t xml:space="preserve"> </w:t>
      </w:r>
      <w:r w:rsidR="007B611F">
        <w:rPr>
          <w:lang w:val="en-GB"/>
        </w:rPr>
        <w:t xml:space="preserve">for half of the operating cycle. </w:t>
      </w:r>
      <w:r w:rsidR="00CF2BB5">
        <w:rPr>
          <w:lang w:val="en-GB"/>
        </w:rPr>
        <w:t>For PBR-3, the feedstock was fed at the beginning of the light-driven period.</w:t>
      </w:r>
    </w:p>
    <w:p w14:paraId="76EF0921" w14:textId="77777777" w:rsidR="007B611F" w:rsidRPr="006E0B6B" w:rsidRDefault="007B611F" w:rsidP="007B611F">
      <w:pPr>
        <w:pStyle w:val="CETheadingx"/>
      </w:pPr>
      <w:r>
        <w:t>Analytical Methods</w:t>
      </w:r>
    </w:p>
    <w:p w14:paraId="0D5120A8" w14:textId="06AA4665" w:rsidR="0033032D" w:rsidRDefault="007B611F" w:rsidP="007B611F">
      <w:pPr>
        <w:pStyle w:val="CETBodytext"/>
        <w:rPr>
          <w:lang w:val="en-GB"/>
        </w:rPr>
      </w:pPr>
      <w:r>
        <w:rPr>
          <w:lang w:val="en-GB"/>
        </w:rPr>
        <w:t>Except for VFA,</w:t>
      </w:r>
      <w:r w:rsidRPr="00556A4C">
        <w:rPr>
          <w:lang w:val="en-GB"/>
        </w:rPr>
        <w:t xml:space="preserve"> </w:t>
      </w:r>
      <w:r>
        <w:rPr>
          <w:lang w:val="en-GB"/>
        </w:rPr>
        <w:t xml:space="preserve">the features depicted in Table 1 for both feedstock were quantified according to Standard </w:t>
      </w:r>
      <w:r w:rsidRPr="001D74FE">
        <w:rPr>
          <w:lang w:val="en-GB"/>
        </w:rPr>
        <w:t>Methods (</w:t>
      </w:r>
      <w:r w:rsidRPr="001D74FE">
        <w:t>APHA/AWWA/WEF, 2012</w:t>
      </w:r>
      <w:r w:rsidRPr="001D74FE">
        <w:rPr>
          <w:lang w:val="en-GB"/>
        </w:rPr>
        <w:t>). The reactors’ effluent was monitored two times per week approximately for COD, pH</w:t>
      </w:r>
      <w:r w:rsidR="0033032D">
        <w:rPr>
          <w:lang w:val="en-GB"/>
        </w:rPr>
        <w:t xml:space="preserve"> and</w:t>
      </w:r>
      <w:r w:rsidRPr="001D74FE">
        <w:rPr>
          <w:lang w:val="en-GB"/>
        </w:rPr>
        <w:t xml:space="preserve"> VFA. The quantification of ethanol</w:t>
      </w:r>
      <w:r w:rsidR="0033032D">
        <w:rPr>
          <w:lang w:val="en-GB"/>
        </w:rPr>
        <w:t xml:space="preserve"> (in unfermented WL only) and</w:t>
      </w:r>
      <w:r w:rsidRPr="001D74FE">
        <w:rPr>
          <w:lang w:val="en-GB"/>
        </w:rPr>
        <w:t xml:space="preserve"> VFA was conducted using AGILENT 6890N gas chromatograph equipped with a flame ionization detector (at 200°C), a fused silica capillary column, DB-WAX (15 m x 0.53 mm × 0.5 </w:t>
      </w:r>
      <w:proofErr w:type="spellStart"/>
      <w:r w:rsidRPr="001D74FE">
        <w:rPr>
          <w:lang w:val="en-GB"/>
        </w:rPr>
        <w:t>μm</w:t>
      </w:r>
      <w:proofErr w:type="spellEnd"/>
      <w:r w:rsidRPr="001D74FE">
        <w:rPr>
          <w:lang w:val="en-GB"/>
        </w:rPr>
        <w:t xml:space="preserve"> film thickness); hydrogen was the gas carrier. The chromatographic run</w:t>
      </w:r>
      <w:r w:rsidR="00FF5A49">
        <w:rPr>
          <w:lang w:val="en-GB"/>
        </w:rPr>
        <w:t>s were</w:t>
      </w:r>
      <w:r w:rsidRPr="001D74FE">
        <w:rPr>
          <w:lang w:val="en-GB"/>
        </w:rPr>
        <w:t xml:space="preserve"> conducted by increasing the temperature from 40 to 200°C, at a rate of 10°C/min. The samples were analysed </w:t>
      </w:r>
      <w:r w:rsidR="0033032D">
        <w:rPr>
          <w:lang w:val="en-GB"/>
        </w:rPr>
        <w:t xml:space="preserve">after </w:t>
      </w:r>
      <w:r w:rsidRPr="001D74FE">
        <w:rPr>
          <w:lang w:val="en-GB"/>
        </w:rPr>
        <w:t>centrifug</w:t>
      </w:r>
      <w:r w:rsidR="0033032D">
        <w:rPr>
          <w:lang w:val="en-GB"/>
        </w:rPr>
        <w:t xml:space="preserve">ation </w:t>
      </w:r>
      <w:r w:rsidR="002A6396">
        <w:rPr>
          <w:lang w:val="en-GB"/>
        </w:rPr>
        <w:t>(</w:t>
      </w:r>
      <w:r w:rsidR="002A6396" w:rsidRPr="00CE4C27">
        <w:rPr>
          <w:lang w:val="en-GB"/>
        </w:rPr>
        <w:t>Heraeus</w:t>
      </w:r>
      <w:r w:rsidR="002A6396">
        <w:rPr>
          <w:lang w:val="en-GB"/>
        </w:rPr>
        <w:t xml:space="preserve"> </w:t>
      </w:r>
      <w:proofErr w:type="spellStart"/>
      <w:r w:rsidR="002A6396" w:rsidRPr="00CE4C27">
        <w:rPr>
          <w:lang w:val="en-GB"/>
        </w:rPr>
        <w:t>Megafuge</w:t>
      </w:r>
      <w:proofErr w:type="spellEnd"/>
      <w:r w:rsidR="002A6396" w:rsidRPr="00CE4C27">
        <w:rPr>
          <w:lang w:val="en-GB"/>
        </w:rPr>
        <w:t xml:space="preserve"> 40</w:t>
      </w:r>
      <w:r w:rsidR="002A6396" w:rsidRPr="00A14E53">
        <w:rPr>
          <w:lang w:val="en-GB"/>
        </w:rPr>
        <w:t>;</w:t>
      </w:r>
      <w:r w:rsidR="002A6396" w:rsidRPr="00CE4C27">
        <w:rPr>
          <w:lang w:val="en-GB"/>
        </w:rPr>
        <w:t xml:space="preserve"> </w:t>
      </w:r>
      <w:proofErr w:type="spellStart"/>
      <w:r w:rsidR="002A6396" w:rsidRPr="00CE4C27">
        <w:rPr>
          <w:lang w:val="en-GB"/>
        </w:rPr>
        <w:t>Thermo</w:t>
      </w:r>
      <w:proofErr w:type="spellEnd"/>
      <w:r w:rsidR="002A6396" w:rsidRPr="00CE4C27">
        <w:rPr>
          <w:lang w:val="en-GB"/>
        </w:rPr>
        <w:t xml:space="preserve"> Fisher Scientific, Waltham, MA, United</w:t>
      </w:r>
      <w:r w:rsidR="002A6396">
        <w:rPr>
          <w:lang w:val="en-GB"/>
        </w:rPr>
        <w:t xml:space="preserve"> </w:t>
      </w:r>
      <w:r w:rsidR="002A6396" w:rsidRPr="00CE4C27">
        <w:rPr>
          <w:lang w:val="en-GB"/>
        </w:rPr>
        <w:t>States</w:t>
      </w:r>
      <w:r w:rsidR="002A6396">
        <w:rPr>
          <w:lang w:val="en-GB"/>
        </w:rPr>
        <w:t>;</w:t>
      </w:r>
      <w:r w:rsidR="002A6396">
        <w:rPr>
          <w:lang w:val="en-GB"/>
        </w:rPr>
        <w:t xml:space="preserve"> </w:t>
      </w:r>
      <w:r w:rsidR="002A6396">
        <w:rPr>
          <w:lang w:val="en-GB"/>
        </w:rPr>
        <w:t>1</w:t>
      </w:r>
      <w:r w:rsidR="002A6396">
        <w:rPr>
          <w:lang w:val="en-GB"/>
        </w:rPr>
        <w:t>0 min</w:t>
      </w:r>
      <w:r w:rsidR="002A6396">
        <w:rPr>
          <w:lang w:val="en-GB"/>
        </w:rPr>
        <w:t>,</w:t>
      </w:r>
      <w:r w:rsidR="002A6396">
        <w:rPr>
          <w:lang w:val="en-GB"/>
        </w:rPr>
        <w:t xml:space="preserve"> </w:t>
      </w:r>
      <w:r w:rsidR="002A6396" w:rsidRPr="00A75DE1">
        <w:rPr>
          <w:lang w:val="en-GB"/>
        </w:rPr>
        <w:t>4600</w:t>
      </w:r>
      <w:r w:rsidR="002A6396">
        <w:rPr>
          <w:lang w:val="en-GB"/>
        </w:rPr>
        <w:t xml:space="preserve"> </w:t>
      </w:r>
      <w:r w:rsidR="002A6396" w:rsidRPr="00A75DE1">
        <w:rPr>
          <w:lang w:val="en-GB"/>
        </w:rPr>
        <w:t>rpm</w:t>
      </w:r>
      <w:r w:rsidR="002A6396">
        <w:rPr>
          <w:lang w:val="en-GB"/>
        </w:rPr>
        <w:t xml:space="preserve">) </w:t>
      </w:r>
      <w:r w:rsidR="0033032D">
        <w:rPr>
          <w:lang w:val="en-GB"/>
        </w:rPr>
        <w:t>and filtration</w:t>
      </w:r>
      <w:r w:rsidRPr="001D74FE">
        <w:rPr>
          <w:lang w:val="en-GB"/>
        </w:rPr>
        <w:t xml:space="preserve"> (0.2 </w:t>
      </w:r>
      <w:proofErr w:type="spellStart"/>
      <w:r w:rsidRPr="001D74FE">
        <w:rPr>
          <w:lang w:val="en-GB"/>
        </w:rPr>
        <w:t>μm</w:t>
      </w:r>
      <w:proofErr w:type="spellEnd"/>
      <w:r w:rsidRPr="001D74FE">
        <w:rPr>
          <w:lang w:val="en-GB"/>
        </w:rPr>
        <w:t xml:space="preserve"> filter porosity)</w:t>
      </w:r>
      <w:r w:rsidRPr="00556A4C">
        <w:rPr>
          <w:lang w:val="en-GB"/>
        </w:rPr>
        <w:t>.</w:t>
      </w:r>
    </w:p>
    <w:p w14:paraId="59565E35" w14:textId="5A70E37F" w:rsidR="0033032D" w:rsidRDefault="0033032D" w:rsidP="00A75DE1">
      <w:pPr>
        <w:pStyle w:val="CETBodytext"/>
        <w:rPr>
          <w:lang w:val="en-GB"/>
        </w:rPr>
      </w:pPr>
      <w:r>
        <w:rPr>
          <w:lang w:val="en-GB"/>
        </w:rPr>
        <w:t>PH</w:t>
      </w:r>
      <w:r w:rsidR="00A75DE1">
        <w:rPr>
          <w:lang w:val="en-GB"/>
        </w:rPr>
        <w:t>A</w:t>
      </w:r>
      <w:r w:rsidR="00A75DE1" w:rsidRPr="00A75DE1">
        <w:t xml:space="preserve"> </w:t>
      </w:r>
      <w:r w:rsidR="00A75DE1" w:rsidRPr="00A75DE1">
        <w:rPr>
          <w:lang w:val="en-GB"/>
        </w:rPr>
        <w:t>analyses</w:t>
      </w:r>
      <w:r w:rsidR="00A75DE1">
        <w:rPr>
          <w:lang w:val="en-GB"/>
        </w:rPr>
        <w:t xml:space="preserve"> were performed starting by 10</w:t>
      </w:r>
      <w:r w:rsidR="00A75DE1" w:rsidRPr="00A75DE1">
        <w:rPr>
          <w:lang w:val="en-GB"/>
        </w:rPr>
        <w:t>.0 mL of mixed liquor</w:t>
      </w:r>
      <w:r w:rsidR="00A75DE1">
        <w:rPr>
          <w:lang w:val="en-GB"/>
        </w:rPr>
        <w:t>, which</w:t>
      </w:r>
      <w:r w:rsidR="00A75DE1" w:rsidRPr="00A75DE1">
        <w:rPr>
          <w:lang w:val="en-GB"/>
        </w:rPr>
        <w:t xml:space="preserve"> was treated with 1.0 mL of</w:t>
      </w:r>
      <w:r w:rsidR="00A75DE1">
        <w:rPr>
          <w:lang w:val="en-GB"/>
        </w:rPr>
        <w:t xml:space="preserve"> </w:t>
      </w:r>
      <w:proofErr w:type="spellStart"/>
      <w:r w:rsidR="00A75DE1" w:rsidRPr="00A75DE1">
        <w:rPr>
          <w:lang w:val="en-GB"/>
        </w:rPr>
        <w:t>NaClO</w:t>
      </w:r>
      <w:proofErr w:type="spellEnd"/>
      <w:r w:rsidR="00A75DE1" w:rsidRPr="00A75DE1">
        <w:rPr>
          <w:lang w:val="en-GB"/>
        </w:rPr>
        <w:t xml:space="preserve"> solution (</w:t>
      </w:r>
      <w:r w:rsidR="00A75DE1">
        <w:rPr>
          <w:lang w:val="en-GB"/>
        </w:rPr>
        <w:t>2-</w:t>
      </w:r>
      <w:r w:rsidR="00A75DE1" w:rsidRPr="00A75DE1">
        <w:rPr>
          <w:lang w:val="en-GB"/>
        </w:rPr>
        <w:t>5 % active Cl</w:t>
      </w:r>
      <w:r w:rsidR="00A75DE1" w:rsidRPr="00A75DE1">
        <w:rPr>
          <w:vertAlign w:val="subscript"/>
          <w:lang w:val="en-GB"/>
        </w:rPr>
        <w:t>2</w:t>
      </w:r>
      <w:r w:rsidR="00A75DE1" w:rsidRPr="00A75DE1">
        <w:rPr>
          <w:lang w:val="en-GB"/>
        </w:rPr>
        <w:t xml:space="preserve">) and subsequently analysed </w:t>
      </w:r>
      <w:r w:rsidR="00A75DE1">
        <w:rPr>
          <w:lang w:val="en-GB"/>
        </w:rPr>
        <w:t xml:space="preserve">according to the method depicted in </w:t>
      </w:r>
      <w:proofErr w:type="spellStart"/>
      <w:r w:rsidR="00A75DE1">
        <w:rPr>
          <w:lang w:val="en-GB"/>
        </w:rPr>
        <w:t>Tuci</w:t>
      </w:r>
      <w:proofErr w:type="spellEnd"/>
      <w:r w:rsidR="00A75DE1">
        <w:rPr>
          <w:lang w:val="en-GB"/>
        </w:rPr>
        <w:t xml:space="preserve"> et al. (2025), via GC and after intracellular</w:t>
      </w:r>
      <w:r w:rsidR="00A75DE1" w:rsidRPr="00A75DE1">
        <w:rPr>
          <w:lang w:val="en-GB"/>
        </w:rPr>
        <w:t xml:space="preserve"> PHA extract</w:t>
      </w:r>
      <w:r w:rsidR="00A75DE1">
        <w:rPr>
          <w:lang w:val="en-GB"/>
        </w:rPr>
        <w:t xml:space="preserve">ion and conversion </w:t>
      </w:r>
      <w:r w:rsidR="00A75DE1" w:rsidRPr="00A75DE1">
        <w:rPr>
          <w:lang w:val="en-GB"/>
        </w:rPr>
        <w:t>into 3-hydroxyacyl methyl esters</w:t>
      </w:r>
      <w:r w:rsidR="00A75DE1">
        <w:rPr>
          <w:lang w:val="en-GB"/>
        </w:rPr>
        <w:t xml:space="preserve">: </w:t>
      </w:r>
      <w:r w:rsidR="00A75DE1" w:rsidRPr="00A75DE1">
        <w:rPr>
          <w:lang w:val="en-GB"/>
        </w:rPr>
        <w:t>3-hydroxybutyric (3HB) and 3-hydroxyvaleric (3HV) monomers.</w:t>
      </w:r>
    </w:p>
    <w:p w14:paraId="502A700D" w14:textId="4D5B3FD2" w:rsidR="002D28C7" w:rsidRDefault="00A75DE1" w:rsidP="002D28C7">
      <w:pPr>
        <w:pStyle w:val="CETBodytext"/>
        <w:rPr>
          <w:lang w:val="en-GB"/>
        </w:rPr>
      </w:pPr>
      <w:r w:rsidRPr="00A75DE1">
        <w:rPr>
          <w:lang w:val="en-GB"/>
        </w:rPr>
        <w:t>Bacteriochlorophyll</w:t>
      </w:r>
      <w:r w:rsidR="002D28C7">
        <w:rPr>
          <w:lang w:val="en-GB"/>
        </w:rPr>
        <w:t>s’</w:t>
      </w:r>
      <w:r w:rsidRPr="00A75DE1">
        <w:rPr>
          <w:lang w:val="en-GB"/>
        </w:rPr>
        <w:t xml:space="preserve"> content </w:t>
      </w:r>
      <w:r w:rsidR="002D28C7">
        <w:rPr>
          <w:lang w:val="en-GB"/>
        </w:rPr>
        <w:t>(</w:t>
      </w:r>
      <w:proofErr w:type="spellStart"/>
      <w:r w:rsidR="002D28C7">
        <w:rPr>
          <w:rFonts w:cs="Arial"/>
          <w:color w:val="0A0A0A"/>
          <w:shd w:val="clear" w:color="auto" w:fill="FFFFFF"/>
        </w:rPr>
        <w:t>BChls</w:t>
      </w:r>
      <w:proofErr w:type="spellEnd"/>
      <w:r w:rsidR="002D28C7">
        <w:rPr>
          <w:lang w:val="en-GB"/>
        </w:rPr>
        <w:t xml:space="preserve">) </w:t>
      </w:r>
      <w:r w:rsidRPr="00A75DE1">
        <w:rPr>
          <w:lang w:val="en-GB"/>
        </w:rPr>
        <w:t>was determined using organic solvent</w:t>
      </w:r>
      <w:r>
        <w:rPr>
          <w:lang w:val="en-GB"/>
        </w:rPr>
        <w:t xml:space="preserve"> </w:t>
      </w:r>
      <w:r w:rsidRPr="00A75DE1">
        <w:rPr>
          <w:lang w:val="en-GB"/>
        </w:rPr>
        <w:t xml:space="preserve">extraction and spectrophotometric analysis. </w:t>
      </w:r>
      <w:r>
        <w:rPr>
          <w:lang w:val="en-GB"/>
        </w:rPr>
        <w:t>T</w:t>
      </w:r>
      <w:r w:rsidRPr="00A75DE1">
        <w:rPr>
          <w:lang w:val="en-GB"/>
        </w:rPr>
        <w:t xml:space="preserve">he </w:t>
      </w:r>
      <w:r>
        <w:rPr>
          <w:lang w:val="en-GB"/>
        </w:rPr>
        <w:t xml:space="preserve">PPB </w:t>
      </w:r>
      <w:r w:rsidRPr="00A75DE1">
        <w:rPr>
          <w:lang w:val="en-GB"/>
        </w:rPr>
        <w:t>biomass wa</w:t>
      </w:r>
      <w:r w:rsidR="002D28C7">
        <w:rPr>
          <w:lang w:val="en-GB"/>
        </w:rPr>
        <w:t xml:space="preserve">s </w:t>
      </w:r>
      <w:r w:rsidRPr="00A75DE1">
        <w:rPr>
          <w:lang w:val="en-GB"/>
        </w:rPr>
        <w:t xml:space="preserve">washed </w:t>
      </w:r>
      <w:r>
        <w:rPr>
          <w:lang w:val="en-GB"/>
        </w:rPr>
        <w:t>twice with</w:t>
      </w:r>
      <w:r w:rsidRPr="00A75DE1">
        <w:rPr>
          <w:lang w:val="en-GB"/>
        </w:rPr>
        <w:t xml:space="preserve"> distilled water </w:t>
      </w:r>
      <w:r w:rsidR="002D28C7">
        <w:rPr>
          <w:lang w:val="en-GB"/>
        </w:rPr>
        <w:t xml:space="preserve">before </w:t>
      </w:r>
      <w:r w:rsidRPr="00A75DE1">
        <w:rPr>
          <w:lang w:val="en-GB"/>
        </w:rPr>
        <w:t xml:space="preserve">extraction </w:t>
      </w:r>
      <w:r w:rsidR="002D28C7">
        <w:rPr>
          <w:lang w:val="en-GB"/>
        </w:rPr>
        <w:t>with</w:t>
      </w:r>
      <w:r w:rsidRPr="00A75DE1">
        <w:rPr>
          <w:lang w:val="en-GB"/>
        </w:rPr>
        <w:t xml:space="preserve"> a mixture of acetone</w:t>
      </w:r>
      <w:r w:rsidR="002D28C7">
        <w:rPr>
          <w:lang w:val="en-GB"/>
        </w:rPr>
        <w:t xml:space="preserve"> </w:t>
      </w:r>
      <w:r w:rsidRPr="00A75DE1">
        <w:rPr>
          <w:lang w:val="en-GB"/>
        </w:rPr>
        <w:t>and methanol (7:2, v/v), followed by centrifugation</w:t>
      </w:r>
      <w:r w:rsidR="00A14E53">
        <w:rPr>
          <w:lang w:val="en-GB"/>
        </w:rPr>
        <w:t xml:space="preserve"> (</w:t>
      </w:r>
      <w:r w:rsidR="00A14E53" w:rsidRPr="00CE4C27">
        <w:rPr>
          <w:lang w:val="en-GB"/>
        </w:rPr>
        <w:t>Heraeus</w:t>
      </w:r>
      <w:r w:rsidR="00A14E53">
        <w:rPr>
          <w:lang w:val="en-GB"/>
        </w:rPr>
        <w:t xml:space="preserve"> </w:t>
      </w:r>
      <w:proofErr w:type="spellStart"/>
      <w:r w:rsidR="00A14E53" w:rsidRPr="00CE4C27">
        <w:rPr>
          <w:lang w:val="en-GB"/>
        </w:rPr>
        <w:t>Megafuge</w:t>
      </w:r>
      <w:proofErr w:type="spellEnd"/>
      <w:r w:rsidR="00A14E53" w:rsidRPr="00CE4C27">
        <w:rPr>
          <w:lang w:val="en-GB"/>
        </w:rPr>
        <w:t xml:space="preserve"> 40</w:t>
      </w:r>
      <w:r w:rsidR="00A14E53" w:rsidRPr="00A14E53">
        <w:rPr>
          <w:lang w:val="en-GB"/>
        </w:rPr>
        <w:t>;</w:t>
      </w:r>
      <w:r w:rsidR="00A14E53" w:rsidRPr="00CE4C27">
        <w:rPr>
          <w:lang w:val="en-GB"/>
        </w:rPr>
        <w:t xml:space="preserve"> </w:t>
      </w:r>
      <w:proofErr w:type="spellStart"/>
      <w:r w:rsidR="00A14E53" w:rsidRPr="00CE4C27">
        <w:rPr>
          <w:lang w:val="en-GB"/>
        </w:rPr>
        <w:t>Thermo</w:t>
      </w:r>
      <w:proofErr w:type="spellEnd"/>
      <w:r w:rsidR="00A14E53" w:rsidRPr="00CE4C27">
        <w:rPr>
          <w:lang w:val="en-GB"/>
        </w:rPr>
        <w:t xml:space="preserve"> Fisher Scientific, Waltham, MA, United</w:t>
      </w:r>
      <w:r w:rsidR="00A14E53">
        <w:rPr>
          <w:lang w:val="en-GB"/>
        </w:rPr>
        <w:t xml:space="preserve"> </w:t>
      </w:r>
      <w:r w:rsidR="00A14E53" w:rsidRPr="00CE4C27">
        <w:rPr>
          <w:lang w:val="en-GB"/>
        </w:rPr>
        <w:t>States</w:t>
      </w:r>
      <w:r w:rsidR="00A14E53">
        <w:rPr>
          <w:lang w:val="en-GB"/>
        </w:rPr>
        <w:t xml:space="preserve">) for 10 min at </w:t>
      </w:r>
      <w:r w:rsidRPr="00A75DE1">
        <w:rPr>
          <w:lang w:val="en-GB"/>
        </w:rPr>
        <w:t>4600</w:t>
      </w:r>
      <w:r w:rsidR="002D28C7">
        <w:rPr>
          <w:lang w:val="en-GB"/>
        </w:rPr>
        <w:t xml:space="preserve"> </w:t>
      </w:r>
      <w:r w:rsidRPr="00A75DE1">
        <w:rPr>
          <w:lang w:val="en-GB"/>
        </w:rPr>
        <w:t>rpm</w:t>
      </w:r>
      <w:r w:rsidR="00A14E53">
        <w:rPr>
          <w:lang w:val="en-GB"/>
        </w:rPr>
        <w:t xml:space="preserve"> </w:t>
      </w:r>
      <w:r w:rsidRPr="00A75DE1">
        <w:rPr>
          <w:lang w:val="en-GB"/>
        </w:rPr>
        <w:t>to remove</w:t>
      </w:r>
      <w:r w:rsidR="002D28C7">
        <w:rPr>
          <w:lang w:val="en-GB"/>
        </w:rPr>
        <w:t xml:space="preserve"> </w:t>
      </w:r>
      <w:r w:rsidRPr="00A75DE1">
        <w:rPr>
          <w:lang w:val="en-GB"/>
        </w:rPr>
        <w:t xml:space="preserve">cellular debris. The supernatant was then </w:t>
      </w:r>
      <w:r w:rsidR="002D28C7" w:rsidRPr="00A75DE1">
        <w:rPr>
          <w:lang w:val="en-GB"/>
        </w:rPr>
        <w:t>analysed</w:t>
      </w:r>
      <w:r w:rsidRPr="00A75DE1">
        <w:rPr>
          <w:lang w:val="en-GB"/>
        </w:rPr>
        <w:t xml:space="preserve"> spectrophotometrically at 770</w:t>
      </w:r>
      <w:r w:rsidR="002D28C7">
        <w:rPr>
          <w:lang w:val="en-GB"/>
        </w:rPr>
        <w:t xml:space="preserve"> </w:t>
      </w:r>
      <w:r w:rsidRPr="00A75DE1">
        <w:rPr>
          <w:lang w:val="en-GB"/>
        </w:rPr>
        <w:t>nm. To prevent photo-oxidation, all extractions and measurements were performed in a dark</w:t>
      </w:r>
      <w:r w:rsidR="002D28C7">
        <w:rPr>
          <w:lang w:val="en-GB"/>
        </w:rPr>
        <w:t xml:space="preserve"> </w:t>
      </w:r>
      <w:r w:rsidRPr="00A75DE1">
        <w:rPr>
          <w:lang w:val="en-GB"/>
        </w:rPr>
        <w:t>environment.</w:t>
      </w:r>
      <w:r w:rsidR="002D28C7">
        <w:rPr>
          <w:lang w:val="en-GB"/>
        </w:rPr>
        <w:t xml:space="preserve"> A similar procedure was followed for c</w:t>
      </w:r>
      <w:r w:rsidR="0033032D">
        <w:rPr>
          <w:lang w:val="en-GB"/>
        </w:rPr>
        <w:t>arotenoids</w:t>
      </w:r>
      <w:r w:rsidR="002D28C7">
        <w:rPr>
          <w:lang w:val="en-GB"/>
        </w:rPr>
        <w:t xml:space="preserve"> (</w:t>
      </w:r>
      <w:proofErr w:type="spellStart"/>
      <w:r w:rsidR="002D28C7">
        <w:rPr>
          <w:lang w:val="en-GB"/>
        </w:rPr>
        <w:t>Crts</w:t>
      </w:r>
      <w:proofErr w:type="spellEnd"/>
      <w:r w:rsidR="002D28C7">
        <w:rPr>
          <w:lang w:val="en-GB"/>
        </w:rPr>
        <w:t xml:space="preserve">) quantification, </w:t>
      </w:r>
      <w:r w:rsidR="002D28C7" w:rsidRPr="002D28C7">
        <w:rPr>
          <w:lang w:val="en-GB"/>
        </w:rPr>
        <w:t>except for the wavelength used, which was equal to 480 nm.</w:t>
      </w:r>
      <w:r w:rsidR="002D28C7">
        <w:rPr>
          <w:lang w:val="en-GB"/>
        </w:rPr>
        <w:t xml:space="preserve"> For both </w:t>
      </w:r>
      <w:proofErr w:type="spellStart"/>
      <w:r w:rsidR="002D28C7">
        <w:rPr>
          <w:lang w:val="en-GB"/>
        </w:rPr>
        <w:t>BChls</w:t>
      </w:r>
      <w:proofErr w:type="spellEnd"/>
      <w:r w:rsidR="002D28C7">
        <w:rPr>
          <w:lang w:val="en-GB"/>
        </w:rPr>
        <w:t xml:space="preserve"> and </w:t>
      </w:r>
      <w:proofErr w:type="spellStart"/>
      <w:r w:rsidR="002D28C7">
        <w:rPr>
          <w:lang w:val="en-GB"/>
        </w:rPr>
        <w:t>Crts</w:t>
      </w:r>
      <w:proofErr w:type="spellEnd"/>
      <w:r w:rsidR="002D28C7">
        <w:rPr>
          <w:lang w:val="en-GB"/>
        </w:rPr>
        <w:t xml:space="preserve"> concentration</w:t>
      </w:r>
      <w:r w:rsidR="002A6396">
        <w:rPr>
          <w:lang w:val="en-GB"/>
        </w:rPr>
        <w:t>s</w:t>
      </w:r>
      <w:r w:rsidR="002D28C7">
        <w:rPr>
          <w:lang w:val="en-GB"/>
        </w:rPr>
        <w:t>, the following formula</w:t>
      </w:r>
      <w:r w:rsidR="00251BAE">
        <w:rPr>
          <w:lang w:val="en-GB"/>
        </w:rPr>
        <w:t>s</w:t>
      </w:r>
      <w:r w:rsidR="002D28C7">
        <w:rPr>
          <w:lang w:val="en-GB"/>
        </w:rPr>
        <w:t xml:space="preserve"> was used:</w:t>
      </w:r>
    </w:p>
    <w:tbl>
      <w:tblPr>
        <w:tblStyle w:val="Grigliatabella"/>
        <w:tblW w:w="950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47"/>
        <w:gridCol w:w="856"/>
      </w:tblGrid>
      <w:tr w:rsidR="00F11A9F" w:rsidRPr="000158AD" w14:paraId="3622D70C" w14:textId="77777777" w:rsidTr="006867C1">
        <w:tc>
          <w:tcPr>
            <w:tcW w:w="8647" w:type="dxa"/>
          </w:tcPr>
          <w:tbl>
            <w:tblPr>
              <w:tblW w:w="7974" w:type="dxa"/>
              <w:tblBorders>
                <w:top w:val="nil"/>
                <w:left w:val="nil"/>
                <w:bottom w:val="nil"/>
                <w:right w:val="nil"/>
                <w:insideH w:val="nil"/>
                <w:insideV w:val="nil"/>
              </w:tblBorders>
              <w:tblLayout w:type="fixed"/>
              <w:tblLook w:val="0400" w:firstRow="0" w:lastRow="0" w:firstColumn="0" w:lastColumn="0" w:noHBand="0" w:noVBand="1"/>
            </w:tblPr>
            <w:tblGrid>
              <w:gridCol w:w="7974"/>
            </w:tblGrid>
            <w:tr w:rsidR="00F11A9F" w:rsidRPr="000158AD" w14:paraId="289541A4" w14:textId="77777777" w:rsidTr="006867C1">
              <w:tc>
                <w:tcPr>
                  <w:tcW w:w="7974" w:type="dxa"/>
                </w:tcPr>
                <w:p w14:paraId="3A7EABE5" w14:textId="64309043" w:rsidR="00F11A9F" w:rsidRPr="000158AD" w:rsidRDefault="00F11A9F" w:rsidP="006867C1">
                  <w:pPr>
                    <w:pStyle w:val="CETEquation"/>
                    <w:ind w:left="-77" w:right="-2204"/>
                    <w:rPr>
                      <w:lang w:val="en-US"/>
                    </w:rPr>
                  </w:pPr>
                  <w:proofErr w:type="spellStart"/>
                  <w:r w:rsidRPr="002D28C7">
                    <w:lastRenderedPageBreak/>
                    <w:t>C</w:t>
                  </w:r>
                  <w:r w:rsidRPr="002D28C7">
                    <w:rPr>
                      <w:vertAlign w:val="subscript"/>
                    </w:rPr>
                    <w:t>BChls</w:t>
                  </w:r>
                  <w:proofErr w:type="spellEnd"/>
                  <w:r w:rsidRPr="002D28C7">
                    <w:t xml:space="preserve"> = </w:t>
                  </w:r>
                  <w:r>
                    <w:t>[</w:t>
                  </w:r>
                  <w:r w:rsidRPr="002D28C7">
                    <w:t>A</w:t>
                  </w:r>
                  <w:r w:rsidRPr="002D28C7">
                    <w:rPr>
                      <w:vertAlign w:val="subscript"/>
                    </w:rPr>
                    <w:t>770</w:t>
                  </w:r>
                  <w:r w:rsidRPr="002D28C7">
                    <w:t xml:space="preserve"> / (Ɛ*d)</w:t>
                  </w:r>
                  <w:r>
                    <w:t xml:space="preserve">] and </w:t>
                  </w:r>
                  <w:proofErr w:type="spellStart"/>
                  <w:r w:rsidRPr="002D28C7">
                    <w:t>C</w:t>
                  </w:r>
                  <w:r w:rsidRPr="002D28C7">
                    <w:rPr>
                      <w:vertAlign w:val="subscript"/>
                    </w:rPr>
                    <w:t>C</w:t>
                  </w:r>
                  <w:r>
                    <w:rPr>
                      <w:vertAlign w:val="subscript"/>
                    </w:rPr>
                    <w:t>rts</w:t>
                  </w:r>
                  <w:proofErr w:type="spellEnd"/>
                  <w:r w:rsidRPr="002D28C7">
                    <w:t xml:space="preserve"> = </w:t>
                  </w:r>
                  <w:r>
                    <w:t>[</w:t>
                  </w:r>
                  <w:r w:rsidRPr="002D28C7">
                    <w:t>A</w:t>
                  </w:r>
                  <w:r>
                    <w:rPr>
                      <w:vertAlign w:val="subscript"/>
                    </w:rPr>
                    <w:t>48</w:t>
                  </w:r>
                  <w:r w:rsidRPr="002D28C7">
                    <w:rPr>
                      <w:vertAlign w:val="subscript"/>
                    </w:rPr>
                    <w:t>0</w:t>
                  </w:r>
                  <w:r w:rsidRPr="002D28C7">
                    <w:t xml:space="preserve"> / (Ɛ*d)</w:t>
                  </w:r>
                  <w:r>
                    <w:t>]</w:t>
                  </w:r>
                </w:p>
              </w:tc>
            </w:tr>
          </w:tbl>
          <w:p w14:paraId="0103F511" w14:textId="77777777" w:rsidR="00F11A9F" w:rsidRPr="000158AD" w:rsidRDefault="00F11A9F" w:rsidP="006867C1">
            <w:pPr>
              <w:pStyle w:val="CETEquation"/>
              <w:rPr>
                <w:lang w:val="en-US"/>
              </w:rPr>
            </w:pPr>
          </w:p>
        </w:tc>
        <w:tc>
          <w:tcPr>
            <w:tcW w:w="856" w:type="dxa"/>
          </w:tcPr>
          <w:p w14:paraId="0FDD4167" w14:textId="247C9E47" w:rsidR="00F11A9F" w:rsidRPr="000158AD" w:rsidRDefault="00F11A9F" w:rsidP="006867C1">
            <w:pPr>
              <w:pStyle w:val="CETEquation"/>
              <w:rPr>
                <w:lang w:val="en-US"/>
              </w:rPr>
            </w:pPr>
            <w:r w:rsidRPr="000158AD">
              <w:rPr>
                <w:lang w:val="en-US"/>
              </w:rPr>
              <w:t>(</w:t>
            </w:r>
            <w:r>
              <w:rPr>
                <w:lang w:val="en-US"/>
              </w:rPr>
              <w:t>1</w:t>
            </w:r>
            <w:r w:rsidRPr="000158AD">
              <w:rPr>
                <w:lang w:val="en-US"/>
              </w:rPr>
              <w:t>)</w:t>
            </w:r>
          </w:p>
        </w:tc>
      </w:tr>
    </w:tbl>
    <w:p w14:paraId="64543C8D" w14:textId="083B9835" w:rsidR="00287D16" w:rsidRDefault="00251BAE" w:rsidP="005A3D1F">
      <w:pPr>
        <w:pStyle w:val="CETBodytext"/>
        <w:rPr>
          <w:lang w:val="en-GB"/>
        </w:rPr>
      </w:pPr>
      <w:r>
        <w:rPr>
          <w:lang w:val="en-GB"/>
        </w:rPr>
        <w:t>w</w:t>
      </w:r>
      <w:r w:rsidR="002D28C7" w:rsidRPr="002D28C7">
        <w:rPr>
          <w:lang w:val="en-GB"/>
        </w:rPr>
        <w:t>here</w:t>
      </w:r>
      <w:r>
        <w:rPr>
          <w:lang w:val="en-GB"/>
        </w:rPr>
        <w:t xml:space="preserve"> “</w:t>
      </w:r>
      <w:r w:rsidR="002D28C7" w:rsidRPr="002D28C7">
        <w:rPr>
          <w:lang w:val="en-GB"/>
        </w:rPr>
        <w:t>C</w:t>
      </w:r>
      <w:r>
        <w:rPr>
          <w:lang w:val="en-GB"/>
        </w:rPr>
        <w:t>”</w:t>
      </w:r>
      <w:r w:rsidR="002D28C7" w:rsidRPr="002D28C7">
        <w:rPr>
          <w:lang w:val="en-GB"/>
        </w:rPr>
        <w:t xml:space="preserve"> is the concentration,</w:t>
      </w:r>
      <w:r>
        <w:rPr>
          <w:lang w:val="en-GB"/>
        </w:rPr>
        <w:t xml:space="preserve"> </w:t>
      </w:r>
      <w:r w:rsidR="002D28C7" w:rsidRPr="002D28C7">
        <w:rPr>
          <w:lang w:val="en-GB"/>
        </w:rPr>
        <w:t>A</w:t>
      </w:r>
      <w:r w:rsidR="002D28C7" w:rsidRPr="00251BAE">
        <w:rPr>
          <w:vertAlign w:val="subscript"/>
          <w:lang w:val="en-GB"/>
        </w:rPr>
        <w:t>770</w:t>
      </w:r>
      <w:r w:rsidR="002D28C7" w:rsidRPr="002D28C7">
        <w:rPr>
          <w:lang w:val="en-GB"/>
        </w:rPr>
        <w:t xml:space="preserve"> </w:t>
      </w:r>
      <w:r>
        <w:rPr>
          <w:lang w:val="en-GB"/>
        </w:rPr>
        <w:t>and</w:t>
      </w:r>
      <w:r w:rsidR="002D28C7" w:rsidRPr="002D28C7">
        <w:rPr>
          <w:lang w:val="en-GB"/>
        </w:rPr>
        <w:t xml:space="preserve"> </w:t>
      </w:r>
      <w:r w:rsidRPr="002D28C7">
        <w:rPr>
          <w:lang w:val="en-GB"/>
        </w:rPr>
        <w:t>A</w:t>
      </w:r>
      <w:r>
        <w:rPr>
          <w:vertAlign w:val="subscript"/>
          <w:lang w:val="en-GB"/>
        </w:rPr>
        <w:t>48</w:t>
      </w:r>
      <w:r w:rsidRPr="00251BAE">
        <w:rPr>
          <w:vertAlign w:val="subscript"/>
          <w:lang w:val="en-GB"/>
        </w:rPr>
        <w:t>0</w:t>
      </w:r>
      <w:r>
        <w:rPr>
          <w:vertAlign w:val="subscript"/>
          <w:lang w:val="en-GB"/>
        </w:rPr>
        <w:t xml:space="preserve"> </w:t>
      </w:r>
      <w:r>
        <w:rPr>
          <w:lang w:val="en-GB"/>
        </w:rPr>
        <w:t>are t</w:t>
      </w:r>
      <w:r w:rsidR="002D28C7" w:rsidRPr="002D28C7">
        <w:rPr>
          <w:lang w:val="en-GB"/>
        </w:rPr>
        <w:t>he absorbance</w:t>
      </w:r>
      <w:r>
        <w:rPr>
          <w:lang w:val="en-GB"/>
        </w:rPr>
        <w:t>s</w:t>
      </w:r>
      <w:r w:rsidR="002D28C7" w:rsidRPr="002D28C7">
        <w:rPr>
          <w:lang w:val="en-GB"/>
        </w:rPr>
        <w:t xml:space="preserve"> at 770 nm</w:t>
      </w:r>
      <w:r>
        <w:rPr>
          <w:lang w:val="en-GB"/>
        </w:rPr>
        <w:t xml:space="preserve"> and 480 nm respectively</w:t>
      </w:r>
      <w:r w:rsidR="002D28C7" w:rsidRPr="002D28C7">
        <w:rPr>
          <w:lang w:val="en-GB"/>
        </w:rPr>
        <w:t>,</w:t>
      </w:r>
      <w:r>
        <w:rPr>
          <w:lang w:val="en-GB"/>
        </w:rPr>
        <w:t xml:space="preserve"> “</w:t>
      </w:r>
      <w:r w:rsidR="002D28C7" w:rsidRPr="002D28C7">
        <w:rPr>
          <w:lang w:val="en-GB"/>
        </w:rPr>
        <w:t>Ɛ</w:t>
      </w:r>
      <w:r>
        <w:rPr>
          <w:lang w:val="en-GB"/>
        </w:rPr>
        <w:t>”</w:t>
      </w:r>
      <w:r w:rsidR="002D28C7" w:rsidRPr="002D28C7">
        <w:rPr>
          <w:lang w:val="en-GB"/>
        </w:rPr>
        <w:t xml:space="preserve"> is the molar extinction coefficient,</w:t>
      </w:r>
      <w:r>
        <w:rPr>
          <w:lang w:val="en-GB"/>
        </w:rPr>
        <w:t xml:space="preserve"> and “</w:t>
      </w:r>
      <w:r w:rsidR="002D28C7" w:rsidRPr="002D28C7">
        <w:rPr>
          <w:lang w:val="en-GB"/>
        </w:rPr>
        <w:t>d</w:t>
      </w:r>
      <w:r>
        <w:rPr>
          <w:lang w:val="en-GB"/>
        </w:rPr>
        <w:t>”</w:t>
      </w:r>
      <w:r w:rsidR="002D28C7" w:rsidRPr="002D28C7">
        <w:rPr>
          <w:lang w:val="en-GB"/>
        </w:rPr>
        <w:t xml:space="preserve"> is the path length (1 cm).</w:t>
      </w:r>
      <w:r w:rsidR="002D28C7">
        <w:rPr>
          <w:lang w:val="en-GB"/>
        </w:rPr>
        <w:t xml:space="preserve"> </w:t>
      </w:r>
    </w:p>
    <w:p w14:paraId="537895F2" w14:textId="77777777" w:rsidR="005A3D1F" w:rsidRDefault="005A3D1F" w:rsidP="005A3D1F">
      <w:pPr>
        <w:pStyle w:val="CETHeading1"/>
        <w:rPr>
          <w:lang w:val="en-GB"/>
        </w:rPr>
      </w:pPr>
      <w:r>
        <w:rPr>
          <w:lang w:val="en-GB"/>
        </w:rPr>
        <w:t>Results and discussion</w:t>
      </w:r>
    </w:p>
    <w:p w14:paraId="541D4DBD" w14:textId="39D50A84" w:rsidR="005A3D1F" w:rsidRDefault="00BB10EB" w:rsidP="005A3D1F">
      <w:pPr>
        <w:pStyle w:val="CETheadingx"/>
      </w:pPr>
      <w:r>
        <w:t>Effect of the HRT and light availability on the PPB growth response</w:t>
      </w:r>
    </w:p>
    <w:p w14:paraId="2311B5DA" w14:textId="6D4632DA" w:rsidR="00BB10EB" w:rsidRPr="00BB10EB" w:rsidRDefault="00BB10EB" w:rsidP="002A6396">
      <w:pPr>
        <w:pStyle w:val="CETBodytext"/>
        <w:rPr>
          <w:lang w:val="en-GB"/>
        </w:rPr>
      </w:pPr>
      <w:r w:rsidRPr="00BB10EB">
        <w:rPr>
          <w:lang w:val="en-GB"/>
        </w:rPr>
        <w:t xml:space="preserve">Under steady-state conditions, biomass productivity </w:t>
      </w:r>
      <w:r w:rsidR="009B7E39">
        <w:rPr>
          <w:lang w:val="en-GB"/>
        </w:rPr>
        <w:t>(g PPB L</w:t>
      </w:r>
      <w:r w:rsidR="009B7E39" w:rsidRPr="009B7E39">
        <w:rPr>
          <w:vertAlign w:val="superscript"/>
          <w:lang w:val="en-GB"/>
        </w:rPr>
        <w:t>-1</w:t>
      </w:r>
      <w:r w:rsidR="009B7E39">
        <w:rPr>
          <w:lang w:val="en-GB"/>
        </w:rPr>
        <w:t xml:space="preserve"> d</w:t>
      </w:r>
      <w:r w:rsidR="009B7E39" w:rsidRPr="009B7E39">
        <w:rPr>
          <w:vertAlign w:val="superscript"/>
          <w:lang w:val="en-GB"/>
        </w:rPr>
        <w:t>-1</w:t>
      </w:r>
      <w:r w:rsidR="009B7E39">
        <w:rPr>
          <w:lang w:val="en-GB"/>
        </w:rPr>
        <w:t xml:space="preserve">) </w:t>
      </w:r>
      <w:r w:rsidRPr="00BB10EB">
        <w:rPr>
          <w:lang w:val="en-GB"/>
        </w:rPr>
        <w:t xml:space="preserve">and </w:t>
      </w:r>
      <w:r>
        <w:rPr>
          <w:lang w:val="en-GB"/>
        </w:rPr>
        <w:t>observed yield (Y</w:t>
      </w:r>
      <w:r w:rsidRPr="00BB10EB">
        <w:rPr>
          <w:vertAlign w:val="subscript"/>
          <w:lang w:val="en-GB"/>
        </w:rPr>
        <w:t>OBS</w:t>
      </w:r>
      <w:r w:rsidR="009B7E39">
        <w:rPr>
          <w:lang w:val="en-GB"/>
        </w:rPr>
        <w:t>; COD</w:t>
      </w:r>
      <w:r w:rsidR="009B7E39" w:rsidRPr="009B7E39">
        <w:rPr>
          <w:vertAlign w:val="subscript"/>
          <w:lang w:val="en-GB"/>
        </w:rPr>
        <w:t>PPB</w:t>
      </w:r>
      <w:r w:rsidR="009B7E39">
        <w:rPr>
          <w:lang w:val="en-GB"/>
        </w:rPr>
        <w:t xml:space="preserve"> </w:t>
      </w:r>
      <w:r w:rsidR="00A00D4C">
        <w:rPr>
          <w:lang w:val="en-GB"/>
        </w:rPr>
        <w:br/>
      </w:r>
      <w:r w:rsidR="009B7E39">
        <w:rPr>
          <w:lang w:val="en-GB"/>
        </w:rPr>
        <w:t>COD</w:t>
      </w:r>
      <w:r w:rsidR="009B7E39" w:rsidRPr="009B7E39">
        <w:rPr>
          <w:vertAlign w:val="subscript"/>
          <w:lang w:val="en-GB"/>
        </w:rPr>
        <w:t>SOL</w:t>
      </w:r>
      <w:r w:rsidR="009B7E39" w:rsidRPr="009B7E39">
        <w:rPr>
          <w:vertAlign w:val="superscript"/>
          <w:lang w:val="en-GB"/>
        </w:rPr>
        <w:t>-1</w:t>
      </w:r>
      <w:r w:rsidR="009B7E39">
        <w:rPr>
          <w:lang w:val="en-GB"/>
        </w:rPr>
        <w:t>)</w:t>
      </w:r>
      <w:r>
        <w:rPr>
          <w:lang w:val="en-GB"/>
        </w:rPr>
        <w:t xml:space="preserve"> </w:t>
      </w:r>
      <w:r w:rsidRPr="00BB10EB">
        <w:rPr>
          <w:lang w:val="en-GB"/>
        </w:rPr>
        <w:t xml:space="preserve">were markedly </w:t>
      </w:r>
      <w:r w:rsidR="009B7E39">
        <w:rPr>
          <w:lang w:val="en-GB"/>
        </w:rPr>
        <w:t>affected</w:t>
      </w:r>
      <w:r w:rsidRPr="00BB10EB">
        <w:rPr>
          <w:lang w:val="en-GB"/>
        </w:rPr>
        <w:t xml:space="preserve"> by the </w:t>
      </w:r>
      <w:r>
        <w:rPr>
          <w:lang w:val="en-GB"/>
        </w:rPr>
        <w:t xml:space="preserve">adopted </w:t>
      </w:r>
      <w:r w:rsidRPr="00BB10EB">
        <w:rPr>
          <w:lang w:val="en-GB"/>
        </w:rPr>
        <w:t xml:space="preserve">HRT and light </w:t>
      </w:r>
      <w:r>
        <w:rPr>
          <w:lang w:val="en-GB"/>
        </w:rPr>
        <w:t>intensity/</w:t>
      </w:r>
      <w:r w:rsidRPr="00BB10EB">
        <w:rPr>
          <w:lang w:val="en-GB"/>
        </w:rPr>
        <w:t>availability</w:t>
      </w:r>
      <w:r w:rsidR="00A14E53">
        <w:rPr>
          <w:lang w:val="en-GB"/>
        </w:rPr>
        <w:t xml:space="preserve"> (Figure 2)</w:t>
      </w:r>
      <w:r w:rsidRPr="00BB10EB">
        <w:rPr>
          <w:lang w:val="en-GB"/>
        </w:rPr>
        <w:t xml:space="preserve">. The highest biomass productivity was observed in PBR-2, operated at an HRT of 6 days under continuous illumination, reaching 0.34 g </w:t>
      </w:r>
      <w:r>
        <w:rPr>
          <w:lang w:val="en-GB"/>
        </w:rPr>
        <w:t>PPB</w:t>
      </w:r>
      <w:r w:rsidR="009B7E39">
        <w:rPr>
          <w:lang w:val="en-GB"/>
        </w:rPr>
        <w:t xml:space="preserve"> L</w:t>
      </w:r>
      <w:r w:rsidR="009B7E39" w:rsidRPr="009B7E39">
        <w:rPr>
          <w:vertAlign w:val="superscript"/>
          <w:lang w:val="en-GB"/>
        </w:rPr>
        <w:t>-1</w:t>
      </w:r>
      <w:r w:rsidR="009B7E39">
        <w:rPr>
          <w:lang w:val="en-GB"/>
        </w:rPr>
        <w:t xml:space="preserve"> d</w:t>
      </w:r>
      <w:r w:rsidR="009B7E39" w:rsidRPr="009B7E39">
        <w:rPr>
          <w:vertAlign w:val="superscript"/>
          <w:lang w:val="en-GB"/>
        </w:rPr>
        <w:t>-1</w:t>
      </w:r>
      <w:r>
        <w:rPr>
          <w:lang w:val="en-GB"/>
        </w:rPr>
        <w:t>,</w:t>
      </w:r>
      <w:r w:rsidRPr="00BB10EB">
        <w:rPr>
          <w:lang w:val="en-GB"/>
        </w:rPr>
        <w:t xml:space="preserve"> compared to 0.23 g </w:t>
      </w:r>
      <w:r>
        <w:rPr>
          <w:lang w:val="en-GB"/>
        </w:rPr>
        <w:t>PPB</w:t>
      </w:r>
      <w:r w:rsidR="009B7E39">
        <w:rPr>
          <w:lang w:val="en-GB"/>
        </w:rPr>
        <w:t xml:space="preserve"> </w:t>
      </w:r>
      <w:r w:rsidRPr="00BB10EB">
        <w:rPr>
          <w:lang w:val="en-GB"/>
        </w:rPr>
        <w:t>L</w:t>
      </w:r>
      <w:r w:rsidR="009B7E39" w:rsidRPr="009B7E39">
        <w:rPr>
          <w:vertAlign w:val="superscript"/>
          <w:lang w:val="en-GB"/>
        </w:rPr>
        <w:t>-1</w:t>
      </w:r>
      <w:r w:rsidRPr="00BB10EB">
        <w:rPr>
          <w:lang w:val="en-GB"/>
        </w:rPr>
        <w:t xml:space="preserve"> d</w:t>
      </w:r>
      <w:r w:rsidR="009B7E39" w:rsidRPr="009B7E39">
        <w:rPr>
          <w:vertAlign w:val="superscript"/>
          <w:lang w:val="en-GB"/>
        </w:rPr>
        <w:t>-1</w:t>
      </w:r>
      <w:r>
        <w:rPr>
          <w:lang w:val="en-GB"/>
        </w:rPr>
        <w:t xml:space="preserve"> </w:t>
      </w:r>
      <w:r w:rsidRPr="00BB10EB">
        <w:rPr>
          <w:lang w:val="en-GB"/>
        </w:rPr>
        <w:t xml:space="preserve">in PBR-1, which was operated at a shorter HRT </w:t>
      </w:r>
      <w:r>
        <w:rPr>
          <w:lang w:val="en-GB"/>
        </w:rPr>
        <w:t>(</w:t>
      </w:r>
      <w:r w:rsidRPr="00BB10EB">
        <w:rPr>
          <w:lang w:val="en-GB"/>
        </w:rPr>
        <w:t>3 days</w:t>
      </w:r>
      <w:r>
        <w:rPr>
          <w:lang w:val="en-GB"/>
        </w:rPr>
        <w:t>)</w:t>
      </w:r>
      <w:r w:rsidRPr="00BB10EB">
        <w:rPr>
          <w:lang w:val="en-GB"/>
        </w:rPr>
        <w:t xml:space="preserve"> under the same lighting regime. This increase suggest</w:t>
      </w:r>
      <w:r>
        <w:rPr>
          <w:lang w:val="en-GB"/>
        </w:rPr>
        <w:t xml:space="preserve">ed that </w:t>
      </w:r>
      <w:r w:rsidRPr="00BB10EB">
        <w:rPr>
          <w:lang w:val="en-GB"/>
        </w:rPr>
        <w:t xml:space="preserve">extending HRT </w:t>
      </w:r>
      <w:r>
        <w:rPr>
          <w:lang w:val="en-GB"/>
        </w:rPr>
        <w:t xml:space="preserve">had a </w:t>
      </w:r>
      <w:r w:rsidRPr="00BB10EB">
        <w:rPr>
          <w:lang w:val="en-GB"/>
        </w:rPr>
        <w:t xml:space="preserve">positive </w:t>
      </w:r>
      <w:r>
        <w:rPr>
          <w:lang w:val="en-GB"/>
        </w:rPr>
        <w:t xml:space="preserve">effect </w:t>
      </w:r>
      <w:r w:rsidR="00A00D4C">
        <w:rPr>
          <w:lang w:val="en-GB"/>
        </w:rPr>
        <w:t>on</w:t>
      </w:r>
      <w:r w:rsidR="00A00D4C" w:rsidRPr="00BB10EB">
        <w:rPr>
          <w:lang w:val="en-GB"/>
        </w:rPr>
        <w:t xml:space="preserve"> </w:t>
      </w:r>
      <w:r w:rsidRPr="00BB10EB">
        <w:rPr>
          <w:lang w:val="en-GB"/>
        </w:rPr>
        <w:t xml:space="preserve">biomass </w:t>
      </w:r>
      <w:r>
        <w:rPr>
          <w:lang w:val="en-GB"/>
        </w:rPr>
        <w:t>production</w:t>
      </w:r>
      <w:r w:rsidRPr="00BB10EB">
        <w:rPr>
          <w:lang w:val="en-GB"/>
        </w:rPr>
        <w:t xml:space="preserve">, </w:t>
      </w:r>
      <w:r w:rsidR="008022A5">
        <w:rPr>
          <w:lang w:val="en-GB"/>
        </w:rPr>
        <w:t>despite the 100% of VFA depletion, which was observed only at an HRT of 6 days. This could be interpreted as carbon-limiting growth condition (not observed at an HRT of 3 days, where VFA were depleted only at 7</w:t>
      </w:r>
      <w:r w:rsidR="009B7E39">
        <w:rPr>
          <w:lang w:val="en-GB"/>
        </w:rPr>
        <w:t>5</w:t>
      </w:r>
      <w:r w:rsidR="008022A5">
        <w:rPr>
          <w:lang w:val="en-GB"/>
        </w:rPr>
        <w:t>%)</w:t>
      </w:r>
      <w:r w:rsidR="009B7E39">
        <w:rPr>
          <w:lang w:val="en-GB"/>
        </w:rPr>
        <w:t>,</w:t>
      </w:r>
      <w:r w:rsidR="008022A5">
        <w:rPr>
          <w:lang w:val="en-GB"/>
        </w:rPr>
        <w:t xml:space="preserve"> but probably higher HRT </w:t>
      </w:r>
      <w:r w:rsidR="009B7E39">
        <w:rPr>
          <w:lang w:val="en-GB"/>
        </w:rPr>
        <w:t xml:space="preserve">(6 days) </w:t>
      </w:r>
      <w:r w:rsidR="008022A5">
        <w:rPr>
          <w:lang w:val="en-GB"/>
        </w:rPr>
        <w:t xml:space="preserve">was necessary to support </w:t>
      </w:r>
      <w:r w:rsidRPr="00BB10EB">
        <w:rPr>
          <w:lang w:val="en-GB"/>
        </w:rPr>
        <w:t>microbial growth under photoheterotrophic conditions.</w:t>
      </w:r>
    </w:p>
    <w:p w14:paraId="797A2E21" w14:textId="6A8C83DD" w:rsidR="00BB10EB" w:rsidRPr="00BB10EB" w:rsidRDefault="00BB10EB" w:rsidP="00BB10EB">
      <w:pPr>
        <w:pStyle w:val="CETBodytext"/>
        <w:rPr>
          <w:lang w:val="en-GB"/>
        </w:rPr>
      </w:pPr>
      <w:r w:rsidRPr="00BB10EB">
        <w:rPr>
          <w:lang w:val="en-GB"/>
        </w:rPr>
        <w:t xml:space="preserve">When light availability was reduced at </w:t>
      </w:r>
      <w:r w:rsidR="008022A5">
        <w:rPr>
          <w:lang w:val="en-GB"/>
        </w:rPr>
        <w:t xml:space="preserve">12 h/day by maintaining </w:t>
      </w:r>
      <w:r w:rsidRPr="00BB10EB">
        <w:rPr>
          <w:lang w:val="en-GB"/>
        </w:rPr>
        <w:t xml:space="preserve">constant HRT, biomass productivity decreased to 0.27 g </w:t>
      </w:r>
      <w:r w:rsidR="008022A5">
        <w:rPr>
          <w:lang w:val="en-GB"/>
        </w:rPr>
        <w:t>PPB</w:t>
      </w:r>
      <w:r w:rsidR="009B7E39">
        <w:rPr>
          <w:lang w:val="en-GB"/>
        </w:rPr>
        <w:t xml:space="preserve"> </w:t>
      </w:r>
      <w:r w:rsidRPr="00BB10EB">
        <w:rPr>
          <w:lang w:val="en-GB"/>
        </w:rPr>
        <w:t>L</w:t>
      </w:r>
      <w:r w:rsidR="009B7E39" w:rsidRPr="009B7E39">
        <w:rPr>
          <w:vertAlign w:val="superscript"/>
          <w:lang w:val="en-GB"/>
        </w:rPr>
        <w:t>-1</w:t>
      </w:r>
      <w:r w:rsidRPr="00BB10EB">
        <w:rPr>
          <w:lang w:val="en-GB"/>
        </w:rPr>
        <w:t xml:space="preserve"> d</w:t>
      </w:r>
      <w:r w:rsidR="009B7E39" w:rsidRPr="009B7E39">
        <w:rPr>
          <w:vertAlign w:val="superscript"/>
          <w:lang w:val="en-GB"/>
        </w:rPr>
        <w:t>-1</w:t>
      </w:r>
      <w:r w:rsidR="008022A5">
        <w:rPr>
          <w:lang w:val="en-GB"/>
        </w:rPr>
        <w:t xml:space="preserve"> </w:t>
      </w:r>
      <w:r w:rsidRPr="00BB10EB">
        <w:rPr>
          <w:lang w:val="en-GB"/>
        </w:rPr>
        <w:t xml:space="preserve">in PBR-3, indicating that continuous illumination </w:t>
      </w:r>
      <w:r w:rsidR="005F5DE0" w:rsidRPr="00BB10EB">
        <w:rPr>
          <w:lang w:val="en-GB"/>
        </w:rPr>
        <w:t>favoured</w:t>
      </w:r>
      <w:r w:rsidRPr="00BB10EB">
        <w:rPr>
          <w:lang w:val="en-GB"/>
        </w:rPr>
        <w:t xml:space="preserve"> higher biomass production compared to a 12 h/12 h </w:t>
      </w:r>
      <w:r w:rsidR="002A6396" w:rsidRPr="00BB10EB">
        <w:rPr>
          <w:lang w:val="en-GB"/>
        </w:rPr>
        <w:t>light</w:t>
      </w:r>
      <w:r w:rsidR="002A6396">
        <w:rPr>
          <w:lang w:val="en-GB"/>
        </w:rPr>
        <w:t>/</w:t>
      </w:r>
      <w:r w:rsidRPr="00BB10EB">
        <w:rPr>
          <w:lang w:val="en-GB"/>
        </w:rPr>
        <w:t xml:space="preserve">dark </w:t>
      </w:r>
      <w:r w:rsidR="005F5DE0">
        <w:rPr>
          <w:lang w:val="en-GB"/>
        </w:rPr>
        <w:t>approach</w:t>
      </w:r>
      <w:r w:rsidRPr="00BB10EB">
        <w:rPr>
          <w:lang w:val="en-GB"/>
        </w:rPr>
        <w:t>. This observation is consistent with earlier studies showing that prolonged light exposure enhance</w:t>
      </w:r>
      <w:r w:rsidR="003C436A">
        <w:rPr>
          <w:lang w:val="en-GB"/>
        </w:rPr>
        <w:t>d</w:t>
      </w:r>
      <w:r w:rsidRPr="00BB10EB">
        <w:rPr>
          <w:lang w:val="en-GB"/>
        </w:rPr>
        <w:t xml:space="preserve"> photosynthetic activity and biomass formation in </w:t>
      </w:r>
      <w:r w:rsidR="003C436A">
        <w:rPr>
          <w:lang w:val="en-GB"/>
        </w:rPr>
        <w:t>PPB-based systems</w:t>
      </w:r>
      <w:r w:rsidRPr="00BB10EB">
        <w:rPr>
          <w:lang w:val="en-GB"/>
        </w:rPr>
        <w:t>, while light–dark cycles may limit overall photon utilization efficiency (</w:t>
      </w:r>
      <w:proofErr w:type="spellStart"/>
      <w:r w:rsidR="003C436A" w:rsidRPr="003C436A">
        <w:rPr>
          <w:lang w:val="en-GB"/>
        </w:rPr>
        <w:t>Fradinho</w:t>
      </w:r>
      <w:proofErr w:type="spellEnd"/>
      <w:r w:rsidRPr="00BB10EB">
        <w:rPr>
          <w:lang w:val="en-GB"/>
        </w:rPr>
        <w:t xml:space="preserve"> et al., 201</w:t>
      </w:r>
      <w:r w:rsidR="003C436A">
        <w:rPr>
          <w:lang w:val="en-GB"/>
        </w:rPr>
        <w:t>9</w:t>
      </w:r>
      <w:r w:rsidRPr="00BB10EB">
        <w:rPr>
          <w:lang w:val="en-GB"/>
        </w:rPr>
        <w:t>).</w:t>
      </w:r>
    </w:p>
    <w:p w14:paraId="00833BE6" w14:textId="05CE01D0" w:rsidR="00BB10EB" w:rsidRPr="00BB10EB" w:rsidRDefault="00BB10EB" w:rsidP="00676883">
      <w:pPr>
        <w:pStyle w:val="CETBodytext"/>
        <w:rPr>
          <w:lang w:val="en-GB"/>
        </w:rPr>
      </w:pPr>
      <w:r w:rsidRPr="00BB10EB">
        <w:rPr>
          <w:lang w:val="en-GB"/>
        </w:rPr>
        <w:t xml:space="preserve">A similar trend was observed for the </w:t>
      </w:r>
      <w:r w:rsidR="00EB5FAB">
        <w:rPr>
          <w:lang w:val="en-GB"/>
        </w:rPr>
        <w:t xml:space="preserve">observed </w:t>
      </w:r>
      <w:r w:rsidRPr="00BB10EB">
        <w:rPr>
          <w:lang w:val="en-GB"/>
        </w:rPr>
        <w:t>yield. The maximum yield (0.</w:t>
      </w:r>
      <w:r w:rsidR="00EB5FAB">
        <w:rPr>
          <w:lang w:val="en-GB"/>
        </w:rPr>
        <w:t>57</w:t>
      </w:r>
      <w:r w:rsidRPr="00BB10EB">
        <w:rPr>
          <w:lang w:val="en-GB"/>
        </w:rPr>
        <w:t xml:space="preserve"> g COD</w:t>
      </w:r>
      <w:r w:rsidR="00EB5FAB" w:rsidRPr="00EB5FAB">
        <w:rPr>
          <w:vertAlign w:val="subscript"/>
          <w:lang w:val="en-GB"/>
        </w:rPr>
        <w:t>PPB</w:t>
      </w:r>
      <w:r w:rsidR="009B7E39">
        <w:rPr>
          <w:lang w:val="en-GB"/>
        </w:rPr>
        <w:t xml:space="preserve"> </w:t>
      </w:r>
      <w:r w:rsidRPr="00BB10EB">
        <w:rPr>
          <w:lang w:val="en-GB"/>
        </w:rPr>
        <w:t>g COD</w:t>
      </w:r>
      <w:r w:rsidR="00EB5FAB" w:rsidRPr="00EB5FAB">
        <w:rPr>
          <w:vertAlign w:val="subscript"/>
          <w:lang w:val="en-GB"/>
        </w:rPr>
        <w:t>SOL</w:t>
      </w:r>
      <w:r w:rsidR="009B7E39" w:rsidRPr="009B7E39">
        <w:rPr>
          <w:vertAlign w:val="superscript"/>
          <w:lang w:val="en-GB"/>
        </w:rPr>
        <w:t>-1</w:t>
      </w:r>
      <w:r w:rsidRPr="00BB10EB">
        <w:rPr>
          <w:lang w:val="en-GB"/>
        </w:rPr>
        <w:t>) was obtained in PBR-2, whereas lower values (0.</w:t>
      </w:r>
      <w:r w:rsidR="00EB5FAB">
        <w:rPr>
          <w:lang w:val="en-GB"/>
        </w:rPr>
        <w:t>48</w:t>
      </w:r>
      <w:r w:rsidRPr="00BB10EB">
        <w:rPr>
          <w:lang w:val="en-GB"/>
        </w:rPr>
        <w:t xml:space="preserve"> </w:t>
      </w:r>
      <w:r w:rsidR="00EB5FAB" w:rsidRPr="00BB10EB">
        <w:rPr>
          <w:lang w:val="en-GB"/>
        </w:rPr>
        <w:t>g COD</w:t>
      </w:r>
      <w:r w:rsidR="00EB5FAB" w:rsidRPr="00EB5FAB">
        <w:rPr>
          <w:vertAlign w:val="subscript"/>
          <w:lang w:val="en-GB"/>
        </w:rPr>
        <w:t>PPB</w:t>
      </w:r>
      <w:r w:rsidR="009B7E39">
        <w:rPr>
          <w:lang w:val="en-GB"/>
        </w:rPr>
        <w:t xml:space="preserve"> </w:t>
      </w:r>
      <w:r w:rsidR="00EB5FAB" w:rsidRPr="00BB10EB">
        <w:rPr>
          <w:lang w:val="en-GB"/>
        </w:rPr>
        <w:t>g COD</w:t>
      </w:r>
      <w:r w:rsidR="00EB5FAB" w:rsidRPr="00EB5FAB">
        <w:rPr>
          <w:vertAlign w:val="subscript"/>
          <w:lang w:val="en-GB"/>
        </w:rPr>
        <w:t>SOL</w:t>
      </w:r>
      <w:r w:rsidR="009B7E39" w:rsidRPr="009B7E39">
        <w:rPr>
          <w:vertAlign w:val="superscript"/>
          <w:lang w:val="en-GB"/>
        </w:rPr>
        <w:t>-1</w:t>
      </w:r>
      <w:r w:rsidR="00EB5FAB">
        <w:rPr>
          <w:lang w:val="en-GB"/>
        </w:rPr>
        <w:t xml:space="preserve">) </w:t>
      </w:r>
      <w:r w:rsidRPr="00BB10EB">
        <w:rPr>
          <w:lang w:val="en-GB"/>
        </w:rPr>
        <w:t xml:space="preserve">were </w:t>
      </w:r>
      <w:r w:rsidR="00EB5FAB">
        <w:rPr>
          <w:lang w:val="en-GB"/>
        </w:rPr>
        <w:t>quantified</w:t>
      </w:r>
      <w:r w:rsidRPr="00BB10EB">
        <w:rPr>
          <w:lang w:val="en-GB"/>
        </w:rPr>
        <w:t xml:space="preserve"> in PBR-1 and PBR-3. The increase in </w:t>
      </w:r>
      <w:r w:rsidR="00EB5FAB">
        <w:rPr>
          <w:lang w:val="en-GB"/>
        </w:rPr>
        <w:t>Y</w:t>
      </w:r>
      <w:r w:rsidR="00EB5FAB" w:rsidRPr="00EB5FAB">
        <w:rPr>
          <w:vertAlign w:val="subscript"/>
          <w:lang w:val="en-GB"/>
        </w:rPr>
        <w:t>OBS</w:t>
      </w:r>
      <w:r w:rsidRPr="00BB10EB">
        <w:rPr>
          <w:lang w:val="en-GB"/>
        </w:rPr>
        <w:t xml:space="preserve"> from PBR-1 to PBR-2 further confirm</w:t>
      </w:r>
      <w:r w:rsidR="00EB5FAB">
        <w:rPr>
          <w:lang w:val="en-GB"/>
        </w:rPr>
        <w:t>ed</w:t>
      </w:r>
      <w:r w:rsidRPr="00BB10EB">
        <w:rPr>
          <w:lang w:val="en-GB"/>
        </w:rPr>
        <w:t xml:space="preserve"> the beneficial effect of a longer HRT under continuous light</w:t>
      </w:r>
      <w:r w:rsidR="00676883">
        <w:rPr>
          <w:lang w:val="en-GB"/>
        </w:rPr>
        <w:t xml:space="preserve"> and, even though carbon </w:t>
      </w:r>
      <w:r w:rsidR="00676883" w:rsidRPr="00676883">
        <w:rPr>
          <w:lang w:val="en-GB"/>
        </w:rPr>
        <w:t xml:space="preserve">limiting conditions </w:t>
      </w:r>
      <w:r w:rsidR="00676883">
        <w:rPr>
          <w:lang w:val="en-GB"/>
        </w:rPr>
        <w:t>were observed, t</w:t>
      </w:r>
      <w:r w:rsidR="00676883" w:rsidRPr="00676883">
        <w:rPr>
          <w:lang w:val="en-GB"/>
        </w:rPr>
        <w:t>his did not prevent higher productivity, suggesting efficient substrate use under longer residence</w:t>
      </w:r>
      <w:r w:rsidRPr="00BB10EB">
        <w:rPr>
          <w:lang w:val="en-GB"/>
        </w:rPr>
        <w:t xml:space="preserve">. Conversely, the reduction in light availability in PBR-3 resulted in a yield comparable to that of the short-HRT system, despite the longer residence time, indicating that light limitation </w:t>
      </w:r>
      <w:r w:rsidR="00E115D0">
        <w:rPr>
          <w:lang w:val="en-GB"/>
        </w:rPr>
        <w:t>limited the</w:t>
      </w:r>
      <w:r w:rsidRPr="00BB10EB">
        <w:rPr>
          <w:lang w:val="en-GB"/>
        </w:rPr>
        <w:t xml:space="preserve"> substrate-to-biomass conversion efficiency.</w:t>
      </w:r>
      <w:r w:rsidR="00EB5FAB">
        <w:rPr>
          <w:lang w:val="en-GB"/>
        </w:rPr>
        <w:t xml:space="preserve"> It must be highlighted that those Y</w:t>
      </w:r>
      <w:r w:rsidR="00EB5FAB" w:rsidRPr="00EB5FAB">
        <w:rPr>
          <w:vertAlign w:val="subscript"/>
          <w:lang w:val="en-GB"/>
        </w:rPr>
        <w:t>OBS</w:t>
      </w:r>
      <w:r w:rsidR="00EB5FAB">
        <w:rPr>
          <w:lang w:val="en-GB"/>
        </w:rPr>
        <w:t xml:space="preserve"> values are generally lower, and in some cases comparable, with values observed in pure and mixed PPB cultures reported in a recent review (</w:t>
      </w:r>
      <w:r w:rsidR="00EB5FAB" w:rsidRPr="00EB5FAB">
        <w:rPr>
          <w:lang w:val="en-GB"/>
        </w:rPr>
        <w:t>Capson-Tojo</w:t>
      </w:r>
      <w:r w:rsidR="00EB5FAB">
        <w:rPr>
          <w:lang w:val="en-GB"/>
        </w:rPr>
        <w:t xml:space="preserve"> et al., 2020). This difference could be due to the feeding strategy adopted in this study, which was based on the feast-famine approach to trigger PHA storage (</w:t>
      </w:r>
      <w:r w:rsidR="00D639FF">
        <w:rPr>
          <w:lang w:val="en-GB"/>
        </w:rPr>
        <w:t>Valentino et al., 2013</w:t>
      </w:r>
      <w:r w:rsidR="00EB5FAB">
        <w:rPr>
          <w:lang w:val="en-GB"/>
        </w:rPr>
        <w:t xml:space="preserve">).  </w:t>
      </w:r>
    </w:p>
    <w:p w14:paraId="2C77E5ED" w14:textId="692354D3" w:rsidR="005A3D1F" w:rsidRDefault="00BB10EB" w:rsidP="00BB10EB">
      <w:pPr>
        <w:pStyle w:val="CETBodytext"/>
        <w:rPr>
          <w:lang w:val="en-GB"/>
        </w:rPr>
      </w:pPr>
      <w:r w:rsidRPr="00BB10EB">
        <w:rPr>
          <w:lang w:val="en-GB"/>
        </w:rPr>
        <w:t xml:space="preserve">Overall, these results demonstrate that, under constant </w:t>
      </w:r>
      <w:r w:rsidR="00E115D0">
        <w:rPr>
          <w:lang w:val="en-GB"/>
        </w:rPr>
        <w:t>OLR</w:t>
      </w:r>
      <w:r w:rsidRPr="00BB10EB">
        <w:rPr>
          <w:lang w:val="en-GB"/>
        </w:rPr>
        <w:t xml:space="preserve">, HRT and illumination regime </w:t>
      </w:r>
      <w:r w:rsidR="00E115D0">
        <w:rPr>
          <w:lang w:val="en-GB"/>
        </w:rPr>
        <w:t>affected</w:t>
      </w:r>
      <w:r w:rsidRPr="00BB10EB">
        <w:rPr>
          <w:lang w:val="en-GB"/>
        </w:rPr>
        <w:t xml:space="preserve"> both </w:t>
      </w:r>
      <w:r w:rsidR="00E115D0">
        <w:rPr>
          <w:lang w:val="en-GB"/>
        </w:rPr>
        <w:t xml:space="preserve">PPB </w:t>
      </w:r>
      <w:r w:rsidRPr="00BB10EB">
        <w:rPr>
          <w:lang w:val="en-GB"/>
        </w:rPr>
        <w:t>productivity and yield, with optimal performance achieved at longer HRT coupled with continuous light supply.</w:t>
      </w:r>
    </w:p>
    <w:p w14:paraId="0EBC8A12" w14:textId="1DF57C01" w:rsidR="005A3D1F" w:rsidRDefault="003C436A" w:rsidP="00860862">
      <w:pPr>
        <w:pStyle w:val="CETBodytext"/>
      </w:pPr>
      <w:r>
        <w:rPr>
          <w:noProof/>
        </w:rPr>
        <w:drawing>
          <wp:inline distT="0" distB="0" distL="0" distR="0" wp14:anchorId="12342986" wp14:editId="1D4DECC5">
            <wp:extent cx="2772000" cy="1811090"/>
            <wp:effectExtent l="0" t="0" r="9525" b="0"/>
            <wp:docPr id="821600250" name="Elemento 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600250"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2772000" cy="1811090"/>
                    </a:xfrm>
                    <a:prstGeom prst="rect">
                      <a:avLst/>
                    </a:prstGeom>
                  </pic:spPr>
                </pic:pic>
              </a:graphicData>
            </a:graphic>
          </wp:inline>
        </w:drawing>
      </w:r>
    </w:p>
    <w:p w14:paraId="72098743" w14:textId="43AEA127" w:rsidR="005A3D1F" w:rsidRDefault="005A3D1F" w:rsidP="00155525">
      <w:pPr>
        <w:pStyle w:val="CETTabletitle"/>
        <w:jc w:val="both"/>
      </w:pPr>
      <w:r>
        <w:t>Figure</w:t>
      </w:r>
      <w:r w:rsidRPr="00B57B36">
        <w:t xml:space="preserve"> </w:t>
      </w:r>
      <w:r w:rsidR="00155525">
        <w:t>2</w:t>
      </w:r>
      <w:r w:rsidRPr="00B57B36">
        <w:t xml:space="preserve">: </w:t>
      </w:r>
      <w:r w:rsidR="00155525">
        <w:t>Average values of PPB productivity (g PPB</w:t>
      </w:r>
      <w:r w:rsidR="00E115D0">
        <w:t xml:space="preserve"> </w:t>
      </w:r>
      <w:r w:rsidR="00155525">
        <w:t>L</w:t>
      </w:r>
      <w:r w:rsidR="00E115D0" w:rsidRPr="00E115D0">
        <w:rPr>
          <w:vertAlign w:val="superscript"/>
        </w:rPr>
        <w:t>-1</w:t>
      </w:r>
      <w:r w:rsidR="00155525">
        <w:t xml:space="preserve"> d</w:t>
      </w:r>
      <w:r w:rsidR="00E115D0" w:rsidRPr="00E115D0">
        <w:rPr>
          <w:vertAlign w:val="superscript"/>
        </w:rPr>
        <w:t>-1</w:t>
      </w:r>
      <w:r w:rsidR="00155525">
        <w:t>) and observed yield (COD</w:t>
      </w:r>
      <w:r w:rsidR="00E115D0" w:rsidRPr="00E115D0">
        <w:rPr>
          <w:vertAlign w:val="subscript"/>
        </w:rPr>
        <w:t>PPB</w:t>
      </w:r>
      <w:r w:rsidR="00E115D0">
        <w:t xml:space="preserve"> </w:t>
      </w:r>
      <w:r w:rsidR="00155525">
        <w:t>COD</w:t>
      </w:r>
      <w:r w:rsidR="00E115D0" w:rsidRPr="00E115D0">
        <w:rPr>
          <w:vertAlign w:val="subscript"/>
        </w:rPr>
        <w:t>SOL</w:t>
      </w:r>
      <w:r w:rsidR="00E115D0" w:rsidRPr="00E115D0">
        <w:rPr>
          <w:vertAlign w:val="superscript"/>
        </w:rPr>
        <w:t>-1</w:t>
      </w:r>
      <w:r w:rsidR="00155525">
        <w:t>) in the three photobioreactors at the steady state</w:t>
      </w:r>
      <w:r>
        <w:t>.</w:t>
      </w:r>
    </w:p>
    <w:p w14:paraId="7297146A" w14:textId="77777777" w:rsidR="005A3D1F" w:rsidRDefault="005A3D1F" w:rsidP="005A3D1F">
      <w:pPr>
        <w:pStyle w:val="CETBodytext"/>
        <w:rPr>
          <w:lang w:val="en-GB"/>
        </w:rPr>
      </w:pPr>
    </w:p>
    <w:p w14:paraId="267D3983" w14:textId="58271E7E" w:rsidR="00D639FF" w:rsidRPr="00D639FF" w:rsidRDefault="00E115D0" w:rsidP="00D639FF">
      <w:pPr>
        <w:autoSpaceDE w:val="0"/>
        <w:autoSpaceDN w:val="0"/>
        <w:adjustRightInd w:val="0"/>
        <w:spacing w:line="276" w:lineRule="auto"/>
        <w:rPr>
          <w:rFonts w:cs="Arial"/>
          <w:lang w:val="en-US"/>
        </w:rPr>
      </w:pPr>
      <w:r>
        <w:rPr>
          <w:rFonts w:cs="Arial"/>
          <w:lang w:val="en-US"/>
        </w:rPr>
        <w:t>P</w:t>
      </w:r>
      <w:r w:rsidR="00D639FF" w:rsidRPr="00D639FF">
        <w:rPr>
          <w:rFonts w:cs="Arial"/>
          <w:lang w:val="en-US"/>
        </w:rPr>
        <w:t>igment</w:t>
      </w:r>
      <w:r>
        <w:rPr>
          <w:rFonts w:cs="Arial"/>
          <w:lang w:val="en-US"/>
        </w:rPr>
        <w:t xml:space="preserve">s’ synthesis was also affected </w:t>
      </w:r>
      <w:r w:rsidR="00D639FF" w:rsidRPr="00D639FF">
        <w:rPr>
          <w:rFonts w:cs="Arial"/>
          <w:lang w:val="en-US"/>
        </w:rPr>
        <w:t>by both HRT and light availability</w:t>
      </w:r>
      <w:r w:rsidR="00A14E53">
        <w:rPr>
          <w:rFonts w:cs="Arial"/>
          <w:lang w:val="en-US"/>
        </w:rPr>
        <w:t xml:space="preserve"> (Figure 3)</w:t>
      </w:r>
      <w:r w:rsidR="00D639FF" w:rsidRPr="00D639FF">
        <w:rPr>
          <w:rFonts w:cs="Arial"/>
          <w:lang w:val="en-US"/>
        </w:rPr>
        <w:t xml:space="preserve">. Total </w:t>
      </w:r>
      <w:proofErr w:type="spellStart"/>
      <w:r w:rsidR="00BB73C2">
        <w:rPr>
          <w:rFonts w:cs="Arial"/>
          <w:lang w:val="en-US"/>
        </w:rPr>
        <w:t>Crts</w:t>
      </w:r>
      <w:proofErr w:type="spellEnd"/>
      <w:r w:rsidR="00D639FF" w:rsidRPr="00D639FF">
        <w:rPr>
          <w:rFonts w:cs="Arial"/>
          <w:lang w:val="en-US"/>
        </w:rPr>
        <w:t xml:space="preserve"> content increased from 2</w:t>
      </w:r>
      <w:r w:rsidR="00BB73C2">
        <w:rPr>
          <w:rFonts w:cs="Arial"/>
          <w:lang w:val="en-US"/>
        </w:rPr>
        <w:t>.5</w:t>
      </w:r>
      <w:r w:rsidR="00D639FF" w:rsidRPr="00D639FF">
        <w:rPr>
          <w:rFonts w:cs="Arial"/>
          <w:lang w:val="en-US"/>
        </w:rPr>
        <w:t xml:space="preserve"> </w:t>
      </w:r>
      <w:proofErr w:type="spellStart"/>
      <w:r w:rsidR="00BB73C2">
        <w:rPr>
          <w:rFonts w:cs="Arial"/>
          <w:lang w:val="en-US"/>
        </w:rPr>
        <w:t>m</w:t>
      </w:r>
      <w:r w:rsidR="00D639FF" w:rsidRPr="00D639FF">
        <w:rPr>
          <w:rFonts w:cs="Arial"/>
          <w:lang w:val="en-US"/>
        </w:rPr>
        <w:t>g</w:t>
      </w:r>
      <w:r w:rsidRPr="00E115D0">
        <w:rPr>
          <w:rFonts w:cs="Arial"/>
          <w:vertAlign w:val="subscript"/>
          <w:lang w:val="en-US"/>
        </w:rPr>
        <w:t>Crts</w:t>
      </w:r>
      <w:proofErr w:type="spellEnd"/>
      <w:r>
        <w:rPr>
          <w:rFonts w:cs="Arial"/>
          <w:lang w:val="en-US"/>
        </w:rPr>
        <w:t xml:space="preserve"> </w:t>
      </w:r>
      <w:proofErr w:type="spellStart"/>
      <w:r w:rsidR="00D639FF" w:rsidRPr="00D639FF">
        <w:rPr>
          <w:rFonts w:cs="Arial"/>
          <w:lang w:val="en-US"/>
        </w:rPr>
        <w:t>g</w:t>
      </w:r>
      <w:r w:rsidRPr="00E115D0">
        <w:rPr>
          <w:rFonts w:cs="Arial"/>
          <w:vertAlign w:val="subscript"/>
          <w:lang w:val="en-US"/>
        </w:rPr>
        <w:t>dry</w:t>
      </w:r>
      <w:proofErr w:type="spellEnd"/>
      <w:r>
        <w:rPr>
          <w:rFonts w:cs="Arial"/>
          <w:lang w:val="en-US"/>
        </w:rPr>
        <w:t xml:space="preserve"> </w:t>
      </w:r>
      <w:r w:rsidR="00BB73C2" w:rsidRPr="00923322">
        <w:rPr>
          <w:rFonts w:cs="Arial"/>
          <w:vertAlign w:val="subscript"/>
          <w:lang w:val="en-US"/>
        </w:rPr>
        <w:t>PPB</w:t>
      </w:r>
      <w:r w:rsidRPr="00E115D0">
        <w:rPr>
          <w:rFonts w:cs="Arial"/>
          <w:vertAlign w:val="superscript"/>
          <w:lang w:val="en-US"/>
        </w:rPr>
        <w:t>-1</w:t>
      </w:r>
      <w:r w:rsidR="00BB73C2">
        <w:rPr>
          <w:rFonts w:ascii="Cambria Math" w:hAnsi="Cambria Math" w:cs="Cambria Math"/>
          <w:lang w:val="en-US"/>
        </w:rPr>
        <w:t xml:space="preserve"> </w:t>
      </w:r>
      <w:r w:rsidR="00D639FF" w:rsidRPr="00D639FF">
        <w:rPr>
          <w:rFonts w:cs="Arial"/>
          <w:lang w:val="en-US"/>
        </w:rPr>
        <w:t>in PBR-1 to 4</w:t>
      </w:r>
      <w:r w:rsidR="00BB73C2">
        <w:rPr>
          <w:rFonts w:cs="Arial"/>
          <w:lang w:val="en-US"/>
        </w:rPr>
        <w:t xml:space="preserve">.5 </w:t>
      </w:r>
      <w:proofErr w:type="spellStart"/>
      <w:r>
        <w:rPr>
          <w:rFonts w:cs="Arial"/>
          <w:lang w:val="en-US"/>
        </w:rPr>
        <w:t>m</w:t>
      </w:r>
      <w:r w:rsidRPr="00D639FF">
        <w:rPr>
          <w:rFonts w:cs="Arial"/>
          <w:lang w:val="en-US"/>
        </w:rPr>
        <w:t>g</w:t>
      </w:r>
      <w:r w:rsidRPr="00E115D0">
        <w:rPr>
          <w:rFonts w:cs="Arial"/>
          <w:vertAlign w:val="subscript"/>
          <w:lang w:val="en-US"/>
        </w:rPr>
        <w:t>Crts</w:t>
      </w:r>
      <w:proofErr w:type="spellEnd"/>
      <w:r>
        <w:rPr>
          <w:rFonts w:cs="Arial"/>
          <w:lang w:val="en-US"/>
        </w:rPr>
        <w:t xml:space="preserve"> </w:t>
      </w:r>
      <w:proofErr w:type="spellStart"/>
      <w:r w:rsidRPr="00D639FF">
        <w:rPr>
          <w:rFonts w:cs="Arial"/>
          <w:lang w:val="en-US"/>
        </w:rPr>
        <w:t>g</w:t>
      </w:r>
      <w:r w:rsidRPr="00E115D0">
        <w:rPr>
          <w:rFonts w:cs="Arial"/>
          <w:vertAlign w:val="subscript"/>
          <w:lang w:val="en-US"/>
        </w:rPr>
        <w:t>dry</w:t>
      </w:r>
      <w:proofErr w:type="spellEnd"/>
      <w:r>
        <w:rPr>
          <w:rFonts w:cs="Arial"/>
          <w:lang w:val="en-US"/>
        </w:rPr>
        <w:t xml:space="preserve"> </w:t>
      </w:r>
      <w:r w:rsidRPr="00923322">
        <w:rPr>
          <w:rFonts w:cs="Arial"/>
          <w:vertAlign w:val="subscript"/>
          <w:lang w:val="en-US"/>
        </w:rPr>
        <w:t>PPB</w:t>
      </w:r>
      <w:r w:rsidRPr="00E115D0">
        <w:rPr>
          <w:rFonts w:cs="Arial"/>
          <w:vertAlign w:val="superscript"/>
          <w:lang w:val="en-US"/>
        </w:rPr>
        <w:t>-1</w:t>
      </w:r>
      <w:r w:rsidR="00BB73C2">
        <w:rPr>
          <w:rFonts w:ascii="Cambria Math" w:hAnsi="Cambria Math" w:cs="Cambria Math"/>
          <w:lang w:val="en-US"/>
        </w:rPr>
        <w:t xml:space="preserve"> </w:t>
      </w:r>
      <w:r w:rsidR="00BB73C2" w:rsidRPr="00D639FF">
        <w:rPr>
          <w:rFonts w:cs="Arial"/>
          <w:lang w:val="en-US"/>
        </w:rPr>
        <w:t>in</w:t>
      </w:r>
      <w:r w:rsidR="00D639FF" w:rsidRPr="00D639FF">
        <w:rPr>
          <w:rFonts w:cs="Arial"/>
          <w:lang w:val="en-US"/>
        </w:rPr>
        <w:t xml:space="preserve"> PBR-2, indicating that the extension of HRT from 3 to 6 days under continuous illumination </w:t>
      </w:r>
      <w:r>
        <w:rPr>
          <w:rFonts w:cs="Arial"/>
          <w:lang w:val="en-US"/>
        </w:rPr>
        <w:t>favored</w:t>
      </w:r>
      <w:r w:rsidR="00D639FF" w:rsidRPr="00D639FF">
        <w:rPr>
          <w:rFonts w:cs="Arial"/>
          <w:lang w:val="en-US"/>
        </w:rPr>
        <w:t xml:space="preserve"> the accumulation of photoprotective pigments. A decrease in </w:t>
      </w:r>
      <w:proofErr w:type="spellStart"/>
      <w:r>
        <w:rPr>
          <w:rFonts w:cs="Arial"/>
          <w:lang w:val="en-US"/>
        </w:rPr>
        <w:t>Crts</w:t>
      </w:r>
      <w:proofErr w:type="spellEnd"/>
      <w:r w:rsidR="00D639FF" w:rsidRPr="00D639FF">
        <w:rPr>
          <w:rFonts w:cs="Arial"/>
          <w:lang w:val="en-US"/>
        </w:rPr>
        <w:t xml:space="preserve"> content to </w:t>
      </w:r>
      <w:r w:rsidR="00BB73C2">
        <w:rPr>
          <w:rFonts w:cs="Arial"/>
          <w:lang w:val="en-US"/>
        </w:rPr>
        <w:t>3.5</w:t>
      </w:r>
      <w:r w:rsidR="00BB73C2" w:rsidRPr="00D639FF">
        <w:rPr>
          <w:rFonts w:cs="Arial"/>
          <w:lang w:val="en-US"/>
        </w:rPr>
        <w:t xml:space="preserve"> </w:t>
      </w:r>
      <w:proofErr w:type="spellStart"/>
      <w:r>
        <w:rPr>
          <w:rFonts w:cs="Arial"/>
          <w:lang w:val="en-US"/>
        </w:rPr>
        <w:t>m</w:t>
      </w:r>
      <w:r w:rsidRPr="00D639FF">
        <w:rPr>
          <w:rFonts w:cs="Arial"/>
          <w:lang w:val="en-US"/>
        </w:rPr>
        <w:t>g</w:t>
      </w:r>
      <w:r w:rsidRPr="00E115D0">
        <w:rPr>
          <w:rFonts w:cs="Arial"/>
          <w:vertAlign w:val="subscript"/>
          <w:lang w:val="en-US"/>
        </w:rPr>
        <w:t>Crts</w:t>
      </w:r>
      <w:proofErr w:type="spellEnd"/>
      <w:r>
        <w:rPr>
          <w:rFonts w:cs="Arial"/>
          <w:lang w:val="en-US"/>
        </w:rPr>
        <w:t xml:space="preserve"> </w:t>
      </w:r>
      <w:proofErr w:type="spellStart"/>
      <w:r w:rsidRPr="00D639FF">
        <w:rPr>
          <w:rFonts w:cs="Arial"/>
          <w:lang w:val="en-US"/>
        </w:rPr>
        <w:t>g</w:t>
      </w:r>
      <w:r w:rsidRPr="00E115D0">
        <w:rPr>
          <w:rFonts w:cs="Arial"/>
          <w:vertAlign w:val="subscript"/>
          <w:lang w:val="en-US"/>
        </w:rPr>
        <w:t>dry</w:t>
      </w:r>
      <w:proofErr w:type="spellEnd"/>
      <w:r>
        <w:rPr>
          <w:rFonts w:cs="Arial"/>
          <w:lang w:val="en-US"/>
        </w:rPr>
        <w:t xml:space="preserve"> </w:t>
      </w:r>
      <w:r w:rsidRPr="00923322">
        <w:rPr>
          <w:rFonts w:cs="Arial"/>
          <w:vertAlign w:val="subscript"/>
          <w:lang w:val="en-US"/>
        </w:rPr>
        <w:t>PPB</w:t>
      </w:r>
      <w:r w:rsidRPr="00E115D0">
        <w:rPr>
          <w:rFonts w:cs="Arial"/>
          <w:vertAlign w:val="superscript"/>
          <w:lang w:val="en-US"/>
        </w:rPr>
        <w:t>-1</w:t>
      </w:r>
      <w:r w:rsidR="00D639FF" w:rsidRPr="00D639FF">
        <w:rPr>
          <w:rFonts w:cs="Arial"/>
          <w:lang w:val="en-US"/>
        </w:rPr>
        <w:t xml:space="preserve"> was observed in PBR-3, where the same HRT was maintained but light availability was reduced to 12 h per day, suggesting that continuous illumination </w:t>
      </w:r>
      <w:r w:rsidR="0066207A">
        <w:rPr>
          <w:rFonts w:cs="Arial"/>
          <w:lang w:val="en-US"/>
        </w:rPr>
        <w:t xml:space="preserve">or higher irradiance </w:t>
      </w:r>
      <w:r w:rsidR="00D639FF" w:rsidRPr="00D639FF">
        <w:rPr>
          <w:rFonts w:cs="Arial"/>
          <w:lang w:val="en-US"/>
        </w:rPr>
        <w:t xml:space="preserve">favored higher </w:t>
      </w:r>
      <w:proofErr w:type="spellStart"/>
      <w:r>
        <w:rPr>
          <w:rFonts w:cs="Arial"/>
          <w:lang w:val="en-US"/>
        </w:rPr>
        <w:t>Crts</w:t>
      </w:r>
      <w:proofErr w:type="spellEnd"/>
      <w:r w:rsidR="00D639FF" w:rsidRPr="00D639FF">
        <w:rPr>
          <w:rFonts w:cs="Arial"/>
          <w:lang w:val="en-US"/>
        </w:rPr>
        <w:t xml:space="preserve"> synthesis</w:t>
      </w:r>
      <w:r w:rsidR="0066207A">
        <w:rPr>
          <w:rFonts w:cs="Arial"/>
          <w:lang w:val="en-US"/>
        </w:rPr>
        <w:t>,</w:t>
      </w:r>
      <w:r w:rsidR="00D639FF" w:rsidRPr="00D639FF">
        <w:rPr>
          <w:rFonts w:cs="Arial"/>
          <w:lang w:val="en-US"/>
        </w:rPr>
        <w:t xml:space="preserve"> </w:t>
      </w:r>
      <w:r w:rsidR="0066207A" w:rsidRPr="00D639FF">
        <w:rPr>
          <w:rFonts w:cs="Arial"/>
          <w:lang w:val="en-US"/>
        </w:rPr>
        <w:t>compared to light–dark cycles</w:t>
      </w:r>
      <w:r w:rsidR="0066207A">
        <w:rPr>
          <w:rFonts w:cs="Arial"/>
          <w:lang w:val="en-US"/>
        </w:rPr>
        <w:t xml:space="preserve">, as </w:t>
      </w:r>
      <w:r w:rsidR="0066207A" w:rsidRPr="0066207A">
        <w:rPr>
          <w:rFonts w:cs="Arial"/>
          <w:lang w:val="en-US"/>
        </w:rPr>
        <w:t>photoprotective pigments</w:t>
      </w:r>
      <w:r w:rsidR="00D639FF" w:rsidRPr="00D639FF">
        <w:rPr>
          <w:rFonts w:cs="Arial"/>
          <w:lang w:val="en-US"/>
        </w:rPr>
        <w:t>.</w:t>
      </w:r>
      <w:r w:rsidR="00D90DC4">
        <w:rPr>
          <w:rFonts w:cs="Arial"/>
          <w:lang w:val="en-US"/>
        </w:rPr>
        <w:t xml:space="preserve"> </w:t>
      </w:r>
      <w:r w:rsidR="00D639FF" w:rsidRPr="00D639FF">
        <w:rPr>
          <w:rFonts w:cs="Arial"/>
          <w:lang w:val="en-US"/>
        </w:rPr>
        <w:t xml:space="preserve">In contrast, total </w:t>
      </w:r>
      <w:proofErr w:type="spellStart"/>
      <w:r w:rsidR="00BB73C2">
        <w:rPr>
          <w:rFonts w:cs="Arial"/>
          <w:lang w:val="en-US"/>
        </w:rPr>
        <w:t>BChls</w:t>
      </w:r>
      <w:proofErr w:type="spellEnd"/>
      <w:r w:rsidR="00D639FF" w:rsidRPr="00D639FF">
        <w:rPr>
          <w:rFonts w:cs="Arial"/>
          <w:lang w:val="en-US"/>
        </w:rPr>
        <w:t xml:space="preserve"> </w:t>
      </w:r>
      <w:r w:rsidR="00D639FF" w:rsidRPr="00D639FF">
        <w:rPr>
          <w:rFonts w:cs="Arial"/>
          <w:lang w:val="en-US"/>
        </w:rPr>
        <w:lastRenderedPageBreak/>
        <w:t xml:space="preserve">content showed a different trend. While </w:t>
      </w:r>
      <w:proofErr w:type="spellStart"/>
      <w:r w:rsidR="00BB73C2">
        <w:rPr>
          <w:rFonts w:cs="Arial"/>
          <w:lang w:val="en-US"/>
        </w:rPr>
        <w:t>BChls</w:t>
      </w:r>
      <w:proofErr w:type="spellEnd"/>
      <w:r w:rsidR="00BB73C2" w:rsidRPr="00D639FF">
        <w:rPr>
          <w:rFonts w:cs="Arial"/>
          <w:lang w:val="en-US"/>
        </w:rPr>
        <w:t xml:space="preserve"> </w:t>
      </w:r>
      <w:r w:rsidR="00D639FF" w:rsidRPr="00D639FF">
        <w:rPr>
          <w:rFonts w:cs="Arial"/>
          <w:lang w:val="en-US"/>
        </w:rPr>
        <w:t>concentration increased from 1</w:t>
      </w:r>
      <w:r w:rsidR="00BB73C2">
        <w:rPr>
          <w:rFonts w:cs="Arial"/>
          <w:lang w:val="en-US"/>
        </w:rPr>
        <w:t xml:space="preserve">.9 </w:t>
      </w:r>
      <w:proofErr w:type="spellStart"/>
      <w:r>
        <w:rPr>
          <w:rFonts w:cs="Arial"/>
          <w:lang w:val="en-US"/>
        </w:rPr>
        <w:t>m</w:t>
      </w:r>
      <w:r w:rsidRPr="00D639FF">
        <w:rPr>
          <w:rFonts w:cs="Arial"/>
          <w:lang w:val="en-US"/>
        </w:rPr>
        <w:t>g</w:t>
      </w:r>
      <w:r w:rsidRPr="00E115D0">
        <w:rPr>
          <w:rFonts w:cs="Arial"/>
          <w:vertAlign w:val="subscript"/>
          <w:lang w:val="en-US"/>
        </w:rPr>
        <w:t>BChls</w:t>
      </w:r>
      <w:proofErr w:type="spellEnd"/>
      <w:r>
        <w:rPr>
          <w:rFonts w:cs="Arial"/>
          <w:lang w:val="en-US"/>
        </w:rPr>
        <w:t xml:space="preserve"> </w:t>
      </w:r>
      <w:proofErr w:type="spellStart"/>
      <w:r w:rsidRPr="00D639FF">
        <w:rPr>
          <w:rFonts w:cs="Arial"/>
          <w:lang w:val="en-US"/>
        </w:rPr>
        <w:t>g</w:t>
      </w:r>
      <w:r w:rsidRPr="00E115D0">
        <w:rPr>
          <w:rFonts w:cs="Arial"/>
          <w:vertAlign w:val="subscript"/>
          <w:lang w:val="en-US"/>
        </w:rPr>
        <w:t>dry</w:t>
      </w:r>
      <w:proofErr w:type="spellEnd"/>
      <w:r>
        <w:rPr>
          <w:rFonts w:cs="Arial"/>
          <w:lang w:val="en-US"/>
        </w:rPr>
        <w:t xml:space="preserve"> </w:t>
      </w:r>
      <w:r w:rsidRPr="00923322">
        <w:rPr>
          <w:rFonts w:cs="Arial"/>
          <w:vertAlign w:val="subscript"/>
          <w:lang w:val="en-US"/>
        </w:rPr>
        <w:t>PPB</w:t>
      </w:r>
      <w:r w:rsidRPr="00E115D0">
        <w:rPr>
          <w:rFonts w:cs="Arial"/>
          <w:vertAlign w:val="superscript"/>
          <w:lang w:val="en-US"/>
        </w:rPr>
        <w:t>-1</w:t>
      </w:r>
      <w:r w:rsidR="00D639FF" w:rsidRPr="00D639FF">
        <w:rPr>
          <w:rFonts w:cs="Arial"/>
          <w:lang w:val="en-US"/>
        </w:rPr>
        <w:t xml:space="preserve"> in PBR-1 to </w:t>
      </w:r>
      <w:r w:rsidR="00BB73C2">
        <w:rPr>
          <w:rFonts w:cs="Arial"/>
          <w:lang w:val="en-US"/>
        </w:rPr>
        <w:t xml:space="preserve">3.2 </w:t>
      </w:r>
      <w:proofErr w:type="spellStart"/>
      <w:r>
        <w:rPr>
          <w:rFonts w:cs="Arial"/>
          <w:lang w:val="en-US"/>
        </w:rPr>
        <w:t>m</w:t>
      </w:r>
      <w:r w:rsidRPr="00D639FF">
        <w:rPr>
          <w:rFonts w:cs="Arial"/>
          <w:lang w:val="en-US"/>
        </w:rPr>
        <w:t>g</w:t>
      </w:r>
      <w:r w:rsidRPr="00E115D0">
        <w:rPr>
          <w:rFonts w:cs="Arial"/>
          <w:vertAlign w:val="subscript"/>
          <w:lang w:val="en-US"/>
        </w:rPr>
        <w:t>BChls</w:t>
      </w:r>
      <w:proofErr w:type="spellEnd"/>
      <w:r>
        <w:rPr>
          <w:rFonts w:cs="Arial"/>
          <w:lang w:val="en-US"/>
        </w:rPr>
        <w:t xml:space="preserve"> </w:t>
      </w:r>
      <w:proofErr w:type="spellStart"/>
      <w:r w:rsidRPr="00D639FF">
        <w:rPr>
          <w:rFonts w:cs="Arial"/>
          <w:lang w:val="en-US"/>
        </w:rPr>
        <w:t>g</w:t>
      </w:r>
      <w:r w:rsidRPr="00E115D0">
        <w:rPr>
          <w:rFonts w:cs="Arial"/>
          <w:vertAlign w:val="subscript"/>
          <w:lang w:val="en-US"/>
        </w:rPr>
        <w:t>dry</w:t>
      </w:r>
      <w:proofErr w:type="spellEnd"/>
      <w:r>
        <w:rPr>
          <w:rFonts w:cs="Arial"/>
          <w:lang w:val="en-US"/>
        </w:rPr>
        <w:t xml:space="preserve"> </w:t>
      </w:r>
      <w:r w:rsidRPr="00923322">
        <w:rPr>
          <w:rFonts w:cs="Arial"/>
          <w:vertAlign w:val="subscript"/>
          <w:lang w:val="en-US"/>
        </w:rPr>
        <w:t>PPB</w:t>
      </w:r>
      <w:r w:rsidRPr="00E115D0">
        <w:rPr>
          <w:rFonts w:cs="Arial"/>
          <w:vertAlign w:val="superscript"/>
          <w:lang w:val="en-US"/>
        </w:rPr>
        <w:t>-1</w:t>
      </w:r>
      <w:r w:rsidR="00D639FF" w:rsidRPr="00D639FF">
        <w:rPr>
          <w:rFonts w:cs="Arial"/>
          <w:lang w:val="en-US"/>
        </w:rPr>
        <w:t xml:space="preserve"> in PBR-2, the highest value (</w:t>
      </w:r>
      <w:r w:rsidR="00BB73C2">
        <w:rPr>
          <w:rFonts w:cs="Arial"/>
          <w:lang w:val="en-US"/>
        </w:rPr>
        <w:t xml:space="preserve">4.1 </w:t>
      </w:r>
      <w:proofErr w:type="spellStart"/>
      <w:r>
        <w:rPr>
          <w:rFonts w:cs="Arial"/>
          <w:lang w:val="en-US"/>
        </w:rPr>
        <w:t>m</w:t>
      </w:r>
      <w:r w:rsidRPr="00D639FF">
        <w:rPr>
          <w:rFonts w:cs="Arial"/>
          <w:lang w:val="en-US"/>
        </w:rPr>
        <w:t>g</w:t>
      </w:r>
      <w:r w:rsidRPr="00E115D0">
        <w:rPr>
          <w:rFonts w:cs="Arial"/>
          <w:vertAlign w:val="subscript"/>
          <w:lang w:val="en-US"/>
        </w:rPr>
        <w:t>BChls</w:t>
      </w:r>
      <w:proofErr w:type="spellEnd"/>
      <w:r>
        <w:rPr>
          <w:rFonts w:cs="Arial"/>
          <w:lang w:val="en-US"/>
        </w:rPr>
        <w:t xml:space="preserve"> </w:t>
      </w:r>
      <w:proofErr w:type="spellStart"/>
      <w:r w:rsidRPr="00D639FF">
        <w:rPr>
          <w:rFonts w:cs="Arial"/>
          <w:lang w:val="en-US"/>
        </w:rPr>
        <w:t>g</w:t>
      </w:r>
      <w:r w:rsidRPr="00E115D0">
        <w:rPr>
          <w:rFonts w:cs="Arial"/>
          <w:vertAlign w:val="subscript"/>
          <w:lang w:val="en-US"/>
        </w:rPr>
        <w:t>dry</w:t>
      </w:r>
      <w:proofErr w:type="spellEnd"/>
      <w:r>
        <w:rPr>
          <w:rFonts w:cs="Arial"/>
          <w:lang w:val="en-US"/>
        </w:rPr>
        <w:t xml:space="preserve"> </w:t>
      </w:r>
      <w:r w:rsidRPr="00923322">
        <w:rPr>
          <w:rFonts w:cs="Arial"/>
          <w:vertAlign w:val="subscript"/>
          <w:lang w:val="en-US"/>
        </w:rPr>
        <w:t>PPB</w:t>
      </w:r>
      <w:r w:rsidRPr="00E115D0">
        <w:rPr>
          <w:rFonts w:cs="Arial"/>
          <w:vertAlign w:val="superscript"/>
          <w:lang w:val="en-US"/>
        </w:rPr>
        <w:t>-1</w:t>
      </w:r>
      <w:r w:rsidR="00D639FF" w:rsidRPr="00D639FF">
        <w:rPr>
          <w:rFonts w:cs="Arial"/>
          <w:lang w:val="en-US"/>
        </w:rPr>
        <w:t xml:space="preserve">) was measured in PBR-3. This </w:t>
      </w:r>
      <w:r w:rsidR="00BB73C2">
        <w:rPr>
          <w:rFonts w:cs="Arial"/>
          <w:lang w:val="en-US"/>
        </w:rPr>
        <w:t>remarkable</w:t>
      </w:r>
      <w:r w:rsidR="00D639FF" w:rsidRPr="00D639FF">
        <w:rPr>
          <w:rFonts w:cs="Arial"/>
          <w:lang w:val="en-US"/>
        </w:rPr>
        <w:t xml:space="preserve"> increase under reduced light availability is consistent with </w:t>
      </w:r>
      <w:r w:rsidR="00BB73C2" w:rsidRPr="00D639FF">
        <w:rPr>
          <w:rFonts w:cs="Arial"/>
          <w:lang w:val="en-US"/>
        </w:rPr>
        <w:t>photo</w:t>
      </w:r>
      <w:r w:rsidR="00B86788">
        <w:rPr>
          <w:rFonts w:cs="Arial"/>
          <w:lang w:val="en-US"/>
        </w:rPr>
        <w:t>-</w:t>
      </w:r>
      <w:r w:rsidR="00BB73C2" w:rsidRPr="00D639FF">
        <w:rPr>
          <w:rFonts w:cs="Arial"/>
          <w:lang w:val="en-US"/>
        </w:rPr>
        <w:t>acclimation</w:t>
      </w:r>
      <w:r w:rsidR="00D639FF" w:rsidRPr="00D639FF">
        <w:rPr>
          <w:rFonts w:cs="Arial"/>
          <w:lang w:val="en-US"/>
        </w:rPr>
        <w:t xml:space="preserve"> mechanisms, whereby purple bacteria enhance light-harvesting pigment synthesis to compensate lower photon flux and shorter illumination periods.</w:t>
      </w:r>
    </w:p>
    <w:p w14:paraId="6A41AD9D" w14:textId="420BB4AE" w:rsidR="00D639FF" w:rsidRDefault="00D639FF" w:rsidP="00D639FF">
      <w:pPr>
        <w:pStyle w:val="Paragrafoelenco"/>
        <w:autoSpaceDE w:val="0"/>
        <w:autoSpaceDN w:val="0"/>
        <w:adjustRightInd w:val="0"/>
        <w:spacing w:line="276" w:lineRule="auto"/>
        <w:ind w:left="0"/>
        <w:rPr>
          <w:rFonts w:cs="Arial"/>
          <w:lang w:val="en-US"/>
        </w:rPr>
      </w:pPr>
      <w:r w:rsidRPr="00D639FF">
        <w:rPr>
          <w:rFonts w:cs="Arial"/>
          <w:lang w:val="en-US"/>
        </w:rPr>
        <w:t>As a consequence of these opposite trends, total pigment content (</w:t>
      </w:r>
      <w:proofErr w:type="spellStart"/>
      <w:r w:rsidR="00BB73C2">
        <w:rPr>
          <w:rFonts w:cs="Arial"/>
          <w:lang w:val="en-US"/>
        </w:rPr>
        <w:t>Crts</w:t>
      </w:r>
      <w:proofErr w:type="spellEnd"/>
      <w:r w:rsidRPr="00D639FF">
        <w:rPr>
          <w:rFonts w:cs="Arial"/>
          <w:lang w:val="en-US"/>
        </w:rPr>
        <w:t xml:space="preserve"> </w:t>
      </w:r>
      <w:r w:rsidR="00BB73C2">
        <w:rPr>
          <w:rFonts w:cs="Arial"/>
          <w:lang w:val="en-US"/>
        </w:rPr>
        <w:t>and</w:t>
      </w:r>
      <w:r w:rsidRPr="00D639FF">
        <w:rPr>
          <w:rFonts w:cs="Arial"/>
          <w:lang w:val="en-US"/>
        </w:rPr>
        <w:t xml:space="preserve"> </w:t>
      </w:r>
      <w:proofErr w:type="spellStart"/>
      <w:r w:rsidR="00BB73C2">
        <w:rPr>
          <w:rFonts w:cs="Arial"/>
          <w:lang w:val="en-US"/>
        </w:rPr>
        <w:t>BChls</w:t>
      </w:r>
      <w:proofErr w:type="spellEnd"/>
      <w:r w:rsidRPr="00D639FF">
        <w:rPr>
          <w:rFonts w:cs="Arial"/>
          <w:lang w:val="en-US"/>
        </w:rPr>
        <w:t>) progressively increased from 4</w:t>
      </w:r>
      <w:r w:rsidR="00BB73C2">
        <w:rPr>
          <w:rFonts w:cs="Arial"/>
          <w:lang w:val="en-US"/>
        </w:rPr>
        <w:t xml:space="preserve">.4 </w:t>
      </w:r>
      <w:r w:rsidR="00E115D0">
        <w:rPr>
          <w:rFonts w:cs="Arial"/>
          <w:lang w:val="en-US"/>
        </w:rPr>
        <w:t>m</w:t>
      </w:r>
      <w:r w:rsidR="00E115D0" w:rsidRPr="00D639FF">
        <w:rPr>
          <w:rFonts w:cs="Arial"/>
          <w:lang w:val="en-US"/>
        </w:rPr>
        <w:t>g</w:t>
      </w:r>
      <w:r w:rsidR="00E115D0">
        <w:rPr>
          <w:rFonts w:cs="Arial"/>
          <w:lang w:val="en-US"/>
        </w:rPr>
        <w:t xml:space="preserve"> </w:t>
      </w:r>
      <w:proofErr w:type="spellStart"/>
      <w:r w:rsidR="00E115D0" w:rsidRPr="00D639FF">
        <w:rPr>
          <w:rFonts w:cs="Arial"/>
          <w:lang w:val="en-US"/>
        </w:rPr>
        <w:t>g</w:t>
      </w:r>
      <w:r w:rsidR="00E115D0" w:rsidRPr="00E115D0">
        <w:rPr>
          <w:rFonts w:cs="Arial"/>
          <w:vertAlign w:val="subscript"/>
          <w:lang w:val="en-US"/>
        </w:rPr>
        <w:t>dry</w:t>
      </w:r>
      <w:proofErr w:type="spellEnd"/>
      <w:r w:rsidR="00E115D0">
        <w:rPr>
          <w:rFonts w:cs="Arial"/>
          <w:lang w:val="en-US"/>
        </w:rPr>
        <w:t xml:space="preserve"> </w:t>
      </w:r>
      <w:r w:rsidR="00E115D0" w:rsidRPr="00923322">
        <w:rPr>
          <w:rFonts w:cs="Arial"/>
          <w:vertAlign w:val="subscript"/>
          <w:lang w:val="en-US"/>
        </w:rPr>
        <w:t>PPB</w:t>
      </w:r>
      <w:r w:rsidR="00E115D0" w:rsidRPr="00E115D0">
        <w:rPr>
          <w:rFonts w:cs="Arial"/>
          <w:vertAlign w:val="superscript"/>
          <w:lang w:val="en-US"/>
        </w:rPr>
        <w:t>-1</w:t>
      </w:r>
      <w:r w:rsidR="00BB73C2">
        <w:rPr>
          <w:rFonts w:cs="Arial"/>
          <w:lang w:val="en-US"/>
        </w:rPr>
        <w:t xml:space="preserve"> </w:t>
      </w:r>
      <w:r w:rsidRPr="00D639FF">
        <w:rPr>
          <w:rFonts w:cs="Arial"/>
          <w:lang w:val="en-US"/>
        </w:rPr>
        <w:t xml:space="preserve">in PBR-1 to </w:t>
      </w:r>
      <w:r w:rsidR="00BB73C2">
        <w:rPr>
          <w:rFonts w:cs="Arial"/>
          <w:lang w:val="en-US"/>
        </w:rPr>
        <w:t xml:space="preserve">7.7 </w:t>
      </w:r>
      <w:r w:rsidR="00E115D0">
        <w:rPr>
          <w:rFonts w:cs="Arial"/>
          <w:lang w:val="en-US"/>
        </w:rPr>
        <w:t>m</w:t>
      </w:r>
      <w:r w:rsidR="00E115D0" w:rsidRPr="00D639FF">
        <w:rPr>
          <w:rFonts w:cs="Arial"/>
          <w:lang w:val="en-US"/>
        </w:rPr>
        <w:t>g</w:t>
      </w:r>
      <w:r w:rsidR="00E115D0">
        <w:rPr>
          <w:rFonts w:cs="Arial"/>
          <w:lang w:val="en-US"/>
        </w:rPr>
        <w:t xml:space="preserve"> </w:t>
      </w:r>
      <w:proofErr w:type="spellStart"/>
      <w:r w:rsidR="00E115D0" w:rsidRPr="00D639FF">
        <w:rPr>
          <w:rFonts w:cs="Arial"/>
          <w:lang w:val="en-US"/>
        </w:rPr>
        <w:t>g</w:t>
      </w:r>
      <w:r w:rsidR="00E115D0" w:rsidRPr="00E115D0">
        <w:rPr>
          <w:rFonts w:cs="Arial"/>
          <w:vertAlign w:val="subscript"/>
          <w:lang w:val="en-US"/>
        </w:rPr>
        <w:t>dry</w:t>
      </w:r>
      <w:proofErr w:type="spellEnd"/>
      <w:r w:rsidR="00E115D0">
        <w:rPr>
          <w:rFonts w:cs="Arial"/>
          <w:lang w:val="en-US"/>
        </w:rPr>
        <w:t xml:space="preserve"> </w:t>
      </w:r>
      <w:r w:rsidR="00E115D0" w:rsidRPr="00923322">
        <w:rPr>
          <w:rFonts w:cs="Arial"/>
          <w:vertAlign w:val="subscript"/>
          <w:lang w:val="en-US"/>
        </w:rPr>
        <w:t>PPB</w:t>
      </w:r>
      <w:r w:rsidR="00E115D0" w:rsidRPr="00E115D0">
        <w:rPr>
          <w:rFonts w:cs="Arial"/>
          <w:vertAlign w:val="superscript"/>
          <w:lang w:val="en-US"/>
        </w:rPr>
        <w:t>-1</w:t>
      </w:r>
      <w:r w:rsidRPr="00D639FF">
        <w:rPr>
          <w:rFonts w:cs="Arial"/>
          <w:lang w:val="en-US"/>
        </w:rPr>
        <w:t xml:space="preserve"> in PBR-2, </w:t>
      </w:r>
      <w:r w:rsidR="00BB73C2">
        <w:rPr>
          <w:rFonts w:cs="Arial"/>
          <w:lang w:val="en-US"/>
        </w:rPr>
        <w:t xml:space="preserve">and 7.6 </w:t>
      </w:r>
      <w:r w:rsidR="00E115D0">
        <w:rPr>
          <w:rFonts w:cs="Arial"/>
          <w:lang w:val="en-US"/>
        </w:rPr>
        <w:t>m</w:t>
      </w:r>
      <w:r w:rsidR="00E115D0" w:rsidRPr="00D639FF">
        <w:rPr>
          <w:rFonts w:cs="Arial"/>
          <w:lang w:val="en-US"/>
        </w:rPr>
        <w:t>g</w:t>
      </w:r>
      <w:r w:rsidR="00E115D0">
        <w:rPr>
          <w:rFonts w:cs="Arial"/>
          <w:lang w:val="en-US"/>
        </w:rPr>
        <w:t xml:space="preserve"> </w:t>
      </w:r>
      <w:proofErr w:type="spellStart"/>
      <w:r w:rsidR="00E115D0" w:rsidRPr="00D639FF">
        <w:rPr>
          <w:rFonts w:cs="Arial"/>
          <w:lang w:val="en-US"/>
        </w:rPr>
        <w:t>g</w:t>
      </w:r>
      <w:r w:rsidR="00E115D0" w:rsidRPr="00E115D0">
        <w:rPr>
          <w:rFonts w:cs="Arial"/>
          <w:vertAlign w:val="subscript"/>
          <w:lang w:val="en-US"/>
        </w:rPr>
        <w:t>dry</w:t>
      </w:r>
      <w:proofErr w:type="spellEnd"/>
      <w:r w:rsidR="00E115D0">
        <w:rPr>
          <w:rFonts w:cs="Arial"/>
          <w:lang w:val="en-US"/>
        </w:rPr>
        <w:t xml:space="preserve"> </w:t>
      </w:r>
      <w:r w:rsidR="00E115D0" w:rsidRPr="00923322">
        <w:rPr>
          <w:rFonts w:cs="Arial"/>
          <w:vertAlign w:val="subscript"/>
          <w:lang w:val="en-US"/>
        </w:rPr>
        <w:t>PPB</w:t>
      </w:r>
      <w:r w:rsidR="00E115D0" w:rsidRPr="00E115D0">
        <w:rPr>
          <w:rFonts w:cs="Arial"/>
          <w:vertAlign w:val="superscript"/>
          <w:lang w:val="en-US"/>
        </w:rPr>
        <w:t>-1</w:t>
      </w:r>
      <w:r w:rsidR="00BB73C2" w:rsidRPr="00D639FF">
        <w:rPr>
          <w:rFonts w:cs="Arial"/>
          <w:lang w:val="en-US"/>
        </w:rPr>
        <w:t xml:space="preserve"> </w:t>
      </w:r>
      <w:r w:rsidR="00BB73C2">
        <w:rPr>
          <w:rFonts w:cs="Arial"/>
          <w:lang w:val="en-US"/>
        </w:rPr>
        <w:t>in PBR-</w:t>
      </w:r>
      <w:r w:rsidRPr="00D639FF">
        <w:rPr>
          <w:rFonts w:cs="Arial"/>
          <w:lang w:val="en-US"/>
        </w:rPr>
        <w:t>3. These results suggest</w:t>
      </w:r>
      <w:r w:rsidR="00BB73C2">
        <w:rPr>
          <w:rFonts w:cs="Arial"/>
          <w:lang w:val="en-US"/>
        </w:rPr>
        <w:t>ed</w:t>
      </w:r>
      <w:r w:rsidRPr="00D639FF">
        <w:rPr>
          <w:rFonts w:cs="Arial"/>
          <w:lang w:val="en-US"/>
        </w:rPr>
        <w:t xml:space="preserve"> that while longer HRT under continuous light promotes overall pigment</w:t>
      </w:r>
      <w:r w:rsidR="00E115D0">
        <w:rPr>
          <w:rFonts w:cs="Arial"/>
          <w:lang w:val="en-US"/>
        </w:rPr>
        <w:t>s’</w:t>
      </w:r>
      <w:r w:rsidRPr="00D639FF">
        <w:rPr>
          <w:rFonts w:cs="Arial"/>
          <w:lang w:val="en-US"/>
        </w:rPr>
        <w:t xml:space="preserve"> accumulation, reduced light availability further stimulates the synthesis of photosynthetic pigments, particularly </w:t>
      </w:r>
      <w:proofErr w:type="spellStart"/>
      <w:r w:rsidR="00BB73C2">
        <w:rPr>
          <w:rFonts w:cs="Arial"/>
          <w:lang w:val="en-US"/>
        </w:rPr>
        <w:t>BChls</w:t>
      </w:r>
      <w:proofErr w:type="spellEnd"/>
      <w:r w:rsidRPr="00D639FF">
        <w:rPr>
          <w:rFonts w:cs="Arial"/>
          <w:lang w:val="en-US"/>
        </w:rPr>
        <w:t>, to optimize light capture efficiency.</w:t>
      </w:r>
    </w:p>
    <w:p w14:paraId="5AEC1E37" w14:textId="3196AA4A" w:rsidR="005A3D1F" w:rsidRDefault="00D639FF" w:rsidP="00860862">
      <w:pPr>
        <w:pStyle w:val="CETBodytext"/>
        <w:rPr>
          <w:i/>
          <w:iCs/>
        </w:rPr>
      </w:pPr>
      <w:r>
        <w:rPr>
          <w:noProof/>
        </w:rPr>
        <w:drawing>
          <wp:inline distT="0" distB="0" distL="0" distR="0" wp14:anchorId="6042DA12" wp14:editId="7A18F7E4">
            <wp:extent cx="2758870" cy="1800000"/>
            <wp:effectExtent l="0" t="0" r="3810" b="0"/>
            <wp:docPr id="1349281687" name="Elemento 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81687"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2758870" cy="1800000"/>
                    </a:xfrm>
                    <a:prstGeom prst="rect">
                      <a:avLst/>
                    </a:prstGeom>
                  </pic:spPr>
                </pic:pic>
              </a:graphicData>
            </a:graphic>
          </wp:inline>
        </w:drawing>
      </w:r>
    </w:p>
    <w:p w14:paraId="2F50017E" w14:textId="334FBB60" w:rsidR="005A3D1F" w:rsidRPr="002263BF" w:rsidRDefault="005A3D1F" w:rsidP="00A14E53">
      <w:pPr>
        <w:pStyle w:val="CETCaption"/>
      </w:pPr>
      <w:r w:rsidRPr="002263BF">
        <w:t xml:space="preserve">Figure </w:t>
      </w:r>
      <w:r w:rsidR="00155525">
        <w:t>3</w:t>
      </w:r>
      <w:r w:rsidRPr="002263BF">
        <w:t xml:space="preserve">: </w:t>
      </w:r>
      <w:r w:rsidR="00155525">
        <w:t xml:space="preserve">Average values of total pigments, </w:t>
      </w:r>
      <w:r w:rsidR="00875197">
        <w:t>carotenoids (</w:t>
      </w:r>
      <w:proofErr w:type="spellStart"/>
      <w:r w:rsidR="00875197">
        <w:t>Crts</w:t>
      </w:r>
      <w:proofErr w:type="spellEnd"/>
      <w:r w:rsidR="00875197">
        <w:t xml:space="preserve">) and </w:t>
      </w:r>
      <w:r w:rsidR="00155525">
        <w:t>bacteriochlorophylls</w:t>
      </w:r>
      <w:r w:rsidR="00875197">
        <w:t xml:space="preserve"> (</w:t>
      </w:r>
      <w:proofErr w:type="spellStart"/>
      <w:r w:rsidR="00875197">
        <w:t>BChls</w:t>
      </w:r>
      <w:proofErr w:type="spellEnd"/>
      <w:r w:rsidR="00875197">
        <w:t xml:space="preserve">) </w:t>
      </w:r>
      <w:r w:rsidR="00155525">
        <w:t>at the steady state in the PPB biomasses selected in the photobioreactors</w:t>
      </w:r>
      <w:r w:rsidRPr="002263BF">
        <w:t>.</w:t>
      </w:r>
    </w:p>
    <w:p w14:paraId="1F2F2567" w14:textId="48466D4A" w:rsidR="005A3D1F" w:rsidRPr="00E266D0" w:rsidRDefault="00BB73C2" w:rsidP="005A3D1F">
      <w:pPr>
        <w:pStyle w:val="CETheadingx"/>
      </w:pPr>
      <w:r>
        <w:t>PHA synthesis</w:t>
      </w:r>
      <w:r w:rsidR="005A3D1F" w:rsidRPr="00E266D0">
        <w:t xml:space="preserve"> </w:t>
      </w:r>
      <w:r w:rsidR="00EE2BB8">
        <w:t>and protein content of</w:t>
      </w:r>
      <w:r>
        <w:t xml:space="preserve"> PPB biomass in PBRs</w:t>
      </w:r>
    </w:p>
    <w:p w14:paraId="6EBA9AA2" w14:textId="0E45C6E2" w:rsidR="005A3D1F" w:rsidRDefault="00EE2BB8" w:rsidP="00A14E53">
      <w:pPr>
        <w:pStyle w:val="CETBodytext"/>
      </w:pPr>
      <w:r w:rsidRPr="00EE2BB8">
        <w:t>Intracellular PHA content varied notably among the three operatin</w:t>
      </w:r>
      <w:r w:rsidR="00E115D0">
        <w:t>g</w:t>
      </w:r>
      <w:r w:rsidRPr="00EE2BB8">
        <w:t xml:space="preserve"> conditions under steady state. </w:t>
      </w:r>
      <w:r>
        <w:t>All the biomasses were selected under the feast-famine strategy to stimulate PHA synthesis</w:t>
      </w:r>
      <w:r w:rsidR="00FE4CBC">
        <w:t xml:space="preserve"> (Valentino et al., 2013)</w:t>
      </w:r>
      <w:r>
        <w:t xml:space="preserve">. </w:t>
      </w:r>
      <w:r w:rsidR="002A6396" w:rsidRPr="002A6396">
        <w:t>Despite residual VFA in the effluent and, in turn, the failure to achieve a true feast–famine-regime</w:t>
      </w:r>
      <w:r>
        <w:t xml:space="preserve">, </w:t>
      </w:r>
      <w:r w:rsidRPr="00EE2BB8">
        <w:t xml:space="preserve">PBR-1 exhibited a PHA accumulation of </w:t>
      </w:r>
      <w:r w:rsidR="00D52053">
        <w:t>4</w:t>
      </w:r>
      <w:r w:rsidRPr="00EE2BB8">
        <w:t>.</w:t>
      </w:r>
      <w:r w:rsidR="00D90DC4">
        <w:t>0</w:t>
      </w:r>
      <w:r w:rsidRPr="00EE2BB8">
        <w:t>% (</w:t>
      </w:r>
      <w:proofErr w:type="spellStart"/>
      <w:r w:rsidRPr="00EE2BB8">
        <w:t>g</w:t>
      </w:r>
      <w:r w:rsidRPr="00E115D0">
        <w:rPr>
          <w:vertAlign w:val="subscript"/>
        </w:rPr>
        <w:t>PHA</w:t>
      </w:r>
      <w:proofErr w:type="spellEnd"/>
      <w:r w:rsidR="00E115D0">
        <w:t xml:space="preserve"> </w:t>
      </w:r>
      <w:r w:rsidRPr="00EE2BB8">
        <w:t>g</w:t>
      </w:r>
      <w:r w:rsidRPr="00923322">
        <w:rPr>
          <w:vertAlign w:val="subscript"/>
        </w:rPr>
        <w:t>PPB</w:t>
      </w:r>
      <w:r w:rsidR="00E115D0" w:rsidRPr="00E115D0">
        <w:rPr>
          <w:vertAlign w:val="superscript"/>
        </w:rPr>
        <w:t>-1</w:t>
      </w:r>
      <w:r w:rsidRPr="00EE2BB8">
        <w:t>), whereas PBR-2, operated at longer HRT, showed a markedly lower content of 1.8%</w:t>
      </w:r>
      <w:r w:rsidR="00501C4F">
        <w:t xml:space="preserve"> </w:t>
      </w:r>
      <w:proofErr w:type="spellStart"/>
      <w:r w:rsidR="00501C4F" w:rsidRPr="00EE2BB8">
        <w:t>g</w:t>
      </w:r>
      <w:r w:rsidR="00501C4F" w:rsidRPr="00E115D0">
        <w:rPr>
          <w:vertAlign w:val="subscript"/>
        </w:rPr>
        <w:t>PHA</w:t>
      </w:r>
      <w:proofErr w:type="spellEnd"/>
      <w:r w:rsidR="00501C4F">
        <w:t xml:space="preserve"> </w:t>
      </w:r>
      <w:r w:rsidR="00501C4F" w:rsidRPr="00EE2BB8">
        <w:t>g</w:t>
      </w:r>
      <w:r w:rsidR="00501C4F" w:rsidRPr="00923322">
        <w:rPr>
          <w:vertAlign w:val="subscript"/>
        </w:rPr>
        <w:t>PPB</w:t>
      </w:r>
      <w:r w:rsidR="00501C4F" w:rsidRPr="00E115D0">
        <w:rPr>
          <w:vertAlign w:val="superscript"/>
        </w:rPr>
        <w:t>-1</w:t>
      </w:r>
      <w:r w:rsidRPr="00EE2BB8">
        <w:t xml:space="preserve">, likely due to reduced selective pressure for PHA-accumulating bacteria. Interestingly, PBR-3 </w:t>
      </w:r>
      <w:r w:rsidR="00501C4F">
        <w:t>showed</w:t>
      </w:r>
      <w:r w:rsidRPr="00EE2BB8">
        <w:t xml:space="preserve"> the highest PHA content (</w:t>
      </w:r>
      <w:r w:rsidR="00D52053">
        <w:t>5</w:t>
      </w:r>
      <w:r w:rsidRPr="00EE2BB8">
        <w:t>.2%</w:t>
      </w:r>
      <w:r w:rsidR="00501C4F">
        <w:t xml:space="preserve"> </w:t>
      </w:r>
      <w:proofErr w:type="spellStart"/>
      <w:r w:rsidR="00501C4F" w:rsidRPr="00EE2BB8">
        <w:t>g</w:t>
      </w:r>
      <w:r w:rsidR="00501C4F" w:rsidRPr="00E115D0">
        <w:rPr>
          <w:vertAlign w:val="subscript"/>
        </w:rPr>
        <w:t>PHA</w:t>
      </w:r>
      <w:proofErr w:type="spellEnd"/>
      <w:r w:rsidR="00501C4F">
        <w:t xml:space="preserve"> </w:t>
      </w:r>
      <w:r w:rsidR="00501C4F" w:rsidRPr="00EE2BB8">
        <w:t>g</w:t>
      </w:r>
      <w:r w:rsidR="00501C4F" w:rsidRPr="00923322">
        <w:rPr>
          <w:vertAlign w:val="subscript"/>
        </w:rPr>
        <w:t>PPB</w:t>
      </w:r>
      <w:r w:rsidR="00501C4F" w:rsidRPr="00E115D0">
        <w:rPr>
          <w:vertAlign w:val="superscript"/>
        </w:rPr>
        <w:t>-1</w:t>
      </w:r>
      <w:r w:rsidRPr="00EE2BB8">
        <w:t xml:space="preserve">), suggesting that the combination of </w:t>
      </w:r>
      <w:r>
        <w:t>low</w:t>
      </w:r>
      <w:r w:rsidR="002A6396">
        <w:t xml:space="preserve"> to </w:t>
      </w:r>
      <w:r>
        <w:t>intermediate</w:t>
      </w:r>
      <w:r w:rsidRPr="00EE2BB8">
        <w:t xml:space="preserve"> HRT and light limitation may have </w:t>
      </w:r>
      <w:r w:rsidR="00501C4F">
        <w:t>boosted</w:t>
      </w:r>
      <w:r w:rsidRPr="00EE2BB8">
        <w:t xml:space="preserve"> carbon storage </w:t>
      </w:r>
      <w:r w:rsidR="00501C4F">
        <w:t xml:space="preserve">into PHA </w:t>
      </w:r>
      <w:r w:rsidRPr="00EE2BB8">
        <w:t>under nutrient-limited conditions</w:t>
      </w:r>
      <w:r>
        <w:t>.</w:t>
      </w:r>
    </w:p>
    <w:p w14:paraId="2966E46D" w14:textId="08823E14" w:rsidR="004C19DD" w:rsidRDefault="00FB7177" w:rsidP="00A14E53">
      <w:pPr>
        <w:pStyle w:val="CETBodytext"/>
      </w:pPr>
      <w:r w:rsidRPr="00FB7177">
        <w:t xml:space="preserve">The </w:t>
      </w:r>
      <w:r>
        <w:t xml:space="preserve">preliminary </w:t>
      </w:r>
      <w:r w:rsidRPr="00FB7177">
        <w:t>analysis of biomass composition revealed that the protein content was 56.</w:t>
      </w:r>
      <w:r w:rsidR="00D52053">
        <w:t>7</w:t>
      </w:r>
      <w:r w:rsidRPr="00FB7177">
        <w:t>% in PBR-1, 55.</w:t>
      </w:r>
      <w:r w:rsidR="00D52053">
        <w:t>2</w:t>
      </w:r>
      <w:r w:rsidRPr="00FB7177">
        <w:t>% in PBR-2, and substantially lower (44.</w:t>
      </w:r>
      <w:r w:rsidR="00D52053">
        <w:t>8</w:t>
      </w:r>
      <w:r w:rsidRPr="00FB7177">
        <w:t xml:space="preserve">%) in PBR-3. </w:t>
      </w:r>
      <w:r w:rsidR="00673987">
        <w:t xml:space="preserve">(Table 2). </w:t>
      </w:r>
      <w:r w:rsidRPr="00FB7177">
        <w:t>Although the lower protein content in PBR-3 coincided with the highe</w:t>
      </w:r>
      <w:r w:rsidR="00501C4F">
        <w:t>st</w:t>
      </w:r>
      <w:r w:rsidRPr="00FB7177">
        <w:t xml:space="preserve"> intracellular PHA</w:t>
      </w:r>
      <w:r w:rsidR="00501C4F">
        <w:t xml:space="preserve"> observed</w:t>
      </w:r>
      <w:r w:rsidRPr="00FB7177">
        <w:t xml:space="preserve">, the reduced protein accumulation cannot be attributed solely to the increase in </w:t>
      </w:r>
      <w:r>
        <w:t>P</w:t>
      </w:r>
      <w:r w:rsidRPr="00FB7177">
        <w:t>H</w:t>
      </w:r>
      <w:r>
        <w:t>A storage</w:t>
      </w:r>
      <w:r w:rsidRPr="00FB7177">
        <w:t>, indicating that other metabolic or physiological factors, possibly linked to light limitation or carbon allocation, played a role.</w:t>
      </w:r>
    </w:p>
    <w:p w14:paraId="6B81DAE6" w14:textId="521BE758" w:rsidR="004C19DD" w:rsidRDefault="004C19DD" w:rsidP="004C19DD">
      <w:pPr>
        <w:pStyle w:val="CETTabletitle"/>
      </w:pPr>
      <w:r w:rsidRPr="00B57B36">
        <w:t xml:space="preserve">Table </w:t>
      </w:r>
      <w:r>
        <w:t>2</w:t>
      </w:r>
      <w:r w:rsidRPr="00B57B36">
        <w:t xml:space="preserve">: </w:t>
      </w:r>
      <w:r w:rsidR="00673987" w:rsidRPr="00673987">
        <w:t xml:space="preserve">Proximate composition of </w:t>
      </w:r>
      <w:r w:rsidR="002A6396" w:rsidRPr="002A6396">
        <w:t>PPB biomass grown in the three photobioreactors at steady state</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410"/>
        <w:gridCol w:w="1418"/>
        <w:gridCol w:w="1559"/>
        <w:gridCol w:w="1417"/>
      </w:tblGrid>
      <w:tr w:rsidR="00D52053" w:rsidRPr="00B57B36" w14:paraId="6C5B0620" w14:textId="77777777" w:rsidTr="00D52053">
        <w:trPr>
          <w:trHeight w:val="215"/>
        </w:trPr>
        <w:tc>
          <w:tcPr>
            <w:tcW w:w="2410" w:type="dxa"/>
            <w:tcBorders>
              <w:top w:val="single" w:sz="12" w:space="0" w:color="008000"/>
              <w:bottom w:val="single" w:sz="12" w:space="0" w:color="008000"/>
            </w:tcBorders>
            <w:shd w:val="clear" w:color="auto" w:fill="FFFFFF"/>
          </w:tcPr>
          <w:p w14:paraId="6FD5D233" w14:textId="0447AAA4" w:rsidR="00D52053" w:rsidRPr="006E0B6B" w:rsidRDefault="00D52053" w:rsidP="001F1622">
            <w:pPr>
              <w:pStyle w:val="CETBodytext"/>
              <w:jc w:val="left"/>
              <w:rPr>
                <w:rFonts w:cs="Arial"/>
                <w:szCs w:val="18"/>
                <w:lang w:val="en-GB"/>
              </w:rPr>
            </w:pPr>
            <w:r>
              <w:rPr>
                <w:rFonts w:cs="Arial"/>
                <w:szCs w:val="18"/>
              </w:rPr>
              <w:t>Proximate composition (%)</w:t>
            </w:r>
          </w:p>
        </w:tc>
        <w:tc>
          <w:tcPr>
            <w:tcW w:w="1418" w:type="dxa"/>
            <w:tcBorders>
              <w:top w:val="single" w:sz="12" w:space="0" w:color="008000"/>
              <w:bottom w:val="single" w:sz="12" w:space="0" w:color="008000"/>
            </w:tcBorders>
            <w:shd w:val="clear" w:color="auto" w:fill="FFFFFF"/>
          </w:tcPr>
          <w:p w14:paraId="78EDD6C0" w14:textId="1B9C64E8" w:rsidR="00D52053" w:rsidRPr="006E0B6B" w:rsidRDefault="00D52053" w:rsidP="001F1622">
            <w:pPr>
              <w:pStyle w:val="CETBodytext"/>
              <w:jc w:val="left"/>
              <w:rPr>
                <w:rFonts w:cs="Arial"/>
                <w:szCs w:val="18"/>
                <w:lang w:val="en-GB"/>
              </w:rPr>
            </w:pPr>
            <w:r>
              <w:rPr>
                <w:rFonts w:cs="Arial"/>
                <w:szCs w:val="18"/>
              </w:rPr>
              <w:t>PBR-1</w:t>
            </w:r>
          </w:p>
        </w:tc>
        <w:tc>
          <w:tcPr>
            <w:tcW w:w="1559" w:type="dxa"/>
            <w:tcBorders>
              <w:top w:val="single" w:sz="12" w:space="0" w:color="008000"/>
              <w:bottom w:val="single" w:sz="12" w:space="0" w:color="008000"/>
            </w:tcBorders>
            <w:shd w:val="clear" w:color="auto" w:fill="FFFFFF"/>
          </w:tcPr>
          <w:p w14:paraId="57547710" w14:textId="3AA9FE06" w:rsidR="00D52053" w:rsidRPr="006E0B6B" w:rsidRDefault="00D52053" w:rsidP="001F1622">
            <w:pPr>
              <w:pStyle w:val="CETBodytext"/>
              <w:jc w:val="left"/>
              <w:rPr>
                <w:rFonts w:cs="Arial"/>
                <w:szCs w:val="18"/>
                <w:lang w:val="en-GB"/>
              </w:rPr>
            </w:pPr>
            <w:r>
              <w:rPr>
                <w:rFonts w:cs="Arial"/>
                <w:szCs w:val="18"/>
              </w:rPr>
              <w:t>PBR-2</w:t>
            </w:r>
          </w:p>
        </w:tc>
        <w:tc>
          <w:tcPr>
            <w:tcW w:w="1417" w:type="dxa"/>
            <w:tcBorders>
              <w:top w:val="single" w:sz="12" w:space="0" w:color="008000"/>
              <w:bottom w:val="single" w:sz="12" w:space="0" w:color="008000"/>
            </w:tcBorders>
            <w:shd w:val="clear" w:color="auto" w:fill="FFFFFF"/>
          </w:tcPr>
          <w:p w14:paraId="5E688FA1" w14:textId="5BA8A5F9" w:rsidR="00D52053" w:rsidRPr="006E0B6B" w:rsidRDefault="00D52053" w:rsidP="001F1622">
            <w:pPr>
              <w:pStyle w:val="CETBodytext"/>
              <w:ind w:right="-1"/>
              <w:jc w:val="left"/>
              <w:rPr>
                <w:rFonts w:cs="Arial"/>
                <w:szCs w:val="18"/>
                <w:lang w:val="en-GB"/>
              </w:rPr>
            </w:pPr>
            <w:r>
              <w:rPr>
                <w:rFonts w:cs="Arial"/>
                <w:szCs w:val="18"/>
                <w:lang w:val="en-GB"/>
              </w:rPr>
              <w:t>PBR-3</w:t>
            </w:r>
          </w:p>
        </w:tc>
      </w:tr>
      <w:tr w:rsidR="00D52053" w:rsidRPr="00B57B36" w14:paraId="24B697E6" w14:textId="77777777" w:rsidTr="00D52053">
        <w:trPr>
          <w:trHeight w:val="228"/>
        </w:trPr>
        <w:tc>
          <w:tcPr>
            <w:tcW w:w="2410" w:type="dxa"/>
            <w:tcBorders>
              <w:top w:val="nil"/>
            </w:tcBorders>
            <w:shd w:val="clear" w:color="auto" w:fill="FFFFFF"/>
          </w:tcPr>
          <w:p w14:paraId="7B06F661" w14:textId="6C68217F" w:rsidR="00D52053" w:rsidRPr="006E0B6B" w:rsidRDefault="00D52053" w:rsidP="001F1622">
            <w:pPr>
              <w:pStyle w:val="CETBodytext"/>
              <w:ind w:right="-1"/>
              <w:jc w:val="left"/>
              <w:rPr>
                <w:rFonts w:cs="Arial"/>
                <w:szCs w:val="18"/>
                <w:lang w:val="en-GB"/>
              </w:rPr>
            </w:pPr>
            <w:r>
              <w:rPr>
                <w:rFonts w:cs="Arial"/>
                <w:szCs w:val="18"/>
              </w:rPr>
              <w:t>Moisture</w:t>
            </w:r>
          </w:p>
        </w:tc>
        <w:tc>
          <w:tcPr>
            <w:tcW w:w="1418" w:type="dxa"/>
            <w:tcBorders>
              <w:top w:val="nil"/>
            </w:tcBorders>
            <w:shd w:val="clear" w:color="auto" w:fill="FFFFFF"/>
          </w:tcPr>
          <w:p w14:paraId="5526D1B6" w14:textId="05DAA448" w:rsidR="00D52053" w:rsidRPr="006E0B6B" w:rsidRDefault="00D52053" w:rsidP="001F1622">
            <w:pPr>
              <w:pStyle w:val="CETBodytext"/>
              <w:ind w:right="-1"/>
              <w:jc w:val="left"/>
              <w:rPr>
                <w:rFonts w:cs="Arial"/>
                <w:szCs w:val="18"/>
                <w:lang w:val="en-GB"/>
              </w:rPr>
            </w:pPr>
            <w:r>
              <w:rPr>
                <w:rFonts w:cs="Arial"/>
                <w:szCs w:val="18"/>
              </w:rPr>
              <w:t>5.9</w:t>
            </w:r>
            <w:r w:rsidR="00A14E53">
              <w:rPr>
                <w:rFonts w:cs="Arial"/>
                <w:szCs w:val="18"/>
              </w:rPr>
              <w:t xml:space="preserve"> ± 0.4</w:t>
            </w:r>
          </w:p>
        </w:tc>
        <w:tc>
          <w:tcPr>
            <w:tcW w:w="1559" w:type="dxa"/>
            <w:tcBorders>
              <w:top w:val="nil"/>
            </w:tcBorders>
            <w:shd w:val="clear" w:color="auto" w:fill="FFFFFF"/>
          </w:tcPr>
          <w:p w14:paraId="4D48114D" w14:textId="086D7F60" w:rsidR="00D52053" w:rsidRPr="006E0B6B" w:rsidRDefault="00D52053" w:rsidP="001F1622">
            <w:pPr>
              <w:pStyle w:val="CETBodytext"/>
              <w:ind w:right="-1"/>
              <w:jc w:val="left"/>
              <w:rPr>
                <w:rFonts w:cs="Arial"/>
                <w:szCs w:val="18"/>
                <w:lang w:val="en-GB"/>
              </w:rPr>
            </w:pPr>
            <w:r>
              <w:rPr>
                <w:rFonts w:cs="Arial"/>
                <w:szCs w:val="18"/>
              </w:rPr>
              <w:t>5.4</w:t>
            </w:r>
            <w:r w:rsidR="00A14E53">
              <w:rPr>
                <w:rFonts w:cs="Arial"/>
                <w:szCs w:val="18"/>
              </w:rPr>
              <w:t xml:space="preserve"> ± 0.6</w:t>
            </w:r>
          </w:p>
        </w:tc>
        <w:tc>
          <w:tcPr>
            <w:tcW w:w="1417" w:type="dxa"/>
            <w:tcBorders>
              <w:top w:val="nil"/>
            </w:tcBorders>
            <w:shd w:val="clear" w:color="auto" w:fill="FFFFFF"/>
          </w:tcPr>
          <w:p w14:paraId="60CC9D2C" w14:textId="6FF1C069" w:rsidR="00D52053" w:rsidRPr="006E0B6B" w:rsidRDefault="00D52053" w:rsidP="001F1622">
            <w:pPr>
              <w:pStyle w:val="CETBodytext"/>
              <w:ind w:right="-1"/>
              <w:jc w:val="left"/>
              <w:rPr>
                <w:rFonts w:cs="Arial"/>
                <w:szCs w:val="18"/>
                <w:lang w:val="en-GB"/>
              </w:rPr>
            </w:pPr>
            <w:r>
              <w:rPr>
                <w:rFonts w:cs="Arial"/>
                <w:szCs w:val="18"/>
              </w:rPr>
              <w:t>6.5</w:t>
            </w:r>
            <w:r w:rsidR="00A14E53">
              <w:rPr>
                <w:rFonts w:cs="Arial"/>
                <w:szCs w:val="18"/>
              </w:rPr>
              <w:t xml:space="preserve"> ± 0.1</w:t>
            </w:r>
          </w:p>
        </w:tc>
      </w:tr>
      <w:tr w:rsidR="00D52053" w:rsidRPr="00B57B36" w14:paraId="25E6060C" w14:textId="77777777" w:rsidTr="00D52053">
        <w:trPr>
          <w:trHeight w:val="215"/>
        </w:trPr>
        <w:tc>
          <w:tcPr>
            <w:tcW w:w="2410" w:type="dxa"/>
            <w:shd w:val="clear" w:color="auto" w:fill="FFFFFF"/>
          </w:tcPr>
          <w:p w14:paraId="0BEE1026" w14:textId="4385647D" w:rsidR="00D52053" w:rsidRPr="006E0B6B" w:rsidRDefault="00D52053" w:rsidP="001F1622">
            <w:pPr>
              <w:pStyle w:val="CETBodytext"/>
              <w:ind w:right="-1"/>
              <w:jc w:val="left"/>
              <w:rPr>
                <w:rFonts w:cs="Arial"/>
                <w:szCs w:val="18"/>
                <w:lang w:val="en-GB"/>
              </w:rPr>
            </w:pPr>
            <w:r>
              <w:rPr>
                <w:rFonts w:cs="Arial"/>
                <w:szCs w:val="18"/>
              </w:rPr>
              <w:t>Proteins</w:t>
            </w:r>
          </w:p>
        </w:tc>
        <w:tc>
          <w:tcPr>
            <w:tcW w:w="1418" w:type="dxa"/>
            <w:shd w:val="clear" w:color="auto" w:fill="FFFFFF"/>
          </w:tcPr>
          <w:p w14:paraId="46EE411E" w14:textId="0C501CC6" w:rsidR="00D52053" w:rsidRPr="006E0B6B" w:rsidRDefault="00D52053" w:rsidP="001F1622">
            <w:pPr>
              <w:pStyle w:val="CETBodytext"/>
              <w:ind w:right="-1"/>
              <w:jc w:val="left"/>
              <w:rPr>
                <w:rFonts w:cs="Arial"/>
                <w:szCs w:val="18"/>
                <w:lang w:val="en-GB"/>
              </w:rPr>
            </w:pPr>
            <w:r>
              <w:rPr>
                <w:rFonts w:cs="Arial"/>
                <w:szCs w:val="18"/>
              </w:rPr>
              <w:t>56.7</w:t>
            </w:r>
            <w:r w:rsidR="00A14E53">
              <w:rPr>
                <w:rFonts w:cs="Arial"/>
                <w:szCs w:val="18"/>
              </w:rPr>
              <w:t xml:space="preserve"> ± 0.2</w:t>
            </w:r>
          </w:p>
        </w:tc>
        <w:tc>
          <w:tcPr>
            <w:tcW w:w="1559" w:type="dxa"/>
            <w:shd w:val="clear" w:color="auto" w:fill="FFFFFF"/>
          </w:tcPr>
          <w:p w14:paraId="3D450865" w14:textId="24B35401" w:rsidR="00D52053" w:rsidRPr="006E0B6B" w:rsidRDefault="00D52053" w:rsidP="001F1622">
            <w:pPr>
              <w:pStyle w:val="CETBodytext"/>
              <w:ind w:right="-1"/>
              <w:jc w:val="left"/>
              <w:rPr>
                <w:rFonts w:cs="Arial"/>
                <w:szCs w:val="18"/>
                <w:lang w:val="en-GB"/>
              </w:rPr>
            </w:pPr>
            <w:r>
              <w:rPr>
                <w:rFonts w:cs="Arial"/>
                <w:szCs w:val="18"/>
              </w:rPr>
              <w:t>55.2</w:t>
            </w:r>
            <w:r w:rsidR="00A14E53">
              <w:rPr>
                <w:rFonts w:cs="Arial"/>
                <w:szCs w:val="18"/>
              </w:rPr>
              <w:t xml:space="preserve"> ± 0.9</w:t>
            </w:r>
          </w:p>
        </w:tc>
        <w:tc>
          <w:tcPr>
            <w:tcW w:w="1417" w:type="dxa"/>
            <w:shd w:val="clear" w:color="auto" w:fill="FFFFFF"/>
          </w:tcPr>
          <w:p w14:paraId="1C5FE522" w14:textId="697291B7" w:rsidR="00D52053" w:rsidRPr="006E0B6B" w:rsidRDefault="00D52053" w:rsidP="001F1622">
            <w:pPr>
              <w:pStyle w:val="CETBodytext"/>
              <w:ind w:right="-1"/>
              <w:jc w:val="left"/>
              <w:rPr>
                <w:rFonts w:cs="Arial"/>
                <w:szCs w:val="18"/>
                <w:lang w:val="en-GB"/>
              </w:rPr>
            </w:pPr>
            <w:r>
              <w:rPr>
                <w:rFonts w:cs="Arial"/>
                <w:szCs w:val="18"/>
              </w:rPr>
              <w:t>44.8</w:t>
            </w:r>
            <w:r w:rsidR="00A14E53">
              <w:rPr>
                <w:rFonts w:cs="Arial"/>
                <w:szCs w:val="18"/>
              </w:rPr>
              <w:t xml:space="preserve"> ± 0.8</w:t>
            </w:r>
          </w:p>
        </w:tc>
      </w:tr>
      <w:tr w:rsidR="00D52053" w:rsidRPr="00B57B36" w14:paraId="4E2CDAC3" w14:textId="77777777" w:rsidTr="00D52053">
        <w:trPr>
          <w:trHeight w:val="215"/>
        </w:trPr>
        <w:tc>
          <w:tcPr>
            <w:tcW w:w="2410" w:type="dxa"/>
            <w:shd w:val="clear" w:color="auto" w:fill="FFFFFF"/>
          </w:tcPr>
          <w:p w14:paraId="0482B2C9" w14:textId="739BB58B" w:rsidR="00D52053" w:rsidRPr="006E0B6B" w:rsidRDefault="00D52053" w:rsidP="001F1622">
            <w:pPr>
              <w:pStyle w:val="CETBodytext"/>
              <w:ind w:right="-1"/>
              <w:jc w:val="left"/>
              <w:rPr>
                <w:rFonts w:cs="Arial"/>
                <w:szCs w:val="18"/>
                <w:lang w:val="en-GB"/>
              </w:rPr>
            </w:pPr>
            <w:r>
              <w:rPr>
                <w:rFonts w:cs="Arial"/>
                <w:szCs w:val="18"/>
              </w:rPr>
              <w:t>Lipids</w:t>
            </w:r>
          </w:p>
        </w:tc>
        <w:tc>
          <w:tcPr>
            <w:tcW w:w="1418" w:type="dxa"/>
            <w:shd w:val="clear" w:color="auto" w:fill="FFFFFF"/>
          </w:tcPr>
          <w:p w14:paraId="251173E1" w14:textId="104A398D" w:rsidR="00D52053" w:rsidRPr="006E0B6B" w:rsidRDefault="00D52053" w:rsidP="001F1622">
            <w:pPr>
              <w:pStyle w:val="CETBodytext"/>
              <w:ind w:right="-1"/>
              <w:jc w:val="left"/>
              <w:rPr>
                <w:rFonts w:cs="Arial"/>
                <w:szCs w:val="18"/>
                <w:lang w:val="en-GB"/>
              </w:rPr>
            </w:pPr>
            <w:r>
              <w:rPr>
                <w:rFonts w:cs="Arial"/>
                <w:szCs w:val="18"/>
              </w:rPr>
              <w:t>11.5</w:t>
            </w:r>
            <w:r w:rsidR="00A14E53">
              <w:rPr>
                <w:rFonts w:cs="Arial"/>
                <w:szCs w:val="18"/>
              </w:rPr>
              <w:t xml:space="preserve"> ± 0.7</w:t>
            </w:r>
          </w:p>
        </w:tc>
        <w:tc>
          <w:tcPr>
            <w:tcW w:w="1559" w:type="dxa"/>
            <w:shd w:val="clear" w:color="auto" w:fill="FFFFFF"/>
          </w:tcPr>
          <w:p w14:paraId="299754AF" w14:textId="4671C5D6" w:rsidR="00D52053" w:rsidRPr="006E0B6B" w:rsidRDefault="00D52053" w:rsidP="001F1622">
            <w:pPr>
              <w:pStyle w:val="CETBodytext"/>
              <w:ind w:right="-1"/>
              <w:jc w:val="left"/>
              <w:rPr>
                <w:rFonts w:cs="Arial"/>
                <w:szCs w:val="18"/>
                <w:lang w:val="en-GB"/>
              </w:rPr>
            </w:pPr>
            <w:r>
              <w:rPr>
                <w:rFonts w:cs="Arial"/>
                <w:szCs w:val="18"/>
              </w:rPr>
              <w:t>10.8</w:t>
            </w:r>
            <w:r w:rsidR="00A14E53">
              <w:rPr>
                <w:rFonts w:cs="Arial"/>
                <w:szCs w:val="18"/>
              </w:rPr>
              <w:t xml:space="preserve"> ± 0.1</w:t>
            </w:r>
          </w:p>
        </w:tc>
        <w:tc>
          <w:tcPr>
            <w:tcW w:w="1417" w:type="dxa"/>
            <w:shd w:val="clear" w:color="auto" w:fill="FFFFFF"/>
          </w:tcPr>
          <w:p w14:paraId="2D987E2A" w14:textId="257E915A" w:rsidR="00D52053" w:rsidRPr="006E0B6B" w:rsidRDefault="00D52053" w:rsidP="001F1622">
            <w:pPr>
              <w:pStyle w:val="CETBodytext"/>
              <w:ind w:right="-1"/>
              <w:jc w:val="left"/>
              <w:rPr>
                <w:rFonts w:cs="Arial"/>
                <w:szCs w:val="18"/>
                <w:lang w:val="en-GB"/>
              </w:rPr>
            </w:pPr>
            <w:r>
              <w:rPr>
                <w:rFonts w:cs="Arial"/>
                <w:szCs w:val="18"/>
              </w:rPr>
              <w:t>15.1</w:t>
            </w:r>
            <w:r w:rsidR="00A14E53">
              <w:rPr>
                <w:rFonts w:cs="Arial"/>
                <w:szCs w:val="18"/>
              </w:rPr>
              <w:t xml:space="preserve"> ± 0.8</w:t>
            </w:r>
          </w:p>
        </w:tc>
      </w:tr>
      <w:tr w:rsidR="00D52053" w:rsidRPr="00B57B36" w14:paraId="3680FD8C" w14:textId="77777777" w:rsidTr="00D52053">
        <w:trPr>
          <w:trHeight w:val="193"/>
        </w:trPr>
        <w:tc>
          <w:tcPr>
            <w:tcW w:w="2410" w:type="dxa"/>
            <w:shd w:val="clear" w:color="auto" w:fill="FFFFFF"/>
          </w:tcPr>
          <w:p w14:paraId="29D14BF3" w14:textId="50DD2C2F" w:rsidR="00D52053" w:rsidRPr="006E0B6B" w:rsidRDefault="00D52053" w:rsidP="001F1622">
            <w:pPr>
              <w:pStyle w:val="CETBodytext"/>
              <w:ind w:right="-1"/>
              <w:jc w:val="left"/>
              <w:rPr>
                <w:rFonts w:cs="Arial"/>
                <w:szCs w:val="18"/>
                <w:lang w:val="en-GB"/>
              </w:rPr>
            </w:pPr>
            <w:r w:rsidRPr="006E0B6B">
              <w:rPr>
                <w:rFonts w:cs="Arial"/>
                <w:szCs w:val="18"/>
              </w:rPr>
              <w:t>C</w:t>
            </w:r>
            <w:r>
              <w:rPr>
                <w:rFonts w:cs="Arial"/>
                <w:szCs w:val="18"/>
              </w:rPr>
              <w:t>arbohydrates</w:t>
            </w:r>
          </w:p>
        </w:tc>
        <w:tc>
          <w:tcPr>
            <w:tcW w:w="1418" w:type="dxa"/>
            <w:shd w:val="clear" w:color="auto" w:fill="FFFFFF"/>
          </w:tcPr>
          <w:p w14:paraId="5D5B6C56" w14:textId="04616754" w:rsidR="00D52053" w:rsidRPr="006E0B6B" w:rsidRDefault="00D52053" w:rsidP="001F1622">
            <w:pPr>
              <w:pStyle w:val="CETBodytext"/>
              <w:ind w:right="-1"/>
              <w:jc w:val="left"/>
              <w:rPr>
                <w:rFonts w:cs="Arial"/>
                <w:szCs w:val="18"/>
                <w:lang w:val="en-GB"/>
              </w:rPr>
            </w:pPr>
            <w:r>
              <w:rPr>
                <w:rFonts w:cs="Arial"/>
                <w:szCs w:val="18"/>
              </w:rPr>
              <w:t>15.0</w:t>
            </w:r>
            <w:r w:rsidR="00A14E53">
              <w:rPr>
                <w:rFonts w:cs="Arial"/>
                <w:szCs w:val="18"/>
              </w:rPr>
              <w:t xml:space="preserve"> ± 0.1</w:t>
            </w:r>
          </w:p>
        </w:tc>
        <w:tc>
          <w:tcPr>
            <w:tcW w:w="1559" w:type="dxa"/>
            <w:shd w:val="clear" w:color="auto" w:fill="FFFFFF"/>
          </w:tcPr>
          <w:p w14:paraId="17580EE3" w14:textId="1147FE28" w:rsidR="00D52053" w:rsidRPr="006E0B6B" w:rsidRDefault="00D52053" w:rsidP="001F1622">
            <w:pPr>
              <w:pStyle w:val="CETBodytext"/>
              <w:ind w:right="-1"/>
              <w:jc w:val="left"/>
              <w:rPr>
                <w:rFonts w:cs="Arial"/>
                <w:szCs w:val="18"/>
                <w:lang w:val="en-GB"/>
              </w:rPr>
            </w:pPr>
            <w:r>
              <w:rPr>
                <w:rFonts w:cs="Arial"/>
                <w:szCs w:val="18"/>
              </w:rPr>
              <w:t>15.2</w:t>
            </w:r>
            <w:r w:rsidR="00A14E53">
              <w:rPr>
                <w:rFonts w:cs="Arial"/>
                <w:szCs w:val="18"/>
              </w:rPr>
              <w:t xml:space="preserve"> ± 0.2</w:t>
            </w:r>
          </w:p>
        </w:tc>
        <w:tc>
          <w:tcPr>
            <w:tcW w:w="1417" w:type="dxa"/>
            <w:shd w:val="clear" w:color="auto" w:fill="FFFFFF"/>
          </w:tcPr>
          <w:p w14:paraId="283FE6AB" w14:textId="265DB892" w:rsidR="00D52053" w:rsidRPr="006E0B6B" w:rsidRDefault="00D52053" w:rsidP="001F1622">
            <w:pPr>
              <w:pStyle w:val="CETBodytext"/>
              <w:ind w:right="-1"/>
              <w:jc w:val="left"/>
              <w:rPr>
                <w:rFonts w:cs="Arial"/>
                <w:szCs w:val="18"/>
                <w:lang w:val="en-GB"/>
              </w:rPr>
            </w:pPr>
            <w:r>
              <w:rPr>
                <w:rFonts w:cs="Arial"/>
                <w:szCs w:val="18"/>
              </w:rPr>
              <w:t>17.9</w:t>
            </w:r>
            <w:r w:rsidR="00A14E53">
              <w:rPr>
                <w:rFonts w:cs="Arial"/>
                <w:szCs w:val="18"/>
              </w:rPr>
              <w:t xml:space="preserve"> ± 0.2</w:t>
            </w:r>
          </w:p>
        </w:tc>
      </w:tr>
      <w:tr w:rsidR="00D52053" w:rsidRPr="00B57B36" w14:paraId="2456A7C2" w14:textId="77777777" w:rsidTr="00673987">
        <w:trPr>
          <w:trHeight w:val="228"/>
        </w:trPr>
        <w:tc>
          <w:tcPr>
            <w:tcW w:w="2410" w:type="dxa"/>
            <w:tcBorders>
              <w:bottom w:val="nil"/>
            </w:tcBorders>
            <w:shd w:val="clear" w:color="auto" w:fill="FFFFFF"/>
          </w:tcPr>
          <w:p w14:paraId="0D8BAC05" w14:textId="28C1B922" w:rsidR="00D52053" w:rsidRDefault="00D52053" w:rsidP="001F1622">
            <w:pPr>
              <w:pStyle w:val="CETBodytext"/>
              <w:ind w:right="-1"/>
              <w:jc w:val="left"/>
              <w:rPr>
                <w:rFonts w:cs="Arial"/>
                <w:szCs w:val="18"/>
              </w:rPr>
            </w:pPr>
            <w:r>
              <w:rPr>
                <w:rFonts w:cs="Arial"/>
                <w:szCs w:val="18"/>
              </w:rPr>
              <w:t>PHA</w:t>
            </w:r>
          </w:p>
        </w:tc>
        <w:tc>
          <w:tcPr>
            <w:tcW w:w="1418" w:type="dxa"/>
            <w:tcBorders>
              <w:bottom w:val="nil"/>
            </w:tcBorders>
            <w:shd w:val="clear" w:color="auto" w:fill="FFFFFF"/>
          </w:tcPr>
          <w:p w14:paraId="4252EC38" w14:textId="7D97E92D" w:rsidR="00D52053" w:rsidRDefault="00D52053" w:rsidP="001F1622">
            <w:pPr>
              <w:pStyle w:val="CETBodytext"/>
              <w:ind w:right="-1"/>
              <w:jc w:val="left"/>
              <w:rPr>
                <w:rFonts w:cs="Arial"/>
                <w:szCs w:val="18"/>
              </w:rPr>
            </w:pPr>
            <w:r>
              <w:rPr>
                <w:rFonts w:cs="Arial"/>
                <w:szCs w:val="18"/>
              </w:rPr>
              <w:t>4.</w:t>
            </w:r>
            <w:r w:rsidR="00D90DC4">
              <w:rPr>
                <w:rFonts w:cs="Arial"/>
                <w:szCs w:val="18"/>
              </w:rPr>
              <w:t>0</w:t>
            </w:r>
            <w:r w:rsidR="00A14E53">
              <w:rPr>
                <w:rFonts w:cs="Arial"/>
                <w:szCs w:val="18"/>
              </w:rPr>
              <w:t xml:space="preserve"> ± 0.1</w:t>
            </w:r>
          </w:p>
        </w:tc>
        <w:tc>
          <w:tcPr>
            <w:tcW w:w="1559" w:type="dxa"/>
            <w:tcBorders>
              <w:bottom w:val="nil"/>
            </w:tcBorders>
            <w:shd w:val="clear" w:color="auto" w:fill="FFFFFF"/>
          </w:tcPr>
          <w:p w14:paraId="023D0739" w14:textId="07ADCBC7" w:rsidR="00D52053" w:rsidRDefault="00D52053" w:rsidP="001F1622">
            <w:pPr>
              <w:pStyle w:val="CETBodytext"/>
              <w:ind w:right="-1"/>
              <w:jc w:val="left"/>
              <w:rPr>
                <w:rFonts w:cs="Arial"/>
                <w:szCs w:val="18"/>
              </w:rPr>
            </w:pPr>
            <w:r>
              <w:rPr>
                <w:rFonts w:cs="Arial"/>
                <w:szCs w:val="18"/>
              </w:rPr>
              <w:t>1.8</w:t>
            </w:r>
            <w:r w:rsidR="00A14E53">
              <w:rPr>
                <w:rFonts w:cs="Arial"/>
                <w:szCs w:val="18"/>
              </w:rPr>
              <w:t xml:space="preserve"> ± 0.9</w:t>
            </w:r>
          </w:p>
        </w:tc>
        <w:tc>
          <w:tcPr>
            <w:tcW w:w="1417" w:type="dxa"/>
            <w:tcBorders>
              <w:bottom w:val="nil"/>
            </w:tcBorders>
            <w:shd w:val="clear" w:color="auto" w:fill="FFFFFF"/>
          </w:tcPr>
          <w:p w14:paraId="7A4AD83D" w14:textId="09698578" w:rsidR="00D52053" w:rsidRDefault="00D52053" w:rsidP="001F1622">
            <w:pPr>
              <w:pStyle w:val="CETBodytext"/>
              <w:ind w:right="-1"/>
              <w:jc w:val="left"/>
              <w:rPr>
                <w:rFonts w:cs="Arial"/>
                <w:szCs w:val="18"/>
              </w:rPr>
            </w:pPr>
            <w:r>
              <w:rPr>
                <w:rFonts w:cs="Arial"/>
                <w:szCs w:val="18"/>
              </w:rPr>
              <w:t>5.2</w:t>
            </w:r>
            <w:r w:rsidR="00A14E53">
              <w:rPr>
                <w:rFonts w:cs="Arial"/>
                <w:szCs w:val="18"/>
              </w:rPr>
              <w:t xml:space="preserve"> ± 0.3</w:t>
            </w:r>
          </w:p>
        </w:tc>
      </w:tr>
      <w:tr w:rsidR="00D52053" w:rsidRPr="00B57B36" w14:paraId="702F0329" w14:textId="77777777" w:rsidTr="00673987">
        <w:trPr>
          <w:trHeight w:val="228"/>
        </w:trPr>
        <w:tc>
          <w:tcPr>
            <w:tcW w:w="2410" w:type="dxa"/>
            <w:tcBorders>
              <w:top w:val="nil"/>
              <w:bottom w:val="single" w:sz="12" w:space="0" w:color="008000"/>
            </w:tcBorders>
            <w:shd w:val="clear" w:color="auto" w:fill="FFFFFF"/>
          </w:tcPr>
          <w:p w14:paraId="2B6E70CE" w14:textId="72E85378" w:rsidR="00D52053" w:rsidRDefault="00D52053" w:rsidP="001F1622">
            <w:pPr>
              <w:pStyle w:val="CETBodytext"/>
              <w:ind w:right="-1"/>
              <w:jc w:val="left"/>
              <w:rPr>
                <w:rFonts w:cs="Arial"/>
                <w:szCs w:val="18"/>
              </w:rPr>
            </w:pPr>
            <w:r>
              <w:rPr>
                <w:rFonts w:cs="Arial"/>
                <w:szCs w:val="18"/>
              </w:rPr>
              <w:t>Ashes</w:t>
            </w:r>
          </w:p>
        </w:tc>
        <w:tc>
          <w:tcPr>
            <w:tcW w:w="1418" w:type="dxa"/>
            <w:tcBorders>
              <w:top w:val="nil"/>
              <w:bottom w:val="single" w:sz="12" w:space="0" w:color="008000"/>
            </w:tcBorders>
            <w:shd w:val="clear" w:color="auto" w:fill="FFFFFF"/>
          </w:tcPr>
          <w:p w14:paraId="46EA5292" w14:textId="2350B76E" w:rsidR="00D52053" w:rsidRDefault="00D52053" w:rsidP="001F1622">
            <w:pPr>
              <w:pStyle w:val="CETBodytext"/>
              <w:ind w:right="-1"/>
              <w:jc w:val="left"/>
              <w:rPr>
                <w:rFonts w:cs="Arial"/>
                <w:szCs w:val="18"/>
              </w:rPr>
            </w:pPr>
            <w:r>
              <w:rPr>
                <w:rFonts w:cs="Arial"/>
                <w:szCs w:val="18"/>
              </w:rPr>
              <w:t>5.4</w:t>
            </w:r>
            <w:r w:rsidR="00A14E53">
              <w:rPr>
                <w:rFonts w:cs="Arial"/>
                <w:szCs w:val="18"/>
              </w:rPr>
              <w:t xml:space="preserve"> ± 0.8</w:t>
            </w:r>
          </w:p>
        </w:tc>
        <w:tc>
          <w:tcPr>
            <w:tcW w:w="1559" w:type="dxa"/>
            <w:tcBorders>
              <w:top w:val="nil"/>
              <w:bottom w:val="single" w:sz="12" w:space="0" w:color="008000"/>
            </w:tcBorders>
            <w:shd w:val="clear" w:color="auto" w:fill="FFFFFF"/>
          </w:tcPr>
          <w:p w14:paraId="266E8CAC" w14:textId="0FBF3A1C" w:rsidR="00D52053" w:rsidRDefault="00D52053" w:rsidP="001F1622">
            <w:pPr>
              <w:pStyle w:val="CETBodytext"/>
              <w:ind w:right="-1"/>
              <w:jc w:val="left"/>
              <w:rPr>
                <w:rFonts w:cs="Arial"/>
                <w:szCs w:val="18"/>
              </w:rPr>
            </w:pPr>
            <w:r>
              <w:rPr>
                <w:rFonts w:cs="Arial"/>
                <w:szCs w:val="18"/>
              </w:rPr>
              <w:t>5.7</w:t>
            </w:r>
            <w:r w:rsidR="00A14E53">
              <w:rPr>
                <w:rFonts w:cs="Arial"/>
                <w:szCs w:val="18"/>
              </w:rPr>
              <w:t xml:space="preserve"> ± 0.2</w:t>
            </w:r>
          </w:p>
        </w:tc>
        <w:tc>
          <w:tcPr>
            <w:tcW w:w="1417" w:type="dxa"/>
            <w:tcBorders>
              <w:top w:val="nil"/>
              <w:bottom w:val="single" w:sz="12" w:space="0" w:color="008000"/>
            </w:tcBorders>
            <w:shd w:val="clear" w:color="auto" w:fill="FFFFFF"/>
          </w:tcPr>
          <w:p w14:paraId="7A176FF5" w14:textId="725744EB" w:rsidR="00D52053" w:rsidRDefault="00D52053" w:rsidP="001F1622">
            <w:pPr>
              <w:pStyle w:val="CETBodytext"/>
              <w:ind w:right="-1"/>
              <w:jc w:val="left"/>
              <w:rPr>
                <w:rFonts w:cs="Arial"/>
                <w:szCs w:val="18"/>
              </w:rPr>
            </w:pPr>
            <w:r>
              <w:rPr>
                <w:rFonts w:cs="Arial"/>
                <w:szCs w:val="18"/>
              </w:rPr>
              <w:t>5</w:t>
            </w:r>
            <w:r w:rsidRPr="006E0B6B">
              <w:rPr>
                <w:rFonts w:cs="Arial"/>
                <w:szCs w:val="18"/>
              </w:rPr>
              <w:t>.</w:t>
            </w:r>
            <w:r>
              <w:rPr>
                <w:rFonts w:cs="Arial"/>
                <w:szCs w:val="18"/>
              </w:rPr>
              <w:t>6</w:t>
            </w:r>
            <w:r w:rsidR="00A14E53">
              <w:rPr>
                <w:rFonts w:cs="Arial"/>
                <w:szCs w:val="18"/>
              </w:rPr>
              <w:t xml:space="preserve"> ± 0.3</w:t>
            </w:r>
          </w:p>
        </w:tc>
      </w:tr>
    </w:tbl>
    <w:p w14:paraId="1345ECD5" w14:textId="54FD3D41" w:rsidR="00673987" w:rsidRDefault="00673987" w:rsidP="000A6B97">
      <w:pPr>
        <w:pStyle w:val="CETTabletitle"/>
        <w:jc w:val="both"/>
        <w:rPr>
          <w:rFonts w:cs="Arial"/>
          <w:i w:val="0"/>
          <w:iCs/>
          <w:lang w:val="en-US"/>
        </w:rPr>
      </w:pPr>
      <w:r w:rsidRPr="00673987">
        <w:rPr>
          <w:rFonts w:cs="Arial"/>
          <w:i w:val="0"/>
          <w:iCs/>
          <w:lang w:val="en-US"/>
        </w:rPr>
        <w:t xml:space="preserve">The proximate composition of the </w:t>
      </w:r>
      <w:r w:rsidR="00501C4F">
        <w:rPr>
          <w:rFonts w:cs="Arial"/>
          <w:i w:val="0"/>
          <w:iCs/>
          <w:lang w:val="en-US"/>
        </w:rPr>
        <w:t xml:space="preserve">three PPB </w:t>
      </w:r>
      <w:r w:rsidRPr="00673987">
        <w:rPr>
          <w:rFonts w:cs="Arial"/>
          <w:i w:val="0"/>
          <w:iCs/>
          <w:lang w:val="en-US"/>
        </w:rPr>
        <w:t>biomass</w:t>
      </w:r>
      <w:r w:rsidR="00501C4F">
        <w:rPr>
          <w:rFonts w:cs="Arial"/>
          <w:i w:val="0"/>
          <w:iCs/>
          <w:lang w:val="en-US"/>
        </w:rPr>
        <w:t>es</w:t>
      </w:r>
      <w:r w:rsidRPr="00673987">
        <w:rPr>
          <w:rFonts w:cs="Arial"/>
          <w:i w:val="0"/>
          <w:iCs/>
          <w:lang w:val="en-US"/>
        </w:rPr>
        <w:t xml:space="preserve"> indicate</w:t>
      </w:r>
      <w:r w:rsidR="00501C4F">
        <w:rPr>
          <w:rFonts w:cs="Arial"/>
          <w:i w:val="0"/>
          <w:iCs/>
          <w:lang w:val="en-US"/>
        </w:rPr>
        <w:t>d</w:t>
      </w:r>
      <w:r w:rsidRPr="00673987">
        <w:rPr>
          <w:rFonts w:cs="Arial"/>
          <w:i w:val="0"/>
          <w:iCs/>
          <w:lang w:val="en-US"/>
        </w:rPr>
        <w:t xml:space="preserve"> </w:t>
      </w:r>
      <w:r w:rsidR="00B86788">
        <w:rPr>
          <w:rFonts w:cs="Arial"/>
          <w:i w:val="0"/>
          <w:iCs/>
          <w:lang w:val="en-US"/>
        </w:rPr>
        <w:t>their</w:t>
      </w:r>
      <w:r w:rsidR="00B86788" w:rsidRPr="00673987">
        <w:rPr>
          <w:rFonts w:cs="Arial"/>
          <w:i w:val="0"/>
          <w:iCs/>
          <w:lang w:val="en-US"/>
        </w:rPr>
        <w:t xml:space="preserve"> </w:t>
      </w:r>
      <w:r w:rsidRPr="00673987">
        <w:rPr>
          <w:rFonts w:cs="Arial"/>
          <w:i w:val="0"/>
          <w:iCs/>
          <w:lang w:val="en-US"/>
        </w:rPr>
        <w:t xml:space="preserve">potential as a functional ingredient in aquafeed. All </w:t>
      </w:r>
      <w:r w:rsidR="00501C4F">
        <w:rPr>
          <w:rFonts w:cs="Arial"/>
          <w:i w:val="0"/>
          <w:iCs/>
          <w:lang w:val="en-US"/>
        </w:rPr>
        <w:t>of them had</w:t>
      </w:r>
      <w:r w:rsidRPr="00673987">
        <w:rPr>
          <w:rFonts w:cs="Arial"/>
          <w:i w:val="0"/>
          <w:iCs/>
          <w:lang w:val="en-US"/>
        </w:rPr>
        <w:t xml:space="preserve"> high protein content, particularly PBR-1 and PBR-2, which are within the range suitable for fish diets. PBR-3 ha</w:t>
      </w:r>
      <w:r w:rsidR="00501C4F">
        <w:rPr>
          <w:rFonts w:cs="Arial"/>
          <w:i w:val="0"/>
          <w:iCs/>
          <w:lang w:val="en-US"/>
        </w:rPr>
        <w:t>d</w:t>
      </w:r>
      <w:r w:rsidRPr="00673987">
        <w:rPr>
          <w:rFonts w:cs="Arial"/>
          <w:i w:val="0"/>
          <w:iCs/>
          <w:lang w:val="en-US"/>
        </w:rPr>
        <w:t xml:space="preserve"> a lower protein content, but this is partially compensated by higher lipid (15.1%) and carbohydrate (17.9%) fractions, which can provide additional energy in the feed.</w:t>
      </w:r>
      <w:r w:rsidR="004104B0">
        <w:rPr>
          <w:rFonts w:cs="Arial"/>
          <w:i w:val="0"/>
          <w:iCs/>
          <w:lang w:val="en-US"/>
        </w:rPr>
        <w:t xml:space="preserve"> </w:t>
      </w:r>
      <w:r w:rsidRPr="00673987">
        <w:rPr>
          <w:rFonts w:cs="Arial"/>
          <w:i w:val="0"/>
          <w:iCs/>
          <w:lang w:val="en-US"/>
        </w:rPr>
        <w:t>The presence of PHA (</w:t>
      </w:r>
      <w:r w:rsidR="004104B0">
        <w:rPr>
          <w:rFonts w:cs="Arial"/>
          <w:i w:val="0"/>
          <w:iCs/>
          <w:lang w:val="en-US"/>
        </w:rPr>
        <w:t xml:space="preserve">especially in </w:t>
      </w:r>
      <w:r w:rsidRPr="00673987">
        <w:rPr>
          <w:rFonts w:cs="Arial"/>
          <w:i w:val="0"/>
          <w:iCs/>
          <w:lang w:val="en-US"/>
        </w:rPr>
        <w:t xml:space="preserve">PBR-1 and PBR-3) </w:t>
      </w:r>
      <w:r w:rsidR="004104B0">
        <w:rPr>
          <w:rFonts w:cs="Arial"/>
          <w:i w:val="0"/>
          <w:iCs/>
          <w:lang w:val="en-US"/>
        </w:rPr>
        <w:t>can be an additional value for aquafeeds since it</w:t>
      </w:r>
      <w:r w:rsidRPr="00673987">
        <w:rPr>
          <w:rFonts w:cs="Arial"/>
          <w:i w:val="0"/>
          <w:iCs/>
          <w:lang w:val="en-US"/>
        </w:rPr>
        <w:t xml:space="preserve"> may influence feed digestibility and gut health. Ash content is moderate (5.4</w:t>
      </w:r>
      <w:r w:rsidR="004104B0">
        <w:rPr>
          <w:rFonts w:cs="Arial"/>
          <w:i w:val="0"/>
          <w:iCs/>
          <w:lang w:val="en-US"/>
        </w:rPr>
        <w:t>-</w:t>
      </w:r>
      <w:r w:rsidRPr="00673987">
        <w:rPr>
          <w:rFonts w:cs="Arial"/>
          <w:i w:val="0"/>
          <w:iCs/>
          <w:lang w:val="en-US"/>
        </w:rPr>
        <w:t xml:space="preserve">5.7%), suggesting a balanced mineral contribution </w:t>
      </w:r>
      <w:r w:rsidRPr="00673987">
        <w:rPr>
          <w:rFonts w:cs="Arial"/>
          <w:i w:val="0"/>
          <w:iCs/>
          <w:lang w:val="en-US"/>
        </w:rPr>
        <w:lastRenderedPageBreak/>
        <w:t>without excessive inorganic load.</w:t>
      </w:r>
      <w:r w:rsidR="004104B0">
        <w:rPr>
          <w:rFonts w:cs="Arial"/>
          <w:i w:val="0"/>
          <w:iCs/>
          <w:lang w:val="en-US"/>
        </w:rPr>
        <w:t xml:space="preserve"> As previously discussed, other than PHA, </w:t>
      </w:r>
      <w:r w:rsidRPr="00673987">
        <w:rPr>
          <w:rFonts w:cs="Arial"/>
          <w:i w:val="0"/>
          <w:iCs/>
          <w:lang w:val="en-US"/>
        </w:rPr>
        <w:t>the biomass</w:t>
      </w:r>
      <w:r w:rsidR="004104B0">
        <w:rPr>
          <w:rFonts w:cs="Arial"/>
          <w:i w:val="0"/>
          <w:iCs/>
          <w:lang w:val="en-US"/>
        </w:rPr>
        <w:t>es</w:t>
      </w:r>
      <w:r w:rsidRPr="00673987">
        <w:rPr>
          <w:rFonts w:cs="Arial"/>
          <w:i w:val="0"/>
          <w:iCs/>
          <w:lang w:val="en-US"/>
        </w:rPr>
        <w:t xml:space="preserve"> contain</w:t>
      </w:r>
      <w:r w:rsidR="004104B0">
        <w:rPr>
          <w:rFonts w:cs="Arial"/>
          <w:i w:val="0"/>
          <w:iCs/>
          <w:lang w:val="en-US"/>
        </w:rPr>
        <w:t>ed</w:t>
      </w:r>
      <w:r w:rsidRPr="00673987">
        <w:rPr>
          <w:rFonts w:cs="Arial"/>
          <w:i w:val="0"/>
          <w:iCs/>
          <w:lang w:val="en-US"/>
        </w:rPr>
        <w:t xml:space="preserve"> pigments, which could act as antioxidant and immunostimulant factors for fish. Overall, PBR-1 and PBR-2 biomasses appear</w:t>
      </w:r>
      <w:r w:rsidR="004104B0">
        <w:rPr>
          <w:rFonts w:cs="Arial"/>
          <w:i w:val="0"/>
          <w:iCs/>
          <w:lang w:val="en-US"/>
        </w:rPr>
        <w:t>ed</w:t>
      </w:r>
      <w:r w:rsidRPr="00673987">
        <w:rPr>
          <w:rFonts w:cs="Arial"/>
          <w:i w:val="0"/>
          <w:iCs/>
          <w:lang w:val="en-US"/>
        </w:rPr>
        <w:t xml:space="preserve"> most suitable as high-protein feed ingredients, while PBR-3 biomass, despite lower protein, </w:t>
      </w:r>
      <w:r w:rsidR="004104B0">
        <w:rPr>
          <w:rFonts w:cs="Arial"/>
          <w:i w:val="0"/>
          <w:iCs/>
          <w:lang w:val="en-US"/>
        </w:rPr>
        <w:t xml:space="preserve">could </w:t>
      </w:r>
      <w:r w:rsidRPr="00673987">
        <w:rPr>
          <w:rFonts w:cs="Arial"/>
          <w:i w:val="0"/>
          <w:iCs/>
          <w:lang w:val="en-US"/>
        </w:rPr>
        <w:t>offer a richer energy fraction and bioactive compounds, making it potentially useful in combination with other protein</w:t>
      </w:r>
      <w:r w:rsidR="00501C4F">
        <w:rPr>
          <w:rFonts w:cs="Arial"/>
          <w:i w:val="0"/>
          <w:iCs/>
          <w:lang w:val="en-US"/>
        </w:rPr>
        <w:t>-rich</w:t>
      </w:r>
      <w:r w:rsidRPr="00673987">
        <w:rPr>
          <w:rFonts w:cs="Arial"/>
          <w:i w:val="0"/>
          <w:iCs/>
          <w:lang w:val="en-US"/>
        </w:rPr>
        <w:t xml:space="preserve"> sources</w:t>
      </w:r>
      <w:r w:rsidR="00501C4F">
        <w:rPr>
          <w:rFonts w:cs="Arial"/>
          <w:i w:val="0"/>
          <w:iCs/>
          <w:lang w:val="en-US"/>
        </w:rPr>
        <w:t xml:space="preserve"> </w:t>
      </w:r>
      <w:r w:rsidRPr="00673987">
        <w:rPr>
          <w:rFonts w:cs="Arial"/>
          <w:i w:val="0"/>
          <w:iCs/>
          <w:lang w:val="en-US"/>
        </w:rPr>
        <w:t>to formulate balanced aquafeeds</w:t>
      </w:r>
      <w:r w:rsidR="00501C4F">
        <w:rPr>
          <w:rFonts w:cs="Arial"/>
          <w:i w:val="0"/>
          <w:iCs/>
          <w:lang w:val="en-US"/>
        </w:rPr>
        <w:t xml:space="preserve"> (</w:t>
      </w:r>
      <w:proofErr w:type="spellStart"/>
      <w:r w:rsidR="00501C4F">
        <w:rPr>
          <w:rFonts w:cs="Arial"/>
          <w:i w:val="0"/>
          <w:iCs/>
          <w:lang w:val="en-US"/>
        </w:rPr>
        <w:t>Tuci</w:t>
      </w:r>
      <w:proofErr w:type="spellEnd"/>
      <w:r w:rsidR="00501C4F">
        <w:rPr>
          <w:rFonts w:cs="Arial"/>
          <w:i w:val="0"/>
          <w:iCs/>
          <w:lang w:val="en-US"/>
        </w:rPr>
        <w:t xml:space="preserve"> et al., 2025)</w:t>
      </w:r>
      <w:r w:rsidRPr="00673987">
        <w:rPr>
          <w:rFonts w:cs="Arial"/>
          <w:i w:val="0"/>
          <w:iCs/>
          <w:lang w:val="en-US"/>
        </w:rPr>
        <w:t>.</w:t>
      </w:r>
      <w:r w:rsidR="004104B0">
        <w:rPr>
          <w:rFonts w:cs="Arial"/>
          <w:i w:val="0"/>
          <w:iCs/>
          <w:lang w:val="en-US"/>
        </w:rPr>
        <w:t xml:space="preserve"> </w:t>
      </w:r>
      <w:r w:rsidR="000A6B97" w:rsidRPr="000A6B97">
        <w:rPr>
          <w:rFonts w:cs="Arial"/>
          <w:i w:val="0"/>
          <w:iCs/>
          <w:lang w:val="en-US"/>
        </w:rPr>
        <w:t>Other analyses, such as amino acid profiles and the calculation of the essential amino acid</w:t>
      </w:r>
      <w:r w:rsidR="000A6B97">
        <w:rPr>
          <w:rFonts w:cs="Arial"/>
          <w:i w:val="0"/>
          <w:iCs/>
          <w:lang w:val="en-US"/>
        </w:rPr>
        <w:t xml:space="preserve"> </w:t>
      </w:r>
      <w:r w:rsidR="000A6B97" w:rsidRPr="000A6B97">
        <w:rPr>
          <w:rFonts w:cs="Arial"/>
          <w:i w:val="0"/>
          <w:iCs/>
          <w:lang w:val="en-US"/>
        </w:rPr>
        <w:t>index (EAAI), are ongoing and will be used to further evaluate the potential use</w:t>
      </w:r>
      <w:r w:rsidR="004104B0">
        <w:rPr>
          <w:rFonts w:cs="Arial"/>
          <w:i w:val="0"/>
          <w:iCs/>
          <w:lang w:val="en-US"/>
        </w:rPr>
        <w:t xml:space="preserve"> of PPB biomass for specific fish’s species.</w:t>
      </w:r>
    </w:p>
    <w:p w14:paraId="0765FD41" w14:textId="77777777" w:rsidR="005A3D1F" w:rsidRPr="004F7D94" w:rsidRDefault="005A3D1F" w:rsidP="005A3D1F">
      <w:pPr>
        <w:pStyle w:val="CETheadingx"/>
      </w:pPr>
      <w:r w:rsidRPr="004F7D94">
        <w:t>Conclusions</w:t>
      </w:r>
    </w:p>
    <w:p w14:paraId="08669B18" w14:textId="5EB8DBAD" w:rsidR="00B86788" w:rsidRPr="00D90DC4" w:rsidRDefault="00B86788" w:rsidP="00B86788">
      <w:pPr>
        <w:pStyle w:val="CETBodytext"/>
        <w:rPr>
          <w:b/>
        </w:rPr>
      </w:pPr>
      <w:r>
        <w:t xml:space="preserve">Within the context of PPB production from winery by-products as renewable nutrients’ source, </w:t>
      </w:r>
      <w:r w:rsidR="000A6B97">
        <w:t>t</w:t>
      </w:r>
      <w:r w:rsidR="000A6B97" w:rsidRPr="000A6B97">
        <w:t>his work demonstrates that both HRT and light availability significantly affect</w:t>
      </w:r>
      <w:r w:rsidR="000A6B97">
        <w:t xml:space="preserve"> </w:t>
      </w:r>
      <w:r>
        <w:t>the</w:t>
      </w:r>
      <w:r w:rsidRPr="00D90DC4">
        <w:t xml:space="preserve"> PPB biomass productivity and yield. Longer </w:t>
      </w:r>
      <w:r w:rsidRPr="00501C4F">
        <w:rPr>
          <w:szCs w:val="18"/>
        </w:rPr>
        <w:t>HRT (6 days) combined with continuous illumination promoted higher biomass production (</w:t>
      </w:r>
      <w:r w:rsidRPr="00501C4F">
        <w:rPr>
          <w:szCs w:val="18"/>
          <w:lang w:val="en-GB"/>
        </w:rPr>
        <w:t>0.34 g PPB L</w:t>
      </w:r>
      <w:r w:rsidRPr="00501C4F">
        <w:rPr>
          <w:szCs w:val="18"/>
          <w:vertAlign w:val="superscript"/>
          <w:lang w:val="en-GB"/>
        </w:rPr>
        <w:t>-1</w:t>
      </w:r>
      <w:r w:rsidRPr="00501C4F">
        <w:rPr>
          <w:szCs w:val="18"/>
          <w:lang w:val="en-GB"/>
        </w:rPr>
        <w:t xml:space="preserve"> d</w:t>
      </w:r>
      <w:r w:rsidRPr="00501C4F">
        <w:rPr>
          <w:szCs w:val="18"/>
          <w:vertAlign w:val="superscript"/>
          <w:lang w:val="en-GB"/>
        </w:rPr>
        <w:t>-1</w:t>
      </w:r>
      <w:r w:rsidRPr="00501C4F">
        <w:rPr>
          <w:szCs w:val="18"/>
        </w:rPr>
        <w:t xml:space="preserve"> and overall pigment accumulation (7.7 mg </w:t>
      </w:r>
      <w:proofErr w:type="spellStart"/>
      <w:r w:rsidRPr="00501C4F">
        <w:rPr>
          <w:szCs w:val="18"/>
        </w:rPr>
        <w:t>g</w:t>
      </w:r>
      <w:r w:rsidRPr="00501C4F">
        <w:rPr>
          <w:szCs w:val="18"/>
          <w:vertAlign w:val="subscript"/>
        </w:rPr>
        <w:t>dry</w:t>
      </w:r>
      <w:proofErr w:type="spellEnd"/>
      <w:r w:rsidRPr="00501C4F">
        <w:rPr>
          <w:szCs w:val="18"/>
        </w:rPr>
        <w:t xml:space="preserve"> </w:t>
      </w:r>
      <w:r w:rsidRPr="00501C4F">
        <w:rPr>
          <w:szCs w:val="18"/>
          <w:vertAlign w:val="subscript"/>
        </w:rPr>
        <w:t>PPB</w:t>
      </w:r>
      <w:r w:rsidRPr="00501C4F">
        <w:rPr>
          <w:szCs w:val="18"/>
          <w:vertAlign w:val="superscript"/>
        </w:rPr>
        <w:t>-1</w:t>
      </w:r>
      <w:r w:rsidRPr="00501C4F">
        <w:rPr>
          <w:szCs w:val="18"/>
        </w:rPr>
        <w:t>)</w:t>
      </w:r>
      <w:r w:rsidRPr="00D90DC4">
        <w:rPr>
          <w:szCs w:val="18"/>
        </w:rPr>
        <w:t xml:space="preserve">, whereas reduced light availability stimulated </w:t>
      </w:r>
      <w:proofErr w:type="spellStart"/>
      <w:r>
        <w:rPr>
          <w:szCs w:val="18"/>
        </w:rPr>
        <w:t>BChls</w:t>
      </w:r>
      <w:proofErr w:type="spellEnd"/>
      <w:r>
        <w:rPr>
          <w:szCs w:val="18"/>
        </w:rPr>
        <w:t>’</w:t>
      </w:r>
      <w:r w:rsidRPr="00D90DC4">
        <w:rPr>
          <w:szCs w:val="18"/>
        </w:rPr>
        <w:t xml:space="preserve"> synthesis (4.1 </w:t>
      </w:r>
      <w:proofErr w:type="spellStart"/>
      <w:r w:rsidRPr="00501C4F">
        <w:rPr>
          <w:szCs w:val="18"/>
        </w:rPr>
        <w:t>mg</w:t>
      </w:r>
      <w:r w:rsidRPr="00501C4F">
        <w:rPr>
          <w:szCs w:val="18"/>
          <w:vertAlign w:val="subscript"/>
        </w:rPr>
        <w:t>BChls</w:t>
      </w:r>
      <w:proofErr w:type="spellEnd"/>
      <w:r w:rsidRPr="00501C4F">
        <w:rPr>
          <w:szCs w:val="18"/>
        </w:rPr>
        <w:t xml:space="preserve"> </w:t>
      </w:r>
      <w:proofErr w:type="spellStart"/>
      <w:r w:rsidRPr="00501C4F">
        <w:rPr>
          <w:szCs w:val="18"/>
        </w:rPr>
        <w:t>g</w:t>
      </w:r>
      <w:r w:rsidRPr="00501C4F">
        <w:rPr>
          <w:szCs w:val="18"/>
          <w:vertAlign w:val="subscript"/>
        </w:rPr>
        <w:t>dry</w:t>
      </w:r>
      <w:proofErr w:type="spellEnd"/>
      <w:r w:rsidRPr="00501C4F">
        <w:rPr>
          <w:szCs w:val="18"/>
        </w:rPr>
        <w:t xml:space="preserve"> </w:t>
      </w:r>
      <w:r w:rsidRPr="00501C4F">
        <w:rPr>
          <w:szCs w:val="18"/>
          <w:vertAlign w:val="subscript"/>
        </w:rPr>
        <w:t>PPB</w:t>
      </w:r>
      <w:r w:rsidRPr="00501C4F">
        <w:rPr>
          <w:szCs w:val="18"/>
          <w:vertAlign w:val="superscript"/>
        </w:rPr>
        <w:t>-1</w:t>
      </w:r>
      <w:r>
        <w:t xml:space="preserve">) </w:t>
      </w:r>
      <w:r w:rsidRPr="00D90DC4">
        <w:t xml:space="preserve">as an adaptive response to lower </w:t>
      </w:r>
      <w:r>
        <w:t>energy source</w:t>
      </w:r>
      <w:r w:rsidRPr="00D90DC4">
        <w:t xml:space="preserve">. </w:t>
      </w:r>
      <w:r>
        <w:t xml:space="preserve">PHA was also stored according to the </w:t>
      </w:r>
      <w:r w:rsidRPr="00D90DC4">
        <w:t xml:space="preserve">feast-famine strategy, with higher accumulation observed under </w:t>
      </w:r>
      <w:r>
        <w:t>low</w:t>
      </w:r>
      <w:r w:rsidRPr="00D90DC4">
        <w:t xml:space="preserve"> HRT and intermittent light</w:t>
      </w:r>
      <w:r>
        <w:t xml:space="preserve"> (4.0-5.2% </w:t>
      </w:r>
      <w:proofErr w:type="spellStart"/>
      <w:r>
        <w:t>g</w:t>
      </w:r>
      <w:r w:rsidRPr="00501C4F">
        <w:rPr>
          <w:vertAlign w:val="subscript"/>
        </w:rPr>
        <w:t>PHA</w:t>
      </w:r>
      <w:proofErr w:type="spellEnd"/>
      <w:r>
        <w:t xml:space="preserve"> g</w:t>
      </w:r>
      <w:r w:rsidRPr="00923322">
        <w:rPr>
          <w:vertAlign w:val="subscript"/>
        </w:rPr>
        <w:t>PPB</w:t>
      </w:r>
      <w:r w:rsidRPr="00501C4F">
        <w:rPr>
          <w:vertAlign w:val="superscript"/>
        </w:rPr>
        <w:t>-1</w:t>
      </w:r>
      <w:r>
        <w:t>)</w:t>
      </w:r>
      <w:r w:rsidRPr="00D90DC4">
        <w:t xml:space="preserve">. </w:t>
      </w:r>
      <w:r>
        <w:t>A</w:t>
      </w:r>
      <w:r w:rsidRPr="00D90DC4">
        <w:t>long with bioactive pigments and PHA</w:t>
      </w:r>
      <w:r>
        <w:t>,</w:t>
      </w:r>
      <w:r w:rsidRPr="00D90DC4">
        <w:t xml:space="preserve"> </w:t>
      </w:r>
      <w:r>
        <w:t>PPB b</w:t>
      </w:r>
      <w:r w:rsidRPr="00D90DC4">
        <w:t>iomass composition revealed high protein</w:t>
      </w:r>
      <w:r>
        <w:t xml:space="preserve"> content in specific operating conditions (mainly higher HRT and continuous light)</w:t>
      </w:r>
      <w:r w:rsidRPr="00D90DC4">
        <w:t xml:space="preserve">. </w:t>
      </w:r>
      <w:r w:rsidR="0066207A">
        <w:t>P</w:t>
      </w:r>
      <w:r w:rsidR="0066207A" w:rsidRPr="0066207A">
        <w:t>rotein</w:t>
      </w:r>
      <w:r w:rsidR="0066207A">
        <w:t>s level</w:t>
      </w:r>
      <w:r w:rsidR="0066207A" w:rsidRPr="0066207A">
        <w:t>, pigments</w:t>
      </w:r>
      <w:r w:rsidR="0066207A">
        <w:t xml:space="preserve"> and</w:t>
      </w:r>
      <w:r w:rsidR="0066207A" w:rsidRPr="0066207A">
        <w:t xml:space="preserve"> PHA</w:t>
      </w:r>
      <w:r w:rsidR="0066207A">
        <w:t xml:space="preserve"> content</w:t>
      </w:r>
      <w:r w:rsidR="0066207A" w:rsidRPr="0066207A">
        <w:t xml:space="preserve"> can be tuned by operating conditions, which is important from a formulation perspective in aquafeeds.</w:t>
      </w:r>
      <w:r>
        <w:t xml:space="preserve"> </w:t>
      </w:r>
      <w:r w:rsidR="0066207A">
        <w:t>F</w:t>
      </w:r>
      <w:r w:rsidRPr="00D90DC4">
        <w:t>urther analyses, including amino acid</w:t>
      </w:r>
      <w:r>
        <w:t>s</w:t>
      </w:r>
      <w:r w:rsidRPr="00D90DC4">
        <w:t xml:space="preserve"> and EAAI</w:t>
      </w:r>
      <w:r>
        <w:t xml:space="preserve"> evaluation</w:t>
      </w:r>
      <w:r w:rsidRPr="00D90DC4">
        <w:t xml:space="preserve"> will provide deeper insights into </w:t>
      </w:r>
      <w:r>
        <w:t>PPB</w:t>
      </w:r>
      <w:r w:rsidRPr="00D90DC4">
        <w:t xml:space="preserve"> suitability</w:t>
      </w:r>
      <w:r>
        <w:t xml:space="preserve"> for specific fish species</w:t>
      </w:r>
      <w:r w:rsidRPr="00D90DC4">
        <w:t>.</w:t>
      </w:r>
    </w:p>
    <w:p w14:paraId="69F0A12C" w14:textId="180F663A" w:rsidR="00C01CB4" w:rsidRPr="00B86788" w:rsidRDefault="00C01CB4" w:rsidP="00B86788">
      <w:pPr>
        <w:pStyle w:val="CETBodytext"/>
      </w:pPr>
    </w:p>
    <w:p w14:paraId="27B6F50D" w14:textId="7F9DF5EE" w:rsidR="005A3D1F" w:rsidRPr="004E630F" w:rsidRDefault="005A3D1F" w:rsidP="005A3D1F">
      <w:pPr>
        <w:pStyle w:val="CETHeading1"/>
        <w:numPr>
          <w:ilvl w:val="0"/>
          <w:numId w:val="0"/>
        </w:numPr>
        <w:rPr>
          <w:lang w:val="en-GB"/>
        </w:rPr>
      </w:pPr>
      <w:r w:rsidRPr="00B57B36">
        <w:t>Acknowledgments</w:t>
      </w:r>
    </w:p>
    <w:p w14:paraId="1A3C9FC3" w14:textId="77777777" w:rsidR="007361EC" w:rsidRDefault="007361EC" w:rsidP="007361EC">
      <w:pPr>
        <w:pStyle w:val="CETReference"/>
        <w:jc w:val="both"/>
        <w:rPr>
          <w:rFonts w:cs="Arial"/>
          <w:b w:val="0"/>
          <w:lang w:val="en-US"/>
        </w:rPr>
      </w:pPr>
      <w:r w:rsidRPr="007361EC">
        <w:rPr>
          <w:rFonts w:cs="Arial"/>
          <w:b w:val="0"/>
          <w:lang w:val="en-US"/>
        </w:rPr>
        <w:t>This</w:t>
      </w:r>
      <w:r>
        <w:rPr>
          <w:rFonts w:cs="Arial"/>
          <w:b w:val="0"/>
          <w:lang w:val="en-US"/>
        </w:rPr>
        <w:t xml:space="preserve"> </w:t>
      </w:r>
      <w:r w:rsidRPr="007361EC">
        <w:rPr>
          <w:rFonts w:cs="Arial"/>
          <w:b w:val="0"/>
          <w:lang w:val="en-US"/>
        </w:rPr>
        <w:t>work was supported by the DoE 2023-2027 (MUR, AIS.DIP.ECCELLENZA2023_27.FF project).</w:t>
      </w:r>
    </w:p>
    <w:p w14:paraId="2C01B9A1" w14:textId="17DD2762" w:rsidR="005A3D1F" w:rsidRPr="007361EC" w:rsidRDefault="005A3D1F" w:rsidP="007361EC">
      <w:pPr>
        <w:pStyle w:val="CETReference"/>
        <w:rPr>
          <w:rFonts w:cs="Arial"/>
          <w:b w:val="0"/>
          <w:lang w:val="en-US"/>
        </w:rPr>
      </w:pPr>
      <w:r w:rsidRPr="00B57B36">
        <w:t>References</w:t>
      </w:r>
    </w:p>
    <w:p w14:paraId="5D489F32" w14:textId="77777777" w:rsidR="00EE2BB8" w:rsidRDefault="00EE2BB8" w:rsidP="00EE2BB8">
      <w:pPr>
        <w:widowControl w:val="0"/>
        <w:autoSpaceDE w:val="0"/>
        <w:autoSpaceDN w:val="0"/>
        <w:adjustRightInd w:val="0"/>
        <w:spacing w:after="120" w:line="240" w:lineRule="auto"/>
        <w:ind w:left="480" w:hanging="480"/>
      </w:pPr>
      <w:r>
        <w:t xml:space="preserve">Almeida J.R., Serrano E., Fernandez M., </w:t>
      </w:r>
      <w:proofErr w:type="spellStart"/>
      <w:r>
        <w:t>Fradinho</w:t>
      </w:r>
      <w:proofErr w:type="spellEnd"/>
      <w:r>
        <w:t xml:space="preserve"> J.C., Oehmen A., Reis M.A.M., 2021, Polyhydroxyalkanoates production from fermented domestic wastewater using phototrophic mixed cultures, Water Research 197, 117101. </w:t>
      </w:r>
      <w:hyperlink r:id="rId17" w:history="1">
        <w:r w:rsidRPr="00DB015A">
          <w:rPr>
            <w:rStyle w:val="Collegamentoipertestuale"/>
          </w:rPr>
          <w:t>https://doi.org/10.1016/j.watres.2021.117101</w:t>
        </w:r>
      </w:hyperlink>
      <w:r>
        <w:t>.</w:t>
      </w:r>
    </w:p>
    <w:p w14:paraId="262B116F" w14:textId="46103321" w:rsidR="00EE2BB8" w:rsidRDefault="00EE2BB8" w:rsidP="00EE2BB8">
      <w:pPr>
        <w:widowControl w:val="0"/>
        <w:autoSpaceDE w:val="0"/>
        <w:autoSpaceDN w:val="0"/>
        <w:adjustRightInd w:val="0"/>
        <w:spacing w:after="120" w:line="240" w:lineRule="auto"/>
        <w:ind w:left="480" w:hanging="480"/>
      </w:pPr>
      <w:r>
        <w:t xml:space="preserve">Almeida J.R., Serrano León E., Rogalla F., </w:t>
      </w:r>
      <w:proofErr w:type="spellStart"/>
      <w:r>
        <w:t>Fradinho</w:t>
      </w:r>
      <w:proofErr w:type="spellEnd"/>
      <w:r>
        <w:t xml:space="preserve"> J.C., Oehmen A., Reis M.A.M., 2024, Polyhydroxyalkanoates production in purple phototrophic bacteria ponds: A breakthrough in outdoor pilot-scale operation, Science of The Total Environment 912, 168899. </w:t>
      </w:r>
      <w:hyperlink r:id="rId18" w:history="1">
        <w:r w:rsidRPr="00DB015A">
          <w:rPr>
            <w:rStyle w:val="Collegamentoipertestuale"/>
          </w:rPr>
          <w:t>https://doi.org/10.1016/j.scitotenv.2023.168899</w:t>
        </w:r>
      </w:hyperlink>
      <w:r>
        <w:t>.</w:t>
      </w:r>
    </w:p>
    <w:p w14:paraId="498035A4" w14:textId="28AE42B2" w:rsidR="005A3D1F" w:rsidRDefault="005A3D1F" w:rsidP="00EE2BB8">
      <w:pPr>
        <w:widowControl w:val="0"/>
        <w:autoSpaceDE w:val="0"/>
        <w:autoSpaceDN w:val="0"/>
        <w:adjustRightInd w:val="0"/>
        <w:spacing w:after="120" w:line="240" w:lineRule="auto"/>
        <w:ind w:left="480" w:hanging="480"/>
      </w:pPr>
      <w:r w:rsidRPr="00C91978">
        <w:t>APHA/AWWA/WEF, Stand. Methods Exam. Water Wastewater (2012).</w:t>
      </w:r>
    </w:p>
    <w:p w14:paraId="23D57B4C" w14:textId="25DD5EF3" w:rsidR="00EE2BB8" w:rsidRDefault="00EE2BB8" w:rsidP="00EE2BB8">
      <w:pPr>
        <w:widowControl w:val="0"/>
        <w:autoSpaceDE w:val="0"/>
        <w:autoSpaceDN w:val="0"/>
        <w:adjustRightInd w:val="0"/>
        <w:spacing w:after="120" w:line="240" w:lineRule="auto"/>
        <w:ind w:left="480" w:hanging="480"/>
      </w:pPr>
      <w:r>
        <w:t>Bayon-Vicente G</w:t>
      </w:r>
      <w:r w:rsidR="00265AAA">
        <w:t>.</w:t>
      </w:r>
      <w:r>
        <w:t xml:space="preserve">, </w:t>
      </w:r>
      <w:proofErr w:type="spellStart"/>
      <w:r>
        <w:t>Toubeau</w:t>
      </w:r>
      <w:proofErr w:type="spellEnd"/>
      <w:r>
        <w:t xml:space="preserve"> L, Gilson M, </w:t>
      </w:r>
      <w:proofErr w:type="spellStart"/>
      <w:r>
        <w:t>Gégo</w:t>
      </w:r>
      <w:proofErr w:type="spellEnd"/>
      <w:r>
        <w:t xml:space="preserve"> G, </w:t>
      </w:r>
      <w:proofErr w:type="spellStart"/>
      <w:r>
        <w:t>Landgey</w:t>
      </w:r>
      <w:proofErr w:type="spellEnd"/>
      <w:r>
        <w:t xml:space="preserve"> N, Krings S, Leroy B., 2025, </w:t>
      </w:r>
      <w:r w:rsidRPr="00AC731C">
        <w:t>Metabolic pathways to sustainability: review of purple non-</w:t>
      </w:r>
      <w:proofErr w:type="spellStart"/>
      <w:r w:rsidRPr="00AC731C">
        <w:t>sulfur</w:t>
      </w:r>
      <w:proofErr w:type="spellEnd"/>
      <w:r w:rsidRPr="00AC731C">
        <w:t xml:space="preserve"> bacteria potential in agri-food waste </w:t>
      </w:r>
      <w:proofErr w:type="spellStart"/>
      <w:r w:rsidRPr="00AC731C">
        <w:t>valorization</w:t>
      </w:r>
      <w:proofErr w:type="spellEnd"/>
      <w:r>
        <w:t xml:space="preserve">. Frontiers in Bioengineering and Biotechnology, 13, </w:t>
      </w:r>
      <w:hyperlink r:id="rId19" w:history="1">
        <w:r w:rsidRPr="00DB015A">
          <w:rPr>
            <w:rStyle w:val="Collegamentoipertestuale"/>
          </w:rPr>
          <w:t>https://doi.org/10.3389/fbioe.2025.1529032</w:t>
        </w:r>
      </w:hyperlink>
      <w:r>
        <w:t>.</w:t>
      </w:r>
    </w:p>
    <w:p w14:paraId="38D9E4B1" w14:textId="1A271D97" w:rsidR="00EE2BB8" w:rsidRDefault="00EE2BB8" w:rsidP="00EE2BB8">
      <w:pPr>
        <w:widowControl w:val="0"/>
        <w:autoSpaceDE w:val="0"/>
        <w:autoSpaceDN w:val="0"/>
        <w:adjustRightInd w:val="0"/>
        <w:spacing w:after="120" w:line="240" w:lineRule="auto"/>
        <w:ind w:left="480" w:hanging="480"/>
      </w:pPr>
      <w:r>
        <w:t xml:space="preserve">Capson-Tojo G., Batstone D.J., </w:t>
      </w:r>
      <w:proofErr w:type="spellStart"/>
      <w:r>
        <w:t>Grassino</w:t>
      </w:r>
      <w:proofErr w:type="spellEnd"/>
      <w:r>
        <w:t xml:space="preserve"> M., </w:t>
      </w:r>
      <w:proofErr w:type="spellStart"/>
      <w:r>
        <w:t>Vlaeminck</w:t>
      </w:r>
      <w:proofErr w:type="spellEnd"/>
      <w:r>
        <w:t xml:space="preserve"> S.E., Puyol D., Verstraete W., </w:t>
      </w:r>
      <w:proofErr w:type="spellStart"/>
      <w:r>
        <w:t>Kleerebezem</w:t>
      </w:r>
      <w:proofErr w:type="spellEnd"/>
      <w:r>
        <w:t xml:space="preserve"> R., et al., 2020, Purple Phototrophic Bacteria for Resource Recovery: Challenges and Opportunities, Biotechnology Advances, 43, 107567. </w:t>
      </w:r>
      <w:hyperlink r:id="rId20" w:history="1">
        <w:r w:rsidRPr="00DB015A">
          <w:rPr>
            <w:rStyle w:val="Collegamentoipertestuale"/>
          </w:rPr>
          <w:t>https://doi.org/10.1016/j.biotechadv.2020.107567</w:t>
        </w:r>
      </w:hyperlink>
      <w:r>
        <w:t>.</w:t>
      </w:r>
    </w:p>
    <w:p w14:paraId="70CD2C96" w14:textId="3C8278D9" w:rsidR="005A3D1F" w:rsidRDefault="005A3D1F" w:rsidP="00EE2BB8">
      <w:pPr>
        <w:widowControl w:val="0"/>
        <w:autoSpaceDE w:val="0"/>
        <w:autoSpaceDN w:val="0"/>
        <w:adjustRightInd w:val="0"/>
        <w:spacing w:after="120" w:line="240" w:lineRule="auto"/>
        <w:ind w:left="480" w:hanging="480"/>
      </w:pPr>
      <w:proofErr w:type="spellStart"/>
      <w:r>
        <w:t>Chetrariu</w:t>
      </w:r>
      <w:proofErr w:type="spellEnd"/>
      <w:r>
        <w:t xml:space="preserve"> A</w:t>
      </w:r>
      <w:r w:rsidR="00281DF5">
        <w:t>.</w:t>
      </w:r>
      <w:r>
        <w:t xml:space="preserve">, Dabija A., </w:t>
      </w:r>
      <w:proofErr w:type="spellStart"/>
      <w:r>
        <w:t>Caisin</w:t>
      </w:r>
      <w:proofErr w:type="spellEnd"/>
      <w:r>
        <w:t xml:space="preserve"> L., </w:t>
      </w:r>
      <w:proofErr w:type="spellStart"/>
      <w:r>
        <w:t>Agapii</w:t>
      </w:r>
      <w:proofErr w:type="spellEnd"/>
      <w:r>
        <w:t xml:space="preserve"> V., </w:t>
      </w:r>
      <w:proofErr w:type="spellStart"/>
      <w:r>
        <w:t>Avrămia</w:t>
      </w:r>
      <w:proofErr w:type="spellEnd"/>
      <w:r>
        <w:t xml:space="preserve"> I., 2025, </w:t>
      </w:r>
      <w:r w:rsidRPr="00F76850">
        <w:t xml:space="preserve">Sustainable </w:t>
      </w:r>
      <w:proofErr w:type="spellStart"/>
      <w:r w:rsidRPr="00F76850">
        <w:t>Valorization</w:t>
      </w:r>
      <w:proofErr w:type="spellEnd"/>
      <w:r w:rsidRPr="00F76850">
        <w:t xml:space="preserve"> of Wine Lees: From Waste to Value-Added Products</w:t>
      </w:r>
      <w:r>
        <w:t xml:space="preserve">. Applied Science, 15, 3648, </w:t>
      </w:r>
      <w:hyperlink r:id="rId21" w:history="1">
        <w:r w:rsidRPr="00DB015A">
          <w:rPr>
            <w:rStyle w:val="Collegamentoipertestuale"/>
          </w:rPr>
          <w:t>https://doi.org/10.3390/app15073648</w:t>
        </w:r>
      </w:hyperlink>
      <w:r>
        <w:t>.</w:t>
      </w:r>
    </w:p>
    <w:p w14:paraId="7CC0590F" w14:textId="353E39CF" w:rsidR="00EB5FAB" w:rsidRDefault="00EB5FAB" w:rsidP="00EB5FAB">
      <w:pPr>
        <w:widowControl w:val="0"/>
        <w:autoSpaceDE w:val="0"/>
        <w:autoSpaceDN w:val="0"/>
        <w:adjustRightInd w:val="0"/>
        <w:spacing w:after="120" w:line="240" w:lineRule="auto"/>
        <w:ind w:left="480" w:hanging="480"/>
      </w:pPr>
      <w:proofErr w:type="spellStart"/>
      <w:r w:rsidRPr="00EB5FAB">
        <w:rPr>
          <w:rFonts w:cs="Arial"/>
        </w:rPr>
        <w:t>Fradinho</w:t>
      </w:r>
      <w:proofErr w:type="spellEnd"/>
      <w:r w:rsidRPr="00EB5FAB">
        <w:rPr>
          <w:rFonts w:cs="Arial"/>
        </w:rPr>
        <w:t xml:space="preserve"> J.C., Oehmen </w:t>
      </w:r>
      <w:r>
        <w:rPr>
          <w:rFonts w:cs="Arial"/>
        </w:rPr>
        <w:t>A.</w:t>
      </w:r>
      <w:r w:rsidRPr="00EB5FAB">
        <w:rPr>
          <w:rFonts w:cs="Arial"/>
        </w:rPr>
        <w:t>, Reis</w:t>
      </w:r>
      <w:r>
        <w:rPr>
          <w:rFonts w:cs="Arial"/>
        </w:rPr>
        <w:t xml:space="preserve"> M.A.M., 2019, </w:t>
      </w:r>
      <w:r>
        <w:t xml:space="preserve">Improving polyhydroxyalkanoates production in phototrophic mixed cultures by optimizing accumulator reactor operating conditions, </w:t>
      </w:r>
      <w:r w:rsidRPr="00EB5FAB">
        <w:t>International Journal of Biological Macromolecules 126</w:t>
      </w:r>
      <w:r>
        <w:t xml:space="preserve">, </w:t>
      </w:r>
      <w:r w:rsidRPr="00EB5FAB">
        <w:t>1085</w:t>
      </w:r>
      <w:r>
        <w:t>-</w:t>
      </w:r>
      <w:r w:rsidRPr="00EB5FAB">
        <w:t>1092</w:t>
      </w:r>
      <w:r>
        <w:t xml:space="preserve">. </w:t>
      </w:r>
      <w:hyperlink r:id="rId22" w:history="1">
        <w:r w:rsidRPr="00167568">
          <w:rPr>
            <w:rStyle w:val="Collegamentoipertestuale"/>
          </w:rPr>
          <w:t>https://doi.org/10.1016/j.ijbiomac.2018.12.270</w:t>
        </w:r>
      </w:hyperlink>
      <w:r>
        <w:t xml:space="preserve">. </w:t>
      </w:r>
    </w:p>
    <w:p w14:paraId="26F5CC76" w14:textId="07530CC9" w:rsidR="00D639FF" w:rsidRDefault="00A75DE1" w:rsidP="00A75DE1">
      <w:pPr>
        <w:widowControl w:val="0"/>
        <w:autoSpaceDE w:val="0"/>
        <w:autoSpaceDN w:val="0"/>
        <w:adjustRightInd w:val="0"/>
        <w:spacing w:after="120" w:line="240" w:lineRule="auto"/>
        <w:ind w:left="480" w:hanging="480"/>
      </w:pPr>
      <w:proofErr w:type="spellStart"/>
      <w:r>
        <w:t>Tuci</w:t>
      </w:r>
      <w:proofErr w:type="spellEnd"/>
      <w:r>
        <w:t xml:space="preserve"> G.A., Gottardo M., Parmar A.C., </w:t>
      </w:r>
      <w:proofErr w:type="spellStart"/>
      <w:r>
        <w:t>Cardinaletti</w:t>
      </w:r>
      <w:proofErr w:type="spellEnd"/>
      <w:r>
        <w:t xml:space="preserve"> G., </w:t>
      </w:r>
      <w:proofErr w:type="spellStart"/>
      <w:r>
        <w:t>Pascon</w:t>
      </w:r>
      <w:proofErr w:type="spellEnd"/>
      <w:r>
        <w:t xml:space="preserve"> G., Pavan P., Valentino F., 2025</w:t>
      </w:r>
      <w:r w:rsidR="00D639FF">
        <w:t>,</w:t>
      </w:r>
      <w:r>
        <w:t xml:space="preserve"> Single-cell proteins polyhydroxyalkanoates-rich microbial biomass from municipal and winery waste as potential additive for aquafeeds, New Biotechnology 89, 29-39. </w:t>
      </w:r>
      <w:hyperlink r:id="rId23" w:history="1">
        <w:r w:rsidRPr="00167568">
          <w:rPr>
            <w:rStyle w:val="Collegamentoipertestuale"/>
          </w:rPr>
          <w:t>https://doi.org/10.1016/j.nbt.2025.06.003</w:t>
        </w:r>
      </w:hyperlink>
      <w:r>
        <w:t>.</w:t>
      </w:r>
    </w:p>
    <w:p w14:paraId="225ADAAB" w14:textId="6CAA0EE5" w:rsidR="00A75DE1" w:rsidRDefault="00D639FF" w:rsidP="00D639FF">
      <w:pPr>
        <w:widowControl w:val="0"/>
        <w:autoSpaceDE w:val="0"/>
        <w:autoSpaceDN w:val="0"/>
        <w:adjustRightInd w:val="0"/>
        <w:spacing w:after="120" w:line="240" w:lineRule="auto"/>
        <w:ind w:left="480" w:hanging="480"/>
      </w:pPr>
      <w:r>
        <w:t xml:space="preserve">Valentino F., Brusca A.A., Beccari M., Nuzzo A., </w:t>
      </w:r>
      <w:proofErr w:type="spellStart"/>
      <w:r>
        <w:t>Zanaroli</w:t>
      </w:r>
      <w:proofErr w:type="spellEnd"/>
      <w:r>
        <w:t xml:space="preserve"> G., Majone M., 2013, </w:t>
      </w:r>
      <w:proofErr w:type="spellStart"/>
      <w:r>
        <w:t>Start up</w:t>
      </w:r>
      <w:proofErr w:type="spellEnd"/>
      <w:r>
        <w:t xml:space="preserve"> of biological sequencing batch reactor (SBR) and short-term biomass acclimation for polyhydroxyalkanoates production, Journal of Chemical Technology &amp; Biotechnology </w:t>
      </w:r>
      <w:r w:rsidRPr="00D639FF">
        <w:t>88</w:t>
      </w:r>
      <w:r>
        <w:t>,</w:t>
      </w:r>
      <w:r w:rsidRPr="00D639FF">
        <w:t xml:space="preserve"> 261</w:t>
      </w:r>
      <w:r>
        <w:t>-</w:t>
      </w:r>
      <w:r w:rsidRPr="00D639FF">
        <w:t>270</w:t>
      </w:r>
      <w:r>
        <w:t xml:space="preserve">. </w:t>
      </w:r>
      <w:hyperlink r:id="rId24" w:history="1">
        <w:r w:rsidRPr="00167568">
          <w:rPr>
            <w:rStyle w:val="Collegamentoipertestuale"/>
          </w:rPr>
          <w:t>https://dx.doi.org/10.1002/jctb.3824</w:t>
        </w:r>
      </w:hyperlink>
      <w:r>
        <w:t xml:space="preserve">. </w:t>
      </w:r>
    </w:p>
    <w:p w14:paraId="19C4FC68" w14:textId="6C7241A0" w:rsidR="004628D2" w:rsidRDefault="007361EC" w:rsidP="004104B0">
      <w:pPr>
        <w:widowControl w:val="0"/>
        <w:autoSpaceDE w:val="0"/>
        <w:autoSpaceDN w:val="0"/>
        <w:adjustRightInd w:val="0"/>
        <w:spacing w:after="120" w:line="240" w:lineRule="auto"/>
        <w:ind w:left="480" w:hanging="480"/>
      </w:pPr>
      <w:r>
        <w:t>Yu S., Peng L.,</w:t>
      </w:r>
      <w:r w:rsidRPr="007361EC">
        <w:t xml:space="preserve"> </w:t>
      </w:r>
      <w:r>
        <w:t xml:space="preserve">Xu Y., Song S., Xie G.J., Liu Y., Ni B.J., 2021, Optimizing light sources for selective growth of purple bacteria and efficient formation of value-added products, Journal of Cleaner Production 280, </w:t>
      </w:r>
      <w:r w:rsidRPr="007361EC">
        <w:t>124493</w:t>
      </w:r>
      <w:r>
        <w:t xml:space="preserve">. </w:t>
      </w:r>
      <w:hyperlink r:id="rId25" w:history="1">
        <w:r w:rsidRPr="00167568">
          <w:rPr>
            <w:rStyle w:val="Collegamentoipertestuale"/>
          </w:rPr>
          <w:t>https://doi.org/10.1016/j.jclepro.2020.124493</w:t>
        </w:r>
      </w:hyperlink>
      <w:r>
        <w:t xml:space="preserve">. </w:t>
      </w:r>
    </w:p>
    <w:sectPr w:rsidR="004628D2" w:rsidSect="008314D7">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A619BE" w14:textId="77777777" w:rsidR="00380517" w:rsidRDefault="00380517" w:rsidP="004F5E36">
      <w:r>
        <w:separator/>
      </w:r>
    </w:p>
  </w:endnote>
  <w:endnote w:type="continuationSeparator" w:id="0">
    <w:p w14:paraId="6E4015B6" w14:textId="77777777" w:rsidR="00380517" w:rsidRDefault="00380517"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AdvP6960">
    <w:altName w:val="Cambria"/>
    <w:panose1 w:val="020B0604020202020204"/>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740247" w14:textId="77777777" w:rsidR="00380517" w:rsidRDefault="00380517" w:rsidP="004F5E36">
      <w:r>
        <w:separator/>
      </w:r>
    </w:p>
  </w:footnote>
  <w:footnote w:type="continuationSeparator" w:id="0">
    <w:p w14:paraId="1AC7859E" w14:textId="77777777" w:rsidR="00380517" w:rsidRDefault="00380517"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0"/>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7"/>
  </w:num>
  <w:num w:numId="13" w16cid:durableId="695733619">
    <w:abstractNumId w:val="12"/>
  </w:num>
  <w:num w:numId="14" w16cid:durableId="145903400">
    <w:abstractNumId w:val="18"/>
  </w:num>
  <w:num w:numId="15" w16cid:durableId="19162326">
    <w:abstractNumId w:val="20"/>
  </w:num>
  <w:num w:numId="16" w16cid:durableId="1977102699">
    <w:abstractNumId w:val="19"/>
  </w:num>
  <w:num w:numId="17" w16cid:durableId="860774865">
    <w:abstractNumId w:val="11"/>
  </w:num>
  <w:num w:numId="18" w16cid:durableId="313221457">
    <w:abstractNumId w:val="12"/>
    <w:lvlOverride w:ilvl="0">
      <w:startOverride w:val="1"/>
    </w:lvlOverride>
  </w:num>
  <w:num w:numId="19" w16cid:durableId="534971577">
    <w:abstractNumId w:val="16"/>
  </w:num>
  <w:num w:numId="20" w16cid:durableId="1150947773">
    <w:abstractNumId w:val="15"/>
  </w:num>
  <w:num w:numId="21" w16cid:durableId="124660497">
    <w:abstractNumId w:val="14"/>
  </w:num>
  <w:num w:numId="22" w16cid:durableId="209986147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1"/>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884"/>
    <w:rsid w:val="00005A19"/>
    <w:rsid w:val="000117CB"/>
    <w:rsid w:val="0003148D"/>
    <w:rsid w:val="00031EEC"/>
    <w:rsid w:val="00051566"/>
    <w:rsid w:val="000562A9"/>
    <w:rsid w:val="00062A9A"/>
    <w:rsid w:val="00065058"/>
    <w:rsid w:val="0007086F"/>
    <w:rsid w:val="00086C39"/>
    <w:rsid w:val="000A03B2"/>
    <w:rsid w:val="000A6B97"/>
    <w:rsid w:val="000C3020"/>
    <w:rsid w:val="000D0268"/>
    <w:rsid w:val="000D34BE"/>
    <w:rsid w:val="000E102F"/>
    <w:rsid w:val="000E36F1"/>
    <w:rsid w:val="000E3A73"/>
    <w:rsid w:val="000E414A"/>
    <w:rsid w:val="000E75FD"/>
    <w:rsid w:val="000F093C"/>
    <w:rsid w:val="000F787B"/>
    <w:rsid w:val="0012091F"/>
    <w:rsid w:val="00122315"/>
    <w:rsid w:val="00124AAD"/>
    <w:rsid w:val="00126BC2"/>
    <w:rsid w:val="001308B6"/>
    <w:rsid w:val="0013121F"/>
    <w:rsid w:val="00131FE6"/>
    <w:rsid w:val="0013263F"/>
    <w:rsid w:val="001331DF"/>
    <w:rsid w:val="00134DE4"/>
    <w:rsid w:val="0014034D"/>
    <w:rsid w:val="00140FE3"/>
    <w:rsid w:val="00144D16"/>
    <w:rsid w:val="00150E59"/>
    <w:rsid w:val="00152DE3"/>
    <w:rsid w:val="00155525"/>
    <w:rsid w:val="00164CF9"/>
    <w:rsid w:val="001667A6"/>
    <w:rsid w:val="00184AD6"/>
    <w:rsid w:val="001A4AF7"/>
    <w:rsid w:val="001B0349"/>
    <w:rsid w:val="001B1E93"/>
    <w:rsid w:val="001B65C1"/>
    <w:rsid w:val="001C260F"/>
    <w:rsid w:val="001C33F1"/>
    <w:rsid w:val="001C4EB7"/>
    <w:rsid w:val="001C684B"/>
    <w:rsid w:val="001D0CFB"/>
    <w:rsid w:val="001D21AF"/>
    <w:rsid w:val="001D2D8C"/>
    <w:rsid w:val="001D53FC"/>
    <w:rsid w:val="001F42A5"/>
    <w:rsid w:val="001F7B9D"/>
    <w:rsid w:val="00201C93"/>
    <w:rsid w:val="002224B4"/>
    <w:rsid w:val="002447EF"/>
    <w:rsid w:val="00251550"/>
    <w:rsid w:val="00251B7B"/>
    <w:rsid w:val="00251BAE"/>
    <w:rsid w:val="00256C3F"/>
    <w:rsid w:val="00263B05"/>
    <w:rsid w:val="00264F03"/>
    <w:rsid w:val="00265AAA"/>
    <w:rsid w:val="0027221A"/>
    <w:rsid w:val="00275B61"/>
    <w:rsid w:val="00280FAF"/>
    <w:rsid w:val="00281DF5"/>
    <w:rsid w:val="00282656"/>
    <w:rsid w:val="00287D16"/>
    <w:rsid w:val="0029022B"/>
    <w:rsid w:val="00296B83"/>
    <w:rsid w:val="002A6396"/>
    <w:rsid w:val="002B4015"/>
    <w:rsid w:val="002B78CE"/>
    <w:rsid w:val="002C2FB6"/>
    <w:rsid w:val="002D28C7"/>
    <w:rsid w:val="002E5FA7"/>
    <w:rsid w:val="002F3309"/>
    <w:rsid w:val="003008CE"/>
    <w:rsid w:val="003009B7"/>
    <w:rsid w:val="00300E56"/>
    <w:rsid w:val="0030152C"/>
    <w:rsid w:val="00302E5D"/>
    <w:rsid w:val="0030469C"/>
    <w:rsid w:val="00321CA6"/>
    <w:rsid w:val="00323763"/>
    <w:rsid w:val="00323C5F"/>
    <w:rsid w:val="00325305"/>
    <w:rsid w:val="0033032D"/>
    <w:rsid w:val="00334C09"/>
    <w:rsid w:val="00337E96"/>
    <w:rsid w:val="0036464C"/>
    <w:rsid w:val="003723D4"/>
    <w:rsid w:val="00380517"/>
    <w:rsid w:val="00381905"/>
    <w:rsid w:val="00384CC8"/>
    <w:rsid w:val="003871FD"/>
    <w:rsid w:val="003A1E30"/>
    <w:rsid w:val="003A2829"/>
    <w:rsid w:val="003A7D1C"/>
    <w:rsid w:val="003B304B"/>
    <w:rsid w:val="003B3146"/>
    <w:rsid w:val="003C436A"/>
    <w:rsid w:val="003D105B"/>
    <w:rsid w:val="003D1E02"/>
    <w:rsid w:val="003F015E"/>
    <w:rsid w:val="00400414"/>
    <w:rsid w:val="004104B0"/>
    <w:rsid w:val="0041446B"/>
    <w:rsid w:val="0044071E"/>
    <w:rsid w:val="0044329C"/>
    <w:rsid w:val="00453E24"/>
    <w:rsid w:val="00457456"/>
    <w:rsid w:val="004577FE"/>
    <w:rsid w:val="00457B9C"/>
    <w:rsid w:val="0046164A"/>
    <w:rsid w:val="004628D2"/>
    <w:rsid w:val="00462DCD"/>
    <w:rsid w:val="004648AD"/>
    <w:rsid w:val="004703A9"/>
    <w:rsid w:val="004760DE"/>
    <w:rsid w:val="004763D7"/>
    <w:rsid w:val="004A004E"/>
    <w:rsid w:val="004A19F8"/>
    <w:rsid w:val="004A24CF"/>
    <w:rsid w:val="004A5E57"/>
    <w:rsid w:val="004B5A85"/>
    <w:rsid w:val="004C194F"/>
    <w:rsid w:val="004C19DD"/>
    <w:rsid w:val="004C3D1D"/>
    <w:rsid w:val="004C3D84"/>
    <w:rsid w:val="004C7913"/>
    <w:rsid w:val="004E1AF9"/>
    <w:rsid w:val="004E4DD6"/>
    <w:rsid w:val="004F5E36"/>
    <w:rsid w:val="00501C4F"/>
    <w:rsid w:val="00507B47"/>
    <w:rsid w:val="00507BEF"/>
    <w:rsid w:val="00507CC9"/>
    <w:rsid w:val="005119A5"/>
    <w:rsid w:val="005278B7"/>
    <w:rsid w:val="00532016"/>
    <w:rsid w:val="005346C8"/>
    <w:rsid w:val="00543E7D"/>
    <w:rsid w:val="00547A68"/>
    <w:rsid w:val="005531C9"/>
    <w:rsid w:val="00570C43"/>
    <w:rsid w:val="00582BEB"/>
    <w:rsid w:val="00592274"/>
    <w:rsid w:val="005A3D1F"/>
    <w:rsid w:val="005B2110"/>
    <w:rsid w:val="005B3953"/>
    <w:rsid w:val="005B61E6"/>
    <w:rsid w:val="005C77E1"/>
    <w:rsid w:val="005D564B"/>
    <w:rsid w:val="005D668A"/>
    <w:rsid w:val="005D6A2F"/>
    <w:rsid w:val="005E0592"/>
    <w:rsid w:val="005E1A82"/>
    <w:rsid w:val="005E794C"/>
    <w:rsid w:val="005F0A28"/>
    <w:rsid w:val="005F0E5E"/>
    <w:rsid w:val="005F5DE0"/>
    <w:rsid w:val="00600535"/>
    <w:rsid w:val="00610CD6"/>
    <w:rsid w:val="00620DEE"/>
    <w:rsid w:val="00621F92"/>
    <w:rsid w:val="0062280A"/>
    <w:rsid w:val="006231E1"/>
    <w:rsid w:val="00625639"/>
    <w:rsid w:val="00631B33"/>
    <w:rsid w:val="006414C4"/>
    <w:rsid w:val="0064184D"/>
    <w:rsid w:val="006422CC"/>
    <w:rsid w:val="00651D18"/>
    <w:rsid w:val="00660E3E"/>
    <w:rsid w:val="0066207A"/>
    <w:rsid w:val="00662E74"/>
    <w:rsid w:val="00673987"/>
    <w:rsid w:val="00676883"/>
    <w:rsid w:val="00680C23"/>
    <w:rsid w:val="00683E23"/>
    <w:rsid w:val="00693766"/>
    <w:rsid w:val="006A3281"/>
    <w:rsid w:val="006B4888"/>
    <w:rsid w:val="006C2E45"/>
    <w:rsid w:val="006C359C"/>
    <w:rsid w:val="006C5579"/>
    <w:rsid w:val="006D6E8B"/>
    <w:rsid w:val="006D7209"/>
    <w:rsid w:val="006E737D"/>
    <w:rsid w:val="00707DD1"/>
    <w:rsid w:val="00713973"/>
    <w:rsid w:val="00717C9E"/>
    <w:rsid w:val="00720A24"/>
    <w:rsid w:val="00732386"/>
    <w:rsid w:val="0073514D"/>
    <w:rsid w:val="007361EC"/>
    <w:rsid w:val="007447F3"/>
    <w:rsid w:val="0075499F"/>
    <w:rsid w:val="007617B2"/>
    <w:rsid w:val="007617CC"/>
    <w:rsid w:val="007661C8"/>
    <w:rsid w:val="0077098D"/>
    <w:rsid w:val="00785BF9"/>
    <w:rsid w:val="007931FA"/>
    <w:rsid w:val="007A4861"/>
    <w:rsid w:val="007A7BBA"/>
    <w:rsid w:val="007B0C50"/>
    <w:rsid w:val="007B48F9"/>
    <w:rsid w:val="007B611F"/>
    <w:rsid w:val="007C1A43"/>
    <w:rsid w:val="007D0951"/>
    <w:rsid w:val="007F17B2"/>
    <w:rsid w:val="007F27C8"/>
    <w:rsid w:val="0080013E"/>
    <w:rsid w:val="008022A5"/>
    <w:rsid w:val="00804513"/>
    <w:rsid w:val="00813288"/>
    <w:rsid w:val="008168FC"/>
    <w:rsid w:val="00830996"/>
    <w:rsid w:val="008314D7"/>
    <w:rsid w:val="008345F1"/>
    <w:rsid w:val="00860862"/>
    <w:rsid w:val="008634FD"/>
    <w:rsid w:val="00865B07"/>
    <w:rsid w:val="008667EA"/>
    <w:rsid w:val="00875197"/>
    <w:rsid w:val="0087637F"/>
    <w:rsid w:val="00892AD5"/>
    <w:rsid w:val="008A1512"/>
    <w:rsid w:val="008B0389"/>
    <w:rsid w:val="008D32B9"/>
    <w:rsid w:val="008D433B"/>
    <w:rsid w:val="008D4A16"/>
    <w:rsid w:val="008E209A"/>
    <w:rsid w:val="008E45BC"/>
    <w:rsid w:val="008E566E"/>
    <w:rsid w:val="0090161A"/>
    <w:rsid w:val="00901EB6"/>
    <w:rsid w:val="009041F8"/>
    <w:rsid w:val="00904C62"/>
    <w:rsid w:val="00922BA8"/>
    <w:rsid w:val="00923322"/>
    <w:rsid w:val="00924DAC"/>
    <w:rsid w:val="00927058"/>
    <w:rsid w:val="00942750"/>
    <w:rsid w:val="009450CE"/>
    <w:rsid w:val="009459BB"/>
    <w:rsid w:val="00947179"/>
    <w:rsid w:val="0095164B"/>
    <w:rsid w:val="00954090"/>
    <w:rsid w:val="009573E7"/>
    <w:rsid w:val="00963E05"/>
    <w:rsid w:val="00964A45"/>
    <w:rsid w:val="00967843"/>
    <w:rsid w:val="00967D54"/>
    <w:rsid w:val="00971028"/>
    <w:rsid w:val="00980A5C"/>
    <w:rsid w:val="00993B84"/>
    <w:rsid w:val="00996483"/>
    <w:rsid w:val="00996F5A"/>
    <w:rsid w:val="009B041A"/>
    <w:rsid w:val="009B7E39"/>
    <w:rsid w:val="009C37C3"/>
    <w:rsid w:val="009C7C86"/>
    <w:rsid w:val="009D2FF7"/>
    <w:rsid w:val="009E7884"/>
    <w:rsid w:val="009E788A"/>
    <w:rsid w:val="009F0E08"/>
    <w:rsid w:val="00A00D4C"/>
    <w:rsid w:val="00A079AE"/>
    <w:rsid w:val="00A14E53"/>
    <w:rsid w:val="00A1763D"/>
    <w:rsid w:val="00A17CEC"/>
    <w:rsid w:val="00A26CBB"/>
    <w:rsid w:val="00A27C80"/>
    <w:rsid w:val="00A27EF0"/>
    <w:rsid w:val="00A42361"/>
    <w:rsid w:val="00A43AA2"/>
    <w:rsid w:val="00A50B20"/>
    <w:rsid w:val="00A51390"/>
    <w:rsid w:val="00A60D13"/>
    <w:rsid w:val="00A7223D"/>
    <w:rsid w:val="00A72745"/>
    <w:rsid w:val="00A75DE1"/>
    <w:rsid w:val="00A76EFC"/>
    <w:rsid w:val="00A87D50"/>
    <w:rsid w:val="00A91010"/>
    <w:rsid w:val="00A97F29"/>
    <w:rsid w:val="00AA1DE9"/>
    <w:rsid w:val="00AA702E"/>
    <w:rsid w:val="00AA7D26"/>
    <w:rsid w:val="00AB0964"/>
    <w:rsid w:val="00AB5011"/>
    <w:rsid w:val="00AC7368"/>
    <w:rsid w:val="00AD0278"/>
    <w:rsid w:val="00AD04E8"/>
    <w:rsid w:val="00AD16B9"/>
    <w:rsid w:val="00AD5EC4"/>
    <w:rsid w:val="00AE377D"/>
    <w:rsid w:val="00AE5C8A"/>
    <w:rsid w:val="00AF0EBA"/>
    <w:rsid w:val="00B02C8A"/>
    <w:rsid w:val="00B17FBD"/>
    <w:rsid w:val="00B315A6"/>
    <w:rsid w:val="00B31813"/>
    <w:rsid w:val="00B33365"/>
    <w:rsid w:val="00B44E12"/>
    <w:rsid w:val="00B57B36"/>
    <w:rsid w:val="00B57E6F"/>
    <w:rsid w:val="00B86788"/>
    <w:rsid w:val="00B8686D"/>
    <w:rsid w:val="00B93F69"/>
    <w:rsid w:val="00BB10EB"/>
    <w:rsid w:val="00BB1DDC"/>
    <w:rsid w:val="00BB73C2"/>
    <w:rsid w:val="00BC30C9"/>
    <w:rsid w:val="00BD077D"/>
    <w:rsid w:val="00BE3E58"/>
    <w:rsid w:val="00C01616"/>
    <w:rsid w:val="00C0162B"/>
    <w:rsid w:val="00C01CB4"/>
    <w:rsid w:val="00C068ED"/>
    <w:rsid w:val="00C208E9"/>
    <w:rsid w:val="00C22E0C"/>
    <w:rsid w:val="00C32708"/>
    <w:rsid w:val="00C345B1"/>
    <w:rsid w:val="00C40142"/>
    <w:rsid w:val="00C52C3C"/>
    <w:rsid w:val="00C57182"/>
    <w:rsid w:val="00C57863"/>
    <w:rsid w:val="00C640AF"/>
    <w:rsid w:val="00C655FD"/>
    <w:rsid w:val="00C75407"/>
    <w:rsid w:val="00C841C6"/>
    <w:rsid w:val="00C870A8"/>
    <w:rsid w:val="00C94434"/>
    <w:rsid w:val="00CA0D75"/>
    <w:rsid w:val="00CA1C95"/>
    <w:rsid w:val="00CA5A9C"/>
    <w:rsid w:val="00CB5A94"/>
    <w:rsid w:val="00CC4C20"/>
    <w:rsid w:val="00CD3517"/>
    <w:rsid w:val="00CD5FE2"/>
    <w:rsid w:val="00CE4C27"/>
    <w:rsid w:val="00CE7C68"/>
    <w:rsid w:val="00CF2BB5"/>
    <w:rsid w:val="00D02B4C"/>
    <w:rsid w:val="00D040C4"/>
    <w:rsid w:val="00D149AC"/>
    <w:rsid w:val="00D20AD1"/>
    <w:rsid w:val="00D2582C"/>
    <w:rsid w:val="00D37CAE"/>
    <w:rsid w:val="00D46B7E"/>
    <w:rsid w:val="00D52053"/>
    <w:rsid w:val="00D57C84"/>
    <w:rsid w:val="00D6057D"/>
    <w:rsid w:val="00D639FF"/>
    <w:rsid w:val="00D71640"/>
    <w:rsid w:val="00D836C5"/>
    <w:rsid w:val="00D84576"/>
    <w:rsid w:val="00D90DC4"/>
    <w:rsid w:val="00DA1399"/>
    <w:rsid w:val="00DA24C6"/>
    <w:rsid w:val="00DA4D7B"/>
    <w:rsid w:val="00DD271C"/>
    <w:rsid w:val="00DE264A"/>
    <w:rsid w:val="00DE40B7"/>
    <w:rsid w:val="00DE5511"/>
    <w:rsid w:val="00DF5072"/>
    <w:rsid w:val="00E02D18"/>
    <w:rsid w:val="00E041E7"/>
    <w:rsid w:val="00E115D0"/>
    <w:rsid w:val="00E23CA1"/>
    <w:rsid w:val="00E409A8"/>
    <w:rsid w:val="00E47D61"/>
    <w:rsid w:val="00E50C12"/>
    <w:rsid w:val="00E65B91"/>
    <w:rsid w:val="00E7209D"/>
    <w:rsid w:val="00E72EAD"/>
    <w:rsid w:val="00E77223"/>
    <w:rsid w:val="00E8528B"/>
    <w:rsid w:val="00E85B94"/>
    <w:rsid w:val="00E978D0"/>
    <w:rsid w:val="00EA17F5"/>
    <w:rsid w:val="00EA4613"/>
    <w:rsid w:val="00EA6550"/>
    <w:rsid w:val="00EA7F91"/>
    <w:rsid w:val="00EB1523"/>
    <w:rsid w:val="00EB5FAB"/>
    <w:rsid w:val="00EC0E49"/>
    <w:rsid w:val="00EC101F"/>
    <w:rsid w:val="00EC1D9F"/>
    <w:rsid w:val="00ED474A"/>
    <w:rsid w:val="00EE0131"/>
    <w:rsid w:val="00EE17B0"/>
    <w:rsid w:val="00EE2BB8"/>
    <w:rsid w:val="00EF06D9"/>
    <w:rsid w:val="00EF0982"/>
    <w:rsid w:val="00F11A9F"/>
    <w:rsid w:val="00F27B56"/>
    <w:rsid w:val="00F3049E"/>
    <w:rsid w:val="00F30C64"/>
    <w:rsid w:val="00F31C6D"/>
    <w:rsid w:val="00F32BA2"/>
    <w:rsid w:val="00F32CDB"/>
    <w:rsid w:val="00F3348F"/>
    <w:rsid w:val="00F37280"/>
    <w:rsid w:val="00F41EE4"/>
    <w:rsid w:val="00F565FE"/>
    <w:rsid w:val="00F63A70"/>
    <w:rsid w:val="00F63D8C"/>
    <w:rsid w:val="00F73FBE"/>
    <w:rsid w:val="00F7529A"/>
    <w:rsid w:val="00F7534E"/>
    <w:rsid w:val="00F93EDF"/>
    <w:rsid w:val="00FA1802"/>
    <w:rsid w:val="00FA21D0"/>
    <w:rsid w:val="00FA5F5F"/>
    <w:rsid w:val="00FB7177"/>
    <w:rsid w:val="00FB730C"/>
    <w:rsid w:val="00FC2695"/>
    <w:rsid w:val="00FC3E03"/>
    <w:rsid w:val="00FC3FC1"/>
    <w:rsid w:val="00FE4CBC"/>
    <w:rsid w:val="00FF5A49"/>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qFormat/>
    <w:rsid w:val="00280FAF"/>
    <w:pPr>
      <w:ind w:left="720"/>
      <w:contextualSpacing/>
    </w:pPr>
  </w:style>
  <w:style w:type="character" w:customStyle="1" w:styleId="gmail-apple-converted-space">
    <w:name w:val="gmail-apple-converted-space"/>
    <w:basedOn w:val="Carpredefinitoparagrafo"/>
    <w:rsid w:val="00005A19"/>
  </w:style>
  <w:style w:type="character" w:styleId="Menzionenonrisolta">
    <w:name w:val="Unresolved Mention"/>
    <w:basedOn w:val="Carpredefinitoparagrafo"/>
    <w:uiPriority w:val="99"/>
    <w:semiHidden/>
    <w:unhideWhenUsed/>
    <w:rsid w:val="007361EC"/>
    <w:rPr>
      <w:color w:val="605E5C"/>
      <w:shd w:val="clear" w:color="auto" w:fill="E1DFDD"/>
    </w:rPr>
  </w:style>
  <w:style w:type="paragraph" w:styleId="Revisione">
    <w:name w:val="Revision"/>
    <w:hidden/>
    <w:uiPriority w:val="99"/>
    <w:semiHidden/>
    <w:rsid w:val="00DE5511"/>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81295">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doi.org/10.1016/j.scitotenv.2023.168899"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i.org/10.3390/app15073648" TargetMode="External"/><Relationship Id="rId7" Type="http://schemas.openxmlformats.org/officeDocument/2006/relationships/endnotes" Target="endnotes.xml"/><Relationship Id="rId12" Type="http://schemas.openxmlformats.org/officeDocument/2006/relationships/image" Target="media/image4.svg"/><Relationship Id="rId17" Type="http://schemas.openxmlformats.org/officeDocument/2006/relationships/hyperlink" Target="https://doi.org/10.1016/j.watres.2021.117101" TargetMode="External"/><Relationship Id="rId25" Type="http://schemas.openxmlformats.org/officeDocument/2006/relationships/hyperlink" Target="https://doi.org/10.1016/j.jclepro.2020.124493" TargetMode="External"/><Relationship Id="rId2" Type="http://schemas.openxmlformats.org/officeDocument/2006/relationships/numbering" Target="numbering.xml"/><Relationship Id="rId16" Type="http://schemas.openxmlformats.org/officeDocument/2006/relationships/image" Target="media/image8.svg"/><Relationship Id="rId20" Type="http://schemas.openxmlformats.org/officeDocument/2006/relationships/hyperlink" Target="https://doi.org/10.1016/j.biotechadv.2020.10756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x.doi.org/10.1002/jctb.3824"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doi.org/10.1016/j.nbt.2025.06.003" TargetMode="External"/><Relationship Id="rId10" Type="http://schemas.openxmlformats.org/officeDocument/2006/relationships/hyperlink" Target="mailto:francesco.valentino@unive.it" TargetMode="External"/><Relationship Id="rId19" Type="http://schemas.openxmlformats.org/officeDocument/2006/relationships/hyperlink" Target="https://doi.org/10.3389/fbioe.2025.1529032"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svg"/><Relationship Id="rId22" Type="http://schemas.openxmlformats.org/officeDocument/2006/relationships/hyperlink" Target="https://doi.org/10.1016/j.ijbiomac.2018.12.270" TargetMode="External"/><Relationship Id="rId27"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6</Pages>
  <Words>3846</Words>
  <Characters>21924</Characters>
  <Application>Microsoft Office Word</Application>
  <DocSecurity>0</DocSecurity>
  <Lines>182</Lines>
  <Paragraphs>51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25719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VALENTINO Francesco</cp:lastModifiedBy>
  <cp:revision>6</cp:revision>
  <cp:lastPrinted>2015-05-12T18:31:00Z</cp:lastPrinted>
  <dcterms:created xsi:type="dcterms:W3CDTF">2026-02-19T12:06:00Z</dcterms:created>
  <dcterms:modified xsi:type="dcterms:W3CDTF">2026-02-19T15:02:00Z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GrammarlyDocumentId">
    <vt:lpwstr>2836f741-bdca-4a99-9ff2-8a4decbaedb2</vt:lpwstr>
  </property>
  <property fmtid="{D5CDD505-2E9C-101B-9397-08002B2CF9AE}" pid="5" name="MSIP_Label_2ad0b24d-6422-44b0-b3de-abb3a9e8c81a_Enabled">
    <vt:lpwstr>true</vt:lpwstr>
  </property>
  <property fmtid="{D5CDD505-2E9C-101B-9397-08002B2CF9AE}" pid="6" name="MSIP_Label_2ad0b24d-6422-44b0-b3de-abb3a9e8c81a_SetDate">
    <vt:lpwstr>2026-01-22T23:56:04Z</vt:lpwstr>
  </property>
  <property fmtid="{D5CDD505-2E9C-101B-9397-08002B2CF9AE}" pid="7" name="MSIP_Label_2ad0b24d-6422-44b0-b3de-abb3a9e8c81a_Method">
    <vt:lpwstr>Standard</vt:lpwstr>
  </property>
  <property fmtid="{D5CDD505-2E9C-101B-9397-08002B2CF9AE}" pid="8" name="MSIP_Label_2ad0b24d-6422-44b0-b3de-abb3a9e8c81a_Name">
    <vt:lpwstr>defa4170-0d19-0005-0004-bc88714345d2</vt:lpwstr>
  </property>
  <property fmtid="{D5CDD505-2E9C-101B-9397-08002B2CF9AE}" pid="9" name="MSIP_Label_2ad0b24d-6422-44b0-b3de-abb3a9e8c81a_SiteId">
    <vt:lpwstr>2fcfe26a-bb62-46b0-b1e3-28f9da0c45fd</vt:lpwstr>
  </property>
  <property fmtid="{D5CDD505-2E9C-101B-9397-08002B2CF9AE}" pid="10" name="MSIP_Label_2ad0b24d-6422-44b0-b3de-abb3a9e8c81a_ActionId">
    <vt:lpwstr>bdc45383-392d-4477-9612-c188829a1c72</vt:lpwstr>
  </property>
  <property fmtid="{D5CDD505-2E9C-101B-9397-08002B2CF9AE}" pid="11" name="MSIP_Label_2ad0b24d-6422-44b0-b3de-abb3a9e8c81a_ContentBits">
    <vt:lpwstr>0</vt:lpwstr>
  </property>
  <property fmtid="{D5CDD505-2E9C-101B-9397-08002B2CF9AE}" pid="12" name="MSIP_Label_2ad0b24d-6422-44b0-b3de-abb3a9e8c81a_Tag">
    <vt:lpwstr>10, 3, 0, 1</vt:lpwstr>
  </property>
</Properties>
</file>