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17E79115" w:rsidR="00E978D0" w:rsidRPr="00B57B36" w:rsidRDefault="005302A7" w:rsidP="00E978D0">
      <w:pPr>
        <w:pStyle w:val="CETTitle"/>
      </w:pPr>
      <w:r w:rsidRPr="005302A7">
        <w:t xml:space="preserve">First assessment of feasibility of liquid-liquid extraction of </w:t>
      </w:r>
      <w:r w:rsidR="008E013F">
        <w:t>xantophyll</w:t>
      </w:r>
      <w:r w:rsidRPr="005302A7">
        <w:t>s from bittern</w:t>
      </w:r>
    </w:p>
    <w:p w14:paraId="046CA7D3" w14:textId="03986EBE" w:rsidR="005302A7" w:rsidRPr="00F948CA" w:rsidRDefault="005302A7" w:rsidP="005302A7">
      <w:pPr>
        <w:pStyle w:val="CETAuthors"/>
        <w:rPr>
          <w:sz w:val="20"/>
          <w:lang w:val="it-IT"/>
        </w:rPr>
      </w:pPr>
      <w:r w:rsidRPr="00F948CA">
        <w:rPr>
          <w:sz w:val="20"/>
          <w:lang w:val="it-IT"/>
        </w:rPr>
        <w:t>Ginevra Militello</w:t>
      </w:r>
      <w:bookmarkStart w:id="1" w:name="_Hlk215172188"/>
      <w:r w:rsidRPr="00F948CA">
        <w:rPr>
          <w:sz w:val="20"/>
          <w:vertAlign w:val="superscript"/>
          <w:lang w:val="it-IT"/>
        </w:rPr>
        <w:t>a</w:t>
      </w:r>
      <w:bookmarkEnd w:id="1"/>
      <w:r w:rsidRPr="00F948CA">
        <w:rPr>
          <w:sz w:val="20"/>
          <w:lang w:val="it-IT"/>
        </w:rPr>
        <w:t>, Giuseppe Scelfo</w:t>
      </w:r>
      <w:r w:rsidRPr="00F948CA">
        <w:rPr>
          <w:sz w:val="20"/>
          <w:vertAlign w:val="superscript"/>
          <w:lang w:val="it-IT"/>
        </w:rPr>
        <w:t>a</w:t>
      </w:r>
      <w:r w:rsidRPr="00F948CA">
        <w:rPr>
          <w:sz w:val="20"/>
          <w:lang w:val="it-IT"/>
        </w:rPr>
        <w:t>, Arima Marchese</w:t>
      </w:r>
      <w:r w:rsidRPr="00F948CA">
        <w:rPr>
          <w:sz w:val="20"/>
          <w:vertAlign w:val="superscript"/>
          <w:lang w:val="it-IT"/>
        </w:rPr>
        <w:t>a</w:t>
      </w:r>
      <w:r w:rsidRPr="00F948CA">
        <w:rPr>
          <w:sz w:val="20"/>
          <w:lang w:val="it-IT"/>
        </w:rPr>
        <w:t>, Serena Lima</w:t>
      </w:r>
      <w:r w:rsidRPr="00F948CA">
        <w:rPr>
          <w:sz w:val="20"/>
          <w:vertAlign w:val="superscript"/>
          <w:lang w:val="it-IT"/>
        </w:rPr>
        <w:t>a</w:t>
      </w:r>
      <w:r w:rsidRPr="00F948CA">
        <w:rPr>
          <w:sz w:val="20"/>
          <w:lang w:val="it-IT"/>
        </w:rPr>
        <w:t>, Francesca Scargiali</w:t>
      </w:r>
      <w:r w:rsidRPr="00F948CA">
        <w:rPr>
          <w:sz w:val="20"/>
          <w:vertAlign w:val="superscript"/>
          <w:lang w:val="it-IT"/>
        </w:rPr>
        <w:t>a</w:t>
      </w:r>
      <w:r w:rsidRPr="00F948CA">
        <w:rPr>
          <w:sz w:val="20"/>
          <w:lang w:val="it-IT"/>
        </w:rPr>
        <w:t>, Valeria Villanova</w:t>
      </w:r>
      <w:r w:rsidRPr="00F948CA">
        <w:rPr>
          <w:sz w:val="20"/>
          <w:vertAlign w:val="superscript"/>
          <w:lang w:val="it-IT"/>
        </w:rPr>
        <w:t>b</w:t>
      </w:r>
      <w:r w:rsidRPr="00F948CA">
        <w:rPr>
          <w:sz w:val="20"/>
          <w:lang w:val="it-IT"/>
        </w:rPr>
        <w:t>, Andrea Cipollina</w:t>
      </w:r>
      <w:r w:rsidRPr="00F948CA">
        <w:rPr>
          <w:sz w:val="20"/>
          <w:vertAlign w:val="superscript"/>
          <w:lang w:val="it-IT"/>
        </w:rPr>
        <w:t>a,*</w:t>
      </w:r>
      <w:r w:rsidRPr="00F948CA">
        <w:rPr>
          <w:sz w:val="20"/>
          <w:lang w:val="it-IT"/>
        </w:rPr>
        <w:t>.</w:t>
      </w:r>
    </w:p>
    <w:p w14:paraId="5A143C7F" w14:textId="063A5A0F" w:rsidR="005302A7" w:rsidRPr="005302A7" w:rsidRDefault="005302A7" w:rsidP="005302A7">
      <w:pPr>
        <w:pStyle w:val="CETAddress"/>
        <w:rPr>
          <w:lang w:val="it-IT"/>
        </w:rPr>
      </w:pPr>
      <w:r w:rsidRPr="005302A7">
        <w:rPr>
          <w:vertAlign w:val="superscript"/>
          <w:lang w:val="it-IT"/>
        </w:rPr>
        <w:t xml:space="preserve">a </w:t>
      </w:r>
      <w:r w:rsidRPr="005302A7">
        <w:rPr>
          <w:lang w:val="it-IT"/>
        </w:rPr>
        <w:t>Dipartimento di Ingegneria, Università degli Studi di Palermo, Viale delle Scienze, Edificio 6, 90128, Palermo, Italy</w:t>
      </w:r>
    </w:p>
    <w:p w14:paraId="5561C2E1" w14:textId="77777777" w:rsidR="005302A7" w:rsidRPr="005302A7" w:rsidRDefault="005302A7" w:rsidP="005302A7">
      <w:pPr>
        <w:pStyle w:val="CETAddress"/>
        <w:rPr>
          <w:lang w:val="it-IT"/>
        </w:rPr>
      </w:pPr>
      <w:r w:rsidRPr="005302A7">
        <w:rPr>
          <w:vertAlign w:val="superscript"/>
          <w:lang w:val="it-IT"/>
        </w:rPr>
        <w:t xml:space="preserve">b </w:t>
      </w:r>
      <w:r w:rsidRPr="005302A7">
        <w:rPr>
          <w:lang w:val="it-IT"/>
        </w:rPr>
        <w:t>Dipartimento di Scienze e Tecnologie Biologiche Chimiche e Farmaceutiche (STEBICEF), Università degli Studi di Palermo, Viale delle Scienze, Edificio 16, 90128, Palermo, Italy</w:t>
      </w:r>
    </w:p>
    <w:p w14:paraId="73F1267A" w14:textId="6AB8EFAB" w:rsidR="00B57E6F" w:rsidRDefault="00B17270" w:rsidP="00B57E6F">
      <w:pPr>
        <w:pStyle w:val="CETemail"/>
      </w:pPr>
      <w:hyperlink r:id="rId10" w:history="1">
        <w:r w:rsidR="005302A7" w:rsidRPr="006D4E2D">
          <w:rPr>
            <w:rStyle w:val="Collegamentoipertestuale"/>
          </w:rPr>
          <w:t>andrea.cipollina@unipa.it</w:t>
        </w:r>
      </w:hyperlink>
    </w:p>
    <w:p w14:paraId="4A43C632" w14:textId="29B59085" w:rsidR="005302A7" w:rsidRPr="005302A7" w:rsidRDefault="009F3429" w:rsidP="005302A7">
      <w:pPr>
        <w:pStyle w:val="CETBodytext"/>
      </w:pPr>
      <w:r w:rsidRPr="009F3429">
        <w:rPr>
          <w:lang w:val="en-GB"/>
        </w:rPr>
        <w:t xml:space="preserve">Carotenoids are </w:t>
      </w:r>
      <w:r w:rsidR="00BB6679">
        <w:rPr>
          <w:lang w:val="en-GB"/>
        </w:rPr>
        <w:t xml:space="preserve">valuable compounds </w:t>
      </w:r>
      <w:r w:rsidR="008D20E1">
        <w:t xml:space="preserve">that </w:t>
      </w:r>
      <w:r w:rsidR="000B365B">
        <w:t>ca</w:t>
      </w:r>
      <w:r w:rsidR="008D20E1">
        <w:t>n</w:t>
      </w:r>
      <w:r w:rsidR="000B365B">
        <w:t xml:space="preserve"> be </w:t>
      </w:r>
      <w:r w:rsidR="00BB6679">
        <w:t xml:space="preserve">naturally produced </w:t>
      </w:r>
      <w:r w:rsidR="00CB6BD8">
        <w:t xml:space="preserve">by </w:t>
      </w:r>
      <w:r w:rsidR="00655889" w:rsidRPr="005302A7">
        <w:t>microorganisms</w:t>
      </w:r>
      <w:r w:rsidR="005302A7" w:rsidRPr="005302A7">
        <w:t xml:space="preserve">. </w:t>
      </w:r>
      <w:r w:rsidR="00655889">
        <w:t>Some of these grow and proliferate in</w:t>
      </w:r>
      <w:r w:rsidR="00BC0F25">
        <w:t xml:space="preserve"> hypersaline environments</w:t>
      </w:r>
      <w:r w:rsidR="00655889">
        <w:t xml:space="preserve">, such as saltworks, where </w:t>
      </w:r>
      <w:r w:rsidR="000B59FD">
        <w:t>essential</w:t>
      </w:r>
      <w:r w:rsidR="00655889">
        <w:t xml:space="preserve"> nutrients </w:t>
      </w:r>
      <w:r w:rsidR="000B59FD">
        <w:t>and key</w:t>
      </w:r>
      <w:r w:rsidR="00655889">
        <w:t xml:space="preserve"> stress conditions (</w:t>
      </w:r>
      <w:r w:rsidR="00856234">
        <w:t>e.g., high</w:t>
      </w:r>
      <w:r w:rsidR="00655889">
        <w:t xml:space="preserve"> temperature, salinity, and solar irradiation) are </w:t>
      </w:r>
      <w:r w:rsidR="00E21A86">
        <w:t xml:space="preserve">naturally </w:t>
      </w:r>
      <w:r w:rsidR="00655889">
        <w:t xml:space="preserve">present. For this reason, their concentration </w:t>
      </w:r>
      <w:r w:rsidR="00604E55">
        <w:t xml:space="preserve">can be </w:t>
      </w:r>
      <w:r w:rsidR="001C18D6">
        <w:t>significant</w:t>
      </w:r>
      <w:r w:rsidR="00655889">
        <w:t xml:space="preserve"> in bittern, the waste solution generated by saltworks at the end of the salt production process.</w:t>
      </w:r>
      <w:r w:rsidR="005302A7" w:rsidRPr="005302A7">
        <w:t xml:space="preserve"> In the present work, to the </w:t>
      </w:r>
      <w:r w:rsidR="00083AD6">
        <w:t xml:space="preserve">best of </w:t>
      </w:r>
      <w:r w:rsidR="008E013F">
        <w:t xml:space="preserve">the </w:t>
      </w:r>
      <w:r w:rsidR="005302A7" w:rsidRPr="005302A7">
        <w:t>authors</w:t>
      </w:r>
      <w:r w:rsidR="003E562F">
        <w:t>’</w:t>
      </w:r>
      <w:r w:rsidR="005302A7" w:rsidRPr="005302A7">
        <w:t xml:space="preserve"> knowledge, the direct extraction of </w:t>
      </w:r>
      <w:r>
        <w:t>pigments</w:t>
      </w:r>
      <w:r w:rsidR="005302A7" w:rsidRPr="005302A7">
        <w:t xml:space="preserve"> from real natural bittern </w:t>
      </w:r>
      <w:r w:rsidR="00027E6A">
        <w:t>is reported</w:t>
      </w:r>
      <w:r w:rsidR="00027E6A" w:rsidRPr="00027E6A">
        <w:t xml:space="preserve"> </w:t>
      </w:r>
      <w:r w:rsidR="00027E6A" w:rsidRPr="005302A7">
        <w:t>for the first time</w:t>
      </w:r>
      <w:r w:rsidR="00215EFA">
        <w:t xml:space="preserve">, to demonstrate the technical feasibility of recovering pigments from a waste solution, </w:t>
      </w:r>
      <w:r w:rsidR="00D9319F">
        <w:t>avoiding upstream costs and</w:t>
      </w:r>
      <w:r w:rsidR="00215EFA">
        <w:t xml:space="preserve"> </w:t>
      </w:r>
      <w:r w:rsidR="009F27FC">
        <w:t>limiting the costs for cells harvesting and lysis</w:t>
      </w:r>
      <w:r w:rsidR="00AD44BD">
        <w:t>.</w:t>
      </w:r>
    </w:p>
    <w:p w14:paraId="4EEA2ECA" w14:textId="6C3966EE" w:rsidR="005302A7" w:rsidRPr="005302A7" w:rsidRDefault="009F3429" w:rsidP="005302A7">
      <w:pPr>
        <w:pStyle w:val="CETBodytext"/>
        <w:rPr>
          <w:lang w:val="en-GB"/>
        </w:rPr>
      </w:pPr>
      <w:r>
        <w:rPr>
          <w:lang w:val="en-GB"/>
        </w:rPr>
        <w:t>Following a</w:t>
      </w:r>
      <w:r w:rsidR="005302A7" w:rsidRPr="005302A7">
        <w:rPr>
          <w:lang w:val="en-GB"/>
        </w:rPr>
        <w:t xml:space="preserve"> </w:t>
      </w:r>
      <w:r w:rsidR="00FF0718">
        <w:rPr>
          <w:lang w:val="en-GB"/>
        </w:rPr>
        <w:t xml:space="preserve">bittern </w:t>
      </w:r>
      <w:r w:rsidR="005302A7" w:rsidRPr="005302A7">
        <w:rPr>
          <w:lang w:val="en-GB"/>
        </w:rPr>
        <w:t>concentration step</w:t>
      </w:r>
      <w:r w:rsidR="00FF0718">
        <w:rPr>
          <w:lang w:val="en-GB"/>
        </w:rPr>
        <w:t xml:space="preserve">, </w:t>
      </w:r>
      <w:r w:rsidR="00375BC1">
        <w:rPr>
          <w:lang w:val="en-GB"/>
        </w:rPr>
        <w:t>achieved</w:t>
      </w:r>
      <w:r w:rsidR="00FF0718">
        <w:rPr>
          <w:lang w:val="en-GB"/>
        </w:rPr>
        <w:t xml:space="preserve"> via UltraFiltration</w:t>
      </w:r>
      <w:r w:rsidR="005302A7" w:rsidRPr="005302A7">
        <w:rPr>
          <w:lang w:val="en-GB"/>
        </w:rPr>
        <w:t>, liquid-liquid extraction</w:t>
      </w:r>
      <w:r w:rsidR="00F249D6">
        <w:rPr>
          <w:lang w:val="en-GB"/>
        </w:rPr>
        <w:t xml:space="preserve"> </w:t>
      </w:r>
      <w:r w:rsidR="003C5931">
        <w:rPr>
          <w:lang w:val="en-GB"/>
        </w:rPr>
        <w:t>was</w:t>
      </w:r>
      <w:r w:rsidR="005302A7" w:rsidRPr="005302A7">
        <w:rPr>
          <w:lang w:val="en-GB"/>
        </w:rPr>
        <w:t xml:space="preserve"> performed </w:t>
      </w:r>
      <w:r w:rsidR="00823F65">
        <w:rPr>
          <w:lang w:val="en-GB"/>
        </w:rPr>
        <w:t xml:space="preserve">by </w:t>
      </w:r>
      <w:r w:rsidR="005302A7" w:rsidRPr="005302A7">
        <w:rPr>
          <w:lang w:val="en-GB"/>
        </w:rPr>
        <w:t xml:space="preserve">adding </w:t>
      </w:r>
      <w:r w:rsidR="00823F65">
        <w:rPr>
          <w:lang w:val="en-GB"/>
        </w:rPr>
        <w:t>an</w:t>
      </w:r>
      <w:r w:rsidR="00823F65" w:rsidRPr="005302A7">
        <w:rPr>
          <w:lang w:val="en-GB"/>
        </w:rPr>
        <w:t xml:space="preserve"> </w:t>
      </w:r>
      <w:r w:rsidR="005302A7" w:rsidRPr="005302A7">
        <w:rPr>
          <w:lang w:val="en-GB"/>
        </w:rPr>
        <w:t xml:space="preserve">extracting solvent to the concentrated bittern, </w:t>
      </w:r>
      <w:r w:rsidR="007A5E63" w:rsidRPr="005302A7">
        <w:rPr>
          <w:lang w:val="en-GB"/>
        </w:rPr>
        <w:t xml:space="preserve">briefly </w:t>
      </w:r>
      <w:r w:rsidR="005302A7" w:rsidRPr="005302A7">
        <w:rPr>
          <w:lang w:val="en-GB"/>
        </w:rPr>
        <w:t xml:space="preserve">shaking and </w:t>
      </w:r>
      <w:r w:rsidR="009806CF">
        <w:rPr>
          <w:lang w:val="en-GB"/>
        </w:rPr>
        <w:t xml:space="preserve">subsequently </w:t>
      </w:r>
      <w:r w:rsidR="005302A7" w:rsidRPr="005302A7">
        <w:rPr>
          <w:lang w:val="en-GB"/>
        </w:rPr>
        <w:t>centrifuging</w:t>
      </w:r>
      <w:r w:rsidR="009806CF">
        <w:rPr>
          <w:lang w:val="en-GB"/>
        </w:rPr>
        <w:t xml:space="preserve"> it</w:t>
      </w:r>
      <w:r w:rsidR="005302A7" w:rsidRPr="005302A7">
        <w:rPr>
          <w:lang w:val="en-GB"/>
        </w:rPr>
        <w:t xml:space="preserve">. The </w:t>
      </w:r>
      <w:r w:rsidR="00861D16" w:rsidRPr="00190FC2">
        <w:rPr>
          <w:lang w:val="en-GB"/>
        </w:rPr>
        <w:t>light</w:t>
      </w:r>
      <w:r w:rsidR="005302A7" w:rsidRPr="005302A7">
        <w:rPr>
          <w:lang w:val="en-GB"/>
        </w:rPr>
        <w:t xml:space="preserve"> phase obtained after centrifugation </w:t>
      </w:r>
      <w:r w:rsidR="008A2B8F">
        <w:rPr>
          <w:lang w:val="en-GB"/>
        </w:rPr>
        <w:t>was</w:t>
      </w:r>
      <w:r w:rsidR="005302A7" w:rsidRPr="005302A7">
        <w:rPr>
          <w:lang w:val="en-GB"/>
        </w:rPr>
        <w:t xml:space="preserve"> analysed </w:t>
      </w:r>
      <w:r w:rsidR="008A5023">
        <w:rPr>
          <w:lang w:val="en-GB"/>
        </w:rPr>
        <w:t xml:space="preserve">by </w:t>
      </w:r>
      <w:r w:rsidR="005302A7" w:rsidRPr="005302A7">
        <w:rPr>
          <w:lang w:val="en-GB"/>
        </w:rPr>
        <w:t xml:space="preserve">UV-VIS </w:t>
      </w:r>
      <w:r w:rsidR="008A5023" w:rsidRPr="005302A7">
        <w:rPr>
          <w:lang w:val="en-GB"/>
        </w:rPr>
        <w:t>spectrophotomet</w:t>
      </w:r>
      <w:r w:rsidR="008A5023">
        <w:rPr>
          <w:lang w:val="en-GB"/>
        </w:rPr>
        <w:t>ry</w:t>
      </w:r>
      <w:r w:rsidR="008A5023" w:rsidRPr="005302A7">
        <w:rPr>
          <w:lang w:val="en-GB"/>
        </w:rPr>
        <w:t xml:space="preserve"> </w:t>
      </w:r>
      <w:r w:rsidR="005302A7" w:rsidRPr="005302A7">
        <w:rPr>
          <w:lang w:val="en-GB"/>
        </w:rPr>
        <w:t>and HPLC</w:t>
      </w:r>
      <w:r w:rsidR="00EB4D52">
        <w:rPr>
          <w:lang w:val="en-GB"/>
        </w:rPr>
        <w:t xml:space="preserve"> analysis</w:t>
      </w:r>
      <w:r w:rsidR="005302A7" w:rsidRPr="005302A7">
        <w:rPr>
          <w:lang w:val="en-GB"/>
        </w:rPr>
        <w:t xml:space="preserve">. The </w:t>
      </w:r>
      <w:r w:rsidR="00790AFB">
        <w:rPr>
          <w:lang w:val="en-GB"/>
        </w:rPr>
        <w:t>efficacy</w:t>
      </w:r>
      <w:r w:rsidR="00790AFB" w:rsidRPr="005302A7">
        <w:rPr>
          <w:lang w:val="en-GB"/>
        </w:rPr>
        <w:t xml:space="preserve"> </w:t>
      </w:r>
      <w:r w:rsidR="005302A7" w:rsidRPr="005302A7">
        <w:rPr>
          <w:lang w:val="en-GB"/>
        </w:rPr>
        <w:t xml:space="preserve">of different solvents </w:t>
      </w:r>
      <w:r w:rsidR="00DA4893">
        <w:rPr>
          <w:lang w:val="en-GB"/>
        </w:rPr>
        <w:t>was</w:t>
      </w:r>
      <w:r w:rsidR="005302A7" w:rsidRPr="005302A7">
        <w:rPr>
          <w:lang w:val="en-GB"/>
        </w:rPr>
        <w:t xml:space="preserve"> assessed, namely methanol, ethyl</w:t>
      </w:r>
      <w:r w:rsidR="00C36A44">
        <w:rPr>
          <w:lang w:val="en-GB"/>
        </w:rPr>
        <w:t xml:space="preserve"> </w:t>
      </w:r>
      <w:r w:rsidR="005302A7" w:rsidRPr="005302A7">
        <w:rPr>
          <w:lang w:val="en-GB"/>
        </w:rPr>
        <w:t>acetate, hexane</w:t>
      </w:r>
      <w:r w:rsidR="00FA5E37">
        <w:rPr>
          <w:lang w:val="en-GB"/>
        </w:rPr>
        <w:t>,</w:t>
      </w:r>
      <w:r w:rsidR="005302A7" w:rsidRPr="005302A7">
        <w:rPr>
          <w:lang w:val="en-GB"/>
        </w:rPr>
        <w:t xml:space="preserve"> and acetone. </w:t>
      </w:r>
      <w:r w:rsidR="00A054B3">
        <w:rPr>
          <w:lang w:val="en-GB"/>
        </w:rPr>
        <w:t>Aceton</w:t>
      </w:r>
      <w:r w:rsidR="00607A30">
        <w:rPr>
          <w:lang w:val="en-GB"/>
        </w:rPr>
        <w:t>e</w:t>
      </w:r>
      <w:r w:rsidR="005302A7" w:rsidRPr="005302A7">
        <w:rPr>
          <w:lang w:val="en-GB"/>
        </w:rPr>
        <w:t xml:space="preserve"> was </w:t>
      </w:r>
      <w:r w:rsidR="00607A30">
        <w:rPr>
          <w:lang w:val="en-GB"/>
        </w:rPr>
        <w:t>identifi</w:t>
      </w:r>
      <w:r w:rsidR="00607A30" w:rsidRPr="005302A7">
        <w:rPr>
          <w:lang w:val="en-GB"/>
        </w:rPr>
        <w:t xml:space="preserve">ed </w:t>
      </w:r>
      <w:r w:rsidR="005302A7" w:rsidRPr="005302A7">
        <w:rPr>
          <w:lang w:val="en-GB"/>
        </w:rPr>
        <w:t xml:space="preserve">as </w:t>
      </w:r>
      <w:r w:rsidR="00FA5E37">
        <w:rPr>
          <w:lang w:val="en-GB"/>
        </w:rPr>
        <w:t>the most eff</w:t>
      </w:r>
      <w:r w:rsidR="00B17A73">
        <w:rPr>
          <w:lang w:val="en-GB"/>
        </w:rPr>
        <w:t>ective</w:t>
      </w:r>
      <w:r w:rsidR="005302A7" w:rsidRPr="005302A7">
        <w:rPr>
          <w:lang w:val="en-GB"/>
        </w:rPr>
        <w:t xml:space="preserve"> solvent and the extraction</w:t>
      </w:r>
      <w:r w:rsidR="00B17A73">
        <w:rPr>
          <w:lang w:val="en-GB"/>
        </w:rPr>
        <w:t xml:space="preserve"> process</w:t>
      </w:r>
      <w:r w:rsidR="005302A7" w:rsidRPr="005302A7">
        <w:rPr>
          <w:lang w:val="en-GB"/>
        </w:rPr>
        <w:t xml:space="preserve"> was further optimized by testing different volume ratios and centrifugation settings</w:t>
      </w:r>
      <w:r w:rsidR="00607A30">
        <w:rPr>
          <w:lang w:val="en-GB"/>
        </w:rPr>
        <w:t>, resulting in</w:t>
      </w:r>
      <w:r w:rsidR="001B1568">
        <w:rPr>
          <w:lang w:val="en-GB"/>
        </w:rPr>
        <w:t xml:space="preserve"> </w:t>
      </w:r>
      <w:r w:rsidR="00CC7863">
        <w:rPr>
          <w:lang w:val="en-GB"/>
        </w:rPr>
        <w:t xml:space="preserve">a xanthophyll concentration of </w:t>
      </w:r>
      <w:r w:rsidR="00861D16">
        <w:rPr>
          <w:lang w:val="en-GB"/>
        </w:rPr>
        <w:t>3.08</w:t>
      </w:r>
      <w:r w:rsidR="004336F4">
        <w:rPr>
          <w:lang w:val="en-GB"/>
        </w:rPr>
        <w:t xml:space="preserve"> </w:t>
      </w:r>
      <w:r w:rsidR="00861D16">
        <w:rPr>
          <w:rFonts w:ascii="Calibri" w:hAnsi="Calibri" w:cs="Calibri"/>
          <w:lang w:val="en-GB"/>
        </w:rPr>
        <w:t>±</w:t>
      </w:r>
      <w:r w:rsidR="004336F4">
        <w:rPr>
          <w:rFonts w:ascii="Calibri" w:hAnsi="Calibri" w:cs="Calibri"/>
          <w:lang w:val="en-GB"/>
        </w:rPr>
        <w:t xml:space="preserve"> </w:t>
      </w:r>
      <w:r w:rsidR="00861D16">
        <w:rPr>
          <w:lang w:val="en-GB"/>
        </w:rPr>
        <w:t>0.03</w:t>
      </w:r>
      <w:r w:rsidR="00F04125">
        <w:rPr>
          <w:lang w:val="en-GB"/>
        </w:rPr>
        <w:t xml:space="preserve"> </w:t>
      </w:r>
      <w:r w:rsidR="00312FB5">
        <w:rPr>
          <w:lang w:val="en-GB"/>
        </w:rPr>
        <w:t>mg/L</w:t>
      </w:r>
      <w:r w:rsidR="00F04125">
        <w:rPr>
          <w:lang w:val="en-GB"/>
        </w:rPr>
        <w:t xml:space="preserve"> in the acetone</w:t>
      </w:r>
      <w:r w:rsidR="009B084C">
        <w:rPr>
          <w:lang w:val="en-GB"/>
        </w:rPr>
        <w:t xml:space="preserve"> phase</w:t>
      </w:r>
      <w:r w:rsidR="00F04125">
        <w:rPr>
          <w:lang w:val="en-GB"/>
        </w:rPr>
        <w:t xml:space="preserve">, starting from </w:t>
      </w:r>
      <w:r w:rsidR="00861D16">
        <w:rPr>
          <w:lang w:val="en-GB"/>
        </w:rPr>
        <w:t>0.41</w:t>
      </w:r>
      <w:r w:rsidR="004336F4">
        <w:rPr>
          <w:lang w:val="en-GB"/>
        </w:rPr>
        <w:t xml:space="preserve"> </w:t>
      </w:r>
      <w:r w:rsidR="00861D16">
        <w:rPr>
          <w:rFonts w:ascii="Calibri" w:hAnsi="Calibri" w:cs="Calibri"/>
          <w:lang w:val="en-GB"/>
        </w:rPr>
        <w:t>±</w:t>
      </w:r>
      <w:r w:rsidR="004336F4">
        <w:rPr>
          <w:rFonts w:ascii="Calibri" w:hAnsi="Calibri" w:cs="Calibri"/>
          <w:lang w:val="en-GB"/>
        </w:rPr>
        <w:t xml:space="preserve"> </w:t>
      </w:r>
      <w:r w:rsidR="00861D16">
        <w:rPr>
          <w:lang w:val="en-GB"/>
        </w:rPr>
        <w:t>0.05</w:t>
      </w:r>
      <w:r w:rsidR="00F04125">
        <w:rPr>
          <w:lang w:val="en-GB"/>
        </w:rPr>
        <w:t xml:space="preserve"> </w:t>
      </w:r>
      <w:r w:rsidR="00312FB5">
        <w:rPr>
          <w:lang w:val="en-GB"/>
        </w:rPr>
        <w:t>mg/L</w:t>
      </w:r>
      <w:r w:rsidR="00F04125">
        <w:rPr>
          <w:lang w:val="en-GB"/>
        </w:rPr>
        <w:t xml:space="preserve"> in the </w:t>
      </w:r>
      <w:r w:rsidR="00095622">
        <w:rPr>
          <w:lang w:val="en-GB"/>
        </w:rPr>
        <w:t>concentrated bittern</w:t>
      </w:r>
      <w:r w:rsidR="000255CB">
        <w:rPr>
          <w:lang w:val="en-GB"/>
        </w:rPr>
        <w:t>.</w:t>
      </w:r>
      <w:r w:rsidR="00F249D6" w:rsidRPr="00F249D6">
        <w:rPr>
          <w:lang w:val="en-GB"/>
        </w:rPr>
        <w:t xml:space="preserve"> Based on the</w:t>
      </w:r>
      <w:r w:rsidR="00CB6BD8">
        <w:rPr>
          <w:lang w:val="en-GB"/>
        </w:rPr>
        <w:t>se</w:t>
      </w:r>
      <w:r w:rsidR="00F249D6" w:rsidRPr="00F249D6">
        <w:rPr>
          <w:lang w:val="en-GB"/>
        </w:rPr>
        <w:t xml:space="preserve"> results</w:t>
      </w:r>
      <w:r w:rsidR="001A3AD4">
        <w:rPr>
          <w:lang w:val="en-GB"/>
        </w:rPr>
        <w:t xml:space="preserve"> </w:t>
      </w:r>
      <w:r w:rsidR="00530D69" w:rsidRPr="005302A7">
        <w:rPr>
          <w:lang w:val="en-GB"/>
        </w:rPr>
        <w:t>liquid-liquid extraction</w:t>
      </w:r>
      <w:r w:rsidR="00530D69">
        <w:rPr>
          <w:lang w:val="en-GB"/>
        </w:rPr>
        <w:t xml:space="preserve"> </w:t>
      </w:r>
      <w:r w:rsidR="001A3AD4">
        <w:rPr>
          <w:lang w:val="en-GB"/>
        </w:rPr>
        <w:t>appea</w:t>
      </w:r>
      <w:r w:rsidR="00127E80">
        <w:rPr>
          <w:lang w:val="en-GB"/>
        </w:rPr>
        <w:t>rs to be a</w:t>
      </w:r>
      <w:r w:rsidR="00F249D6">
        <w:rPr>
          <w:lang w:val="en-GB"/>
        </w:rPr>
        <w:t xml:space="preserve"> feasible </w:t>
      </w:r>
      <w:r w:rsidR="00127E80">
        <w:rPr>
          <w:lang w:val="en-GB"/>
        </w:rPr>
        <w:t>approach, althoug</w:t>
      </w:r>
      <w:r w:rsidR="00A054B3">
        <w:rPr>
          <w:lang w:val="en-GB"/>
        </w:rPr>
        <w:t>h further</w:t>
      </w:r>
      <w:r w:rsidR="00CB6BD8">
        <w:rPr>
          <w:lang w:val="en-GB"/>
        </w:rPr>
        <w:t xml:space="preserve"> optimization</w:t>
      </w:r>
      <w:r w:rsidR="00A054B3" w:rsidRPr="00A054B3">
        <w:rPr>
          <w:lang w:val="en-GB"/>
        </w:rPr>
        <w:t xml:space="preserve"> </w:t>
      </w:r>
      <w:r w:rsidR="00A054B3">
        <w:rPr>
          <w:lang w:val="en-GB"/>
        </w:rPr>
        <w:t>is still required</w:t>
      </w:r>
      <w:r w:rsidR="00CB6BD8">
        <w:rPr>
          <w:lang w:val="en-GB"/>
        </w:rPr>
        <w:t>.</w:t>
      </w:r>
      <w:r w:rsidR="00F249D6">
        <w:rPr>
          <w:lang w:val="en-GB"/>
        </w:rPr>
        <w:t xml:space="preserve"> </w:t>
      </w:r>
    </w:p>
    <w:p w14:paraId="476B2F2E" w14:textId="77777777" w:rsidR="00600535" w:rsidRDefault="00600535" w:rsidP="00600535">
      <w:pPr>
        <w:pStyle w:val="CETHeading1"/>
        <w:rPr>
          <w:lang w:val="en-GB"/>
        </w:rPr>
      </w:pPr>
      <w:r w:rsidRPr="00B57B36">
        <w:rPr>
          <w:lang w:val="en-GB"/>
        </w:rPr>
        <w:t>Introduction</w:t>
      </w:r>
    </w:p>
    <w:p w14:paraId="0B37F4E4" w14:textId="2621DE18" w:rsidR="00923174" w:rsidRDefault="00E3592B" w:rsidP="00584ACA">
      <w:pPr>
        <w:pStyle w:val="CETBodytext"/>
        <w:rPr>
          <w:lang w:val="en-GB"/>
        </w:rPr>
      </w:pPr>
      <w:r>
        <w:rPr>
          <w:lang w:val="en-GB"/>
        </w:rPr>
        <w:t xml:space="preserve">Carotenoids are </w:t>
      </w:r>
      <w:r w:rsidR="00413E57">
        <w:rPr>
          <w:lang w:val="en-GB"/>
        </w:rPr>
        <w:t xml:space="preserve">a </w:t>
      </w:r>
      <w:r w:rsidR="00A8559A">
        <w:rPr>
          <w:lang w:val="en-GB"/>
        </w:rPr>
        <w:t>broad class</w:t>
      </w:r>
      <w:r w:rsidR="00413E57">
        <w:rPr>
          <w:lang w:val="en-GB"/>
        </w:rPr>
        <w:t xml:space="preserve"> of </w:t>
      </w:r>
      <w:r w:rsidR="00E676A0">
        <w:rPr>
          <w:lang w:val="en-GB"/>
        </w:rPr>
        <w:t xml:space="preserve">tetraterpenoids </w:t>
      </w:r>
      <w:r w:rsidR="00692EB1">
        <w:rPr>
          <w:lang w:val="en-GB"/>
        </w:rPr>
        <w:t xml:space="preserve">that </w:t>
      </w:r>
      <w:r w:rsidR="00413E57">
        <w:rPr>
          <w:lang w:val="en-GB"/>
        </w:rPr>
        <w:t xml:space="preserve">differ </w:t>
      </w:r>
      <w:r w:rsidR="0024739C">
        <w:rPr>
          <w:lang w:val="en-GB"/>
        </w:rPr>
        <w:t xml:space="preserve">in their </w:t>
      </w:r>
      <w:r w:rsidR="00413E57">
        <w:rPr>
          <w:lang w:val="en-GB"/>
        </w:rPr>
        <w:t xml:space="preserve">chemical structure. They </w:t>
      </w:r>
      <w:r w:rsidR="00EA0F3B">
        <w:rPr>
          <w:lang w:val="en-GB"/>
        </w:rPr>
        <w:t xml:space="preserve">can be divided into two groups: carotenes and xanthophylls. </w:t>
      </w:r>
      <w:r w:rsidR="002445C1">
        <w:rPr>
          <w:lang w:val="en-GB"/>
        </w:rPr>
        <w:t>Carotenes</w:t>
      </w:r>
      <w:r w:rsidR="00EA0F3B">
        <w:rPr>
          <w:lang w:val="en-GB"/>
        </w:rPr>
        <w:t xml:space="preserve"> are strict</w:t>
      </w:r>
      <w:r w:rsidR="002445C1">
        <w:rPr>
          <w:lang w:val="en-GB"/>
        </w:rPr>
        <w:t>ly</w:t>
      </w:r>
      <w:r w:rsidR="00EA0F3B">
        <w:rPr>
          <w:lang w:val="en-GB"/>
        </w:rPr>
        <w:t xml:space="preserve"> hydrocarbons, </w:t>
      </w:r>
      <w:r w:rsidR="002445C1">
        <w:rPr>
          <w:lang w:val="en-GB"/>
        </w:rPr>
        <w:t>where</w:t>
      </w:r>
      <w:r w:rsidR="00723F7E">
        <w:rPr>
          <w:lang w:val="en-GB"/>
        </w:rPr>
        <w:t>as xanthophylls</w:t>
      </w:r>
      <w:r w:rsidR="00EA0F3B">
        <w:rPr>
          <w:lang w:val="en-GB"/>
        </w:rPr>
        <w:t xml:space="preserve"> </w:t>
      </w:r>
      <w:r w:rsidR="00723F7E">
        <w:rPr>
          <w:lang w:val="en-GB"/>
        </w:rPr>
        <w:t xml:space="preserve">contain </w:t>
      </w:r>
      <w:r w:rsidR="000B365B">
        <w:rPr>
          <w:lang w:val="en-GB"/>
        </w:rPr>
        <w:t xml:space="preserve">hydroxyl groups attached to the </w:t>
      </w:r>
      <w:r w:rsidR="002A0121">
        <w:rPr>
          <w:lang w:val="en-GB"/>
        </w:rPr>
        <w:t>cyclohexane</w:t>
      </w:r>
      <w:r w:rsidR="000B365B">
        <w:rPr>
          <w:lang w:val="en-GB"/>
        </w:rPr>
        <w:t xml:space="preserve"> rings</w:t>
      </w:r>
      <w:r w:rsidR="00EA0F3B">
        <w:rPr>
          <w:lang w:val="en-GB"/>
        </w:rPr>
        <w:t xml:space="preserve">. </w:t>
      </w:r>
      <w:r w:rsidR="004C29A7">
        <w:rPr>
          <w:lang w:val="en-GB"/>
        </w:rPr>
        <w:t xml:space="preserve">An example of the first category is </w:t>
      </w:r>
      <w:r w:rsidR="00EA0F3B" w:rsidRPr="00EA0F3B">
        <w:rPr>
          <w:lang w:val="en-GB"/>
        </w:rPr>
        <w:t>β-carotene</w:t>
      </w:r>
      <w:r w:rsidR="004E5B6C">
        <w:rPr>
          <w:lang w:val="en-GB"/>
        </w:rPr>
        <w:t>, whilst antheraxanthin</w:t>
      </w:r>
      <w:r w:rsidR="00EA0F3B">
        <w:rPr>
          <w:lang w:val="en-GB"/>
        </w:rPr>
        <w:t xml:space="preserve"> and zeaxanthin are </w:t>
      </w:r>
      <w:r w:rsidR="002A0121">
        <w:rPr>
          <w:lang w:val="en-GB"/>
        </w:rPr>
        <w:t>well-</w:t>
      </w:r>
      <w:r w:rsidR="00EA0F3B">
        <w:rPr>
          <w:lang w:val="en-GB"/>
        </w:rPr>
        <w:t>known xant</w:t>
      </w:r>
      <w:r w:rsidR="00CA7D8F">
        <w:rPr>
          <w:lang w:val="en-GB"/>
        </w:rPr>
        <w:t>h</w:t>
      </w:r>
      <w:r w:rsidR="00EA0F3B">
        <w:rPr>
          <w:lang w:val="en-GB"/>
        </w:rPr>
        <w:t xml:space="preserve">ophylls. </w:t>
      </w:r>
      <w:r w:rsidR="00767016">
        <w:rPr>
          <w:lang w:val="en-GB"/>
        </w:rPr>
        <w:t xml:space="preserve">In </w:t>
      </w:r>
      <w:r w:rsidR="00BA555B">
        <w:rPr>
          <w:lang w:val="en-GB"/>
        </w:rPr>
        <w:t>general,</w:t>
      </w:r>
      <w:r w:rsidR="00767016">
        <w:rPr>
          <w:lang w:val="en-GB"/>
        </w:rPr>
        <w:t xml:space="preserve"> these pigments absorb light in the blue-green </w:t>
      </w:r>
      <w:r w:rsidR="0004104C">
        <w:rPr>
          <w:lang w:val="en-GB"/>
        </w:rPr>
        <w:t>to</w:t>
      </w:r>
      <w:r w:rsidR="007730BD">
        <w:rPr>
          <w:lang w:val="en-GB"/>
        </w:rPr>
        <w:t xml:space="preserve"> </w:t>
      </w:r>
      <w:r w:rsidR="00767016">
        <w:rPr>
          <w:lang w:val="en-GB"/>
        </w:rPr>
        <w:t xml:space="preserve">violet </w:t>
      </w:r>
      <w:r w:rsidR="007730BD">
        <w:rPr>
          <w:lang w:val="en-GB"/>
        </w:rPr>
        <w:t xml:space="preserve">region </w:t>
      </w:r>
      <w:r w:rsidR="0004104C">
        <w:rPr>
          <w:lang w:val="en-GB"/>
        </w:rPr>
        <w:t>of vis</w:t>
      </w:r>
      <w:r w:rsidR="0055028A">
        <w:rPr>
          <w:lang w:val="en-GB"/>
        </w:rPr>
        <w:t xml:space="preserve">ible spectrum </w:t>
      </w:r>
      <w:r w:rsidR="00767016">
        <w:rPr>
          <w:lang w:val="en-GB"/>
        </w:rPr>
        <w:t>an</w:t>
      </w:r>
      <w:r w:rsidR="00BA555B">
        <w:rPr>
          <w:lang w:val="en-GB"/>
        </w:rPr>
        <w:t xml:space="preserve">d </w:t>
      </w:r>
      <w:r w:rsidR="0055028A">
        <w:rPr>
          <w:lang w:val="en-GB"/>
        </w:rPr>
        <w:t>e</w:t>
      </w:r>
      <w:r w:rsidR="000860BF">
        <w:rPr>
          <w:lang w:val="en-GB"/>
        </w:rPr>
        <w:t xml:space="preserve">xhibit a wide range of </w:t>
      </w:r>
      <w:r w:rsidR="00BA555B">
        <w:rPr>
          <w:lang w:val="en-GB"/>
        </w:rPr>
        <w:t>health benefits. For example, they show</w:t>
      </w:r>
      <w:r w:rsidR="00767016">
        <w:rPr>
          <w:lang w:val="en-GB"/>
        </w:rPr>
        <w:t xml:space="preserve"> retina</w:t>
      </w:r>
      <w:r w:rsidR="000860BF">
        <w:rPr>
          <w:lang w:val="en-GB"/>
        </w:rPr>
        <w:t>l protective</w:t>
      </w:r>
      <w:r w:rsidR="00767016">
        <w:rPr>
          <w:lang w:val="en-GB"/>
        </w:rPr>
        <w:t xml:space="preserve"> </w:t>
      </w:r>
      <w:r w:rsidR="003C4AFB">
        <w:rPr>
          <w:lang w:val="en-GB"/>
        </w:rPr>
        <w:t>and</w:t>
      </w:r>
      <w:r w:rsidR="005E5A90">
        <w:rPr>
          <w:lang w:val="en-GB"/>
        </w:rPr>
        <w:t xml:space="preserve"> </w:t>
      </w:r>
      <w:r w:rsidR="00767016">
        <w:rPr>
          <w:lang w:val="en-GB"/>
        </w:rPr>
        <w:t>rep</w:t>
      </w:r>
      <w:r w:rsidR="003C4AFB">
        <w:rPr>
          <w:lang w:val="en-GB"/>
        </w:rPr>
        <w:t>arative</w:t>
      </w:r>
      <w:r w:rsidR="00767016">
        <w:rPr>
          <w:lang w:val="en-GB"/>
        </w:rPr>
        <w:t xml:space="preserve"> </w:t>
      </w:r>
      <w:r w:rsidR="005E5A90">
        <w:rPr>
          <w:lang w:val="en-GB"/>
        </w:rPr>
        <w:t xml:space="preserve">effects </w:t>
      </w:r>
      <w:r w:rsidR="00767016">
        <w:rPr>
          <w:lang w:val="en-GB"/>
        </w:rPr>
        <w:t xml:space="preserve">and antioxidant activity </w:t>
      </w:r>
      <w:r w:rsidR="005E5A90">
        <w:rPr>
          <w:lang w:val="en-GB"/>
        </w:rPr>
        <w:t>as effective</w:t>
      </w:r>
      <w:r w:rsidR="00767016">
        <w:rPr>
          <w:lang w:val="en-GB"/>
        </w:rPr>
        <w:t xml:space="preserve"> free radical scavengers. </w:t>
      </w:r>
      <w:r w:rsidR="00694BB8" w:rsidRPr="00EA0F3B">
        <w:rPr>
          <w:lang w:val="en-GB"/>
        </w:rPr>
        <w:t>β-carotene</w:t>
      </w:r>
      <w:r w:rsidR="00694BB8">
        <w:rPr>
          <w:lang w:val="en-GB"/>
        </w:rPr>
        <w:t xml:space="preserve"> </w:t>
      </w:r>
      <w:r w:rsidR="00522B04" w:rsidRPr="00522B04">
        <w:rPr>
          <w:lang w:val="en-GB"/>
        </w:rPr>
        <w:t xml:space="preserve">has been reported to be </w:t>
      </w:r>
      <w:r w:rsidR="00717202">
        <w:rPr>
          <w:lang w:val="en-GB"/>
        </w:rPr>
        <w:t xml:space="preserve">effective against heart disease and cancer, lutein and zeaxanthin </w:t>
      </w:r>
      <w:r w:rsidR="000C2FD5">
        <w:rPr>
          <w:lang w:val="en-GB"/>
        </w:rPr>
        <w:t xml:space="preserve">display </w:t>
      </w:r>
      <w:r w:rsidR="00717202">
        <w:rPr>
          <w:lang w:val="en-GB"/>
        </w:rPr>
        <w:t xml:space="preserve">strong </w:t>
      </w:r>
      <w:r w:rsidR="00A07D3A">
        <w:rPr>
          <w:lang w:val="en-GB"/>
        </w:rPr>
        <w:t xml:space="preserve">protective </w:t>
      </w:r>
      <w:r w:rsidR="00717202">
        <w:rPr>
          <w:lang w:val="en-GB"/>
        </w:rPr>
        <w:t>activity against age-related macular degeneration, cataracts, retinal nerve disease</w:t>
      </w:r>
      <w:r w:rsidR="00A07D3A">
        <w:rPr>
          <w:lang w:val="en-GB"/>
        </w:rPr>
        <w:t>,</w:t>
      </w:r>
      <w:r w:rsidR="00717202">
        <w:rPr>
          <w:lang w:val="en-GB"/>
        </w:rPr>
        <w:t xml:space="preserve"> and diabetic retinopathy</w:t>
      </w:r>
      <w:r w:rsidR="004E5B6C">
        <w:rPr>
          <w:lang w:val="en-GB"/>
        </w:rPr>
        <w:t xml:space="preserve"> </w:t>
      </w:r>
      <w:r w:rsidR="004E5B6C">
        <w:fldChar w:fldCharType="begin"/>
      </w:r>
      <w:r w:rsidR="00810FFE">
        <w:rPr>
          <w:lang w:val="en-GB"/>
        </w:rPr>
        <w:instrText xml:space="preserve"> ADDIN ZOTERO_ITEM CSL_CITATION {"citationID":"yfPH7bmL","properties":{"formattedCitation":"(Widomska et al., 2020)","plainCitation":"(Widomska et al., 2020)","noteIndex":0},"citationItems":[{"id":3790,"uris":["http://zotero.org/users/16449344/items/3Q8BWDXQ"],"itemData":{"id":3790,"type":"article-journal","abstract":"Diet-based xanthophylls (zeaxanthin and lutein) are conditionally essential polar carotenoids preferentially accreted in high concentrations (1 mM) to the central retina, where they have the capacity to impart unique physiologically significant biophysical biochemical properties implicated in cell function, rescue, and survival. Macular xanthophylls interact with membrane-bound proteins and lipids to absorb/attenuate light energy, modulate oxidative stress and redox balance, and influence signal transduction cascades implicated in the pathophysiology of age-related macular degeneration. There is exclusive transport, sequestration, and appreciable bioamplification of macular xanthophylls from the circulating carotenoid pool to the retina and within the retina to regions required for high-resolution sensory processing. The distribution of diet-based macular xanthophylls and the lutein metabolite meso-zeaxanthin varies considerably by retinal eccentricity. Zeaxanthin concentrations are 2.5-fold higher than lutein in the cone-dense central fovea. This is an ~20-fold increase in the molar ratio relative to eccentric retinal regions with biochemically detectable macular xanthophylls. In this review, we discuss how the differences in the specific properties of lutein and zeaxanthin could help explain the preferential accumulation of zeaxanthin in the most vulnerable region of the macula.","container-title":"Nutrients","DOI":"10.3390/nu12051333","ISSN":"2072-6643","issue":"5","language":"en","license":"http://creativecommons.org/licenses/by/3.0/","page":"1333","publisher":"Multidisciplinary Digital Publishing Institute","source":"www.mdpi.com","title":"Why Is Zeaxanthin the Most Concentrated Xanthophyll in the Central Fovea?","volume":"12","author":[{"family":"Widomska","given":"Justyna"},{"family":"SanGiovanni","given":"John Paul"},{"family":"Subczynski","given":"Witold K."}],"issued":{"date-parts":[["2020",5]]}}}],"schema":"https://github.com/citation-style-language/schema/raw/master/csl-citation.json"} </w:instrText>
      </w:r>
      <w:r w:rsidR="004E5B6C">
        <w:fldChar w:fldCharType="separate"/>
      </w:r>
      <w:r w:rsidR="004E5B6C" w:rsidRPr="004E5B6C">
        <w:rPr>
          <w:rFonts w:cs="Arial"/>
        </w:rPr>
        <w:t>(Widomska et al., 2020)</w:t>
      </w:r>
      <w:r w:rsidR="004E5B6C">
        <w:fldChar w:fldCharType="end"/>
      </w:r>
      <w:r w:rsidR="00717202">
        <w:rPr>
          <w:lang w:val="en-GB"/>
        </w:rPr>
        <w:t xml:space="preserve">. </w:t>
      </w:r>
      <w:r w:rsidR="00F62A7B" w:rsidRPr="00F62A7B">
        <w:rPr>
          <w:lang w:val="en-GB"/>
        </w:rPr>
        <w:t>Within this context</w:t>
      </w:r>
      <w:r w:rsidR="000246D4">
        <w:rPr>
          <w:lang w:val="en-GB"/>
        </w:rPr>
        <w:t>,</w:t>
      </w:r>
      <w:r w:rsidR="00767016">
        <w:rPr>
          <w:lang w:val="en-GB"/>
        </w:rPr>
        <w:t xml:space="preserve"> </w:t>
      </w:r>
      <w:r w:rsidR="003D2AA3">
        <w:rPr>
          <w:lang w:val="en-GB"/>
        </w:rPr>
        <w:t>carotenoids</w:t>
      </w:r>
      <w:r w:rsidR="006E61D8">
        <w:rPr>
          <w:lang w:val="en-GB"/>
        </w:rPr>
        <w:t xml:space="preserve"> represent a rapidly growing market</w:t>
      </w:r>
      <w:r w:rsidR="004A2A8B">
        <w:rPr>
          <w:lang w:val="en-GB"/>
        </w:rPr>
        <w:t>,</w:t>
      </w:r>
      <w:r w:rsidR="00717202">
        <w:rPr>
          <w:lang w:val="en-GB"/>
        </w:rPr>
        <w:t xml:space="preserve"> </w:t>
      </w:r>
      <w:r w:rsidR="004A2A8B">
        <w:rPr>
          <w:lang w:val="en-GB"/>
        </w:rPr>
        <w:t>which</w:t>
      </w:r>
      <w:r w:rsidR="003421B0">
        <w:rPr>
          <w:lang w:val="en-GB"/>
        </w:rPr>
        <w:t xml:space="preserve"> in 2019 was estimated </w:t>
      </w:r>
      <w:r w:rsidR="004A2A8B">
        <w:rPr>
          <w:lang w:val="en-GB"/>
        </w:rPr>
        <w:t xml:space="preserve">at </w:t>
      </w:r>
      <w:r w:rsidR="003421B0">
        <w:rPr>
          <w:lang w:val="en-GB"/>
        </w:rPr>
        <w:t>1</w:t>
      </w:r>
      <w:r w:rsidR="00E43128">
        <w:rPr>
          <w:lang w:val="en-GB"/>
        </w:rPr>
        <w:t>.</w:t>
      </w:r>
      <w:r w:rsidR="003421B0">
        <w:rPr>
          <w:lang w:val="en-GB"/>
        </w:rPr>
        <w:t>4</w:t>
      </w:r>
      <w:r w:rsidR="00E43128">
        <w:rPr>
          <w:lang w:val="en-GB"/>
        </w:rPr>
        <w:t>3</w:t>
      </w:r>
      <w:r w:rsidR="003421B0">
        <w:rPr>
          <w:lang w:val="en-GB"/>
        </w:rPr>
        <w:t xml:space="preserve"> </w:t>
      </w:r>
      <w:r w:rsidR="00E43128">
        <w:rPr>
          <w:lang w:val="en-GB"/>
        </w:rPr>
        <w:t>b</w:t>
      </w:r>
      <w:r w:rsidR="003421B0">
        <w:rPr>
          <w:lang w:val="en-GB"/>
        </w:rPr>
        <w:t xml:space="preserve">illion </w:t>
      </w:r>
      <w:r w:rsidR="008E013F">
        <w:rPr>
          <w:lang w:val="en-GB"/>
        </w:rPr>
        <w:t xml:space="preserve">USD </w:t>
      </w:r>
      <w:r w:rsidR="003421B0">
        <w:fldChar w:fldCharType="begin"/>
      </w:r>
      <w:r w:rsidR="003421B0">
        <w:rPr>
          <w:lang w:val="en-GB"/>
        </w:rPr>
        <w:instrText xml:space="preserve"> ADDIN ZOTERO_ITEM CSL_CITATION {"citationID":"PZjS83gF","properties":{"formattedCitation":"(Monte et al., 2019)","plainCitation":"(Monte et al., 2019)","noteIndex":0},"citationItems":[{"id":3220,"uris":["http://zotero.org/users/16449344/items/YFEVPD7F"],"itemData":{"id":3220,"type":"article-journal","abstract":"β-Carotene and other carotenoids are common food additives industrially produced by Dunaliella salina. However, the cultivation production costs are substantial and determine the economic viability of production in large-scale systems. There is a strong interest in recycling the cultivation medium in order to reduce the microalgae production costs. This work aims to study several oxidation techniques for treatment of permeate produced during harvesting of microalga Dunaliella salina by membrane filtration. The treated permeate produced is assessed for reuse as cultivation medium of Dunaliella salina. The permeate produced during membrane harvesting of Dunaliella salina was recovered and treated by ozonation and UV radiation. The different types of permeate produced were tested as cultivation media. The results obtained indicate that the permeate treated by UV with addition of H2O2 was best suited for the growth of Dunaliella salina during carotenogenesis. Nevertheless, although not performing as well as the selected cultivation medium, the use of untreated permeate seems a reasonable alternative to it, as the untreated permeate has potential to be the most cost efficient solution.","container-title":"Algal Research","DOI":"10.1016/j.algal.2019.101460","ISSN":"2211-9264","journalAbbreviation":"Algal Research","page":"101460","source":"ScienceDirect","title":"Recycling of &lt;i&gt;Dunaliella salina&lt;/i&gt; cultivation medium by integrated membrane filtration and advanced oxidation","volume":"39","author":[{"family":"Monte","given":"Joana"},{"family":"Sá","given":"Marta"},{"family":"Parreira","given":"Celina"},{"family":"Galante","given":"Joana"},{"family":"Serra","given":"Ana Rita"},{"family":"Galinha","given":"Cláudia F."},{"family":"Costa","given":"Luís"},{"family":"Pereira","given":"Vanessa J."},{"family":"Brazinha","given":"Carla"},{"family":"Crespo","given":"João G."}],"issued":{"date-parts":[["2019",5,1]]}}}],"schema":"https://github.com/citation-style-language/schema/raw/master/csl-citation.json"} </w:instrText>
      </w:r>
      <w:r w:rsidR="003421B0">
        <w:fldChar w:fldCharType="separate"/>
      </w:r>
      <w:r w:rsidR="003421B0" w:rsidRPr="003421B0">
        <w:rPr>
          <w:rFonts w:cs="Arial"/>
        </w:rPr>
        <w:t>(Monte et al., 2019)</w:t>
      </w:r>
      <w:r w:rsidR="003421B0">
        <w:fldChar w:fldCharType="end"/>
      </w:r>
      <w:r w:rsidR="00767016">
        <w:rPr>
          <w:lang w:val="en-GB"/>
        </w:rPr>
        <w:t xml:space="preserve">. In fact, they </w:t>
      </w:r>
      <w:r w:rsidR="00D01C6D">
        <w:rPr>
          <w:lang w:val="en-GB"/>
        </w:rPr>
        <w:t>are widely</w:t>
      </w:r>
      <w:r w:rsidR="00767016">
        <w:rPr>
          <w:lang w:val="en-GB"/>
        </w:rPr>
        <w:t xml:space="preserve"> </w:t>
      </w:r>
      <w:r w:rsidR="00717202">
        <w:rPr>
          <w:lang w:val="en-GB"/>
        </w:rPr>
        <w:t>used as colorants in food, feed and beverage industries</w:t>
      </w:r>
      <w:r w:rsidR="00767016">
        <w:rPr>
          <w:lang w:val="en-GB"/>
        </w:rPr>
        <w:t xml:space="preserve">, but also </w:t>
      </w:r>
      <w:r w:rsidR="004A74DC">
        <w:rPr>
          <w:lang w:val="en-GB"/>
        </w:rPr>
        <w:t xml:space="preserve">find applications </w:t>
      </w:r>
      <w:r w:rsidR="000E3203">
        <w:rPr>
          <w:lang w:val="en-GB"/>
        </w:rPr>
        <w:t>in the</w:t>
      </w:r>
      <w:r w:rsidR="00767016">
        <w:rPr>
          <w:lang w:val="en-GB"/>
        </w:rPr>
        <w:t xml:space="preserve"> pharmaceutical, cosmetic and nutraceutical </w:t>
      </w:r>
      <w:r w:rsidR="000E3203">
        <w:rPr>
          <w:lang w:val="en-GB"/>
        </w:rPr>
        <w:t>sectors</w:t>
      </w:r>
      <w:r w:rsidR="009A57AA">
        <w:rPr>
          <w:lang w:val="en-GB"/>
        </w:rPr>
        <w:t xml:space="preserve">. </w:t>
      </w:r>
      <w:r w:rsidR="005C3018">
        <w:rPr>
          <w:lang w:val="en-GB"/>
        </w:rPr>
        <w:t xml:space="preserve">For </w:t>
      </w:r>
      <w:r w:rsidR="009A57AA">
        <w:rPr>
          <w:lang w:val="en-GB"/>
        </w:rPr>
        <w:t>th</w:t>
      </w:r>
      <w:r w:rsidR="005C3018">
        <w:rPr>
          <w:lang w:val="en-GB"/>
        </w:rPr>
        <w:t>ese</w:t>
      </w:r>
      <w:r w:rsidR="009A57AA">
        <w:rPr>
          <w:lang w:val="en-GB"/>
        </w:rPr>
        <w:t xml:space="preserve"> purpose</w:t>
      </w:r>
      <w:r w:rsidR="005C3018">
        <w:rPr>
          <w:lang w:val="en-GB"/>
        </w:rPr>
        <w:t>s,</w:t>
      </w:r>
      <w:r w:rsidR="009A57AA">
        <w:rPr>
          <w:lang w:val="en-GB"/>
        </w:rPr>
        <w:t xml:space="preserve"> </w:t>
      </w:r>
      <w:r w:rsidR="005331DD">
        <w:rPr>
          <w:lang w:val="en-GB"/>
        </w:rPr>
        <w:t xml:space="preserve">carotenoids </w:t>
      </w:r>
      <w:r w:rsidR="009A57AA">
        <w:rPr>
          <w:lang w:val="en-GB"/>
        </w:rPr>
        <w:t xml:space="preserve">can be </w:t>
      </w:r>
      <w:r w:rsidR="005331DD">
        <w:rPr>
          <w:lang w:val="en-GB"/>
        </w:rPr>
        <w:t>produc</w:t>
      </w:r>
      <w:r w:rsidR="009A57AA">
        <w:rPr>
          <w:lang w:val="en-GB"/>
        </w:rPr>
        <w:t xml:space="preserve">ed </w:t>
      </w:r>
      <w:r w:rsidR="005331DD">
        <w:rPr>
          <w:lang w:val="en-GB"/>
        </w:rPr>
        <w:t xml:space="preserve">either </w:t>
      </w:r>
      <w:r w:rsidR="009A57AA">
        <w:rPr>
          <w:lang w:val="en-GB"/>
        </w:rPr>
        <w:t xml:space="preserve">naturally or </w:t>
      </w:r>
      <w:r w:rsidR="00202D04" w:rsidRPr="00202D04">
        <w:rPr>
          <w:lang w:val="en-GB"/>
        </w:rPr>
        <w:t>synthetically</w:t>
      </w:r>
      <w:r w:rsidR="009A57AA">
        <w:rPr>
          <w:lang w:val="en-GB"/>
        </w:rPr>
        <w:t>.</w:t>
      </w:r>
      <w:r w:rsidR="00FC4774">
        <w:rPr>
          <w:lang w:val="en-GB"/>
        </w:rPr>
        <w:t xml:space="preserve"> </w:t>
      </w:r>
      <w:r w:rsidR="00251771">
        <w:rPr>
          <w:lang w:val="en-GB"/>
        </w:rPr>
        <w:t xml:space="preserve">Natural </w:t>
      </w:r>
      <w:r w:rsidR="00202D04">
        <w:rPr>
          <w:lang w:val="en-GB"/>
        </w:rPr>
        <w:t xml:space="preserve">carotenoids </w:t>
      </w:r>
      <w:r w:rsidR="000246D4">
        <w:rPr>
          <w:lang w:val="en-GB"/>
        </w:rPr>
        <w:t xml:space="preserve">can be obtained from </w:t>
      </w:r>
      <w:r w:rsidR="00C73705">
        <w:rPr>
          <w:lang w:val="en-GB"/>
        </w:rPr>
        <w:t>biowastes</w:t>
      </w:r>
      <w:r w:rsidR="00284EB2">
        <w:rPr>
          <w:lang w:val="en-GB"/>
        </w:rPr>
        <w:t>,</w:t>
      </w:r>
      <w:r w:rsidR="00251771">
        <w:rPr>
          <w:lang w:val="en-GB"/>
        </w:rPr>
        <w:t xml:space="preserve"> </w:t>
      </w:r>
      <w:r w:rsidR="00284EB2">
        <w:rPr>
          <w:lang w:val="en-GB"/>
        </w:rPr>
        <w:t>such as</w:t>
      </w:r>
      <w:r w:rsidR="00251771">
        <w:rPr>
          <w:lang w:val="en-GB"/>
        </w:rPr>
        <w:t xml:space="preserve"> tomato</w:t>
      </w:r>
      <w:r w:rsidR="00C73705">
        <w:rPr>
          <w:lang w:val="en-GB"/>
        </w:rPr>
        <w:t xml:space="preserve"> peels and seeds</w:t>
      </w:r>
      <w:r w:rsidR="00284EB2">
        <w:rPr>
          <w:lang w:val="en-GB"/>
        </w:rPr>
        <w:t>,</w:t>
      </w:r>
      <w:r w:rsidR="00C73705">
        <w:rPr>
          <w:lang w:val="en-GB"/>
        </w:rPr>
        <w:t xml:space="preserve"> </w:t>
      </w:r>
      <w:r w:rsidR="000246D4">
        <w:rPr>
          <w:lang w:val="en-GB"/>
        </w:rPr>
        <w:t xml:space="preserve">or from cultivated algae and </w:t>
      </w:r>
      <w:r w:rsidR="00243D0B">
        <w:rPr>
          <w:lang w:val="en-GB"/>
        </w:rPr>
        <w:t>microorganisms</w:t>
      </w:r>
      <w:r w:rsidR="00251771">
        <w:rPr>
          <w:lang w:val="en-GB"/>
        </w:rPr>
        <w:t xml:space="preserve">. </w:t>
      </w:r>
      <w:r w:rsidR="008F6C07">
        <w:rPr>
          <w:lang w:val="en-GB"/>
        </w:rPr>
        <w:t>The synthetic</w:t>
      </w:r>
      <w:r w:rsidR="00F248CC">
        <w:rPr>
          <w:lang w:val="en-GB"/>
        </w:rPr>
        <w:t xml:space="preserve"> production</w:t>
      </w:r>
      <w:r w:rsidR="00694BB8">
        <w:rPr>
          <w:lang w:val="en-GB"/>
        </w:rPr>
        <w:t xml:space="preserve"> of vitamin A and its precursors</w:t>
      </w:r>
      <w:r w:rsidR="00F248CC">
        <w:rPr>
          <w:lang w:val="en-GB"/>
        </w:rPr>
        <w:t>,</w:t>
      </w:r>
      <w:r w:rsidR="00694BB8">
        <w:rPr>
          <w:lang w:val="en-GB"/>
        </w:rPr>
        <w:t xml:space="preserve"> </w:t>
      </w:r>
      <w:r w:rsidR="00F248CC">
        <w:rPr>
          <w:lang w:val="en-GB"/>
        </w:rPr>
        <w:t>such</w:t>
      </w:r>
      <w:r w:rsidR="00007D3C">
        <w:rPr>
          <w:lang w:val="en-GB"/>
        </w:rPr>
        <w:t xml:space="preserve"> as</w:t>
      </w:r>
      <w:r w:rsidR="00F248CC" w:rsidRPr="00694BB8">
        <w:rPr>
          <w:lang w:val="en-GB"/>
        </w:rPr>
        <w:t xml:space="preserve"> </w:t>
      </w:r>
      <w:r w:rsidR="00694BB8" w:rsidRPr="00EA0F3B">
        <w:rPr>
          <w:lang w:val="en-GB"/>
        </w:rPr>
        <w:t>β-carotene</w:t>
      </w:r>
      <w:r w:rsidR="00007D3C">
        <w:rPr>
          <w:lang w:val="en-GB"/>
        </w:rPr>
        <w:t>,</w:t>
      </w:r>
      <w:r w:rsidR="00694BB8">
        <w:rPr>
          <w:lang w:val="en-GB"/>
        </w:rPr>
        <w:t xml:space="preserve"> </w:t>
      </w:r>
      <w:r w:rsidR="00BB0B2D">
        <w:rPr>
          <w:lang w:val="en-GB"/>
        </w:rPr>
        <w:t>h</w:t>
      </w:r>
      <w:r w:rsidR="00007D3C" w:rsidRPr="00007D3C">
        <w:rPr>
          <w:lang w:val="en-GB"/>
        </w:rPr>
        <w:t>as a long industrial history and several established route</w:t>
      </w:r>
      <w:r w:rsidR="00BB0B2D">
        <w:rPr>
          <w:lang w:val="en-GB"/>
        </w:rPr>
        <w:t>s</w:t>
      </w:r>
      <w:r w:rsidR="00694BB8">
        <w:rPr>
          <w:lang w:val="en-GB"/>
        </w:rPr>
        <w:t>.</w:t>
      </w:r>
      <w:r w:rsidR="00A92BEA">
        <w:rPr>
          <w:lang w:val="en-GB"/>
        </w:rPr>
        <w:t xml:space="preserve"> As a representative example, Lindlar’s catalyst </w:t>
      </w:r>
      <w:r w:rsidR="00D030EE">
        <w:rPr>
          <w:lang w:val="en-GB"/>
        </w:rPr>
        <w:t xml:space="preserve">is </w:t>
      </w:r>
      <w:r w:rsidR="00DE0D70">
        <w:rPr>
          <w:lang w:val="en-GB"/>
        </w:rPr>
        <w:t>employed in</w:t>
      </w:r>
      <w:r w:rsidR="00D030EE">
        <w:rPr>
          <w:lang w:val="en-GB"/>
        </w:rPr>
        <w:t xml:space="preserve"> </w:t>
      </w:r>
      <w:r w:rsidR="00A92BEA">
        <w:rPr>
          <w:lang w:val="en-GB"/>
        </w:rPr>
        <w:t>DSM-Firmenic</w:t>
      </w:r>
      <w:r w:rsidR="00A92BEA" w:rsidRPr="00A92BEA">
        <w:rPr>
          <w:lang w:val="en-GB"/>
        </w:rPr>
        <w:t>h</w:t>
      </w:r>
      <w:r w:rsidR="00A92BEA">
        <w:rPr>
          <w:lang w:val="en-GB"/>
        </w:rPr>
        <w:t xml:space="preserve">’s </w:t>
      </w:r>
      <w:r w:rsidR="00ED2059">
        <w:rPr>
          <w:lang w:val="en-GB"/>
        </w:rPr>
        <w:t xml:space="preserve">industrial </w:t>
      </w:r>
      <w:r w:rsidR="00A92BEA">
        <w:rPr>
          <w:lang w:val="en-GB"/>
        </w:rPr>
        <w:t>process for carotenoid</w:t>
      </w:r>
      <w:r w:rsidR="00AE38D6" w:rsidRPr="00AE38D6">
        <w:rPr>
          <w:lang w:val="en-GB"/>
        </w:rPr>
        <w:t xml:space="preserve"> </w:t>
      </w:r>
      <w:r w:rsidR="00AE38D6">
        <w:rPr>
          <w:lang w:val="en-GB"/>
        </w:rPr>
        <w:t>production</w:t>
      </w:r>
      <w:r w:rsidR="00A92BEA">
        <w:rPr>
          <w:lang w:val="en-GB"/>
        </w:rPr>
        <w:t>.</w:t>
      </w:r>
      <w:r w:rsidR="00671C93" w:rsidRPr="00671C93">
        <w:rPr>
          <w:lang w:val="en-GB"/>
        </w:rPr>
        <w:t xml:space="preserve"> </w:t>
      </w:r>
      <w:r w:rsidR="00671C93">
        <w:rPr>
          <w:lang w:val="en-GB"/>
        </w:rPr>
        <w:t>A</w:t>
      </w:r>
      <w:r w:rsidR="00DE0D70">
        <w:rPr>
          <w:lang w:val="en-GB"/>
        </w:rPr>
        <w:t>lthough</w:t>
      </w:r>
      <w:r w:rsidR="00B53C7E">
        <w:rPr>
          <w:lang w:val="en-GB"/>
        </w:rPr>
        <w:t xml:space="preserve"> synthetic carotenoids </w:t>
      </w:r>
      <w:r w:rsidR="000E26A9">
        <w:rPr>
          <w:lang w:val="en-GB"/>
        </w:rPr>
        <w:t xml:space="preserve">are generally </w:t>
      </w:r>
      <w:r w:rsidR="00671C93">
        <w:rPr>
          <w:lang w:val="en-GB"/>
        </w:rPr>
        <w:t xml:space="preserve">less expensive than natural ones, </w:t>
      </w:r>
      <w:r w:rsidR="00A74EC5">
        <w:rPr>
          <w:lang w:val="en-GB"/>
        </w:rPr>
        <w:t>they are often conside</w:t>
      </w:r>
      <w:r w:rsidR="00BC0352">
        <w:rPr>
          <w:lang w:val="en-GB"/>
        </w:rPr>
        <w:t xml:space="preserve">red </w:t>
      </w:r>
      <w:r w:rsidR="00671C93">
        <w:rPr>
          <w:lang w:val="en-GB"/>
        </w:rPr>
        <w:t xml:space="preserve">less sustainable and </w:t>
      </w:r>
      <w:r w:rsidR="00243394">
        <w:rPr>
          <w:lang w:val="en-GB"/>
        </w:rPr>
        <w:t xml:space="preserve">potentially less beneficial </w:t>
      </w:r>
      <w:r w:rsidR="00BA52C2">
        <w:rPr>
          <w:lang w:val="en-GB"/>
        </w:rPr>
        <w:t xml:space="preserve">for human </w:t>
      </w:r>
      <w:r w:rsidR="00671C93">
        <w:rPr>
          <w:lang w:val="en-GB"/>
        </w:rPr>
        <w:t xml:space="preserve">health </w:t>
      </w:r>
      <w:r w:rsidR="00671C93">
        <w:fldChar w:fldCharType="begin"/>
      </w:r>
      <w:r w:rsidR="00671C93">
        <w:rPr>
          <w:lang w:val="en-GB"/>
        </w:rPr>
        <w:instrText xml:space="preserve"> ADDIN ZOTERO_ITEM CSL_CITATION {"citationID":"8AneBcDl","properties":{"formattedCitation":"(Ludwig et al., 2021)","plainCitation":"(Ludwig et al., 2021)","noteIndex":0},"citationItems":[{"id":3741,"uris":["http://zotero.org/users/16449344/items/R9QERDUH"],"itemData":{"id":3741,"type":"article-journal","abstract":"This paper reports the results of supercritical carbon dioxide (scCO2) extraction of β-carotene from Dunaliella salina as potential alternative to conventional organic solvent extraction. In pilot-scale scCO2 experiments, the pressure, temperature, and co-solvent concentration were varied. The supercritical extraction at 500 bar, 70 °C, and 10 wt% ethanol as co-solvent yielded in the highly efficient pigment recovery of over 90%. Techno-economic assessment demonstrated higher energy consumption for the scCO2 extraction that was compensated by lower solvent costs. Thus, comparable pigment production costs to the reference extraction with n-hexane were estimated for the scCO2 process. Due to the green solvent properties of scCO2 and ethanol, this approach is highly promising for extraction of algal biomass in industrial scale.","container-title":"Journal of Applied Phycology","DOI":"10.1007/s10811-021-02399-y","ISSN":"1573-5176","issue":"3","journalAbbreviation":"J Appl Phycol","language":"en","page":"1435-1445","source":"Springer Link","title":"β-Carotene extraction from Dunaliella salina by supercritical CO2","volume":"33","author":[{"family":"Ludwig","given":"Kristin"},{"family":"Rihko-Struckmann","given":"Liisa"},{"family":"Brinitzer","given":"Gordon"},{"family":"Unkelbach","given":"Gerd"},{"family":"Sundmacher","given":"Kai"}],"issued":{"date-parts":[["2021",6,1]]}}}],"schema":"https://github.com/citation-style-language/schema/raw/master/csl-citation.json"} </w:instrText>
      </w:r>
      <w:r w:rsidR="00671C93">
        <w:fldChar w:fldCharType="separate"/>
      </w:r>
      <w:r w:rsidR="00671C93" w:rsidRPr="00251771">
        <w:rPr>
          <w:rFonts w:cs="Arial"/>
        </w:rPr>
        <w:t>(Ludwig et al., 2021)</w:t>
      </w:r>
      <w:r w:rsidR="00671C93">
        <w:fldChar w:fldCharType="end"/>
      </w:r>
      <w:r w:rsidR="00671C93">
        <w:rPr>
          <w:lang w:val="en-GB"/>
        </w:rPr>
        <w:t>.</w:t>
      </w:r>
    </w:p>
    <w:p w14:paraId="54D6D0DA" w14:textId="748C64D2" w:rsidR="00584ACA" w:rsidRPr="007D052D" w:rsidRDefault="00876B61" w:rsidP="00584ACA">
      <w:pPr>
        <w:pStyle w:val="CETBodytext"/>
        <w:rPr>
          <w:lang w:val="en-GB"/>
        </w:rPr>
      </w:pPr>
      <w:r>
        <w:rPr>
          <w:lang w:val="en-GB"/>
        </w:rPr>
        <w:lastRenderedPageBreak/>
        <w:t>Severa</w:t>
      </w:r>
      <w:r w:rsidR="00997404">
        <w:rPr>
          <w:lang w:val="en-GB"/>
        </w:rPr>
        <w:t>l</w:t>
      </w:r>
      <w:r>
        <w:rPr>
          <w:lang w:val="en-GB"/>
        </w:rPr>
        <w:t xml:space="preserve"> </w:t>
      </w:r>
      <w:r w:rsidR="00584ACA">
        <w:rPr>
          <w:lang w:val="en-GB"/>
        </w:rPr>
        <w:t xml:space="preserve">species of </w:t>
      </w:r>
      <w:r w:rsidR="005869D3">
        <w:rPr>
          <w:lang w:val="en-GB"/>
        </w:rPr>
        <w:t xml:space="preserve">microalgae, </w:t>
      </w:r>
      <w:r w:rsidR="00584ACA">
        <w:rPr>
          <w:lang w:val="en-GB"/>
        </w:rPr>
        <w:t>bacteria and arch</w:t>
      </w:r>
      <w:r w:rsidR="00307F50">
        <w:rPr>
          <w:lang w:val="en-GB"/>
        </w:rPr>
        <w:t>a</w:t>
      </w:r>
      <w:r w:rsidR="00584ACA">
        <w:rPr>
          <w:lang w:val="en-GB"/>
        </w:rPr>
        <w:t xml:space="preserve">ea </w:t>
      </w:r>
      <w:r w:rsidR="00307F50">
        <w:rPr>
          <w:lang w:val="en-GB"/>
        </w:rPr>
        <w:t>can</w:t>
      </w:r>
      <w:r w:rsidR="00584ACA">
        <w:rPr>
          <w:lang w:val="en-GB"/>
        </w:rPr>
        <w:t xml:space="preserve"> </w:t>
      </w:r>
      <w:r w:rsidR="00861FE2" w:rsidRPr="00861FE2">
        <w:rPr>
          <w:lang w:val="en-GB"/>
        </w:rPr>
        <w:t>biosynthesize</w:t>
      </w:r>
      <w:r w:rsidR="00584ACA">
        <w:rPr>
          <w:lang w:val="en-GB"/>
        </w:rPr>
        <w:t xml:space="preserve"> and accumulate </w:t>
      </w:r>
      <w:r w:rsidR="00861FE2">
        <w:rPr>
          <w:lang w:val="en-GB"/>
        </w:rPr>
        <w:t>carotenoids</w:t>
      </w:r>
      <w:r w:rsidR="00584ACA">
        <w:rPr>
          <w:lang w:val="en-GB"/>
        </w:rPr>
        <w:t xml:space="preserve">. </w:t>
      </w:r>
      <w:r w:rsidR="007E75DA" w:rsidRPr="007E75DA">
        <w:rPr>
          <w:lang w:val="en-GB"/>
        </w:rPr>
        <w:t>Among the most prominent industrial producers</w:t>
      </w:r>
      <w:r w:rsidR="00584ACA">
        <w:rPr>
          <w:lang w:val="en-GB"/>
        </w:rPr>
        <w:t xml:space="preserve"> are </w:t>
      </w:r>
      <w:r w:rsidR="00584ACA" w:rsidRPr="00584ACA">
        <w:rPr>
          <w:i/>
          <w:lang w:val="en-GB"/>
        </w:rPr>
        <w:t>Dunaliella salina</w:t>
      </w:r>
      <w:r w:rsidR="00584ACA">
        <w:rPr>
          <w:lang w:val="en-GB"/>
        </w:rPr>
        <w:t xml:space="preserve"> for </w:t>
      </w:r>
      <w:r w:rsidR="00584ACA" w:rsidRPr="00EA0F3B">
        <w:rPr>
          <w:lang w:val="en-GB"/>
        </w:rPr>
        <w:t>β-carotene</w:t>
      </w:r>
      <w:r w:rsidR="00584ACA">
        <w:rPr>
          <w:lang w:val="en-GB"/>
        </w:rPr>
        <w:t xml:space="preserve"> </w:t>
      </w:r>
      <w:r w:rsidR="00824E96">
        <w:rPr>
          <w:lang w:val="en-GB"/>
        </w:rPr>
        <w:fldChar w:fldCharType="begin"/>
      </w:r>
      <w:r w:rsidR="00824E96">
        <w:rPr>
          <w:lang w:val="en-GB"/>
        </w:rPr>
        <w:instrText xml:space="preserve"> ADDIN ZOTERO_ITEM CSL_CITATION {"citationID":"Qocsacid","properties":{"formattedCitation":"(Ortega M\\uc0\\u233{}ndez et al., 2012)","plainCitation":"(Ortega Méndez et al., 2012)","noteIndex":0},"citationItems":[{"id":3805,"uris":["http://zotero.org/users/16449344/items/UI5JT8LZ"],"itemData":{"id":3805,"type":"article-journal","abstract":"This research determines the advantages of the use of brine from reverse osmosis seawater desalination processes as hypersaline culture media to grow Dunaliella salina. In this work, we evaluated the growth of a new strain of D. salina (Ds. Janubiense-ITC5.105) cultured in residual brine and in artificial hypersaline media compared with the productivity of a well-established strain of this species (Ds. BCA421-ITC5.003). Parameters such as concentration of chlorophylls a and b and total carotenoids accumulated by the two strains throughout the cultivation course were established. The results show maximum biomass yield of 26.44g m-2 d-1 for Ds. BCA421-ITC5.003 grown in a controlled media with similar salinities to that of desalination brine; and maximum carotenoids productions of 20.93 mg m-2 d-1 for Ds. Janubiense-ITC5.105 grown in brine from seawater desalination processes. This SWRO brine would be an ideal medium to grow this kind of species at low cost in areas with seawater desalination plants. Moreover, the growth of D. salina offers a high rate of nutrient fixation, such as NO3- and PO43-, of up to 99 and 71%, respectively. Due to the fact that desalination brine contains certain amounts of these nutrients in its composition, its use as culture media requires a lower reagent expense. The cultivation also favors the complete removal of these ions from brine, thus improving the quality of the final disposal.","container-title":"Desalination and Water Treatment","DOI":"10.1080/19443994.2012.708206","ISSN":"1944-3986","issue":"1","journalAbbreviation":"Desalination and Water Treatment","page":"115-122","source":"ScienceDirect","title":"Reuse of SWRO brine for the production of carotenoids from &lt;i&gt;Dunaliella salina&lt;/i&gt; and removal of macronutrients","volume":"49","author":[{"family":"Ortega Méndez","given":"J. A."},{"family":"Mendoza","given":"H."},{"family":"Santiago","given":"Dunia E."},{"family":"Aridane Rodríguez","given":"F."},{"family":"Gil Lodos","given":"M."},{"family":"Carmona","given":"L."}],"issued":{"date-parts":[["2012",11,1]]}}}],"schema":"https://github.com/citation-style-language/schema/raw/master/csl-citation.json"} </w:instrText>
      </w:r>
      <w:r w:rsidR="00824E96">
        <w:rPr>
          <w:lang w:val="en-GB"/>
        </w:rPr>
        <w:fldChar w:fldCharType="separate"/>
      </w:r>
      <w:r w:rsidR="00824E96" w:rsidRPr="00584ACA">
        <w:rPr>
          <w:rFonts w:cs="Arial"/>
          <w:szCs w:val="24"/>
        </w:rPr>
        <w:t>(Ortega Méndez et al., 2012)</w:t>
      </w:r>
      <w:r w:rsidR="00824E96">
        <w:rPr>
          <w:lang w:val="en-GB"/>
        </w:rPr>
        <w:fldChar w:fldCharType="end"/>
      </w:r>
      <w:r w:rsidR="00824E96">
        <w:rPr>
          <w:lang w:val="en-GB"/>
        </w:rPr>
        <w:t xml:space="preserve"> </w:t>
      </w:r>
      <w:r w:rsidR="00E06BAE">
        <w:rPr>
          <w:lang w:val="en-GB"/>
        </w:rPr>
        <w:t xml:space="preserve">and </w:t>
      </w:r>
      <w:r w:rsidR="00824E96">
        <w:rPr>
          <w:i/>
          <w:lang w:val="en-GB"/>
        </w:rPr>
        <w:t>Nannoc</w:t>
      </w:r>
      <w:r w:rsidR="00824E96" w:rsidRPr="00824E96">
        <w:rPr>
          <w:i/>
          <w:lang w:val="en-GB"/>
        </w:rPr>
        <w:t>h</w:t>
      </w:r>
      <w:r w:rsidR="00824E96">
        <w:rPr>
          <w:i/>
          <w:lang w:val="en-GB"/>
        </w:rPr>
        <w:t>loropsis oculata</w:t>
      </w:r>
      <w:r w:rsidR="00824E96">
        <w:rPr>
          <w:lang w:val="en-GB"/>
        </w:rPr>
        <w:t xml:space="preserve"> </w:t>
      </w:r>
      <w:r w:rsidR="005869D3">
        <w:rPr>
          <w:lang w:val="en-GB"/>
        </w:rPr>
        <w:t>for lut</w:t>
      </w:r>
      <w:r w:rsidR="00584ACA">
        <w:rPr>
          <w:lang w:val="en-GB"/>
        </w:rPr>
        <w:t>ein and zeaxanthin</w:t>
      </w:r>
      <w:r w:rsidR="00824E96">
        <w:rPr>
          <w:lang w:val="en-GB"/>
        </w:rPr>
        <w:t xml:space="preserve"> </w:t>
      </w:r>
      <w:r w:rsidR="00824E96">
        <w:rPr>
          <w:lang w:val="en-GB"/>
        </w:rPr>
        <w:fldChar w:fldCharType="begin"/>
      </w:r>
      <w:r w:rsidR="00810FFE">
        <w:rPr>
          <w:lang w:val="en-GB"/>
        </w:rPr>
        <w:instrText xml:space="preserve"> ADDIN ZOTERO_ITEM CSL_CITATION {"citationID":"KOmrxNQu","properties":{"formattedCitation":"(Smaoui et al., 2021)","plainCitation":"(Smaoui et al., 2021)","noteIndex":0},"citationItems":[{"id":3900,"uris":["http://zotero.org/users/16449344/items/RDXMGNLJ"],"itemData":{"id":3900,"type":"article-journal","abstract":"In the last 20 years, xanthophylls from microalgae have gained increased scientific and industrial interests. This review highlights the essential issues that concern this class of high value compounds. Firstly, their chemical diversity as the producer microorganisms was detailed. Then, the use of conventional and innovative extraction techniques was discussed. Upgraded knowledge on the biosynthetic pathway of the main xanthophylls produced by photosynthetic microorganisms was reviewed in depth, providing new insightful ideas, clarifying the function of these active biomolecules. In addition, the recent advances in encapsulation techniques of astaxanthin and fucoxanthin, such as spray and freeze drying, gelation, emulsification and coacervation were updated. Providing information about these topics and their applications and advances could be a help to students and young researchers who are interested in chemical and metabolic engineering, chemistry and natural products communities to approach the complex thematic of xanthophylls.","container-title":"Foods","DOI":"10.3390/foods10112835","ISSN":"2304-8158","issue":"11","language":"en","license":"http://creativecommons.org/licenses/by/3.0/","page":"2835","publisher":"Multidisciplinary Digital Publishing Institute","source":"www.mdpi.com","title":"Microalgae Xanthophylls: From Biosynthesis Pathway and Production Techniques to Encapsulation Development","title-short":"Microalgae Xanthophylls","volume":"10","author":[{"family":"Smaoui","given":"Slim"},{"family":"Barkallah","given":"Mohamed"},{"family":"Ben Hlima","given":"Hajer"},{"family":"Fendri","given":"Imen"},{"family":"Mousavi Khaneghah","given":"Amin"},{"family":"Michaud","given":"Philippe"},{"family":"Abdelkafi","given":"Slim"}],"issued":{"date-parts":[["2021",11]]}}}],"schema":"https://github.com/citation-style-language/schema/raw/master/csl-citation.json"} </w:instrText>
      </w:r>
      <w:r w:rsidR="00824E96">
        <w:rPr>
          <w:lang w:val="en-GB"/>
        </w:rPr>
        <w:fldChar w:fldCharType="separate"/>
      </w:r>
      <w:r w:rsidR="00824E96" w:rsidRPr="00781A58">
        <w:rPr>
          <w:rFonts w:cs="Arial"/>
          <w:lang w:val="en-GB"/>
        </w:rPr>
        <w:t>(Smaoui et al., 2021)</w:t>
      </w:r>
      <w:r w:rsidR="00824E96">
        <w:rPr>
          <w:lang w:val="en-GB"/>
        </w:rPr>
        <w:fldChar w:fldCharType="end"/>
      </w:r>
      <w:r w:rsidR="00584ACA" w:rsidRPr="00E06BAE">
        <w:rPr>
          <w:lang w:val="en-GB"/>
        </w:rPr>
        <w:t xml:space="preserve">. </w:t>
      </w:r>
      <w:r w:rsidR="00636F28">
        <w:rPr>
          <w:lang w:val="en-GB"/>
        </w:rPr>
        <w:t>P</w:t>
      </w:r>
      <w:r w:rsidR="00636F28" w:rsidRPr="00636F28">
        <w:rPr>
          <w:lang w:val="en-GB"/>
        </w:rPr>
        <w:t xml:space="preserve">roduction facilities must be located in regions characterized by high solar irradiation and elevated temperatures, as carotenoids are synthesized by these </w:t>
      </w:r>
      <w:r w:rsidR="00323CF2" w:rsidRPr="00636F28">
        <w:rPr>
          <w:lang w:val="en-GB"/>
        </w:rPr>
        <w:t>micro</w:t>
      </w:r>
      <w:r w:rsidR="00323CF2">
        <w:rPr>
          <w:lang w:val="en-GB"/>
        </w:rPr>
        <w:t>algae</w:t>
      </w:r>
      <w:r w:rsidR="00636F28" w:rsidRPr="00636F28">
        <w:rPr>
          <w:lang w:val="en-GB"/>
        </w:rPr>
        <w:t xml:space="preserve"> as protective response to environmental stresses, such as heat, salinity, and nutrient limitation</w:t>
      </w:r>
      <w:r w:rsidR="00584ACA" w:rsidRPr="00636F28">
        <w:rPr>
          <w:lang w:val="en-GB"/>
        </w:rPr>
        <w:t xml:space="preserve"> </w:t>
      </w:r>
      <w:r w:rsidR="007D052D">
        <w:rPr>
          <w:lang w:val="en-GB"/>
        </w:rPr>
        <w:t>(</w:t>
      </w:r>
      <w:r w:rsidR="00413E57">
        <w:rPr>
          <w:lang w:val="en-GB"/>
        </w:rPr>
        <w:fldChar w:fldCharType="begin"/>
      </w:r>
      <w:r w:rsidR="00413E57" w:rsidRPr="00636F28">
        <w:rPr>
          <w:lang w:val="en-GB"/>
        </w:rPr>
        <w:instrText xml:space="preserve"> ADDIN ZOTERO_ITEM CSL_CITATION {"citationID":"D5kdoIIt","properties":{"formattedCitation":"(Ortega M\\uc0\\u233{}ndez et al., 2012)","plainCitation":"(Ortega Méndez et al., 2012)","dontUpdate":true,"noteIndex":0},"citationItems":[{"id":3805,"uris":["http://zotero.org/users/16449344/items/UI5JT8LZ"],"itemData":{"id":3805,"type":"article-journal","abstract":"This research determines the advantages of the use of brine from reverse osmosis seawater desalination processes as hypersaline culture media to grow Dunaliella salina. In this work, we evaluated the growth of a new strain of D. salina (Ds. Janubiense-ITC5.105) cultured in residual brine and in artificial hypersaline media compared with the productivity of a well-established strain of this species (Ds. BCA421-ITC5.003). Parameters such as concentration of chlorophylls a and b and total carotenoids accumulated by the two strains throughout the cultivation course were established. The results show maximum biomass yield of 26.44g m-2 d-1 for Ds. BCA421-ITC5.003 grown in a controlled media with similar salinities to that of desalination brine; and maximum carotenoids productions of 20.93 mg m-2 d-1 for Ds. Janubiense-ITC5.105 grown in brine from seawater desalination processes. This SWRO brine would be an ideal medium to grow this kind of species at low cost in areas with seawater desalination plants. Moreover, the growth of D. salina offers a high rate of nutrient fixation, such as NO3- and PO43-, of up to 99 and 71%, respectively. Due to the fact that desalination brine contains certain amounts of these nutrients in its composition, its use as culture media requires a lower reagent expense. The cultivation also favors the complete removal of these ions from brine, thus improving the quality of the final disposal.","container-title":"Desalination and Water Treatment","DOI":"10.1080/19443994.2012.708206","ISSN":"1944-3986","issue":"1","journalAbbreviation":"Desalination and Water Treatment","page":"115-122","source":"ScienceDirect","title":"Reuse of SWRO brine for the production of carotenoids from &lt;i&gt;Dunaliella salina&lt;/i&gt; and removal of macronutrients","volume":"49","author":[{"family":"Ortega Méndez","given":"J. A."},{"family":"Mendoza","given":"H."},{"family":"Santiago","given":"Dunia E."},{"family":"Aridane Rodríguez","given":"F."},{"family":"Gil Lodos","given":"M."},{"family":"Carmona","given":"L."}],"issued":{"date-parts":[["2012",11,1]]}}}],"schema":"https://github.com/citation-style-language/schema/raw/master/csl-citation.json"} </w:instrText>
      </w:r>
      <w:r w:rsidR="00413E57">
        <w:rPr>
          <w:lang w:val="en-GB"/>
        </w:rPr>
        <w:fldChar w:fldCharType="separate"/>
      </w:r>
      <w:r w:rsidR="00413E57" w:rsidRPr="00781A58">
        <w:rPr>
          <w:rFonts w:cs="Arial"/>
          <w:szCs w:val="24"/>
          <w:lang w:val="en-GB"/>
        </w:rPr>
        <w:t>Ortega Méndez et al.</w:t>
      </w:r>
      <w:r w:rsidR="00781A58">
        <w:rPr>
          <w:rFonts w:cs="Arial"/>
          <w:szCs w:val="24"/>
          <w:lang w:val="en-GB"/>
        </w:rPr>
        <w:t>,</w:t>
      </w:r>
      <w:r w:rsidR="00413E57" w:rsidRPr="00781A58">
        <w:rPr>
          <w:rFonts w:cs="Arial"/>
          <w:szCs w:val="24"/>
          <w:lang w:val="en-GB"/>
        </w:rPr>
        <w:t xml:space="preserve"> 2012</w:t>
      </w:r>
      <w:r w:rsidR="00413E57">
        <w:rPr>
          <w:lang w:val="en-GB"/>
        </w:rPr>
        <w:fldChar w:fldCharType="end"/>
      </w:r>
      <w:r w:rsidR="007D052D">
        <w:rPr>
          <w:lang w:val="en-GB"/>
        </w:rPr>
        <w:t>)</w:t>
      </w:r>
      <w:r w:rsidR="00781A58">
        <w:rPr>
          <w:lang w:val="en-GB"/>
        </w:rPr>
        <w:t>.</w:t>
      </w:r>
    </w:p>
    <w:p w14:paraId="04CF1B0D" w14:textId="54180B4A" w:rsidR="00413E57" w:rsidRDefault="00757016" w:rsidP="00584ACA">
      <w:pPr>
        <w:pStyle w:val="CETBodytext"/>
        <w:rPr>
          <w:lang w:val="en-GB"/>
        </w:rPr>
      </w:pPr>
      <w:r>
        <w:rPr>
          <w:lang w:val="en-GB"/>
        </w:rPr>
        <w:t xml:space="preserve">Solar saltworks </w:t>
      </w:r>
      <w:r w:rsidR="00C90A28">
        <w:rPr>
          <w:lang w:val="en-GB"/>
        </w:rPr>
        <w:t>represent a remarkable semi-</w:t>
      </w:r>
      <w:r w:rsidR="000246D4">
        <w:rPr>
          <w:lang w:val="en-GB"/>
        </w:rPr>
        <w:t xml:space="preserve">natural </w:t>
      </w:r>
      <w:r w:rsidR="00AA4DD1">
        <w:rPr>
          <w:lang w:val="en-GB"/>
        </w:rPr>
        <w:t>system supporting carotenoid</w:t>
      </w:r>
      <w:r w:rsidR="0079049E">
        <w:rPr>
          <w:lang w:val="en-GB"/>
        </w:rPr>
        <w:t>-</w:t>
      </w:r>
      <w:r w:rsidR="00AA4DD1">
        <w:rPr>
          <w:lang w:val="en-GB"/>
        </w:rPr>
        <w:t>producing microorganisms</w:t>
      </w:r>
      <w:r w:rsidR="00413E57">
        <w:rPr>
          <w:lang w:val="en-GB"/>
        </w:rPr>
        <w:t xml:space="preserve">. </w:t>
      </w:r>
      <w:r w:rsidR="00C13D6B">
        <w:rPr>
          <w:lang w:val="en-GB"/>
        </w:rPr>
        <w:t>I</w:t>
      </w:r>
      <w:r w:rsidR="00C13D6B" w:rsidRPr="00C13D6B">
        <w:rPr>
          <w:lang w:val="en-GB"/>
        </w:rPr>
        <w:t>n these environments, hypersaline brines provide a favourable habitat</w:t>
      </w:r>
      <w:r w:rsidR="00C13D6B" w:rsidRPr="00C13D6B" w:rsidDel="00C13D6B">
        <w:rPr>
          <w:lang w:val="en-GB"/>
        </w:rPr>
        <w:t xml:space="preserve"> </w:t>
      </w:r>
      <w:r w:rsidR="000246D4">
        <w:rPr>
          <w:lang w:val="en-GB"/>
        </w:rPr>
        <w:t>for halophilic</w:t>
      </w:r>
      <w:r w:rsidR="00413E57">
        <w:rPr>
          <w:lang w:val="en-GB"/>
        </w:rPr>
        <w:t xml:space="preserve"> </w:t>
      </w:r>
      <w:r w:rsidR="00C13D6B">
        <w:rPr>
          <w:lang w:val="en-GB"/>
        </w:rPr>
        <w:t>and haloto</w:t>
      </w:r>
      <w:r w:rsidR="00FD36E5">
        <w:rPr>
          <w:lang w:val="en-GB"/>
        </w:rPr>
        <w:t xml:space="preserve">lerant </w:t>
      </w:r>
      <w:r w:rsidR="00413E57">
        <w:rPr>
          <w:lang w:val="en-GB"/>
        </w:rPr>
        <w:t>microorga</w:t>
      </w:r>
      <w:r w:rsidR="000246D4">
        <w:rPr>
          <w:lang w:val="en-GB"/>
        </w:rPr>
        <w:t xml:space="preserve">nisms. </w:t>
      </w:r>
      <w:r w:rsidR="001C52DB">
        <w:rPr>
          <w:lang w:val="en-GB"/>
        </w:rPr>
        <w:t>Natural r</w:t>
      </w:r>
      <w:r w:rsidR="0095703E">
        <w:rPr>
          <w:lang w:val="en-GB"/>
        </w:rPr>
        <w:t>epresentative</w:t>
      </w:r>
      <w:r w:rsidR="001C52DB">
        <w:rPr>
          <w:lang w:val="en-GB"/>
        </w:rPr>
        <w:t>s</w:t>
      </w:r>
      <w:r w:rsidR="0095703E">
        <w:rPr>
          <w:lang w:val="en-GB"/>
        </w:rPr>
        <w:t xml:space="preserve"> include</w:t>
      </w:r>
      <w:r w:rsidR="00413E57">
        <w:rPr>
          <w:lang w:val="en-GB"/>
        </w:rPr>
        <w:t xml:space="preserve"> </w:t>
      </w:r>
      <w:r w:rsidR="00D563EC">
        <w:rPr>
          <w:lang w:val="en-GB"/>
        </w:rPr>
        <w:t xml:space="preserve">eukaryotic </w:t>
      </w:r>
      <w:r w:rsidR="0095703E">
        <w:rPr>
          <w:lang w:val="en-GB"/>
        </w:rPr>
        <w:t xml:space="preserve">microalgae such as </w:t>
      </w:r>
      <w:r w:rsidR="00D563EC" w:rsidRPr="00D563EC">
        <w:rPr>
          <w:i/>
          <w:lang w:val="en-GB"/>
        </w:rPr>
        <w:t>Dunaliella salina</w:t>
      </w:r>
      <w:r w:rsidR="00D563EC">
        <w:rPr>
          <w:lang w:val="en-GB"/>
        </w:rPr>
        <w:t xml:space="preserve"> </w:t>
      </w:r>
      <w:r w:rsidR="00D6279A">
        <w:rPr>
          <w:lang w:val="en-GB"/>
        </w:rPr>
        <w:t>as well as pro</w:t>
      </w:r>
      <w:r w:rsidR="008E013F">
        <w:rPr>
          <w:lang w:val="en-GB"/>
        </w:rPr>
        <w:t>k</w:t>
      </w:r>
      <w:r w:rsidR="00D6279A">
        <w:rPr>
          <w:lang w:val="en-GB"/>
        </w:rPr>
        <w:t>aryotic</w:t>
      </w:r>
      <w:r w:rsidR="00D563EC">
        <w:rPr>
          <w:lang w:val="en-GB"/>
        </w:rPr>
        <w:t xml:space="preserve"> </w:t>
      </w:r>
      <w:r w:rsidR="00D6279A">
        <w:rPr>
          <w:lang w:val="en-GB"/>
        </w:rPr>
        <w:t xml:space="preserve">microorganisms </w:t>
      </w:r>
      <w:r w:rsidR="00C20CE8">
        <w:rPr>
          <w:lang w:val="en-GB"/>
        </w:rPr>
        <w:t xml:space="preserve">such </w:t>
      </w:r>
      <w:r w:rsidR="00D563EC">
        <w:rPr>
          <w:lang w:val="en-GB"/>
        </w:rPr>
        <w:t>as</w:t>
      </w:r>
      <w:r w:rsidR="00413E57">
        <w:rPr>
          <w:lang w:val="en-GB"/>
        </w:rPr>
        <w:t xml:space="preserve"> </w:t>
      </w:r>
      <w:r w:rsidR="00413E57" w:rsidRPr="00413E57">
        <w:rPr>
          <w:i/>
          <w:lang w:val="en-GB"/>
        </w:rPr>
        <w:t>Salinibacter</w:t>
      </w:r>
      <w:r w:rsidR="00413E57">
        <w:rPr>
          <w:lang w:val="en-GB"/>
        </w:rPr>
        <w:t xml:space="preserve"> </w:t>
      </w:r>
      <w:r w:rsidR="00C20CE8" w:rsidRPr="00781A58">
        <w:rPr>
          <w:i/>
          <w:iCs/>
          <w:lang w:val="en-GB"/>
        </w:rPr>
        <w:t>ruber</w:t>
      </w:r>
      <w:r w:rsidR="00A60F2A">
        <w:rPr>
          <w:lang w:val="en-GB"/>
        </w:rPr>
        <w:t xml:space="preserve"> and</w:t>
      </w:r>
      <w:r w:rsidR="00C20CE8">
        <w:rPr>
          <w:lang w:val="en-GB"/>
        </w:rPr>
        <w:t xml:space="preserve"> </w:t>
      </w:r>
      <w:r w:rsidR="00C20CE8" w:rsidRPr="00781A58">
        <w:rPr>
          <w:i/>
          <w:iCs/>
          <w:lang w:val="en-GB"/>
        </w:rPr>
        <w:t>Halobacterium</w:t>
      </w:r>
      <w:r w:rsidR="00BE7F91" w:rsidRPr="00781A58">
        <w:rPr>
          <w:i/>
          <w:iCs/>
          <w:lang w:val="en-GB"/>
        </w:rPr>
        <w:t xml:space="preserve"> salin</w:t>
      </w:r>
      <w:r w:rsidR="00A60F2A" w:rsidRPr="00781A58">
        <w:rPr>
          <w:i/>
          <w:iCs/>
          <w:lang w:val="en-GB"/>
        </w:rPr>
        <w:t>arum</w:t>
      </w:r>
      <w:r w:rsidR="00C20CE8">
        <w:rPr>
          <w:lang w:val="en-GB"/>
        </w:rPr>
        <w:t xml:space="preserve"> </w:t>
      </w:r>
      <w:r w:rsidR="00413E57">
        <w:rPr>
          <w:lang w:val="en-GB"/>
        </w:rPr>
        <w:fldChar w:fldCharType="begin"/>
      </w:r>
      <w:r w:rsidR="00413E57">
        <w:rPr>
          <w:lang w:val="en-GB"/>
        </w:rPr>
        <w:instrText xml:space="preserve"> ADDIN ZOTERO_ITEM CSL_CITATION {"citationID":"kO7N7D6P","properties":{"formattedCitation":"(Villanova et al., 2021)","plainCitation":"(Villanova et al., 2021)","noteIndex":0},"citationItems":[{"id":1299,"uris":["http://zotero.org/users/16449344/items/DUHGWMUE"],"itemData":{"id":1299,"type":"article-journal","abstract":"Halophilic microorganisms inhabiting hypersaline environments such as salt lakes, Dead Sea, or salt evaporation ponds, have acquired specific cell adaptation to grow within stressful conditions. In this study, we isolated heterotrophic and autotrophic microorganisms from several saltern ponds located at the Natural Reserve “Saline di Trapani e Paceco”, Sicily, Italy. The aim of the study was to investigate the biotechnological potential of new microbial strains from saltern ponds, by capturing their biological and chemical diversity. After the isolation and identification of the sampled strains, their growth capacity was determined under low and high salinity conditions. The metabolomic profiles of heterotrophs and pigments production of photosynthetic organisms were analyzed. In parallel, antiproliferative tests on human cell lines were conducted with total extracts coming from the microorganism cultures, together with repair activity assessment of non-cytotoxic extracts. Some of the isolated strains were found to synthetize known bioactive molecules and to exert bioactivity on human cells. In particular, the high salinity increases cell repair activity, probably due to an higher production of antioxidants pigments (e.g. lutein and fucoxanthin) from photosynthetic microorganisms; same culture condition augment also concentration of molecules with interesting bioactivities, such as ectoine, betaine, trigonelline, amino acids and oxiglutathione from heterotrophic microorganisms. In conclusion, this work represents the first study on the isolation of halophilic microorganisms populating the ‘Trapani-Paceco’ saltern and shows how an interdisciplinary investigation based on marine microbiology, cell biology, and modern metabolomics can disclose their biotechnological potential.","container-title":"Algal Research","DOI":"10.1016/j.algal.2021.102192","ISSN":"2211-9264","journalAbbreviation":"Algal Research","page":"102192","source":"ScienceDirect","title":"Biological and chemical characterization of new isolated halophilic microorganisms from saltern ponds of Trapani, Sicily","volume":"54","author":[{"family":"Villanova","given":"Valeria"},{"family":"Galasso","given":"Christian"},{"family":"Fiorini","given":"Federica"},{"family":"Lima","given":"Serena"},{"family":"Brönstrup","given":"Mark"},{"family":"Sansone","given":"Clementina"},{"family":"Brunet","given":"Christophe"},{"family":"Brucato","given":"Alberto"},{"family":"Scargiali","given":"Francesca"}],"issued":{"date-parts":[["2021",4,1]]}}}],"schema":"https://github.com/citation-style-language/schema/raw/master/csl-citation.json"} </w:instrText>
      </w:r>
      <w:r w:rsidR="00413E57">
        <w:rPr>
          <w:lang w:val="en-GB"/>
        </w:rPr>
        <w:fldChar w:fldCharType="separate"/>
      </w:r>
      <w:r w:rsidR="00413E57" w:rsidRPr="00413E57">
        <w:rPr>
          <w:rFonts w:cs="Arial"/>
        </w:rPr>
        <w:t>(Villanova et al., 2021)</w:t>
      </w:r>
      <w:r w:rsidR="00413E57">
        <w:rPr>
          <w:lang w:val="en-GB"/>
        </w:rPr>
        <w:fldChar w:fldCharType="end"/>
      </w:r>
      <w:r w:rsidR="00413E57">
        <w:rPr>
          <w:lang w:val="en-GB"/>
        </w:rPr>
        <w:t xml:space="preserve">. </w:t>
      </w:r>
      <w:r w:rsidR="007F6213">
        <w:rPr>
          <w:lang w:val="en-GB"/>
        </w:rPr>
        <w:t xml:space="preserve">These </w:t>
      </w:r>
      <w:r w:rsidR="00F1100C">
        <w:rPr>
          <w:lang w:val="en-GB"/>
        </w:rPr>
        <w:t xml:space="preserve">microorganisms </w:t>
      </w:r>
      <w:r w:rsidR="001A5199">
        <w:rPr>
          <w:lang w:val="en-GB"/>
        </w:rPr>
        <w:t>become particularly</w:t>
      </w:r>
      <w:r w:rsidR="007F6213">
        <w:rPr>
          <w:lang w:val="en-GB"/>
        </w:rPr>
        <w:t xml:space="preserve"> concentrated in</w:t>
      </w:r>
      <w:r w:rsidR="006F4C15">
        <w:rPr>
          <w:lang w:val="en-GB"/>
        </w:rPr>
        <w:t xml:space="preserve"> bittern, i.e.</w:t>
      </w:r>
      <w:r w:rsidR="007F6213">
        <w:rPr>
          <w:lang w:val="en-GB"/>
        </w:rPr>
        <w:t xml:space="preserve"> the </w:t>
      </w:r>
      <w:r w:rsidR="00F76EE4">
        <w:rPr>
          <w:lang w:val="en-GB"/>
        </w:rPr>
        <w:t xml:space="preserve">residual brine generated at the end of </w:t>
      </w:r>
      <w:r w:rsidR="007F6213">
        <w:rPr>
          <w:lang w:val="en-GB"/>
        </w:rPr>
        <w:t xml:space="preserve">the salt production </w:t>
      </w:r>
      <w:r w:rsidR="0087548B">
        <w:rPr>
          <w:lang w:val="en-GB"/>
        </w:rPr>
        <w:t xml:space="preserve">cycle during </w:t>
      </w:r>
      <w:r w:rsidR="007F6213">
        <w:rPr>
          <w:lang w:val="en-GB"/>
        </w:rPr>
        <w:t>the hot season</w:t>
      </w:r>
      <w:r w:rsidR="006F4C15">
        <w:rPr>
          <w:lang w:val="en-GB"/>
        </w:rPr>
        <w:t xml:space="preserve"> </w:t>
      </w:r>
      <w:r w:rsidR="007F6213">
        <w:rPr>
          <w:lang w:val="en-GB"/>
        </w:rPr>
        <w:fldChar w:fldCharType="begin"/>
      </w:r>
      <w:r w:rsidR="007F6213">
        <w:rPr>
          <w:lang w:val="en-GB"/>
        </w:rPr>
        <w:instrText xml:space="preserve"> ADDIN ZOTERO_ITEM CSL_CITATION {"citationID":"OYcsUQUG","properties":{"formattedCitation":"(Vicari et al., 2022)","plainCitation":"(Vicari et al., 2022)","noteIndex":0},"citationItems":[{"id":2508,"uris":["http://zotero.org/users/16449344/items/ZI22AD52"],"itemData":{"id":2508,"type":"article-journal","abstract":"Seawater represents a potential resource for raw materials extraction. Although NaCl is the most representative mineral extracted other valuable compounds such as Mg, Li, Sr, Rb and B and elements at trace level (Cs, Co, In, Sc, Ga and Ge) are also contained in this “liquid mine”. Most of them are considered as Critical Raw Materials by the European Union. Solar saltworks, providing concentration factors of up-to 20 to 40, offer a perfect platform for the development of minerals and metal recovery schemes taking benefit of the concentration and purification achieved along the evaporation saltwork ponds. However, the geochemistry of these elements in this environment has not been yet thoroughly evaluated. Their knowledge could enable the deployment of technologies capable to achieve the recovery of valuable minerals. The high ionic strengths expected (0.5–7 mol/kg) and the chemical complexity of the solutions imply that only numerical geochemical codes, as PHREEQC, and the use of Pitzer model to estimate the activity coefficients of the different species in solution can be adopted to provide valuable description of the systems. In the present work, for the first time, PHREEQC Pitzer code database was extended to include the target minor and trace elements using Trapani saltworks (Sicily, Italy) as a case study system. The model was able to predict: i) the purity in halite and the major impurities contained, mainly Ca, Mg and sulphate species; ii) the fate of minor components as B, Sr, Cs, Co, Ge and Ga along the evaporation ponds. The results obtained pose a fundamental step in critical raw materials mining from seawater brine, for process intensification and combination with desalination.","container-title":"Science of The Total Environment","DOI":"10.1016/j.scitotenv.2022.157544","ISSN":"0048-9697","journalAbbreviation":"Science of The Total Environment","page":"157544","source":"ScienceDirect","title":"Mining minerals and critical raw materials from bittern: Understanding metal ions fate in saltwork ponds","title-short":"Mining minerals and critical raw materials from bittern","volume":"847","author":[{"family":"Vicari","given":"F."},{"family":"Randazzo","given":"S."},{"family":"López","given":"J."},{"family":"Fernández de Labastida","given":"M."},{"family":"Vallès","given":"V."},{"family":"Micale","given":"G."},{"family":"Tamburini","given":"A."},{"family":"D'Alì Staiti","given":"G."},{"family":"Cortina","given":"J. L."},{"family":"Cipollina","given":"A."}],"issued":{"date-parts":[["2022",11,15]]}}}],"schema":"https://github.com/citation-style-language/schema/raw/master/csl-citation.json"} </w:instrText>
      </w:r>
      <w:r w:rsidR="007F6213">
        <w:rPr>
          <w:lang w:val="en-GB"/>
        </w:rPr>
        <w:fldChar w:fldCharType="separate"/>
      </w:r>
      <w:r w:rsidR="007F6213" w:rsidRPr="00ED2276">
        <w:rPr>
          <w:rFonts w:cs="Arial"/>
        </w:rPr>
        <w:t>(Vicari et al., 2022)</w:t>
      </w:r>
      <w:r w:rsidR="007F6213">
        <w:rPr>
          <w:lang w:val="en-GB"/>
        </w:rPr>
        <w:fldChar w:fldCharType="end"/>
      </w:r>
      <w:r w:rsidR="007F6213">
        <w:rPr>
          <w:lang w:val="en-GB"/>
        </w:rPr>
        <w:t xml:space="preserve">. </w:t>
      </w:r>
    </w:p>
    <w:p w14:paraId="0367C8EE" w14:textId="07A2191B" w:rsidR="00413E57" w:rsidRPr="00D563EC" w:rsidRDefault="0087548B" w:rsidP="00584ACA">
      <w:pPr>
        <w:pStyle w:val="CETBodytext"/>
        <w:rPr>
          <w:lang w:val="en-GB"/>
        </w:rPr>
      </w:pPr>
      <w:r w:rsidRPr="0087548B">
        <w:rPr>
          <w:lang w:val="en-GB"/>
        </w:rPr>
        <w:t xml:space="preserve">Cultivating carotenoid-producing </w:t>
      </w:r>
      <w:r w:rsidR="00377ABD">
        <w:rPr>
          <w:lang w:val="en-GB"/>
        </w:rPr>
        <w:t>microorganisms at</w:t>
      </w:r>
      <w:r w:rsidR="00275A9D">
        <w:rPr>
          <w:lang w:val="en-GB"/>
        </w:rPr>
        <w:t xml:space="preserve"> </w:t>
      </w:r>
      <w:r w:rsidR="00377ABD">
        <w:rPr>
          <w:lang w:val="en-GB"/>
        </w:rPr>
        <w:t xml:space="preserve">industrial scale </w:t>
      </w:r>
      <w:r w:rsidR="00275A9D">
        <w:rPr>
          <w:lang w:val="en-GB"/>
        </w:rPr>
        <w:t>requires</w:t>
      </w:r>
      <w:r w:rsidR="00377ABD">
        <w:rPr>
          <w:lang w:val="en-GB"/>
        </w:rPr>
        <w:t xml:space="preserve"> </w:t>
      </w:r>
      <w:r w:rsidR="00275A9D">
        <w:rPr>
          <w:lang w:val="en-GB"/>
        </w:rPr>
        <w:t>large</w:t>
      </w:r>
      <w:r w:rsidR="00377ABD">
        <w:rPr>
          <w:lang w:val="en-GB"/>
        </w:rPr>
        <w:t xml:space="preserve"> amount of water, space</w:t>
      </w:r>
      <w:r w:rsidR="00321BFF">
        <w:rPr>
          <w:lang w:val="en-GB"/>
        </w:rPr>
        <w:t xml:space="preserve">, </w:t>
      </w:r>
      <w:r w:rsidR="00377ABD">
        <w:rPr>
          <w:lang w:val="en-GB"/>
        </w:rPr>
        <w:t xml:space="preserve">and energy. </w:t>
      </w:r>
      <w:r w:rsidR="00AD44BD">
        <w:rPr>
          <w:lang w:val="en-GB"/>
        </w:rPr>
        <w:t>T</w:t>
      </w:r>
      <w:r w:rsidR="002F793C">
        <w:rPr>
          <w:lang w:val="en-GB"/>
        </w:rPr>
        <w:t xml:space="preserve">he cost of upstream processes is about the 20-30% of the total </w:t>
      </w:r>
      <w:r w:rsidR="00012FFC">
        <w:rPr>
          <w:lang w:val="en-GB"/>
        </w:rPr>
        <w:t xml:space="preserve">production costs </w:t>
      </w:r>
      <w:r w:rsidR="002F793C">
        <w:rPr>
          <w:lang w:val="en-GB"/>
        </w:rPr>
        <w:fldChar w:fldCharType="begin"/>
      </w:r>
      <w:r w:rsidR="002F793C">
        <w:rPr>
          <w:lang w:val="en-GB"/>
        </w:rPr>
        <w:instrText xml:space="preserve"> ADDIN ZOTERO_ITEM CSL_CITATION {"citationID":"zZqUrIDQ","properties":{"formattedCitation":"(Monte et al., 2018)","plainCitation":"(Monte et al., 2018)","noteIndex":0},"citationItems":[{"id":3222,"uris":["http://zotero.org/users/16449344/items/35HNVB7C"],"itemData":{"id":3222,"type":"article-journal","abstract":"The microalgae Dunaliella salina is industrially produced due to its high content in carotenoids induced by low nitrogen and high salinity conditions. D. salina with low carotenoids content also produces other added value compounds, however its recovery have hardly been studied. This work aims to examine the potential of pre-concentrating D. salina by membrane processing prior to a final harvesting step by low-shear centrifugation. The aim is to minimize the overall energy expenditure and reduce capital costs, while assuring a minimal loss of cell integrity. This task is challenging, considering the sensitivity of D. salina to shear. Harvesting of D. salina by ultrafiltration allowed reaching a final concentration factor of 5.9, with an average permeate flux of 31L/(m2h). The Total Cost of Ownership and energy consumption for harvesting are respectively 52% and 45% lower when applying a two-step approach with pre-concentration (ultrafiltration) compared to only harvesting by centrifugation.","container-title":"Separation and Purification Technology","DOI":"10.1016/j.seppur.2017.08.019","ISSN":"1383-5866","journalAbbreviation":"Separation and Purification Technology","page":"252-260","source":"ScienceDirect","title":"Harvesting of &lt;i&gt;Dunaliella salina&lt;/i&gt; by membrane filtration at pilot scale","volume":"190","author":[{"family":"Monte","given":"Joana"},{"family":"Sá","given":"Marta"},{"family":"Galinha","given":"Cláudia F."},{"family":"Costa","given":"Luís"},{"family":"Hoekstra","given":"Herre"},{"family":"Brazinha","given":"Carla"},{"family":"Crespo","given":"João G."}],"issued":{"date-parts":[["2018",1,8]]}}}],"schema":"https://github.com/citation-style-language/schema/raw/master/csl-citation.json"} </w:instrText>
      </w:r>
      <w:r w:rsidR="002F793C">
        <w:rPr>
          <w:lang w:val="en-GB"/>
        </w:rPr>
        <w:fldChar w:fldCharType="separate"/>
      </w:r>
      <w:r w:rsidR="002F793C" w:rsidRPr="002F793C">
        <w:rPr>
          <w:rFonts w:cs="Arial"/>
        </w:rPr>
        <w:t>(Monte et al., 2018)</w:t>
      </w:r>
      <w:r w:rsidR="002F793C">
        <w:rPr>
          <w:lang w:val="en-GB"/>
        </w:rPr>
        <w:fldChar w:fldCharType="end"/>
      </w:r>
      <w:r w:rsidR="002F793C">
        <w:rPr>
          <w:lang w:val="en-GB"/>
        </w:rPr>
        <w:t>.</w:t>
      </w:r>
      <w:r w:rsidR="00324E52" w:rsidRPr="00324E52">
        <w:rPr>
          <w:lang w:val="en-GB"/>
        </w:rPr>
        <w:t xml:space="preserve"> </w:t>
      </w:r>
    </w:p>
    <w:p w14:paraId="330AFE35" w14:textId="6978F57D" w:rsidR="004C2FA0" w:rsidRDefault="0022488D" w:rsidP="00584ACA">
      <w:pPr>
        <w:pStyle w:val="CETBodytext"/>
        <w:rPr>
          <w:lang w:val="en-GB"/>
        </w:rPr>
      </w:pPr>
      <w:r>
        <w:rPr>
          <w:lang w:val="en-GB"/>
        </w:rPr>
        <w:t>Conver</w:t>
      </w:r>
      <w:r w:rsidR="00E70578">
        <w:rPr>
          <w:lang w:val="en-GB"/>
        </w:rPr>
        <w:t xml:space="preserve">sely, bitterns </w:t>
      </w:r>
      <w:r w:rsidR="00ED2276">
        <w:rPr>
          <w:lang w:val="en-GB"/>
        </w:rPr>
        <w:t>are</w:t>
      </w:r>
      <w:r w:rsidR="007F6213">
        <w:rPr>
          <w:lang w:val="en-GB"/>
        </w:rPr>
        <w:t xml:space="preserve"> naturally </w:t>
      </w:r>
      <w:r w:rsidR="00ED2276">
        <w:rPr>
          <w:lang w:val="en-GB"/>
        </w:rPr>
        <w:t xml:space="preserve">rich in minerals and </w:t>
      </w:r>
      <w:r w:rsidR="00953713" w:rsidRPr="00953713">
        <w:rPr>
          <w:lang w:val="en-GB"/>
        </w:rPr>
        <w:t>carotenoid-producing microorganisms</w:t>
      </w:r>
      <w:r w:rsidR="003820BC" w:rsidRPr="003820BC">
        <w:t xml:space="preserve"> </w:t>
      </w:r>
      <w:r w:rsidR="003820BC" w:rsidRPr="003820BC">
        <w:rPr>
          <w:lang w:val="en-GB"/>
        </w:rPr>
        <w:t xml:space="preserve">making them an attractive </w:t>
      </w:r>
      <w:r w:rsidR="003820BC">
        <w:rPr>
          <w:lang w:val="en-GB"/>
        </w:rPr>
        <w:t>eco-sustainable</w:t>
      </w:r>
      <w:r w:rsidR="003820BC" w:rsidRPr="003820BC">
        <w:rPr>
          <w:lang w:val="en-GB"/>
        </w:rPr>
        <w:t xml:space="preserve"> resource</w:t>
      </w:r>
      <w:r w:rsidR="00ED2276">
        <w:rPr>
          <w:lang w:val="en-GB"/>
        </w:rPr>
        <w:t>. Some valuable products, such as magnesium hydroxide</w:t>
      </w:r>
      <w:r w:rsidR="00D563EC">
        <w:rPr>
          <w:lang w:val="en-GB"/>
        </w:rPr>
        <w:t>,</w:t>
      </w:r>
      <w:r w:rsidR="00ED2276" w:rsidRPr="00ED2276">
        <w:rPr>
          <w:lang w:val="en-GB"/>
        </w:rPr>
        <w:t xml:space="preserve"> </w:t>
      </w:r>
      <w:r w:rsidR="00ED2276">
        <w:rPr>
          <w:lang w:val="en-GB"/>
        </w:rPr>
        <w:t>can be recovered</w:t>
      </w:r>
      <w:r w:rsidR="005869D3">
        <w:rPr>
          <w:lang w:val="en-GB"/>
        </w:rPr>
        <w:t xml:space="preserve"> from </w:t>
      </w:r>
      <w:r w:rsidR="002C6DA1">
        <w:rPr>
          <w:lang w:val="en-GB"/>
        </w:rPr>
        <w:t>these streams</w:t>
      </w:r>
      <w:r w:rsidR="00E95006">
        <w:rPr>
          <w:lang w:val="en-GB"/>
        </w:rPr>
        <w:t>, as demonstrated in the SEArcularMINE treatment chain</w:t>
      </w:r>
      <w:r w:rsidR="005869D3">
        <w:rPr>
          <w:lang w:val="en-GB"/>
        </w:rPr>
        <w:t xml:space="preserve">. </w:t>
      </w:r>
      <w:r w:rsidR="00E6340D" w:rsidRPr="00E6340D">
        <w:rPr>
          <w:lang w:val="en-GB"/>
        </w:rPr>
        <w:t>To enable this recovery</w:t>
      </w:r>
      <w:r w:rsidR="00ED2276">
        <w:rPr>
          <w:lang w:val="en-GB"/>
        </w:rPr>
        <w:t>, ultrafiltration</w:t>
      </w:r>
      <w:r w:rsidR="005869D3" w:rsidRPr="005869D3">
        <w:rPr>
          <w:lang w:val="en-GB"/>
        </w:rPr>
        <w:t xml:space="preserve"> </w:t>
      </w:r>
      <w:r w:rsidR="00F76F64">
        <w:rPr>
          <w:lang w:val="en-GB"/>
        </w:rPr>
        <w:t xml:space="preserve">(UF) </w:t>
      </w:r>
      <w:r w:rsidR="005869D3">
        <w:rPr>
          <w:lang w:val="en-GB"/>
        </w:rPr>
        <w:t>is</w:t>
      </w:r>
      <w:r w:rsidR="00767689">
        <w:rPr>
          <w:lang w:val="en-GB"/>
        </w:rPr>
        <w:t xml:space="preserve"> commonly</w:t>
      </w:r>
      <w:r w:rsidR="005869D3">
        <w:rPr>
          <w:lang w:val="en-GB"/>
        </w:rPr>
        <w:t xml:space="preserve"> </w:t>
      </w:r>
      <w:r w:rsidR="00767689">
        <w:rPr>
          <w:lang w:val="en-GB"/>
        </w:rPr>
        <w:t xml:space="preserve">employed </w:t>
      </w:r>
      <w:r w:rsidR="005869D3">
        <w:rPr>
          <w:lang w:val="en-GB"/>
        </w:rPr>
        <w:t>as a pre</w:t>
      </w:r>
      <w:r w:rsidR="00923174">
        <w:rPr>
          <w:lang w:val="en-GB"/>
        </w:rPr>
        <w:t>-</w:t>
      </w:r>
      <w:r w:rsidR="005869D3">
        <w:rPr>
          <w:lang w:val="en-GB"/>
        </w:rPr>
        <w:t xml:space="preserve">treatment </w:t>
      </w:r>
      <w:r w:rsidR="00ED2276">
        <w:rPr>
          <w:lang w:val="en-GB"/>
        </w:rPr>
        <w:t xml:space="preserve">to retain organic matter </w:t>
      </w:r>
      <w:r w:rsidR="00ED2276">
        <w:fldChar w:fldCharType="begin"/>
      </w:r>
      <w:r w:rsidR="00810FFE">
        <w:rPr>
          <w:lang w:val="en-GB"/>
        </w:rPr>
        <w:instrText xml:space="preserve"> ADDIN ZOTERO_ITEM CSL_CITATION {"citationID":"S16HkiWh","properties":{"formattedCitation":"(Giuseppe Scelfo et al., 2024)","plainCitation":"(Giuseppe Scelfo et al., 2024)","noteIndex":0},"citationItems":[{"id":4038,"uris":["http://zotero.org/users/16449344/items/EJUP8JF3"],"itemData":{"id":4038,"type":"article-journal","abstract":"The valorization of ultra-concentrated seawater brines, named bitterns, requires preliminary purification processes, such as membrane filtration, befo...","container-title":"Membranes","DOI":"10.3390/membranes14120276","ISSN":"2077-0375","issue":"12","language":"en","license":"http://creativecommons.org/licenses/by/3.0/","publisher":"publisher","source":"www.mdpi.com","title":"The Operational Performance of an Ultrafiltration Pilot Unit for the Treatment of Ultra-Concentrated Brines","URL":"https://www.mdpi.com/2077-0375/14/12/276","volume":"14","author":[{"family":"Scelfo","given":"Giuseppe"},{"family":"Serrano-Tari","given":"Paula"},{"family":"Raffaelli","given":"Ritamaria"},{"family":"Vicari","given":"Fabrizio"},{"family":"Oller","given":"Isabel"},{"family":"Cipollina","given":"Andrea"},{"family":"Tamburini","given":"Alessandro"},{"family":"Micale","given":"Giorgio"}],"accessed":{"date-parts":[["2026",2,16]]},"issued":{"date-parts":[["2024",12,19]]}}}],"schema":"https://github.com/citation-style-language/schema/raw/master/csl-citation.json"} </w:instrText>
      </w:r>
      <w:r w:rsidR="00ED2276">
        <w:fldChar w:fldCharType="separate"/>
      </w:r>
      <w:r w:rsidR="00810FFE" w:rsidRPr="00810FFE">
        <w:rPr>
          <w:rFonts w:cs="Arial"/>
        </w:rPr>
        <w:t>(Scelfo et al., 2024)</w:t>
      </w:r>
      <w:r w:rsidR="00ED2276">
        <w:fldChar w:fldCharType="end"/>
      </w:r>
      <w:r w:rsidR="00ED2276">
        <w:rPr>
          <w:lang w:val="en-GB"/>
        </w:rPr>
        <w:t xml:space="preserve">. </w:t>
      </w:r>
      <w:r w:rsidR="007F6213">
        <w:rPr>
          <w:lang w:val="en-GB"/>
        </w:rPr>
        <w:t xml:space="preserve">As a </w:t>
      </w:r>
      <w:r w:rsidR="00466D01">
        <w:rPr>
          <w:lang w:val="en-GB"/>
        </w:rPr>
        <w:t>by-product</w:t>
      </w:r>
      <w:r w:rsidR="007F6213">
        <w:rPr>
          <w:lang w:val="en-GB"/>
        </w:rPr>
        <w:t xml:space="preserve">, a </w:t>
      </w:r>
      <w:r w:rsidR="005410F2">
        <w:rPr>
          <w:lang w:val="en-GB"/>
        </w:rPr>
        <w:t xml:space="preserve">UF </w:t>
      </w:r>
      <w:r w:rsidR="007F6213">
        <w:rPr>
          <w:lang w:val="en-GB"/>
        </w:rPr>
        <w:t xml:space="preserve">retentate </w:t>
      </w:r>
      <w:r w:rsidR="00DA75AA">
        <w:rPr>
          <w:lang w:val="en-GB"/>
        </w:rPr>
        <w:t xml:space="preserve">enriched in </w:t>
      </w:r>
      <w:r w:rsidR="002C11EA">
        <w:rPr>
          <w:lang w:val="en-GB"/>
        </w:rPr>
        <w:t>microbial biomass</w:t>
      </w:r>
      <w:r w:rsidR="007F6213">
        <w:rPr>
          <w:lang w:val="en-GB"/>
        </w:rPr>
        <w:t xml:space="preserve"> is</w:t>
      </w:r>
      <w:r w:rsidR="002C11EA">
        <w:rPr>
          <w:lang w:val="en-GB"/>
        </w:rPr>
        <w:t xml:space="preserve"> </w:t>
      </w:r>
      <w:r w:rsidR="00DA75AA">
        <w:rPr>
          <w:lang w:val="en-GB"/>
        </w:rPr>
        <w:t>gener</w:t>
      </w:r>
      <w:r w:rsidR="00755192">
        <w:rPr>
          <w:lang w:val="en-GB"/>
        </w:rPr>
        <w:t>a</w:t>
      </w:r>
      <w:r w:rsidR="00DA75AA">
        <w:rPr>
          <w:lang w:val="en-GB"/>
        </w:rPr>
        <w:t>ted</w:t>
      </w:r>
      <w:r w:rsidR="002C11EA">
        <w:rPr>
          <w:lang w:val="en-GB"/>
        </w:rPr>
        <w:t xml:space="preserve">, </w:t>
      </w:r>
      <w:r w:rsidR="00755192">
        <w:rPr>
          <w:lang w:val="en-GB"/>
        </w:rPr>
        <w:t>which</w:t>
      </w:r>
      <w:r w:rsidR="007F6213">
        <w:rPr>
          <w:lang w:val="en-GB"/>
        </w:rPr>
        <w:t xml:space="preserve"> represent</w:t>
      </w:r>
      <w:r w:rsidR="002C11EA">
        <w:rPr>
          <w:lang w:val="en-GB"/>
        </w:rPr>
        <w:t>s</w:t>
      </w:r>
      <w:r w:rsidR="007F6213">
        <w:rPr>
          <w:lang w:val="en-GB"/>
        </w:rPr>
        <w:t xml:space="preserve"> a waste </w:t>
      </w:r>
      <w:r w:rsidR="00755192">
        <w:rPr>
          <w:lang w:val="en-GB"/>
        </w:rPr>
        <w:t xml:space="preserve">stream </w:t>
      </w:r>
      <w:r w:rsidR="00B17E4A">
        <w:rPr>
          <w:lang w:val="en-GB"/>
        </w:rPr>
        <w:t xml:space="preserve">within </w:t>
      </w:r>
      <w:r w:rsidR="007F6213">
        <w:rPr>
          <w:lang w:val="en-GB"/>
        </w:rPr>
        <w:t xml:space="preserve">the </w:t>
      </w:r>
      <w:r w:rsidR="00E95006">
        <w:rPr>
          <w:lang w:val="en-GB"/>
        </w:rPr>
        <w:t xml:space="preserve">SEArcularMINE </w:t>
      </w:r>
      <w:r w:rsidR="007F6213">
        <w:rPr>
          <w:lang w:val="en-GB"/>
        </w:rPr>
        <w:t xml:space="preserve">magnesium hydroxide </w:t>
      </w:r>
      <w:r w:rsidR="00B17E4A">
        <w:rPr>
          <w:lang w:val="en-GB"/>
        </w:rPr>
        <w:t xml:space="preserve">production </w:t>
      </w:r>
      <w:r w:rsidR="007F6213">
        <w:rPr>
          <w:lang w:val="en-GB"/>
        </w:rPr>
        <w:t xml:space="preserve">chain. </w:t>
      </w:r>
    </w:p>
    <w:p w14:paraId="34154684" w14:textId="45236CB2" w:rsidR="00ED2276" w:rsidRPr="00413E57" w:rsidRDefault="00ED2276" w:rsidP="00584ACA">
      <w:pPr>
        <w:pStyle w:val="CETBodytext"/>
        <w:rPr>
          <w:lang w:val="en-GB"/>
        </w:rPr>
      </w:pPr>
      <w:r>
        <w:rPr>
          <w:lang w:val="en-GB"/>
        </w:rPr>
        <w:t xml:space="preserve">The aim of this work </w:t>
      </w:r>
      <w:r w:rsidR="00591DC3">
        <w:rPr>
          <w:lang w:val="en-GB"/>
        </w:rPr>
        <w:t xml:space="preserve">was </w:t>
      </w:r>
      <w:r w:rsidR="00AD5D40">
        <w:rPr>
          <w:lang w:val="en-GB"/>
        </w:rPr>
        <w:t xml:space="preserve">to </w:t>
      </w:r>
      <w:r w:rsidR="00B17E4A">
        <w:rPr>
          <w:lang w:val="en-GB"/>
        </w:rPr>
        <w:t xml:space="preserve">evaluate </w:t>
      </w:r>
      <w:r w:rsidR="00AD5D40">
        <w:rPr>
          <w:lang w:val="en-GB"/>
        </w:rPr>
        <w:t xml:space="preserve">the feasibility of </w:t>
      </w:r>
      <w:r w:rsidR="00BA30B9">
        <w:rPr>
          <w:lang w:val="en-GB"/>
        </w:rPr>
        <w:t>recover</w:t>
      </w:r>
      <w:r w:rsidR="00283F77">
        <w:rPr>
          <w:lang w:val="en-GB"/>
        </w:rPr>
        <w:t>ing</w:t>
      </w:r>
      <w:r w:rsidR="007F6213">
        <w:rPr>
          <w:lang w:val="en-GB"/>
        </w:rPr>
        <w:t xml:space="preserve"> carotenoids </w:t>
      </w:r>
      <w:r w:rsidR="00E22E9C">
        <w:rPr>
          <w:lang w:val="en-GB"/>
        </w:rPr>
        <w:t xml:space="preserve">from </w:t>
      </w:r>
      <w:r w:rsidR="00466D01">
        <w:rPr>
          <w:lang w:val="en-GB"/>
        </w:rPr>
        <w:t xml:space="preserve">concentrated bitterns produced as </w:t>
      </w:r>
      <w:r w:rsidR="007F6213">
        <w:rPr>
          <w:lang w:val="en-GB"/>
        </w:rPr>
        <w:t xml:space="preserve">UF </w:t>
      </w:r>
      <w:r w:rsidR="00AD5D40">
        <w:rPr>
          <w:lang w:val="en-GB"/>
        </w:rPr>
        <w:t xml:space="preserve">retentate. </w:t>
      </w:r>
      <w:r w:rsidR="001F4656" w:rsidRPr="001F4656">
        <w:rPr>
          <w:lang w:val="en-GB"/>
        </w:rPr>
        <w:t xml:space="preserve"> Although </w:t>
      </w:r>
      <w:r w:rsidR="001F4656">
        <w:rPr>
          <w:lang w:val="en-GB"/>
        </w:rPr>
        <w:t>s</w:t>
      </w:r>
      <w:r w:rsidR="00FC410A">
        <w:rPr>
          <w:lang w:val="en-GB"/>
        </w:rPr>
        <w:t xml:space="preserve">olid-liquid extraction from </w:t>
      </w:r>
      <w:r w:rsidR="00BA30B9">
        <w:rPr>
          <w:lang w:val="en-GB"/>
        </w:rPr>
        <w:t>lyophilized</w:t>
      </w:r>
      <w:r w:rsidR="00FC410A">
        <w:rPr>
          <w:lang w:val="en-GB"/>
        </w:rPr>
        <w:t xml:space="preserve"> biomass is </w:t>
      </w:r>
      <w:r w:rsidR="001F4656" w:rsidRPr="001F4656">
        <w:rPr>
          <w:lang w:val="en-GB"/>
        </w:rPr>
        <w:t>commonly employed for carotenoid recovery</w:t>
      </w:r>
      <w:r w:rsidR="00EF43E9">
        <w:rPr>
          <w:lang w:val="en-GB"/>
        </w:rPr>
        <w:t>,</w:t>
      </w:r>
      <w:r w:rsidR="00EF43E9" w:rsidRPr="00EF43E9">
        <w:t xml:space="preserve"> </w:t>
      </w:r>
      <w:r w:rsidR="00EF43E9" w:rsidRPr="00EF43E9">
        <w:rPr>
          <w:lang w:val="en-GB"/>
        </w:rPr>
        <w:t xml:space="preserve">this approach cannot be applied in the present context, as cell disruption already occurs during </w:t>
      </w:r>
      <w:r w:rsidR="00EF43E9">
        <w:rPr>
          <w:lang w:val="en-GB"/>
        </w:rPr>
        <w:t>UF</w:t>
      </w:r>
      <w:r w:rsidR="00EF43E9" w:rsidRPr="00EF43E9">
        <w:rPr>
          <w:lang w:val="en-GB"/>
        </w:rPr>
        <w:t xml:space="preserve"> step</w:t>
      </w:r>
      <w:r w:rsidR="00D972C4">
        <w:rPr>
          <w:lang w:val="en-GB"/>
        </w:rPr>
        <w:t xml:space="preserve"> </w:t>
      </w:r>
      <w:r w:rsidR="00D972C4">
        <w:rPr>
          <w:lang w:val="en-GB"/>
        </w:rPr>
        <w:fldChar w:fldCharType="begin"/>
      </w:r>
      <w:r w:rsidR="00D972C4">
        <w:rPr>
          <w:lang w:val="en-GB"/>
        </w:rPr>
        <w:instrText xml:space="preserve"> ADDIN ZOTERO_ITEM CSL_CITATION {"citationID":"dgWVsnQd","properties":{"formattedCitation":"(Monte et al., 2018)","plainCitation":"(Monte et al., 2018)","noteIndex":0},"citationItems":[{"id":3222,"uris":["http://zotero.org/users/16449344/items/35HNVB7C"],"itemData":{"id":3222,"type":"article-journal","abstract":"The microalgae Dunaliella salina is industrially produced due to its high content in carotenoids induced by low nitrogen and high salinity conditions. D. salina with low carotenoids content also produces other added value compounds, however its recovery have hardly been studied. This work aims to examine the potential of pre-concentrating D. salina by membrane processing prior to a final harvesting step by low-shear centrifugation. The aim is to minimize the overall energy expenditure and reduce capital costs, while assuring a minimal loss of cell integrity. This task is challenging, considering the sensitivity of D. salina to shear. Harvesting of D. salina by ultrafiltration allowed reaching a final concentration factor of 5.9, with an average permeate flux of 31L/(m2h). The Total Cost of Ownership and energy consumption for harvesting are respectively 52% and 45% lower when applying a two-step approach with pre-concentration (ultrafiltration) compared to only harvesting by centrifugation.","container-title":"Separation and Purification Technology","DOI":"10.1016/j.seppur.2017.08.019","ISSN":"1383-5866","journalAbbreviation":"Separation and Purification Technology","page":"252-260","source":"ScienceDirect","title":"Harvesting of &lt;i&gt;Dunaliella salina&lt;/i&gt; by membrane filtration at pilot scale","volume":"190","author":[{"family":"Monte","given":"Joana"},{"family":"Sá","given":"Marta"},{"family":"Galinha","given":"Cláudia F."},{"family":"Costa","given":"Luís"},{"family":"Hoekstra","given":"Herre"},{"family":"Brazinha","given":"Carla"},{"family":"Crespo","given":"João G."}],"issued":{"date-parts":[["2018",1,8]]}}}],"schema":"https://github.com/citation-style-language/schema/raw/master/csl-citation.json"} </w:instrText>
      </w:r>
      <w:r w:rsidR="00D972C4">
        <w:rPr>
          <w:lang w:val="en-GB"/>
        </w:rPr>
        <w:fldChar w:fldCharType="separate"/>
      </w:r>
      <w:r w:rsidR="00D972C4" w:rsidRPr="00D972C4">
        <w:rPr>
          <w:rFonts w:cs="Arial"/>
        </w:rPr>
        <w:t>(Monte et al., 2018)</w:t>
      </w:r>
      <w:r w:rsidR="00D972C4">
        <w:rPr>
          <w:lang w:val="en-GB"/>
        </w:rPr>
        <w:fldChar w:fldCharType="end"/>
      </w:r>
      <w:r w:rsidR="00FC410A">
        <w:rPr>
          <w:lang w:val="en-GB"/>
        </w:rPr>
        <w:t xml:space="preserve">. For this </w:t>
      </w:r>
      <w:r w:rsidR="00BA30B9">
        <w:rPr>
          <w:lang w:val="en-GB"/>
        </w:rPr>
        <w:t>reason,</w:t>
      </w:r>
      <w:r w:rsidR="00FC410A">
        <w:rPr>
          <w:lang w:val="en-GB"/>
        </w:rPr>
        <w:t xml:space="preserve"> an easy and </w:t>
      </w:r>
      <w:r w:rsidR="004576F7">
        <w:rPr>
          <w:lang w:val="en-GB"/>
        </w:rPr>
        <w:t xml:space="preserve">rapid </w:t>
      </w:r>
      <w:r w:rsidR="00FC410A">
        <w:rPr>
          <w:lang w:val="en-GB"/>
        </w:rPr>
        <w:t xml:space="preserve">liquid-liquid extraction </w:t>
      </w:r>
      <w:r w:rsidR="008D69B6">
        <w:rPr>
          <w:lang w:val="en-GB"/>
        </w:rPr>
        <w:t xml:space="preserve">(LLE) </w:t>
      </w:r>
      <w:r w:rsidR="00FC410A">
        <w:rPr>
          <w:lang w:val="en-GB"/>
        </w:rPr>
        <w:t xml:space="preserve">protocol </w:t>
      </w:r>
      <w:r w:rsidR="004576F7">
        <w:rPr>
          <w:lang w:val="en-GB"/>
        </w:rPr>
        <w:t>was</w:t>
      </w:r>
      <w:r w:rsidR="00FC410A">
        <w:rPr>
          <w:lang w:val="en-GB"/>
        </w:rPr>
        <w:t xml:space="preserve"> developed and optimized</w:t>
      </w:r>
      <w:r w:rsidR="00BF04B5">
        <w:rPr>
          <w:lang w:val="en-GB"/>
        </w:rPr>
        <w:t>,</w:t>
      </w:r>
      <w:r w:rsidR="00D76AEA">
        <w:rPr>
          <w:lang w:val="en-GB"/>
        </w:rPr>
        <w:t xml:space="preserve"> testing </w:t>
      </w:r>
      <w:r w:rsidR="00341DF2">
        <w:rPr>
          <w:lang w:val="en-GB"/>
        </w:rPr>
        <w:t>various</w:t>
      </w:r>
      <w:r w:rsidR="00BA30B9">
        <w:rPr>
          <w:lang w:val="en-GB"/>
        </w:rPr>
        <w:t xml:space="preserve"> common organic solvents </w:t>
      </w:r>
      <w:r w:rsidR="00341DF2">
        <w:rPr>
          <w:lang w:val="en-GB"/>
        </w:rPr>
        <w:t>and</w:t>
      </w:r>
      <w:r w:rsidR="00BA30B9">
        <w:rPr>
          <w:lang w:val="en-GB"/>
        </w:rPr>
        <w:t xml:space="preserve"> different </w:t>
      </w:r>
      <w:r w:rsidR="00341DF2">
        <w:rPr>
          <w:lang w:val="en-GB"/>
        </w:rPr>
        <w:t>oper</w:t>
      </w:r>
      <w:r w:rsidR="006E656D">
        <w:rPr>
          <w:lang w:val="en-GB"/>
        </w:rPr>
        <w:t xml:space="preserve">ating </w:t>
      </w:r>
      <w:r w:rsidR="00BA30B9">
        <w:rPr>
          <w:lang w:val="en-GB"/>
        </w:rPr>
        <w:t>conditions.</w:t>
      </w:r>
    </w:p>
    <w:p w14:paraId="5741900F" w14:textId="07569640" w:rsidR="00453E24" w:rsidRDefault="007476D2" w:rsidP="00453E24">
      <w:pPr>
        <w:pStyle w:val="CETHeading1"/>
      </w:pPr>
      <w:r>
        <w:t>Mat</w:t>
      </w:r>
      <w:r w:rsidR="00096225">
        <w:t>erials and Methods</w:t>
      </w:r>
    </w:p>
    <w:p w14:paraId="25899B31" w14:textId="4E7FA2A7" w:rsidR="00D563EC" w:rsidRDefault="00D563EC" w:rsidP="00D563EC">
      <w:pPr>
        <w:pStyle w:val="CETBodytext"/>
      </w:pPr>
      <w:r>
        <w:t xml:space="preserve">The bittern </w:t>
      </w:r>
      <w:r w:rsidR="00943980">
        <w:t>w</w:t>
      </w:r>
      <w:r>
        <w:t>as sampled from crystallizer ponds in Margi saltworks (Trapani, Italy)</w:t>
      </w:r>
      <w:r w:rsidR="003444ED">
        <w:t xml:space="preserve"> and</w:t>
      </w:r>
      <w:r w:rsidR="00923174">
        <w:t xml:space="preserve"> </w:t>
      </w:r>
      <w:r>
        <w:t>ultrafilt</w:t>
      </w:r>
      <w:r w:rsidR="00D610B7">
        <w:t>er</w:t>
      </w:r>
      <w:r>
        <w:t xml:space="preserve">ed as described in </w:t>
      </w:r>
      <w:r>
        <w:fldChar w:fldCharType="begin"/>
      </w:r>
      <w:r w:rsidR="00810FFE">
        <w:instrText xml:space="preserve"> ADDIN ZOTERO_ITEM CSL_CITATION {"citationID":"9cOLQajO","properties":{"formattedCitation":"(Scelfo et al., 2024)","plainCitation":"(Scelfo et al., 2024)","dontUpdate":true,"noteIndex":0},"citationItems":[{"id":"baxt45XG/yx5eXTUj","uris":["http://zotero.org/users/16449344/items/GS93R47J"],"itemData":{"id":1387,"type":"article-journal","abstract":": The valorization of ultra-concentrated seawater brines, named bitterns, requires preliminary purification processes, such as membrane filtration, before they can be fully exploited. This study investigates the performance of an ultrafiltration pilot plant aimed at separating organic matter and large particles from real bitterns. An empirical model for the bittern viscosity was developed to better characterize the membrane. Distinct variations in permeability, fouling resistance and rejection coefficient were observed under operational pressures ranging from 2 to 4 bar. Working at low pressure (2 bar), the pilot plant achieves permeability and rejection coefficient values of 17 L/m2hbar and 95%, respectively. Foulant behavior was characterized by determining a \"fouling resistance\", obtaining an average value of 1013 m-1. Tests with three distinct bittern samples were conducted to assess the influence of chemical composition and organic matter content on membrane permeability and fouling characteristics. The collected data enabled a comprehensive characterization of the ultrafiltration pilot unit working with this particular saline feed solution, which has very high technical-economic potential.","DOI":"10.3390/membranes14120276","language":"eng","note":"Accepted: 2025-03-07T06:40:53Z\npublisher: MDPI","source":"iris.unipa.it","title":"The Operational Performance of an Ultrafiltration Pilot Unit for the Treatment of Ultra-Concentrated Brines","URL":"https://iris.unipa.it/handle/10447/674383","author":[{"family":"Scelfo","given":"G."},{"family":"Serrano-Tari","given":"P."},{"family":"Raffaelli","given":"R."},{"family":"Vicari","given":"F."},{"family":"Oller","given":"I."},{"family":"Cipollina","given":"A."},{"family":"Tamburini","given":"A."},{"family":"Micale","given":"G."}],"accessed":{"date-parts":[["2025",3,21]]},"issued":{"date-parts":[["2024",12,20]]}}}],"schema":"https://github.com/citation-style-language/schema/raw/master/csl-citation.json"} </w:instrText>
      </w:r>
      <w:r>
        <w:fldChar w:fldCharType="separate"/>
      </w:r>
      <w:r>
        <w:rPr>
          <w:rFonts w:cs="Arial"/>
        </w:rPr>
        <w:t>Scelfo et al.</w:t>
      </w:r>
      <w:r w:rsidRPr="00275B82">
        <w:rPr>
          <w:rFonts w:cs="Arial"/>
        </w:rPr>
        <w:t xml:space="preserve"> </w:t>
      </w:r>
      <w:r>
        <w:rPr>
          <w:rFonts w:cs="Arial"/>
        </w:rPr>
        <w:t>(</w:t>
      </w:r>
      <w:r w:rsidRPr="00275B82">
        <w:rPr>
          <w:rFonts w:cs="Arial"/>
        </w:rPr>
        <w:t>2024)</w:t>
      </w:r>
      <w:r>
        <w:fldChar w:fldCharType="end"/>
      </w:r>
      <w:r>
        <w:t xml:space="preserve">. </w:t>
      </w:r>
      <w:r w:rsidR="00FF3BC8">
        <w:t xml:space="preserve">Starting from </w:t>
      </w:r>
      <w:r w:rsidR="004C29A7">
        <w:t>500 L of bittern</w:t>
      </w:r>
      <w:r w:rsidR="00D32FDB">
        <w:t xml:space="preserve">, a retentate </w:t>
      </w:r>
      <w:r w:rsidR="000D0E0E">
        <w:t>10</w:t>
      </w:r>
      <w:r w:rsidR="00516095">
        <w:t>-</w:t>
      </w:r>
      <w:r w:rsidR="00D32FDB">
        <w:t>times more concentrated</w:t>
      </w:r>
      <w:r w:rsidR="004C29A7">
        <w:t xml:space="preserve"> </w:t>
      </w:r>
      <w:r w:rsidR="000D0E0E">
        <w:t>was</w:t>
      </w:r>
      <w:r w:rsidR="00FF3BC8">
        <w:t xml:space="preserve"> obtained</w:t>
      </w:r>
      <w:r w:rsidR="004C29A7">
        <w:t xml:space="preserve">. </w:t>
      </w:r>
      <w:r w:rsidR="00FF3BC8">
        <w:t>Th</w:t>
      </w:r>
      <w:r w:rsidR="00943980">
        <w:t>e</w:t>
      </w:r>
      <w:r w:rsidR="000D0E0E">
        <w:t xml:space="preserve"> latter</w:t>
      </w:r>
      <w:r w:rsidR="00FF3BC8">
        <w:t xml:space="preserve"> </w:t>
      </w:r>
      <w:r w:rsidR="000D0E0E">
        <w:t>was</w:t>
      </w:r>
      <w:r w:rsidR="00FF3BC8">
        <w:t xml:space="preserve"> ultrafilt</w:t>
      </w:r>
      <w:r w:rsidR="00D610B7">
        <w:t>er</w:t>
      </w:r>
      <w:r w:rsidR="00FF3BC8">
        <w:t xml:space="preserve">ed </w:t>
      </w:r>
      <w:r w:rsidR="002811BA">
        <w:t xml:space="preserve">a second time </w:t>
      </w:r>
      <w:r w:rsidR="003444ED">
        <w:t xml:space="preserve">to obtain a final retentate </w:t>
      </w:r>
      <w:r w:rsidR="00943980">
        <w:t xml:space="preserve">with a </w:t>
      </w:r>
      <w:r w:rsidR="003444ED">
        <w:t>50</w:t>
      </w:r>
      <w:r w:rsidR="00943980">
        <w:t>-fold</w:t>
      </w:r>
      <w:r w:rsidR="003444ED">
        <w:t xml:space="preserve"> concentrat</w:t>
      </w:r>
      <w:r w:rsidR="00943980">
        <w:t>ion factor relative to</w:t>
      </w:r>
      <w:r w:rsidR="003444ED">
        <w:t xml:space="preserve"> the </w:t>
      </w:r>
      <w:r w:rsidR="00C07E54">
        <w:t xml:space="preserve">original </w:t>
      </w:r>
      <w:r w:rsidR="003444ED">
        <w:t>bittern</w:t>
      </w:r>
      <w:r>
        <w:t xml:space="preserve">. </w:t>
      </w:r>
      <w:r w:rsidR="00FF3BC8">
        <w:t xml:space="preserve">The maximum pressure reached by the booster pump was 2.7 bar and the maximum temperature was </w:t>
      </w:r>
      <w:r w:rsidR="00923174">
        <w:t>50</w:t>
      </w:r>
      <w:r w:rsidR="004336F4">
        <w:t xml:space="preserve"> </w:t>
      </w:r>
      <w:r w:rsidR="00FF3BC8">
        <w:t>°C.</w:t>
      </w:r>
      <w:r w:rsidR="00C07E54" w:rsidRPr="00C07E54">
        <w:t xml:space="preserve"> </w:t>
      </w:r>
      <w:r w:rsidR="00C07E54">
        <w:t xml:space="preserve">The final product was stored in a dark tank </w:t>
      </w:r>
      <w:r w:rsidR="00872852">
        <w:t>at room temperature</w:t>
      </w:r>
      <w:r w:rsidR="00C07E54">
        <w:t>.</w:t>
      </w:r>
    </w:p>
    <w:p w14:paraId="09BA8D26" w14:textId="518498BC" w:rsidR="00096225" w:rsidRDefault="0067275A" w:rsidP="00453E24">
      <w:pPr>
        <w:pStyle w:val="CETBodytext"/>
      </w:pPr>
      <w:r>
        <w:t>LLE</w:t>
      </w:r>
      <w:r w:rsidR="00096225">
        <w:t xml:space="preserve"> </w:t>
      </w:r>
      <w:r w:rsidR="00F77FAD">
        <w:t xml:space="preserve">was </w:t>
      </w:r>
      <w:r w:rsidR="00096225">
        <w:t>performed in triplicate adding to retentate acetone, hexane, methanol and ethyl</w:t>
      </w:r>
      <w:r w:rsidR="00F77FAD">
        <w:t xml:space="preserve"> </w:t>
      </w:r>
      <w:r w:rsidR="00096225">
        <w:t>acetate</w:t>
      </w:r>
      <w:r w:rsidR="00DF64C3">
        <w:t xml:space="preserve">, </w:t>
      </w:r>
      <w:r w:rsidR="00730A03">
        <w:t xml:space="preserve">using the volumes and settings indicated in </w:t>
      </w:r>
      <w:r w:rsidR="00DF64C3">
        <w:t>Table 1.</w:t>
      </w:r>
      <w:r w:rsidR="00730A03" w:rsidRPr="00730A03">
        <w:t xml:space="preserve"> </w:t>
      </w:r>
    </w:p>
    <w:p w14:paraId="3B4E19C1" w14:textId="66E44D92" w:rsidR="00275B82" w:rsidRDefault="00275B82" w:rsidP="00275B82">
      <w:pPr>
        <w:pStyle w:val="CETTabletitle"/>
      </w:pPr>
      <w:r>
        <w:t xml:space="preserve">Table </w:t>
      </w:r>
      <w:r>
        <w:fldChar w:fldCharType="begin"/>
      </w:r>
      <w:r>
        <w:instrText xml:space="preserve"> SEQ Tabella \* ARABIC </w:instrText>
      </w:r>
      <w:r>
        <w:fldChar w:fldCharType="separate"/>
      </w:r>
      <w:r w:rsidR="001726FC">
        <w:rPr>
          <w:noProof/>
        </w:rPr>
        <w:t>1</w:t>
      </w:r>
      <w:r>
        <w:fldChar w:fldCharType="end"/>
      </w:r>
      <w:r>
        <w:t xml:space="preserve">: </w:t>
      </w:r>
      <w:r w:rsidR="0012478D">
        <w:t>L</w:t>
      </w:r>
      <w:r w:rsidR="004336F4">
        <w:t>LE</w:t>
      </w:r>
      <w:r w:rsidR="00694BB8">
        <w:t xml:space="preserve"> t</w:t>
      </w:r>
      <w:r>
        <w:t>ested conditions</w:t>
      </w:r>
      <w:r w:rsidR="009E79EE">
        <w:t>.</w:t>
      </w:r>
      <w:r w:rsidR="00365940">
        <w:t xml:space="preserve"> VR and VS represent the volumes of the retentate and of the solvent, respectively. </w:t>
      </w:r>
      <w:r w:rsidR="009E79EE">
        <w:t xml:space="preserve"> </w:t>
      </w:r>
    </w:p>
    <w:tbl>
      <w:tblPr>
        <w:tblW w:w="8789" w:type="dxa"/>
        <w:tblCellMar>
          <w:left w:w="0" w:type="dxa"/>
          <w:right w:w="0" w:type="dxa"/>
        </w:tblCellMar>
        <w:tblLook w:val="00A0" w:firstRow="1" w:lastRow="0" w:firstColumn="1" w:lastColumn="0" w:noHBand="0" w:noVBand="0"/>
      </w:tblPr>
      <w:tblGrid>
        <w:gridCol w:w="791"/>
        <w:gridCol w:w="910"/>
        <w:gridCol w:w="1439"/>
        <w:gridCol w:w="829"/>
        <w:gridCol w:w="1560"/>
        <w:gridCol w:w="1134"/>
        <w:gridCol w:w="992"/>
        <w:gridCol w:w="1134"/>
      </w:tblGrid>
      <w:tr w:rsidR="002A3E00" w:rsidRPr="00275B82" w14:paraId="5E76339A" w14:textId="77777777" w:rsidTr="00AB7957">
        <w:tc>
          <w:tcPr>
            <w:tcW w:w="0" w:type="auto"/>
            <w:tcBorders>
              <w:top w:val="single" w:sz="12" w:space="0" w:color="008000"/>
              <w:left w:val="nil"/>
              <w:bottom w:val="single" w:sz="8" w:space="0" w:color="008000"/>
              <w:right w:val="nil"/>
            </w:tcBorders>
            <w:tcMar>
              <w:top w:w="15" w:type="dxa"/>
              <w:left w:w="15" w:type="dxa"/>
              <w:bottom w:w="0" w:type="dxa"/>
              <w:right w:w="15" w:type="dxa"/>
            </w:tcMar>
            <w:vAlign w:val="center"/>
            <w:hideMark/>
          </w:tcPr>
          <w:p w14:paraId="3E9516E8" w14:textId="0908AF32" w:rsidR="002A3E00" w:rsidRPr="00275B82" w:rsidRDefault="002A3E00" w:rsidP="00923174">
            <w:pPr>
              <w:pStyle w:val="CETBodytext"/>
              <w:jc w:val="center"/>
              <w:rPr>
                <w:lang w:val="it-IT"/>
              </w:rPr>
            </w:pPr>
            <w:r w:rsidRPr="00275B82">
              <w:rPr>
                <w:lang w:val="it-IT"/>
              </w:rPr>
              <w:t>Condition</w:t>
            </w:r>
          </w:p>
        </w:tc>
        <w:tc>
          <w:tcPr>
            <w:tcW w:w="910" w:type="dxa"/>
            <w:tcBorders>
              <w:top w:val="single" w:sz="12" w:space="0" w:color="008000"/>
              <w:left w:val="nil"/>
              <w:bottom w:val="single" w:sz="8" w:space="0" w:color="008000"/>
              <w:right w:val="nil"/>
            </w:tcBorders>
            <w:tcMar>
              <w:top w:w="15" w:type="dxa"/>
              <w:left w:w="15" w:type="dxa"/>
              <w:bottom w:w="0" w:type="dxa"/>
              <w:right w:w="15" w:type="dxa"/>
            </w:tcMar>
            <w:vAlign w:val="center"/>
            <w:hideMark/>
          </w:tcPr>
          <w:p w14:paraId="789CA2B6" w14:textId="5F80BBBE" w:rsidR="002A3E00" w:rsidRPr="00275B82" w:rsidRDefault="002A3E00" w:rsidP="00365940">
            <w:pPr>
              <w:pStyle w:val="CETBodytext"/>
              <w:jc w:val="center"/>
              <w:rPr>
                <w:lang w:val="it-IT"/>
              </w:rPr>
            </w:pPr>
            <w:r w:rsidRPr="00275B82">
              <w:rPr>
                <w:lang w:val="it-IT"/>
              </w:rPr>
              <w:t>V</w:t>
            </w:r>
            <w:r w:rsidR="00365940" w:rsidRPr="00AB7957">
              <w:rPr>
                <w:lang w:val="it-IT"/>
              </w:rPr>
              <w:t>R</w:t>
            </w:r>
            <w:r w:rsidRPr="00275B82">
              <w:rPr>
                <w:vertAlign w:val="subscript"/>
                <w:lang w:val="it-IT"/>
              </w:rPr>
              <w:t xml:space="preserve"> </w:t>
            </w:r>
            <w:r w:rsidRPr="00275B82">
              <w:rPr>
                <w:lang w:val="it-IT"/>
              </w:rPr>
              <w:t>(mL)</w:t>
            </w:r>
          </w:p>
        </w:tc>
        <w:tc>
          <w:tcPr>
            <w:tcW w:w="1439" w:type="dxa"/>
            <w:tcBorders>
              <w:top w:val="single" w:sz="12" w:space="0" w:color="008000"/>
              <w:left w:val="nil"/>
              <w:bottom w:val="single" w:sz="8" w:space="0" w:color="008000"/>
              <w:right w:val="nil"/>
            </w:tcBorders>
            <w:tcMar>
              <w:top w:w="15" w:type="dxa"/>
              <w:left w:w="15" w:type="dxa"/>
              <w:bottom w:w="0" w:type="dxa"/>
              <w:right w:w="15" w:type="dxa"/>
            </w:tcMar>
            <w:vAlign w:val="center"/>
            <w:hideMark/>
          </w:tcPr>
          <w:p w14:paraId="2C1B178E" w14:textId="77777777" w:rsidR="002A3E00" w:rsidRPr="00275B82" w:rsidRDefault="002A3E00" w:rsidP="00923174">
            <w:pPr>
              <w:pStyle w:val="CETBodytext"/>
              <w:jc w:val="center"/>
              <w:rPr>
                <w:lang w:val="it-IT"/>
              </w:rPr>
            </w:pPr>
            <w:r w:rsidRPr="00275B82">
              <w:rPr>
                <w:lang w:val="it-IT"/>
              </w:rPr>
              <w:t>Solvent</w:t>
            </w:r>
          </w:p>
        </w:tc>
        <w:tc>
          <w:tcPr>
            <w:tcW w:w="829" w:type="dxa"/>
            <w:tcBorders>
              <w:top w:val="single" w:sz="12" w:space="0" w:color="008000"/>
              <w:left w:val="nil"/>
              <w:bottom w:val="single" w:sz="8" w:space="0" w:color="008000"/>
              <w:right w:val="nil"/>
            </w:tcBorders>
            <w:tcMar>
              <w:top w:w="15" w:type="dxa"/>
              <w:left w:w="15" w:type="dxa"/>
              <w:bottom w:w="0" w:type="dxa"/>
              <w:right w:w="15" w:type="dxa"/>
            </w:tcMar>
            <w:vAlign w:val="center"/>
            <w:hideMark/>
          </w:tcPr>
          <w:p w14:paraId="26636ABE" w14:textId="68AF62D4" w:rsidR="002A3E00" w:rsidRPr="00275B82" w:rsidRDefault="002A3E00" w:rsidP="00365940">
            <w:pPr>
              <w:pStyle w:val="CETBodytext"/>
              <w:jc w:val="center"/>
              <w:rPr>
                <w:lang w:val="it-IT"/>
              </w:rPr>
            </w:pPr>
            <w:r w:rsidRPr="00275B82">
              <w:rPr>
                <w:lang w:val="it-IT"/>
              </w:rPr>
              <w:t>V</w:t>
            </w:r>
            <w:r w:rsidR="00365940">
              <w:rPr>
                <w:lang w:val="it-IT"/>
              </w:rPr>
              <w:t>S</w:t>
            </w:r>
            <w:r w:rsidRPr="00275B82">
              <w:rPr>
                <w:lang w:val="it-IT"/>
              </w:rPr>
              <w:t xml:space="preserve"> (mL)</w:t>
            </w:r>
          </w:p>
        </w:tc>
        <w:tc>
          <w:tcPr>
            <w:tcW w:w="1560" w:type="dxa"/>
            <w:tcBorders>
              <w:top w:val="single" w:sz="12" w:space="0" w:color="008000"/>
              <w:left w:val="nil"/>
              <w:bottom w:val="single" w:sz="8" w:space="0" w:color="008000"/>
              <w:right w:val="nil"/>
            </w:tcBorders>
          </w:tcPr>
          <w:p w14:paraId="44D1D4C3" w14:textId="6622803A" w:rsidR="002A3E00" w:rsidRPr="007F0C15" w:rsidRDefault="002A3E00" w:rsidP="007F0C15">
            <w:pPr>
              <w:pStyle w:val="CETBodytext"/>
              <w:jc w:val="center"/>
              <w:rPr>
                <w:lang w:val="en-GB"/>
              </w:rPr>
            </w:pPr>
            <w:r w:rsidRPr="007F0C15">
              <w:rPr>
                <w:lang w:val="en-GB"/>
              </w:rPr>
              <w:t xml:space="preserve">Solvent-to-sample </w:t>
            </w:r>
            <w:r>
              <w:rPr>
                <w:lang w:val="en-GB"/>
              </w:rPr>
              <w:t>v</w:t>
            </w:r>
            <w:r w:rsidRPr="007F0C15">
              <w:rPr>
                <w:lang w:val="en-GB"/>
              </w:rPr>
              <w:t>olume ratio</w:t>
            </w:r>
          </w:p>
        </w:tc>
        <w:tc>
          <w:tcPr>
            <w:tcW w:w="1134" w:type="dxa"/>
            <w:tcBorders>
              <w:top w:val="single" w:sz="12" w:space="0" w:color="008000"/>
              <w:left w:val="nil"/>
              <w:bottom w:val="single" w:sz="8" w:space="0" w:color="008000"/>
              <w:right w:val="nil"/>
            </w:tcBorders>
            <w:tcMar>
              <w:top w:w="15" w:type="dxa"/>
              <w:left w:w="15" w:type="dxa"/>
              <w:bottom w:w="0" w:type="dxa"/>
              <w:right w:w="15" w:type="dxa"/>
            </w:tcMar>
            <w:vAlign w:val="center"/>
            <w:hideMark/>
          </w:tcPr>
          <w:p w14:paraId="4F02D1CA" w14:textId="18E38B61" w:rsidR="002A3E00" w:rsidRPr="00275B82" w:rsidRDefault="002A3E00" w:rsidP="00AB7957">
            <w:pPr>
              <w:pStyle w:val="CETBodytext"/>
              <w:jc w:val="center"/>
              <w:rPr>
                <w:lang w:val="it-IT"/>
              </w:rPr>
            </w:pPr>
            <w:r w:rsidRPr="00275B82">
              <w:rPr>
                <w:lang w:val="it-IT"/>
              </w:rPr>
              <w:t>Speed (</w:t>
            </w:r>
            <w:r w:rsidR="007815F9">
              <w:t xml:space="preserve">× </w:t>
            </w:r>
            <w:r w:rsidR="007815F9">
              <w:rPr>
                <w:lang w:val="it-IT"/>
              </w:rPr>
              <w:t>g</w:t>
            </w:r>
            <w:r w:rsidRPr="00275B82">
              <w:rPr>
                <w:lang w:val="it-IT"/>
              </w:rPr>
              <w:t>)</w:t>
            </w:r>
          </w:p>
        </w:tc>
        <w:tc>
          <w:tcPr>
            <w:tcW w:w="992" w:type="dxa"/>
            <w:tcBorders>
              <w:top w:val="single" w:sz="12" w:space="0" w:color="008000"/>
              <w:left w:val="nil"/>
              <w:bottom w:val="single" w:sz="8" w:space="0" w:color="008000"/>
              <w:right w:val="nil"/>
            </w:tcBorders>
            <w:tcMar>
              <w:top w:w="15" w:type="dxa"/>
              <w:left w:w="15" w:type="dxa"/>
              <w:bottom w:w="0" w:type="dxa"/>
              <w:right w:w="15" w:type="dxa"/>
            </w:tcMar>
            <w:vAlign w:val="center"/>
            <w:hideMark/>
          </w:tcPr>
          <w:p w14:paraId="3A371943" w14:textId="7E46A29E" w:rsidR="002A3E00" w:rsidRPr="00275B82" w:rsidRDefault="002A3E00" w:rsidP="00923174">
            <w:pPr>
              <w:pStyle w:val="CETBodytext"/>
              <w:jc w:val="center"/>
              <w:rPr>
                <w:lang w:val="it-IT"/>
              </w:rPr>
            </w:pPr>
            <w:r w:rsidRPr="00275B82">
              <w:rPr>
                <w:lang w:val="it-IT"/>
              </w:rPr>
              <w:t>Time (min)</w:t>
            </w:r>
          </w:p>
        </w:tc>
        <w:tc>
          <w:tcPr>
            <w:tcW w:w="1134" w:type="dxa"/>
            <w:tcBorders>
              <w:top w:val="single" w:sz="12" w:space="0" w:color="008000"/>
              <w:left w:val="nil"/>
              <w:bottom w:val="single" w:sz="8" w:space="0" w:color="008000"/>
              <w:right w:val="nil"/>
            </w:tcBorders>
            <w:tcMar>
              <w:top w:w="15" w:type="dxa"/>
              <w:left w:w="15" w:type="dxa"/>
              <w:bottom w:w="0" w:type="dxa"/>
              <w:right w:w="15" w:type="dxa"/>
            </w:tcMar>
            <w:vAlign w:val="center"/>
            <w:hideMark/>
          </w:tcPr>
          <w:p w14:paraId="6ED0E1E0" w14:textId="76D9735E" w:rsidR="002A3E00" w:rsidRPr="00275B82" w:rsidRDefault="002A3E00" w:rsidP="00923174">
            <w:pPr>
              <w:pStyle w:val="CETBodytext"/>
              <w:jc w:val="center"/>
              <w:rPr>
                <w:lang w:val="it-IT"/>
              </w:rPr>
            </w:pPr>
            <w:r w:rsidRPr="00275B82">
              <w:rPr>
                <w:lang w:val="it-IT"/>
              </w:rPr>
              <w:t>Temperature (°C)</w:t>
            </w:r>
          </w:p>
        </w:tc>
      </w:tr>
      <w:tr w:rsidR="002A3E00" w:rsidRPr="00275B82" w14:paraId="7F6C1B05" w14:textId="77777777" w:rsidTr="00AB7957">
        <w:tc>
          <w:tcPr>
            <w:tcW w:w="0" w:type="auto"/>
            <w:tcBorders>
              <w:top w:val="single" w:sz="8" w:space="0" w:color="008000"/>
              <w:left w:val="nil"/>
              <w:bottom w:val="nil"/>
              <w:right w:val="nil"/>
            </w:tcBorders>
            <w:tcMar>
              <w:top w:w="70" w:type="dxa"/>
              <w:left w:w="140" w:type="dxa"/>
              <w:bottom w:w="70" w:type="dxa"/>
              <w:right w:w="140" w:type="dxa"/>
            </w:tcMar>
            <w:vAlign w:val="center"/>
            <w:hideMark/>
          </w:tcPr>
          <w:p w14:paraId="77A68411" w14:textId="0F2BD39D" w:rsidR="002A3E00" w:rsidRPr="00275B82" w:rsidRDefault="002A3E00" w:rsidP="00923174">
            <w:pPr>
              <w:pStyle w:val="CETBodytext"/>
              <w:jc w:val="center"/>
              <w:rPr>
                <w:lang w:val="it-IT"/>
              </w:rPr>
            </w:pPr>
            <w:r w:rsidRPr="00275B82">
              <w:rPr>
                <w:lang w:val="it-IT"/>
              </w:rPr>
              <w:t>A</w:t>
            </w:r>
          </w:p>
        </w:tc>
        <w:tc>
          <w:tcPr>
            <w:tcW w:w="910" w:type="dxa"/>
            <w:tcBorders>
              <w:top w:val="single" w:sz="8" w:space="0" w:color="008000"/>
              <w:left w:val="nil"/>
              <w:bottom w:val="nil"/>
              <w:right w:val="nil"/>
            </w:tcBorders>
            <w:tcMar>
              <w:top w:w="70" w:type="dxa"/>
              <w:left w:w="140" w:type="dxa"/>
              <w:bottom w:w="70" w:type="dxa"/>
              <w:right w:w="140" w:type="dxa"/>
            </w:tcMar>
            <w:vAlign w:val="center"/>
            <w:hideMark/>
          </w:tcPr>
          <w:p w14:paraId="4A257A4F" w14:textId="77777777" w:rsidR="002A3E00" w:rsidRPr="00275B82" w:rsidRDefault="002A3E00" w:rsidP="00923174">
            <w:pPr>
              <w:pStyle w:val="CETBodytext"/>
              <w:jc w:val="center"/>
              <w:rPr>
                <w:lang w:val="it-IT"/>
              </w:rPr>
            </w:pPr>
            <w:r w:rsidRPr="00275B82">
              <w:rPr>
                <w:lang w:val="it-IT"/>
              </w:rPr>
              <w:t>15</w:t>
            </w:r>
          </w:p>
        </w:tc>
        <w:tc>
          <w:tcPr>
            <w:tcW w:w="1439" w:type="dxa"/>
            <w:tcBorders>
              <w:top w:val="single" w:sz="8" w:space="0" w:color="008000"/>
              <w:left w:val="nil"/>
              <w:bottom w:val="nil"/>
              <w:right w:val="nil"/>
            </w:tcBorders>
            <w:tcMar>
              <w:top w:w="70" w:type="dxa"/>
              <w:left w:w="140" w:type="dxa"/>
              <w:bottom w:w="70" w:type="dxa"/>
              <w:right w:w="140" w:type="dxa"/>
            </w:tcMar>
            <w:vAlign w:val="center"/>
            <w:hideMark/>
          </w:tcPr>
          <w:p w14:paraId="1AD2058A" w14:textId="182B89F5" w:rsidR="002A3E00" w:rsidRPr="00275B82" w:rsidRDefault="002A3E00" w:rsidP="00923174">
            <w:pPr>
              <w:pStyle w:val="CETBodytext"/>
              <w:jc w:val="center"/>
              <w:rPr>
                <w:lang w:val="it-IT"/>
              </w:rPr>
            </w:pPr>
            <w:r w:rsidRPr="00275B82">
              <w:rPr>
                <w:lang w:val="it-IT"/>
              </w:rPr>
              <w:t>Ethyl</w:t>
            </w:r>
            <w:r>
              <w:rPr>
                <w:lang w:val="it-IT"/>
              </w:rPr>
              <w:t xml:space="preserve"> </w:t>
            </w:r>
            <w:r w:rsidRPr="00275B82">
              <w:rPr>
                <w:lang w:val="it-IT"/>
              </w:rPr>
              <w:t>acetate</w:t>
            </w:r>
          </w:p>
        </w:tc>
        <w:tc>
          <w:tcPr>
            <w:tcW w:w="829" w:type="dxa"/>
            <w:tcBorders>
              <w:top w:val="single" w:sz="8" w:space="0" w:color="008000"/>
              <w:left w:val="nil"/>
              <w:bottom w:val="nil"/>
              <w:right w:val="nil"/>
            </w:tcBorders>
            <w:tcMar>
              <w:top w:w="70" w:type="dxa"/>
              <w:left w:w="140" w:type="dxa"/>
              <w:bottom w:w="70" w:type="dxa"/>
              <w:right w:w="140" w:type="dxa"/>
            </w:tcMar>
            <w:vAlign w:val="center"/>
            <w:hideMark/>
          </w:tcPr>
          <w:p w14:paraId="062B34A3" w14:textId="320B5284" w:rsidR="002A3E00" w:rsidRPr="00275B82" w:rsidRDefault="002A3E00" w:rsidP="00923174">
            <w:pPr>
              <w:pStyle w:val="CETBodytext"/>
              <w:jc w:val="center"/>
              <w:rPr>
                <w:lang w:val="it-IT"/>
              </w:rPr>
            </w:pPr>
            <w:r>
              <w:rPr>
                <w:lang w:val="it-IT"/>
              </w:rPr>
              <w:t>7.</w:t>
            </w:r>
            <w:r w:rsidRPr="00275B82">
              <w:rPr>
                <w:lang w:val="it-IT"/>
              </w:rPr>
              <w:t>5</w:t>
            </w:r>
          </w:p>
        </w:tc>
        <w:tc>
          <w:tcPr>
            <w:tcW w:w="1560" w:type="dxa"/>
            <w:tcBorders>
              <w:top w:val="single" w:sz="8" w:space="0" w:color="008000"/>
              <w:left w:val="nil"/>
              <w:bottom w:val="nil"/>
              <w:right w:val="nil"/>
            </w:tcBorders>
          </w:tcPr>
          <w:p w14:paraId="56CC1DF8" w14:textId="50FC9AA3" w:rsidR="002A3E00" w:rsidRPr="00275B82" w:rsidRDefault="002A3E00" w:rsidP="00923174">
            <w:pPr>
              <w:pStyle w:val="CETBodytext"/>
              <w:jc w:val="center"/>
              <w:rPr>
                <w:lang w:val="it-IT"/>
              </w:rPr>
            </w:pPr>
            <w:r>
              <w:rPr>
                <w:lang w:val="it-IT"/>
              </w:rPr>
              <w:t>1:2</w:t>
            </w:r>
          </w:p>
        </w:tc>
        <w:tc>
          <w:tcPr>
            <w:tcW w:w="1134" w:type="dxa"/>
            <w:tcBorders>
              <w:top w:val="single" w:sz="8" w:space="0" w:color="008000"/>
              <w:left w:val="nil"/>
              <w:bottom w:val="nil"/>
              <w:right w:val="nil"/>
            </w:tcBorders>
            <w:tcMar>
              <w:top w:w="70" w:type="dxa"/>
              <w:left w:w="140" w:type="dxa"/>
              <w:bottom w:w="70" w:type="dxa"/>
              <w:right w:w="140" w:type="dxa"/>
            </w:tcMar>
            <w:vAlign w:val="center"/>
            <w:hideMark/>
          </w:tcPr>
          <w:p w14:paraId="428EF8DA" w14:textId="40DC1987" w:rsidR="002A3E00" w:rsidRPr="00275B82" w:rsidRDefault="002A3E00" w:rsidP="00923174">
            <w:pPr>
              <w:pStyle w:val="CETBodytext"/>
              <w:jc w:val="center"/>
              <w:rPr>
                <w:lang w:val="it-IT"/>
              </w:rPr>
            </w:pPr>
            <w:r w:rsidRPr="00275B82">
              <w:rPr>
                <w:lang w:val="it-IT"/>
              </w:rPr>
              <w:t>2700</w:t>
            </w:r>
          </w:p>
        </w:tc>
        <w:tc>
          <w:tcPr>
            <w:tcW w:w="992" w:type="dxa"/>
            <w:tcBorders>
              <w:top w:val="single" w:sz="8" w:space="0" w:color="008000"/>
              <w:left w:val="nil"/>
              <w:bottom w:val="nil"/>
              <w:right w:val="nil"/>
            </w:tcBorders>
            <w:tcMar>
              <w:top w:w="70" w:type="dxa"/>
              <w:left w:w="140" w:type="dxa"/>
              <w:bottom w:w="70" w:type="dxa"/>
              <w:right w:w="140" w:type="dxa"/>
            </w:tcMar>
            <w:vAlign w:val="center"/>
            <w:hideMark/>
          </w:tcPr>
          <w:p w14:paraId="01EDA069" w14:textId="51AA8DE3" w:rsidR="002A3E00" w:rsidRPr="00275B82" w:rsidRDefault="002A3E00" w:rsidP="00923174">
            <w:pPr>
              <w:pStyle w:val="CETBodytext"/>
              <w:jc w:val="center"/>
              <w:rPr>
                <w:lang w:val="it-IT"/>
              </w:rPr>
            </w:pPr>
            <w:r w:rsidRPr="00275B82">
              <w:rPr>
                <w:lang w:val="it-IT"/>
              </w:rPr>
              <w:t>10</w:t>
            </w:r>
          </w:p>
        </w:tc>
        <w:tc>
          <w:tcPr>
            <w:tcW w:w="1134" w:type="dxa"/>
            <w:tcBorders>
              <w:top w:val="single" w:sz="8" w:space="0" w:color="008000"/>
              <w:left w:val="nil"/>
              <w:bottom w:val="nil"/>
              <w:right w:val="nil"/>
            </w:tcBorders>
            <w:tcMar>
              <w:top w:w="70" w:type="dxa"/>
              <w:left w:w="140" w:type="dxa"/>
              <w:bottom w:w="70" w:type="dxa"/>
              <w:right w:w="140" w:type="dxa"/>
            </w:tcMar>
            <w:vAlign w:val="center"/>
            <w:hideMark/>
          </w:tcPr>
          <w:p w14:paraId="142F8E20" w14:textId="2F64D6DC" w:rsidR="002A3E00" w:rsidRPr="00275B82" w:rsidRDefault="002A3E00" w:rsidP="00923174">
            <w:pPr>
              <w:pStyle w:val="CETBodytext"/>
              <w:jc w:val="center"/>
              <w:rPr>
                <w:lang w:val="it-IT"/>
              </w:rPr>
            </w:pPr>
            <w:r w:rsidRPr="00275B82">
              <w:rPr>
                <w:lang w:val="it-IT"/>
              </w:rPr>
              <w:t>15</w:t>
            </w:r>
          </w:p>
        </w:tc>
      </w:tr>
      <w:tr w:rsidR="002A3E00" w:rsidRPr="00275B82" w14:paraId="165A5D7A" w14:textId="77777777" w:rsidTr="00AB7957">
        <w:tc>
          <w:tcPr>
            <w:tcW w:w="0" w:type="auto"/>
            <w:tcBorders>
              <w:top w:val="nil"/>
              <w:left w:val="nil"/>
              <w:bottom w:val="nil"/>
              <w:right w:val="nil"/>
            </w:tcBorders>
            <w:tcMar>
              <w:top w:w="70" w:type="dxa"/>
              <w:left w:w="140" w:type="dxa"/>
              <w:bottom w:w="70" w:type="dxa"/>
              <w:right w:w="140" w:type="dxa"/>
            </w:tcMar>
            <w:vAlign w:val="center"/>
            <w:hideMark/>
          </w:tcPr>
          <w:p w14:paraId="715584E7" w14:textId="4A9374DC" w:rsidR="002A3E00" w:rsidRPr="00275B82" w:rsidRDefault="002A3E00" w:rsidP="00923174">
            <w:pPr>
              <w:pStyle w:val="CETBodytext"/>
              <w:jc w:val="center"/>
              <w:rPr>
                <w:lang w:val="it-IT"/>
              </w:rPr>
            </w:pPr>
            <w:r w:rsidRPr="00275B82">
              <w:rPr>
                <w:lang w:val="it-IT"/>
              </w:rPr>
              <w:t>B</w:t>
            </w:r>
          </w:p>
        </w:tc>
        <w:tc>
          <w:tcPr>
            <w:tcW w:w="910" w:type="dxa"/>
            <w:tcBorders>
              <w:top w:val="nil"/>
              <w:left w:val="nil"/>
              <w:bottom w:val="nil"/>
              <w:right w:val="nil"/>
            </w:tcBorders>
            <w:tcMar>
              <w:top w:w="70" w:type="dxa"/>
              <w:left w:w="140" w:type="dxa"/>
              <w:bottom w:w="70" w:type="dxa"/>
              <w:right w:w="140" w:type="dxa"/>
            </w:tcMar>
            <w:vAlign w:val="center"/>
            <w:hideMark/>
          </w:tcPr>
          <w:p w14:paraId="78D875F2" w14:textId="77777777" w:rsidR="002A3E00" w:rsidRPr="00275B82" w:rsidRDefault="002A3E00" w:rsidP="00923174">
            <w:pPr>
              <w:pStyle w:val="CETBodytext"/>
              <w:jc w:val="center"/>
              <w:rPr>
                <w:lang w:val="it-IT"/>
              </w:rPr>
            </w:pPr>
            <w:r w:rsidRPr="00275B82">
              <w:rPr>
                <w:lang w:val="it-IT"/>
              </w:rPr>
              <w:t>15</w:t>
            </w:r>
          </w:p>
        </w:tc>
        <w:tc>
          <w:tcPr>
            <w:tcW w:w="1439" w:type="dxa"/>
            <w:tcBorders>
              <w:top w:val="nil"/>
              <w:left w:val="nil"/>
              <w:bottom w:val="nil"/>
              <w:right w:val="nil"/>
            </w:tcBorders>
            <w:tcMar>
              <w:top w:w="70" w:type="dxa"/>
              <w:left w:w="140" w:type="dxa"/>
              <w:bottom w:w="70" w:type="dxa"/>
              <w:right w:w="140" w:type="dxa"/>
            </w:tcMar>
            <w:vAlign w:val="center"/>
            <w:hideMark/>
          </w:tcPr>
          <w:p w14:paraId="2331B1A3" w14:textId="77777777" w:rsidR="002A3E00" w:rsidRPr="00275B82" w:rsidRDefault="002A3E00" w:rsidP="00923174">
            <w:pPr>
              <w:pStyle w:val="CETBodytext"/>
              <w:jc w:val="center"/>
              <w:rPr>
                <w:lang w:val="it-IT"/>
              </w:rPr>
            </w:pPr>
            <w:r w:rsidRPr="00275B82">
              <w:rPr>
                <w:lang w:val="it-IT"/>
              </w:rPr>
              <w:t>Hexane</w:t>
            </w:r>
          </w:p>
        </w:tc>
        <w:tc>
          <w:tcPr>
            <w:tcW w:w="829" w:type="dxa"/>
            <w:tcBorders>
              <w:top w:val="nil"/>
              <w:left w:val="nil"/>
              <w:bottom w:val="nil"/>
              <w:right w:val="nil"/>
            </w:tcBorders>
            <w:tcMar>
              <w:top w:w="70" w:type="dxa"/>
              <w:left w:w="140" w:type="dxa"/>
              <w:bottom w:w="70" w:type="dxa"/>
              <w:right w:w="140" w:type="dxa"/>
            </w:tcMar>
            <w:vAlign w:val="center"/>
            <w:hideMark/>
          </w:tcPr>
          <w:p w14:paraId="44788345" w14:textId="61BAFBD7" w:rsidR="002A3E00" w:rsidRPr="00275B82" w:rsidRDefault="002A3E00" w:rsidP="00923174">
            <w:pPr>
              <w:pStyle w:val="CETBodytext"/>
              <w:jc w:val="center"/>
              <w:rPr>
                <w:lang w:val="it-IT"/>
              </w:rPr>
            </w:pPr>
            <w:r>
              <w:rPr>
                <w:lang w:val="it-IT"/>
              </w:rPr>
              <w:t>7.</w:t>
            </w:r>
            <w:r w:rsidRPr="00275B82">
              <w:rPr>
                <w:lang w:val="it-IT"/>
              </w:rPr>
              <w:t>5</w:t>
            </w:r>
          </w:p>
        </w:tc>
        <w:tc>
          <w:tcPr>
            <w:tcW w:w="1560" w:type="dxa"/>
            <w:tcBorders>
              <w:top w:val="nil"/>
              <w:left w:val="nil"/>
              <w:bottom w:val="nil"/>
              <w:right w:val="nil"/>
            </w:tcBorders>
          </w:tcPr>
          <w:p w14:paraId="62EF84B4" w14:textId="6811FB3C" w:rsidR="002A3E00" w:rsidRPr="00275B82" w:rsidRDefault="002A3E00" w:rsidP="00923174">
            <w:pPr>
              <w:pStyle w:val="CETBodytext"/>
              <w:jc w:val="center"/>
              <w:rPr>
                <w:lang w:val="it-IT"/>
              </w:rPr>
            </w:pPr>
            <w:r>
              <w:rPr>
                <w:lang w:val="it-IT"/>
              </w:rPr>
              <w:t>1:2</w:t>
            </w:r>
          </w:p>
        </w:tc>
        <w:tc>
          <w:tcPr>
            <w:tcW w:w="1134" w:type="dxa"/>
            <w:tcBorders>
              <w:top w:val="nil"/>
              <w:left w:val="nil"/>
              <w:bottom w:val="nil"/>
              <w:right w:val="nil"/>
            </w:tcBorders>
            <w:tcMar>
              <w:top w:w="70" w:type="dxa"/>
              <w:left w:w="140" w:type="dxa"/>
              <w:bottom w:w="70" w:type="dxa"/>
              <w:right w:w="140" w:type="dxa"/>
            </w:tcMar>
            <w:vAlign w:val="center"/>
            <w:hideMark/>
          </w:tcPr>
          <w:p w14:paraId="5E50CBBA" w14:textId="6FA68955" w:rsidR="002A3E00" w:rsidRPr="00275B82" w:rsidRDefault="002A3E00" w:rsidP="00923174">
            <w:pPr>
              <w:pStyle w:val="CETBodytext"/>
              <w:jc w:val="center"/>
              <w:rPr>
                <w:lang w:val="it-IT"/>
              </w:rPr>
            </w:pPr>
            <w:r w:rsidRPr="00275B82">
              <w:rPr>
                <w:lang w:val="it-IT"/>
              </w:rPr>
              <w:t>2700</w:t>
            </w:r>
          </w:p>
        </w:tc>
        <w:tc>
          <w:tcPr>
            <w:tcW w:w="992" w:type="dxa"/>
            <w:tcBorders>
              <w:top w:val="nil"/>
              <w:left w:val="nil"/>
              <w:bottom w:val="nil"/>
              <w:right w:val="nil"/>
            </w:tcBorders>
            <w:tcMar>
              <w:top w:w="70" w:type="dxa"/>
              <w:left w:w="140" w:type="dxa"/>
              <w:bottom w:w="70" w:type="dxa"/>
              <w:right w:w="140" w:type="dxa"/>
            </w:tcMar>
            <w:vAlign w:val="center"/>
            <w:hideMark/>
          </w:tcPr>
          <w:p w14:paraId="5CA47A5B" w14:textId="4191E53B" w:rsidR="002A3E00" w:rsidRPr="00275B82" w:rsidRDefault="002A3E00" w:rsidP="00923174">
            <w:pPr>
              <w:pStyle w:val="CETBodytext"/>
              <w:jc w:val="center"/>
              <w:rPr>
                <w:lang w:val="it-IT"/>
              </w:rPr>
            </w:pPr>
            <w:r w:rsidRPr="00275B82">
              <w:rPr>
                <w:lang w:val="it-IT"/>
              </w:rPr>
              <w:t>10</w:t>
            </w:r>
          </w:p>
        </w:tc>
        <w:tc>
          <w:tcPr>
            <w:tcW w:w="1134" w:type="dxa"/>
            <w:tcBorders>
              <w:top w:val="nil"/>
              <w:left w:val="nil"/>
              <w:bottom w:val="nil"/>
              <w:right w:val="nil"/>
            </w:tcBorders>
            <w:tcMar>
              <w:top w:w="70" w:type="dxa"/>
              <w:left w:w="140" w:type="dxa"/>
              <w:bottom w:w="70" w:type="dxa"/>
              <w:right w:w="140" w:type="dxa"/>
            </w:tcMar>
            <w:vAlign w:val="center"/>
            <w:hideMark/>
          </w:tcPr>
          <w:p w14:paraId="2CF6E275" w14:textId="1513E99E" w:rsidR="002A3E00" w:rsidRPr="00275B82" w:rsidRDefault="002A3E00" w:rsidP="00923174">
            <w:pPr>
              <w:pStyle w:val="CETBodytext"/>
              <w:jc w:val="center"/>
              <w:rPr>
                <w:lang w:val="it-IT"/>
              </w:rPr>
            </w:pPr>
            <w:r w:rsidRPr="00275B82">
              <w:rPr>
                <w:lang w:val="it-IT"/>
              </w:rPr>
              <w:t>15</w:t>
            </w:r>
          </w:p>
        </w:tc>
      </w:tr>
      <w:tr w:rsidR="002A3E00" w:rsidRPr="00275B82" w14:paraId="02F36311" w14:textId="77777777" w:rsidTr="00AB7957">
        <w:tc>
          <w:tcPr>
            <w:tcW w:w="0" w:type="auto"/>
            <w:tcBorders>
              <w:top w:val="nil"/>
              <w:left w:val="nil"/>
              <w:bottom w:val="nil"/>
              <w:right w:val="nil"/>
            </w:tcBorders>
            <w:tcMar>
              <w:top w:w="70" w:type="dxa"/>
              <w:left w:w="140" w:type="dxa"/>
              <w:bottom w:w="70" w:type="dxa"/>
              <w:right w:w="140" w:type="dxa"/>
            </w:tcMar>
            <w:vAlign w:val="center"/>
            <w:hideMark/>
          </w:tcPr>
          <w:p w14:paraId="23C0C2ED" w14:textId="37F61C6E" w:rsidR="002A3E00" w:rsidRPr="00275B82" w:rsidRDefault="002A3E00" w:rsidP="00923174">
            <w:pPr>
              <w:pStyle w:val="CETBodytext"/>
              <w:jc w:val="center"/>
              <w:rPr>
                <w:lang w:val="it-IT"/>
              </w:rPr>
            </w:pPr>
            <w:r w:rsidRPr="00275B82">
              <w:rPr>
                <w:lang w:val="it-IT"/>
              </w:rPr>
              <w:t>C</w:t>
            </w:r>
          </w:p>
        </w:tc>
        <w:tc>
          <w:tcPr>
            <w:tcW w:w="910" w:type="dxa"/>
            <w:tcBorders>
              <w:top w:val="nil"/>
              <w:left w:val="nil"/>
              <w:bottom w:val="nil"/>
              <w:right w:val="nil"/>
            </w:tcBorders>
            <w:tcMar>
              <w:top w:w="70" w:type="dxa"/>
              <w:left w:w="140" w:type="dxa"/>
              <w:bottom w:w="70" w:type="dxa"/>
              <w:right w:w="140" w:type="dxa"/>
            </w:tcMar>
            <w:vAlign w:val="center"/>
            <w:hideMark/>
          </w:tcPr>
          <w:p w14:paraId="3502BB04" w14:textId="77777777" w:rsidR="002A3E00" w:rsidRPr="00275B82" w:rsidRDefault="002A3E00" w:rsidP="00923174">
            <w:pPr>
              <w:pStyle w:val="CETBodytext"/>
              <w:jc w:val="center"/>
              <w:rPr>
                <w:lang w:val="it-IT"/>
              </w:rPr>
            </w:pPr>
            <w:r w:rsidRPr="00275B82">
              <w:rPr>
                <w:lang w:val="it-IT"/>
              </w:rPr>
              <w:t>15</w:t>
            </w:r>
          </w:p>
        </w:tc>
        <w:tc>
          <w:tcPr>
            <w:tcW w:w="1439" w:type="dxa"/>
            <w:tcBorders>
              <w:top w:val="nil"/>
              <w:left w:val="nil"/>
              <w:bottom w:val="nil"/>
              <w:right w:val="nil"/>
            </w:tcBorders>
            <w:tcMar>
              <w:top w:w="70" w:type="dxa"/>
              <w:left w:w="140" w:type="dxa"/>
              <w:bottom w:w="70" w:type="dxa"/>
              <w:right w:w="140" w:type="dxa"/>
            </w:tcMar>
            <w:vAlign w:val="center"/>
            <w:hideMark/>
          </w:tcPr>
          <w:p w14:paraId="44CD55C7" w14:textId="77777777" w:rsidR="002A3E00" w:rsidRPr="00275B82" w:rsidRDefault="002A3E00" w:rsidP="00923174">
            <w:pPr>
              <w:pStyle w:val="CETBodytext"/>
              <w:jc w:val="center"/>
              <w:rPr>
                <w:lang w:val="it-IT"/>
              </w:rPr>
            </w:pPr>
            <w:r w:rsidRPr="00275B82">
              <w:rPr>
                <w:lang w:val="it-IT"/>
              </w:rPr>
              <w:t>Methanol</w:t>
            </w:r>
          </w:p>
        </w:tc>
        <w:tc>
          <w:tcPr>
            <w:tcW w:w="829" w:type="dxa"/>
            <w:tcBorders>
              <w:top w:val="nil"/>
              <w:left w:val="nil"/>
              <w:bottom w:val="nil"/>
              <w:right w:val="nil"/>
            </w:tcBorders>
            <w:tcMar>
              <w:top w:w="70" w:type="dxa"/>
              <w:left w:w="140" w:type="dxa"/>
              <w:bottom w:w="70" w:type="dxa"/>
              <w:right w:w="140" w:type="dxa"/>
            </w:tcMar>
            <w:vAlign w:val="center"/>
            <w:hideMark/>
          </w:tcPr>
          <w:p w14:paraId="14609E85" w14:textId="3C653AAF" w:rsidR="002A3E00" w:rsidRPr="00275B82" w:rsidRDefault="002A3E00" w:rsidP="00923174">
            <w:pPr>
              <w:pStyle w:val="CETBodytext"/>
              <w:jc w:val="center"/>
              <w:rPr>
                <w:lang w:val="it-IT"/>
              </w:rPr>
            </w:pPr>
            <w:r>
              <w:rPr>
                <w:lang w:val="it-IT"/>
              </w:rPr>
              <w:t>7.</w:t>
            </w:r>
            <w:r w:rsidRPr="00275B82">
              <w:rPr>
                <w:lang w:val="it-IT"/>
              </w:rPr>
              <w:t>5</w:t>
            </w:r>
          </w:p>
        </w:tc>
        <w:tc>
          <w:tcPr>
            <w:tcW w:w="1560" w:type="dxa"/>
            <w:tcBorders>
              <w:top w:val="nil"/>
              <w:left w:val="nil"/>
              <w:bottom w:val="nil"/>
              <w:right w:val="nil"/>
            </w:tcBorders>
          </w:tcPr>
          <w:p w14:paraId="613C6A46" w14:textId="14E00883" w:rsidR="002A3E00" w:rsidRPr="00275B82" w:rsidRDefault="002A3E00" w:rsidP="00923174">
            <w:pPr>
              <w:pStyle w:val="CETBodytext"/>
              <w:jc w:val="center"/>
              <w:rPr>
                <w:lang w:val="it-IT"/>
              </w:rPr>
            </w:pPr>
            <w:r>
              <w:rPr>
                <w:lang w:val="it-IT"/>
              </w:rPr>
              <w:t>1:2</w:t>
            </w:r>
          </w:p>
        </w:tc>
        <w:tc>
          <w:tcPr>
            <w:tcW w:w="1134" w:type="dxa"/>
            <w:tcBorders>
              <w:top w:val="nil"/>
              <w:left w:val="nil"/>
              <w:bottom w:val="nil"/>
              <w:right w:val="nil"/>
            </w:tcBorders>
            <w:tcMar>
              <w:top w:w="70" w:type="dxa"/>
              <w:left w:w="140" w:type="dxa"/>
              <w:bottom w:w="70" w:type="dxa"/>
              <w:right w:w="140" w:type="dxa"/>
            </w:tcMar>
            <w:vAlign w:val="center"/>
            <w:hideMark/>
          </w:tcPr>
          <w:p w14:paraId="59AE0505" w14:textId="19C2CCED" w:rsidR="002A3E00" w:rsidRPr="00275B82" w:rsidRDefault="002A3E00" w:rsidP="00923174">
            <w:pPr>
              <w:pStyle w:val="CETBodytext"/>
              <w:jc w:val="center"/>
              <w:rPr>
                <w:lang w:val="it-IT"/>
              </w:rPr>
            </w:pPr>
            <w:r w:rsidRPr="00275B82">
              <w:rPr>
                <w:lang w:val="it-IT"/>
              </w:rPr>
              <w:t>2700</w:t>
            </w:r>
          </w:p>
        </w:tc>
        <w:tc>
          <w:tcPr>
            <w:tcW w:w="992" w:type="dxa"/>
            <w:tcBorders>
              <w:top w:val="nil"/>
              <w:left w:val="nil"/>
              <w:bottom w:val="nil"/>
              <w:right w:val="nil"/>
            </w:tcBorders>
            <w:tcMar>
              <w:top w:w="70" w:type="dxa"/>
              <w:left w:w="140" w:type="dxa"/>
              <w:bottom w:w="70" w:type="dxa"/>
              <w:right w:w="140" w:type="dxa"/>
            </w:tcMar>
            <w:vAlign w:val="center"/>
            <w:hideMark/>
          </w:tcPr>
          <w:p w14:paraId="04036D35" w14:textId="53400AD6" w:rsidR="002A3E00" w:rsidRPr="00275B82" w:rsidRDefault="002A3E00" w:rsidP="00923174">
            <w:pPr>
              <w:pStyle w:val="CETBodytext"/>
              <w:jc w:val="center"/>
              <w:rPr>
                <w:lang w:val="it-IT"/>
              </w:rPr>
            </w:pPr>
            <w:r w:rsidRPr="00275B82">
              <w:rPr>
                <w:lang w:val="it-IT"/>
              </w:rPr>
              <w:t>10</w:t>
            </w:r>
          </w:p>
        </w:tc>
        <w:tc>
          <w:tcPr>
            <w:tcW w:w="1134" w:type="dxa"/>
            <w:tcBorders>
              <w:top w:val="nil"/>
              <w:left w:val="nil"/>
              <w:bottom w:val="nil"/>
              <w:right w:val="nil"/>
            </w:tcBorders>
            <w:tcMar>
              <w:top w:w="70" w:type="dxa"/>
              <w:left w:w="140" w:type="dxa"/>
              <w:bottom w:w="70" w:type="dxa"/>
              <w:right w:w="140" w:type="dxa"/>
            </w:tcMar>
            <w:vAlign w:val="center"/>
            <w:hideMark/>
          </w:tcPr>
          <w:p w14:paraId="12813C4F" w14:textId="5AECA628" w:rsidR="002A3E00" w:rsidRPr="00275B82" w:rsidRDefault="002A3E00" w:rsidP="00923174">
            <w:pPr>
              <w:pStyle w:val="CETBodytext"/>
              <w:jc w:val="center"/>
              <w:rPr>
                <w:lang w:val="it-IT"/>
              </w:rPr>
            </w:pPr>
            <w:r w:rsidRPr="00275B82">
              <w:rPr>
                <w:lang w:val="it-IT"/>
              </w:rPr>
              <w:t>15</w:t>
            </w:r>
          </w:p>
        </w:tc>
      </w:tr>
      <w:tr w:rsidR="002A3E00" w:rsidRPr="00275B82" w14:paraId="21C1FA1F" w14:textId="77777777" w:rsidTr="00AB7957">
        <w:tc>
          <w:tcPr>
            <w:tcW w:w="0" w:type="auto"/>
            <w:tcBorders>
              <w:top w:val="nil"/>
              <w:left w:val="nil"/>
              <w:bottom w:val="nil"/>
              <w:right w:val="nil"/>
            </w:tcBorders>
            <w:tcMar>
              <w:top w:w="70" w:type="dxa"/>
              <w:left w:w="140" w:type="dxa"/>
              <w:bottom w:w="70" w:type="dxa"/>
              <w:right w:w="140" w:type="dxa"/>
            </w:tcMar>
            <w:vAlign w:val="center"/>
            <w:hideMark/>
          </w:tcPr>
          <w:p w14:paraId="4E2C37C6" w14:textId="43AF3462" w:rsidR="002A3E00" w:rsidRPr="00275B82" w:rsidRDefault="002A3E00" w:rsidP="00923174">
            <w:pPr>
              <w:pStyle w:val="CETBodytext"/>
              <w:jc w:val="center"/>
              <w:rPr>
                <w:lang w:val="it-IT"/>
              </w:rPr>
            </w:pPr>
            <w:r w:rsidRPr="00275B82">
              <w:rPr>
                <w:lang w:val="it-IT"/>
              </w:rPr>
              <w:t>D</w:t>
            </w:r>
          </w:p>
        </w:tc>
        <w:tc>
          <w:tcPr>
            <w:tcW w:w="910" w:type="dxa"/>
            <w:tcBorders>
              <w:top w:val="nil"/>
              <w:left w:val="nil"/>
              <w:bottom w:val="nil"/>
              <w:right w:val="nil"/>
            </w:tcBorders>
            <w:tcMar>
              <w:top w:w="70" w:type="dxa"/>
              <w:left w:w="140" w:type="dxa"/>
              <w:bottom w:w="70" w:type="dxa"/>
              <w:right w:w="140" w:type="dxa"/>
            </w:tcMar>
            <w:vAlign w:val="center"/>
            <w:hideMark/>
          </w:tcPr>
          <w:p w14:paraId="11649468" w14:textId="77777777" w:rsidR="002A3E00" w:rsidRPr="00275B82" w:rsidRDefault="002A3E00" w:rsidP="00923174">
            <w:pPr>
              <w:pStyle w:val="CETBodytext"/>
              <w:jc w:val="center"/>
              <w:rPr>
                <w:lang w:val="it-IT"/>
              </w:rPr>
            </w:pPr>
            <w:r w:rsidRPr="00275B82">
              <w:rPr>
                <w:lang w:val="it-IT"/>
              </w:rPr>
              <w:t>15</w:t>
            </w:r>
          </w:p>
        </w:tc>
        <w:tc>
          <w:tcPr>
            <w:tcW w:w="1439" w:type="dxa"/>
            <w:tcBorders>
              <w:top w:val="nil"/>
              <w:left w:val="nil"/>
              <w:bottom w:val="nil"/>
              <w:right w:val="nil"/>
            </w:tcBorders>
            <w:tcMar>
              <w:top w:w="70" w:type="dxa"/>
              <w:left w:w="140" w:type="dxa"/>
              <w:bottom w:w="70" w:type="dxa"/>
              <w:right w:w="140" w:type="dxa"/>
            </w:tcMar>
            <w:vAlign w:val="center"/>
            <w:hideMark/>
          </w:tcPr>
          <w:p w14:paraId="5A9E0C5B" w14:textId="77777777" w:rsidR="002A3E00" w:rsidRPr="00275B82" w:rsidRDefault="002A3E00" w:rsidP="00923174">
            <w:pPr>
              <w:pStyle w:val="CETBodytext"/>
              <w:jc w:val="center"/>
              <w:rPr>
                <w:lang w:val="it-IT"/>
              </w:rPr>
            </w:pPr>
            <w:r w:rsidRPr="00275B82">
              <w:rPr>
                <w:lang w:val="it-IT"/>
              </w:rPr>
              <w:t>Acetone</w:t>
            </w:r>
          </w:p>
        </w:tc>
        <w:tc>
          <w:tcPr>
            <w:tcW w:w="829" w:type="dxa"/>
            <w:tcBorders>
              <w:top w:val="nil"/>
              <w:left w:val="nil"/>
              <w:bottom w:val="nil"/>
              <w:right w:val="nil"/>
            </w:tcBorders>
            <w:tcMar>
              <w:top w:w="70" w:type="dxa"/>
              <w:left w:w="140" w:type="dxa"/>
              <w:bottom w:w="70" w:type="dxa"/>
              <w:right w:w="140" w:type="dxa"/>
            </w:tcMar>
            <w:vAlign w:val="center"/>
            <w:hideMark/>
          </w:tcPr>
          <w:p w14:paraId="7C4CF032" w14:textId="57E76707" w:rsidR="002A3E00" w:rsidRPr="00275B82" w:rsidRDefault="002A3E00" w:rsidP="00923174">
            <w:pPr>
              <w:pStyle w:val="CETBodytext"/>
              <w:jc w:val="center"/>
              <w:rPr>
                <w:lang w:val="it-IT"/>
              </w:rPr>
            </w:pPr>
            <w:r>
              <w:rPr>
                <w:lang w:val="it-IT"/>
              </w:rPr>
              <w:t>7.</w:t>
            </w:r>
            <w:r w:rsidRPr="00275B82">
              <w:rPr>
                <w:lang w:val="it-IT"/>
              </w:rPr>
              <w:t>5</w:t>
            </w:r>
          </w:p>
        </w:tc>
        <w:tc>
          <w:tcPr>
            <w:tcW w:w="1560" w:type="dxa"/>
            <w:tcBorders>
              <w:top w:val="nil"/>
              <w:left w:val="nil"/>
              <w:bottom w:val="nil"/>
              <w:right w:val="nil"/>
            </w:tcBorders>
          </w:tcPr>
          <w:p w14:paraId="76EA0729" w14:textId="71B349A7" w:rsidR="002A3E00" w:rsidRPr="00275B82" w:rsidRDefault="002A3E00" w:rsidP="00923174">
            <w:pPr>
              <w:pStyle w:val="CETBodytext"/>
              <w:jc w:val="center"/>
              <w:rPr>
                <w:lang w:val="it-IT"/>
              </w:rPr>
            </w:pPr>
            <w:r>
              <w:rPr>
                <w:lang w:val="it-IT"/>
              </w:rPr>
              <w:t>1:2</w:t>
            </w:r>
          </w:p>
        </w:tc>
        <w:tc>
          <w:tcPr>
            <w:tcW w:w="1134" w:type="dxa"/>
            <w:tcBorders>
              <w:top w:val="nil"/>
              <w:left w:val="nil"/>
              <w:bottom w:val="nil"/>
              <w:right w:val="nil"/>
            </w:tcBorders>
            <w:tcMar>
              <w:top w:w="70" w:type="dxa"/>
              <w:left w:w="140" w:type="dxa"/>
              <w:bottom w:w="70" w:type="dxa"/>
              <w:right w:w="140" w:type="dxa"/>
            </w:tcMar>
            <w:vAlign w:val="center"/>
            <w:hideMark/>
          </w:tcPr>
          <w:p w14:paraId="2EA7B902" w14:textId="65C5F8E3" w:rsidR="002A3E00" w:rsidRPr="00275B82" w:rsidRDefault="002A3E00" w:rsidP="00923174">
            <w:pPr>
              <w:pStyle w:val="CETBodytext"/>
              <w:jc w:val="center"/>
              <w:rPr>
                <w:lang w:val="it-IT"/>
              </w:rPr>
            </w:pPr>
            <w:r w:rsidRPr="00275B82">
              <w:rPr>
                <w:lang w:val="it-IT"/>
              </w:rPr>
              <w:t>2700</w:t>
            </w:r>
          </w:p>
        </w:tc>
        <w:tc>
          <w:tcPr>
            <w:tcW w:w="992" w:type="dxa"/>
            <w:tcBorders>
              <w:top w:val="nil"/>
              <w:left w:val="nil"/>
              <w:bottom w:val="nil"/>
              <w:right w:val="nil"/>
            </w:tcBorders>
            <w:tcMar>
              <w:top w:w="70" w:type="dxa"/>
              <w:left w:w="140" w:type="dxa"/>
              <w:bottom w:w="70" w:type="dxa"/>
              <w:right w:w="140" w:type="dxa"/>
            </w:tcMar>
            <w:vAlign w:val="center"/>
            <w:hideMark/>
          </w:tcPr>
          <w:p w14:paraId="73714B87" w14:textId="52FE2A04" w:rsidR="002A3E00" w:rsidRPr="00275B82" w:rsidRDefault="002A3E00" w:rsidP="00923174">
            <w:pPr>
              <w:pStyle w:val="CETBodytext"/>
              <w:jc w:val="center"/>
              <w:rPr>
                <w:lang w:val="it-IT"/>
              </w:rPr>
            </w:pPr>
            <w:r w:rsidRPr="00275B82">
              <w:rPr>
                <w:lang w:val="it-IT"/>
              </w:rPr>
              <w:t>10</w:t>
            </w:r>
          </w:p>
        </w:tc>
        <w:tc>
          <w:tcPr>
            <w:tcW w:w="1134" w:type="dxa"/>
            <w:tcBorders>
              <w:top w:val="nil"/>
              <w:left w:val="nil"/>
              <w:bottom w:val="nil"/>
              <w:right w:val="nil"/>
            </w:tcBorders>
            <w:tcMar>
              <w:top w:w="70" w:type="dxa"/>
              <w:left w:w="140" w:type="dxa"/>
              <w:bottom w:w="70" w:type="dxa"/>
              <w:right w:w="140" w:type="dxa"/>
            </w:tcMar>
            <w:vAlign w:val="center"/>
            <w:hideMark/>
          </w:tcPr>
          <w:p w14:paraId="5C6B7706" w14:textId="7B9EC95F" w:rsidR="002A3E00" w:rsidRPr="00275B82" w:rsidRDefault="002A3E00" w:rsidP="00923174">
            <w:pPr>
              <w:pStyle w:val="CETBodytext"/>
              <w:jc w:val="center"/>
              <w:rPr>
                <w:lang w:val="it-IT"/>
              </w:rPr>
            </w:pPr>
            <w:r w:rsidRPr="00275B82">
              <w:rPr>
                <w:lang w:val="it-IT"/>
              </w:rPr>
              <w:t>15</w:t>
            </w:r>
          </w:p>
        </w:tc>
      </w:tr>
      <w:tr w:rsidR="002A3E00" w:rsidRPr="00275B82" w14:paraId="10381500" w14:textId="77777777" w:rsidTr="00AB7957">
        <w:tc>
          <w:tcPr>
            <w:tcW w:w="0" w:type="auto"/>
            <w:tcBorders>
              <w:top w:val="nil"/>
              <w:left w:val="nil"/>
              <w:bottom w:val="nil"/>
              <w:right w:val="nil"/>
            </w:tcBorders>
            <w:tcMar>
              <w:top w:w="70" w:type="dxa"/>
              <w:left w:w="140" w:type="dxa"/>
              <w:bottom w:w="70" w:type="dxa"/>
              <w:right w:w="140" w:type="dxa"/>
            </w:tcMar>
            <w:vAlign w:val="center"/>
            <w:hideMark/>
          </w:tcPr>
          <w:p w14:paraId="29A5420B" w14:textId="15A02D43" w:rsidR="002A3E00" w:rsidRPr="00275B82" w:rsidRDefault="002A3E00" w:rsidP="00923174">
            <w:pPr>
              <w:pStyle w:val="CETBodytext"/>
              <w:jc w:val="center"/>
              <w:rPr>
                <w:lang w:val="it-IT"/>
              </w:rPr>
            </w:pPr>
            <w:r w:rsidRPr="00275B82">
              <w:rPr>
                <w:lang w:val="it-IT"/>
              </w:rPr>
              <w:t>E</w:t>
            </w:r>
          </w:p>
        </w:tc>
        <w:tc>
          <w:tcPr>
            <w:tcW w:w="910" w:type="dxa"/>
            <w:tcBorders>
              <w:top w:val="nil"/>
              <w:left w:val="nil"/>
              <w:bottom w:val="nil"/>
              <w:right w:val="nil"/>
            </w:tcBorders>
            <w:tcMar>
              <w:top w:w="70" w:type="dxa"/>
              <w:left w:w="140" w:type="dxa"/>
              <w:bottom w:w="70" w:type="dxa"/>
              <w:right w:w="140" w:type="dxa"/>
            </w:tcMar>
            <w:vAlign w:val="center"/>
            <w:hideMark/>
          </w:tcPr>
          <w:p w14:paraId="43E35E1D" w14:textId="77777777" w:rsidR="002A3E00" w:rsidRPr="00275B82" w:rsidRDefault="002A3E00" w:rsidP="00923174">
            <w:pPr>
              <w:pStyle w:val="CETBodytext"/>
              <w:jc w:val="center"/>
              <w:rPr>
                <w:lang w:val="it-IT"/>
              </w:rPr>
            </w:pPr>
            <w:r w:rsidRPr="00275B82">
              <w:rPr>
                <w:lang w:val="it-IT"/>
              </w:rPr>
              <w:t>15</w:t>
            </w:r>
          </w:p>
        </w:tc>
        <w:tc>
          <w:tcPr>
            <w:tcW w:w="1439" w:type="dxa"/>
            <w:tcBorders>
              <w:top w:val="nil"/>
              <w:left w:val="nil"/>
              <w:bottom w:val="nil"/>
              <w:right w:val="nil"/>
            </w:tcBorders>
            <w:tcMar>
              <w:top w:w="70" w:type="dxa"/>
              <w:left w:w="140" w:type="dxa"/>
              <w:bottom w:w="70" w:type="dxa"/>
              <w:right w:w="140" w:type="dxa"/>
            </w:tcMar>
            <w:vAlign w:val="center"/>
            <w:hideMark/>
          </w:tcPr>
          <w:p w14:paraId="049E4845" w14:textId="77777777" w:rsidR="002A3E00" w:rsidRPr="00275B82" w:rsidRDefault="002A3E00" w:rsidP="00923174">
            <w:pPr>
              <w:pStyle w:val="CETBodytext"/>
              <w:jc w:val="center"/>
              <w:rPr>
                <w:lang w:val="it-IT"/>
              </w:rPr>
            </w:pPr>
            <w:r w:rsidRPr="00275B82">
              <w:rPr>
                <w:lang w:val="it-IT"/>
              </w:rPr>
              <w:t>Acetone</w:t>
            </w:r>
          </w:p>
        </w:tc>
        <w:tc>
          <w:tcPr>
            <w:tcW w:w="829" w:type="dxa"/>
            <w:tcBorders>
              <w:top w:val="nil"/>
              <w:left w:val="nil"/>
              <w:bottom w:val="nil"/>
              <w:right w:val="nil"/>
            </w:tcBorders>
            <w:tcMar>
              <w:top w:w="70" w:type="dxa"/>
              <w:left w:w="140" w:type="dxa"/>
              <w:bottom w:w="70" w:type="dxa"/>
              <w:right w:w="140" w:type="dxa"/>
            </w:tcMar>
            <w:vAlign w:val="center"/>
            <w:hideMark/>
          </w:tcPr>
          <w:p w14:paraId="4747285A" w14:textId="77777777" w:rsidR="002A3E00" w:rsidRPr="00275B82" w:rsidRDefault="002A3E00" w:rsidP="00923174">
            <w:pPr>
              <w:pStyle w:val="CETBodytext"/>
              <w:jc w:val="center"/>
              <w:rPr>
                <w:lang w:val="it-IT"/>
              </w:rPr>
            </w:pPr>
            <w:r w:rsidRPr="00275B82">
              <w:rPr>
                <w:lang w:val="it-IT"/>
              </w:rPr>
              <w:t>15</w:t>
            </w:r>
          </w:p>
        </w:tc>
        <w:tc>
          <w:tcPr>
            <w:tcW w:w="1560" w:type="dxa"/>
            <w:tcBorders>
              <w:top w:val="nil"/>
              <w:left w:val="nil"/>
              <w:bottom w:val="nil"/>
              <w:right w:val="nil"/>
            </w:tcBorders>
          </w:tcPr>
          <w:p w14:paraId="24739798" w14:textId="412F4088" w:rsidR="002A3E00" w:rsidRPr="00275B82" w:rsidRDefault="002A3E00" w:rsidP="00375BC1">
            <w:pPr>
              <w:pStyle w:val="CETBodytext"/>
              <w:jc w:val="center"/>
              <w:rPr>
                <w:lang w:val="it-IT"/>
              </w:rPr>
            </w:pPr>
            <w:r>
              <w:rPr>
                <w:lang w:val="it-IT"/>
              </w:rPr>
              <w:t>1:1</w:t>
            </w:r>
          </w:p>
        </w:tc>
        <w:tc>
          <w:tcPr>
            <w:tcW w:w="1134" w:type="dxa"/>
            <w:tcBorders>
              <w:top w:val="nil"/>
              <w:left w:val="nil"/>
              <w:bottom w:val="nil"/>
              <w:right w:val="nil"/>
            </w:tcBorders>
            <w:tcMar>
              <w:top w:w="70" w:type="dxa"/>
              <w:left w:w="140" w:type="dxa"/>
              <w:bottom w:w="70" w:type="dxa"/>
              <w:right w:w="140" w:type="dxa"/>
            </w:tcMar>
            <w:vAlign w:val="center"/>
            <w:hideMark/>
          </w:tcPr>
          <w:p w14:paraId="0FE3E1C2" w14:textId="0B21A2EA" w:rsidR="002A3E00" w:rsidRPr="00275B82" w:rsidRDefault="002A3E00" w:rsidP="00923174">
            <w:pPr>
              <w:pStyle w:val="CETBodytext"/>
              <w:jc w:val="center"/>
              <w:rPr>
                <w:lang w:val="it-IT"/>
              </w:rPr>
            </w:pPr>
            <w:r w:rsidRPr="00275B82">
              <w:rPr>
                <w:lang w:val="it-IT"/>
              </w:rPr>
              <w:t>2700</w:t>
            </w:r>
          </w:p>
        </w:tc>
        <w:tc>
          <w:tcPr>
            <w:tcW w:w="992" w:type="dxa"/>
            <w:tcBorders>
              <w:top w:val="nil"/>
              <w:left w:val="nil"/>
              <w:bottom w:val="nil"/>
              <w:right w:val="nil"/>
            </w:tcBorders>
            <w:tcMar>
              <w:top w:w="70" w:type="dxa"/>
              <w:left w:w="140" w:type="dxa"/>
              <w:bottom w:w="70" w:type="dxa"/>
              <w:right w:w="140" w:type="dxa"/>
            </w:tcMar>
            <w:vAlign w:val="center"/>
            <w:hideMark/>
          </w:tcPr>
          <w:p w14:paraId="345899E2" w14:textId="22A41426" w:rsidR="002A3E00" w:rsidRPr="00275B82" w:rsidRDefault="002A3E00" w:rsidP="00923174">
            <w:pPr>
              <w:pStyle w:val="CETBodytext"/>
              <w:jc w:val="center"/>
              <w:rPr>
                <w:lang w:val="it-IT"/>
              </w:rPr>
            </w:pPr>
            <w:r w:rsidRPr="00275B82">
              <w:rPr>
                <w:lang w:val="it-IT"/>
              </w:rPr>
              <w:t>10</w:t>
            </w:r>
          </w:p>
        </w:tc>
        <w:tc>
          <w:tcPr>
            <w:tcW w:w="1134" w:type="dxa"/>
            <w:tcBorders>
              <w:top w:val="nil"/>
              <w:left w:val="nil"/>
              <w:bottom w:val="nil"/>
              <w:right w:val="nil"/>
            </w:tcBorders>
            <w:tcMar>
              <w:top w:w="70" w:type="dxa"/>
              <w:left w:w="140" w:type="dxa"/>
              <w:bottom w:w="70" w:type="dxa"/>
              <w:right w:w="140" w:type="dxa"/>
            </w:tcMar>
            <w:vAlign w:val="center"/>
            <w:hideMark/>
          </w:tcPr>
          <w:p w14:paraId="461434BD" w14:textId="0BA5C89B" w:rsidR="002A3E00" w:rsidRPr="00275B82" w:rsidRDefault="002A3E00" w:rsidP="00923174">
            <w:pPr>
              <w:pStyle w:val="CETBodytext"/>
              <w:jc w:val="center"/>
              <w:rPr>
                <w:lang w:val="it-IT"/>
              </w:rPr>
            </w:pPr>
            <w:r w:rsidRPr="00275B82">
              <w:rPr>
                <w:lang w:val="it-IT"/>
              </w:rPr>
              <w:t>15</w:t>
            </w:r>
          </w:p>
        </w:tc>
      </w:tr>
      <w:tr w:rsidR="002A3E00" w:rsidRPr="00275B82" w14:paraId="617F00CB" w14:textId="77777777" w:rsidTr="00AB7957">
        <w:tc>
          <w:tcPr>
            <w:tcW w:w="0" w:type="auto"/>
            <w:tcBorders>
              <w:top w:val="nil"/>
              <w:left w:val="nil"/>
              <w:bottom w:val="nil"/>
              <w:right w:val="nil"/>
            </w:tcBorders>
            <w:tcMar>
              <w:top w:w="70" w:type="dxa"/>
              <w:left w:w="140" w:type="dxa"/>
              <w:bottom w:w="70" w:type="dxa"/>
              <w:right w:w="140" w:type="dxa"/>
            </w:tcMar>
            <w:vAlign w:val="center"/>
            <w:hideMark/>
          </w:tcPr>
          <w:p w14:paraId="528A4869" w14:textId="720D8AC4" w:rsidR="002A3E00" w:rsidRPr="00275B82" w:rsidRDefault="002A3E00" w:rsidP="00923174">
            <w:pPr>
              <w:pStyle w:val="CETBodytext"/>
              <w:jc w:val="center"/>
              <w:rPr>
                <w:lang w:val="it-IT"/>
              </w:rPr>
            </w:pPr>
            <w:r w:rsidRPr="00275B82">
              <w:rPr>
                <w:lang w:val="it-IT"/>
              </w:rPr>
              <w:t>F</w:t>
            </w:r>
          </w:p>
        </w:tc>
        <w:tc>
          <w:tcPr>
            <w:tcW w:w="910" w:type="dxa"/>
            <w:tcBorders>
              <w:top w:val="nil"/>
              <w:left w:val="nil"/>
              <w:bottom w:val="nil"/>
              <w:right w:val="nil"/>
            </w:tcBorders>
            <w:tcMar>
              <w:top w:w="70" w:type="dxa"/>
              <w:left w:w="140" w:type="dxa"/>
              <w:bottom w:w="70" w:type="dxa"/>
              <w:right w:w="140" w:type="dxa"/>
            </w:tcMar>
            <w:vAlign w:val="center"/>
          </w:tcPr>
          <w:p w14:paraId="1E08D2D1" w14:textId="62F5DC97" w:rsidR="002A3E00" w:rsidRPr="00275B82" w:rsidRDefault="002A3E00" w:rsidP="00923174">
            <w:pPr>
              <w:pStyle w:val="CETBodytext"/>
              <w:jc w:val="center"/>
              <w:rPr>
                <w:lang w:val="it-IT"/>
              </w:rPr>
            </w:pPr>
            <w:r>
              <w:rPr>
                <w:lang w:val="it-IT"/>
              </w:rPr>
              <w:t>20</w:t>
            </w:r>
          </w:p>
        </w:tc>
        <w:tc>
          <w:tcPr>
            <w:tcW w:w="1439" w:type="dxa"/>
            <w:tcBorders>
              <w:top w:val="nil"/>
              <w:left w:val="nil"/>
              <w:bottom w:val="nil"/>
              <w:right w:val="nil"/>
            </w:tcBorders>
            <w:tcMar>
              <w:top w:w="70" w:type="dxa"/>
              <w:left w:w="140" w:type="dxa"/>
              <w:bottom w:w="70" w:type="dxa"/>
              <w:right w:w="140" w:type="dxa"/>
            </w:tcMar>
            <w:vAlign w:val="center"/>
          </w:tcPr>
          <w:p w14:paraId="538C5A44" w14:textId="2D6FA751" w:rsidR="002A3E00" w:rsidRPr="00275B82" w:rsidRDefault="002A3E00" w:rsidP="00923174">
            <w:pPr>
              <w:pStyle w:val="CETBodytext"/>
              <w:jc w:val="center"/>
              <w:rPr>
                <w:lang w:val="it-IT"/>
              </w:rPr>
            </w:pPr>
            <w:r w:rsidRPr="00275B82">
              <w:rPr>
                <w:lang w:val="it-IT"/>
              </w:rPr>
              <w:t>Acetone</w:t>
            </w:r>
          </w:p>
        </w:tc>
        <w:tc>
          <w:tcPr>
            <w:tcW w:w="829" w:type="dxa"/>
            <w:tcBorders>
              <w:top w:val="nil"/>
              <w:left w:val="nil"/>
              <w:bottom w:val="nil"/>
              <w:right w:val="nil"/>
            </w:tcBorders>
            <w:tcMar>
              <w:top w:w="70" w:type="dxa"/>
              <w:left w:w="140" w:type="dxa"/>
              <w:bottom w:w="70" w:type="dxa"/>
              <w:right w:w="140" w:type="dxa"/>
            </w:tcMar>
            <w:vAlign w:val="center"/>
          </w:tcPr>
          <w:p w14:paraId="4A6FC156" w14:textId="0C9184B5" w:rsidR="002A3E00" w:rsidRPr="00275B82" w:rsidRDefault="002A3E00" w:rsidP="00923174">
            <w:pPr>
              <w:pStyle w:val="CETBodytext"/>
              <w:jc w:val="center"/>
              <w:rPr>
                <w:lang w:val="it-IT"/>
              </w:rPr>
            </w:pPr>
            <w:r w:rsidRPr="00275B82">
              <w:rPr>
                <w:lang w:val="it-IT"/>
              </w:rPr>
              <w:t>5</w:t>
            </w:r>
          </w:p>
        </w:tc>
        <w:tc>
          <w:tcPr>
            <w:tcW w:w="1560" w:type="dxa"/>
            <w:tcBorders>
              <w:top w:val="nil"/>
              <w:left w:val="nil"/>
              <w:bottom w:val="nil"/>
              <w:right w:val="nil"/>
            </w:tcBorders>
          </w:tcPr>
          <w:p w14:paraId="59D37A4A" w14:textId="00A69799" w:rsidR="002A3E00" w:rsidRDefault="002A3E00" w:rsidP="00487DAB">
            <w:pPr>
              <w:pStyle w:val="CETBodytext"/>
              <w:jc w:val="center"/>
              <w:rPr>
                <w:lang w:val="it-IT"/>
              </w:rPr>
            </w:pPr>
            <w:r>
              <w:rPr>
                <w:lang w:val="it-IT"/>
              </w:rPr>
              <w:t>1:4</w:t>
            </w:r>
          </w:p>
        </w:tc>
        <w:tc>
          <w:tcPr>
            <w:tcW w:w="1134" w:type="dxa"/>
            <w:tcBorders>
              <w:top w:val="nil"/>
              <w:left w:val="nil"/>
              <w:bottom w:val="nil"/>
              <w:right w:val="nil"/>
            </w:tcBorders>
            <w:tcMar>
              <w:top w:w="70" w:type="dxa"/>
              <w:left w:w="140" w:type="dxa"/>
              <w:bottom w:w="70" w:type="dxa"/>
              <w:right w:w="140" w:type="dxa"/>
            </w:tcMar>
            <w:vAlign w:val="center"/>
          </w:tcPr>
          <w:p w14:paraId="3C58E9E4" w14:textId="018B589F" w:rsidR="002A3E00" w:rsidRPr="00275B82" w:rsidRDefault="002A3E00" w:rsidP="00923174">
            <w:pPr>
              <w:pStyle w:val="CETBodytext"/>
              <w:jc w:val="center"/>
              <w:rPr>
                <w:lang w:val="it-IT"/>
              </w:rPr>
            </w:pPr>
            <w:r>
              <w:rPr>
                <w:lang w:val="it-IT"/>
              </w:rPr>
              <w:t>2700</w:t>
            </w:r>
          </w:p>
        </w:tc>
        <w:tc>
          <w:tcPr>
            <w:tcW w:w="992" w:type="dxa"/>
            <w:tcBorders>
              <w:top w:val="nil"/>
              <w:left w:val="nil"/>
              <w:bottom w:val="nil"/>
              <w:right w:val="nil"/>
            </w:tcBorders>
            <w:tcMar>
              <w:top w:w="70" w:type="dxa"/>
              <w:left w:w="140" w:type="dxa"/>
              <w:bottom w:w="70" w:type="dxa"/>
              <w:right w:w="140" w:type="dxa"/>
            </w:tcMar>
            <w:vAlign w:val="center"/>
          </w:tcPr>
          <w:p w14:paraId="3A11AE04" w14:textId="459CBED6" w:rsidR="002A3E00" w:rsidRPr="00275B82" w:rsidRDefault="002A3E00" w:rsidP="00923174">
            <w:pPr>
              <w:pStyle w:val="CETBodytext"/>
              <w:jc w:val="center"/>
              <w:rPr>
                <w:lang w:val="it-IT"/>
              </w:rPr>
            </w:pPr>
            <w:r w:rsidRPr="00275B82">
              <w:rPr>
                <w:lang w:val="it-IT"/>
              </w:rPr>
              <w:t>10</w:t>
            </w:r>
          </w:p>
        </w:tc>
        <w:tc>
          <w:tcPr>
            <w:tcW w:w="1134" w:type="dxa"/>
            <w:tcBorders>
              <w:top w:val="nil"/>
              <w:left w:val="nil"/>
              <w:bottom w:val="nil"/>
              <w:right w:val="nil"/>
            </w:tcBorders>
            <w:tcMar>
              <w:top w:w="70" w:type="dxa"/>
              <w:left w:w="140" w:type="dxa"/>
              <w:bottom w:w="70" w:type="dxa"/>
              <w:right w:w="140" w:type="dxa"/>
            </w:tcMar>
            <w:vAlign w:val="center"/>
          </w:tcPr>
          <w:p w14:paraId="534D8F4B" w14:textId="29520297" w:rsidR="002A3E00" w:rsidRPr="00275B82" w:rsidRDefault="002A3E00" w:rsidP="00923174">
            <w:pPr>
              <w:pStyle w:val="CETBodytext"/>
              <w:jc w:val="center"/>
              <w:rPr>
                <w:lang w:val="it-IT"/>
              </w:rPr>
            </w:pPr>
            <w:r w:rsidRPr="00275B82">
              <w:rPr>
                <w:lang w:val="it-IT"/>
              </w:rPr>
              <w:t>15</w:t>
            </w:r>
          </w:p>
        </w:tc>
      </w:tr>
      <w:tr w:rsidR="002A3E00" w:rsidRPr="00275B82" w14:paraId="2AA6311D" w14:textId="77777777" w:rsidTr="00AB7957">
        <w:tc>
          <w:tcPr>
            <w:tcW w:w="0" w:type="auto"/>
            <w:tcBorders>
              <w:top w:val="nil"/>
              <w:left w:val="nil"/>
              <w:bottom w:val="nil"/>
              <w:right w:val="nil"/>
            </w:tcBorders>
            <w:tcMar>
              <w:top w:w="70" w:type="dxa"/>
              <w:left w:w="140" w:type="dxa"/>
              <w:bottom w:w="70" w:type="dxa"/>
              <w:right w:w="140" w:type="dxa"/>
            </w:tcMar>
            <w:vAlign w:val="center"/>
            <w:hideMark/>
          </w:tcPr>
          <w:p w14:paraId="604E4FB3" w14:textId="77777777" w:rsidR="002A3E00" w:rsidRPr="00275B82" w:rsidRDefault="002A3E00" w:rsidP="00923174">
            <w:pPr>
              <w:pStyle w:val="CETBodytext"/>
              <w:jc w:val="center"/>
              <w:rPr>
                <w:lang w:val="it-IT"/>
              </w:rPr>
            </w:pPr>
            <w:r w:rsidRPr="00275B82">
              <w:rPr>
                <w:lang w:val="it-IT"/>
              </w:rPr>
              <w:t>G</w:t>
            </w:r>
          </w:p>
        </w:tc>
        <w:tc>
          <w:tcPr>
            <w:tcW w:w="910" w:type="dxa"/>
            <w:tcBorders>
              <w:top w:val="nil"/>
              <w:left w:val="nil"/>
              <w:bottom w:val="nil"/>
              <w:right w:val="nil"/>
            </w:tcBorders>
            <w:tcMar>
              <w:top w:w="70" w:type="dxa"/>
              <w:left w:w="140" w:type="dxa"/>
              <w:bottom w:w="70" w:type="dxa"/>
              <w:right w:w="140" w:type="dxa"/>
            </w:tcMar>
            <w:vAlign w:val="center"/>
            <w:hideMark/>
          </w:tcPr>
          <w:p w14:paraId="37546BB5" w14:textId="648A28D0" w:rsidR="002A3E00" w:rsidRPr="00275B82" w:rsidRDefault="002A3E00" w:rsidP="00923174">
            <w:pPr>
              <w:pStyle w:val="CETBodytext"/>
              <w:jc w:val="center"/>
              <w:rPr>
                <w:lang w:val="it-IT"/>
              </w:rPr>
            </w:pPr>
            <w:r w:rsidRPr="00275B82">
              <w:rPr>
                <w:lang w:val="it-IT"/>
              </w:rPr>
              <w:t>15</w:t>
            </w:r>
          </w:p>
        </w:tc>
        <w:tc>
          <w:tcPr>
            <w:tcW w:w="1439" w:type="dxa"/>
            <w:tcBorders>
              <w:top w:val="nil"/>
              <w:left w:val="nil"/>
              <w:bottom w:val="nil"/>
              <w:right w:val="nil"/>
            </w:tcBorders>
            <w:tcMar>
              <w:top w:w="70" w:type="dxa"/>
              <w:left w:w="140" w:type="dxa"/>
              <w:bottom w:w="70" w:type="dxa"/>
              <w:right w:w="140" w:type="dxa"/>
            </w:tcMar>
            <w:vAlign w:val="center"/>
            <w:hideMark/>
          </w:tcPr>
          <w:p w14:paraId="3CB4C4E3" w14:textId="4AF918AB" w:rsidR="002A3E00" w:rsidRPr="00275B82" w:rsidRDefault="002A3E00" w:rsidP="00923174">
            <w:pPr>
              <w:pStyle w:val="CETBodytext"/>
              <w:jc w:val="center"/>
              <w:rPr>
                <w:lang w:val="it-IT"/>
              </w:rPr>
            </w:pPr>
            <w:r w:rsidRPr="00275B82">
              <w:rPr>
                <w:lang w:val="it-IT"/>
              </w:rPr>
              <w:t>Acetone</w:t>
            </w:r>
          </w:p>
        </w:tc>
        <w:tc>
          <w:tcPr>
            <w:tcW w:w="829" w:type="dxa"/>
            <w:tcBorders>
              <w:top w:val="nil"/>
              <w:left w:val="nil"/>
              <w:bottom w:val="nil"/>
              <w:right w:val="nil"/>
            </w:tcBorders>
            <w:tcMar>
              <w:top w:w="70" w:type="dxa"/>
              <w:left w:w="140" w:type="dxa"/>
              <w:bottom w:w="70" w:type="dxa"/>
              <w:right w:w="140" w:type="dxa"/>
            </w:tcMar>
            <w:vAlign w:val="center"/>
            <w:hideMark/>
          </w:tcPr>
          <w:p w14:paraId="7DF212E6" w14:textId="4A3A3572" w:rsidR="002A3E00" w:rsidRPr="00275B82" w:rsidRDefault="002A3E00" w:rsidP="00923174">
            <w:pPr>
              <w:pStyle w:val="CETBodytext"/>
              <w:jc w:val="center"/>
              <w:rPr>
                <w:lang w:val="it-IT"/>
              </w:rPr>
            </w:pPr>
            <w:r w:rsidRPr="00275B82">
              <w:rPr>
                <w:lang w:val="it-IT"/>
              </w:rPr>
              <w:t>5</w:t>
            </w:r>
          </w:p>
        </w:tc>
        <w:tc>
          <w:tcPr>
            <w:tcW w:w="1560" w:type="dxa"/>
            <w:tcBorders>
              <w:top w:val="nil"/>
              <w:left w:val="nil"/>
              <w:bottom w:val="nil"/>
              <w:right w:val="nil"/>
            </w:tcBorders>
          </w:tcPr>
          <w:p w14:paraId="332F3B73" w14:textId="72BDD331" w:rsidR="002A3E00" w:rsidRPr="00275B82" w:rsidRDefault="002A3E00" w:rsidP="00487DAB">
            <w:pPr>
              <w:pStyle w:val="CETBodytext"/>
              <w:jc w:val="center"/>
              <w:rPr>
                <w:lang w:val="it-IT"/>
              </w:rPr>
            </w:pPr>
            <w:r>
              <w:rPr>
                <w:lang w:val="it-IT"/>
              </w:rPr>
              <w:t>1:3</w:t>
            </w:r>
          </w:p>
        </w:tc>
        <w:tc>
          <w:tcPr>
            <w:tcW w:w="1134" w:type="dxa"/>
            <w:tcBorders>
              <w:top w:val="nil"/>
              <w:left w:val="nil"/>
              <w:bottom w:val="nil"/>
              <w:right w:val="nil"/>
            </w:tcBorders>
            <w:tcMar>
              <w:top w:w="70" w:type="dxa"/>
              <w:left w:w="140" w:type="dxa"/>
              <w:bottom w:w="70" w:type="dxa"/>
              <w:right w:w="140" w:type="dxa"/>
            </w:tcMar>
            <w:vAlign w:val="center"/>
            <w:hideMark/>
          </w:tcPr>
          <w:p w14:paraId="4ACC0AF9" w14:textId="2107615F" w:rsidR="002A3E00" w:rsidRPr="00275B82" w:rsidRDefault="002A3E00" w:rsidP="00923174">
            <w:pPr>
              <w:pStyle w:val="CETBodytext"/>
              <w:jc w:val="center"/>
              <w:rPr>
                <w:lang w:val="it-IT"/>
              </w:rPr>
            </w:pPr>
            <w:r w:rsidRPr="00275B82">
              <w:rPr>
                <w:lang w:val="it-IT"/>
              </w:rPr>
              <w:t>2700</w:t>
            </w:r>
          </w:p>
        </w:tc>
        <w:tc>
          <w:tcPr>
            <w:tcW w:w="992" w:type="dxa"/>
            <w:tcBorders>
              <w:top w:val="nil"/>
              <w:left w:val="nil"/>
              <w:bottom w:val="nil"/>
              <w:right w:val="nil"/>
            </w:tcBorders>
            <w:tcMar>
              <w:top w:w="70" w:type="dxa"/>
              <w:left w:w="140" w:type="dxa"/>
              <w:bottom w:w="70" w:type="dxa"/>
              <w:right w:w="140" w:type="dxa"/>
            </w:tcMar>
            <w:vAlign w:val="center"/>
            <w:hideMark/>
          </w:tcPr>
          <w:p w14:paraId="10CDD165" w14:textId="2FFD798A" w:rsidR="002A3E00" w:rsidRPr="00275B82" w:rsidRDefault="002A3E00" w:rsidP="00923174">
            <w:pPr>
              <w:pStyle w:val="CETBodytext"/>
              <w:jc w:val="center"/>
              <w:rPr>
                <w:lang w:val="it-IT"/>
              </w:rPr>
            </w:pPr>
            <w:r w:rsidRPr="00275B82">
              <w:rPr>
                <w:lang w:val="it-IT"/>
              </w:rPr>
              <w:t>10</w:t>
            </w:r>
          </w:p>
        </w:tc>
        <w:tc>
          <w:tcPr>
            <w:tcW w:w="1134" w:type="dxa"/>
            <w:tcBorders>
              <w:top w:val="nil"/>
              <w:left w:val="nil"/>
              <w:bottom w:val="nil"/>
              <w:right w:val="nil"/>
            </w:tcBorders>
            <w:tcMar>
              <w:top w:w="70" w:type="dxa"/>
              <w:left w:w="140" w:type="dxa"/>
              <w:bottom w:w="70" w:type="dxa"/>
              <w:right w:w="140" w:type="dxa"/>
            </w:tcMar>
            <w:vAlign w:val="center"/>
            <w:hideMark/>
          </w:tcPr>
          <w:p w14:paraId="42E6C87D" w14:textId="2A2C751B" w:rsidR="002A3E00" w:rsidRPr="00275B82" w:rsidRDefault="002A3E00" w:rsidP="00923174">
            <w:pPr>
              <w:pStyle w:val="CETBodytext"/>
              <w:jc w:val="center"/>
              <w:rPr>
                <w:lang w:val="it-IT"/>
              </w:rPr>
            </w:pPr>
            <w:r w:rsidRPr="00275B82">
              <w:rPr>
                <w:lang w:val="it-IT"/>
              </w:rPr>
              <w:t>15</w:t>
            </w:r>
          </w:p>
        </w:tc>
      </w:tr>
      <w:tr w:rsidR="002A3E00" w:rsidRPr="00275B82" w14:paraId="16517865" w14:textId="77777777" w:rsidTr="00AB7957">
        <w:tc>
          <w:tcPr>
            <w:tcW w:w="0" w:type="auto"/>
            <w:tcBorders>
              <w:top w:val="nil"/>
              <w:left w:val="nil"/>
              <w:bottom w:val="nil"/>
              <w:right w:val="nil"/>
            </w:tcBorders>
            <w:tcMar>
              <w:top w:w="70" w:type="dxa"/>
              <w:left w:w="140" w:type="dxa"/>
              <w:bottom w:w="70" w:type="dxa"/>
              <w:right w:w="140" w:type="dxa"/>
            </w:tcMar>
            <w:vAlign w:val="center"/>
            <w:hideMark/>
          </w:tcPr>
          <w:p w14:paraId="44B6E6DF" w14:textId="77777777" w:rsidR="002A3E00" w:rsidRPr="00275B82" w:rsidRDefault="002A3E00" w:rsidP="00923174">
            <w:pPr>
              <w:pStyle w:val="CETBodytext"/>
              <w:jc w:val="center"/>
              <w:rPr>
                <w:lang w:val="it-IT"/>
              </w:rPr>
            </w:pPr>
            <w:r w:rsidRPr="00275B82">
              <w:rPr>
                <w:lang w:val="it-IT"/>
              </w:rPr>
              <w:t>H</w:t>
            </w:r>
          </w:p>
        </w:tc>
        <w:tc>
          <w:tcPr>
            <w:tcW w:w="910" w:type="dxa"/>
            <w:tcBorders>
              <w:top w:val="nil"/>
              <w:left w:val="nil"/>
              <w:bottom w:val="nil"/>
              <w:right w:val="nil"/>
            </w:tcBorders>
            <w:tcMar>
              <w:top w:w="70" w:type="dxa"/>
              <w:left w:w="140" w:type="dxa"/>
              <w:bottom w:w="70" w:type="dxa"/>
              <w:right w:w="140" w:type="dxa"/>
            </w:tcMar>
            <w:vAlign w:val="center"/>
            <w:hideMark/>
          </w:tcPr>
          <w:p w14:paraId="37C3E1D6" w14:textId="06955BB6" w:rsidR="002A3E00" w:rsidRPr="00275B82" w:rsidRDefault="002A3E00" w:rsidP="00923174">
            <w:pPr>
              <w:pStyle w:val="CETBodytext"/>
              <w:jc w:val="center"/>
              <w:rPr>
                <w:lang w:val="it-IT"/>
              </w:rPr>
            </w:pPr>
            <w:r w:rsidRPr="00275B82">
              <w:rPr>
                <w:lang w:val="it-IT"/>
              </w:rPr>
              <w:t>15</w:t>
            </w:r>
          </w:p>
        </w:tc>
        <w:tc>
          <w:tcPr>
            <w:tcW w:w="1439" w:type="dxa"/>
            <w:tcBorders>
              <w:top w:val="nil"/>
              <w:left w:val="nil"/>
              <w:bottom w:val="nil"/>
              <w:right w:val="nil"/>
            </w:tcBorders>
            <w:tcMar>
              <w:top w:w="70" w:type="dxa"/>
              <w:left w:w="140" w:type="dxa"/>
              <w:bottom w:w="70" w:type="dxa"/>
              <w:right w:w="140" w:type="dxa"/>
            </w:tcMar>
            <w:vAlign w:val="center"/>
            <w:hideMark/>
          </w:tcPr>
          <w:p w14:paraId="70BBAD00" w14:textId="2FF8BB7F" w:rsidR="002A3E00" w:rsidRPr="00275B82" w:rsidRDefault="002A3E00" w:rsidP="00923174">
            <w:pPr>
              <w:pStyle w:val="CETBodytext"/>
              <w:jc w:val="center"/>
              <w:rPr>
                <w:lang w:val="it-IT"/>
              </w:rPr>
            </w:pPr>
            <w:r w:rsidRPr="00275B82">
              <w:rPr>
                <w:lang w:val="it-IT"/>
              </w:rPr>
              <w:t>Acetone</w:t>
            </w:r>
          </w:p>
        </w:tc>
        <w:tc>
          <w:tcPr>
            <w:tcW w:w="829" w:type="dxa"/>
            <w:tcBorders>
              <w:top w:val="nil"/>
              <w:left w:val="nil"/>
              <w:bottom w:val="nil"/>
              <w:right w:val="nil"/>
            </w:tcBorders>
            <w:tcMar>
              <w:top w:w="70" w:type="dxa"/>
              <w:left w:w="140" w:type="dxa"/>
              <w:bottom w:w="70" w:type="dxa"/>
              <w:right w:w="140" w:type="dxa"/>
            </w:tcMar>
            <w:vAlign w:val="center"/>
            <w:hideMark/>
          </w:tcPr>
          <w:p w14:paraId="6AE8C62B" w14:textId="2AEC12DC" w:rsidR="002A3E00" w:rsidRPr="00275B82" w:rsidRDefault="002A3E00" w:rsidP="00923174">
            <w:pPr>
              <w:pStyle w:val="CETBodytext"/>
              <w:jc w:val="center"/>
              <w:rPr>
                <w:lang w:val="it-IT"/>
              </w:rPr>
            </w:pPr>
            <w:r w:rsidRPr="00275B82">
              <w:rPr>
                <w:lang w:val="it-IT"/>
              </w:rPr>
              <w:t>5</w:t>
            </w:r>
          </w:p>
        </w:tc>
        <w:tc>
          <w:tcPr>
            <w:tcW w:w="1560" w:type="dxa"/>
            <w:tcBorders>
              <w:top w:val="nil"/>
              <w:left w:val="nil"/>
              <w:bottom w:val="nil"/>
              <w:right w:val="nil"/>
            </w:tcBorders>
          </w:tcPr>
          <w:p w14:paraId="7EEE7D6A" w14:textId="26015553" w:rsidR="002A3E00" w:rsidRPr="00275B82" w:rsidRDefault="002A3E00" w:rsidP="00487DAB">
            <w:pPr>
              <w:pStyle w:val="CETBodytext"/>
              <w:jc w:val="center"/>
              <w:rPr>
                <w:lang w:val="it-IT"/>
              </w:rPr>
            </w:pPr>
            <w:r>
              <w:rPr>
                <w:lang w:val="it-IT"/>
              </w:rPr>
              <w:t>1:3</w:t>
            </w:r>
          </w:p>
        </w:tc>
        <w:tc>
          <w:tcPr>
            <w:tcW w:w="1134" w:type="dxa"/>
            <w:tcBorders>
              <w:top w:val="nil"/>
              <w:left w:val="nil"/>
              <w:bottom w:val="nil"/>
              <w:right w:val="nil"/>
            </w:tcBorders>
            <w:tcMar>
              <w:top w:w="70" w:type="dxa"/>
              <w:left w:w="140" w:type="dxa"/>
              <w:bottom w:w="70" w:type="dxa"/>
              <w:right w:w="140" w:type="dxa"/>
            </w:tcMar>
            <w:vAlign w:val="center"/>
            <w:hideMark/>
          </w:tcPr>
          <w:p w14:paraId="7F07527C" w14:textId="36087E9F" w:rsidR="002A3E00" w:rsidRPr="00275B82" w:rsidRDefault="002A3E00" w:rsidP="00923174">
            <w:pPr>
              <w:pStyle w:val="CETBodytext"/>
              <w:jc w:val="center"/>
              <w:rPr>
                <w:lang w:val="it-IT"/>
              </w:rPr>
            </w:pPr>
            <w:r w:rsidRPr="00275B82">
              <w:rPr>
                <w:lang w:val="it-IT"/>
              </w:rPr>
              <w:t>2700</w:t>
            </w:r>
          </w:p>
        </w:tc>
        <w:tc>
          <w:tcPr>
            <w:tcW w:w="992" w:type="dxa"/>
            <w:tcBorders>
              <w:top w:val="nil"/>
              <w:left w:val="nil"/>
              <w:bottom w:val="nil"/>
              <w:right w:val="nil"/>
            </w:tcBorders>
            <w:tcMar>
              <w:top w:w="70" w:type="dxa"/>
              <w:left w:w="140" w:type="dxa"/>
              <w:bottom w:w="70" w:type="dxa"/>
              <w:right w:w="140" w:type="dxa"/>
            </w:tcMar>
            <w:vAlign w:val="center"/>
            <w:hideMark/>
          </w:tcPr>
          <w:p w14:paraId="56F44A6B" w14:textId="30962F3D" w:rsidR="002A3E00" w:rsidRPr="00275B82" w:rsidRDefault="002A3E00" w:rsidP="00923174">
            <w:pPr>
              <w:pStyle w:val="CETBodytext"/>
              <w:jc w:val="center"/>
              <w:rPr>
                <w:lang w:val="it-IT"/>
              </w:rPr>
            </w:pPr>
            <w:r w:rsidRPr="00275B82">
              <w:rPr>
                <w:lang w:val="it-IT"/>
              </w:rPr>
              <w:t>15</w:t>
            </w:r>
          </w:p>
        </w:tc>
        <w:tc>
          <w:tcPr>
            <w:tcW w:w="1134" w:type="dxa"/>
            <w:tcBorders>
              <w:top w:val="nil"/>
              <w:left w:val="nil"/>
              <w:bottom w:val="nil"/>
              <w:right w:val="nil"/>
            </w:tcBorders>
            <w:tcMar>
              <w:top w:w="70" w:type="dxa"/>
              <w:left w:w="140" w:type="dxa"/>
              <w:bottom w:w="70" w:type="dxa"/>
              <w:right w:w="140" w:type="dxa"/>
            </w:tcMar>
            <w:vAlign w:val="center"/>
            <w:hideMark/>
          </w:tcPr>
          <w:p w14:paraId="74D7CFF2" w14:textId="0C9F125A" w:rsidR="002A3E00" w:rsidRPr="00275B82" w:rsidRDefault="002A3E00" w:rsidP="00923174">
            <w:pPr>
              <w:pStyle w:val="CETBodytext"/>
              <w:jc w:val="center"/>
              <w:rPr>
                <w:lang w:val="it-IT"/>
              </w:rPr>
            </w:pPr>
            <w:r w:rsidRPr="00275B82">
              <w:rPr>
                <w:lang w:val="it-IT"/>
              </w:rPr>
              <w:t>8</w:t>
            </w:r>
          </w:p>
        </w:tc>
      </w:tr>
      <w:tr w:rsidR="002A3E00" w:rsidRPr="00275B82" w14:paraId="5D6140DB" w14:textId="77777777" w:rsidTr="00AB7957">
        <w:tc>
          <w:tcPr>
            <w:tcW w:w="0" w:type="auto"/>
            <w:tcBorders>
              <w:top w:val="nil"/>
              <w:left w:val="nil"/>
              <w:bottom w:val="nil"/>
              <w:right w:val="nil"/>
            </w:tcBorders>
            <w:tcMar>
              <w:top w:w="70" w:type="dxa"/>
              <w:left w:w="140" w:type="dxa"/>
              <w:bottom w:w="70" w:type="dxa"/>
              <w:right w:w="140" w:type="dxa"/>
            </w:tcMar>
            <w:vAlign w:val="center"/>
            <w:hideMark/>
          </w:tcPr>
          <w:p w14:paraId="4E84695F" w14:textId="77777777" w:rsidR="002A3E00" w:rsidRPr="00275B82" w:rsidRDefault="002A3E00" w:rsidP="00923174">
            <w:pPr>
              <w:pStyle w:val="CETBodytext"/>
              <w:jc w:val="center"/>
              <w:rPr>
                <w:lang w:val="it-IT"/>
              </w:rPr>
            </w:pPr>
            <w:r w:rsidRPr="00275B82">
              <w:rPr>
                <w:lang w:val="it-IT"/>
              </w:rPr>
              <w:t>I</w:t>
            </w:r>
          </w:p>
        </w:tc>
        <w:tc>
          <w:tcPr>
            <w:tcW w:w="910" w:type="dxa"/>
            <w:tcBorders>
              <w:top w:val="nil"/>
              <w:left w:val="nil"/>
              <w:bottom w:val="nil"/>
              <w:right w:val="nil"/>
            </w:tcBorders>
            <w:tcMar>
              <w:top w:w="70" w:type="dxa"/>
              <w:left w:w="140" w:type="dxa"/>
              <w:bottom w:w="70" w:type="dxa"/>
              <w:right w:w="140" w:type="dxa"/>
            </w:tcMar>
            <w:vAlign w:val="center"/>
            <w:hideMark/>
          </w:tcPr>
          <w:p w14:paraId="48CB4192" w14:textId="4D8FBC58" w:rsidR="002A3E00" w:rsidRPr="00275B82" w:rsidRDefault="002A3E00" w:rsidP="00923174">
            <w:pPr>
              <w:pStyle w:val="CETBodytext"/>
              <w:jc w:val="center"/>
              <w:rPr>
                <w:lang w:val="it-IT"/>
              </w:rPr>
            </w:pPr>
            <w:r w:rsidRPr="00275B82">
              <w:rPr>
                <w:lang w:val="it-IT"/>
              </w:rPr>
              <w:t>15</w:t>
            </w:r>
          </w:p>
        </w:tc>
        <w:tc>
          <w:tcPr>
            <w:tcW w:w="1439" w:type="dxa"/>
            <w:tcBorders>
              <w:top w:val="nil"/>
              <w:left w:val="nil"/>
              <w:bottom w:val="nil"/>
              <w:right w:val="nil"/>
            </w:tcBorders>
            <w:tcMar>
              <w:top w:w="70" w:type="dxa"/>
              <w:left w:w="140" w:type="dxa"/>
              <w:bottom w:w="70" w:type="dxa"/>
              <w:right w:w="140" w:type="dxa"/>
            </w:tcMar>
            <w:vAlign w:val="center"/>
            <w:hideMark/>
          </w:tcPr>
          <w:p w14:paraId="389F52A2" w14:textId="7197FDFA" w:rsidR="002A3E00" w:rsidRPr="00275B82" w:rsidRDefault="002A3E00" w:rsidP="00923174">
            <w:pPr>
              <w:pStyle w:val="CETBodytext"/>
              <w:jc w:val="center"/>
              <w:rPr>
                <w:lang w:val="it-IT"/>
              </w:rPr>
            </w:pPr>
            <w:r w:rsidRPr="00275B82">
              <w:rPr>
                <w:lang w:val="it-IT"/>
              </w:rPr>
              <w:t>Acetone</w:t>
            </w:r>
          </w:p>
        </w:tc>
        <w:tc>
          <w:tcPr>
            <w:tcW w:w="829" w:type="dxa"/>
            <w:tcBorders>
              <w:top w:val="nil"/>
              <w:left w:val="nil"/>
              <w:bottom w:val="nil"/>
              <w:right w:val="nil"/>
            </w:tcBorders>
            <w:tcMar>
              <w:top w:w="70" w:type="dxa"/>
              <w:left w:w="140" w:type="dxa"/>
              <w:bottom w:w="70" w:type="dxa"/>
              <w:right w:w="140" w:type="dxa"/>
            </w:tcMar>
            <w:vAlign w:val="center"/>
            <w:hideMark/>
          </w:tcPr>
          <w:p w14:paraId="5331ED76" w14:textId="1E3957E8" w:rsidR="002A3E00" w:rsidRPr="00275B82" w:rsidRDefault="002A3E00" w:rsidP="00923174">
            <w:pPr>
              <w:pStyle w:val="CETBodytext"/>
              <w:jc w:val="center"/>
              <w:rPr>
                <w:lang w:val="it-IT"/>
              </w:rPr>
            </w:pPr>
            <w:r w:rsidRPr="00275B82">
              <w:rPr>
                <w:lang w:val="it-IT"/>
              </w:rPr>
              <w:t>5</w:t>
            </w:r>
          </w:p>
        </w:tc>
        <w:tc>
          <w:tcPr>
            <w:tcW w:w="1560" w:type="dxa"/>
            <w:tcBorders>
              <w:top w:val="nil"/>
              <w:left w:val="nil"/>
              <w:bottom w:val="nil"/>
              <w:right w:val="nil"/>
            </w:tcBorders>
          </w:tcPr>
          <w:p w14:paraId="3A54328A" w14:textId="5BFA6A69" w:rsidR="002A3E00" w:rsidRPr="00275B82" w:rsidRDefault="002A3E00" w:rsidP="00487DAB">
            <w:pPr>
              <w:pStyle w:val="CETBodytext"/>
              <w:jc w:val="center"/>
              <w:rPr>
                <w:lang w:val="it-IT"/>
              </w:rPr>
            </w:pPr>
            <w:r>
              <w:rPr>
                <w:lang w:val="it-IT"/>
              </w:rPr>
              <w:t>1:3</w:t>
            </w:r>
          </w:p>
        </w:tc>
        <w:tc>
          <w:tcPr>
            <w:tcW w:w="1134" w:type="dxa"/>
            <w:tcBorders>
              <w:top w:val="nil"/>
              <w:left w:val="nil"/>
              <w:bottom w:val="nil"/>
              <w:right w:val="nil"/>
            </w:tcBorders>
            <w:tcMar>
              <w:top w:w="70" w:type="dxa"/>
              <w:left w:w="140" w:type="dxa"/>
              <w:bottom w:w="70" w:type="dxa"/>
              <w:right w:w="140" w:type="dxa"/>
            </w:tcMar>
            <w:vAlign w:val="center"/>
            <w:hideMark/>
          </w:tcPr>
          <w:p w14:paraId="3D6FB530" w14:textId="1E4E3BAE" w:rsidR="002A3E00" w:rsidRPr="00275B82" w:rsidRDefault="002A3E00" w:rsidP="00923174">
            <w:pPr>
              <w:pStyle w:val="CETBodytext"/>
              <w:jc w:val="center"/>
              <w:rPr>
                <w:lang w:val="it-IT"/>
              </w:rPr>
            </w:pPr>
            <w:r w:rsidRPr="00275B82">
              <w:rPr>
                <w:lang w:val="it-IT"/>
              </w:rPr>
              <w:t>4800</w:t>
            </w:r>
          </w:p>
        </w:tc>
        <w:tc>
          <w:tcPr>
            <w:tcW w:w="992" w:type="dxa"/>
            <w:tcBorders>
              <w:top w:val="nil"/>
              <w:left w:val="nil"/>
              <w:bottom w:val="nil"/>
              <w:right w:val="nil"/>
            </w:tcBorders>
            <w:tcMar>
              <w:top w:w="70" w:type="dxa"/>
              <w:left w:w="140" w:type="dxa"/>
              <w:bottom w:w="70" w:type="dxa"/>
              <w:right w:w="140" w:type="dxa"/>
            </w:tcMar>
            <w:vAlign w:val="center"/>
            <w:hideMark/>
          </w:tcPr>
          <w:p w14:paraId="0186CCCE" w14:textId="05575458" w:rsidR="002A3E00" w:rsidRPr="00275B82" w:rsidRDefault="002A3E00" w:rsidP="00923174">
            <w:pPr>
              <w:pStyle w:val="CETBodytext"/>
              <w:jc w:val="center"/>
              <w:rPr>
                <w:lang w:val="it-IT"/>
              </w:rPr>
            </w:pPr>
            <w:r w:rsidRPr="00275B82">
              <w:rPr>
                <w:lang w:val="it-IT"/>
              </w:rPr>
              <w:t>10</w:t>
            </w:r>
          </w:p>
        </w:tc>
        <w:tc>
          <w:tcPr>
            <w:tcW w:w="1134" w:type="dxa"/>
            <w:tcBorders>
              <w:top w:val="nil"/>
              <w:left w:val="nil"/>
              <w:bottom w:val="nil"/>
              <w:right w:val="nil"/>
            </w:tcBorders>
            <w:tcMar>
              <w:top w:w="70" w:type="dxa"/>
              <w:left w:w="140" w:type="dxa"/>
              <w:bottom w:w="70" w:type="dxa"/>
              <w:right w:w="140" w:type="dxa"/>
            </w:tcMar>
            <w:vAlign w:val="center"/>
            <w:hideMark/>
          </w:tcPr>
          <w:p w14:paraId="2B6BB090" w14:textId="024B6653" w:rsidR="002A3E00" w:rsidRPr="00275B82" w:rsidRDefault="002A3E00" w:rsidP="00923174">
            <w:pPr>
              <w:pStyle w:val="CETBodytext"/>
              <w:jc w:val="center"/>
              <w:rPr>
                <w:lang w:val="it-IT"/>
              </w:rPr>
            </w:pPr>
            <w:r w:rsidRPr="00275B82">
              <w:rPr>
                <w:lang w:val="it-IT"/>
              </w:rPr>
              <w:t>8</w:t>
            </w:r>
          </w:p>
        </w:tc>
      </w:tr>
      <w:tr w:rsidR="002A3E00" w:rsidRPr="00275B82" w14:paraId="513ADAE3" w14:textId="77777777" w:rsidTr="00AB7957">
        <w:tc>
          <w:tcPr>
            <w:tcW w:w="0" w:type="auto"/>
            <w:tcBorders>
              <w:top w:val="nil"/>
              <w:left w:val="nil"/>
              <w:bottom w:val="single" w:sz="12" w:space="0" w:color="008000"/>
              <w:right w:val="nil"/>
            </w:tcBorders>
            <w:tcMar>
              <w:top w:w="70" w:type="dxa"/>
              <w:left w:w="140" w:type="dxa"/>
              <w:bottom w:w="70" w:type="dxa"/>
              <w:right w:w="140" w:type="dxa"/>
            </w:tcMar>
            <w:vAlign w:val="center"/>
          </w:tcPr>
          <w:p w14:paraId="3ED8633C" w14:textId="570534EE" w:rsidR="002A3E00" w:rsidRPr="00275B82" w:rsidRDefault="002A3E00" w:rsidP="00923174">
            <w:pPr>
              <w:pStyle w:val="CETBodytext"/>
              <w:jc w:val="center"/>
              <w:rPr>
                <w:lang w:val="it-IT"/>
              </w:rPr>
            </w:pPr>
            <w:r>
              <w:rPr>
                <w:lang w:val="it-IT"/>
              </w:rPr>
              <w:t>L</w:t>
            </w:r>
          </w:p>
        </w:tc>
        <w:tc>
          <w:tcPr>
            <w:tcW w:w="910" w:type="dxa"/>
            <w:tcBorders>
              <w:top w:val="nil"/>
              <w:left w:val="nil"/>
              <w:bottom w:val="single" w:sz="12" w:space="0" w:color="008000"/>
              <w:right w:val="nil"/>
            </w:tcBorders>
            <w:tcMar>
              <w:top w:w="70" w:type="dxa"/>
              <w:left w:w="140" w:type="dxa"/>
              <w:bottom w:w="70" w:type="dxa"/>
              <w:right w:w="140" w:type="dxa"/>
            </w:tcMar>
            <w:vAlign w:val="center"/>
          </w:tcPr>
          <w:p w14:paraId="0E63C92B" w14:textId="34986FC9" w:rsidR="002A3E00" w:rsidRPr="00275B82" w:rsidRDefault="002A3E00" w:rsidP="00923174">
            <w:pPr>
              <w:pStyle w:val="CETBodytext"/>
              <w:jc w:val="center"/>
              <w:rPr>
                <w:lang w:val="it-IT"/>
              </w:rPr>
            </w:pPr>
            <w:r>
              <w:rPr>
                <w:lang w:val="it-IT"/>
              </w:rPr>
              <w:t>15</w:t>
            </w:r>
          </w:p>
        </w:tc>
        <w:tc>
          <w:tcPr>
            <w:tcW w:w="1439" w:type="dxa"/>
            <w:tcBorders>
              <w:top w:val="nil"/>
              <w:left w:val="nil"/>
              <w:bottom w:val="single" w:sz="12" w:space="0" w:color="008000"/>
              <w:right w:val="nil"/>
            </w:tcBorders>
            <w:tcMar>
              <w:top w:w="70" w:type="dxa"/>
              <w:left w:w="140" w:type="dxa"/>
              <w:bottom w:w="70" w:type="dxa"/>
              <w:right w:w="140" w:type="dxa"/>
            </w:tcMar>
            <w:vAlign w:val="center"/>
          </w:tcPr>
          <w:p w14:paraId="25293E54" w14:textId="5256B9B2" w:rsidR="002A3E00" w:rsidRPr="00275B82" w:rsidRDefault="002A3E00" w:rsidP="00923174">
            <w:pPr>
              <w:pStyle w:val="CETBodytext"/>
              <w:jc w:val="center"/>
              <w:rPr>
                <w:lang w:val="it-IT"/>
              </w:rPr>
            </w:pPr>
            <w:r w:rsidRPr="00275B82">
              <w:rPr>
                <w:lang w:val="it-IT"/>
              </w:rPr>
              <w:t>Acetone</w:t>
            </w:r>
          </w:p>
        </w:tc>
        <w:tc>
          <w:tcPr>
            <w:tcW w:w="829" w:type="dxa"/>
            <w:tcBorders>
              <w:top w:val="nil"/>
              <w:left w:val="nil"/>
              <w:bottom w:val="single" w:sz="12" w:space="0" w:color="008000"/>
              <w:right w:val="nil"/>
            </w:tcBorders>
            <w:tcMar>
              <w:top w:w="70" w:type="dxa"/>
              <w:left w:w="140" w:type="dxa"/>
              <w:bottom w:w="70" w:type="dxa"/>
              <w:right w:w="140" w:type="dxa"/>
            </w:tcMar>
            <w:vAlign w:val="center"/>
          </w:tcPr>
          <w:p w14:paraId="3A48EFD6" w14:textId="21A13407" w:rsidR="002A3E00" w:rsidRPr="00275B82" w:rsidRDefault="002A3E00" w:rsidP="00923174">
            <w:pPr>
              <w:pStyle w:val="CETBodytext"/>
              <w:jc w:val="center"/>
              <w:rPr>
                <w:lang w:val="it-IT"/>
              </w:rPr>
            </w:pPr>
            <w:r w:rsidRPr="00275B82">
              <w:rPr>
                <w:lang w:val="it-IT"/>
              </w:rPr>
              <w:t>5</w:t>
            </w:r>
          </w:p>
        </w:tc>
        <w:tc>
          <w:tcPr>
            <w:tcW w:w="1560" w:type="dxa"/>
            <w:tcBorders>
              <w:top w:val="nil"/>
              <w:left w:val="nil"/>
              <w:bottom w:val="single" w:sz="12" w:space="0" w:color="008000"/>
              <w:right w:val="nil"/>
            </w:tcBorders>
          </w:tcPr>
          <w:p w14:paraId="345844A8" w14:textId="7A8B073E" w:rsidR="002A3E00" w:rsidRPr="00275B82" w:rsidRDefault="002A3E00" w:rsidP="00487DAB">
            <w:pPr>
              <w:pStyle w:val="CETBodytext"/>
              <w:jc w:val="center"/>
              <w:rPr>
                <w:lang w:val="it-IT"/>
              </w:rPr>
            </w:pPr>
            <w:r>
              <w:rPr>
                <w:lang w:val="it-IT"/>
              </w:rPr>
              <w:t>1:3</w:t>
            </w:r>
          </w:p>
        </w:tc>
        <w:tc>
          <w:tcPr>
            <w:tcW w:w="1134" w:type="dxa"/>
            <w:tcBorders>
              <w:top w:val="nil"/>
              <w:left w:val="nil"/>
              <w:bottom w:val="single" w:sz="12" w:space="0" w:color="008000"/>
              <w:right w:val="nil"/>
            </w:tcBorders>
            <w:tcMar>
              <w:top w:w="70" w:type="dxa"/>
              <w:left w:w="140" w:type="dxa"/>
              <w:bottom w:w="70" w:type="dxa"/>
              <w:right w:w="140" w:type="dxa"/>
            </w:tcMar>
            <w:vAlign w:val="center"/>
          </w:tcPr>
          <w:p w14:paraId="1B25BDFC" w14:textId="4B23B80A" w:rsidR="002A3E00" w:rsidRPr="00275B82" w:rsidRDefault="002A3E00" w:rsidP="00923174">
            <w:pPr>
              <w:pStyle w:val="CETBodytext"/>
              <w:jc w:val="center"/>
              <w:rPr>
                <w:lang w:val="it-IT"/>
              </w:rPr>
            </w:pPr>
            <w:r w:rsidRPr="00275B82">
              <w:rPr>
                <w:lang w:val="it-IT"/>
              </w:rPr>
              <w:t>4800</w:t>
            </w:r>
          </w:p>
        </w:tc>
        <w:tc>
          <w:tcPr>
            <w:tcW w:w="992" w:type="dxa"/>
            <w:tcBorders>
              <w:top w:val="nil"/>
              <w:left w:val="nil"/>
              <w:bottom w:val="single" w:sz="12" w:space="0" w:color="008000"/>
              <w:right w:val="nil"/>
            </w:tcBorders>
            <w:tcMar>
              <w:top w:w="70" w:type="dxa"/>
              <w:left w:w="140" w:type="dxa"/>
              <w:bottom w:w="70" w:type="dxa"/>
              <w:right w:w="140" w:type="dxa"/>
            </w:tcMar>
            <w:vAlign w:val="center"/>
          </w:tcPr>
          <w:p w14:paraId="11F62CD7" w14:textId="4055BB06" w:rsidR="002A3E00" w:rsidRPr="00275B82" w:rsidRDefault="002A3E00" w:rsidP="00923174">
            <w:pPr>
              <w:pStyle w:val="CETBodytext"/>
              <w:jc w:val="center"/>
              <w:rPr>
                <w:lang w:val="it-IT"/>
              </w:rPr>
            </w:pPr>
            <w:r w:rsidRPr="00275B82">
              <w:rPr>
                <w:lang w:val="it-IT"/>
              </w:rPr>
              <w:t>10</w:t>
            </w:r>
          </w:p>
        </w:tc>
        <w:tc>
          <w:tcPr>
            <w:tcW w:w="1134" w:type="dxa"/>
            <w:tcBorders>
              <w:top w:val="nil"/>
              <w:left w:val="nil"/>
              <w:bottom w:val="single" w:sz="12" w:space="0" w:color="008000"/>
              <w:right w:val="nil"/>
            </w:tcBorders>
            <w:tcMar>
              <w:top w:w="70" w:type="dxa"/>
              <w:left w:w="140" w:type="dxa"/>
              <w:bottom w:w="70" w:type="dxa"/>
              <w:right w:w="140" w:type="dxa"/>
            </w:tcMar>
            <w:vAlign w:val="center"/>
          </w:tcPr>
          <w:p w14:paraId="2C22E1BD" w14:textId="33F4B4CA" w:rsidR="002A3E00" w:rsidRPr="00275B82" w:rsidRDefault="002A3E00" w:rsidP="00923174">
            <w:pPr>
              <w:pStyle w:val="CETBodytext"/>
              <w:jc w:val="center"/>
              <w:rPr>
                <w:lang w:val="it-IT"/>
              </w:rPr>
            </w:pPr>
            <w:r w:rsidRPr="00275B82">
              <w:rPr>
                <w:lang w:val="it-IT"/>
              </w:rPr>
              <w:t>15</w:t>
            </w:r>
          </w:p>
        </w:tc>
      </w:tr>
    </w:tbl>
    <w:p w14:paraId="79D72D49" w14:textId="77777777" w:rsidR="001C1F7D" w:rsidRDefault="001C1F7D" w:rsidP="001C1F7D">
      <w:pPr>
        <w:pStyle w:val="CETBodytext"/>
      </w:pPr>
      <w:r>
        <w:lastRenderedPageBreak/>
        <w:t xml:space="preserve">The first tests (i.e., A-D) have been done to select the most suitable solvent for carotenoids extraction. The following tests have been carried out to identify the best solvent-to-sample volume ratio (i.e., E-G) and to identify optimal centrifugation settings and separation conditions (i.e., H-L).  </w:t>
      </w:r>
      <w:r w:rsidRPr="00275B82">
        <w:t xml:space="preserve"> </w:t>
      </w:r>
    </w:p>
    <w:p w14:paraId="0636B784" w14:textId="2AFEC0A8" w:rsidR="00453E24" w:rsidRDefault="00847351" w:rsidP="00847351">
      <w:pPr>
        <w:pStyle w:val="CETAcknowledgementstitle"/>
      </w:pPr>
      <w:r>
        <w:t xml:space="preserve">2.1 </w:t>
      </w:r>
      <w:r w:rsidR="00096225">
        <w:t>Experimental set-up</w:t>
      </w:r>
    </w:p>
    <w:p w14:paraId="40F14C4D" w14:textId="0DE33C27" w:rsidR="00C57F39" w:rsidRDefault="00FA3EF5" w:rsidP="00453E24">
      <w:pPr>
        <w:pStyle w:val="CETBodytext"/>
      </w:pPr>
      <w:r>
        <w:t xml:space="preserve">The process steps are schematically </w:t>
      </w:r>
      <w:r w:rsidR="001B2A4A">
        <w:t xml:space="preserve">illustrated </w:t>
      </w:r>
      <w:r>
        <w:t>in Figure 1.</w:t>
      </w:r>
      <w:r w:rsidR="00C101B9">
        <w:t xml:space="preserve"> </w:t>
      </w:r>
      <w:r w:rsidR="00B95644">
        <w:t xml:space="preserve">After </w:t>
      </w:r>
      <w:r w:rsidR="00E460EC">
        <w:t xml:space="preserve">the </w:t>
      </w:r>
      <w:r w:rsidR="00D610B7">
        <w:t>UF</w:t>
      </w:r>
      <w:r w:rsidR="00E460EC">
        <w:t xml:space="preserve"> treatment</w:t>
      </w:r>
      <w:r w:rsidR="00B95644">
        <w:t xml:space="preserve">, </w:t>
      </w:r>
      <w:r w:rsidR="004F0AE3">
        <w:t xml:space="preserve">pigments </w:t>
      </w:r>
      <w:r w:rsidR="00B95644">
        <w:t xml:space="preserve">extraction </w:t>
      </w:r>
      <w:r w:rsidR="00E460EC">
        <w:t xml:space="preserve">from the UF concentrate </w:t>
      </w:r>
      <w:r w:rsidR="00902F29">
        <w:t xml:space="preserve">was </w:t>
      </w:r>
      <w:r w:rsidR="00375BC1">
        <w:t>carried</w:t>
      </w:r>
      <w:r w:rsidR="00902F29">
        <w:t xml:space="preserve"> out </w:t>
      </w:r>
      <w:r w:rsidR="00B95644">
        <w:t xml:space="preserve">by </w:t>
      </w:r>
      <w:r w:rsidR="00902F29">
        <w:t xml:space="preserve">vigorously </w:t>
      </w:r>
      <w:r w:rsidR="004F0AE3">
        <w:t xml:space="preserve">mixing </w:t>
      </w:r>
      <w:r w:rsidR="00CA0F69">
        <w:t xml:space="preserve">the sample </w:t>
      </w:r>
      <w:r w:rsidR="001A4F1C">
        <w:t xml:space="preserve">with </w:t>
      </w:r>
      <w:r w:rsidR="00B95644">
        <w:t xml:space="preserve">the </w:t>
      </w:r>
      <w:r w:rsidR="001A4F1C">
        <w:t xml:space="preserve">extracting </w:t>
      </w:r>
      <w:r w:rsidR="00B95644">
        <w:t xml:space="preserve">solvent </w:t>
      </w:r>
      <w:r w:rsidR="006E144B">
        <w:t>for 1 minute</w:t>
      </w:r>
      <w:r w:rsidR="00B95644">
        <w:t xml:space="preserve"> </w:t>
      </w:r>
      <w:r w:rsidR="00397E3A">
        <w:t xml:space="preserve">using a </w:t>
      </w:r>
      <w:r w:rsidR="00397E3A" w:rsidRPr="00397E3A">
        <w:t>MIX ARGOlab Vortex Mixer</w:t>
      </w:r>
      <w:r w:rsidR="00397E3A">
        <w:t xml:space="preserve"> (</w:t>
      </w:r>
      <w:r w:rsidR="00397E3A" w:rsidRPr="00AB419B">
        <w:t>Giorgio Bormac S.r.l.</w:t>
      </w:r>
      <w:r w:rsidR="00397E3A">
        <w:t>, Modena, Italy)</w:t>
      </w:r>
      <w:r w:rsidR="00B95644">
        <w:t xml:space="preserve">. </w:t>
      </w:r>
      <w:r w:rsidR="00767FEE">
        <w:t>H</w:t>
      </w:r>
      <w:r w:rsidR="00273EF9">
        <w:t>exane (VWR Chemicals, Leuven, Belgium), methanol</w:t>
      </w:r>
      <w:r w:rsidR="009D760E">
        <w:t xml:space="preserve"> (Carlo Erba Reagents, Milan, Italy),</w:t>
      </w:r>
      <w:r w:rsidR="00273EF9">
        <w:t xml:space="preserve"> ethyl</w:t>
      </w:r>
      <w:r w:rsidR="006B69EF">
        <w:t xml:space="preserve"> </w:t>
      </w:r>
      <w:r w:rsidR="00273EF9">
        <w:t>acetate (Carlo Erba</w:t>
      </w:r>
      <w:r w:rsidR="009F6296">
        <w:t xml:space="preserve"> Reagents</w:t>
      </w:r>
      <w:r w:rsidR="00273EF9">
        <w:t xml:space="preserve">, Milan, Italy) and acetone (Honeywell, Philadelphia, </w:t>
      </w:r>
      <w:r w:rsidR="00215BCF">
        <w:t>PA, USA</w:t>
      </w:r>
      <w:r w:rsidR="00273EF9">
        <w:t xml:space="preserve">) </w:t>
      </w:r>
      <w:r w:rsidR="00767FEE">
        <w:t>were</w:t>
      </w:r>
      <w:r w:rsidR="00273EF9">
        <w:t xml:space="preserve"> used</w:t>
      </w:r>
      <w:r w:rsidR="00767FEE">
        <w:t xml:space="preserve"> as extracti</w:t>
      </w:r>
      <w:r w:rsidR="004E2411">
        <w:t>ng solvents</w:t>
      </w:r>
      <w:r w:rsidR="00273EF9">
        <w:t xml:space="preserve">. </w:t>
      </w:r>
      <w:r w:rsidR="00DF17B1">
        <w:t>P</w:t>
      </w:r>
      <w:r w:rsidR="00B95644">
        <w:t>hase</w:t>
      </w:r>
      <w:r w:rsidR="00DF17B1">
        <w:t xml:space="preserve"> separation</w:t>
      </w:r>
      <w:r w:rsidR="00B95644">
        <w:t xml:space="preserve"> </w:t>
      </w:r>
      <w:r w:rsidR="00DF17B1">
        <w:t xml:space="preserve">was achieved </w:t>
      </w:r>
      <w:r w:rsidR="00B95644">
        <w:t>by centrifugation</w:t>
      </w:r>
      <w:r w:rsidR="00E76E5F">
        <w:t>,</w:t>
      </w:r>
      <w:r w:rsidR="00B95644">
        <w:t xml:space="preserve"> and</w:t>
      </w:r>
      <w:r w:rsidR="00476CBB">
        <w:t xml:space="preserve"> the</w:t>
      </w:r>
      <w:r w:rsidR="00B95644">
        <w:t xml:space="preserve"> </w:t>
      </w:r>
      <w:r w:rsidR="00B571EA">
        <w:t>light</w:t>
      </w:r>
      <w:r w:rsidR="00B95644">
        <w:t xml:space="preserve"> </w:t>
      </w:r>
      <w:r w:rsidR="00351036">
        <w:t>(i.e., organic)</w:t>
      </w:r>
      <w:r w:rsidR="00B95644">
        <w:t xml:space="preserve"> </w:t>
      </w:r>
      <w:r w:rsidR="00351036">
        <w:t xml:space="preserve">phase </w:t>
      </w:r>
      <w:r w:rsidR="004F0AE3">
        <w:t xml:space="preserve">was </w:t>
      </w:r>
      <w:r w:rsidR="00B95644">
        <w:t xml:space="preserve">recovered with a Pasteur </w:t>
      </w:r>
      <w:r w:rsidR="00193513">
        <w:t xml:space="preserve">pipette </w:t>
      </w:r>
      <w:r w:rsidR="00B95644">
        <w:t xml:space="preserve">and </w:t>
      </w:r>
      <w:r w:rsidR="00B571EA">
        <w:t>analyz</w:t>
      </w:r>
      <w:r w:rsidR="00B95644">
        <w:t>ed</w:t>
      </w:r>
      <w:r w:rsidR="00273EF9">
        <w:t>.</w:t>
      </w:r>
      <w:r w:rsidR="00B571EA">
        <w:t xml:space="preserve"> </w:t>
      </w:r>
      <w:r w:rsidR="00FF25EC" w:rsidRPr="00FF25EC">
        <w:t xml:space="preserve">The resulting extracts were stored in the dark at −20 °C until analysis; preliminary spectrophotometric screening (Fig. 1, </w:t>
      </w:r>
      <w:r w:rsidR="007D11FC">
        <w:t xml:space="preserve">analytical </w:t>
      </w:r>
      <w:r w:rsidR="00FF25EC" w:rsidRPr="00FF25EC">
        <w:t xml:space="preserve">step 1) was performed, and only the most promising samples were subsequently analyzed by HPLC (Fig. 1, </w:t>
      </w:r>
      <w:r w:rsidR="007D11FC">
        <w:t xml:space="preserve">analytical </w:t>
      </w:r>
      <w:r w:rsidR="00FF25EC" w:rsidRPr="00FF25EC">
        <w:t>step 2).</w:t>
      </w:r>
    </w:p>
    <w:p w14:paraId="28A6CDB5" w14:textId="77777777" w:rsidR="0021546B" w:rsidRDefault="0021546B" w:rsidP="00453E24">
      <w:pPr>
        <w:pStyle w:val="CETBodytext"/>
      </w:pPr>
    </w:p>
    <w:p w14:paraId="594C55A0" w14:textId="618759E4" w:rsidR="007B787F" w:rsidRDefault="00265997" w:rsidP="007D11FC">
      <w:pPr>
        <w:pStyle w:val="CETBodytext"/>
        <w:keepNext/>
        <w:jc w:val="left"/>
      </w:pPr>
      <w:r>
        <w:rPr>
          <w:noProof/>
          <w:lang w:val="it-IT" w:eastAsia="it-IT"/>
        </w:rPr>
        <w:drawing>
          <wp:inline distT="0" distB="0" distL="0" distR="0" wp14:anchorId="5EE5A6E9" wp14:editId="60CD9055">
            <wp:extent cx="4099560" cy="2176658"/>
            <wp:effectExtent l="0" t="0" r="0" b="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0091" cy="2203487"/>
                    </a:xfrm>
                    <a:prstGeom prst="rect">
                      <a:avLst/>
                    </a:prstGeom>
                    <a:noFill/>
                  </pic:spPr>
                </pic:pic>
              </a:graphicData>
            </a:graphic>
          </wp:inline>
        </w:drawing>
      </w:r>
    </w:p>
    <w:p w14:paraId="696EEC88" w14:textId="7E73CCC2" w:rsidR="007B787F" w:rsidRDefault="007B787F" w:rsidP="005B34BC">
      <w:pPr>
        <w:pStyle w:val="CETCaption"/>
      </w:pPr>
      <w:r>
        <w:t xml:space="preserve">Figure </w:t>
      </w:r>
      <w:r>
        <w:fldChar w:fldCharType="begin"/>
      </w:r>
      <w:r>
        <w:instrText xml:space="preserve"> SEQ Figura \* ARABIC </w:instrText>
      </w:r>
      <w:r>
        <w:fldChar w:fldCharType="separate"/>
      </w:r>
      <w:r w:rsidR="006E3BCF">
        <w:rPr>
          <w:noProof/>
        </w:rPr>
        <w:t>1</w:t>
      </w:r>
      <w:r>
        <w:fldChar w:fldCharType="end"/>
      </w:r>
      <w:r>
        <w:t xml:space="preserve">: </w:t>
      </w:r>
      <w:r w:rsidR="00DC01F8" w:rsidRPr="00DC01F8">
        <w:t>Schematic representation of the adopted</w:t>
      </w:r>
      <w:r w:rsidR="00DC01F8" w:rsidRPr="00DC01F8" w:rsidDel="00DC01F8">
        <w:t xml:space="preserve"> </w:t>
      </w:r>
      <w:r w:rsidR="00DC01F8">
        <w:t>e</w:t>
      </w:r>
      <w:r>
        <w:t>x</w:t>
      </w:r>
      <w:r w:rsidR="00CE6105">
        <w:t>perimental set-up</w:t>
      </w:r>
      <w:r w:rsidR="000B5F95">
        <w:t xml:space="preserve"> and procedure</w:t>
      </w:r>
      <w:r>
        <w:t>.</w:t>
      </w:r>
    </w:p>
    <w:p w14:paraId="18BAFA6F" w14:textId="66C8591E" w:rsidR="00453E24" w:rsidRPr="00B57B36" w:rsidRDefault="00847351">
      <w:pPr>
        <w:pStyle w:val="CETAcknowledgementstitle"/>
      </w:pPr>
      <w:r>
        <w:t xml:space="preserve">2.2 </w:t>
      </w:r>
      <w:r w:rsidR="00C57F39">
        <w:t>Analytical methods</w:t>
      </w:r>
    </w:p>
    <w:p w14:paraId="4A4BDE01" w14:textId="5E289725" w:rsidR="001726FC" w:rsidRDefault="00C57F39" w:rsidP="00453E24">
      <w:pPr>
        <w:pStyle w:val="CETBodytext"/>
        <w:rPr>
          <w:lang w:val="en-GB"/>
        </w:rPr>
      </w:pPr>
      <w:r>
        <w:rPr>
          <w:lang w:val="en-GB"/>
        </w:rPr>
        <w:t xml:space="preserve">All </w:t>
      </w:r>
      <w:r w:rsidR="002B6D2F">
        <w:rPr>
          <w:lang w:val="en-GB"/>
        </w:rPr>
        <w:t xml:space="preserve">extract </w:t>
      </w:r>
      <w:r>
        <w:rPr>
          <w:lang w:val="en-GB"/>
        </w:rPr>
        <w:t xml:space="preserve">samples </w:t>
      </w:r>
      <w:r w:rsidR="006074AB">
        <w:rPr>
          <w:lang w:val="en-GB"/>
        </w:rPr>
        <w:t>were</w:t>
      </w:r>
      <w:r>
        <w:rPr>
          <w:lang w:val="en-GB"/>
        </w:rPr>
        <w:t xml:space="preserve"> immediately analy</w:t>
      </w:r>
      <w:r w:rsidR="00F57D81">
        <w:rPr>
          <w:lang w:val="en-GB"/>
        </w:rPr>
        <w:t>z</w:t>
      </w:r>
      <w:r>
        <w:rPr>
          <w:lang w:val="en-GB"/>
        </w:rPr>
        <w:t xml:space="preserve">ed </w:t>
      </w:r>
      <w:r w:rsidR="000A27F0">
        <w:rPr>
          <w:lang w:val="en-GB"/>
        </w:rPr>
        <w:t xml:space="preserve">using </w:t>
      </w:r>
      <w:r w:rsidR="00397E3A">
        <w:t>the spectrophotometer Onda V-11 Scan (</w:t>
      </w:r>
      <w:r w:rsidR="00397E3A" w:rsidRPr="00AB419B">
        <w:t>Giorgio Bormac S.r.l.</w:t>
      </w:r>
      <w:r w:rsidR="00397E3A">
        <w:t xml:space="preserve">, Modena, Italy) </w:t>
      </w:r>
      <w:r w:rsidR="000A27F0">
        <w:rPr>
          <w:lang w:val="en-GB"/>
        </w:rPr>
        <w:t>reco</w:t>
      </w:r>
      <w:r w:rsidR="00BA373A">
        <w:rPr>
          <w:lang w:val="en-GB"/>
        </w:rPr>
        <w:t>rd</w:t>
      </w:r>
      <w:r w:rsidR="000A27F0">
        <w:rPr>
          <w:lang w:val="en-GB"/>
        </w:rPr>
        <w:t xml:space="preserve">ing </w:t>
      </w:r>
      <w:r w:rsidR="0058031C">
        <w:rPr>
          <w:lang w:val="en-GB"/>
        </w:rPr>
        <w:t xml:space="preserve">the </w:t>
      </w:r>
      <w:r w:rsidR="00010976">
        <w:t xml:space="preserve">UV-VIS </w:t>
      </w:r>
      <w:r w:rsidR="0058031C">
        <w:rPr>
          <w:lang w:val="en-GB"/>
        </w:rPr>
        <w:t xml:space="preserve">spectra </w:t>
      </w:r>
      <w:r w:rsidR="00BA373A">
        <w:rPr>
          <w:lang w:val="en-GB"/>
        </w:rPr>
        <w:t xml:space="preserve">in the </w:t>
      </w:r>
      <w:r w:rsidR="0058031C">
        <w:rPr>
          <w:lang w:val="en-GB"/>
        </w:rPr>
        <w:t>350 and 700</w:t>
      </w:r>
      <w:r w:rsidR="00117BD1">
        <w:rPr>
          <w:lang w:val="en-GB"/>
        </w:rPr>
        <w:t xml:space="preserve"> nm</w:t>
      </w:r>
      <w:r w:rsidR="006F4430">
        <w:rPr>
          <w:lang w:val="en-GB"/>
        </w:rPr>
        <w:t xml:space="preserve"> range</w:t>
      </w:r>
      <w:r w:rsidR="000B327C">
        <w:rPr>
          <w:lang w:val="en-GB"/>
        </w:rPr>
        <w:t xml:space="preserve">. </w:t>
      </w:r>
      <w:r w:rsidR="00932113">
        <w:t>C</w:t>
      </w:r>
      <w:r w:rsidR="007D3F36">
        <w:t xml:space="preserve">arotenes </w:t>
      </w:r>
      <w:r w:rsidR="00932113">
        <w:t>concentrations were calculated usi</w:t>
      </w:r>
      <w:r w:rsidR="00EA0543">
        <w:t xml:space="preserve">ng </w:t>
      </w:r>
      <w:r w:rsidR="007D3F36">
        <w:t xml:space="preserve">Wellburn equations </w:t>
      </w:r>
      <w:r w:rsidR="007D3F36">
        <w:fldChar w:fldCharType="begin"/>
      </w:r>
      <w:r w:rsidR="007D3F36">
        <w:instrText xml:space="preserve"> ADDIN ZOTERO_ITEM CSL_CITATION {"citationID":"wdtNMton","properties":{"formattedCitation":"(Ortega M\\uc0\\u233{}ndez et al., 2012)","plainCitation":"(Ortega Méndez et al., 2012)","noteIndex":0},"citationItems":[{"id":3805,"uris":["http://zotero.org/users/16449344/items/UI5JT8LZ"],"itemData":{"id":3805,"type":"article-journal","abstract":"This research determines the advantages of the use of brine from reverse osmosis seawater desalination processes as hypersaline culture media to grow Dunaliella salina. In this work, we evaluated the growth of a new strain of D. salina (Ds. Janubiense-ITC5.105) cultured in residual brine and in artificial hypersaline media compared with the productivity of a well-established strain of this species (Ds. BCA421-ITC5.003). Parameters such as concentration of chlorophylls a and b and total carotenoids accumulated by the two strains throughout the cultivation course were established. The results show maximum biomass yield of 26.44g m-2 d-1 for Ds. BCA421-ITC5.003 grown in a controlled media with similar salinities to that of desalination brine; and maximum carotenoids productions of 20.93 mg m-2 d-1 for Ds. Janubiense-ITC5.105 grown in brine from seawater desalination processes. This SWRO brine would be an ideal medium to grow this kind of species at low cost in areas with seawater desalination plants. Moreover, the growth of D. salina offers a high rate of nutrient fixation, such as NO3- and PO43-, of up to 99 and 71%, respectively. Due to the fact that desalination brine contains certain amounts of these nutrients in its composition, its use as culture media requires a lower reagent expense. The cultivation also favors the complete removal of these ions from brine, thus improving the quality of the final disposal.","container-title":"Desalination and Water Treatment","DOI":"10.1080/19443994.2012.708206","ISSN":"1944-3986","issue":"1","journalAbbreviation":"Desalination and Water Treatment","page":"115-122","source":"ScienceDirect","title":"Reuse of SWRO brine for the production of carotenoids from &lt;i&gt;Dunaliella salina&lt;/i&gt; and removal of macronutrients","volume":"49","author":[{"family":"Ortega Méndez","given":"J. A."},{"family":"Mendoza","given":"H."},{"family":"Santiago","given":"Dunia E."},{"family":"Aridane Rodríguez","given":"F."},{"family":"Gil Lodos","given":"M."},{"family":"Carmona","given":"L."}],"issued":{"date-parts":[["2012",11,1]]}}}],"schema":"https://github.com/citation-style-language/schema/raw/master/csl-citation.json"} </w:instrText>
      </w:r>
      <w:r w:rsidR="007D3F36">
        <w:fldChar w:fldCharType="separate"/>
      </w:r>
      <w:r w:rsidR="007D3F36" w:rsidRPr="007D3F36">
        <w:rPr>
          <w:rFonts w:cs="Arial"/>
          <w:szCs w:val="24"/>
        </w:rPr>
        <w:t>(Ortega Méndez et al., 2012)</w:t>
      </w:r>
      <w:r w:rsidR="007D3F36">
        <w:fldChar w:fldCharType="end"/>
      </w:r>
      <w:r w:rsidR="007D3F36">
        <w:t xml:space="preserve">. </w:t>
      </w:r>
      <w:r w:rsidR="00EA0543">
        <w:rPr>
          <w:lang w:val="en-GB"/>
        </w:rPr>
        <w:t>Total xanthophylls</w:t>
      </w:r>
      <w:r w:rsidR="001726FC">
        <w:rPr>
          <w:lang w:val="en-GB"/>
        </w:rPr>
        <w:t xml:space="preserve"> concentration </w:t>
      </w:r>
      <w:r w:rsidR="00EA0543">
        <w:rPr>
          <w:lang w:val="en-GB"/>
        </w:rPr>
        <w:t xml:space="preserve">was </w:t>
      </w:r>
      <w:r w:rsidR="002A3A09">
        <w:rPr>
          <w:lang w:val="en-GB"/>
        </w:rPr>
        <w:t xml:space="preserve">estimated using </w:t>
      </w:r>
      <w:r w:rsidR="001726FC">
        <w:rPr>
          <w:lang w:val="en-GB"/>
        </w:rPr>
        <w:t xml:space="preserve">the </w:t>
      </w:r>
      <w:r w:rsidR="00871D1F">
        <w:rPr>
          <w:lang w:val="en-GB"/>
        </w:rPr>
        <w:t>Eq</w:t>
      </w:r>
      <w:r w:rsidR="00AF68F6">
        <w:rPr>
          <w:lang w:val="en-GB"/>
        </w:rPr>
        <w:t xml:space="preserve"> </w:t>
      </w:r>
      <w:r w:rsidR="00871D1F">
        <w:rPr>
          <w:lang w:val="en-GB"/>
        </w:rPr>
        <w:t>(</w:t>
      </w:r>
      <w:r w:rsidR="001726FC">
        <w:rPr>
          <w:lang w:val="en-GB"/>
        </w:rPr>
        <w:t>1</w:t>
      </w:r>
      <w:r w:rsidR="00871D1F">
        <w:rPr>
          <w:lang w:val="en-GB"/>
        </w:rPr>
        <w:t>)</w:t>
      </w:r>
      <w:r w:rsidR="009C0D5D">
        <w:rPr>
          <w:lang w:val="en-GB"/>
        </w:rPr>
        <w:t>, modified</w:t>
      </w:r>
      <w:r w:rsidR="001726FC">
        <w:rPr>
          <w:lang w:val="en-GB"/>
        </w:rPr>
        <w:t xml:space="preserve"> from </w:t>
      </w:r>
      <w:r w:rsidR="001726FC">
        <w:rPr>
          <w:lang w:val="en-GB"/>
        </w:rPr>
        <w:fldChar w:fldCharType="begin"/>
      </w:r>
      <w:r w:rsidR="003F575A">
        <w:rPr>
          <w:lang w:val="en-GB"/>
        </w:rPr>
        <w:instrText xml:space="preserve"> ADDIN ZOTERO_ITEM CSL_CITATION {"citationID":"npY4xR7m","properties":{"formattedCitation":"(Bulda et al., 2008)","plainCitation":"(Bulda et al., 2008)","dontUpdate":true,"noteIndex":0},"citationItems":[{"id":3877,"uris":["http://zotero.org/users/16449344/items/VMQZV3DD"],"itemData":{"id":3877,"type":"article-journal","abstract":"The method of spectrophotometric measurement of carotenoid and chlorophyll content in extracts from plant seeds was modified. The pigments were extracted with a mixture of petroleum ether (PE) and tetrahydrofuran (THF) (PE to THF ratio 4: 1). Equations for calculations of β-carotene, lutein, chlorophyll a and b content in PE: THF mixture were obtained using specific absorption coefficients of solutions of particular pigments. It was shown that subtraction of chlorophyll contribution from the absorption spectrum of seed extracts yields spectra, which could be used in some cases for calculation of carotene and xanthophyll contents.","container-title":"Russian Journal of Plant Physiology","DOI":"10.1134/S1021443708040171","ISSN":"1608-3407","issue":"4","journalAbbreviation":"Russ J Plant Physiol","language":"en","page":"544-551","source":"Springer Link","title":"Spectrophotometric measurement of carotenes, xanthophylls, and chlorophylls in extracts from plant seeds","volume":"55","author":[{"family":"Bulda","given":"O. V."},{"family":"Rassadina","given":"V. V."},{"family":"Alekseichuk","given":"H. N."},{"family":"Laman","given":"N. A."}],"issued":{"date-parts":[["2008",7,1]]}}}],"schema":"https://github.com/citation-style-language/schema/raw/master/csl-citation.json"} </w:instrText>
      </w:r>
      <w:r w:rsidR="001726FC">
        <w:rPr>
          <w:lang w:val="en-GB"/>
        </w:rPr>
        <w:fldChar w:fldCharType="separate"/>
      </w:r>
      <w:r w:rsidR="001726FC" w:rsidRPr="001726FC">
        <w:rPr>
          <w:rFonts w:cs="Arial"/>
        </w:rPr>
        <w:t xml:space="preserve">Bulda et al. </w:t>
      </w:r>
      <w:r w:rsidR="001726FC">
        <w:rPr>
          <w:rFonts w:cs="Arial"/>
        </w:rPr>
        <w:t>(</w:t>
      </w:r>
      <w:r w:rsidR="001726FC" w:rsidRPr="001726FC">
        <w:rPr>
          <w:rFonts w:cs="Arial"/>
        </w:rPr>
        <w:t>2008)</w:t>
      </w:r>
      <w:r w:rsidR="001726FC">
        <w:rPr>
          <w:lang w:val="en-GB"/>
        </w:rPr>
        <w:fldChar w:fldCharType="end"/>
      </w:r>
      <w:r w:rsidR="00D52E3B">
        <w:rPr>
          <w:lang w:val="en-GB"/>
        </w:rPr>
        <w:t xml:space="preserve"> as follows:</w:t>
      </w:r>
    </w:p>
    <w:tbl>
      <w:tblPr>
        <w:tblW w:w="5000" w:type="pct"/>
        <w:tblLook w:val="04A0" w:firstRow="1" w:lastRow="0" w:firstColumn="1" w:lastColumn="0" w:noHBand="0" w:noVBand="1"/>
      </w:tblPr>
      <w:tblGrid>
        <w:gridCol w:w="7986"/>
        <w:gridCol w:w="801"/>
      </w:tblGrid>
      <w:tr w:rsidR="001726FC" w:rsidRPr="00B67589" w14:paraId="2575F546" w14:textId="77777777" w:rsidTr="00EA5FF3">
        <w:trPr>
          <w:trHeight w:val="567"/>
        </w:trPr>
        <w:tc>
          <w:tcPr>
            <w:tcW w:w="8188" w:type="dxa"/>
            <w:vAlign w:val="center"/>
          </w:tcPr>
          <w:p w14:paraId="0E1E4955" w14:textId="18DBB723" w:rsidR="001726FC" w:rsidRPr="006E3BCF" w:rsidRDefault="00CA1C55" w:rsidP="00A31806">
            <w:pPr>
              <w:pStyle w:val="CETEquation"/>
            </w:pPr>
            <m:oMath>
              <m:r>
                <w:rPr>
                  <w:rFonts w:ascii="Cambria Math" w:hAnsi="Cambria Math"/>
                  <w:vertAlign w:val="subscript"/>
                </w:rPr>
                <m:t>Xanthophyl</m:t>
              </m:r>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 xml:space="preserve"> </m:t>
                  </m:r>
                </m:sub>
              </m:sSub>
              <m:r>
                <m:rPr>
                  <m:sty m:val="p"/>
                </m:rPr>
                <w:rPr>
                  <w:rFonts w:ascii="Cambria Math" w:hAnsi="Cambria Math"/>
                </w:rPr>
                <m:t xml:space="preserve"> </m:t>
              </m:r>
              <m:r>
                <w:rPr>
                  <w:rFonts w:ascii="Cambria Math" w:hAnsi="Cambria Math"/>
                </w:rPr>
                <m:t>concentration</m:t>
              </m:r>
              <m:r>
                <m:rPr>
                  <m:sty m:val="p"/>
                </m:rPr>
                <w:rPr>
                  <w:rFonts w:ascii="Cambria Math" w:hAnsi="Cambria Math"/>
                </w:rPr>
                <m:t xml:space="preserve"> (mg/L)</m:t>
              </m:r>
            </m:oMath>
            <w:r w:rsidR="001726FC">
              <w:t>=</w:t>
            </w:r>
            <w:r w:rsidR="00676111">
              <w:t xml:space="preserve"> </w:t>
            </w:r>
            <w:r w:rsidR="00B54E00">
              <w:t>3.84</w:t>
            </w:r>
            <w:r w:rsidR="00A31806">
              <w:t xml:space="preserve"> </w:t>
            </w:r>
            <w:r w:rsidR="00523C3F">
              <w:t>Abs</w:t>
            </w:r>
            <w:r w:rsidR="00523C3F">
              <w:rPr>
                <w:vertAlign w:val="subscript"/>
              </w:rPr>
              <w:t>480</w:t>
            </w:r>
            <w:r w:rsidR="00A31806">
              <w:rPr>
                <w:vertAlign w:val="subscript"/>
              </w:rPr>
              <w:t xml:space="preserve"> </w:t>
            </w:r>
            <w:r w:rsidR="00A31806">
              <w:rPr>
                <w:rFonts w:cs="Arial"/>
                <w:vertAlign w:val="subscript"/>
              </w:rPr>
              <w:t>−</w:t>
            </w:r>
            <w:r w:rsidR="00676111">
              <w:t xml:space="preserve"> </w:t>
            </w:r>
            <w:r w:rsidR="00B54E00">
              <w:t>6.87</w:t>
            </w:r>
            <w:r w:rsidR="00A31806">
              <w:t xml:space="preserve"> </w:t>
            </w:r>
            <w:r w:rsidR="00676111">
              <w:t>Abs</w:t>
            </w:r>
            <w:r w:rsidR="00676111">
              <w:rPr>
                <w:vertAlign w:val="subscript"/>
              </w:rPr>
              <w:t>495</w:t>
            </w:r>
          </w:p>
        </w:tc>
        <w:tc>
          <w:tcPr>
            <w:tcW w:w="815" w:type="dxa"/>
            <w:vAlign w:val="center"/>
          </w:tcPr>
          <w:p w14:paraId="3AF0082A" w14:textId="77777777" w:rsidR="001726FC" w:rsidRPr="00B67589" w:rsidRDefault="001726FC" w:rsidP="00010976">
            <w:pPr>
              <w:pStyle w:val="CETEquation"/>
            </w:pPr>
            <w:r w:rsidRPr="00B67589">
              <w:t>(1)</w:t>
            </w:r>
          </w:p>
        </w:tc>
      </w:tr>
    </w:tbl>
    <w:p w14:paraId="1994BF2A" w14:textId="509A2C6A" w:rsidR="00450C32" w:rsidRDefault="00E4410F" w:rsidP="00453E24">
      <w:pPr>
        <w:pStyle w:val="CETBodytext"/>
        <w:rPr>
          <w:lang w:val="en-GB"/>
        </w:rPr>
      </w:pPr>
      <w:r>
        <w:rPr>
          <w:lang w:val="en-GB"/>
        </w:rPr>
        <w:t>Selected</w:t>
      </w:r>
      <w:r w:rsidR="000B327C">
        <w:rPr>
          <w:lang w:val="en-GB"/>
        </w:rPr>
        <w:t xml:space="preserve"> </w:t>
      </w:r>
      <w:r w:rsidR="001726FC">
        <w:rPr>
          <w:lang w:val="en-GB"/>
        </w:rPr>
        <w:t xml:space="preserve">samples </w:t>
      </w:r>
      <w:r>
        <w:rPr>
          <w:lang w:val="en-GB"/>
        </w:rPr>
        <w:t>were further</w:t>
      </w:r>
      <w:r w:rsidR="000B327C">
        <w:rPr>
          <w:lang w:val="en-GB"/>
        </w:rPr>
        <w:t xml:space="preserve"> analysed</w:t>
      </w:r>
      <w:r>
        <w:rPr>
          <w:lang w:val="en-GB"/>
        </w:rPr>
        <w:t xml:space="preserve"> by</w:t>
      </w:r>
      <w:r w:rsidR="00B623B2">
        <w:rPr>
          <w:lang w:val="en-GB"/>
        </w:rPr>
        <w:t xml:space="preserve"> </w:t>
      </w:r>
      <w:r w:rsidR="004B6D68">
        <w:t>H</w:t>
      </w:r>
      <w:r w:rsidRPr="00E4410F">
        <w:t>igh-</w:t>
      </w:r>
      <w:r w:rsidR="004B6D68">
        <w:t>P</w:t>
      </w:r>
      <w:r w:rsidRPr="00E4410F">
        <w:t xml:space="preserve">erformance </w:t>
      </w:r>
      <w:r w:rsidR="004B6D68">
        <w:t>L</w:t>
      </w:r>
      <w:r w:rsidRPr="00E4410F">
        <w:t xml:space="preserve">iquid </w:t>
      </w:r>
      <w:r w:rsidR="004B6D68">
        <w:t>C</w:t>
      </w:r>
      <w:r w:rsidRPr="00E4410F">
        <w:t>hromatography</w:t>
      </w:r>
      <w:r>
        <w:t xml:space="preserve"> (</w:t>
      </w:r>
      <w:r w:rsidR="00397E3A">
        <w:t>HPLC</w:t>
      </w:r>
      <w:r>
        <w:t>) using a</w:t>
      </w:r>
      <w:r w:rsidR="00397E3A">
        <w:t xml:space="preserve"> 1220 Infinity (Agilent Technologies, Santa Clara, C</w:t>
      </w:r>
      <w:r w:rsidR="005808F6">
        <w:t>A, USA</w:t>
      </w:r>
      <w:r w:rsidR="00397E3A">
        <w:t>)</w:t>
      </w:r>
      <w:r w:rsidR="000B327C">
        <w:rPr>
          <w:lang w:val="en-GB"/>
        </w:rPr>
        <w:t xml:space="preserve"> </w:t>
      </w:r>
      <w:r w:rsidR="00914349">
        <w:rPr>
          <w:lang w:val="en-GB"/>
        </w:rPr>
        <w:t xml:space="preserve">equipped </w:t>
      </w:r>
      <w:r w:rsidR="000B327C">
        <w:rPr>
          <w:lang w:val="en-GB"/>
        </w:rPr>
        <w:t>with an UV-DAD detector</w:t>
      </w:r>
      <w:r w:rsidR="00F0743D">
        <w:rPr>
          <w:lang w:val="en-GB"/>
        </w:rPr>
        <w:t xml:space="preserve"> and</w:t>
      </w:r>
      <w:r w:rsidR="00B623B2">
        <w:rPr>
          <w:lang w:val="en-GB"/>
        </w:rPr>
        <w:t xml:space="preserve"> </w:t>
      </w:r>
      <w:r w:rsidR="00F0743D">
        <w:t>t</w:t>
      </w:r>
      <w:r w:rsidR="00397E3A">
        <w:t>he column FlexFire Fusion C30 (250</w:t>
      </w:r>
      <w:r w:rsidR="004336F4">
        <w:t xml:space="preserve"> </w:t>
      </w:r>
      <w:r w:rsidR="004336F4" w:rsidRPr="004336F4">
        <w:t xml:space="preserve"> ×</w:t>
      </w:r>
      <w:r w:rsidR="004336F4">
        <w:t xml:space="preserve"> </w:t>
      </w:r>
      <w:r w:rsidR="00397E3A">
        <w:t xml:space="preserve">4.6 mm, 5 </w:t>
      </w:r>
      <w:r w:rsidR="00397E3A">
        <w:rPr>
          <w:rFonts w:cs="Arial"/>
        </w:rPr>
        <w:t>μ</w:t>
      </w:r>
      <w:r w:rsidR="00397E3A">
        <w:t xml:space="preserve">m). </w:t>
      </w:r>
      <w:r w:rsidR="000B327C" w:rsidRPr="00A67A84">
        <w:rPr>
          <w:lang w:val="en-GB"/>
        </w:rPr>
        <w:t xml:space="preserve">The </w:t>
      </w:r>
      <w:r w:rsidR="00411A9C">
        <w:rPr>
          <w:lang w:val="en-GB"/>
        </w:rPr>
        <w:t xml:space="preserve">mobile phases consisted of </w:t>
      </w:r>
      <w:r w:rsidR="009F6296" w:rsidRPr="00A67A84">
        <w:rPr>
          <w:lang w:val="en-GB"/>
        </w:rPr>
        <w:t>HPLC-</w:t>
      </w:r>
      <w:r w:rsidR="009F6296" w:rsidRPr="00A92BEA">
        <w:rPr>
          <w:lang w:val="en-GB"/>
        </w:rPr>
        <w:t xml:space="preserve">grade </w:t>
      </w:r>
      <w:r w:rsidR="00F74F6D" w:rsidRPr="00A92BEA">
        <w:rPr>
          <w:lang w:val="en-GB"/>
        </w:rPr>
        <w:t>et</w:t>
      </w:r>
      <w:r w:rsidR="00F74F6D" w:rsidRPr="000A400C">
        <w:t>hyl</w:t>
      </w:r>
      <w:r w:rsidR="00411A9C">
        <w:t xml:space="preserve"> </w:t>
      </w:r>
      <w:r w:rsidR="00F74F6D" w:rsidRPr="000A400C">
        <w:t>acetate 100% (</w:t>
      </w:r>
      <w:r w:rsidR="009F6296" w:rsidRPr="00010976">
        <w:t>Carlo Erba Reagents, Milan, Italy</w:t>
      </w:r>
      <w:r w:rsidR="00F74F6D" w:rsidRPr="00A67A84">
        <w:t xml:space="preserve">) and </w:t>
      </w:r>
      <w:r w:rsidR="00F74F6D" w:rsidRPr="00A92BEA">
        <w:t xml:space="preserve">a mixture of acetonitrile </w:t>
      </w:r>
      <w:r w:rsidR="009F6296" w:rsidRPr="00010976">
        <w:t xml:space="preserve">Chromasolv </w:t>
      </w:r>
      <w:r w:rsidR="00F74F6D" w:rsidRPr="00A67A84">
        <w:t>(</w:t>
      </w:r>
      <w:r w:rsidR="009F6296" w:rsidRPr="00010976">
        <w:t>Si</w:t>
      </w:r>
      <w:r w:rsidR="009F6296" w:rsidRPr="00A67A84">
        <w:rPr>
          <w:lang w:val="en-GB"/>
        </w:rPr>
        <w:t>g</w:t>
      </w:r>
      <w:r w:rsidR="009F6296" w:rsidRPr="00010976">
        <w:t>ma-Aldric</w:t>
      </w:r>
      <w:r w:rsidR="009F6296" w:rsidRPr="00A67A84">
        <w:rPr>
          <w:lang w:val="en-GB"/>
        </w:rPr>
        <w:t>h, St. Louis, M</w:t>
      </w:r>
      <w:r w:rsidR="00215BCF">
        <w:rPr>
          <w:lang w:val="en-GB"/>
        </w:rPr>
        <w:t>O, USA</w:t>
      </w:r>
      <w:r w:rsidR="00F74F6D" w:rsidRPr="00A67A84">
        <w:t xml:space="preserve">) and </w:t>
      </w:r>
      <w:r w:rsidR="00F62CAB" w:rsidRPr="00A67A84">
        <w:rPr>
          <w:lang w:val="en-GB"/>
        </w:rPr>
        <w:t>HPLC-</w:t>
      </w:r>
      <w:r w:rsidR="00F62CAB" w:rsidRPr="00A92BEA">
        <w:rPr>
          <w:lang w:val="en-GB"/>
        </w:rPr>
        <w:t xml:space="preserve">grade </w:t>
      </w:r>
      <w:r w:rsidR="004B6D68" w:rsidRPr="00A67A84">
        <w:t>water</w:t>
      </w:r>
      <w:r w:rsidR="004B6D68" w:rsidRPr="00A92BEA">
        <w:t xml:space="preserve"> </w:t>
      </w:r>
      <w:r w:rsidR="00F74F6D" w:rsidRPr="00A92BEA">
        <w:t>(</w:t>
      </w:r>
      <w:r w:rsidR="00F62CAB" w:rsidRPr="001D46B5">
        <w:t>Si</w:t>
      </w:r>
      <w:r w:rsidR="00F62CAB" w:rsidRPr="00A67A84">
        <w:rPr>
          <w:lang w:val="en-GB"/>
        </w:rPr>
        <w:t>g</w:t>
      </w:r>
      <w:r w:rsidR="00F62CAB" w:rsidRPr="001D46B5">
        <w:t>ma-Aldric</w:t>
      </w:r>
      <w:r w:rsidR="00F62CAB" w:rsidRPr="00A67A84">
        <w:rPr>
          <w:lang w:val="en-GB"/>
        </w:rPr>
        <w:t>h, St. Louis, M</w:t>
      </w:r>
      <w:r w:rsidR="00F62CAB">
        <w:rPr>
          <w:lang w:val="en-GB"/>
        </w:rPr>
        <w:t>O, USA</w:t>
      </w:r>
      <w:r w:rsidR="00F74F6D" w:rsidRPr="00A92BEA">
        <w:t xml:space="preserve">) (9:1, </w:t>
      </w:r>
      <w:r w:rsidR="00C340C7">
        <w:t>v/v</w:t>
      </w:r>
      <w:r w:rsidR="00F74F6D" w:rsidRPr="00A92BEA">
        <w:t>)</w:t>
      </w:r>
      <w:r w:rsidR="00F74F6D" w:rsidRPr="000A400C">
        <w:t xml:space="preserve">. The </w:t>
      </w:r>
      <w:r w:rsidR="000B327C" w:rsidRPr="000A400C">
        <w:rPr>
          <w:lang w:val="en-GB"/>
        </w:rPr>
        <w:t xml:space="preserve">gradient was </w:t>
      </w:r>
      <w:r w:rsidR="00C340C7">
        <w:rPr>
          <w:lang w:val="en-GB"/>
        </w:rPr>
        <w:t>as</w:t>
      </w:r>
      <w:r w:rsidR="00C340C7" w:rsidRPr="000A400C">
        <w:rPr>
          <w:lang w:val="en-GB"/>
        </w:rPr>
        <w:t xml:space="preserve"> </w:t>
      </w:r>
      <w:r w:rsidR="000B327C" w:rsidRPr="000A400C">
        <w:rPr>
          <w:lang w:val="en-GB"/>
        </w:rPr>
        <w:t>follow:</w:t>
      </w:r>
      <w:r w:rsidR="0058031C" w:rsidRPr="000A400C">
        <w:rPr>
          <w:lang w:val="en-GB"/>
        </w:rPr>
        <w:t xml:space="preserve"> </w:t>
      </w:r>
      <w:r w:rsidR="00A80BEE" w:rsidRPr="000A400C">
        <w:rPr>
          <w:lang w:val="en-GB"/>
        </w:rPr>
        <w:t>i)</w:t>
      </w:r>
      <w:r w:rsidR="00A80BEE" w:rsidRPr="008371F8">
        <w:rPr>
          <w:lang w:val="en-GB"/>
        </w:rPr>
        <w:t xml:space="preserve"> 0-16 min 0-60% ethyl acetate 100%, ii) 16-30 min 60% ethyl acetate 100%, iii) 30-32 min 100% ethyl acetate 100%, iv) 32-35 min 100% acetonitrile:water (9:1). </w:t>
      </w:r>
      <w:r w:rsidR="00817FBC" w:rsidRPr="008371F8">
        <w:rPr>
          <w:lang w:val="en-GB"/>
        </w:rPr>
        <w:t xml:space="preserve">Injection volume was 10 </w:t>
      </w:r>
      <w:r w:rsidR="00817FBC" w:rsidRPr="00010976">
        <w:rPr>
          <w:rFonts w:cs="Arial"/>
          <w:lang w:val="en-GB"/>
        </w:rPr>
        <w:t>μ</w:t>
      </w:r>
      <w:r w:rsidR="00817FBC" w:rsidRPr="00010976">
        <w:rPr>
          <w:lang w:val="en-GB"/>
        </w:rPr>
        <w:t xml:space="preserve">L. Chromatograms </w:t>
      </w:r>
      <w:r w:rsidR="008A5B93">
        <w:rPr>
          <w:lang w:val="en-GB"/>
        </w:rPr>
        <w:t>were</w:t>
      </w:r>
      <w:r w:rsidR="00817FBC" w:rsidRPr="008371F8">
        <w:rPr>
          <w:lang w:val="en-GB"/>
        </w:rPr>
        <w:t xml:space="preserve"> recorded at 450 nm. </w:t>
      </w:r>
      <w:r w:rsidR="00F74F6D" w:rsidRPr="00010976">
        <w:rPr>
          <w:rFonts w:cs="Arial"/>
        </w:rPr>
        <w:t>β-carotene, zeaxant</w:t>
      </w:r>
      <w:r w:rsidR="00F74F6D" w:rsidRPr="00010976">
        <w:t>hin and antheraxanthin</w:t>
      </w:r>
      <w:r w:rsidR="008A5B93" w:rsidRPr="008A5B93">
        <w:t xml:space="preserve"> </w:t>
      </w:r>
      <w:r w:rsidR="008A5B93" w:rsidRPr="00010976">
        <w:t>standards</w:t>
      </w:r>
      <w:r w:rsidR="00215BCF">
        <w:t xml:space="preserve"> </w:t>
      </w:r>
      <w:r w:rsidR="00C20149">
        <w:t>(</w:t>
      </w:r>
      <w:r w:rsidR="00215BCF" w:rsidRPr="001D46B5">
        <w:t>Si</w:t>
      </w:r>
      <w:r w:rsidR="00215BCF" w:rsidRPr="001D46B5">
        <w:rPr>
          <w:lang w:val="en-GB"/>
        </w:rPr>
        <w:t>g</w:t>
      </w:r>
      <w:r w:rsidR="00215BCF" w:rsidRPr="001D46B5">
        <w:t>ma-Aldric</w:t>
      </w:r>
      <w:r w:rsidR="00215BCF" w:rsidRPr="001D46B5">
        <w:rPr>
          <w:lang w:val="en-GB"/>
        </w:rPr>
        <w:t>h</w:t>
      </w:r>
      <w:r w:rsidR="00C20149">
        <w:rPr>
          <w:lang w:val="en-GB"/>
        </w:rPr>
        <w:t>,</w:t>
      </w:r>
      <w:r w:rsidR="00215BCF" w:rsidRPr="001D46B5">
        <w:rPr>
          <w:lang w:val="en-GB"/>
        </w:rPr>
        <w:t xml:space="preserve"> St. Louis, M</w:t>
      </w:r>
      <w:r w:rsidR="00215BCF">
        <w:rPr>
          <w:lang w:val="en-GB"/>
        </w:rPr>
        <w:t>O, USA)</w:t>
      </w:r>
      <w:r w:rsidR="001B64D8">
        <w:rPr>
          <w:lang w:val="en-GB"/>
        </w:rPr>
        <w:t xml:space="preserve"> were used for identification and quantification</w:t>
      </w:r>
      <w:r w:rsidR="00310024">
        <w:t>.</w:t>
      </w:r>
      <w:r w:rsidR="00D13453" w:rsidRPr="00D13453">
        <w:t xml:space="preserve"> </w:t>
      </w:r>
      <w:r w:rsidR="00303FE4">
        <w:t>C</w:t>
      </w:r>
      <w:r w:rsidR="00D13453">
        <w:t xml:space="preserve">alibration curves </w:t>
      </w:r>
      <w:r w:rsidR="00303FE4">
        <w:t xml:space="preserve">were established over the </w:t>
      </w:r>
      <w:r w:rsidR="00D13453">
        <w:t xml:space="preserve">concentration range of 0.5–50 mg/L </w:t>
      </w:r>
      <w:r w:rsidR="00BC7C24">
        <w:t xml:space="preserve">and are described </w:t>
      </w:r>
      <w:r w:rsidR="00D13453">
        <w:t>by Eq</w:t>
      </w:r>
      <w:r w:rsidR="00BC708F">
        <w:t>s.</w:t>
      </w:r>
      <w:r w:rsidR="00AF68F6">
        <w:t xml:space="preserve"> </w:t>
      </w:r>
      <w:r w:rsidR="00D13453">
        <w:t>2</w:t>
      </w:r>
      <w:r w:rsidR="00871D1F">
        <w:t>,</w:t>
      </w:r>
      <w:r w:rsidR="00D13453">
        <w:t xml:space="preserve"> 3</w:t>
      </w:r>
      <w:r w:rsidR="00871D1F">
        <w:t xml:space="preserve"> and 4</w:t>
      </w:r>
      <w:r w:rsidR="00381526">
        <w:t>. P</w:t>
      </w:r>
      <w:r w:rsidR="00381526" w:rsidRPr="00381526">
        <w:rPr>
          <w:lang w:val="en-GB"/>
        </w:rPr>
        <w:t xml:space="preserve">eak areas </w:t>
      </w:r>
      <w:r w:rsidR="006A3616">
        <w:t xml:space="preserve">(mAU·s) </w:t>
      </w:r>
      <w:r w:rsidR="00381526" w:rsidRPr="00381526">
        <w:rPr>
          <w:lang w:val="en-GB"/>
        </w:rPr>
        <w:t>used in the equations</w:t>
      </w:r>
      <w:r w:rsidR="00A31806">
        <w:rPr>
          <w:lang w:val="en-GB"/>
        </w:rPr>
        <w:t xml:space="preserve"> indicated as Area</w:t>
      </w:r>
      <w:r w:rsidR="00381526" w:rsidRPr="00381526">
        <w:rPr>
          <w:lang w:val="en-GB"/>
        </w:rPr>
        <w:t xml:space="preserve"> were obtained by integration of the corresponding chromatograms.</w:t>
      </w:r>
    </w:p>
    <w:tbl>
      <w:tblPr>
        <w:tblW w:w="5000" w:type="pct"/>
        <w:tblLook w:val="04A0" w:firstRow="1" w:lastRow="0" w:firstColumn="1" w:lastColumn="0" w:noHBand="0" w:noVBand="1"/>
      </w:tblPr>
      <w:tblGrid>
        <w:gridCol w:w="7984"/>
        <w:gridCol w:w="803"/>
      </w:tblGrid>
      <w:tr w:rsidR="000C2521" w:rsidRPr="00B67589" w14:paraId="7FC1F69B" w14:textId="77777777" w:rsidTr="00EA5FF3">
        <w:trPr>
          <w:trHeight w:val="567"/>
        </w:trPr>
        <w:tc>
          <w:tcPr>
            <w:tcW w:w="7984" w:type="dxa"/>
            <w:vAlign w:val="center"/>
          </w:tcPr>
          <w:p w14:paraId="58F2F23E" w14:textId="7EF152DC" w:rsidR="000C2521" w:rsidRPr="001726FC" w:rsidRDefault="00EF196E" w:rsidP="005C268C">
            <w:pPr>
              <w:pStyle w:val="CETEquation"/>
              <w:rPr>
                <w:vertAlign w:val="subscript"/>
              </w:rPr>
            </w:pPr>
            <m:oMath>
              <m:r>
                <w:rPr>
                  <w:rFonts w:ascii="Cambria Math" w:hAnsi="Cambria Math"/>
                  <w:vertAlign w:val="subscript"/>
                </w:rPr>
                <m:t>βcarotene</m:t>
              </m:r>
              <m:r>
                <m:rPr>
                  <m:sty m:val="p"/>
                </m:rPr>
                <w:rPr>
                  <w:rFonts w:ascii="Cambria Math" w:hAnsi="Cambria Math"/>
                </w:rPr>
                <m:t xml:space="preserve"> </m:t>
              </m:r>
              <m:r>
                <w:rPr>
                  <w:rFonts w:ascii="Cambria Math" w:hAnsi="Cambria Math"/>
                </w:rPr>
                <m:t>concentration</m:t>
              </m:r>
              <m:r>
                <w:rPr>
                  <w:rFonts w:ascii="Cambria Math" w:hAnsi="Cambria Math"/>
                  <w:vertAlign w:val="subscript"/>
                </w:rPr>
                <m:t xml:space="preserve"> </m:t>
              </m:r>
              <m:r>
                <m:rPr>
                  <m:sty m:val="p"/>
                </m:rPr>
                <w:rPr>
                  <w:rFonts w:ascii="Cambria Math" w:hAnsi="Cambria Math"/>
                </w:rPr>
                <m:t>(mg/L)</m:t>
              </m:r>
            </m:oMath>
            <w:r w:rsidR="001D683D">
              <w:t>= 0.0</w:t>
            </w:r>
            <w:r w:rsidR="00817FBC">
              <w:t>3</w:t>
            </w:r>
            <w:r w:rsidR="001D683D">
              <w:t>5</w:t>
            </w:r>
            <w:r w:rsidR="00A31806">
              <w:t xml:space="preserve"> </w:t>
            </w:r>
            <w:r w:rsidR="001D683D">
              <w:t xml:space="preserve">Area </w:t>
            </w:r>
            <w:r w:rsidR="00817FBC">
              <w:t>–</w:t>
            </w:r>
            <w:r w:rsidR="001D683D">
              <w:t xml:space="preserve"> </w:t>
            </w:r>
            <w:r w:rsidR="00817FBC">
              <w:t>2.832</w:t>
            </w:r>
          </w:p>
        </w:tc>
        <w:tc>
          <w:tcPr>
            <w:tcW w:w="803" w:type="dxa"/>
            <w:vAlign w:val="center"/>
          </w:tcPr>
          <w:p w14:paraId="7B442164" w14:textId="3557F6C3" w:rsidR="000C2521" w:rsidRPr="00B67589" w:rsidRDefault="000C2521" w:rsidP="00010976">
            <w:pPr>
              <w:pStyle w:val="CETEquation"/>
            </w:pPr>
            <w:r w:rsidRPr="00B67589">
              <w:t>(</w:t>
            </w:r>
            <w:r>
              <w:t>2</w:t>
            </w:r>
            <w:r w:rsidRPr="00B67589">
              <w:t>)</w:t>
            </w:r>
          </w:p>
        </w:tc>
      </w:tr>
      <w:tr w:rsidR="007D3F36" w:rsidRPr="00B67589" w14:paraId="1015FAB4" w14:textId="77777777" w:rsidTr="00EA5FF3">
        <w:trPr>
          <w:trHeight w:val="567"/>
        </w:trPr>
        <w:tc>
          <w:tcPr>
            <w:tcW w:w="7984" w:type="dxa"/>
            <w:vAlign w:val="center"/>
          </w:tcPr>
          <w:p w14:paraId="62C3D0AE" w14:textId="6E6CDDF8" w:rsidR="007D3F36" w:rsidRPr="00AD4427" w:rsidRDefault="00203B5D" w:rsidP="005C268C">
            <w:pPr>
              <w:pStyle w:val="CETEquation"/>
            </w:pPr>
            <m:oMath>
              <m:r>
                <w:rPr>
                  <w:rFonts w:ascii="Cambria Math" w:hAnsi="Cambria Math"/>
                </w:rPr>
                <m:t>Zeaxanthin</m:t>
              </m:r>
              <m:r>
                <m:rPr>
                  <m:sty m:val="p"/>
                </m:rPr>
                <w:rPr>
                  <w:rFonts w:ascii="Cambria Math" w:hAnsi="Cambria Math"/>
                </w:rPr>
                <m:t xml:space="preserve"> </m:t>
              </m:r>
              <m:r>
                <w:rPr>
                  <w:rFonts w:ascii="Cambria Math" w:hAnsi="Cambria Math"/>
                </w:rPr>
                <m:t>concentration</m:t>
              </m:r>
              <m:r>
                <m:rPr>
                  <m:sty m:val="p"/>
                </m:rPr>
                <w:rPr>
                  <w:rFonts w:ascii="Cambria Math" w:hAnsi="Cambria Math"/>
                </w:rPr>
                <m:t xml:space="preserve"> (mg/L)</m:t>
              </m:r>
            </m:oMath>
            <w:r w:rsidR="007D3F36" w:rsidRPr="00AD4427">
              <w:t>= 0.0054</w:t>
            </w:r>
            <w:r w:rsidR="00A31806">
              <w:t xml:space="preserve"> </w:t>
            </w:r>
            <w:r w:rsidR="007D3F36" w:rsidRPr="00AD4427">
              <w:t>Area + 1.098</w:t>
            </w:r>
          </w:p>
        </w:tc>
        <w:tc>
          <w:tcPr>
            <w:tcW w:w="803" w:type="dxa"/>
            <w:vAlign w:val="center"/>
          </w:tcPr>
          <w:p w14:paraId="0D299A6D" w14:textId="05FFE97E" w:rsidR="007D3F36" w:rsidRPr="00B67589" w:rsidRDefault="007D3F36" w:rsidP="00010976">
            <w:pPr>
              <w:pStyle w:val="CETEquation"/>
            </w:pPr>
            <w:r>
              <w:t>(3</w:t>
            </w:r>
            <w:r w:rsidRPr="00B67589">
              <w:t>)</w:t>
            </w:r>
          </w:p>
        </w:tc>
      </w:tr>
      <w:tr w:rsidR="000C2521" w:rsidRPr="00B67589" w14:paraId="6A640338" w14:textId="77777777" w:rsidTr="00EA5FF3">
        <w:trPr>
          <w:trHeight w:val="567"/>
        </w:trPr>
        <w:tc>
          <w:tcPr>
            <w:tcW w:w="7984" w:type="dxa"/>
            <w:vAlign w:val="center"/>
          </w:tcPr>
          <w:p w14:paraId="4F1E8D1F" w14:textId="798EBDC9" w:rsidR="000C2521" w:rsidRPr="000C2521" w:rsidRDefault="00203B5D" w:rsidP="005B043F">
            <w:pPr>
              <w:pStyle w:val="CETEquation"/>
            </w:pPr>
            <m:oMath>
              <m:r>
                <w:rPr>
                  <w:rFonts w:ascii="Cambria Math" w:hAnsi="Cambria Math"/>
                  <w:vertAlign w:val="subscript"/>
                </w:rPr>
                <w:lastRenderedPageBreak/>
                <m:t>Antheraxanthin</m:t>
              </m:r>
              <m:r>
                <m:rPr>
                  <m:sty m:val="p"/>
                </m:rPr>
                <w:rPr>
                  <w:rFonts w:ascii="Cambria Math" w:hAnsi="Cambria Math"/>
                </w:rPr>
                <m:t xml:space="preserve"> </m:t>
              </m:r>
              <m:r>
                <w:rPr>
                  <w:rFonts w:ascii="Cambria Math" w:hAnsi="Cambria Math"/>
                </w:rPr>
                <m:t>concentration</m:t>
              </m:r>
              <m:r>
                <w:rPr>
                  <w:rFonts w:ascii="Cambria Math" w:hAnsi="Cambria Math"/>
                  <w:vertAlign w:val="subscript"/>
                </w:rPr>
                <m:t xml:space="preserve"> </m:t>
              </m:r>
              <m:r>
                <m:rPr>
                  <m:sty m:val="p"/>
                </m:rPr>
                <w:rPr>
                  <w:rFonts w:ascii="Cambria Math" w:hAnsi="Cambria Math"/>
                </w:rPr>
                <m:t>(mg/L)</m:t>
              </m:r>
            </m:oMath>
            <w:r w:rsidR="000C2521">
              <w:t>= 0.0102</w:t>
            </w:r>
            <w:r w:rsidR="00A31806">
              <w:t xml:space="preserve"> </w:t>
            </w:r>
            <w:r w:rsidR="000C2521">
              <w:t>Area + 0.771</w:t>
            </w:r>
          </w:p>
        </w:tc>
        <w:tc>
          <w:tcPr>
            <w:tcW w:w="803" w:type="dxa"/>
            <w:vAlign w:val="center"/>
          </w:tcPr>
          <w:p w14:paraId="6218BEFE" w14:textId="1E20AA1F" w:rsidR="000C2521" w:rsidRPr="00B67589" w:rsidRDefault="000C2521" w:rsidP="00010976">
            <w:pPr>
              <w:pStyle w:val="CETEquation"/>
            </w:pPr>
            <w:r>
              <w:t>(</w:t>
            </w:r>
            <w:r w:rsidR="007D3F36">
              <w:t>4</w:t>
            </w:r>
            <w:r w:rsidRPr="00B67589">
              <w:t>)</w:t>
            </w:r>
          </w:p>
        </w:tc>
      </w:tr>
    </w:tbl>
    <w:p w14:paraId="677EBFF0" w14:textId="2A043CCE" w:rsidR="00600535" w:rsidRDefault="00B95644" w:rsidP="00D537CE">
      <w:pPr>
        <w:pStyle w:val="CETHeading1"/>
      </w:pPr>
      <w:r>
        <w:t>R</w:t>
      </w:r>
      <w:r w:rsidR="00363FDB">
        <w:t>esults and discussion</w:t>
      </w:r>
    </w:p>
    <w:p w14:paraId="7563F7D5" w14:textId="4D7FF274" w:rsidR="00182097" w:rsidRDefault="00BC3B74" w:rsidP="003E4DC6">
      <w:pPr>
        <w:pStyle w:val="CETBodytext"/>
      </w:pPr>
      <w:r>
        <w:t>E</w:t>
      </w:r>
      <w:r w:rsidR="003E4DC6">
        <w:t>xtraction</w:t>
      </w:r>
      <w:r>
        <w:t xml:space="preserve"> yield</w:t>
      </w:r>
      <w:r w:rsidR="003E4DC6">
        <w:t xml:space="preserve"> is usually expressed as the ratio </w:t>
      </w:r>
      <w:r>
        <w:t xml:space="preserve">between </w:t>
      </w:r>
      <w:r w:rsidR="003E4DC6">
        <w:t xml:space="preserve">the mass of </w:t>
      </w:r>
      <w:r w:rsidR="003F19E4">
        <w:t xml:space="preserve">extracted </w:t>
      </w:r>
      <w:r w:rsidR="003E4DC6">
        <w:t xml:space="preserve">pigments </w:t>
      </w:r>
      <w:r w:rsidR="00C412D0">
        <w:t>and</w:t>
      </w:r>
      <w:r w:rsidR="003E4DC6">
        <w:t xml:space="preserve"> the biomass </w:t>
      </w:r>
      <w:r w:rsidR="00C412D0">
        <w:t>content</w:t>
      </w:r>
      <w:r w:rsidR="003E4DC6">
        <w:t xml:space="preserve">. </w:t>
      </w:r>
      <w:r w:rsidR="009E5627">
        <w:t xml:space="preserve">However, in </w:t>
      </w:r>
      <w:r w:rsidR="003E4DC6">
        <w:t>this case</w:t>
      </w:r>
      <w:r w:rsidR="00103D33">
        <w:t>,</w:t>
      </w:r>
      <w:r w:rsidR="003E4DC6">
        <w:t xml:space="preserve"> </w:t>
      </w:r>
      <w:r w:rsidR="009E5627">
        <w:t xml:space="preserve">it was not possible </w:t>
      </w:r>
      <w:r w:rsidR="003E4DC6">
        <w:t xml:space="preserve">to estimate the cellular content in the bittern. In fact, at the indicated conditions of </w:t>
      </w:r>
      <w:r w:rsidR="00103D33">
        <w:t>UF</w:t>
      </w:r>
      <w:r w:rsidR="003E4DC6">
        <w:t>, concentration and lysis step occur together most probably because of shear stress</w:t>
      </w:r>
      <w:r w:rsidR="00A267D7">
        <w:t xml:space="preserve"> </w:t>
      </w:r>
      <w:r w:rsidR="00A267D7">
        <w:fldChar w:fldCharType="begin"/>
      </w:r>
      <w:r w:rsidR="00A267D7">
        <w:instrText xml:space="preserve"> ADDIN ZOTERO_ITEM CSL_CITATION {"citationID":"vwZi07ha","properties":{"formattedCitation":"(Monte et al., 2018)","plainCitation":"(Monte et al., 2018)","noteIndex":0},"citationItems":[{"id":3222,"uris":["http://zotero.org/users/16449344/items/35HNVB7C"],"itemData":{"id":3222,"type":"article-journal","abstract":"The microalgae Dunaliella salina is industrially produced due to its high content in carotenoids induced by low nitrogen and high salinity conditions. D. salina with low carotenoids content also produces other added value compounds, however its recovery have hardly been studied. This work aims to examine the potential of pre-concentrating D. salina by membrane processing prior to a final harvesting step by low-shear centrifugation. The aim is to minimize the overall energy expenditure and reduce capital costs, while assuring a minimal loss of cell integrity. This task is challenging, considering the sensitivity of D. salina to shear. Harvesting of D. salina by ultrafiltration allowed reaching a final concentration factor of 5.9, with an average permeate flux of 31L/(m2h). The Total Cost of Ownership and energy consumption for harvesting are respectively 52% and 45% lower when applying a two-step approach with pre-concentration (ultrafiltration) compared to only harvesting by centrifugation.","container-title":"Separation and Purification Technology","DOI":"10.1016/j.seppur.2017.08.019","ISSN":"1383-5866","journalAbbreviation":"Separation and Purification Technology","page":"252-260","source":"ScienceDirect","title":"Harvesting of &lt;i&gt;Dunaliella salina&lt;/i&gt; by membrane filtration at pilot scale","volume":"190","author":[{"family":"Monte","given":"Joana"},{"family":"Sá","given":"Marta"},{"family":"Galinha","given":"Cláudia F."},{"family":"Costa","given":"Luís"},{"family":"Hoekstra","given":"Herre"},{"family":"Brazinha","given":"Carla"},{"family":"Crespo","given":"João G."}],"issued":{"date-parts":[["2018",1,8]]}}}],"schema":"https://github.com/citation-style-language/schema/raw/master/csl-citation.json"} </w:instrText>
      </w:r>
      <w:r w:rsidR="00A267D7">
        <w:fldChar w:fldCharType="separate"/>
      </w:r>
      <w:r w:rsidR="00A267D7" w:rsidRPr="00A267D7">
        <w:rPr>
          <w:rFonts w:cs="Arial"/>
        </w:rPr>
        <w:t>(Monte et al., 2018)</w:t>
      </w:r>
      <w:r w:rsidR="00A267D7">
        <w:fldChar w:fldCharType="end"/>
      </w:r>
      <w:r w:rsidR="00877144">
        <w:t>.</w:t>
      </w:r>
      <w:r w:rsidR="009E5627">
        <w:t xml:space="preserve"> </w:t>
      </w:r>
      <w:r w:rsidR="00877144">
        <w:t>F</w:t>
      </w:r>
      <w:r w:rsidR="009E5627">
        <w:t>urther investigations will be needed to better address this aspect</w:t>
      </w:r>
      <w:r w:rsidR="00877144">
        <w:t xml:space="preserve"> by quantifying the cellular content in the bittern, in order to properly define extraction yield on a biomass basis</w:t>
      </w:r>
      <w:r w:rsidR="003E4DC6">
        <w:t xml:space="preserve">. </w:t>
      </w:r>
      <w:r w:rsidR="004F50A1">
        <w:t xml:space="preserve">Once the pigments were most </w:t>
      </w:r>
      <w:r w:rsidR="008D69B6">
        <w:t>like</w:t>
      </w:r>
      <w:r w:rsidR="004F50A1">
        <w:t xml:space="preserve">ly in the medium, </w:t>
      </w:r>
      <w:r w:rsidR="003E4DC6">
        <w:t xml:space="preserve">LLE </w:t>
      </w:r>
      <w:r w:rsidR="00577042">
        <w:t>was</w:t>
      </w:r>
      <w:r w:rsidR="003E4DC6">
        <w:t xml:space="preserve"> </w:t>
      </w:r>
      <w:r w:rsidR="006569A0">
        <w:t xml:space="preserve">implemented and </w:t>
      </w:r>
      <w:r w:rsidR="004F50A1">
        <w:t>investigated</w:t>
      </w:r>
      <w:r w:rsidR="003E4DC6">
        <w:t>.</w:t>
      </w:r>
      <w:r w:rsidR="005517EA">
        <w:t xml:space="preserve"> </w:t>
      </w:r>
      <w:r w:rsidR="00877144">
        <w:t>Under none of the tested conditions were</w:t>
      </w:r>
      <w:r w:rsidR="00877144" w:rsidDel="00877144">
        <w:t xml:space="preserve"> </w:t>
      </w:r>
      <w:r w:rsidR="00182097">
        <w:t>caroten</w:t>
      </w:r>
      <w:r w:rsidR="00171397">
        <w:t>e</w:t>
      </w:r>
      <w:r w:rsidR="00182097">
        <w:t xml:space="preserve">s </w:t>
      </w:r>
      <w:r w:rsidR="00877144">
        <w:t>detected</w:t>
      </w:r>
      <w:r w:rsidR="00182097">
        <w:t>.</w:t>
      </w:r>
      <w:r w:rsidR="00252005">
        <w:t xml:space="preserve"> </w:t>
      </w:r>
      <w:r w:rsidR="00171397">
        <w:t xml:space="preserve">This result is consistent </w:t>
      </w:r>
      <w:r w:rsidR="006569A0">
        <w:t xml:space="preserve">with the </w:t>
      </w:r>
      <w:r w:rsidR="00171397">
        <w:t>literature,</w:t>
      </w:r>
      <w:r w:rsidR="006569A0">
        <w:t xml:space="preserve"> and with the fact that </w:t>
      </w:r>
      <w:r w:rsidR="002C7883">
        <w:t>some</w:t>
      </w:r>
      <w:r w:rsidR="006569A0">
        <w:t xml:space="preserve"> of the</w:t>
      </w:r>
      <w:r w:rsidR="00171397">
        <w:t xml:space="preserve"> microorganisms</w:t>
      </w:r>
      <w:r w:rsidR="006569A0">
        <w:t xml:space="preserve"> found in the bittern</w:t>
      </w:r>
      <w:r w:rsidR="00171397">
        <w:t xml:space="preserve"> are known </w:t>
      </w:r>
      <w:r w:rsidR="006569A0">
        <w:t xml:space="preserve">to be </w:t>
      </w:r>
      <w:r w:rsidR="008F3488">
        <w:t>high</w:t>
      </w:r>
      <w:r w:rsidR="00171397">
        <w:t xml:space="preserve"> producers of xanthophylls, especially under stress conditions such as high salinity, presence of </w:t>
      </w:r>
      <w:r w:rsidR="00A267D7">
        <w:t>reactive oxygen species (</w:t>
      </w:r>
      <w:r w:rsidR="00171397">
        <w:t>ROS</w:t>
      </w:r>
      <w:r w:rsidR="00A267D7">
        <w:t>)</w:t>
      </w:r>
      <w:r w:rsidR="00171397">
        <w:t xml:space="preserve"> and high light intensity </w:t>
      </w:r>
      <w:r w:rsidR="00171397">
        <w:fldChar w:fldCharType="begin"/>
      </w:r>
      <w:r w:rsidR="00810FFE">
        <w:instrText xml:space="preserve"> ADDIN ZOTERO_ITEM CSL_CITATION {"citationID":"PmfmiiPG","properties":{"formattedCitation":"(Smaoui et al., 2021)","plainCitation":"(Smaoui et al., 2021)","noteIndex":0},"citationItems":[{"id":3900,"uris":["http://zotero.org/users/16449344/items/RDXMGNLJ"],"itemData":{"id":3900,"type":"article-journal","abstract":"In the last 20 years, xanthophylls from microalgae have gained increased scientific and industrial interests. This review highlights the essential issues that concern this class of high value compounds. Firstly, their chemical diversity as the producer microorganisms was detailed. Then, the use of conventional and innovative extraction techniques was discussed. Upgraded knowledge on the biosynthetic pathway of the main xanthophylls produced by photosynthetic microorganisms was reviewed in depth, providing new insightful ideas, clarifying the function of these active biomolecules. In addition, the recent advances in encapsulation techniques of astaxanthin and fucoxanthin, such as spray and freeze drying, gelation, emulsification and coacervation were updated. Providing information about these topics and their applications and advances could be a help to students and young researchers who are interested in chemical and metabolic engineering, chemistry and natural products communities to approach the complex thematic of xanthophylls.","container-title":"Foods","DOI":"10.3390/foods10112835","ISSN":"2304-8158","issue":"11","language":"en","license":"http://creativecommons.org/licenses/by/3.0/","page":"2835","publisher":"Multidisciplinary Digital Publishing Institute","source":"www.mdpi.com","title":"Microalgae Xanthophylls: From Biosynthesis Pathway and Production Techniques to Encapsulation Development","title-short":"Microalgae Xanthophylls","volume":"10","author":[{"family":"Smaoui","given":"Slim"},{"family":"Barkallah","given":"Mohamed"},{"family":"Ben Hlima","given":"Hajer"},{"family":"Fendri","given":"Imen"},{"family":"Mousavi Khaneghah","given":"Amin"},{"family":"Michaud","given":"Philippe"},{"family":"Abdelkafi","given":"Slim"}],"issued":{"date-parts":[["2021",11]]}}}],"schema":"https://github.com/citation-style-language/schema/raw/master/csl-citation.json"} </w:instrText>
      </w:r>
      <w:r w:rsidR="00171397">
        <w:fldChar w:fldCharType="separate"/>
      </w:r>
      <w:r w:rsidR="00171397" w:rsidRPr="00171397">
        <w:rPr>
          <w:rFonts w:cs="Arial"/>
        </w:rPr>
        <w:t>(Smaoui et al., 2021)</w:t>
      </w:r>
      <w:r w:rsidR="00171397">
        <w:fldChar w:fldCharType="end"/>
      </w:r>
      <w:r w:rsidR="00171397">
        <w:t xml:space="preserve">.   </w:t>
      </w:r>
    </w:p>
    <w:p w14:paraId="04963A06" w14:textId="306C407A" w:rsidR="00600535" w:rsidRDefault="00847351" w:rsidP="00847351">
      <w:pPr>
        <w:pStyle w:val="CETAcknowledgementstitle"/>
      </w:pPr>
      <w:r>
        <w:t xml:space="preserve">3.1. </w:t>
      </w:r>
      <w:r w:rsidR="005A7CD0">
        <w:t>E</w:t>
      </w:r>
      <w:r w:rsidR="00F32C1F">
        <w:t>valuation of solvents</w:t>
      </w:r>
    </w:p>
    <w:p w14:paraId="35387669" w14:textId="13307909" w:rsidR="00E02CBC" w:rsidRDefault="00714AEE" w:rsidP="0088071C">
      <w:pPr>
        <w:pStyle w:val="Nessunaspaziatura"/>
      </w:pPr>
      <w:r>
        <w:t>E</w:t>
      </w:r>
      <w:r w:rsidR="00B424BD">
        <w:t xml:space="preserve">xtraction </w:t>
      </w:r>
      <w:r>
        <w:t xml:space="preserve">experiments were </w:t>
      </w:r>
      <w:r w:rsidR="00B424BD">
        <w:t xml:space="preserve">performed </w:t>
      </w:r>
      <w:r w:rsidR="008C0281">
        <w:t>using different</w:t>
      </w:r>
      <w:r w:rsidR="00B424BD">
        <w:t xml:space="preserve"> solvents. </w:t>
      </w:r>
      <w:r w:rsidR="008C0281">
        <w:t>When</w:t>
      </w:r>
      <w:r w:rsidR="00DE6F33">
        <w:t xml:space="preserve"> </w:t>
      </w:r>
      <w:r w:rsidR="00B424BD">
        <w:t>ethyl</w:t>
      </w:r>
      <w:r w:rsidR="008C0281">
        <w:t xml:space="preserve"> </w:t>
      </w:r>
      <w:r w:rsidR="00B424BD">
        <w:t xml:space="preserve">acetate </w:t>
      </w:r>
      <w:r w:rsidR="008C0281">
        <w:t xml:space="preserve">or </w:t>
      </w:r>
      <w:r w:rsidR="00B424BD">
        <w:t>hexane</w:t>
      </w:r>
      <w:r w:rsidR="002F1230">
        <w:t xml:space="preserve"> were employed</w:t>
      </w:r>
      <w:r w:rsidR="00DE6F33">
        <w:t xml:space="preserve">, </w:t>
      </w:r>
      <w:r w:rsidR="003B3FFA">
        <w:t>phases</w:t>
      </w:r>
      <w:r w:rsidR="00B424BD">
        <w:t xml:space="preserve"> separat</w:t>
      </w:r>
      <w:r w:rsidR="002F1230">
        <w:t>ion</w:t>
      </w:r>
      <w:r w:rsidR="00B424BD">
        <w:t xml:space="preserve"> w</w:t>
      </w:r>
      <w:r w:rsidR="00C27718">
        <w:t>as clearly achieved</w:t>
      </w:r>
      <w:r w:rsidR="00B424BD">
        <w:t>, but</w:t>
      </w:r>
      <w:r w:rsidR="005532F9">
        <w:t xml:space="preserve"> t</w:t>
      </w:r>
      <w:r w:rsidR="005532F9">
        <w:rPr>
          <w:rFonts w:cs="Arial"/>
        </w:rPr>
        <w:t>he</w:t>
      </w:r>
      <w:r w:rsidR="00944E5D">
        <w:t xml:space="preserve"> </w:t>
      </w:r>
      <w:r w:rsidR="008E53CF">
        <w:t xml:space="preserve">corresponding </w:t>
      </w:r>
      <w:r w:rsidR="00944E5D">
        <w:t>UV–V</w:t>
      </w:r>
      <w:r w:rsidR="008E53CF">
        <w:t>IS</w:t>
      </w:r>
      <w:r w:rsidR="00944E5D">
        <w:t xml:space="preserve"> spect</w:t>
      </w:r>
      <w:r w:rsidR="00412950">
        <w:t>ra</w:t>
      </w:r>
      <w:r w:rsidR="00944E5D">
        <w:t xml:space="preserve"> w</w:t>
      </w:r>
      <w:r w:rsidR="00412950">
        <w:t>ere</w:t>
      </w:r>
      <w:r w:rsidR="00944E5D">
        <w:t xml:space="preserve"> indistinguishable from </w:t>
      </w:r>
      <w:r w:rsidR="008E53CF">
        <w:t>th</w:t>
      </w:r>
      <w:r w:rsidR="007F53A4">
        <w:t>ose</w:t>
      </w:r>
      <w:r w:rsidR="00835CF2">
        <w:t xml:space="preserve"> of </w:t>
      </w:r>
      <w:r w:rsidR="00944E5D">
        <w:t xml:space="preserve">the </w:t>
      </w:r>
      <w:r w:rsidR="007F53A4">
        <w:t xml:space="preserve">respective </w:t>
      </w:r>
      <w:r w:rsidR="00944E5D">
        <w:t>blank</w:t>
      </w:r>
      <w:r w:rsidR="007F53A4">
        <w:t>s</w:t>
      </w:r>
      <w:r w:rsidR="00B424BD">
        <w:t xml:space="preserve">. This </w:t>
      </w:r>
      <w:r w:rsidR="00835CF2">
        <w:t xml:space="preserve">observation indicates </w:t>
      </w:r>
      <w:r w:rsidR="00B424BD">
        <w:t>that the pigment</w:t>
      </w:r>
      <w:r w:rsidR="0080503B">
        <w:t>s</w:t>
      </w:r>
      <w:r w:rsidR="00653CB9">
        <w:t xml:space="preserve"> were not transferred to the organi</w:t>
      </w:r>
      <w:r w:rsidR="00825813">
        <w:t>c</w:t>
      </w:r>
      <w:r w:rsidR="00653CB9">
        <w:t xml:space="preserve"> phase</w:t>
      </w:r>
      <w:r w:rsidR="002A4EB5">
        <w:t>,</w:t>
      </w:r>
      <w:r w:rsidR="00825813">
        <w:rPr>
          <w:rFonts w:cs="Arial"/>
        </w:rPr>
        <w:t xml:space="preserve"> </w:t>
      </w:r>
      <w:r w:rsidR="00825813">
        <w:t xml:space="preserve">which </w:t>
      </w:r>
      <w:r w:rsidR="002D2A18">
        <w:t>remained transpa</w:t>
      </w:r>
      <w:r w:rsidR="00443F81">
        <w:t>rent</w:t>
      </w:r>
      <w:r w:rsidR="00B424BD">
        <w:t>.</w:t>
      </w:r>
      <w:r w:rsidR="005532F9">
        <w:t xml:space="preserve"> Met</w:t>
      </w:r>
      <w:r w:rsidR="005532F9">
        <w:rPr>
          <w:rFonts w:cs="Arial"/>
        </w:rPr>
        <w:t xml:space="preserve">hanol, instead, </w:t>
      </w:r>
      <w:r w:rsidR="009D361A">
        <w:rPr>
          <w:rFonts w:cs="Arial"/>
        </w:rPr>
        <w:t xml:space="preserve">formed a single homogeneous phase </w:t>
      </w:r>
      <w:r w:rsidR="00412950">
        <w:rPr>
          <w:rFonts w:cs="Arial"/>
        </w:rPr>
        <w:t>with the sample</w:t>
      </w:r>
      <w:r w:rsidR="00E94C21">
        <w:rPr>
          <w:rFonts w:cs="Arial"/>
        </w:rPr>
        <w:t>, preventing phase separation</w:t>
      </w:r>
      <w:r w:rsidR="005532F9">
        <w:rPr>
          <w:rFonts w:cs="Arial"/>
        </w:rPr>
        <w:t xml:space="preserve">. </w:t>
      </w:r>
      <w:r w:rsidR="00B424BD">
        <w:t>Acetone</w:t>
      </w:r>
      <w:r w:rsidR="00253FBD">
        <w:t>, conversely,</w:t>
      </w:r>
      <w:r w:rsidR="00B424BD">
        <w:t xml:space="preserve"> showed good extractive properties, </w:t>
      </w:r>
      <w:r w:rsidR="00616DA6">
        <w:t>althou</w:t>
      </w:r>
      <w:r w:rsidR="00FA0C07">
        <w:t xml:space="preserve">gh </w:t>
      </w:r>
      <w:r w:rsidR="006871DD">
        <w:t xml:space="preserve">solvent </w:t>
      </w:r>
      <w:r w:rsidR="002B1F4A">
        <w:t>recovery was limited due to</w:t>
      </w:r>
      <w:r w:rsidR="003B3FFA">
        <w:t xml:space="preserve"> </w:t>
      </w:r>
      <w:r w:rsidR="006871DD">
        <w:t xml:space="preserve">its </w:t>
      </w:r>
      <w:r w:rsidR="00831FB1">
        <w:t xml:space="preserve">partial </w:t>
      </w:r>
      <w:r w:rsidR="003B3FFA">
        <w:t>miscibility with</w:t>
      </w:r>
      <w:r w:rsidR="006871DD">
        <w:t xml:space="preserve"> water</w:t>
      </w:r>
      <w:r w:rsidR="00B424BD">
        <w:t xml:space="preserve">. </w:t>
      </w:r>
    </w:p>
    <w:p w14:paraId="22A2A198" w14:textId="408521EF" w:rsidR="00E02CBC" w:rsidRDefault="00E02CBC" w:rsidP="00E02CBC">
      <w:pPr>
        <w:pStyle w:val="CETBodytext"/>
      </w:pPr>
      <w:r w:rsidRPr="005517EA">
        <w:t xml:space="preserve">The color of the </w:t>
      </w:r>
      <w:r w:rsidR="0079685A" w:rsidRPr="006871DD">
        <w:t>h</w:t>
      </w:r>
      <w:r w:rsidR="0079685A">
        <w:t>eavy</w:t>
      </w:r>
      <w:r w:rsidR="0079685A" w:rsidRPr="005517EA">
        <w:t xml:space="preserve"> </w:t>
      </w:r>
      <w:r w:rsidRPr="005517EA">
        <w:t xml:space="preserve">phase obtained at the end of the process with acetone is a </w:t>
      </w:r>
      <w:r w:rsidR="008F3488">
        <w:t>off-</w:t>
      </w:r>
      <w:r w:rsidRPr="005517EA">
        <w:t>white very similar to the color of spent pellet</w:t>
      </w:r>
      <w:r w:rsidR="008F3488">
        <w:t>s</w:t>
      </w:r>
      <w:r w:rsidRPr="005517EA">
        <w:t xml:space="preserve"> obtained at the end of solid-liquid extractions with acetone or other solvents in pure cultures </w:t>
      </w:r>
      <w:r w:rsidRPr="005517EA">
        <w:fldChar w:fldCharType="begin"/>
      </w:r>
      <w:r w:rsidR="00810FFE">
        <w:instrText xml:space="preserve"> ADDIN ZOTERO_ITEM CSL_CITATION {"citationID":"yZHqiOGm","properties":{"formattedCitation":"(Eilers et al., 2024)","plainCitation":"(Eilers et al., 2024)","noteIndex":0},"citationItems":[{"id":3870,"uris":["http://zotero.org/users/16449344/items/ISCN6I45"],"itemData":{"id":3870,"type":"article-journal","abstract":"Carotenoids are membrane-bound pigments that are essential for photosynthesizing plants and algae, widely applied in food, feed and cosmetics due to their antioxidant and anti-inflammatory properties. The production of carotenoids, particularly C30 forms, has been documented in some non-photosynthetic prokaryotes. However, their function, distribution and ecology beyond photosynthesizing organisms remains understudied. In this study, we performed an eco-evolutionary analysis of terpenoid biosynthetic gene clusters in the Lactobacillaceae family, screening 4203 dereplicated genomes for terpenoid biosynthesis genes, and detected crtMN genes in 28/361 (7.7%) species across 14/34 (41.2%) genera. These genes encode key enzymes for producing the C30 carotenoid 4,4′-diaponeurosporene. crtMN genes appeared to be convergently gained within Fructilactobacillus and horizontally transferred across species and genera, including Lactiplantibacillus to Levilactobacillus. The phenotype was confirmed in 87% of the predicted crtMN gene carriers (27/31). Nomadic and insect-adapted species, particularly those isolated from vegetable fermentations, e.g., Lactiplantibacillus, and floral habitats, e.g., Fructilactobacillus, contained crtMN genes, while vertebrate-associated species, including vaginal associated species, lacked this trait. This habitat association aligned with the observations that C30 carotenoid-producing strains were more resistant to UV-stress. In summary, C30 carotenoid biosynthesis plays a role in habitat adaptation and is scattered across Lactobacillaceae in line with this habitat adaptation.","container-title":"Communications Biology","DOI":"10.1038/s42003-024-07291-2","ISSN":"2399-3642","issue":"1","journalAbbreviation":"Commun Biol","language":"en","license":"2024 The Author(s)","page":"1610","publisher":"Nature Publishing Group","source":"www.nature.com","title":"Distribution of C30 carotenoid biosynthesis genes suggests habitat adaptation function in insect-adapted and nomadic Lactobacillaceae","volume":"7","author":[{"family":"Eilers","given":"Tom"},{"family":"Legein","given":"Marie"},{"family":"Temmermans","given":"Jari"},{"family":"Dillen","given":"Jelle"},{"family":"Vandendriessche","given":"Ine"},{"family":"Sandra","given":"Koen"},{"family":"Bron","given":"Peter A."},{"family":"Wittouck","given":"Stijn"},{"family":"Lebeer","given":"Sarah"}],"issued":{"date-parts":[["2024",12,3]]}}}],"schema":"https://github.com/citation-style-language/schema/raw/master/csl-citation.json"} </w:instrText>
      </w:r>
      <w:r w:rsidRPr="005517EA">
        <w:fldChar w:fldCharType="separate"/>
      </w:r>
      <w:r w:rsidRPr="005517EA">
        <w:rPr>
          <w:rFonts w:cs="Arial"/>
        </w:rPr>
        <w:t>(Eilers et al., 2024)</w:t>
      </w:r>
      <w:r w:rsidRPr="005517EA">
        <w:fldChar w:fldCharType="end"/>
      </w:r>
      <w:r w:rsidRPr="005517EA">
        <w:t xml:space="preserve">. Thus, it can be assessed that the extraction phase is completed and there is no more recoverable pigment in the </w:t>
      </w:r>
      <w:r w:rsidR="0079685A" w:rsidRPr="006871DD">
        <w:t>h</w:t>
      </w:r>
      <w:r w:rsidR="0079685A">
        <w:t>eavy</w:t>
      </w:r>
      <w:r w:rsidRPr="005517EA">
        <w:t xml:space="preserve"> phase.</w:t>
      </w:r>
      <w:r w:rsidRPr="00E02CBC">
        <w:t xml:space="preserve"> </w:t>
      </w:r>
    </w:p>
    <w:p w14:paraId="21188EDA" w14:textId="3F8B9AC5" w:rsidR="00F32C1F" w:rsidRDefault="005532F9" w:rsidP="0088071C">
      <w:pPr>
        <w:pStyle w:val="Nessunaspaziatura"/>
        <w:rPr>
          <w:rFonts w:cs="Arial"/>
        </w:rPr>
      </w:pPr>
      <w:r>
        <w:t>According to literature, acetone is not usually t</w:t>
      </w:r>
      <w:r>
        <w:rPr>
          <w:rFonts w:cs="Arial"/>
        </w:rPr>
        <w:t xml:space="preserve">he </w:t>
      </w:r>
      <w:r w:rsidR="00A83E78">
        <w:rPr>
          <w:rFonts w:cs="Arial"/>
        </w:rPr>
        <w:t xml:space="preserve">most suitable </w:t>
      </w:r>
      <w:r>
        <w:rPr>
          <w:rFonts w:cs="Arial"/>
        </w:rPr>
        <w:t>solvent</w:t>
      </w:r>
      <w:r w:rsidR="007F53A4">
        <w:rPr>
          <w:rFonts w:cs="Arial"/>
        </w:rPr>
        <w:t xml:space="preserve"> </w:t>
      </w:r>
      <w:r w:rsidR="00E02CBC">
        <w:rPr>
          <w:rFonts w:cs="Arial"/>
        </w:rPr>
        <w:t>to recover</w:t>
      </w:r>
      <w:r w:rsidR="0088071C">
        <w:t xml:space="preserve"> apolar compounds like </w:t>
      </w:r>
      <w:r w:rsidR="0088071C">
        <w:rPr>
          <w:rFonts w:cs="Arial"/>
        </w:rPr>
        <w:t xml:space="preserve">β-carotene, </w:t>
      </w:r>
      <w:r w:rsidR="00220085">
        <w:rPr>
          <w:rFonts w:cs="Arial"/>
        </w:rPr>
        <w:t>which should have higher</w:t>
      </w:r>
      <w:r w:rsidR="0088071C">
        <w:rPr>
          <w:rFonts w:cs="Arial"/>
        </w:rPr>
        <w:t xml:space="preserve"> solubility in solvents like ethyl</w:t>
      </w:r>
      <w:r w:rsidR="00220085">
        <w:rPr>
          <w:rFonts w:cs="Arial"/>
        </w:rPr>
        <w:t xml:space="preserve"> </w:t>
      </w:r>
      <w:r w:rsidR="0088071C">
        <w:rPr>
          <w:rFonts w:cs="Arial"/>
        </w:rPr>
        <w:t xml:space="preserve">acetate or hexane </w:t>
      </w:r>
      <w:r w:rsidR="0088071C">
        <w:rPr>
          <w:rFonts w:cs="Arial"/>
        </w:rPr>
        <w:fldChar w:fldCharType="begin"/>
      </w:r>
      <w:r w:rsidR="0088071C">
        <w:rPr>
          <w:rFonts w:cs="Arial"/>
        </w:rPr>
        <w:instrText xml:space="preserve"> ADDIN ZOTERO_ITEM CSL_CITATION {"citationID":"GALNmjnA","properties":{"formattedCitation":"(Hladnik et al., 2024)","plainCitation":"(Hladnik et al., 2024)","noteIndex":0},"citationItems":[{"id":3883,"uris":["http://zotero.org/users/16449344/items/LKTNLGZP"],"itemData":{"id":3883,"type":"article-journal","abstract":"Over the last few years, there has been an impetuous search for natural colorant to be applied in various industries, such as cosmetics, food, and textile. This is largely driven by an increasing consumer demand for formulated ingredient products that are not only considered safer than their synthetic counterparts, but also present medicinal health benefits. However, there are a limited number of commercially available soluble organic pigments. Rhodotorula glutinis yeast can be used for the biodegradation of phenols rich olive mill wastewater, which is an abundant and jeopardous polluting waste, while simultaneously producing multiple high-added value compounds, such as the natural colorant β-carotene. Herein, the protocols were firstly optimized by screening 10 different solvents while evaluating their aptitude to dissolve pure β-carotene. The results followed the trend: water ≈ methanol &lt; ethanol &lt; acetonitrile &lt; acetone &lt; dichloromethane &lt; diethyl ether &lt; heptane &lt; ethyl acetate &lt; benzene. However, due to the high toxicity of benzene and the carotenoid precipitation by heptane, ethyl acetate, diethyl ether, and dichloromethane were selected as the most promising solvents. Thus, an integrated process for the extraction, isolation, and concentration of β-carotene was proposed from Rhodotorula glutinis, cultivated in (processing) effluent. The extraction results followed the same tendency as for pure carotenoid: dichloromethane (13 ± 1 μg g–1 yeast) &lt; diethyl ether (15 ± 2 μg g–1 yeast) &lt; ethyl acetate (21 ± 2 μg g–1 yeast). Regarding liquid–liquid extraction, the maximum extraction efficiency was also achieved with ethyl acetate, i.e., 100 ± 28%. Overall, these results show promising findings for a cascade biorefinery downstream process, as this not only potentially reduces the burden on the environment, but also adds value to primary economic activity.","container-title":"Biomass Conversion and Biorefinery","DOI":"10.1007/s13399-022-03081-0","ISSN":"2190-6823","issue":"7","journalAbbreviation":"Biomass Conv. Bioref.","language":"en","page":"8459-8467","source":"Springer Link","title":"β-Carotene production and extraction: a case study of olive mill wastewater bioremediation by Rhodotorula glutinis with simultaneous carotenoid production","title-short":"β-Carotene production and extraction","volume":"14","author":[{"family":"Hladnik","given":"Lucija"},{"family":"Vicente","given":"Filipa A."},{"family":"Grilc","given":"Miha"},{"family":"Likozar","given":"Blaž"}],"issued":{"date-parts":[["2024",4,1]]}}}],"schema":"https://github.com/citation-style-language/schema/raw/master/csl-citation.json"} </w:instrText>
      </w:r>
      <w:r w:rsidR="0088071C">
        <w:rPr>
          <w:rFonts w:cs="Arial"/>
        </w:rPr>
        <w:fldChar w:fldCharType="separate"/>
      </w:r>
      <w:r w:rsidR="0088071C" w:rsidRPr="00DE2651">
        <w:rPr>
          <w:rFonts w:cs="Arial"/>
        </w:rPr>
        <w:t>(Hladnik et al., 2024)</w:t>
      </w:r>
      <w:r w:rsidR="0088071C">
        <w:rPr>
          <w:rFonts w:cs="Arial"/>
        </w:rPr>
        <w:fldChar w:fldCharType="end"/>
      </w:r>
      <w:r w:rsidR="0088071C">
        <w:rPr>
          <w:rFonts w:cs="Arial"/>
        </w:rPr>
        <w:t xml:space="preserve">. </w:t>
      </w:r>
      <w:r w:rsidR="00412950" w:rsidRPr="00DE2651">
        <w:t>Th</w:t>
      </w:r>
      <w:r w:rsidR="00DD2711">
        <w:t>e</w:t>
      </w:r>
      <w:r w:rsidR="009822F5">
        <w:t xml:space="preserve">se results suggest </w:t>
      </w:r>
      <w:r w:rsidR="00D6030B">
        <w:t>a higher concentration of polar carotenoids</w:t>
      </w:r>
      <w:r w:rsidR="00365F96">
        <w:t xml:space="preserve"> (e.g., xant</w:t>
      </w:r>
      <w:r w:rsidR="005726F9">
        <w:t>h</w:t>
      </w:r>
      <w:r w:rsidR="00365F96">
        <w:t>ophyll</w:t>
      </w:r>
      <w:r w:rsidR="005726F9">
        <w:t>s</w:t>
      </w:r>
      <w:r w:rsidR="00365F96">
        <w:t>)</w:t>
      </w:r>
      <w:r w:rsidR="00D6030B">
        <w:t xml:space="preserve"> </w:t>
      </w:r>
      <w:r w:rsidR="005726F9">
        <w:t xml:space="preserve">than carotene </w:t>
      </w:r>
      <w:r w:rsidR="00A461BB">
        <w:t xml:space="preserve">(e.g., </w:t>
      </w:r>
      <w:r w:rsidR="00A461BB">
        <w:sym w:font="Symbol" w:char="F062"/>
      </w:r>
      <w:r w:rsidR="00A461BB">
        <w:t xml:space="preserve">-carotene) </w:t>
      </w:r>
      <w:r w:rsidR="00D6030B">
        <w:t>in the retenta</w:t>
      </w:r>
      <w:r w:rsidR="00365F96">
        <w:t xml:space="preserve">te </w:t>
      </w:r>
      <w:r w:rsidR="00412950">
        <w:t xml:space="preserve"> </w:t>
      </w:r>
      <w:r w:rsidR="009A6001">
        <w:fldChar w:fldCharType="begin"/>
      </w:r>
      <w:r w:rsidR="009A6001">
        <w:instrText xml:space="preserve"> ADDIN ZOTERO_ITEM CSL_CITATION {"citationID":"kG7v2B5D","properties":{"formattedCitation":"(Sajilata et al., 2008)","plainCitation":"(Sajilata et al., 2008)","noteIndex":0},"citationItems":[{"id":3843,"uris":["http://zotero.org/users/16449344/items/2LTFQCWW"],"itemData":{"id":3843,"type":"article-journal","abstract":"ABSTRACT: Scientific evidence linking several diseases with diet has brought to light the beneficial effects of a number of natural food ingredients. Zeaxanthin is one such natural pigment emphasized for its critical role in the prevention of age-related macular degeneration (AMD), the leading cause of blindness. The review highlights zeaxanthin as a carotenoid pigment with promising nutraceutical implications, and enumerates the important plant and microbial sources for its production, the absorptive pathway of zeaxanthin in human system, and methods to assess its bioavailability besides other relevant aspects.","container-title":"Comprehensive Reviews in Food Science and Food Safety","DOI":"10.1111/j.1541-4337.2007.00028.x","ISSN":"1541-4337","issue":"1","language":"en","license":"2008 Institute of Food Technologists","note":"_eprint: https://ift.onlinelibrary.wiley.com/doi/pdf/10.1111/j.1541-4337.2007.00028.x","page":"29-49","source":"Wiley Online Library","title":"The Carotenoid Pigment Zeaxanthin—A Review","volume":"7","author":[{"family":"Sajilata","given":"M.g."},{"family":"Singhal","given":"R.s."},{"family":"Kamat","given":"M.y."}],"issued":{"date-parts":[["2008"]]}}}],"schema":"https://github.com/citation-style-language/schema/raw/master/csl-citation.json"} </w:instrText>
      </w:r>
      <w:r w:rsidR="009A6001">
        <w:fldChar w:fldCharType="separate"/>
      </w:r>
      <w:r w:rsidR="009A6001" w:rsidRPr="009A6001">
        <w:rPr>
          <w:rFonts w:cs="Arial"/>
        </w:rPr>
        <w:t>(Sajilata et al., 2008)</w:t>
      </w:r>
      <w:r w:rsidR="009A6001">
        <w:fldChar w:fldCharType="end"/>
      </w:r>
      <w:r w:rsidR="00412950">
        <w:t xml:space="preserve">. </w:t>
      </w:r>
      <w:r w:rsidR="00E02CBC" w:rsidRPr="00E02CBC">
        <w:t xml:space="preserve"> </w:t>
      </w:r>
      <w:r w:rsidR="00E02CBC">
        <w:t xml:space="preserve">Another </w:t>
      </w:r>
      <w:r w:rsidR="00064675">
        <w:t>possible explanation is</w:t>
      </w:r>
      <w:r w:rsidR="00E02CBC">
        <w:t xml:space="preserve"> that carotenoids were not present as freely extractable apolar species but were likely associated with polar cellular components or dispersed as colloidal complexes within the highly saline matrix</w:t>
      </w:r>
      <w:r w:rsidR="0079685A">
        <w:t xml:space="preserve"> </w:t>
      </w:r>
      <w:r w:rsidR="0079685A">
        <w:fldChar w:fldCharType="begin"/>
      </w:r>
      <w:r w:rsidR="00D972C4">
        <w:instrText xml:space="preserve"> ADDIN ZOTERO_ITEM CSL_CITATION {"citationID":"z263Hu3O","properties":{"formattedCitation":"(Monte et al., 2018)","plainCitation":"(Monte et al., 2018)","noteIndex":0},"citationItems":[{"id":3222,"uris":["http://zotero.org/users/16449344/items/35HNVB7C"],"itemData":{"id":3222,"type":"article-journal","abstract":"The microalgae Dunaliella salina is industrially produced due to its high content in carotenoids induced by low nitrogen and high salinity conditions. D. salina with low carotenoids content also produces other added value compounds, however its recovery have hardly been studied. This work aims to examine the potential of pre-concentrating D. salina by membrane processing prior to a final harvesting step by low-shear centrifugation. The aim is to minimize the overall energy expenditure and reduce capital costs, while assuring a minimal loss of cell integrity. This task is challenging, considering the sensitivity of D. salina to shear. Harvesting of D. salina by ultrafiltration allowed reaching a final concentration factor of 5.9, with an average permeate flux of 31L/(m2h). The Total Cost of Ownership and energy consumption for harvesting are respectively 52% and 45% lower when applying a two-step approach with pre-concentration (ultrafiltration) compared to only harvesting by centrifugation.","container-title":"Separation and Purification Technology","DOI":"10.1016/j.seppur.2017.08.019","ISSN":"1383-5866","journalAbbreviation":"Separation and Purification Technology","page":"252-260","source":"ScienceDirect","title":"Harvesting of &lt;i&gt;Dunaliella salina&lt;/i&gt; by membrane filtration at pilot scale","volume":"190","author":[{"family":"Monte","given":"Joana"},{"family":"Sá","given":"Marta"},{"family":"Galinha","given":"Cláudia F."},{"family":"Costa","given":"Luís"},{"family":"Hoekstra","given":"Herre"},{"family":"Brazinha","given":"Carla"},{"family":"Crespo","given":"João G."}],"issued":{"date-parts":[["2018",1,8]]}}}],"schema":"https://github.com/citation-style-language/schema/raw/master/csl-citation.json"} </w:instrText>
      </w:r>
      <w:r w:rsidR="0079685A">
        <w:fldChar w:fldCharType="separate"/>
      </w:r>
      <w:r w:rsidR="0079685A" w:rsidRPr="00A267D7">
        <w:rPr>
          <w:rFonts w:cs="Arial"/>
        </w:rPr>
        <w:t>(Monte et al., 2018)</w:t>
      </w:r>
      <w:r w:rsidR="0079685A">
        <w:fldChar w:fldCharType="end"/>
      </w:r>
      <w:r w:rsidR="00E02CBC">
        <w:t>.</w:t>
      </w:r>
    </w:p>
    <w:p w14:paraId="0F6255E6" w14:textId="0384E832" w:rsidR="00F32C1F" w:rsidRDefault="00F32C1F" w:rsidP="00F32C1F">
      <w:pPr>
        <w:pStyle w:val="CETAcknowledgementstitle"/>
      </w:pPr>
      <w:r>
        <w:t>3.2. Evaluation of volume ratios</w:t>
      </w:r>
      <w:r w:rsidR="00C867D3">
        <w:t xml:space="preserve"> and centrifugation settings </w:t>
      </w:r>
    </w:p>
    <w:p w14:paraId="46A82647" w14:textId="6CC6B60F" w:rsidR="006E3BCF" w:rsidRDefault="006E3BCF" w:rsidP="006E3BCF">
      <w:pPr>
        <w:pStyle w:val="CETBodytext"/>
        <w:rPr>
          <w:lang w:val="en-GB"/>
        </w:rPr>
      </w:pPr>
      <w:r>
        <w:rPr>
          <w:lang w:val="en-GB"/>
        </w:rPr>
        <w:t>E</w:t>
      </w:r>
      <w:r w:rsidR="001B5181">
        <w:rPr>
          <w:lang w:val="en-GB"/>
        </w:rPr>
        <w:t>ach</w:t>
      </w:r>
      <w:r>
        <w:rPr>
          <w:lang w:val="en-GB"/>
        </w:rPr>
        <w:t xml:space="preserve"> sample </w:t>
      </w:r>
      <w:r w:rsidR="00D15AC4">
        <w:rPr>
          <w:lang w:val="en-GB"/>
        </w:rPr>
        <w:t>was</w:t>
      </w:r>
      <w:r>
        <w:rPr>
          <w:lang w:val="en-GB"/>
        </w:rPr>
        <w:t xml:space="preserve"> </w:t>
      </w:r>
      <w:r w:rsidR="001B5181">
        <w:rPr>
          <w:lang w:val="en-GB"/>
        </w:rPr>
        <w:t xml:space="preserve">then </w:t>
      </w:r>
      <w:r>
        <w:rPr>
          <w:lang w:val="en-GB"/>
        </w:rPr>
        <w:t xml:space="preserve">analysed in triplicate </w:t>
      </w:r>
      <w:r w:rsidR="001B5181">
        <w:rPr>
          <w:lang w:val="en-GB"/>
        </w:rPr>
        <w:t xml:space="preserve">by </w:t>
      </w:r>
      <w:r>
        <w:rPr>
          <w:lang w:val="en-GB"/>
        </w:rPr>
        <w:t>spectrop</w:t>
      </w:r>
      <w:r w:rsidRPr="006E3BCF">
        <w:rPr>
          <w:lang w:val="en-GB"/>
        </w:rPr>
        <w:t>h</w:t>
      </w:r>
      <w:r>
        <w:rPr>
          <w:lang w:val="en-GB"/>
        </w:rPr>
        <w:t>otometr</w:t>
      </w:r>
      <w:r w:rsidR="001B5181">
        <w:rPr>
          <w:lang w:val="en-GB"/>
        </w:rPr>
        <w:t>y</w:t>
      </w:r>
      <w:r>
        <w:rPr>
          <w:lang w:val="en-GB"/>
        </w:rPr>
        <w:t xml:space="preserve">. </w:t>
      </w:r>
      <w:r w:rsidR="008F1760" w:rsidRPr="008F1760">
        <w:rPr>
          <w:lang w:val="en-GB"/>
        </w:rPr>
        <w:t xml:space="preserve">The </w:t>
      </w:r>
      <w:r w:rsidR="00531AF3" w:rsidRPr="008F1760">
        <w:rPr>
          <w:lang w:val="en-GB"/>
        </w:rPr>
        <w:t xml:space="preserve">mean concentrations </w:t>
      </w:r>
      <w:r w:rsidR="0015329D">
        <w:rPr>
          <w:lang w:val="en-GB"/>
        </w:rPr>
        <w:t>of total xanthophylls</w:t>
      </w:r>
      <w:r w:rsidR="002F2533">
        <w:rPr>
          <w:lang w:val="en-GB"/>
        </w:rPr>
        <w:t xml:space="preserve"> </w:t>
      </w:r>
      <w:r w:rsidR="00F401E9">
        <w:rPr>
          <w:lang w:val="en-GB"/>
        </w:rPr>
        <w:t xml:space="preserve">obtained </w:t>
      </w:r>
      <w:r w:rsidR="002F2533">
        <w:rPr>
          <w:lang w:val="en-GB"/>
        </w:rPr>
        <w:t xml:space="preserve">from </w:t>
      </w:r>
      <w:r w:rsidR="001E4C5D">
        <w:rPr>
          <w:lang w:val="en-GB"/>
        </w:rPr>
        <w:t xml:space="preserve">the different </w:t>
      </w:r>
      <w:r w:rsidR="00CD1877">
        <w:rPr>
          <w:lang w:val="en-GB"/>
        </w:rPr>
        <w:t xml:space="preserve">acetone </w:t>
      </w:r>
      <w:r w:rsidR="00F401E9">
        <w:rPr>
          <w:lang w:val="en-GB"/>
        </w:rPr>
        <w:t>extracts</w:t>
      </w:r>
      <w:r w:rsidR="00531AF3">
        <w:rPr>
          <w:lang w:val="en-GB"/>
        </w:rPr>
        <w:t xml:space="preserve"> </w:t>
      </w:r>
      <w:r w:rsidR="001E4C5D">
        <w:rPr>
          <w:lang w:val="en-GB"/>
        </w:rPr>
        <w:t xml:space="preserve">(D-L) </w:t>
      </w:r>
      <w:r w:rsidR="008F1760" w:rsidRPr="008F1760">
        <w:rPr>
          <w:lang w:val="en-GB"/>
        </w:rPr>
        <w:t>are</w:t>
      </w:r>
      <w:r w:rsidR="0004681B">
        <w:rPr>
          <w:lang w:val="en-GB"/>
        </w:rPr>
        <w:t xml:space="preserve"> s</w:t>
      </w:r>
      <w:r w:rsidR="0004681B" w:rsidRPr="006E3BCF">
        <w:rPr>
          <w:lang w:val="en-GB"/>
        </w:rPr>
        <w:t>h</w:t>
      </w:r>
      <w:r w:rsidR="0004681B">
        <w:rPr>
          <w:lang w:val="en-GB"/>
        </w:rPr>
        <w:t>own in Figure 2.</w:t>
      </w:r>
    </w:p>
    <w:p w14:paraId="3D8990C8" w14:textId="77777777" w:rsidR="006E3BCF" w:rsidRDefault="001973DF" w:rsidP="00E02CBC">
      <w:pPr>
        <w:pStyle w:val="CETCaption"/>
      </w:pPr>
      <w:r w:rsidRPr="00010976">
        <w:rPr>
          <w:noProof/>
          <w:lang w:val="it-IT" w:eastAsia="it-IT"/>
        </w:rPr>
        <w:drawing>
          <wp:inline distT="0" distB="0" distL="0" distR="0" wp14:anchorId="6E572302" wp14:editId="08B6FB69">
            <wp:extent cx="3276600" cy="1835150"/>
            <wp:effectExtent l="0" t="0" r="0" b="12700"/>
            <wp:docPr id="7" name="Gra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6261FE" w14:textId="400F6976" w:rsidR="0088071C" w:rsidRDefault="006E3BCF" w:rsidP="00E02CBC">
      <w:pPr>
        <w:pStyle w:val="CETCaption"/>
        <w:rPr>
          <w:rFonts w:cs="Arial"/>
        </w:rPr>
      </w:pPr>
      <w:r>
        <w:t xml:space="preserve">Figure </w:t>
      </w:r>
      <w:r>
        <w:fldChar w:fldCharType="begin"/>
      </w:r>
      <w:r>
        <w:instrText xml:space="preserve"> SEQ Figura \* ARABIC </w:instrText>
      </w:r>
      <w:r>
        <w:fldChar w:fldCharType="separate"/>
      </w:r>
      <w:r>
        <w:rPr>
          <w:noProof/>
        </w:rPr>
        <w:t>2</w:t>
      </w:r>
      <w:r>
        <w:fldChar w:fldCharType="end"/>
      </w:r>
      <w:r>
        <w:t xml:space="preserve"> Quantification of total xant</w:t>
      </w:r>
      <w:r w:rsidRPr="006E3BCF">
        <w:t>h</w:t>
      </w:r>
      <w:r>
        <w:t>op</w:t>
      </w:r>
      <w:r w:rsidRPr="006E3BCF">
        <w:t>h</w:t>
      </w:r>
      <w:r>
        <w:t>ylls according to UV-VIS spectra</w:t>
      </w:r>
      <w:r w:rsidR="00E02CBC">
        <w:t xml:space="preserve"> in samples </w:t>
      </w:r>
      <w:r w:rsidR="0079685A">
        <w:t xml:space="preserve">obtained with a </w:t>
      </w:r>
      <w:r w:rsidR="00064675">
        <w:t>s</w:t>
      </w:r>
      <w:r w:rsidR="00E72476">
        <w:t>olvent</w:t>
      </w:r>
      <w:r w:rsidR="00104D47">
        <w:t xml:space="preserve"> (acetone)</w:t>
      </w:r>
      <w:r w:rsidR="00064675">
        <w:t xml:space="preserve"> </w:t>
      </w:r>
      <w:r w:rsidR="00E72476">
        <w:t>to</w:t>
      </w:r>
      <w:r w:rsidR="00064675">
        <w:t xml:space="preserve"> </w:t>
      </w:r>
      <w:r w:rsidR="00E72476">
        <w:t xml:space="preserve">sample </w:t>
      </w:r>
      <w:r w:rsidR="0079685A">
        <w:t xml:space="preserve">volume ratio 1:2 (D), </w:t>
      </w:r>
      <w:r w:rsidR="00104D47">
        <w:t>1:1 (E), 1:4 (F)</w:t>
      </w:r>
      <w:r w:rsidR="00104D47" w:rsidRPr="00104D47">
        <w:t xml:space="preserve"> </w:t>
      </w:r>
      <w:r w:rsidR="00104D47">
        <w:t xml:space="preserve">and </w:t>
      </w:r>
      <w:r w:rsidR="0079685A">
        <w:t>1:3 (</w:t>
      </w:r>
      <w:r w:rsidR="0079685A" w:rsidRPr="00CC4D33">
        <w:t>G</w:t>
      </w:r>
      <w:r w:rsidR="0079685A">
        <w:t xml:space="preserve">, </w:t>
      </w:r>
      <w:r w:rsidR="0079685A" w:rsidRPr="008A7BCF">
        <w:t>H</w:t>
      </w:r>
      <w:r w:rsidR="0079685A">
        <w:t>, I, L)</w:t>
      </w:r>
      <w:r>
        <w:t>.</w:t>
      </w:r>
      <w:r w:rsidR="00FD221E">
        <w:t xml:space="preserve"> Note that tests (G, H, I, L) were performed at different centrifugation condition.</w:t>
      </w:r>
    </w:p>
    <w:p w14:paraId="28D44E89" w14:textId="2495D5A2" w:rsidR="00BE7D7B" w:rsidRDefault="00A32FAF" w:rsidP="00F948CA">
      <w:pPr>
        <w:pStyle w:val="CETBodytext"/>
        <w:keepNext/>
        <w:rPr>
          <w:rFonts w:cs="Arial"/>
        </w:rPr>
      </w:pPr>
      <w:r w:rsidRPr="00A32FAF">
        <w:rPr>
          <w:rFonts w:cs="Arial"/>
        </w:rPr>
        <w:t xml:space="preserve">A marked dependence of extraction efficiency on the </w:t>
      </w:r>
      <w:r w:rsidR="00064675">
        <w:t>s</w:t>
      </w:r>
      <w:r w:rsidR="00E72476">
        <w:t>olvent</w:t>
      </w:r>
      <w:r w:rsidR="00064675">
        <w:t xml:space="preserve"> </w:t>
      </w:r>
      <w:r w:rsidR="00E72476">
        <w:t>to</w:t>
      </w:r>
      <w:r w:rsidR="00064675">
        <w:t xml:space="preserve"> </w:t>
      </w:r>
      <w:r w:rsidR="00E72476">
        <w:t>sample</w:t>
      </w:r>
      <w:r w:rsidR="00A2390D" w:rsidRPr="00A32FAF">
        <w:rPr>
          <w:rFonts w:cs="Arial"/>
        </w:rPr>
        <w:t xml:space="preserve"> </w:t>
      </w:r>
      <w:r w:rsidRPr="00A32FAF">
        <w:rPr>
          <w:rFonts w:cs="Arial"/>
        </w:rPr>
        <w:t xml:space="preserve">volume ratio </w:t>
      </w:r>
      <w:r w:rsidR="001C5224">
        <w:rPr>
          <w:rFonts w:cs="Arial"/>
        </w:rPr>
        <w:t>was observed</w:t>
      </w:r>
      <w:r w:rsidR="00D84B71">
        <w:rPr>
          <w:rFonts w:cs="Arial"/>
        </w:rPr>
        <w:t xml:space="preserve">. </w:t>
      </w:r>
      <w:r w:rsidR="00E456CF" w:rsidRPr="00E456CF">
        <w:rPr>
          <w:rFonts w:cs="Arial"/>
          <w:lang w:val="en"/>
        </w:rPr>
        <w:t>Conditions D and E, corresponding to</w:t>
      </w:r>
      <w:r w:rsidR="00E456CF">
        <w:rPr>
          <w:rFonts w:cs="Arial"/>
          <w:lang w:val="en"/>
        </w:rPr>
        <w:t xml:space="preserve"> </w:t>
      </w:r>
      <w:r w:rsidR="008E77A0">
        <w:rPr>
          <w:rFonts w:cs="Arial"/>
        </w:rPr>
        <w:t>1:</w:t>
      </w:r>
      <w:r w:rsidR="00375BC1">
        <w:rPr>
          <w:rFonts w:cs="Arial"/>
        </w:rPr>
        <w:t>2</w:t>
      </w:r>
      <w:r w:rsidR="008E77A0">
        <w:rPr>
          <w:rFonts w:cs="Arial"/>
        </w:rPr>
        <w:t xml:space="preserve"> and 1:</w:t>
      </w:r>
      <w:r w:rsidR="00375BC1">
        <w:rPr>
          <w:rFonts w:cs="Arial"/>
        </w:rPr>
        <w:t>1</w:t>
      </w:r>
      <w:r w:rsidR="006D020A">
        <w:rPr>
          <w:rFonts w:cs="Arial"/>
        </w:rPr>
        <w:t xml:space="preserve"> volume ratio</w:t>
      </w:r>
      <w:r w:rsidR="004076C8">
        <w:rPr>
          <w:rFonts w:cs="Arial"/>
        </w:rPr>
        <w:t xml:space="preserve"> respectively</w:t>
      </w:r>
      <w:r w:rsidR="006D020A">
        <w:rPr>
          <w:rFonts w:cs="Arial"/>
        </w:rPr>
        <w:t>, resulted in lower xanthophyll concentrations</w:t>
      </w:r>
      <w:r w:rsidR="008E77A0">
        <w:rPr>
          <w:rFonts w:cs="Arial"/>
        </w:rPr>
        <w:t xml:space="preserve">. </w:t>
      </w:r>
      <w:r w:rsidR="001E2443">
        <w:rPr>
          <w:rFonts w:cs="Arial"/>
        </w:rPr>
        <w:lastRenderedPageBreak/>
        <w:t>C</w:t>
      </w:r>
      <w:r w:rsidR="0020761E">
        <w:rPr>
          <w:rFonts w:cs="Arial"/>
        </w:rPr>
        <w:t>ondition</w:t>
      </w:r>
      <w:r w:rsidR="001E2443">
        <w:rPr>
          <w:rFonts w:cs="Arial"/>
        </w:rPr>
        <w:t xml:space="preserve"> F</w:t>
      </w:r>
      <w:r w:rsidR="00127511">
        <w:rPr>
          <w:rFonts w:cs="Arial"/>
        </w:rPr>
        <w:t xml:space="preserve">, </w:t>
      </w:r>
      <w:r w:rsidR="001E2443">
        <w:rPr>
          <w:rFonts w:cs="Arial"/>
        </w:rPr>
        <w:t>co</w:t>
      </w:r>
      <w:r w:rsidR="006B0547">
        <w:rPr>
          <w:rFonts w:cs="Arial"/>
        </w:rPr>
        <w:t xml:space="preserve">rresponding to </w:t>
      </w:r>
      <w:r w:rsidR="00302457">
        <w:rPr>
          <w:rFonts w:cs="Arial"/>
        </w:rPr>
        <w:t xml:space="preserve">a </w:t>
      </w:r>
      <w:r w:rsidR="006B0547">
        <w:rPr>
          <w:rFonts w:cs="Arial"/>
        </w:rPr>
        <w:t>volume</w:t>
      </w:r>
      <w:r w:rsidR="001E2443">
        <w:rPr>
          <w:rFonts w:cs="Arial"/>
        </w:rPr>
        <w:t xml:space="preserve"> </w:t>
      </w:r>
      <w:r w:rsidR="004E5B6C">
        <w:rPr>
          <w:rFonts w:cs="Arial"/>
        </w:rPr>
        <w:t xml:space="preserve">ratio </w:t>
      </w:r>
      <w:r w:rsidR="006B0547">
        <w:rPr>
          <w:rFonts w:cs="Arial"/>
        </w:rPr>
        <w:t xml:space="preserve">of </w:t>
      </w:r>
      <w:r w:rsidR="004E5B6C">
        <w:rPr>
          <w:rFonts w:cs="Arial"/>
        </w:rPr>
        <w:t>1:4</w:t>
      </w:r>
      <w:r w:rsidR="006B0547">
        <w:rPr>
          <w:rFonts w:cs="Arial"/>
        </w:rPr>
        <w:t>,</w:t>
      </w:r>
      <w:r w:rsidR="004E5B6C">
        <w:rPr>
          <w:rFonts w:cs="Arial"/>
        </w:rPr>
        <w:t xml:space="preserve"> </w:t>
      </w:r>
      <w:r w:rsidR="006A4830">
        <w:rPr>
          <w:rFonts w:cs="Arial"/>
        </w:rPr>
        <w:t>could not be</w:t>
      </w:r>
      <w:r w:rsidR="00E11650">
        <w:rPr>
          <w:rFonts w:cs="Arial"/>
        </w:rPr>
        <w:t xml:space="preserve"> </w:t>
      </w:r>
      <w:r w:rsidR="00302457">
        <w:rPr>
          <w:rFonts w:cs="Arial"/>
        </w:rPr>
        <w:t>analyzed</w:t>
      </w:r>
      <w:r w:rsidR="006A4830">
        <w:rPr>
          <w:rFonts w:cs="Arial"/>
        </w:rPr>
        <w:t xml:space="preserve"> </w:t>
      </w:r>
      <w:r w:rsidR="004E5B6C">
        <w:rPr>
          <w:rFonts w:cs="Arial"/>
        </w:rPr>
        <w:t xml:space="preserve">because the </w:t>
      </w:r>
      <w:r w:rsidR="00083BD7">
        <w:rPr>
          <w:rFonts w:cs="Arial"/>
        </w:rPr>
        <w:t>li</w:t>
      </w:r>
      <w:r w:rsidR="00083BD7" w:rsidRPr="00083BD7">
        <w:t>g</w:t>
      </w:r>
      <w:r w:rsidR="00083BD7" w:rsidRPr="006871DD">
        <w:t>h</w:t>
      </w:r>
      <w:r w:rsidR="00083BD7">
        <w:t>t</w:t>
      </w:r>
      <w:r w:rsidR="004E5B6C">
        <w:rPr>
          <w:rFonts w:cs="Arial"/>
        </w:rPr>
        <w:t xml:space="preserve"> phase is too </w:t>
      </w:r>
      <w:r w:rsidR="00E16F5E">
        <w:rPr>
          <w:rFonts w:cs="Arial"/>
        </w:rPr>
        <w:t xml:space="preserve">small </w:t>
      </w:r>
      <w:r w:rsidR="004E5B6C">
        <w:rPr>
          <w:rFonts w:cs="Arial"/>
        </w:rPr>
        <w:t>to be recovered with a Pasteur pipette</w:t>
      </w:r>
      <w:r w:rsidR="00E11650">
        <w:rPr>
          <w:rFonts w:cs="Arial"/>
        </w:rPr>
        <w:t xml:space="preserve"> without </w:t>
      </w:r>
      <w:r w:rsidR="00E16F5E">
        <w:rPr>
          <w:rFonts w:cs="Arial"/>
        </w:rPr>
        <w:t>also collecting</w:t>
      </w:r>
      <w:r w:rsidR="00302457">
        <w:rPr>
          <w:rFonts w:cs="Arial"/>
        </w:rPr>
        <w:t xml:space="preserve"> some of </w:t>
      </w:r>
      <w:r w:rsidR="00E11650">
        <w:rPr>
          <w:rFonts w:cs="Arial"/>
        </w:rPr>
        <w:t xml:space="preserve">the </w:t>
      </w:r>
      <w:r w:rsidR="00083BD7" w:rsidRPr="006871DD">
        <w:t>h</w:t>
      </w:r>
      <w:r w:rsidR="00083BD7">
        <w:t>eavy</w:t>
      </w:r>
      <w:r w:rsidR="00E11650">
        <w:rPr>
          <w:rFonts w:cs="Arial"/>
        </w:rPr>
        <w:t xml:space="preserve"> phase</w:t>
      </w:r>
      <w:r w:rsidR="004E5B6C">
        <w:rPr>
          <w:rFonts w:cs="Arial"/>
        </w:rPr>
        <w:t>.</w:t>
      </w:r>
    </w:p>
    <w:p w14:paraId="198235AA" w14:textId="52F99041" w:rsidR="00500733" w:rsidRDefault="007B3D6A" w:rsidP="004741A2">
      <w:pPr>
        <w:pStyle w:val="Nessunaspaziatura"/>
      </w:pPr>
      <w:r>
        <w:t>By contrast</w:t>
      </w:r>
      <w:r w:rsidR="0088071C">
        <w:t>,</w:t>
      </w:r>
      <w:r>
        <w:t xml:space="preserve"> conditions G-L</w:t>
      </w:r>
      <w:r w:rsidR="00E223D9">
        <w:t xml:space="preserve"> with</w:t>
      </w:r>
      <w:r w:rsidR="00B32FF1">
        <w:t xml:space="preserve"> a</w:t>
      </w:r>
      <w:r w:rsidR="00E223D9">
        <w:t xml:space="preserve"> solvent-to-sample</w:t>
      </w:r>
      <w:r w:rsidR="00B32FF1">
        <w:t xml:space="preserve"> </w:t>
      </w:r>
      <w:r w:rsidR="00367A22">
        <w:t>volume ratio of 1:3</w:t>
      </w:r>
      <w:r w:rsidR="0088071C">
        <w:t xml:space="preserve">, </w:t>
      </w:r>
      <w:r w:rsidR="0087099F" w:rsidRPr="0087099F">
        <w:t xml:space="preserve">showed the highest extraction yields, with total xanthophyll concentrations close to or above 3 </w:t>
      </w:r>
      <w:r w:rsidR="00312FB5">
        <w:t>mg/L</w:t>
      </w:r>
      <w:r w:rsidR="0087099F" w:rsidRPr="0087099F">
        <w:t xml:space="preserve">. </w:t>
      </w:r>
      <w:r w:rsidR="00CC4D33" w:rsidRPr="00CC4D33">
        <w:t xml:space="preserve">The effect of centrifugation speed and time was comparatively less pronounced. Increasing the rotational speed from 2700 </w:t>
      </w:r>
      <w:r w:rsidR="007815F9" w:rsidRPr="007815F9">
        <w:t xml:space="preserve"> </w:t>
      </w:r>
      <w:r w:rsidR="007815F9">
        <w:t>× g</w:t>
      </w:r>
      <w:r w:rsidR="00CC4D33" w:rsidRPr="00CC4D33">
        <w:t xml:space="preserve"> (G) to 4800 </w:t>
      </w:r>
      <w:r w:rsidR="007815F9" w:rsidRPr="007815F9">
        <w:t xml:space="preserve"> </w:t>
      </w:r>
      <w:r w:rsidR="007815F9">
        <w:t>× g</w:t>
      </w:r>
      <w:r w:rsidR="00CC4D33" w:rsidRPr="00CC4D33">
        <w:t xml:space="preserve"> (L) did not result in a substantial improvement in xanthophyll recovery</w:t>
      </w:r>
      <w:r w:rsidR="00CC4D33">
        <w:t>.</w:t>
      </w:r>
      <w:r w:rsidR="000854E5">
        <w:t xml:space="preserve"> </w:t>
      </w:r>
      <w:r w:rsidR="008A7BCF" w:rsidRPr="008A7BCF">
        <w:t>Condition H, combining low centrifugation speed and</w:t>
      </w:r>
      <w:r w:rsidR="00232DB9">
        <w:t xml:space="preserve"> temperature,</w:t>
      </w:r>
      <w:r w:rsidR="008A7BCF" w:rsidRPr="008A7BCF">
        <w:t xml:space="preserve"> </w:t>
      </w:r>
      <w:r w:rsidR="00232DB9">
        <w:t>despite a longer</w:t>
      </w:r>
      <w:r w:rsidR="008A7BCF" w:rsidRPr="008A7BCF">
        <w:t xml:space="preserve"> centrifugation time, led to a </w:t>
      </w:r>
      <w:r w:rsidR="0077020E">
        <w:t>slight</w:t>
      </w:r>
      <w:r w:rsidR="0077020E" w:rsidRPr="008A7BCF">
        <w:t xml:space="preserve"> </w:t>
      </w:r>
      <w:r w:rsidR="008A7BCF" w:rsidRPr="008A7BCF">
        <w:t>decrease in recovered pigments, confirming that insufficient phase separation negatively affects extraction performance.</w:t>
      </w:r>
      <w:r w:rsidR="008A7BCF">
        <w:t xml:space="preserve"> </w:t>
      </w:r>
      <w:r w:rsidR="000854E5" w:rsidRPr="000854E5">
        <w:t>Overall, the results demonstrate that the solvent-to-sample volume ratio is the dominant parameter influencing xanthophyll extraction efficiency, while centrifugation settings mainly affect solvent recovery and phase stability rather than pigment partitioning.</w:t>
      </w:r>
    </w:p>
    <w:p w14:paraId="350DAF09" w14:textId="052AAE77" w:rsidR="005E518E" w:rsidRDefault="003C6C7F" w:rsidP="004741A2">
      <w:pPr>
        <w:pStyle w:val="Nessunaspaziatura"/>
      </w:pPr>
      <w:r>
        <w:t xml:space="preserve">The recovered solvent volume was consistently 2 mL from an initial 5 mL, corresponding to an approximate recovery of 40%. </w:t>
      </w:r>
      <w:r w:rsidR="00FE67F7">
        <w:t>This is probably due to the high miscibility of acetone and water. It is known that salts in solution</w:t>
      </w:r>
      <w:r w:rsidR="00372117">
        <w:t>,</w:t>
      </w:r>
      <w:r w:rsidR="00FE67F7">
        <w:t xml:space="preserve"> </w:t>
      </w:r>
      <w:r w:rsidR="0077020E">
        <w:t>as well as</w:t>
      </w:r>
      <w:r w:rsidR="00372117">
        <w:t xml:space="preserve"> its</w:t>
      </w:r>
      <w:r w:rsidR="0077020E">
        <w:t xml:space="preserve"> temperature</w:t>
      </w:r>
      <w:r w:rsidR="00372117">
        <w:t>,</w:t>
      </w:r>
      <w:r w:rsidR="0077020E">
        <w:t xml:space="preserve"> a</w:t>
      </w:r>
      <w:r w:rsidR="00FE67F7">
        <w:t xml:space="preserve">ffect the miscibility of these fluids, </w:t>
      </w:r>
      <w:r w:rsidR="0071360C">
        <w:t xml:space="preserve">and these factors </w:t>
      </w:r>
      <w:r w:rsidR="00372117">
        <w:t xml:space="preserve">may be </w:t>
      </w:r>
      <w:r w:rsidR="0071360C">
        <w:t>predominant</w:t>
      </w:r>
      <w:r w:rsidR="00372117">
        <w:t xml:space="preserve"> in the present experiments</w:t>
      </w:r>
      <w:r w:rsidR="00FE67F7">
        <w:t>.</w:t>
      </w:r>
      <w:r w:rsidR="00237C4E">
        <w:t xml:space="preserve"> Saltin</w:t>
      </w:r>
      <w:r w:rsidR="00237C4E" w:rsidRPr="0074726B">
        <w:t>g</w:t>
      </w:r>
      <w:r w:rsidR="00237C4E">
        <w:t xml:space="preserve">-out affects both extraction </w:t>
      </w:r>
      <w:r w:rsidR="00450B40">
        <w:t>and</w:t>
      </w:r>
      <w:r w:rsidR="00237C4E">
        <w:t xml:space="preserve"> separation of the two phases </w:t>
      </w:r>
      <w:r w:rsidR="00237C4E">
        <w:fldChar w:fldCharType="begin"/>
      </w:r>
      <w:r w:rsidR="00237C4E">
        <w:instrText xml:space="preserve"> ADDIN ZOTERO_ITEM CSL_CITATION {"citationID":"KIPiKq2o","properties":{"formattedCitation":"(Bourayou and Meniai, 2005)","plainCitation":"(Bourayou and Meniai, 2005)","noteIndex":0},"citationItems":[{"id":3888,"uris":["http://zotero.org/users/16449344/items/25F3TBD9"],"itemData":{"id":3888,"type":"article-journal","abstract":"An experimental study has been carried out to examine the salt effect on the liquid phase equilibria for aqueous systems showing a complete miscibility in all proportions. Two model systems have been chosen, namely water-acetone and water-2 propanol with NaCl and CaCl2 as the salts. In the second theoretical part of this work, the experimental results issued from the first part have been used to calculate the interaction parameters involved in a modified version of the NRTL equation which has been extensively used for the prediction of the liquid-liquid equilibria. It has been tested with the above two systems, in presence of the salts, and encouraging results have been obtained.","collection-title":"Desalination and the Environment","container-title":"Desalination","DOI":"10.1016/j.desal.2005.03.089","ISSN":"0011-9164","issue":"1","journalAbbreviation":"Desalination","page":"473-481","source":"ScienceDirect","title":"Experimental and theoretical study of the influence of salt on liquid phase equilibria for totally miscible organic compounds with water","volume":"185","author":[{"family":"Bourayou","given":"N."},{"family":"Meniai","given":"A. -H."}],"issued":{"date-parts":[["2005",11,1]]}}}],"schema":"https://github.com/citation-style-language/schema/raw/master/csl-citation.json"} </w:instrText>
      </w:r>
      <w:r w:rsidR="00237C4E">
        <w:fldChar w:fldCharType="separate"/>
      </w:r>
      <w:r w:rsidR="00237C4E" w:rsidRPr="00237C4E">
        <w:rPr>
          <w:rFonts w:cs="Arial"/>
        </w:rPr>
        <w:t>(Bourayou and Meniai, 2005)</w:t>
      </w:r>
      <w:r w:rsidR="00237C4E">
        <w:fldChar w:fldCharType="end"/>
      </w:r>
      <w:r w:rsidR="00237C4E">
        <w:t>.</w:t>
      </w:r>
    </w:p>
    <w:p w14:paraId="0E1A8204" w14:textId="0DA64024" w:rsidR="00B75DBD" w:rsidRDefault="005E518E" w:rsidP="00B75DBD">
      <w:pPr>
        <w:pStyle w:val="Nessunaspaziatura"/>
      </w:pPr>
      <w:r>
        <w:t>T</w:t>
      </w:r>
      <w:r w:rsidRPr="0004681B">
        <w:t>h</w:t>
      </w:r>
      <w:r>
        <w:t>e samples t</w:t>
      </w:r>
      <w:r w:rsidRPr="0004681B">
        <w:t>h</w:t>
      </w:r>
      <w:r>
        <w:t xml:space="preserve">at, </w:t>
      </w:r>
      <w:r w:rsidR="00AC1A31">
        <w:t>according</w:t>
      </w:r>
      <w:r>
        <w:t xml:space="preserve"> to t</w:t>
      </w:r>
      <w:r w:rsidRPr="0004681B">
        <w:t>h</w:t>
      </w:r>
      <w:r>
        <w:t>e quantification of t</w:t>
      </w:r>
      <w:r w:rsidRPr="0004681B">
        <w:t>h</w:t>
      </w:r>
      <w:r>
        <w:t>e spectrop</w:t>
      </w:r>
      <w:r w:rsidRPr="0004681B">
        <w:t>h</w:t>
      </w:r>
      <w:r>
        <w:t xml:space="preserve">otometer, </w:t>
      </w:r>
      <w:r w:rsidR="00B50426">
        <w:t xml:space="preserve">showed a concentration of carotenoids </w:t>
      </w:r>
      <w:r>
        <w:t xml:space="preserve">above 2.5 </w:t>
      </w:r>
      <w:r w:rsidR="00312FB5">
        <w:t>mg/L</w:t>
      </w:r>
      <w:r>
        <w:t xml:space="preserve"> </w:t>
      </w:r>
      <w:r w:rsidR="00327C5D">
        <w:t>were further</w:t>
      </w:r>
      <w:r>
        <w:t xml:space="preserve"> analysed </w:t>
      </w:r>
      <w:r w:rsidR="00327C5D">
        <w:t xml:space="preserve">by using </w:t>
      </w:r>
      <w:r>
        <w:t>t</w:t>
      </w:r>
      <w:r w:rsidRPr="0004681B">
        <w:t>h</w:t>
      </w:r>
      <w:r>
        <w:t xml:space="preserve">e </w:t>
      </w:r>
      <w:r w:rsidRPr="0004681B">
        <w:t>H</w:t>
      </w:r>
      <w:r>
        <w:t>PLC. T</w:t>
      </w:r>
      <w:r w:rsidRPr="0004681B">
        <w:t>h</w:t>
      </w:r>
      <w:r>
        <w:t xml:space="preserve">e results are summarized in </w:t>
      </w:r>
      <w:r w:rsidR="00AC1A31">
        <w:t xml:space="preserve">Figure 3. </w:t>
      </w:r>
      <w:r w:rsidR="003E4DC6" w:rsidRPr="0004681B">
        <w:t>The</w:t>
      </w:r>
      <w:r w:rsidR="001B21C8">
        <w:t xml:space="preserve">se data </w:t>
      </w:r>
      <w:r w:rsidR="005F126A">
        <w:t xml:space="preserve">identify </w:t>
      </w:r>
      <w:r w:rsidR="00847351" w:rsidRPr="0004681B">
        <w:t xml:space="preserve">condition </w:t>
      </w:r>
      <w:r w:rsidR="00965D09" w:rsidRPr="0004681B">
        <w:t>G</w:t>
      </w:r>
      <w:r w:rsidR="00847351" w:rsidRPr="0004681B">
        <w:t xml:space="preserve"> </w:t>
      </w:r>
      <w:r w:rsidR="00F77D2F">
        <w:t xml:space="preserve">as the one </w:t>
      </w:r>
      <w:r w:rsidR="00935F99">
        <w:t>with</w:t>
      </w:r>
      <w:r w:rsidR="00F77D2F">
        <w:t xml:space="preserve"> the</w:t>
      </w:r>
      <w:r w:rsidR="00935F99">
        <w:t xml:space="preserve"> highest concentration of </w:t>
      </w:r>
      <w:r w:rsidR="00847351" w:rsidRPr="0004681B">
        <w:t>zeaxanthin (</w:t>
      </w:r>
      <w:r w:rsidR="00F239C8" w:rsidRPr="0004681B">
        <w:rPr>
          <w:rFonts w:cs="Arial"/>
        </w:rPr>
        <w:t>1.</w:t>
      </w:r>
      <w:r w:rsidR="00965D09" w:rsidRPr="0004681B">
        <w:rPr>
          <w:rFonts w:cs="Arial"/>
        </w:rPr>
        <w:t>88</w:t>
      </w:r>
      <w:r w:rsidR="004336F4">
        <w:rPr>
          <w:rFonts w:cs="Arial"/>
        </w:rPr>
        <w:t xml:space="preserve"> </w:t>
      </w:r>
      <w:r w:rsidR="00847351" w:rsidRPr="0004681B">
        <w:rPr>
          <w:rFonts w:cs="Arial"/>
        </w:rPr>
        <w:t>±</w:t>
      </w:r>
      <w:r w:rsidR="004336F4">
        <w:rPr>
          <w:rFonts w:cs="Arial"/>
        </w:rPr>
        <w:t xml:space="preserve"> </w:t>
      </w:r>
      <w:r w:rsidR="00847351" w:rsidRPr="0004681B">
        <w:rPr>
          <w:rFonts w:cs="Arial"/>
        </w:rPr>
        <w:t>0.</w:t>
      </w:r>
      <w:r w:rsidR="00965D09" w:rsidRPr="0004681B">
        <w:rPr>
          <w:rFonts w:cs="Arial"/>
        </w:rPr>
        <w:t>1</w:t>
      </w:r>
      <w:r w:rsidR="00783E17">
        <w:rPr>
          <w:rFonts w:cs="Arial"/>
        </w:rPr>
        <w:t>6</w:t>
      </w:r>
      <w:r w:rsidR="00847351" w:rsidRPr="0004681B">
        <w:rPr>
          <w:rFonts w:cs="Arial"/>
        </w:rPr>
        <w:t xml:space="preserve"> </w:t>
      </w:r>
      <w:r w:rsidR="00312FB5">
        <w:rPr>
          <w:rFonts w:cs="Arial"/>
        </w:rPr>
        <w:t>mg/L</w:t>
      </w:r>
      <w:r w:rsidR="00847351" w:rsidRPr="0004681B">
        <w:rPr>
          <w:rFonts w:cs="Arial"/>
        </w:rPr>
        <w:t>)</w:t>
      </w:r>
      <w:r w:rsidR="00847351" w:rsidRPr="0004681B">
        <w:t xml:space="preserve"> and </w:t>
      </w:r>
      <w:r w:rsidR="00965D09" w:rsidRPr="0004681B">
        <w:t xml:space="preserve">I for </w:t>
      </w:r>
      <w:r w:rsidR="00847351" w:rsidRPr="0004681B">
        <w:t>antheraxanthin (</w:t>
      </w:r>
      <w:r w:rsidR="00F239C8" w:rsidRPr="0004681B">
        <w:rPr>
          <w:rFonts w:cs="Arial"/>
        </w:rPr>
        <w:t>1.</w:t>
      </w:r>
      <w:r w:rsidR="00783E17" w:rsidRPr="0004681B">
        <w:rPr>
          <w:rFonts w:cs="Arial"/>
        </w:rPr>
        <w:t>3</w:t>
      </w:r>
      <w:r w:rsidR="00783E17">
        <w:rPr>
          <w:rFonts w:cs="Arial"/>
        </w:rPr>
        <w:t xml:space="preserve">4 </w:t>
      </w:r>
      <w:r w:rsidR="00847351" w:rsidRPr="0004681B">
        <w:rPr>
          <w:rFonts w:cs="Arial"/>
        </w:rPr>
        <w:t>±</w:t>
      </w:r>
      <w:r w:rsidR="004336F4">
        <w:rPr>
          <w:rFonts w:cs="Arial"/>
        </w:rPr>
        <w:t xml:space="preserve"> </w:t>
      </w:r>
      <w:r w:rsidR="00847351" w:rsidRPr="0004681B">
        <w:rPr>
          <w:rFonts w:cs="Arial"/>
        </w:rPr>
        <w:t>0.0</w:t>
      </w:r>
      <w:r w:rsidR="00241F8E">
        <w:rPr>
          <w:rFonts w:cs="Arial"/>
        </w:rPr>
        <w:t>1</w:t>
      </w:r>
      <w:r w:rsidR="00847351" w:rsidRPr="0004681B">
        <w:rPr>
          <w:rFonts w:cs="Arial"/>
        </w:rPr>
        <w:t xml:space="preserve"> </w:t>
      </w:r>
      <w:r w:rsidR="00312FB5">
        <w:rPr>
          <w:rFonts w:cs="Arial"/>
        </w:rPr>
        <w:t>mg/L</w:t>
      </w:r>
      <w:r w:rsidR="00847351" w:rsidRPr="0004681B">
        <w:rPr>
          <w:rFonts w:cs="Arial"/>
        </w:rPr>
        <w:t>)</w:t>
      </w:r>
      <w:r w:rsidR="00847351">
        <w:t xml:space="preserve">. </w:t>
      </w:r>
      <w:r w:rsidR="00D30388">
        <w:t>However</w:t>
      </w:r>
      <w:r w:rsidR="00847351">
        <w:t xml:space="preserve">, </w:t>
      </w:r>
      <w:r w:rsidR="00D30388">
        <w:t>only small</w:t>
      </w:r>
      <w:r w:rsidR="00847351">
        <w:t xml:space="preserve"> difference</w:t>
      </w:r>
      <w:r w:rsidR="00A95735">
        <w:t>s</w:t>
      </w:r>
      <w:r w:rsidR="00847351">
        <w:t xml:space="preserve"> </w:t>
      </w:r>
      <w:r w:rsidR="00D30388">
        <w:t xml:space="preserve">were detected in the </w:t>
      </w:r>
      <w:r w:rsidR="00CA5AE6">
        <w:t>concentration of xanthophyll</w:t>
      </w:r>
      <w:r w:rsidR="0037151B">
        <w:t>s</w:t>
      </w:r>
      <w:r w:rsidR="00CA5AE6">
        <w:t xml:space="preserve"> in G, I, and L</w:t>
      </w:r>
      <w:r w:rsidR="00847351">
        <w:t xml:space="preserve"> c</w:t>
      </w:r>
      <w:r w:rsidR="005D1E5B">
        <w:t>ondition</w:t>
      </w:r>
      <w:r w:rsidR="00CA5AE6">
        <w:t>s</w:t>
      </w:r>
      <w:r w:rsidR="00847351">
        <w:t xml:space="preserve">. </w:t>
      </w:r>
      <w:r w:rsidR="0037151B">
        <w:t>By contrast, condition</w:t>
      </w:r>
      <w:r w:rsidR="009468F6">
        <w:t xml:space="preserve"> H</w:t>
      </w:r>
      <w:r w:rsidR="000904F3">
        <w:t xml:space="preserve"> </w:t>
      </w:r>
      <w:r w:rsidR="00913BF4">
        <w:t xml:space="preserve">showed xanthophyll concentrations </w:t>
      </w:r>
      <w:r w:rsidR="002C6955">
        <w:t>lower than the detection</w:t>
      </w:r>
      <w:r w:rsidR="00B257E7">
        <w:t xml:space="preserve"> limit</w:t>
      </w:r>
      <w:r w:rsidR="000904F3">
        <w:t>.</w:t>
      </w:r>
      <w:r w:rsidR="009468F6">
        <w:t xml:space="preserve"> </w:t>
      </w:r>
      <w:r w:rsidR="00E56B78">
        <w:t>In the other condition</w:t>
      </w:r>
      <w:r w:rsidR="0094242D">
        <w:t>s</w:t>
      </w:r>
      <w:r w:rsidR="002A4950">
        <w:t xml:space="preserve"> (i.e.,</w:t>
      </w:r>
      <w:r w:rsidR="00E56B78">
        <w:t xml:space="preserve"> G, I, and </w:t>
      </w:r>
      <w:r w:rsidR="00B257E7">
        <w:t>L</w:t>
      </w:r>
      <w:r w:rsidR="002A4950">
        <w:t>)</w:t>
      </w:r>
      <w:r w:rsidR="00E56B78">
        <w:t xml:space="preserve"> </w:t>
      </w:r>
      <w:r w:rsidR="0094242D">
        <w:t>spectrophotometer</w:t>
      </w:r>
      <w:r w:rsidR="00E56B78">
        <w:t xml:space="preserve"> </w:t>
      </w:r>
      <w:r w:rsidR="003D5125">
        <w:t xml:space="preserve">quantifications </w:t>
      </w:r>
      <w:r w:rsidR="0094242D">
        <w:t xml:space="preserve">were </w:t>
      </w:r>
      <w:r w:rsidR="003D5125">
        <w:t>consistent to t</w:t>
      </w:r>
      <w:r w:rsidR="003D5125" w:rsidRPr="006E3BCF">
        <w:t>h</w:t>
      </w:r>
      <w:r w:rsidR="003D5125">
        <w:t>ose estimated wit</w:t>
      </w:r>
      <w:r w:rsidR="003D5125" w:rsidRPr="006E3BCF">
        <w:t>h</w:t>
      </w:r>
      <w:r w:rsidR="003D5125">
        <w:t xml:space="preserve"> </w:t>
      </w:r>
      <w:r w:rsidR="0094242D">
        <w:t>HPLC analysis</w:t>
      </w:r>
      <w:r w:rsidR="003D5125">
        <w:t>.</w:t>
      </w:r>
      <w:r w:rsidR="0056605A">
        <w:t xml:space="preserve"> </w:t>
      </w:r>
      <w:r w:rsidR="009D342A">
        <w:t xml:space="preserve">These values </w:t>
      </w:r>
      <w:r w:rsidR="002A4950">
        <w:t xml:space="preserve">were also </w:t>
      </w:r>
      <w:r w:rsidR="009D342A">
        <w:t xml:space="preserve">comparable </w:t>
      </w:r>
      <w:r w:rsidR="002A4950">
        <w:t xml:space="preserve">with those </w:t>
      </w:r>
      <w:r w:rsidR="009D342A">
        <w:t xml:space="preserve">found in literature, even though improvable </w:t>
      </w:r>
      <w:r w:rsidR="009D342A">
        <w:fldChar w:fldCharType="begin"/>
      </w:r>
      <w:r w:rsidR="00810FFE">
        <w:instrText xml:space="preserve"> ADDIN ZOTERO_ITEM CSL_CITATION {"citationID":"51TMtbrc","properties":{"formattedCitation":"(Ahmad et al., 2021)","plainCitation":"(Ahmad et al., 2021)","noteIndex":0},"citationItems":[{"id":3902,"uris":["http://zotero.org/users/16449344/items/FMR37WWT"],"itemData":{"id":3902,"type":"article-journal","abstract":"This study aimed to optimize the key parameters of extraction methods and to increase the recovery yields of intact xanthophylls (violaxanthin, zeaxanthin, astaxanthin) from microalgae (Chlorella luteoviridis). An effective, simple, and fast extraction protocol is described. It consists of a grinding pretreatment followed by a microwave-assisted extraction, using ethanol 90% as an environmentally preferable extraction solvent. Xanthopylls were quantified using high performance liquid chromatography. Irradiation time of 6 s only resulted in the extraction of violaxanthin (4.479 ± 0.009 mg/g), astaxanthin (4.154 ± 0.013 mg/g), and zeaxanthin (4.776 ± 0.120 mg/g). The described protocol seems to be the fastest extraction method of xantophylls compared to the literature and could be an advantage for industrial scale, while saving time and energy.","container-title":"Preparative Biochemistry &amp; Biotechnology","DOI":"10.1080/10826068.2021.1901231","ISSN":"1082-6068","issue":"10","note":"_eprint: https://doi.org/10.1080/10826068.2021.1901231","page":"1071-1075","PMID":"33775206","publisher":"Taylor &amp; Francis","source":"Taylor and Francis+NEJM","title":"A simple and fast experimental protocol for the extraction of xanthophylls from microalga Chlorella luteoviridis","volume":"51","author":[{"family":"Ahmad","given":"Nourhane"},{"family":"Mounsef","given":"Jihane Rahbani"},{"family":"Lteif","given":"Roger"}],"issued":{"date-parts":[["2021",11,2]]}}}],"schema":"https://github.com/citation-style-language/schema/raw/master/csl-citation.json"} </w:instrText>
      </w:r>
      <w:r w:rsidR="009D342A">
        <w:fldChar w:fldCharType="separate"/>
      </w:r>
      <w:r w:rsidR="009D342A" w:rsidRPr="009D342A">
        <w:rPr>
          <w:rFonts w:cs="Arial"/>
        </w:rPr>
        <w:t>(Ahmad et al., 2021)</w:t>
      </w:r>
      <w:r w:rsidR="009D342A">
        <w:fldChar w:fldCharType="end"/>
      </w:r>
      <w:r w:rsidR="009D342A">
        <w:t>.</w:t>
      </w:r>
      <w:r w:rsidR="00F249D6">
        <w:t xml:space="preserve"> In this case the concentration of zeaxanthin was </w:t>
      </w:r>
      <w:r w:rsidR="00F249D6" w:rsidRPr="00F249D6">
        <w:t>4.</w:t>
      </w:r>
      <w:r w:rsidR="00783E17" w:rsidRPr="00F249D6">
        <w:t>7</w:t>
      </w:r>
      <w:r w:rsidR="00783E17">
        <w:t>8</w:t>
      </w:r>
      <w:r w:rsidR="00F249D6" w:rsidRPr="00F249D6">
        <w:t> ± 0.12 mg/g</w:t>
      </w:r>
      <w:r w:rsidR="004E6B91">
        <w:t xml:space="preserve"> obtained with a solid-liquid extraction using ethanol 90% starting from </w:t>
      </w:r>
      <w:r w:rsidR="004E6B91" w:rsidRPr="004E6B91">
        <w:rPr>
          <w:bCs/>
          <w:i/>
          <w:iCs/>
        </w:rPr>
        <w:t>Chlorella luteoviridis</w:t>
      </w:r>
      <w:r w:rsidR="00F249D6" w:rsidRPr="004E6B91">
        <w:t>.</w:t>
      </w:r>
      <w:r w:rsidR="00B75DBD">
        <w:t xml:space="preserve"> </w:t>
      </w:r>
      <w:r w:rsidR="00B83122">
        <w:t>O</w:t>
      </w:r>
      <w:r w:rsidR="00B75DBD">
        <w:t xml:space="preserve">ther </w:t>
      </w:r>
      <w:r w:rsidR="00F77D2F">
        <w:t>studie</w:t>
      </w:r>
      <w:r w:rsidR="00B83122">
        <w:t>s in</w:t>
      </w:r>
      <w:r w:rsidR="00F77D2F">
        <w:t xml:space="preserve"> the</w:t>
      </w:r>
      <w:r w:rsidR="00B83122">
        <w:t xml:space="preserve"> literature </w:t>
      </w:r>
      <w:r w:rsidR="00F77D2F">
        <w:t xml:space="preserve">have </w:t>
      </w:r>
      <w:r w:rsidR="00B83122">
        <w:t>shown</w:t>
      </w:r>
      <w:r w:rsidR="00B75DBD">
        <w:t xml:space="preserve"> x</w:t>
      </w:r>
      <w:r w:rsidR="00B6139E">
        <w:t>anthophyll extraction from maize using ethanol, followed by filtration and concentration of the extract by a factor of 1 to 10 through consecutive ultrafiltration and nanofiltration units, yielding final pigment concentrations of 3.11</w:t>
      </w:r>
      <w:r w:rsidR="004336F4">
        <w:t xml:space="preserve"> </w:t>
      </w:r>
      <w:r w:rsidR="00B6139E">
        <w:t>–</w:t>
      </w:r>
      <w:r w:rsidR="004336F4">
        <w:t xml:space="preserve"> </w:t>
      </w:r>
      <w:r w:rsidR="00B6139E">
        <w:t>22 mg/L</w:t>
      </w:r>
      <w:r w:rsidR="00B75DBD">
        <w:t xml:space="preserve"> </w:t>
      </w:r>
      <w:r w:rsidR="00B75DBD">
        <w:fldChar w:fldCharType="begin"/>
      </w:r>
      <w:r w:rsidR="00B75DBD">
        <w:instrText xml:space="preserve"> ADDIN ZOTERO_ITEM CSL_CITATION {"citationID":"DLWDb5zl","properties":{"formattedCitation":"(Tsui and Cheryan, 2007)","plainCitation":"(Tsui and Cheryan, 2007)","noteIndex":0},"citationItems":[{"id":3907,"uris":["http://zotero.org/users/16449344/items/LV87Z6VP"],"itemData":{"id":3907,"type":"article-journal","abstract":"Xanthophylls such as lutein and zeaxanthin are naturally occurring yellow–orange oxygenated pigments of the carotenoid family. They can be extracted from plant materials with organic solvents such as ethanol or hexane. The objective of this research was to develop methods for concentrating and purifying xanthophylls extracted from corn using membrane technology. Ultrafiltration (UF) was used to separate ethanol-soluble protein (zein) and other large solutes from the extract. The xanthophyll-containing stream was concentrated and separated from the solvent using nanofiltration (NF). Ethanol can be recycled back to the process. This study focused on screening commercially available and prototype polymeric UF and NF membranes for the flux and rejection of model lutein solutions and aqueous ethanol extracts of whole ground corn.","container-title":"Journal of Food Engineering","DOI":"10.1016/j.jfoodeng.2007.03.041","ISSN":"0260-8774","issue":"4","journalAbbreviation":"Journal of Food Engineering","page":"590-595","source":"ScienceDirect","title":"Membrane processing of xanthophylls in ethanol extracts of corn","volume":"83","author":[{"family":"Tsui","given":"Eliza M."},{"family":"Cheryan","given":"Munir"}],"issued":{"date-parts":[["2007",12,1]]}}}],"schema":"https://github.com/citation-style-language/schema/raw/master/csl-citation.json"} </w:instrText>
      </w:r>
      <w:r w:rsidR="00B75DBD">
        <w:fldChar w:fldCharType="separate"/>
      </w:r>
      <w:r w:rsidR="00B75DBD" w:rsidRPr="00B75DBD">
        <w:rPr>
          <w:rFonts w:cs="Arial"/>
        </w:rPr>
        <w:t>(Tsui and Cheryan, 2007)</w:t>
      </w:r>
      <w:r w:rsidR="00B75DBD">
        <w:fldChar w:fldCharType="end"/>
      </w:r>
      <w:r w:rsidR="00B75DBD" w:rsidRPr="00B75DBD">
        <w:t>.</w:t>
      </w:r>
    </w:p>
    <w:p w14:paraId="0C7F8EA3" w14:textId="53181261" w:rsidR="00E003D5" w:rsidRPr="00E003D5" w:rsidRDefault="00143DBD" w:rsidP="0070059D">
      <w:pPr>
        <w:pStyle w:val="CETCaption"/>
      </w:pPr>
      <w:r w:rsidRPr="0070059D">
        <w:rPr>
          <w:noProof/>
          <w:lang w:val="it-IT" w:eastAsia="it-IT"/>
        </w:rPr>
        <w:drawing>
          <wp:inline distT="0" distB="0" distL="0" distR="0" wp14:anchorId="5D85FC96" wp14:editId="4EB89AC7">
            <wp:extent cx="3835021" cy="1936750"/>
            <wp:effectExtent l="0" t="0" r="13335" b="6350"/>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B8B325" w14:textId="5EFEAFA4" w:rsidR="00730372" w:rsidRDefault="00730372" w:rsidP="00BC1D78">
      <w:pPr>
        <w:pStyle w:val="CETCaption"/>
      </w:pPr>
      <w:r>
        <w:t xml:space="preserve">Figure </w:t>
      </w:r>
      <w:r w:rsidR="005E518E">
        <w:t>3</w:t>
      </w:r>
      <w:r>
        <w:t>: Results of characterization and quantification performed with the HPLC when feasible</w:t>
      </w:r>
      <w:r w:rsidR="00AC4699">
        <w:t xml:space="preserve"> and reliable</w:t>
      </w:r>
      <w:r>
        <w:t>.</w:t>
      </w:r>
    </w:p>
    <w:p w14:paraId="68D26B83" w14:textId="60AF6562" w:rsidR="00600535" w:rsidRPr="00B57B36" w:rsidRDefault="00600535" w:rsidP="00600535">
      <w:pPr>
        <w:pStyle w:val="CETHeading1"/>
        <w:rPr>
          <w:lang w:val="en-GB"/>
        </w:rPr>
      </w:pPr>
      <w:r w:rsidRPr="00B57B36">
        <w:rPr>
          <w:lang w:val="en-GB"/>
        </w:rPr>
        <w:t>Conclusions</w:t>
      </w:r>
      <w:r w:rsidR="00B7116B">
        <w:rPr>
          <w:lang w:val="en-GB"/>
        </w:rPr>
        <w:t xml:space="preserve"> and outlook</w:t>
      </w:r>
    </w:p>
    <w:p w14:paraId="7E45FB8E" w14:textId="649A5990" w:rsidR="000733D4" w:rsidRDefault="00E752E0" w:rsidP="00600535">
      <w:pPr>
        <w:pStyle w:val="CETBodytext"/>
        <w:rPr>
          <w:lang w:val="en-GB"/>
        </w:rPr>
      </w:pPr>
      <w:r>
        <w:rPr>
          <w:lang w:val="en-GB"/>
        </w:rPr>
        <w:t xml:space="preserve">In this study, </w:t>
      </w:r>
      <w:r w:rsidR="00D57CEB">
        <w:rPr>
          <w:lang w:val="en-GB"/>
        </w:rPr>
        <w:t>the efficacy of LLE of carotenoids from</w:t>
      </w:r>
      <w:r>
        <w:rPr>
          <w:lang w:val="en-GB"/>
        </w:rPr>
        <w:t xml:space="preserve"> </w:t>
      </w:r>
      <w:r w:rsidR="006B4EC6">
        <w:rPr>
          <w:lang w:val="en-GB"/>
        </w:rPr>
        <w:t xml:space="preserve">semi-natural </w:t>
      </w:r>
      <w:r>
        <w:rPr>
          <w:lang w:val="en-GB"/>
        </w:rPr>
        <w:t>bittern</w:t>
      </w:r>
      <w:r w:rsidR="006F54C6" w:rsidRPr="006F54C6">
        <w:rPr>
          <w:lang w:val="en-GB"/>
        </w:rPr>
        <w:t xml:space="preserve"> </w:t>
      </w:r>
      <w:r w:rsidR="006F54C6">
        <w:rPr>
          <w:lang w:val="en-GB"/>
        </w:rPr>
        <w:t xml:space="preserve">was </w:t>
      </w:r>
      <w:r w:rsidR="006B4EC6">
        <w:rPr>
          <w:lang w:val="en-GB"/>
        </w:rPr>
        <w:t xml:space="preserve">assessed, starting from a </w:t>
      </w:r>
      <w:r w:rsidR="007D2798">
        <w:rPr>
          <w:lang w:val="en-GB"/>
        </w:rPr>
        <w:t xml:space="preserve">pre-treated bittern, </w:t>
      </w:r>
      <w:r>
        <w:rPr>
          <w:lang w:val="en-GB"/>
        </w:rPr>
        <w:t>concentrated 50</w:t>
      </w:r>
      <w:r w:rsidR="006E7F12">
        <w:rPr>
          <w:lang w:val="en-GB"/>
        </w:rPr>
        <w:t>-fold</w:t>
      </w:r>
      <w:r w:rsidR="007D2798">
        <w:rPr>
          <w:lang w:val="en-GB"/>
        </w:rPr>
        <w:t xml:space="preserve"> by means of an UF treatment step</w:t>
      </w:r>
      <w:r>
        <w:rPr>
          <w:lang w:val="en-GB"/>
        </w:rPr>
        <w:t xml:space="preserve">. </w:t>
      </w:r>
      <w:r w:rsidR="007D2798">
        <w:rPr>
          <w:lang w:val="en-GB"/>
        </w:rPr>
        <w:t xml:space="preserve">The UF </w:t>
      </w:r>
      <w:r w:rsidR="00CA239B">
        <w:rPr>
          <w:lang w:val="en-GB"/>
        </w:rPr>
        <w:t xml:space="preserve">retentate was </w:t>
      </w:r>
      <w:r w:rsidR="007C624F">
        <w:rPr>
          <w:lang w:val="en-GB"/>
        </w:rPr>
        <w:t>then treated via</w:t>
      </w:r>
      <w:r w:rsidR="007D2798">
        <w:rPr>
          <w:lang w:val="en-GB"/>
        </w:rPr>
        <w:t xml:space="preserve"> </w:t>
      </w:r>
      <w:r>
        <w:rPr>
          <w:lang w:val="en-GB"/>
        </w:rPr>
        <w:t xml:space="preserve">LLE to recover the pigments present in the sample. Acetone </w:t>
      </w:r>
      <w:r w:rsidR="005237E7">
        <w:rPr>
          <w:lang w:val="en-GB"/>
        </w:rPr>
        <w:t>prov</w:t>
      </w:r>
      <w:r>
        <w:rPr>
          <w:lang w:val="en-GB"/>
        </w:rPr>
        <w:t xml:space="preserve">ed to be the </w:t>
      </w:r>
      <w:r w:rsidR="001D43D7">
        <w:rPr>
          <w:lang w:val="en-GB"/>
        </w:rPr>
        <w:t>most effective</w:t>
      </w:r>
      <w:r>
        <w:rPr>
          <w:lang w:val="en-GB"/>
        </w:rPr>
        <w:t xml:space="preserve"> solvent, </w:t>
      </w:r>
      <w:r w:rsidR="00DE6167">
        <w:rPr>
          <w:lang w:val="en-GB"/>
        </w:rPr>
        <w:t xml:space="preserve">particularly </w:t>
      </w:r>
      <w:r w:rsidR="007C624F">
        <w:rPr>
          <w:lang w:val="en-GB"/>
        </w:rPr>
        <w:t xml:space="preserve">keeping a solvent-to-bittern </w:t>
      </w:r>
      <w:r w:rsidR="00DE6167">
        <w:rPr>
          <w:lang w:val="en-GB"/>
        </w:rPr>
        <w:t xml:space="preserve">ratio 1:3, </w:t>
      </w:r>
      <w:r w:rsidR="001D43D7">
        <w:rPr>
          <w:lang w:val="en-GB"/>
        </w:rPr>
        <w:t>res</w:t>
      </w:r>
      <w:r w:rsidR="00A42877">
        <w:rPr>
          <w:lang w:val="en-GB"/>
        </w:rPr>
        <w:t>ulting</w:t>
      </w:r>
      <w:r w:rsidR="003D5EC7">
        <w:rPr>
          <w:lang w:val="en-GB"/>
        </w:rPr>
        <w:t xml:space="preserve"> in </w:t>
      </w:r>
      <w:r w:rsidR="00DE6167">
        <w:rPr>
          <w:lang w:val="en-GB"/>
        </w:rPr>
        <w:t>a final xanthophylls concentration of 3.08</w:t>
      </w:r>
      <w:r w:rsidR="004336F4">
        <w:rPr>
          <w:lang w:val="en-GB"/>
        </w:rPr>
        <w:t xml:space="preserve"> </w:t>
      </w:r>
      <w:r w:rsidR="00DE6167">
        <w:rPr>
          <w:rFonts w:ascii="Calibri" w:hAnsi="Calibri" w:cs="Calibri"/>
          <w:lang w:val="en-GB"/>
        </w:rPr>
        <w:t>±</w:t>
      </w:r>
      <w:r w:rsidR="004336F4">
        <w:rPr>
          <w:rFonts w:ascii="Calibri" w:hAnsi="Calibri" w:cs="Calibri"/>
          <w:lang w:val="en-GB"/>
        </w:rPr>
        <w:t xml:space="preserve"> </w:t>
      </w:r>
      <w:r w:rsidR="00DE6167">
        <w:rPr>
          <w:lang w:val="en-GB"/>
        </w:rPr>
        <w:t xml:space="preserve">0.03 </w:t>
      </w:r>
      <w:r w:rsidR="00312FB5">
        <w:rPr>
          <w:lang w:val="en-GB"/>
        </w:rPr>
        <w:t>mg/L</w:t>
      </w:r>
      <w:r w:rsidR="00DE6167">
        <w:rPr>
          <w:lang w:val="en-GB"/>
        </w:rPr>
        <w:t xml:space="preserve">. </w:t>
      </w:r>
      <w:r w:rsidR="000733D4" w:rsidRPr="000733D4">
        <w:rPr>
          <w:lang w:val="en-GB"/>
        </w:rPr>
        <w:t xml:space="preserve">The process is strongly affected by the </w:t>
      </w:r>
      <w:r w:rsidR="007A224B">
        <w:rPr>
          <w:lang w:val="en-GB"/>
        </w:rPr>
        <w:t xml:space="preserve">solvent to </w:t>
      </w:r>
      <w:r w:rsidR="000733D4">
        <w:rPr>
          <w:lang w:val="en-GB"/>
        </w:rPr>
        <w:t>sample volume ratios</w:t>
      </w:r>
      <w:r w:rsidR="005237E7">
        <w:rPr>
          <w:lang w:val="en-GB"/>
        </w:rPr>
        <w:t>. However</w:t>
      </w:r>
      <w:r w:rsidR="000733D4">
        <w:rPr>
          <w:lang w:val="en-GB"/>
        </w:rPr>
        <w:t>,</w:t>
      </w:r>
      <w:r w:rsidR="000733D4" w:rsidRPr="000733D4">
        <w:rPr>
          <w:lang w:val="en-GB"/>
        </w:rPr>
        <w:t xml:space="preserve"> as demonstrated by condition H, a low centrifugation speed, even when combined with low temperature, results in poor p</w:t>
      </w:r>
      <w:r w:rsidR="000733D4">
        <w:rPr>
          <w:lang w:val="en-GB"/>
        </w:rPr>
        <w:t>igment</w:t>
      </w:r>
      <w:r w:rsidR="000733D4" w:rsidRPr="000733D4">
        <w:rPr>
          <w:lang w:val="en-GB"/>
        </w:rPr>
        <w:t xml:space="preserve"> recovery.</w:t>
      </w:r>
    </w:p>
    <w:p w14:paraId="20BCB4CE" w14:textId="5DD07A4F" w:rsidR="0088071C" w:rsidRDefault="00375DA4" w:rsidP="00600535">
      <w:pPr>
        <w:pStyle w:val="CETBodytext"/>
        <w:rPr>
          <w:lang w:val="en-GB"/>
        </w:rPr>
      </w:pPr>
      <w:r>
        <w:rPr>
          <w:lang w:val="en-GB"/>
        </w:rPr>
        <w:t>These results indicate that</w:t>
      </w:r>
      <w:r w:rsidR="00324E52">
        <w:rPr>
          <w:lang w:val="en-GB"/>
        </w:rPr>
        <w:t xml:space="preserve"> </w:t>
      </w:r>
      <w:r w:rsidR="00E03696">
        <w:rPr>
          <w:lang w:val="en-GB"/>
        </w:rPr>
        <w:t xml:space="preserve">direct </w:t>
      </w:r>
      <w:r w:rsidR="00684ED9">
        <w:rPr>
          <w:lang w:val="en-GB"/>
        </w:rPr>
        <w:t>LLE</w:t>
      </w:r>
      <w:r w:rsidR="007C624F">
        <w:rPr>
          <w:lang w:val="en-GB"/>
        </w:rPr>
        <w:t xml:space="preserve"> of pigments is theoretically</w:t>
      </w:r>
      <w:r w:rsidR="00324E52">
        <w:rPr>
          <w:lang w:val="en-GB"/>
        </w:rPr>
        <w:t xml:space="preserve"> f</w:t>
      </w:r>
      <w:r w:rsidR="000F2526">
        <w:rPr>
          <w:lang w:val="en-GB"/>
        </w:rPr>
        <w:t>easible</w:t>
      </w:r>
      <w:r w:rsidR="0031448D">
        <w:rPr>
          <w:lang w:val="en-GB"/>
        </w:rPr>
        <w:t xml:space="preserve"> starting from</w:t>
      </w:r>
      <w:r w:rsidR="00D448BA">
        <w:rPr>
          <w:lang w:val="en-GB"/>
        </w:rPr>
        <w:t xml:space="preserve"> waste</w:t>
      </w:r>
      <w:r w:rsidR="007C624F">
        <w:rPr>
          <w:lang w:val="en-GB"/>
        </w:rPr>
        <w:t xml:space="preserve"> bitterns</w:t>
      </w:r>
      <w:r w:rsidR="0031448D">
        <w:rPr>
          <w:lang w:val="en-GB"/>
        </w:rPr>
        <w:t xml:space="preserve"> </w:t>
      </w:r>
      <w:r w:rsidR="0074726B">
        <w:rPr>
          <w:lang w:val="en-GB"/>
        </w:rPr>
        <w:t>UF</w:t>
      </w:r>
      <w:r w:rsidR="0031448D">
        <w:rPr>
          <w:lang w:val="en-GB"/>
        </w:rPr>
        <w:t xml:space="preserve"> retentate</w:t>
      </w:r>
      <w:r w:rsidR="007C624F">
        <w:rPr>
          <w:lang w:val="en-GB"/>
        </w:rPr>
        <w:t>s</w:t>
      </w:r>
      <w:r w:rsidR="00E03696">
        <w:rPr>
          <w:lang w:val="en-GB"/>
        </w:rPr>
        <w:t xml:space="preserve">, limiting the </w:t>
      </w:r>
      <w:r w:rsidR="001B390C">
        <w:rPr>
          <w:lang w:val="en-GB"/>
        </w:rPr>
        <w:t>cost</w:t>
      </w:r>
      <w:r w:rsidR="00EA484E">
        <w:rPr>
          <w:lang w:val="en-GB"/>
        </w:rPr>
        <w:t xml:space="preserve">s to </w:t>
      </w:r>
      <w:r w:rsidR="001B390C">
        <w:rPr>
          <w:lang w:val="en-GB"/>
        </w:rPr>
        <w:t>the extraction</w:t>
      </w:r>
      <w:r w:rsidR="00117F10">
        <w:rPr>
          <w:lang w:val="en-GB"/>
        </w:rPr>
        <w:t xml:space="preserve"> process</w:t>
      </w:r>
      <w:r w:rsidR="00E03696">
        <w:rPr>
          <w:lang w:val="en-GB"/>
        </w:rPr>
        <w:t xml:space="preserve"> only</w:t>
      </w:r>
      <w:r w:rsidR="001B390C">
        <w:rPr>
          <w:lang w:val="en-GB"/>
        </w:rPr>
        <w:t xml:space="preserve">, </w:t>
      </w:r>
      <w:r w:rsidR="00CD4C84">
        <w:rPr>
          <w:lang w:val="en-GB"/>
        </w:rPr>
        <w:t>as biomass</w:t>
      </w:r>
      <w:r w:rsidR="001B390C">
        <w:rPr>
          <w:lang w:val="en-GB"/>
        </w:rPr>
        <w:t xml:space="preserve"> cultivation</w:t>
      </w:r>
      <w:r w:rsidR="00CD4C84">
        <w:rPr>
          <w:lang w:val="en-GB"/>
        </w:rPr>
        <w:t>, harvesting</w:t>
      </w:r>
      <w:r w:rsidR="001B390C">
        <w:rPr>
          <w:lang w:val="en-GB"/>
        </w:rPr>
        <w:t xml:space="preserve"> and lysis </w:t>
      </w:r>
      <w:r w:rsidR="00EA484E">
        <w:rPr>
          <w:lang w:val="en-GB"/>
        </w:rPr>
        <w:t xml:space="preserve">are </w:t>
      </w:r>
      <w:r w:rsidR="00E03696">
        <w:rPr>
          <w:lang w:val="en-GB"/>
        </w:rPr>
        <w:t xml:space="preserve">already </w:t>
      </w:r>
      <w:r w:rsidR="00D448BA">
        <w:rPr>
          <w:lang w:val="en-GB"/>
        </w:rPr>
        <w:t>occurring during the previous independent process phases</w:t>
      </w:r>
      <w:r w:rsidR="00EA484E">
        <w:rPr>
          <w:lang w:val="en-GB"/>
        </w:rPr>
        <w:t>.</w:t>
      </w:r>
      <w:r w:rsidR="008575A8">
        <w:rPr>
          <w:lang w:val="en-GB"/>
        </w:rPr>
        <w:t xml:space="preserve"> </w:t>
      </w:r>
      <w:r w:rsidR="008575A8">
        <w:t>Starting from a waste material, the proposed process not only valorizes an otherwise discarded resource but also offers a cost-effective alternative to conventional protocols reported in the literature.</w:t>
      </w:r>
    </w:p>
    <w:p w14:paraId="35B6EAB0" w14:textId="4582CA4F" w:rsidR="008575A8" w:rsidRDefault="008575A8" w:rsidP="00CE72C4">
      <w:pPr>
        <w:pStyle w:val="CETBodytext"/>
        <w:rPr>
          <w:lang w:val="en-GB"/>
        </w:rPr>
      </w:pPr>
      <w:r>
        <w:t>It is worth noting that</w:t>
      </w:r>
      <w:r w:rsidR="005237E7">
        <w:t>, to the best of the authors</w:t>
      </w:r>
      <w:r w:rsidR="003E562F">
        <w:t xml:space="preserve">’ </w:t>
      </w:r>
      <w:r w:rsidR="005237E7">
        <w:t>knowledge,</w:t>
      </w:r>
      <w:r>
        <w:t xml:space="preserve"> no established protocols for this </w:t>
      </w:r>
      <w:r w:rsidR="00DE12D7">
        <w:t xml:space="preserve">approach </w:t>
      </w:r>
      <w:r>
        <w:t>are currently available in the literature. Accordingly, the present study constitutes a significant milestone, providing a foundational framework for future investigations and methodological advancements.</w:t>
      </w:r>
    </w:p>
    <w:p w14:paraId="5ACBB03C" w14:textId="4D4E5894" w:rsidR="00CE72C4" w:rsidRDefault="00E557F2" w:rsidP="00CE72C4">
      <w:pPr>
        <w:pStyle w:val="CETBodytext"/>
      </w:pPr>
      <w:r>
        <w:rPr>
          <w:lang w:val="en-GB"/>
        </w:rPr>
        <w:lastRenderedPageBreak/>
        <w:t>Antioxidant properties of the extracts will be assessed to verify their integrity</w:t>
      </w:r>
      <w:r w:rsidR="000314A3">
        <w:rPr>
          <w:lang w:val="en-GB"/>
        </w:rPr>
        <w:t>.</w:t>
      </w:r>
      <w:r w:rsidR="005237E7">
        <w:rPr>
          <w:lang w:val="en-GB"/>
        </w:rPr>
        <w:t xml:space="preserve"> </w:t>
      </w:r>
      <w:r w:rsidR="005237E7">
        <w:t>This information will also be useful for assessing their potential applications.</w:t>
      </w:r>
      <w:r w:rsidR="000314A3">
        <w:rPr>
          <w:lang w:val="en-GB"/>
        </w:rPr>
        <w:t xml:space="preserve"> </w:t>
      </w:r>
      <w:r w:rsidR="00D50217">
        <w:rPr>
          <w:lang w:val="en-GB"/>
        </w:rPr>
        <w:t>Observed</w:t>
      </w:r>
      <w:r w:rsidR="0088071C">
        <w:rPr>
          <w:lang w:val="en-GB"/>
        </w:rPr>
        <w:t xml:space="preserve"> solvent</w:t>
      </w:r>
      <w:r w:rsidR="00D50217">
        <w:rPr>
          <w:lang w:val="en-GB"/>
        </w:rPr>
        <w:t xml:space="preserve"> loss</w:t>
      </w:r>
      <w:r w:rsidR="005B79C6">
        <w:rPr>
          <w:lang w:val="en-GB"/>
        </w:rPr>
        <w:t xml:space="preserve"> suggests tha</w:t>
      </w:r>
      <w:r w:rsidR="00D51FB0">
        <w:rPr>
          <w:lang w:val="en-GB"/>
        </w:rPr>
        <w:t xml:space="preserve">t the separation phase may </w:t>
      </w:r>
      <w:r w:rsidR="008E4A62">
        <w:rPr>
          <w:lang w:val="en-GB"/>
        </w:rPr>
        <w:t>constitute a process</w:t>
      </w:r>
      <w:r w:rsidR="005B79C6">
        <w:rPr>
          <w:lang w:val="en-GB"/>
        </w:rPr>
        <w:t xml:space="preserve"> bottleneck.</w:t>
      </w:r>
      <w:r w:rsidR="0088071C">
        <w:rPr>
          <w:lang w:val="en-GB"/>
        </w:rPr>
        <w:t xml:space="preserve"> </w:t>
      </w:r>
      <w:r w:rsidR="006D59EB">
        <w:rPr>
          <w:lang w:val="en-GB"/>
        </w:rPr>
        <w:t>Alternative</w:t>
      </w:r>
      <w:r w:rsidR="00F948CA">
        <w:rPr>
          <w:lang w:val="en-GB"/>
        </w:rPr>
        <w:t xml:space="preserve"> extraction configurations </w:t>
      </w:r>
      <w:r w:rsidR="00EE270C">
        <w:rPr>
          <w:lang w:val="en-GB"/>
        </w:rPr>
        <w:t>should</w:t>
      </w:r>
      <w:r w:rsidR="00F948CA">
        <w:rPr>
          <w:lang w:val="en-GB"/>
        </w:rPr>
        <w:t xml:space="preserve"> be </w:t>
      </w:r>
      <w:r w:rsidR="00EE270C">
        <w:rPr>
          <w:lang w:val="en-GB"/>
        </w:rPr>
        <w:t>explor</w:t>
      </w:r>
      <w:r w:rsidR="00F948CA">
        <w:rPr>
          <w:lang w:val="en-GB"/>
        </w:rPr>
        <w:t xml:space="preserve">ed, </w:t>
      </w:r>
      <w:r w:rsidR="00493057">
        <w:rPr>
          <w:lang w:val="en-GB"/>
        </w:rPr>
        <w:t>includ</w:t>
      </w:r>
      <w:r w:rsidR="00F948CA">
        <w:rPr>
          <w:lang w:val="en-GB"/>
        </w:rPr>
        <w:t xml:space="preserve">ing </w:t>
      </w:r>
      <w:r w:rsidR="009C7297">
        <w:rPr>
          <w:lang w:val="en-GB"/>
        </w:rPr>
        <w:t xml:space="preserve">solvents </w:t>
      </w:r>
      <w:r w:rsidR="00F948CA">
        <w:rPr>
          <w:lang w:val="en-GB"/>
        </w:rPr>
        <w:t>mixtures and different extraction techniques</w:t>
      </w:r>
      <w:r w:rsidR="00645733">
        <w:rPr>
          <w:lang w:val="en-GB"/>
        </w:rPr>
        <w:t xml:space="preserve"> in order to overcome these limitations</w:t>
      </w:r>
      <w:r w:rsidR="00F948CA">
        <w:rPr>
          <w:lang w:val="en-GB"/>
        </w:rPr>
        <w:t>. For example, the use of supercritical CO</w:t>
      </w:r>
      <w:r w:rsidR="00F948CA" w:rsidRPr="000314A3">
        <w:rPr>
          <w:vertAlign w:val="subscript"/>
          <w:lang w:val="en-GB"/>
        </w:rPr>
        <w:t>2</w:t>
      </w:r>
      <w:r w:rsidR="00F948CA">
        <w:rPr>
          <w:lang w:val="en-GB"/>
        </w:rPr>
        <w:t xml:space="preserve"> may be </w:t>
      </w:r>
      <w:r w:rsidR="00D75D85" w:rsidRPr="00D75D85">
        <w:rPr>
          <w:lang w:val="en-GB"/>
        </w:rPr>
        <w:t>particularly promising</w:t>
      </w:r>
      <w:r w:rsidR="00EB1F77">
        <w:rPr>
          <w:lang w:val="en-GB"/>
        </w:rPr>
        <w:t>.</w:t>
      </w:r>
      <w:r w:rsidR="00F948CA" w:rsidRPr="00BD4611">
        <w:rPr>
          <w:lang w:val="en-GB"/>
        </w:rPr>
        <w:t xml:space="preserve"> </w:t>
      </w:r>
    </w:p>
    <w:p w14:paraId="121D4C9D" w14:textId="5CB2DF3F" w:rsidR="0085217D" w:rsidRDefault="00AE7E5D" w:rsidP="0085217D">
      <w:pPr>
        <w:pStyle w:val="CETBodytext"/>
      </w:pPr>
      <w:r>
        <w:rPr>
          <w:lang w:val="en-GB"/>
        </w:rPr>
        <w:t xml:space="preserve">Finally, an additional </w:t>
      </w:r>
      <w:r w:rsidR="0085217D">
        <w:rPr>
          <w:lang w:val="en-GB"/>
        </w:rPr>
        <w:t>experimental campaign should be performed to e</w:t>
      </w:r>
      <w:r w:rsidR="0085217D">
        <w:t xml:space="preserve">valuate </w:t>
      </w:r>
      <w:r w:rsidR="00CE72C4">
        <w:t xml:space="preserve">the influence of </w:t>
      </w:r>
      <w:r w:rsidR="0085217D">
        <w:t>seasonal</w:t>
      </w:r>
      <w:r w:rsidR="0095465D">
        <w:t xml:space="preserve"> variation</w:t>
      </w:r>
      <w:r w:rsidR="0085217D">
        <w:t>, replicability and reproducibility</w:t>
      </w:r>
      <w:r w:rsidR="0021162C">
        <w:t xml:space="preserve"> of the process</w:t>
      </w:r>
      <w:r w:rsidR="0085217D">
        <w:t>.</w:t>
      </w:r>
    </w:p>
    <w:p w14:paraId="36041E14" w14:textId="77777777" w:rsidR="0085217D" w:rsidRPr="0085217D" w:rsidRDefault="0085217D" w:rsidP="0085217D">
      <w:pPr>
        <w:pStyle w:val="CETBodytext"/>
        <w:sectPr w:rsidR="0085217D" w:rsidRPr="0085217D" w:rsidSect="008314D7">
          <w:type w:val="continuous"/>
          <w:pgSz w:w="11906" w:h="16838" w:code="9"/>
          <w:pgMar w:top="1701" w:right="1418" w:bottom="1701" w:left="1701" w:header="1701" w:footer="0" w:gutter="0"/>
          <w:cols w:space="708"/>
          <w:formProt w:val="0"/>
          <w:titlePg/>
          <w:docGrid w:linePitch="360"/>
        </w:sectPr>
      </w:pPr>
    </w:p>
    <w:p w14:paraId="459D05E6" w14:textId="50E9DBC9" w:rsidR="00600535" w:rsidRPr="00B57B36" w:rsidRDefault="00600535" w:rsidP="00600535">
      <w:pPr>
        <w:pStyle w:val="CETAcknowledgementstitle"/>
      </w:pPr>
      <w:r w:rsidRPr="00B57B36">
        <w:t>Acknowledgments</w:t>
      </w:r>
    </w:p>
    <w:p w14:paraId="2DEBB3F3" w14:textId="1E490D0A" w:rsidR="002C1E6E" w:rsidRDefault="00E9038D" w:rsidP="002C1E6E">
      <w:pPr>
        <w:pStyle w:val="CETReference"/>
        <w:jc w:val="both"/>
        <w:rPr>
          <w:rFonts w:eastAsia="Arial"/>
          <w:b w:val="0"/>
        </w:rPr>
      </w:pPr>
      <w:r w:rsidRPr="00E9038D">
        <w:rPr>
          <w:rFonts w:eastAsia="Arial"/>
          <w:b w:val="0"/>
        </w:rPr>
        <w:t>This project has received funding from the European Union’s Horizon Europe Research and Innovation Programme under the CisWEFE-NEX project, Grant Agreement No. 101135062 (</w:t>
      </w:r>
      <w:hyperlink r:id="rId14" w:tooltip="https://CisWEFE-NEX.eu" w:history="1">
        <w:r w:rsidRPr="00E9038D">
          <w:rPr>
            <w:rStyle w:val="Collegamentoipertestuale"/>
            <w:rFonts w:eastAsia="Arial"/>
            <w:b w:val="0"/>
          </w:rPr>
          <w:t>https://CisWEFE-NEX.eu</w:t>
        </w:r>
      </w:hyperlink>
      <w:r w:rsidRPr="00E9038D">
        <w:rPr>
          <w:rFonts w:eastAsia="Arial"/>
          <w:b w:val="0"/>
        </w:rPr>
        <w:t xml:space="preserve">), and from the </w:t>
      </w:r>
      <w:r w:rsidR="00AF3B7C" w:rsidRPr="00AF3B7C">
        <w:rPr>
          <w:rFonts w:eastAsia="Arial"/>
          <w:b w:val="0"/>
        </w:rPr>
        <w:t>European Union's LIFE 2021-2027 programme</w:t>
      </w:r>
      <w:r w:rsidR="00AF3B7C">
        <w:rPr>
          <w:rFonts w:eastAsia="Arial"/>
          <w:b w:val="0"/>
        </w:rPr>
        <w:t xml:space="preserve"> </w:t>
      </w:r>
      <w:r w:rsidRPr="00E9038D">
        <w:rPr>
          <w:rFonts w:eastAsia="Arial"/>
          <w:b w:val="0"/>
        </w:rPr>
        <w:t>under the MareMag Life project, Grant Agreement No. 101147407  (</w:t>
      </w:r>
      <w:hyperlink r:id="rId15" w:tooltip="https://www.unipa.it/strutture/centro-sostenibilita/ricerca/MareMag-LIFE/" w:history="1">
        <w:r w:rsidRPr="00E9038D">
          <w:rPr>
            <w:rStyle w:val="Collegamentoipertestuale"/>
            <w:rFonts w:eastAsia="Arial"/>
            <w:b w:val="0"/>
          </w:rPr>
          <w:t>https://www.unipa.it/strutture/centro-sostenibilita/ricerca/MareMag-LIFE/</w:t>
        </w:r>
      </w:hyperlink>
      <w:r w:rsidRPr="00E9038D">
        <w:rPr>
          <w:rFonts w:eastAsia="Arial"/>
          <w:b w:val="0"/>
        </w:rPr>
        <w:t>). Views and opinions expressed are those of the authors and do not necessarily reflect those of the European U</w:t>
      </w:r>
      <w:r w:rsidR="001C4F7A">
        <w:rPr>
          <w:rFonts w:eastAsia="Arial"/>
          <w:b w:val="0"/>
        </w:rPr>
        <w:t>nion or the granting authority</w:t>
      </w:r>
      <w:r w:rsidR="002C1E6E" w:rsidRPr="002C1E6E">
        <w:rPr>
          <w:rFonts w:eastAsia="Arial"/>
          <w:b w:val="0"/>
        </w:rPr>
        <w:t>. </w:t>
      </w:r>
      <w:bookmarkStart w:id="2" w:name="_GoBack"/>
      <w:bookmarkEnd w:id="2"/>
    </w:p>
    <w:p w14:paraId="03507984" w14:textId="46632BDF" w:rsidR="00600535" w:rsidRPr="00B57B36" w:rsidRDefault="000B327C" w:rsidP="000B327C">
      <w:pPr>
        <w:pStyle w:val="CETReference"/>
      </w:pPr>
      <w:r>
        <w:t>References</w:t>
      </w:r>
    </w:p>
    <w:p w14:paraId="7EA946E3" w14:textId="169B5DDB" w:rsidR="00810FFE" w:rsidRPr="00810FFE" w:rsidRDefault="00546D0A" w:rsidP="00810FFE">
      <w:pPr>
        <w:pStyle w:val="Bibliografia"/>
        <w:rPr>
          <w:rFonts w:cs="Arial"/>
        </w:rPr>
      </w:pPr>
      <w:r>
        <w:fldChar w:fldCharType="begin"/>
      </w:r>
      <w:r>
        <w:instrText xml:space="preserve"> ADDIN ZOTERO_BIBL {"uncited":[],"omitted":[],"custom":[]} CSL_BIBLIOGRAPHY </w:instrText>
      </w:r>
      <w:r>
        <w:fldChar w:fldCharType="separate"/>
      </w:r>
      <w:r w:rsidR="00810FFE" w:rsidRPr="00810FFE">
        <w:rPr>
          <w:rFonts w:cs="Arial"/>
        </w:rPr>
        <w:t xml:space="preserve">Ahmad, N., Mounsef, J.R., Lteif, R., 2021. A simple and fast experimental protocol for the extraction of xanthophylls from microalga </w:t>
      </w:r>
      <w:r w:rsidR="00810FFE" w:rsidRPr="001F2518">
        <w:rPr>
          <w:rFonts w:cs="Arial"/>
          <w:i/>
        </w:rPr>
        <w:t>Chlorella luteoviridis</w:t>
      </w:r>
      <w:r w:rsidR="00810FFE" w:rsidRPr="00810FFE">
        <w:rPr>
          <w:rFonts w:cs="Arial"/>
        </w:rPr>
        <w:t xml:space="preserve">. </w:t>
      </w:r>
      <w:r w:rsidR="00810FFE" w:rsidRPr="001F2518">
        <w:rPr>
          <w:rFonts w:cs="Arial"/>
          <w:i/>
        </w:rPr>
        <w:t>Preparative Biochemistry &amp; Biotechnology</w:t>
      </w:r>
      <w:r w:rsidR="00810FFE" w:rsidRPr="00810FFE">
        <w:rPr>
          <w:rFonts w:cs="Arial"/>
        </w:rPr>
        <w:t xml:space="preserve"> 51, 1071–1075.</w:t>
      </w:r>
    </w:p>
    <w:p w14:paraId="3F1169C0" w14:textId="16B1F623" w:rsidR="00810FFE" w:rsidRPr="00810FFE" w:rsidRDefault="00810FFE" w:rsidP="00810FFE">
      <w:pPr>
        <w:pStyle w:val="Bibliografia"/>
        <w:rPr>
          <w:rFonts w:cs="Arial"/>
        </w:rPr>
      </w:pPr>
      <w:r w:rsidRPr="00810FFE">
        <w:rPr>
          <w:rFonts w:cs="Arial"/>
        </w:rPr>
        <w:t xml:space="preserve">Bourayou, N., Meniai, A.-H., 2005. Experimental and theoretical study of the influence of salt on liquid phase equilibria for totally miscible organic compounds with water. </w:t>
      </w:r>
      <w:r w:rsidRPr="001F2518">
        <w:rPr>
          <w:rFonts w:cs="Arial"/>
          <w:i/>
        </w:rPr>
        <w:t>Desalination, Desalination and the Environment</w:t>
      </w:r>
      <w:r w:rsidRPr="00810FFE">
        <w:rPr>
          <w:rFonts w:cs="Arial"/>
        </w:rPr>
        <w:t xml:space="preserve"> 185, 473–481.</w:t>
      </w:r>
    </w:p>
    <w:p w14:paraId="1A12CB2F" w14:textId="5B587CE4" w:rsidR="00810FFE" w:rsidRPr="00810FFE" w:rsidRDefault="00810FFE" w:rsidP="00810FFE">
      <w:pPr>
        <w:pStyle w:val="Bibliografia"/>
        <w:rPr>
          <w:rFonts w:cs="Arial"/>
        </w:rPr>
      </w:pPr>
      <w:r w:rsidRPr="00810FFE">
        <w:rPr>
          <w:rFonts w:cs="Arial"/>
        </w:rPr>
        <w:t xml:space="preserve">Bulda, O.V., Rassadina, V.V., Alekseichuk, H.N., Laman, N.A., 2008. Spectrophotometric measurement of carotenes, xanthophylls, and chlorophylls in extracts from plant seeds. </w:t>
      </w:r>
      <w:r w:rsidR="00043906" w:rsidRPr="001F2518">
        <w:rPr>
          <w:rFonts w:cs="Arial"/>
          <w:i/>
        </w:rPr>
        <w:t>Russian Journal of Plant Physiology</w:t>
      </w:r>
      <w:r w:rsidR="00043906">
        <w:rPr>
          <w:rFonts w:cs="Arial"/>
        </w:rPr>
        <w:t xml:space="preserve"> </w:t>
      </w:r>
      <w:r w:rsidRPr="00810FFE">
        <w:rPr>
          <w:rFonts w:cs="Arial"/>
        </w:rPr>
        <w:t>55, 544–551.</w:t>
      </w:r>
    </w:p>
    <w:p w14:paraId="5E099B25" w14:textId="6CBC1A2E" w:rsidR="00810FFE" w:rsidRPr="00810FFE" w:rsidRDefault="00810FFE" w:rsidP="00810FFE">
      <w:pPr>
        <w:pStyle w:val="Bibliografia"/>
        <w:rPr>
          <w:rFonts w:cs="Arial"/>
        </w:rPr>
      </w:pPr>
      <w:r w:rsidRPr="00810FFE">
        <w:rPr>
          <w:rFonts w:cs="Arial"/>
        </w:rPr>
        <w:t xml:space="preserve">Eilers, T., Legein, M., Temmermans, J., Dillen, J., Vandendriessche, I., Sandra, K., Bron, P.A., Wittouck, S., Lebeer, S., 2024. Distribution of C30 carotenoid biosynthesis genes suggests habitat adaptation function in insect-adapted and nomadic Lactobacillaceae. </w:t>
      </w:r>
      <w:r w:rsidRPr="001F2518">
        <w:rPr>
          <w:rFonts w:cs="Arial"/>
          <w:i/>
        </w:rPr>
        <w:t>Commun</w:t>
      </w:r>
      <w:r w:rsidR="00043906">
        <w:rPr>
          <w:rFonts w:cs="Arial"/>
          <w:i/>
        </w:rPr>
        <w:t>ications</w:t>
      </w:r>
      <w:r w:rsidRPr="001F2518">
        <w:rPr>
          <w:rFonts w:cs="Arial"/>
          <w:i/>
        </w:rPr>
        <w:t xml:space="preserve"> Biol</w:t>
      </w:r>
      <w:r w:rsidR="00043906">
        <w:rPr>
          <w:rFonts w:cs="Arial"/>
          <w:i/>
        </w:rPr>
        <w:t>ogy</w:t>
      </w:r>
      <w:r w:rsidRPr="00810FFE">
        <w:rPr>
          <w:rFonts w:cs="Arial"/>
        </w:rPr>
        <w:t xml:space="preserve"> 7, 1610. </w:t>
      </w:r>
    </w:p>
    <w:p w14:paraId="3191C8D0" w14:textId="46AED090" w:rsidR="00810FFE" w:rsidRPr="001F2518" w:rsidRDefault="00810FFE">
      <w:pPr>
        <w:pStyle w:val="Bibliografia"/>
        <w:rPr>
          <w:rFonts w:cs="Arial"/>
          <w:i/>
        </w:rPr>
      </w:pPr>
      <w:r w:rsidRPr="00810FFE">
        <w:rPr>
          <w:rFonts w:cs="Arial"/>
        </w:rPr>
        <w:t xml:space="preserve">Hladnik, L., Vicente, F.A., Grilc, M., Likozar, B., 2024. β-Carotene production and extraction: a case study of olive mill wastewater bioremediation by </w:t>
      </w:r>
      <w:r w:rsidRPr="001F2518">
        <w:rPr>
          <w:rFonts w:cs="Arial"/>
          <w:i/>
        </w:rPr>
        <w:t>Rhodotorula glutinis</w:t>
      </w:r>
      <w:r w:rsidRPr="00810FFE">
        <w:rPr>
          <w:rFonts w:cs="Arial"/>
        </w:rPr>
        <w:t xml:space="preserve"> with simultaneous carotenoid production. </w:t>
      </w:r>
      <w:r w:rsidRPr="001F2518">
        <w:rPr>
          <w:rFonts w:cs="Arial"/>
          <w:i/>
        </w:rPr>
        <w:t>Biomass Conv</w:t>
      </w:r>
      <w:r w:rsidR="00043906">
        <w:rPr>
          <w:rFonts w:cs="Arial"/>
          <w:i/>
        </w:rPr>
        <w:t>ersion and</w:t>
      </w:r>
      <w:r w:rsidRPr="001F2518">
        <w:rPr>
          <w:rFonts w:cs="Arial"/>
          <w:i/>
        </w:rPr>
        <w:t xml:space="preserve"> Bioref</w:t>
      </w:r>
      <w:r w:rsidR="00043906">
        <w:rPr>
          <w:rFonts w:cs="Arial"/>
          <w:i/>
        </w:rPr>
        <w:t>inery</w:t>
      </w:r>
      <w:r w:rsidRPr="00810FFE">
        <w:rPr>
          <w:rFonts w:cs="Arial"/>
        </w:rPr>
        <w:t xml:space="preserve"> 14, 8459–8467.</w:t>
      </w:r>
    </w:p>
    <w:p w14:paraId="40D19C65" w14:textId="3B83F90F" w:rsidR="00810FFE" w:rsidRPr="001F2518" w:rsidRDefault="00810FFE" w:rsidP="00810FFE">
      <w:pPr>
        <w:pStyle w:val="Bibliografia"/>
        <w:rPr>
          <w:rFonts w:cs="Arial"/>
          <w:lang w:val="en-US"/>
        </w:rPr>
      </w:pPr>
      <w:r w:rsidRPr="00810FFE">
        <w:rPr>
          <w:rFonts w:cs="Arial"/>
        </w:rPr>
        <w:t xml:space="preserve">Ludwig, K., Rihko-Struckmann, L., Brinitzer, G., Unkelbach, G., Sundmacher, K., 2021. β-Carotene extraction from </w:t>
      </w:r>
      <w:r w:rsidRPr="001F2518">
        <w:rPr>
          <w:rFonts w:cs="Arial"/>
          <w:i/>
        </w:rPr>
        <w:t>Dunaliella salina</w:t>
      </w:r>
      <w:r w:rsidRPr="00810FFE">
        <w:rPr>
          <w:rFonts w:cs="Arial"/>
        </w:rPr>
        <w:t xml:space="preserve"> by supercritical CO2. </w:t>
      </w:r>
      <w:r w:rsidRPr="001F2518">
        <w:rPr>
          <w:rFonts w:cs="Arial"/>
          <w:i/>
          <w:lang w:val="en-US"/>
        </w:rPr>
        <w:t>J</w:t>
      </w:r>
      <w:r w:rsidR="00043906" w:rsidRPr="00B8747E">
        <w:rPr>
          <w:rFonts w:cs="Arial"/>
          <w:i/>
          <w:lang w:val="en-US"/>
        </w:rPr>
        <w:t>ournal of</w:t>
      </w:r>
      <w:r w:rsidRPr="001F2518">
        <w:rPr>
          <w:rFonts w:cs="Arial"/>
          <w:i/>
          <w:lang w:val="en-US"/>
        </w:rPr>
        <w:t xml:space="preserve"> Appl</w:t>
      </w:r>
      <w:r w:rsidR="00043906" w:rsidRPr="00B8747E">
        <w:rPr>
          <w:rFonts w:cs="Arial"/>
          <w:i/>
          <w:lang w:val="en-US"/>
        </w:rPr>
        <w:t>ied</w:t>
      </w:r>
      <w:r w:rsidRPr="001F2518">
        <w:rPr>
          <w:rFonts w:cs="Arial"/>
          <w:i/>
          <w:lang w:val="en-US"/>
        </w:rPr>
        <w:t xml:space="preserve"> Phycol</w:t>
      </w:r>
      <w:r w:rsidR="00043906" w:rsidRPr="00B8747E">
        <w:rPr>
          <w:rFonts w:cs="Arial"/>
          <w:i/>
          <w:lang w:val="en-US"/>
        </w:rPr>
        <w:t>ogy</w:t>
      </w:r>
      <w:r w:rsidRPr="001F2518">
        <w:rPr>
          <w:rFonts w:cs="Arial"/>
          <w:lang w:val="en-US"/>
        </w:rPr>
        <w:t xml:space="preserve"> 33, 1435–1445. </w:t>
      </w:r>
    </w:p>
    <w:p w14:paraId="44699772" w14:textId="50F678A2" w:rsidR="00810FFE" w:rsidRPr="00810FFE" w:rsidRDefault="00810FFE" w:rsidP="00810FFE">
      <w:pPr>
        <w:pStyle w:val="Bibliografia"/>
        <w:rPr>
          <w:rFonts w:cs="Arial"/>
        </w:rPr>
      </w:pPr>
      <w:r w:rsidRPr="001F2518">
        <w:rPr>
          <w:rFonts w:cs="Arial"/>
          <w:lang w:val="en-US"/>
        </w:rPr>
        <w:t xml:space="preserve">Monte, J., Sá, M., Galinha, C.F., Costa, L., Hoekstra, H., Brazinha, C., Crespo, J.G., 2018. </w:t>
      </w:r>
      <w:r w:rsidRPr="00810FFE">
        <w:rPr>
          <w:rFonts w:cs="Arial"/>
        </w:rPr>
        <w:t xml:space="preserve">Harvesting of </w:t>
      </w:r>
      <w:r w:rsidRPr="00810FFE">
        <w:rPr>
          <w:rFonts w:cs="Arial"/>
          <w:i/>
          <w:iCs/>
        </w:rPr>
        <w:t>Dunaliella salina</w:t>
      </w:r>
      <w:r w:rsidRPr="00810FFE">
        <w:rPr>
          <w:rFonts w:cs="Arial"/>
        </w:rPr>
        <w:t xml:space="preserve"> by membrane filtration at pilot scale. </w:t>
      </w:r>
      <w:r w:rsidRPr="001F2518">
        <w:rPr>
          <w:rFonts w:cs="Arial"/>
          <w:i/>
        </w:rPr>
        <w:t>Separation and Purification Technology</w:t>
      </w:r>
      <w:r w:rsidRPr="00810FFE">
        <w:rPr>
          <w:rFonts w:cs="Arial"/>
        </w:rPr>
        <w:t xml:space="preserve"> 190, 252–260.</w:t>
      </w:r>
    </w:p>
    <w:p w14:paraId="21E3D891" w14:textId="1A7EC3EF" w:rsidR="00810FFE" w:rsidRPr="00810FFE" w:rsidRDefault="00810FFE" w:rsidP="00810FFE">
      <w:pPr>
        <w:pStyle w:val="Bibliografia"/>
        <w:rPr>
          <w:rFonts w:cs="Arial"/>
        </w:rPr>
      </w:pPr>
      <w:r w:rsidRPr="00810FFE">
        <w:rPr>
          <w:rFonts w:cs="Arial"/>
        </w:rPr>
        <w:t xml:space="preserve">Monte, J., Sá, M., Parreira, C., Galante, J., Serra, A.R., Galinha, C.F., Costa, L., Pereira, V.J., Brazinha, C., Crespo, J.G., 2019. Recycling of </w:t>
      </w:r>
      <w:r w:rsidRPr="00810FFE">
        <w:rPr>
          <w:rFonts w:cs="Arial"/>
          <w:i/>
          <w:iCs/>
        </w:rPr>
        <w:t>Dunaliella salina</w:t>
      </w:r>
      <w:r w:rsidRPr="00810FFE">
        <w:rPr>
          <w:rFonts w:cs="Arial"/>
        </w:rPr>
        <w:t xml:space="preserve"> cultivation medium by integrated membrane filtration and advanced oxidation. </w:t>
      </w:r>
      <w:r w:rsidRPr="001F2518">
        <w:rPr>
          <w:rFonts w:cs="Arial"/>
          <w:i/>
        </w:rPr>
        <w:t>Algal Research</w:t>
      </w:r>
      <w:r w:rsidRPr="00810FFE">
        <w:rPr>
          <w:rFonts w:cs="Arial"/>
        </w:rPr>
        <w:t xml:space="preserve"> 39, 101460.</w:t>
      </w:r>
    </w:p>
    <w:p w14:paraId="3CF7F896" w14:textId="0C2F5C94" w:rsidR="00810FFE" w:rsidRPr="00810FFE" w:rsidRDefault="00810FFE" w:rsidP="00810FFE">
      <w:pPr>
        <w:pStyle w:val="Bibliografia"/>
        <w:rPr>
          <w:rFonts w:cs="Arial"/>
        </w:rPr>
      </w:pPr>
      <w:r w:rsidRPr="00810FFE">
        <w:rPr>
          <w:rFonts w:cs="Arial"/>
        </w:rPr>
        <w:t xml:space="preserve">Ortega Méndez, J.A., Mendoza, H., Santiago, D.E., Aridane Rodríguez, F., Gil Lodos, M., Carmona, L., 2012. Reuse of SWRO brine for the production of carotenoids from </w:t>
      </w:r>
      <w:r w:rsidRPr="00810FFE">
        <w:rPr>
          <w:rFonts w:cs="Arial"/>
          <w:i/>
          <w:iCs/>
        </w:rPr>
        <w:t>Dunaliella salina</w:t>
      </w:r>
      <w:r w:rsidRPr="00810FFE">
        <w:rPr>
          <w:rFonts w:cs="Arial"/>
        </w:rPr>
        <w:t xml:space="preserve"> and removal of macronutrients. </w:t>
      </w:r>
      <w:r w:rsidRPr="001F2518">
        <w:rPr>
          <w:rFonts w:cs="Arial"/>
          <w:i/>
        </w:rPr>
        <w:t>Desalination and Water Treatment</w:t>
      </w:r>
      <w:r w:rsidRPr="00810FFE">
        <w:rPr>
          <w:rFonts w:cs="Arial"/>
        </w:rPr>
        <w:t xml:space="preserve"> 49, 115–122. </w:t>
      </w:r>
    </w:p>
    <w:p w14:paraId="10085807" w14:textId="0FFF4873" w:rsidR="00810FFE" w:rsidRPr="00B8747E" w:rsidRDefault="00810FFE" w:rsidP="00810FFE">
      <w:pPr>
        <w:pStyle w:val="Bibliografia"/>
        <w:rPr>
          <w:rFonts w:cs="Arial"/>
          <w:lang w:val="it-IT"/>
        </w:rPr>
      </w:pPr>
      <w:r w:rsidRPr="00810FFE">
        <w:rPr>
          <w:rFonts w:cs="Arial"/>
        </w:rPr>
        <w:t xml:space="preserve">Sajilata, M. g., Singhal, R. s., Kamat, M. y., 2008. The Carotenoid Pigment Zeaxanthin—A Review. </w:t>
      </w:r>
      <w:r w:rsidRPr="001F2518">
        <w:rPr>
          <w:rFonts w:cs="Arial"/>
          <w:i/>
          <w:lang w:val="it-IT"/>
        </w:rPr>
        <w:t>Comprehensive Reviews in Food Science and Food Safety</w:t>
      </w:r>
      <w:r w:rsidRPr="00B8747E">
        <w:rPr>
          <w:rFonts w:cs="Arial"/>
          <w:lang w:val="it-IT"/>
        </w:rPr>
        <w:t xml:space="preserve"> 7, 29–49.</w:t>
      </w:r>
    </w:p>
    <w:p w14:paraId="2B25CD9A" w14:textId="4F8B1D79" w:rsidR="00810FFE" w:rsidRPr="00B8747E" w:rsidRDefault="00810FFE" w:rsidP="00810FFE">
      <w:pPr>
        <w:pStyle w:val="Bibliografia"/>
        <w:rPr>
          <w:rFonts w:cs="Arial"/>
        </w:rPr>
      </w:pPr>
      <w:r w:rsidRPr="001F2518">
        <w:rPr>
          <w:rFonts w:cs="Arial"/>
          <w:lang w:val="it-IT"/>
        </w:rPr>
        <w:t xml:space="preserve">Scelfo, Giuseppe, Serrano-Tari, P., Raffaelli, R., Vicari, F., Oller, I., Cipollina, A., Tamburini, A., Micale, G., 2024. </w:t>
      </w:r>
      <w:r w:rsidRPr="00810FFE">
        <w:rPr>
          <w:rFonts w:cs="Arial"/>
        </w:rPr>
        <w:t xml:space="preserve">The Operational Performance of an Ultrafiltration Pilot Unit for the Treatment of Ultra-Concentrated Brines. </w:t>
      </w:r>
      <w:r w:rsidRPr="001F2518">
        <w:rPr>
          <w:rFonts w:cs="Arial"/>
          <w:i/>
        </w:rPr>
        <w:t>Membranes</w:t>
      </w:r>
      <w:r w:rsidRPr="00B8747E">
        <w:rPr>
          <w:rFonts w:cs="Arial"/>
        </w:rPr>
        <w:t xml:space="preserve"> 14.</w:t>
      </w:r>
    </w:p>
    <w:p w14:paraId="033FDA51" w14:textId="26F67F8E" w:rsidR="00810FFE" w:rsidRPr="00810FFE" w:rsidRDefault="00810FFE" w:rsidP="00810FFE">
      <w:pPr>
        <w:pStyle w:val="Bibliografia"/>
        <w:rPr>
          <w:rFonts w:cs="Arial"/>
        </w:rPr>
      </w:pPr>
      <w:r w:rsidRPr="00B8747E">
        <w:rPr>
          <w:rFonts w:cs="Arial"/>
        </w:rPr>
        <w:t xml:space="preserve">Smaoui, S., Barkallah, M., Ben Hlima, H., Fendri, I., Mousavi Khaneghah, A., Michaud, P., Abdelkafi, S., 2021. </w:t>
      </w:r>
      <w:r w:rsidRPr="00810FFE">
        <w:rPr>
          <w:rFonts w:cs="Arial"/>
        </w:rPr>
        <w:t xml:space="preserve">Microalgae Xanthophylls: From Biosynthesis Pathway and Production Techniques to Encapsulation Development. </w:t>
      </w:r>
      <w:r w:rsidRPr="001F2518">
        <w:rPr>
          <w:rFonts w:cs="Arial"/>
          <w:i/>
        </w:rPr>
        <w:t>Foods</w:t>
      </w:r>
      <w:r w:rsidRPr="00810FFE">
        <w:rPr>
          <w:rFonts w:cs="Arial"/>
        </w:rPr>
        <w:t xml:space="preserve"> 10, 2835.</w:t>
      </w:r>
    </w:p>
    <w:p w14:paraId="43A6F618" w14:textId="598820D5" w:rsidR="00810FFE" w:rsidRPr="00810FFE" w:rsidRDefault="00810FFE" w:rsidP="00810FFE">
      <w:pPr>
        <w:pStyle w:val="Bibliografia"/>
        <w:rPr>
          <w:rFonts w:cs="Arial"/>
        </w:rPr>
      </w:pPr>
      <w:r w:rsidRPr="00810FFE">
        <w:rPr>
          <w:rFonts w:cs="Arial"/>
        </w:rPr>
        <w:t xml:space="preserve">Tsui, E.M., Cheryan, M., 2007. Membrane processing of xanthophylls in ethanol extracts of corn. </w:t>
      </w:r>
      <w:r w:rsidRPr="001F2518">
        <w:rPr>
          <w:rFonts w:cs="Arial"/>
          <w:i/>
        </w:rPr>
        <w:t>Journal of Food Engineering</w:t>
      </w:r>
      <w:r w:rsidRPr="00810FFE">
        <w:rPr>
          <w:rFonts w:cs="Arial"/>
        </w:rPr>
        <w:t xml:space="preserve"> 83, 590–595.</w:t>
      </w:r>
    </w:p>
    <w:p w14:paraId="773BD80D" w14:textId="566078B3" w:rsidR="00810FFE" w:rsidRPr="00810FFE" w:rsidRDefault="00810FFE" w:rsidP="00810FFE">
      <w:pPr>
        <w:pStyle w:val="Bibliografia"/>
        <w:rPr>
          <w:rFonts w:cs="Arial"/>
        </w:rPr>
      </w:pPr>
      <w:r w:rsidRPr="00810FFE">
        <w:rPr>
          <w:rFonts w:cs="Arial"/>
        </w:rPr>
        <w:t xml:space="preserve">Vicari, F., Randazzo, S., López, J., Fernández de Labastida, M., Vallès, V., Micale, G., Tamburini, A., D’Alì Staiti, G., Cortina, J.L., Cipollina, A., 2022. Mining minerals and critical raw materials from bittern: Understanding metal ions fate in saltwork ponds. </w:t>
      </w:r>
      <w:r w:rsidRPr="001F2518">
        <w:rPr>
          <w:rFonts w:cs="Arial"/>
          <w:i/>
        </w:rPr>
        <w:t>Science of The Total Environment</w:t>
      </w:r>
      <w:r w:rsidRPr="00810FFE">
        <w:rPr>
          <w:rFonts w:cs="Arial"/>
        </w:rPr>
        <w:t xml:space="preserve"> 847, 157544. </w:t>
      </w:r>
    </w:p>
    <w:p w14:paraId="4DDC59B1" w14:textId="4E034564" w:rsidR="00810FFE" w:rsidRPr="00810FFE" w:rsidRDefault="00810FFE" w:rsidP="00810FFE">
      <w:pPr>
        <w:pStyle w:val="Bibliografia"/>
        <w:rPr>
          <w:rFonts w:cs="Arial"/>
        </w:rPr>
      </w:pPr>
      <w:r w:rsidRPr="001F2518">
        <w:rPr>
          <w:rFonts w:cs="Arial"/>
          <w:lang w:val="en-US"/>
        </w:rPr>
        <w:t xml:space="preserve">Villanova, V., Galasso, C., Fiorini, F., Lima, S., Brönstrup, M., Sansone, C., Brunet, C., Brucato, A., Scargiali, F., 2021. </w:t>
      </w:r>
      <w:r w:rsidRPr="00810FFE">
        <w:rPr>
          <w:rFonts w:cs="Arial"/>
        </w:rPr>
        <w:t xml:space="preserve">Biological and chemical characterization of new isolated halophilic microorganisms from saltern ponds of Trapani, Sicily. </w:t>
      </w:r>
      <w:r w:rsidRPr="001F2518">
        <w:rPr>
          <w:rFonts w:cs="Arial"/>
          <w:i/>
        </w:rPr>
        <w:t>Algal Research</w:t>
      </w:r>
      <w:r w:rsidRPr="00810FFE">
        <w:rPr>
          <w:rFonts w:cs="Arial"/>
        </w:rPr>
        <w:t xml:space="preserve"> 54, 102192. </w:t>
      </w:r>
    </w:p>
    <w:p w14:paraId="04A6CA1B" w14:textId="3BCC6A6A" w:rsidR="001C1F7D" w:rsidRDefault="00810FFE">
      <w:pPr>
        <w:pStyle w:val="Bibliografia"/>
      </w:pPr>
      <w:r w:rsidRPr="00810FFE">
        <w:rPr>
          <w:rFonts w:cs="Arial"/>
        </w:rPr>
        <w:t xml:space="preserve">Widomska, J., SanGiovanni, J.P., Subczynski, W.K., 2020. Why Is Zeaxanthin the Most Concentrated Xanthophyll in the Central Fovea? </w:t>
      </w:r>
      <w:r w:rsidRPr="001F2518">
        <w:rPr>
          <w:rFonts w:cs="Arial"/>
          <w:i/>
        </w:rPr>
        <w:t>Nutrients</w:t>
      </w:r>
      <w:r w:rsidRPr="00810FFE">
        <w:rPr>
          <w:rFonts w:cs="Arial"/>
        </w:rPr>
        <w:t xml:space="preserve"> 12, 1333.</w:t>
      </w:r>
      <w:r w:rsidR="00546D0A">
        <w:fldChar w:fldCharType="end"/>
      </w:r>
    </w:p>
    <w:sectPr w:rsidR="001C1F7D" w:rsidSect="008314D7">
      <w:type w:val="continuous"/>
      <w:pgSz w:w="11906" w:h="16838" w:code="9"/>
      <w:pgMar w:top="1701" w:right="1418" w:bottom="1701" w:left="1701" w:header="1701" w:footer="0"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533730" w16cex:dateUtc="2026-02-18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E70714" w16cid:durableId="0F5337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7B08D" w14:textId="77777777" w:rsidR="00B17270" w:rsidRDefault="00B17270" w:rsidP="004F5E36">
      <w:r>
        <w:separator/>
      </w:r>
    </w:p>
  </w:endnote>
  <w:endnote w:type="continuationSeparator" w:id="0">
    <w:p w14:paraId="2EFADB20" w14:textId="77777777" w:rsidR="00B17270" w:rsidRDefault="00B1727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1D4AF" w14:textId="77777777" w:rsidR="00B17270" w:rsidRDefault="00B17270" w:rsidP="004F5E36">
      <w:r>
        <w:separator/>
      </w:r>
    </w:p>
  </w:footnote>
  <w:footnote w:type="continuationSeparator" w:id="0">
    <w:p w14:paraId="09E076F2" w14:textId="77777777" w:rsidR="00B17270" w:rsidRDefault="00B17270"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13B426F8"/>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268" w:firstLine="0"/>
      </w:pPr>
      <w:rPr>
        <w:rFonts w:hint="default"/>
      </w:rPr>
    </w:lvl>
    <w:lvl w:ilvl="2">
      <w:start w:val="1"/>
      <w:numFmt w:val="decimal"/>
      <w:suff w:val="space"/>
      <w:lvlText w:val="%2.%3"/>
      <w:lvlJc w:val="left"/>
      <w:pPr>
        <w:ind w:left="0" w:firstLine="0"/>
      </w:pPr>
      <w:rPr>
        <w:rFonts w:hint="default"/>
        <w:lang w:val="en-GB"/>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49E3D91"/>
    <w:multiLevelType w:val="hybridMultilevel"/>
    <w:tmpl w:val="7BFA97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3"/>
  </w:num>
  <w:num w:numId="14">
    <w:abstractNumId w:val="19"/>
  </w:num>
  <w:num w:numId="15">
    <w:abstractNumId w:val="21"/>
  </w:num>
  <w:num w:numId="16">
    <w:abstractNumId w:val="20"/>
  </w:num>
  <w:num w:numId="17">
    <w:abstractNumId w:val="11"/>
  </w:num>
  <w:num w:numId="18">
    <w:abstractNumId w:val="13"/>
    <w:lvlOverride w:ilvl="0">
      <w:startOverride w:val="1"/>
    </w:lvlOverride>
  </w:num>
  <w:num w:numId="19">
    <w:abstractNumId w:val="17"/>
  </w:num>
  <w:num w:numId="20">
    <w:abstractNumId w:val="16"/>
  </w:num>
  <w:num w:numId="21">
    <w:abstractNumId w:val="15"/>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4156"/>
    <w:rsid w:val="000042B6"/>
    <w:rsid w:val="000052FB"/>
    <w:rsid w:val="00005884"/>
    <w:rsid w:val="00005A19"/>
    <w:rsid w:val="00007D3C"/>
    <w:rsid w:val="00010976"/>
    <w:rsid w:val="000117CB"/>
    <w:rsid w:val="00012FFC"/>
    <w:rsid w:val="00013793"/>
    <w:rsid w:val="0001554C"/>
    <w:rsid w:val="00023579"/>
    <w:rsid w:val="000246D4"/>
    <w:rsid w:val="000255CB"/>
    <w:rsid w:val="00027E6A"/>
    <w:rsid w:val="0003148D"/>
    <w:rsid w:val="000314A3"/>
    <w:rsid w:val="00031BB1"/>
    <w:rsid w:val="00031EEC"/>
    <w:rsid w:val="0004104C"/>
    <w:rsid w:val="00043906"/>
    <w:rsid w:val="0004681B"/>
    <w:rsid w:val="00046A12"/>
    <w:rsid w:val="00051566"/>
    <w:rsid w:val="000562A9"/>
    <w:rsid w:val="00062A9A"/>
    <w:rsid w:val="00064675"/>
    <w:rsid w:val="00065058"/>
    <w:rsid w:val="000708F9"/>
    <w:rsid w:val="000733D4"/>
    <w:rsid w:val="00083AD6"/>
    <w:rsid w:val="00083BD7"/>
    <w:rsid w:val="000854E5"/>
    <w:rsid w:val="000860BF"/>
    <w:rsid w:val="00086C39"/>
    <w:rsid w:val="000904F3"/>
    <w:rsid w:val="00091FE1"/>
    <w:rsid w:val="000937C6"/>
    <w:rsid w:val="00095622"/>
    <w:rsid w:val="00096225"/>
    <w:rsid w:val="00096A61"/>
    <w:rsid w:val="00096F0A"/>
    <w:rsid w:val="000A03B2"/>
    <w:rsid w:val="000A27F0"/>
    <w:rsid w:val="000A400C"/>
    <w:rsid w:val="000A5571"/>
    <w:rsid w:val="000B0749"/>
    <w:rsid w:val="000B30BC"/>
    <w:rsid w:val="000B327C"/>
    <w:rsid w:val="000B365B"/>
    <w:rsid w:val="000B59FD"/>
    <w:rsid w:val="000B5F95"/>
    <w:rsid w:val="000B756E"/>
    <w:rsid w:val="000C2521"/>
    <w:rsid w:val="000C2FD5"/>
    <w:rsid w:val="000C5122"/>
    <w:rsid w:val="000D0268"/>
    <w:rsid w:val="000D0E0E"/>
    <w:rsid w:val="000D1AAD"/>
    <w:rsid w:val="000D34BE"/>
    <w:rsid w:val="000D44DE"/>
    <w:rsid w:val="000E0176"/>
    <w:rsid w:val="000E102F"/>
    <w:rsid w:val="000E26A9"/>
    <w:rsid w:val="000E3203"/>
    <w:rsid w:val="000E36F1"/>
    <w:rsid w:val="000E3A73"/>
    <w:rsid w:val="000E414A"/>
    <w:rsid w:val="000E75FD"/>
    <w:rsid w:val="000F03F3"/>
    <w:rsid w:val="000F093C"/>
    <w:rsid w:val="000F2526"/>
    <w:rsid w:val="000F5A38"/>
    <w:rsid w:val="000F787B"/>
    <w:rsid w:val="00101E01"/>
    <w:rsid w:val="00103D33"/>
    <w:rsid w:val="00104D47"/>
    <w:rsid w:val="00105E9B"/>
    <w:rsid w:val="00107933"/>
    <w:rsid w:val="001079DA"/>
    <w:rsid w:val="001138BB"/>
    <w:rsid w:val="00117BD1"/>
    <w:rsid w:val="00117F10"/>
    <w:rsid w:val="0012091F"/>
    <w:rsid w:val="00122E2B"/>
    <w:rsid w:val="0012478D"/>
    <w:rsid w:val="00124AAD"/>
    <w:rsid w:val="00126BC2"/>
    <w:rsid w:val="00127511"/>
    <w:rsid w:val="00127E80"/>
    <w:rsid w:val="001308B6"/>
    <w:rsid w:val="0013121F"/>
    <w:rsid w:val="00131FE6"/>
    <w:rsid w:val="0013263F"/>
    <w:rsid w:val="001331DF"/>
    <w:rsid w:val="00134DE4"/>
    <w:rsid w:val="00136B7D"/>
    <w:rsid w:val="0014034D"/>
    <w:rsid w:val="00140FE3"/>
    <w:rsid w:val="00141937"/>
    <w:rsid w:val="00143DBD"/>
    <w:rsid w:val="00144D16"/>
    <w:rsid w:val="0014779B"/>
    <w:rsid w:val="00150BC1"/>
    <w:rsid w:val="00150E59"/>
    <w:rsid w:val="00152DE3"/>
    <w:rsid w:val="0015329D"/>
    <w:rsid w:val="00164036"/>
    <w:rsid w:val="00164CF9"/>
    <w:rsid w:val="001667A6"/>
    <w:rsid w:val="00167ED8"/>
    <w:rsid w:val="00171397"/>
    <w:rsid w:val="001726FC"/>
    <w:rsid w:val="0017308E"/>
    <w:rsid w:val="00173341"/>
    <w:rsid w:val="001761A2"/>
    <w:rsid w:val="001767A0"/>
    <w:rsid w:val="00182097"/>
    <w:rsid w:val="00182919"/>
    <w:rsid w:val="00183F65"/>
    <w:rsid w:val="00184AD6"/>
    <w:rsid w:val="00190FC2"/>
    <w:rsid w:val="00191820"/>
    <w:rsid w:val="00191C11"/>
    <w:rsid w:val="00193513"/>
    <w:rsid w:val="001935E3"/>
    <w:rsid w:val="0019514E"/>
    <w:rsid w:val="001973DF"/>
    <w:rsid w:val="001A0486"/>
    <w:rsid w:val="001A252D"/>
    <w:rsid w:val="001A3AD4"/>
    <w:rsid w:val="001A4AF7"/>
    <w:rsid w:val="001A4F1C"/>
    <w:rsid w:val="001A5199"/>
    <w:rsid w:val="001A5DF1"/>
    <w:rsid w:val="001A6E8B"/>
    <w:rsid w:val="001B0349"/>
    <w:rsid w:val="001B09D8"/>
    <w:rsid w:val="001B1568"/>
    <w:rsid w:val="001B1E93"/>
    <w:rsid w:val="001B21C8"/>
    <w:rsid w:val="001B2A4A"/>
    <w:rsid w:val="001B390C"/>
    <w:rsid w:val="001B5181"/>
    <w:rsid w:val="001B64D8"/>
    <w:rsid w:val="001B65C1"/>
    <w:rsid w:val="001B7C8E"/>
    <w:rsid w:val="001C18D6"/>
    <w:rsid w:val="001C1E6E"/>
    <w:rsid w:val="001C1F7D"/>
    <w:rsid w:val="001C260F"/>
    <w:rsid w:val="001C33F1"/>
    <w:rsid w:val="001C4F7A"/>
    <w:rsid w:val="001C5224"/>
    <w:rsid w:val="001C52DB"/>
    <w:rsid w:val="001C684B"/>
    <w:rsid w:val="001C6D5A"/>
    <w:rsid w:val="001C6EA3"/>
    <w:rsid w:val="001D0CFB"/>
    <w:rsid w:val="001D21AF"/>
    <w:rsid w:val="001D43D7"/>
    <w:rsid w:val="001D53FC"/>
    <w:rsid w:val="001D683D"/>
    <w:rsid w:val="001E2443"/>
    <w:rsid w:val="001E4C5D"/>
    <w:rsid w:val="001E5D69"/>
    <w:rsid w:val="001F2518"/>
    <w:rsid w:val="001F42A5"/>
    <w:rsid w:val="001F4656"/>
    <w:rsid w:val="001F7B9D"/>
    <w:rsid w:val="00201C93"/>
    <w:rsid w:val="00202D04"/>
    <w:rsid w:val="00203B5D"/>
    <w:rsid w:val="00203EC3"/>
    <w:rsid w:val="0020761E"/>
    <w:rsid w:val="00210AAB"/>
    <w:rsid w:val="0021162C"/>
    <w:rsid w:val="0021546B"/>
    <w:rsid w:val="00215BCF"/>
    <w:rsid w:val="00215EFA"/>
    <w:rsid w:val="00220085"/>
    <w:rsid w:val="002224B4"/>
    <w:rsid w:val="0022488D"/>
    <w:rsid w:val="00232DB9"/>
    <w:rsid w:val="00235F1F"/>
    <w:rsid w:val="00237C4E"/>
    <w:rsid w:val="00241F8E"/>
    <w:rsid w:val="00243394"/>
    <w:rsid w:val="00243D0B"/>
    <w:rsid w:val="002445C1"/>
    <w:rsid w:val="002447EF"/>
    <w:rsid w:val="0024739C"/>
    <w:rsid w:val="00251550"/>
    <w:rsid w:val="00251771"/>
    <w:rsid w:val="00252005"/>
    <w:rsid w:val="00253FBD"/>
    <w:rsid w:val="00263B05"/>
    <w:rsid w:val="00265997"/>
    <w:rsid w:val="0027221A"/>
    <w:rsid w:val="00273EF9"/>
    <w:rsid w:val="00275A9D"/>
    <w:rsid w:val="00275B61"/>
    <w:rsid w:val="00275B82"/>
    <w:rsid w:val="00280FAF"/>
    <w:rsid w:val="002811BA"/>
    <w:rsid w:val="00282330"/>
    <w:rsid w:val="00282656"/>
    <w:rsid w:val="00283F77"/>
    <w:rsid w:val="00284EB2"/>
    <w:rsid w:val="002858E0"/>
    <w:rsid w:val="00295C1B"/>
    <w:rsid w:val="00296B83"/>
    <w:rsid w:val="002A0121"/>
    <w:rsid w:val="002A3A09"/>
    <w:rsid w:val="002A3E00"/>
    <w:rsid w:val="002A4950"/>
    <w:rsid w:val="002A4EB5"/>
    <w:rsid w:val="002B1C94"/>
    <w:rsid w:val="002B1D45"/>
    <w:rsid w:val="002B1F4A"/>
    <w:rsid w:val="002B4015"/>
    <w:rsid w:val="002B4D68"/>
    <w:rsid w:val="002B6D2F"/>
    <w:rsid w:val="002B78CE"/>
    <w:rsid w:val="002C11EA"/>
    <w:rsid w:val="002C1E6E"/>
    <w:rsid w:val="002C2FB6"/>
    <w:rsid w:val="002C5A6D"/>
    <w:rsid w:val="002C6955"/>
    <w:rsid w:val="002C6DA1"/>
    <w:rsid w:val="002C7883"/>
    <w:rsid w:val="002D2A18"/>
    <w:rsid w:val="002D6EEE"/>
    <w:rsid w:val="002D7A7C"/>
    <w:rsid w:val="002E18C2"/>
    <w:rsid w:val="002E47F4"/>
    <w:rsid w:val="002E5FA7"/>
    <w:rsid w:val="002E7A00"/>
    <w:rsid w:val="002F1230"/>
    <w:rsid w:val="002F2533"/>
    <w:rsid w:val="002F3309"/>
    <w:rsid w:val="002F793C"/>
    <w:rsid w:val="0030000F"/>
    <w:rsid w:val="003008CE"/>
    <w:rsid w:val="003009B7"/>
    <w:rsid w:val="00300E56"/>
    <w:rsid w:val="0030152C"/>
    <w:rsid w:val="00302457"/>
    <w:rsid w:val="0030306C"/>
    <w:rsid w:val="00303FE4"/>
    <w:rsid w:val="0030469C"/>
    <w:rsid w:val="003063C2"/>
    <w:rsid w:val="00306F6B"/>
    <w:rsid w:val="00307F50"/>
    <w:rsid w:val="00310024"/>
    <w:rsid w:val="003118CC"/>
    <w:rsid w:val="00311B31"/>
    <w:rsid w:val="00312FB5"/>
    <w:rsid w:val="003134EA"/>
    <w:rsid w:val="0031448D"/>
    <w:rsid w:val="00321BFF"/>
    <w:rsid w:val="00321CA6"/>
    <w:rsid w:val="00323763"/>
    <w:rsid w:val="00323C5F"/>
    <w:rsid w:val="00323CF2"/>
    <w:rsid w:val="00324E52"/>
    <w:rsid w:val="00327C5D"/>
    <w:rsid w:val="00331615"/>
    <w:rsid w:val="00334C09"/>
    <w:rsid w:val="00341DF2"/>
    <w:rsid w:val="003421B0"/>
    <w:rsid w:val="003444ED"/>
    <w:rsid w:val="00351036"/>
    <w:rsid w:val="00362512"/>
    <w:rsid w:val="00363FDB"/>
    <w:rsid w:val="00364038"/>
    <w:rsid w:val="00365940"/>
    <w:rsid w:val="00365F96"/>
    <w:rsid w:val="00367A22"/>
    <w:rsid w:val="0037151B"/>
    <w:rsid w:val="00372117"/>
    <w:rsid w:val="003723D4"/>
    <w:rsid w:val="00375BC1"/>
    <w:rsid w:val="00375DA4"/>
    <w:rsid w:val="00377ABD"/>
    <w:rsid w:val="00381526"/>
    <w:rsid w:val="00381905"/>
    <w:rsid w:val="003820BC"/>
    <w:rsid w:val="00384B4B"/>
    <w:rsid w:val="00384CC8"/>
    <w:rsid w:val="003871FD"/>
    <w:rsid w:val="00387C5E"/>
    <w:rsid w:val="00390A93"/>
    <w:rsid w:val="00393057"/>
    <w:rsid w:val="00397E3A"/>
    <w:rsid w:val="003A1E30"/>
    <w:rsid w:val="003A2829"/>
    <w:rsid w:val="003A7D1C"/>
    <w:rsid w:val="003B304B"/>
    <w:rsid w:val="003B3146"/>
    <w:rsid w:val="003B3FFA"/>
    <w:rsid w:val="003B4107"/>
    <w:rsid w:val="003B451E"/>
    <w:rsid w:val="003B5B1A"/>
    <w:rsid w:val="003C4AFB"/>
    <w:rsid w:val="003C5931"/>
    <w:rsid w:val="003C6C7F"/>
    <w:rsid w:val="003D1E02"/>
    <w:rsid w:val="003D2AA3"/>
    <w:rsid w:val="003D5125"/>
    <w:rsid w:val="003D5EC7"/>
    <w:rsid w:val="003E1943"/>
    <w:rsid w:val="003E28E9"/>
    <w:rsid w:val="003E3E53"/>
    <w:rsid w:val="003E4DC6"/>
    <w:rsid w:val="003E562F"/>
    <w:rsid w:val="003F015E"/>
    <w:rsid w:val="003F19E4"/>
    <w:rsid w:val="003F575A"/>
    <w:rsid w:val="00400414"/>
    <w:rsid w:val="00401386"/>
    <w:rsid w:val="00403F89"/>
    <w:rsid w:val="004076C8"/>
    <w:rsid w:val="00411A9C"/>
    <w:rsid w:val="00411B8F"/>
    <w:rsid w:val="00412950"/>
    <w:rsid w:val="00413E57"/>
    <w:rsid w:val="00413F69"/>
    <w:rsid w:val="0041446B"/>
    <w:rsid w:val="00430745"/>
    <w:rsid w:val="004321D7"/>
    <w:rsid w:val="00432A56"/>
    <w:rsid w:val="004336F4"/>
    <w:rsid w:val="00435822"/>
    <w:rsid w:val="0044071E"/>
    <w:rsid w:val="00440EFE"/>
    <w:rsid w:val="0044329C"/>
    <w:rsid w:val="00443F81"/>
    <w:rsid w:val="00450B40"/>
    <w:rsid w:val="00450C32"/>
    <w:rsid w:val="00453E24"/>
    <w:rsid w:val="004549F7"/>
    <w:rsid w:val="00457456"/>
    <w:rsid w:val="004576F7"/>
    <w:rsid w:val="004577FE"/>
    <w:rsid w:val="00457B9C"/>
    <w:rsid w:val="0046164A"/>
    <w:rsid w:val="004628D2"/>
    <w:rsid w:val="00462DCD"/>
    <w:rsid w:val="00464264"/>
    <w:rsid w:val="004648AD"/>
    <w:rsid w:val="004655BE"/>
    <w:rsid w:val="00466D01"/>
    <w:rsid w:val="00467B34"/>
    <w:rsid w:val="004703A9"/>
    <w:rsid w:val="00471942"/>
    <w:rsid w:val="004741A2"/>
    <w:rsid w:val="00475131"/>
    <w:rsid w:val="00475361"/>
    <w:rsid w:val="004760DE"/>
    <w:rsid w:val="004763D7"/>
    <w:rsid w:val="00476CBB"/>
    <w:rsid w:val="00480EC9"/>
    <w:rsid w:val="00487DAB"/>
    <w:rsid w:val="00493057"/>
    <w:rsid w:val="004967A2"/>
    <w:rsid w:val="004971CF"/>
    <w:rsid w:val="004A004E"/>
    <w:rsid w:val="004A24CF"/>
    <w:rsid w:val="004A2A8B"/>
    <w:rsid w:val="004A5E57"/>
    <w:rsid w:val="004A6254"/>
    <w:rsid w:val="004A74DC"/>
    <w:rsid w:val="004B2117"/>
    <w:rsid w:val="004B52D8"/>
    <w:rsid w:val="004B6D68"/>
    <w:rsid w:val="004C194F"/>
    <w:rsid w:val="004C29A7"/>
    <w:rsid w:val="004C2FA0"/>
    <w:rsid w:val="004C3D1D"/>
    <w:rsid w:val="004C3D84"/>
    <w:rsid w:val="004C7518"/>
    <w:rsid w:val="004C7913"/>
    <w:rsid w:val="004E2411"/>
    <w:rsid w:val="004E31BF"/>
    <w:rsid w:val="004E4DD6"/>
    <w:rsid w:val="004E5B6C"/>
    <w:rsid w:val="004E672A"/>
    <w:rsid w:val="004E6B91"/>
    <w:rsid w:val="004F0AE3"/>
    <w:rsid w:val="004F1AB9"/>
    <w:rsid w:val="004F50A1"/>
    <w:rsid w:val="004F5E36"/>
    <w:rsid w:val="004F663D"/>
    <w:rsid w:val="00500733"/>
    <w:rsid w:val="00507B47"/>
    <w:rsid w:val="00507BEF"/>
    <w:rsid w:val="00507CC9"/>
    <w:rsid w:val="005119A5"/>
    <w:rsid w:val="00516095"/>
    <w:rsid w:val="005213D5"/>
    <w:rsid w:val="00522B04"/>
    <w:rsid w:val="005237E7"/>
    <w:rsid w:val="00523C3F"/>
    <w:rsid w:val="00524288"/>
    <w:rsid w:val="005278B7"/>
    <w:rsid w:val="005302A7"/>
    <w:rsid w:val="00530D69"/>
    <w:rsid w:val="00531AF3"/>
    <w:rsid w:val="00532016"/>
    <w:rsid w:val="005331DD"/>
    <w:rsid w:val="00533EF6"/>
    <w:rsid w:val="005346C8"/>
    <w:rsid w:val="00534EFD"/>
    <w:rsid w:val="00536403"/>
    <w:rsid w:val="005409E5"/>
    <w:rsid w:val="005410F2"/>
    <w:rsid w:val="005412F6"/>
    <w:rsid w:val="00543D76"/>
    <w:rsid w:val="00543E7D"/>
    <w:rsid w:val="00546D0A"/>
    <w:rsid w:val="00547A68"/>
    <w:rsid w:val="0055028A"/>
    <w:rsid w:val="005517EA"/>
    <w:rsid w:val="0055296E"/>
    <w:rsid w:val="005531C9"/>
    <w:rsid w:val="005532F9"/>
    <w:rsid w:val="00556695"/>
    <w:rsid w:val="00556F37"/>
    <w:rsid w:val="00557CC4"/>
    <w:rsid w:val="0056605A"/>
    <w:rsid w:val="00570C43"/>
    <w:rsid w:val="005726F9"/>
    <w:rsid w:val="00576E71"/>
    <w:rsid w:val="00577042"/>
    <w:rsid w:val="0058031C"/>
    <w:rsid w:val="005808F6"/>
    <w:rsid w:val="00583A52"/>
    <w:rsid w:val="00584ACA"/>
    <w:rsid w:val="005869D3"/>
    <w:rsid w:val="0059035C"/>
    <w:rsid w:val="00591DC3"/>
    <w:rsid w:val="00592274"/>
    <w:rsid w:val="005A5897"/>
    <w:rsid w:val="005A7CD0"/>
    <w:rsid w:val="005B043F"/>
    <w:rsid w:val="005B2110"/>
    <w:rsid w:val="005B34BC"/>
    <w:rsid w:val="005B61E6"/>
    <w:rsid w:val="005B79C6"/>
    <w:rsid w:val="005C268C"/>
    <w:rsid w:val="005C3018"/>
    <w:rsid w:val="005C5EA0"/>
    <w:rsid w:val="005C740D"/>
    <w:rsid w:val="005C77E1"/>
    <w:rsid w:val="005D1E5B"/>
    <w:rsid w:val="005D668A"/>
    <w:rsid w:val="005D6A2F"/>
    <w:rsid w:val="005D74EB"/>
    <w:rsid w:val="005E0592"/>
    <w:rsid w:val="005E09CC"/>
    <w:rsid w:val="005E1A82"/>
    <w:rsid w:val="005E26F5"/>
    <w:rsid w:val="005E2E94"/>
    <w:rsid w:val="005E518E"/>
    <w:rsid w:val="005E5A90"/>
    <w:rsid w:val="005E65AD"/>
    <w:rsid w:val="005E6C1A"/>
    <w:rsid w:val="005E794C"/>
    <w:rsid w:val="005F0A28"/>
    <w:rsid w:val="005F0E5E"/>
    <w:rsid w:val="005F126A"/>
    <w:rsid w:val="00600535"/>
    <w:rsid w:val="00604E55"/>
    <w:rsid w:val="006074AB"/>
    <w:rsid w:val="00607A30"/>
    <w:rsid w:val="00610CD6"/>
    <w:rsid w:val="00612DA4"/>
    <w:rsid w:val="00616DA6"/>
    <w:rsid w:val="00620DEE"/>
    <w:rsid w:val="00621F92"/>
    <w:rsid w:val="0062280A"/>
    <w:rsid w:val="006231E1"/>
    <w:rsid w:val="00624E4C"/>
    <w:rsid w:val="00625639"/>
    <w:rsid w:val="00625F32"/>
    <w:rsid w:val="006276AE"/>
    <w:rsid w:val="00627EA4"/>
    <w:rsid w:val="00631B33"/>
    <w:rsid w:val="0063350A"/>
    <w:rsid w:val="006347F3"/>
    <w:rsid w:val="00634986"/>
    <w:rsid w:val="00636F28"/>
    <w:rsid w:val="0064184D"/>
    <w:rsid w:val="006422CC"/>
    <w:rsid w:val="00645733"/>
    <w:rsid w:val="00646835"/>
    <w:rsid w:val="00651AD6"/>
    <w:rsid w:val="00651D18"/>
    <w:rsid w:val="00653CB9"/>
    <w:rsid w:val="00655889"/>
    <w:rsid w:val="006569A0"/>
    <w:rsid w:val="00660E3E"/>
    <w:rsid w:val="00662E74"/>
    <w:rsid w:val="00670205"/>
    <w:rsid w:val="00671BFD"/>
    <w:rsid w:val="00671C93"/>
    <w:rsid w:val="0067275A"/>
    <w:rsid w:val="00672C0B"/>
    <w:rsid w:val="00676111"/>
    <w:rsid w:val="00677324"/>
    <w:rsid w:val="00680C23"/>
    <w:rsid w:val="006825E0"/>
    <w:rsid w:val="00683E23"/>
    <w:rsid w:val="00684ED9"/>
    <w:rsid w:val="00686327"/>
    <w:rsid w:val="00686E85"/>
    <w:rsid w:val="006871DD"/>
    <w:rsid w:val="00692EB1"/>
    <w:rsid w:val="00693766"/>
    <w:rsid w:val="00694BB8"/>
    <w:rsid w:val="00694DE6"/>
    <w:rsid w:val="006A1065"/>
    <w:rsid w:val="006A2263"/>
    <w:rsid w:val="006A3281"/>
    <w:rsid w:val="006A3616"/>
    <w:rsid w:val="006A4830"/>
    <w:rsid w:val="006B0547"/>
    <w:rsid w:val="006B2DC7"/>
    <w:rsid w:val="006B4888"/>
    <w:rsid w:val="006B4A98"/>
    <w:rsid w:val="006B4EC6"/>
    <w:rsid w:val="006B69EF"/>
    <w:rsid w:val="006C0064"/>
    <w:rsid w:val="006C2E45"/>
    <w:rsid w:val="006C359C"/>
    <w:rsid w:val="006C5579"/>
    <w:rsid w:val="006D020A"/>
    <w:rsid w:val="006D3747"/>
    <w:rsid w:val="006D59EB"/>
    <w:rsid w:val="006D6E8B"/>
    <w:rsid w:val="006D7209"/>
    <w:rsid w:val="006E144B"/>
    <w:rsid w:val="006E3B0E"/>
    <w:rsid w:val="006E3BCF"/>
    <w:rsid w:val="006E61D8"/>
    <w:rsid w:val="006E656D"/>
    <w:rsid w:val="006E737D"/>
    <w:rsid w:val="006E7F12"/>
    <w:rsid w:val="006F4430"/>
    <w:rsid w:val="006F4C15"/>
    <w:rsid w:val="006F4D48"/>
    <w:rsid w:val="006F54C6"/>
    <w:rsid w:val="006F5D6B"/>
    <w:rsid w:val="006F7701"/>
    <w:rsid w:val="0070059D"/>
    <w:rsid w:val="00707DD1"/>
    <w:rsid w:val="0071360C"/>
    <w:rsid w:val="00713973"/>
    <w:rsid w:val="00713B4D"/>
    <w:rsid w:val="007146BE"/>
    <w:rsid w:val="00714AEE"/>
    <w:rsid w:val="00717202"/>
    <w:rsid w:val="00717425"/>
    <w:rsid w:val="00720A24"/>
    <w:rsid w:val="00721DE5"/>
    <w:rsid w:val="00721FC3"/>
    <w:rsid w:val="00723F7E"/>
    <w:rsid w:val="007278B6"/>
    <w:rsid w:val="00730372"/>
    <w:rsid w:val="00730A03"/>
    <w:rsid w:val="00732386"/>
    <w:rsid w:val="0073281F"/>
    <w:rsid w:val="0073514D"/>
    <w:rsid w:val="007447F3"/>
    <w:rsid w:val="0074726B"/>
    <w:rsid w:val="007476D2"/>
    <w:rsid w:val="00751F37"/>
    <w:rsid w:val="0075499F"/>
    <w:rsid w:val="00755192"/>
    <w:rsid w:val="00757016"/>
    <w:rsid w:val="007617CC"/>
    <w:rsid w:val="007661C8"/>
    <w:rsid w:val="00767016"/>
    <w:rsid w:val="00767689"/>
    <w:rsid w:val="00767FEE"/>
    <w:rsid w:val="0077020E"/>
    <w:rsid w:val="0077098D"/>
    <w:rsid w:val="007730BD"/>
    <w:rsid w:val="00773B00"/>
    <w:rsid w:val="0078057E"/>
    <w:rsid w:val="007815F9"/>
    <w:rsid w:val="00781A58"/>
    <w:rsid w:val="00783E17"/>
    <w:rsid w:val="00783E5D"/>
    <w:rsid w:val="00785BF9"/>
    <w:rsid w:val="0079049E"/>
    <w:rsid w:val="00790AFB"/>
    <w:rsid w:val="0079247C"/>
    <w:rsid w:val="007931FA"/>
    <w:rsid w:val="0079685A"/>
    <w:rsid w:val="00796B9C"/>
    <w:rsid w:val="00797026"/>
    <w:rsid w:val="007A224B"/>
    <w:rsid w:val="007A4861"/>
    <w:rsid w:val="007A5E63"/>
    <w:rsid w:val="007A7BBA"/>
    <w:rsid w:val="007B0C50"/>
    <w:rsid w:val="007B3D6A"/>
    <w:rsid w:val="007B488C"/>
    <w:rsid w:val="007B48F9"/>
    <w:rsid w:val="007B787F"/>
    <w:rsid w:val="007C1A43"/>
    <w:rsid w:val="007C624F"/>
    <w:rsid w:val="007D052D"/>
    <w:rsid w:val="007D0951"/>
    <w:rsid w:val="007D11FC"/>
    <w:rsid w:val="007D2798"/>
    <w:rsid w:val="007D2B9C"/>
    <w:rsid w:val="007D3F36"/>
    <w:rsid w:val="007E0409"/>
    <w:rsid w:val="007E3635"/>
    <w:rsid w:val="007E75DA"/>
    <w:rsid w:val="007F0C15"/>
    <w:rsid w:val="007F27C8"/>
    <w:rsid w:val="007F53A4"/>
    <w:rsid w:val="007F5C60"/>
    <w:rsid w:val="007F6213"/>
    <w:rsid w:val="0080013E"/>
    <w:rsid w:val="0080497B"/>
    <w:rsid w:val="0080503B"/>
    <w:rsid w:val="00810FFE"/>
    <w:rsid w:val="00812FA0"/>
    <w:rsid w:val="00813288"/>
    <w:rsid w:val="008168FC"/>
    <w:rsid w:val="00817C86"/>
    <w:rsid w:val="00817FBC"/>
    <w:rsid w:val="00823F65"/>
    <w:rsid w:val="00824E96"/>
    <w:rsid w:val="00825813"/>
    <w:rsid w:val="00830996"/>
    <w:rsid w:val="008314D7"/>
    <w:rsid w:val="00831FB1"/>
    <w:rsid w:val="00833129"/>
    <w:rsid w:val="008345F1"/>
    <w:rsid w:val="00835CF2"/>
    <w:rsid w:val="008371F8"/>
    <w:rsid w:val="00837443"/>
    <w:rsid w:val="00845B34"/>
    <w:rsid w:val="00845CAB"/>
    <w:rsid w:val="00847351"/>
    <w:rsid w:val="00851613"/>
    <w:rsid w:val="0085217D"/>
    <w:rsid w:val="00856234"/>
    <w:rsid w:val="008575A8"/>
    <w:rsid w:val="00861D16"/>
    <w:rsid w:val="00861FE2"/>
    <w:rsid w:val="00865B07"/>
    <w:rsid w:val="008667EA"/>
    <w:rsid w:val="0086702D"/>
    <w:rsid w:val="0087099F"/>
    <w:rsid w:val="00870EC6"/>
    <w:rsid w:val="00871D1F"/>
    <w:rsid w:val="00872007"/>
    <w:rsid w:val="00872852"/>
    <w:rsid w:val="0087548B"/>
    <w:rsid w:val="0087637F"/>
    <w:rsid w:val="00876B61"/>
    <w:rsid w:val="00877144"/>
    <w:rsid w:val="0088071C"/>
    <w:rsid w:val="00883017"/>
    <w:rsid w:val="00892AD5"/>
    <w:rsid w:val="00895F5C"/>
    <w:rsid w:val="008A1512"/>
    <w:rsid w:val="008A2B8F"/>
    <w:rsid w:val="008A5023"/>
    <w:rsid w:val="008A5B93"/>
    <w:rsid w:val="008A6AE4"/>
    <w:rsid w:val="008A7BCF"/>
    <w:rsid w:val="008B0DA4"/>
    <w:rsid w:val="008C0281"/>
    <w:rsid w:val="008D20E1"/>
    <w:rsid w:val="008D32B9"/>
    <w:rsid w:val="008D433B"/>
    <w:rsid w:val="008D4A16"/>
    <w:rsid w:val="008D69B6"/>
    <w:rsid w:val="008D7837"/>
    <w:rsid w:val="008E013F"/>
    <w:rsid w:val="008E209A"/>
    <w:rsid w:val="008E45BC"/>
    <w:rsid w:val="008E4A62"/>
    <w:rsid w:val="008E53CF"/>
    <w:rsid w:val="008E566E"/>
    <w:rsid w:val="008E77A0"/>
    <w:rsid w:val="008F1760"/>
    <w:rsid w:val="008F3488"/>
    <w:rsid w:val="008F6C07"/>
    <w:rsid w:val="008F7DA0"/>
    <w:rsid w:val="009002E2"/>
    <w:rsid w:val="0090161A"/>
    <w:rsid w:val="00901EB6"/>
    <w:rsid w:val="00902F29"/>
    <w:rsid w:val="009041F8"/>
    <w:rsid w:val="00904C62"/>
    <w:rsid w:val="00904D6C"/>
    <w:rsid w:val="009054D1"/>
    <w:rsid w:val="00913BF4"/>
    <w:rsid w:val="00914349"/>
    <w:rsid w:val="0091477E"/>
    <w:rsid w:val="00922BA8"/>
    <w:rsid w:val="00923174"/>
    <w:rsid w:val="00924DAC"/>
    <w:rsid w:val="00927058"/>
    <w:rsid w:val="00932113"/>
    <w:rsid w:val="00935F99"/>
    <w:rsid w:val="0093617D"/>
    <w:rsid w:val="00942153"/>
    <w:rsid w:val="0094242D"/>
    <w:rsid w:val="00942750"/>
    <w:rsid w:val="00943980"/>
    <w:rsid w:val="00944E5D"/>
    <w:rsid w:val="009450CE"/>
    <w:rsid w:val="009459BB"/>
    <w:rsid w:val="009468F6"/>
    <w:rsid w:val="00947179"/>
    <w:rsid w:val="0095164B"/>
    <w:rsid w:val="00953713"/>
    <w:rsid w:val="00954090"/>
    <w:rsid w:val="00954538"/>
    <w:rsid w:val="0095465D"/>
    <w:rsid w:val="0095703E"/>
    <w:rsid w:val="009573E7"/>
    <w:rsid w:val="00961249"/>
    <w:rsid w:val="00963E05"/>
    <w:rsid w:val="00964A45"/>
    <w:rsid w:val="00965D09"/>
    <w:rsid w:val="00967475"/>
    <w:rsid w:val="00967843"/>
    <w:rsid w:val="00967D54"/>
    <w:rsid w:val="00971028"/>
    <w:rsid w:val="009806CF"/>
    <w:rsid w:val="00980F87"/>
    <w:rsid w:val="009822F5"/>
    <w:rsid w:val="00983A5B"/>
    <w:rsid w:val="00985E52"/>
    <w:rsid w:val="00993B84"/>
    <w:rsid w:val="00996483"/>
    <w:rsid w:val="00996F5A"/>
    <w:rsid w:val="00997404"/>
    <w:rsid w:val="009A0DFA"/>
    <w:rsid w:val="009A293E"/>
    <w:rsid w:val="009A57AA"/>
    <w:rsid w:val="009A6001"/>
    <w:rsid w:val="009B041A"/>
    <w:rsid w:val="009B084C"/>
    <w:rsid w:val="009B75FB"/>
    <w:rsid w:val="009C0D5D"/>
    <w:rsid w:val="009C1017"/>
    <w:rsid w:val="009C37C3"/>
    <w:rsid w:val="009C61A9"/>
    <w:rsid w:val="009C7297"/>
    <w:rsid w:val="009C7C86"/>
    <w:rsid w:val="009D2FF7"/>
    <w:rsid w:val="009D342A"/>
    <w:rsid w:val="009D361A"/>
    <w:rsid w:val="009D5645"/>
    <w:rsid w:val="009D760E"/>
    <w:rsid w:val="009E30C5"/>
    <w:rsid w:val="009E3CDB"/>
    <w:rsid w:val="009E52E1"/>
    <w:rsid w:val="009E5627"/>
    <w:rsid w:val="009E7515"/>
    <w:rsid w:val="009E7884"/>
    <w:rsid w:val="009E788A"/>
    <w:rsid w:val="009E79EE"/>
    <w:rsid w:val="009F0E08"/>
    <w:rsid w:val="009F1B77"/>
    <w:rsid w:val="009F27FC"/>
    <w:rsid w:val="009F3429"/>
    <w:rsid w:val="009F6296"/>
    <w:rsid w:val="009F7639"/>
    <w:rsid w:val="00A054B3"/>
    <w:rsid w:val="00A05C2B"/>
    <w:rsid w:val="00A079AE"/>
    <w:rsid w:val="00A07D3A"/>
    <w:rsid w:val="00A1763D"/>
    <w:rsid w:val="00A17CEC"/>
    <w:rsid w:val="00A2390D"/>
    <w:rsid w:val="00A2560A"/>
    <w:rsid w:val="00A267D7"/>
    <w:rsid w:val="00A26CBB"/>
    <w:rsid w:val="00A2714E"/>
    <w:rsid w:val="00A27EF0"/>
    <w:rsid w:val="00A31806"/>
    <w:rsid w:val="00A32FAF"/>
    <w:rsid w:val="00A42361"/>
    <w:rsid w:val="00A42877"/>
    <w:rsid w:val="00A461BB"/>
    <w:rsid w:val="00A50B20"/>
    <w:rsid w:val="00A5102E"/>
    <w:rsid w:val="00A51390"/>
    <w:rsid w:val="00A51902"/>
    <w:rsid w:val="00A5447A"/>
    <w:rsid w:val="00A56079"/>
    <w:rsid w:val="00A60D13"/>
    <w:rsid w:val="00A60F2A"/>
    <w:rsid w:val="00A62774"/>
    <w:rsid w:val="00A64C1A"/>
    <w:rsid w:val="00A67A84"/>
    <w:rsid w:val="00A7223D"/>
    <w:rsid w:val="00A72745"/>
    <w:rsid w:val="00A74EC5"/>
    <w:rsid w:val="00A76EFC"/>
    <w:rsid w:val="00A80BEE"/>
    <w:rsid w:val="00A83E78"/>
    <w:rsid w:val="00A8559A"/>
    <w:rsid w:val="00A87D17"/>
    <w:rsid w:val="00A87D50"/>
    <w:rsid w:val="00A91010"/>
    <w:rsid w:val="00A9287D"/>
    <w:rsid w:val="00A92BEA"/>
    <w:rsid w:val="00A95735"/>
    <w:rsid w:val="00A958FA"/>
    <w:rsid w:val="00A97F29"/>
    <w:rsid w:val="00AA4DD1"/>
    <w:rsid w:val="00AA702E"/>
    <w:rsid w:val="00AA718D"/>
    <w:rsid w:val="00AA7D26"/>
    <w:rsid w:val="00AB0964"/>
    <w:rsid w:val="00AB5011"/>
    <w:rsid w:val="00AB7957"/>
    <w:rsid w:val="00AC1A31"/>
    <w:rsid w:val="00AC4699"/>
    <w:rsid w:val="00AC7368"/>
    <w:rsid w:val="00AD0278"/>
    <w:rsid w:val="00AD16B9"/>
    <w:rsid w:val="00AD4427"/>
    <w:rsid w:val="00AD44BD"/>
    <w:rsid w:val="00AD5D40"/>
    <w:rsid w:val="00AE321C"/>
    <w:rsid w:val="00AE377D"/>
    <w:rsid w:val="00AE38D6"/>
    <w:rsid w:val="00AE7E5D"/>
    <w:rsid w:val="00AF0EBA"/>
    <w:rsid w:val="00AF27B8"/>
    <w:rsid w:val="00AF3B7C"/>
    <w:rsid w:val="00AF42A2"/>
    <w:rsid w:val="00AF68F6"/>
    <w:rsid w:val="00AF6F46"/>
    <w:rsid w:val="00B00EE7"/>
    <w:rsid w:val="00B02C8A"/>
    <w:rsid w:val="00B03AFB"/>
    <w:rsid w:val="00B062C3"/>
    <w:rsid w:val="00B17270"/>
    <w:rsid w:val="00B17A73"/>
    <w:rsid w:val="00B17E4A"/>
    <w:rsid w:val="00B17FBD"/>
    <w:rsid w:val="00B24A2D"/>
    <w:rsid w:val="00B257E7"/>
    <w:rsid w:val="00B315A6"/>
    <w:rsid w:val="00B31813"/>
    <w:rsid w:val="00B32FF1"/>
    <w:rsid w:val="00B33365"/>
    <w:rsid w:val="00B3692E"/>
    <w:rsid w:val="00B36A00"/>
    <w:rsid w:val="00B416D8"/>
    <w:rsid w:val="00B424BD"/>
    <w:rsid w:val="00B44227"/>
    <w:rsid w:val="00B46260"/>
    <w:rsid w:val="00B50426"/>
    <w:rsid w:val="00B53C7E"/>
    <w:rsid w:val="00B54E00"/>
    <w:rsid w:val="00B54F8C"/>
    <w:rsid w:val="00B571EA"/>
    <w:rsid w:val="00B57B36"/>
    <w:rsid w:val="00B57E6F"/>
    <w:rsid w:val="00B6139E"/>
    <w:rsid w:val="00B623B2"/>
    <w:rsid w:val="00B67589"/>
    <w:rsid w:val="00B7116B"/>
    <w:rsid w:val="00B74FF2"/>
    <w:rsid w:val="00B75DBD"/>
    <w:rsid w:val="00B77071"/>
    <w:rsid w:val="00B82E14"/>
    <w:rsid w:val="00B83122"/>
    <w:rsid w:val="00B8686D"/>
    <w:rsid w:val="00B8747E"/>
    <w:rsid w:val="00B93F69"/>
    <w:rsid w:val="00B94491"/>
    <w:rsid w:val="00B95644"/>
    <w:rsid w:val="00BA30B9"/>
    <w:rsid w:val="00BA373A"/>
    <w:rsid w:val="00BA52C2"/>
    <w:rsid w:val="00BA555B"/>
    <w:rsid w:val="00BB0B2D"/>
    <w:rsid w:val="00BB0D24"/>
    <w:rsid w:val="00BB1D45"/>
    <w:rsid w:val="00BB1DDC"/>
    <w:rsid w:val="00BB2ECF"/>
    <w:rsid w:val="00BB6679"/>
    <w:rsid w:val="00BC0352"/>
    <w:rsid w:val="00BC0F25"/>
    <w:rsid w:val="00BC12DD"/>
    <w:rsid w:val="00BC1D78"/>
    <w:rsid w:val="00BC30C9"/>
    <w:rsid w:val="00BC3B74"/>
    <w:rsid w:val="00BC708F"/>
    <w:rsid w:val="00BC7C24"/>
    <w:rsid w:val="00BD077D"/>
    <w:rsid w:val="00BD28D2"/>
    <w:rsid w:val="00BD3E6F"/>
    <w:rsid w:val="00BD4611"/>
    <w:rsid w:val="00BD4834"/>
    <w:rsid w:val="00BE3E58"/>
    <w:rsid w:val="00BE7D7B"/>
    <w:rsid w:val="00BE7F91"/>
    <w:rsid w:val="00BF04B5"/>
    <w:rsid w:val="00C01616"/>
    <w:rsid w:val="00C0162B"/>
    <w:rsid w:val="00C04524"/>
    <w:rsid w:val="00C068ED"/>
    <w:rsid w:val="00C07BAD"/>
    <w:rsid w:val="00C07E54"/>
    <w:rsid w:val="00C101B9"/>
    <w:rsid w:val="00C10A4D"/>
    <w:rsid w:val="00C13D6B"/>
    <w:rsid w:val="00C14F32"/>
    <w:rsid w:val="00C15FF6"/>
    <w:rsid w:val="00C20149"/>
    <w:rsid w:val="00C208E9"/>
    <w:rsid w:val="00C20CE8"/>
    <w:rsid w:val="00C22E0C"/>
    <w:rsid w:val="00C22F53"/>
    <w:rsid w:val="00C24A10"/>
    <w:rsid w:val="00C2606B"/>
    <w:rsid w:val="00C262B7"/>
    <w:rsid w:val="00C27718"/>
    <w:rsid w:val="00C33C5E"/>
    <w:rsid w:val="00C340C7"/>
    <w:rsid w:val="00C345B1"/>
    <w:rsid w:val="00C36A44"/>
    <w:rsid w:val="00C40142"/>
    <w:rsid w:val="00C412D0"/>
    <w:rsid w:val="00C41D98"/>
    <w:rsid w:val="00C50517"/>
    <w:rsid w:val="00C52C3C"/>
    <w:rsid w:val="00C53ADD"/>
    <w:rsid w:val="00C57182"/>
    <w:rsid w:val="00C57863"/>
    <w:rsid w:val="00C57F39"/>
    <w:rsid w:val="00C640AF"/>
    <w:rsid w:val="00C655FD"/>
    <w:rsid w:val="00C6627D"/>
    <w:rsid w:val="00C73705"/>
    <w:rsid w:val="00C75407"/>
    <w:rsid w:val="00C81FF7"/>
    <w:rsid w:val="00C841C6"/>
    <w:rsid w:val="00C867D3"/>
    <w:rsid w:val="00C870A8"/>
    <w:rsid w:val="00C90A28"/>
    <w:rsid w:val="00C92200"/>
    <w:rsid w:val="00C94434"/>
    <w:rsid w:val="00C94B45"/>
    <w:rsid w:val="00CA0D75"/>
    <w:rsid w:val="00CA0F69"/>
    <w:rsid w:val="00CA1C55"/>
    <w:rsid w:val="00CA1C95"/>
    <w:rsid w:val="00CA239B"/>
    <w:rsid w:val="00CA5A9C"/>
    <w:rsid w:val="00CA5AE6"/>
    <w:rsid w:val="00CA7934"/>
    <w:rsid w:val="00CA7D8F"/>
    <w:rsid w:val="00CB296C"/>
    <w:rsid w:val="00CB6BD8"/>
    <w:rsid w:val="00CB70B1"/>
    <w:rsid w:val="00CC46F8"/>
    <w:rsid w:val="00CC4C20"/>
    <w:rsid w:val="00CC4D33"/>
    <w:rsid w:val="00CC7723"/>
    <w:rsid w:val="00CC7863"/>
    <w:rsid w:val="00CD01AB"/>
    <w:rsid w:val="00CD1877"/>
    <w:rsid w:val="00CD3517"/>
    <w:rsid w:val="00CD4C84"/>
    <w:rsid w:val="00CD5FE2"/>
    <w:rsid w:val="00CE2DF0"/>
    <w:rsid w:val="00CE4F94"/>
    <w:rsid w:val="00CE6105"/>
    <w:rsid w:val="00CE72C4"/>
    <w:rsid w:val="00CE7C68"/>
    <w:rsid w:val="00CF4634"/>
    <w:rsid w:val="00D01C6D"/>
    <w:rsid w:val="00D02B4C"/>
    <w:rsid w:val="00D030EE"/>
    <w:rsid w:val="00D040C4"/>
    <w:rsid w:val="00D1285D"/>
    <w:rsid w:val="00D13453"/>
    <w:rsid w:val="00D14076"/>
    <w:rsid w:val="00D15AC4"/>
    <w:rsid w:val="00D20AD1"/>
    <w:rsid w:val="00D23417"/>
    <w:rsid w:val="00D24666"/>
    <w:rsid w:val="00D2582C"/>
    <w:rsid w:val="00D272E6"/>
    <w:rsid w:val="00D30388"/>
    <w:rsid w:val="00D30ECD"/>
    <w:rsid w:val="00D326CB"/>
    <w:rsid w:val="00D32FDB"/>
    <w:rsid w:val="00D448BA"/>
    <w:rsid w:val="00D46B7E"/>
    <w:rsid w:val="00D50217"/>
    <w:rsid w:val="00D51FB0"/>
    <w:rsid w:val="00D52E3B"/>
    <w:rsid w:val="00D537CE"/>
    <w:rsid w:val="00D55A0D"/>
    <w:rsid w:val="00D563EC"/>
    <w:rsid w:val="00D56483"/>
    <w:rsid w:val="00D57944"/>
    <w:rsid w:val="00D57C84"/>
    <w:rsid w:val="00D57CEB"/>
    <w:rsid w:val="00D6030B"/>
    <w:rsid w:val="00D6057D"/>
    <w:rsid w:val="00D610B7"/>
    <w:rsid w:val="00D6279A"/>
    <w:rsid w:val="00D6685A"/>
    <w:rsid w:val="00D70274"/>
    <w:rsid w:val="00D71640"/>
    <w:rsid w:val="00D75D85"/>
    <w:rsid w:val="00D76AEA"/>
    <w:rsid w:val="00D836C5"/>
    <w:rsid w:val="00D84576"/>
    <w:rsid w:val="00D84B71"/>
    <w:rsid w:val="00D863DB"/>
    <w:rsid w:val="00D92984"/>
    <w:rsid w:val="00D9319F"/>
    <w:rsid w:val="00D95E02"/>
    <w:rsid w:val="00D972C4"/>
    <w:rsid w:val="00DA1399"/>
    <w:rsid w:val="00DA24C6"/>
    <w:rsid w:val="00DA4893"/>
    <w:rsid w:val="00DA4D7B"/>
    <w:rsid w:val="00DA75AA"/>
    <w:rsid w:val="00DC01F8"/>
    <w:rsid w:val="00DD2711"/>
    <w:rsid w:val="00DD271C"/>
    <w:rsid w:val="00DD5D1A"/>
    <w:rsid w:val="00DD628B"/>
    <w:rsid w:val="00DE0D70"/>
    <w:rsid w:val="00DE12D7"/>
    <w:rsid w:val="00DE264A"/>
    <w:rsid w:val="00DE2651"/>
    <w:rsid w:val="00DE6167"/>
    <w:rsid w:val="00DE6F33"/>
    <w:rsid w:val="00DF17B1"/>
    <w:rsid w:val="00DF1BEF"/>
    <w:rsid w:val="00DF3735"/>
    <w:rsid w:val="00DF5072"/>
    <w:rsid w:val="00DF598D"/>
    <w:rsid w:val="00DF644B"/>
    <w:rsid w:val="00DF64C3"/>
    <w:rsid w:val="00E003D5"/>
    <w:rsid w:val="00E02CBC"/>
    <w:rsid w:val="00E02D18"/>
    <w:rsid w:val="00E03696"/>
    <w:rsid w:val="00E041E7"/>
    <w:rsid w:val="00E060B4"/>
    <w:rsid w:val="00E06BAE"/>
    <w:rsid w:val="00E11650"/>
    <w:rsid w:val="00E12FED"/>
    <w:rsid w:val="00E13BB4"/>
    <w:rsid w:val="00E146E9"/>
    <w:rsid w:val="00E16F5E"/>
    <w:rsid w:val="00E21A86"/>
    <w:rsid w:val="00E223D9"/>
    <w:rsid w:val="00E22672"/>
    <w:rsid w:val="00E22812"/>
    <w:rsid w:val="00E22E9C"/>
    <w:rsid w:val="00E23CA1"/>
    <w:rsid w:val="00E23DEC"/>
    <w:rsid w:val="00E3592B"/>
    <w:rsid w:val="00E409A8"/>
    <w:rsid w:val="00E4250D"/>
    <w:rsid w:val="00E43128"/>
    <w:rsid w:val="00E43CDC"/>
    <w:rsid w:val="00E4410F"/>
    <w:rsid w:val="00E456CF"/>
    <w:rsid w:val="00E460EC"/>
    <w:rsid w:val="00E47C1F"/>
    <w:rsid w:val="00E47D61"/>
    <w:rsid w:val="00E50C12"/>
    <w:rsid w:val="00E53209"/>
    <w:rsid w:val="00E557F2"/>
    <w:rsid w:val="00E56B78"/>
    <w:rsid w:val="00E603DE"/>
    <w:rsid w:val="00E60D61"/>
    <w:rsid w:val="00E6340D"/>
    <w:rsid w:val="00E65B91"/>
    <w:rsid w:val="00E676A0"/>
    <w:rsid w:val="00E70578"/>
    <w:rsid w:val="00E7209D"/>
    <w:rsid w:val="00E72476"/>
    <w:rsid w:val="00E72EAD"/>
    <w:rsid w:val="00E752E0"/>
    <w:rsid w:val="00E754CB"/>
    <w:rsid w:val="00E767A7"/>
    <w:rsid w:val="00E76E5F"/>
    <w:rsid w:val="00E77223"/>
    <w:rsid w:val="00E8528B"/>
    <w:rsid w:val="00E85B94"/>
    <w:rsid w:val="00E86761"/>
    <w:rsid w:val="00E87F75"/>
    <w:rsid w:val="00E9038D"/>
    <w:rsid w:val="00E94C21"/>
    <w:rsid w:val="00E95006"/>
    <w:rsid w:val="00E978D0"/>
    <w:rsid w:val="00EA0543"/>
    <w:rsid w:val="00EA0F3B"/>
    <w:rsid w:val="00EA2A5F"/>
    <w:rsid w:val="00EA313F"/>
    <w:rsid w:val="00EA4155"/>
    <w:rsid w:val="00EA4613"/>
    <w:rsid w:val="00EA484E"/>
    <w:rsid w:val="00EA5F5A"/>
    <w:rsid w:val="00EA5FF3"/>
    <w:rsid w:val="00EA7F91"/>
    <w:rsid w:val="00EB1523"/>
    <w:rsid w:val="00EB1F77"/>
    <w:rsid w:val="00EB4D52"/>
    <w:rsid w:val="00EB64AB"/>
    <w:rsid w:val="00EC0E49"/>
    <w:rsid w:val="00EC101F"/>
    <w:rsid w:val="00EC1D9F"/>
    <w:rsid w:val="00EC7981"/>
    <w:rsid w:val="00ED2059"/>
    <w:rsid w:val="00ED2276"/>
    <w:rsid w:val="00EE0131"/>
    <w:rsid w:val="00EE17B0"/>
    <w:rsid w:val="00EE270C"/>
    <w:rsid w:val="00EF06D9"/>
    <w:rsid w:val="00EF0982"/>
    <w:rsid w:val="00EF196E"/>
    <w:rsid w:val="00EF43E9"/>
    <w:rsid w:val="00EF77E7"/>
    <w:rsid w:val="00F04125"/>
    <w:rsid w:val="00F07089"/>
    <w:rsid w:val="00F0743D"/>
    <w:rsid w:val="00F1100C"/>
    <w:rsid w:val="00F147F1"/>
    <w:rsid w:val="00F156B2"/>
    <w:rsid w:val="00F239C8"/>
    <w:rsid w:val="00F23D78"/>
    <w:rsid w:val="00F242A7"/>
    <w:rsid w:val="00F248CC"/>
    <w:rsid w:val="00F249D6"/>
    <w:rsid w:val="00F2503E"/>
    <w:rsid w:val="00F263F8"/>
    <w:rsid w:val="00F3049E"/>
    <w:rsid w:val="00F30C64"/>
    <w:rsid w:val="00F32BA2"/>
    <w:rsid w:val="00F32C1F"/>
    <w:rsid w:val="00F32CDB"/>
    <w:rsid w:val="00F3348F"/>
    <w:rsid w:val="00F357D2"/>
    <w:rsid w:val="00F36667"/>
    <w:rsid w:val="00F37280"/>
    <w:rsid w:val="00F401E9"/>
    <w:rsid w:val="00F41EE4"/>
    <w:rsid w:val="00F565FE"/>
    <w:rsid w:val="00F57D81"/>
    <w:rsid w:val="00F62A7B"/>
    <w:rsid w:val="00F62CAB"/>
    <w:rsid w:val="00F63A70"/>
    <w:rsid w:val="00F63D8C"/>
    <w:rsid w:val="00F73C16"/>
    <w:rsid w:val="00F74F6D"/>
    <w:rsid w:val="00F7534E"/>
    <w:rsid w:val="00F76EE4"/>
    <w:rsid w:val="00F76F64"/>
    <w:rsid w:val="00F77D2F"/>
    <w:rsid w:val="00F77FAD"/>
    <w:rsid w:val="00F90317"/>
    <w:rsid w:val="00F92B66"/>
    <w:rsid w:val="00F93EDF"/>
    <w:rsid w:val="00F948CA"/>
    <w:rsid w:val="00F96E95"/>
    <w:rsid w:val="00FA0C07"/>
    <w:rsid w:val="00FA1802"/>
    <w:rsid w:val="00FA21D0"/>
    <w:rsid w:val="00FA3EF5"/>
    <w:rsid w:val="00FA5B90"/>
    <w:rsid w:val="00FA5E37"/>
    <w:rsid w:val="00FA5F5F"/>
    <w:rsid w:val="00FA649F"/>
    <w:rsid w:val="00FB4BC1"/>
    <w:rsid w:val="00FB4CFB"/>
    <w:rsid w:val="00FB730C"/>
    <w:rsid w:val="00FC0B96"/>
    <w:rsid w:val="00FC1218"/>
    <w:rsid w:val="00FC2695"/>
    <w:rsid w:val="00FC3E03"/>
    <w:rsid w:val="00FC3FC1"/>
    <w:rsid w:val="00FC410A"/>
    <w:rsid w:val="00FC4774"/>
    <w:rsid w:val="00FD221E"/>
    <w:rsid w:val="00FD36E5"/>
    <w:rsid w:val="00FE402C"/>
    <w:rsid w:val="00FE59D6"/>
    <w:rsid w:val="00FE67F7"/>
    <w:rsid w:val="00FF0718"/>
    <w:rsid w:val="00FF25EC"/>
    <w:rsid w:val="00FF2923"/>
    <w:rsid w:val="00FF3BC8"/>
    <w:rsid w:val="00FF4FA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C3781908-69B4-40B7-BAF2-BA489095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ind w:left="0"/>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9468F6"/>
    <w:pPr>
      <w:keepNext/>
      <w:suppressAutoHyphens/>
      <w:spacing w:before="240" w:after="120" w:line="240" w:lineRule="auto"/>
    </w:pPr>
    <w:rPr>
      <w:rFonts w:ascii="Arial" w:eastAsia="Times New Roman" w:hAnsi="Arial" w:cs="Times New Roman"/>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9468F6"/>
    <w:rPr>
      <w:rFonts w:ascii="Arial" w:eastAsia="Times New Roman" w:hAnsi="Arial" w:cs="Times New Roman"/>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val="0"/>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table" w:styleId="Tabellasemplice-2">
    <w:name w:val="Plain Table 2"/>
    <w:basedOn w:val="Tabellanormale"/>
    <w:uiPriority w:val="42"/>
    <w:rsid w:val="009D56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stosegnaposto">
    <w:name w:val="Placeholder Text"/>
    <w:basedOn w:val="Carpredefinitoparagrafo"/>
    <w:uiPriority w:val="99"/>
    <w:semiHidden/>
    <w:rsid w:val="00B67589"/>
    <w:rPr>
      <w:color w:val="808080"/>
    </w:rPr>
  </w:style>
  <w:style w:type="paragraph" w:styleId="Nessunaspaziatura">
    <w:name w:val="No Spacing"/>
    <w:uiPriority w:val="1"/>
    <w:qFormat/>
    <w:rsid w:val="004741A2"/>
    <w:pPr>
      <w:tabs>
        <w:tab w:val="right" w:pos="7100"/>
      </w:tabs>
      <w:spacing w:after="0" w:line="240" w:lineRule="auto"/>
      <w:jc w:val="both"/>
    </w:pPr>
    <w:rPr>
      <w:rFonts w:ascii="Arial" w:eastAsia="Times New Roman" w:hAnsi="Arial" w:cs="Times New Roman"/>
      <w:sz w:val="18"/>
      <w:szCs w:val="20"/>
      <w:lang w:val="en-GB"/>
    </w:rPr>
  </w:style>
  <w:style w:type="paragraph" w:styleId="Revisione">
    <w:name w:val="Revision"/>
    <w:hidden/>
    <w:uiPriority w:val="99"/>
    <w:semiHidden/>
    <w:rsid w:val="006B4A98"/>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1201">
      <w:bodyDiv w:val="1"/>
      <w:marLeft w:val="0"/>
      <w:marRight w:val="0"/>
      <w:marTop w:val="0"/>
      <w:marBottom w:val="0"/>
      <w:divBdr>
        <w:top w:val="none" w:sz="0" w:space="0" w:color="auto"/>
        <w:left w:val="none" w:sz="0" w:space="0" w:color="auto"/>
        <w:bottom w:val="none" w:sz="0" w:space="0" w:color="auto"/>
        <w:right w:val="none" w:sz="0" w:space="0" w:color="auto"/>
      </w:divBdr>
    </w:div>
    <w:div w:id="1109593258">
      <w:bodyDiv w:val="1"/>
      <w:marLeft w:val="0"/>
      <w:marRight w:val="0"/>
      <w:marTop w:val="0"/>
      <w:marBottom w:val="0"/>
      <w:divBdr>
        <w:top w:val="none" w:sz="0" w:space="0" w:color="auto"/>
        <w:left w:val="none" w:sz="0" w:space="0" w:color="auto"/>
        <w:bottom w:val="none" w:sz="0" w:space="0" w:color="auto"/>
        <w:right w:val="none" w:sz="0" w:space="0" w:color="auto"/>
      </w:divBdr>
    </w:div>
    <w:div w:id="1154839010">
      <w:bodyDiv w:val="1"/>
      <w:marLeft w:val="0"/>
      <w:marRight w:val="0"/>
      <w:marTop w:val="0"/>
      <w:marBottom w:val="0"/>
      <w:divBdr>
        <w:top w:val="none" w:sz="0" w:space="0" w:color="auto"/>
        <w:left w:val="none" w:sz="0" w:space="0" w:color="auto"/>
        <w:bottom w:val="none" w:sz="0" w:space="0" w:color="auto"/>
        <w:right w:val="none" w:sz="0" w:space="0" w:color="auto"/>
      </w:divBdr>
    </w:div>
    <w:div w:id="1301880210">
      <w:bodyDiv w:val="1"/>
      <w:marLeft w:val="0"/>
      <w:marRight w:val="0"/>
      <w:marTop w:val="0"/>
      <w:marBottom w:val="0"/>
      <w:divBdr>
        <w:top w:val="none" w:sz="0" w:space="0" w:color="auto"/>
        <w:left w:val="none" w:sz="0" w:space="0" w:color="auto"/>
        <w:bottom w:val="none" w:sz="0" w:space="0" w:color="auto"/>
        <w:right w:val="none" w:sz="0" w:space="0" w:color="auto"/>
      </w:divBdr>
      <w:divsChild>
        <w:div w:id="767458965">
          <w:marLeft w:val="0"/>
          <w:marRight w:val="0"/>
          <w:marTop w:val="0"/>
          <w:marBottom w:val="0"/>
          <w:divBdr>
            <w:top w:val="none" w:sz="0" w:space="0" w:color="auto"/>
            <w:left w:val="none" w:sz="0" w:space="0" w:color="auto"/>
            <w:bottom w:val="none" w:sz="0" w:space="0" w:color="auto"/>
            <w:right w:val="none" w:sz="0" w:space="0" w:color="auto"/>
          </w:divBdr>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98893397">
      <w:bodyDiv w:val="1"/>
      <w:marLeft w:val="0"/>
      <w:marRight w:val="0"/>
      <w:marTop w:val="0"/>
      <w:marBottom w:val="0"/>
      <w:divBdr>
        <w:top w:val="none" w:sz="0" w:space="0" w:color="auto"/>
        <w:left w:val="none" w:sz="0" w:space="0" w:color="auto"/>
        <w:bottom w:val="none" w:sz="0" w:space="0" w:color="auto"/>
        <w:right w:val="none" w:sz="0" w:space="0" w:color="auto"/>
      </w:divBdr>
    </w:div>
    <w:div w:id="1415081882">
      <w:bodyDiv w:val="1"/>
      <w:marLeft w:val="0"/>
      <w:marRight w:val="0"/>
      <w:marTop w:val="0"/>
      <w:marBottom w:val="0"/>
      <w:divBdr>
        <w:top w:val="none" w:sz="0" w:space="0" w:color="auto"/>
        <w:left w:val="none" w:sz="0" w:space="0" w:color="auto"/>
        <w:bottom w:val="none" w:sz="0" w:space="0" w:color="auto"/>
        <w:right w:val="none" w:sz="0" w:space="0" w:color="auto"/>
      </w:divBdr>
      <w:divsChild>
        <w:div w:id="481508375">
          <w:marLeft w:val="0"/>
          <w:marRight w:val="0"/>
          <w:marTop w:val="0"/>
          <w:marBottom w:val="0"/>
          <w:divBdr>
            <w:top w:val="none" w:sz="0" w:space="0" w:color="auto"/>
            <w:left w:val="none" w:sz="0" w:space="0" w:color="auto"/>
            <w:bottom w:val="none" w:sz="0" w:space="0" w:color="auto"/>
            <w:right w:val="none" w:sz="0" w:space="0" w:color="auto"/>
          </w:divBdr>
        </w:div>
      </w:divsChild>
    </w:div>
    <w:div w:id="142792534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03565724">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79452">
      <w:bodyDiv w:val="1"/>
      <w:marLeft w:val="0"/>
      <w:marRight w:val="0"/>
      <w:marTop w:val="0"/>
      <w:marBottom w:val="0"/>
      <w:divBdr>
        <w:top w:val="none" w:sz="0" w:space="0" w:color="auto"/>
        <w:left w:val="none" w:sz="0" w:space="0" w:color="auto"/>
        <w:bottom w:val="none" w:sz="0" w:space="0" w:color="auto"/>
        <w:right w:val="none" w:sz="0" w:space="0" w:color="auto"/>
      </w:divBdr>
    </w:div>
    <w:div w:id="1937443269">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unipa.it/strutture/centro-sostenibilita/ricerca/MareMag-LIFE/" TargetMode="External"/><Relationship Id="rId10" Type="http://schemas.openxmlformats.org/officeDocument/2006/relationships/hyperlink" Target="mailto:andrea.cipollina@unipa.i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iswefe-nex.e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inevra.Militello\Downloads\Quantificazione%20HPLC%20(Salvato%20automaticamen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inevra.Militello\Downloads\Quantificazione%20HPLC%20(Salvato%20automaticamente).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mn-lt"/>
              <a:ea typeface="+mn-ea"/>
              <a:cs typeface="+mn-cs"/>
            </a:defRPr>
          </a:pPr>
          <a:endParaRPr lang="it-IT"/>
        </a:p>
      </c:txPr>
    </c:title>
    <c:autoTitleDeleted val="0"/>
    <c:plotArea>
      <c:layout>
        <c:manualLayout>
          <c:layoutTarget val="inner"/>
          <c:xMode val="edge"/>
          <c:yMode val="edge"/>
          <c:x val="0.19526796069096014"/>
          <c:y val="0.18121134512165218"/>
          <c:w val="0.76209638039431116"/>
          <c:h val="0.65824700978121675"/>
        </c:manualLayout>
      </c:layout>
      <c:barChart>
        <c:barDir val="col"/>
        <c:grouping val="clustered"/>
        <c:varyColors val="0"/>
        <c:ser>
          <c:idx val="0"/>
          <c:order val="0"/>
          <c:tx>
            <c:strRef>
              <c:f>'UV-VIS (2)'!$I$1</c:f>
              <c:strCache>
                <c:ptCount val="1"/>
                <c:pt idx="0">
                  <c:v>Total Xanthophylls</c:v>
                </c:pt>
              </c:strCache>
            </c:strRef>
          </c:tx>
          <c:spPr>
            <a:solidFill>
              <a:schemeClr val="accent1"/>
            </a:solidFill>
            <a:ln>
              <a:noFill/>
            </a:ln>
            <a:effectLst/>
          </c:spPr>
          <c:invertIfNegative val="0"/>
          <c:errBars>
            <c:errBarType val="both"/>
            <c:errValType val="cust"/>
            <c:noEndCap val="0"/>
            <c:plus>
              <c:numRef>
                <c:f>'UV-VIS (2)'!$J$26:$J$32</c:f>
                <c:numCache>
                  <c:formatCode>General</c:formatCode>
                  <c:ptCount val="7"/>
                  <c:pt idx="0">
                    <c:v>4.2110382462180601E-2</c:v>
                  </c:pt>
                  <c:pt idx="1">
                    <c:v>8.8498417583676769E-2</c:v>
                  </c:pt>
                  <c:pt idx="2">
                    <c:v>0</c:v>
                  </c:pt>
                  <c:pt idx="3">
                    <c:v>0.11135510410893232</c:v>
                  </c:pt>
                  <c:pt idx="4">
                    <c:v>7.6337214845519008E-3</c:v>
                  </c:pt>
                  <c:pt idx="5">
                    <c:v>7.2626814862259484E-2</c:v>
                  </c:pt>
                  <c:pt idx="6">
                    <c:v>0.12203713689480521</c:v>
                  </c:pt>
                </c:numCache>
              </c:numRef>
            </c:plus>
            <c:minus>
              <c:numRef>
                <c:f>'UV-VIS (2)'!$J$26:$J$32</c:f>
                <c:numCache>
                  <c:formatCode>General</c:formatCode>
                  <c:ptCount val="7"/>
                  <c:pt idx="0">
                    <c:v>4.2110382462180601E-2</c:v>
                  </c:pt>
                  <c:pt idx="1">
                    <c:v>8.8498417583676769E-2</c:v>
                  </c:pt>
                  <c:pt idx="2">
                    <c:v>0</c:v>
                  </c:pt>
                  <c:pt idx="3">
                    <c:v>0.11135510410893232</c:v>
                  </c:pt>
                  <c:pt idx="4">
                    <c:v>7.6337214845519008E-3</c:v>
                  </c:pt>
                  <c:pt idx="5">
                    <c:v>7.2626814862259484E-2</c:v>
                  </c:pt>
                  <c:pt idx="6">
                    <c:v>0.12203713689480521</c:v>
                  </c:pt>
                </c:numCache>
              </c:numRef>
            </c:minus>
            <c:spPr>
              <a:noFill/>
              <a:ln w="9525" cap="flat" cmpd="sng" algn="ctr">
                <a:solidFill>
                  <a:schemeClr val="tx1">
                    <a:lumMod val="65000"/>
                    <a:lumOff val="35000"/>
                  </a:schemeClr>
                </a:solidFill>
                <a:round/>
              </a:ln>
              <a:effectLst/>
            </c:spPr>
          </c:errBars>
          <c:cat>
            <c:strRef>
              <c:f>'UV-VIS (2)'!$H$26:$H$32</c:f>
              <c:strCache>
                <c:ptCount val="7"/>
                <c:pt idx="0">
                  <c:v>D</c:v>
                </c:pt>
                <c:pt idx="1">
                  <c:v>E</c:v>
                </c:pt>
                <c:pt idx="2">
                  <c:v>F</c:v>
                </c:pt>
                <c:pt idx="3">
                  <c:v>G</c:v>
                </c:pt>
                <c:pt idx="4">
                  <c:v>H</c:v>
                </c:pt>
                <c:pt idx="5">
                  <c:v>I</c:v>
                </c:pt>
                <c:pt idx="6">
                  <c:v>L</c:v>
                </c:pt>
              </c:strCache>
            </c:strRef>
          </c:cat>
          <c:val>
            <c:numRef>
              <c:f>'UV-VIS (2)'!$I$26:$I$32</c:f>
              <c:numCache>
                <c:formatCode>General</c:formatCode>
                <c:ptCount val="7"/>
                <c:pt idx="0">
                  <c:v>1.3858766666666664</c:v>
                </c:pt>
                <c:pt idx="1">
                  <c:v>0.44763555555555556</c:v>
                </c:pt>
                <c:pt idx="2">
                  <c:v>0</c:v>
                </c:pt>
                <c:pt idx="3">
                  <c:v>3.3127899999999997</c:v>
                </c:pt>
                <c:pt idx="4">
                  <c:v>2.6005755555555559</c:v>
                </c:pt>
                <c:pt idx="5">
                  <c:v>3.121362222222221</c:v>
                </c:pt>
                <c:pt idx="6">
                  <c:v>2.9624888888888883</c:v>
                </c:pt>
              </c:numCache>
            </c:numRef>
          </c:val>
          <c:extLst xmlns:c16r2="http://schemas.microsoft.com/office/drawing/2015/06/chart">
            <c:ext xmlns:c16="http://schemas.microsoft.com/office/drawing/2014/chart" uri="{C3380CC4-5D6E-409C-BE32-E72D297353CC}">
              <c16:uniqueId val="{00000000-86FC-4A04-958C-87C86494318D}"/>
            </c:ext>
          </c:extLst>
        </c:ser>
        <c:dLbls>
          <c:showLegendKey val="0"/>
          <c:showVal val="0"/>
          <c:showCatName val="0"/>
          <c:showSerName val="0"/>
          <c:showPercent val="0"/>
          <c:showBubbleSize val="0"/>
        </c:dLbls>
        <c:gapWidth val="219"/>
        <c:overlap val="-27"/>
        <c:axId val="-172870832"/>
        <c:axId val="-172867024"/>
      </c:barChart>
      <c:catAx>
        <c:axId val="-17287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t-IT"/>
          </a:p>
        </c:txPr>
        <c:crossAx val="-172867024"/>
        <c:crosses val="autoZero"/>
        <c:auto val="1"/>
        <c:lblAlgn val="ctr"/>
        <c:lblOffset val="100"/>
        <c:noMultiLvlLbl val="0"/>
      </c:catAx>
      <c:valAx>
        <c:axId val="-172867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it-IT"/>
                  <a:t>Xant</a:t>
                </a:r>
                <a:r>
                  <a:rPr lang="en-GB" sz="900" b="0" i="0" u="none" strike="noStrike" baseline="0">
                    <a:effectLst/>
                  </a:rPr>
                  <a:t>hophylls conc.</a:t>
                </a:r>
                <a:r>
                  <a:rPr lang="it-IT"/>
                  <a:t> </a:t>
                </a:r>
              </a:p>
              <a:p>
                <a:pPr>
                  <a:defRPr/>
                </a:pPr>
                <a:r>
                  <a:rPr lang="it-IT"/>
                  <a:t>(mg/L</a:t>
                </a:r>
                <a:r>
                  <a:rPr lang="it-IT" baseline="-25000"/>
                  <a:t>ac.</a:t>
                </a:r>
                <a:r>
                  <a:rPr lang="it-IT"/>
                  <a:t>)</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t-I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t-IT"/>
          </a:p>
        </c:txPr>
        <c:crossAx val="-172870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mn-lt"/>
                <a:ea typeface="+mn-ea"/>
                <a:cs typeface="Arial" panose="020B0604020202020204" pitchFamily="34" charset="0"/>
              </a:defRPr>
            </a:pPr>
            <a:r>
              <a:rPr lang="en-GB"/>
              <a:t>HPLC Results</a:t>
            </a:r>
            <a:endParaRPr lang="it-IT"/>
          </a:p>
        </c:rich>
      </c:tx>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mn-lt"/>
              <a:ea typeface="+mn-ea"/>
              <a:cs typeface="Arial" panose="020B0604020202020204" pitchFamily="34" charset="0"/>
            </a:defRPr>
          </a:pPr>
          <a:endParaRPr lang="it-IT"/>
        </a:p>
      </c:txPr>
    </c:title>
    <c:autoTitleDeleted val="0"/>
    <c:plotArea>
      <c:layout>
        <c:manualLayout>
          <c:layoutTarget val="inner"/>
          <c:xMode val="edge"/>
          <c:yMode val="edge"/>
          <c:x val="0.221504560310432"/>
          <c:y val="0.21259016393442623"/>
          <c:w val="0.44324376106486446"/>
          <c:h val="0.64327868852459014"/>
        </c:manualLayout>
      </c:layout>
      <c:barChart>
        <c:barDir val="col"/>
        <c:grouping val="clustered"/>
        <c:varyColors val="0"/>
        <c:ser>
          <c:idx val="0"/>
          <c:order val="0"/>
          <c:tx>
            <c:strRef>
              <c:f>'test 6-7'!$W$32</c:f>
              <c:strCache>
                <c:ptCount val="1"/>
                <c:pt idx="0">
                  <c:v>Total Xanthophylls</c:v>
                </c:pt>
              </c:strCache>
            </c:strRef>
          </c:tx>
          <c:spPr>
            <a:solidFill>
              <a:schemeClr val="accent1"/>
            </a:solidFill>
            <a:ln>
              <a:noFill/>
            </a:ln>
            <a:effectLst/>
          </c:spPr>
          <c:invertIfNegative val="0"/>
          <c:errBars>
            <c:errBarType val="both"/>
            <c:errValType val="cust"/>
            <c:noEndCap val="0"/>
            <c:plus>
              <c:numRef>
                <c:f>('test 6-7'!$X$34,'test 6-7'!$X$33,'test 6-7'!$X$35)</c:f>
                <c:numCache>
                  <c:formatCode>General</c:formatCode>
                  <c:ptCount val="3"/>
                  <c:pt idx="0">
                    <c:v>0.193598938437962</c:v>
                  </c:pt>
                  <c:pt idx="1">
                    <c:v>3.4474087010019548E-2</c:v>
                  </c:pt>
                  <c:pt idx="2">
                    <c:v>0.14020715419195595</c:v>
                  </c:pt>
                </c:numCache>
              </c:numRef>
            </c:plus>
            <c:minus>
              <c:numRef>
                <c:f>('test 6-7'!$X$34,'test 6-7'!$X$33,'test 6-7'!$X$35)</c:f>
                <c:numCache>
                  <c:formatCode>General</c:formatCode>
                  <c:ptCount val="3"/>
                  <c:pt idx="0">
                    <c:v>0.193598938437962</c:v>
                  </c:pt>
                  <c:pt idx="1">
                    <c:v>3.4474087010019548E-2</c:v>
                  </c:pt>
                  <c:pt idx="2">
                    <c:v>0.14020715419195595</c:v>
                  </c:pt>
                </c:numCache>
              </c:numRef>
            </c:minus>
            <c:spPr>
              <a:noFill/>
              <a:ln w="9525" cap="flat" cmpd="sng" algn="ctr">
                <a:solidFill>
                  <a:schemeClr val="tx1">
                    <a:lumMod val="65000"/>
                    <a:lumOff val="35000"/>
                  </a:schemeClr>
                </a:solidFill>
                <a:round/>
              </a:ln>
              <a:effectLst/>
            </c:spPr>
          </c:errBars>
          <c:cat>
            <c:strRef>
              <c:f>('test 6-7'!$S$34,'test 6-7'!$S$33,'test 6-7'!$S$35)</c:f>
              <c:strCache>
                <c:ptCount val="3"/>
                <c:pt idx="0">
                  <c:v>G</c:v>
                </c:pt>
                <c:pt idx="1">
                  <c:v>I</c:v>
                </c:pt>
                <c:pt idx="2">
                  <c:v>L</c:v>
                </c:pt>
              </c:strCache>
            </c:strRef>
          </c:cat>
          <c:val>
            <c:numRef>
              <c:f>('test 6-7'!$W$34,'test 6-7'!$W$33,'test 6-7'!$W$35)</c:f>
              <c:numCache>
                <c:formatCode>0.000</c:formatCode>
                <c:ptCount val="3"/>
                <c:pt idx="0">
                  <c:v>3.1726448228000002</c:v>
                </c:pt>
                <c:pt idx="1">
                  <c:v>3.0805669028999998</c:v>
                </c:pt>
                <c:pt idx="2">
                  <c:v>2.9787201673000001</c:v>
                </c:pt>
              </c:numCache>
            </c:numRef>
          </c:val>
          <c:extLst xmlns:c16r2="http://schemas.microsoft.com/office/drawing/2015/06/chart">
            <c:ext xmlns:c16="http://schemas.microsoft.com/office/drawing/2014/chart" uri="{C3380CC4-5D6E-409C-BE32-E72D297353CC}">
              <c16:uniqueId val="{00000000-866B-4830-9F34-CAC2BD69AFE4}"/>
            </c:ext>
          </c:extLst>
        </c:ser>
        <c:ser>
          <c:idx val="1"/>
          <c:order val="1"/>
          <c:tx>
            <c:strRef>
              <c:f>'test 6-7'!$Y$32</c:f>
              <c:strCache>
                <c:ptCount val="1"/>
                <c:pt idx="0">
                  <c:v>Zeaxanthin</c:v>
                </c:pt>
              </c:strCache>
            </c:strRef>
          </c:tx>
          <c:spPr>
            <a:solidFill>
              <a:schemeClr val="accent2"/>
            </a:solidFill>
            <a:ln>
              <a:noFill/>
            </a:ln>
            <a:effectLst/>
          </c:spPr>
          <c:invertIfNegative val="0"/>
          <c:errBars>
            <c:errBarType val="both"/>
            <c:errValType val="cust"/>
            <c:noEndCap val="0"/>
            <c:plus>
              <c:numRef>
                <c:f>('test 6-7'!$Z$34,'test 6-7'!$Z$33,'test 6-7'!$Z$35)</c:f>
                <c:numCache>
                  <c:formatCode>General</c:formatCode>
                  <c:ptCount val="3"/>
                  <c:pt idx="0">
                    <c:v>0.15734313820793089</c:v>
                  </c:pt>
                  <c:pt idx="1">
                    <c:v>2.9194342140743495E-2</c:v>
                  </c:pt>
                  <c:pt idx="2">
                    <c:v>9.9382392263411903E-2</c:v>
                  </c:pt>
                </c:numCache>
              </c:numRef>
            </c:plus>
            <c:minus>
              <c:numRef>
                <c:f>('test 6-7'!$Z$34,'test 6-7'!$Z$33,'test 6-7'!$Z$35)</c:f>
                <c:numCache>
                  <c:formatCode>General</c:formatCode>
                  <c:ptCount val="3"/>
                  <c:pt idx="0">
                    <c:v>0.15734313820793089</c:v>
                  </c:pt>
                  <c:pt idx="1">
                    <c:v>2.9194342140743495E-2</c:v>
                  </c:pt>
                  <c:pt idx="2">
                    <c:v>9.9382392263411903E-2</c:v>
                  </c:pt>
                </c:numCache>
              </c:numRef>
            </c:minus>
            <c:spPr>
              <a:noFill/>
              <a:ln w="9525" cap="flat" cmpd="sng" algn="ctr">
                <a:solidFill>
                  <a:schemeClr val="tx1">
                    <a:lumMod val="65000"/>
                    <a:lumOff val="35000"/>
                  </a:schemeClr>
                </a:solidFill>
                <a:round/>
              </a:ln>
              <a:effectLst/>
            </c:spPr>
          </c:errBars>
          <c:cat>
            <c:strRef>
              <c:f>('test 6-7'!$S$34,'test 6-7'!$S$33,'test 6-7'!$S$35)</c:f>
              <c:strCache>
                <c:ptCount val="3"/>
                <c:pt idx="0">
                  <c:v>G</c:v>
                </c:pt>
                <c:pt idx="1">
                  <c:v>I</c:v>
                </c:pt>
                <c:pt idx="2">
                  <c:v>L</c:v>
                </c:pt>
              </c:strCache>
            </c:strRef>
          </c:cat>
          <c:val>
            <c:numRef>
              <c:f>('test 6-7'!$Y$34,'test 6-7'!$Y$33,'test 6-7'!$Y$35)</c:f>
              <c:numCache>
                <c:formatCode>0.000</c:formatCode>
                <c:ptCount val="3"/>
                <c:pt idx="0">
                  <c:v>1.881606509</c:v>
                </c:pt>
                <c:pt idx="1">
                  <c:v>1.7436599465</c:v>
                </c:pt>
                <c:pt idx="2">
                  <c:v>1.7091554241</c:v>
                </c:pt>
              </c:numCache>
            </c:numRef>
          </c:val>
          <c:extLst xmlns:c16r2="http://schemas.microsoft.com/office/drawing/2015/06/chart">
            <c:ext xmlns:c16="http://schemas.microsoft.com/office/drawing/2014/chart" uri="{C3380CC4-5D6E-409C-BE32-E72D297353CC}">
              <c16:uniqueId val="{00000001-866B-4830-9F34-CAC2BD69AFE4}"/>
            </c:ext>
          </c:extLst>
        </c:ser>
        <c:ser>
          <c:idx val="2"/>
          <c:order val="2"/>
          <c:tx>
            <c:strRef>
              <c:f>'test 6-7'!$AA$32</c:f>
              <c:strCache>
                <c:ptCount val="1"/>
                <c:pt idx="0">
                  <c:v>Antheraxanthin</c:v>
                </c:pt>
              </c:strCache>
            </c:strRef>
          </c:tx>
          <c:spPr>
            <a:solidFill>
              <a:schemeClr val="accent3"/>
            </a:solidFill>
            <a:ln>
              <a:noFill/>
            </a:ln>
            <a:effectLst/>
          </c:spPr>
          <c:invertIfNegative val="0"/>
          <c:errBars>
            <c:errBarType val="both"/>
            <c:errValType val="cust"/>
            <c:noEndCap val="0"/>
            <c:plus>
              <c:numRef>
                <c:f>('test 6-7'!$AB$34,'test 6-7'!$AB$33,'test 6-7'!$AB$35)</c:f>
                <c:numCache>
                  <c:formatCode>General</c:formatCode>
                  <c:ptCount val="3"/>
                  <c:pt idx="0">
                    <c:v>3.6255800230031276E-2</c:v>
                  </c:pt>
                  <c:pt idx="1">
                    <c:v>5.2797448692760507E-3</c:v>
                  </c:pt>
                  <c:pt idx="2">
                    <c:v>1.6765299407972407E-2</c:v>
                  </c:pt>
                </c:numCache>
              </c:numRef>
            </c:plus>
            <c:minus>
              <c:numRef>
                <c:f>('test 6-7'!$AB$34,'test 6-7'!$AB$33,'test 6-7'!$AB$35)</c:f>
                <c:numCache>
                  <c:formatCode>General</c:formatCode>
                  <c:ptCount val="3"/>
                  <c:pt idx="0">
                    <c:v>3.6255800230031276E-2</c:v>
                  </c:pt>
                  <c:pt idx="1">
                    <c:v>5.2797448692760507E-3</c:v>
                  </c:pt>
                  <c:pt idx="2">
                    <c:v>1.6765299407972407E-2</c:v>
                  </c:pt>
                </c:numCache>
              </c:numRef>
            </c:minus>
            <c:spPr>
              <a:noFill/>
              <a:ln w="9525" cap="flat" cmpd="sng" algn="ctr">
                <a:solidFill>
                  <a:schemeClr val="tx1">
                    <a:lumMod val="65000"/>
                    <a:lumOff val="35000"/>
                  </a:schemeClr>
                </a:solidFill>
                <a:round/>
              </a:ln>
              <a:effectLst/>
            </c:spPr>
          </c:errBars>
          <c:cat>
            <c:strRef>
              <c:f>('test 6-7'!$S$34,'test 6-7'!$S$33,'test 6-7'!$S$35)</c:f>
              <c:strCache>
                <c:ptCount val="3"/>
                <c:pt idx="0">
                  <c:v>G</c:v>
                </c:pt>
                <c:pt idx="1">
                  <c:v>I</c:v>
                </c:pt>
                <c:pt idx="2">
                  <c:v>L</c:v>
                </c:pt>
              </c:strCache>
            </c:strRef>
          </c:cat>
          <c:val>
            <c:numRef>
              <c:f>('test 6-7'!$AA$34,'test 6-7'!$AA$33,'test 6-7'!$AA$35)</c:f>
              <c:numCache>
                <c:formatCode>0.000</c:formatCode>
                <c:ptCount val="3"/>
                <c:pt idx="0">
                  <c:v>1.2910383138000001</c:v>
                </c:pt>
                <c:pt idx="1">
                  <c:v>1.3369069564</c:v>
                </c:pt>
                <c:pt idx="2">
                  <c:v>1.2695647432000001</c:v>
                </c:pt>
              </c:numCache>
            </c:numRef>
          </c:val>
          <c:extLst xmlns:c16r2="http://schemas.microsoft.com/office/drawing/2015/06/chart">
            <c:ext xmlns:c16="http://schemas.microsoft.com/office/drawing/2014/chart" uri="{C3380CC4-5D6E-409C-BE32-E72D297353CC}">
              <c16:uniqueId val="{00000002-866B-4830-9F34-CAC2BD69AFE4}"/>
            </c:ext>
          </c:extLst>
        </c:ser>
        <c:dLbls>
          <c:showLegendKey val="0"/>
          <c:showVal val="0"/>
          <c:showCatName val="0"/>
          <c:showSerName val="0"/>
          <c:showPercent val="0"/>
          <c:showBubbleSize val="0"/>
        </c:dLbls>
        <c:gapWidth val="219"/>
        <c:overlap val="-27"/>
        <c:axId val="-172873552"/>
        <c:axId val="-172873008"/>
      </c:barChart>
      <c:catAx>
        <c:axId val="-17287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it-IT"/>
          </a:p>
        </c:txPr>
        <c:crossAx val="-172873008"/>
        <c:crosses val="autoZero"/>
        <c:auto val="1"/>
        <c:lblAlgn val="ctr"/>
        <c:lblOffset val="100"/>
        <c:noMultiLvlLbl val="0"/>
      </c:catAx>
      <c:valAx>
        <c:axId val="-172873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it-IT"/>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it-IT"/>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it-IT"/>
          </a:p>
        </c:txPr>
        <c:crossAx val="-1728735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mn-lt"/>
          <a:cs typeface="Arial" panose="020B0604020202020204" pitchFamily="34" charset="0"/>
        </a:defRPr>
      </a:pPr>
      <a:endParaRPr lang="it-IT"/>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0.04757</cdr:x>
      <cdr:y>0.23795</cdr:y>
    </cdr:from>
    <cdr:to>
      <cdr:x>0.15788</cdr:x>
      <cdr:y>0.80771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188397" y="817505"/>
          <a:ext cx="1103472" cy="390178"/>
        </a:xfrm>
        <a:prstGeom xmlns:a="http://schemas.openxmlformats.org/drawingml/2006/main" prst="rect">
          <a:avLst/>
        </a:prstGeom>
      </cdr:spPr>
    </cdr:pic>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9F4E-F69D-4016-8591-84BFE03C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11213</Words>
  <Characters>63917</Characters>
  <Application>Microsoft Office Word</Application>
  <DocSecurity>0</DocSecurity>
  <Lines>532</Lines>
  <Paragraphs>149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74981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Ginevra.Militello</cp:lastModifiedBy>
  <cp:revision>8</cp:revision>
  <cp:lastPrinted>2015-05-12T18:31:00Z</cp:lastPrinted>
  <dcterms:created xsi:type="dcterms:W3CDTF">2026-03-27T16:17:00Z</dcterms:created>
  <dcterms:modified xsi:type="dcterms:W3CDTF">2026-04-13T05:43:00Z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id="baxt45XG"/&gt;&lt;style id="http://www.zotero.org/styles/elsevier-harvard" hasBibliography="1" bibliographyStyleHasBeenSet="1"/&gt;&lt;prefs&gt;&lt;pref name="fieldType" value="Field"/&gt;&lt;pref name="storeReferences"</vt:lpwstr>
  </property>
  <property fmtid="{D5CDD505-2E9C-101B-9397-08002B2CF9AE}" pid="3" name="ZOTERO_PREF_2">
    <vt:lpwstr> value="true"/&gt;&lt;/prefs&gt;&lt;/data&gt;</vt:lpwstr>
  </property>
</Properties>
</file>