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3C242B"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3C242B" w:rsidRDefault="000A03B2" w:rsidP="00DE264A">
            <w:pPr>
              <w:tabs>
                <w:tab w:val="left" w:pos="-108"/>
              </w:tabs>
              <w:ind w:left="-108"/>
              <w:jc w:val="left"/>
              <w:rPr>
                <w:rFonts w:cs="Arial"/>
                <w:b/>
                <w:bCs/>
                <w:i/>
                <w:iCs/>
                <w:color w:val="000066"/>
                <w:sz w:val="12"/>
                <w:szCs w:val="12"/>
                <w:lang w:val="en-US" w:eastAsia="it-IT"/>
              </w:rPr>
            </w:pPr>
            <w:bookmarkStart w:id="0" w:name="_Hlk145068772"/>
            <w:r w:rsidRPr="003C242B">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3C242B">
              <w:rPr>
                <w:rFonts w:ascii="AdvP6960" w:hAnsi="AdvP6960" w:cs="AdvP6960"/>
                <w:color w:val="241F20"/>
                <w:szCs w:val="18"/>
                <w:lang w:val="en-US" w:eastAsia="it-IT"/>
              </w:rPr>
              <w:t xml:space="preserve"> </w:t>
            </w:r>
            <w:r w:rsidRPr="003C242B">
              <w:rPr>
                <w:rFonts w:cs="Arial"/>
                <w:b/>
                <w:bCs/>
                <w:i/>
                <w:iCs/>
                <w:color w:val="000066"/>
                <w:sz w:val="24"/>
                <w:szCs w:val="24"/>
                <w:lang w:val="en-US" w:eastAsia="it-IT"/>
              </w:rPr>
              <w:t>CHEMICAL ENGINEERING</w:t>
            </w:r>
            <w:r w:rsidRPr="003C242B">
              <w:rPr>
                <w:rFonts w:cs="Arial"/>
                <w:b/>
                <w:bCs/>
                <w:i/>
                <w:iCs/>
                <w:color w:val="0033FF"/>
                <w:sz w:val="24"/>
                <w:szCs w:val="24"/>
                <w:lang w:val="en-US" w:eastAsia="it-IT"/>
              </w:rPr>
              <w:t xml:space="preserve"> </w:t>
            </w:r>
            <w:r w:rsidRPr="003C242B">
              <w:rPr>
                <w:rFonts w:cs="Arial"/>
                <w:b/>
                <w:bCs/>
                <w:i/>
                <w:iCs/>
                <w:color w:val="666666"/>
                <w:sz w:val="24"/>
                <w:szCs w:val="24"/>
                <w:lang w:val="en-US" w:eastAsia="it-IT"/>
              </w:rPr>
              <w:t>TRANSACTIONS</w:t>
            </w:r>
            <w:r w:rsidRPr="003C242B">
              <w:rPr>
                <w:color w:val="333333"/>
                <w:sz w:val="24"/>
                <w:szCs w:val="24"/>
                <w:lang w:val="en-US" w:eastAsia="it-IT"/>
              </w:rPr>
              <w:t xml:space="preserve"> </w:t>
            </w:r>
            <w:r w:rsidRPr="003C242B">
              <w:rPr>
                <w:rFonts w:cs="Arial"/>
                <w:b/>
                <w:bCs/>
                <w:i/>
                <w:iCs/>
                <w:color w:val="000066"/>
                <w:sz w:val="27"/>
                <w:szCs w:val="27"/>
                <w:lang w:val="en-US" w:eastAsia="it-IT"/>
              </w:rPr>
              <w:br/>
            </w:r>
          </w:p>
          <w:p w14:paraId="4B780582" w14:textId="753620B8" w:rsidR="000A03B2" w:rsidRPr="003C242B" w:rsidRDefault="00A76EFC" w:rsidP="001D21AF">
            <w:pPr>
              <w:tabs>
                <w:tab w:val="left" w:pos="-108"/>
              </w:tabs>
              <w:ind w:left="-108"/>
              <w:rPr>
                <w:rFonts w:cs="Arial"/>
                <w:b/>
                <w:bCs/>
                <w:i/>
                <w:iCs/>
                <w:color w:val="000066"/>
                <w:sz w:val="22"/>
                <w:szCs w:val="22"/>
                <w:lang w:val="en-US" w:eastAsia="it-IT"/>
              </w:rPr>
            </w:pPr>
            <w:r w:rsidRPr="003C242B">
              <w:rPr>
                <w:rFonts w:cs="Arial"/>
                <w:b/>
                <w:bCs/>
                <w:i/>
                <w:iCs/>
                <w:color w:val="000066"/>
                <w:sz w:val="22"/>
                <w:szCs w:val="22"/>
                <w:lang w:val="en-US" w:eastAsia="it-IT"/>
              </w:rPr>
              <w:t>VOL.</w:t>
            </w:r>
            <w:r w:rsidR="00785BF9" w:rsidRPr="003C242B">
              <w:rPr>
                <w:rFonts w:cs="Arial"/>
                <w:b/>
                <w:bCs/>
                <w:i/>
                <w:iCs/>
                <w:color w:val="000066"/>
                <w:sz w:val="22"/>
                <w:szCs w:val="22"/>
                <w:lang w:val="en-US" w:eastAsia="it-IT"/>
              </w:rPr>
              <w:t xml:space="preserve"> </w:t>
            </w:r>
            <w:r w:rsidR="00AD0278" w:rsidRPr="003C242B">
              <w:rPr>
                <w:rFonts w:cs="Arial"/>
                <w:b/>
                <w:bCs/>
                <w:i/>
                <w:iCs/>
                <w:color w:val="000066"/>
                <w:sz w:val="22"/>
                <w:szCs w:val="22"/>
                <w:lang w:val="en-US" w:eastAsia="it-IT"/>
              </w:rPr>
              <w:t>xxx</w:t>
            </w:r>
            <w:r w:rsidR="007B48F9" w:rsidRPr="003C242B">
              <w:rPr>
                <w:rFonts w:cs="Arial"/>
                <w:b/>
                <w:bCs/>
                <w:i/>
                <w:iCs/>
                <w:color w:val="000066"/>
                <w:sz w:val="22"/>
                <w:szCs w:val="22"/>
                <w:lang w:val="en-US" w:eastAsia="it-IT"/>
              </w:rPr>
              <w:t>,</w:t>
            </w:r>
            <w:r w:rsidR="00FA5F5F" w:rsidRPr="003C242B">
              <w:rPr>
                <w:rFonts w:cs="Arial"/>
                <w:b/>
                <w:bCs/>
                <w:i/>
                <w:iCs/>
                <w:color w:val="000066"/>
                <w:sz w:val="22"/>
                <w:szCs w:val="22"/>
                <w:lang w:val="en-US" w:eastAsia="it-IT"/>
              </w:rPr>
              <w:t xml:space="preserve"> </w:t>
            </w:r>
            <w:r w:rsidR="0030152C" w:rsidRPr="003C242B">
              <w:rPr>
                <w:rFonts w:cs="Arial"/>
                <w:b/>
                <w:bCs/>
                <w:i/>
                <w:iCs/>
                <w:color w:val="000066"/>
                <w:sz w:val="22"/>
                <w:szCs w:val="22"/>
                <w:lang w:val="en-US" w:eastAsia="it-IT"/>
              </w:rPr>
              <w:t>202</w:t>
            </w:r>
            <w:r w:rsidR="00AD0278" w:rsidRPr="003C242B">
              <w:rPr>
                <w:rFonts w:cs="Arial"/>
                <w:b/>
                <w:bCs/>
                <w:i/>
                <w:iCs/>
                <w:color w:val="000066"/>
                <w:sz w:val="22"/>
                <w:szCs w:val="22"/>
                <w:lang w:val="en-US" w:eastAsia="it-IT"/>
              </w:rPr>
              <w:t>6</w:t>
            </w:r>
          </w:p>
        </w:tc>
        <w:tc>
          <w:tcPr>
            <w:tcW w:w="1843" w:type="dxa"/>
            <w:tcBorders>
              <w:left w:val="single" w:sz="4" w:space="0" w:color="auto"/>
              <w:bottom w:val="nil"/>
              <w:right w:val="single" w:sz="4" w:space="0" w:color="auto"/>
            </w:tcBorders>
          </w:tcPr>
          <w:p w14:paraId="56782132" w14:textId="77777777" w:rsidR="000A03B2" w:rsidRPr="003C242B" w:rsidRDefault="000A03B2" w:rsidP="00CD5FE2">
            <w:pPr>
              <w:spacing w:line="140" w:lineRule="atLeast"/>
              <w:jc w:val="right"/>
              <w:rPr>
                <w:rFonts w:cs="Arial"/>
                <w:sz w:val="14"/>
                <w:szCs w:val="14"/>
                <w:lang w:val="en-US"/>
              </w:rPr>
            </w:pPr>
            <w:r w:rsidRPr="003C242B">
              <w:rPr>
                <w:rFonts w:cs="Arial"/>
                <w:sz w:val="14"/>
                <w:szCs w:val="14"/>
                <w:lang w:val="en-US"/>
              </w:rPr>
              <w:t>A publication of</w:t>
            </w:r>
          </w:p>
          <w:p w14:paraId="599E5441" w14:textId="77777777" w:rsidR="000A03B2" w:rsidRPr="003C242B" w:rsidRDefault="000A03B2" w:rsidP="00CD5FE2">
            <w:pPr>
              <w:jc w:val="right"/>
              <w:rPr>
                <w:lang w:val="en-US"/>
              </w:rPr>
            </w:pPr>
            <w:r w:rsidRPr="003C242B">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3C242B" w14:paraId="380FA3CD" w14:textId="77777777" w:rsidTr="00DE264A">
        <w:trPr>
          <w:trHeight w:val="567"/>
          <w:jc w:val="center"/>
        </w:trPr>
        <w:tc>
          <w:tcPr>
            <w:tcW w:w="6946" w:type="dxa"/>
            <w:vMerge/>
            <w:tcBorders>
              <w:right w:val="single" w:sz="4" w:space="0" w:color="auto"/>
            </w:tcBorders>
          </w:tcPr>
          <w:p w14:paraId="39E5E4C1" w14:textId="77777777" w:rsidR="000A03B2" w:rsidRPr="003C242B"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3C242B" w:rsidRDefault="000A03B2" w:rsidP="00CD5FE2">
            <w:pPr>
              <w:spacing w:line="140" w:lineRule="atLeast"/>
              <w:jc w:val="right"/>
              <w:rPr>
                <w:rFonts w:cs="Arial"/>
                <w:sz w:val="14"/>
                <w:szCs w:val="14"/>
                <w:lang w:val="en-US"/>
              </w:rPr>
            </w:pPr>
            <w:r w:rsidRPr="003C242B">
              <w:rPr>
                <w:rFonts w:cs="Arial"/>
                <w:sz w:val="14"/>
                <w:szCs w:val="14"/>
                <w:lang w:val="en-US"/>
              </w:rPr>
              <w:t>The Italian Association</w:t>
            </w:r>
          </w:p>
          <w:p w14:paraId="7522B1D2" w14:textId="77777777" w:rsidR="000A03B2" w:rsidRPr="003C242B" w:rsidRDefault="000A03B2" w:rsidP="00CD5FE2">
            <w:pPr>
              <w:spacing w:line="140" w:lineRule="atLeast"/>
              <w:jc w:val="right"/>
              <w:rPr>
                <w:rFonts w:cs="Arial"/>
                <w:sz w:val="14"/>
                <w:szCs w:val="14"/>
                <w:lang w:val="en-US"/>
              </w:rPr>
            </w:pPr>
            <w:r w:rsidRPr="003C242B">
              <w:rPr>
                <w:rFonts w:cs="Arial"/>
                <w:sz w:val="14"/>
                <w:szCs w:val="14"/>
                <w:lang w:val="en-US"/>
              </w:rPr>
              <w:t>of Chemical Engineering</w:t>
            </w:r>
          </w:p>
          <w:p w14:paraId="4F0CC5DE" w14:textId="47FDB2FC" w:rsidR="000A03B2" w:rsidRPr="003C242B" w:rsidRDefault="000D0268" w:rsidP="00CD5FE2">
            <w:pPr>
              <w:spacing w:line="140" w:lineRule="atLeast"/>
              <w:jc w:val="right"/>
              <w:rPr>
                <w:rFonts w:cs="Arial"/>
                <w:sz w:val="13"/>
                <w:szCs w:val="13"/>
                <w:lang w:val="en-US"/>
              </w:rPr>
            </w:pPr>
            <w:r w:rsidRPr="003C242B">
              <w:rPr>
                <w:rFonts w:cs="Arial"/>
                <w:sz w:val="13"/>
                <w:szCs w:val="13"/>
                <w:lang w:val="en-US"/>
              </w:rPr>
              <w:t>Online at www.cetjournal.it</w:t>
            </w:r>
          </w:p>
        </w:tc>
      </w:tr>
      <w:tr w:rsidR="000A03B2" w:rsidRPr="003C242B" w14:paraId="2D1B7169" w14:textId="77777777" w:rsidTr="00DE264A">
        <w:trPr>
          <w:trHeight w:val="68"/>
          <w:jc w:val="center"/>
        </w:trPr>
        <w:tc>
          <w:tcPr>
            <w:tcW w:w="8789" w:type="dxa"/>
            <w:gridSpan w:val="2"/>
          </w:tcPr>
          <w:p w14:paraId="1D8DD3C9" w14:textId="252289FB" w:rsidR="00AA7D26" w:rsidRPr="003C242B" w:rsidRDefault="004A5E57" w:rsidP="004A5E57">
            <w:pPr>
              <w:ind w:left="-107"/>
              <w:outlineLvl w:val="2"/>
              <w:rPr>
                <w:rFonts w:ascii="Tahoma" w:hAnsi="Tahoma" w:cs="Tahoma"/>
                <w:bCs/>
                <w:color w:val="000000"/>
                <w:sz w:val="14"/>
                <w:szCs w:val="14"/>
                <w:lang w:val="en-US" w:eastAsia="it-IT"/>
              </w:rPr>
            </w:pPr>
            <w:r w:rsidRPr="003C242B">
              <w:rPr>
                <w:rFonts w:ascii="Tahoma" w:hAnsi="Tahoma" w:cs="Tahoma"/>
                <w:iCs/>
                <w:color w:val="333333"/>
                <w:sz w:val="14"/>
                <w:szCs w:val="14"/>
                <w:lang w:val="en-US" w:eastAsia="it-IT"/>
              </w:rPr>
              <w:t>Guest Editors:</w:t>
            </w:r>
            <w:r w:rsidRPr="003C242B">
              <w:rPr>
                <w:rFonts w:ascii="Tahoma" w:hAnsi="Tahoma" w:cs="Tahoma"/>
                <w:color w:val="000000"/>
                <w:sz w:val="14"/>
                <w:szCs w:val="14"/>
                <w:shd w:val="clear" w:color="auto" w:fill="FFFFFF"/>
                <w:lang w:val="en-US"/>
              </w:rPr>
              <w:t xml:space="preserve"> </w:t>
            </w:r>
            <w:r w:rsidR="00005884" w:rsidRPr="003C242B">
              <w:rPr>
                <w:rFonts w:ascii="Tahoma" w:hAnsi="Tahoma" w:cs="Tahoma"/>
                <w:color w:val="000000"/>
                <w:sz w:val="14"/>
                <w:szCs w:val="14"/>
                <w:shd w:val="clear" w:color="auto" w:fill="FFFFFF"/>
                <w:lang w:val="en-US"/>
              </w:rPr>
              <w:t>Marco Bravi, Antonio Marzocchella, Giuseppe Caputo</w:t>
            </w:r>
          </w:p>
          <w:p w14:paraId="1B0F1814" w14:textId="710B7B96" w:rsidR="000A03B2" w:rsidRPr="003C242B" w:rsidRDefault="00AA7D26" w:rsidP="00AA7D26">
            <w:pPr>
              <w:tabs>
                <w:tab w:val="left" w:pos="-108"/>
              </w:tabs>
              <w:spacing w:line="140" w:lineRule="atLeast"/>
              <w:ind w:left="-107"/>
              <w:jc w:val="left"/>
              <w:rPr>
                <w:lang w:val="en-US"/>
              </w:rPr>
            </w:pPr>
            <w:r w:rsidRPr="003C242B">
              <w:rPr>
                <w:rFonts w:ascii="Tahoma" w:hAnsi="Tahoma" w:cs="Tahoma"/>
                <w:iCs/>
                <w:color w:val="333333"/>
                <w:sz w:val="14"/>
                <w:szCs w:val="14"/>
                <w:lang w:val="en-US" w:eastAsia="it-IT"/>
              </w:rPr>
              <w:t>Copyright © 202</w:t>
            </w:r>
            <w:r w:rsidR="00005884" w:rsidRPr="003C242B">
              <w:rPr>
                <w:rFonts w:ascii="Tahoma" w:hAnsi="Tahoma" w:cs="Tahoma"/>
                <w:iCs/>
                <w:color w:val="333333"/>
                <w:sz w:val="14"/>
                <w:szCs w:val="14"/>
                <w:lang w:val="en-US" w:eastAsia="it-IT"/>
              </w:rPr>
              <w:t>6</w:t>
            </w:r>
            <w:r w:rsidRPr="003C242B">
              <w:rPr>
                <w:rFonts w:ascii="Tahoma" w:hAnsi="Tahoma" w:cs="Tahoma"/>
                <w:iCs/>
                <w:color w:val="333333"/>
                <w:sz w:val="14"/>
                <w:szCs w:val="14"/>
                <w:lang w:val="en-US" w:eastAsia="it-IT"/>
              </w:rPr>
              <w:t>, AIDIC Servizi S.r.l.</w:t>
            </w:r>
            <w:r w:rsidRPr="003C242B">
              <w:rPr>
                <w:rFonts w:ascii="Tahoma" w:hAnsi="Tahoma" w:cs="Tahoma"/>
                <w:iCs/>
                <w:color w:val="333333"/>
                <w:sz w:val="14"/>
                <w:szCs w:val="14"/>
                <w:lang w:val="en-US" w:eastAsia="it-IT"/>
              </w:rPr>
              <w:br/>
            </w:r>
            <w:r w:rsidRPr="003C242B">
              <w:rPr>
                <w:rFonts w:ascii="Tahoma" w:hAnsi="Tahoma" w:cs="Tahoma"/>
                <w:b/>
                <w:iCs/>
                <w:color w:val="000000"/>
                <w:sz w:val="14"/>
                <w:szCs w:val="14"/>
                <w:lang w:val="en-US" w:eastAsia="it-IT"/>
              </w:rPr>
              <w:t>ISBN</w:t>
            </w:r>
            <w:r w:rsidRPr="003C242B">
              <w:rPr>
                <w:rFonts w:ascii="Tahoma" w:hAnsi="Tahoma" w:cs="Tahoma"/>
                <w:iCs/>
                <w:color w:val="000000"/>
                <w:sz w:val="14"/>
                <w:szCs w:val="14"/>
                <w:lang w:val="en-US" w:eastAsia="it-IT"/>
              </w:rPr>
              <w:t xml:space="preserve"> </w:t>
            </w:r>
            <w:r w:rsidR="00D2582C" w:rsidRPr="003C242B">
              <w:rPr>
                <w:rFonts w:ascii="Tahoma" w:hAnsi="Tahoma" w:cs="Tahoma"/>
                <w:sz w:val="14"/>
                <w:szCs w:val="14"/>
                <w:lang w:val="en-US"/>
              </w:rPr>
              <w:t>979-12-81206-</w:t>
            </w:r>
            <w:r w:rsidR="00005884" w:rsidRPr="003C242B">
              <w:rPr>
                <w:rFonts w:ascii="Tahoma" w:hAnsi="Tahoma" w:cs="Tahoma"/>
                <w:sz w:val="14"/>
                <w:szCs w:val="14"/>
                <w:lang w:val="en-US"/>
              </w:rPr>
              <w:t>xx</w:t>
            </w:r>
            <w:r w:rsidR="009041F8" w:rsidRPr="003C242B">
              <w:rPr>
                <w:rFonts w:ascii="Tahoma" w:hAnsi="Tahoma" w:cs="Tahoma"/>
                <w:sz w:val="14"/>
                <w:szCs w:val="14"/>
                <w:lang w:val="en-US"/>
              </w:rPr>
              <w:t>-</w:t>
            </w:r>
            <w:r w:rsidR="00005884" w:rsidRPr="003C242B">
              <w:rPr>
                <w:rFonts w:ascii="Tahoma" w:hAnsi="Tahoma" w:cs="Tahoma"/>
                <w:sz w:val="14"/>
                <w:szCs w:val="14"/>
                <w:lang w:val="en-US"/>
              </w:rPr>
              <w:t>x</w:t>
            </w:r>
            <w:r w:rsidRPr="003C242B">
              <w:rPr>
                <w:rFonts w:ascii="Tahoma" w:hAnsi="Tahoma" w:cs="Tahoma"/>
                <w:iCs/>
                <w:color w:val="333333"/>
                <w:sz w:val="14"/>
                <w:szCs w:val="14"/>
                <w:lang w:val="en-US" w:eastAsia="it-IT"/>
              </w:rPr>
              <w:t xml:space="preserve">; </w:t>
            </w:r>
            <w:r w:rsidRPr="003C242B">
              <w:rPr>
                <w:rFonts w:ascii="Tahoma" w:hAnsi="Tahoma" w:cs="Tahoma"/>
                <w:b/>
                <w:iCs/>
                <w:color w:val="333333"/>
                <w:sz w:val="14"/>
                <w:szCs w:val="14"/>
                <w:lang w:val="en-US" w:eastAsia="it-IT"/>
              </w:rPr>
              <w:t>ISSN</w:t>
            </w:r>
            <w:r w:rsidRPr="003C242B">
              <w:rPr>
                <w:rFonts w:ascii="Tahoma" w:hAnsi="Tahoma" w:cs="Tahoma"/>
                <w:iCs/>
                <w:color w:val="333333"/>
                <w:sz w:val="14"/>
                <w:szCs w:val="14"/>
                <w:lang w:val="en-US" w:eastAsia="it-IT"/>
              </w:rPr>
              <w:t xml:space="preserve"> 2283-9216</w:t>
            </w:r>
          </w:p>
        </w:tc>
      </w:tr>
    </w:tbl>
    <w:bookmarkEnd w:id="0"/>
    <w:p w14:paraId="2E667253" w14:textId="26C59DED" w:rsidR="00E978D0" w:rsidRPr="003C242B" w:rsidRDefault="00371FF9" w:rsidP="00E978D0">
      <w:pPr>
        <w:pStyle w:val="CETTitle"/>
        <w:rPr>
          <w:lang w:val="en-US"/>
        </w:rPr>
      </w:pPr>
      <w:r w:rsidRPr="003C242B">
        <w:rPr>
          <w:lang w:val="en-US"/>
        </w:rPr>
        <w:t xml:space="preserve">Empirical Kinetic </w:t>
      </w:r>
      <w:r w:rsidR="00697FD7" w:rsidRPr="003C242B">
        <w:rPr>
          <w:lang w:val="en-US"/>
        </w:rPr>
        <w:t>Modelling</w:t>
      </w:r>
      <w:r w:rsidRPr="003C242B">
        <w:rPr>
          <w:lang w:val="en-US"/>
        </w:rPr>
        <w:t xml:space="preserve"> of High-Temperature Vacuum Fermentation for Low-Alcohol Beer Production</w:t>
      </w:r>
      <w:r w:rsidR="00600535" w:rsidRPr="003C242B">
        <w:rPr>
          <w:lang w:val="en-US"/>
        </w:rPr>
        <w:t xml:space="preserve"> </w:t>
      </w:r>
    </w:p>
    <w:p w14:paraId="0488FED2" w14:textId="7B653069" w:rsidR="00B57E6F" w:rsidRPr="003C242B" w:rsidRDefault="00371FF9" w:rsidP="00B57E6F">
      <w:pPr>
        <w:pStyle w:val="CETAuthors"/>
        <w:rPr>
          <w:lang w:val="en-US"/>
        </w:rPr>
      </w:pPr>
      <w:r w:rsidRPr="003C242B">
        <w:rPr>
          <w:lang w:val="en-US"/>
        </w:rPr>
        <w:t>Alessio Cimini*, Lorenzo Morgante, Mauro Moresi</w:t>
      </w:r>
    </w:p>
    <w:p w14:paraId="6B2D21B3" w14:textId="67BB47CE" w:rsidR="00B57E6F" w:rsidRPr="003C242B" w:rsidRDefault="00371FF9" w:rsidP="00B57E6F">
      <w:pPr>
        <w:pStyle w:val="CETAddress"/>
        <w:rPr>
          <w:lang w:val="en-US"/>
        </w:rPr>
      </w:pPr>
      <w:r w:rsidRPr="003C242B">
        <w:rPr>
          <w:lang w:val="en-US"/>
        </w:rPr>
        <w:t>Dipartimento per la Innovazione nei sistemi Biologici, Agroalimentari e Forestali, Università della Tuscia, Viterbo, Italy</w:t>
      </w:r>
      <w:r w:rsidR="00B57E6F" w:rsidRPr="003C242B">
        <w:rPr>
          <w:lang w:val="en-US"/>
        </w:rPr>
        <w:t xml:space="preserve"> </w:t>
      </w:r>
    </w:p>
    <w:p w14:paraId="73F1267A" w14:textId="215DE182" w:rsidR="00B57E6F" w:rsidRPr="003C242B" w:rsidRDefault="00A97121" w:rsidP="00B57E6F">
      <w:pPr>
        <w:pStyle w:val="CETemail"/>
        <w:rPr>
          <w:lang w:val="en-US"/>
        </w:rPr>
      </w:pPr>
      <w:r w:rsidRPr="003C242B">
        <w:rPr>
          <w:lang w:val="en-US"/>
        </w:rPr>
        <w:t xml:space="preserve">a.cimini@unitus.it  </w:t>
      </w:r>
    </w:p>
    <w:p w14:paraId="5AF491CE" w14:textId="45EB7ECE" w:rsidR="006F457C" w:rsidRPr="003C242B" w:rsidRDefault="006F457C" w:rsidP="006F457C">
      <w:pPr>
        <w:pStyle w:val="CETBodytext"/>
      </w:pPr>
      <w:bookmarkStart w:id="1" w:name="_Hlk495475023"/>
      <w:r w:rsidRPr="003C242B">
        <w:t>This study investigates the production of low-alcohol beer (LAB) through simultaneous fermentation and ethanol stripping</w:t>
      </w:r>
      <w:r w:rsidRPr="003C242B">
        <w:t xml:space="preserve"> </w:t>
      </w:r>
      <w:r w:rsidRPr="003C242B">
        <w:t>using a custom-instrumented lab-scale system. Fermentation was conducted at an elevated temperature (40 °C) under vacuum pressure (~200 mbar) to facilitate continuous ethanol evaporation, addressing the rising consumer demand for high-quality LAB (0.5% to 1.2% v/v). A robust empirical kinetic model, based on a second-order polynomial, was developed to predict the time-dependent decay of the wort's relative density. These real-time density predictions were successfully integrated with highly validated linear correlations to determine instantaneous real extract and alcohol by volume (ABV) levels. The process demonstrated high efficiency: high-gravity wort (~18 °Brix) yielded a final beer with 1.9% ABV under vacuum conditions, representing a significant reduction from the 7.5% ABV observed in atmospheric control runs. Subsequent dilution of the vacuum-fermented base easily achieved the target low-alcohol concentration of 1.2 ± 0.5% (v/v). These results confirm the technical feasibility of this integrated approach and establish a predictive modelling framework for the precise, high-temperature vacuum production of low-alcohol beer.</w:t>
      </w:r>
    </w:p>
    <w:bookmarkEnd w:id="1"/>
    <w:p w14:paraId="476B2F2E" w14:textId="1277D6C1" w:rsidR="00600535" w:rsidRPr="003C242B" w:rsidRDefault="00A02CE7" w:rsidP="00A02CE7">
      <w:pPr>
        <w:pStyle w:val="CETHeading1"/>
        <w:tabs>
          <w:tab w:val="num" w:pos="360"/>
        </w:tabs>
        <w:rPr>
          <w:lang w:val="en-GB"/>
        </w:rPr>
      </w:pPr>
      <w:r w:rsidRPr="003C242B">
        <w:rPr>
          <w:lang w:val="en-GB"/>
        </w:rPr>
        <w:t xml:space="preserve">1. </w:t>
      </w:r>
      <w:r w:rsidR="00600535" w:rsidRPr="003C242B">
        <w:rPr>
          <w:lang w:val="en-GB"/>
        </w:rPr>
        <w:t>Introduction</w:t>
      </w:r>
    </w:p>
    <w:p w14:paraId="578FF4B4" w14:textId="7E4EEDC5" w:rsidR="00697FD7" w:rsidRPr="003C242B" w:rsidRDefault="00697FD7" w:rsidP="00697FD7">
      <w:pPr>
        <w:pStyle w:val="CETBodytext"/>
      </w:pPr>
      <w:r w:rsidRPr="003C242B">
        <w:t>The craft beer industry has experienced a significant shift towards non-alcoholic (NAB) and low-alcohol (LAB) beers with alcohol by volume (ABV) content less than 0.5%, and 0.5% to 1.2%, respectively. This trend is primarily driven by a global focus on health and wellness (Smith, 2024).</w:t>
      </w:r>
    </w:p>
    <w:p w14:paraId="48AB7AAD" w14:textId="008F5065" w:rsidR="00697FD7" w:rsidRPr="003C242B" w:rsidRDefault="00290D50" w:rsidP="003326D0">
      <w:pPr>
        <w:pStyle w:val="CETBodytext"/>
        <w:tabs>
          <w:tab w:val="left" w:pos="284"/>
        </w:tabs>
      </w:pPr>
      <w:r w:rsidRPr="003C242B">
        <w:t xml:space="preserve">Producing high-quality NABs and LABs involves significant technical and economic hurdles for craft brewers. This is especially true in Italy, where the legal definition of </w:t>
      </w:r>
      <w:r w:rsidRPr="00153178">
        <w:rPr>
          <w:i/>
          <w:iCs/>
        </w:rPr>
        <w:t>Birra Artigianale</w:t>
      </w:r>
      <w:r w:rsidR="00153178">
        <w:t xml:space="preserve"> </w:t>
      </w:r>
      <w:r w:rsidRPr="003C242B">
        <w:t>—established by Art. 35</w:t>
      </w:r>
      <w:r w:rsidR="00347FAE" w:rsidRPr="003C242B">
        <w:t xml:space="preserve"> (</w:t>
      </w:r>
      <w:r w:rsidRPr="003C242B">
        <w:t>Law 28 July 2016, n. 154</w:t>
      </w:r>
      <w:r w:rsidR="006C0CDD" w:rsidRPr="003C242B">
        <w:t>)</w:t>
      </w:r>
      <w:r w:rsidR="00153178">
        <w:t xml:space="preserve"> </w:t>
      </w:r>
      <w:r w:rsidRPr="003C242B">
        <w:t>—</w:t>
      </w:r>
      <w:r w:rsidR="00153178">
        <w:t xml:space="preserve"> </w:t>
      </w:r>
      <w:r w:rsidRPr="003C242B">
        <w:t xml:space="preserve">strictly prohibits pasteurization and microfiltration. Because alcohol typically acts as a primary preservative, removing it creates a massive risk of microbial spoilage or refermentation in the package. Without the ability to use thermal stabilization, craft brewers face the double challenge of ensuring food safety while maintaining the strict standards required to keep their </w:t>
      </w:r>
      <w:r w:rsidRPr="00153178">
        <w:rPr>
          <w:i/>
          <w:iCs/>
        </w:rPr>
        <w:t>craft</w:t>
      </w:r>
      <w:r w:rsidRPr="003C242B">
        <w:t xml:space="preserve"> designation.</w:t>
      </w:r>
      <w:r w:rsidR="001473DD" w:rsidRPr="003C242B">
        <w:t xml:space="preserve"> </w:t>
      </w:r>
      <w:r w:rsidR="00697FD7" w:rsidRPr="003C242B">
        <w:t>Traditional methods for alcohol reduction can be broadly categorized into physical and biological approaches, each with limitations:</w:t>
      </w:r>
    </w:p>
    <w:p w14:paraId="758E1E27" w14:textId="0ACDD016" w:rsidR="00697FD7" w:rsidRPr="003C242B" w:rsidRDefault="00697FD7" w:rsidP="003326D0">
      <w:pPr>
        <w:pStyle w:val="CETBodytext"/>
        <w:tabs>
          <w:tab w:val="left" w:pos="284"/>
        </w:tabs>
      </w:pPr>
      <w:r w:rsidRPr="003C242B">
        <w:t>•</w:t>
      </w:r>
      <w:r w:rsidR="003326D0" w:rsidRPr="003C242B">
        <w:tab/>
      </w:r>
      <w:r w:rsidRPr="003C242B">
        <w:t>Physical Methods</w:t>
      </w:r>
    </w:p>
    <w:p w14:paraId="6827C02B" w14:textId="3099800E" w:rsidR="00697FD7" w:rsidRPr="003C242B" w:rsidRDefault="00697FD7" w:rsidP="003326D0">
      <w:pPr>
        <w:pStyle w:val="CETBodytext"/>
        <w:ind w:left="567" w:hanging="283"/>
      </w:pPr>
      <w:r w:rsidRPr="003C242B">
        <w:t>o</w:t>
      </w:r>
      <w:r w:rsidRPr="003C242B">
        <w:tab/>
        <w:t xml:space="preserve">Vacuum Distillation (VD): While relatively established and economical for achieving near-zero ABV, VD often causes a loss of desirable volatile aroma compounds, necessitating imperfect re-addition and resulting in a </w:t>
      </w:r>
      <w:r w:rsidRPr="00153178">
        <w:rPr>
          <w:i/>
          <w:iCs/>
        </w:rPr>
        <w:t>stripped</w:t>
      </w:r>
      <w:r w:rsidRPr="003C242B">
        <w:t xml:space="preserve"> flavor profile (Andrés-Iglesias et al., 2016). Advanced methods like Spinning Cone Column distillation offer superior aroma retention by operating at low temperatures and minimal residence time (Huerta-Pérez and Pérez-Correa, 2018).</w:t>
      </w:r>
    </w:p>
    <w:p w14:paraId="58041127" w14:textId="77777777" w:rsidR="00697FD7" w:rsidRPr="003C242B" w:rsidRDefault="00697FD7" w:rsidP="003326D0">
      <w:pPr>
        <w:pStyle w:val="CETBodytext"/>
        <w:ind w:left="567" w:hanging="283"/>
      </w:pPr>
      <w:r w:rsidRPr="003C242B">
        <w:t>o</w:t>
      </w:r>
      <w:r w:rsidRPr="003C242B">
        <w:tab/>
        <w:t>Reverse Osmosis (RO): This process removes ethanol but also selectively removes linear-structured volatile compounds, diminishing the sensory profile. Furthermore, RO efficiency is highly sensitive to the beer matrix, with fouling and clogging posing significant operational challenges (Ramsey et al., 2021).</w:t>
      </w:r>
    </w:p>
    <w:p w14:paraId="44B1993E" w14:textId="77777777" w:rsidR="00FC388E" w:rsidRPr="003C242B" w:rsidRDefault="008725E8" w:rsidP="000E2A0C">
      <w:pPr>
        <w:pStyle w:val="CETBodytext"/>
        <w:numPr>
          <w:ilvl w:val="0"/>
          <w:numId w:val="29"/>
        </w:numPr>
        <w:ind w:left="567" w:hanging="283"/>
      </w:pPr>
      <w:r w:rsidRPr="003C242B">
        <w:t xml:space="preserve">Diafiltration and Pervaporation: </w:t>
      </w:r>
      <w:r w:rsidR="00FC388E" w:rsidRPr="003C242B">
        <w:t>Hybrid membrane systems, such as diafiltration coupled with pervaporation, can decouple ethanol removal from aroma loss by selectively recovering and re-integrating volatile compounds into the final beer (Di Matteo et al., 2021).</w:t>
      </w:r>
    </w:p>
    <w:p w14:paraId="2F12F5B6" w14:textId="3EE72635" w:rsidR="00697FD7" w:rsidRPr="003C242B" w:rsidRDefault="00697FD7" w:rsidP="00FC388E">
      <w:pPr>
        <w:pStyle w:val="CETBodytext"/>
        <w:tabs>
          <w:tab w:val="left" w:pos="284"/>
        </w:tabs>
      </w:pPr>
      <w:r w:rsidRPr="003C242B">
        <w:t>•</w:t>
      </w:r>
      <w:r w:rsidRPr="003C242B">
        <w:tab/>
        <w:t>Biological Methods</w:t>
      </w:r>
    </w:p>
    <w:p w14:paraId="728642FE" w14:textId="1879B180" w:rsidR="007167FC" w:rsidRPr="003C242B" w:rsidRDefault="00697FD7" w:rsidP="007167FC">
      <w:pPr>
        <w:pStyle w:val="CETBodytext"/>
        <w:numPr>
          <w:ilvl w:val="0"/>
          <w:numId w:val="33"/>
        </w:numPr>
      </w:pPr>
      <w:r w:rsidRPr="003C242B">
        <w:t xml:space="preserve">Arrested Fermentation: This involves stopping the fermentation early (e.g., by chilling or modified </w:t>
      </w:r>
      <w:r w:rsidR="007167FC" w:rsidRPr="003C242B">
        <w:t>mash-</w:t>
      </w:r>
    </w:p>
    <w:p w14:paraId="05691A37" w14:textId="1CF03F53" w:rsidR="00697FD7" w:rsidRPr="003C242B" w:rsidRDefault="00697FD7" w:rsidP="007167FC">
      <w:pPr>
        <w:pStyle w:val="CETBodytext"/>
        <w:ind w:left="567"/>
      </w:pPr>
      <w:r w:rsidRPr="003C242B">
        <w:lastRenderedPageBreak/>
        <w:t>ing) to limit ethanol production. While retaining malt body, it often leaves undesirable wort-off flavors (e.g., sweet, wort</w:t>
      </w:r>
      <w:r w:rsidR="001F52FB" w:rsidRPr="003C242B">
        <w:t>-like</w:t>
      </w:r>
      <w:r w:rsidRPr="003C242B">
        <w:t>, metallic) due to high concentrations of secondary metabolites like diacetyl and acetaldehyde.</w:t>
      </w:r>
    </w:p>
    <w:p w14:paraId="2C1F7451" w14:textId="77777777" w:rsidR="00697FD7" w:rsidRPr="003C242B" w:rsidRDefault="00697FD7" w:rsidP="003326D0">
      <w:pPr>
        <w:pStyle w:val="CETBodytext"/>
        <w:ind w:left="567" w:hanging="283"/>
      </w:pPr>
      <w:r w:rsidRPr="003C242B">
        <w:t>o</w:t>
      </w:r>
      <w:r w:rsidRPr="003C242B">
        <w:tab/>
        <w:t xml:space="preserve">Special Yeast Strains: This technique utilizes specific yeast (e.g., </w:t>
      </w:r>
      <w:r w:rsidRPr="003C242B">
        <w:rPr>
          <w:i/>
          <w:iCs/>
        </w:rPr>
        <w:t>Torulaspora delbrueckii</w:t>
      </w:r>
      <w:r w:rsidRPr="003C242B">
        <w:t xml:space="preserve">, </w:t>
      </w:r>
      <w:r w:rsidRPr="003C242B">
        <w:rPr>
          <w:i/>
          <w:iCs/>
        </w:rPr>
        <w:t>Metschnikowia pulcherrima</w:t>
      </w:r>
      <w:r w:rsidRPr="003C242B">
        <w:t>) that naturally produce minimal ethanol, often by being unable to metabolize maltose (the primary wort sugar). This approach requires extensive screening and optimization to ensure consumer safety and product quality (Michel et al., 2016).</w:t>
      </w:r>
    </w:p>
    <w:p w14:paraId="4DBE1414" w14:textId="47BA1CBB" w:rsidR="00697FD7" w:rsidRPr="003C242B" w:rsidRDefault="00697FD7" w:rsidP="00697FD7">
      <w:pPr>
        <w:pStyle w:val="CETBodytext"/>
      </w:pPr>
      <w:r w:rsidRPr="003C242B">
        <w:t xml:space="preserve">To overcome the sensory limitations of traditional methods, novel approaches combining biological and physical techniques are being investigated. Kveik Voss, a traditional Norwegian farmhouse yeast, represents a promising biological tool. Genetically distinct from typical brewing </w:t>
      </w:r>
      <w:r w:rsidRPr="003C242B">
        <w:rPr>
          <w:i/>
          <w:iCs/>
        </w:rPr>
        <w:t>Saccharomyces cerevisiae</w:t>
      </w:r>
      <w:r w:rsidRPr="003C242B">
        <w:t xml:space="preserve"> (Preiss et al., 2018), Kveik Voss is highly valued because it completes fermentation at 35-40 °C in as little as 48-72 h, producing a clean beer with desirable subtle fruity/citrus (orange) notes. Its resilience to high temperatures and ethanol is linked to an increased accumulation of stress-protectant sugar, intracellular trehalose (Foster et al., 2022). This combination of high-temperature tolerance and desirable flavor makes Kveik Voss an ideal candidate for integration into systems designed for simultaneous ethanol removal.</w:t>
      </w:r>
    </w:p>
    <w:p w14:paraId="23F86FEF" w14:textId="10151624" w:rsidR="00600535" w:rsidRPr="003C242B" w:rsidRDefault="00697FD7" w:rsidP="00697FD7">
      <w:pPr>
        <w:pStyle w:val="CETBodytext"/>
      </w:pPr>
      <w:r w:rsidRPr="003C242B">
        <w:t xml:space="preserve">Building on preliminary results (Cimini et al., 2025), this study aimed to set up a 30-L vacuum fermentation system fully instrumented to perform beer fermentation at 40 °C under atmospheric versus vacuum pressure using the Kveik Voss yeast. The main goal was to compare the fermentation parameters and alcohol extraction efficiency under these two conditions for two different beer styles, ultimately working towards the production of a high-quality low-alcohol beer. </w:t>
      </w:r>
      <w:r w:rsidR="00600535" w:rsidRPr="003C242B">
        <w:t xml:space="preserve"> </w:t>
      </w:r>
    </w:p>
    <w:p w14:paraId="5741900F" w14:textId="1F8FB175" w:rsidR="00453E24" w:rsidRPr="003C242B" w:rsidRDefault="00A02CE7" w:rsidP="00A02CE7">
      <w:pPr>
        <w:pStyle w:val="CETHeading1"/>
        <w:tabs>
          <w:tab w:val="num" w:pos="360"/>
        </w:tabs>
        <w:rPr>
          <w:lang w:val="en-GB"/>
        </w:rPr>
      </w:pPr>
      <w:r w:rsidRPr="003C242B">
        <w:rPr>
          <w:lang w:val="en-GB"/>
        </w:rPr>
        <w:t xml:space="preserve">2. </w:t>
      </w:r>
      <w:r w:rsidR="003D2C5A" w:rsidRPr="003C242B">
        <w:rPr>
          <w:lang w:val="en-GB"/>
        </w:rPr>
        <w:t>Materials and Methods</w:t>
      </w:r>
    </w:p>
    <w:p w14:paraId="67B6F257" w14:textId="49ED1A02" w:rsidR="00FC388E" w:rsidRPr="003C242B" w:rsidRDefault="003D2C5A" w:rsidP="00FC388E">
      <w:pPr>
        <w:pStyle w:val="CETBodytext"/>
      </w:pPr>
      <w:r w:rsidRPr="003C242B">
        <w:t>Two wort samples were prepared (Low/High Gravity using Spraymalt Extra Light - Pinta, Marostica, Italy - and sucrose) in a 20-L deionized water base, including 20 mL of PHA Chinook Topnote hop extract (Mr. Malt</w:t>
      </w:r>
      <w:r w:rsidRPr="003C242B">
        <w:rPr>
          <w:vertAlign w:val="superscript"/>
        </w:rPr>
        <w:t>®</w:t>
      </w:r>
      <w:r w:rsidRPr="003C242B">
        <w:t>, Pasian di Prato, Italy). Ingredients were weighed using an 8-kg Kern FCB 8K0.1 balance (Kern &amp; Sohn GmbH, Balingen, Germany). The 20-L batch was boiled for 10 min in a 70-L boiling tank (Marican Sas, Langhirano, Italy), then cooled to 40 °C. Wort was transferred using a magnetic pump MP-15rm (Wenzhou Haoquan Pump Co., Zhejiang, China) to a 30-L specifically designed stainless steel fermenter. Fermentation used 0.57 g/L of Kveik Voss yeast (LalBrew Voss™, Lallemand Brewing</w:t>
      </w:r>
      <w:r w:rsidR="002A2D86">
        <w:t>,</w:t>
      </w:r>
      <w:r w:rsidRPr="003C242B">
        <w:t xml:space="preserve"> Montreal, Canada) at 40 °C under either atmospheric pressure or vacuum (~200 mbar) for controlled alcohol removal via evaporative cooling. Fig. 1 shows a schematic drawing of the beer fermentation system used in this work.</w:t>
      </w:r>
      <w:r w:rsidR="00FC388E" w:rsidRPr="003C242B">
        <w:t xml:space="preserve"> </w:t>
      </w:r>
    </w:p>
    <w:p w14:paraId="4325E526" w14:textId="77777777" w:rsidR="007716A2" w:rsidRPr="003C242B" w:rsidRDefault="007716A2" w:rsidP="007716A2">
      <w:pPr>
        <w:pStyle w:val="CETBodytext"/>
      </w:pPr>
    </w:p>
    <w:p w14:paraId="3611B02A" w14:textId="3F362458" w:rsidR="008725E8" w:rsidRPr="003C242B" w:rsidRDefault="00453E24" w:rsidP="008725E8">
      <w:pPr>
        <w:pStyle w:val="CETBodytext"/>
        <w:rPr>
          <w:rStyle w:val="CETCaptionCarattere"/>
          <w:i w:val="0"/>
          <w:lang w:val="en-US"/>
        </w:rPr>
      </w:pPr>
      <w:r w:rsidRPr="003C242B">
        <w:t xml:space="preserve"> </w:t>
      </w:r>
      <w:r w:rsidR="00DF71AD" w:rsidRPr="003C242B">
        <w:rPr>
          <w:rStyle w:val="CETCaptionCarattere"/>
          <w:i w:val="0"/>
          <w:lang w:val="en-US"/>
        </w:rPr>
        <w:object w:dxaOrig="14040" w:dyaOrig="8772" w14:anchorId="3BBAE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5pt;height:173.25pt" o:ole="">
            <v:imagedata r:id="rId10" o:title=""/>
          </v:shape>
          <o:OLEObject Type="Embed" ProgID="PBrush" ShapeID="_x0000_i1025" DrawAspect="Content" ObjectID="_1832240111" r:id="rId11"/>
        </w:object>
      </w:r>
    </w:p>
    <w:p w14:paraId="49CD772A" w14:textId="77777777" w:rsidR="00AA02F8" w:rsidRPr="003C242B" w:rsidRDefault="00492AEE" w:rsidP="008725E8">
      <w:pPr>
        <w:pStyle w:val="CETBodytext"/>
        <w:rPr>
          <w:rStyle w:val="CETCaptionCarattere"/>
          <w:lang w:val="en-US"/>
        </w:rPr>
      </w:pPr>
      <w:r w:rsidRPr="003C242B">
        <w:rPr>
          <w:rStyle w:val="CETCaptionCarattere"/>
          <w:lang w:val="en-US"/>
        </w:rPr>
        <w:t xml:space="preserve">Figure 1: </w:t>
      </w:r>
      <w:r w:rsidR="007716A2" w:rsidRPr="003C242B">
        <w:rPr>
          <w:rStyle w:val="CETCaptionCarattere"/>
          <w:lang w:val="en-US"/>
        </w:rPr>
        <w:t>Schematic drawing of the beer fermentation system under vacuum, equipped with a double pipe condenser, a vacuum pump, balance scales, and temperature (TI) and pressure (PI) monitoring and controlling sensors.</w:t>
      </w:r>
      <w:r w:rsidRPr="003C242B">
        <w:rPr>
          <w:rStyle w:val="CETCaptionCarattere"/>
          <w:lang w:val="en-US"/>
        </w:rPr>
        <w:t xml:space="preserve"> </w:t>
      </w:r>
    </w:p>
    <w:p w14:paraId="3240ACD2" w14:textId="77777777" w:rsidR="00AA02F8" w:rsidRPr="003C242B" w:rsidRDefault="00AA02F8" w:rsidP="008725E8">
      <w:pPr>
        <w:pStyle w:val="CETBodytext"/>
        <w:rPr>
          <w:rStyle w:val="CETCaptionCarattere"/>
          <w:lang w:val="en-US"/>
        </w:rPr>
      </w:pPr>
    </w:p>
    <w:p w14:paraId="18D2CD6B" w14:textId="6A614FD6" w:rsidR="00492AEE" w:rsidRPr="003C242B" w:rsidRDefault="00AA02F8" w:rsidP="008725E8">
      <w:pPr>
        <w:pStyle w:val="CETBodytext"/>
        <w:rPr>
          <w:rStyle w:val="CETCaptionCarattere"/>
          <w:lang w:val="en-US"/>
        </w:rPr>
      </w:pPr>
      <w:r w:rsidRPr="003C242B">
        <w:t>The system was built around a 30-L fermenter, equipped with a 600-W heating coil, a double pipe condenser having an inside diameter of 12 mm and a length of 0.7 m, and several monitoring instruments: Real-time density/temperature Float WiFi Hydrometer (Brewbrain BV, AL Den Haag, The Netherlands); precision density/ABV DMA 4500 M densimeter (Anton Paar Italia Srl, Rivoli, Italy); temperature sensor DS18B20 (TO-92 Type) (Analog Devices Inc., Limerick Ireland); digital (M5Stack Tube Pressure Unit U130) and analog (WIKA 232.50.063 Bourdon Tube) pressure probes; and two weighing gauges such as the distillate scale (Basic SBS-PT-40/1) and fermenter scale (SBS-PT-75C), both provided by Steinberg Systems (Berlin, Germany).</w:t>
      </w:r>
    </w:p>
    <w:p w14:paraId="5D4BEFCC" w14:textId="2A2107DA" w:rsidR="00D1130F" w:rsidRPr="003C242B" w:rsidRDefault="00A02CE7" w:rsidP="00D1130F">
      <w:pPr>
        <w:pStyle w:val="CETHeading1"/>
        <w:tabs>
          <w:tab w:val="num" w:pos="360"/>
        </w:tabs>
      </w:pPr>
      <w:r w:rsidRPr="003C242B">
        <w:lastRenderedPageBreak/>
        <w:t xml:space="preserve">3. </w:t>
      </w:r>
      <w:r w:rsidR="00D1130F" w:rsidRPr="003C242B">
        <w:t>Results and Discussions</w:t>
      </w:r>
    </w:p>
    <w:p w14:paraId="453B3AC1" w14:textId="3D5EF6B1" w:rsidR="00D1130F" w:rsidRPr="003C242B" w:rsidRDefault="00A02CE7" w:rsidP="007007EB">
      <w:pPr>
        <w:pStyle w:val="CETheadingx"/>
      </w:pPr>
      <w:r w:rsidRPr="003C242B">
        <w:t xml:space="preserve">3.1 </w:t>
      </w:r>
      <w:r w:rsidR="00B2249B" w:rsidRPr="003C242B">
        <w:t xml:space="preserve">Comparative Fermentation Performance </w:t>
      </w:r>
    </w:p>
    <w:p w14:paraId="02A5C0AA" w14:textId="26C270BA" w:rsidR="00FE137F" w:rsidRPr="003C242B" w:rsidRDefault="005F57EF" w:rsidP="00FE137F">
      <w:pPr>
        <w:pStyle w:val="CETTabletitle"/>
        <w:spacing w:before="0" w:after="0" w:line="264" w:lineRule="auto"/>
        <w:jc w:val="both"/>
        <w:rPr>
          <w:i w:val="0"/>
          <w:iCs/>
          <w:lang w:val="en-US"/>
        </w:rPr>
      </w:pPr>
      <w:r w:rsidRPr="003C242B">
        <w:rPr>
          <w:i w:val="0"/>
          <w:iCs/>
          <w:lang w:val="en-US"/>
        </w:rPr>
        <w:t xml:space="preserve">The performance of atmospheric (AP) and vacuum (UV) fermentations at ~40 °C is summarized in Table 1. </w:t>
      </w:r>
    </w:p>
    <w:p w14:paraId="5067BE3C" w14:textId="77777777" w:rsidR="00872B72" w:rsidRPr="003C242B" w:rsidRDefault="00872B72" w:rsidP="00D1130F">
      <w:pPr>
        <w:pStyle w:val="CETTabletitle"/>
        <w:spacing w:before="0" w:after="0" w:line="264" w:lineRule="auto"/>
        <w:jc w:val="both"/>
        <w:rPr>
          <w:lang w:val="en-US"/>
        </w:rPr>
      </w:pPr>
    </w:p>
    <w:p w14:paraId="1133E126" w14:textId="5A10C523" w:rsidR="002B19DF" w:rsidRPr="003C242B" w:rsidRDefault="002B19DF" w:rsidP="00D1130F">
      <w:pPr>
        <w:pStyle w:val="CETTabletitle"/>
        <w:spacing w:before="0" w:after="0" w:line="264" w:lineRule="auto"/>
        <w:jc w:val="both"/>
        <w:rPr>
          <w:lang w:val="en-US"/>
        </w:rPr>
      </w:pPr>
      <w:r w:rsidRPr="003C242B">
        <w:rPr>
          <w:lang w:val="en-US"/>
        </w:rPr>
        <w:t>Table 1: Experimental results of low-gravity (LG) and high-gravity (HG) wort fermentation under atmospheric (AP) and vacuum (UV)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6"/>
        <w:gridCol w:w="744"/>
        <w:gridCol w:w="687"/>
        <w:gridCol w:w="474"/>
        <w:gridCol w:w="474"/>
        <w:gridCol w:w="587"/>
        <w:gridCol w:w="482"/>
        <w:gridCol w:w="712"/>
        <w:gridCol w:w="564"/>
        <w:gridCol w:w="531"/>
        <w:gridCol w:w="571"/>
        <w:gridCol w:w="364"/>
        <w:gridCol w:w="608"/>
        <w:gridCol w:w="474"/>
        <w:gridCol w:w="569"/>
      </w:tblGrid>
      <w:tr w:rsidR="0077518A" w:rsidRPr="003C242B" w14:paraId="5ACB68E8" w14:textId="77777777" w:rsidTr="0077518A">
        <w:trPr>
          <w:trHeight w:val="20"/>
        </w:trPr>
        <w:tc>
          <w:tcPr>
            <w:tcW w:w="538" w:type="pct"/>
            <w:tcBorders>
              <w:top w:val="single" w:sz="12" w:space="0" w:color="C0504D" w:themeColor="accent2"/>
              <w:left w:val="nil"/>
              <w:bottom w:val="nil"/>
              <w:right w:val="nil"/>
            </w:tcBorders>
            <w:hideMark/>
          </w:tcPr>
          <w:p w14:paraId="18970A7D" w14:textId="77777777" w:rsidR="0057310D" w:rsidRPr="003C242B" w:rsidRDefault="0057310D" w:rsidP="0057310D">
            <w:pPr>
              <w:pStyle w:val="CETBodytext"/>
              <w:rPr>
                <w:rFonts w:cs="Arial"/>
                <w:b/>
                <w:bCs/>
                <w:szCs w:val="18"/>
              </w:rPr>
            </w:pPr>
            <w:r w:rsidRPr="003C242B">
              <w:rPr>
                <w:rFonts w:cs="Arial"/>
                <w:b/>
                <w:bCs/>
                <w:szCs w:val="18"/>
              </w:rPr>
              <w:t>Run no.</w:t>
            </w:r>
          </w:p>
        </w:tc>
        <w:tc>
          <w:tcPr>
            <w:tcW w:w="423" w:type="pct"/>
            <w:tcBorders>
              <w:top w:val="single" w:sz="12" w:space="0" w:color="C0504D" w:themeColor="accent2"/>
              <w:left w:val="nil"/>
              <w:bottom w:val="nil"/>
              <w:right w:val="nil"/>
            </w:tcBorders>
            <w:hideMark/>
          </w:tcPr>
          <w:p w14:paraId="757A1873" w14:textId="77777777" w:rsidR="0057310D" w:rsidRPr="003C242B" w:rsidRDefault="0057310D" w:rsidP="0077518A">
            <w:pPr>
              <w:pStyle w:val="CETBodytext"/>
              <w:jc w:val="center"/>
              <w:rPr>
                <w:rFonts w:cs="Arial"/>
                <w:b/>
                <w:bCs/>
                <w:szCs w:val="18"/>
              </w:rPr>
            </w:pPr>
            <w:r w:rsidRPr="003C242B">
              <w:rPr>
                <w:rFonts w:cs="Arial"/>
                <w:b/>
                <w:bCs/>
                <w:szCs w:val="18"/>
              </w:rPr>
              <w:t>T</w:t>
            </w:r>
            <w:r w:rsidRPr="003C242B">
              <w:rPr>
                <w:rFonts w:cs="Arial"/>
                <w:b/>
                <w:bCs/>
                <w:szCs w:val="18"/>
                <w:vertAlign w:val="subscript"/>
              </w:rPr>
              <w:t>F</w:t>
            </w:r>
          </w:p>
        </w:tc>
        <w:tc>
          <w:tcPr>
            <w:tcW w:w="391" w:type="pct"/>
            <w:tcBorders>
              <w:top w:val="single" w:sz="12" w:space="0" w:color="C0504D" w:themeColor="accent2"/>
              <w:left w:val="nil"/>
              <w:bottom w:val="nil"/>
              <w:right w:val="nil"/>
            </w:tcBorders>
            <w:hideMark/>
          </w:tcPr>
          <w:p w14:paraId="6808F913" w14:textId="77777777" w:rsidR="0057310D" w:rsidRPr="003C242B" w:rsidRDefault="0057310D" w:rsidP="0077518A">
            <w:pPr>
              <w:pStyle w:val="CETBodytext"/>
              <w:jc w:val="center"/>
              <w:rPr>
                <w:rFonts w:cs="Arial"/>
                <w:b/>
                <w:bCs/>
                <w:szCs w:val="18"/>
              </w:rPr>
            </w:pPr>
            <w:r w:rsidRPr="003C242B">
              <w:rPr>
                <w:rFonts w:cs="Arial"/>
                <w:b/>
                <w:bCs/>
                <w:szCs w:val="18"/>
              </w:rPr>
              <w:t>P</w:t>
            </w:r>
            <w:r w:rsidRPr="003C242B">
              <w:rPr>
                <w:rFonts w:cs="Arial"/>
                <w:b/>
                <w:bCs/>
                <w:szCs w:val="18"/>
                <w:vertAlign w:val="subscript"/>
              </w:rPr>
              <w:t>F</w:t>
            </w:r>
          </w:p>
        </w:tc>
        <w:tc>
          <w:tcPr>
            <w:tcW w:w="270" w:type="pct"/>
            <w:tcBorders>
              <w:top w:val="single" w:sz="12" w:space="0" w:color="C0504D" w:themeColor="accent2"/>
              <w:left w:val="nil"/>
              <w:bottom w:val="nil"/>
              <w:right w:val="nil"/>
            </w:tcBorders>
            <w:hideMark/>
          </w:tcPr>
          <w:p w14:paraId="3B482D23" w14:textId="77777777" w:rsidR="0057310D" w:rsidRPr="003C242B" w:rsidRDefault="0057310D" w:rsidP="0077518A">
            <w:pPr>
              <w:pStyle w:val="CETBodytext"/>
              <w:jc w:val="center"/>
              <w:rPr>
                <w:rFonts w:cs="Arial"/>
                <w:b/>
                <w:bCs/>
                <w:szCs w:val="18"/>
              </w:rPr>
            </w:pPr>
            <w:r w:rsidRPr="003C242B">
              <w:rPr>
                <w:rFonts w:ascii="Symbol" w:hAnsi="Symbol" w:cs="Arial"/>
                <w:b/>
                <w:bCs/>
                <w:szCs w:val="18"/>
              </w:rPr>
              <w:t>r</w:t>
            </w:r>
            <w:r w:rsidRPr="003C242B">
              <w:rPr>
                <w:rFonts w:cs="Arial"/>
                <w:b/>
                <w:bCs/>
                <w:szCs w:val="18"/>
                <w:vertAlign w:val="subscript"/>
              </w:rPr>
              <w:t>rB0</w:t>
            </w:r>
          </w:p>
        </w:tc>
        <w:tc>
          <w:tcPr>
            <w:tcW w:w="270" w:type="pct"/>
            <w:tcBorders>
              <w:top w:val="single" w:sz="12" w:space="0" w:color="C0504D" w:themeColor="accent2"/>
              <w:left w:val="nil"/>
              <w:bottom w:val="nil"/>
              <w:right w:val="nil"/>
            </w:tcBorders>
            <w:noWrap/>
            <w:hideMark/>
          </w:tcPr>
          <w:p w14:paraId="5AF86C62" w14:textId="77777777" w:rsidR="0057310D" w:rsidRPr="003C242B" w:rsidRDefault="0057310D" w:rsidP="0077518A">
            <w:pPr>
              <w:pStyle w:val="CETBodytext"/>
              <w:jc w:val="center"/>
              <w:rPr>
                <w:rFonts w:cs="Arial"/>
                <w:b/>
                <w:bCs/>
                <w:szCs w:val="18"/>
              </w:rPr>
            </w:pPr>
            <w:r w:rsidRPr="003C242B">
              <w:rPr>
                <w:rFonts w:cs="Arial"/>
                <w:b/>
                <w:bCs/>
                <w:szCs w:val="18"/>
              </w:rPr>
              <w:t>ER</w:t>
            </w:r>
            <w:r w:rsidRPr="003C242B">
              <w:rPr>
                <w:rFonts w:cs="Arial"/>
                <w:b/>
                <w:bCs/>
                <w:szCs w:val="18"/>
                <w:vertAlign w:val="subscript"/>
              </w:rPr>
              <w:t>0</w:t>
            </w:r>
          </w:p>
        </w:tc>
        <w:tc>
          <w:tcPr>
            <w:tcW w:w="334" w:type="pct"/>
            <w:tcBorders>
              <w:top w:val="single" w:sz="12" w:space="0" w:color="C0504D" w:themeColor="accent2"/>
              <w:left w:val="nil"/>
              <w:bottom w:val="nil"/>
              <w:right w:val="nil"/>
            </w:tcBorders>
            <w:noWrap/>
            <w:hideMark/>
          </w:tcPr>
          <w:p w14:paraId="0762CF2F" w14:textId="77777777" w:rsidR="0057310D" w:rsidRPr="003C242B" w:rsidRDefault="0057310D" w:rsidP="0077518A">
            <w:pPr>
              <w:pStyle w:val="CETBodytext"/>
              <w:jc w:val="center"/>
              <w:rPr>
                <w:rFonts w:cs="Arial"/>
                <w:b/>
                <w:bCs/>
                <w:szCs w:val="18"/>
              </w:rPr>
            </w:pPr>
            <w:r w:rsidRPr="003C242B">
              <w:rPr>
                <w:rFonts w:cs="Arial"/>
                <w:b/>
                <w:bCs/>
                <w:szCs w:val="18"/>
              </w:rPr>
              <w:t>S</w:t>
            </w:r>
            <w:r w:rsidRPr="003C242B">
              <w:rPr>
                <w:rFonts w:cs="Arial"/>
                <w:b/>
                <w:bCs/>
                <w:szCs w:val="18"/>
                <w:vertAlign w:val="subscript"/>
              </w:rPr>
              <w:t>0</w:t>
            </w:r>
          </w:p>
        </w:tc>
        <w:tc>
          <w:tcPr>
            <w:tcW w:w="274" w:type="pct"/>
            <w:tcBorders>
              <w:top w:val="single" w:sz="12" w:space="0" w:color="C0504D" w:themeColor="accent2"/>
              <w:left w:val="nil"/>
              <w:bottom w:val="nil"/>
              <w:right w:val="nil"/>
            </w:tcBorders>
            <w:hideMark/>
          </w:tcPr>
          <w:p w14:paraId="74B300E8" w14:textId="77777777" w:rsidR="0057310D" w:rsidRPr="003C242B" w:rsidRDefault="0057310D" w:rsidP="0077518A">
            <w:pPr>
              <w:pStyle w:val="CETBodytext"/>
              <w:jc w:val="center"/>
              <w:rPr>
                <w:rFonts w:cs="Arial"/>
                <w:b/>
                <w:bCs/>
                <w:szCs w:val="18"/>
              </w:rPr>
            </w:pPr>
            <w:r w:rsidRPr="003C242B">
              <w:rPr>
                <w:rFonts w:cs="Arial"/>
                <w:b/>
                <w:bCs/>
                <w:szCs w:val="18"/>
              </w:rPr>
              <w:t>t</w:t>
            </w:r>
            <w:r w:rsidRPr="003C242B">
              <w:rPr>
                <w:rFonts w:cs="Arial"/>
                <w:b/>
                <w:bCs/>
                <w:szCs w:val="18"/>
                <w:vertAlign w:val="subscript"/>
              </w:rPr>
              <w:t>f</w:t>
            </w:r>
          </w:p>
        </w:tc>
        <w:tc>
          <w:tcPr>
            <w:tcW w:w="405" w:type="pct"/>
            <w:tcBorders>
              <w:top w:val="single" w:sz="12" w:space="0" w:color="C0504D" w:themeColor="accent2"/>
              <w:left w:val="nil"/>
              <w:bottom w:val="nil"/>
              <w:right w:val="nil"/>
            </w:tcBorders>
            <w:noWrap/>
            <w:hideMark/>
          </w:tcPr>
          <w:p w14:paraId="1236C563" w14:textId="77777777" w:rsidR="0057310D" w:rsidRPr="003C242B" w:rsidRDefault="0057310D" w:rsidP="0077518A">
            <w:pPr>
              <w:pStyle w:val="CETBodytext"/>
              <w:jc w:val="center"/>
              <w:rPr>
                <w:rFonts w:cs="Arial"/>
                <w:b/>
                <w:bCs/>
                <w:szCs w:val="18"/>
              </w:rPr>
            </w:pPr>
            <w:r w:rsidRPr="003C242B">
              <w:rPr>
                <w:rFonts w:ascii="Symbol" w:hAnsi="Symbol" w:cs="Arial"/>
                <w:b/>
                <w:bCs/>
                <w:szCs w:val="18"/>
              </w:rPr>
              <w:t>r</w:t>
            </w:r>
            <w:r w:rsidRPr="003C242B">
              <w:rPr>
                <w:rFonts w:cs="Arial"/>
                <w:b/>
                <w:bCs/>
                <w:szCs w:val="18"/>
                <w:vertAlign w:val="subscript"/>
              </w:rPr>
              <w:t>rBf</w:t>
            </w:r>
          </w:p>
        </w:tc>
        <w:tc>
          <w:tcPr>
            <w:tcW w:w="321" w:type="pct"/>
            <w:tcBorders>
              <w:top w:val="single" w:sz="12" w:space="0" w:color="C0504D" w:themeColor="accent2"/>
              <w:left w:val="nil"/>
              <w:bottom w:val="nil"/>
              <w:right w:val="nil"/>
            </w:tcBorders>
            <w:hideMark/>
          </w:tcPr>
          <w:p w14:paraId="5A3F193E" w14:textId="77777777" w:rsidR="0057310D" w:rsidRPr="003C242B" w:rsidRDefault="0057310D" w:rsidP="0077518A">
            <w:pPr>
              <w:pStyle w:val="CETBodytext"/>
              <w:jc w:val="center"/>
              <w:rPr>
                <w:rFonts w:cs="Arial"/>
                <w:b/>
                <w:bCs/>
                <w:szCs w:val="18"/>
              </w:rPr>
            </w:pPr>
            <w:r w:rsidRPr="003C242B">
              <w:rPr>
                <w:rFonts w:cs="Arial"/>
                <w:b/>
                <w:bCs/>
                <w:szCs w:val="18"/>
              </w:rPr>
              <w:t>ER</w:t>
            </w:r>
            <w:r w:rsidRPr="003C242B">
              <w:rPr>
                <w:rFonts w:cs="Arial"/>
                <w:b/>
                <w:bCs/>
                <w:szCs w:val="18"/>
                <w:vertAlign w:val="subscript"/>
              </w:rPr>
              <w:t>f</w:t>
            </w:r>
          </w:p>
        </w:tc>
        <w:tc>
          <w:tcPr>
            <w:tcW w:w="302" w:type="pct"/>
            <w:tcBorders>
              <w:top w:val="single" w:sz="12" w:space="0" w:color="C0504D" w:themeColor="accent2"/>
              <w:left w:val="nil"/>
              <w:bottom w:val="nil"/>
              <w:right w:val="nil"/>
            </w:tcBorders>
            <w:noWrap/>
            <w:hideMark/>
          </w:tcPr>
          <w:p w14:paraId="41B834CB" w14:textId="77777777" w:rsidR="0057310D" w:rsidRPr="003C242B" w:rsidRDefault="0057310D" w:rsidP="0077518A">
            <w:pPr>
              <w:pStyle w:val="CETBodytext"/>
              <w:jc w:val="center"/>
              <w:rPr>
                <w:rFonts w:cs="Arial"/>
                <w:b/>
                <w:bCs/>
                <w:szCs w:val="18"/>
              </w:rPr>
            </w:pPr>
            <w:r w:rsidRPr="003C242B">
              <w:rPr>
                <w:rFonts w:cs="Arial"/>
                <w:b/>
                <w:bCs/>
                <w:szCs w:val="18"/>
              </w:rPr>
              <w:t>S</w:t>
            </w:r>
            <w:r w:rsidRPr="003C242B">
              <w:rPr>
                <w:rFonts w:cs="Arial"/>
                <w:b/>
                <w:bCs/>
                <w:szCs w:val="18"/>
                <w:vertAlign w:val="subscript"/>
              </w:rPr>
              <w:t>f</w:t>
            </w:r>
          </w:p>
        </w:tc>
        <w:tc>
          <w:tcPr>
            <w:tcW w:w="325" w:type="pct"/>
            <w:tcBorders>
              <w:top w:val="single" w:sz="12" w:space="0" w:color="C0504D" w:themeColor="accent2"/>
              <w:left w:val="nil"/>
              <w:bottom w:val="nil"/>
              <w:right w:val="nil"/>
            </w:tcBorders>
            <w:hideMark/>
          </w:tcPr>
          <w:p w14:paraId="52CE1E58" w14:textId="77777777" w:rsidR="0057310D" w:rsidRPr="003C242B" w:rsidRDefault="0057310D" w:rsidP="0077518A">
            <w:pPr>
              <w:pStyle w:val="CETBodytext"/>
              <w:jc w:val="center"/>
              <w:rPr>
                <w:rFonts w:cs="Arial"/>
                <w:b/>
                <w:bCs/>
                <w:szCs w:val="18"/>
              </w:rPr>
            </w:pPr>
            <w:r w:rsidRPr="003C242B">
              <w:rPr>
                <w:rFonts w:cs="Arial"/>
                <w:b/>
                <w:bCs/>
                <w:szCs w:val="18"/>
              </w:rPr>
              <w:t>E</w:t>
            </w:r>
            <w:r w:rsidRPr="003C242B">
              <w:rPr>
                <w:rFonts w:cs="Arial"/>
                <w:b/>
                <w:bCs/>
                <w:szCs w:val="18"/>
                <w:vertAlign w:val="subscript"/>
              </w:rPr>
              <w:t>f</w:t>
            </w:r>
          </w:p>
        </w:tc>
        <w:tc>
          <w:tcPr>
            <w:tcW w:w="207" w:type="pct"/>
            <w:tcBorders>
              <w:top w:val="single" w:sz="12" w:space="0" w:color="C0504D" w:themeColor="accent2"/>
              <w:left w:val="nil"/>
              <w:bottom w:val="nil"/>
              <w:right w:val="nil"/>
            </w:tcBorders>
            <w:hideMark/>
          </w:tcPr>
          <w:p w14:paraId="486F0490" w14:textId="77777777" w:rsidR="0057310D" w:rsidRPr="003C242B" w:rsidRDefault="0057310D" w:rsidP="0077518A">
            <w:pPr>
              <w:pStyle w:val="CETBodytext"/>
              <w:jc w:val="center"/>
              <w:rPr>
                <w:rFonts w:cs="Arial"/>
                <w:b/>
                <w:bCs/>
                <w:szCs w:val="18"/>
              </w:rPr>
            </w:pPr>
            <w:r w:rsidRPr="003C242B">
              <w:rPr>
                <w:rFonts w:cs="Arial"/>
                <w:b/>
                <w:bCs/>
                <w:szCs w:val="18"/>
              </w:rPr>
              <w:t>M</w:t>
            </w:r>
            <w:r w:rsidRPr="003C242B">
              <w:rPr>
                <w:rFonts w:cs="Arial"/>
                <w:b/>
                <w:bCs/>
                <w:szCs w:val="18"/>
                <w:vertAlign w:val="subscript"/>
              </w:rPr>
              <w:t>Cf</w:t>
            </w:r>
          </w:p>
        </w:tc>
        <w:tc>
          <w:tcPr>
            <w:tcW w:w="346" w:type="pct"/>
            <w:tcBorders>
              <w:top w:val="single" w:sz="12" w:space="0" w:color="C0504D" w:themeColor="accent2"/>
              <w:left w:val="nil"/>
              <w:bottom w:val="nil"/>
              <w:right w:val="nil"/>
            </w:tcBorders>
            <w:hideMark/>
          </w:tcPr>
          <w:p w14:paraId="660EE60C" w14:textId="77777777" w:rsidR="0057310D" w:rsidRPr="003C242B" w:rsidRDefault="0057310D" w:rsidP="0077518A">
            <w:pPr>
              <w:pStyle w:val="CETBodytext"/>
              <w:jc w:val="center"/>
              <w:rPr>
                <w:rFonts w:cs="Arial"/>
                <w:b/>
                <w:bCs/>
                <w:szCs w:val="18"/>
              </w:rPr>
            </w:pPr>
            <w:r w:rsidRPr="003C242B">
              <w:rPr>
                <w:rFonts w:cs="Arial"/>
                <w:b/>
                <w:bCs/>
                <w:szCs w:val="18"/>
              </w:rPr>
              <w:t>E</w:t>
            </w:r>
            <w:r w:rsidRPr="003C242B">
              <w:rPr>
                <w:rFonts w:cs="Arial"/>
                <w:b/>
                <w:bCs/>
                <w:szCs w:val="18"/>
                <w:vertAlign w:val="subscript"/>
              </w:rPr>
              <w:t>Cf</w:t>
            </w:r>
          </w:p>
        </w:tc>
        <w:tc>
          <w:tcPr>
            <w:tcW w:w="270" w:type="pct"/>
            <w:tcBorders>
              <w:top w:val="single" w:sz="12" w:space="0" w:color="C0504D" w:themeColor="accent2"/>
              <w:left w:val="nil"/>
              <w:bottom w:val="nil"/>
              <w:right w:val="nil"/>
            </w:tcBorders>
            <w:hideMark/>
          </w:tcPr>
          <w:p w14:paraId="649C3D1D" w14:textId="77777777" w:rsidR="0057310D" w:rsidRPr="003C242B" w:rsidRDefault="0057310D" w:rsidP="0077518A">
            <w:pPr>
              <w:pStyle w:val="CETBodytext"/>
              <w:jc w:val="center"/>
              <w:rPr>
                <w:rFonts w:cs="Arial"/>
                <w:b/>
                <w:bCs/>
                <w:szCs w:val="18"/>
              </w:rPr>
            </w:pPr>
            <w:r w:rsidRPr="003C242B">
              <w:rPr>
                <w:rFonts w:cs="Arial"/>
                <w:b/>
                <w:bCs/>
                <w:szCs w:val="18"/>
              </w:rPr>
              <w:t>M</w:t>
            </w:r>
            <w:r w:rsidRPr="003C242B">
              <w:rPr>
                <w:rFonts w:cs="Arial"/>
                <w:b/>
                <w:bCs/>
                <w:szCs w:val="18"/>
                <w:vertAlign w:val="subscript"/>
              </w:rPr>
              <w:t>E,Cf</w:t>
            </w:r>
          </w:p>
        </w:tc>
        <w:tc>
          <w:tcPr>
            <w:tcW w:w="324" w:type="pct"/>
            <w:tcBorders>
              <w:top w:val="single" w:sz="12" w:space="0" w:color="C0504D" w:themeColor="accent2"/>
              <w:left w:val="nil"/>
              <w:bottom w:val="nil"/>
              <w:right w:val="nil"/>
            </w:tcBorders>
            <w:hideMark/>
          </w:tcPr>
          <w:p w14:paraId="58E16ACF" w14:textId="77777777" w:rsidR="0057310D" w:rsidRPr="003C242B" w:rsidRDefault="0057310D" w:rsidP="0077518A">
            <w:pPr>
              <w:pStyle w:val="CETBodytext"/>
              <w:jc w:val="center"/>
              <w:rPr>
                <w:rFonts w:cs="Arial"/>
                <w:b/>
                <w:bCs/>
                <w:szCs w:val="18"/>
              </w:rPr>
            </w:pPr>
            <w:r w:rsidRPr="003C242B">
              <w:rPr>
                <w:rFonts w:cs="Arial"/>
                <w:b/>
                <w:bCs/>
                <w:szCs w:val="18"/>
              </w:rPr>
              <w:t>M</w:t>
            </w:r>
            <w:r w:rsidRPr="003C242B">
              <w:rPr>
                <w:rFonts w:cs="Arial"/>
                <w:b/>
                <w:bCs/>
                <w:szCs w:val="18"/>
                <w:vertAlign w:val="subscript"/>
              </w:rPr>
              <w:t>ET</w:t>
            </w:r>
          </w:p>
        </w:tc>
      </w:tr>
      <w:tr w:rsidR="0077518A" w:rsidRPr="003C242B" w14:paraId="789EB7FA" w14:textId="77777777" w:rsidTr="0077518A">
        <w:trPr>
          <w:trHeight w:val="20"/>
        </w:trPr>
        <w:tc>
          <w:tcPr>
            <w:tcW w:w="538" w:type="pct"/>
            <w:tcBorders>
              <w:top w:val="nil"/>
              <w:left w:val="nil"/>
              <w:bottom w:val="single" w:sz="12" w:space="0" w:color="C0504D" w:themeColor="accent2"/>
              <w:right w:val="nil"/>
            </w:tcBorders>
          </w:tcPr>
          <w:p w14:paraId="488460BA" w14:textId="77777777" w:rsidR="0057310D" w:rsidRPr="003C242B" w:rsidRDefault="0057310D" w:rsidP="0057310D">
            <w:pPr>
              <w:pStyle w:val="CETBodytext"/>
              <w:rPr>
                <w:rFonts w:cs="Arial"/>
                <w:b/>
                <w:bCs/>
                <w:szCs w:val="18"/>
              </w:rPr>
            </w:pPr>
          </w:p>
        </w:tc>
        <w:tc>
          <w:tcPr>
            <w:tcW w:w="423" w:type="pct"/>
            <w:tcBorders>
              <w:top w:val="nil"/>
              <w:left w:val="nil"/>
              <w:bottom w:val="single" w:sz="12" w:space="0" w:color="C0504D" w:themeColor="accent2"/>
              <w:right w:val="nil"/>
            </w:tcBorders>
            <w:hideMark/>
          </w:tcPr>
          <w:p w14:paraId="197F8E3F" w14:textId="77777777" w:rsidR="0057310D" w:rsidRPr="003C242B" w:rsidRDefault="0057310D" w:rsidP="0077518A">
            <w:pPr>
              <w:pStyle w:val="CETBodytext"/>
              <w:jc w:val="center"/>
              <w:rPr>
                <w:rFonts w:cs="Arial"/>
                <w:szCs w:val="18"/>
              </w:rPr>
            </w:pPr>
            <w:r w:rsidRPr="003C242B">
              <w:rPr>
                <w:rFonts w:cs="Arial"/>
                <w:szCs w:val="18"/>
              </w:rPr>
              <w:t>[°C]</w:t>
            </w:r>
          </w:p>
        </w:tc>
        <w:tc>
          <w:tcPr>
            <w:tcW w:w="391" w:type="pct"/>
            <w:tcBorders>
              <w:top w:val="nil"/>
              <w:left w:val="nil"/>
              <w:bottom w:val="single" w:sz="12" w:space="0" w:color="C0504D" w:themeColor="accent2"/>
              <w:right w:val="nil"/>
            </w:tcBorders>
            <w:hideMark/>
          </w:tcPr>
          <w:p w14:paraId="4D80D616" w14:textId="77777777" w:rsidR="0057310D" w:rsidRPr="003C242B" w:rsidRDefault="0057310D" w:rsidP="0077518A">
            <w:pPr>
              <w:pStyle w:val="CETBodytext"/>
              <w:jc w:val="center"/>
              <w:rPr>
                <w:rFonts w:cs="Arial"/>
                <w:szCs w:val="18"/>
              </w:rPr>
            </w:pPr>
            <w:r w:rsidRPr="003C242B">
              <w:rPr>
                <w:rFonts w:cs="Arial"/>
                <w:szCs w:val="18"/>
              </w:rPr>
              <w:t>[mbar]</w:t>
            </w:r>
          </w:p>
        </w:tc>
        <w:tc>
          <w:tcPr>
            <w:tcW w:w="270" w:type="pct"/>
            <w:tcBorders>
              <w:top w:val="nil"/>
              <w:left w:val="nil"/>
              <w:bottom w:val="single" w:sz="12" w:space="0" w:color="C0504D" w:themeColor="accent2"/>
              <w:right w:val="nil"/>
            </w:tcBorders>
            <w:hideMark/>
          </w:tcPr>
          <w:p w14:paraId="62A1E39B" w14:textId="77777777" w:rsidR="0057310D" w:rsidRPr="003C242B" w:rsidRDefault="0057310D" w:rsidP="0077518A">
            <w:pPr>
              <w:pStyle w:val="CETBodytext"/>
              <w:jc w:val="center"/>
              <w:rPr>
                <w:rFonts w:cs="Arial"/>
                <w:szCs w:val="18"/>
              </w:rPr>
            </w:pPr>
            <w:r w:rsidRPr="003C242B">
              <w:rPr>
                <w:rFonts w:cs="Arial"/>
                <w:szCs w:val="18"/>
              </w:rPr>
              <w:t>[-]</w:t>
            </w:r>
          </w:p>
        </w:tc>
        <w:tc>
          <w:tcPr>
            <w:tcW w:w="270" w:type="pct"/>
            <w:tcBorders>
              <w:top w:val="nil"/>
              <w:left w:val="nil"/>
              <w:bottom w:val="single" w:sz="12" w:space="0" w:color="C0504D" w:themeColor="accent2"/>
              <w:right w:val="nil"/>
            </w:tcBorders>
            <w:noWrap/>
            <w:hideMark/>
          </w:tcPr>
          <w:p w14:paraId="77A59470" w14:textId="77777777" w:rsidR="0057310D" w:rsidRPr="003C242B" w:rsidRDefault="0057310D" w:rsidP="0077518A">
            <w:pPr>
              <w:pStyle w:val="CETBodytext"/>
              <w:jc w:val="center"/>
              <w:rPr>
                <w:rFonts w:cs="Arial"/>
                <w:szCs w:val="18"/>
              </w:rPr>
            </w:pPr>
            <w:r w:rsidRPr="003C242B">
              <w:rPr>
                <w:rFonts w:cs="Arial"/>
                <w:szCs w:val="18"/>
              </w:rPr>
              <w:t>[g/L]</w:t>
            </w:r>
          </w:p>
        </w:tc>
        <w:tc>
          <w:tcPr>
            <w:tcW w:w="334" w:type="pct"/>
            <w:tcBorders>
              <w:top w:val="nil"/>
              <w:left w:val="nil"/>
              <w:bottom w:val="single" w:sz="12" w:space="0" w:color="C0504D" w:themeColor="accent2"/>
              <w:right w:val="nil"/>
            </w:tcBorders>
            <w:noWrap/>
            <w:hideMark/>
          </w:tcPr>
          <w:p w14:paraId="263C7271" w14:textId="77777777" w:rsidR="0057310D" w:rsidRPr="003C242B" w:rsidRDefault="0057310D" w:rsidP="0077518A">
            <w:pPr>
              <w:pStyle w:val="CETBodytext"/>
              <w:jc w:val="center"/>
              <w:rPr>
                <w:rFonts w:cs="Arial"/>
                <w:szCs w:val="18"/>
              </w:rPr>
            </w:pPr>
            <w:r w:rsidRPr="003C242B">
              <w:rPr>
                <w:rFonts w:cs="Arial"/>
                <w:szCs w:val="18"/>
              </w:rPr>
              <w:t>[°Brix]</w:t>
            </w:r>
          </w:p>
        </w:tc>
        <w:tc>
          <w:tcPr>
            <w:tcW w:w="274" w:type="pct"/>
            <w:tcBorders>
              <w:top w:val="nil"/>
              <w:left w:val="nil"/>
              <w:bottom w:val="single" w:sz="12" w:space="0" w:color="C0504D" w:themeColor="accent2"/>
              <w:right w:val="nil"/>
            </w:tcBorders>
            <w:hideMark/>
          </w:tcPr>
          <w:p w14:paraId="77FF264C" w14:textId="77777777" w:rsidR="0057310D" w:rsidRPr="003C242B" w:rsidRDefault="0057310D" w:rsidP="0077518A">
            <w:pPr>
              <w:pStyle w:val="CETBodytext"/>
              <w:jc w:val="center"/>
              <w:rPr>
                <w:rFonts w:cs="Arial"/>
                <w:szCs w:val="18"/>
              </w:rPr>
            </w:pPr>
            <w:r w:rsidRPr="003C242B">
              <w:rPr>
                <w:rFonts w:cs="Arial"/>
                <w:szCs w:val="18"/>
              </w:rPr>
              <w:t>[h]</w:t>
            </w:r>
          </w:p>
        </w:tc>
        <w:tc>
          <w:tcPr>
            <w:tcW w:w="405" w:type="pct"/>
            <w:tcBorders>
              <w:top w:val="nil"/>
              <w:left w:val="nil"/>
              <w:bottom w:val="single" w:sz="12" w:space="0" w:color="C0504D" w:themeColor="accent2"/>
              <w:right w:val="nil"/>
            </w:tcBorders>
            <w:noWrap/>
            <w:hideMark/>
          </w:tcPr>
          <w:p w14:paraId="126D3C3B" w14:textId="77777777" w:rsidR="0057310D" w:rsidRPr="003C242B" w:rsidRDefault="0057310D" w:rsidP="0077518A">
            <w:pPr>
              <w:pStyle w:val="CETBodytext"/>
              <w:jc w:val="center"/>
              <w:rPr>
                <w:rFonts w:cs="Arial"/>
                <w:szCs w:val="18"/>
              </w:rPr>
            </w:pPr>
            <w:r w:rsidRPr="003C242B">
              <w:rPr>
                <w:rFonts w:cs="Arial"/>
                <w:szCs w:val="18"/>
              </w:rPr>
              <w:t>[-]</w:t>
            </w:r>
          </w:p>
        </w:tc>
        <w:tc>
          <w:tcPr>
            <w:tcW w:w="321" w:type="pct"/>
            <w:tcBorders>
              <w:top w:val="nil"/>
              <w:left w:val="nil"/>
              <w:bottom w:val="single" w:sz="12" w:space="0" w:color="C0504D" w:themeColor="accent2"/>
              <w:right w:val="nil"/>
            </w:tcBorders>
            <w:hideMark/>
          </w:tcPr>
          <w:p w14:paraId="03AC5869" w14:textId="77777777" w:rsidR="0057310D" w:rsidRPr="003C242B" w:rsidRDefault="0057310D" w:rsidP="0077518A">
            <w:pPr>
              <w:pStyle w:val="CETBodytext"/>
              <w:jc w:val="center"/>
              <w:rPr>
                <w:rFonts w:cs="Arial"/>
                <w:szCs w:val="18"/>
              </w:rPr>
            </w:pPr>
            <w:r w:rsidRPr="003C242B">
              <w:rPr>
                <w:rFonts w:cs="Arial"/>
                <w:szCs w:val="18"/>
              </w:rPr>
              <w:t>[g/L]</w:t>
            </w:r>
          </w:p>
        </w:tc>
        <w:tc>
          <w:tcPr>
            <w:tcW w:w="302" w:type="pct"/>
            <w:tcBorders>
              <w:top w:val="nil"/>
              <w:left w:val="nil"/>
              <w:bottom w:val="single" w:sz="12" w:space="0" w:color="C0504D" w:themeColor="accent2"/>
              <w:right w:val="nil"/>
            </w:tcBorders>
            <w:noWrap/>
            <w:hideMark/>
          </w:tcPr>
          <w:p w14:paraId="05C877BC" w14:textId="77777777" w:rsidR="0057310D" w:rsidRPr="003C242B" w:rsidRDefault="0057310D" w:rsidP="0077518A">
            <w:pPr>
              <w:pStyle w:val="CETBodytext"/>
              <w:jc w:val="center"/>
              <w:rPr>
                <w:rFonts w:cs="Arial"/>
                <w:szCs w:val="18"/>
              </w:rPr>
            </w:pPr>
            <w:r w:rsidRPr="003C242B">
              <w:rPr>
                <w:rFonts w:cs="Arial"/>
                <w:szCs w:val="18"/>
              </w:rPr>
              <w:t>[°Brix]</w:t>
            </w:r>
          </w:p>
        </w:tc>
        <w:tc>
          <w:tcPr>
            <w:tcW w:w="325" w:type="pct"/>
            <w:tcBorders>
              <w:top w:val="nil"/>
              <w:left w:val="nil"/>
              <w:bottom w:val="single" w:sz="12" w:space="0" w:color="C0504D" w:themeColor="accent2"/>
              <w:right w:val="nil"/>
            </w:tcBorders>
            <w:hideMark/>
          </w:tcPr>
          <w:p w14:paraId="76A614A0" w14:textId="77777777" w:rsidR="0057310D" w:rsidRPr="003C242B" w:rsidRDefault="0057310D" w:rsidP="0077518A">
            <w:pPr>
              <w:pStyle w:val="CETBodytext"/>
              <w:jc w:val="center"/>
              <w:rPr>
                <w:rFonts w:cs="Arial"/>
                <w:szCs w:val="18"/>
              </w:rPr>
            </w:pPr>
            <w:r w:rsidRPr="003C242B">
              <w:rPr>
                <w:rFonts w:cs="Arial"/>
                <w:szCs w:val="18"/>
              </w:rPr>
              <w:t>[%v/v]</w:t>
            </w:r>
          </w:p>
        </w:tc>
        <w:tc>
          <w:tcPr>
            <w:tcW w:w="207" w:type="pct"/>
            <w:tcBorders>
              <w:top w:val="nil"/>
              <w:left w:val="nil"/>
              <w:bottom w:val="single" w:sz="12" w:space="0" w:color="C0504D" w:themeColor="accent2"/>
              <w:right w:val="nil"/>
            </w:tcBorders>
            <w:hideMark/>
          </w:tcPr>
          <w:p w14:paraId="5C723A34" w14:textId="77777777" w:rsidR="0057310D" w:rsidRPr="003C242B" w:rsidRDefault="0057310D" w:rsidP="0077518A">
            <w:pPr>
              <w:pStyle w:val="CETBodytext"/>
              <w:jc w:val="center"/>
              <w:rPr>
                <w:rFonts w:cs="Arial"/>
                <w:szCs w:val="18"/>
              </w:rPr>
            </w:pPr>
            <w:r w:rsidRPr="003C242B">
              <w:rPr>
                <w:rFonts w:cs="Arial"/>
                <w:szCs w:val="18"/>
              </w:rPr>
              <w:t>[kg]</w:t>
            </w:r>
          </w:p>
        </w:tc>
        <w:tc>
          <w:tcPr>
            <w:tcW w:w="346" w:type="pct"/>
            <w:tcBorders>
              <w:top w:val="nil"/>
              <w:left w:val="nil"/>
              <w:bottom w:val="single" w:sz="12" w:space="0" w:color="C0504D" w:themeColor="accent2"/>
              <w:right w:val="nil"/>
            </w:tcBorders>
            <w:hideMark/>
          </w:tcPr>
          <w:p w14:paraId="252FD54D" w14:textId="77777777" w:rsidR="0057310D" w:rsidRPr="003C242B" w:rsidRDefault="0057310D" w:rsidP="0077518A">
            <w:pPr>
              <w:pStyle w:val="CETBodytext"/>
              <w:jc w:val="center"/>
              <w:rPr>
                <w:rFonts w:cs="Arial"/>
                <w:szCs w:val="18"/>
              </w:rPr>
            </w:pPr>
            <w:r w:rsidRPr="003C242B">
              <w:rPr>
                <w:rFonts w:cs="Arial"/>
                <w:szCs w:val="18"/>
              </w:rPr>
              <w:t>[% v/v]</w:t>
            </w:r>
          </w:p>
        </w:tc>
        <w:tc>
          <w:tcPr>
            <w:tcW w:w="270" w:type="pct"/>
            <w:tcBorders>
              <w:top w:val="nil"/>
              <w:left w:val="nil"/>
              <w:bottom w:val="single" w:sz="12" w:space="0" w:color="9BBB59" w:themeColor="accent3"/>
              <w:right w:val="nil"/>
            </w:tcBorders>
            <w:hideMark/>
          </w:tcPr>
          <w:p w14:paraId="3716C0D7" w14:textId="77777777" w:rsidR="0057310D" w:rsidRPr="003C242B" w:rsidRDefault="0057310D" w:rsidP="0077518A">
            <w:pPr>
              <w:pStyle w:val="CETBodytext"/>
              <w:jc w:val="center"/>
              <w:rPr>
                <w:rFonts w:cs="Arial"/>
                <w:szCs w:val="18"/>
              </w:rPr>
            </w:pPr>
            <w:r w:rsidRPr="003C242B">
              <w:rPr>
                <w:rFonts w:cs="Arial"/>
                <w:szCs w:val="18"/>
              </w:rPr>
              <w:t>[g]</w:t>
            </w:r>
          </w:p>
        </w:tc>
        <w:tc>
          <w:tcPr>
            <w:tcW w:w="324" w:type="pct"/>
            <w:tcBorders>
              <w:top w:val="nil"/>
              <w:left w:val="nil"/>
              <w:bottom w:val="single" w:sz="12" w:space="0" w:color="9BBB59" w:themeColor="accent3"/>
              <w:right w:val="nil"/>
            </w:tcBorders>
            <w:hideMark/>
          </w:tcPr>
          <w:p w14:paraId="7EF0D816" w14:textId="77777777" w:rsidR="0057310D" w:rsidRPr="003C242B" w:rsidRDefault="0057310D" w:rsidP="0077518A">
            <w:pPr>
              <w:pStyle w:val="CETBodytext"/>
              <w:jc w:val="center"/>
              <w:rPr>
                <w:rFonts w:cs="Arial"/>
                <w:szCs w:val="18"/>
              </w:rPr>
            </w:pPr>
            <w:r w:rsidRPr="003C242B">
              <w:rPr>
                <w:rFonts w:cs="Arial"/>
                <w:szCs w:val="18"/>
              </w:rPr>
              <w:t>[g]</w:t>
            </w:r>
          </w:p>
        </w:tc>
      </w:tr>
      <w:tr w:rsidR="0077518A" w:rsidRPr="003C242B" w14:paraId="2825A051" w14:textId="77777777" w:rsidTr="0077518A">
        <w:trPr>
          <w:trHeight w:val="20"/>
        </w:trPr>
        <w:tc>
          <w:tcPr>
            <w:tcW w:w="538" w:type="pct"/>
            <w:tcBorders>
              <w:top w:val="single" w:sz="12" w:space="0" w:color="C0504D" w:themeColor="accent2"/>
              <w:left w:val="nil"/>
              <w:bottom w:val="nil"/>
              <w:right w:val="nil"/>
            </w:tcBorders>
            <w:hideMark/>
          </w:tcPr>
          <w:p w14:paraId="7C04F8EA" w14:textId="77777777" w:rsidR="0057310D" w:rsidRPr="003C242B" w:rsidRDefault="0057310D" w:rsidP="0057310D">
            <w:pPr>
              <w:pStyle w:val="CETBodytext"/>
              <w:rPr>
                <w:rFonts w:cs="Arial"/>
                <w:szCs w:val="18"/>
              </w:rPr>
            </w:pPr>
            <w:r w:rsidRPr="003C242B">
              <w:rPr>
                <w:rFonts w:cs="Arial"/>
                <w:szCs w:val="18"/>
              </w:rPr>
              <w:t>1 – LG-AP</w:t>
            </w:r>
          </w:p>
        </w:tc>
        <w:tc>
          <w:tcPr>
            <w:tcW w:w="423" w:type="pct"/>
            <w:tcBorders>
              <w:top w:val="single" w:sz="12" w:space="0" w:color="C0504D" w:themeColor="accent2"/>
              <w:left w:val="nil"/>
              <w:bottom w:val="nil"/>
              <w:right w:val="nil"/>
            </w:tcBorders>
            <w:hideMark/>
          </w:tcPr>
          <w:p w14:paraId="65CE1607" w14:textId="77777777" w:rsidR="0057310D" w:rsidRPr="003C242B" w:rsidRDefault="0057310D" w:rsidP="0077518A">
            <w:pPr>
              <w:pStyle w:val="CETBodytext"/>
              <w:jc w:val="center"/>
              <w:rPr>
                <w:rFonts w:cs="Arial"/>
                <w:szCs w:val="18"/>
              </w:rPr>
            </w:pPr>
            <w:r w:rsidRPr="003C242B">
              <w:rPr>
                <w:rFonts w:cs="Arial"/>
                <w:szCs w:val="18"/>
              </w:rPr>
              <w:t>39.7±0.7</w:t>
            </w:r>
          </w:p>
        </w:tc>
        <w:tc>
          <w:tcPr>
            <w:tcW w:w="391" w:type="pct"/>
            <w:tcBorders>
              <w:top w:val="single" w:sz="12" w:space="0" w:color="C0504D" w:themeColor="accent2"/>
              <w:left w:val="nil"/>
              <w:bottom w:val="nil"/>
              <w:right w:val="nil"/>
            </w:tcBorders>
            <w:hideMark/>
          </w:tcPr>
          <w:p w14:paraId="2E2FEF79" w14:textId="77777777" w:rsidR="0057310D" w:rsidRPr="003C242B" w:rsidRDefault="0057310D" w:rsidP="0077518A">
            <w:pPr>
              <w:pStyle w:val="CETBodytext"/>
              <w:jc w:val="center"/>
              <w:rPr>
                <w:rFonts w:cs="Arial"/>
                <w:szCs w:val="18"/>
              </w:rPr>
            </w:pPr>
            <w:r w:rsidRPr="003C242B">
              <w:rPr>
                <w:rFonts w:cs="Arial"/>
                <w:szCs w:val="18"/>
              </w:rPr>
              <w:t>1013.25</w:t>
            </w:r>
          </w:p>
        </w:tc>
        <w:tc>
          <w:tcPr>
            <w:tcW w:w="270" w:type="pct"/>
            <w:tcBorders>
              <w:top w:val="single" w:sz="12" w:space="0" w:color="C0504D" w:themeColor="accent2"/>
              <w:left w:val="nil"/>
              <w:bottom w:val="nil"/>
              <w:right w:val="nil"/>
            </w:tcBorders>
            <w:hideMark/>
          </w:tcPr>
          <w:p w14:paraId="0002C223" w14:textId="77777777" w:rsidR="0057310D" w:rsidRPr="003C242B" w:rsidRDefault="0057310D" w:rsidP="0077518A">
            <w:pPr>
              <w:pStyle w:val="CETBodytext"/>
              <w:jc w:val="center"/>
              <w:rPr>
                <w:rFonts w:cs="Arial"/>
                <w:szCs w:val="18"/>
              </w:rPr>
            </w:pPr>
            <w:r w:rsidRPr="003C242B">
              <w:rPr>
                <w:rFonts w:cs="Arial"/>
                <w:szCs w:val="18"/>
              </w:rPr>
              <w:t>1.033</w:t>
            </w:r>
          </w:p>
        </w:tc>
        <w:tc>
          <w:tcPr>
            <w:tcW w:w="270" w:type="pct"/>
            <w:tcBorders>
              <w:top w:val="single" w:sz="12" w:space="0" w:color="C0504D" w:themeColor="accent2"/>
              <w:left w:val="nil"/>
              <w:bottom w:val="nil"/>
              <w:right w:val="nil"/>
            </w:tcBorders>
            <w:noWrap/>
            <w:hideMark/>
          </w:tcPr>
          <w:p w14:paraId="04DE6FA4" w14:textId="77777777" w:rsidR="0057310D" w:rsidRPr="003C242B" w:rsidRDefault="0057310D" w:rsidP="0077518A">
            <w:pPr>
              <w:pStyle w:val="CETBodytext"/>
              <w:jc w:val="center"/>
              <w:rPr>
                <w:rFonts w:cs="Arial"/>
                <w:szCs w:val="18"/>
              </w:rPr>
            </w:pPr>
            <w:r w:rsidRPr="003C242B">
              <w:rPr>
                <w:rFonts w:cs="Arial"/>
                <w:szCs w:val="18"/>
              </w:rPr>
              <w:t>90.5</w:t>
            </w:r>
          </w:p>
        </w:tc>
        <w:tc>
          <w:tcPr>
            <w:tcW w:w="334" w:type="pct"/>
            <w:tcBorders>
              <w:top w:val="single" w:sz="12" w:space="0" w:color="C0504D" w:themeColor="accent2"/>
              <w:left w:val="nil"/>
              <w:bottom w:val="nil"/>
              <w:right w:val="nil"/>
            </w:tcBorders>
            <w:noWrap/>
            <w:hideMark/>
          </w:tcPr>
          <w:p w14:paraId="646D9F86" w14:textId="77777777" w:rsidR="0057310D" w:rsidRPr="003C242B" w:rsidRDefault="0057310D" w:rsidP="0077518A">
            <w:pPr>
              <w:pStyle w:val="CETBodytext"/>
              <w:jc w:val="center"/>
              <w:rPr>
                <w:rFonts w:cs="Arial"/>
                <w:szCs w:val="18"/>
              </w:rPr>
            </w:pPr>
            <w:r w:rsidRPr="003C242B">
              <w:rPr>
                <w:rFonts w:cs="Arial"/>
                <w:szCs w:val="18"/>
              </w:rPr>
              <w:t>8.7</w:t>
            </w:r>
          </w:p>
        </w:tc>
        <w:tc>
          <w:tcPr>
            <w:tcW w:w="274" w:type="pct"/>
            <w:tcBorders>
              <w:top w:val="single" w:sz="12" w:space="0" w:color="C0504D" w:themeColor="accent2"/>
              <w:left w:val="nil"/>
              <w:bottom w:val="nil"/>
              <w:right w:val="nil"/>
            </w:tcBorders>
            <w:hideMark/>
          </w:tcPr>
          <w:p w14:paraId="5C8DC126" w14:textId="77777777" w:rsidR="0057310D" w:rsidRPr="003C242B" w:rsidRDefault="0057310D" w:rsidP="0077518A">
            <w:pPr>
              <w:pStyle w:val="CETBodytext"/>
              <w:jc w:val="center"/>
              <w:rPr>
                <w:rFonts w:cs="Arial"/>
                <w:szCs w:val="18"/>
              </w:rPr>
            </w:pPr>
            <w:r w:rsidRPr="003C242B">
              <w:rPr>
                <w:rFonts w:cs="Arial"/>
                <w:szCs w:val="18"/>
              </w:rPr>
              <w:t>35.0</w:t>
            </w:r>
          </w:p>
        </w:tc>
        <w:tc>
          <w:tcPr>
            <w:tcW w:w="405" w:type="pct"/>
            <w:tcBorders>
              <w:top w:val="single" w:sz="12" w:space="0" w:color="C0504D" w:themeColor="accent2"/>
              <w:left w:val="nil"/>
              <w:bottom w:val="nil"/>
              <w:right w:val="nil"/>
            </w:tcBorders>
            <w:noWrap/>
            <w:hideMark/>
          </w:tcPr>
          <w:p w14:paraId="4537BE00" w14:textId="77777777" w:rsidR="0057310D" w:rsidRPr="003C242B" w:rsidRDefault="0057310D" w:rsidP="0077518A">
            <w:pPr>
              <w:pStyle w:val="CETBodytext"/>
              <w:jc w:val="center"/>
              <w:rPr>
                <w:rFonts w:cs="Arial"/>
                <w:b/>
                <w:bCs/>
                <w:szCs w:val="18"/>
              </w:rPr>
            </w:pPr>
            <w:r w:rsidRPr="003C242B">
              <w:rPr>
                <w:rFonts w:cs="Arial"/>
                <w:szCs w:val="18"/>
              </w:rPr>
              <w:t>1.008</w:t>
            </w:r>
          </w:p>
        </w:tc>
        <w:tc>
          <w:tcPr>
            <w:tcW w:w="321" w:type="pct"/>
            <w:tcBorders>
              <w:top w:val="single" w:sz="12" w:space="0" w:color="C0504D" w:themeColor="accent2"/>
              <w:left w:val="nil"/>
              <w:bottom w:val="nil"/>
              <w:right w:val="nil"/>
            </w:tcBorders>
            <w:hideMark/>
          </w:tcPr>
          <w:p w14:paraId="0680CEC2" w14:textId="77777777" w:rsidR="0057310D" w:rsidRPr="003C242B" w:rsidRDefault="0057310D" w:rsidP="0077518A">
            <w:pPr>
              <w:pStyle w:val="CETBodytext"/>
              <w:jc w:val="center"/>
              <w:rPr>
                <w:rFonts w:cs="Arial"/>
                <w:szCs w:val="18"/>
              </w:rPr>
            </w:pPr>
            <w:r w:rsidRPr="003C242B">
              <w:rPr>
                <w:rFonts w:cs="Arial"/>
                <w:szCs w:val="18"/>
              </w:rPr>
              <w:t>28.3</w:t>
            </w:r>
          </w:p>
        </w:tc>
        <w:tc>
          <w:tcPr>
            <w:tcW w:w="302" w:type="pct"/>
            <w:tcBorders>
              <w:top w:val="single" w:sz="12" w:space="0" w:color="C0504D" w:themeColor="accent2"/>
              <w:left w:val="nil"/>
              <w:bottom w:val="nil"/>
              <w:right w:val="nil"/>
            </w:tcBorders>
            <w:noWrap/>
            <w:hideMark/>
          </w:tcPr>
          <w:p w14:paraId="1688AA44" w14:textId="77777777" w:rsidR="0057310D" w:rsidRPr="003C242B" w:rsidRDefault="0057310D" w:rsidP="0077518A">
            <w:pPr>
              <w:pStyle w:val="CETBodytext"/>
              <w:jc w:val="center"/>
              <w:rPr>
                <w:rFonts w:cs="Arial"/>
                <w:b/>
                <w:bCs/>
                <w:szCs w:val="18"/>
              </w:rPr>
            </w:pPr>
            <w:r w:rsidRPr="003C242B">
              <w:rPr>
                <w:rFonts w:cs="Arial"/>
                <w:szCs w:val="18"/>
              </w:rPr>
              <w:t>1.37</w:t>
            </w:r>
          </w:p>
        </w:tc>
        <w:tc>
          <w:tcPr>
            <w:tcW w:w="325" w:type="pct"/>
            <w:tcBorders>
              <w:top w:val="single" w:sz="12" w:space="0" w:color="C0504D" w:themeColor="accent2"/>
              <w:left w:val="nil"/>
              <w:bottom w:val="nil"/>
              <w:right w:val="nil"/>
            </w:tcBorders>
            <w:hideMark/>
          </w:tcPr>
          <w:p w14:paraId="13F8B89D" w14:textId="77777777" w:rsidR="0057310D" w:rsidRPr="003C242B" w:rsidRDefault="0057310D" w:rsidP="0077518A">
            <w:pPr>
              <w:pStyle w:val="CETBodytext"/>
              <w:jc w:val="center"/>
              <w:rPr>
                <w:rFonts w:cs="Arial"/>
                <w:b/>
                <w:bCs/>
                <w:szCs w:val="18"/>
              </w:rPr>
            </w:pPr>
            <w:r w:rsidRPr="003C242B">
              <w:rPr>
                <w:rFonts w:cs="Arial"/>
                <w:szCs w:val="18"/>
              </w:rPr>
              <w:t>3.87</w:t>
            </w:r>
          </w:p>
        </w:tc>
        <w:tc>
          <w:tcPr>
            <w:tcW w:w="207" w:type="pct"/>
            <w:tcBorders>
              <w:top w:val="single" w:sz="12" w:space="0" w:color="C0504D" w:themeColor="accent2"/>
              <w:left w:val="nil"/>
              <w:bottom w:val="nil"/>
              <w:right w:val="nil"/>
            </w:tcBorders>
            <w:hideMark/>
          </w:tcPr>
          <w:p w14:paraId="47CF2492" w14:textId="77777777" w:rsidR="0057310D" w:rsidRPr="003C242B" w:rsidRDefault="0057310D" w:rsidP="0077518A">
            <w:pPr>
              <w:pStyle w:val="CETBodytext"/>
              <w:jc w:val="center"/>
              <w:rPr>
                <w:rFonts w:cs="Arial"/>
                <w:szCs w:val="18"/>
              </w:rPr>
            </w:pPr>
            <w:r w:rsidRPr="003C242B">
              <w:rPr>
                <w:rFonts w:cs="Arial"/>
                <w:szCs w:val="18"/>
              </w:rPr>
              <w:t>-</w:t>
            </w:r>
          </w:p>
        </w:tc>
        <w:tc>
          <w:tcPr>
            <w:tcW w:w="346" w:type="pct"/>
            <w:tcBorders>
              <w:top w:val="single" w:sz="12" w:space="0" w:color="C0504D" w:themeColor="accent2"/>
              <w:left w:val="nil"/>
              <w:bottom w:val="nil"/>
              <w:right w:val="nil"/>
            </w:tcBorders>
            <w:hideMark/>
          </w:tcPr>
          <w:p w14:paraId="70BABE17" w14:textId="77777777" w:rsidR="0057310D" w:rsidRPr="003C242B" w:rsidRDefault="0057310D" w:rsidP="0077518A">
            <w:pPr>
              <w:pStyle w:val="CETBodytext"/>
              <w:jc w:val="center"/>
              <w:rPr>
                <w:rFonts w:cs="Arial"/>
                <w:szCs w:val="18"/>
              </w:rPr>
            </w:pPr>
            <w:r w:rsidRPr="003C242B">
              <w:rPr>
                <w:rFonts w:cs="Arial"/>
                <w:szCs w:val="18"/>
              </w:rPr>
              <w:t>-</w:t>
            </w:r>
          </w:p>
        </w:tc>
        <w:tc>
          <w:tcPr>
            <w:tcW w:w="270" w:type="pct"/>
            <w:tcBorders>
              <w:top w:val="single" w:sz="12" w:space="0" w:color="9BBB59" w:themeColor="accent3"/>
              <w:left w:val="nil"/>
              <w:bottom w:val="nil"/>
              <w:right w:val="nil"/>
            </w:tcBorders>
            <w:hideMark/>
          </w:tcPr>
          <w:p w14:paraId="471B7C61" w14:textId="77777777" w:rsidR="0057310D" w:rsidRPr="003C242B" w:rsidRDefault="0057310D" w:rsidP="0077518A">
            <w:pPr>
              <w:pStyle w:val="CETBodytext"/>
              <w:jc w:val="center"/>
              <w:rPr>
                <w:rFonts w:cs="Arial"/>
                <w:szCs w:val="18"/>
              </w:rPr>
            </w:pPr>
            <w:r w:rsidRPr="003C242B">
              <w:rPr>
                <w:rFonts w:cs="Arial"/>
                <w:szCs w:val="18"/>
              </w:rPr>
              <w:t>0.0</w:t>
            </w:r>
          </w:p>
        </w:tc>
        <w:tc>
          <w:tcPr>
            <w:tcW w:w="324" w:type="pct"/>
            <w:tcBorders>
              <w:top w:val="single" w:sz="12" w:space="0" w:color="9BBB59" w:themeColor="accent3"/>
              <w:left w:val="nil"/>
              <w:bottom w:val="nil"/>
              <w:right w:val="nil"/>
            </w:tcBorders>
            <w:hideMark/>
          </w:tcPr>
          <w:p w14:paraId="047F712E" w14:textId="1B48A446" w:rsidR="0057310D" w:rsidRPr="003C242B" w:rsidRDefault="0057310D" w:rsidP="0077518A">
            <w:pPr>
              <w:pStyle w:val="CETBodytext"/>
              <w:jc w:val="center"/>
              <w:rPr>
                <w:rFonts w:cs="Arial"/>
                <w:szCs w:val="18"/>
              </w:rPr>
            </w:pPr>
            <w:r w:rsidRPr="003C242B">
              <w:rPr>
                <w:rFonts w:cs="Arial"/>
                <w:szCs w:val="18"/>
              </w:rPr>
              <w:t>615</w:t>
            </w:r>
          </w:p>
        </w:tc>
      </w:tr>
      <w:tr w:rsidR="0077518A" w:rsidRPr="003C242B" w14:paraId="76638191" w14:textId="77777777" w:rsidTr="0077518A">
        <w:trPr>
          <w:trHeight w:val="20"/>
        </w:trPr>
        <w:tc>
          <w:tcPr>
            <w:tcW w:w="538" w:type="pct"/>
            <w:tcBorders>
              <w:top w:val="nil"/>
              <w:left w:val="nil"/>
              <w:bottom w:val="nil"/>
              <w:right w:val="nil"/>
            </w:tcBorders>
            <w:hideMark/>
          </w:tcPr>
          <w:p w14:paraId="46841C84" w14:textId="77777777" w:rsidR="0057310D" w:rsidRPr="003C242B" w:rsidRDefault="0057310D" w:rsidP="0057310D">
            <w:pPr>
              <w:pStyle w:val="CETBodytext"/>
              <w:rPr>
                <w:rFonts w:cs="Arial"/>
                <w:szCs w:val="18"/>
              </w:rPr>
            </w:pPr>
            <w:r w:rsidRPr="003C242B">
              <w:rPr>
                <w:rFonts w:cs="Arial"/>
                <w:szCs w:val="18"/>
              </w:rPr>
              <w:t>2 – LG-AP</w:t>
            </w:r>
          </w:p>
        </w:tc>
        <w:tc>
          <w:tcPr>
            <w:tcW w:w="423" w:type="pct"/>
            <w:tcBorders>
              <w:top w:val="nil"/>
              <w:left w:val="nil"/>
              <w:bottom w:val="nil"/>
              <w:right w:val="nil"/>
            </w:tcBorders>
            <w:hideMark/>
          </w:tcPr>
          <w:p w14:paraId="5546CCAB" w14:textId="77777777" w:rsidR="0057310D" w:rsidRPr="003C242B" w:rsidRDefault="0057310D" w:rsidP="0077518A">
            <w:pPr>
              <w:pStyle w:val="CETBodytext"/>
              <w:jc w:val="center"/>
              <w:rPr>
                <w:rFonts w:cs="Arial"/>
                <w:szCs w:val="18"/>
              </w:rPr>
            </w:pPr>
            <w:r w:rsidRPr="003C242B">
              <w:rPr>
                <w:rFonts w:cs="Arial"/>
                <w:szCs w:val="18"/>
              </w:rPr>
              <w:t>39.9±0.5</w:t>
            </w:r>
          </w:p>
        </w:tc>
        <w:tc>
          <w:tcPr>
            <w:tcW w:w="391" w:type="pct"/>
            <w:tcBorders>
              <w:top w:val="nil"/>
              <w:left w:val="nil"/>
              <w:bottom w:val="nil"/>
              <w:right w:val="nil"/>
            </w:tcBorders>
            <w:hideMark/>
          </w:tcPr>
          <w:p w14:paraId="1826985C" w14:textId="77777777" w:rsidR="0057310D" w:rsidRPr="003C242B" w:rsidRDefault="0057310D" w:rsidP="0077518A">
            <w:pPr>
              <w:pStyle w:val="CETBodytext"/>
              <w:jc w:val="center"/>
              <w:rPr>
                <w:rFonts w:cs="Arial"/>
                <w:szCs w:val="18"/>
              </w:rPr>
            </w:pPr>
            <w:r w:rsidRPr="003C242B">
              <w:rPr>
                <w:rFonts w:cs="Arial"/>
                <w:szCs w:val="18"/>
              </w:rPr>
              <w:t>1013.25</w:t>
            </w:r>
          </w:p>
        </w:tc>
        <w:tc>
          <w:tcPr>
            <w:tcW w:w="270" w:type="pct"/>
            <w:tcBorders>
              <w:top w:val="nil"/>
              <w:left w:val="nil"/>
              <w:bottom w:val="nil"/>
              <w:right w:val="nil"/>
            </w:tcBorders>
            <w:hideMark/>
          </w:tcPr>
          <w:p w14:paraId="1BAFCBE7" w14:textId="77777777" w:rsidR="0057310D" w:rsidRPr="003C242B" w:rsidRDefault="0057310D" w:rsidP="0077518A">
            <w:pPr>
              <w:pStyle w:val="CETBodytext"/>
              <w:jc w:val="center"/>
              <w:rPr>
                <w:rFonts w:cs="Arial"/>
                <w:szCs w:val="18"/>
              </w:rPr>
            </w:pPr>
            <w:r w:rsidRPr="003C242B">
              <w:rPr>
                <w:rFonts w:cs="Arial"/>
                <w:szCs w:val="18"/>
              </w:rPr>
              <w:t>1.035</w:t>
            </w:r>
          </w:p>
        </w:tc>
        <w:tc>
          <w:tcPr>
            <w:tcW w:w="270" w:type="pct"/>
            <w:tcBorders>
              <w:top w:val="nil"/>
              <w:left w:val="nil"/>
              <w:bottom w:val="nil"/>
              <w:right w:val="nil"/>
            </w:tcBorders>
            <w:noWrap/>
            <w:hideMark/>
          </w:tcPr>
          <w:p w14:paraId="422E2586" w14:textId="77777777" w:rsidR="0057310D" w:rsidRPr="003C242B" w:rsidRDefault="0057310D" w:rsidP="0077518A">
            <w:pPr>
              <w:pStyle w:val="CETBodytext"/>
              <w:jc w:val="center"/>
              <w:rPr>
                <w:rFonts w:cs="Arial"/>
                <w:szCs w:val="18"/>
              </w:rPr>
            </w:pPr>
            <w:r w:rsidRPr="003C242B">
              <w:rPr>
                <w:rFonts w:cs="Arial"/>
                <w:szCs w:val="18"/>
              </w:rPr>
              <w:t>90.5</w:t>
            </w:r>
          </w:p>
        </w:tc>
        <w:tc>
          <w:tcPr>
            <w:tcW w:w="334" w:type="pct"/>
            <w:tcBorders>
              <w:top w:val="nil"/>
              <w:left w:val="nil"/>
              <w:bottom w:val="nil"/>
              <w:right w:val="nil"/>
            </w:tcBorders>
            <w:noWrap/>
            <w:hideMark/>
          </w:tcPr>
          <w:p w14:paraId="7F625FE4" w14:textId="77777777" w:rsidR="0057310D" w:rsidRPr="003C242B" w:rsidRDefault="0057310D" w:rsidP="0077518A">
            <w:pPr>
              <w:pStyle w:val="CETBodytext"/>
              <w:jc w:val="center"/>
              <w:rPr>
                <w:rFonts w:cs="Arial"/>
                <w:szCs w:val="18"/>
              </w:rPr>
            </w:pPr>
            <w:r w:rsidRPr="003C242B">
              <w:rPr>
                <w:rFonts w:cs="Arial"/>
                <w:szCs w:val="18"/>
              </w:rPr>
              <w:t>8.7</w:t>
            </w:r>
          </w:p>
        </w:tc>
        <w:tc>
          <w:tcPr>
            <w:tcW w:w="274" w:type="pct"/>
            <w:tcBorders>
              <w:top w:val="nil"/>
              <w:left w:val="nil"/>
              <w:bottom w:val="nil"/>
              <w:right w:val="nil"/>
            </w:tcBorders>
            <w:hideMark/>
          </w:tcPr>
          <w:p w14:paraId="7C05A257" w14:textId="77777777" w:rsidR="0057310D" w:rsidRPr="003C242B" w:rsidRDefault="0057310D" w:rsidP="0077518A">
            <w:pPr>
              <w:pStyle w:val="CETBodytext"/>
              <w:jc w:val="center"/>
              <w:rPr>
                <w:rFonts w:cs="Arial"/>
                <w:szCs w:val="18"/>
              </w:rPr>
            </w:pPr>
            <w:r w:rsidRPr="003C242B">
              <w:rPr>
                <w:rFonts w:cs="Arial"/>
                <w:szCs w:val="18"/>
              </w:rPr>
              <w:t>42.5</w:t>
            </w:r>
          </w:p>
        </w:tc>
        <w:tc>
          <w:tcPr>
            <w:tcW w:w="405" w:type="pct"/>
            <w:tcBorders>
              <w:top w:val="nil"/>
              <w:left w:val="nil"/>
              <w:bottom w:val="nil"/>
              <w:right w:val="nil"/>
            </w:tcBorders>
            <w:noWrap/>
            <w:hideMark/>
          </w:tcPr>
          <w:p w14:paraId="7F31CED3" w14:textId="77777777" w:rsidR="0057310D" w:rsidRPr="003C242B" w:rsidRDefault="0057310D" w:rsidP="0077518A">
            <w:pPr>
              <w:pStyle w:val="CETBodytext"/>
              <w:jc w:val="center"/>
              <w:rPr>
                <w:rFonts w:cs="Arial"/>
                <w:szCs w:val="18"/>
              </w:rPr>
            </w:pPr>
            <w:r w:rsidRPr="003C242B">
              <w:rPr>
                <w:rFonts w:cs="Arial"/>
                <w:szCs w:val="18"/>
              </w:rPr>
              <w:t>1.004</w:t>
            </w:r>
          </w:p>
        </w:tc>
        <w:tc>
          <w:tcPr>
            <w:tcW w:w="321" w:type="pct"/>
            <w:tcBorders>
              <w:top w:val="nil"/>
              <w:left w:val="nil"/>
              <w:bottom w:val="nil"/>
              <w:right w:val="nil"/>
            </w:tcBorders>
            <w:hideMark/>
          </w:tcPr>
          <w:p w14:paraId="34D87229" w14:textId="77777777" w:rsidR="0057310D" w:rsidRPr="003C242B" w:rsidRDefault="0057310D" w:rsidP="0077518A">
            <w:pPr>
              <w:pStyle w:val="CETBodytext"/>
              <w:jc w:val="center"/>
              <w:rPr>
                <w:rFonts w:cs="Arial"/>
                <w:szCs w:val="18"/>
              </w:rPr>
            </w:pPr>
            <w:r w:rsidRPr="003C242B">
              <w:rPr>
                <w:rFonts w:cs="Arial"/>
                <w:szCs w:val="18"/>
              </w:rPr>
              <w:t>29.0</w:t>
            </w:r>
          </w:p>
        </w:tc>
        <w:tc>
          <w:tcPr>
            <w:tcW w:w="302" w:type="pct"/>
            <w:tcBorders>
              <w:top w:val="nil"/>
              <w:left w:val="nil"/>
              <w:bottom w:val="nil"/>
              <w:right w:val="nil"/>
            </w:tcBorders>
            <w:noWrap/>
            <w:hideMark/>
          </w:tcPr>
          <w:p w14:paraId="6EA04BF5" w14:textId="77777777" w:rsidR="0057310D" w:rsidRPr="003C242B" w:rsidRDefault="0057310D" w:rsidP="0077518A">
            <w:pPr>
              <w:pStyle w:val="CETBodytext"/>
              <w:jc w:val="center"/>
              <w:rPr>
                <w:rFonts w:cs="Arial"/>
                <w:szCs w:val="18"/>
              </w:rPr>
            </w:pPr>
            <w:r w:rsidRPr="003C242B">
              <w:rPr>
                <w:rFonts w:cs="Arial"/>
                <w:szCs w:val="18"/>
              </w:rPr>
              <w:t>1.45</w:t>
            </w:r>
          </w:p>
        </w:tc>
        <w:tc>
          <w:tcPr>
            <w:tcW w:w="325" w:type="pct"/>
            <w:tcBorders>
              <w:top w:val="nil"/>
              <w:left w:val="nil"/>
              <w:bottom w:val="nil"/>
              <w:right w:val="nil"/>
            </w:tcBorders>
            <w:hideMark/>
          </w:tcPr>
          <w:p w14:paraId="168EF7A2" w14:textId="77777777" w:rsidR="0057310D" w:rsidRPr="003C242B" w:rsidRDefault="0057310D" w:rsidP="0077518A">
            <w:pPr>
              <w:pStyle w:val="CETBodytext"/>
              <w:jc w:val="center"/>
              <w:rPr>
                <w:rFonts w:cs="Arial"/>
                <w:szCs w:val="18"/>
              </w:rPr>
            </w:pPr>
            <w:r w:rsidRPr="003C242B">
              <w:rPr>
                <w:rFonts w:cs="Arial"/>
                <w:szCs w:val="18"/>
              </w:rPr>
              <w:t>3.82</w:t>
            </w:r>
          </w:p>
        </w:tc>
        <w:tc>
          <w:tcPr>
            <w:tcW w:w="207" w:type="pct"/>
            <w:tcBorders>
              <w:top w:val="nil"/>
              <w:left w:val="nil"/>
              <w:bottom w:val="nil"/>
              <w:right w:val="nil"/>
            </w:tcBorders>
            <w:hideMark/>
          </w:tcPr>
          <w:p w14:paraId="05BEBE9F" w14:textId="77777777" w:rsidR="0057310D" w:rsidRPr="003C242B" w:rsidRDefault="0057310D" w:rsidP="0077518A">
            <w:pPr>
              <w:pStyle w:val="CETBodytext"/>
              <w:jc w:val="center"/>
              <w:rPr>
                <w:rFonts w:cs="Arial"/>
                <w:szCs w:val="18"/>
              </w:rPr>
            </w:pPr>
            <w:r w:rsidRPr="003C242B">
              <w:rPr>
                <w:rFonts w:cs="Arial"/>
                <w:szCs w:val="18"/>
              </w:rPr>
              <w:t>-</w:t>
            </w:r>
          </w:p>
        </w:tc>
        <w:tc>
          <w:tcPr>
            <w:tcW w:w="346" w:type="pct"/>
            <w:tcBorders>
              <w:top w:val="nil"/>
              <w:left w:val="nil"/>
              <w:bottom w:val="nil"/>
              <w:right w:val="nil"/>
            </w:tcBorders>
            <w:hideMark/>
          </w:tcPr>
          <w:p w14:paraId="01A39928" w14:textId="77777777" w:rsidR="0057310D" w:rsidRPr="003C242B" w:rsidRDefault="0057310D" w:rsidP="0077518A">
            <w:pPr>
              <w:pStyle w:val="CETBodytext"/>
              <w:jc w:val="center"/>
              <w:rPr>
                <w:rFonts w:cs="Arial"/>
                <w:szCs w:val="18"/>
              </w:rPr>
            </w:pPr>
            <w:r w:rsidRPr="003C242B">
              <w:rPr>
                <w:rFonts w:cs="Arial"/>
                <w:szCs w:val="18"/>
              </w:rPr>
              <w:t>-</w:t>
            </w:r>
          </w:p>
        </w:tc>
        <w:tc>
          <w:tcPr>
            <w:tcW w:w="270" w:type="pct"/>
            <w:tcBorders>
              <w:top w:val="nil"/>
              <w:left w:val="nil"/>
              <w:bottom w:val="nil"/>
              <w:right w:val="nil"/>
            </w:tcBorders>
            <w:hideMark/>
          </w:tcPr>
          <w:p w14:paraId="7C373A44" w14:textId="77777777" w:rsidR="0057310D" w:rsidRPr="003C242B" w:rsidRDefault="0057310D" w:rsidP="0077518A">
            <w:pPr>
              <w:pStyle w:val="CETBodytext"/>
              <w:jc w:val="center"/>
              <w:rPr>
                <w:rFonts w:cs="Arial"/>
                <w:szCs w:val="18"/>
              </w:rPr>
            </w:pPr>
            <w:r w:rsidRPr="003C242B">
              <w:rPr>
                <w:rFonts w:cs="Arial"/>
                <w:szCs w:val="18"/>
              </w:rPr>
              <w:t>0.0</w:t>
            </w:r>
          </w:p>
        </w:tc>
        <w:tc>
          <w:tcPr>
            <w:tcW w:w="324" w:type="pct"/>
            <w:tcBorders>
              <w:top w:val="nil"/>
              <w:left w:val="nil"/>
              <w:bottom w:val="nil"/>
              <w:right w:val="nil"/>
            </w:tcBorders>
            <w:hideMark/>
          </w:tcPr>
          <w:p w14:paraId="6DC33F62" w14:textId="68C1D82A" w:rsidR="0057310D" w:rsidRPr="003C242B" w:rsidRDefault="0057310D" w:rsidP="0077518A">
            <w:pPr>
              <w:pStyle w:val="CETBodytext"/>
              <w:jc w:val="center"/>
              <w:rPr>
                <w:rFonts w:cs="Arial"/>
                <w:szCs w:val="18"/>
              </w:rPr>
            </w:pPr>
            <w:r w:rsidRPr="003C242B">
              <w:rPr>
                <w:rFonts w:cs="Arial"/>
                <w:szCs w:val="18"/>
              </w:rPr>
              <w:t>61</w:t>
            </w:r>
            <w:r w:rsidR="0077518A" w:rsidRPr="003C242B">
              <w:rPr>
                <w:rFonts w:cs="Arial"/>
                <w:szCs w:val="18"/>
              </w:rPr>
              <w:t>1</w:t>
            </w:r>
          </w:p>
        </w:tc>
      </w:tr>
      <w:tr w:rsidR="0077518A" w:rsidRPr="003C242B" w14:paraId="40D2573B" w14:textId="77777777" w:rsidTr="0077518A">
        <w:trPr>
          <w:trHeight w:val="20"/>
        </w:trPr>
        <w:tc>
          <w:tcPr>
            <w:tcW w:w="538" w:type="pct"/>
            <w:tcBorders>
              <w:top w:val="nil"/>
              <w:left w:val="nil"/>
              <w:bottom w:val="nil"/>
              <w:right w:val="nil"/>
            </w:tcBorders>
            <w:hideMark/>
          </w:tcPr>
          <w:p w14:paraId="626E9853" w14:textId="77777777" w:rsidR="0057310D" w:rsidRPr="003C242B" w:rsidRDefault="0057310D" w:rsidP="0057310D">
            <w:pPr>
              <w:pStyle w:val="CETBodytext"/>
              <w:rPr>
                <w:rFonts w:cs="Arial"/>
                <w:szCs w:val="18"/>
              </w:rPr>
            </w:pPr>
            <w:r w:rsidRPr="003C242B">
              <w:rPr>
                <w:rFonts w:cs="Arial"/>
                <w:szCs w:val="18"/>
              </w:rPr>
              <w:t>3 – LG-UV</w:t>
            </w:r>
          </w:p>
        </w:tc>
        <w:tc>
          <w:tcPr>
            <w:tcW w:w="423" w:type="pct"/>
            <w:tcBorders>
              <w:top w:val="nil"/>
              <w:left w:val="nil"/>
              <w:bottom w:val="nil"/>
              <w:right w:val="nil"/>
            </w:tcBorders>
            <w:hideMark/>
          </w:tcPr>
          <w:p w14:paraId="47D6A3B5" w14:textId="77777777" w:rsidR="0057310D" w:rsidRPr="003C242B" w:rsidRDefault="0057310D" w:rsidP="0077518A">
            <w:pPr>
              <w:pStyle w:val="CETBodytext"/>
              <w:jc w:val="center"/>
              <w:rPr>
                <w:rFonts w:cs="Arial"/>
                <w:szCs w:val="18"/>
              </w:rPr>
            </w:pPr>
            <w:r w:rsidRPr="003C242B">
              <w:rPr>
                <w:rFonts w:cs="Arial"/>
                <w:szCs w:val="18"/>
              </w:rPr>
              <w:t>39.9±0.5</w:t>
            </w:r>
          </w:p>
        </w:tc>
        <w:tc>
          <w:tcPr>
            <w:tcW w:w="391" w:type="pct"/>
            <w:tcBorders>
              <w:top w:val="nil"/>
              <w:left w:val="nil"/>
              <w:bottom w:val="nil"/>
              <w:right w:val="nil"/>
            </w:tcBorders>
            <w:hideMark/>
          </w:tcPr>
          <w:p w14:paraId="105344C0" w14:textId="77777777" w:rsidR="0057310D" w:rsidRPr="003C242B" w:rsidRDefault="0057310D" w:rsidP="0077518A">
            <w:pPr>
              <w:pStyle w:val="CETBodytext"/>
              <w:jc w:val="center"/>
              <w:rPr>
                <w:rFonts w:cs="Arial"/>
                <w:szCs w:val="18"/>
              </w:rPr>
            </w:pPr>
            <w:r w:rsidRPr="003C242B">
              <w:rPr>
                <w:rFonts w:cs="Arial"/>
                <w:szCs w:val="18"/>
              </w:rPr>
              <w:t>177±11</w:t>
            </w:r>
          </w:p>
        </w:tc>
        <w:tc>
          <w:tcPr>
            <w:tcW w:w="270" w:type="pct"/>
            <w:tcBorders>
              <w:top w:val="nil"/>
              <w:left w:val="nil"/>
              <w:bottom w:val="nil"/>
              <w:right w:val="nil"/>
            </w:tcBorders>
            <w:hideMark/>
          </w:tcPr>
          <w:p w14:paraId="6581461A" w14:textId="77777777" w:rsidR="0057310D" w:rsidRPr="003C242B" w:rsidRDefault="0057310D" w:rsidP="0077518A">
            <w:pPr>
              <w:pStyle w:val="CETBodytext"/>
              <w:jc w:val="center"/>
              <w:rPr>
                <w:rFonts w:cs="Arial"/>
                <w:szCs w:val="18"/>
              </w:rPr>
            </w:pPr>
            <w:r w:rsidRPr="003C242B">
              <w:rPr>
                <w:rFonts w:cs="Arial"/>
                <w:szCs w:val="18"/>
              </w:rPr>
              <w:t>1.038</w:t>
            </w:r>
          </w:p>
        </w:tc>
        <w:tc>
          <w:tcPr>
            <w:tcW w:w="270" w:type="pct"/>
            <w:tcBorders>
              <w:top w:val="nil"/>
              <w:left w:val="nil"/>
              <w:bottom w:val="nil"/>
              <w:right w:val="nil"/>
            </w:tcBorders>
            <w:noWrap/>
            <w:hideMark/>
          </w:tcPr>
          <w:p w14:paraId="2B6B30CF" w14:textId="77777777" w:rsidR="0057310D" w:rsidRPr="003C242B" w:rsidRDefault="0057310D" w:rsidP="0077518A">
            <w:pPr>
              <w:pStyle w:val="CETBodytext"/>
              <w:jc w:val="center"/>
              <w:rPr>
                <w:rFonts w:cs="Arial"/>
                <w:szCs w:val="18"/>
              </w:rPr>
            </w:pPr>
            <w:r w:rsidRPr="003C242B">
              <w:rPr>
                <w:rFonts w:cs="Arial"/>
                <w:szCs w:val="18"/>
              </w:rPr>
              <w:t>103.5</w:t>
            </w:r>
          </w:p>
        </w:tc>
        <w:tc>
          <w:tcPr>
            <w:tcW w:w="334" w:type="pct"/>
            <w:tcBorders>
              <w:top w:val="nil"/>
              <w:left w:val="nil"/>
              <w:bottom w:val="nil"/>
              <w:right w:val="nil"/>
            </w:tcBorders>
            <w:noWrap/>
            <w:hideMark/>
          </w:tcPr>
          <w:p w14:paraId="4A3C351D" w14:textId="77777777" w:rsidR="0057310D" w:rsidRPr="003C242B" w:rsidRDefault="0057310D" w:rsidP="0077518A">
            <w:pPr>
              <w:pStyle w:val="CETBodytext"/>
              <w:jc w:val="center"/>
              <w:rPr>
                <w:rFonts w:cs="Arial"/>
                <w:szCs w:val="18"/>
              </w:rPr>
            </w:pPr>
            <w:r w:rsidRPr="003C242B">
              <w:rPr>
                <w:rFonts w:cs="Arial"/>
                <w:szCs w:val="18"/>
              </w:rPr>
              <w:t>10.2</w:t>
            </w:r>
          </w:p>
        </w:tc>
        <w:tc>
          <w:tcPr>
            <w:tcW w:w="274" w:type="pct"/>
            <w:tcBorders>
              <w:top w:val="nil"/>
              <w:left w:val="nil"/>
              <w:bottom w:val="nil"/>
              <w:right w:val="nil"/>
            </w:tcBorders>
            <w:hideMark/>
          </w:tcPr>
          <w:p w14:paraId="02CE710E" w14:textId="77777777" w:rsidR="0057310D" w:rsidRPr="003C242B" w:rsidRDefault="0057310D" w:rsidP="0077518A">
            <w:pPr>
              <w:pStyle w:val="CETBodytext"/>
              <w:jc w:val="center"/>
              <w:rPr>
                <w:rFonts w:cs="Arial"/>
                <w:szCs w:val="18"/>
              </w:rPr>
            </w:pPr>
            <w:r w:rsidRPr="003C242B">
              <w:rPr>
                <w:rFonts w:cs="Arial"/>
                <w:szCs w:val="18"/>
              </w:rPr>
              <w:t>44.3</w:t>
            </w:r>
          </w:p>
        </w:tc>
        <w:tc>
          <w:tcPr>
            <w:tcW w:w="405" w:type="pct"/>
            <w:tcBorders>
              <w:top w:val="nil"/>
              <w:left w:val="nil"/>
              <w:bottom w:val="nil"/>
              <w:right w:val="nil"/>
            </w:tcBorders>
            <w:noWrap/>
            <w:hideMark/>
          </w:tcPr>
          <w:p w14:paraId="44D3DF8E" w14:textId="77777777" w:rsidR="0057310D" w:rsidRPr="003C242B" w:rsidRDefault="0057310D" w:rsidP="0077518A">
            <w:pPr>
              <w:pStyle w:val="CETBodytext"/>
              <w:jc w:val="center"/>
              <w:rPr>
                <w:rFonts w:cs="Arial"/>
                <w:szCs w:val="18"/>
              </w:rPr>
            </w:pPr>
            <w:r w:rsidRPr="003C242B">
              <w:rPr>
                <w:rFonts w:cs="Arial"/>
                <w:szCs w:val="18"/>
              </w:rPr>
              <w:t>1.006</w:t>
            </w:r>
          </w:p>
        </w:tc>
        <w:tc>
          <w:tcPr>
            <w:tcW w:w="321" w:type="pct"/>
            <w:tcBorders>
              <w:top w:val="nil"/>
              <w:left w:val="nil"/>
              <w:bottom w:val="nil"/>
              <w:right w:val="nil"/>
            </w:tcBorders>
            <w:hideMark/>
          </w:tcPr>
          <w:p w14:paraId="0F3430A5" w14:textId="77777777" w:rsidR="0057310D" w:rsidRPr="003C242B" w:rsidRDefault="0057310D" w:rsidP="0077518A">
            <w:pPr>
              <w:pStyle w:val="CETBodytext"/>
              <w:jc w:val="center"/>
              <w:rPr>
                <w:rFonts w:cs="Arial"/>
                <w:szCs w:val="18"/>
              </w:rPr>
            </w:pPr>
            <w:r w:rsidRPr="003C242B">
              <w:rPr>
                <w:rFonts w:cs="Arial"/>
                <w:szCs w:val="18"/>
              </w:rPr>
              <w:t>32.2</w:t>
            </w:r>
          </w:p>
        </w:tc>
        <w:tc>
          <w:tcPr>
            <w:tcW w:w="302" w:type="pct"/>
            <w:tcBorders>
              <w:top w:val="nil"/>
              <w:left w:val="nil"/>
              <w:bottom w:val="nil"/>
              <w:right w:val="nil"/>
            </w:tcBorders>
            <w:noWrap/>
            <w:hideMark/>
          </w:tcPr>
          <w:p w14:paraId="603ADD31" w14:textId="77777777" w:rsidR="0057310D" w:rsidRPr="003C242B" w:rsidRDefault="0057310D" w:rsidP="0077518A">
            <w:pPr>
              <w:pStyle w:val="CETBodytext"/>
              <w:jc w:val="center"/>
              <w:rPr>
                <w:rFonts w:cs="Arial"/>
                <w:szCs w:val="18"/>
              </w:rPr>
            </w:pPr>
            <w:r w:rsidRPr="003C242B">
              <w:rPr>
                <w:rFonts w:cs="Arial"/>
                <w:szCs w:val="18"/>
              </w:rPr>
              <w:t>2.04</w:t>
            </w:r>
          </w:p>
        </w:tc>
        <w:tc>
          <w:tcPr>
            <w:tcW w:w="325" w:type="pct"/>
            <w:tcBorders>
              <w:top w:val="nil"/>
              <w:left w:val="nil"/>
              <w:bottom w:val="nil"/>
              <w:right w:val="nil"/>
            </w:tcBorders>
            <w:hideMark/>
          </w:tcPr>
          <w:p w14:paraId="4D4483EE" w14:textId="77777777" w:rsidR="0057310D" w:rsidRPr="003C242B" w:rsidRDefault="0057310D" w:rsidP="0077518A">
            <w:pPr>
              <w:pStyle w:val="CETBodytext"/>
              <w:jc w:val="center"/>
              <w:rPr>
                <w:rFonts w:cs="Arial"/>
                <w:szCs w:val="18"/>
              </w:rPr>
            </w:pPr>
            <w:r w:rsidRPr="003C242B">
              <w:rPr>
                <w:rFonts w:cs="Arial"/>
                <w:szCs w:val="18"/>
              </w:rPr>
              <w:t>2.14</w:t>
            </w:r>
          </w:p>
        </w:tc>
        <w:tc>
          <w:tcPr>
            <w:tcW w:w="207" w:type="pct"/>
            <w:tcBorders>
              <w:top w:val="nil"/>
              <w:left w:val="nil"/>
              <w:bottom w:val="nil"/>
              <w:right w:val="nil"/>
            </w:tcBorders>
            <w:hideMark/>
          </w:tcPr>
          <w:p w14:paraId="58862736" w14:textId="77777777" w:rsidR="0057310D" w:rsidRPr="003C242B" w:rsidRDefault="0057310D" w:rsidP="0077518A">
            <w:pPr>
              <w:pStyle w:val="CETBodytext"/>
              <w:jc w:val="center"/>
              <w:rPr>
                <w:rFonts w:cs="Arial"/>
                <w:szCs w:val="18"/>
              </w:rPr>
            </w:pPr>
            <w:r w:rsidRPr="003C242B">
              <w:rPr>
                <w:rFonts w:cs="Arial"/>
                <w:szCs w:val="18"/>
              </w:rPr>
              <w:t>2.1</w:t>
            </w:r>
          </w:p>
        </w:tc>
        <w:tc>
          <w:tcPr>
            <w:tcW w:w="346" w:type="pct"/>
            <w:tcBorders>
              <w:top w:val="nil"/>
              <w:left w:val="nil"/>
              <w:bottom w:val="nil"/>
              <w:right w:val="nil"/>
            </w:tcBorders>
            <w:hideMark/>
          </w:tcPr>
          <w:p w14:paraId="2D9B3615" w14:textId="77777777" w:rsidR="0057310D" w:rsidRPr="003C242B" w:rsidRDefault="0057310D" w:rsidP="0077518A">
            <w:pPr>
              <w:pStyle w:val="CETBodytext"/>
              <w:jc w:val="center"/>
              <w:rPr>
                <w:rFonts w:cs="Arial"/>
                <w:szCs w:val="18"/>
              </w:rPr>
            </w:pPr>
            <w:r w:rsidRPr="003C242B">
              <w:rPr>
                <w:rFonts w:cs="Arial"/>
                <w:szCs w:val="18"/>
              </w:rPr>
              <w:t>15.6</w:t>
            </w:r>
          </w:p>
        </w:tc>
        <w:tc>
          <w:tcPr>
            <w:tcW w:w="270" w:type="pct"/>
            <w:tcBorders>
              <w:top w:val="nil"/>
              <w:left w:val="nil"/>
              <w:bottom w:val="nil"/>
              <w:right w:val="nil"/>
            </w:tcBorders>
            <w:hideMark/>
          </w:tcPr>
          <w:p w14:paraId="367699F2" w14:textId="7A6E2979" w:rsidR="0057310D" w:rsidRPr="003C242B" w:rsidRDefault="0057310D" w:rsidP="0077518A">
            <w:pPr>
              <w:pStyle w:val="CETBodytext"/>
              <w:jc w:val="center"/>
              <w:rPr>
                <w:rFonts w:cs="Arial"/>
                <w:szCs w:val="18"/>
              </w:rPr>
            </w:pPr>
            <w:r w:rsidRPr="003C242B">
              <w:rPr>
                <w:rFonts w:cs="Arial"/>
                <w:szCs w:val="18"/>
              </w:rPr>
              <w:t>26</w:t>
            </w:r>
            <w:r w:rsidR="0077518A" w:rsidRPr="003C242B">
              <w:rPr>
                <w:rFonts w:cs="Arial"/>
                <w:szCs w:val="18"/>
              </w:rPr>
              <w:t>1</w:t>
            </w:r>
          </w:p>
        </w:tc>
        <w:tc>
          <w:tcPr>
            <w:tcW w:w="324" w:type="pct"/>
            <w:tcBorders>
              <w:top w:val="nil"/>
              <w:left w:val="nil"/>
              <w:bottom w:val="nil"/>
              <w:right w:val="nil"/>
            </w:tcBorders>
            <w:hideMark/>
          </w:tcPr>
          <w:p w14:paraId="7EFCBC57" w14:textId="5335344E" w:rsidR="0057310D" w:rsidRPr="003C242B" w:rsidRDefault="0057310D" w:rsidP="0077518A">
            <w:pPr>
              <w:pStyle w:val="CETBodytext"/>
              <w:jc w:val="center"/>
              <w:rPr>
                <w:rFonts w:cs="Arial"/>
                <w:szCs w:val="18"/>
              </w:rPr>
            </w:pPr>
            <w:r w:rsidRPr="003C242B">
              <w:rPr>
                <w:rFonts w:cs="Arial"/>
                <w:szCs w:val="18"/>
              </w:rPr>
              <w:t>557</w:t>
            </w:r>
          </w:p>
        </w:tc>
      </w:tr>
      <w:tr w:rsidR="0077518A" w:rsidRPr="003C242B" w14:paraId="27EE5FA9" w14:textId="77777777" w:rsidTr="0077518A">
        <w:trPr>
          <w:trHeight w:val="106"/>
        </w:trPr>
        <w:tc>
          <w:tcPr>
            <w:tcW w:w="538" w:type="pct"/>
            <w:tcBorders>
              <w:top w:val="nil"/>
              <w:left w:val="nil"/>
              <w:bottom w:val="nil"/>
              <w:right w:val="nil"/>
            </w:tcBorders>
            <w:hideMark/>
          </w:tcPr>
          <w:p w14:paraId="60695590" w14:textId="77777777" w:rsidR="0057310D" w:rsidRPr="003C242B" w:rsidRDefault="0057310D" w:rsidP="0057310D">
            <w:pPr>
              <w:pStyle w:val="CETBodytext"/>
              <w:rPr>
                <w:rFonts w:cs="Arial"/>
                <w:szCs w:val="18"/>
              </w:rPr>
            </w:pPr>
            <w:r w:rsidRPr="003C242B">
              <w:rPr>
                <w:rFonts w:cs="Arial"/>
                <w:szCs w:val="18"/>
              </w:rPr>
              <w:t>4 – HG-AP</w:t>
            </w:r>
          </w:p>
        </w:tc>
        <w:tc>
          <w:tcPr>
            <w:tcW w:w="423" w:type="pct"/>
            <w:tcBorders>
              <w:top w:val="nil"/>
              <w:left w:val="nil"/>
              <w:bottom w:val="nil"/>
              <w:right w:val="nil"/>
            </w:tcBorders>
            <w:hideMark/>
          </w:tcPr>
          <w:p w14:paraId="44045B11" w14:textId="77777777" w:rsidR="0057310D" w:rsidRPr="003C242B" w:rsidRDefault="0057310D" w:rsidP="0077518A">
            <w:pPr>
              <w:pStyle w:val="CETBodytext"/>
              <w:jc w:val="center"/>
              <w:rPr>
                <w:rFonts w:cs="Arial"/>
                <w:szCs w:val="18"/>
              </w:rPr>
            </w:pPr>
            <w:r w:rsidRPr="003C242B">
              <w:rPr>
                <w:rFonts w:cs="Arial"/>
                <w:szCs w:val="18"/>
              </w:rPr>
              <w:t>40.0±0.5</w:t>
            </w:r>
          </w:p>
        </w:tc>
        <w:tc>
          <w:tcPr>
            <w:tcW w:w="391" w:type="pct"/>
            <w:tcBorders>
              <w:top w:val="nil"/>
              <w:left w:val="nil"/>
              <w:bottom w:val="nil"/>
              <w:right w:val="nil"/>
            </w:tcBorders>
            <w:hideMark/>
          </w:tcPr>
          <w:p w14:paraId="76266846" w14:textId="77777777" w:rsidR="0057310D" w:rsidRPr="003C242B" w:rsidRDefault="0057310D" w:rsidP="0077518A">
            <w:pPr>
              <w:pStyle w:val="CETBodytext"/>
              <w:jc w:val="center"/>
              <w:rPr>
                <w:rFonts w:cs="Arial"/>
                <w:szCs w:val="18"/>
              </w:rPr>
            </w:pPr>
            <w:r w:rsidRPr="003C242B">
              <w:rPr>
                <w:rFonts w:cs="Arial"/>
                <w:szCs w:val="18"/>
              </w:rPr>
              <w:t>1013.25</w:t>
            </w:r>
          </w:p>
        </w:tc>
        <w:tc>
          <w:tcPr>
            <w:tcW w:w="270" w:type="pct"/>
            <w:tcBorders>
              <w:top w:val="nil"/>
              <w:left w:val="nil"/>
              <w:bottom w:val="nil"/>
              <w:right w:val="nil"/>
            </w:tcBorders>
            <w:hideMark/>
          </w:tcPr>
          <w:p w14:paraId="3A7B421C" w14:textId="77777777" w:rsidR="0057310D" w:rsidRPr="003C242B" w:rsidRDefault="0057310D" w:rsidP="0077518A">
            <w:pPr>
              <w:pStyle w:val="CETBodytext"/>
              <w:jc w:val="center"/>
              <w:rPr>
                <w:rFonts w:cs="Arial"/>
                <w:szCs w:val="18"/>
              </w:rPr>
            </w:pPr>
            <w:r w:rsidRPr="003C242B">
              <w:rPr>
                <w:rFonts w:cs="Arial"/>
                <w:szCs w:val="18"/>
              </w:rPr>
              <w:t>1.073</w:t>
            </w:r>
          </w:p>
        </w:tc>
        <w:tc>
          <w:tcPr>
            <w:tcW w:w="270" w:type="pct"/>
            <w:tcBorders>
              <w:top w:val="nil"/>
              <w:left w:val="nil"/>
              <w:bottom w:val="nil"/>
              <w:right w:val="nil"/>
            </w:tcBorders>
            <w:noWrap/>
            <w:hideMark/>
          </w:tcPr>
          <w:p w14:paraId="25A40F9B" w14:textId="77777777" w:rsidR="0057310D" w:rsidRPr="003C242B" w:rsidRDefault="0057310D" w:rsidP="0077518A">
            <w:pPr>
              <w:pStyle w:val="CETBodytext"/>
              <w:jc w:val="center"/>
              <w:rPr>
                <w:rFonts w:cs="Arial"/>
                <w:szCs w:val="18"/>
              </w:rPr>
            </w:pPr>
            <w:r w:rsidRPr="003C242B">
              <w:rPr>
                <w:rFonts w:cs="Arial"/>
                <w:szCs w:val="18"/>
              </w:rPr>
              <w:t>197.3</w:t>
            </w:r>
          </w:p>
        </w:tc>
        <w:tc>
          <w:tcPr>
            <w:tcW w:w="334" w:type="pct"/>
            <w:tcBorders>
              <w:top w:val="nil"/>
              <w:left w:val="nil"/>
              <w:bottom w:val="nil"/>
              <w:right w:val="nil"/>
            </w:tcBorders>
            <w:noWrap/>
            <w:hideMark/>
          </w:tcPr>
          <w:p w14:paraId="21F76236" w14:textId="77777777" w:rsidR="0057310D" w:rsidRPr="003C242B" w:rsidRDefault="0057310D" w:rsidP="0077518A">
            <w:pPr>
              <w:pStyle w:val="CETBodytext"/>
              <w:jc w:val="center"/>
              <w:rPr>
                <w:rFonts w:cs="Arial"/>
                <w:szCs w:val="18"/>
              </w:rPr>
            </w:pPr>
            <w:r w:rsidRPr="003C242B">
              <w:rPr>
                <w:rFonts w:cs="Arial"/>
                <w:szCs w:val="18"/>
              </w:rPr>
              <w:t>18.3</w:t>
            </w:r>
          </w:p>
        </w:tc>
        <w:tc>
          <w:tcPr>
            <w:tcW w:w="274" w:type="pct"/>
            <w:tcBorders>
              <w:top w:val="nil"/>
              <w:left w:val="nil"/>
              <w:bottom w:val="nil"/>
              <w:right w:val="nil"/>
            </w:tcBorders>
            <w:hideMark/>
          </w:tcPr>
          <w:p w14:paraId="2A7F6E3C" w14:textId="77777777" w:rsidR="0057310D" w:rsidRPr="003C242B" w:rsidRDefault="0057310D" w:rsidP="0077518A">
            <w:pPr>
              <w:pStyle w:val="CETBodytext"/>
              <w:jc w:val="center"/>
              <w:rPr>
                <w:rFonts w:cs="Arial"/>
                <w:szCs w:val="18"/>
              </w:rPr>
            </w:pPr>
            <w:r w:rsidRPr="003C242B">
              <w:rPr>
                <w:rFonts w:cs="Arial"/>
                <w:szCs w:val="18"/>
              </w:rPr>
              <w:t>74.0</w:t>
            </w:r>
          </w:p>
        </w:tc>
        <w:tc>
          <w:tcPr>
            <w:tcW w:w="405" w:type="pct"/>
            <w:tcBorders>
              <w:top w:val="nil"/>
              <w:left w:val="nil"/>
              <w:bottom w:val="nil"/>
              <w:right w:val="nil"/>
            </w:tcBorders>
            <w:noWrap/>
            <w:hideMark/>
          </w:tcPr>
          <w:p w14:paraId="75B4CB9C" w14:textId="77777777" w:rsidR="0057310D" w:rsidRPr="003C242B" w:rsidRDefault="0057310D" w:rsidP="0077518A">
            <w:pPr>
              <w:pStyle w:val="CETBodytext"/>
              <w:jc w:val="center"/>
              <w:rPr>
                <w:rFonts w:cs="Arial"/>
                <w:szCs w:val="18"/>
              </w:rPr>
            </w:pPr>
            <w:r w:rsidRPr="003C242B">
              <w:rPr>
                <w:rFonts w:cs="Arial"/>
                <w:szCs w:val="18"/>
              </w:rPr>
              <w:t>1.011</w:t>
            </w:r>
          </w:p>
        </w:tc>
        <w:tc>
          <w:tcPr>
            <w:tcW w:w="321" w:type="pct"/>
            <w:tcBorders>
              <w:top w:val="nil"/>
              <w:left w:val="nil"/>
              <w:bottom w:val="nil"/>
              <w:right w:val="nil"/>
            </w:tcBorders>
            <w:hideMark/>
          </w:tcPr>
          <w:p w14:paraId="33F41B61" w14:textId="77777777" w:rsidR="0057310D" w:rsidRPr="003C242B" w:rsidRDefault="0057310D" w:rsidP="0077518A">
            <w:pPr>
              <w:pStyle w:val="CETBodytext"/>
              <w:jc w:val="center"/>
              <w:rPr>
                <w:rFonts w:cs="Arial"/>
                <w:szCs w:val="18"/>
              </w:rPr>
            </w:pPr>
            <w:r w:rsidRPr="003C242B">
              <w:rPr>
                <w:rFonts w:cs="Arial"/>
                <w:szCs w:val="18"/>
              </w:rPr>
              <w:t>59.6</w:t>
            </w:r>
          </w:p>
        </w:tc>
        <w:tc>
          <w:tcPr>
            <w:tcW w:w="302" w:type="pct"/>
            <w:tcBorders>
              <w:top w:val="nil"/>
              <w:left w:val="nil"/>
              <w:bottom w:val="nil"/>
              <w:right w:val="nil"/>
            </w:tcBorders>
            <w:noWrap/>
            <w:hideMark/>
          </w:tcPr>
          <w:p w14:paraId="36CB2DE2" w14:textId="77777777" w:rsidR="0057310D" w:rsidRPr="003C242B" w:rsidRDefault="0057310D" w:rsidP="0077518A">
            <w:pPr>
              <w:pStyle w:val="CETBodytext"/>
              <w:jc w:val="center"/>
              <w:rPr>
                <w:rFonts w:cs="Arial"/>
                <w:szCs w:val="18"/>
              </w:rPr>
            </w:pPr>
            <w:r w:rsidRPr="003C242B">
              <w:rPr>
                <w:rFonts w:cs="Arial"/>
                <w:szCs w:val="18"/>
              </w:rPr>
              <w:t>3.21</w:t>
            </w:r>
          </w:p>
        </w:tc>
        <w:tc>
          <w:tcPr>
            <w:tcW w:w="325" w:type="pct"/>
            <w:tcBorders>
              <w:top w:val="nil"/>
              <w:left w:val="nil"/>
              <w:bottom w:val="nil"/>
              <w:right w:val="nil"/>
            </w:tcBorders>
            <w:hideMark/>
          </w:tcPr>
          <w:p w14:paraId="2BAC022E" w14:textId="77777777" w:rsidR="0057310D" w:rsidRPr="003C242B" w:rsidRDefault="0057310D" w:rsidP="0077518A">
            <w:pPr>
              <w:pStyle w:val="CETBodytext"/>
              <w:jc w:val="center"/>
              <w:rPr>
                <w:rFonts w:cs="Arial"/>
                <w:szCs w:val="18"/>
              </w:rPr>
            </w:pPr>
            <w:r w:rsidRPr="003C242B">
              <w:rPr>
                <w:rFonts w:cs="Arial"/>
                <w:szCs w:val="18"/>
              </w:rPr>
              <w:t>7.51</w:t>
            </w:r>
          </w:p>
        </w:tc>
        <w:tc>
          <w:tcPr>
            <w:tcW w:w="207" w:type="pct"/>
            <w:tcBorders>
              <w:top w:val="nil"/>
              <w:left w:val="nil"/>
              <w:bottom w:val="nil"/>
              <w:right w:val="nil"/>
            </w:tcBorders>
          </w:tcPr>
          <w:p w14:paraId="00DC78B4" w14:textId="77777777" w:rsidR="0057310D" w:rsidRPr="003C242B" w:rsidRDefault="0057310D" w:rsidP="0077518A">
            <w:pPr>
              <w:pStyle w:val="CETBodytext"/>
              <w:jc w:val="center"/>
              <w:rPr>
                <w:rFonts w:cs="Arial"/>
                <w:szCs w:val="18"/>
              </w:rPr>
            </w:pPr>
          </w:p>
        </w:tc>
        <w:tc>
          <w:tcPr>
            <w:tcW w:w="346" w:type="pct"/>
            <w:tcBorders>
              <w:top w:val="nil"/>
              <w:left w:val="nil"/>
              <w:bottom w:val="nil"/>
              <w:right w:val="nil"/>
            </w:tcBorders>
          </w:tcPr>
          <w:p w14:paraId="250F4AA3" w14:textId="77777777" w:rsidR="0057310D" w:rsidRPr="003C242B" w:rsidRDefault="0057310D" w:rsidP="0077518A">
            <w:pPr>
              <w:pStyle w:val="CETBodytext"/>
              <w:jc w:val="center"/>
              <w:rPr>
                <w:rFonts w:cs="Arial"/>
                <w:szCs w:val="18"/>
              </w:rPr>
            </w:pPr>
          </w:p>
        </w:tc>
        <w:tc>
          <w:tcPr>
            <w:tcW w:w="270" w:type="pct"/>
            <w:tcBorders>
              <w:top w:val="nil"/>
              <w:left w:val="nil"/>
              <w:bottom w:val="nil"/>
              <w:right w:val="nil"/>
            </w:tcBorders>
            <w:hideMark/>
          </w:tcPr>
          <w:p w14:paraId="56AF205D" w14:textId="77777777" w:rsidR="0057310D" w:rsidRPr="003C242B" w:rsidRDefault="0057310D" w:rsidP="0077518A">
            <w:pPr>
              <w:pStyle w:val="CETBodytext"/>
              <w:jc w:val="center"/>
              <w:rPr>
                <w:rFonts w:cs="Arial"/>
                <w:szCs w:val="18"/>
              </w:rPr>
            </w:pPr>
            <w:r w:rsidRPr="003C242B">
              <w:rPr>
                <w:rFonts w:cs="Arial"/>
                <w:szCs w:val="18"/>
              </w:rPr>
              <w:t>0.0</w:t>
            </w:r>
          </w:p>
        </w:tc>
        <w:tc>
          <w:tcPr>
            <w:tcW w:w="324" w:type="pct"/>
            <w:tcBorders>
              <w:top w:val="nil"/>
              <w:left w:val="nil"/>
              <w:bottom w:val="nil"/>
              <w:right w:val="nil"/>
            </w:tcBorders>
            <w:hideMark/>
          </w:tcPr>
          <w:p w14:paraId="17796A44" w14:textId="62073713" w:rsidR="0057310D" w:rsidRPr="003C242B" w:rsidRDefault="0057310D" w:rsidP="0077518A">
            <w:pPr>
              <w:pStyle w:val="CETBodytext"/>
              <w:jc w:val="center"/>
              <w:rPr>
                <w:rFonts w:cs="Arial"/>
                <w:szCs w:val="18"/>
              </w:rPr>
            </w:pPr>
            <w:r w:rsidRPr="003C242B">
              <w:rPr>
                <w:rFonts w:cs="Arial"/>
                <w:szCs w:val="18"/>
              </w:rPr>
              <w:t>104</w:t>
            </w:r>
            <w:r w:rsidR="0077518A" w:rsidRPr="003C242B">
              <w:rPr>
                <w:rFonts w:cs="Arial"/>
                <w:szCs w:val="18"/>
              </w:rPr>
              <w:t>1</w:t>
            </w:r>
          </w:p>
        </w:tc>
      </w:tr>
      <w:tr w:rsidR="0077518A" w:rsidRPr="003C242B" w14:paraId="2C37F1E4" w14:textId="77777777" w:rsidTr="0077518A">
        <w:trPr>
          <w:trHeight w:val="20"/>
        </w:trPr>
        <w:tc>
          <w:tcPr>
            <w:tcW w:w="538" w:type="pct"/>
            <w:tcBorders>
              <w:top w:val="nil"/>
              <w:left w:val="nil"/>
              <w:bottom w:val="nil"/>
              <w:right w:val="nil"/>
            </w:tcBorders>
            <w:hideMark/>
          </w:tcPr>
          <w:p w14:paraId="7ED8AFA1" w14:textId="77777777" w:rsidR="0057310D" w:rsidRPr="003C242B" w:rsidRDefault="0057310D" w:rsidP="0057310D">
            <w:pPr>
              <w:pStyle w:val="CETBodytext"/>
              <w:rPr>
                <w:rFonts w:cs="Arial"/>
                <w:szCs w:val="18"/>
              </w:rPr>
            </w:pPr>
            <w:r w:rsidRPr="003C242B">
              <w:rPr>
                <w:rFonts w:cs="Arial"/>
                <w:szCs w:val="18"/>
              </w:rPr>
              <w:t>5 – HG-UV</w:t>
            </w:r>
          </w:p>
        </w:tc>
        <w:tc>
          <w:tcPr>
            <w:tcW w:w="423" w:type="pct"/>
            <w:tcBorders>
              <w:top w:val="nil"/>
              <w:left w:val="nil"/>
              <w:bottom w:val="nil"/>
              <w:right w:val="nil"/>
            </w:tcBorders>
            <w:hideMark/>
          </w:tcPr>
          <w:p w14:paraId="59D6C081" w14:textId="77777777" w:rsidR="0057310D" w:rsidRPr="003C242B" w:rsidRDefault="0057310D" w:rsidP="0077518A">
            <w:pPr>
              <w:pStyle w:val="CETBodytext"/>
              <w:jc w:val="center"/>
              <w:rPr>
                <w:rFonts w:cs="Arial"/>
                <w:szCs w:val="18"/>
              </w:rPr>
            </w:pPr>
            <w:r w:rsidRPr="003C242B">
              <w:rPr>
                <w:rFonts w:cs="Arial"/>
                <w:szCs w:val="18"/>
              </w:rPr>
              <w:t>39.5±0.8</w:t>
            </w:r>
          </w:p>
        </w:tc>
        <w:tc>
          <w:tcPr>
            <w:tcW w:w="391" w:type="pct"/>
            <w:tcBorders>
              <w:top w:val="nil"/>
              <w:left w:val="nil"/>
              <w:bottom w:val="nil"/>
              <w:right w:val="nil"/>
            </w:tcBorders>
            <w:hideMark/>
          </w:tcPr>
          <w:p w14:paraId="1EA3E903" w14:textId="77777777" w:rsidR="0057310D" w:rsidRPr="003C242B" w:rsidRDefault="0057310D" w:rsidP="0077518A">
            <w:pPr>
              <w:pStyle w:val="CETBodytext"/>
              <w:jc w:val="center"/>
              <w:rPr>
                <w:rFonts w:cs="Arial"/>
                <w:szCs w:val="18"/>
              </w:rPr>
            </w:pPr>
            <w:r w:rsidRPr="003C242B">
              <w:rPr>
                <w:rFonts w:cs="Arial"/>
                <w:szCs w:val="18"/>
              </w:rPr>
              <w:t>191±11</w:t>
            </w:r>
          </w:p>
        </w:tc>
        <w:tc>
          <w:tcPr>
            <w:tcW w:w="270" w:type="pct"/>
            <w:tcBorders>
              <w:top w:val="nil"/>
              <w:left w:val="nil"/>
              <w:bottom w:val="nil"/>
              <w:right w:val="nil"/>
            </w:tcBorders>
            <w:hideMark/>
          </w:tcPr>
          <w:p w14:paraId="112ECAE5" w14:textId="77777777" w:rsidR="0057310D" w:rsidRPr="003C242B" w:rsidRDefault="0057310D" w:rsidP="0077518A">
            <w:pPr>
              <w:pStyle w:val="CETBodytext"/>
              <w:jc w:val="center"/>
              <w:rPr>
                <w:rFonts w:cs="Arial"/>
                <w:szCs w:val="18"/>
              </w:rPr>
            </w:pPr>
            <w:r w:rsidRPr="003C242B">
              <w:rPr>
                <w:rFonts w:cs="Arial"/>
                <w:szCs w:val="18"/>
              </w:rPr>
              <w:t>1.071</w:t>
            </w:r>
          </w:p>
        </w:tc>
        <w:tc>
          <w:tcPr>
            <w:tcW w:w="270" w:type="pct"/>
            <w:tcBorders>
              <w:top w:val="nil"/>
              <w:left w:val="nil"/>
              <w:bottom w:val="nil"/>
              <w:right w:val="nil"/>
            </w:tcBorders>
            <w:noWrap/>
            <w:hideMark/>
          </w:tcPr>
          <w:p w14:paraId="4B2A6C83" w14:textId="77777777" w:rsidR="0057310D" w:rsidRPr="003C242B" w:rsidRDefault="0057310D" w:rsidP="0077518A">
            <w:pPr>
              <w:pStyle w:val="CETBodytext"/>
              <w:jc w:val="center"/>
              <w:rPr>
                <w:rFonts w:cs="Arial"/>
                <w:szCs w:val="18"/>
              </w:rPr>
            </w:pPr>
            <w:r w:rsidRPr="003C242B">
              <w:rPr>
                <w:rFonts w:cs="Arial"/>
                <w:szCs w:val="18"/>
              </w:rPr>
              <w:t>191.7</w:t>
            </w:r>
          </w:p>
        </w:tc>
        <w:tc>
          <w:tcPr>
            <w:tcW w:w="334" w:type="pct"/>
            <w:tcBorders>
              <w:top w:val="nil"/>
              <w:left w:val="nil"/>
              <w:bottom w:val="nil"/>
              <w:right w:val="nil"/>
            </w:tcBorders>
            <w:noWrap/>
            <w:hideMark/>
          </w:tcPr>
          <w:p w14:paraId="3591B5B5" w14:textId="77777777" w:rsidR="0057310D" w:rsidRPr="003C242B" w:rsidRDefault="0057310D" w:rsidP="0077518A">
            <w:pPr>
              <w:pStyle w:val="CETBodytext"/>
              <w:jc w:val="center"/>
              <w:rPr>
                <w:rFonts w:cs="Arial"/>
                <w:szCs w:val="18"/>
              </w:rPr>
            </w:pPr>
            <w:r w:rsidRPr="003C242B">
              <w:rPr>
                <w:rFonts w:cs="Arial"/>
                <w:szCs w:val="18"/>
              </w:rPr>
              <w:t>17.8</w:t>
            </w:r>
          </w:p>
        </w:tc>
        <w:tc>
          <w:tcPr>
            <w:tcW w:w="274" w:type="pct"/>
            <w:tcBorders>
              <w:top w:val="nil"/>
              <w:left w:val="nil"/>
              <w:bottom w:val="nil"/>
              <w:right w:val="nil"/>
            </w:tcBorders>
            <w:hideMark/>
          </w:tcPr>
          <w:p w14:paraId="31F4AB9C" w14:textId="77777777" w:rsidR="0057310D" w:rsidRPr="003C242B" w:rsidRDefault="0057310D" w:rsidP="0077518A">
            <w:pPr>
              <w:pStyle w:val="CETBodytext"/>
              <w:jc w:val="center"/>
              <w:rPr>
                <w:rFonts w:cs="Arial"/>
                <w:szCs w:val="18"/>
              </w:rPr>
            </w:pPr>
            <w:r w:rsidRPr="003C242B">
              <w:rPr>
                <w:rFonts w:cs="Arial"/>
                <w:szCs w:val="18"/>
              </w:rPr>
              <w:t>67.8</w:t>
            </w:r>
          </w:p>
        </w:tc>
        <w:tc>
          <w:tcPr>
            <w:tcW w:w="405" w:type="pct"/>
            <w:tcBorders>
              <w:top w:val="nil"/>
              <w:left w:val="nil"/>
              <w:bottom w:val="nil"/>
              <w:right w:val="nil"/>
            </w:tcBorders>
            <w:noWrap/>
            <w:hideMark/>
          </w:tcPr>
          <w:p w14:paraId="126844C2" w14:textId="77777777" w:rsidR="0057310D" w:rsidRPr="003C242B" w:rsidRDefault="0057310D" w:rsidP="0077518A">
            <w:pPr>
              <w:pStyle w:val="CETBodytext"/>
              <w:jc w:val="center"/>
              <w:rPr>
                <w:rFonts w:cs="Arial"/>
                <w:szCs w:val="18"/>
              </w:rPr>
            </w:pPr>
            <w:r w:rsidRPr="003C242B">
              <w:rPr>
                <w:rFonts w:cs="Arial"/>
                <w:szCs w:val="18"/>
              </w:rPr>
              <w:t>1.023</w:t>
            </w:r>
          </w:p>
        </w:tc>
        <w:tc>
          <w:tcPr>
            <w:tcW w:w="321" w:type="pct"/>
            <w:tcBorders>
              <w:top w:val="nil"/>
              <w:left w:val="nil"/>
              <w:bottom w:val="nil"/>
              <w:right w:val="nil"/>
            </w:tcBorders>
            <w:hideMark/>
          </w:tcPr>
          <w:p w14:paraId="45228C16" w14:textId="77777777" w:rsidR="0057310D" w:rsidRPr="003C242B" w:rsidRDefault="0057310D" w:rsidP="0077518A">
            <w:pPr>
              <w:pStyle w:val="CETBodytext"/>
              <w:jc w:val="center"/>
              <w:rPr>
                <w:rFonts w:cs="Arial"/>
                <w:szCs w:val="18"/>
              </w:rPr>
            </w:pPr>
            <w:r w:rsidRPr="003C242B">
              <w:rPr>
                <w:rFonts w:cs="Arial"/>
                <w:szCs w:val="18"/>
              </w:rPr>
              <w:t>74.2</w:t>
            </w:r>
          </w:p>
        </w:tc>
        <w:tc>
          <w:tcPr>
            <w:tcW w:w="302" w:type="pct"/>
            <w:tcBorders>
              <w:top w:val="nil"/>
              <w:left w:val="nil"/>
              <w:bottom w:val="nil"/>
              <w:right w:val="nil"/>
            </w:tcBorders>
            <w:noWrap/>
            <w:hideMark/>
          </w:tcPr>
          <w:p w14:paraId="5964F804" w14:textId="77777777" w:rsidR="0057310D" w:rsidRPr="003C242B" w:rsidRDefault="0057310D" w:rsidP="0077518A">
            <w:pPr>
              <w:pStyle w:val="CETBodytext"/>
              <w:jc w:val="center"/>
              <w:rPr>
                <w:rFonts w:cs="Arial"/>
                <w:szCs w:val="18"/>
              </w:rPr>
            </w:pPr>
            <w:r w:rsidRPr="003C242B">
              <w:rPr>
                <w:rFonts w:cs="Arial"/>
                <w:szCs w:val="18"/>
              </w:rPr>
              <w:t>6.53</w:t>
            </w:r>
          </w:p>
        </w:tc>
        <w:tc>
          <w:tcPr>
            <w:tcW w:w="325" w:type="pct"/>
            <w:tcBorders>
              <w:top w:val="nil"/>
              <w:left w:val="nil"/>
              <w:bottom w:val="nil"/>
              <w:right w:val="nil"/>
            </w:tcBorders>
            <w:hideMark/>
          </w:tcPr>
          <w:p w14:paraId="118B8AFF" w14:textId="77777777" w:rsidR="0057310D" w:rsidRPr="003C242B" w:rsidRDefault="0057310D" w:rsidP="0077518A">
            <w:pPr>
              <w:pStyle w:val="CETBodytext"/>
              <w:jc w:val="center"/>
              <w:rPr>
                <w:rFonts w:cs="Arial"/>
                <w:szCs w:val="18"/>
              </w:rPr>
            </w:pPr>
            <w:r w:rsidRPr="003C242B">
              <w:rPr>
                <w:rFonts w:cs="Arial"/>
                <w:szCs w:val="18"/>
              </w:rPr>
              <w:t>1.89</w:t>
            </w:r>
          </w:p>
        </w:tc>
        <w:tc>
          <w:tcPr>
            <w:tcW w:w="207" w:type="pct"/>
            <w:tcBorders>
              <w:top w:val="nil"/>
              <w:left w:val="nil"/>
              <w:bottom w:val="nil"/>
              <w:right w:val="nil"/>
            </w:tcBorders>
            <w:hideMark/>
          </w:tcPr>
          <w:p w14:paraId="31600E70" w14:textId="77777777" w:rsidR="0057310D" w:rsidRPr="003C242B" w:rsidRDefault="0057310D" w:rsidP="0077518A">
            <w:pPr>
              <w:pStyle w:val="CETBodytext"/>
              <w:jc w:val="center"/>
              <w:rPr>
                <w:rFonts w:cs="Arial"/>
                <w:szCs w:val="18"/>
              </w:rPr>
            </w:pPr>
            <w:r w:rsidRPr="003C242B">
              <w:rPr>
                <w:rFonts w:cs="Arial"/>
                <w:szCs w:val="18"/>
              </w:rPr>
              <w:t>4.85</w:t>
            </w:r>
          </w:p>
        </w:tc>
        <w:tc>
          <w:tcPr>
            <w:tcW w:w="346" w:type="pct"/>
            <w:tcBorders>
              <w:top w:val="nil"/>
              <w:left w:val="nil"/>
              <w:bottom w:val="nil"/>
              <w:right w:val="nil"/>
            </w:tcBorders>
            <w:hideMark/>
          </w:tcPr>
          <w:p w14:paraId="4D16A233" w14:textId="77777777" w:rsidR="0057310D" w:rsidRPr="003C242B" w:rsidRDefault="0057310D" w:rsidP="0077518A">
            <w:pPr>
              <w:pStyle w:val="CETBodytext"/>
              <w:jc w:val="center"/>
              <w:rPr>
                <w:rFonts w:cs="Arial"/>
                <w:szCs w:val="18"/>
              </w:rPr>
            </w:pPr>
            <w:r w:rsidRPr="003C242B">
              <w:rPr>
                <w:rFonts w:cs="Arial"/>
                <w:szCs w:val="18"/>
              </w:rPr>
              <w:t>20.1</w:t>
            </w:r>
          </w:p>
        </w:tc>
        <w:tc>
          <w:tcPr>
            <w:tcW w:w="270" w:type="pct"/>
            <w:tcBorders>
              <w:top w:val="nil"/>
              <w:left w:val="nil"/>
              <w:bottom w:val="nil"/>
              <w:right w:val="nil"/>
            </w:tcBorders>
            <w:hideMark/>
          </w:tcPr>
          <w:p w14:paraId="78594B40" w14:textId="3BB96110" w:rsidR="0057310D" w:rsidRPr="003C242B" w:rsidRDefault="0057310D" w:rsidP="0077518A">
            <w:pPr>
              <w:pStyle w:val="CETBodytext"/>
              <w:jc w:val="center"/>
              <w:rPr>
                <w:rFonts w:cs="Arial"/>
                <w:szCs w:val="18"/>
              </w:rPr>
            </w:pPr>
            <w:r w:rsidRPr="003C242B">
              <w:rPr>
                <w:rFonts w:cs="Arial"/>
                <w:szCs w:val="18"/>
              </w:rPr>
              <w:t>775</w:t>
            </w:r>
          </w:p>
        </w:tc>
        <w:tc>
          <w:tcPr>
            <w:tcW w:w="324" w:type="pct"/>
            <w:tcBorders>
              <w:top w:val="nil"/>
              <w:left w:val="nil"/>
              <w:bottom w:val="nil"/>
              <w:right w:val="nil"/>
            </w:tcBorders>
            <w:hideMark/>
          </w:tcPr>
          <w:p w14:paraId="14A8D675" w14:textId="6CC12E71" w:rsidR="0057310D" w:rsidRPr="003C242B" w:rsidRDefault="0057310D" w:rsidP="0077518A">
            <w:pPr>
              <w:pStyle w:val="CETBodytext"/>
              <w:jc w:val="center"/>
              <w:rPr>
                <w:rFonts w:cs="Arial"/>
                <w:szCs w:val="18"/>
              </w:rPr>
            </w:pPr>
            <w:r w:rsidRPr="003C242B">
              <w:rPr>
                <w:rFonts w:cs="Arial"/>
                <w:szCs w:val="18"/>
              </w:rPr>
              <w:t>97</w:t>
            </w:r>
            <w:r w:rsidR="0077518A" w:rsidRPr="003C242B">
              <w:rPr>
                <w:rFonts w:cs="Arial"/>
                <w:szCs w:val="18"/>
              </w:rPr>
              <w:t>6</w:t>
            </w:r>
          </w:p>
        </w:tc>
      </w:tr>
      <w:tr w:rsidR="0077518A" w:rsidRPr="003C242B" w14:paraId="6B4B5F3F" w14:textId="77777777" w:rsidTr="0077518A">
        <w:trPr>
          <w:trHeight w:val="20"/>
        </w:trPr>
        <w:tc>
          <w:tcPr>
            <w:tcW w:w="538" w:type="pct"/>
            <w:tcBorders>
              <w:top w:val="nil"/>
              <w:left w:val="nil"/>
              <w:bottom w:val="single" w:sz="12" w:space="0" w:color="C0504D" w:themeColor="accent2"/>
              <w:right w:val="nil"/>
            </w:tcBorders>
            <w:hideMark/>
          </w:tcPr>
          <w:p w14:paraId="794771D2" w14:textId="77777777" w:rsidR="0057310D" w:rsidRPr="003C242B" w:rsidRDefault="0057310D" w:rsidP="0057310D">
            <w:pPr>
              <w:pStyle w:val="CETBodytext"/>
              <w:rPr>
                <w:rFonts w:cs="Arial"/>
                <w:szCs w:val="18"/>
              </w:rPr>
            </w:pPr>
            <w:r w:rsidRPr="003C242B">
              <w:rPr>
                <w:rFonts w:cs="Arial"/>
                <w:szCs w:val="18"/>
              </w:rPr>
              <w:t>6 – HG-UV</w:t>
            </w:r>
          </w:p>
        </w:tc>
        <w:tc>
          <w:tcPr>
            <w:tcW w:w="423" w:type="pct"/>
            <w:tcBorders>
              <w:top w:val="nil"/>
              <w:left w:val="nil"/>
              <w:bottom w:val="single" w:sz="12" w:space="0" w:color="C0504D" w:themeColor="accent2"/>
              <w:right w:val="nil"/>
            </w:tcBorders>
            <w:hideMark/>
          </w:tcPr>
          <w:p w14:paraId="44E675C2" w14:textId="77777777" w:rsidR="0057310D" w:rsidRPr="003C242B" w:rsidRDefault="0057310D" w:rsidP="0077518A">
            <w:pPr>
              <w:pStyle w:val="CETBodytext"/>
              <w:jc w:val="center"/>
              <w:rPr>
                <w:rFonts w:cs="Arial"/>
                <w:szCs w:val="18"/>
              </w:rPr>
            </w:pPr>
            <w:r w:rsidRPr="003C242B">
              <w:rPr>
                <w:rFonts w:cs="Arial"/>
                <w:szCs w:val="18"/>
              </w:rPr>
              <w:t>39.6±0.4</w:t>
            </w:r>
          </w:p>
        </w:tc>
        <w:tc>
          <w:tcPr>
            <w:tcW w:w="391" w:type="pct"/>
            <w:tcBorders>
              <w:top w:val="nil"/>
              <w:left w:val="nil"/>
              <w:bottom w:val="single" w:sz="12" w:space="0" w:color="C0504D" w:themeColor="accent2"/>
              <w:right w:val="nil"/>
            </w:tcBorders>
            <w:hideMark/>
          </w:tcPr>
          <w:p w14:paraId="58405FAD" w14:textId="77777777" w:rsidR="0057310D" w:rsidRPr="003C242B" w:rsidRDefault="0057310D" w:rsidP="0077518A">
            <w:pPr>
              <w:pStyle w:val="CETBodytext"/>
              <w:jc w:val="center"/>
              <w:rPr>
                <w:rFonts w:cs="Arial"/>
                <w:szCs w:val="18"/>
              </w:rPr>
            </w:pPr>
            <w:r w:rsidRPr="003C242B">
              <w:rPr>
                <w:rFonts w:cs="Arial"/>
                <w:szCs w:val="18"/>
              </w:rPr>
              <w:t>211±12</w:t>
            </w:r>
          </w:p>
        </w:tc>
        <w:tc>
          <w:tcPr>
            <w:tcW w:w="270" w:type="pct"/>
            <w:tcBorders>
              <w:top w:val="nil"/>
              <w:left w:val="nil"/>
              <w:bottom w:val="single" w:sz="12" w:space="0" w:color="C0504D" w:themeColor="accent2"/>
              <w:right w:val="nil"/>
            </w:tcBorders>
            <w:hideMark/>
          </w:tcPr>
          <w:p w14:paraId="38A365A3" w14:textId="77777777" w:rsidR="0057310D" w:rsidRPr="003C242B" w:rsidRDefault="0057310D" w:rsidP="0077518A">
            <w:pPr>
              <w:pStyle w:val="CETBodytext"/>
              <w:jc w:val="center"/>
              <w:rPr>
                <w:rFonts w:cs="Arial"/>
                <w:szCs w:val="18"/>
              </w:rPr>
            </w:pPr>
            <w:r w:rsidRPr="003C242B">
              <w:rPr>
                <w:rFonts w:cs="Arial"/>
                <w:szCs w:val="18"/>
              </w:rPr>
              <w:t>1.073</w:t>
            </w:r>
          </w:p>
        </w:tc>
        <w:tc>
          <w:tcPr>
            <w:tcW w:w="270" w:type="pct"/>
            <w:tcBorders>
              <w:top w:val="nil"/>
              <w:left w:val="nil"/>
              <w:bottom w:val="single" w:sz="12" w:space="0" w:color="C0504D" w:themeColor="accent2"/>
              <w:right w:val="nil"/>
            </w:tcBorders>
            <w:noWrap/>
            <w:hideMark/>
          </w:tcPr>
          <w:p w14:paraId="6F7EE65E" w14:textId="77777777" w:rsidR="0057310D" w:rsidRPr="003C242B" w:rsidRDefault="0057310D" w:rsidP="0077518A">
            <w:pPr>
              <w:pStyle w:val="CETBodytext"/>
              <w:jc w:val="center"/>
              <w:rPr>
                <w:rFonts w:cs="Arial"/>
                <w:szCs w:val="18"/>
              </w:rPr>
            </w:pPr>
            <w:r w:rsidRPr="003C242B">
              <w:rPr>
                <w:rFonts w:cs="Arial"/>
                <w:szCs w:val="18"/>
              </w:rPr>
              <w:t>197.3</w:t>
            </w:r>
          </w:p>
        </w:tc>
        <w:tc>
          <w:tcPr>
            <w:tcW w:w="334" w:type="pct"/>
            <w:tcBorders>
              <w:top w:val="nil"/>
              <w:left w:val="nil"/>
              <w:bottom w:val="single" w:sz="12" w:space="0" w:color="C0504D" w:themeColor="accent2"/>
              <w:right w:val="nil"/>
            </w:tcBorders>
            <w:noWrap/>
            <w:hideMark/>
          </w:tcPr>
          <w:p w14:paraId="7258A147" w14:textId="77777777" w:rsidR="0057310D" w:rsidRPr="003C242B" w:rsidRDefault="0057310D" w:rsidP="0077518A">
            <w:pPr>
              <w:pStyle w:val="CETBodytext"/>
              <w:jc w:val="center"/>
              <w:rPr>
                <w:rFonts w:cs="Arial"/>
                <w:szCs w:val="18"/>
              </w:rPr>
            </w:pPr>
            <w:r w:rsidRPr="003C242B">
              <w:rPr>
                <w:rFonts w:cs="Arial"/>
                <w:szCs w:val="18"/>
              </w:rPr>
              <w:t>18.3</w:t>
            </w:r>
          </w:p>
        </w:tc>
        <w:tc>
          <w:tcPr>
            <w:tcW w:w="274" w:type="pct"/>
            <w:tcBorders>
              <w:top w:val="nil"/>
              <w:left w:val="nil"/>
              <w:bottom w:val="single" w:sz="12" w:space="0" w:color="C0504D" w:themeColor="accent2"/>
              <w:right w:val="nil"/>
            </w:tcBorders>
            <w:hideMark/>
          </w:tcPr>
          <w:p w14:paraId="4D3007D2" w14:textId="77777777" w:rsidR="0057310D" w:rsidRPr="003C242B" w:rsidRDefault="0057310D" w:rsidP="0077518A">
            <w:pPr>
              <w:pStyle w:val="CETBodytext"/>
              <w:jc w:val="center"/>
              <w:rPr>
                <w:rFonts w:cs="Arial"/>
                <w:szCs w:val="18"/>
              </w:rPr>
            </w:pPr>
            <w:r w:rsidRPr="003C242B">
              <w:rPr>
                <w:rFonts w:cs="Arial"/>
                <w:szCs w:val="18"/>
              </w:rPr>
              <w:t>78.1</w:t>
            </w:r>
          </w:p>
        </w:tc>
        <w:tc>
          <w:tcPr>
            <w:tcW w:w="405" w:type="pct"/>
            <w:tcBorders>
              <w:top w:val="nil"/>
              <w:left w:val="nil"/>
              <w:bottom w:val="single" w:sz="12" w:space="0" w:color="C0504D" w:themeColor="accent2"/>
              <w:right w:val="nil"/>
            </w:tcBorders>
            <w:noWrap/>
            <w:hideMark/>
          </w:tcPr>
          <w:p w14:paraId="46A8D3D6" w14:textId="77777777" w:rsidR="0057310D" w:rsidRPr="003C242B" w:rsidRDefault="0057310D" w:rsidP="0077518A">
            <w:pPr>
              <w:pStyle w:val="CETBodytext"/>
              <w:jc w:val="center"/>
              <w:rPr>
                <w:rFonts w:cs="Arial"/>
                <w:szCs w:val="18"/>
              </w:rPr>
            </w:pPr>
            <w:r w:rsidRPr="003C242B">
              <w:rPr>
                <w:rFonts w:cs="Arial"/>
                <w:szCs w:val="18"/>
              </w:rPr>
              <w:t>1.022</w:t>
            </w:r>
          </w:p>
        </w:tc>
        <w:tc>
          <w:tcPr>
            <w:tcW w:w="321" w:type="pct"/>
            <w:tcBorders>
              <w:top w:val="nil"/>
              <w:left w:val="nil"/>
              <w:bottom w:val="single" w:sz="12" w:space="0" w:color="C0504D" w:themeColor="accent2"/>
              <w:right w:val="nil"/>
            </w:tcBorders>
            <w:hideMark/>
          </w:tcPr>
          <w:p w14:paraId="55D39CB2" w14:textId="77777777" w:rsidR="0057310D" w:rsidRPr="003C242B" w:rsidRDefault="0057310D" w:rsidP="0077518A">
            <w:pPr>
              <w:pStyle w:val="CETBodytext"/>
              <w:jc w:val="center"/>
              <w:rPr>
                <w:rFonts w:cs="Arial"/>
                <w:szCs w:val="18"/>
              </w:rPr>
            </w:pPr>
            <w:r w:rsidRPr="003C242B">
              <w:rPr>
                <w:rFonts w:cs="Arial"/>
                <w:szCs w:val="18"/>
              </w:rPr>
              <w:t>72.1</w:t>
            </w:r>
          </w:p>
        </w:tc>
        <w:tc>
          <w:tcPr>
            <w:tcW w:w="302" w:type="pct"/>
            <w:tcBorders>
              <w:top w:val="nil"/>
              <w:left w:val="nil"/>
              <w:bottom w:val="single" w:sz="12" w:space="0" w:color="C0504D" w:themeColor="accent2"/>
              <w:right w:val="nil"/>
            </w:tcBorders>
            <w:noWrap/>
            <w:hideMark/>
          </w:tcPr>
          <w:p w14:paraId="322F3E58" w14:textId="77777777" w:rsidR="0057310D" w:rsidRPr="003C242B" w:rsidRDefault="0057310D" w:rsidP="0077518A">
            <w:pPr>
              <w:pStyle w:val="CETBodytext"/>
              <w:jc w:val="center"/>
              <w:rPr>
                <w:rFonts w:cs="Arial"/>
                <w:szCs w:val="18"/>
              </w:rPr>
            </w:pPr>
            <w:r w:rsidRPr="003C242B">
              <w:rPr>
                <w:rFonts w:cs="Arial"/>
                <w:szCs w:val="18"/>
              </w:rPr>
              <w:t>6.07</w:t>
            </w:r>
          </w:p>
        </w:tc>
        <w:tc>
          <w:tcPr>
            <w:tcW w:w="325" w:type="pct"/>
            <w:tcBorders>
              <w:top w:val="nil"/>
              <w:left w:val="nil"/>
              <w:bottom w:val="single" w:sz="12" w:space="0" w:color="C0504D" w:themeColor="accent2"/>
              <w:right w:val="nil"/>
            </w:tcBorders>
            <w:hideMark/>
          </w:tcPr>
          <w:p w14:paraId="59777C1A" w14:textId="77777777" w:rsidR="0057310D" w:rsidRPr="003C242B" w:rsidRDefault="0057310D" w:rsidP="0077518A">
            <w:pPr>
              <w:pStyle w:val="CETBodytext"/>
              <w:jc w:val="center"/>
              <w:rPr>
                <w:rFonts w:cs="Arial"/>
                <w:szCs w:val="18"/>
              </w:rPr>
            </w:pPr>
            <w:r w:rsidRPr="003C242B">
              <w:rPr>
                <w:rFonts w:cs="Arial"/>
                <w:szCs w:val="18"/>
              </w:rPr>
              <w:t>2.62</w:t>
            </w:r>
          </w:p>
        </w:tc>
        <w:tc>
          <w:tcPr>
            <w:tcW w:w="207" w:type="pct"/>
            <w:tcBorders>
              <w:top w:val="nil"/>
              <w:left w:val="nil"/>
              <w:bottom w:val="single" w:sz="12" w:space="0" w:color="C0504D" w:themeColor="accent2"/>
              <w:right w:val="nil"/>
            </w:tcBorders>
            <w:hideMark/>
          </w:tcPr>
          <w:p w14:paraId="57E0CBE2" w14:textId="77777777" w:rsidR="0057310D" w:rsidRPr="003C242B" w:rsidRDefault="0057310D" w:rsidP="0077518A">
            <w:pPr>
              <w:pStyle w:val="CETBodytext"/>
              <w:jc w:val="center"/>
              <w:rPr>
                <w:rFonts w:cs="Arial"/>
                <w:szCs w:val="18"/>
              </w:rPr>
            </w:pPr>
            <w:r w:rsidRPr="003C242B">
              <w:rPr>
                <w:rFonts w:cs="Arial"/>
                <w:szCs w:val="18"/>
              </w:rPr>
              <w:t>3.89</w:t>
            </w:r>
          </w:p>
        </w:tc>
        <w:tc>
          <w:tcPr>
            <w:tcW w:w="346" w:type="pct"/>
            <w:tcBorders>
              <w:top w:val="nil"/>
              <w:left w:val="nil"/>
              <w:bottom w:val="single" w:sz="12" w:space="0" w:color="C0504D" w:themeColor="accent2"/>
              <w:right w:val="nil"/>
            </w:tcBorders>
            <w:hideMark/>
          </w:tcPr>
          <w:p w14:paraId="65FA8028" w14:textId="77777777" w:rsidR="0057310D" w:rsidRPr="003C242B" w:rsidRDefault="0057310D" w:rsidP="0077518A">
            <w:pPr>
              <w:pStyle w:val="CETBodytext"/>
              <w:jc w:val="center"/>
              <w:rPr>
                <w:rFonts w:cs="Arial"/>
                <w:szCs w:val="18"/>
              </w:rPr>
            </w:pPr>
            <w:r w:rsidRPr="003C242B">
              <w:rPr>
                <w:rFonts w:cs="Arial"/>
                <w:szCs w:val="18"/>
              </w:rPr>
              <w:t>22.5</w:t>
            </w:r>
          </w:p>
        </w:tc>
        <w:tc>
          <w:tcPr>
            <w:tcW w:w="270" w:type="pct"/>
            <w:tcBorders>
              <w:top w:val="nil"/>
              <w:left w:val="nil"/>
              <w:bottom w:val="single" w:sz="12" w:space="0" w:color="9BBB59" w:themeColor="accent3"/>
              <w:right w:val="nil"/>
            </w:tcBorders>
            <w:hideMark/>
          </w:tcPr>
          <w:p w14:paraId="56135D51" w14:textId="4F7F4F04" w:rsidR="0057310D" w:rsidRPr="003C242B" w:rsidRDefault="0057310D" w:rsidP="0077518A">
            <w:pPr>
              <w:pStyle w:val="CETBodytext"/>
              <w:jc w:val="center"/>
              <w:rPr>
                <w:rFonts w:cs="Arial"/>
                <w:szCs w:val="18"/>
              </w:rPr>
            </w:pPr>
            <w:r w:rsidRPr="003C242B">
              <w:rPr>
                <w:rFonts w:cs="Arial"/>
                <w:szCs w:val="18"/>
              </w:rPr>
              <w:t>701</w:t>
            </w:r>
          </w:p>
        </w:tc>
        <w:tc>
          <w:tcPr>
            <w:tcW w:w="324" w:type="pct"/>
            <w:tcBorders>
              <w:top w:val="nil"/>
              <w:left w:val="nil"/>
              <w:bottom w:val="single" w:sz="12" w:space="0" w:color="9BBB59" w:themeColor="accent3"/>
              <w:right w:val="nil"/>
            </w:tcBorders>
            <w:hideMark/>
          </w:tcPr>
          <w:p w14:paraId="3FEFBDA6" w14:textId="36C3B206" w:rsidR="0057310D" w:rsidRPr="003C242B" w:rsidRDefault="0057310D" w:rsidP="0077518A">
            <w:pPr>
              <w:pStyle w:val="CETBodytext"/>
              <w:jc w:val="center"/>
              <w:rPr>
                <w:rFonts w:cs="Arial"/>
                <w:szCs w:val="18"/>
              </w:rPr>
            </w:pPr>
            <w:r w:rsidRPr="003C242B">
              <w:rPr>
                <w:rFonts w:cs="Arial"/>
                <w:szCs w:val="18"/>
              </w:rPr>
              <w:t>1005</w:t>
            </w:r>
          </w:p>
        </w:tc>
      </w:tr>
    </w:tbl>
    <w:p w14:paraId="30870587" w14:textId="77CDB925" w:rsidR="002B19DF" w:rsidRPr="003C242B" w:rsidRDefault="0077518A" w:rsidP="00593FA3">
      <w:pPr>
        <w:pStyle w:val="CETBodytext"/>
        <w:tabs>
          <w:tab w:val="left" w:pos="284"/>
        </w:tabs>
        <w:spacing w:before="60"/>
      </w:pPr>
      <w:r w:rsidRPr="003C242B">
        <w:tab/>
        <w:t>All symbols are listed in the Nomenclature section.</w:t>
      </w:r>
    </w:p>
    <w:p w14:paraId="4DE3D520" w14:textId="77777777" w:rsidR="002B19DF" w:rsidRPr="003C242B" w:rsidRDefault="002B19DF" w:rsidP="00600535">
      <w:pPr>
        <w:pStyle w:val="CETBodytext"/>
      </w:pPr>
    </w:p>
    <w:p w14:paraId="4BCDA889" w14:textId="77777777" w:rsidR="003C242B" w:rsidRPr="00A17C63" w:rsidRDefault="003C242B" w:rsidP="003C242B">
      <w:pPr>
        <w:pStyle w:val="CETTabletitle"/>
        <w:spacing w:before="0" w:after="0" w:line="264" w:lineRule="auto"/>
        <w:jc w:val="both"/>
        <w:rPr>
          <w:i w:val="0"/>
          <w:iCs/>
          <w:lang w:val="en-US"/>
        </w:rPr>
      </w:pPr>
      <w:r w:rsidRPr="00A17C63">
        <w:rPr>
          <w:i w:val="0"/>
          <w:iCs/>
          <w:lang w:val="en-US"/>
        </w:rPr>
        <w:t>Vacuum operation at ~200 mbar significantly enhanced ethanol stripping, effectively decoupling sugar consumption from final alcohol retention.</w:t>
      </w:r>
    </w:p>
    <w:p w14:paraId="363DC974" w14:textId="6AD27984" w:rsidR="007957DD" w:rsidRPr="000A596D" w:rsidRDefault="00872B72" w:rsidP="000A596D">
      <w:pPr>
        <w:pStyle w:val="CETTabletitle"/>
        <w:spacing w:before="0" w:after="0" w:line="264" w:lineRule="auto"/>
        <w:jc w:val="both"/>
        <w:rPr>
          <w:b/>
          <w:i w:val="0"/>
          <w:iCs/>
        </w:rPr>
      </w:pPr>
      <w:r w:rsidRPr="00A17C63">
        <w:rPr>
          <w:i w:val="0"/>
          <w:iCs/>
          <w:lang w:val="en-US"/>
        </w:rPr>
        <w:t xml:space="preserve">High-Gravity (HG) </w:t>
      </w:r>
      <w:r w:rsidR="007957DD" w:rsidRPr="00A17C63">
        <w:rPr>
          <w:i w:val="0"/>
          <w:iCs/>
          <w:lang w:val="en-US"/>
        </w:rPr>
        <w:t>f</w:t>
      </w:r>
      <w:r w:rsidRPr="00A17C63">
        <w:rPr>
          <w:i w:val="0"/>
          <w:iCs/>
          <w:lang w:val="en-US"/>
        </w:rPr>
        <w:t>ermentations</w:t>
      </w:r>
      <w:r w:rsidR="003C242B" w:rsidRPr="00A17C63">
        <w:rPr>
          <w:i w:val="0"/>
          <w:iCs/>
          <w:lang w:val="en-US"/>
        </w:rPr>
        <w:t xml:space="preserve">, </w:t>
      </w:r>
      <w:r w:rsidR="007957DD" w:rsidRPr="00A17C63">
        <w:rPr>
          <w:i w:val="0"/>
          <w:iCs/>
          <w:lang w:val="en-US"/>
        </w:rPr>
        <w:t xml:space="preserve">starting at </w:t>
      </w:r>
      <w:r w:rsidRPr="00A17C63">
        <w:rPr>
          <w:i w:val="0"/>
          <w:iCs/>
          <w:lang w:val="en-US"/>
        </w:rPr>
        <w:t xml:space="preserve">195 </w:t>
      </w:r>
      <w:r w:rsidRPr="00A17C63">
        <w:rPr>
          <w:rFonts w:cs="Arial"/>
          <w:i w:val="0"/>
          <w:iCs/>
          <w:lang w:val="en-US"/>
        </w:rPr>
        <w:t xml:space="preserve">± </w:t>
      </w:r>
      <w:r w:rsidRPr="00A17C63">
        <w:rPr>
          <w:i w:val="0"/>
          <w:iCs/>
          <w:lang w:val="en-US"/>
        </w:rPr>
        <w:t>4 g/L real extract</w:t>
      </w:r>
      <w:r w:rsidR="007957DD" w:rsidRPr="00A17C63">
        <w:rPr>
          <w:i w:val="0"/>
          <w:iCs/>
          <w:lang w:val="en-US"/>
        </w:rPr>
        <w:t xml:space="preserve">, exhibited </w:t>
      </w:r>
      <w:r w:rsidRPr="00A17C63">
        <w:rPr>
          <w:i w:val="0"/>
          <w:iCs/>
          <w:lang w:val="en-US"/>
        </w:rPr>
        <w:t xml:space="preserve">a stark contrast in alcohol </w:t>
      </w:r>
      <w:r w:rsidR="007957DD" w:rsidRPr="00A17C63">
        <w:rPr>
          <w:i w:val="0"/>
          <w:iCs/>
          <w:lang w:val="en-US"/>
        </w:rPr>
        <w:t xml:space="preserve">retention compared to atmospheric controls. </w:t>
      </w:r>
      <w:r w:rsidR="00575B40" w:rsidRPr="00A17C63">
        <w:rPr>
          <w:i w:val="0"/>
          <w:iCs/>
        </w:rPr>
        <w:t>While the atmospheric run (Run 4) reached 7.5% v/v ABV in 74 h, the vacuum runs (Runs 5–6) yielded a significantly lower average ABV</w:t>
      </w:r>
      <w:r w:rsidR="00575B40" w:rsidRPr="00A17C63">
        <w:t xml:space="preserve"> </w:t>
      </w:r>
      <w:r w:rsidRPr="00A17C63">
        <w:rPr>
          <w:i w:val="0"/>
          <w:iCs/>
          <w:lang w:val="en-US"/>
        </w:rPr>
        <w:t xml:space="preserve">of 2.3 </w:t>
      </w:r>
      <w:r w:rsidRPr="00A17C63">
        <w:rPr>
          <w:rFonts w:cs="Arial"/>
          <w:i w:val="0"/>
          <w:iCs/>
          <w:lang w:val="en-US"/>
        </w:rPr>
        <w:t>±</w:t>
      </w:r>
      <w:r w:rsidRPr="00A17C63">
        <w:rPr>
          <w:i w:val="0"/>
          <w:iCs/>
          <w:lang w:val="en-US"/>
        </w:rPr>
        <w:t xml:space="preserve"> 0.5 % v/v over a similar timeframe (73 </w:t>
      </w:r>
      <w:r w:rsidRPr="00A17C63">
        <w:rPr>
          <w:rFonts w:cs="Arial"/>
          <w:i w:val="0"/>
          <w:iCs/>
          <w:lang w:val="en-US"/>
        </w:rPr>
        <w:t>±</w:t>
      </w:r>
      <w:r w:rsidRPr="00A17C63">
        <w:rPr>
          <w:i w:val="0"/>
          <w:iCs/>
          <w:lang w:val="en-US"/>
        </w:rPr>
        <w:t xml:space="preserve"> 7 h). The vacuum process </w:t>
      </w:r>
      <w:r w:rsidR="00575B40" w:rsidRPr="00A17C63">
        <w:rPr>
          <w:i w:val="0"/>
          <w:iCs/>
        </w:rPr>
        <w:t>successfully</w:t>
      </w:r>
      <w:r w:rsidR="00575B40" w:rsidRPr="00A17C63">
        <w:rPr>
          <w:i w:val="0"/>
          <w:iCs/>
          <w:lang w:val="en-US"/>
        </w:rPr>
        <w:t xml:space="preserve"> </w:t>
      </w:r>
      <w:r w:rsidRPr="00A17C63">
        <w:rPr>
          <w:i w:val="0"/>
          <w:iCs/>
          <w:lang w:val="en-US"/>
        </w:rPr>
        <w:t xml:space="preserve">stripped the produced ethanol into 4.4 </w:t>
      </w:r>
      <w:r w:rsidRPr="00A17C63">
        <w:rPr>
          <w:rFonts w:cs="Arial"/>
          <w:i w:val="0"/>
          <w:iCs/>
          <w:lang w:val="en-US"/>
        </w:rPr>
        <w:t>±</w:t>
      </w:r>
      <w:r w:rsidRPr="00A17C63">
        <w:rPr>
          <w:i w:val="0"/>
          <w:iCs/>
          <w:lang w:val="en-US"/>
        </w:rPr>
        <w:t xml:space="preserve"> 0.7 kg of condensate with an average ethanol concentration of 21 </w:t>
      </w:r>
      <w:r w:rsidRPr="00A17C63">
        <w:rPr>
          <w:rFonts w:cs="Arial"/>
          <w:i w:val="0"/>
          <w:iCs/>
          <w:lang w:val="en-US"/>
        </w:rPr>
        <w:t>±</w:t>
      </w:r>
      <w:r w:rsidRPr="00A17C63">
        <w:rPr>
          <w:i w:val="0"/>
          <w:iCs/>
          <w:lang w:val="en-US"/>
        </w:rPr>
        <w:t xml:space="preserve"> 2 % v/v. Notably, the final real extract (ER</w:t>
      </w:r>
      <w:r w:rsidRPr="00A17C63">
        <w:rPr>
          <w:i w:val="0"/>
          <w:iCs/>
          <w:vertAlign w:val="subscript"/>
          <w:lang w:val="en-US"/>
        </w:rPr>
        <w:t>f</w:t>
      </w:r>
      <w:r w:rsidRPr="00A17C63">
        <w:rPr>
          <w:i w:val="0"/>
          <w:iCs/>
          <w:lang w:val="en-US"/>
        </w:rPr>
        <w:t>) was higher in vacuum runs (~73 g/L) than in atmospheric runs (~60 g/L), reflecting the additional removal of water in the UV environment.</w:t>
      </w:r>
      <w:r w:rsidR="00A17C63">
        <w:rPr>
          <w:i w:val="0"/>
          <w:iCs/>
          <w:lang w:val="en-US"/>
        </w:rPr>
        <w:t xml:space="preserve"> </w:t>
      </w:r>
      <w:r w:rsidR="00575B40" w:rsidRPr="00A17C63">
        <w:rPr>
          <w:i w:val="0"/>
          <w:iCs/>
        </w:rPr>
        <w:t>Although the fermentation time for low-gravity wort (Run 3: 44.3 h) was shorter than for HG worts, the stoichiometric conversion remained consistent across all trials. The overall fermentation efficiency</w:t>
      </w:r>
      <w:r w:rsidR="00575B40" w:rsidRPr="00A17C63">
        <w:rPr>
          <w:b/>
          <w:i w:val="0"/>
          <w:iCs/>
        </w:rPr>
        <w:t xml:space="preserve"> </w:t>
      </w:r>
      <w:r w:rsidR="00575B40" w:rsidRPr="00A17C63">
        <w:rPr>
          <w:i w:val="0"/>
          <w:iCs/>
        </w:rPr>
        <w:t>—</w:t>
      </w:r>
      <w:r w:rsidR="00575B40" w:rsidRPr="00A17C63">
        <w:rPr>
          <w:b/>
          <w:i w:val="0"/>
          <w:iCs/>
        </w:rPr>
        <w:t xml:space="preserve"> </w:t>
      </w:r>
      <w:r w:rsidR="00575B40" w:rsidRPr="00A17C63">
        <w:rPr>
          <w:i w:val="0"/>
          <w:iCs/>
        </w:rPr>
        <w:t>calculated as total ethanol mass (M</w:t>
      </w:r>
      <w:r w:rsidR="00575B40" w:rsidRPr="00A17C63">
        <w:rPr>
          <w:i w:val="0"/>
          <w:iCs/>
          <w:vertAlign w:val="subscript"/>
        </w:rPr>
        <w:t>ET</w:t>
      </w:r>
      <w:r w:rsidR="00575B40" w:rsidRPr="00A17C63">
        <w:rPr>
          <w:i w:val="0"/>
          <w:iCs/>
        </w:rPr>
        <w:t>) relative to initial extract</w:t>
      </w:r>
      <w:r w:rsidR="00575B40" w:rsidRPr="00A17C63">
        <w:rPr>
          <w:b/>
          <w:i w:val="0"/>
          <w:iCs/>
        </w:rPr>
        <w:t xml:space="preserve"> </w:t>
      </w:r>
      <w:r w:rsidR="00575B40" w:rsidRPr="00A17C63">
        <w:rPr>
          <w:i w:val="0"/>
          <w:iCs/>
        </w:rPr>
        <w:t>—</w:t>
      </w:r>
      <w:r w:rsidR="00575B40" w:rsidRPr="00A17C63">
        <w:rPr>
          <w:b/>
          <w:i w:val="0"/>
          <w:iCs/>
        </w:rPr>
        <w:t xml:space="preserve"> </w:t>
      </w:r>
      <w:r w:rsidR="00575B40" w:rsidRPr="00A17C63">
        <w:rPr>
          <w:i w:val="0"/>
          <w:iCs/>
        </w:rPr>
        <w:t>remained practically unchanged between AP (26.4%) and UV (25.5%) processes.</w:t>
      </w:r>
      <w:r w:rsidR="00575B40" w:rsidRPr="00A17C63">
        <w:t xml:space="preserve"> </w:t>
      </w:r>
      <w:r w:rsidR="007957DD" w:rsidRPr="00A17C63">
        <w:t xml:space="preserve">These results confirm that the vacuum environment successfully converts high-gravity worts into low-alcohol </w:t>
      </w:r>
      <w:r w:rsidR="007957DD" w:rsidRPr="000A596D">
        <w:rPr>
          <w:i w:val="0"/>
          <w:iCs/>
        </w:rPr>
        <w:t>bases without hindering yeast metabolic efficiency.</w:t>
      </w:r>
      <w:r w:rsidR="00575B40" w:rsidRPr="000A596D">
        <w:rPr>
          <w:b/>
          <w:i w:val="0"/>
          <w:iCs/>
        </w:rPr>
        <w:t xml:space="preserve"> F</w:t>
      </w:r>
      <w:r w:rsidR="007957DD" w:rsidRPr="000A596D">
        <w:rPr>
          <w:i w:val="0"/>
          <w:iCs/>
        </w:rPr>
        <w:t>rom a circular-economy perspective, the recovered condensate should be classified as a high-value co-product rather than a secondary waste stream. In traditional low-alcohol beer production, the aggressive removal of ethanol typically leads to a significant loss of delicate volatile aroma compounds; however, this ethanol-rich fraction provides a strategic opportunity for rectification or specialized treatment to recover these natural, beer-derived flavor profiles. Furthermore, mass balance analysis confirms that approximately 75% of the total ethanol generated during High-Gravity vacuum runs (HG-UV) was effectively captured in the condensate, validating the high separation efficiency of the stripping interface at a moderate temperature of 40 °C. This dual-stream configuration</w:t>
      </w:r>
      <w:r w:rsidR="00A17C63" w:rsidRPr="000A596D">
        <w:rPr>
          <w:b/>
          <w:i w:val="0"/>
          <w:iCs/>
        </w:rPr>
        <w:t xml:space="preserve"> </w:t>
      </w:r>
      <w:r w:rsidR="007957DD" w:rsidRPr="000A596D">
        <w:rPr>
          <w:i w:val="0"/>
          <w:iCs/>
        </w:rPr>
        <w:t>—</w:t>
      </w:r>
      <w:r w:rsidR="00A17C63" w:rsidRPr="000A596D">
        <w:rPr>
          <w:b/>
          <w:i w:val="0"/>
          <w:iCs/>
        </w:rPr>
        <w:t xml:space="preserve"> </w:t>
      </w:r>
      <w:r w:rsidR="007957DD" w:rsidRPr="000A596D">
        <w:rPr>
          <w:i w:val="0"/>
          <w:iCs/>
        </w:rPr>
        <w:t>producing both a low-alcohol base and a concentrated spirit-like essence</w:t>
      </w:r>
      <w:r w:rsidR="00A17C63" w:rsidRPr="000A596D">
        <w:rPr>
          <w:b/>
          <w:i w:val="0"/>
          <w:iCs/>
        </w:rPr>
        <w:t xml:space="preserve"> </w:t>
      </w:r>
      <w:r w:rsidR="007957DD" w:rsidRPr="000A596D">
        <w:rPr>
          <w:i w:val="0"/>
          <w:iCs/>
        </w:rPr>
        <w:t>—</w:t>
      </w:r>
      <w:r w:rsidR="00A17C63" w:rsidRPr="000A596D">
        <w:rPr>
          <w:b/>
          <w:i w:val="0"/>
          <w:iCs/>
        </w:rPr>
        <w:t xml:space="preserve"> </w:t>
      </w:r>
      <w:r w:rsidR="007957DD" w:rsidRPr="000A596D">
        <w:rPr>
          <w:i w:val="0"/>
          <w:iCs/>
        </w:rPr>
        <w:t>substantially improves the overall process atom economy and offers industrial breweries a viable path toward revenue diversification.</w:t>
      </w:r>
    </w:p>
    <w:p w14:paraId="0F6FF7E7" w14:textId="77777777" w:rsidR="007007EB" w:rsidRPr="003C242B" w:rsidRDefault="007007EB" w:rsidP="007007EB">
      <w:pPr>
        <w:pStyle w:val="CETheadingx"/>
      </w:pPr>
      <w:r w:rsidRPr="003C242B">
        <w:t>3.2 Development of the Empirical Monitoring Framework</w:t>
      </w:r>
    </w:p>
    <w:p w14:paraId="55860CB1" w14:textId="77777777" w:rsidR="007007EB" w:rsidRPr="003C242B" w:rsidRDefault="007007EB" w:rsidP="007007EB">
      <w:pPr>
        <w:pStyle w:val="CETBodytext"/>
      </w:pPr>
      <w:r w:rsidRPr="003C242B">
        <w:t>To enable real-time process control, a sequential monitoring framework was established. This approach allows for the indirect determination of critical fermentation variables—such as sugar consumption and alcohol formation—based solely on online density data. Table 2 lists the governing empirical correlations.</w:t>
      </w:r>
    </w:p>
    <w:p w14:paraId="12A1CFD9" w14:textId="77777777" w:rsidR="007007EB" w:rsidRPr="003C242B" w:rsidRDefault="007007EB" w:rsidP="007007EB">
      <w:pPr>
        <w:pStyle w:val="CETTabletitle"/>
        <w:jc w:val="both"/>
        <w:rPr>
          <w:lang w:val="en-US"/>
        </w:rPr>
      </w:pPr>
      <w:r w:rsidRPr="003C242B">
        <w:rPr>
          <w:lang w:val="en-US"/>
        </w:rPr>
        <w:t>Table 2: Summary of empirical mass-based correlations for monitoring the fermentation process at 40 °C.</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821"/>
        <w:gridCol w:w="2975"/>
        <w:gridCol w:w="427"/>
        <w:gridCol w:w="564"/>
      </w:tblGrid>
      <w:tr w:rsidR="007007EB" w:rsidRPr="003C242B" w14:paraId="48C84EBA" w14:textId="77777777" w:rsidTr="00E84659">
        <w:tc>
          <w:tcPr>
            <w:tcW w:w="2743" w:type="pct"/>
            <w:tcBorders>
              <w:top w:val="single" w:sz="12" w:space="0" w:color="C0504D" w:themeColor="accent2"/>
              <w:left w:val="nil"/>
              <w:bottom w:val="single" w:sz="12" w:space="0" w:color="C0504D" w:themeColor="accent2"/>
              <w:right w:val="nil"/>
            </w:tcBorders>
            <w:shd w:val="clear" w:color="auto" w:fill="FFFFFF" w:themeFill="background1"/>
            <w:hideMark/>
          </w:tcPr>
          <w:p w14:paraId="64AF80BC" w14:textId="77777777" w:rsidR="007007EB" w:rsidRPr="003C242B" w:rsidRDefault="007007EB" w:rsidP="00E84659">
            <w:pPr>
              <w:pStyle w:val="CETBodytext"/>
              <w:jc w:val="left"/>
              <w:rPr>
                <w:b/>
                <w:bCs/>
              </w:rPr>
            </w:pPr>
            <w:r w:rsidRPr="003C242B">
              <w:rPr>
                <w:b/>
                <w:bCs/>
              </w:rPr>
              <w:t>Relationship</w:t>
            </w:r>
          </w:p>
        </w:tc>
        <w:tc>
          <w:tcPr>
            <w:tcW w:w="1693" w:type="pct"/>
            <w:tcBorders>
              <w:top w:val="single" w:sz="12" w:space="0" w:color="C0504D" w:themeColor="accent2"/>
              <w:left w:val="nil"/>
              <w:bottom w:val="single" w:sz="12" w:space="0" w:color="C0504D" w:themeColor="accent2"/>
              <w:right w:val="nil"/>
            </w:tcBorders>
            <w:shd w:val="clear" w:color="auto" w:fill="FFFFFF" w:themeFill="background1"/>
            <w:hideMark/>
          </w:tcPr>
          <w:p w14:paraId="3BEAA262" w14:textId="77777777" w:rsidR="007007EB" w:rsidRPr="003C242B" w:rsidRDefault="007007EB" w:rsidP="00E84659">
            <w:pPr>
              <w:pStyle w:val="CETBodytext"/>
              <w:jc w:val="left"/>
              <w:rPr>
                <w:b/>
                <w:bCs/>
              </w:rPr>
            </w:pPr>
            <w:r w:rsidRPr="003C242B">
              <w:rPr>
                <w:b/>
                <w:bCs/>
              </w:rPr>
              <w:t>Equation</w:t>
            </w:r>
          </w:p>
        </w:tc>
        <w:tc>
          <w:tcPr>
            <w:tcW w:w="243" w:type="pct"/>
            <w:tcBorders>
              <w:top w:val="single" w:sz="12" w:space="0" w:color="C0504D" w:themeColor="accent2"/>
              <w:left w:val="nil"/>
              <w:bottom w:val="single" w:sz="12" w:space="0" w:color="C0504D" w:themeColor="accent2"/>
              <w:right w:val="nil"/>
            </w:tcBorders>
            <w:shd w:val="clear" w:color="auto" w:fill="FFFFFF" w:themeFill="background1"/>
            <w:hideMark/>
          </w:tcPr>
          <w:p w14:paraId="33646DA2" w14:textId="77777777" w:rsidR="007007EB" w:rsidRPr="003C242B" w:rsidRDefault="007007EB" w:rsidP="00E84659">
            <w:pPr>
              <w:pStyle w:val="CETBodytext"/>
              <w:ind w:left="-2" w:firstLine="2"/>
              <w:jc w:val="center"/>
              <w:rPr>
                <w:b/>
                <w:bCs/>
              </w:rPr>
            </w:pPr>
            <w:r w:rsidRPr="003C242B">
              <w:rPr>
                <w:b/>
                <w:bCs/>
              </w:rPr>
              <w:t>No.</w:t>
            </w:r>
          </w:p>
        </w:tc>
        <w:tc>
          <w:tcPr>
            <w:tcW w:w="321" w:type="pct"/>
            <w:tcBorders>
              <w:top w:val="single" w:sz="12" w:space="0" w:color="C0504D" w:themeColor="accent2"/>
              <w:left w:val="nil"/>
              <w:bottom w:val="single" w:sz="12" w:space="0" w:color="C0504D" w:themeColor="accent2"/>
              <w:right w:val="nil"/>
            </w:tcBorders>
            <w:shd w:val="clear" w:color="auto" w:fill="FFFFFF" w:themeFill="background1"/>
            <w:hideMark/>
          </w:tcPr>
          <w:p w14:paraId="2ECEA623" w14:textId="77777777" w:rsidR="007007EB" w:rsidRPr="003C242B" w:rsidRDefault="007007EB" w:rsidP="00E84659">
            <w:pPr>
              <w:pStyle w:val="CETBodytext"/>
              <w:jc w:val="center"/>
              <w:rPr>
                <w:rFonts w:cs="Arial"/>
                <w:b/>
                <w:bCs/>
              </w:rPr>
            </w:pPr>
            <w:r w:rsidRPr="003C242B">
              <w:rPr>
                <w:b/>
                <w:bCs/>
              </w:rPr>
              <w:t>r</w:t>
            </w:r>
            <w:r w:rsidRPr="003C242B">
              <w:rPr>
                <w:b/>
                <w:bCs/>
                <w:vertAlign w:val="superscript"/>
              </w:rPr>
              <w:t>2</w:t>
            </w:r>
          </w:p>
        </w:tc>
      </w:tr>
      <w:tr w:rsidR="007007EB" w:rsidRPr="003C242B" w14:paraId="3DB01238" w14:textId="77777777" w:rsidTr="00E84659">
        <w:tc>
          <w:tcPr>
            <w:tcW w:w="2743" w:type="pct"/>
            <w:tcBorders>
              <w:top w:val="single" w:sz="12" w:space="0" w:color="C0504D" w:themeColor="accent2"/>
              <w:left w:val="nil"/>
              <w:bottom w:val="nil"/>
              <w:right w:val="nil"/>
            </w:tcBorders>
            <w:shd w:val="clear" w:color="auto" w:fill="FFFFFF" w:themeFill="background1"/>
            <w:vAlign w:val="bottom"/>
            <w:hideMark/>
          </w:tcPr>
          <w:p w14:paraId="47811062" w14:textId="77777777" w:rsidR="007007EB" w:rsidRPr="003C242B" w:rsidRDefault="007007EB" w:rsidP="00E84659">
            <w:pPr>
              <w:pStyle w:val="CETBodytext"/>
              <w:jc w:val="left"/>
            </w:pPr>
            <w:r w:rsidRPr="006801E9">
              <w:t>Density Validation: Sensor vs. reference densimeter</w:t>
            </w:r>
            <w:r w:rsidRPr="003C242B">
              <w:t>.</w:t>
            </w:r>
          </w:p>
        </w:tc>
        <w:tc>
          <w:tcPr>
            <w:tcW w:w="1693" w:type="pct"/>
            <w:tcBorders>
              <w:top w:val="single" w:sz="12" w:space="0" w:color="C0504D" w:themeColor="accent2"/>
              <w:left w:val="nil"/>
              <w:bottom w:val="nil"/>
              <w:right w:val="nil"/>
            </w:tcBorders>
            <w:shd w:val="clear" w:color="auto" w:fill="FFFFFF" w:themeFill="background1"/>
            <w:hideMark/>
          </w:tcPr>
          <w:p w14:paraId="3D5E5F23" w14:textId="77777777" w:rsidR="007007EB" w:rsidRPr="003C242B" w:rsidRDefault="007007EB" w:rsidP="00E84659">
            <w:pPr>
              <w:pStyle w:val="CETBodytext"/>
              <w:jc w:val="left"/>
            </w:pPr>
            <m:oMath>
              <m:sSub>
                <m:sSubPr>
                  <m:ctrlPr>
                    <w:rPr>
                      <w:rFonts w:ascii="Cambria Math" w:hAnsi="Cambria Math"/>
                      <w:i/>
                      <w:lang w:eastAsia="it-IT"/>
                    </w:rPr>
                  </m:ctrlPr>
                </m:sSubPr>
                <m:e>
                  <m:r>
                    <m:rPr>
                      <m:sty m:val="p"/>
                    </m:rPr>
                    <w:rPr>
                      <w:rFonts w:ascii="Cambria Math" w:hAnsi="Cambria Math"/>
                      <w:lang w:eastAsia="it-IT"/>
                    </w:rPr>
                    <m:t>ρ</m:t>
                  </m:r>
                </m:e>
                <m:sub>
                  <m:r>
                    <m:rPr>
                      <m:sty m:val="p"/>
                    </m:rPr>
                    <w:rPr>
                      <w:rFonts w:ascii="Cambria Math" w:hAnsi="Cambria Math" w:cs="Arial"/>
                      <w:noProof/>
                      <w:vertAlign w:val="subscript"/>
                      <w:lang w:eastAsia="it-IT"/>
                    </w:rPr>
                    <m:t>rB,AP</m:t>
                  </m:r>
                </m:sub>
              </m:sSub>
              <m:r>
                <m:rPr>
                  <m:sty m:val="p"/>
                </m:rPr>
                <w:rPr>
                  <w:rFonts w:ascii="Cambria Math" w:hAnsi="Cambria Math"/>
                  <w:noProof/>
                  <w:lang w:eastAsia="it-IT"/>
                </w:rPr>
                <m:t xml:space="preserve"> = (0.9994 ± 0.0003) </m:t>
              </m:r>
              <m:sSub>
                <m:sSubPr>
                  <m:ctrlPr>
                    <w:rPr>
                      <w:rFonts w:ascii="Cambria Math" w:hAnsi="Cambria Math"/>
                      <w:i/>
                      <w:noProof/>
                      <w:lang w:eastAsia="it-IT"/>
                    </w:rPr>
                  </m:ctrlPr>
                </m:sSubPr>
                <m:e>
                  <m:r>
                    <m:rPr>
                      <m:sty m:val="p"/>
                    </m:rPr>
                    <w:rPr>
                      <w:rFonts w:ascii="Cambria Math" w:hAnsi="Cambria Math"/>
                      <w:noProof/>
                      <w:lang w:eastAsia="it-IT"/>
                    </w:rPr>
                    <m:t>ρ</m:t>
                  </m:r>
                </m:e>
                <m:sub>
                  <m:r>
                    <m:rPr>
                      <m:sty m:val="p"/>
                    </m:rPr>
                    <w:rPr>
                      <w:rFonts w:ascii="Cambria Math" w:hAnsi="Cambria Math"/>
                      <w:noProof/>
                      <w:lang w:eastAsia="it-IT"/>
                    </w:rPr>
                    <m:t>rB,FH</m:t>
                  </m:r>
                </m:sub>
              </m:sSub>
            </m:oMath>
            <w:r w:rsidRPr="003C242B">
              <w:rPr>
                <w:lang w:eastAsia="it-IT"/>
              </w:rPr>
              <w:t xml:space="preserve">   </w:t>
            </w:r>
          </w:p>
        </w:tc>
        <w:tc>
          <w:tcPr>
            <w:tcW w:w="243" w:type="pct"/>
            <w:tcBorders>
              <w:top w:val="single" w:sz="12" w:space="0" w:color="C0504D" w:themeColor="accent2"/>
              <w:left w:val="nil"/>
              <w:bottom w:val="nil"/>
              <w:right w:val="nil"/>
            </w:tcBorders>
            <w:shd w:val="clear" w:color="auto" w:fill="FFFFFF" w:themeFill="background1"/>
            <w:hideMark/>
          </w:tcPr>
          <w:p w14:paraId="68748BE4" w14:textId="77777777" w:rsidR="007007EB" w:rsidRPr="003C242B" w:rsidRDefault="007007EB" w:rsidP="00E84659">
            <w:pPr>
              <w:pStyle w:val="CETBodytext"/>
              <w:jc w:val="center"/>
            </w:pPr>
            <w:r w:rsidRPr="003C242B">
              <w:rPr>
                <w:lang w:eastAsia="it-IT"/>
              </w:rPr>
              <w:t>(1)</w:t>
            </w:r>
          </w:p>
        </w:tc>
        <w:tc>
          <w:tcPr>
            <w:tcW w:w="321" w:type="pct"/>
            <w:tcBorders>
              <w:top w:val="single" w:sz="12" w:space="0" w:color="C0504D" w:themeColor="accent2"/>
              <w:left w:val="nil"/>
              <w:bottom w:val="nil"/>
              <w:right w:val="nil"/>
            </w:tcBorders>
            <w:shd w:val="clear" w:color="auto" w:fill="FFFFFF" w:themeFill="background1"/>
            <w:hideMark/>
          </w:tcPr>
          <w:p w14:paraId="5A27A349" w14:textId="77777777" w:rsidR="007007EB" w:rsidRPr="003C242B" w:rsidRDefault="007007EB" w:rsidP="00E84659">
            <w:pPr>
              <w:pStyle w:val="CETBodytext"/>
              <w:jc w:val="center"/>
            </w:pPr>
            <w:r w:rsidRPr="003C242B">
              <w:t>1.000</w:t>
            </w:r>
          </w:p>
        </w:tc>
      </w:tr>
      <w:tr w:rsidR="007007EB" w:rsidRPr="003C242B" w14:paraId="24B87500" w14:textId="77777777" w:rsidTr="00E84659">
        <w:tc>
          <w:tcPr>
            <w:tcW w:w="2743" w:type="pct"/>
            <w:tcBorders>
              <w:top w:val="nil"/>
              <w:left w:val="nil"/>
              <w:bottom w:val="nil"/>
              <w:right w:val="nil"/>
            </w:tcBorders>
            <w:shd w:val="clear" w:color="auto" w:fill="FFFFFF" w:themeFill="background1"/>
            <w:hideMark/>
          </w:tcPr>
          <w:p w14:paraId="26B7BAFF" w14:textId="77777777" w:rsidR="007007EB" w:rsidRPr="003C242B" w:rsidRDefault="007007EB" w:rsidP="00E84659">
            <w:pPr>
              <w:pStyle w:val="CETBodytext"/>
              <w:jc w:val="left"/>
            </w:pPr>
            <w:r w:rsidRPr="006801E9">
              <w:t>Extract Conversion</w:t>
            </w:r>
            <w:r w:rsidRPr="003C242B">
              <w:t>: Real extract vs. substrate consumption.</w:t>
            </w:r>
          </w:p>
        </w:tc>
        <w:tc>
          <w:tcPr>
            <w:tcW w:w="1693" w:type="pct"/>
            <w:tcBorders>
              <w:top w:val="nil"/>
              <w:left w:val="nil"/>
              <w:bottom w:val="nil"/>
              <w:right w:val="nil"/>
            </w:tcBorders>
            <w:shd w:val="clear" w:color="auto" w:fill="FFFFFF" w:themeFill="background1"/>
            <w:hideMark/>
          </w:tcPr>
          <w:p w14:paraId="718D9B81" w14:textId="77777777" w:rsidR="007007EB" w:rsidRPr="003C242B" w:rsidRDefault="007007EB" w:rsidP="00E84659">
            <w:pPr>
              <w:pStyle w:val="CETBodytext"/>
              <w:jc w:val="left"/>
            </w:pPr>
            <m:oMathPara>
              <m:oMathParaPr>
                <m:jc m:val="left"/>
              </m:oMathParaPr>
              <m:oMath>
                <m:r>
                  <w:rPr>
                    <w:rFonts w:ascii="Cambria Math" w:hAnsi="Cambria Math"/>
                    <w:noProof/>
                    <w:lang w:eastAsia="it-IT"/>
                  </w:rPr>
                  <m:t>∆ER=</m:t>
                </m:r>
                <m:sSub>
                  <m:sSubPr>
                    <m:ctrlPr>
                      <w:rPr>
                        <w:rFonts w:ascii="Cambria Math" w:hAnsi="Cambria Math"/>
                        <w:i/>
                        <w:noProof/>
                        <w:lang w:eastAsia="it-IT"/>
                      </w:rPr>
                    </m:ctrlPr>
                  </m:sSubPr>
                  <m:e>
                    <m:r>
                      <w:rPr>
                        <w:rFonts w:ascii="Cambria Math" w:hAnsi="Cambria Math"/>
                        <w:noProof/>
                        <w:lang w:eastAsia="it-IT"/>
                      </w:rPr>
                      <m:t>ER</m:t>
                    </m:r>
                  </m:e>
                  <m:sub>
                    <m:r>
                      <w:rPr>
                        <w:rFonts w:ascii="Cambria Math" w:hAnsi="Cambria Math"/>
                        <w:noProof/>
                        <w:lang w:eastAsia="it-IT"/>
                      </w:rPr>
                      <m:t>0</m:t>
                    </m:r>
                  </m:sub>
                </m:sSub>
                <m:r>
                  <w:rPr>
                    <w:rFonts w:ascii="Cambria Math" w:hAnsi="Cambria Math"/>
                    <w:noProof/>
                    <w:lang w:eastAsia="it-IT"/>
                  </w:rPr>
                  <m:t>-ER=</m:t>
                </m:r>
                <m:d>
                  <m:dPr>
                    <m:ctrlPr>
                      <w:rPr>
                        <w:rFonts w:ascii="Cambria Math" w:hAnsi="Cambria Math"/>
                        <w:i/>
                        <w:noProof/>
                        <w:lang w:eastAsia="it-IT"/>
                      </w:rPr>
                    </m:ctrlPr>
                  </m:dPr>
                  <m:e>
                    <m:r>
                      <w:rPr>
                        <w:rFonts w:ascii="Cambria Math" w:hAnsi="Cambria Math"/>
                        <w:noProof/>
                        <w:lang w:eastAsia="it-IT"/>
                      </w:rPr>
                      <m:t>9.02±0.06</m:t>
                    </m:r>
                  </m:e>
                </m:d>
                <m:r>
                  <w:rPr>
                    <w:rFonts w:ascii="Cambria Math" w:hAnsi="Cambria Math"/>
                    <w:noProof/>
                    <w:lang w:eastAsia="it-IT"/>
                  </w:rPr>
                  <m:t xml:space="preserve"> ∆S</m:t>
                </m:r>
              </m:oMath>
            </m:oMathPara>
          </w:p>
        </w:tc>
        <w:tc>
          <w:tcPr>
            <w:tcW w:w="243" w:type="pct"/>
            <w:tcBorders>
              <w:top w:val="nil"/>
              <w:left w:val="nil"/>
              <w:bottom w:val="nil"/>
              <w:right w:val="nil"/>
            </w:tcBorders>
            <w:shd w:val="clear" w:color="auto" w:fill="FFFFFF" w:themeFill="background1"/>
            <w:hideMark/>
          </w:tcPr>
          <w:p w14:paraId="6093A005" w14:textId="77777777" w:rsidR="007007EB" w:rsidRPr="003C242B" w:rsidRDefault="007007EB" w:rsidP="00E84659">
            <w:pPr>
              <w:pStyle w:val="CETBodytext"/>
              <w:jc w:val="center"/>
            </w:pPr>
            <w:r w:rsidRPr="003C242B">
              <w:rPr>
                <w:lang w:eastAsia="it-IT"/>
              </w:rPr>
              <w:t>(2)</w:t>
            </w:r>
          </w:p>
        </w:tc>
        <w:tc>
          <w:tcPr>
            <w:tcW w:w="321" w:type="pct"/>
            <w:tcBorders>
              <w:top w:val="nil"/>
              <w:left w:val="nil"/>
              <w:bottom w:val="nil"/>
              <w:right w:val="nil"/>
            </w:tcBorders>
            <w:shd w:val="clear" w:color="auto" w:fill="FFFFFF" w:themeFill="background1"/>
            <w:hideMark/>
          </w:tcPr>
          <w:p w14:paraId="1A6EB8E9" w14:textId="77777777" w:rsidR="007007EB" w:rsidRPr="003C242B" w:rsidRDefault="007007EB" w:rsidP="00E84659">
            <w:pPr>
              <w:pStyle w:val="CETBodytext"/>
              <w:jc w:val="center"/>
            </w:pPr>
            <w:r w:rsidRPr="003C242B">
              <w:rPr>
                <w:noProof/>
                <w:lang w:eastAsia="it-IT"/>
              </w:rPr>
              <w:t>0.998</w:t>
            </w:r>
          </w:p>
        </w:tc>
      </w:tr>
      <w:tr w:rsidR="007007EB" w:rsidRPr="003C242B" w14:paraId="3CF4281C" w14:textId="77777777" w:rsidTr="00E84659">
        <w:tc>
          <w:tcPr>
            <w:tcW w:w="2743" w:type="pct"/>
            <w:tcBorders>
              <w:top w:val="nil"/>
              <w:left w:val="nil"/>
              <w:bottom w:val="nil"/>
              <w:right w:val="nil"/>
            </w:tcBorders>
            <w:shd w:val="clear" w:color="auto" w:fill="FFFFFF" w:themeFill="background1"/>
            <w:hideMark/>
          </w:tcPr>
          <w:p w14:paraId="536D36DF" w14:textId="77777777" w:rsidR="007007EB" w:rsidRPr="003C242B" w:rsidRDefault="007007EB" w:rsidP="00E84659">
            <w:pPr>
              <w:pStyle w:val="CETBodytext"/>
              <w:jc w:val="left"/>
            </w:pPr>
            <w:r w:rsidRPr="006801E9">
              <w:t xml:space="preserve">Ethanol </w:t>
            </w:r>
            <w:r w:rsidRPr="003C242B">
              <w:t>Yield: EtOH formation vs. substrate consumption.</w:t>
            </w:r>
          </w:p>
        </w:tc>
        <w:tc>
          <w:tcPr>
            <w:tcW w:w="1693" w:type="pct"/>
            <w:tcBorders>
              <w:top w:val="nil"/>
              <w:left w:val="nil"/>
              <w:bottom w:val="nil"/>
              <w:right w:val="nil"/>
            </w:tcBorders>
            <w:shd w:val="clear" w:color="auto" w:fill="FFFFFF" w:themeFill="background1"/>
            <w:hideMark/>
          </w:tcPr>
          <w:p w14:paraId="1FDEF9DB" w14:textId="77777777" w:rsidR="007007EB" w:rsidRPr="003C242B" w:rsidRDefault="007007EB" w:rsidP="00E84659">
            <w:pPr>
              <w:pStyle w:val="CETBodytext"/>
              <w:jc w:val="left"/>
            </w:pPr>
            <m:oMathPara>
              <m:oMathParaPr>
                <m:jc m:val="left"/>
              </m:oMathParaPr>
              <m:oMath>
                <m:r>
                  <w:rPr>
                    <w:rFonts w:ascii="Cambria Math" w:hAnsi="Cambria Math"/>
                    <w:noProof/>
                    <w:lang w:eastAsia="it-IT"/>
                  </w:rPr>
                  <m:t>∆E=</m:t>
                </m:r>
                <m:d>
                  <m:dPr>
                    <m:ctrlPr>
                      <w:rPr>
                        <w:rFonts w:ascii="Cambria Math" w:hAnsi="Cambria Math"/>
                        <w:i/>
                        <w:noProof/>
                        <w:lang w:eastAsia="it-IT"/>
                      </w:rPr>
                    </m:ctrlPr>
                  </m:dPr>
                  <m:e>
                    <m:r>
                      <w:rPr>
                        <w:rFonts w:ascii="Cambria Math" w:hAnsi="Cambria Math"/>
                        <w:noProof/>
                        <w:lang w:eastAsia="it-IT"/>
                      </w:rPr>
                      <m:t>0.506 ±0.005</m:t>
                    </m:r>
                  </m:e>
                </m:d>
                <m:r>
                  <w:rPr>
                    <w:rFonts w:ascii="Cambria Math" w:hAnsi="Cambria Math"/>
                    <w:noProof/>
                    <w:lang w:eastAsia="it-IT"/>
                  </w:rPr>
                  <m:t>∆S</m:t>
                </m:r>
              </m:oMath>
            </m:oMathPara>
          </w:p>
        </w:tc>
        <w:tc>
          <w:tcPr>
            <w:tcW w:w="243" w:type="pct"/>
            <w:tcBorders>
              <w:top w:val="nil"/>
              <w:left w:val="nil"/>
              <w:bottom w:val="nil"/>
              <w:right w:val="nil"/>
            </w:tcBorders>
            <w:shd w:val="clear" w:color="auto" w:fill="FFFFFF" w:themeFill="background1"/>
            <w:hideMark/>
          </w:tcPr>
          <w:p w14:paraId="48240F2A" w14:textId="77777777" w:rsidR="007007EB" w:rsidRPr="003C242B" w:rsidRDefault="007007EB" w:rsidP="00E84659">
            <w:pPr>
              <w:pStyle w:val="CETBodytext"/>
              <w:jc w:val="center"/>
            </w:pPr>
            <w:r w:rsidRPr="003C242B">
              <w:t>(3)</w:t>
            </w:r>
          </w:p>
        </w:tc>
        <w:tc>
          <w:tcPr>
            <w:tcW w:w="321" w:type="pct"/>
            <w:tcBorders>
              <w:top w:val="nil"/>
              <w:left w:val="nil"/>
              <w:bottom w:val="nil"/>
              <w:right w:val="nil"/>
            </w:tcBorders>
            <w:shd w:val="clear" w:color="auto" w:fill="FFFFFF" w:themeFill="background1"/>
            <w:hideMark/>
          </w:tcPr>
          <w:p w14:paraId="2A669879" w14:textId="77777777" w:rsidR="007007EB" w:rsidRPr="003C242B" w:rsidRDefault="007007EB" w:rsidP="00E84659">
            <w:pPr>
              <w:pStyle w:val="CETBodytext"/>
              <w:jc w:val="center"/>
            </w:pPr>
            <w:r w:rsidRPr="003C242B">
              <w:t>0.995</w:t>
            </w:r>
          </w:p>
        </w:tc>
      </w:tr>
      <w:tr w:rsidR="007007EB" w:rsidRPr="003C242B" w14:paraId="72175D59" w14:textId="77777777" w:rsidTr="00E84659">
        <w:tc>
          <w:tcPr>
            <w:tcW w:w="2743" w:type="pct"/>
            <w:tcBorders>
              <w:top w:val="nil"/>
              <w:left w:val="nil"/>
              <w:bottom w:val="nil"/>
              <w:right w:val="nil"/>
            </w:tcBorders>
            <w:shd w:val="clear" w:color="auto" w:fill="FFFFFF" w:themeFill="background1"/>
          </w:tcPr>
          <w:p w14:paraId="7DB37EF4" w14:textId="77777777" w:rsidR="007007EB" w:rsidRPr="003C242B" w:rsidRDefault="007007EB" w:rsidP="00E84659">
            <w:pPr>
              <w:pStyle w:val="CETBodytext"/>
              <w:jc w:val="left"/>
            </w:pPr>
            <w:r w:rsidRPr="003C242B">
              <w:t>Mass Correlation: Substrate depletion vs. wort attenuation</w:t>
            </w:r>
          </w:p>
        </w:tc>
        <w:tc>
          <w:tcPr>
            <w:tcW w:w="1693" w:type="pct"/>
            <w:tcBorders>
              <w:top w:val="nil"/>
              <w:left w:val="nil"/>
              <w:bottom w:val="nil"/>
              <w:right w:val="nil"/>
            </w:tcBorders>
            <w:shd w:val="clear" w:color="auto" w:fill="FFFFFF" w:themeFill="background1"/>
          </w:tcPr>
          <w:p w14:paraId="6A1A4D1A" w14:textId="77777777" w:rsidR="007007EB" w:rsidRPr="003C242B" w:rsidRDefault="007007EB" w:rsidP="00E84659">
            <w:pPr>
              <w:pStyle w:val="CETBodytext"/>
              <w:jc w:val="left"/>
              <w:rPr>
                <w:noProof/>
                <w:lang w:eastAsia="it-IT"/>
              </w:rPr>
            </w:pPr>
            <m:oMathPara>
              <m:oMathParaPr>
                <m:jc m:val="left"/>
              </m:oMathParaPr>
              <m:oMath>
                <m:r>
                  <w:rPr>
                    <w:rFonts w:ascii="Cambria Math" w:hAnsi="Cambria Math"/>
                    <w:noProof/>
                    <w:lang w:eastAsia="it-IT"/>
                  </w:rPr>
                  <m:t xml:space="preserve">Δ∆S= </m:t>
                </m:r>
                <m:d>
                  <m:dPr>
                    <m:ctrlPr>
                      <w:rPr>
                        <w:rFonts w:ascii="Cambria Math" w:hAnsi="Cambria Math"/>
                        <w:i/>
                        <w:noProof/>
                        <w:lang w:eastAsia="it-IT"/>
                      </w:rPr>
                    </m:ctrlPr>
                  </m:dPr>
                  <m:e>
                    <m:r>
                      <w:rPr>
                        <w:rFonts w:ascii="Cambria Math" w:hAnsi="Cambria Math"/>
                        <w:noProof/>
                        <w:lang w:eastAsia="it-IT"/>
                      </w:rPr>
                      <m:t>242±1</m:t>
                    </m:r>
                  </m:e>
                </m:d>
                <m:r>
                  <w:rPr>
                    <w:rFonts w:ascii="Cambria Math" w:hAnsi="Cambria Math"/>
                    <w:noProof/>
                    <w:lang w:eastAsia="it-IT"/>
                  </w:rPr>
                  <m:t xml:space="preserve"> ∆</m:t>
                </m:r>
                <m:sSub>
                  <m:sSubPr>
                    <m:ctrlPr>
                      <w:rPr>
                        <w:rFonts w:ascii="Cambria Math" w:hAnsi="Cambria Math"/>
                        <w:i/>
                        <w:noProof/>
                        <w:lang w:eastAsia="it-IT"/>
                      </w:rPr>
                    </m:ctrlPr>
                  </m:sSubPr>
                  <m:e>
                    <m:r>
                      <w:rPr>
                        <w:rFonts w:ascii="Cambria Math" w:hAnsi="Cambria Math"/>
                        <w:noProof/>
                        <w:lang w:eastAsia="it-IT"/>
                      </w:rPr>
                      <m:t>ρ</m:t>
                    </m:r>
                  </m:e>
                  <m:sub>
                    <m:r>
                      <w:rPr>
                        <w:rFonts w:ascii="Cambria Math" w:hAnsi="Cambria Math"/>
                        <w:noProof/>
                        <w:lang w:eastAsia="it-IT"/>
                      </w:rPr>
                      <m:t>rB,FH</m:t>
                    </m:r>
                  </m:sub>
                </m:sSub>
              </m:oMath>
            </m:oMathPara>
          </w:p>
        </w:tc>
        <w:tc>
          <w:tcPr>
            <w:tcW w:w="243" w:type="pct"/>
            <w:tcBorders>
              <w:top w:val="nil"/>
              <w:left w:val="nil"/>
              <w:bottom w:val="nil"/>
              <w:right w:val="nil"/>
            </w:tcBorders>
            <w:shd w:val="clear" w:color="auto" w:fill="FFFFFF" w:themeFill="background1"/>
          </w:tcPr>
          <w:p w14:paraId="0E0CBF08" w14:textId="77777777" w:rsidR="007007EB" w:rsidRPr="003C242B" w:rsidRDefault="007007EB" w:rsidP="00E84659">
            <w:pPr>
              <w:pStyle w:val="CETBodytext"/>
              <w:jc w:val="center"/>
            </w:pPr>
            <w:r w:rsidRPr="003C242B">
              <w:t>(4)</w:t>
            </w:r>
          </w:p>
        </w:tc>
        <w:tc>
          <w:tcPr>
            <w:tcW w:w="321" w:type="pct"/>
            <w:tcBorders>
              <w:top w:val="nil"/>
              <w:left w:val="nil"/>
              <w:bottom w:val="nil"/>
              <w:right w:val="nil"/>
            </w:tcBorders>
            <w:shd w:val="clear" w:color="auto" w:fill="FFFFFF" w:themeFill="background1"/>
          </w:tcPr>
          <w:p w14:paraId="1A094E8E" w14:textId="77777777" w:rsidR="007007EB" w:rsidRPr="003C242B" w:rsidRDefault="007007EB" w:rsidP="00E84659">
            <w:pPr>
              <w:pStyle w:val="CETBodytext"/>
              <w:jc w:val="center"/>
            </w:pPr>
            <w:r w:rsidRPr="003C242B">
              <w:t>0.999</w:t>
            </w:r>
          </w:p>
        </w:tc>
      </w:tr>
      <w:tr w:rsidR="007007EB" w:rsidRPr="003C242B" w14:paraId="2D753DF5" w14:textId="77777777" w:rsidTr="00E84659">
        <w:tc>
          <w:tcPr>
            <w:tcW w:w="2743" w:type="pct"/>
            <w:tcBorders>
              <w:top w:val="nil"/>
              <w:left w:val="nil"/>
              <w:bottom w:val="single" w:sz="12" w:space="0" w:color="C0504D" w:themeColor="accent2"/>
              <w:right w:val="nil"/>
            </w:tcBorders>
            <w:shd w:val="clear" w:color="auto" w:fill="FFFFFF" w:themeFill="background1"/>
            <w:hideMark/>
          </w:tcPr>
          <w:p w14:paraId="05650F47" w14:textId="77777777" w:rsidR="007007EB" w:rsidRPr="003C242B" w:rsidRDefault="007007EB" w:rsidP="00E84659">
            <w:pPr>
              <w:pStyle w:val="CETBodytext"/>
              <w:jc w:val="left"/>
            </w:pPr>
            <w:r w:rsidRPr="003C242B">
              <w:t>Kinetic</w:t>
            </w:r>
            <w:r w:rsidRPr="006801E9">
              <w:t xml:space="preserve"> Profile: </w:t>
            </w:r>
            <w:r w:rsidRPr="003C242B">
              <w:t>W</w:t>
            </w:r>
            <w:r w:rsidRPr="006801E9">
              <w:t xml:space="preserve">ort density </w:t>
            </w:r>
            <w:r w:rsidRPr="003C242B">
              <w:t>attenuation over time</w:t>
            </w:r>
          </w:p>
        </w:tc>
        <w:tc>
          <w:tcPr>
            <w:tcW w:w="1693" w:type="pct"/>
            <w:tcBorders>
              <w:top w:val="nil"/>
              <w:left w:val="nil"/>
              <w:bottom w:val="single" w:sz="12" w:space="0" w:color="C0504D" w:themeColor="accent2"/>
              <w:right w:val="nil"/>
            </w:tcBorders>
            <w:shd w:val="clear" w:color="auto" w:fill="FFFFFF" w:themeFill="background1"/>
            <w:hideMark/>
          </w:tcPr>
          <w:p w14:paraId="1107D8A8" w14:textId="77777777" w:rsidR="007007EB" w:rsidRPr="003C242B" w:rsidRDefault="007007EB" w:rsidP="00E84659">
            <w:pPr>
              <w:pStyle w:val="CETBodytext"/>
              <w:jc w:val="left"/>
            </w:pPr>
            <m:oMath>
              <m:r>
                <w:rPr>
                  <w:rFonts w:ascii="Cambria Math" w:hAnsi="Cambria Math"/>
                  <w:noProof/>
                  <w:lang w:eastAsia="it-IT"/>
                </w:rPr>
                <m:t>∆</m:t>
              </m:r>
              <m:sSub>
                <m:sSubPr>
                  <m:ctrlPr>
                    <w:rPr>
                      <w:rFonts w:ascii="Cambria Math" w:hAnsi="Cambria Math"/>
                      <w:i/>
                      <w:noProof/>
                      <w:lang w:eastAsia="it-IT"/>
                    </w:rPr>
                  </m:ctrlPr>
                </m:sSubPr>
                <m:e>
                  <m:r>
                    <w:rPr>
                      <w:rFonts w:ascii="Cambria Math" w:hAnsi="Cambria Math"/>
                      <w:noProof/>
                      <w:lang w:eastAsia="it-IT"/>
                    </w:rPr>
                    <m:t>ρ</m:t>
                  </m:r>
                </m:e>
                <m:sub>
                  <m:r>
                    <w:rPr>
                      <w:rFonts w:ascii="Cambria Math" w:hAnsi="Cambria Math"/>
                      <w:noProof/>
                      <w:lang w:eastAsia="it-IT"/>
                    </w:rPr>
                    <m:t>rB,FH</m:t>
                  </m:r>
                </m:sub>
              </m:sSub>
              <m:r>
                <w:rPr>
                  <w:rFonts w:ascii="Cambria Math" w:hAnsi="Cambria Math"/>
                  <w:noProof/>
                  <w:lang w:eastAsia="it-IT"/>
                </w:rPr>
                <m:t xml:space="preserve">= </m:t>
              </m:r>
              <m:sSub>
                <m:sSubPr>
                  <m:ctrlPr>
                    <w:rPr>
                      <w:rFonts w:ascii="Cambria Math" w:hAnsi="Cambria Math"/>
                      <w:i/>
                      <w:noProof/>
                      <w:lang w:eastAsia="it-IT"/>
                    </w:rPr>
                  </m:ctrlPr>
                </m:sSubPr>
                <m:e>
                  <m:r>
                    <w:rPr>
                      <w:rFonts w:ascii="Cambria Math" w:hAnsi="Cambria Math"/>
                      <w:noProof/>
                      <w:lang w:eastAsia="it-IT"/>
                    </w:rPr>
                    <m:t>ρ</m:t>
                  </m:r>
                </m:e>
                <m:sub>
                  <m:r>
                    <w:rPr>
                      <w:rFonts w:ascii="Cambria Math" w:hAnsi="Cambria Math"/>
                      <w:noProof/>
                      <w:lang w:eastAsia="it-IT"/>
                    </w:rPr>
                    <m:t>1</m:t>
                  </m:r>
                </m:sub>
              </m:sSub>
              <m:r>
                <w:rPr>
                  <w:rFonts w:ascii="Cambria Math" w:hAnsi="Cambria Math"/>
                  <w:noProof/>
                  <w:lang w:eastAsia="it-IT"/>
                </w:rPr>
                <m:t xml:space="preserve">+ </m:t>
              </m:r>
              <m:sSub>
                <m:sSubPr>
                  <m:ctrlPr>
                    <w:rPr>
                      <w:rFonts w:ascii="Cambria Math" w:hAnsi="Cambria Math"/>
                      <w:i/>
                      <w:noProof/>
                      <w:lang w:eastAsia="it-IT"/>
                    </w:rPr>
                  </m:ctrlPr>
                </m:sSubPr>
                <m:e>
                  <m:r>
                    <w:rPr>
                      <w:rFonts w:ascii="Cambria Math" w:hAnsi="Cambria Math"/>
                      <w:noProof/>
                      <w:lang w:eastAsia="it-IT"/>
                    </w:rPr>
                    <m:t>ρ</m:t>
                  </m:r>
                </m:e>
                <m:sub>
                  <m:r>
                    <w:rPr>
                      <w:rFonts w:ascii="Cambria Math" w:hAnsi="Cambria Math"/>
                      <w:noProof/>
                      <w:lang w:eastAsia="it-IT"/>
                    </w:rPr>
                    <m:t>2</m:t>
                  </m:r>
                </m:sub>
              </m:sSub>
              <m:r>
                <w:rPr>
                  <w:rFonts w:ascii="Cambria Math" w:hAnsi="Cambria Math"/>
                  <w:noProof/>
                  <w:lang w:eastAsia="it-IT"/>
                </w:rPr>
                <m:t xml:space="preserve"> </m:t>
              </m:r>
              <m:sSup>
                <m:sSupPr>
                  <m:ctrlPr>
                    <w:rPr>
                      <w:rFonts w:ascii="Cambria Math" w:hAnsi="Cambria Math"/>
                      <w:i/>
                      <w:noProof/>
                      <w:lang w:eastAsia="it-IT"/>
                    </w:rPr>
                  </m:ctrlPr>
                </m:sSupPr>
                <m:e>
                  <m:r>
                    <w:rPr>
                      <w:rFonts w:ascii="Cambria Math" w:hAnsi="Cambria Math"/>
                      <w:noProof/>
                      <w:lang w:eastAsia="it-IT"/>
                    </w:rPr>
                    <m:t>t</m:t>
                  </m:r>
                </m:e>
                <m:sup>
                  <m:r>
                    <w:rPr>
                      <w:rFonts w:ascii="Cambria Math" w:hAnsi="Cambria Math"/>
                      <w:noProof/>
                      <w:lang w:eastAsia="it-IT"/>
                    </w:rPr>
                    <m:t>2</m:t>
                  </m:r>
                </m:sup>
              </m:sSup>
            </m:oMath>
            <w:r w:rsidRPr="003C242B">
              <w:rPr>
                <w:rFonts w:ascii="Symbol" w:hAnsi="Symbol"/>
                <w:i/>
                <w:noProof/>
                <w:lang w:eastAsia="it-IT"/>
              </w:rPr>
              <w:t xml:space="preserve"> </w:t>
            </w:r>
          </w:p>
        </w:tc>
        <w:tc>
          <w:tcPr>
            <w:tcW w:w="243" w:type="pct"/>
            <w:tcBorders>
              <w:top w:val="nil"/>
              <w:left w:val="nil"/>
              <w:bottom w:val="single" w:sz="12" w:space="0" w:color="C0504D" w:themeColor="accent2"/>
              <w:right w:val="nil"/>
            </w:tcBorders>
            <w:shd w:val="clear" w:color="auto" w:fill="FFFFFF" w:themeFill="background1"/>
            <w:hideMark/>
          </w:tcPr>
          <w:p w14:paraId="750F71E8" w14:textId="77777777" w:rsidR="007007EB" w:rsidRPr="003C242B" w:rsidRDefault="007007EB" w:rsidP="00E84659">
            <w:pPr>
              <w:pStyle w:val="CETBodytext"/>
              <w:jc w:val="center"/>
            </w:pPr>
            <w:r w:rsidRPr="003C242B">
              <w:t>(5)</w:t>
            </w:r>
          </w:p>
        </w:tc>
        <w:tc>
          <w:tcPr>
            <w:tcW w:w="321" w:type="pct"/>
            <w:tcBorders>
              <w:top w:val="nil"/>
              <w:left w:val="nil"/>
              <w:bottom w:val="single" w:sz="12" w:space="0" w:color="C0504D" w:themeColor="accent2"/>
              <w:right w:val="nil"/>
            </w:tcBorders>
            <w:shd w:val="clear" w:color="auto" w:fill="FFFFFF" w:themeFill="background1"/>
            <w:hideMark/>
          </w:tcPr>
          <w:p w14:paraId="6C91B90E" w14:textId="77777777" w:rsidR="007007EB" w:rsidRPr="003C242B" w:rsidRDefault="007007EB" w:rsidP="00E84659">
            <w:pPr>
              <w:pStyle w:val="CETBodytext"/>
              <w:jc w:val="center"/>
            </w:pPr>
            <w:r w:rsidRPr="003C242B">
              <w:t>-</w:t>
            </w:r>
          </w:p>
        </w:tc>
      </w:tr>
    </w:tbl>
    <w:p w14:paraId="7EE9AC50" w14:textId="77777777" w:rsidR="007007EB" w:rsidRPr="003C242B" w:rsidRDefault="007007EB" w:rsidP="007007EB">
      <w:pPr>
        <w:pStyle w:val="CETBodytext"/>
        <w:rPr>
          <w:i/>
          <w:iCs/>
        </w:rPr>
      </w:pPr>
    </w:p>
    <w:p w14:paraId="56E832CB" w14:textId="5CA3470D" w:rsidR="007007EB" w:rsidRPr="003C242B" w:rsidRDefault="007007EB" w:rsidP="007007EB">
      <w:pPr>
        <w:pStyle w:val="CETBodytext"/>
        <w:rPr>
          <w:i/>
          <w:iCs/>
        </w:rPr>
      </w:pPr>
      <w:r w:rsidRPr="003C242B">
        <w:rPr>
          <w:i/>
          <w:iCs/>
        </w:rPr>
        <w:t>3.2.1 Statistical Validation and Stoichiometry</w:t>
      </w:r>
    </w:p>
    <w:p w14:paraId="05D69AD4" w14:textId="24F16B04" w:rsidR="007007EB" w:rsidRPr="003C242B" w:rsidRDefault="007007EB" w:rsidP="007007EB">
      <w:pPr>
        <w:pStyle w:val="CETBodytext"/>
      </w:pPr>
      <w:r w:rsidRPr="003C242B">
        <w:t>The reliability of the online float Wi-Fi hydrometer (</w:t>
      </w:r>
      <w:r w:rsidRPr="003C242B">
        <w:rPr>
          <w:rFonts w:ascii="Symbol" w:hAnsi="Symbol"/>
        </w:rPr>
        <w:t>r</w:t>
      </w:r>
      <w:r w:rsidRPr="003C242B">
        <w:rPr>
          <w:vertAlign w:val="subscript"/>
        </w:rPr>
        <w:t>rB,FH</w:t>
      </w:r>
      <w:r w:rsidRPr="003C242B">
        <w:t>) was first confirmed by comparison with a high-precision offline densimeter DMA 4500 M (</w:t>
      </w:r>
      <w:r w:rsidRPr="003C242B">
        <w:rPr>
          <w:rFonts w:ascii="Symbol" w:hAnsi="Symbol"/>
        </w:rPr>
        <w:t>r</w:t>
      </w:r>
      <w:r w:rsidRPr="003C242B">
        <w:rPr>
          <w:vertAlign w:val="subscript"/>
        </w:rPr>
        <w:t>rB,AP</w:t>
      </w:r>
      <w:r w:rsidRPr="003C242B">
        <w:t>), yielding a near-perfect correspondence (r</w:t>
      </w:r>
      <w:r w:rsidRPr="003C242B">
        <w:rPr>
          <w:vertAlign w:val="superscript"/>
        </w:rPr>
        <w:t>2</w:t>
      </w:r>
      <w:r w:rsidRPr="003C242B">
        <w:t xml:space="preserve"> = 1.000; Table 2, Eq. 1), as shown in Fig. 2a.</w:t>
      </w:r>
    </w:p>
    <w:p w14:paraId="52AE3C2B" w14:textId="046067A8" w:rsidR="008714BE" w:rsidRPr="003C242B" w:rsidRDefault="008714BE" w:rsidP="008714BE">
      <w:pPr>
        <w:pStyle w:val="CETBodytext"/>
      </w:pPr>
      <w:r w:rsidRPr="003C242B">
        <w:lastRenderedPageBreak/>
        <w:t xml:space="preserve">a) </w:t>
      </w:r>
      <w:r w:rsidRPr="003C242B">
        <w:rPr>
          <w:noProof/>
        </w:rPr>
        <w:drawing>
          <wp:inline distT="0" distB="0" distL="0" distR="0" wp14:anchorId="44F71BC7" wp14:editId="114B388F">
            <wp:extent cx="2514600" cy="1463040"/>
            <wp:effectExtent l="0" t="0" r="0" b="3810"/>
            <wp:docPr id="47027779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2692" t="1370" r="19865" b="1865"/>
                    <a:stretch>
                      <a:fillRect/>
                    </a:stretch>
                  </pic:blipFill>
                  <pic:spPr bwMode="auto">
                    <a:xfrm>
                      <a:off x="0" y="0"/>
                      <a:ext cx="2514600" cy="1463040"/>
                    </a:xfrm>
                    <a:prstGeom prst="rect">
                      <a:avLst/>
                    </a:prstGeom>
                    <a:noFill/>
                    <a:ln>
                      <a:noFill/>
                    </a:ln>
                  </pic:spPr>
                </pic:pic>
              </a:graphicData>
            </a:graphic>
          </wp:inline>
        </w:drawing>
      </w:r>
      <w:r w:rsidR="00FE137F" w:rsidRPr="003C242B">
        <w:t xml:space="preserve">     </w:t>
      </w:r>
      <w:r w:rsidRPr="003C242B">
        <w:tab/>
        <w:t>b)</w:t>
      </w:r>
      <w:r w:rsidRPr="003C242B">
        <w:rPr>
          <w:noProof/>
        </w:rPr>
        <w:drawing>
          <wp:inline distT="0" distB="0" distL="0" distR="0" wp14:anchorId="56F17882" wp14:editId="0CA8AF1B">
            <wp:extent cx="2545080" cy="1455420"/>
            <wp:effectExtent l="0" t="0" r="7620" b="0"/>
            <wp:docPr id="57932738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l="3500" t="591" r="21793" b="1472"/>
                    <a:stretch>
                      <a:fillRect/>
                    </a:stretch>
                  </pic:blipFill>
                  <pic:spPr bwMode="auto">
                    <a:xfrm>
                      <a:off x="0" y="0"/>
                      <a:ext cx="2545080" cy="1455420"/>
                    </a:xfrm>
                    <a:prstGeom prst="rect">
                      <a:avLst/>
                    </a:prstGeom>
                    <a:noFill/>
                    <a:ln>
                      <a:noFill/>
                    </a:ln>
                  </pic:spPr>
                </pic:pic>
              </a:graphicData>
            </a:graphic>
          </wp:inline>
        </w:drawing>
      </w:r>
    </w:p>
    <w:p w14:paraId="0147118C" w14:textId="77201330" w:rsidR="008714BE" w:rsidRPr="003C242B" w:rsidRDefault="008714BE" w:rsidP="008714BE">
      <w:pPr>
        <w:pStyle w:val="CETBodytext"/>
        <w:jc w:val="left"/>
        <w:rPr>
          <w:i/>
          <w:iCs/>
        </w:rPr>
      </w:pPr>
      <w:r w:rsidRPr="003C242B">
        <w:t>c)</w:t>
      </w:r>
      <w:r w:rsidRPr="003C242B">
        <w:rPr>
          <w:noProof/>
        </w:rPr>
        <w:drawing>
          <wp:inline distT="0" distB="0" distL="0" distR="0" wp14:anchorId="08A8FD8E" wp14:editId="5B534AF0">
            <wp:extent cx="2453640" cy="1440180"/>
            <wp:effectExtent l="0" t="0" r="3810" b="7620"/>
            <wp:docPr id="7808449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a:extLst>
                        <a:ext uri="{28A0092B-C50C-407E-A947-70E740481C1C}">
                          <a14:useLocalDpi xmlns:a14="http://schemas.microsoft.com/office/drawing/2010/main" val="0"/>
                        </a:ext>
                      </a:extLst>
                    </a:blip>
                    <a:srcRect l="3413" t="787" r="21085" b="1668"/>
                    <a:stretch>
                      <a:fillRect/>
                    </a:stretch>
                  </pic:blipFill>
                  <pic:spPr bwMode="auto">
                    <a:xfrm>
                      <a:off x="0" y="0"/>
                      <a:ext cx="2453640" cy="1440180"/>
                    </a:xfrm>
                    <a:prstGeom prst="rect">
                      <a:avLst/>
                    </a:prstGeom>
                    <a:noFill/>
                    <a:ln>
                      <a:noFill/>
                    </a:ln>
                  </pic:spPr>
                </pic:pic>
              </a:graphicData>
            </a:graphic>
          </wp:inline>
        </w:drawing>
      </w:r>
      <w:r w:rsidRPr="003C242B">
        <w:tab/>
      </w:r>
      <w:r w:rsidR="00FE137F" w:rsidRPr="003C242B">
        <w:t xml:space="preserve">        </w:t>
      </w:r>
      <w:r w:rsidRPr="003C242B">
        <w:t>d)</w:t>
      </w:r>
      <w:r w:rsidRPr="003C242B">
        <w:rPr>
          <w:noProof/>
        </w:rPr>
        <w:drawing>
          <wp:inline distT="0" distB="0" distL="0" distR="0" wp14:anchorId="5613DA65" wp14:editId="4F87EA9E">
            <wp:extent cx="2598420" cy="1440180"/>
            <wp:effectExtent l="0" t="0" r="0" b="7620"/>
            <wp:docPr id="98534892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extLst>
                        <a:ext uri="{28A0092B-C50C-407E-A947-70E740481C1C}">
                          <a14:useLocalDpi xmlns:a14="http://schemas.microsoft.com/office/drawing/2010/main" val="0"/>
                        </a:ext>
                      </a:extLst>
                    </a:blip>
                    <a:srcRect l="3073" t="1183" r="20763" b="1274"/>
                    <a:stretch>
                      <a:fillRect/>
                    </a:stretch>
                  </pic:blipFill>
                  <pic:spPr bwMode="auto">
                    <a:xfrm>
                      <a:off x="0" y="0"/>
                      <a:ext cx="2598420" cy="1440180"/>
                    </a:xfrm>
                    <a:prstGeom prst="rect">
                      <a:avLst/>
                    </a:prstGeom>
                    <a:noFill/>
                    <a:ln>
                      <a:noFill/>
                    </a:ln>
                  </pic:spPr>
                </pic:pic>
              </a:graphicData>
            </a:graphic>
          </wp:inline>
        </w:drawing>
      </w:r>
    </w:p>
    <w:p w14:paraId="1ABA7DCB" w14:textId="73943083" w:rsidR="008714BE" w:rsidRPr="003C242B" w:rsidRDefault="008714BE" w:rsidP="00FE137F">
      <w:pPr>
        <w:pStyle w:val="CETCaption"/>
        <w:spacing w:before="120"/>
        <w:rPr>
          <w:lang w:val="en-US"/>
        </w:rPr>
      </w:pPr>
      <w:r w:rsidRPr="003C242B">
        <w:rPr>
          <w:rStyle w:val="CETCaptionCarattere"/>
          <w:i/>
          <w:lang w:val="en-US"/>
        </w:rPr>
        <w:t xml:space="preserve">Figure 2: </w:t>
      </w:r>
      <w:r w:rsidR="00D410E8" w:rsidRPr="003C242B">
        <w:rPr>
          <w:lang w:val="en-US"/>
        </w:rPr>
        <w:t xml:space="preserve">Validation </w:t>
      </w:r>
      <w:r w:rsidR="00DD604C" w:rsidRPr="003C242B">
        <w:rPr>
          <w:lang w:val="en-US"/>
        </w:rPr>
        <w:t>and empirical relationships for real-time fermentation monitoring</w:t>
      </w:r>
      <w:r w:rsidR="00D410E8" w:rsidRPr="003C242B">
        <w:rPr>
          <w:lang w:val="en-US"/>
        </w:rPr>
        <w:t xml:space="preserve">. Symbols denote pressure (closed: atmospheric; open: vacuum) and gravity (low: ~9 °Brix; high: ~18 °Brix). a) </w:t>
      </w:r>
      <w:r w:rsidR="00DD604C" w:rsidRPr="003C242B">
        <w:rPr>
          <w:lang w:val="en-US"/>
        </w:rPr>
        <w:t>Comparison of relative density measured online (</w:t>
      </w:r>
      <w:r w:rsidR="00DD604C" w:rsidRPr="003C242B">
        <w:rPr>
          <w:rFonts w:ascii="Symbol" w:hAnsi="Symbol"/>
          <w:lang w:val="en-US"/>
        </w:rPr>
        <w:t></w:t>
      </w:r>
      <w:r w:rsidR="00DD604C" w:rsidRPr="003C242B">
        <w:rPr>
          <w:vertAlign w:val="subscript"/>
          <w:lang w:val="en-US"/>
        </w:rPr>
        <w:t>rB,FH</w:t>
      </w:r>
      <w:r w:rsidR="00DD604C" w:rsidRPr="003C242B">
        <w:rPr>
          <w:lang w:val="en-US"/>
        </w:rPr>
        <w:t>) via float WiFi hydrometer vs. offline (</w:t>
      </w:r>
      <w:r w:rsidR="00DD604C" w:rsidRPr="003C242B">
        <w:rPr>
          <w:rFonts w:ascii="Symbol" w:hAnsi="Symbol"/>
          <w:lang w:val="en-US"/>
        </w:rPr>
        <w:t></w:t>
      </w:r>
      <w:r w:rsidR="00DD604C" w:rsidRPr="003C242B">
        <w:rPr>
          <w:vertAlign w:val="subscript"/>
          <w:lang w:val="en-US"/>
        </w:rPr>
        <w:t>rB,AP</w:t>
      </w:r>
      <w:r w:rsidR="00DD604C" w:rsidRPr="003C242B">
        <w:rPr>
          <w:lang w:val="en-US"/>
        </w:rPr>
        <w:t>) via Anton Paar densimeter</w:t>
      </w:r>
      <w:r w:rsidR="00D410E8" w:rsidRPr="003C242B">
        <w:rPr>
          <w:lang w:val="en-US"/>
        </w:rPr>
        <w:t>; b) Real extract (</w:t>
      </w:r>
      <w:r w:rsidR="00D410E8" w:rsidRPr="003C242B">
        <w:rPr>
          <w:rFonts w:ascii="Symbol" w:hAnsi="Symbol"/>
          <w:lang w:val="en-US"/>
        </w:rPr>
        <w:t>D</w:t>
      </w:r>
      <w:r w:rsidR="00D410E8" w:rsidRPr="003C242B">
        <w:rPr>
          <w:lang w:val="en-US"/>
        </w:rPr>
        <w:t>ER) vs. sucrose equivalent (</w:t>
      </w:r>
      <w:r w:rsidR="00D410E8" w:rsidRPr="003C242B">
        <w:rPr>
          <w:rFonts w:ascii="Symbol" w:hAnsi="Symbol"/>
          <w:lang w:val="en-US"/>
        </w:rPr>
        <w:t>D</w:t>
      </w:r>
      <w:r w:rsidR="00D410E8" w:rsidRPr="003C242B">
        <w:rPr>
          <w:lang w:val="en-US"/>
        </w:rPr>
        <w:t>S) reduction; c) Ethanol production (</w:t>
      </w:r>
      <w:r w:rsidR="00D410E8" w:rsidRPr="003C242B">
        <w:rPr>
          <w:rFonts w:ascii="Symbol" w:hAnsi="Symbol"/>
          <w:lang w:val="en-US"/>
        </w:rPr>
        <w:t>D</w:t>
      </w:r>
      <w:r w:rsidR="00D410E8" w:rsidRPr="003C242B">
        <w:rPr>
          <w:lang w:val="en-US"/>
        </w:rPr>
        <w:t xml:space="preserve">E) vs. </w:t>
      </w:r>
      <w:r w:rsidR="00D410E8" w:rsidRPr="003C242B">
        <w:rPr>
          <w:rFonts w:ascii="Symbol" w:hAnsi="Symbol"/>
          <w:lang w:val="en-US"/>
        </w:rPr>
        <w:t>D</w:t>
      </w:r>
      <w:r w:rsidR="00D410E8" w:rsidRPr="003C242B">
        <w:rPr>
          <w:lang w:val="en-US"/>
        </w:rPr>
        <w:t xml:space="preserve">S consumption; d) </w:t>
      </w:r>
      <w:r w:rsidR="00D410E8" w:rsidRPr="003C242B">
        <w:rPr>
          <w:rFonts w:ascii="Symbol" w:hAnsi="Symbol"/>
          <w:lang w:val="en-US"/>
        </w:rPr>
        <w:t>D</w:t>
      </w:r>
      <w:r w:rsidR="00D410E8" w:rsidRPr="003C242B">
        <w:rPr>
          <w:lang w:val="en-US"/>
        </w:rPr>
        <w:t>S consumption vs. relative density variation (</w:t>
      </w:r>
      <w:r w:rsidR="00D410E8" w:rsidRPr="003C242B">
        <w:rPr>
          <w:rFonts w:ascii="Symbol" w:hAnsi="Symbol"/>
          <w:lang w:val="en-US"/>
        </w:rPr>
        <w:t>Dr</w:t>
      </w:r>
      <w:r w:rsidR="008B1522" w:rsidRPr="003C242B">
        <w:rPr>
          <w:rFonts w:cs="Arial"/>
          <w:vertAlign w:val="subscript"/>
          <w:lang w:val="en-US"/>
        </w:rPr>
        <w:t>r</w:t>
      </w:r>
      <w:r w:rsidR="00D410E8" w:rsidRPr="003C242B">
        <w:rPr>
          <w:vertAlign w:val="subscript"/>
          <w:lang w:val="en-US"/>
        </w:rPr>
        <w:t>B,HF</w:t>
      </w:r>
      <w:r w:rsidR="00D410E8" w:rsidRPr="003C242B">
        <w:rPr>
          <w:lang w:val="en-US"/>
        </w:rPr>
        <w:t>).</w:t>
      </w:r>
    </w:p>
    <w:p w14:paraId="04B97B62" w14:textId="77777777" w:rsidR="002F3E8F" w:rsidRDefault="00D62F46" w:rsidP="000E77DB">
      <w:pPr>
        <w:pStyle w:val="CETBodytext"/>
      </w:pPr>
      <w:r w:rsidRPr="003C242B">
        <w:t>This validation is critical for industrial application, as it ensures that low-cost, real-time sensors can replace labor-intensive manual sampling without compromising data integrity</w:t>
      </w:r>
      <w:r w:rsidRPr="003C242B">
        <w:t xml:space="preserve">. </w:t>
      </w:r>
    </w:p>
    <w:p w14:paraId="2513CB58" w14:textId="42C46DEA" w:rsidR="000E77DB" w:rsidRPr="003C242B" w:rsidRDefault="005A36C4" w:rsidP="000E77DB">
      <w:pPr>
        <w:pStyle w:val="CETBodytext"/>
      </w:pPr>
      <w:r w:rsidRPr="003C242B">
        <w:t>Subsequent analysis of the fermentation broth revealed a stable linear relationship between real extract reduction (</w:t>
      </w:r>
      <w:r w:rsidRPr="003C242B">
        <w:rPr>
          <w:rFonts w:ascii="Symbol" w:hAnsi="Symbol"/>
        </w:rPr>
        <w:t>D</w:t>
      </w:r>
      <w:r w:rsidRPr="003C242B">
        <w:t>ER) and sucrose equivalent consumption (</w:t>
      </w:r>
      <w:r w:rsidRPr="003C242B">
        <w:rPr>
          <w:rFonts w:ascii="Symbol" w:hAnsi="Symbol"/>
        </w:rPr>
        <w:t>D</w:t>
      </w:r>
      <w:r w:rsidRPr="003C242B">
        <w:t>S) (Eq. 2)</w:t>
      </w:r>
      <w:r w:rsidR="000E77DB" w:rsidRPr="003C242B">
        <w:t xml:space="preserve"> – see Fig. 2b</w:t>
      </w:r>
      <w:r w:rsidRPr="003C242B">
        <w:t>. Most significantly, the production of ethanol (</w:t>
      </w:r>
      <w:r w:rsidR="00776E14" w:rsidRPr="003C242B">
        <w:rPr>
          <w:rFonts w:ascii="Symbol" w:hAnsi="Symbol"/>
        </w:rPr>
        <w:t>D</w:t>
      </w:r>
      <w:r w:rsidRPr="003C242B">
        <w:t xml:space="preserve">E, % v/v) exhibited a robust linear correlation with </w:t>
      </w:r>
      <w:r w:rsidRPr="003C242B">
        <w:rPr>
          <w:rFonts w:ascii="Symbol" w:hAnsi="Symbol"/>
        </w:rPr>
        <w:t>D</w:t>
      </w:r>
      <w:r w:rsidRPr="003C242B">
        <w:t>S (Eq. 3). As shown in Figure 2c, this relationship was found to be independent of the operating pressure. This suggests that while vacuum conditions significantly accelerate ethanol removal</w:t>
      </w:r>
      <w:r w:rsidR="00D62F46" w:rsidRPr="003C242B">
        <w:t xml:space="preserve"> and alter the process rate</w:t>
      </w:r>
      <w:r w:rsidRPr="003C242B">
        <w:t xml:space="preserve">, they do not fundamentally </w:t>
      </w:r>
      <w:r w:rsidR="00D62F46" w:rsidRPr="003C242B">
        <w:t>deviate the yeast from its primary metabolic stoichiometry</w:t>
      </w:r>
      <w:r w:rsidRPr="003C242B">
        <w:t xml:space="preserve">. </w:t>
      </w:r>
      <w:r w:rsidR="000E77DB" w:rsidRPr="003C242B">
        <w:t>To convert the empirical yield, expressed in [% (v/v)/°Brix] units</w:t>
      </w:r>
      <w:r w:rsidR="00D26D6E" w:rsidRPr="003C242B">
        <w:t xml:space="preserve">, </w:t>
      </w:r>
      <w:r w:rsidR="000E77DB" w:rsidRPr="003C242B">
        <w:t>into the standard mass ethanol yield coefficient (Y</w:t>
      </w:r>
      <w:r w:rsidR="000E77DB" w:rsidRPr="003C242B">
        <w:rPr>
          <w:vertAlign w:val="subscript"/>
        </w:rPr>
        <w:t>E</w:t>
      </w:r>
      <w:r w:rsidR="000E77DB" w:rsidRPr="003C242B">
        <w:t xml:space="preserve">), expressed in g of ethanol formed per g of </w:t>
      </w:r>
      <w:r w:rsidR="00D26D6E" w:rsidRPr="003C242B">
        <w:t>substrate</w:t>
      </w:r>
      <w:r w:rsidR="000E77DB" w:rsidRPr="003C242B">
        <w:t xml:space="preserve"> consumed, the ABV and sugar values were converted in</w:t>
      </w:r>
      <w:r w:rsidR="00D26D6E" w:rsidRPr="003C242B">
        <w:t xml:space="preserve">to </w:t>
      </w:r>
      <w:r w:rsidR="000E77DB" w:rsidRPr="003C242B">
        <w:t>weight concentrations</w:t>
      </w:r>
      <w:r w:rsidR="00D26D6E" w:rsidRPr="003C242B">
        <w:t xml:space="preserve"> </w:t>
      </w:r>
      <w:r w:rsidR="000E77DB" w:rsidRPr="003C242B">
        <w:t>u</w:t>
      </w:r>
      <w:r w:rsidR="00D26D6E" w:rsidRPr="003C242B">
        <w:t xml:space="preserve">sing specific </w:t>
      </w:r>
      <w:r w:rsidR="000E77DB" w:rsidRPr="003C242B">
        <w:t>densities at 40 °C: ethanol (772 kg/m</w:t>
      </w:r>
      <w:r w:rsidR="000E77DB" w:rsidRPr="003C242B">
        <w:rPr>
          <w:vertAlign w:val="superscript"/>
        </w:rPr>
        <w:t>3</w:t>
      </w:r>
      <w:r w:rsidR="000E77DB" w:rsidRPr="003C242B">
        <w:t>)</w:t>
      </w:r>
      <w:r w:rsidR="00D26D6E" w:rsidRPr="003C242B">
        <w:t xml:space="preserve">, </w:t>
      </w:r>
      <w:r w:rsidR="000E77DB" w:rsidRPr="003C242B">
        <w:t>water (992.25 kg/m</w:t>
      </w:r>
      <w:r w:rsidR="000E77DB" w:rsidRPr="003C242B">
        <w:rPr>
          <w:vertAlign w:val="superscript"/>
        </w:rPr>
        <w:t>3</w:t>
      </w:r>
      <w:r w:rsidR="000E77DB" w:rsidRPr="003C242B">
        <w:t>)</w:t>
      </w:r>
      <w:r w:rsidR="00D26D6E" w:rsidRPr="003C242B">
        <w:t xml:space="preserve">, and the measured </w:t>
      </w:r>
      <w:r w:rsidR="000E77DB" w:rsidRPr="003C242B">
        <w:t>relative density of finished beer</w:t>
      </w:r>
      <w:r w:rsidR="00D26D6E" w:rsidRPr="003C242B">
        <w:t xml:space="preserve"> </w:t>
      </w:r>
      <w:r w:rsidR="000E77DB" w:rsidRPr="003C242B">
        <w:t>(1.011 ± 0.008). The resulting average yield factor for ethanol was 0.389 ± 0.004 g/g, or 2.892 ± 0.03 mol of ethanol</w:t>
      </w:r>
      <w:r w:rsidR="00D26D6E" w:rsidRPr="003C242B">
        <w:t xml:space="preserve"> per </w:t>
      </w:r>
      <w:r w:rsidR="000E77DB" w:rsidRPr="003C242B">
        <w:t xml:space="preserve">mol of </w:t>
      </w:r>
      <w:r w:rsidR="000E77DB" w:rsidRPr="003C242B">
        <w:t xml:space="preserve">sucrose equivalent </w:t>
      </w:r>
      <w:r w:rsidR="000E77DB" w:rsidRPr="003C242B">
        <w:t xml:space="preserve">consumed. </w:t>
      </w:r>
    </w:p>
    <w:p w14:paraId="4F015C3A" w14:textId="5B0A3A23" w:rsidR="00776E14" w:rsidRPr="003C242B" w:rsidRDefault="001E747D" w:rsidP="00D410E8">
      <w:pPr>
        <w:pStyle w:val="CETBodytext"/>
      </w:pPr>
      <w:r w:rsidRPr="003C242B">
        <w:t>This actual yield represents 72.4% of the theoretical Gay-Lussac maximum. The remaining fraction is attributed to biomass production and the synthesis of secondary metabolites—such as esters and higher alcohols—which are vital for the sensory profile of the resulting low-alcohol beer.</w:t>
      </w:r>
    </w:p>
    <w:p w14:paraId="0DB47280" w14:textId="77777777" w:rsidR="00D02810" w:rsidRDefault="008111F6" w:rsidP="00D410E8">
      <w:pPr>
        <w:pStyle w:val="CETBodytext"/>
      </w:pPr>
      <w:r w:rsidRPr="008111F6">
        <w:t>The consistency of the ethanol yield coefficient across all experimental runs suggests that the integrated process operates without compromising yeast vitality. This is evidenced by the absence of 'stuck' fermentations, as the Kveik Voss strain maintained its metabolic activity until full attenuation was reached, despite the combined stresses of high temperature and sub-atmospheric pressure. Furthermore, the stable stoichiometry confirms that no significant by-product deviations occurred; the yeast did not divert carbon flux toward stress-induced secondary metabolites that could otherwise negatively impact the sensory profile of the low-alcohol base.</w:t>
      </w:r>
    </w:p>
    <w:p w14:paraId="00400DCB" w14:textId="77777777" w:rsidR="008111F6" w:rsidRDefault="008111F6" w:rsidP="00D410E8">
      <w:pPr>
        <w:pStyle w:val="CETBodytext"/>
        <w:rPr>
          <w:i/>
          <w:iCs/>
        </w:rPr>
      </w:pPr>
    </w:p>
    <w:p w14:paraId="51D25670" w14:textId="620BF843" w:rsidR="00776E14" w:rsidRPr="003C242B" w:rsidRDefault="005A36C4" w:rsidP="00D410E8">
      <w:pPr>
        <w:pStyle w:val="CETBodytext"/>
        <w:rPr>
          <w:i/>
          <w:iCs/>
        </w:rPr>
      </w:pPr>
      <w:r w:rsidRPr="003C242B">
        <w:rPr>
          <w:i/>
          <w:iCs/>
        </w:rPr>
        <w:t>3.2.2 Kinetic Modelling of Density Decay</w:t>
      </w:r>
    </w:p>
    <w:p w14:paraId="55BD099C" w14:textId="77777777" w:rsidR="008111F6" w:rsidRDefault="005A36C4" w:rsidP="008111F6">
      <w:pPr>
        <w:pStyle w:val="CETBodytext"/>
      </w:pPr>
      <w:r w:rsidRPr="003C242B">
        <w:t>The time course of the online relative density change (</w:t>
      </w:r>
      <w:r w:rsidRPr="003C242B">
        <w:rPr>
          <w:rFonts w:ascii="Symbol" w:hAnsi="Symbol"/>
        </w:rPr>
        <w:t>Dr</w:t>
      </w:r>
      <w:r w:rsidRPr="003C242B">
        <w:rPr>
          <w:rFonts w:cs="Arial"/>
          <w:vertAlign w:val="subscript"/>
        </w:rPr>
        <w:t>r</w:t>
      </w:r>
      <w:r w:rsidRPr="003C242B">
        <w:rPr>
          <w:vertAlign w:val="subscript"/>
        </w:rPr>
        <w:t>B,FH</w:t>
      </w:r>
      <w:r w:rsidRPr="003C242B">
        <w:t>) was successfully modeled using a second-order polynomial function</w:t>
      </w:r>
      <w:r w:rsidR="00D942C8" w:rsidRPr="003C242B">
        <w:t xml:space="preserve"> (Table 2, Eq. </w:t>
      </w:r>
      <w:r w:rsidR="00C74026" w:rsidRPr="003C242B">
        <w:t>5</w:t>
      </w:r>
      <w:r w:rsidR="00D942C8" w:rsidRPr="003C242B">
        <w:t>)</w:t>
      </w:r>
      <w:r w:rsidR="00750E46" w:rsidRPr="003C242B">
        <w:t xml:space="preserve">. </w:t>
      </w:r>
      <w:r w:rsidR="006A56A0" w:rsidRPr="003C242B">
        <w:t xml:space="preserve">The empirical coefficients, </w:t>
      </w:r>
      <w:r w:rsidR="006A56A0" w:rsidRPr="003C242B">
        <w:rPr>
          <w:rFonts w:ascii="Symbol" w:hAnsi="Symbol"/>
        </w:rPr>
        <w:t></w:t>
      </w:r>
      <w:r w:rsidR="006A56A0" w:rsidRPr="003C242B">
        <w:rPr>
          <w:vertAlign w:val="subscript"/>
        </w:rPr>
        <w:t>1</w:t>
      </w:r>
      <w:r w:rsidR="006A56A0" w:rsidRPr="003C242B">
        <w:t xml:space="preserve"> and </w:t>
      </w:r>
      <w:r w:rsidR="006A56A0" w:rsidRPr="003C242B">
        <w:rPr>
          <w:rFonts w:ascii="Symbol" w:hAnsi="Symbol"/>
        </w:rPr>
        <w:t></w:t>
      </w:r>
      <w:r w:rsidR="006A56A0" w:rsidRPr="003C242B">
        <w:rPr>
          <w:vertAlign w:val="subscript"/>
        </w:rPr>
        <w:t>2,</w:t>
      </w:r>
      <w:r w:rsidR="006A56A0" w:rsidRPr="003C242B">
        <w:t xml:space="preserve"> determined using the least squares method,</w:t>
      </w:r>
      <w:r w:rsidR="00174C2E" w:rsidRPr="003C242B">
        <w:t xml:space="preserve"> </w:t>
      </w:r>
      <w:r w:rsidR="006A56A0" w:rsidRPr="003C242B">
        <w:t>characterize the fermentation dynamics</w:t>
      </w:r>
      <w:r w:rsidR="00174C2E" w:rsidRPr="003C242B">
        <w:t xml:space="preserve"> </w:t>
      </w:r>
      <w:r w:rsidR="00174C2E" w:rsidRPr="00174C2E">
        <w:t>across different gravities and pressures (Table 3)</w:t>
      </w:r>
      <w:r w:rsidR="006A56A0" w:rsidRPr="003C242B">
        <w:t>.</w:t>
      </w:r>
    </w:p>
    <w:p w14:paraId="0C34B74D" w14:textId="502693F7" w:rsidR="008111F6" w:rsidRPr="00174C2E" w:rsidRDefault="008111F6" w:rsidP="008111F6">
      <w:pPr>
        <w:pStyle w:val="CETBodytext"/>
      </w:pPr>
      <w:r w:rsidRPr="003C242B">
        <w:t>In atmospheric trials, the initial rate coefficient (</w:t>
      </w:r>
      <w:r w:rsidRPr="003C242B">
        <w:rPr>
          <w:rFonts w:ascii="Symbol" w:hAnsi="Symbol"/>
        </w:rPr>
        <w:t>r</w:t>
      </w:r>
      <w:r w:rsidRPr="003C242B">
        <w:rPr>
          <w:vertAlign w:val="subscript"/>
        </w:rPr>
        <w:t>1</w:t>
      </w:r>
      <w:r w:rsidRPr="003C242B">
        <w:t>) was positive and largely independent of wort gravity. However, under vacuum, high-gravity wort (~18 °Brix) showed a significantly higher</w:t>
      </w:r>
      <w:r w:rsidRPr="003C242B">
        <w:rPr>
          <w:rFonts w:ascii="Symbol" w:hAnsi="Symbol"/>
        </w:rPr>
        <w:t xml:space="preserve"> r</w:t>
      </w:r>
      <w:r w:rsidRPr="003C242B">
        <w:rPr>
          <w:vertAlign w:val="subscript"/>
        </w:rPr>
        <w:t>1</w:t>
      </w:r>
      <w:r w:rsidRPr="003C242B">
        <w:t xml:space="preserve"> (7.23 </w:t>
      </w:r>
      <w:r w:rsidRPr="003C242B">
        <w:sym w:font="Wingdings 2" w:char="F0CE"/>
      </w:r>
      <w:r w:rsidRPr="003C242B">
        <w:t xml:space="preserve"> 10</w:t>
      </w:r>
      <w:r w:rsidRPr="003C242B">
        <w:rPr>
          <w:vertAlign w:val="superscript"/>
        </w:rPr>
        <w:t>-3</w:t>
      </w:r>
      <w:r w:rsidRPr="003C242B">
        <w:t xml:space="preserve">), indicating an accelerated initial fermentation rate </w:t>
      </w:r>
      <w:r w:rsidRPr="00174C2E">
        <w:t>likely due to the immediate removal of inhibitory dissolved CO</w:t>
      </w:r>
      <w:r w:rsidRPr="00174C2E">
        <w:rPr>
          <w:vertAlign w:val="subscript"/>
        </w:rPr>
        <w:t>2</w:t>
      </w:r>
      <w:r w:rsidRPr="003C242B">
        <w:t>. Conversely, the low-gravity vacuum trial exhibited a slight initial lag.</w:t>
      </w:r>
      <w:r w:rsidRPr="00174C2E">
        <w:t xml:space="preserve"> This suggests a threshold effect where the </w:t>
      </w:r>
      <w:r w:rsidRPr="00174C2E">
        <w:lastRenderedPageBreak/>
        <w:t>stress of a low-pressure environment may require a brief period of yeast adaptation when substrate availability is lower. The quadratic term (</w:t>
      </w:r>
      <w:r w:rsidRPr="00174C2E">
        <w:rPr>
          <w:rFonts w:ascii="Symbol" w:hAnsi="Symbol"/>
        </w:rPr>
        <w:t>r</w:t>
      </w:r>
      <w:r w:rsidRPr="00174C2E">
        <w:rPr>
          <w:vertAlign w:val="subscript"/>
        </w:rPr>
        <w:t>2</w:t>
      </w:r>
      <w:r w:rsidRPr="00174C2E">
        <w:t xml:space="preserve">) accounts for the curvature of the attenuation profile. In most runs, </w:t>
      </w:r>
      <w:r w:rsidRPr="00174C2E">
        <w:rPr>
          <w:rFonts w:ascii="Symbol" w:hAnsi="Symbol"/>
        </w:rPr>
        <w:t>r</w:t>
      </w:r>
      <w:r w:rsidRPr="00174C2E">
        <w:rPr>
          <w:vertAlign w:val="subscript"/>
        </w:rPr>
        <w:t>2</w:t>
      </w:r>
      <w:r w:rsidRPr="003C242B">
        <w:rPr>
          <w:vertAlign w:val="subscript"/>
        </w:rPr>
        <w:t xml:space="preserve"> </w:t>
      </w:r>
      <w:r w:rsidRPr="00174C2E">
        <w:t>was negative, reflecting the standard deceleration of yeast activity as nutrients are depleted and metabolites accumulate.</w:t>
      </w:r>
    </w:p>
    <w:p w14:paraId="0D9F878A" w14:textId="2776D88C" w:rsidR="00BC08ED" w:rsidRPr="003C242B" w:rsidRDefault="00BC08ED" w:rsidP="00BC08ED">
      <w:pPr>
        <w:pStyle w:val="CETTabletitle"/>
        <w:jc w:val="both"/>
        <w:rPr>
          <w:lang w:val="en-US"/>
        </w:rPr>
      </w:pPr>
      <w:r w:rsidRPr="003C242B">
        <w:rPr>
          <w:lang w:val="en-US"/>
        </w:rPr>
        <w:t xml:space="preserve">Table </w:t>
      </w:r>
      <w:r w:rsidRPr="003C242B">
        <w:rPr>
          <w:lang w:val="en-US"/>
        </w:rPr>
        <w:t>3</w:t>
      </w:r>
      <w:r w:rsidRPr="003C242B">
        <w:rPr>
          <w:lang w:val="en-US"/>
        </w:rPr>
        <w:t>: Empirical parameters (</w:t>
      </w:r>
      <w:r w:rsidRPr="003C242B">
        <w:rPr>
          <w:rFonts w:ascii="Symbol" w:hAnsi="Symbol"/>
          <w:lang w:val="en-US"/>
        </w:rPr>
        <w:t></w:t>
      </w:r>
      <w:r w:rsidRPr="003C242B">
        <w:rPr>
          <w:vertAlign w:val="subscript"/>
          <w:lang w:val="en-US"/>
        </w:rPr>
        <w:t xml:space="preserve">1 </w:t>
      </w:r>
      <w:r w:rsidRPr="003C242B">
        <w:rPr>
          <w:lang w:val="en-US"/>
        </w:rPr>
        <w:t xml:space="preserve">and </w:t>
      </w:r>
      <w:r w:rsidRPr="003C242B">
        <w:rPr>
          <w:rFonts w:ascii="Symbol" w:hAnsi="Symbol"/>
          <w:lang w:val="en-US"/>
        </w:rPr>
        <w:t></w:t>
      </w:r>
      <w:r w:rsidRPr="003C242B">
        <w:rPr>
          <w:vertAlign w:val="subscript"/>
          <w:lang w:val="en-US"/>
        </w:rPr>
        <w:t>2</w:t>
      </w:r>
      <w:r w:rsidRPr="003C242B">
        <w:rPr>
          <w:lang w:val="en-US"/>
        </w:rPr>
        <w:t>) of Eq. (</w:t>
      </w:r>
      <w:r w:rsidR="00C74026" w:rsidRPr="003C242B">
        <w:rPr>
          <w:lang w:val="en-US"/>
        </w:rPr>
        <w:t>5</w:t>
      </w:r>
      <w:r w:rsidRPr="003C242B">
        <w:rPr>
          <w:lang w:val="en-US"/>
        </w:rPr>
        <w:t>) and corresponding coefficients of determination (r</w:t>
      </w:r>
      <w:r w:rsidRPr="003C242B">
        <w:rPr>
          <w:vertAlign w:val="superscript"/>
          <w:lang w:val="en-US"/>
        </w:rPr>
        <w:t>2</w:t>
      </w:r>
      <w:r w:rsidRPr="003C242B">
        <w:rPr>
          <w:lang w:val="en-US"/>
        </w:rPr>
        <w:t>) for wort samples fermented at 40 °C under different initial gravities (S</w:t>
      </w:r>
      <w:r w:rsidRPr="003C242B">
        <w:rPr>
          <w:vertAlign w:val="subscript"/>
          <w:lang w:val="en-US"/>
        </w:rPr>
        <w:t>0</w:t>
      </w:r>
      <w:r w:rsidRPr="003C242B">
        <w:rPr>
          <w:lang w:val="en-US"/>
        </w:rPr>
        <w:t>) and pressures.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86"/>
        <w:gridCol w:w="2400"/>
        <w:gridCol w:w="2470"/>
        <w:gridCol w:w="1909"/>
        <w:gridCol w:w="724"/>
      </w:tblGrid>
      <w:tr w:rsidR="00BC08ED" w:rsidRPr="003C242B" w14:paraId="38173F4E" w14:textId="77777777" w:rsidTr="00DA521D">
        <w:tc>
          <w:tcPr>
            <w:tcW w:w="1286" w:type="dxa"/>
            <w:tcBorders>
              <w:top w:val="single" w:sz="12" w:space="0" w:color="C0504D" w:themeColor="accent2"/>
              <w:left w:val="nil"/>
              <w:bottom w:val="single" w:sz="12" w:space="0" w:color="C0504D" w:themeColor="accent2"/>
              <w:right w:val="nil"/>
            </w:tcBorders>
            <w:shd w:val="clear" w:color="auto" w:fill="FFFFFF" w:themeFill="background1"/>
            <w:hideMark/>
          </w:tcPr>
          <w:p w14:paraId="3C1F8197" w14:textId="77777777" w:rsidR="00BC08ED" w:rsidRPr="003C242B" w:rsidRDefault="00BC08ED" w:rsidP="00DA521D">
            <w:pPr>
              <w:pStyle w:val="CETBodytext"/>
              <w:jc w:val="center"/>
              <w:rPr>
                <w:b/>
                <w:bCs/>
              </w:rPr>
            </w:pPr>
            <w:r w:rsidRPr="003C242B">
              <w:rPr>
                <w:b/>
                <w:bCs/>
              </w:rPr>
              <w:t>S</w:t>
            </w:r>
            <w:r w:rsidRPr="003C242B">
              <w:rPr>
                <w:b/>
                <w:bCs/>
                <w:vertAlign w:val="subscript"/>
              </w:rPr>
              <w:t>0</w:t>
            </w:r>
            <w:r w:rsidRPr="003C242B">
              <w:rPr>
                <w:b/>
                <w:bCs/>
              </w:rPr>
              <w:t xml:space="preserve"> (°Brix)</w:t>
            </w:r>
          </w:p>
        </w:tc>
        <w:tc>
          <w:tcPr>
            <w:tcW w:w="2400" w:type="dxa"/>
            <w:tcBorders>
              <w:top w:val="single" w:sz="12" w:space="0" w:color="C0504D" w:themeColor="accent2"/>
              <w:left w:val="nil"/>
              <w:bottom w:val="single" w:sz="12" w:space="0" w:color="C0504D" w:themeColor="accent2"/>
              <w:right w:val="nil"/>
            </w:tcBorders>
            <w:shd w:val="clear" w:color="auto" w:fill="FFFFFF" w:themeFill="background1"/>
            <w:hideMark/>
          </w:tcPr>
          <w:p w14:paraId="1FBB4A23" w14:textId="77777777" w:rsidR="00BC08ED" w:rsidRPr="003C242B" w:rsidRDefault="00BC08ED" w:rsidP="00DA521D">
            <w:pPr>
              <w:pStyle w:val="CETBodytext"/>
              <w:jc w:val="center"/>
              <w:rPr>
                <w:b/>
                <w:bCs/>
              </w:rPr>
            </w:pPr>
            <w:r w:rsidRPr="003C242B">
              <w:rPr>
                <w:b/>
                <w:bCs/>
              </w:rPr>
              <w:t>Condition</w:t>
            </w:r>
          </w:p>
        </w:tc>
        <w:tc>
          <w:tcPr>
            <w:tcW w:w="2470" w:type="dxa"/>
            <w:tcBorders>
              <w:top w:val="single" w:sz="12" w:space="0" w:color="C0504D" w:themeColor="accent2"/>
              <w:left w:val="nil"/>
              <w:bottom w:val="single" w:sz="12" w:space="0" w:color="C0504D" w:themeColor="accent2"/>
              <w:right w:val="nil"/>
            </w:tcBorders>
            <w:shd w:val="clear" w:color="auto" w:fill="FFFFFF" w:themeFill="background1"/>
            <w:hideMark/>
          </w:tcPr>
          <w:p w14:paraId="6F17D0BE" w14:textId="77777777" w:rsidR="00BC08ED" w:rsidRPr="003C242B" w:rsidRDefault="00BC08ED" w:rsidP="00DA521D">
            <w:pPr>
              <w:pStyle w:val="CETBodytext"/>
              <w:jc w:val="center"/>
              <w:rPr>
                <w:b/>
                <w:bCs/>
              </w:rPr>
            </w:pPr>
            <w:r w:rsidRPr="003C242B">
              <w:rPr>
                <w:rFonts w:ascii="Symbol" w:hAnsi="Symbol"/>
                <w:b/>
                <w:bCs/>
              </w:rPr>
              <w:t>r</w:t>
            </w:r>
            <w:r w:rsidRPr="003C242B">
              <w:rPr>
                <w:b/>
                <w:bCs/>
                <w:vertAlign w:val="subscript"/>
              </w:rPr>
              <w:t>1</w:t>
            </w:r>
          </w:p>
        </w:tc>
        <w:tc>
          <w:tcPr>
            <w:tcW w:w="1909" w:type="dxa"/>
            <w:tcBorders>
              <w:top w:val="single" w:sz="12" w:space="0" w:color="C0504D" w:themeColor="accent2"/>
              <w:left w:val="nil"/>
              <w:bottom w:val="single" w:sz="12" w:space="0" w:color="C0504D" w:themeColor="accent2"/>
              <w:right w:val="nil"/>
            </w:tcBorders>
            <w:shd w:val="clear" w:color="auto" w:fill="FFFFFF" w:themeFill="background1"/>
            <w:hideMark/>
          </w:tcPr>
          <w:p w14:paraId="7FAFF36B" w14:textId="77777777" w:rsidR="00BC08ED" w:rsidRPr="003C242B" w:rsidRDefault="00BC08ED" w:rsidP="00DA521D">
            <w:pPr>
              <w:pStyle w:val="CETBodytext"/>
              <w:jc w:val="center"/>
              <w:rPr>
                <w:b/>
                <w:bCs/>
              </w:rPr>
            </w:pPr>
            <w:r w:rsidRPr="003C242B">
              <w:rPr>
                <w:rFonts w:ascii="Symbol" w:hAnsi="Symbol"/>
                <w:b/>
                <w:bCs/>
              </w:rPr>
              <w:t>r</w:t>
            </w:r>
            <w:r w:rsidRPr="003C242B">
              <w:rPr>
                <w:b/>
                <w:bCs/>
                <w:vertAlign w:val="subscript"/>
              </w:rPr>
              <w:t>2</w:t>
            </w:r>
          </w:p>
        </w:tc>
        <w:tc>
          <w:tcPr>
            <w:tcW w:w="724" w:type="dxa"/>
            <w:tcBorders>
              <w:top w:val="single" w:sz="12" w:space="0" w:color="C0504D" w:themeColor="accent2"/>
              <w:left w:val="nil"/>
              <w:bottom w:val="single" w:sz="12" w:space="0" w:color="C0504D" w:themeColor="accent2"/>
              <w:right w:val="nil"/>
            </w:tcBorders>
            <w:shd w:val="clear" w:color="auto" w:fill="FFFFFF" w:themeFill="background1"/>
            <w:hideMark/>
          </w:tcPr>
          <w:p w14:paraId="1C1A4D61" w14:textId="77777777" w:rsidR="00BC08ED" w:rsidRPr="003C242B" w:rsidRDefault="00BC08ED" w:rsidP="00DA521D">
            <w:pPr>
              <w:pStyle w:val="CETBodytext"/>
              <w:jc w:val="center"/>
              <w:rPr>
                <w:b/>
                <w:bCs/>
              </w:rPr>
            </w:pPr>
            <w:r w:rsidRPr="003C242B">
              <w:rPr>
                <w:b/>
                <w:bCs/>
              </w:rPr>
              <w:t>r</w:t>
            </w:r>
            <w:r w:rsidRPr="003C242B">
              <w:rPr>
                <w:b/>
                <w:bCs/>
                <w:vertAlign w:val="superscript"/>
              </w:rPr>
              <w:t>2</w:t>
            </w:r>
          </w:p>
        </w:tc>
      </w:tr>
      <w:tr w:rsidR="00BC08ED" w:rsidRPr="003C242B" w14:paraId="4B7B5B17" w14:textId="77777777" w:rsidTr="00DA521D">
        <w:tc>
          <w:tcPr>
            <w:tcW w:w="1286" w:type="dxa"/>
            <w:tcBorders>
              <w:top w:val="single" w:sz="12" w:space="0" w:color="C0504D" w:themeColor="accent2"/>
              <w:left w:val="nil"/>
              <w:bottom w:val="nil"/>
              <w:right w:val="nil"/>
            </w:tcBorders>
            <w:shd w:val="clear" w:color="auto" w:fill="FFFFFF" w:themeFill="background1"/>
            <w:hideMark/>
          </w:tcPr>
          <w:p w14:paraId="6EE46E99" w14:textId="77777777" w:rsidR="00BC08ED" w:rsidRPr="003C242B" w:rsidRDefault="00BC08ED" w:rsidP="00DA521D">
            <w:pPr>
              <w:pStyle w:val="CETBodytext"/>
              <w:jc w:val="center"/>
            </w:pPr>
            <w:r w:rsidRPr="003C242B">
              <w:t>~9</w:t>
            </w:r>
          </w:p>
        </w:tc>
        <w:tc>
          <w:tcPr>
            <w:tcW w:w="2400" w:type="dxa"/>
            <w:tcBorders>
              <w:top w:val="single" w:sz="12" w:space="0" w:color="C0504D" w:themeColor="accent2"/>
              <w:left w:val="nil"/>
              <w:bottom w:val="nil"/>
              <w:right w:val="nil"/>
            </w:tcBorders>
            <w:shd w:val="clear" w:color="auto" w:fill="FFFFFF" w:themeFill="background1"/>
            <w:hideMark/>
          </w:tcPr>
          <w:p w14:paraId="4C73C690" w14:textId="77777777" w:rsidR="00BC08ED" w:rsidRPr="003C242B" w:rsidRDefault="00BC08ED" w:rsidP="00DA521D">
            <w:pPr>
              <w:pStyle w:val="CETBodytext"/>
              <w:jc w:val="center"/>
            </w:pPr>
            <w:r w:rsidRPr="003C242B">
              <w:t>Atmospheric Pressure</w:t>
            </w:r>
          </w:p>
        </w:tc>
        <w:tc>
          <w:tcPr>
            <w:tcW w:w="2470" w:type="dxa"/>
            <w:tcBorders>
              <w:top w:val="single" w:sz="12" w:space="0" w:color="C0504D" w:themeColor="accent2"/>
              <w:left w:val="nil"/>
              <w:bottom w:val="nil"/>
              <w:right w:val="nil"/>
            </w:tcBorders>
            <w:shd w:val="clear" w:color="auto" w:fill="FFFFFF" w:themeFill="background1"/>
            <w:hideMark/>
          </w:tcPr>
          <w:p w14:paraId="10955A35" w14:textId="77777777" w:rsidR="00BC08ED" w:rsidRPr="003C242B" w:rsidRDefault="00BC08ED" w:rsidP="00DA521D">
            <w:pPr>
              <w:pStyle w:val="CETBodytext"/>
              <w:jc w:val="center"/>
            </w:pPr>
            <w:r w:rsidRPr="003C242B">
              <w:t>(+1.35±0.08)</w:t>
            </w:r>
            <w:r w:rsidRPr="003C242B">
              <w:sym w:font="Wingdings 2" w:char="F0CE"/>
            </w:r>
            <w:r w:rsidRPr="003C242B">
              <w:t>10</w:t>
            </w:r>
            <w:r w:rsidRPr="003C242B">
              <w:rPr>
                <w:vertAlign w:val="superscript"/>
              </w:rPr>
              <w:t>-3</w:t>
            </w:r>
          </w:p>
        </w:tc>
        <w:tc>
          <w:tcPr>
            <w:tcW w:w="1909" w:type="dxa"/>
            <w:tcBorders>
              <w:top w:val="single" w:sz="12" w:space="0" w:color="C0504D" w:themeColor="accent2"/>
              <w:left w:val="nil"/>
              <w:bottom w:val="nil"/>
              <w:right w:val="nil"/>
            </w:tcBorders>
            <w:shd w:val="clear" w:color="auto" w:fill="FFFFFF" w:themeFill="background1"/>
            <w:hideMark/>
          </w:tcPr>
          <w:p w14:paraId="4CB25934" w14:textId="77777777" w:rsidR="00BC08ED" w:rsidRPr="003C242B" w:rsidRDefault="00BC08ED" w:rsidP="00DA521D">
            <w:pPr>
              <w:pStyle w:val="CETBodytext"/>
              <w:jc w:val="center"/>
            </w:pPr>
            <w:r w:rsidRPr="003C242B">
              <w:t>(-1.48±0.22)</w:t>
            </w:r>
            <w:r w:rsidRPr="003C242B">
              <w:sym w:font="Wingdings 2" w:char="F0CE"/>
            </w:r>
            <w:r w:rsidRPr="003C242B">
              <w:t>10</w:t>
            </w:r>
            <w:r w:rsidRPr="003C242B">
              <w:rPr>
                <w:vertAlign w:val="superscript"/>
              </w:rPr>
              <w:t>-5</w:t>
            </w:r>
          </w:p>
        </w:tc>
        <w:tc>
          <w:tcPr>
            <w:tcW w:w="724" w:type="dxa"/>
            <w:tcBorders>
              <w:top w:val="single" w:sz="12" w:space="0" w:color="C0504D" w:themeColor="accent2"/>
              <w:left w:val="nil"/>
              <w:bottom w:val="nil"/>
              <w:right w:val="nil"/>
            </w:tcBorders>
            <w:shd w:val="clear" w:color="auto" w:fill="FFFFFF" w:themeFill="background1"/>
            <w:hideMark/>
          </w:tcPr>
          <w:p w14:paraId="7114F156" w14:textId="77777777" w:rsidR="00BC08ED" w:rsidRPr="003C242B" w:rsidRDefault="00BC08ED" w:rsidP="00DA521D">
            <w:pPr>
              <w:pStyle w:val="CETBodytext"/>
              <w:jc w:val="center"/>
            </w:pPr>
            <w:r w:rsidRPr="003C242B">
              <w:t>0.977</w:t>
            </w:r>
          </w:p>
        </w:tc>
      </w:tr>
      <w:tr w:rsidR="00BC08ED" w:rsidRPr="003C242B" w14:paraId="242A3D2C" w14:textId="77777777" w:rsidTr="00DA521D">
        <w:tc>
          <w:tcPr>
            <w:tcW w:w="1286" w:type="dxa"/>
            <w:tcBorders>
              <w:top w:val="nil"/>
              <w:left w:val="nil"/>
              <w:bottom w:val="nil"/>
              <w:right w:val="nil"/>
            </w:tcBorders>
            <w:shd w:val="clear" w:color="auto" w:fill="FFFFFF" w:themeFill="background1"/>
            <w:hideMark/>
          </w:tcPr>
          <w:p w14:paraId="56625C18" w14:textId="77777777" w:rsidR="00BC08ED" w:rsidRPr="003C242B" w:rsidRDefault="00BC08ED" w:rsidP="00DA521D">
            <w:pPr>
              <w:pStyle w:val="CETBodytext"/>
              <w:jc w:val="center"/>
            </w:pPr>
            <w:r w:rsidRPr="003C242B">
              <w:t>~9</w:t>
            </w:r>
          </w:p>
        </w:tc>
        <w:tc>
          <w:tcPr>
            <w:tcW w:w="2400" w:type="dxa"/>
            <w:tcBorders>
              <w:top w:val="nil"/>
              <w:left w:val="nil"/>
              <w:bottom w:val="nil"/>
              <w:right w:val="nil"/>
            </w:tcBorders>
            <w:shd w:val="clear" w:color="auto" w:fill="FFFFFF" w:themeFill="background1"/>
            <w:hideMark/>
          </w:tcPr>
          <w:p w14:paraId="1673DD49" w14:textId="77777777" w:rsidR="00BC08ED" w:rsidRPr="003C242B" w:rsidRDefault="00BC08ED" w:rsidP="00DA521D">
            <w:pPr>
              <w:pStyle w:val="CETBodytext"/>
              <w:jc w:val="center"/>
            </w:pPr>
            <w:r w:rsidRPr="003C242B">
              <w:t>Under Vacuum</w:t>
            </w:r>
          </w:p>
        </w:tc>
        <w:tc>
          <w:tcPr>
            <w:tcW w:w="2470" w:type="dxa"/>
            <w:tcBorders>
              <w:top w:val="nil"/>
              <w:left w:val="nil"/>
              <w:bottom w:val="nil"/>
              <w:right w:val="nil"/>
            </w:tcBorders>
            <w:shd w:val="clear" w:color="auto" w:fill="FFFFFF" w:themeFill="background1"/>
            <w:hideMark/>
          </w:tcPr>
          <w:p w14:paraId="75FD07D1" w14:textId="77777777" w:rsidR="00BC08ED" w:rsidRPr="003C242B" w:rsidRDefault="00BC08ED" w:rsidP="00DA521D">
            <w:pPr>
              <w:pStyle w:val="CETBodytext"/>
              <w:jc w:val="center"/>
            </w:pPr>
            <w:r w:rsidRPr="003C242B">
              <w:t>(-1.06±0.40)</w:t>
            </w:r>
            <w:r w:rsidRPr="003C242B">
              <w:sym w:font="Wingdings 2" w:char="F0CE"/>
            </w:r>
            <w:r w:rsidRPr="003C242B">
              <w:t>10</w:t>
            </w:r>
            <w:r w:rsidRPr="003C242B">
              <w:rPr>
                <w:vertAlign w:val="superscript"/>
              </w:rPr>
              <w:t>-4</w:t>
            </w:r>
          </w:p>
        </w:tc>
        <w:tc>
          <w:tcPr>
            <w:tcW w:w="1909" w:type="dxa"/>
            <w:tcBorders>
              <w:top w:val="nil"/>
              <w:left w:val="nil"/>
              <w:bottom w:val="nil"/>
              <w:right w:val="nil"/>
            </w:tcBorders>
            <w:shd w:val="clear" w:color="auto" w:fill="FFFFFF" w:themeFill="background1"/>
            <w:hideMark/>
          </w:tcPr>
          <w:p w14:paraId="0721D604" w14:textId="77777777" w:rsidR="00BC08ED" w:rsidRPr="003C242B" w:rsidRDefault="00BC08ED" w:rsidP="00DA521D">
            <w:pPr>
              <w:pStyle w:val="CETBodytext"/>
              <w:jc w:val="center"/>
            </w:pPr>
            <w:r w:rsidRPr="003C242B">
              <w:t>(+2.14±0.45)</w:t>
            </w:r>
            <w:r w:rsidRPr="003C242B">
              <w:sym w:font="Wingdings 2" w:char="F0CE"/>
            </w:r>
            <w:r w:rsidRPr="003C242B">
              <w:t>10</w:t>
            </w:r>
            <w:r w:rsidRPr="003C242B">
              <w:rPr>
                <w:vertAlign w:val="superscript"/>
              </w:rPr>
              <w:t>-6</w:t>
            </w:r>
          </w:p>
        </w:tc>
        <w:tc>
          <w:tcPr>
            <w:tcW w:w="724" w:type="dxa"/>
            <w:tcBorders>
              <w:top w:val="nil"/>
              <w:left w:val="nil"/>
              <w:bottom w:val="nil"/>
              <w:right w:val="nil"/>
            </w:tcBorders>
            <w:shd w:val="clear" w:color="auto" w:fill="FFFFFF" w:themeFill="background1"/>
            <w:hideMark/>
          </w:tcPr>
          <w:p w14:paraId="381BF8F2" w14:textId="77777777" w:rsidR="00BC08ED" w:rsidRPr="003C242B" w:rsidRDefault="00BC08ED" w:rsidP="00DA521D">
            <w:pPr>
              <w:pStyle w:val="CETBodytext"/>
              <w:jc w:val="center"/>
            </w:pPr>
            <w:r w:rsidRPr="003C242B">
              <w:t>0.928</w:t>
            </w:r>
          </w:p>
        </w:tc>
      </w:tr>
      <w:tr w:rsidR="00BC08ED" w:rsidRPr="003C242B" w14:paraId="51EA6762" w14:textId="77777777" w:rsidTr="00DA521D">
        <w:tc>
          <w:tcPr>
            <w:tcW w:w="1286" w:type="dxa"/>
            <w:tcBorders>
              <w:top w:val="nil"/>
              <w:left w:val="nil"/>
              <w:bottom w:val="nil"/>
              <w:right w:val="nil"/>
            </w:tcBorders>
            <w:shd w:val="clear" w:color="auto" w:fill="FFFFFF" w:themeFill="background1"/>
            <w:hideMark/>
          </w:tcPr>
          <w:p w14:paraId="037991FC" w14:textId="77777777" w:rsidR="00BC08ED" w:rsidRPr="003C242B" w:rsidRDefault="00BC08ED" w:rsidP="00DA521D">
            <w:pPr>
              <w:pStyle w:val="CETBodytext"/>
              <w:jc w:val="center"/>
            </w:pPr>
            <w:r w:rsidRPr="003C242B">
              <w:t>~18</w:t>
            </w:r>
          </w:p>
        </w:tc>
        <w:tc>
          <w:tcPr>
            <w:tcW w:w="2400" w:type="dxa"/>
            <w:tcBorders>
              <w:top w:val="nil"/>
              <w:left w:val="nil"/>
              <w:bottom w:val="nil"/>
              <w:right w:val="nil"/>
            </w:tcBorders>
            <w:shd w:val="clear" w:color="auto" w:fill="FFFFFF" w:themeFill="background1"/>
            <w:hideMark/>
          </w:tcPr>
          <w:p w14:paraId="69E23195" w14:textId="77777777" w:rsidR="00BC08ED" w:rsidRPr="003C242B" w:rsidRDefault="00BC08ED" w:rsidP="00DA521D">
            <w:pPr>
              <w:pStyle w:val="CETBodytext"/>
              <w:jc w:val="center"/>
            </w:pPr>
            <w:r w:rsidRPr="003C242B">
              <w:t>Atmospheric Pressure</w:t>
            </w:r>
          </w:p>
        </w:tc>
        <w:tc>
          <w:tcPr>
            <w:tcW w:w="2470" w:type="dxa"/>
            <w:tcBorders>
              <w:top w:val="nil"/>
              <w:left w:val="nil"/>
              <w:bottom w:val="nil"/>
              <w:right w:val="nil"/>
            </w:tcBorders>
            <w:shd w:val="clear" w:color="auto" w:fill="FFFFFF" w:themeFill="background1"/>
            <w:hideMark/>
          </w:tcPr>
          <w:p w14:paraId="25951472" w14:textId="77777777" w:rsidR="00BC08ED" w:rsidRPr="003C242B" w:rsidRDefault="00BC08ED" w:rsidP="00DA521D">
            <w:pPr>
              <w:pStyle w:val="CETBodytext"/>
              <w:jc w:val="center"/>
            </w:pPr>
            <w:r w:rsidRPr="003C242B">
              <w:t>(+1.26±0.03)</w:t>
            </w:r>
            <w:r w:rsidRPr="003C242B">
              <w:sym w:font="Wingdings 2" w:char="F0CE"/>
            </w:r>
            <w:r w:rsidRPr="003C242B">
              <w:t>10</w:t>
            </w:r>
            <w:r w:rsidRPr="003C242B">
              <w:rPr>
                <w:vertAlign w:val="superscript"/>
              </w:rPr>
              <w:t>-3</w:t>
            </w:r>
          </w:p>
        </w:tc>
        <w:tc>
          <w:tcPr>
            <w:tcW w:w="1909" w:type="dxa"/>
            <w:tcBorders>
              <w:top w:val="nil"/>
              <w:left w:val="nil"/>
              <w:bottom w:val="nil"/>
              <w:right w:val="nil"/>
            </w:tcBorders>
            <w:shd w:val="clear" w:color="auto" w:fill="FFFFFF" w:themeFill="background1"/>
            <w:hideMark/>
          </w:tcPr>
          <w:p w14:paraId="633E21CB" w14:textId="77777777" w:rsidR="00BC08ED" w:rsidRPr="003C242B" w:rsidRDefault="00BC08ED" w:rsidP="00DA521D">
            <w:pPr>
              <w:pStyle w:val="CETBodytext"/>
              <w:jc w:val="center"/>
            </w:pPr>
            <w:r w:rsidRPr="003C242B">
              <w:t>(-1.29±0.08)</w:t>
            </w:r>
            <w:r w:rsidRPr="003C242B">
              <w:sym w:font="Wingdings 2" w:char="F0CE"/>
            </w:r>
            <w:r w:rsidRPr="003C242B">
              <w:t>10</w:t>
            </w:r>
            <w:r w:rsidRPr="003C242B">
              <w:rPr>
                <w:vertAlign w:val="superscript"/>
              </w:rPr>
              <w:t>-5</w:t>
            </w:r>
          </w:p>
        </w:tc>
        <w:tc>
          <w:tcPr>
            <w:tcW w:w="724" w:type="dxa"/>
            <w:tcBorders>
              <w:top w:val="nil"/>
              <w:left w:val="nil"/>
              <w:bottom w:val="nil"/>
              <w:right w:val="nil"/>
            </w:tcBorders>
            <w:shd w:val="clear" w:color="auto" w:fill="FFFFFF" w:themeFill="background1"/>
            <w:hideMark/>
          </w:tcPr>
          <w:p w14:paraId="61A3546B" w14:textId="77777777" w:rsidR="00BC08ED" w:rsidRPr="003C242B" w:rsidRDefault="00BC08ED" w:rsidP="00DA521D">
            <w:pPr>
              <w:pStyle w:val="CETBodytext"/>
              <w:jc w:val="center"/>
            </w:pPr>
            <w:r w:rsidRPr="003C242B">
              <w:t>0.999</w:t>
            </w:r>
          </w:p>
        </w:tc>
      </w:tr>
      <w:tr w:rsidR="00BC08ED" w:rsidRPr="003C242B" w14:paraId="5773B168" w14:textId="77777777" w:rsidTr="00DA521D">
        <w:tc>
          <w:tcPr>
            <w:tcW w:w="1286" w:type="dxa"/>
            <w:tcBorders>
              <w:top w:val="nil"/>
              <w:left w:val="nil"/>
              <w:bottom w:val="single" w:sz="12" w:space="0" w:color="C0504D" w:themeColor="accent2"/>
              <w:right w:val="nil"/>
            </w:tcBorders>
            <w:shd w:val="clear" w:color="auto" w:fill="FFFFFF" w:themeFill="background1"/>
            <w:hideMark/>
          </w:tcPr>
          <w:p w14:paraId="288D04A0" w14:textId="77777777" w:rsidR="00BC08ED" w:rsidRPr="003C242B" w:rsidRDefault="00BC08ED" w:rsidP="00DA521D">
            <w:pPr>
              <w:pStyle w:val="CETBodytext"/>
              <w:jc w:val="center"/>
            </w:pPr>
            <w:r w:rsidRPr="003C242B">
              <w:t>~18</w:t>
            </w:r>
          </w:p>
        </w:tc>
        <w:tc>
          <w:tcPr>
            <w:tcW w:w="2400" w:type="dxa"/>
            <w:tcBorders>
              <w:top w:val="nil"/>
              <w:left w:val="nil"/>
              <w:bottom w:val="single" w:sz="12" w:space="0" w:color="C0504D" w:themeColor="accent2"/>
              <w:right w:val="nil"/>
            </w:tcBorders>
            <w:shd w:val="clear" w:color="auto" w:fill="FFFFFF" w:themeFill="background1"/>
            <w:hideMark/>
          </w:tcPr>
          <w:p w14:paraId="44F748CA" w14:textId="77777777" w:rsidR="00BC08ED" w:rsidRPr="003C242B" w:rsidRDefault="00BC08ED" w:rsidP="00DA521D">
            <w:pPr>
              <w:pStyle w:val="CETBodytext"/>
              <w:jc w:val="center"/>
            </w:pPr>
            <w:r w:rsidRPr="003C242B">
              <w:t>Under Vacuum</w:t>
            </w:r>
          </w:p>
        </w:tc>
        <w:tc>
          <w:tcPr>
            <w:tcW w:w="2470" w:type="dxa"/>
            <w:tcBorders>
              <w:top w:val="nil"/>
              <w:left w:val="nil"/>
              <w:bottom w:val="single" w:sz="12" w:space="0" w:color="C0504D" w:themeColor="accent2"/>
              <w:right w:val="nil"/>
            </w:tcBorders>
            <w:shd w:val="clear" w:color="auto" w:fill="FFFFFF" w:themeFill="background1"/>
            <w:hideMark/>
          </w:tcPr>
          <w:p w14:paraId="5DB03EFA" w14:textId="77777777" w:rsidR="00BC08ED" w:rsidRPr="003C242B" w:rsidRDefault="00BC08ED" w:rsidP="00DA521D">
            <w:pPr>
              <w:pStyle w:val="CETBodytext"/>
              <w:jc w:val="center"/>
            </w:pPr>
            <w:r w:rsidRPr="003C242B">
              <w:t>(+7.23±0.31)</w:t>
            </w:r>
            <w:r w:rsidRPr="003C242B">
              <w:sym w:font="Wingdings 2" w:char="F0CE"/>
            </w:r>
            <w:r w:rsidRPr="003C242B">
              <w:t>10</w:t>
            </w:r>
            <w:r w:rsidRPr="003C242B">
              <w:rPr>
                <w:vertAlign w:val="superscript"/>
              </w:rPr>
              <w:t>-3</w:t>
            </w:r>
          </w:p>
        </w:tc>
        <w:tc>
          <w:tcPr>
            <w:tcW w:w="1909" w:type="dxa"/>
            <w:tcBorders>
              <w:top w:val="nil"/>
              <w:left w:val="nil"/>
              <w:bottom w:val="single" w:sz="12" w:space="0" w:color="C0504D" w:themeColor="accent2"/>
              <w:right w:val="nil"/>
            </w:tcBorders>
            <w:shd w:val="clear" w:color="auto" w:fill="FFFFFF" w:themeFill="background1"/>
            <w:hideMark/>
          </w:tcPr>
          <w:p w14:paraId="4D6CF59B" w14:textId="77777777" w:rsidR="00BC08ED" w:rsidRPr="003C242B" w:rsidRDefault="00BC08ED" w:rsidP="00DA521D">
            <w:pPr>
              <w:pStyle w:val="CETBodytext"/>
              <w:jc w:val="center"/>
            </w:pPr>
            <w:r w:rsidRPr="003C242B">
              <w:t>(-2.45±0.01)</w:t>
            </w:r>
            <w:r w:rsidRPr="003C242B">
              <w:sym w:font="Wingdings 2" w:char="F0CE"/>
            </w:r>
            <w:r w:rsidRPr="003C242B">
              <w:t>10</w:t>
            </w:r>
            <w:r w:rsidRPr="003C242B">
              <w:rPr>
                <w:vertAlign w:val="superscript"/>
              </w:rPr>
              <w:t>-5</w:t>
            </w:r>
          </w:p>
        </w:tc>
        <w:tc>
          <w:tcPr>
            <w:tcW w:w="724" w:type="dxa"/>
            <w:tcBorders>
              <w:top w:val="nil"/>
              <w:left w:val="nil"/>
              <w:bottom w:val="single" w:sz="12" w:space="0" w:color="008000"/>
              <w:right w:val="nil"/>
            </w:tcBorders>
            <w:shd w:val="clear" w:color="auto" w:fill="FFFFFF" w:themeFill="background1"/>
            <w:hideMark/>
          </w:tcPr>
          <w:p w14:paraId="68170DA7" w14:textId="77777777" w:rsidR="00BC08ED" w:rsidRPr="003C242B" w:rsidRDefault="00BC08ED" w:rsidP="00DA521D">
            <w:pPr>
              <w:pStyle w:val="CETBodytext"/>
              <w:jc w:val="center"/>
            </w:pPr>
            <w:r w:rsidRPr="003C242B">
              <w:t>0.990</w:t>
            </w:r>
          </w:p>
        </w:tc>
      </w:tr>
    </w:tbl>
    <w:p w14:paraId="4FE52E43" w14:textId="77777777" w:rsidR="003C242B" w:rsidRPr="003C242B" w:rsidRDefault="003C242B" w:rsidP="003C242B">
      <w:pPr>
        <w:pStyle w:val="CETBodytext"/>
      </w:pPr>
    </w:p>
    <w:p w14:paraId="60B12BFC" w14:textId="07F1520B" w:rsidR="003C242B" w:rsidRPr="00174C2E" w:rsidRDefault="003C242B" w:rsidP="003C242B">
      <w:pPr>
        <w:pStyle w:val="CETBodytext"/>
      </w:pPr>
      <w:r w:rsidRPr="003C242B">
        <w:t>In atmospheric trials, the initial rate coefficient (</w:t>
      </w:r>
      <w:r w:rsidRPr="003C242B">
        <w:rPr>
          <w:rFonts w:ascii="Symbol" w:hAnsi="Symbol"/>
        </w:rPr>
        <w:t>r</w:t>
      </w:r>
      <w:r w:rsidRPr="003C242B">
        <w:rPr>
          <w:vertAlign w:val="subscript"/>
        </w:rPr>
        <w:t>1</w:t>
      </w:r>
      <w:r w:rsidRPr="003C242B">
        <w:t>) was positive and largely independent of wort gravity. However, under vacuum, high-gravity wort (~18 °Brix) showed a significantly higher</w:t>
      </w:r>
      <w:r w:rsidRPr="003C242B">
        <w:rPr>
          <w:rFonts w:ascii="Symbol" w:hAnsi="Symbol"/>
        </w:rPr>
        <w:t xml:space="preserve"> r</w:t>
      </w:r>
      <w:r w:rsidRPr="003C242B">
        <w:rPr>
          <w:vertAlign w:val="subscript"/>
        </w:rPr>
        <w:t>1</w:t>
      </w:r>
      <w:r w:rsidRPr="003C242B">
        <w:t xml:space="preserve"> (7.23 </w:t>
      </w:r>
      <w:r w:rsidRPr="003C242B">
        <w:sym w:font="Wingdings 2" w:char="F0CE"/>
      </w:r>
      <w:r w:rsidRPr="003C242B">
        <w:t xml:space="preserve"> 10</w:t>
      </w:r>
      <w:r w:rsidRPr="003C242B">
        <w:rPr>
          <w:vertAlign w:val="superscript"/>
        </w:rPr>
        <w:t>-3</w:t>
      </w:r>
      <w:r w:rsidRPr="003C242B">
        <w:t xml:space="preserve">), indicating an accelerated initial fermentation rate </w:t>
      </w:r>
      <w:r w:rsidRPr="00174C2E">
        <w:t>likely due to the immediate removal of inhibitory dissolved CO</w:t>
      </w:r>
      <w:r w:rsidRPr="00174C2E">
        <w:rPr>
          <w:vertAlign w:val="subscript"/>
        </w:rPr>
        <w:t>2</w:t>
      </w:r>
      <w:r w:rsidRPr="003C242B">
        <w:t>. Conversely, the low-gravity vacuum trial exhibited a slight initial lag.</w:t>
      </w:r>
      <w:r w:rsidRPr="00174C2E">
        <w:t xml:space="preserve"> This suggests a threshold effect where the stress of a low-pressure environment may require a brief period of yeast adaptation when substrate availability is lower. The quadratic term (</w:t>
      </w:r>
      <w:r w:rsidRPr="00174C2E">
        <w:rPr>
          <w:rFonts w:ascii="Symbol" w:hAnsi="Symbol"/>
        </w:rPr>
        <w:t>r</w:t>
      </w:r>
      <w:r w:rsidRPr="00174C2E">
        <w:rPr>
          <w:vertAlign w:val="subscript"/>
        </w:rPr>
        <w:t>2</w:t>
      </w:r>
      <w:r w:rsidRPr="00174C2E">
        <w:t xml:space="preserve">) accounts for the curvature of the attenuation profile. In most runs, </w:t>
      </w:r>
      <w:r w:rsidRPr="00174C2E">
        <w:rPr>
          <w:rFonts w:ascii="Symbol" w:hAnsi="Symbol"/>
        </w:rPr>
        <w:t>r</w:t>
      </w:r>
      <w:r w:rsidRPr="00174C2E">
        <w:rPr>
          <w:vertAlign w:val="subscript"/>
        </w:rPr>
        <w:t>2</w:t>
      </w:r>
      <w:r w:rsidRPr="003C242B">
        <w:rPr>
          <w:vertAlign w:val="subscript"/>
        </w:rPr>
        <w:t xml:space="preserve"> </w:t>
      </w:r>
      <w:r w:rsidRPr="00174C2E">
        <w:t>was negative, reflecting the standard deceleration of yeast activity as nutrients are depleted and metabolites accumulate.</w:t>
      </w:r>
    </w:p>
    <w:p w14:paraId="65864624" w14:textId="77777777" w:rsidR="00D62D36" w:rsidRPr="003C242B" w:rsidRDefault="00D62D36" w:rsidP="007007EB">
      <w:pPr>
        <w:pStyle w:val="CETheadingx"/>
      </w:pPr>
      <w:r w:rsidRPr="003C242B">
        <w:t>3.3 Integrated Predictive Framework and Process Modeling</w:t>
      </w:r>
    </w:p>
    <w:p w14:paraId="06FF51CE" w14:textId="00DBA47F" w:rsidR="00C74026" w:rsidRPr="003C242B" w:rsidRDefault="00D62D36" w:rsidP="00D410E8">
      <w:pPr>
        <w:pStyle w:val="CETBodytext"/>
      </w:pPr>
      <w:r w:rsidRPr="003C242B">
        <w:t xml:space="preserve">The integration of the established empirical correlations (Table 2) provides a robust predictive tool for real-time fermentation monitoring. By establishing a direct linear link between relative density and substrate consumption (Eq. </w:t>
      </w:r>
      <w:r w:rsidR="00C74026" w:rsidRPr="003C242B">
        <w:t>4</w:t>
      </w:r>
      <w:r w:rsidR="00381A8A" w:rsidRPr="00381A8A">
        <w:t>), as shown in Fig. 2d</w:t>
      </w:r>
      <w:r w:rsidRPr="003C242B">
        <w:t xml:space="preserve">, the system can </w:t>
      </w:r>
      <w:r w:rsidR="00381A8A" w:rsidRPr="00381A8A">
        <w:t>provide real-time decision support for brewers</w:t>
      </w:r>
      <w:r w:rsidRPr="003C242B">
        <w:t xml:space="preserve">. For any given time (t &gt; 0), the following sequence allows for the estimation of </w:t>
      </w:r>
      <w:r w:rsidR="00381A8A" w:rsidRPr="003C242B">
        <w:t>f</w:t>
      </w:r>
      <w:r w:rsidR="00381A8A" w:rsidRPr="00381A8A">
        <w:t>ermentation</w:t>
      </w:r>
      <w:r w:rsidRPr="003C242B">
        <w:t xml:space="preserve"> parameters using only </w:t>
      </w:r>
      <w:r w:rsidR="00381A8A" w:rsidRPr="003C242B">
        <w:t xml:space="preserve">real-time </w:t>
      </w:r>
      <w:r w:rsidRPr="003C242B">
        <w:t xml:space="preserve">density </w:t>
      </w:r>
      <w:r w:rsidR="00381A8A" w:rsidRPr="003C242B">
        <w:t>measurements</w:t>
      </w:r>
      <w:r w:rsidRPr="003C242B">
        <w:t xml:space="preserve"> </w:t>
      </w:r>
      <w:r w:rsidRPr="003C242B">
        <w:rPr>
          <w:rFonts w:ascii="Symbol" w:hAnsi="Symbol"/>
        </w:rPr>
        <w:t>(r</w:t>
      </w:r>
      <w:r w:rsidRPr="003C242B">
        <w:rPr>
          <w:vertAlign w:val="subscript"/>
        </w:rPr>
        <w:t>rB,FH</w:t>
      </w:r>
      <w:r w:rsidRPr="003C242B">
        <w:t>):</w:t>
      </w:r>
    </w:p>
    <w:p w14:paraId="5867A329" w14:textId="4825B6AB" w:rsidR="00C74026" w:rsidRPr="003C242B" w:rsidRDefault="00C74026" w:rsidP="00C74026">
      <w:pPr>
        <w:pStyle w:val="CETBodytext"/>
        <w:ind w:left="426" w:hanging="426"/>
      </w:pPr>
      <w:r w:rsidRPr="003C242B">
        <w:t>i.</w:t>
      </w:r>
      <w:r w:rsidRPr="003C242B">
        <w:tab/>
        <w:t xml:space="preserve">Estimate </w:t>
      </w:r>
      <w:r w:rsidRPr="003C242B">
        <w:t>D</w:t>
      </w:r>
      <w:r w:rsidRPr="003C242B">
        <w:t xml:space="preserve">ensity </w:t>
      </w:r>
      <w:r w:rsidRPr="003C242B">
        <w:t>Decay</w:t>
      </w:r>
      <w:r w:rsidRPr="003C242B">
        <w:t xml:space="preserve">: </w:t>
      </w:r>
      <w:r w:rsidR="005B6C2E" w:rsidRPr="003C242B">
        <w:t>Calculate the current change in relative density (</w:t>
      </w:r>
      <w:r w:rsidR="005B6C2E" w:rsidRPr="003C242B">
        <w:rPr>
          <w:rFonts w:ascii="Symbol" w:hAnsi="Symbol"/>
        </w:rPr>
        <w:t>Dr</w:t>
      </w:r>
      <w:r w:rsidR="005B6C2E" w:rsidRPr="003C242B">
        <w:rPr>
          <w:vertAlign w:val="subscript"/>
        </w:rPr>
        <w:t>rB,FH</w:t>
      </w:r>
      <w:r w:rsidR="005B6C2E" w:rsidRPr="003C242B">
        <w:t>) via the second-order kinetic model (Eq. 5)</w:t>
      </w:r>
      <w:r w:rsidR="00806604" w:rsidRPr="003C242B">
        <w:t xml:space="preserve"> as a function of elapsed time</w:t>
      </w:r>
      <w:r w:rsidR="005B6C2E" w:rsidRPr="003C242B">
        <w:t>.</w:t>
      </w:r>
    </w:p>
    <w:p w14:paraId="7281BD98" w14:textId="77777777" w:rsidR="005B6C2E" w:rsidRPr="003C242B" w:rsidRDefault="00C74026" w:rsidP="00C74026">
      <w:pPr>
        <w:pStyle w:val="CETBodytext"/>
        <w:ind w:left="426" w:hanging="426"/>
      </w:pPr>
      <w:r w:rsidRPr="003C242B">
        <w:t>ii.</w:t>
      </w:r>
      <w:r w:rsidRPr="003C242B">
        <w:tab/>
      </w:r>
      <w:r w:rsidR="005B6C2E" w:rsidRPr="003C242B">
        <w:t>Determine S</w:t>
      </w:r>
      <w:r w:rsidRPr="003C242B">
        <w:t xml:space="preserve">ubstrate </w:t>
      </w:r>
      <w:r w:rsidR="005B6C2E" w:rsidRPr="003C242B">
        <w:t>C</w:t>
      </w:r>
      <w:r w:rsidRPr="003C242B">
        <w:t>onsum</w:t>
      </w:r>
      <w:r w:rsidR="005B6C2E" w:rsidRPr="003C242B">
        <w:t>ption</w:t>
      </w:r>
      <w:r w:rsidRPr="003C242B">
        <w:t xml:space="preserve">: </w:t>
      </w:r>
      <w:r w:rsidR="005B6C2E" w:rsidRPr="003C242B">
        <w:t>Derive the sucrose equivalent consumed (</w:t>
      </w:r>
      <w:r w:rsidR="005B6C2E" w:rsidRPr="003C242B">
        <w:rPr>
          <w:rFonts w:ascii="Symbol" w:hAnsi="Symbol"/>
        </w:rPr>
        <w:t>D</w:t>
      </w:r>
      <w:r w:rsidR="005B6C2E" w:rsidRPr="003C242B">
        <w:t xml:space="preserve">S) from the density change using the validated mass correlation (Eq. </w:t>
      </w:r>
      <w:r w:rsidR="005B6C2E" w:rsidRPr="003C242B">
        <w:t>4</w:t>
      </w:r>
      <w:r w:rsidR="005B6C2E" w:rsidRPr="003C242B">
        <w:t>).</w:t>
      </w:r>
    </w:p>
    <w:p w14:paraId="4DA9F142" w14:textId="43D02A0B" w:rsidR="00C74026" w:rsidRPr="003C242B" w:rsidRDefault="00C74026" w:rsidP="00C74026">
      <w:pPr>
        <w:pStyle w:val="CETBodytext"/>
        <w:ind w:left="426" w:hanging="426"/>
      </w:pPr>
      <w:r w:rsidRPr="003C242B">
        <w:t>iii.</w:t>
      </w:r>
      <w:r w:rsidR="002B6B75" w:rsidRPr="003C242B">
        <w:tab/>
      </w:r>
      <w:r w:rsidRPr="003C242B">
        <w:tab/>
      </w:r>
      <w:r w:rsidR="005B6C2E" w:rsidRPr="003C242B">
        <w:t>Predict Alcohol Formation: Calculate the total ethanol formed (</w:t>
      </w:r>
      <w:r w:rsidR="005B6C2E" w:rsidRPr="003C242B">
        <w:rPr>
          <w:rFonts w:ascii="Symbol" w:hAnsi="Symbol"/>
        </w:rPr>
        <w:t>D</w:t>
      </w:r>
      <w:r w:rsidR="005B6C2E" w:rsidRPr="003C242B">
        <w:t>E) from the substrate consumed (</w:t>
      </w:r>
      <w:r w:rsidR="005B6C2E" w:rsidRPr="003C242B">
        <w:rPr>
          <w:rFonts w:ascii="Symbol" w:hAnsi="Symbol"/>
        </w:rPr>
        <w:t>D</w:t>
      </w:r>
      <w:r w:rsidR="005B6C2E" w:rsidRPr="003C242B">
        <w:t>S) using the pressure-independent yield relationship (Eq. 3).</w:t>
      </w:r>
    </w:p>
    <w:p w14:paraId="49F5F06F" w14:textId="46CF98F9" w:rsidR="00381A8A" w:rsidRPr="00381A8A" w:rsidRDefault="00381A8A" w:rsidP="00381A8A">
      <w:pPr>
        <w:pStyle w:val="CETBodytext"/>
      </w:pPr>
      <w:r w:rsidRPr="00381A8A">
        <w:t>To refine these predictions, the beer was modeled as a ternary mixture of water, ethanol, and sucrose equivalent. This allowed for the integration of Moresi’s (1989) vapor-liquid equilibrium model to estimate the fraction of ethanol stripped into the condensate. Furthermore, by assuming stoichiometric parity between CO</w:t>
      </w:r>
      <w:r w:rsidRPr="00381A8A">
        <w:rPr>
          <w:vertAlign w:val="subscript"/>
        </w:rPr>
        <w:t xml:space="preserve">2 </w:t>
      </w:r>
      <w:r w:rsidRPr="00381A8A">
        <w:t>and ethanol evolution, the framework accounts for ethanol losses due to degassing. This integrated approach allows operators to precisely determine the</w:t>
      </w:r>
      <w:r w:rsidR="00080765">
        <w:t xml:space="preserve"> </w:t>
      </w:r>
      <w:r w:rsidRPr="00381A8A">
        <w:rPr>
          <w:i/>
          <w:iCs/>
        </w:rPr>
        <w:t>strike point</w:t>
      </w:r>
      <w:r w:rsidR="00AE5A66">
        <w:t xml:space="preserve"> </w:t>
      </w:r>
      <w:r w:rsidRPr="00381A8A">
        <w:t xml:space="preserve"> where fermentation should be halted or the vacuum altered to ensure the beer meets strict LAB legal limits while maximizing the recovery of aromatic ethanol-rich co-products.</w:t>
      </w:r>
    </w:p>
    <w:p w14:paraId="68D26B83" w14:textId="21982F50" w:rsidR="00600535" w:rsidRPr="003C242B" w:rsidRDefault="00A02CE7" w:rsidP="00600535">
      <w:pPr>
        <w:pStyle w:val="CETHeading1"/>
      </w:pPr>
      <w:r w:rsidRPr="003C242B">
        <w:t xml:space="preserve">4. </w:t>
      </w:r>
      <w:r w:rsidR="00600535" w:rsidRPr="003C242B">
        <w:t>Conclusions</w:t>
      </w:r>
    </w:p>
    <w:p w14:paraId="26740125" w14:textId="77777777" w:rsidR="00C80F25" w:rsidRPr="003C242B" w:rsidRDefault="007505CE" w:rsidP="00C80F25">
      <w:pPr>
        <w:pStyle w:val="CETBodytext"/>
      </w:pPr>
      <w:r w:rsidRPr="003C242B">
        <w:t>This study demonstrate</w:t>
      </w:r>
      <w:r w:rsidR="00C80F25" w:rsidRPr="003C242B">
        <w:t>s</w:t>
      </w:r>
      <w:r w:rsidRPr="003C242B">
        <w:t xml:space="preserve"> the feasibility of producing low-alcohol beer </w:t>
      </w:r>
      <w:r w:rsidR="00C80F25" w:rsidRPr="003C242B">
        <w:t xml:space="preserve">(LAB) </w:t>
      </w:r>
      <w:r w:rsidRPr="003C242B">
        <w:t>through simultaneous fermentation and ethanol stripping</w:t>
      </w:r>
      <w:r w:rsidR="00C80F25" w:rsidRPr="003C242B">
        <w:t xml:space="preserve"> using </w:t>
      </w:r>
      <w:r w:rsidRPr="003C242B">
        <w:t xml:space="preserve">a high-temperature (40 °C) vacuum process (~200 mbar) with Kveik Voss yeast. Comparative trials confirmed the vacuum process significantly reduces final alcohol content, </w:t>
      </w:r>
      <w:r w:rsidR="00C80F25" w:rsidRPr="003C242B">
        <w:t xml:space="preserve">facilitating the achievement of </w:t>
      </w:r>
      <w:r w:rsidRPr="003C242B">
        <w:t>target LAB concentrations via dilution</w:t>
      </w:r>
      <w:r w:rsidR="00C80F25" w:rsidRPr="003C242B">
        <w:t>, while simultaneously enabling co-product recovery through ethanol-rich condensates.</w:t>
      </w:r>
    </w:p>
    <w:p w14:paraId="64D25517" w14:textId="77777777" w:rsidR="00C80F25" w:rsidRPr="003C242B" w:rsidRDefault="00C80F25" w:rsidP="00C80F25">
      <w:pPr>
        <w:pStyle w:val="CETBodytext"/>
      </w:pPr>
      <w:r w:rsidRPr="003C242B">
        <w:t>A robust empirical framework was developed to predict the fermentation time-course using real-time density measurements. The novelty of this approach rests on two key achievements:</w:t>
      </w:r>
    </w:p>
    <w:p w14:paraId="71A8A555" w14:textId="699805D1" w:rsidR="00C80F25" w:rsidRPr="003C242B" w:rsidRDefault="00C80F25" w:rsidP="00DF71AD">
      <w:pPr>
        <w:pStyle w:val="CETBodytext"/>
        <w:numPr>
          <w:ilvl w:val="0"/>
          <w:numId w:val="31"/>
        </w:numPr>
        <w:ind w:left="425" w:hanging="425"/>
      </w:pPr>
      <w:r w:rsidRPr="003C242B">
        <w:t>Kinetic Accuracy: The successful modeling of fermentation progress using a streamlined second-order polynomial, allowing for precise real-time interpolation of wort attenuation.</w:t>
      </w:r>
    </w:p>
    <w:p w14:paraId="1FE5EB0D" w14:textId="31210695" w:rsidR="00C80F25" w:rsidRPr="003C242B" w:rsidRDefault="00C80F25" w:rsidP="00DF71AD">
      <w:pPr>
        <w:pStyle w:val="CETBodytext"/>
        <w:numPr>
          <w:ilvl w:val="0"/>
          <w:numId w:val="31"/>
        </w:numPr>
        <w:ind w:left="425" w:hanging="425"/>
      </w:pPr>
      <w:r w:rsidRPr="003C242B">
        <w:t>Stoichiometric Stability: The validation of a pressure-independent stoichiometry, confirming that the fundamental linear relationship between ethanol production and sugar consumption remains unaffected by vacuum conditions, which influence only the process rate.</w:t>
      </w:r>
    </w:p>
    <w:p w14:paraId="5B2CB3B5" w14:textId="3C6DF76C" w:rsidR="00C80F25" w:rsidRPr="003C242B" w:rsidRDefault="00C80F25" w:rsidP="00C80F25">
      <w:pPr>
        <w:pStyle w:val="CETBodytext"/>
      </w:pPr>
      <w:r w:rsidRPr="003C242B">
        <w:lastRenderedPageBreak/>
        <w:t>While this empirical model provides a powerful tool for industrial process control, its predictive accuracy is optimized for the specific operating envelope investigated: a fermentation temperature of 40 °C, initial wort gravities between 1.033 and 1.073, and pressures ranging from 200 mbar to ambient.</w:t>
      </w:r>
    </w:p>
    <w:p w14:paraId="07A6D20F" w14:textId="0ECF229E" w:rsidR="00280FAF" w:rsidRPr="003C242B" w:rsidRDefault="00280FAF" w:rsidP="007007EB">
      <w:pPr>
        <w:pStyle w:val="CETHeadingxx"/>
        <w:sectPr w:rsidR="00280FAF" w:rsidRPr="003C242B" w:rsidSect="008314D7">
          <w:type w:val="continuous"/>
          <w:pgSz w:w="11906" w:h="16838" w:code="9"/>
          <w:pgMar w:top="1701" w:right="1418" w:bottom="1701" w:left="1701" w:header="1701" w:footer="0" w:gutter="0"/>
          <w:cols w:space="708"/>
          <w:formProt w:val="0"/>
          <w:titlePg/>
          <w:docGrid w:linePitch="360"/>
        </w:sectPr>
      </w:pPr>
      <w:r w:rsidRPr="003C242B">
        <w:t>Nomenclature</w:t>
      </w:r>
    </w:p>
    <w:tbl>
      <w:tblPr>
        <w:tblStyle w:val="Grigliatabella"/>
        <w:tblW w:w="90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AB7147" w:rsidRPr="003C242B" w14:paraId="633F3482" w14:textId="77777777" w:rsidTr="00AB7147">
        <w:tc>
          <w:tcPr>
            <w:tcW w:w="4678" w:type="dxa"/>
            <w:hideMark/>
          </w:tcPr>
          <w:p w14:paraId="139EEFC9" w14:textId="79E3E1EA" w:rsidR="00AB7147" w:rsidRPr="003C242B" w:rsidRDefault="00AB7147" w:rsidP="00AB7147">
            <w:pPr>
              <w:pStyle w:val="CETBodytext"/>
              <w:jc w:val="left"/>
              <w:rPr>
                <w:rFonts w:eastAsia="SimSun"/>
              </w:rPr>
            </w:pPr>
            <w:r w:rsidRPr="003C242B">
              <w:rPr>
                <w:rFonts w:eastAsia="SimSun"/>
              </w:rPr>
              <w:t xml:space="preserve">ABV </w:t>
            </w:r>
            <w:r w:rsidR="006E2B7D" w:rsidRPr="003C242B">
              <w:rPr>
                <w:rFonts w:eastAsia="SimSun"/>
              </w:rPr>
              <w:t xml:space="preserve">– </w:t>
            </w:r>
            <w:r w:rsidRPr="003C242B">
              <w:rPr>
                <w:rFonts w:eastAsia="SimSun"/>
              </w:rPr>
              <w:t>alcohol by volume, % (v/v)</w:t>
            </w:r>
          </w:p>
        </w:tc>
        <w:tc>
          <w:tcPr>
            <w:tcW w:w="4389" w:type="dxa"/>
            <w:hideMark/>
          </w:tcPr>
          <w:p w14:paraId="53619FE0" w14:textId="77777777" w:rsidR="00AB7147" w:rsidRPr="003C242B" w:rsidRDefault="00AB7147" w:rsidP="00AB7147">
            <w:pPr>
              <w:pStyle w:val="CETBodytext"/>
              <w:jc w:val="left"/>
              <w:rPr>
                <w:rFonts w:eastAsia="SimSun"/>
              </w:rPr>
            </w:pPr>
            <w:r w:rsidRPr="003C242B">
              <w:rPr>
                <w:rFonts w:eastAsia="SimSun"/>
              </w:rPr>
              <w:t>UV – vacuum pressure</w:t>
            </w:r>
          </w:p>
        </w:tc>
      </w:tr>
      <w:tr w:rsidR="00AB7147" w:rsidRPr="003C242B" w14:paraId="62E36BB4" w14:textId="77777777" w:rsidTr="00AB7147">
        <w:tc>
          <w:tcPr>
            <w:tcW w:w="4678" w:type="dxa"/>
            <w:hideMark/>
          </w:tcPr>
          <w:p w14:paraId="0ACE3ACB" w14:textId="07C71F60" w:rsidR="00AB7147" w:rsidRPr="003C242B" w:rsidRDefault="00AB7147" w:rsidP="00AB7147">
            <w:pPr>
              <w:pStyle w:val="CETBodytext"/>
              <w:jc w:val="left"/>
              <w:rPr>
                <w:rFonts w:eastAsia="SimSun"/>
              </w:rPr>
            </w:pPr>
            <w:r w:rsidRPr="003C242B">
              <w:rPr>
                <w:rFonts w:eastAsia="SimSun"/>
              </w:rPr>
              <w:t xml:space="preserve">AP </w:t>
            </w:r>
            <w:r w:rsidR="006E2B7D" w:rsidRPr="003C242B">
              <w:rPr>
                <w:rFonts w:eastAsia="SimSun"/>
              </w:rPr>
              <w:t xml:space="preserve">– </w:t>
            </w:r>
            <w:r w:rsidRPr="003C242B">
              <w:rPr>
                <w:rFonts w:eastAsia="SimSun"/>
              </w:rPr>
              <w:t>atmospheric pressure</w:t>
            </w:r>
          </w:p>
        </w:tc>
        <w:tc>
          <w:tcPr>
            <w:tcW w:w="4389" w:type="dxa"/>
            <w:hideMark/>
          </w:tcPr>
          <w:p w14:paraId="24B22FE0" w14:textId="6B42C687" w:rsidR="00AB7147" w:rsidRPr="003C242B" w:rsidRDefault="00AB7147" w:rsidP="00AB7147">
            <w:pPr>
              <w:pStyle w:val="CETBodytext"/>
              <w:jc w:val="left"/>
              <w:rPr>
                <w:rFonts w:eastAsia="SimSun"/>
              </w:rPr>
            </w:pPr>
            <w:r w:rsidRPr="003C242B">
              <w:rPr>
                <w:rFonts w:eastAsia="SimSun"/>
              </w:rPr>
              <w:t xml:space="preserve">VD </w:t>
            </w:r>
            <w:r w:rsidR="006E2B7D" w:rsidRPr="003C242B">
              <w:rPr>
                <w:rFonts w:eastAsia="SimSun"/>
              </w:rPr>
              <w:t xml:space="preserve">– </w:t>
            </w:r>
            <w:r w:rsidRPr="003C242B">
              <w:rPr>
                <w:rFonts w:eastAsia="SimSun"/>
              </w:rPr>
              <w:t>vacuum distillation</w:t>
            </w:r>
          </w:p>
        </w:tc>
      </w:tr>
      <w:tr w:rsidR="00AB7147" w:rsidRPr="003C242B" w14:paraId="6BED4897" w14:textId="77777777" w:rsidTr="00AB7147">
        <w:tc>
          <w:tcPr>
            <w:tcW w:w="4678" w:type="dxa"/>
            <w:hideMark/>
          </w:tcPr>
          <w:p w14:paraId="49A7D598" w14:textId="77777777" w:rsidR="00AB7147" w:rsidRPr="003C242B" w:rsidRDefault="00AB7147" w:rsidP="00AB7147">
            <w:pPr>
              <w:pStyle w:val="CETBodytext"/>
              <w:jc w:val="left"/>
              <w:rPr>
                <w:rFonts w:eastAsia="SimSun"/>
              </w:rPr>
            </w:pPr>
            <w:r w:rsidRPr="003C242B">
              <w:rPr>
                <w:rFonts w:eastAsia="SimSun"/>
              </w:rPr>
              <w:t>E – ethanol volumetric fraction, % (v/v)</w:t>
            </w:r>
          </w:p>
        </w:tc>
        <w:tc>
          <w:tcPr>
            <w:tcW w:w="4389" w:type="dxa"/>
            <w:hideMark/>
          </w:tcPr>
          <w:p w14:paraId="46BA1610" w14:textId="77777777" w:rsidR="00AB7147" w:rsidRPr="003C242B" w:rsidRDefault="00AB7147" w:rsidP="00AB7147">
            <w:pPr>
              <w:pStyle w:val="CETBodytext"/>
              <w:jc w:val="left"/>
              <w:rPr>
                <w:rFonts w:eastAsia="SimSun"/>
              </w:rPr>
            </w:pPr>
            <w:r w:rsidRPr="003C242B">
              <w:rPr>
                <w:rFonts w:ascii="Symbol" w:eastAsia="SimSun" w:hAnsi="Symbol"/>
              </w:rPr>
              <w:t>D</w:t>
            </w:r>
            <w:r w:rsidRPr="003C242B">
              <w:rPr>
                <w:rFonts w:eastAsia="SimSun"/>
              </w:rPr>
              <w:t>ER – real extract reduction, g/L</w:t>
            </w:r>
          </w:p>
        </w:tc>
      </w:tr>
      <w:tr w:rsidR="00AB7147" w:rsidRPr="003C242B" w14:paraId="5024A577" w14:textId="77777777" w:rsidTr="00AB7147">
        <w:tc>
          <w:tcPr>
            <w:tcW w:w="4678" w:type="dxa"/>
            <w:hideMark/>
          </w:tcPr>
          <w:p w14:paraId="0906AE76" w14:textId="77777777" w:rsidR="00AB7147" w:rsidRPr="003C242B" w:rsidRDefault="00AB7147" w:rsidP="00AB7147">
            <w:pPr>
              <w:pStyle w:val="CETBodytext"/>
              <w:jc w:val="left"/>
              <w:rPr>
                <w:rFonts w:eastAsia="SimSun"/>
              </w:rPr>
            </w:pPr>
            <w:r w:rsidRPr="003C242B">
              <w:rPr>
                <w:rFonts w:eastAsia="SimSun"/>
              </w:rPr>
              <w:t>ER – real extract content, g/L</w:t>
            </w:r>
          </w:p>
        </w:tc>
        <w:tc>
          <w:tcPr>
            <w:tcW w:w="4389" w:type="dxa"/>
            <w:hideMark/>
          </w:tcPr>
          <w:p w14:paraId="605FA408" w14:textId="77777777" w:rsidR="00AB7147" w:rsidRPr="003C242B" w:rsidRDefault="00AB7147" w:rsidP="00AB7147">
            <w:pPr>
              <w:pStyle w:val="CETBodytext"/>
              <w:jc w:val="left"/>
              <w:rPr>
                <w:rFonts w:eastAsia="SimSun"/>
              </w:rPr>
            </w:pPr>
            <w:r w:rsidRPr="003C242B">
              <w:rPr>
                <w:rFonts w:eastAsia="SimSun"/>
              </w:rPr>
              <w:t>DS – sucrose equivalent consumption, °Brix</w:t>
            </w:r>
          </w:p>
        </w:tc>
      </w:tr>
      <w:tr w:rsidR="00AB7147" w:rsidRPr="003C242B" w14:paraId="45AE541B" w14:textId="77777777" w:rsidTr="00AB7147">
        <w:tc>
          <w:tcPr>
            <w:tcW w:w="4678" w:type="dxa"/>
            <w:hideMark/>
          </w:tcPr>
          <w:p w14:paraId="28ECA8EA" w14:textId="70A9C970" w:rsidR="00AB7147" w:rsidRPr="003C242B" w:rsidRDefault="00AB7147" w:rsidP="00AB7147">
            <w:pPr>
              <w:pStyle w:val="CETBodytext"/>
              <w:jc w:val="left"/>
              <w:rPr>
                <w:rFonts w:eastAsia="SimSun"/>
              </w:rPr>
            </w:pPr>
            <w:r w:rsidRPr="003C242B">
              <w:rPr>
                <w:rFonts w:eastAsia="SimSun"/>
              </w:rPr>
              <w:t xml:space="preserve">HG </w:t>
            </w:r>
            <w:r w:rsidR="006E2B7D" w:rsidRPr="003C242B">
              <w:rPr>
                <w:rFonts w:eastAsia="SimSun"/>
              </w:rPr>
              <w:t xml:space="preserve">– </w:t>
            </w:r>
            <w:r w:rsidRPr="003C242B">
              <w:rPr>
                <w:rFonts w:eastAsia="SimSun"/>
              </w:rPr>
              <w:t>high-gravity wort</w:t>
            </w:r>
          </w:p>
        </w:tc>
        <w:tc>
          <w:tcPr>
            <w:tcW w:w="4389" w:type="dxa"/>
            <w:hideMark/>
          </w:tcPr>
          <w:p w14:paraId="1A18D4F4" w14:textId="324DF496" w:rsidR="00AB7147" w:rsidRPr="003C242B" w:rsidRDefault="00AB7147" w:rsidP="00AB7147">
            <w:pPr>
              <w:pStyle w:val="CETBodytext"/>
              <w:jc w:val="left"/>
              <w:rPr>
                <w:rFonts w:eastAsia="SimSun"/>
              </w:rPr>
            </w:pPr>
            <w:r w:rsidRPr="003C242B">
              <w:rPr>
                <w:rFonts w:ascii="Symbol" w:eastAsia="SimSun" w:hAnsi="Symbol"/>
              </w:rPr>
              <w:t>r</w:t>
            </w:r>
            <w:r w:rsidRPr="003C242B">
              <w:rPr>
                <w:rFonts w:eastAsia="SimSun"/>
                <w:vertAlign w:val="subscript"/>
              </w:rPr>
              <w:t>1</w:t>
            </w:r>
            <w:r w:rsidRPr="003C242B">
              <w:rPr>
                <w:rFonts w:eastAsia="SimSun"/>
              </w:rPr>
              <w:t xml:space="preserve"> – linear empirical coefficient of Eq. (</w:t>
            </w:r>
            <w:r w:rsidR="00AE5A66">
              <w:rPr>
                <w:rFonts w:eastAsia="SimSun"/>
              </w:rPr>
              <w:t>5</w:t>
            </w:r>
            <w:r w:rsidRPr="003C242B">
              <w:rPr>
                <w:rFonts w:eastAsia="SimSun"/>
              </w:rPr>
              <w:t>)</w:t>
            </w:r>
          </w:p>
        </w:tc>
      </w:tr>
      <w:tr w:rsidR="00AB7147" w:rsidRPr="003C242B" w14:paraId="435834A1" w14:textId="77777777" w:rsidTr="00AB7147">
        <w:tc>
          <w:tcPr>
            <w:tcW w:w="4678" w:type="dxa"/>
            <w:hideMark/>
          </w:tcPr>
          <w:p w14:paraId="4BDD63E1" w14:textId="4493563F" w:rsidR="00AB7147" w:rsidRPr="003C242B" w:rsidRDefault="00AB7147" w:rsidP="00AB7147">
            <w:pPr>
              <w:pStyle w:val="CETBodytext"/>
              <w:jc w:val="left"/>
              <w:rPr>
                <w:rFonts w:eastAsia="SimSun"/>
              </w:rPr>
            </w:pPr>
            <w:r w:rsidRPr="003C242B">
              <w:rPr>
                <w:rFonts w:eastAsia="SimSun"/>
              </w:rPr>
              <w:t xml:space="preserve">LAB </w:t>
            </w:r>
            <w:r w:rsidR="006E2B7D" w:rsidRPr="003C242B">
              <w:rPr>
                <w:rFonts w:eastAsia="SimSun"/>
              </w:rPr>
              <w:t xml:space="preserve">– </w:t>
            </w:r>
            <w:r w:rsidRPr="003C242B">
              <w:rPr>
                <w:rFonts w:eastAsia="SimSun"/>
              </w:rPr>
              <w:t>low-alcohol beer</w:t>
            </w:r>
          </w:p>
        </w:tc>
        <w:tc>
          <w:tcPr>
            <w:tcW w:w="4389" w:type="dxa"/>
            <w:hideMark/>
          </w:tcPr>
          <w:p w14:paraId="074D80F0" w14:textId="4A41AEC5" w:rsidR="00AB7147" w:rsidRPr="003C242B" w:rsidRDefault="00AB7147" w:rsidP="00AB7147">
            <w:pPr>
              <w:pStyle w:val="CETBodytext"/>
              <w:jc w:val="left"/>
              <w:rPr>
                <w:rFonts w:eastAsia="SimSun"/>
              </w:rPr>
            </w:pPr>
            <w:r w:rsidRPr="003C242B">
              <w:rPr>
                <w:rFonts w:ascii="Symbol" w:eastAsia="SimSun" w:hAnsi="Symbol"/>
              </w:rPr>
              <w:t>r</w:t>
            </w:r>
            <w:r w:rsidRPr="003C242B">
              <w:rPr>
                <w:rFonts w:eastAsia="SimSun"/>
                <w:vertAlign w:val="subscript"/>
              </w:rPr>
              <w:t>2</w:t>
            </w:r>
            <w:r w:rsidRPr="003C242B">
              <w:rPr>
                <w:rFonts w:eastAsia="SimSun"/>
              </w:rPr>
              <w:t xml:space="preserve"> – quadratic empirical coefficient of Eq. (</w:t>
            </w:r>
            <w:r w:rsidR="00AE5A66">
              <w:rPr>
                <w:rFonts w:eastAsia="SimSun"/>
              </w:rPr>
              <w:t>5</w:t>
            </w:r>
            <w:r w:rsidRPr="003C242B">
              <w:rPr>
                <w:rFonts w:eastAsia="SimSun"/>
              </w:rPr>
              <w:t>)</w:t>
            </w:r>
          </w:p>
        </w:tc>
      </w:tr>
      <w:tr w:rsidR="00AB7147" w:rsidRPr="003C242B" w14:paraId="60FE8BE3" w14:textId="77777777" w:rsidTr="00AB7147">
        <w:tc>
          <w:tcPr>
            <w:tcW w:w="4678" w:type="dxa"/>
            <w:hideMark/>
          </w:tcPr>
          <w:p w14:paraId="29E7DC3B" w14:textId="77777777" w:rsidR="00AB7147" w:rsidRPr="003C242B" w:rsidRDefault="00AB7147" w:rsidP="00AB7147">
            <w:pPr>
              <w:pStyle w:val="CETBodytext"/>
              <w:jc w:val="left"/>
              <w:rPr>
                <w:rFonts w:eastAsia="SimSun"/>
              </w:rPr>
            </w:pPr>
            <w:r w:rsidRPr="003C242B">
              <w:rPr>
                <w:rFonts w:eastAsia="SimSun"/>
              </w:rPr>
              <w:t>LG - low-gravity wort</w:t>
            </w:r>
          </w:p>
        </w:tc>
        <w:tc>
          <w:tcPr>
            <w:tcW w:w="4389" w:type="dxa"/>
            <w:hideMark/>
          </w:tcPr>
          <w:p w14:paraId="3EF891CF" w14:textId="77777777" w:rsidR="00AB7147" w:rsidRPr="003C242B" w:rsidRDefault="00AB7147" w:rsidP="00AB7147">
            <w:pPr>
              <w:pStyle w:val="CETBodytext"/>
              <w:jc w:val="left"/>
              <w:rPr>
                <w:rFonts w:eastAsia="SimSun"/>
              </w:rPr>
            </w:pPr>
            <w:r w:rsidRPr="003C242B">
              <w:rPr>
                <w:rFonts w:ascii="Symbol" w:eastAsia="SimSun" w:hAnsi="Symbol"/>
              </w:rPr>
              <w:t>r</w:t>
            </w:r>
            <w:r w:rsidRPr="003C242B">
              <w:rPr>
                <w:rFonts w:eastAsia="SimSun"/>
                <w:vertAlign w:val="subscript"/>
              </w:rPr>
              <w:t>rB</w:t>
            </w:r>
            <w:r w:rsidRPr="003C242B">
              <w:rPr>
                <w:rFonts w:eastAsia="SimSun"/>
              </w:rPr>
              <w:t xml:space="preserve"> – relative density of beer, dimensionless</w:t>
            </w:r>
          </w:p>
        </w:tc>
      </w:tr>
      <w:tr w:rsidR="00AB7147" w:rsidRPr="003C242B" w14:paraId="76332763" w14:textId="77777777" w:rsidTr="00AB7147">
        <w:tc>
          <w:tcPr>
            <w:tcW w:w="4678" w:type="dxa"/>
            <w:hideMark/>
          </w:tcPr>
          <w:p w14:paraId="20496D91" w14:textId="77777777" w:rsidR="00AB7147" w:rsidRPr="003C242B" w:rsidRDefault="00AB7147" w:rsidP="00AB7147">
            <w:pPr>
              <w:pStyle w:val="CETBodytext"/>
              <w:jc w:val="left"/>
              <w:rPr>
                <w:rFonts w:eastAsia="SimSun"/>
              </w:rPr>
            </w:pPr>
            <w:r w:rsidRPr="003C242B">
              <w:rPr>
                <w:rFonts w:eastAsia="SimSun"/>
              </w:rPr>
              <w:t>M</w:t>
            </w:r>
            <w:r w:rsidRPr="003C242B">
              <w:rPr>
                <w:rFonts w:eastAsia="SimSun"/>
                <w:vertAlign w:val="subscript"/>
              </w:rPr>
              <w:t>i</w:t>
            </w:r>
            <w:r w:rsidRPr="003C242B">
              <w:rPr>
                <w:rFonts w:eastAsia="SimSun"/>
              </w:rPr>
              <w:t xml:space="preserve"> – amount of the i-th component, g</w:t>
            </w:r>
          </w:p>
        </w:tc>
        <w:tc>
          <w:tcPr>
            <w:tcW w:w="4389" w:type="dxa"/>
            <w:hideMark/>
          </w:tcPr>
          <w:p w14:paraId="3BFD0EF2" w14:textId="77777777" w:rsidR="00AB7147" w:rsidRPr="003C242B" w:rsidRDefault="00AB7147" w:rsidP="00AB7147">
            <w:pPr>
              <w:pStyle w:val="CETBodytext"/>
              <w:jc w:val="left"/>
              <w:rPr>
                <w:rFonts w:eastAsia="SimSun"/>
              </w:rPr>
            </w:pPr>
            <w:r w:rsidRPr="003C242B">
              <w:rPr>
                <w:rFonts w:ascii="Symbol" w:eastAsia="SimSun" w:hAnsi="Symbol"/>
              </w:rPr>
              <w:t>r</w:t>
            </w:r>
            <w:r w:rsidRPr="003C242B">
              <w:rPr>
                <w:rFonts w:eastAsia="SimSun"/>
                <w:vertAlign w:val="subscript"/>
              </w:rPr>
              <w:t>rBAP</w:t>
            </w:r>
            <w:r w:rsidRPr="003C242B">
              <w:rPr>
                <w:rFonts w:eastAsia="SimSun"/>
              </w:rPr>
              <w:t xml:space="preserve"> – offline relative density of beer</w:t>
            </w:r>
          </w:p>
        </w:tc>
      </w:tr>
      <w:tr w:rsidR="00AB7147" w:rsidRPr="003C242B" w14:paraId="398234C9" w14:textId="77777777" w:rsidTr="00AB7147">
        <w:tc>
          <w:tcPr>
            <w:tcW w:w="4678" w:type="dxa"/>
            <w:hideMark/>
          </w:tcPr>
          <w:p w14:paraId="237AFA20" w14:textId="77777777" w:rsidR="00AB7147" w:rsidRPr="003C242B" w:rsidRDefault="00AB7147" w:rsidP="00AB7147">
            <w:pPr>
              <w:pStyle w:val="CETBodytext"/>
              <w:jc w:val="left"/>
              <w:rPr>
                <w:rFonts w:eastAsia="SimSun"/>
              </w:rPr>
            </w:pPr>
            <w:r w:rsidRPr="003C242B">
              <w:rPr>
                <w:rFonts w:eastAsia="SimSun"/>
              </w:rPr>
              <w:t>NAB - non-alcoholic beer</w:t>
            </w:r>
          </w:p>
        </w:tc>
        <w:tc>
          <w:tcPr>
            <w:tcW w:w="4389" w:type="dxa"/>
            <w:hideMark/>
          </w:tcPr>
          <w:p w14:paraId="3FDA6C86" w14:textId="77777777" w:rsidR="00AB7147" w:rsidRPr="003C242B" w:rsidRDefault="00AB7147" w:rsidP="00AB7147">
            <w:pPr>
              <w:pStyle w:val="CETBodytext"/>
              <w:jc w:val="left"/>
              <w:rPr>
                <w:rFonts w:eastAsia="SimSun"/>
              </w:rPr>
            </w:pPr>
            <w:r w:rsidRPr="003C242B">
              <w:rPr>
                <w:rFonts w:ascii="Symbol" w:eastAsia="SimSun" w:hAnsi="Symbol"/>
              </w:rPr>
              <w:t>r</w:t>
            </w:r>
            <w:r w:rsidRPr="003C242B">
              <w:rPr>
                <w:rFonts w:eastAsia="SimSun" w:cs="Arial"/>
                <w:vertAlign w:val="subscript"/>
              </w:rPr>
              <w:t>rBFH</w:t>
            </w:r>
            <w:r w:rsidRPr="003C242B">
              <w:rPr>
                <w:rFonts w:eastAsia="SimSun"/>
              </w:rPr>
              <w:t xml:space="preserve"> – online relative density of beer</w:t>
            </w:r>
          </w:p>
        </w:tc>
      </w:tr>
      <w:tr w:rsidR="00AB7147" w:rsidRPr="003C242B" w14:paraId="3265E3FA" w14:textId="77777777" w:rsidTr="00AB7147">
        <w:tc>
          <w:tcPr>
            <w:tcW w:w="4678" w:type="dxa"/>
            <w:hideMark/>
          </w:tcPr>
          <w:p w14:paraId="532FD045" w14:textId="77777777" w:rsidR="00AB7147" w:rsidRPr="003C242B" w:rsidRDefault="00AB7147" w:rsidP="00AB7147">
            <w:pPr>
              <w:pStyle w:val="CETBodytext"/>
              <w:jc w:val="left"/>
              <w:rPr>
                <w:rFonts w:eastAsia="SimSun"/>
              </w:rPr>
            </w:pPr>
            <w:r w:rsidRPr="003C242B">
              <w:rPr>
                <w:rFonts w:eastAsia="SimSun"/>
              </w:rPr>
              <w:t>P</w:t>
            </w:r>
            <w:r w:rsidRPr="003C242B">
              <w:rPr>
                <w:rFonts w:eastAsia="SimSun"/>
                <w:vertAlign w:val="subscript"/>
              </w:rPr>
              <w:t>F</w:t>
            </w:r>
            <w:r w:rsidRPr="003C242B">
              <w:rPr>
                <w:rFonts w:eastAsia="SimSun"/>
              </w:rPr>
              <w:t xml:space="preserve"> – top fermenter pressure, mbar </w:t>
            </w:r>
          </w:p>
        </w:tc>
        <w:tc>
          <w:tcPr>
            <w:tcW w:w="4389" w:type="dxa"/>
            <w:hideMark/>
          </w:tcPr>
          <w:p w14:paraId="6C55CB51" w14:textId="77777777" w:rsidR="00AB7147" w:rsidRPr="003C242B" w:rsidRDefault="00AB7147" w:rsidP="00AB7147">
            <w:pPr>
              <w:pStyle w:val="CETBodytext"/>
              <w:jc w:val="left"/>
              <w:rPr>
                <w:rFonts w:eastAsia="SimSun"/>
                <w:i/>
                <w:iCs/>
              </w:rPr>
            </w:pPr>
            <w:r w:rsidRPr="003C242B">
              <w:rPr>
                <w:rFonts w:eastAsia="SimSun"/>
                <w:i/>
                <w:iCs/>
              </w:rPr>
              <w:t>Subscripts</w:t>
            </w:r>
          </w:p>
        </w:tc>
      </w:tr>
      <w:tr w:rsidR="00AB7147" w:rsidRPr="003C242B" w14:paraId="6B8F7E48" w14:textId="77777777" w:rsidTr="00AB7147">
        <w:tc>
          <w:tcPr>
            <w:tcW w:w="4678" w:type="dxa"/>
            <w:hideMark/>
          </w:tcPr>
          <w:p w14:paraId="09E7C9E9" w14:textId="77777777" w:rsidR="00AB7147" w:rsidRPr="003C242B" w:rsidRDefault="00AB7147" w:rsidP="00AB7147">
            <w:pPr>
              <w:pStyle w:val="CETBodytext"/>
              <w:jc w:val="left"/>
              <w:rPr>
                <w:rFonts w:eastAsia="SimSun"/>
              </w:rPr>
            </w:pPr>
            <w:r w:rsidRPr="003C242B">
              <w:rPr>
                <w:rFonts w:eastAsia="SimSun"/>
              </w:rPr>
              <w:t>r</w:t>
            </w:r>
            <w:r w:rsidRPr="003C242B">
              <w:rPr>
                <w:rFonts w:eastAsia="SimSun"/>
                <w:vertAlign w:val="superscript"/>
              </w:rPr>
              <w:t>2</w:t>
            </w:r>
            <w:r w:rsidRPr="003C242B">
              <w:rPr>
                <w:rFonts w:eastAsia="SimSun"/>
              </w:rPr>
              <w:t xml:space="preserve"> – coefficient of determination</w:t>
            </w:r>
          </w:p>
        </w:tc>
        <w:tc>
          <w:tcPr>
            <w:tcW w:w="4389" w:type="dxa"/>
            <w:hideMark/>
          </w:tcPr>
          <w:p w14:paraId="1C39AC30" w14:textId="77777777" w:rsidR="00AB7147" w:rsidRPr="003C242B" w:rsidRDefault="00AB7147" w:rsidP="00AB7147">
            <w:pPr>
              <w:pStyle w:val="CETBodytext"/>
              <w:jc w:val="left"/>
              <w:rPr>
                <w:rFonts w:eastAsia="SimSun"/>
              </w:rPr>
            </w:pPr>
            <w:r w:rsidRPr="003C242B">
              <w:rPr>
                <w:rFonts w:eastAsia="SimSun"/>
              </w:rPr>
              <w:t>0 – initial</w:t>
            </w:r>
          </w:p>
        </w:tc>
      </w:tr>
      <w:tr w:rsidR="00AB7147" w:rsidRPr="003C242B" w14:paraId="596F7F78" w14:textId="77777777" w:rsidTr="00AB7147">
        <w:tc>
          <w:tcPr>
            <w:tcW w:w="4678" w:type="dxa"/>
            <w:hideMark/>
          </w:tcPr>
          <w:p w14:paraId="7AEC8FFB" w14:textId="6FA7C3E4" w:rsidR="00AB7147" w:rsidRPr="003C242B" w:rsidRDefault="00AB7147" w:rsidP="00AB7147">
            <w:pPr>
              <w:pStyle w:val="CETBodytext"/>
              <w:jc w:val="left"/>
              <w:rPr>
                <w:rFonts w:eastAsia="SimSun"/>
              </w:rPr>
            </w:pPr>
            <w:r w:rsidRPr="003C242B">
              <w:rPr>
                <w:rFonts w:eastAsia="SimSun"/>
              </w:rPr>
              <w:t xml:space="preserve">RO </w:t>
            </w:r>
            <w:r w:rsidR="006E2B7D" w:rsidRPr="003C242B">
              <w:rPr>
                <w:rFonts w:eastAsia="SimSun"/>
              </w:rPr>
              <w:t xml:space="preserve">– </w:t>
            </w:r>
            <w:r w:rsidRPr="003C242B">
              <w:rPr>
                <w:rFonts w:eastAsia="SimSun"/>
              </w:rPr>
              <w:t xml:space="preserve">reverse osmosis </w:t>
            </w:r>
          </w:p>
        </w:tc>
        <w:tc>
          <w:tcPr>
            <w:tcW w:w="4389" w:type="dxa"/>
            <w:hideMark/>
          </w:tcPr>
          <w:p w14:paraId="605C8BE3" w14:textId="398DD956" w:rsidR="00AB7147" w:rsidRPr="003C242B" w:rsidRDefault="00AB7147" w:rsidP="00AB7147">
            <w:pPr>
              <w:pStyle w:val="CETBodytext"/>
              <w:jc w:val="left"/>
              <w:rPr>
                <w:rFonts w:eastAsia="SimSun"/>
              </w:rPr>
            </w:pPr>
            <w:r w:rsidRPr="003C242B">
              <w:rPr>
                <w:rFonts w:eastAsia="SimSun"/>
              </w:rPr>
              <w:t xml:space="preserve">C </w:t>
            </w:r>
            <w:r w:rsidR="006E2B7D" w:rsidRPr="003C242B">
              <w:rPr>
                <w:rFonts w:eastAsia="SimSun"/>
              </w:rPr>
              <w:t xml:space="preserve">– </w:t>
            </w:r>
            <w:r w:rsidRPr="003C242B">
              <w:rPr>
                <w:rFonts w:eastAsia="SimSun"/>
              </w:rPr>
              <w:t>condensate</w:t>
            </w:r>
          </w:p>
        </w:tc>
      </w:tr>
      <w:tr w:rsidR="00AB7147" w:rsidRPr="003C242B" w14:paraId="0577DA97" w14:textId="77777777" w:rsidTr="00AB7147">
        <w:tc>
          <w:tcPr>
            <w:tcW w:w="4678" w:type="dxa"/>
            <w:hideMark/>
          </w:tcPr>
          <w:p w14:paraId="257A100A" w14:textId="77777777" w:rsidR="00AB7147" w:rsidRPr="003C242B" w:rsidRDefault="00AB7147" w:rsidP="00AB7147">
            <w:pPr>
              <w:pStyle w:val="CETBodytext"/>
              <w:jc w:val="left"/>
              <w:rPr>
                <w:rFonts w:eastAsia="SimSun"/>
              </w:rPr>
            </w:pPr>
            <w:r w:rsidRPr="003C242B">
              <w:rPr>
                <w:rFonts w:eastAsia="SimSun"/>
              </w:rPr>
              <w:t>S – sucrose equivalent content, °Brix</w:t>
            </w:r>
          </w:p>
        </w:tc>
        <w:tc>
          <w:tcPr>
            <w:tcW w:w="4389" w:type="dxa"/>
            <w:hideMark/>
          </w:tcPr>
          <w:p w14:paraId="56C60342" w14:textId="77777777" w:rsidR="00AB7147" w:rsidRPr="003C242B" w:rsidRDefault="00AB7147" w:rsidP="00AB7147">
            <w:pPr>
              <w:pStyle w:val="CETBodytext"/>
              <w:jc w:val="left"/>
              <w:rPr>
                <w:rFonts w:eastAsia="SimSun"/>
              </w:rPr>
            </w:pPr>
            <w:r w:rsidRPr="003C242B">
              <w:rPr>
                <w:rFonts w:eastAsia="SimSun"/>
              </w:rPr>
              <w:t>E – ethanol</w:t>
            </w:r>
          </w:p>
        </w:tc>
      </w:tr>
      <w:tr w:rsidR="00AB7147" w:rsidRPr="003C242B" w14:paraId="41FECB4C" w14:textId="77777777" w:rsidTr="00AB7147">
        <w:tc>
          <w:tcPr>
            <w:tcW w:w="4678" w:type="dxa"/>
            <w:hideMark/>
          </w:tcPr>
          <w:p w14:paraId="62097DA3" w14:textId="77777777" w:rsidR="00AB7147" w:rsidRPr="003C242B" w:rsidRDefault="00AB7147" w:rsidP="00AB7147">
            <w:pPr>
              <w:pStyle w:val="CETBodytext"/>
              <w:jc w:val="left"/>
              <w:rPr>
                <w:rFonts w:eastAsia="SimSun"/>
              </w:rPr>
            </w:pPr>
            <w:r w:rsidRPr="003C242B">
              <w:rPr>
                <w:rFonts w:eastAsia="SimSun"/>
              </w:rPr>
              <w:t>t – fermentation time, h</w:t>
            </w:r>
          </w:p>
        </w:tc>
        <w:tc>
          <w:tcPr>
            <w:tcW w:w="4389" w:type="dxa"/>
            <w:hideMark/>
          </w:tcPr>
          <w:p w14:paraId="2125CB8E" w14:textId="77777777" w:rsidR="00AB7147" w:rsidRPr="003C242B" w:rsidRDefault="00AB7147" w:rsidP="00AB7147">
            <w:pPr>
              <w:pStyle w:val="CETBodytext"/>
              <w:jc w:val="left"/>
              <w:rPr>
                <w:rFonts w:eastAsia="SimSun"/>
              </w:rPr>
            </w:pPr>
            <w:r w:rsidRPr="003C242B">
              <w:rPr>
                <w:rFonts w:eastAsia="SimSun"/>
              </w:rPr>
              <w:t>f – final</w:t>
            </w:r>
          </w:p>
        </w:tc>
      </w:tr>
      <w:tr w:rsidR="00AB7147" w:rsidRPr="003C242B" w14:paraId="33436C8D" w14:textId="77777777" w:rsidTr="00AB7147">
        <w:tc>
          <w:tcPr>
            <w:tcW w:w="4678" w:type="dxa"/>
            <w:hideMark/>
          </w:tcPr>
          <w:p w14:paraId="66C9EBBD" w14:textId="77777777" w:rsidR="00AB7147" w:rsidRPr="003C242B" w:rsidRDefault="00AB7147" w:rsidP="00AB7147">
            <w:pPr>
              <w:pStyle w:val="CETBodytext"/>
              <w:jc w:val="left"/>
              <w:rPr>
                <w:rFonts w:eastAsia="SimSun"/>
              </w:rPr>
            </w:pPr>
            <w:r w:rsidRPr="003C242B">
              <w:rPr>
                <w:rFonts w:eastAsia="SimSun"/>
              </w:rPr>
              <w:t>T</w:t>
            </w:r>
            <w:r w:rsidRPr="003C242B">
              <w:rPr>
                <w:rFonts w:eastAsia="SimSun"/>
                <w:vertAlign w:val="subscript"/>
              </w:rPr>
              <w:t>F</w:t>
            </w:r>
            <w:r w:rsidRPr="003C242B">
              <w:rPr>
                <w:rFonts w:eastAsia="SimSun"/>
              </w:rPr>
              <w:t xml:space="preserve"> – fermentation temperature, °C</w:t>
            </w:r>
          </w:p>
        </w:tc>
        <w:tc>
          <w:tcPr>
            <w:tcW w:w="4389" w:type="dxa"/>
            <w:hideMark/>
          </w:tcPr>
          <w:p w14:paraId="6B659649" w14:textId="77545678" w:rsidR="00AB7147" w:rsidRPr="003C242B" w:rsidRDefault="00AB7147" w:rsidP="00AB7147">
            <w:pPr>
              <w:pStyle w:val="CETBodytext"/>
              <w:jc w:val="left"/>
              <w:rPr>
                <w:rFonts w:eastAsia="SimSun"/>
              </w:rPr>
            </w:pPr>
            <w:r w:rsidRPr="003C242B">
              <w:rPr>
                <w:rFonts w:eastAsia="SimSun"/>
              </w:rPr>
              <w:t xml:space="preserve">T </w:t>
            </w:r>
            <w:r w:rsidR="006E2B7D" w:rsidRPr="003C242B">
              <w:rPr>
                <w:rFonts w:eastAsia="SimSun"/>
              </w:rPr>
              <w:t xml:space="preserve">– </w:t>
            </w:r>
            <w:r w:rsidRPr="003C242B">
              <w:rPr>
                <w:rFonts w:eastAsia="SimSun"/>
              </w:rPr>
              <w:t>total</w:t>
            </w:r>
          </w:p>
        </w:tc>
      </w:tr>
    </w:tbl>
    <w:p w14:paraId="459D05E6" w14:textId="6C7A3C35" w:rsidR="00600535" w:rsidRPr="003C242B" w:rsidRDefault="00600535" w:rsidP="00600535">
      <w:pPr>
        <w:pStyle w:val="CETAcknowledgementstitle"/>
        <w:rPr>
          <w:lang w:val="en-US"/>
        </w:rPr>
      </w:pPr>
      <w:r w:rsidRPr="003C242B">
        <w:rPr>
          <w:lang w:val="en-US"/>
        </w:rPr>
        <w:t>Acknowledgments</w:t>
      </w:r>
    </w:p>
    <w:p w14:paraId="33F8138F" w14:textId="0AC6C593" w:rsidR="00600535" w:rsidRPr="003C242B" w:rsidRDefault="001E77C5" w:rsidP="00600535">
      <w:pPr>
        <w:pStyle w:val="CETBodytext"/>
      </w:pPr>
      <w:r w:rsidRPr="003C242B">
        <w:t xml:space="preserve">This research was funded by the Italian Ministry of Instruction, University and Research within the research project entitled </w:t>
      </w:r>
      <w:r w:rsidRPr="003C242B">
        <w:rPr>
          <w:i/>
          <w:iCs/>
        </w:rPr>
        <w:t>Innovation and sustainability in the ITalian BREWing supply chain - BREW.IT</w:t>
      </w:r>
      <w:r w:rsidRPr="003C242B">
        <w:t>, special grant PRIN 2022 — P2022JEFNF.</w:t>
      </w:r>
    </w:p>
    <w:p w14:paraId="4F1327F8" w14:textId="77777777" w:rsidR="00600535" w:rsidRPr="003C242B" w:rsidRDefault="00600535" w:rsidP="00600535">
      <w:pPr>
        <w:pStyle w:val="CETReference"/>
        <w:rPr>
          <w:lang w:val="en-US"/>
        </w:rPr>
      </w:pPr>
      <w:r w:rsidRPr="003C242B">
        <w:rPr>
          <w:lang w:val="en-US"/>
        </w:rPr>
        <w:t>References</w:t>
      </w:r>
    </w:p>
    <w:p w14:paraId="7FFD22EC" w14:textId="2B982D8D" w:rsidR="001E77C5" w:rsidRPr="003C242B" w:rsidRDefault="001E77C5" w:rsidP="008725E8">
      <w:pPr>
        <w:pStyle w:val="CETReferencetext"/>
        <w:rPr>
          <w:lang w:val="en-US"/>
        </w:rPr>
      </w:pPr>
      <w:r w:rsidRPr="003C242B">
        <w:rPr>
          <w:lang w:val="en-US"/>
        </w:rPr>
        <w:t xml:space="preserve">Andrés-Iglesias C., Blanco-Gomis D., Montero O., 2016, Beer </w:t>
      </w:r>
      <w:r w:rsidR="006E2B7D" w:rsidRPr="003C242B">
        <w:rPr>
          <w:lang w:val="en-US"/>
        </w:rPr>
        <w:t>dealcoholisation</w:t>
      </w:r>
      <w:r w:rsidRPr="003C242B">
        <w:rPr>
          <w:lang w:val="en-US"/>
        </w:rPr>
        <w:t xml:space="preserve"> by reverse osmosis, J. Food Eng., 178, 91–98. </w:t>
      </w:r>
    </w:p>
    <w:p w14:paraId="2D31C281" w14:textId="1BC97A99" w:rsidR="001E77C5" w:rsidRPr="003C242B" w:rsidRDefault="001E77C5" w:rsidP="008725E8">
      <w:pPr>
        <w:pStyle w:val="CETReferencetext"/>
        <w:rPr>
          <w:lang w:val="en-US"/>
        </w:rPr>
      </w:pPr>
      <w:r w:rsidRPr="003C242B">
        <w:rPr>
          <w:lang w:val="en-US"/>
        </w:rPr>
        <w:t>Cimini A., Morgante L., Moresi M., 2025, Innovative under-vacuum fermentation for low-alcohol beer production, In Proc</w:t>
      </w:r>
      <w:r w:rsidR="00A756BD" w:rsidRPr="003C242B">
        <w:rPr>
          <w:lang w:val="en-US"/>
        </w:rPr>
        <w:t>.</w:t>
      </w:r>
      <w:r w:rsidRPr="003C242B">
        <w:rPr>
          <w:lang w:val="en-US"/>
        </w:rPr>
        <w:t>s of the 16th International Trends in Brewing - Innovations in Products and Processes, Leuven, Belgium, 6-9 April 2025, p. 85.</w:t>
      </w:r>
    </w:p>
    <w:p w14:paraId="0EC1FFCD" w14:textId="77777777" w:rsidR="008725E8" w:rsidRPr="003C242B" w:rsidRDefault="008725E8" w:rsidP="008725E8">
      <w:pPr>
        <w:pStyle w:val="CETReferencetext"/>
        <w:rPr>
          <w:lang w:val="en-US"/>
        </w:rPr>
      </w:pPr>
      <w:r w:rsidRPr="003C242B">
        <w:rPr>
          <w:lang w:val="en-US"/>
        </w:rPr>
        <w:t>Di Matteo P., Stollera M., Petrucci R., Russo P., 2021, Development of a Diafiltration-Pervaporation Process for Beer Dealcoholisation. Chemical Engineering Transactions, 87, 13-18.</w:t>
      </w:r>
    </w:p>
    <w:p w14:paraId="68FF919F" w14:textId="40187386" w:rsidR="001E77C5" w:rsidRPr="003C242B" w:rsidRDefault="001E77C5" w:rsidP="008725E8">
      <w:pPr>
        <w:pStyle w:val="CETReferencetext"/>
        <w:rPr>
          <w:lang w:val="en-US"/>
        </w:rPr>
      </w:pPr>
      <w:r w:rsidRPr="003C242B">
        <w:rPr>
          <w:lang w:val="en-US"/>
        </w:rPr>
        <w:t xml:space="preserve">Foster B., Tyrawa C., Ozsahin E., Lubberts M., Krogerus K., Preiss R., van der Merwe G., 2022, Kveik brewing yeasts demonstrate wide flexibility in beer fermentation temperature tolerance and exhibit enhanced trehalose accumulation, Frontiers in Microbiology, 13, 747546. </w:t>
      </w:r>
    </w:p>
    <w:p w14:paraId="2F827AE5" w14:textId="5F89AF57" w:rsidR="001E77C5" w:rsidRPr="003C242B" w:rsidRDefault="001E77C5" w:rsidP="008725E8">
      <w:pPr>
        <w:pStyle w:val="CETReferencetext"/>
        <w:rPr>
          <w:lang w:val="en-US"/>
        </w:rPr>
      </w:pPr>
      <w:r w:rsidRPr="003C242B">
        <w:rPr>
          <w:lang w:val="en-US"/>
        </w:rPr>
        <w:t xml:space="preserve">Huerta-Pérez F., Pérez-Correa J. R., 2018, Optimizing ethanol recovery in a spinning cone column. Journal of the Taiwan Institute of Chemical Engineers, 83, 1-9. </w:t>
      </w:r>
    </w:p>
    <w:p w14:paraId="4B1968E3" w14:textId="59DB531C" w:rsidR="00290D50" w:rsidRPr="003C242B" w:rsidRDefault="00290D50" w:rsidP="008725E8">
      <w:pPr>
        <w:pStyle w:val="CETReferencetext"/>
        <w:rPr>
          <w:lang w:val="en-US"/>
        </w:rPr>
      </w:pPr>
      <w:r w:rsidRPr="003C242B">
        <w:rPr>
          <w:lang w:val="en-US"/>
        </w:rPr>
        <w:t>L</w:t>
      </w:r>
      <w:r w:rsidR="00AE5A66">
        <w:rPr>
          <w:lang w:val="en-US"/>
        </w:rPr>
        <w:t>aw</w:t>
      </w:r>
      <w:r w:rsidRPr="003C242B">
        <w:rPr>
          <w:lang w:val="en-US"/>
        </w:rPr>
        <w:t xml:space="preserve"> 28 </w:t>
      </w:r>
      <w:r w:rsidR="00AE5A66">
        <w:rPr>
          <w:lang w:val="en-US"/>
        </w:rPr>
        <w:t>July</w:t>
      </w:r>
      <w:r w:rsidRPr="003C242B">
        <w:rPr>
          <w:lang w:val="en-US"/>
        </w:rPr>
        <w:t xml:space="preserve"> 2016, n. 154, Deleghe al Governo e disposizioni in materia di semplificazione, razionalizzazione e competitività dei settori agricolo e agroalimentare, GU Serie Generale no.186 del 10-08-2016</w:t>
      </w:r>
      <w:r w:rsidR="001473DD" w:rsidRPr="003C242B">
        <w:rPr>
          <w:lang w:val="en-US"/>
        </w:rPr>
        <w:t>, p. 14</w:t>
      </w:r>
      <w:r w:rsidRPr="003C242B">
        <w:rPr>
          <w:lang w:val="en-US"/>
        </w:rPr>
        <w:t xml:space="preserve"> </w:t>
      </w:r>
      <w:r w:rsidR="00CD6C9D" w:rsidRPr="003C242B">
        <w:rPr>
          <w:lang w:val="en-US"/>
        </w:rPr>
        <w:t>&lt;</w:t>
      </w:r>
      <w:r w:rsidR="001473DD" w:rsidRPr="003C242B">
        <w:rPr>
          <w:lang w:val="en-US"/>
        </w:rPr>
        <w:t>www.gazzettaufficiale.it/eli/gu/2016/08/10/186/sg/pdf</w:t>
      </w:r>
      <w:r w:rsidR="00CD6C9D" w:rsidRPr="003C242B">
        <w:rPr>
          <w:lang w:val="en-US"/>
        </w:rPr>
        <w:t>&gt;</w:t>
      </w:r>
      <w:r w:rsidR="001473DD" w:rsidRPr="003C242B">
        <w:rPr>
          <w:lang w:val="en-US"/>
        </w:rPr>
        <w:t xml:space="preserve"> accessed 18 December 2025</w:t>
      </w:r>
      <w:r w:rsidRPr="003C242B">
        <w:rPr>
          <w:lang w:val="en-US"/>
        </w:rPr>
        <w:t>.</w:t>
      </w:r>
    </w:p>
    <w:p w14:paraId="3BB17FE1" w14:textId="4B16F748" w:rsidR="001E77C5" w:rsidRPr="003C242B" w:rsidRDefault="001E77C5" w:rsidP="008725E8">
      <w:pPr>
        <w:pStyle w:val="CETReferencetext"/>
        <w:rPr>
          <w:lang w:val="en-US"/>
        </w:rPr>
      </w:pPr>
      <w:r w:rsidRPr="003C242B">
        <w:rPr>
          <w:lang w:val="en-US"/>
        </w:rPr>
        <w:t>Michel M., Meier-Dörnberg T., Jacob F., Methner F. -J., Wagner R. S., Hutzler, M., 2016, Review: Pure non-</w:t>
      </w:r>
      <w:r w:rsidRPr="003C242B">
        <w:rPr>
          <w:i/>
          <w:iCs/>
          <w:lang w:val="en-US"/>
        </w:rPr>
        <w:t>Saccharomyces</w:t>
      </w:r>
      <w:r w:rsidRPr="003C242B">
        <w:rPr>
          <w:lang w:val="en-US"/>
        </w:rPr>
        <w:t xml:space="preserve"> starter cultures for beer fermentation with a focus on secondary metabolites and practical applications. J. Inst. Brew., 122</w:t>
      </w:r>
      <w:r w:rsidR="008714BE" w:rsidRPr="003C242B">
        <w:rPr>
          <w:lang w:val="en-US"/>
        </w:rPr>
        <w:t>,</w:t>
      </w:r>
      <w:r w:rsidRPr="003C242B">
        <w:rPr>
          <w:lang w:val="en-US"/>
        </w:rPr>
        <w:t xml:space="preserve"> 569–587. </w:t>
      </w:r>
    </w:p>
    <w:p w14:paraId="2383A8AA" w14:textId="08183B7D" w:rsidR="001E77C5" w:rsidRPr="003C242B" w:rsidRDefault="001E77C5" w:rsidP="008725E8">
      <w:pPr>
        <w:pStyle w:val="CETReferencetext"/>
        <w:rPr>
          <w:lang w:val="en-US"/>
        </w:rPr>
      </w:pPr>
      <w:r w:rsidRPr="003C242B">
        <w:rPr>
          <w:lang w:val="en-US"/>
        </w:rPr>
        <w:t>Moresi M., 1989, Optimal fermenter design for white wine production, In C Cantarelli, G Lanzarini (Ed.s), Biotech</w:t>
      </w:r>
      <w:r w:rsidRPr="003C242B">
        <w:rPr>
          <w:lang w:val="en-US"/>
        </w:rPr>
        <w:softHyphen/>
        <w:t xml:space="preserve">nology applications in beverage production, Elsevier Applied Science Publishers, Barking, UK, 107- 125. </w:t>
      </w:r>
    </w:p>
    <w:p w14:paraId="0CEA5801" w14:textId="2A8663EC" w:rsidR="001E77C5" w:rsidRPr="003C242B" w:rsidRDefault="001E77C5" w:rsidP="008725E8">
      <w:pPr>
        <w:pStyle w:val="CETReferencetext"/>
        <w:rPr>
          <w:lang w:val="en-US"/>
        </w:rPr>
      </w:pPr>
      <w:r w:rsidRPr="003C242B">
        <w:rPr>
          <w:lang w:val="en-US"/>
        </w:rPr>
        <w:t xml:space="preserve">Preiss R., Tyrawa C., Krogerus K., Garshol L. M., van der Merwe G., 2018, Traditional Norwegian Kveik are a genetically distinct group of domesticated </w:t>
      </w:r>
      <w:r w:rsidRPr="003C242B">
        <w:rPr>
          <w:i/>
          <w:iCs/>
          <w:lang w:val="en-US"/>
        </w:rPr>
        <w:t>Saccharomyces cerevisiae</w:t>
      </w:r>
      <w:r w:rsidRPr="003C242B">
        <w:rPr>
          <w:lang w:val="en-US"/>
        </w:rPr>
        <w:t xml:space="preserve"> brewing yeasts, Frontiers in Microbiology, 9, 2137. </w:t>
      </w:r>
    </w:p>
    <w:p w14:paraId="153ED477" w14:textId="017E78AF" w:rsidR="001E77C5" w:rsidRPr="003C242B" w:rsidRDefault="001E77C5" w:rsidP="001E77C5">
      <w:pPr>
        <w:pStyle w:val="CETReferencetext"/>
        <w:rPr>
          <w:lang w:val="en-US"/>
        </w:rPr>
      </w:pPr>
      <w:r w:rsidRPr="003C242B">
        <w:rPr>
          <w:lang w:val="en-US"/>
        </w:rPr>
        <w:t>Ramsey I., Yang Q., Fisk I., Ayed C., Ford R., 2021, Assessing the sensory and physicochemical impact of reverse osmosis membrane technology to dealcoholize two different beer styles</w:t>
      </w:r>
      <w:r w:rsidR="006E2B7D" w:rsidRPr="003C242B">
        <w:rPr>
          <w:lang w:val="en-US"/>
        </w:rPr>
        <w:t>,</w:t>
      </w:r>
      <w:r w:rsidRPr="003C242B">
        <w:rPr>
          <w:lang w:val="en-US"/>
        </w:rPr>
        <w:t xml:space="preserve"> Food Chem X., Apr 30, 10, 100121. </w:t>
      </w:r>
      <w:r w:rsidR="0072326D" w:rsidRPr="003C242B">
        <w:rPr>
          <w:lang w:val="en-US"/>
        </w:rPr>
        <w:t xml:space="preserve"> </w:t>
      </w:r>
    </w:p>
    <w:p w14:paraId="26699241" w14:textId="4FBC9D68" w:rsidR="001E77C5" w:rsidRPr="00D942C8" w:rsidRDefault="001E77C5" w:rsidP="001E77C5">
      <w:pPr>
        <w:pStyle w:val="CETReferencetext"/>
        <w:rPr>
          <w:lang w:val="en-US"/>
        </w:rPr>
      </w:pPr>
      <w:r w:rsidRPr="003C242B">
        <w:rPr>
          <w:lang w:val="en-US"/>
        </w:rPr>
        <w:t>Smith N.K., 2024, The brewing secrets behind tastier no-alcohol beer, BBC</w:t>
      </w:r>
      <w:r w:rsidR="006E2B7D" w:rsidRPr="003C242B">
        <w:rPr>
          <w:lang w:val="en-US"/>
        </w:rPr>
        <w:t>,</w:t>
      </w:r>
      <w:r w:rsidRPr="003C242B">
        <w:rPr>
          <w:lang w:val="en-US"/>
        </w:rPr>
        <w:t xml:space="preserve"> &lt;</w:t>
      </w:r>
      <w:hyperlink r:id="rId16" w:history="1">
        <w:r w:rsidRPr="003C242B">
          <w:rPr>
            <w:lang w:val="en-US"/>
          </w:rPr>
          <w:t>https://www.bbc.com/news/business-68138944</w:t>
        </w:r>
      </w:hyperlink>
      <w:r w:rsidRPr="003C242B">
        <w:rPr>
          <w:lang w:val="en-US"/>
        </w:rPr>
        <w:t>&gt; accessed 1</w:t>
      </w:r>
      <w:r w:rsidR="008714BE" w:rsidRPr="003C242B">
        <w:rPr>
          <w:lang w:val="en-US"/>
        </w:rPr>
        <w:t>7 December</w:t>
      </w:r>
      <w:r w:rsidRPr="003C242B">
        <w:rPr>
          <w:lang w:val="en-US"/>
        </w:rPr>
        <w:t xml:space="preserve"> 2025.</w:t>
      </w:r>
    </w:p>
    <w:p w14:paraId="4A91717F" w14:textId="77777777" w:rsidR="008725E8" w:rsidRPr="00D942C8" w:rsidRDefault="008725E8">
      <w:pPr>
        <w:pStyle w:val="CETReferencetext"/>
        <w:rPr>
          <w:lang w:val="en-US"/>
        </w:rPr>
      </w:pPr>
    </w:p>
    <w:sectPr w:rsidR="008725E8" w:rsidRPr="00D942C8"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8189" w14:textId="77777777" w:rsidR="00E96AA3" w:rsidRDefault="00E96AA3" w:rsidP="004F5E36">
      <w:r>
        <w:separator/>
      </w:r>
    </w:p>
  </w:endnote>
  <w:endnote w:type="continuationSeparator" w:id="0">
    <w:p w14:paraId="79A856DD" w14:textId="77777777" w:rsidR="00E96AA3" w:rsidRDefault="00E96AA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990E" w14:textId="77777777" w:rsidR="00E96AA3" w:rsidRDefault="00E96AA3" w:rsidP="004F5E36">
      <w:r>
        <w:separator/>
      </w:r>
    </w:p>
  </w:footnote>
  <w:footnote w:type="continuationSeparator" w:id="0">
    <w:p w14:paraId="6997928B" w14:textId="77777777" w:rsidR="00E96AA3" w:rsidRDefault="00E96AA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0BF319F"/>
    <w:multiLevelType w:val="multilevel"/>
    <w:tmpl w:val="A942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F3E3E"/>
    <w:multiLevelType w:val="hybridMultilevel"/>
    <w:tmpl w:val="B7EEAAC2"/>
    <w:lvl w:ilvl="0" w:tplc="51A21F7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38217E"/>
    <w:multiLevelType w:val="multilevel"/>
    <w:tmpl w:val="781686B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9D048ED"/>
    <w:multiLevelType w:val="hybridMultilevel"/>
    <w:tmpl w:val="825CA3C8"/>
    <w:lvl w:ilvl="0" w:tplc="3ED02C6C">
      <w:start w:val="1"/>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511" w:hanging="227"/>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B3005"/>
    <w:multiLevelType w:val="hybridMultilevel"/>
    <w:tmpl w:val="405A4C4C"/>
    <w:lvl w:ilvl="0" w:tplc="4C44431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6B01BE"/>
    <w:multiLevelType w:val="hybridMultilevel"/>
    <w:tmpl w:val="136A1A7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1"/>
  </w:num>
  <w:num w:numId="13" w16cid:durableId="695733619">
    <w:abstractNumId w:val="15"/>
  </w:num>
  <w:num w:numId="14" w16cid:durableId="145903400">
    <w:abstractNumId w:val="22"/>
  </w:num>
  <w:num w:numId="15" w16cid:durableId="19162326">
    <w:abstractNumId w:val="24"/>
  </w:num>
  <w:num w:numId="16" w16cid:durableId="1977102699">
    <w:abstractNumId w:val="23"/>
  </w:num>
  <w:num w:numId="17" w16cid:durableId="860774865">
    <w:abstractNumId w:val="14"/>
  </w:num>
  <w:num w:numId="18" w16cid:durableId="313221457">
    <w:abstractNumId w:val="15"/>
    <w:lvlOverride w:ilvl="0">
      <w:startOverride w:val="1"/>
    </w:lvlOverride>
  </w:num>
  <w:num w:numId="19" w16cid:durableId="534971577">
    <w:abstractNumId w:val="20"/>
  </w:num>
  <w:num w:numId="20" w16cid:durableId="1150947773">
    <w:abstractNumId w:val="18"/>
  </w:num>
  <w:num w:numId="21" w16cid:durableId="124660497">
    <w:abstractNumId w:val="17"/>
  </w:num>
  <w:num w:numId="22" w16cid:durableId="2099861471">
    <w:abstractNumId w:val="16"/>
  </w:num>
  <w:num w:numId="23" w16cid:durableId="847674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4157877">
    <w:abstractNumId w:val="12"/>
  </w:num>
  <w:num w:numId="25" w16cid:durableId="772212066">
    <w:abstractNumId w:val="12"/>
  </w:num>
  <w:num w:numId="26" w16cid:durableId="197157983">
    <w:abstractNumId w:val="12"/>
  </w:num>
  <w:num w:numId="27" w16cid:durableId="1177888540">
    <w:abstractNumId w:val="12"/>
  </w:num>
  <w:num w:numId="28" w16cid:durableId="1508518661">
    <w:abstractNumId w:val="12"/>
  </w:num>
  <w:num w:numId="29" w16cid:durableId="1795173548">
    <w:abstractNumId w:val="25"/>
  </w:num>
  <w:num w:numId="30" w16cid:durableId="793594848">
    <w:abstractNumId w:val="19"/>
  </w:num>
  <w:num w:numId="31" w16cid:durableId="262148274">
    <w:abstractNumId w:val="11"/>
  </w:num>
  <w:num w:numId="32" w16cid:durableId="52237602">
    <w:abstractNumId w:val="10"/>
  </w:num>
  <w:num w:numId="33" w16cid:durableId="1025403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9"/>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57375"/>
    <w:rsid w:val="00062A9A"/>
    <w:rsid w:val="00065058"/>
    <w:rsid w:val="00080765"/>
    <w:rsid w:val="00086C39"/>
    <w:rsid w:val="000A03B2"/>
    <w:rsid w:val="000A596D"/>
    <w:rsid w:val="000C69FE"/>
    <w:rsid w:val="000D0268"/>
    <w:rsid w:val="000D34BE"/>
    <w:rsid w:val="000D4E9E"/>
    <w:rsid w:val="000E102F"/>
    <w:rsid w:val="000E36F1"/>
    <w:rsid w:val="000E3A73"/>
    <w:rsid w:val="000E414A"/>
    <w:rsid w:val="000E75FD"/>
    <w:rsid w:val="000E77DB"/>
    <w:rsid w:val="000F093C"/>
    <w:rsid w:val="000F787B"/>
    <w:rsid w:val="0012091F"/>
    <w:rsid w:val="00120984"/>
    <w:rsid w:val="00124AAD"/>
    <w:rsid w:val="00126BC2"/>
    <w:rsid w:val="001308B6"/>
    <w:rsid w:val="0013121F"/>
    <w:rsid w:val="00131FE6"/>
    <w:rsid w:val="0013263F"/>
    <w:rsid w:val="001331DF"/>
    <w:rsid w:val="00134DE4"/>
    <w:rsid w:val="0014034D"/>
    <w:rsid w:val="00140FE3"/>
    <w:rsid w:val="00144D16"/>
    <w:rsid w:val="001473DD"/>
    <w:rsid w:val="00150E59"/>
    <w:rsid w:val="00152DE3"/>
    <w:rsid w:val="00153178"/>
    <w:rsid w:val="0016128E"/>
    <w:rsid w:val="00164CF9"/>
    <w:rsid w:val="001667A6"/>
    <w:rsid w:val="00172EC1"/>
    <w:rsid w:val="00174C2E"/>
    <w:rsid w:val="00184AD6"/>
    <w:rsid w:val="001A4AF7"/>
    <w:rsid w:val="001A4FDB"/>
    <w:rsid w:val="001B0349"/>
    <w:rsid w:val="001B1E93"/>
    <w:rsid w:val="001B65C1"/>
    <w:rsid w:val="001C260F"/>
    <w:rsid w:val="001C33F1"/>
    <w:rsid w:val="001C684B"/>
    <w:rsid w:val="001D0CFB"/>
    <w:rsid w:val="001D21AF"/>
    <w:rsid w:val="001D53FC"/>
    <w:rsid w:val="001E747D"/>
    <w:rsid w:val="001E77C5"/>
    <w:rsid w:val="001F42A5"/>
    <w:rsid w:val="001F52FB"/>
    <w:rsid w:val="001F7B9D"/>
    <w:rsid w:val="00201C93"/>
    <w:rsid w:val="002224B4"/>
    <w:rsid w:val="002447EF"/>
    <w:rsid w:val="00251550"/>
    <w:rsid w:val="00260FE9"/>
    <w:rsid w:val="00263B05"/>
    <w:rsid w:val="0027221A"/>
    <w:rsid w:val="00275B61"/>
    <w:rsid w:val="00280FAF"/>
    <w:rsid w:val="00282656"/>
    <w:rsid w:val="00290D50"/>
    <w:rsid w:val="00296B83"/>
    <w:rsid w:val="002A2D86"/>
    <w:rsid w:val="002B19DF"/>
    <w:rsid w:val="002B4015"/>
    <w:rsid w:val="002B5712"/>
    <w:rsid w:val="002B6B75"/>
    <w:rsid w:val="002B78CE"/>
    <w:rsid w:val="002C2FB6"/>
    <w:rsid w:val="002E5FA7"/>
    <w:rsid w:val="002F3309"/>
    <w:rsid w:val="002F3E8F"/>
    <w:rsid w:val="003008CE"/>
    <w:rsid w:val="003009B7"/>
    <w:rsid w:val="00300E56"/>
    <w:rsid w:val="0030152C"/>
    <w:rsid w:val="0030469C"/>
    <w:rsid w:val="00321CA6"/>
    <w:rsid w:val="00323763"/>
    <w:rsid w:val="00323C5F"/>
    <w:rsid w:val="003326D0"/>
    <w:rsid w:val="00334C09"/>
    <w:rsid w:val="00347FAE"/>
    <w:rsid w:val="00371FF9"/>
    <w:rsid w:val="003723D4"/>
    <w:rsid w:val="00376110"/>
    <w:rsid w:val="00381905"/>
    <w:rsid w:val="00381A8A"/>
    <w:rsid w:val="00384CC8"/>
    <w:rsid w:val="003871FD"/>
    <w:rsid w:val="00394AE2"/>
    <w:rsid w:val="003A1E30"/>
    <w:rsid w:val="003A2829"/>
    <w:rsid w:val="003A7D1C"/>
    <w:rsid w:val="003B304B"/>
    <w:rsid w:val="003B3146"/>
    <w:rsid w:val="003C242B"/>
    <w:rsid w:val="003D1E02"/>
    <w:rsid w:val="003D2C5A"/>
    <w:rsid w:val="003E79AD"/>
    <w:rsid w:val="003E79BF"/>
    <w:rsid w:val="003F015E"/>
    <w:rsid w:val="00400414"/>
    <w:rsid w:val="0041446B"/>
    <w:rsid w:val="0044071E"/>
    <w:rsid w:val="0044329C"/>
    <w:rsid w:val="00453E24"/>
    <w:rsid w:val="00457456"/>
    <w:rsid w:val="004577FE"/>
    <w:rsid w:val="00457B9C"/>
    <w:rsid w:val="0046164A"/>
    <w:rsid w:val="004628D2"/>
    <w:rsid w:val="00462DCD"/>
    <w:rsid w:val="004648AD"/>
    <w:rsid w:val="004703A9"/>
    <w:rsid w:val="004760DE"/>
    <w:rsid w:val="004763D7"/>
    <w:rsid w:val="00492AEE"/>
    <w:rsid w:val="004A004E"/>
    <w:rsid w:val="004A24CF"/>
    <w:rsid w:val="004A5E57"/>
    <w:rsid w:val="004C194F"/>
    <w:rsid w:val="004C3D1D"/>
    <w:rsid w:val="004C3D84"/>
    <w:rsid w:val="004C7913"/>
    <w:rsid w:val="004E0C17"/>
    <w:rsid w:val="004E4DD6"/>
    <w:rsid w:val="004F5E36"/>
    <w:rsid w:val="00507B47"/>
    <w:rsid w:val="00507BEF"/>
    <w:rsid w:val="00507CC9"/>
    <w:rsid w:val="005119A5"/>
    <w:rsid w:val="005139E3"/>
    <w:rsid w:val="005278B7"/>
    <w:rsid w:val="00532016"/>
    <w:rsid w:val="005346C8"/>
    <w:rsid w:val="00543E7D"/>
    <w:rsid w:val="00547A68"/>
    <w:rsid w:val="005516E3"/>
    <w:rsid w:val="00552255"/>
    <w:rsid w:val="005531C9"/>
    <w:rsid w:val="00570C43"/>
    <w:rsid w:val="0057310D"/>
    <w:rsid w:val="00575B40"/>
    <w:rsid w:val="00592147"/>
    <w:rsid w:val="00592274"/>
    <w:rsid w:val="00593FA3"/>
    <w:rsid w:val="005A36C4"/>
    <w:rsid w:val="005B2110"/>
    <w:rsid w:val="005B2CBE"/>
    <w:rsid w:val="005B61E6"/>
    <w:rsid w:val="005B6C2E"/>
    <w:rsid w:val="005C77E1"/>
    <w:rsid w:val="005D668A"/>
    <w:rsid w:val="005D6A2F"/>
    <w:rsid w:val="005E0592"/>
    <w:rsid w:val="005E1A82"/>
    <w:rsid w:val="005E794C"/>
    <w:rsid w:val="005F0A28"/>
    <w:rsid w:val="005F0E5E"/>
    <w:rsid w:val="005F51A8"/>
    <w:rsid w:val="005F57EF"/>
    <w:rsid w:val="00600535"/>
    <w:rsid w:val="00610CD6"/>
    <w:rsid w:val="00620DEE"/>
    <w:rsid w:val="00621F92"/>
    <w:rsid w:val="0062280A"/>
    <w:rsid w:val="006231E1"/>
    <w:rsid w:val="00625639"/>
    <w:rsid w:val="00631B33"/>
    <w:rsid w:val="0064184D"/>
    <w:rsid w:val="006422CC"/>
    <w:rsid w:val="00651D18"/>
    <w:rsid w:val="00660E3E"/>
    <w:rsid w:val="00662DCF"/>
    <w:rsid w:val="00662E74"/>
    <w:rsid w:val="006801E9"/>
    <w:rsid w:val="00680C23"/>
    <w:rsid w:val="00683E23"/>
    <w:rsid w:val="00693766"/>
    <w:rsid w:val="00697FD7"/>
    <w:rsid w:val="006A3281"/>
    <w:rsid w:val="006A56A0"/>
    <w:rsid w:val="006B4888"/>
    <w:rsid w:val="006C0CDD"/>
    <w:rsid w:val="006C2E45"/>
    <w:rsid w:val="006C359C"/>
    <w:rsid w:val="006C5579"/>
    <w:rsid w:val="006D6E8B"/>
    <w:rsid w:val="006D7209"/>
    <w:rsid w:val="006E2B7D"/>
    <w:rsid w:val="006E737D"/>
    <w:rsid w:val="006F457C"/>
    <w:rsid w:val="007007EB"/>
    <w:rsid w:val="00707DD1"/>
    <w:rsid w:val="00712807"/>
    <w:rsid w:val="00713973"/>
    <w:rsid w:val="007167FC"/>
    <w:rsid w:val="00720A24"/>
    <w:rsid w:val="0072326D"/>
    <w:rsid w:val="00730B0E"/>
    <w:rsid w:val="00732386"/>
    <w:rsid w:val="0073514D"/>
    <w:rsid w:val="007422D6"/>
    <w:rsid w:val="007447F3"/>
    <w:rsid w:val="007505CE"/>
    <w:rsid w:val="00750E46"/>
    <w:rsid w:val="0075499F"/>
    <w:rsid w:val="007551F8"/>
    <w:rsid w:val="007617CC"/>
    <w:rsid w:val="007661C8"/>
    <w:rsid w:val="0077098D"/>
    <w:rsid w:val="007716A2"/>
    <w:rsid w:val="0077518A"/>
    <w:rsid w:val="00776E14"/>
    <w:rsid w:val="00785BF9"/>
    <w:rsid w:val="007931FA"/>
    <w:rsid w:val="007957DD"/>
    <w:rsid w:val="007A4861"/>
    <w:rsid w:val="007A7BBA"/>
    <w:rsid w:val="007B0C50"/>
    <w:rsid w:val="007B48F9"/>
    <w:rsid w:val="007C1A43"/>
    <w:rsid w:val="007C1D01"/>
    <w:rsid w:val="007D0951"/>
    <w:rsid w:val="007D3276"/>
    <w:rsid w:val="007E7C07"/>
    <w:rsid w:val="007F27C8"/>
    <w:rsid w:val="0080013E"/>
    <w:rsid w:val="00803ECA"/>
    <w:rsid w:val="00806604"/>
    <w:rsid w:val="008111F6"/>
    <w:rsid w:val="00813288"/>
    <w:rsid w:val="008168FC"/>
    <w:rsid w:val="00830996"/>
    <w:rsid w:val="008314D7"/>
    <w:rsid w:val="008345F1"/>
    <w:rsid w:val="00856B67"/>
    <w:rsid w:val="00865B07"/>
    <w:rsid w:val="008667EA"/>
    <w:rsid w:val="008714BE"/>
    <w:rsid w:val="008725E8"/>
    <w:rsid w:val="00872B72"/>
    <w:rsid w:val="0087637F"/>
    <w:rsid w:val="00892AD5"/>
    <w:rsid w:val="008A1512"/>
    <w:rsid w:val="008B1522"/>
    <w:rsid w:val="008B3383"/>
    <w:rsid w:val="008D16F8"/>
    <w:rsid w:val="008D32B9"/>
    <w:rsid w:val="008D433B"/>
    <w:rsid w:val="008D4A16"/>
    <w:rsid w:val="008E209A"/>
    <w:rsid w:val="008E34A5"/>
    <w:rsid w:val="008E45BC"/>
    <w:rsid w:val="008E566E"/>
    <w:rsid w:val="0090161A"/>
    <w:rsid w:val="00901EB6"/>
    <w:rsid w:val="009041F8"/>
    <w:rsid w:val="00904C62"/>
    <w:rsid w:val="00911BCC"/>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7C86"/>
    <w:rsid w:val="009D2FF7"/>
    <w:rsid w:val="009D51ED"/>
    <w:rsid w:val="009E73EB"/>
    <w:rsid w:val="009E7884"/>
    <w:rsid w:val="009E788A"/>
    <w:rsid w:val="009F0E08"/>
    <w:rsid w:val="00A02CE7"/>
    <w:rsid w:val="00A049EF"/>
    <w:rsid w:val="00A079AE"/>
    <w:rsid w:val="00A1763D"/>
    <w:rsid w:val="00A17C63"/>
    <w:rsid w:val="00A17CEC"/>
    <w:rsid w:val="00A26072"/>
    <w:rsid w:val="00A26CBB"/>
    <w:rsid w:val="00A27EF0"/>
    <w:rsid w:val="00A42361"/>
    <w:rsid w:val="00A50B20"/>
    <w:rsid w:val="00A51390"/>
    <w:rsid w:val="00A60D13"/>
    <w:rsid w:val="00A7223D"/>
    <w:rsid w:val="00A72745"/>
    <w:rsid w:val="00A756BD"/>
    <w:rsid w:val="00A76EFC"/>
    <w:rsid w:val="00A87D50"/>
    <w:rsid w:val="00A91010"/>
    <w:rsid w:val="00A97121"/>
    <w:rsid w:val="00A97F29"/>
    <w:rsid w:val="00AA02F8"/>
    <w:rsid w:val="00AA702E"/>
    <w:rsid w:val="00AA7D26"/>
    <w:rsid w:val="00AB0964"/>
    <w:rsid w:val="00AB5011"/>
    <w:rsid w:val="00AB7147"/>
    <w:rsid w:val="00AC3ED1"/>
    <w:rsid w:val="00AC6B1A"/>
    <w:rsid w:val="00AC7368"/>
    <w:rsid w:val="00AD0278"/>
    <w:rsid w:val="00AD0C4E"/>
    <w:rsid w:val="00AD16B9"/>
    <w:rsid w:val="00AE377D"/>
    <w:rsid w:val="00AE5A66"/>
    <w:rsid w:val="00AF0EBA"/>
    <w:rsid w:val="00B02C8A"/>
    <w:rsid w:val="00B11317"/>
    <w:rsid w:val="00B15BFE"/>
    <w:rsid w:val="00B17FBD"/>
    <w:rsid w:val="00B2249B"/>
    <w:rsid w:val="00B315A6"/>
    <w:rsid w:val="00B31813"/>
    <w:rsid w:val="00B33365"/>
    <w:rsid w:val="00B57B36"/>
    <w:rsid w:val="00B57E6F"/>
    <w:rsid w:val="00B8686D"/>
    <w:rsid w:val="00B93F69"/>
    <w:rsid w:val="00BB1DDC"/>
    <w:rsid w:val="00BC08ED"/>
    <w:rsid w:val="00BC26E1"/>
    <w:rsid w:val="00BC30C9"/>
    <w:rsid w:val="00BD077D"/>
    <w:rsid w:val="00BE3E58"/>
    <w:rsid w:val="00C01616"/>
    <w:rsid w:val="00C0162B"/>
    <w:rsid w:val="00C068ED"/>
    <w:rsid w:val="00C208E9"/>
    <w:rsid w:val="00C22E0C"/>
    <w:rsid w:val="00C345B1"/>
    <w:rsid w:val="00C40142"/>
    <w:rsid w:val="00C52C3C"/>
    <w:rsid w:val="00C57182"/>
    <w:rsid w:val="00C57863"/>
    <w:rsid w:val="00C640AF"/>
    <w:rsid w:val="00C655FD"/>
    <w:rsid w:val="00C74026"/>
    <w:rsid w:val="00C75407"/>
    <w:rsid w:val="00C80F25"/>
    <w:rsid w:val="00C841C6"/>
    <w:rsid w:val="00C870A8"/>
    <w:rsid w:val="00C94434"/>
    <w:rsid w:val="00CA0D75"/>
    <w:rsid w:val="00CA1C95"/>
    <w:rsid w:val="00CA5A9C"/>
    <w:rsid w:val="00CC4C20"/>
    <w:rsid w:val="00CD3517"/>
    <w:rsid w:val="00CD5FE2"/>
    <w:rsid w:val="00CD6C9D"/>
    <w:rsid w:val="00CE7C68"/>
    <w:rsid w:val="00D02810"/>
    <w:rsid w:val="00D02B4C"/>
    <w:rsid w:val="00D040C4"/>
    <w:rsid w:val="00D1130F"/>
    <w:rsid w:val="00D200CC"/>
    <w:rsid w:val="00D20AD1"/>
    <w:rsid w:val="00D2582C"/>
    <w:rsid w:val="00D26D6E"/>
    <w:rsid w:val="00D410E8"/>
    <w:rsid w:val="00D45416"/>
    <w:rsid w:val="00D46B7E"/>
    <w:rsid w:val="00D57C84"/>
    <w:rsid w:val="00D6057D"/>
    <w:rsid w:val="00D61EE1"/>
    <w:rsid w:val="00D62D36"/>
    <w:rsid w:val="00D62F46"/>
    <w:rsid w:val="00D71640"/>
    <w:rsid w:val="00D74993"/>
    <w:rsid w:val="00D836C5"/>
    <w:rsid w:val="00D84576"/>
    <w:rsid w:val="00D920ED"/>
    <w:rsid w:val="00D942C8"/>
    <w:rsid w:val="00DA1399"/>
    <w:rsid w:val="00DA24C6"/>
    <w:rsid w:val="00DA4D7B"/>
    <w:rsid w:val="00DA7C27"/>
    <w:rsid w:val="00DB794D"/>
    <w:rsid w:val="00DD271C"/>
    <w:rsid w:val="00DD604C"/>
    <w:rsid w:val="00DE264A"/>
    <w:rsid w:val="00DF36A4"/>
    <w:rsid w:val="00DF5072"/>
    <w:rsid w:val="00DF6EBB"/>
    <w:rsid w:val="00DF71AD"/>
    <w:rsid w:val="00E02D18"/>
    <w:rsid w:val="00E041E7"/>
    <w:rsid w:val="00E23CA1"/>
    <w:rsid w:val="00E409A8"/>
    <w:rsid w:val="00E47D61"/>
    <w:rsid w:val="00E50C12"/>
    <w:rsid w:val="00E65B91"/>
    <w:rsid w:val="00E7209D"/>
    <w:rsid w:val="00E72EAD"/>
    <w:rsid w:val="00E77223"/>
    <w:rsid w:val="00E8528B"/>
    <w:rsid w:val="00E85B94"/>
    <w:rsid w:val="00E96AA3"/>
    <w:rsid w:val="00E978D0"/>
    <w:rsid w:val="00EA4613"/>
    <w:rsid w:val="00EA7F91"/>
    <w:rsid w:val="00EB1523"/>
    <w:rsid w:val="00EC0E49"/>
    <w:rsid w:val="00EC101F"/>
    <w:rsid w:val="00EC1D9F"/>
    <w:rsid w:val="00EE0131"/>
    <w:rsid w:val="00EE17B0"/>
    <w:rsid w:val="00EF06D9"/>
    <w:rsid w:val="00EF0982"/>
    <w:rsid w:val="00EF5092"/>
    <w:rsid w:val="00F0730F"/>
    <w:rsid w:val="00F3049E"/>
    <w:rsid w:val="00F30C64"/>
    <w:rsid w:val="00F32BA2"/>
    <w:rsid w:val="00F32CDB"/>
    <w:rsid w:val="00F3348F"/>
    <w:rsid w:val="00F37280"/>
    <w:rsid w:val="00F41EE4"/>
    <w:rsid w:val="00F42BBE"/>
    <w:rsid w:val="00F565FE"/>
    <w:rsid w:val="00F63A70"/>
    <w:rsid w:val="00F63D8C"/>
    <w:rsid w:val="00F7534E"/>
    <w:rsid w:val="00F93EDF"/>
    <w:rsid w:val="00FA1802"/>
    <w:rsid w:val="00FA21D0"/>
    <w:rsid w:val="00FA5F5F"/>
    <w:rsid w:val="00FB730C"/>
    <w:rsid w:val="00FC2695"/>
    <w:rsid w:val="00FC388E"/>
    <w:rsid w:val="00FC3E03"/>
    <w:rsid w:val="00FC3FC1"/>
    <w:rsid w:val="00FE13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007EB"/>
    <w:pPr>
      <w:keepNext/>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007EB"/>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1E77C5"/>
    <w:rPr>
      <w:color w:val="605E5C"/>
      <w:shd w:val="clear" w:color="auto" w:fill="E1DFDD"/>
    </w:rPr>
  </w:style>
  <w:style w:type="character" w:styleId="Testosegnaposto">
    <w:name w:val="Placeholder Text"/>
    <w:basedOn w:val="Carpredefinitoparagrafo"/>
    <w:uiPriority w:val="99"/>
    <w:semiHidden/>
    <w:rsid w:val="00CD6C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bc.com/news/business-68138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3643</Words>
  <Characters>20771</Characters>
  <Application>Microsoft Office Word</Application>
  <DocSecurity>0</DocSecurity>
  <Lines>173</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Moresi Mauro</cp:lastModifiedBy>
  <cp:revision>14</cp:revision>
  <cp:lastPrinted>2026-02-10T12:44:00Z</cp:lastPrinted>
  <dcterms:created xsi:type="dcterms:W3CDTF">2026-02-09T14:31:00Z</dcterms:created>
  <dcterms:modified xsi:type="dcterms:W3CDTF">2026-02-10T13:49:00Z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