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63288"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963288" w:rsidRDefault="000A03B2" w:rsidP="00DE264A">
            <w:pPr>
              <w:tabs>
                <w:tab w:val="left" w:pos="-108"/>
              </w:tabs>
              <w:ind w:left="-108"/>
              <w:jc w:val="left"/>
              <w:rPr>
                <w:rFonts w:cs="Arial"/>
                <w:b/>
                <w:bCs/>
                <w:i/>
                <w:iCs/>
                <w:color w:val="000066"/>
                <w:sz w:val="12"/>
                <w:szCs w:val="12"/>
                <w:lang w:val="en-US" w:eastAsia="it-IT"/>
              </w:rPr>
            </w:pPr>
            <w:bookmarkStart w:id="0" w:name="_Hlk145068772"/>
            <w:r w:rsidRPr="00963288">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63288">
              <w:rPr>
                <w:rFonts w:ascii="AdvP6960" w:hAnsi="AdvP6960" w:cs="AdvP6960"/>
                <w:color w:val="241F20"/>
                <w:szCs w:val="18"/>
                <w:lang w:val="en-US" w:eastAsia="it-IT"/>
              </w:rPr>
              <w:t xml:space="preserve"> </w:t>
            </w:r>
            <w:r w:rsidRPr="00963288">
              <w:rPr>
                <w:rFonts w:cs="Arial"/>
                <w:b/>
                <w:bCs/>
                <w:i/>
                <w:iCs/>
                <w:color w:val="000066"/>
                <w:sz w:val="24"/>
                <w:szCs w:val="24"/>
                <w:lang w:val="en-US" w:eastAsia="it-IT"/>
              </w:rPr>
              <w:t>CHEMICAL ENGINEERING</w:t>
            </w:r>
            <w:r w:rsidRPr="00963288">
              <w:rPr>
                <w:rFonts w:cs="Arial"/>
                <w:b/>
                <w:bCs/>
                <w:i/>
                <w:iCs/>
                <w:color w:val="0033FF"/>
                <w:sz w:val="24"/>
                <w:szCs w:val="24"/>
                <w:lang w:val="en-US" w:eastAsia="it-IT"/>
              </w:rPr>
              <w:t xml:space="preserve"> </w:t>
            </w:r>
            <w:r w:rsidRPr="00963288">
              <w:rPr>
                <w:rFonts w:cs="Arial"/>
                <w:b/>
                <w:bCs/>
                <w:i/>
                <w:iCs/>
                <w:color w:val="666666"/>
                <w:sz w:val="24"/>
                <w:szCs w:val="24"/>
                <w:lang w:val="en-US" w:eastAsia="it-IT"/>
              </w:rPr>
              <w:t>TRANSACTIONS</w:t>
            </w:r>
            <w:r w:rsidRPr="00963288">
              <w:rPr>
                <w:color w:val="333333"/>
                <w:sz w:val="24"/>
                <w:szCs w:val="24"/>
                <w:lang w:val="en-US" w:eastAsia="it-IT"/>
              </w:rPr>
              <w:t xml:space="preserve"> </w:t>
            </w:r>
            <w:r w:rsidRPr="00963288">
              <w:rPr>
                <w:rFonts w:cs="Arial"/>
                <w:b/>
                <w:bCs/>
                <w:i/>
                <w:iCs/>
                <w:color w:val="000066"/>
                <w:sz w:val="27"/>
                <w:szCs w:val="27"/>
                <w:lang w:val="en-US" w:eastAsia="it-IT"/>
              </w:rPr>
              <w:br/>
            </w:r>
          </w:p>
          <w:p w14:paraId="4B780582" w14:textId="753620B8" w:rsidR="000A03B2" w:rsidRPr="00963288" w:rsidRDefault="00A76EFC" w:rsidP="001D21AF">
            <w:pPr>
              <w:tabs>
                <w:tab w:val="left" w:pos="-108"/>
              </w:tabs>
              <w:ind w:left="-108"/>
              <w:rPr>
                <w:rFonts w:cs="Arial"/>
                <w:b/>
                <w:bCs/>
                <w:i/>
                <w:iCs/>
                <w:color w:val="000066"/>
                <w:sz w:val="22"/>
                <w:szCs w:val="22"/>
                <w:lang w:val="en-US" w:eastAsia="it-IT"/>
              </w:rPr>
            </w:pPr>
            <w:r w:rsidRPr="00963288">
              <w:rPr>
                <w:rFonts w:cs="Arial"/>
                <w:b/>
                <w:bCs/>
                <w:i/>
                <w:iCs/>
                <w:color w:val="000066"/>
                <w:sz w:val="22"/>
                <w:szCs w:val="22"/>
                <w:lang w:val="en-US" w:eastAsia="it-IT"/>
              </w:rPr>
              <w:t>VOL.</w:t>
            </w:r>
            <w:r w:rsidR="00785BF9" w:rsidRPr="00963288">
              <w:rPr>
                <w:rFonts w:cs="Arial"/>
                <w:b/>
                <w:bCs/>
                <w:i/>
                <w:iCs/>
                <w:color w:val="000066"/>
                <w:sz w:val="22"/>
                <w:szCs w:val="22"/>
                <w:lang w:val="en-US" w:eastAsia="it-IT"/>
              </w:rPr>
              <w:t xml:space="preserve"> </w:t>
            </w:r>
            <w:r w:rsidR="00AD0278" w:rsidRPr="00963288">
              <w:rPr>
                <w:rFonts w:cs="Arial"/>
                <w:b/>
                <w:bCs/>
                <w:i/>
                <w:iCs/>
                <w:color w:val="000066"/>
                <w:sz w:val="22"/>
                <w:szCs w:val="22"/>
                <w:lang w:val="en-US" w:eastAsia="it-IT"/>
              </w:rPr>
              <w:t>xxx</w:t>
            </w:r>
            <w:r w:rsidR="007B48F9" w:rsidRPr="00963288">
              <w:rPr>
                <w:rFonts w:cs="Arial"/>
                <w:b/>
                <w:bCs/>
                <w:i/>
                <w:iCs/>
                <w:color w:val="000066"/>
                <w:sz w:val="22"/>
                <w:szCs w:val="22"/>
                <w:lang w:val="en-US" w:eastAsia="it-IT"/>
              </w:rPr>
              <w:t>,</w:t>
            </w:r>
            <w:r w:rsidR="00FA5F5F" w:rsidRPr="00963288">
              <w:rPr>
                <w:rFonts w:cs="Arial"/>
                <w:b/>
                <w:bCs/>
                <w:i/>
                <w:iCs/>
                <w:color w:val="000066"/>
                <w:sz w:val="22"/>
                <w:szCs w:val="22"/>
                <w:lang w:val="en-US" w:eastAsia="it-IT"/>
              </w:rPr>
              <w:t xml:space="preserve"> </w:t>
            </w:r>
            <w:r w:rsidR="0030152C" w:rsidRPr="00963288">
              <w:rPr>
                <w:rFonts w:cs="Arial"/>
                <w:b/>
                <w:bCs/>
                <w:i/>
                <w:iCs/>
                <w:color w:val="000066"/>
                <w:sz w:val="22"/>
                <w:szCs w:val="22"/>
                <w:lang w:val="en-US" w:eastAsia="it-IT"/>
              </w:rPr>
              <w:t>202</w:t>
            </w:r>
            <w:r w:rsidR="00AD0278" w:rsidRPr="00963288">
              <w:rPr>
                <w:rFonts w:cs="Arial"/>
                <w:b/>
                <w:bCs/>
                <w:i/>
                <w:iCs/>
                <w:color w:val="000066"/>
                <w:sz w:val="22"/>
                <w:szCs w:val="22"/>
                <w:lang w:val="en-US" w:eastAsia="it-IT"/>
              </w:rPr>
              <w:t>6</w:t>
            </w:r>
          </w:p>
        </w:tc>
        <w:tc>
          <w:tcPr>
            <w:tcW w:w="1843" w:type="dxa"/>
            <w:tcBorders>
              <w:left w:val="single" w:sz="4" w:space="0" w:color="auto"/>
              <w:bottom w:val="nil"/>
              <w:right w:val="single" w:sz="4" w:space="0" w:color="auto"/>
            </w:tcBorders>
          </w:tcPr>
          <w:p w14:paraId="56782132" w14:textId="77777777" w:rsidR="000A03B2" w:rsidRPr="00963288" w:rsidRDefault="000A03B2" w:rsidP="00CD5FE2">
            <w:pPr>
              <w:spacing w:line="140" w:lineRule="atLeast"/>
              <w:jc w:val="right"/>
              <w:rPr>
                <w:rFonts w:cs="Arial"/>
                <w:sz w:val="14"/>
                <w:szCs w:val="14"/>
                <w:lang w:val="en-US"/>
              </w:rPr>
            </w:pPr>
            <w:r w:rsidRPr="00963288">
              <w:rPr>
                <w:rFonts w:cs="Arial"/>
                <w:sz w:val="14"/>
                <w:szCs w:val="14"/>
                <w:lang w:val="en-US"/>
              </w:rPr>
              <w:t>A publication of</w:t>
            </w:r>
          </w:p>
          <w:p w14:paraId="599E5441" w14:textId="77777777" w:rsidR="000A03B2" w:rsidRPr="00963288" w:rsidRDefault="000A03B2" w:rsidP="00CD5FE2">
            <w:pPr>
              <w:jc w:val="right"/>
              <w:rPr>
                <w:lang w:val="en-US"/>
              </w:rPr>
            </w:pPr>
            <w:r w:rsidRPr="00963288">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63288" w14:paraId="380FA3CD" w14:textId="77777777" w:rsidTr="00DE264A">
        <w:trPr>
          <w:trHeight w:val="567"/>
          <w:jc w:val="center"/>
        </w:trPr>
        <w:tc>
          <w:tcPr>
            <w:tcW w:w="6946" w:type="dxa"/>
            <w:vMerge/>
            <w:tcBorders>
              <w:right w:val="single" w:sz="4" w:space="0" w:color="auto"/>
            </w:tcBorders>
          </w:tcPr>
          <w:p w14:paraId="39E5E4C1" w14:textId="77777777" w:rsidR="000A03B2" w:rsidRPr="00963288"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963288" w:rsidRDefault="000A03B2" w:rsidP="00CD5FE2">
            <w:pPr>
              <w:spacing w:line="140" w:lineRule="atLeast"/>
              <w:jc w:val="right"/>
              <w:rPr>
                <w:rFonts w:cs="Arial"/>
                <w:sz w:val="14"/>
                <w:szCs w:val="14"/>
                <w:lang w:val="en-US"/>
              </w:rPr>
            </w:pPr>
            <w:r w:rsidRPr="00963288">
              <w:rPr>
                <w:rFonts w:cs="Arial"/>
                <w:sz w:val="14"/>
                <w:szCs w:val="14"/>
                <w:lang w:val="en-US"/>
              </w:rPr>
              <w:t>The Italian Association</w:t>
            </w:r>
          </w:p>
          <w:p w14:paraId="7522B1D2" w14:textId="77777777" w:rsidR="000A03B2" w:rsidRPr="00963288" w:rsidRDefault="000A03B2" w:rsidP="00CD5FE2">
            <w:pPr>
              <w:spacing w:line="140" w:lineRule="atLeast"/>
              <w:jc w:val="right"/>
              <w:rPr>
                <w:rFonts w:cs="Arial"/>
                <w:sz w:val="14"/>
                <w:szCs w:val="14"/>
                <w:lang w:val="en-US"/>
              </w:rPr>
            </w:pPr>
            <w:r w:rsidRPr="00963288">
              <w:rPr>
                <w:rFonts w:cs="Arial"/>
                <w:sz w:val="14"/>
                <w:szCs w:val="14"/>
                <w:lang w:val="en-US"/>
              </w:rPr>
              <w:t>of Chemical Engineering</w:t>
            </w:r>
          </w:p>
          <w:p w14:paraId="4F0CC5DE" w14:textId="47FDB2FC" w:rsidR="000A03B2" w:rsidRPr="00963288" w:rsidRDefault="000D0268" w:rsidP="00CD5FE2">
            <w:pPr>
              <w:spacing w:line="140" w:lineRule="atLeast"/>
              <w:jc w:val="right"/>
              <w:rPr>
                <w:rFonts w:cs="Arial"/>
                <w:sz w:val="13"/>
                <w:szCs w:val="13"/>
                <w:lang w:val="en-US"/>
              </w:rPr>
            </w:pPr>
            <w:r w:rsidRPr="00963288">
              <w:rPr>
                <w:rFonts w:cs="Arial"/>
                <w:sz w:val="13"/>
                <w:szCs w:val="13"/>
                <w:lang w:val="en-US"/>
              </w:rPr>
              <w:t>Online at www.cetjournal.it</w:t>
            </w:r>
          </w:p>
        </w:tc>
      </w:tr>
      <w:tr w:rsidR="000A03B2" w:rsidRPr="00963288" w14:paraId="2D1B7169" w14:textId="77777777" w:rsidTr="00DE264A">
        <w:trPr>
          <w:trHeight w:val="68"/>
          <w:jc w:val="center"/>
        </w:trPr>
        <w:tc>
          <w:tcPr>
            <w:tcW w:w="8789" w:type="dxa"/>
            <w:gridSpan w:val="2"/>
          </w:tcPr>
          <w:p w14:paraId="1D8DD3C9" w14:textId="252289FB" w:rsidR="00AA7D26" w:rsidRPr="00B0117A" w:rsidRDefault="004A5E57" w:rsidP="004A5E57">
            <w:pPr>
              <w:ind w:left="-107"/>
              <w:outlineLvl w:val="2"/>
              <w:rPr>
                <w:rFonts w:ascii="Tahoma" w:hAnsi="Tahoma" w:cs="Tahoma"/>
                <w:bCs/>
                <w:color w:val="000000"/>
                <w:sz w:val="14"/>
                <w:szCs w:val="14"/>
                <w:lang w:val="it-IT" w:eastAsia="it-IT"/>
              </w:rPr>
            </w:pPr>
            <w:r w:rsidRPr="00B0117A">
              <w:rPr>
                <w:rFonts w:ascii="Tahoma" w:hAnsi="Tahoma" w:cs="Tahoma"/>
                <w:iCs/>
                <w:color w:val="333333"/>
                <w:sz w:val="14"/>
                <w:szCs w:val="14"/>
                <w:lang w:val="it-IT" w:eastAsia="it-IT"/>
              </w:rPr>
              <w:t>Guest Editors:</w:t>
            </w:r>
            <w:r w:rsidRPr="00B0117A">
              <w:rPr>
                <w:rFonts w:ascii="Tahoma" w:hAnsi="Tahoma" w:cs="Tahoma"/>
                <w:color w:val="000000"/>
                <w:sz w:val="14"/>
                <w:szCs w:val="14"/>
                <w:shd w:val="clear" w:color="auto" w:fill="FFFFFF"/>
                <w:lang w:val="it-IT"/>
              </w:rPr>
              <w:t xml:space="preserve"> </w:t>
            </w:r>
            <w:r w:rsidR="00005884" w:rsidRPr="00B0117A">
              <w:rPr>
                <w:rFonts w:ascii="Tahoma" w:hAnsi="Tahoma" w:cs="Tahoma"/>
                <w:color w:val="000000"/>
                <w:sz w:val="14"/>
                <w:szCs w:val="14"/>
                <w:shd w:val="clear" w:color="auto" w:fill="FFFFFF"/>
                <w:lang w:val="it-IT"/>
              </w:rPr>
              <w:t>Marco Bravi, Antonio Marzocchella, Giuseppe Caputo</w:t>
            </w:r>
          </w:p>
          <w:p w14:paraId="1B0F1814" w14:textId="710B7B96" w:rsidR="000A03B2" w:rsidRPr="00963288" w:rsidRDefault="00AA7D26" w:rsidP="00AA7D26">
            <w:pPr>
              <w:tabs>
                <w:tab w:val="left" w:pos="-108"/>
              </w:tabs>
              <w:spacing w:line="140" w:lineRule="atLeast"/>
              <w:ind w:left="-107"/>
              <w:jc w:val="left"/>
              <w:rPr>
                <w:lang w:val="en-US"/>
              </w:rPr>
            </w:pPr>
            <w:r w:rsidRPr="00963288">
              <w:rPr>
                <w:rFonts w:ascii="Tahoma" w:hAnsi="Tahoma" w:cs="Tahoma"/>
                <w:iCs/>
                <w:color w:val="333333"/>
                <w:sz w:val="14"/>
                <w:szCs w:val="14"/>
                <w:lang w:val="en-US" w:eastAsia="it-IT"/>
              </w:rPr>
              <w:t>Copyright © 202</w:t>
            </w:r>
            <w:r w:rsidR="00005884" w:rsidRPr="00963288">
              <w:rPr>
                <w:rFonts w:ascii="Tahoma" w:hAnsi="Tahoma" w:cs="Tahoma"/>
                <w:iCs/>
                <w:color w:val="333333"/>
                <w:sz w:val="14"/>
                <w:szCs w:val="14"/>
                <w:lang w:val="en-US" w:eastAsia="it-IT"/>
              </w:rPr>
              <w:t>6</w:t>
            </w:r>
            <w:r w:rsidRPr="00963288">
              <w:rPr>
                <w:rFonts w:ascii="Tahoma" w:hAnsi="Tahoma" w:cs="Tahoma"/>
                <w:iCs/>
                <w:color w:val="333333"/>
                <w:sz w:val="14"/>
                <w:szCs w:val="14"/>
                <w:lang w:val="en-US" w:eastAsia="it-IT"/>
              </w:rPr>
              <w:t xml:space="preserve">, AIDIC Servizi </w:t>
            </w:r>
            <w:proofErr w:type="spellStart"/>
            <w:r w:rsidRPr="00963288">
              <w:rPr>
                <w:rFonts w:ascii="Tahoma" w:hAnsi="Tahoma" w:cs="Tahoma"/>
                <w:iCs/>
                <w:color w:val="333333"/>
                <w:sz w:val="14"/>
                <w:szCs w:val="14"/>
                <w:lang w:val="en-US" w:eastAsia="it-IT"/>
              </w:rPr>
              <w:t>S.r.l</w:t>
            </w:r>
            <w:proofErr w:type="spellEnd"/>
            <w:r w:rsidRPr="00963288">
              <w:rPr>
                <w:rFonts w:ascii="Tahoma" w:hAnsi="Tahoma" w:cs="Tahoma"/>
                <w:iCs/>
                <w:color w:val="333333"/>
                <w:sz w:val="14"/>
                <w:szCs w:val="14"/>
                <w:lang w:val="en-US" w:eastAsia="it-IT"/>
              </w:rPr>
              <w:t>.</w:t>
            </w:r>
            <w:r w:rsidRPr="00963288">
              <w:rPr>
                <w:rFonts w:ascii="Tahoma" w:hAnsi="Tahoma" w:cs="Tahoma"/>
                <w:iCs/>
                <w:color w:val="333333"/>
                <w:sz w:val="14"/>
                <w:szCs w:val="14"/>
                <w:lang w:val="en-US" w:eastAsia="it-IT"/>
              </w:rPr>
              <w:br/>
            </w:r>
            <w:r w:rsidRPr="00963288">
              <w:rPr>
                <w:rFonts w:ascii="Tahoma" w:hAnsi="Tahoma" w:cs="Tahoma"/>
                <w:b/>
                <w:iCs/>
                <w:color w:val="000000"/>
                <w:sz w:val="14"/>
                <w:szCs w:val="14"/>
                <w:lang w:val="en-US" w:eastAsia="it-IT"/>
              </w:rPr>
              <w:t>ISBN</w:t>
            </w:r>
            <w:r w:rsidRPr="00963288">
              <w:rPr>
                <w:rFonts w:ascii="Tahoma" w:hAnsi="Tahoma" w:cs="Tahoma"/>
                <w:iCs/>
                <w:color w:val="000000"/>
                <w:sz w:val="14"/>
                <w:szCs w:val="14"/>
                <w:lang w:val="en-US" w:eastAsia="it-IT"/>
              </w:rPr>
              <w:t xml:space="preserve"> </w:t>
            </w:r>
            <w:r w:rsidR="00D2582C" w:rsidRPr="00963288">
              <w:rPr>
                <w:rFonts w:ascii="Tahoma" w:hAnsi="Tahoma" w:cs="Tahoma"/>
                <w:sz w:val="14"/>
                <w:szCs w:val="14"/>
                <w:lang w:val="en-US"/>
              </w:rPr>
              <w:t>979-12-81206-</w:t>
            </w:r>
            <w:r w:rsidR="00005884" w:rsidRPr="00963288">
              <w:rPr>
                <w:rFonts w:ascii="Tahoma" w:hAnsi="Tahoma" w:cs="Tahoma"/>
                <w:sz w:val="14"/>
                <w:szCs w:val="14"/>
                <w:lang w:val="en-US"/>
              </w:rPr>
              <w:t>xx</w:t>
            </w:r>
            <w:r w:rsidR="009041F8" w:rsidRPr="00963288">
              <w:rPr>
                <w:rFonts w:ascii="Tahoma" w:hAnsi="Tahoma" w:cs="Tahoma"/>
                <w:sz w:val="14"/>
                <w:szCs w:val="14"/>
                <w:lang w:val="en-US"/>
              </w:rPr>
              <w:t>-</w:t>
            </w:r>
            <w:r w:rsidR="00005884" w:rsidRPr="00963288">
              <w:rPr>
                <w:rFonts w:ascii="Tahoma" w:hAnsi="Tahoma" w:cs="Tahoma"/>
                <w:sz w:val="14"/>
                <w:szCs w:val="14"/>
                <w:lang w:val="en-US"/>
              </w:rPr>
              <w:t>x</w:t>
            </w:r>
            <w:r w:rsidRPr="00963288">
              <w:rPr>
                <w:rFonts w:ascii="Tahoma" w:hAnsi="Tahoma" w:cs="Tahoma"/>
                <w:iCs/>
                <w:color w:val="333333"/>
                <w:sz w:val="14"/>
                <w:szCs w:val="14"/>
                <w:lang w:val="en-US" w:eastAsia="it-IT"/>
              </w:rPr>
              <w:t xml:space="preserve">; </w:t>
            </w:r>
            <w:r w:rsidRPr="00963288">
              <w:rPr>
                <w:rFonts w:ascii="Tahoma" w:hAnsi="Tahoma" w:cs="Tahoma"/>
                <w:b/>
                <w:iCs/>
                <w:color w:val="333333"/>
                <w:sz w:val="14"/>
                <w:szCs w:val="14"/>
                <w:lang w:val="en-US" w:eastAsia="it-IT"/>
              </w:rPr>
              <w:t>ISSN</w:t>
            </w:r>
            <w:r w:rsidRPr="00963288">
              <w:rPr>
                <w:rFonts w:ascii="Tahoma" w:hAnsi="Tahoma" w:cs="Tahoma"/>
                <w:iCs/>
                <w:color w:val="333333"/>
                <w:sz w:val="14"/>
                <w:szCs w:val="14"/>
                <w:lang w:val="en-US" w:eastAsia="it-IT"/>
              </w:rPr>
              <w:t xml:space="preserve"> 2283-9216</w:t>
            </w:r>
          </w:p>
        </w:tc>
      </w:tr>
    </w:tbl>
    <w:bookmarkEnd w:id="0"/>
    <w:p w14:paraId="2B6C9FE8" w14:textId="30A82011" w:rsidR="0072447E" w:rsidRPr="00963288" w:rsidRDefault="0072447E" w:rsidP="0072447E">
      <w:pPr>
        <w:pStyle w:val="CETTitle"/>
        <w:rPr>
          <w:lang w:val="en-US"/>
        </w:rPr>
      </w:pPr>
      <w:r w:rsidRPr="00963288">
        <w:rPr>
          <w:lang w:val="en-US"/>
        </w:rPr>
        <w:t xml:space="preserve">Extraction And UVB-Induced Conversion Kinetics </w:t>
      </w:r>
      <w:proofErr w:type="gramStart"/>
      <w:r w:rsidRPr="00963288">
        <w:rPr>
          <w:lang w:val="en-US"/>
        </w:rPr>
        <w:t>Of</w:t>
      </w:r>
      <w:proofErr w:type="gramEnd"/>
      <w:r w:rsidRPr="00963288">
        <w:rPr>
          <w:lang w:val="en-US"/>
        </w:rPr>
        <w:t xml:space="preserve"> Ergosterol </w:t>
      </w:r>
      <w:proofErr w:type="gramStart"/>
      <w:r w:rsidRPr="00963288">
        <w:rPr>
          <w:lang w:val="en-US"/>
        </w:rPr>
        <w:t>From</w:t>
      </w:r>
      <w:proofErr w:type="gramEnd"/>
      <w:r w:rsidRPr="00963288">
        <w:rPr>
          <w:lang w:val="en-US"/>
        </w:rPr>
        <w:t xml:space="preserve"> </w:t>
      </w:r>
      <w:r w:rsidRPr="00963288">
        <w:rPr>
          <w:i/>
          <w:iCs/>
          <w:lang w:val="en-US"/>
        </w:rPr>
        <w:t>Agaricus Bisporus</w:t>
      </w:r>
    </w:p>
    <w:p w14:paraId="287A5380" w14:textId="57AE9DF1" w:rsidR="0072447E" w:rsidRPr="00963288" w:rsidRDefault="0072447E" w:rsidP="00B57E6F">
      <w:pPr>
        <w:pStyle w:val="CETAuthors"/>
        <w:rPr>
          <w:noProof w:val="0"/>
          <w:lang w:val="en-US"/>
        </w:rPr>
      </w:pPr>
      <w:r w:rsidRPr="00963288">
        <w:rPr>
          <w:noProof w:val="0"/>
          <w:lang w:val="en-US"/>
        </w:rPr>
        <w:t>Carlos E. Gómez-</w:t>
      </w:r>
      <w:proofErr w:type="spellStart"/>
      <w:r w:rsidRPr="00963288">
        <w:rPr>
          <w:noProof w:val="0"/>
          <w:lang w:val="en-US"/>
        </w:rPr>
        <w:t>Camacho</w:t>
      </w:r>
      <w:r w:rsidRPr="00963288">
        <w:rPr>
          <w:noProof w:val="0"/>
          <w:vertAlign w:val="superscript"/>
          <w:lang w:val="en-US"/>
        </w:rPr>
        <w:t>a</w:t>
      </w:r>
      <w:proofErr w:type="spellEnd"/>
      <w:r w:rsidRPr="00963288">
        <w:rPr>
          <w:noProof w:val="0"/>
          <w:lang w:val="en-US"/>
        </w:rPr>
        <w:t xml:space="preserve">, Francesco </w:t>
      </w:r>
      <w:proofErr w:type="spellStart"/>
      <w:proofErr w:type="gramStart"/>
      <w:r w:rsidRPr="00963288">
        <w:rPr>
          <w:noProof w:val="0"/>
          <w:lang w:val="en-US"/>
        </w:rPr>
        <w:t>Serafini</w:t>
      </w:r>
      <w:r w:rsidRPr="00963288">
        <w:rPr>
          <w:noProof w:val="0"/>
          <w:vertAlign w:val="superscript"/>
          <w:lang w:val="en-US"/>
        </w:rPr>
        <w:t>a,b</w:t>
      </w:r>
      <w:proofErr w:type="gramEnd"/>
      <w:r w:rsidRPr="00963288">
        <w:rPr>
          <w:noProof w:val="0"/>
          <w:vertAlign w:val="superscript"/>
          <w:lang w:val="en-US"/>
        </w:rPr>
        <w:t>,c</w:t>
      </w:r>
      <w:proofErr w:type="spellEnd"/>
      <w:r w:rsidRPr="00963288">
        <w:rPr>
          <w:noProof w:val="0"/>
          <w:lang w:val="en-US"/>
        </w:rPr>
        <w:t>, Roland Hischier</w:t>
      </w:r>
      <w:r w:rsidRPr="00963288">
        <w:rPr>
          <w:noProof w:val="0"/>
          <w:vertAlign w:val="superscript"/>
          <w:lang w:val="en-US"/>
        </w:rPr>
        <w:t>a</w:t>
      </w:r>
      <w:r w:rsidRPr="00963288">
        <w:rPr>
          <w:noProof w:val="0"/>
          <w:lang w:val="en-US"/>
        </w:rPr>
        <w:t>, Bernardo Ruggeri</w:t>
      </w:r>
      <w:r w:rsidRPr="00963288">
        <w:rPr>
          <w:noProof w:val="0"/>
          <w:vertAlign w:val="superscript"/>
          <w:lang w:val="en-US"/>
        </w:rPr>
        <w:t>b</w:t>
      </w:r>
      <w:r w:rsidRPr="00963288">
        <w:rPr>
          <w:noProof w:val="0"/>
          <w:lang w:val="en-US"/>
        </w:rPr>
        <w:t>, Francesca Bosco</w:t>
      </w:r>
      <w:r w:rsidRPr="00963288">
        <w:rPr>
          <w:noProof w:val="0"/>
          <w:vertAlign w:val="superscript"/>
          <w:lang w:val="en-US"/>
        </w:rPr>
        <w:t>b</w:t>
      </w:r>
      <w:r w:rsidRPr="00963288">
        <w:rPr>
          <w:noProof w:val="0"/>
          <w:lang w:val="en-US"/>
        </w:rPr>
        <w:t>, Francis W.M.R. Schwarze</w:t>
      </w:r>
      <w:r w:rsidRPr="00963288">
        <w:rPr>
          <w:noProof w:val="0"/>
          <w:vertAlign w:val="superscript"/>
          <w:lang w:val="en-US"/>
        </w:rPr>
        <w:t>c</w:t>
      </w:r>
      <w:r w:rsidRPr="00963288">
        <w:rPr>
          <w:noProof w:val="0"/>
          <w:lang w:val="en-US"/>
        </w:rPr>
        <w:t xml:space="preserve"> </w:t>
      </w:r>
    </w:p>
    <w:p w14:paraId="77EEFDA5" w14:textId="006507FB" w:rsidR="0072447E" w:rsidRPr="00963288" w:rsidRDefault="0072447E" w:rsidP="0072447E">
      <w:pPr>
        <w:pStyle w:val="CETAddress"/>
        <w:rPr>
          <w:noProof w:val="0"/>
          <w:lang w:val="en-US"/>
        </w:rPr>
      </w:pPr>
      <w:r w:rsidRPr="00963288">
        <w:rPr>
          <w:noProof w:val="0"/>
          <w:vertAlign w:val="superscript"/>
          <w:lang w:val="en-US"/>
        </w:rPr>
        <w:t>a</w:t>
      </w:r>
      <w:r w:rsidRPr="00963288">
        <w:rPr>
          <w:noProof w:val="0"/>
          <w:lang w:val="en-US"/>
        </w:rPr>
        <w:t xml:space="preserve"> Technology and Society Laboratory (TSL), Swiss Federal Laboratories for Materials Science and Technology (Empa), </w:t>
      </w:r>
      <w:proofErr w:type="spellStart"/>
      <w:r w:rsidRPr="00963288">
        <w:rPr>
          <w:noProof w:val="0"/>
          <w:lang w:val="en-US"/>
        </w:rPr>
        <w:t>Lerchenfeldstrasse</w:t>
      </w:r>
      <w:proofErr w:type="spellEnd"/>
      <w:r w:rsidRPr="00963288">
        <w:rPr>
          <w:noProof w:val="0"/>
          <w:lang w:val="en-US"/>
        </w:rPr>
        <w:t xml:space="preserve"> 5, 9014 St. Gallen, Switzerland</w:t>
      </w:r>
    </w:p>
    <w:p w14:paraId="26859AAE" w14:textId="78A52D03" w:rsidR="0072447E" w:rsidRPr="00963288" w:rsidRDefault="0072447E" w:rsidP="0072447E">
      <w:pPr>
        <w:pStyle w:val="CETAddress"/>
        <w:rPr>
          <w:noProof w:val="0"/>
          <w:lang w:val="en-US"/>
        </w:rPr>
      </w:pPr>
      <w:r w:rsidRPr="00963288">
        <w:rPr>
          <w:noProof w:val="0"/>
          <w:vertAlign w:val="superscript"/>
          <w:lang w:val="en-US"/>
        </w:rPr>
        <w:t>b</w:t>
      </w:r>
      <w:r w:rsidRPr="00963288">
        <w:rPr>
          <w:noProof w:val="0"/>
          <w:lang w:val="en-US"/>
        </w:rPr>
        <w:t xml:space="preserve"> Department of Applied Science and Technology (DISAT), </w:t>
      </w:r>
      <w:proofErr w:type="spellStart"/>
      <w:r w:rsidRPr="00963288">
        <w:rPr>
          <w:noProof w:val="0"/>
          <w:lang w:val="en-US"/>
        </w:rPr>
        <w:t>Politecnico</w:t>
      </w:r>
      <w:proofErr w:type="spellEnd"/>
      <w:r w:rsidRPr="00963288">
        <w:rPr>
          <w:noProof w:val="0"/>
          <w:lang w:val="en-US"/>
        </w:rPr>
        <w:t xml:space="preserve"> di Torino, Corso Duca degli Abruzzi 24, 10129 Turin,</w:t>
      </w:r>
      <w:r w:rsidR="00CD1BB7" w:rsidRPr="00963288">
        <w:rPr>
          <w:noProof w:val="0"/>
          <w:lang w:val="en-US"/>
        </w:rPr>
        <w:t xml:space="preserve"> I</w:t>
      </w:r>
      <w:r w:rsidRPr="00963288">
        <w:rPr>
          <w:noProof w:val="0"/>
          <w:lang w:val="en-US"/>
        </w:rPr>
        <w:t>taly</w:t>
      </w:r>
    </w:p>
    <w:p w14:paraId="6B2D21B3" w14:textId="4B6657D0" w:rsidR="00B57E6F" w:rsidRPr="00963288" w:rsidRDefault="0072447E" w:rsidP="0072447E">
      <w:pPr>
        <w:pStyle w:val="CETAddress"/>
        <w:rPr>
          <w:noProof w:val="0"/>
          <w:lang w:val="en-US"/>
        </w:rPr>
      </w:pPr>
      <w:r w:rsidRPr="00963288">
        <w:rPr>
          <w:noProof w:val="0"/>
          <w:vertAlign w:val="superscript"/>
          <w:lang w:val="en-US"/>
        </w:rPr>
        <w:t>c</w:t>
      </w:r>
      <w:r w:rsidRPr="00963288">
        <w:rPr>
          <w:noProof w:val="0"/>
          <w:lang w:val="en-US"/>
        </w:rPr>
        <w:t xml:space="preserve"> Cellulose and Wood Materials Laboratory (CWM), Swiss Federal Laboratories for Materials Science and Technology (Empa), </w:t>
      </w:r>
      <w:proofErr w:type="spellStart"/>
      <w:r w:rsidRPr="00963288">
        <w:rPr>
          <w:noProof w:val="0"/>
          <w:lang w:val="en-US"/>
        </w:rPr>
        <w:t>Lerchenfeldstrasse</w:t>
      </w:r>
      <w:proofErr w:type="spellEnd"/>
      <w:r w:rsidRPr="00963288">
        <w:rPr>
          <w:noProof w:val="0"/>
          <w:lang w:val="en-US"/>
        </w:rPr>
        <w:t xml:space="preserve"> 5, 9014 St. Gallen, Switzerland</w:t>
      </w:r>
    </w:p>
    <w:p w14:paraId="73F1267A" w14:textId="6E0F45F1" w:rsidR="00B57E6F" w:rsidRPr="00963288" w:rsidRDefault="00CD1BB7" w:rsidP="00B57E6F">
      <w:pPr>
        <w:pStyle w:val="CETemail"/>
        <w:rPr>
          <w:noProof w:val="0"/>
          <w:lang w:val="en-US"/>
        </w:rPr>
      </w:pPr>
      <w:hyperlink r:id="rId13" w:history="1">
        <w:r w:rsidRPr="00963288">
          <w:rPr>
            <w:rStyle w:val="Hyperlink"/>
            <w:noProof w:val="0"/>
            <w:lang w:val="en-US"/>
          </w:rPr>
          <w:t>carlos.gomez@empa.ch</w:t>
        </w:r>
      </w:hyperlink>
    </w:p>
    <w:p w14:paraId="39129750" w14:textId="77777777" w:rsidR="00275EFB" w:rsidRPr="00963288" w:rsidRDefault="00275EFB" w:rsidP="00CD1BB7">
      <w:pPr>
        <w:pStyle w:val="CETBodytext"/>
      </w:pPr>
    </w:p>
    <w:p w14:paraId="5EE6AB7D" w14:textId="14733236" w:rsidR="006E2117" w:rsidRPr="00963288" w:rsidRDefault="006E2117" w:rsidP="006E2117">
      <w:pPr>
        <w:pStyle w:val="CETBodytext"/>
      </w:pPr>
      <w:r w:rsidRPr="00963288">
        <w:t>Vitamin D</w:t>
      </w:r>
      <w:r w:rsidRPr="00963288">
        <w:rPr>
          <w:rFonts w:ascii="Cambria Math" w:hAnsi="Cambria Math" w:cs="Cambria Math"/>
        </w:rPr>
        <w:t>₂</w:t>
      </w:r>
      <w:r w:rsidRPr="00963288">
        <w:t xml:space="preserve"> (ergocalciferol) can be obtained from fungal biomass through the UV-induced maturation of ergosterol. In this study, </w:t>
      </w:r>
      <w:r w:rsidRPr="00963288">
        <w:rPr>
          <w:i/>
          <w:iCs/>
        </w:rPr>
        <w:t>Agaricus bisporus</w:t>
      </w:r>
      <w:r w:rsidRPr="00963288">
        <w:t xml:space="preserve"> caps were used as a model system to investigate ergosterol extraction and subsequent photochemical conversion under controlled conditions. Ergosterol was extracted using ethanol at different solid-to-</w:t>
      </w:r>
      <w:proofErr w:type="gramStart"/>
      <w:r w:rsidRPr="00963288">
        <w:t>solvent</w:t>
      </w:r>
      <w:proofErr w:type="gramEnd"/>
      <w:r w:rsidRPr="00963288">
        <w:t xml:space="preserve"> ratios (1:5 and 1:50) employing long-term extraction and ultrasound-assisted methods, including glass-bead-enhanced ultrasound extraction, following process-intensification approaches. Photoconversion experiments were then carried out under controlled UV irradiation to evaluate conversion dynamics and assess the suitability of extracted ergosterol for vitamin D</w:t>
      </w:r>
      <w:r w:rsidRPr="00963288">
        <w:rPr>
          <w:rFonts w:ascii="Cambria Math" w:hAnsi="Cambria Math" w:cs="Cambria Math"/>
        </w:rPr>
        <w:t>₂</w:t>
      </w:r>
      <w:r w:rsidRPr="00963288">
        <w:t xml:space="preserve"> formation, using both model ergosterol solutions and mushroom-derived ethanolic extracts. Kinetic analysis of the photochemical conversion was performed using apparent zero-order and first-order models as simplified representations of the underlying photokinetic behavior, where reaction rates depend on absorbed radiation. This preliminar</w:t>
      </w:r>
      <w:r w:rsidR="0031387A" w:rsidRPr="00963288">
        <w:t>y</w:t>
      </w:r>
      <w:r w:rsidRPr="00963288">
        <w:t xml:space="preserve"> evaluation of extraction </w:t>
      </w:r>
      <w:r w:rsidR="00B163B9" w:rsidRPr="00963288">
        <w:t>yields,</w:t>
      </w:r>
      <w:r w:rsidRPr="00963288">
        <w:t xml:space="preserve"> and photochemical kinetics provides process-relevant insights for the development and industrialization of fungal-derived vitamin D</w:t>
      </w:r>
      <w:r w:rsidRPr="00963288">
        <w:rPr>
          <w:rFonts w:ascii="Cambria Math" w:hAnsi="Cambria Math" w:cs="Cambria Math"/>
        </w:rPr>
        <w:t>₂</w:t>
      </w:r>
      <w:r w:rsidRPr="00963288">
        <w:t xml:space="preserve"> as an alternative to conventional sources.</w:t>
      </w:r>
    </w:p>
    <w:p w14:paraId="476B2F2E" w14:textId="77777777" w:rsidR="00600535" w:rsidRPr="00963288" w:rsidRDefault="00600535" w:rsidP="00600535">
      <w:pPr>
        <w:pStyle w:val="CETHeading1"/>
      </w:pPr>
      <w:r w:rsidRPr="00963288">
        <w:t>Introduction</w:t>
      </w:r>
    </w:p>
    <w:p w14:paraId="24605504" w14:textId="7070CD39" w:rsidR="003A5D96" w:rsidRPr="00963288" w:rsidRDefault="00C451C1" w:rsidP="00600535">
      <w:pPr>
        <w:pStyle w:val="CETBodytext"/>
      </w:pPr>
      <w:r w:rsidRPr="00963288">
        <w:t xml:space="preserve">Vitamin D (i.e., </w:t>
      </w:r>
      <w:r w:rsidR="00B163B9" w:rsidRPr="00963288">
        <w:t>D</w:t>
      </w:r>
      <w:r w:rsidR="00B163B9" w:rsidRPr="00963288">
        <w:rPr>
          <w:vertAlign w:val="subscript"/>
        </w:rPr>
        <w:t>2</w:t>
      </w:r>
      <w:r w:rsidR="00B163B9" w:rsidRPr="00963288">
        <w:t xml:space="preserve"> and D</w:t>
      </w:r>
      <w:r w:rsidR="00B163B9" w:rsidRPr="00963288">
        <w:rPr>
          <w:vertAlign w:val="subscript"/>
        </w:rPr>
        <w:t>3</w:t>
      </w:r>
      <w:r w:rsidRPr="00963288">
        <w:t xml:space="preserve">) is an essential micronutrient for vertebrate animals involved in calcium and phosphate homeostatic regulations, as well as in a wide range of metabolic and immunological processes. While both forms perform similar physiological functions, they differ in bioavailability and metabolic stability. </w:t>
      </w:r>
      <w:r w:rsidR="003A5D96" w:rsidRPr="00963288">
        <w:t>In humans, vitamin D</w:t>
      </w:r>
      <w:r w:rsidR="003A5D96" w:rsidRPr="00963288">
        <w:rPr>
          <w:rFonts w:ascii="Cambria Math" w:hAnsi="Cambria Math" w:cs="Cambria Math"/>
        </w:rPr>
        <w:t>₃</w:t>
      </w:r>
      <w:r w:rsidR="003A5D96" w:rsidRPr="00963288">
        <w:t xml:space="preserve"> (cholecalciferol) is produced through the UVB-induced conversion of 7-dehydrocholesterol </w:t>
      </w:r>
      <w:r w:rsidR="00543748" w:rsidRPr="00963288">
        <w:t>at</w:t>
      </w:r>
      <w:r w:rsidR="003A5D96" w:rsidRPr="00963288">
        <w:t xml:space="preserve"> the epidermis</w:t>
      </w:r>
      <w:r w:rsidR="00543748" w:rsidRPr="00963288">
        <w:t xml:space="preserve"> level</w:t>
      </w:r>
      <w:r w:rsidR="003A5D96" w:rsidRPr="00963288">
        <w:t xml:space="preserve">, and it can be also obtained from animal-based foods. </w:t>
      </w:r>
      <w:r w:rsidRPr="00963288">
        <w:t>In contrast, vitamin D</w:t>
      </w:r>
      <w:r w:rsidR="00B163B9" w:rsidRPr="00963288">
        <w:rPr>
          <w:vertAlign w:val="subscript"/>
        </w:rPr>
        <w:t>2</w:t>
      </w:r>
      <w:r w:rsidRPr="00963288">
        <w:t xml:space="preserve"> (ergocalciferol) o</w:t>
      </w:r>
      <w:r w:rsidR="003A5D96" w:rsidRPr="00963288">
        <w:t>ccurs naturally</w:t>
      </w:r>
      <w:r w:rsidRPr="00963288">
        <w:t xml:space="preserve"> </w:t>
      </w:r>
      <w:r w:rsidR="003A5D96" w:rsidRPr="00963288">
        <w:t xml:space="preserve">in </w:t>
      </w:r>
      <w:r w:rsidRPr="00963288">
        <w:t>fungal and plant sources,</w:t>
      </w:r>
      <w:r w:rsidR="003A5D96" w:rsidRPr="00963288">
        <w:t xml:space="preserve"> derived from the photoconversion of pro-vitamin D</w:t>
      </w:r>
      <w:r w:rsidR="00B163B9" w:rsidRPr="00963288">
        <w:rPr>
          <w:vertAlign w:val="subscript"/>
        </w:rPr>
        <w:t>2</w:t>
      </w:r>
      <w:r w:rsidR="003A5D96" w:rsidRPr="00963288">
        <w:t xml:space="preserve"> (ergosterol). </w:t>
      </w:r>
      <w:r w:rsidR="00BF61C3" w:rsidRPr="00963288">
        <w:t xml:space="preserve">In humans, supplementation is commonly used to address widespread vitamin D deficiency, with recommended intakes typically ranging from 600 to 800 IU (15–20 µg) per day. </w:t>
      </w:r>
      <w:r w:rsidR="00F07055" w:rsidRPr="00963288">
        <w:t>However, Vitamin D</w:t>
      </w:r>
      <w:r w:rsidR="00B163B9" w:rsidRPr="00963288">
        <w:rPr>
          <w:vertAlign w:val="subscript"/>
        </w:rPr>
        <w:t>2</w:t>
      </w:r>
      <w:r w:rsidR="00F07055" w:rsidRPr="00963288">
        <w:t xml:space="preserve"> has shown approximately 30</w:t>
      </w:r>
      <w:r w:rsidR="00F07055" w:rsidRPr="00963288">
        <w:rPr>
          <w:rFonts w:cs="Arial"/>
        </w:rPr>
        <w:t>–</w:t>
      </w:r>
      <w:r w:rsidR="00F07055" w:rsidRPr="00963288">
        <w:t xml:space="preserve">40% lower </w:t>
      </w:r>
      <w:proofErr w:type="spellStart"/>
      <w:r w:rsidR="00F07055" w:rsidRPr="00963288">
        <w:t>bioefficacy</w:t>
      </w:r>
      <w:proofErr w:type="spellEnd"/>
      <w:r w:rsidR="00F07055" w:rsidRPr="00963288">
        <w:t xml:space="preserve"> than D</w:t>
      </w:r>
      <w:r w:rsidR="00B163B9" w:rsidRPr="00963288">
        <w:rPr>
          <w:vertAlign w:val="subscript"/>
        </w:rPr>
        <w:t>3</w:t>
      </w:r>
      <w:r w:rsidR="00F07055" w:rsidRPr="00963288">
        <w:rPr>
          <w:rFonts w:ascii="Cambria Math" w:hAnsi="Cambria Math" w:cs="Cambria Math"/>
          <w:vertAlign w:val="subscript"/>
        </w:rPr>
        <w:t xml:space="preserve"> </w:t>
      </w:r>
      <w:r w:rsidR="00F07055" w:rsidRPr="00963288">
        <w:t>in humans, requiring proportionally higher doses to achieve equivalent serum 25(OH)D concentrations due to</w:t>
      </w:r>
      <w:r w:rsidR="00B163B9" w:rsidRPr="00963288">
        <w:t xml:space="preserve"> their</w:t>
      </w:r>
      <w:r w:rsidR="003D24AC" w:rsidRPr="00963288">
        <w:t xml:space="preserve"> structural</w:t>
      </w:r>
      <w:r w:rsidR="00F07055" w:rsidRPr="00963288">
        <w:t xml:space="preserve"> differences</w:t>
      </w:r>
      <w:bookmarkStart w:id="1" w:name="_Hlk219882873"/>
      <w:r w:rsidR="007A4C43" w:rsidRPr="00963288">
        <w:t xml:space="preserve"> (van den Heuvel </w:t>
      </w:r>
      <w:r w:rsidR="007A4C43" w:rsidRPr="00963288">
        <w:rPr>
          <w:i/>
          <w:iCs/>
        </w:rPr>
        <w:t>et al</w:t>
      </w:r>
      <w:r w:rsidR="007A4C43" w:rsidRPr="00963288">
        <w:t>., 2024)</w:t>
      </w:r>
      <w:bookmarkEnd w:id="1"/>
      <w:r w:rsidR="00F07055" w:rsidRPr="00963288">
        <w:t>.</w:t>
      </w:r>
    </w:p>
    <w:p w14:paraId="7C53B61E" w14:textId="1CD4BAF6" w:rsidR="00BF61C3" w:rsidRPr="00963288" w:rsidRDefault="00EB3668" w:rsidP="00600535">
      <w:pPr>
        <w:pStyle w:val="CETBodytext"/>
      </w:pPr>
      <w:r w:rsidRPr="00963288">
        <w:t>Environmental factors such as cloud cover, aerosol loading, and surface albedo, together with climate change</w:t>
      </w:r>
      <w:r w:rsidR="001A6EDA" w:rsidRPr="00963288">
        <w:t>s</w:t>
      </w:r>
      <w:r w:rsidRPr="00963288">
        <w:t xml:space="preserve"> and the impacts of anthropogenic activities, influence the variability of solar irradiance, including its UV component, which may directly impact endogenous vitamin D synthesis in humans</w:t>
      </w:r>
      <w:r w:rsidR="0045611E" w:rsidRPr="00963288">
        <w:t xml:space="preserve"> (i.e., leading to deficiency </w:t>
      </w:r>
      <w:bookmarkStart w:id="2" w:name="_Hlk219882903"/>
      <w:r w:rsidR="0045611E" w:rsidRPr="00963288">
        <w:t xml:space="preserve">see </w:t>
      </w:r>
      <w:r w:rsidR="00424B91" w:rsidRPr="00963288">
        <w:t xml:space="preserve">(Cui </w:t>
      </w:r>
      <w:r w:rsidR="00424B91" w:rsidRPr="00963288">
        <w:rPr>
          <w:i/>
          <w:iCs/>
        </w:rPr>
        <w:t>et al</w:t>
      </w:r>
      <w:r w:rsidR="00424B91" w:rsidRPr="00963288">
        <w:t>., 2023)</w:t>
      </w:r>
      <w:r w:rsidR="00F33D25" w:rsidRPr="00963288">
        <w:t>)</w:t>
      </w:r>
      <w:r w:rsidR="00424B91" w:rsidRPr="00963288">
        <w:t xml:space="preserve"> </w:t>
      </w:r>
      <w:bookmarkEnd w:id="2"/>
      <w:r w:rsidRPr="00963288">
        <w:t xml:space="preserve">and indirectly affect health through altered ecological availability and food web dynamics. </w:t>
      </w:r>
      <w:r w:rsidR="00D71299" w:rsidRPr="00963288">
        <w:t xml:space="preserve">For example, in Europe, solar irradiance has exhibited pronounced spatial variability over the past two years, with reductions of up to 25% in southern and central regions such as Spain, Italy, southern France, Austria, and </w:t>
      </w:r>
      <w:r w:rsidR="00D71299" w:rsidRPr="00963288">
        <w:lastRenderedPageBreak/>
        <w:t>Switzerland, contrasted by increases in northern and western areas including the United Kingdom, Germany, the Netherlands, and Scandinavia</w:t>
      </w:r>
      <w:r w:rsidR="00F33D25" w:rsidRPr="00963288">
        <w:t>n</w:t>
      </w:r>
      <w:r w:rsidR="00D71299" w:rsidRPr="00963288">
        <w:t xml:space="preserve"> countries.</w:t>
      </w:r>
    </w:p>
    <w:p w14:paraId="323CA091" w14:textId="274D7D2D" w:rsidR="000D369C" w:rsidRPr="00963288" w:rsidRDefault="003451C7" w:rsidP="00600535">
      <w:pPr>
        <w:pStyle w:val="CETBodytext"/>
      </w:pPr>
      <w:r w:rsidRPr="00963288">
        <w:t xml:space="preserve">Ergosterol is a ubiquitous sterol in the fungal kingdom, where it plays a critical role in maintaining membrane fluidity and integrity. Among the edible fungal species most widely consumed by humans are </w:t>
      </w:r>
      <w:r w:rsidRPr="00963288">
        <w:rPr>
          <w:i/>
          <w:iCs/>
        </w:rPr>
        <w:t>Agaricus bisporus</w:t>
      </w:r>
      <w:r w:rsidRPr="00963288">
        <w:t xml:space="preserve">, </w:t>
      </w:r>
      <w:r w:rsidRPr="00963288">
        <w:rPr>
          <w:i/>
          <w:iCs/>
        </w:rPr>
        <w:t>Lentinula edodes</w:t>
      </w:r>
      <w:r w:rsidRPr="00963288">
        <w:t xml:space="preserve">, and </w:t>
      </w:r>
      <w:r w:rsidRPr="00963288">
        <w:rPr>
          <w:i/>
          <w:iCs/>
        </w:rPr>
        <w:t>Pleurotus ostreatus</w:t>
      </w:r>
      <w:r w:rsidRPr="00963288">
        <w:t>, all of which contain notable amounts of ergosterol and vitamin D</w:t>
      </w:r>
      <w:r w:rsidRPr="00963288">
        <w:rPr>
          <w:rFonts w:ascii="Cambria Math" w:hAnsi="Cambria Math" w:cs="Cambria Math"/>
        </w:rPr>
        <w:t>₂</w:t>
      </w:r>
      <w:r w:rsidRPr="00963288">
        <w:t>.</w:t>
      </w:r>
      <w:r w:rsidR="00EB7DD4" w:rsidRPr="00963288">
        <w:t xml:space="preserve"> Ergosterol concentrations in these edible mushrooms are highly variable and span more than one order of magnitude as a function of species, strain, tissue type, growing conditions, UV irradiation and developmental stage ranging approximately from 0.2 to </w:t>
      </w:r>
      <w:r w:rsidR="00B862B4" w:rsidRPr="00963288">
        <w:t xml:space="preserve">more than 10.0 </w:t>
      </w:r>
      <w:r w:rsidR="00EB7DD4" w:rsidRPr="00963288">
        <w:t>mg/</w:t>
      </w:r>
      <w:proofErr w:type="spellStart"/>
      <w:r w:rsidR="00EB7DD4" w:rsidRPr="00963288">
        <w:t>g</w:t>
      </w:r>
      <w:r w:rsidR="00EB7DD4" w:rsidRPr="00963288">
        <w:rPr>
          <w:vertAlign w:val="subscript"/>
        </w:rPr>
        <w:t>DM</w:t>
      </w:r>
      <w:proofErr w:type="spellEnd"/>
      <w:r w:rsidR="00B862B4" w:rsidRPr="00963288">
        <w:t xml:space="preserve"> </w:t>
      </w:r>
      <w:bookmarkStart w:id="3" w:name="_Hlk219882921"/>
      <w:r w:rsidR="00424B91" w:rsidRPr="00963288">
        <w:t>(</w:t>
      </w:r>
      <w:proofErr w:type="spellStart"/>
      <w:r w:rsidR="00424B91" w:rsidRPr="00963288">
        <w:t>Kalaras</w:t>
      </w:r>
      <w:proofErr w:type="spellEnd"/>
      <w:r w:rsidR="00424B91" w:rsidRPr="00963288">
        <w:t xml:space="preserve"> </w:t>
      </w:r>
      <w:r w:rsidR="00424B91" w:rsidRPr="00963288">
        <w:rPr>
          <w:i/>
          <w:iCs/>
        </w:rPr>
        <w:t>et al</w:t>
      </w:r>
      <w:r w:rsidR="00424B91" w:rsidRPr="00963288">
        <w:t xml:space="preserve">., 2012; Cardwell </w:t>
      </w:r>
      <w:r w:rsidR="00424B91" w:rsidRPr="00963288">
        <w:rPr>
          <w:i/>
          <w:iCs/>
        </w:rPr>
        <w:t>et al</w:t>
      </w:r>
      <w:r w:rsidR="00424B91" w:rsidRPr="00963288">
        <w:t>., 2018)</w:t>
      </w:r>
      <w:r w:rsidR="00B862B4" w:rsidRPr="00963288">
        <w:t>.</w:t>
      </w:r>
      <w:bookmarkEnd w:id="3"/>
      <w:r w:rsidR="00C91A33" w:rsidRPr="00963288">
        <w:t xml:space="preserve"> There are already certain </w:t>
      </w:r>
      <w:r w:rsidR="00BD60FF" w:rsidRPr="00963288">
        <w:t xml:space="preserve">industrial </w:t>
      </w:r>
      <w:r w:rsidR="00C91A33" w:rsidRPr="00963288">
        <w:t xml:space="preserve">methods </w:t>
      </w:r>
      <w:r w:rsidR="00175B95" w:rsidRPr="00963288">
        <w:t>to produce</w:t>
      </w:r>
      <w:r w:rsidR="00C91A33" w:rsidRPr="00963288">
        <w:t xml:space="preserve"> vitamin </w:t>
      </w:r>
      <w:r w:rsidR="00BD60FF" w:rsidRPr="00963288">
        <w:t>D</w:t>
      </w:r>
      <w:r w:rsidR="00BD60FF" w:rsidRPr="00963288">
        <w:rPr>
          <w:vertAlign w:val="subscript"/>
        </w:rPr>
        <w:t>2</w:t>
      </w:r>
      <w:r w:rsidR="00BD60FF" w:rsidRPr="00963288">
        <w:t xml:space="preserve"> or D</w:t>
      </w:r>
      <w:r w:rsidR="00BD60FF" w:rsidRPr="00963288">
        <w:rPr>
          <w:vertAlign w:val="subscript"/>
        </w:rPr>
        <w:t>3</w:t>
      </w:r>
      <w:r w:rsidR="00C91A33" w:rsidRPr="00963288">
        <w:t>. Most of them rely on the production of the precursors of vitamin D</w:t>
      </w:r>
      <w:r w:rsidR="00C91A33" w:rsidRPr="00963288">
        <w:rPr>
          <w:vertAlign w:val="subscript"/>
        </w:rPr>
        <w:t>3</w:t>
      </w:r>
      <w:r w:rsidR="00C91A33" w:rsidRPr="00963288">
        <w:t xml:space="preserve"> from animal fats (e.g., lanolin, fish oil, milk fat) or D</w:t>
      </w:r>
      <w:r w:rsidR="00C91A33" w:rsidRPr="00963288">
        <w:rPr>
          <w:vertAlign w:val="subscript"/>
        </w:rPr>
        <w:t>2</w:t>
      </w:r>
      <w:r w:rsidR="00C91A33" w:rsidRPr="00963288">
        <w:t xml:space="preserve"> from submerged algae or yeasts cultures, that are successively photoconverted. However, extractions from fungi cap residues or residual matrices (e.g., from solid-state fermentations) have not been thoroughly explored (Cardwell </w:t>
      </w:r>
      <w:r w:rsidR="00C91A33" w:rsidRPr="00963288">
        <w:rPr>
          <w:i/>
          <w:iCs/>
        </w:rPr>
        <w:t>et al</w:t>
      </w:r>
      <w:r w:rsidR="00C91A33" w:rsidRPr="00963288">
        <w:t>., 2018).</w:t>
      </w:r>
    </w:p>
    <w:p w14:paraId="04428E27" w14:textId="1F47397D" w:rsidR="00EB7DD4" w:rsidRPr="00963288" w:rsidRDefault="00906859" w:rsidP="00600535">
      <w:pPr>
        <w:pStyle w:val="CETBodytext"/>
      </w:pPr>
      <w:r w:rsidRPr="00963288">
        <w:t xml:space="preserve">This work examines caps from two variants of </w:t>
      </w:r>
      <w:r w:rsidRPr="00963288">
        <w:rPr>
          <w:i/>
          <w:iCs/>
        </w:rPr>
        <w:t>Agaricus bisporus</w:t>
      </w:r>
      <w:r w:rsidRPr="00963288">
        <w:t>, focusing on the determination of ergosterol in raw fungal matrices and on its extraction using different solvent-based techniques under varying operational conditions (i.e., solid-to-solvent ratios and particle size). The subsequent UV-B-induced conversion of ergosterol to vitamin D</w:t>
      </w:r>
      <w:r w:rsidRPr="00963288">
        <w:rPr>
          <w:rFonts w:ascii="Cambria Math" w:hAnsi="Cambria Math" w:cs="Cambria Math"/>
        </w:rPr>
        <w:t>₂</w:t>
      </w:r>
      <w:r w:rsidRPr="00963288">
        <w:t xml:space="preserve"> is investigated through kinetic analysis, comparing a model ergosterol system with alcoholic extracts obtained from mushroom caps. The results aim to </w:t>
      </w:r>
      <w:r w:rsidR="005E0A35" w:rsidRPr="00963288">
        <w:t>serve</w:t>
      </w:r>
      <w:r w:rsidRPr="00963288">
        <w:t xml:space="preserve"> the selection of extraction strategies and kinetic parameters relevant to the potential industrial implementation of </w:t>
      </w:r>
      <w:r w:rsidR="005E0A35" w:rsidRPr="00963288">
        <w:t xml:space="preserve">fungal-based </w:t>
      </w:r>
      <w:r w:rsidRPr="00963288">
        <w:t>vitamin D</w:t>
      </w:r>
      <w:r w:rsidRPr="00963288">
        <w:rPr>
          <w:rFonts w:ascii="Cambria Math" w:hAnsi="Cambria Math" w:cs="Cambria Math"/>
        </w:rPr>
        <w:t>₂</w:t>
      </w:r>
      <w:r w:rsidRPr="00963288">
        <w:t xml:space="preserve"> production.</w:t>
      </w:r>
    </w:p>
    <w:p w14:paraId="5741900F" w14:textId="6C130B5A" w:rsidR="00453E24" w:rsidRPr="00963288" w:rsidRDefault="00CD1BB7" w:rsidP="00453E24">
      <w:pPr>
        <w:pStyle w:val="CETHeading1"/>
      </w:pPr>
      <w:r w:rsidRPr="00963288">
        <w:t xml:space="preserve">Materials and Methods </w:t>
      </w:r>
    </w:p>
    <w:p w14:paraId="08045163" w14:textId="03C42EA1" w:rsidR="00F07055" w:rsidRPr="00963288" w:rsidRDefault="00F07055" w:rsidP="00F07055">
      <w:pPr>
        <w:pStyle w:val="CETheadingx"/>
      </w:pPr>
      <w:r w:rsidRPr="00963288">
        <w:t xml:space="preserve">Fungal samples preparation </w:t>
      </w:r>
    </w:p>
    <w:p w14:paraId="050A6957" w14:textId="1A6A5702" w:rsidR="00F07055" w:rsidRPr="00963288" w:rsidRDefault="00105A79" w:rsidP="00453E24">
      <w:pPr>
        <w:pStyle w:val="CETBodytext"/>
      </w:pPr>
      <w:r w:rsidRPr="00963288">
        <w:t xml:space="preserve">Commercial </w:t>
      </w:r>
      <w:r w:rsidRPr="00963288">
        <w:rPr>
          <w:i/>
          <w:iCs/>
        </w:rPr>
        <w:t>Agaricus bisporus</w:t>
      </w:r>
      <w:r w:rsidRPr="00963288">
        <w:t xml:space="preserve"> fruiting bodies were used in this study, including both white and brown phenotypic types</w:t>
      </w:r>
      <w:r w:rsidR="00F50DED" w:rsidRPr="00963288">
        <w:t xml:space="preserve"> (</w:t>
      </w:r>
      <w:r w:rsidR="00F50DED" w:rsidRPr="00963288">
        <w:rPr>
          <w:b/>
          <w:bCs/>
        </w:rPr>
        <w:t>Figure 1a - 1b</w:t>
      </w:r>
      <w:r w:rsidR="00F50DED" w:rsidRPr="00963288">
        <w:t>)</w:t>
      </w:r>
      <w:r w:rsidRPr="00963288">
        <w:t xml:space="preserve">. </w:t>
      </w:r>
      <w:r w:rsidRPr="00963288">
        <w:rPr>
          <w:i/>
          <w:iCs/>
        </w:rPr>
        <w:t>A. bisporus</w:t>
      </w:r>
      <w:r w:rsidRPr="00963288">
        <w:t xml:space="preserve"> is the most widely cultivated edible mushroom worldwide, primarily due to its mild flavor, nutritional value; white and brown forms represent clonal lineages and pigment mutants of the same domesticated variety</w:t>
      </w:r>
      <w:r w:rsidR="00424B91" w:rsidRPr="00963288">
        <w:t xml:space="preserve"> (Sonnenberg </w:t>
      </w:r>
      <w:r w:rsidR="00424B91" w:rsidRPr="00963288">
        <w:rPr>
          <w:i/>
          <w:iCs/>
        </w:rPr>
        <w:t>et al</w:t>
      </w:r>
      <w:r w:rsidR="00424B91" w:rsidRPr="00963288">
        <w:t>., 2016)</w:t>
      </w:r>
      <w:bookmarkStart w:id="4" w:name="_Hlk219882936"/>
      <w:r w:rsidRPr="00963288">
        <w:t xml:space="preserve">. </w:t>
      </w:r>
      <w:bookmarkEnd w:id="4"/>
      <w:r w:rsidRPr="00963288">
        <w:t xml:space="preserve">The mushrooms were stored frozen at −20 °C and thawed at room temperature prior to processing to preserve fresh-like characteristics. </w:t>
      </w:r>
      <w:r w:rsidR="004C7759" w:rsidRPr="00963288">
        <w:t>Here</w:t>
      </w:r>
      <w:r w:rsidRPr="00963288">
        <w:t xml:space="preserve">, </w:t>
      </w:r>
      <w:r w:rsidR="004C7759" w:rsidRPr="00963288">
        <w:t>mainly</w:t>
      </w:r>
      <w:r w:rsidRPr="00963288">
        <w:t xml:space="preserve"> the caps (pileus) were used, although stems (stipes) were included in some preparations when the full fruiting body was processed. Two forms of sample preparation were applied: (</w:t>
      </w:r>
      <w:proofErr w:type="spellStart"/>
      <w:r w:rsidR="004C7759" w:rsidRPr="00963288">
        <w:t>i</w:t>
      </w:r>
      <w:proofErr w:type="spellEnd"/>
      <w:r w:rsidRPr="00963288">
        <w:t xml:space="preserve">) </w:t>
      </w:r>
      <w:r w:rsidR="00F50DED" w:rsidRPr="00963288">
        <w:t>dried-powdered material, dehydrated at 85 °C until constant weight and ground using a mortar and pestle</w:t>
      </w:r>
      <w:r w:rsidR="006C3EB7" w:rsidRPr="00963288">
        <w:t xml:space="preserve">, sieved through a 1 mm mesh </w:t>
      </w:r>
      <w:r w:rsidR="00F50DED" w:rsidRPr="00963288">
        <w:t>(</w:t>
      </w:r>
      <w:r w:rsidR="00F50DED" w:rsidRPr="00963288">
        <w:rPr>
          <w:b/>
          <w:bCs/>
        </w:rPr>
        <w:t>Figure 1c</w:t>
      </w:r>
      <w:r w:rsidR="00F50DED" w:rsidRPr="00963288">
        <w:t xml:space="preserve">), and </w:t>
      </w:r>
      <w:r w:rsidR="00F33D25" w:rsidRPr="00963288">
        <w:t>(</w:t>
      </w:r>
      <w:r w:rsidR="00F50DED" w:rsidRPr="00963288">
        <w:t xml:space="preserve">ii) </w:t>
      </w:r>
      <w:r w:rsidRPr="00963288">
        <w:t>fresh-cut mushrooms, sliced immediately after thawing</w:t>
      </w:r>
      <w:r w:rsidR="00F50DED" w:rsidRPr="00963288">
        <w:t xml:space="preserve"> (</w:t>
      </w:r>
      <w:r w:rsidR="00F50DED" w:rsidRPr="00963288">
        <w:rPr>
          <w:b/>
          <w:bCs/>
        </w:rPr>
        <w:t>Figure 1d</w:t>
      </w:r>
      <w:r w:rsidR="00F50DED" w:rsidRPr="00963288">
        <w:t>)</w:t>
      </w:r>
      <w:r w:rsidRPr="00963288">
        <w:t>.</w:t>
      </w:r>
    </w:p>
    <w:p w14:paraId="68CEF7AE" w14:textId="77777777" w:rsidR="00F07055" w:rsidRPr="00963288" w:rsidRDefault="00F07055" w:rsidP="000B0814">
      <w:pPr>
        <w:pStyle w:val="CETheadingx"/>
      </w:pPr>
      <w:r w:rsidRPr="00963288">
        <w:t>Extraction</w:t>
      </w:r>
    </w:p>
    <w:p w14:paraId="312E8401" w14:textId="3D61A6F3" w:rsidR="00BF61C3" w:rsidRPr="00963288" w:rsidRDefault="004C7759" w:rsidP="00BF61C3">
      <w:pPr>
        <w:pStyle w:val="CETBodytext"/>
      </w:pPr>
      <w:r w:rsidRPr="00963288">
        <w:t xml:space="preserve">Different extraction methods were employed to evaluate ergosterol yield from </w:t>
      </w:r>
      <w:r w:rsidRPr="00963288">
        <w:rPr>
          <w:i/>
          <w:iCs/>
        </w:rPr>
        <w:t>Agaricus bisporus</w:t>
      </w:r>
      <w:r w:rsidRPr="00963288">
        <w:t>. These included: (</w:t>
      </w:r>
      <w:proofErr w:type="spellStart"/>
      <w:r w:rsidRPr="00963288">
        <w:t>i</w:t>
      </w:r>
      <w:proofErr w:type="spellEnd"/>
      <w:r w:rsidRPr="00963288">
        <w:t>) long-term extraction (LTE), simulating domestic extraction practices by submerging mushroom tissue slides for 30 days; (ii) ultrasound-assisted extraction (UAE); and (iii) glas</w:t>
      </w:r>
      <w:r w:rsidR="00F33D25" w:rsidRPr="00963288">
        <w:t>s-</w:t>
      </w:r>
      <w:r w:rsidRPr="00963288">
        <w:t>bead</w:t>
      </w:r>
      <w:r w:rsidR="00F33D25" w:rsidRPr="00963288">
        <w:t xml:space="preserve"> </w:t>
      </w:r>
      <w:r w:rsidRPr="00963288">
        <w:t xml:space="preserve">enhanced ultrasound-assisted extraction (BUAE). </w:t>
      </w:r>
      <w:r w:rsidR="006A4D0C" w:rsidRPr="00963288">
        <w:t>A preliminary literature review was conducted to identify solvents commonly used for ergosterol extraction—such as methanol, ethanol with KOH, dimethyl ether (DME), hexane, and deep eutectic solvents. Ethanol was selected for this study due to its lower hazard classification and favorable safety profile. Two main solvent-to-solid ratios were tested (1:5 and 1:50</w:t>
      </w:r>
      <w:r w:rsidR="00F33D25" w:rsidRPr="00963288">
        <w:t>,</w:t>
      </w:r>
      <w:r w:rsidR="006A4D0C" w:rsidRPr="00963288">
        <w:t> </w:t>
      </w:r>
      <w:proofErr w:type="gramStart"/>
      <w:r w:rsidR="006A4D0C" w:rsidRPr="00963288">
        <w:t>g</w:t>
      </w:r>
      <w:r w:rsidR="00F33D25" w:rsidRPr="00963288">
        <w:t>:</w:t>
      </w:r>
      <w:r w:rsidR="006A4D0C" w:rsidRPr="00963288">
        <w:t>mL</w:t>
      </w:r>
      <w:proofErr w:type="gramEnd"/>
      <w:r w:rsidR="006A4D0C" w:rsidRPr="00963288">
        <w:t>)</w:t>
      </w:r>
      <w:r w:rsidR="00721A56" w:rsidRPr="00963288">
        <w:t xml:space="preserve"> at room temperature</w:t>
      </w:r>
      <w:r w:rsidR="006A4D0C" w:rsidRPr="00963288">
        <w:t>, and the extraction kinetics were monitored over time for both the U</w:t>
      </w:r>
      <w:r w:rsidR="00F33D25" w:rsidRPr="00963288">
        <w:t>AE</w:t>
      </w:r>
      <w:r w:rsidR="006A4D0C" w:rsidRPr="00963288">
        <w:t xml:space="preserve"> and BUAE methods.</w:t>
      </w:r>
    </w:p>
    <w:p w14:paraId="292D4386" w14:textId="4CD38CC8" w:rsidR="00F07055" w:rsidRPr="00963288" w:rsidRDefault="00F07055" w:rsidP="000B0814">
      <w:pPr>
        <w:pStyle w:val="CETheadingx"/>
      </w:pPr>
      <w:r w:rsidRPr="00963288">
        <w:t>UV</w:t>
      </w:r>
      <w:r w:rsidR="006A4D0C" w:rsidRPr="00963288">
        <w:t>-</w:t>
      </w:r>
      <w:r w:rsidRPr="00963288">
        <w:t>B co</w:t>
      </w:r>
      <w:r w:rsidR="006A4D0C" w:rsidRPr="00963288">
        <w:t>n</w:t>
      </w:r>
      <w:r w:rsidRPr="00963288">
        <w:t xml:space="preserve">version </w:t>
      </w:r>
    </w:p>
    <w:p w14:paraId="1201F84E" w14:textId="726D16AA" w:rsidR="00F07055" w:rsidRPr="00963288" w:rsidRDefault="006A4D0C" w:rsidP="006A4D0C">
      <w:pPr>
        <w:pStyle w:val="CETBodytext"/>
      </w:pPr>
      <w:r w:rsidRPr="00963288">
        <w:t>An experimental setup was assembled consisting of a rotating platform (</w:t>
      </w:r>
      <w:proofErr w:type="spellStart"/>
      <w:r w:rsidRPr="00963288">
        <w:t>M</w:t>
      </w:r>
      <w:r w:rsidR="00A11576" w:rsidRPr="00963288">
        <w:t>iniTwist</w:t>
      </w:r>
      <w:proofErr w:type="spellEnd"/>
      <w:r w:rsidR="00A11576" w:rsidRPr="00963288">
        <w:t xml:space="preserve"> mixer</w:t>
      </w:r>
      <w:r w:rsidR="0065518C" w:rsidRPr="00963288">
        <w:t xml:space="preserve"> Corning</w:t>
      </w:r>
      <w:r w:rsidR="00A11576" w:rsidRPr="00963288">
        <w:t>,</w:t>
      </w:r>
      <w:r w:rsidR="0065518C" w:rsidRPr="00963288">
        <w:t xml:space="preserve"> Glendale, United States</w:t>
      </w:r>
      <w:r w:rsidRPr="00963288">
        <w:t>), continuously agitated under a UVB lamp (</w:t>
      </w:r>
      <w:r w:rsidR="00AA6288" w:rsidRPr="00963288">
        <w:t>UVB100 13W EXOTERRA</w:t>
      </w:r>
      <w:r w:rsidRPr="00963288">
        <w:t>,</w:t>
      </w:r>
      <w:r w:rsidR="00AA6288" w:rsidRPr="00963288">
        <w:t xml:space="preserve"> Holm, Germany</w:t>
      </w:r>
      <w:r w:rsidRPr="00963288">
        <w:t xml:space="preserve">). The distance between the samples and the light source was approximately 5 cm, providing a continuous irradiance dose of </w:t>
      </w:r>
      <w:r w:rsidR="00DD03DD" w:rsidRPr="00963288">
        <w:t>c. 415</w:t>
      </w:r>
      <w:r w:rsidRPr="00963288">
        <w:t> µW/cm². This setup was used for all photoconversion experiments</w:t>
      </w:r>
      <w:r w:rsidR="001C33BE" w:rsidRPr="00963288">
        <w:t xml:space="preserve">, conducted in a moisture and </w:t>
      </w:r>
      <w:r w:rsidR="009C04FC" w:rsidRPr="00963288">
        <w:t>temperature-controlled</w:t>
      </w:r>
      <w:r w:rsidR="001C33BE" w:rsidRPr="00963288">
        <w:t xml:space="preserve"> chamber </w:t>
      </w:r>
      <w:r w:rsidR="00A11576" w:rsidRPr="00963288">
        <w:t>(27°C, 50%RH</w:t>
      </w:r>
      <w:r w:rsidR="001C33BE" w:rsidRPr="00963288">
        <w:t>)</w:t>
      </w:r>
      <w:r w:rsidRPr="00963288">
        <w:t xml:space="preserve">. </w:t>
      </w:r>
      <w:r w:rsidR="005055EA" w:rsidRPr="00963288">
        <w:t>First</w:t>
      </w:r>
      <w:r w:rsidRPr="00963288">
        <w:t xml:space="preserve">, a model solution of ergosterol in ethanol was exposed to constant UVB irradiation for varying durations to evaluate photoconversion dynamics. Subsequently, ethanolic extracts obtained from </w:t>
      </w:r>
      <w:r w:rsidRPr="00963288">
        <w:rPr>
          <w:i/>
          <w:iCs/>
        </w:rPr>
        <w:t>Agaricus bisporus</w:t>
      </w:r>
      <w:r w:rsidRPr="00963288">
        <w:t xml:space="preserve"> were irradiated under the same conditions to compare their conversion performance with that of the </w:t>
      </w:r>
      <w:r w:rsidR="00251FA3" w:rsidRPr="00963288">
        <w:t>model</w:t>
      </w:r>
      <w:r w:rsidRPr="00963288">
        <w:t xml:space="preserve"> ergosterol solution.</w:t>
      </w:r>
    </w:p>
    <w:p w14:paraId="5B78DFA2" w14:textId="7BCED287" w:rsidR="00F07055" w:rsidRPr="00963288" w:rsidRDefault="00F07055" w:rsidP="000B0814">
      <w:pPr>
        <w:pStyle w:val="CETheadingx"/>
      </w:pPr>
      <w:r w:rsidRPr="00963288">
        <w:t>Kinetic modelling</w:t>
      </w:r>
    </w:p>
    <w:p w14:paraId="075BFF26" w14:textId="432E9389" w:rsidR="00A44C08" w:rsidRPr="00963288" w:rsidRDefault="009F087A" w:rsidP="009F087A">
      <w:pPr>
        <w:pStyle w:val="CETBodytext"/>
      </w:pPr>
      <w:r w:rsidRPr="00963288">
        <w:t xml:space="preserve">Kinetic modelling was performed using time-dependent concentration data of the main reacting species, ergosterol, under constant UV irradiation. The reaction rate was formulated </w:t>
      </w:r>
      <w:r w:rsidR="00EE45EC" w:rsidRPr="00963288">
        <w:t>for</w:t>
      </w:r>
      <w:r w:rsidRPr="00963288">
        <w:t xml:space="preserve"> photochemical kinetics, where the rate depends on the absorbed radiation. The general rate expression</w:t>
      </w:r>
      <w:r w:rsidR="00EE45EC" w:rsidRPr="00963288">
        <w:t>s</w:t>
      </w:r>
      <w:r w:rsidRPr="00963288">
        <w:t xml:space="preserve"> </w:t>
      </w:r>
      <w:r w:rsidR="001D6E86" w:rsidRPr="00963288">
        <w:t>considered were of zero-order and first-order equations</w:t>
      </w:r>
      <w:r w:rsidR="008E5B37" w:rsidRPr="00963288">
        <w:t xml:space="preserve"> (</w:t>
      </w:r>
      <w:r w:rsidR="008E5B37" w:rsidRPr="00963288">
        <w:rPr>
          <w:b/>
          <w:bCs/>
        </w:rPr>
        <w:t>Eq. 1</w:t>
      </w:r>
      <w:r w:rsidR="008E5B37" w:rsidRPr="00963288">
        <w:t xml:space="preserve"> and </w:t>
      </w:r>
      <w:r w:rsidR="008E5B37" w:rsidRPr="00963288">
        <w:rPr>
          <w:b/>
          <w:bCs/>
        </w:rPr>
        <w:t>Eq. 2</w:t>
      </w:r>
      <w:r w:rsidR="008E5B37" w:rsidRPr="00963288">
        <w:t>)</w:t>
      </w:r>
      <w:r w:rsidR="001D6E86" w:rsidRPr="00963288">
        <w:t>:</w:t>
      </w:r>
      <w:r w:rsidRPr="00963288">
        <w:t xml:space="preserve"> </w:t>
      </w:r>
    </w:p>
    <w:p w14:paraId="5DE4CBE8" w14:textId="59A06292" w:rsidR="009F087A" w:rsidRPr="00963288" w:rsidRDefault="009F087A" w:rsidP="009F087A">
      <w:pPr>
        <w:pStyle w:val="CETBodytext"/>
      </w:pPr>
    </w:p>
    <w:p w14:paraId="1FACDF0C" w14:textId="77777777" w:rsidR="00A44C08" w:rsidRPr="00963288" w:rsidRDefault="00A44C08" w:rsidP="009F087A">
      <w:pPr>
        <w:pStyle w:val="CETBodytext"/>
      </w:pPr>
    </w:p>
    <w:p w14:paraId="0E064E48" w14:textId="6CDEC9CE" w:rsidR="009F087A" w:rsidRPr="00963288" w:rsidRDefault="002E6AF2" w:rsidP="009F087A">
      <w:pPr>
        <w:pStyle w:val="CETBodytext"/>
      </w:pPr>
      <m:oMath>
        <m:f>
          <m:fPr>
            <m:ctrlPr>
              <w:rPr>
                <w:rFonts w:ascii="Cambria Math" w:hAnsi="Cambria Math"/>
                <w:i/>
              </w:rPr>
            </m:ctrlPr>
          </m:fPr>
          <m:num>
            <m:r>
              <w:rPr>
                <w:rFonts w:ascii="Cambria Math" w:hAnsi="Cambria Math"/>
              </w:rPr>
              <m:t>δC(t)</m:t>
            </m:r>
          </m:num>
          <m:den>
            <m:r>
              <w:rPr>
                <w:rFonts w:ascii="Cambria Math" w:hAnsi="Cambria Math"/>
              </w:rPr>
              <m:t>δt</m:t>
            </m:r>
          </m:den>
        </m:f>
        <m:r>
          <w:rPr>
            <w:rFonts w:ascii="Cambria Math" w:hAnsi="Cambria Math"/>
          </w:rPr>
          <m:t>=̶ φ·</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(t)</m:t>
        </m:r>
      </m:oMath>
      <w:r w:rsidR="009547A3" w:rsidRPr="00963288">
        <w:t xml:space="preserve">   </w:t>
      </w:r>
      <w:proofErr w:type="gramStart"/>
      <w:r w:rsidR="001D6E86" w:rsidRPr="00963288">
        <w:t>;</w:t>
      </w:r>
      <w:r w:rsidR="009547A3" w:rsidRPr="00963288">
        <w:t xml:space="preserve">   </w:t>
      </w:r>
      <w:proofErr w:type="gramEnd"/>
      <w:r w:rsidR="009547A3" w:rsidRPr="00963288">
        <w:t xml:space="preserve">    </w:t>
      </w:r>
      <m:oMath>
        <m:f>
          <m:fPr>
            <m:ctrlPr>
              <w:rPr>
                <w:rFonts w:ascii="Cambria Math" w:hAnsi="Cambria Math"/>
                <w:i/>
              </w:rPr>
            </m:ctrlPr>
          </m:fPr>
          <m:num>
            <m:r>
              <w:rPr>
                <w:rFonts w:ascii="Cambria Math" w:hAnsi="Cambria Math"/>
              </w:rPr>
              <m:t>δC(t)</m:t>
            </m:r>
          </m:num>
          <m:den>
            <m:r>
              <w:rPr>
                <w:rFonts w:ascii="Cambria Math" w:hAnsi="Cambria Math"/>
              </w:rPr>
              <m:t>δt</m:t>
            </m:r>
          </m:den>
        </m:f>
        <m:r>
          <w:rPr>
            <w:rFonts w:ascii="Cambria Math" w:hAnsi="Cambria Math"/>
          </w:rPr>
          <m:t>=̶ φ·</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(t)C(t)</m:t>
        </m:r>
      </m:oMath>
      <w:r w:rsidR="009F087A" w:rsidRPr="00963288">
        <w:tab/>
        <w:t>Eq. 1</w:t>
      </w:r>
      <w:r w:rsidR="008E5B37" w:rsidRPr="00963288">
        <w:t xml:space="preserve"> / Eq. 2</w:t>
      </w:r>
    </w:p>
    <w:p w14:paraId="4F08B74A" w14:textId="77777777" w:rsidR="00A44C08" w:rsidRPr="00963288" w:rsidRDefault="00A44C08" w:rsidP="009F087A">
      <w:pPr>
        <w:pStyle w:val="CETBodytext"/>
      </w:pPr>
    </w:p>
    <w:p w14:paraId="4E85C2CA" w14:textId="56BF3CBF" w:rsidR="009F087A" w:rsidRPr="00963288" w:rsidRDefault="009F087A" w:rsidP="009F087A">
      <w:pPr>
        <w:pStyle w:val="CETBodytext"/>
      </w:pPr>
      <w:r w:rsidRPr="00963288">
        <w:t xml:space="preserve">where </w:t>
      </w:r>
      <w:r w:rsidRPr="00963288">
        <w:rPr>
          <w:rFonts w:ascii="Cambria Math" w:hAnsi="Cambria Math" w:cs="Cambria Math"/>
        </w:rPr>
        <w:t>𝐶</w:t>
      </w:r>
      <w:r w:rsidRPr="00963288">
        <w:t>(</w:t>
      </w:r>
      <w:r w:rsidRPr="00963288">
        <w:rPr>
          <w:rFonts w:ascii="Cambria Math" w:hAnsi="Cambria Math" w:cs="Cambria Math"/>
        </w:rPr>
        <w:t>𝑡</w:t>
      </w:r>
      <w:r w:rsidRPr="00963288">
        <w:t xml:space="preserve">) is the ergosterol concentration, φ is the quantum yield, and </w:t>
      </w:r>
      <w:r w:rsidRPr="00963288">
        <w:rPr>
          <w:rFonts w:ascii="Cambria Math" w:hAnsi="Cambria Math" w:cs="Cambria Math"/>
        </w:rPr>
        <w:t>𝐼</w:t>
      </w:r>
      <w:r w:rsidRPr="00963288">
        <w:rPr>
          <w:rFonts w:ascii="Cambria Math" w:hAnsi="Cambria Math" w:cs="Cambria Math"/>
          <w:vertAlign w:val="subscript"/>
        </w:rPr>
        <w:t>𝑎</w:t>
      </w:r>
      <w:r w:rsidRPr="00963288">
        <w:t>(</w:t>
      </w:r>
      <w:r w:rsidRPr="00963288">
        <w:rPr>
          <w:rFonts w:ascii="Cambria Math" w:hAnsi="Cambria Math" w:cs="Cambria Math"/>
        </w:rPr>
        <w:t>𝑡</w:t>
      </w:r>
      <w:r w:rsidRPr="00963288">
        <w:t xml:space="preserve">) is the absorbed radiation. The absorbed intensity was related to the incident radiation </w:t>
      </w:r>
      <w:r w:rsidRPr="00963288">
        <w:rPr>
          <w:rFonts w:ascii="Cambria Math" w:hAnsi="Cambria Math" w:cs="Cambria Math"/>
          <w:i/>
          <w:iCs/>
        </w:rPr>
        <w:t>I</w:t>
      </w:r>
      <w:r w:rsidRPr="00963288">
        <w:rPr>
          <w:i/>
          <w:iCs/>
          <w:vertAlign w:val="subscript"/>
        </w:rPr>
        <w:t>0</w:t>
      </w:r>
      <w:r w:rsidRPr="00963288">
        <w:t xml:space="preserve"> through the fraction of light absorbed (as in </w:t>
      </w:r>
      <w:r w:rsidRPr="00963288">
        <w:rPr>
          <w:b/>
          <w:bCs/>
        </w:rPr>
        <w:t xml:space="preserve">Eq. </w:t>
      </w:r>
      <w:r w:rsidR="008E5B37" w:rsidRPr="00963288">
        <w:rPr>
          <w:b/>
          <w:bCs/>
        </w:rPr>
        <w:t>3</w:t>
      </w:r>
      <w:r w:rsidRPr="00963288">
        <w:t xml:space="preserve">): </w:t>
      </w:r>
    </w:p>
    <w:p w14:paraId="4ED10B37" w14:textId="77777777" w:rsidR="00A44C08" w:rsidRPr="00963288" w:rsidRDefault="00A44C08" w:rsidP="009F087A">
      <w:pPr>
        <w:pStyle w:val="CETBodytext"/>
      </w:pPr>
    </w:p>
    <w:p w14:paraId="6665F01F" w14:textId="5795748B" w:rsidR="009F087A" w:rsidRPr="00963288" w:rsidRDefault="009F087A" w:rsidP="009F087A">
      <w:pPr>
        <w:pStyle w:val="CETBodytext"/>
      </w:pPr>
      <w:r w:rsidRPr="00963288">
        <w:rPr>
          <w:rFonts w:ascii="Cambria Math" w:hAnsi="Cambria Math" w:cs="Cambria Math"/>
        </w:rPr>
        <w:t>𝐼</w:t>
      </w:r>
      <w:r w:rsidRPr="00963288">
        <w:rPr>
          <w:rFonts w:ascii="Cambria Math" w:hAnsi="Cambria Math" w:cs="Cambria Math"/>
          <w:vertAlign w:val="subscript"/>
        </w:rPr>
        <w:t>𝑎</w:t>
      </w:r>
      <w:r w:rsidRPr="00963288">
        <w:t>(</w:t>
      </w:r>
      <w:r w:rsidRPr="00963288">
        <w:rPr>
          <w:rFonts w:ascii="Cambria Math" w:hAnsi="Cambria Math" w:cs="Cambria Math"/>
        </w:rPr>
        <w:t>𝑡</w:t>
      </w:r>
      <w:r w:rsidRPr="00963288">
        <w:t>)=</w:t>
      </w:r>
      <w:r w:rsidRPr="00963288">
        <w:rPr>
          <w:rFonts w:ascii="Cambria Math" w:hAnsi="Cambria Math" w:cs="Cambria Math"/>
        </w:rPr>
        <w:t>𝐼</w:t>
      </w:r>
      <w:r w:rsidRPr="00963288">
        <w:rPr>
          <w:vertAlign w:val="subscript"/>
        </w:rPr>
        <w:t>0</w:t>
      </w:r>
      <w:r w:rsidRPr="00963288">
        <w:t>(1−10</w:t>
      </w:r>
      <w:r w:rsidRPr="00963288">
        <w:rPr>
          <w:vertAlign w:val="superscript"/>
        </w:rPr>
        <w:t>−</w:t>
      </w:r>
      <w:r w:rsidRPr="00963288">
        <w:rPr>
          <w:rFonts w:ascii="Cambria Math" w:hAnsi="Cambria Math" w:cs="Cambria Math"/>
          <w:vertAlign w:val="superscript"/>
        </w:rPr>
        <w:t>𝐴</w:t>
      </w:r>
      <w:r w:rsidRPr="00963288">
        <w:rPr>
          <w:vertAlign w:val="superscript"/>
        </w:rPr>
        <w:t>(</w:t>
      </w:r>
      <w:r w:rsidRPr="00963288">
        <w:rPr>
          <w:rFonts w:ascii="Cambria Math" w:hAnsi="Cambria Math" w:cs="Cambria Math"/>
          <w:vertAlign w:val="superscript"/>
        </w:rPr>
        <w:t>𝑡</w:t>
      </w:r>
      <w:r w:rsidRPr="00963288">
        <w:rPr>
          <w:vertAlign w:val="superscript"/>
        </w:rPr>
        <w:t>)</w:t>
      </w:r>
      <w:r w:rsidRPr="00963288">
        <w:t xml:space="preserve">) </w:t>
      </w:r>
      <w:r w:rsidRPr="00963288">
        <w:tab/>
        <w:t xml:space="preserve">Eq. </w:t>
      </w:r>
      <w:r w:rsidR="008E5B37" w:rsidRPr="00963288">
        <w:t>3</w:t>
      </w:r>
    </w:p>
    <w:p w14:paraId="02B0A33D" w14:textId="77777777" w:rsidR="00A44C08" w:rsidRPr="00963288" w:rsidRDefault="00A44C08" w:rsidP="009F087A">
      <w:pPr>
        <w:pStyle w:val="CETBodytext"/>
      </w:pPr>
    </w:p>
    <w:p w14:paraId="67591B27" w14:textId="44A82C19" w:rsidR="00F07055" w:rsidRPr="00963288" w:rsidRDefault="00A44C08" w:rsidP="009F087A">
      <w:pPr>
        <w:pStyle w:val="CETBodytext"/>
      </w:pPr>
      <w:r w:rsidRPr="00963288">
        <w:t>Then a</w:t>
      </w:r>
      <w:r w:rsidR="009F087A" w:rsidRPr="00963288">
        <w:t>bsorbance was related to ergosterol concentration via the Beer–Lambert law (</w:t>
      </w:r>
      <w:r w:rsidR="009F087A" w:rsidRPr="00963288">
        <w:rPr>
          <w:rFonts w:ascii="Cambria Math" w:hAnsi="Cambria Math" w:cs="Cambria Math"/>
        </w:rPr>
        <w:t>𝐴</w:t>
      </w:r>
      <w:r w:rsidR="009F087A" w:rsidRPr="00963288">
        <w:t>(</w:t>
      </w:r>
      <w:r w:rsidR="009F087A" w:rsidRPr="00963288">
        <w:rPr>
          <w:rFonts w:ascii="Cambria Math" w:hAnsi="Cambria Math" w:cs="Cambria Math"/>
        </w:rPr>
        <w:t>𝑡</w:t>
      </w:r>
      <w:r w:rsidR="009F087A" w:rsidRPr="00963288">
        <w:t>)=</w:t>
      </w:r>
      <w:r w:rsidR="009F087A" w:rsidRPr="00963288">
        <w:rPr>
          <w:rFonts w:ascii="Cambria Math" w:hAnsi="Cambria Math" w:cs="Cambria Math"/>
        </w:rPr>
        <w:t>𝜀𝑙𝐶</w:t>
      </w:r>
      <w:r w:rsidR="009F087A" w:rsidRPr="00963288">
        <w:t>(</w:t>
      </w:r>
      <w:r w:rsidR="009F087A" w:rsidRPr="00963288">
        <w:rPr>
          <w:rFonts w:ascii="Cambria Math" w:hAnsi="Cambria Math" w:cs="Cambria Math"/>
        </w:rPr>
        <w:t>𝑡</w:t>
      </w:r>
      <w:r w:rsidR="009F087A" w:rsidRPr="00963288">
        <w:t>))</w:t>
      </w:r>
      <w:r w:rsidRPr="00963288">
        <w:t xml:space="preserve">. </w:t>
      </w:r>
      <w:r w:rsidR="009F087A" w:rsidRPr="00963288">
        <w:t>Rather than fitting the non-linear photokinetic expression, experimental data were analyzed using simplified kinetic models commonly applied to photochemical systems. Zero-order and first-order kinetic models were independently fitted to the same concentration–time data to evaluate their ability to describe the observed behavior. Apparent rate constants were obtained from linear regressions of the corresponding integrated forms, and the quality of each model was assessed by goodness-of-fit metrics.</w:t>
      </w:r>
    </w:p>
    <w:p w14:paraId="793E48A3" w14:textId="271F1438" w:rsidR="00F07055" w:rsidRPr="00963288" w:rsidRDefault="00B03AA9" w:rsidP="000B0814">
      <w:pPr>
        <w:pStyle w:val="CETheadingx"/>
      </w:pPr>
      <w:r w:rsidRPr="00963288">
        <w:t>Analytical</w:t>
      </w:r>
      <w:r w:rsidR="00F07055" w:rsidRPr="00963288">
        <w:t xml:space="preserve"> measurements</w:t>
      </w:r>
    </w:p>
    <w:p w14:paraId="1BF791DC" w14:textId="1645638B" w:rsidR="03F1701F" w:rsidRPr="00963288" w:rsidRDefault="00A44C08" w:rsidP="4E84FD38">
      <w:pPr>
        <w:pStyle w:val="CETBodytext"/>
        <w:rPr>
          <w:szCs w:val="18"/>
        </w:rPr>
      </w:pPr>
      <w:r w:rsidRPr="00963288">
        <w:t>Spectrophotometric analysis was used to quantify ergosterol and vitamin D</w:t>
      </w:r>
      <w:r w:rsidRPr="00963288">
        <w:rPr>
          <w:rFonts w:ascii="Cambria Math" w:hAnsi="Cambria Math" w:cs="Cambria Math"/>
        </w:rPr>
        <w:t>₂</w:t>
      </w:r>
      <w:r w:rsidR="00F33D25" w:rsidRPr="00963288">
        <w:rPr>
          <w:rFonts w:ascii="Cambria Math" w:hAnsi="Cambria Math" w:cs="Cambria Math"/>
          <w:vertAlign w:val="subscript"/>
        </w:rPr>
        <w:t>,</w:t>
      </w:r>
      <w:r w:rsidRPr="00963288">
        <w:t xml:space="preserve"> based on calibration curves prepared with pure standards. Absorbance measurements</w:t>
      </w:r>
      <w:r w:rsidR="00121B06" w:rsidRPr="00963288">
        <w:t xml:space="preserve"> (</w:t>
      </w:r>
      <w:r w:rsidR="00A11576" w:rsidRPr="00963288">
        <w:t xml:space="preserve">Genesis 10S UV-VIS </w:t>
      </w:r>
      <w:proofErr w:type="spellStart"/>
      <w:r w:rsidR="00A11576" w:rsidRPr="00963288">
        <w:t>ThermoFischer</w:t>
      </w:r>
      <w:proofErr w:type="spellEnd"/>
      <w:r w:rsidR="00A11576" w:rsidRPr="00963288">
        <w:t>, Madison, United States</w:t>
      </w:r>
      <w:r w:rsidR="00121B06" w:rsidRPr="00963288">
        <w:t>)</w:t>
      </w:r>
      <w:r w:rsidRPr="00963288">
        <w:t xml:space="preserve"> were taken at 282</w:t>
      </w:r>
      <w:r w:rsidRPr="00963288">
        <w:rPr>
          <w:rFonts w:cs="Arial"/>
        </w:rPr>
        <w:t> </w:t>
      </w:r>
      <w:r w:rsidRPr="00963288">
        <w:t>nm for ergosterol and 265</w:t>
      </w:r>
      <w:r w:rsidRPr="00963288">
        <w:rPr>
          <w:rFonts w:cs="Arial"/>
        </w:rPr>
        <w:t> </w:t>
      </w:r>
      <w:r w:rsidRPr="00963288">
        <w:t>nm for vitamin D</w:t>
      </w:r>
      <w:r w:rsidRPr="00963288">
        <w:rPr>
          <w:rFonts w:ascii="Cambria Math" w:hAnsi="Cambria Math" w:cs="Cambria Math"/>
        </w:rPr>
        <w:t>₂</w:t>
      </w:r>
      <w:r w:rsidRPr="00963288">
        <w:t xml:space="preserve">, corresponding to their respective </w:t>
      </w:r>
      <w:r w:rsidR="008E5B37" w:rsidRPr="00963288">
        <w:t>maximum value of absorbance</w:t>
      </w:r>
      <w:r w:rsidR="008E5B37" w:rsidRPr="00963288" w:rsidDel="008E5B37">
        <w:t xml:space="preserve"> </w:t>
      </w:r>
      <w:r w:rsidR="00332B9B" w:rsidRPr="00963288">
        <w:t>(</w:t>
      </w:r>
      <w:r w:rsidR="001C33BE" w:rsidRPr="00963288">
        <w:t>model solutions)</w:t>
      </w:r>
      <w:r w:rsidRPr="00963288">
        <w:t xml:space="preserve">. Dry and </w:t>
      </w:r>
      <w:proofErr w:type="gramStart"/>
      <w:r w:rsidRPr="00963288">
        <w:t>fresh matter</w:t>
      </w:r>
      <w:proofErr w:type="gramEnd"/>
      <w:r w:rsidRPr="00963288">
        <w:t xml:space="preserve"> contents were determined gravimetrically by weighing samples before and after drying at 85</w:t>
      </w:r>
      <w:r w:rsidRPr="00963288">
        <w:rPr>
          <w:rFonts w:cs="Arial"/>
        </w:rPr>
        <w:t> °</w:t>
      </w:r>
      <w:r w:rsidRPr="00963288">
        <w:t>C for 24</w:t>
      </w:r>
      <w:r w:rsidRPr="00963288">
        <w:rPr>
          <w:rFonts w:cs="Arial"/>
        </w:rPr>
        <w:t> </w:t>
      </w:r>
      <w:r w:rsidRPr="00963288">
        <w:t>h</w:t>
      </w:r>
      <w:r w:rsidR="00A2266D" w:rsidRPr="00963288">
        <w:t xml:space="preserve"> (</w:t>
      </w:r>
      <w:r w:rsidRPr="00963288">
        <w:t>constant weight</w:t>
      </w:r>
      <w:r w:rsidR="00A2266D" w:rsidRPr="00963288">
        <w:t>)</w:t>
      </w:r>
      <w:r w:rsidRPr="00963288">
        <w:t xml:space="preserve">. </w:t>
      </w:r>
      <w:r w:rsidR="00332B9B" w:rsidRPr="00963288">
        <w:t>For the extracts, Ultra-performance liquid chromatography (UPLC) was used</w:t>
      </w:r>
      <w:r w:rsidR="00121B06" w:rsidRPr="00963288">
        <w:t xml:space="preserve"> </w:t>
      </w:r>
      <w:r w:rsidR="0065518C" w:rsidRPr="00963288">
        <w:t>(</w:t>
      </w:r>
      <w:proofErr w:type="spellStart"/>
      <w:r w:rsidR="0065518C" w:rsidRPr="00963288">
        <w:t>AcquityWaters</w:t>
      </w:r>
      <w:proofErr w:type="spellEnd"/>
      <w:r w:rsidR="0065518C" w:rsidRPr="00963288">
        <w:t xml:space="preserve"> UPLC, Milford, United States</w:t>
      </w:r>
      <w:r w:rsidR="00121B06" w:rsidRPr="00963288">
        <w:t>)</w:t>
      </w:r>
      <w:r w:rsidR="00332B9B" w:rsidRPr="00963288">
        <w:t xml:space="preserve"> for the quantitative determination of ergosterol and vitamin D</w:t>
      </w:r>
      <w:r w:rsidR="00332B9B" w:rsidRPr="00963288">
        <w:rPr>
          <w:rFonts w:ascii="Cambria Math" w:hAnsi="Cambria Math" w:cs="Cambria Math"/>
        </w:rPr>
        <w:t>₂</w:t>
      </w:r>
      <w:r w:rsidR="00332B9B" w:rsidRPr="00963288">
        <w:t xml:space="preserve"> to overcome spectral overlap and photoproduct interference.</w:t>
      </w:r>
      <w:r w:rsidR="00F33D25" w:rsidRPr="00963288">
        <w:t xml:space="preserve"> </w:t>
      </w:r>
      <w:r w:rsidR="03F1701F" w:rsidRPr="00963288">
        <w:rPr>
          <w:szCs w:val="18"/>
        </w:rPr>
        <w:t xml:space="preserve">Chromatographic separation was carried out using an </w:t>
      </w:r>
      <w:proofErr w:type="spellStart"/>
      <w:r w:rsidR="03F1701F" w:rsidRPr="00963288">
        <w:rPr>
          <w:szCs w:val="18"/>
        </w:rPr>
        <w:t>AcquityWaters</w:t>
      </w:r>
      <w:proofErr w:type="spellEnd"/>
      <w:r w:rsidR="03F1701F" w:rsidRPr="00963288">
        <w:rPr>
          <w:szCs w:val="18"/>
        </w:rPr>
        <w:t xml:space="preserve"> </w:t>
      </w:r>
      <w:r w:rsidR="0031387A" w:rsidRPr="00963288">
        <w:rPr>
          <w:szCs w:val="18"/>
        </w:rPr>
        <w:t xml:space="preserve">column </w:t>
      </w:r>
      <w:r w:rsidR="03F1701F" w:rsidRPr="00963288">
        <w:rPr>
          <w:szCs w:val="18"/>
        </w:rPr>
        <w:t>(C18</w:t>
      </w:r>
      <w:r w:rsidR="0031387A" w:rsidRPr="00963288">
        <w:rPr>
          <w:szCs w:val="18"/>
        </w:rPr>
        <w:t xml:space="preserve">, </w:t>
      </w:r>
      <w:r w:rsidR="03F1701F" w:rsidRPr="00963288">
        <w:rPr>
          <w:szCs w:val="18"/>
        </w:rPr>
        <w:t xml:space="preserve">1.7 µm, 2.1x50mm) maintained at 35 °C, </w:t>
      </w:r>
      <w:r w:rsidR="0031387A" w:rsidRPr="00963288">
        <w:rPr>
          <w:szCs w:val="18"/>
        </w:rPr>
        <w:t>and</w:t>
      </w:r>
      <w:r w:rsidR="03F1701F" w:rsidRPr="00963288">
        <w:rPr>
          <w:szCs w:val="18"/>
        </w:rPr>
        <w:t xml:space="preserve"> autosampler temperature set at </w:t>
      </w:r>
      <w:r w:rsidR="0060026D">
        <w:rPr>
          <w:szCs w:val="18"/>
        </w:rPr>
        <w:t>5</w:t>
      </w:r>
      <w:r w:rsidR="03F1701F" w:rsidRPr="00963288">
        <w:rPr>
          <w:szCs w:val="18"/>
        </w:rPr>
        <w:t xml:space="preserve"> °C. </w:t>
      </w:r>
      <w:r w:rsidR="03444B97" w:rsidRPr="00963288">
        <w:t>Analytes were separated using a binary mobile phase consisting of</w:t>
      </w:r>
      <w:r w:rsidR="03F1701F" w:rsidRPr="00963288">
        <w:rPr>
          <w:szCs w:val="18"/>
        </w:rPr>
        <w:t xml:space="preserve"> 0.1% formic acid in water (solvent A) and 0.1% formic acid in </w:t>
      </w:r>
      <w:r w:rsidR="0060026D">
        <w:rPr>
          <w:szCs w:val="18"/>
        </w:rPr>
        <w:t>methanol</w:t>
      </w:r>
      <w:r w:rsidR="03F1701F" w:rsidRPr="00963288">
        <w:rPr>
          <w:szCs w:val="18"/>
        </w:rPr>
        <w:t xml:space="preserve"> (solvent B), at a flow rate of 0.5 mL</w:t>
      </w:r>
      <w:r w:rsidR="0031387A" w:rsidRPr="00963288">
        <w:rPr>
          <w:szCs w:val="18"/>
        </w:rPr>
        <w:t>/</w:t>
      </w:r>
      <w:r w:rsidR="03F1701F" w:rsidRPr="00963288">
        <w:rPr>
          <w:szCs w:val="18"/>
        </w:rPr>
        <w:t>min</w:t>
      </w:r>
      <w:r w:rsidR="0031387A" w:rsidRPr="00963288">
        <w:rPr>
          <w:szCs w:val="18"/>
        </w:rPr>
        <w:t xml:space="preserve">. </w:t>
      </w:r>
      <w:r w:rsidR="03F1701F" w:rsidRPr="00963288">
        <w:rPr>
          <w:szCs w:val="18"/>
        </w:rPr>
        <w:t xml:space="preserve">The </w:t>
      </w:r>
      <w:proofErr w:type="gramStart"/>
      <w:r w:rsidR="03F1701F" w:rsidRPr="00963288">
        <w:rPr>
          <w:szCs w:val="18"/>
        </w:rPr>
        <w:t>elution</w:t>
      </w:r>
      <w:proofErr w:type="gramEnd"/>
      <w:r w:rsidR="03F1701F" w:rsidRPr="00963288">
        <w:rPr>
          <w:szCs w:val="18"/>
        </w:rPr>
        <w:t xml:space="preserve"> began with an isocratic step at </w:t>
      </w:r>
      <w:r w:rsidR="0060026D">
        <w:rPr>
          <w:szCs w:val="18"/>
        </w:rPr>
        <w:t>1</w:t>
      </w:r>
      <w:r w:rsidR="03F1701F" w:rsidRPr="00963288">
        <w:rPr>
          <w:szCs w:val="18"/>
        </w:rPr>
        <w:t>%</w:t>
      </w:r>
      <w:r w:rsidR="03F1701F" w:rsidRPr="00963288">
        <w:rPr>
          <w:color w:val="FF0000"/>
          <w:szCs w:val="18"/>
        </w:rPr>
        <w:t xml:space="preserve"> </w:t>
      </w:r>
      <w:r w:rsidR="03F1701F" w:rsidRPr="00963288">
        <w:rPr>
          <w:szCs w:val="18"/>
        </w:rPr>
        <w:t>A</w:t>
      </w:r>
      <w:r w:rsidR="0031387A" w:rsidRPr="00963288">
        <w:rPr>
          <w:szCs w:val="18"/>
        </w:rPr>
        <w:t xml:space="preserve"> and </w:t>
      </w:r>
      <w:r w:rsidR="0060026D">
        <w:rPr>
          <w:szCs w:val="18"/>
        </w:rPr>
        <w:t>99</w:t>
      </w:r>
      <w:r w:rsidR="03F1701F" w:rsidRPr="00963288">
        <w:rPr>
          <w:szCs w:val="18"/>
        </w:rPr>
        <w:t>%</w:t>
      </w:r>
      <w:r w:rsidR="03F1701F" w:rsidRPr="00963288">
        <w:rPr>
          <w:color w:val="FF0000"/>
          <w:szCs w:val="18"/>
        </w:rPr>
        <w:t xml:space="preserve"> </w:t>
      </w:r>
      <w:r w:rsidR="03F1701F" w:rsidRPr="00963288">
        <w:rPr>
          <w:szCs w:val="18"/>
        </w:rPr>
        <w:t xml:space="preserve">B. Subsequently, a linear gradient was applied, where </w:t>
      </w:r>
      <w:r w:rsidR="0031387A" w:rsidRPr="00963288">
        <w:rPr>
          <w:szCs w:val="18"/>
        </w:rPr>
        <w:t xml:space="preserve">solvent </w:t>
      </w:r>
      <w:r w:rsidR="03F1701F" w:rsidRPr="00963288">
        <w:rPr>
          <w:szCs w:val="18"/>
        </w:rPr>
        <w:t xml:space="preserve">A </w:t>
      </w:r>
      <w:r w:rsidR="0060026D">
        <w:rPr>
          <w:szCs w:val="18"/>
        </w:rPr>
        <w:t>increases to 10</w:t>
      </w:r>
      <w:r w:rsidR="03F1701F" w:rsidRPr="00963288">
        <w:rPr>
          <w:szCs w:val="18"/>
        </w:rPr>
        <w:t xml:space="preserve">% (B </w:t>
      </w:r>
      <w:r w:rsidR="0060026D">
        <w:rPr>
          <w:szCs w:val="18"/>
        </w:rPr>
        <w:t>decreases</w:t>
      </w:r>
      <w:r w:rsidR="03F1701F" w:rsidRPr="00963288">
        <w:rPr>
          <w:szCs w:val="18"/>
        </w:rPr>
        <w:t xml:space="preserve"> to </w:t>
      </w:r>
      <w:r w:rsidR="0060026D">
        <w:rPr>
          <w:szCs w:val="18"/>
        </w:rPr>
        <w:t>9</w:t>
      </w:r>
      <w:r w:rsidR="03F1701F" w:rsidRPr="00963288">
        <w:rPr>
          <w:szCs w:val="18"/>
        </w:rPr>
        <w:t xml:space="preserve">0%) over </w:t>
      </w:r>
      <w:r w:rsidR="0060026D">
        <w:rPr>
          <w:szCs w:val="18"/>
        </w:rPr>
        <w:t>1</w:t>
      </w:r>
      <w:r w:rsidR="03F1701F" w:rsidRPr="00963288">
        <w:rPr>
          <w:szCs w:val="18"/>
        </w:rPr>
        <w:t xml:space="preserve"> min. </w:t>
      </w:r>
      <w:r w:rsidR="0031387A" w:rsidRPr="00963288">
        <w:rPr>
          <w:szCs w:val="18"/>
        </w:rPr>
        <w:t>T</w:t>
      </w:r>
      <w:r w:rsidR="03F1701F" w:rsidRPr="00963288">
        <w:rPr>
          <w:szCs w:val="18"/>
        </w:rPr>
        <w:t>he final 2 minutes of the run</w:t>
      </w:r>
      <w:r w:rsidR="0031387A" w:rsidRPr="00963288">
        <w:rPr>
          <w:szCs w:val="18"/>
        </w:rPr>
        <w:t xml:space="preserve"> returns to </w:t>
      </w:r>
      <w:r w:rsidR="03F1701F" w:rsidRPr="00963288">
        <w:rPr>
          <w:szCs w:val="18"/>
        </w:rPr>
        <w:t xml:space="preserve">the initial conditions of </w:t>
      </w:r>
      <w:r w:rsidR="0060026D">
        <w:rPr>
          <w:szCs w:val="18"/>
        </w:rPr>
        <w:t>1</w:t>
      </w:r>
      <w:r w:rsidR="03F1701F" w:rsidRPr="00963288">
        <w:rPr>
          <w:szCs w:val="18"/>
        </w:rPr>
        <w:t xml:space="preserve">% A and </w:t>
      </w:r>
      <w:r w:rsidR="0060026D">
        <w:rPr>
          <w:szCs w:val="18"/>
        </w:rPr>
        <w:t>99</w:t>
      </w:r>
      <w:r w:rsidR="03F1701F" w:rsidRPr="00963288">
        <w:rPr>
          <w:szCs w:val="18"/>
        </w:rPr>
        <w:t>% B for column re-equilibration.</w:t>
      </w:r>
    </w:p>
    <w:p w14:paraId="57078883" w14:textId="61C187E9" w:rsidR="003225C7" w:rsidRPr="00963288" w:rsidRDefault="00503A46" w:rsidP="00453E24">
      <w:pPr>
        <w:pStyle w:val="CETBodytext"/>
        <w:rPr>
          <w:i/>
          <w:iCs/>
        </w:rPr>
      </w:pPr>
      <w:r w:rsidRPr="00963288">
        <w:rPr>
          <w:i/>
          <w:iCs/>
          <w:noProof/>
        </w:rPr>
        <w:drawing>
          <wp:inline distT="0" distB="0" distL="0" distR="0" wp14:anchorId="3FC9B59B" wp14:editId="14C46602">
            <wp:extent cx="5568950" cy="1691506"/>
            <wp:effectExtent l="0" t="0" r="0" b="4445"/>
            <wp:docPr id="99604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681" cy="1695069"/>
                    </a:xfrm>
                    <a:prstGeom prst="rect">
                      <a:avLst/>
                    </a:prstGeom>
                    <a:noFill/>
                  </pic:spPr>
                </pic:pic>
              </a:graphicData>
            </a:graphic>
          </wp:inline>
        </w:drawing>
      </w:r>
    </w:p>
    <w:p w14:paraId="23D14C65" w14:textId="7D56BD7D" w:rsidR="003225C7" w:rsidRPr="00963288" w:rsidRDefault="003225C7" w:rsidP="00215129">
      <w:pPr>
        <w:pStyle w:val="CETBodytext"/>
        <w:rPr>
          <w:i/>
          <w:iCs/>
        </w:rPr>
      </w:pPr>
      <w:r w:rsidRPr="00963288">
        <w:rPr>
          <w:rStyle w:val="CETCaptionCarattere"/>
          <w:lang w:val="en-US"/>
        </w:rPr>
        <w:t xml:space="preserve">Figure 1. </w:t>
      </w:r>
      <w:r w:rsidR="00F50DED" w:rsidRPr="00963288">
        <w:rPr>
          <w:rStyle w:val="CETCaptionCarattere"/>
          <w:lang w:val="en-US"/>
        </w:rPr>
        <w:t>Agaricus bisporus: (a) white cap, (b) brown cap, (c) dried and powdered material, (d) sliced samples, and focus-stacked micrographs of cap powder (e) untreated, (f) after ultrasound-assisted extraction (UAE), and (g) after glass-bead ultrasound-assisted extraction (BUAE)</w:t>
      </w:r>
      <w:r w:rsidR="00F50DED" w:rsidRPr="00963288">
        <w:rPr>
          <w:i/>
          <w:iCs/>
        </w:rPr>
        <w:t>.</w:t>
      </w:r>
    </w:p>
    <w:p w14:paraId="61096385" w14:textId="17BFC07E" w:rsidR="00A36420" w:rsidRPr="00963288" w:rsidRDefault="00A36420" w:rsidP="000E66E6">
      <w:pPr>
        <w:pStyle w:val="CETheadingx"/>
      </w:pPr>
      <w:r w:rsidRPr="00963288">
        <w:t>Statistical Analysis</w:t>
      </w:r>
    </w:p>
    <w:p w14:paraId="797C9C89" w14:textId="2E696B22" w:rsidR="00A36420" w:rsidRPr="00963288" w:rsidRDefault="00EE45EC" w:rsidP="53898A40">
      <w:pPr>
        <w:pStyle w:val="CETBodytext"/>
        <w:rPr>
          <w:i/>
          <w:iCs/>
        </w:rPr>
      </w:pPr>
      <w:r>
        <w:t>St</w:t>
      </w:r>
      <w:r w:rsidR="000E66E6">
        <w:t xml:space="preserve">atistical analysis was performed using Microsoft Excel (Microsoft Corp., Redmond, United States). </w:t>
      </w:r>
      <w:r>
        <w:t>E</w:t>
      </w:r>
      <w:r w:rsidR="000E66E6">
        <w:t>xperiments were conducted in triplicate, and results are reported as mean values ± standard deviation. Calibration curves were generated using two independent sets of triplicate standards</w:t>
      </w:r>
      <w:r>
        <w:t xml:space="preserve">, </w:t>
      </w:r>
      <w:r w:rsidR="000E66E6">
        <w:t xml:space="preserve">as well as for the model ergosterol kinetic tests, to ensure analytical robustness and reproducibility. </w:t>
      </w:r>
      <w:r w:rsidR="00520339">
        <w:t xml:space="preserve">Extraction yields were analyzed by </w:t>
      </w:r>
      <w:r w:rsidR="00520339" w:rsidRPr="53898A40">
        <w:t>one-way ANOVA</w:t>
      </w:r>
      <w:r w:rsidR="00520339">
        <w:t xml:space="preserve">, followed by Tukey’s significant test for multiple comparisons (different lowercase letter differ significantly at </w:t>
      </w:r>
      <w:r w:rsidR="00520339" w:rsidRPr="53898A40">
        <w:t>p&lt;0.05</w:t>
      </w:r>
      <w:r w:rsidR="00520339">
        <w:t xml:space="preserve">). </w:t>
      </w:r>
      <w:r w:rsidR="000E66E6">
        <w:t>Kinetic parameters were determined by linear regression of the rate expressions using time-resolved concentration data</w:t>
      </w:r>
      <w:r w:rsidR="00753AD7">
        <w:t>, following th</w:t>
      </w:r>
      <w:r w:rsidR="0042406E">
        <w:t>re</w:t>
      </w:r>
      <w:r w:rsidR="00753AD7">
        <w:t>e approach</w:t>
      </w:r>
      <w:r w:rsidR="0042406E">
        <w:t>es as</w:t>
      </w:r>
      <w:r w:rsidR="00753AD7">
        <w:t xml:space="preserve"> reported in (Gomez-Camacho </w:t>
      </w:r>
      <w:r w:rsidR="00753AD7" w:rsidRPr="53898A40">
        <w:rPr>
          <w:i/>
          <w:iCs/>
        </w:rPr>
        <w:t>et al</w:t>
      </w:r>
      <w:r w:rsidR="00753AD7">
        <w:t>., 2022)</w:t>
      </w:r>
      <w:r w:rsidR="000E66E6">
        <w:t>.</w:t>
      </w:r>
    </w:p>
    <w:p w14:paraId="677EBFF0" w14:textId="76C55F41" w:rsidR="00600535" w:rsidRPr="00963288" w:rsidRDefault="00CD1BB7" w:rsidP="00600535">
      <w:pPr>
        <w:pStyle w:val="CETHeading1"/>
        <w:tabs>
          <w:tab w:val="clear" w:pos="360"/>
          <w:tab w:val="right" w:pos="7100"/>
        </w:tabs>
        <w:jc w:val="both"/>
      </w:pPr>
      <w:r w:rsidRPr="00963288">
        <w:t xml:space="preserve">Results and Discussion </w:t>
      </w:r>
    </w:p>
    <w:p w14:paraId="04963A06" w14:textId="1AC36258" w:rsidR="00600535" w:rsidRPr="00963288" w:rsidRDefault="00A77768" w:rsidP="00FA5F5F">
      <w:pPr>
        <w:pStyle w:val="CETheadingx"/>
      </w:pPr>
      <w:r w:rsidRPr="00963288">
        <w:t>Extraction of ergosterol</w:t>
      </w:r>
    </w:p>
    <w:p w14:paraId="0DCAEF98" w14:textId="6C3B266D" w:rsidR="005E0A35" w:rsidRPr="00963288" w:rsidRDefault="00A765BD" w:rsidP="005E0A35">
      <w:pPr>
        <w:pStyle w:val="CETBodytext"/>
      </w:pPr>
      <w:r w:rsidRPr="00963288">
        <w:t xml:space="preserve">Ergosterol extraction yields for the </w:t>
      </w:r>
      <w:r w:rsidR="00687B23" w:rsidRPr="00963288">
        <w:t>white and brown</w:t>
      </w:r>
      <w:r w:rsidRPr="00963288">
        <w:t xml:space="preserve"> </w:t>
      </w:r>
      <w:r w:rsidRPr="00963288">
        <w:rPr>
          <w:i/>
          <w:iCs/>
        </w:rPr>
        <w:t>A. bisporus</w:t>
      </w:r>
      <w:r w:rsidRPr="00963288">
        <w:t xml:space="preserve"> tested caps are presented in </w:t>
      </w:r>
      <w:r w:rsidRPr="00963288">
        <w:rPr>
          <w:b/>
          <w:bCs/>
        </w:rPr>
        <w:t xml:space="preserve">Figure </w:t>
      </w:r>
      <w:r w:rsidR="00B862B4" w:rsidRPr="00963288">
        <w:rPr>
          <w:b/>
          <w:bCs/>
        </w:rPr>
        <w:t>2</w:t>
      </w:r>
      <w:r w:rsidRPr="00963288">
        <w:t>. The trends show how the extraction process is affected by different phenomena: the interplay between mass</w:t>
      </w:r>
      <w:r w:rsidRPr="00963288">
        <w:rPr>
          <w:rFonts w:ascii="Cambria Math" w:hAnsi="Cambria Math" w:cs="Cambria Math"/>
        </w:rPr>
        <w:t>‐</w:t>
      </w:r>
      <w:r w:rsidRPr="00963288">
        <w:t xml:space="preserve">transfer </w:t>
      </w:r>
      <w:r w:rsidR="00687B23" w:rsidRPr="00963288">
        <w:lastRenderedPageBreak/>
        <w:t>and kinetics</w:t>
      </w:r>
      <w:r w:rsidRPr="00963288">
        <w:t>, the matrix accessibility (e.g., in LTE the differences in powder vs pieces), and the solvent availability (i.e., different solid-to-solvent ratios). For both ultrasound-based extractions (UAE and BUAE), the yield increases with extraction time (especially for the 30</w:t>
      </w:r>
      <w:r w:rsidRPr="00963288">
        <w:rPr>
          <w:rFonts w:cs="Arial"/>
        </w:rPr>
        <w:t>–</w:t>
      </w:r>
      <w:r w:rsidRPr="00963288">
        <w:t>120 min) indicating diffusion</w:t>
      </w:r>
      <w:r w:rsidRPr="00963288">
        <w:rPr>
          <w:rFonts w:ascii="Cambria Math" w:hAnsi="Cambria Math" w:cs="Cambria Math"/>
        </w:rPr>
        <w:t>‐</w:t>
      </w:r>
      <w:r w:rsidRPr="00963288">
        <w:t>controlled release of ergosterol from the solid matrix, with yields approaching quasi</w:t>
      </w:r>
      <w:r w:rsidRPr="00963288">
        <w:rPr>
          <w:rFonts w:ascii="Cambria Math" w:hAnsi="Cambria Math" w:cs="Cambria Math"/>
        </w:rPr>
        <w:t>‐</w:t>
      </w:r>
      <w:r w:rsidRPr="00963288">
        <w:t>equilibrium conditions at longer times.</w:t>
      </w:r>
      <w:r w:rsidR="00687B23" w:rsidRPr="00963288">
        <w:t xml:space="preserve"> </w:t>
      </w:r>
      <w:r w:rsidR="005E0A35" w:rsidRPr="00963288">
        <w:t>However, prolonged ultrasound application in laboratory-scale systems tend to induce a moderate temperature increase which then also contributes to enhance extraction efficiency at extended sonication times. As expected, a solid</w:t>
      </w:r>
      <w:r w:rsidR="005E0A35" w:rsidRPr="00963288">
        <w:rPr>
          <w:rFonts w:ascii="Cambria Math" w:hAnsi="Cambria Math" w:cs="Cambria Math"/>
        </w:rPr>
        <w:t>‐</w:t>
      </w:r>
      <w:r w:rsidR="005E0A35" w:rsidRPr="00963288">
        <w:t>to</w:t>
      </w:r>
      <w:r w:rsidR="005E0A35" w:rsidRPr="00963288">
        <w:rPr>
          <w:rFonts w:ascii="Cambria Math" w:hAnsi="Cambria Math" w:cs="Cambria Math"/>
        </w:rPr>
        <w:t>‐</w:t>
      </w:r>
      <w:r w:rsidR="005E0A35" w:rsidRPr="00963288">
        <w:t>solvent ratio of 1:50 (relative to 1:5) reduces solvent saturation while providing a higher driving force, achieving ergosterol yields reached approximately 18</w:t>
      </w:r>
      <w:r w:rsidR="005E0A35" w:rsidRPr="00963288">
        <w:rPr>
          <w:rFonts w:cs="Arial"/>
        </w:rPr>
        <w:t>–</w:t>
      </w:r>
      <w:r w:rsidR="005E0A35" w:rsidRPr="00963288">
        <w:t>19 mg/</w:t>
      </w:r>
      <w:proofErr w:type="spellStart"/>
      <w:r w:rsidR="005E0A35" w:rsidRPr="00963288">
        <w:t>g</w:t>
      </w:r>
      <w:r w:rsidR="005E0A35" w:rsidRPr="00963288">
        <w:rPr>
          <w:vertAlign w:val="subscript"/>
        </w:rPr>
        <w:t>DM</w:t>
      </w:r>
      <w:proofErr w:type="spellEnd"/>
      <w:r w:rsidR="005E0A35" w:rsidRPr="00963288">
        <w:t xml:space="preserve"> for white samples and 16</w:t>
      </w:r>
      <w:r w:rsidR="005E0A35" w:rsidRPr="00963288">
        <w:rPr>
          <w:rFonts w:cs="Arial"/>
        </w:rPr>
        <w:t>–</w:t>
      </w:r>
      <w:r w:rsidR="005E0A35" w:rsidRPr="00963288">
        <w:t>17 mg/</w:t>
      </w:r>
      <w:proofErr w:type="spellStart"/>
      <w:r w:rsidR="005E0A35" w:rsidRPr="00963288">
        <w:t>g</w:t>
      </w:r>
      <w:r w:rsidR="005E0A35" w:rsidRPr="00963288">
        <w:rPr>
          <w:vertAlign w:val="subscript"/>
        </w:rPr>
        <w:t>DM</w:t>
      </w:r>
      <w:proofErr w:type="spellEnd"/>
      <w:r w:rsidR="005E0A35" w:rsidRPr="00963288">
        <w:t xml:space="preserve"> for brown samples at 120 min, compared to maximum values of only ~11</w:t>
      </w:r>
      <w:r w:rsidR="005E0A35" w:rsidRPr="00963288">
        <w:rPr>
          <w:rFonts w:cs="Arial"/>
        </w:rPr>
        <w:t>–</w:t>
      </w:r>
      <w:r w:rsidR="005E0A35" w:rsidRPr="00963288">
        <w:t>12 mg/</w:t>
      </w:r>
      <w:proofErr w:type="spellStart"/>
      <w:r w:rsidR="005E0A35" w:rsidRPr="00963288">
        <w:t>g</w:t>
      </w:r>
      <w:r w:rsidR="005E0A35" w:rsidRPr="00963288">
        <w:rPr>
          <w:vertAlign w:val="subscript"/>
        </w:rPr>
        <w:t>DM</w:t>
      </w:r>
      <w:proofErr w:type="spellEnd"/>
      <w:r w:rsidR="005E0A35" w:rsidRPr="00963288">
        <w:t xml:space="preserve"> (white) and ~7</w:t>
      </w:r>
      <w:r w:rsidR="005E0A35" w:rsidRPr="00963288">
        <w:rPr>
          <w:rFonts w:cs="Arial"/>
        </w:rPr>
        <w:t>–</w:t>
      </w:r>
      <w:r w:rsidR="005E0A35" w:rsidRPr="00963288">
        <w:t>8 mg/</w:t>
      </w:r>
      <w:proofErr w:type="spellStart"/>
      <w:r w:rsidR="005E0A35" w:rsidRPr="00963288">
        <w:t>g</w:t>
      </w:r>
      <w:r w:rsidR="005E0A35" w:rsidRPr="00963288">
        <w:rPr>
          <w:vertAlign w:val="subscript"/>
        </w:rPr>
        <w:t>DM</w:t>
      </w:r>
      <w:proofErr w:type="spellEnd"/>
      <w:r w:rsidR="005E0A35" w:rsidRPr="00963288">
        <w:t xml:space="preserve"> (brown) at a ratio of 1:5 (</w:t>
      </w:r>
      <w:r w:rsidR="005E0A35" w:rsidRPr="00963288">
        <w:rPr>
          <w:b/>
          <w:bCs/>
        </w:rPr>
        <w:t>Figure 2</w:t>
      </w:r>
      <w:r w:rsidR="005E0A35" w:rsidRPr="00963288">
        <w:t>). Moreover, the higher yields obtained with BUAE relative to conventional UAE indicate that, in addition to cavitation-driven microstreaming and particle surface erosion associated with ultrasound, the incorporation of glass-bead provides additional mechanical shear, thereby enhancing solvent penetration and ergosterol release from the matrix (</w:t>
      </w:r>
      <w:r w:rsidR="005E0A35" w:rsidRPr="00963288">
        <w:rPr>
          <w:b/>
          <w:bCs/>
        </w:rPr>
        <w:t>Figure 1g</w:t>
      </w:r>
      <w:r w:rsidR="005E0A35" w:rsidRPr="00963288">
        <w:t>). UA</w:t>
      </w:r>
      <w:r w:rsidR="00F33D25" w:rsidRPr="00963288">
        <w:t>E</w:t>
      </w:r>
      <w:r w:rsidR="005E0A35" w:rsidRPr="00963288">
        <w:t xml:space="preserve"> also promotes fragmentation of the matrix into smaller particles, thereby increasing surface area and facilitating the extraction of ergosterol, resulting in a polydisperse particle size distribution. For larger granules (i.e., in the </w:t>
      </w:r>
      <w:proofErr w:type="spellStart"/>
      <w:r w:rsidR="005E0A35" w:rsidRPr="00963288">
        <w:t>μm</w:t>
      </w:r>
      <w:proofErr w:type="spellEnd"/>
      <w:r w:rsidR="005E0A35" w:rsidRPr="00963288">
        <w:t>-mm range), the effects of ultrasound treatment are clearly observable (</w:t>
      </w:r>
      <w:r w:rsidR="005E0A35" w:rsidRPr="00963288">
        <w:rPr>
          <w:b/>
          <w:bCs/>
        </w:rPr>
        <w:t>Figure 1f</w:t>
      </w:r>
      <w:r w:rsidR="005E0A35" w:rsidRPr="00963288">
        <w:t>), while the combined application of ultrasound and glass beads produces more pronounced mechanical abrasion features (</w:t>
      </w:r>
      <w:r w:rsidR="005E0A35" w:rsidRPr="00963288">
        <w:rPr>
          <w:b/>
          <w:bCs/>
        </w:rPr>
        <w:t>Figure 1g</w:t>
      </w:r>
      <w:r w:rsidR="005E0A35" w:rsidRPr="00963288">
        <w:t>). Ergosterol can be observed as a white solid deposited on the surface of the powder granules after UA</w:t>
      </w:r>
      <w:r w:rsidR="00F33D25" w:rsidRPr="00963288">
        <w:t>E</w:t>
      </w:r>
      <w:r w:rsidR="005E0A35" w:rsidRPr="00963288">
        <w:t xml:space="preserve"> and BUAE treatments.</w:t>
      </w:r>
    </w:p>
    <w:p w14:paraId="284EE658" w14:textId="2008C491" w:rsidR="00F05109" w:rsidRPr="00963288" w:rsidRDefault="00F05109" w:rsidP="00F807EE">
      <w:pPr>
        <w:pStyle w:val="CETBodytext"/>
      </w:pPr>
      <w:r w:rsidRPr="00963288">
        <w:t>L</w:t>
      </w:r>
      <w:r w:rsidR="00F807EE" w:rsidRPr="00963288">
        <w:t>ong</w:t>
      </w:r>
      <w:r w:rsidR="00F807EE" w:rsidRPr="00963288">
        <w:rPr>
          <w:rFonts w:ascii="Cambria Math" w:hAnsi="Cambria Math" w:cs="Cambria Math"/>
        </w:rPr>
        <w:t>‐</w:t>
      </w:r>
      <w:r w:rsidR="00F807EE" w:rsidRPr="00963288">
        <w:t xml:space="preserve">term extraction (LTE, 30 days) achieves comparable yields under mild, low-energy conditions, which explains its widespread use at the household level; however, extended processing times limit the applicability for intensified or industrial-scale extraction. The higher extraction efficiency observed for powdered samples in LTE (compared to pieces) highlights the role of particle size reduction in increasing specific surface (approximately doubled yields). Overall, these results identify BUAE operated at extraction times in the 90 min range and high solvent ratios as the most efficient and scalable strategy, offering a favorable trade-off. </w:t>
      </w:r>
    </w:p>
    <w:p w14:paraId="279790F0" w14:textId="76060EDC" w:rsidR="000F4FB4" w:rsidRDefault="0022387D" w:rsidP="008D1140">
      <w:pPr>
        <w:pStyle w:val="CETBodytext"/>
      </w:pPr>
      <w:r w:rsidRPr="00963288">
        <w:t>Lastly, t</w:t>
      </w:r>
      <w:r w:rsidR="00F807EE" w:rsidRPr="00963288">
        <w:t>he extraction and quantification of ergosterol from fungal matrices remain insufficiently standardized</w:t>
      </w:r>
      <w:r w:rsidR="008831FE" w:rsidRPr="00963288">
        <w:t xml:space="preserve"> </w:t>
      </w:r>
      <w:r w:rsidR="00F807EE" w:rsidRPr="00963288">
        <w:t xml:space="preserve">and reported ergosterol contents in the literature often span broad ranges depending on </w:t>
      </w:r>
      <w:r w:rsidR="00EC12C9" w:rsidRPr="00963288">
        <w:t xml:space="preserve">employed </w:t>
      </w:r>
      <w:r w:rsidR="00F807EE" w:rsidRPr="00963288">
        <w:t>analytical protocol</w:t>
      </w:r>
      <w:r w:rsidR="00EC12C9" w:rsidRPr="00963288">
        <w:t>s</w:t>
      </w:r>
      <w:bookmarkStart w:id="5" w:name="_Hlk219882968"/>
      <w:r w:rsidR="00F807EE" w:rsidRPr="00963288">
        <w:t xml:space="preserve"> </w:t>
      </w:r>
      <w:bookmarkEnd w:id="5"/>
      <w:r w:rsidR="00F807EE" w:rsidRPr="00963288">
        <w:t>(Wilkes, 2023). Indeed, ergosterol determination typically relies on multi-step procedures involving different solvents, saponification and derivatization steps, which increase methodological complexity and are prone to experimental losses. In contrast, ethanol-based ultrasound-assisted extraction has been shown to be a robust and effective approach for disrupting fungal matrices and promoting substantial ergosterol release, while reducing procedural complexity and providing consistent results. Moreover, key process parameters</w:t>
      </w:r>
      <w:r w:rsidR="00F4009A" w:rsidRPr="00963288">
        <w:t xml:space="preserve"> (e.g., </w:t>
      </w:r>
      <w:r w:rsidR="00F807EE" w:rsidRPr="00963288">
        <w:t>solvent-to-solid ratio, extraction temperature, energy input, and particle size reduction</w:t>
      </w:r>
      <w:r w:rsidR="00F4009A" w:rsidRPr="00963288">
        <w:t xml:space="preserve">) </w:t>
      </w:r>
      <w:r w:rsidR="00F807EE" w:rsidRPr="00963288">
        <w:t xml:space="preserve">are often not systematically controlled or reported, despite their relevance for process development. </w:t>
      </w:r>
      <w:r w:rsidR="00ED5FAD" w:rsidRPr="00963288">
        <w:t>Importantly</w:t>
      </w:r>
      <w:r w:rsidR="00F807EE" w:rsidRPr="00963288">
        <w:t xml:space="preserve">, knowledge gaps persist regarding fundamental physicochemical properties of ergosterol, as attempts to model its solubility and spectroscopic behavior have revealed significant limitations, </w:t>
      </w:r>
      <w:r w:rsidR="00CF4F22" w:rsidRPr="00963288">
        <w:t xml:space="preserve">e.g., </w:t>
      </w:r>
      <w:r w:rsidR="00F807EE" w:rsidRPr="00963288">
        <w:t xml:space="preserve">the inability of theoretical simulations to reproduce all experimentally observed UV absorption features </w:t>
      </w:r>
      <w:bookmarkStart w:id="6" w:name="_Hlk219882976"/>
      <w:r w:rsidR="00F807EE" w:rsidRPr="00963288">
        <w:t>(</w:t>
      </w:r>
      <w:proofErr w:type="spellStart"/>
      <w:r w:rsidR="00F807EE" w:rsidRPr="00963288">
        <w:t>Balcers</w:t>
      </w:r>
      <w:proofErr w:type="spellEnd"/>
      <w:r w:rsidR="00F807EE" w:rsidRPr="00963288">
        <w:t xml:space="preserve">, Miranda and </w:t>
      </w:r>
      <w:proofErr w:type="spellStart"/>
      <w:r w:rsidR="00F807EE" w:rsidRPr="00963288">
        <w:t>Veilande</w:t>
      </w:r>
      <w:proofErr w:type="spellEnd"/>
      <w:r w:rsidR="00F807EE" w:rsidRPr="00963288">
        <w:t>, 2022).</w:t>
      </w:r>
      <w:bookmarkEnd w:id="6"/>
    </w:p>
    <w:p w14:paraId="1B556FED" w14:textId="7E9E5797" w:rsidR="000F4FB4" w:rsidRPr="00963288" w:rsidRDefault="00214105" w:rsidP="008D1140">
      <w:pPr>
        <w:pStyle w:val="CETBodytext"/>
      </w:pPr>
      <w:r>
        <w:rPr>
          <w:noProof/>
        </w:rPr>
        <w:drawing>
          <wp:inline distT="0" distB="0" distL="0" distR="0" wp14:anchorId="1B93310C" wp14:editId="6B25F5B0">
            <wp:extent cx="5579745" cy="2011680"/>
            <wp:effectExtent l="0" t="0" r="1905" b="7620"/>
            <wp:docPr id="1116652183" name="Chart 1">
              <a:extLst xmlns:a="http://schemas.openxmlformats.org/drawingml/2006/main">
                <a:ext uri="{FF2B5EF4-FFF2-40B4-BE49-F238E27FC236}">
                  <a16:creationId xmlns:a16="http://schemas.microsoft.com/office/drawing/2014/main" id="{58DAC922-55D5-49A3-A3DC-6068AABFD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5E4D56" w14:textId="20AF11AF" w:rsidR="00B862B4" w:rsidRPr="00214105" w:rsidRDefault="00B862B4" w:rsidP="00214105">
      <w:pPr>
        <w:pStyle w:val="CETCaption"/>
        <w:rPr>
          <w:i w:val="0"/>
        </w:rPr>
      </w:pPr>
      <w:r w:rsidRPr="00214105">
        <w:rPr>
          <w:rStyle w:val="CETCaptionCarattere"/>
          <w:i/>
          <w:lang w:val="en-US"/>
        </w:rPr>
        <w:t>Figure 2: Extraction yields for the different tested samples, solid-to-solvent ratios and extraction techniques</w:t>
      </w:r>
      <w:r w:rsidRPr="00214105">
        <w:rPr>
          <w:i w:val="0"/>
        </w:rPr>
        <w:t xml:space="preserve"> </w:t>
      </w:r>
    </w:p>
    <w:p w14:paraId="23734123" w14:textId="0A2BFC69" w:rsidR="002B1EFA" w:rsidRPr="00963288" w:rsidRDefault="00A77768" w:rsidP="002B1EFA">
      <w:pPr>
        <w:pStyle w:val="CETheadingx"/>
      </w:pPr>
      <w:r w:rsidRPr="00963288">
        <w:t>Characterization of ergosterol photoconversion kinetics</w:t>
      </w:r>
    </w:p>
    <w:p w14:paraId="3033A998" w14:textId="6573BA53" w:rsidR="00A6270D" w:rsidRPr="00963288" w:rsidRDefault="00FA5202" w:rsidP="00A6270D">
      <w:pPr>
        <w:pStyle w:val="CETBodytext"/>
        <w:rPr>
          <w:rStyle w:val="CETBodytextCarattere"/>
        </w:rPr>
      </w:pPr>
      <w:r w:rsidRPr="00963288">
        <w:t>For the kinetic and conversion studies of ergosterol to vitamin D</w:t>
      </w:r>
      <w:r w:rsidRPr="00963288">
        <w:rPr>
          <w:rFonts w:ascii="Cambria Math" w:hAnsi="Cambria Math" w:cs="Cambria Math"/>
        </w:rPr>
        <w:t>₂</w:t>
      </w:r>
      <w:r w:rsidRPr="00963288">
        <w:t xml:space="preserve">, experimental runs were conducted using both a model solution of ergosterol in ethanol and ethanolic extracts of </w:t>
      </w:r>
      <w:r w:rsidRPr="00963288">
        <w:rPr>
          <w:i/>
          <w:iCs/>
        </w:rPr>
        <w:t>Agaricus bisporus</w:t>
      </w:r>
      <w:r w:rsidRPr="00963288">
        <w:t xml:space="preserve">, as described in </w:t>
      </w:r>
      <w:r w:rsidRPr="00963288">
        <w:rPr>
          <w:b/>
          <w:bCs/>
        </w:rPr>
        <w:t>Section 3.1</w:t>
      </w:r>
      <w:r w:rsidRPr="00963288">
        <w:t xml:space="preserve">. The kinetics analysis was performed by testing the hypothesis that the photochemical </w:t>
      </w:r>
      <w:r w:rsidR="00F20E3C" w:rsidRPr="00963288">
        <w:t>conversion</w:t>
      </w:r>
      <w:r w:rsidR="00470C6C" w:rsidRPr="00963288">
        <w:t xml:space="preserve"> o</w:t>
      </w:r>
      <w:r w:rsidR="00CA3636" w:rsidRPr="00963288">
        <w:t>f</w:t>
      </w:r>
      <w:r w:rsidR="00470C6C" w:rsidRPr="00963288">
        <w:t xml:space="preserve"> ergosterol </w:t>
      </w:r>
      <w:r w:rsidRPr="00963288">
        <w:t>can be described by either zero</w:t>
      </w:r>
      <w:r w:rsidR="00F20E3C" w:rsidRPr="00963288">
        <w:t>-</w:t>
      </w:r>
      <w:r w:rsidRPr="00963288">
        <w:t xml:space="preserve"> or first-order kinetic models.</w:t>
      </w:r>
      <w:r w:rsidR="002113DA" w:rsidRPr="00963288">
        <w:t xml:space="preserve"> </w:t>
      </w:r>
      <w:r w:rsidR="00F20E3C" w:rsidRPr="00963288">
        <w:t xml:space="preserve">The percentual conversion of ergosterol </w:t>
      </w:r>
      <w:r w:rsidR="00F20E3C" w:rsidRPr="00963288">
        <w:lastRenderedPageBreak/>
        <w:t xml:space="preserve">observed in the present study is comparable to values reported previously for </w:t>
      </w:r>
      <w:r w:rsidR="00F20E3C" w:rsidRPr="00963288">
        <w:rPr>
          <w:i/>
          <w:iCs/>
        </w:rPr>
        <w:t>Agaricus bisporus</w:t>
      </w:r>
      <w:r w:rsidR="00F20E3C" w:rsidRPr="00963288">
        <w:t xml:space="preserve"> under UV irradiation. For example</w:t>
      </w:r>
      <w:bookmarkStart w:id="7" w:name="_Hlk219882989"/>
      <w:r w:rsidR="00F20E3C" w:rsidRPr="00963288">
        <w:t xml:space="preserve">, </w:t>
      </w:r>
      <w:bookmarkEnd w:id="7"/>
      <w:r w:rsidR="00424B91" w:rsidRPr="00963288">
        <w:t xml:space="preserve">(Hu </w:t>
      </w:r>
      <w:r w:rsidR="00424B91" w:rsidRPr="00963288">
        <w:rPr>
          <w:i/>
          <w:iCs/>
        </w:rPr>
        <w:t>et al</w:t>
      </w:r>
      <w:r w:rsidR="00424B91" w:rsidRPr="00963288">
        <w:t>., 2021)</w:t>
      </w:r>
      <w:r w:rsidR="00F20E3C" w:rsidRPr="00963288">
        <w:t xml:space="preserve"> reported ergosterol decreases of approximately 30–50 % following UV radiation (also in similar time intervals) with the highest reductions observed for ethanolic suspensions (compared to fresh samples). In the present work, ergosterol </w:t>
      </w:r>
      <w:r w:rsidR="006D6E2E" w:rsidRPr="00963288">
        <w:t xml:space="preserve">conversion in </w:t>
      </w:r>
      <w:r w:rsidR="00F20E3C" w:rsidRPr="00963288">
        <w:t xml:space="preserve">the model solution reached c. 40 %, while ethanolic extracts exhibited substantial but lower conversions, reaching up to </w:t>
      </w:r>
      <w:r w:rsidR="006D6E2E" w:rsidRPr="00963288">
        <w:t>c. 2</w:t>
      </w:r>
      <w:r w:rsidR="00F20E3C" w:rsidRPr="00963288">
        <w:t xml:space="preserve">0 % for white extracts and 30–35 </w:t>
      </w:r>
      <w:r w:rsidR="00F20E3C" w:rsidRPr="00963288">
        <w:rPr>
          <w:rStyle w:val="CETBodytextCarattere"/>
        </w:rPr>
        <w:t xml:space="preserve">% for brown extracts under the investigated conditions. </w:t>
      </w:r>
      <w:r w:rsidR="00A6270D" w:rsidRPr="00963288">
        <w:rPr>
          <w:rStyle w:val="CETBodytextCarattere"/>
        </w:rPr>
        <w:t>However, ergosterol consumption did not translate proportionally into vitamin D</w:t>
      </w:r>
      <w:r w:rsidR="00A6270D" w:rsidRPr="00963288">
        <w:rPr>
          <w:rStyle w:val="CETBodytextCarattere"/>
          <w:rFonts w:ascii="Cambria Math" w:hAnsi="Cambria Math" w:cs="Cambria Math"/>
        </w:rPr>
        <w:t>₂</w:t>
      </w:r>
      <w:r w:rsidR="00A6270D" w:rsidRPr="00963288">
        <w:rPr>
          <w:rStyle w:val="CETBodytextCarattere"/>
        </w:rPr>
        <w:t xml:space="preserve"> formation, which remained below 1 % (</w:t>
      </w:r>
      <w:r w:rsidR="00A6270D" w:rsidRPr="00963288">
        <w:rPr>
          <w:rStyle w:val="CETBodytextCarattere"/>
          <w:b/>
          <w:bCs/>
        </w:rPr>
        <w:t>Figure 3</w:t>
      </w:r>
      <w:r w:rsidR="00A6270D" w:rsidRPr="00963288">
        <w:rPr>
          <w:rStyle w:val="CETBodytextCarattere"/>
        </w:rPr>
        <w:t>). This behavior is consistent with the established photochemistry of provitamins D, where UV irradiation rapidly leads to a quasi-</w:t>
      </w:r>
      <w:proofErr w:type="spellStart"/>
      <w:r w:rsidR="00A6270D" w:rsidRPr="00963288">
        <w:rPr>
          <w:rStyle w:val="CETBodytextCarattere"/>
        </w:rPr>
        <w:t>photostationary</w:t>
      </w:r>
      <w:proofErr w:type="spellEnd"/>
      <w:r w:rsidR="00A6270D" w:rsidRPr="00963288">
        <w:rPr>
          <w:rStyle w:val="CETBodytextCarattere"/>
        </w:rPr>
        <w:t xml:space="preserve"> mixture of pre-vitamin D</w:t>
      </w:r>
      <w:r w:rsidR="00A6270D" w:rsidRPr="00963288">
        <w:rPr>
          <w:rStyle w:val="CETBodytextCarattere"/>
          <w:rFonts w:ascii="Cambria Math" w:hAnsi="Cambria Math" w:cs="Cambria Math"/>
        </w:rPr>
        <w:t>₂</w:t>
      </w:r>
      <w:r w:rsidR="00A6270D" w:rsidRPr="00963288">
        <w:rPr>
          <w:rStyle w:val="CETBodytextCarattere"/>
        </w:rPr>
        <w:t>, lumisterol</w:t>
      </w:r>
      <w:r w:rsidR="00A6270D" w:rsidRPr="00963288">
        <w:rPr>
          <w:rStyle w:val="CETBodytextCarattere"/>
          <w:rFonts w:ascii="Cambria Math" w:hAnsi="Cambria Math" w:cs="Cambria Math"/>
        </w:rPr>
        <w:t>₂</w:t>
      </w:r>
      <w:r w:rsidR="00A6270D" w:rsidRPr="00963288">
        <w:rPr>
          <w:rStyle w:val="CETBodytextCarattere"/>
        </w:rPr>
        <w:t xml:space="preserve"> (L), and </w:t>
      </w:r>
      <w:proofErr w:type="spellStart"/>
      <w:r w:rsidR="00A6270D" w:rsidRPr="00963288">
        <w:rPr>
          <w:rStyle w:val="CETBodytextCarattere"/>
        </w:rPr>
        <w:t>tachysterol</w:t>
      </w:r>
      <w:proofErr w:type="spellEnd"/>
      <w:r w:rsidR="00A6270D" w:rsidRPr="00963288">
        <w:rPr>
          <w:rStyle w:val="CETBodytextCarattere"/>
          <w:rFonts w:ascii="Cambria Math" w:hAnsi="Cambria Math" w:cs="Cambria Math"/>
        </w:rPr>
        <w:t>₂</w:t>
      </w:r>
      <w:r w:rsidR="00A6270D" w:rsidRPr="00963288">
        <w:rPr>
          <w:rStyle w:val="CETBodytextCarattere"/>
        </w:rPr>
        <w:t xml:space="preserve"> (T), followed by the progressive formation of irreversible over-irradiation products (</w:t>
      </w:r>
      <w:proofErr w:type="spellStart"/>
      <w:r w:rsidR="00A6270D" w:rsidRPr="00963288">
        <w:rPr>
          <w:rStyle w:val="CETBodytextCarattere"/>
        </w:rPr>
        <w:t>toxisterols</w:t>
      </w:r>
      <w:proofErr w:type="spellEnd"/>
      <w:r w:rsidR="00A6270D" w:rsidRPr="00963288">
        <w:rPr>
          <w:rStyle w:val="CETBodytextCarattere"/>
        </w:rPr>
        <w:t xml:space="preserve">) upon prolonged exposure. Similar time-scale effects have been reported for provitamin D photoisomerization under UV irradiation, where extended irradiation predominantly favors </w:t>
      </w:r>
      <w:r w:rsidR="006B6BD4" w:rsidRPr="00963288">
        <w:rPr>
          <w:rStyle w:val="CETBodytextCarattere"/>
        </w:rPr>
        <w:t>other</w:t>
      </w:r>
      <w:r w:rsidR="00A6270D" w:rsidRPr="00963288">
        <w:rPr>
          <w:rStyle w:val="CETBodytextCarattere"/>
        </w:rPr>
        <w:t xml:space="preserve"> photochemical pathways rather than vitamin </w:t>
      </w:r>
      <w:r w:rsidR="00F33D25" w:rsidRPr="00963288">
        <w:rPr>
          <w:rStyle w:val="CETBodytextCarattere"/>
        </w:rPr>
        <w:t>D</w:t>
      </w:r>
      <w:r w:rsidR="00F33D25" w:rsidRPr="00963288">
        <w:rPr>
          <w:rStyle w:val="CETBodytextCarattere"/>
          <w:vertAlign w:val="subscript"/>
        </w:rPr>
        <w:t>2</w:t>
      </w:r>
      <w:r w:rsidR="00A6270D" w:rsidRPr="00963288">
        <w:rPr>
          <w:rStyle w:val="CETBodytextCarattere"/>
        </w:rPr>
        <w:t xml:space="preserve"> accumulation </w:t>
      </w:r>
      <w:bookmarkStart w:id="8" w:name="_Hlk219883000"/>
      <w:r w:rsidR="00424B91" w:rsidRPr="00963288">
        <w:rPr>
          <w:rStyle w:val="CETBodytextCarattere"/>
        </w:rPr>
        <w:t>(</w:t>
      </w:r>
      <w:proofErr w:type="spellStart"/>
      <w:r w:rsidR="00424B91" w:rsidRPr="00963288">
        <w:rPr>
          <w:rStyle w:val="CETBodytextCarattere"/>
        </w:rPr>
        <w:t>Terenetskaya</w:t>
      </w:r>
      <w:proofErr w:type="spellEnd"/>
      <w:r w:rsidR="00424B91" w:rsidRPr="00963288">
        <w:rPr>
          <w:rStyle w:val="CETBodytextCarattere"/>
        </w:rPr>
        <w:t xml:space="preserve">, </w:t>
      </w:r>
      <w:proofErr w:type="spellStart"/>
      <w:r w:rsidR="00424B91" w:rsidRPr="00963288">
        <w:rPr>
          <w:rStyle w:val="CETBodytextCarattere"/>
        </w:rPr>
        <w:t>Perminova</w:t>
      </w:r>
      <w:proofErr w:type="spellEnd"/>
      <w:r w:rsidR="00424B91" w:rsidRPr="00963288">
        <w:rPr>
          <w:rStyle w:val="CETBodytextCarattere"/>
        </w:rPr>
        <w:t xml:space="preserve"> and Yeremenko, 1990)</w:t>
      </w:r>
      <w:r w:rsidR="00A6270D" w:rsidRPr="00963288">
        <w:rPr>
          <w:rStyle w:val="CETBodytextCarattere"/>
        </w:rPr>
        <w:t>.</w:t>
      </w:r>
      <w:r w:rsidR="009F7A4A" w:rsidRPr="00963288">
        <w:rPr>
          <w:rStyle w:val="CETBodytextCarattere"/>
        </w:rPr>
        <w:t xml:space="preserve"> </w:t>
      </w:r>
      <w:bookmarkEnd w:id="8"/>
      <w:r w:rsidR="009F7A4A" w:rsidRPr="00963288">
        <w:rPr>
          <w:rStyle w:val="CETBodytextCarattere"/>
        </w:rPr>
        <w:t xml:space="preserve">Hence, reaction selectivity, adequate UV doses, and irradiation setup parameters, as well as the dynamic behavior of competing </w:t>
      </w:r>
      <w:r w:rsidR="00D278AB" w:rsidRPr="00963288">
        <w:rPr>
          <w:rStyle w:val="CETBodytextCarattere"/>
        </w:rPr>
        <w:t>(</w:t>
      </w:r>
      <w:r w:rsidR="009F7A4A" w:rsidRPr="00963288">
        <w:rPr>
          <w:rStyle w:val="CETBodytextCarattere"/>
        </w:rPr>
        <w:t>photo</w:t>
      </w:r>
      <w:r w:rsidR="00D278AB" w:rsidRPr="00963288">
        <w:rPr>
          <w:rStyle w:val="CETBodytextCarattere"/>
        </w:rPr>
        <w:t>)</w:t>
      </w:r>
      <w:r w:rsidR="009F7A4A" w:rsidRPr="00963288">
        <w:rPr>
          <w:rStyle w:val="CETBodytextCarattere"/>
        </w:rPr>
        <w:t xml:space="preserve">isomers, require further </w:t>
      </w:r>
      <w:r w:rsidR="00D278AB" w:rsidRPr="00963288">
        <w:rPr>
          <w:rStyle w:val="CETBodytextCarattere"/>
        </w:rPr>
        <w:t>research</w:t>
      </w:r>
      <w:r w:rsidR="009F7A4A" w:rsidRPr="00963288">
        <w:rPr>
          <w:rStyle w:val="CETBodytextCarattere"/>
        </w:rPr>
        <w:t xml:space="preserve"> to enable a more selective steering of the photochemical conversion towards the product of interest.</w:t>
      </w:r>
    </w:p>
    <w:p w14:paraId="11FB79EB" w14:textId="23B6874D" w:rsidR="00525931" w:rsidRPr="00963288" w:rsidRDefault="0047001F" w:rsidP="00A6270D">
      <w:pPr>
        <w:pStyle w:val="CETBodytext"/>
        <w:rPr>
          <w:szCs w:val="18"/>
        </w:rPr>
      </w:pPr>
      <w:r>
        <w:rPr>
          <w:noProof/>
        </w:rPr>
        <w:drawing>
          <wp:inline distT="0" distB="0" distL="0" distR="0" wp14:anchorId="0EE48E32" wp14:editId="4AC39C9F">
            <wp:extent cx="5549900" cy="1660358"/>
            <wp:effectExtent l="0" t="0" r="0" b="0"/>
            <wp:docPr id="675281922" name="Chart 1">
              <a:extLst xmlns:a="http://schemas.openxmlformats.org/drawingml/2006/main">
                <a:ext uri="{FF2B5EF4-FFF2-40B4-BE49-F238E27FC236}">
                  <a16:creationId xmlns:a16="http://schemas.microsoft.com/office/drawing/2014/main" id="{AACA2160-6C45-4EF2-A98E-7C204BE52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D1BDB1" w14:textId="054BC152" w:rsidR="00394EC4" w:rsidRPr="00963288" w:rsidRDefault="00CA3636" w:rsidP="00787A6D">
      <w:pPr>
        <w:pStyle w:val="CETCaption"/>
        <w:rPr>
          <w:lang w:val="en-US"/>
        </w:rPr>
      </w:pPr>
      <w:r w:rsidRPr="00963288">
        <w:rPr>
          <w:lang w:val="en-US"/>
        </w:rPr>
        <w:t xml:space="preserve">Figure </w:t>
      </w:r>
      <w:r w:rsidR="00F20E3C" w:rsidRPr="00963288">
        <w:rPr>
          <w:lang w:val="en-US"/>
        </w:rPr>
        <w:t>3</w:t>
      </w:r>
      <w:r w:rsidRPr="00963288">
        <w:rPr>
          <w:lang w:val="en-US"/>
        </w:rPr>
        <w:t xml:space="preserve">. Time evolution of ergosterol photoconversion in the model ergosterol solution, white and brown Agaricus </w:t>
      </w:r>
      <w:r w:rsidR="00F33D25" w:rsidRPr="00963288">
        <w:rPr>
          <w:lang w:val="en-US"/>
        </w:rPr>
        <w:t>b</w:t>
      </w:r>
      <w:r w:rsidRPr="00963288">
        <w:rPr>
          <w:lang w:val="en-US"/>
        </w:rPr>
        <w:t>isporus mushroom ethanolic extracts under UVB irradiation</w:t>
      </w:r>
      <w:r w:rsidR="00787A6D" w:rsidRPr="00963288">
        <w:rPr>
          <w:lang w:val="en-US"/>
        </w:rPr>
        <w:t xml:space="preserve"> </w:t>
      </w:r>
    </w:p>
    <w:p w14:paraId="628DC9BB" w14:textId="6FE55763" w:rsidR="00F20E3C" w:rsidRPr="00963288" w:rsidRDefault="00F20E3C" w:rsidP="00F20E3C">
      <w:pPr>
        <w:pStyle w:val="CETBodytext"/>
      </w:pPr>
      <w:r w:rsidRPr="00963288">
        <w:t xml:space="preserve">Kinetic parameters reported in </w:t>
      </w:r>
      <w:r w:rsidRPr="00963288">
        <w:rPr>
          <w:b/>
          <w:bCs/>
        </w:rPr>
        <w:t>Table 1</w:t>
      </w:r>
      <w:r w:rsidRPr="00963288">
        <w:t xml:space="preserve"> highlight clear differences between the model ergosterol solution and the mushroom extracts, as well as between the two </w:t>
      </w:r>
      <w:r w:rsidR="00787A6D" w:rsidRPr="00963288">
        <w:t xml:space="preserve">tested </w:t>
      </w:r>
      <w:r w:rsidRPr="00963288">
        <w:t xml:space="preserve">kinetic orders. For the model ergosterol solution, both zero- and first-order models provide </w:t>
      </w:r>
      <w:r w:rsidR="00C37410" w:rsidRPr="00963288">
        <w:t>strong</w:t>
      </w:r>
      <w:r w:rsidRPr="00963288">
        <w:t xml:space="preserve"> fits to experimental data, as reflected by the high coefficients of determination (</w:t>
      </w:r>
      <w:r w:rsidR="008C3A19" w:rsidRPr="00963288">
        <w:t>R</w:t>
      </w:r>
      <w:r w:rsidR="008C3A19" w:rsidRPr="00963288">
        <w:rPr>
          <w:vertAlign w:val="superscript"/>
        </w:rPr>
        <w:t>2</w:t>
      </w:r>
      <w:r w:rsidRPr="00963288">
        <w:t xml:space="preserve">≈0.99) and the relatively low standard deviations </w:t>
      </w:r>
      <w:r w:rsidR="00C37410" w:rsidRPr="00963288">
        <w:t xml:space="preserve">of the </w:t>
      </w:r>
      <w:r w:rsidRPr="00963288">
        <w:t xml:space="preserve">estimated rate constants. This indicates a highly reproducible and well-defined photochemical system, in which reaction kinetics are governed primarily by controlled optical conditions and photon flux, with minimal interference from matrix effects. In contrast, ethanolic extracts exhibit significantly larger uncertainties in estimated kinetic parameters, particularly for the apparent rate constants. The higher relative errors observed for both </w:t>
      </w:r>
      <w:r w:rsidR="00C37410" w:rsidRPr="00963288">
        <w:t>(</w:t>
      </w:r>
      <w:r w:rsidRPr="00963288">
        <w:t>white and brown</w:t>
      </w:r>
      <w:r w:rsidR="00C37410" w:rsidRPr="00963288">
        <w:t>)</w:t>
      </w:r>
      <w:r w:rsidRPr="00963288">
        <w:t xml:space="preserve"> extracts reflect the increased experimental variability inherent to complex biological matrices, including heterogeneous light absorption, scattering, and the presence of additional UV-active compounds. </w:t>
      </w:r>
    </w:p>
    <w:p w14:paraId="6A5167CF" w14:textId="74101653" w:rsidR="00600535" w:rsidRPr="00963288" w:rsidRDefault="00600535" w:rsidP="00600535">
      <w:pPr>
        <w:pStyle w:val="CETTabletitle"/>
        <w:rPr>
          <w:sz w:val="20"/>
          <w:szCs w:val="22"/>
          <w:lang w:val="en-US"/>
        </w:rPr>
      </w:pPr>
      <w:r w:rsidRPr="00963288">
        <w:rPr>
          <w:sz w:val="20"/>
          <w:szCs w:val="22"/>
          <w:lang w:val="en-US"/>
        </w:rPr>
        <w:t xml:space="preserve">Table 1: </w:t>
      </w:r>
      <w:r w:rsidR="00394EC4" w:rsidRPr="00963288">
        <w:rPr>
          <w:sz w:val="20"/>
          <w:szCs w:val="22"/>
          <w:lang w:val="en-US"/>
        </w:rPr>
        <w:t xml:space="preserve">Kinetics </w:t>
      </w:r>
      <w:r w:rsidR="0035733E" w:rsidRPr="00963288">
        <w:rPr>
          <w:sz w:val="20"/>
          <w:szCs w:val="22"/>
          <w:lang w:val="en-US"/>
        </w:rPr>
        <w:t xml:space="preserve">parameters </w:t>
      </w:r>
      <w:r w:rsidR="00394EC4" w:rsidRPr="00963288">
        <w:rPr>
          <w:sz w:val="20"/>
          <w:szCs w:val="22"/>
          <w:lang w:val="en-US"/>
        </w:rPr>
        <w:t>of the ergosterol photoconversion</w:t>
      </w:r>
      <w:r w:rsidR="0035733E" w:rsidRPr="00963288">
        <w:rPr>
          <w:sz w:val="20"/>
          <w:szCs w:val="22"/>
          <w:lang w:val="en-US"/>
        </w:rPr>
        <w:t xml:space="preserve"> tests</w:t>
      </w:r>
      <w:r w:rsidR="00394EC4" w:rsidRPr="00963288">
        <w:rPr>
          <w:sz w:val="20"/>
          <w:szCs w:val="22"/>
          <w:lang w:val="en-US"/>
        </w:rPr>
        <w:t xml:space="preserve"> </w:t>
      </w:r>
      <w:r w:rsidR="00F20E3C" w:rsidRPr="00963288">
        <w:rPr>
          <w:sz w:val="20"/>
          <w:szCs w:val="22"/>
          <w:lang w:val="en-US"/>
        </w:rPr>
        <w:t>(for ergosterol, reagent)</w:t>
      </w:r>
    </w:p>
    <w:tbl>
      <w:tblPr>
        <w:tblW w:w="8666" w:type="dxa"/>
        <w:tblBorders>
          <w:top w:val="single" w:sz="12" w:space="0" w:color="008000"/>
          <w:insideH w:val="single" w:sz="12" w:space="0" w:color="008000"/>
        </w:tblBorders>
        <w:shd w:val="clear" w:color="auto" w:fill="FFFFFF"/>
        <w:tblCellMar>
          <w:left w:w="0" w:type="dxa"/>
          <w:right w:w="0" w:type="dxa"/>
        </w:tblCellMar>
        <w:tblLook w:val="00A0" w:firstRow="1" w:lastRow="0" w:firstColumn="1" w:lastColumn="0" w:noHBand="0" w:noVBand="0"/>
      </w:tblPr>
      <w:tblGrid>
        <w:gridCol w:w="2124"/>
        <w:gridCol w:w="1751"/>
        <w:gridCol w:w="1325"/>
        <w:gridCol w:w="2055"/>
        <w:gridCol w:w="1411"/>
      </w:tblGrid>
      <w:tr w:rsidR="003E0F0D" w:rsidRPr="00963288" w14:paraId="44B133D1" w14:textId="77777777" w:rsidTr="00C43CE1">
        <w:trPr>
          <w:trHeight w:val="106"/>
        </w:trPr>
        <w:tc>
          <w:tcPr>
            <w:tcW w:w="2124" w:type="dxa"/>
            <w:shd w:val="clear" w:color="auto" w:fill="FFFFFF"/>
          </w:tcPr>
          <w:p w14:paraId="298EED75" w14:textId="5CD87C93" w:rsidR="0035733E" w:rsidRPr="00963288" w:rsidRDefault="0035733E" w:rsidP="003E0F0D">
            <w:pPr>
              <w:pStyle w:val="CETBodytext"/>
              <w:jc w:val="center"/>
              <w:rPr>
                <w:rFonts w:cs="Arial"/>
                <w:i/>
                <w:iCs/>
                <w:szCs w:val="18"/>
              </w:rPr>
            </w:pPr>
            <w:r w:rsidRPr="00963288">
              <w:rPr>
                <w:rFonts w:cs="Arial"/>
                <w:i/>
                <w:iCs/>
                <w:szCs w:val="18"/>
              </w:rPr>
              <w:t>System</w:t>
            </w:r>
          </w:p>
        </w:tc>
        <w:tc>
          <w:tcPr>
            <w:tcW w:w="1751" w:type="dxa"/>
            <w:shd w:val="clear" w:color="auto" w:fill="FFFFFF"/>
          </w:tcPr>
          <w:p w14:paraId="6B38616A" w14:textId="782FE8DB" w:rsidR="0035733E" w:rsidRPr="00963288" w:rsidRDefault="0035733E" w:rsidP="003E0F0D">
            <w:pPr>
              <w:pStyle w:val="CETBodytext"/>
              <w:jc w:val="center"/>
              <w:rPr>
                <w:rFonts w:cs="Arial"/>
                <w:i/>
                <w:iCs/>
                <w:szCs w:val="18"/>
              </w:rPr>
            </w:pPr>
            <w:r w:rsidRPr="00963288">
              <w:rPr>
                <w:rFonts w:cs="Arial"/>
                <w:i/>
                <w:iCs/>
                <w:szCs w:val="18"/>
              </w:rPr>
              <w:t>k</w:t>
            </w:r>
            <w:r w:rsidRPr="00963288">
              <w:rPr>
                <w:rFonts w:ascii="Cambria Math" w:hAnsi="Cambria Math" w:cs="Cambria Math"/>
                <w:i/>
                <w:iCs/>
                <w:szCs w:val="18"/>
              </w:rPr>
              <w:t>₀</w:t>
            </w:r>
            <w:r w:rsidRPr="00963288">
              <w:rPr>
                <w:rFonts w:cs="Arial"/>
                <w:i/>
                <w:iCs/>
                <w:szCs w:val="18"/>
              </w:rPr>
              <w:t xml:space="preserve"> (g·L</w:t>
            </w:r>
            <w:r w:rsidRPr="00963288">
              <w:rPr>
                <w:rFonts w:ascii="Cambria Math" w:hAnsi="Cambria Math" w:cs="Cambria Math"/>
                <w:i/>
                <w:iCs/>
                <w:szCs w:val="18"/>
              </w:rPr>
              <w:t>⁻</w:t>
            </w:r>
            <w:r w:rsidRPr="00963288">
              <w:rPr>
                <w:rFonts w:cs="Arial"/>
                <w:i/>
                <w:iCs/>
                <w:szCs w:val="18"/>
              </w:rPr>
              <w:t>¹·min</w:t>
            </w:r>
            <w:r w:rsidRPr="00963288">
              <w:rPr>
                <w:rFonts w:ascii="Cambria Math" w:hAnsi="Cambria Math" w:cs="Cambria Math"/>
                <w:i/>
                <w:iCs/>
                <w:szCs w:val="18"/>
              </w:rPr>
              <w:t>⁻</w:t>
            </w:r>
            <w:r w:rsidRPr="00963288">
              <w:rPr>
                <w:rFonts w:cs="Arial"/>
                <w:i/>
                <w:iCs/>
                <w:szCs w:val="18"/>
              </w:rPr>
              <w:t>¹)</w:t>
            </w:r>
          </w:p>
        </w:tc>
        <w:tc>
          <w:tcPr>
            <w:tcW w:w="1325" w:type="dxa"/>
            <w:shd w:val="clear" w:color="auto" w:fill="FFFFFF"/>
          </w:tcPr>
          <w:p w14:paraId="6CFE1D63" w14:textId="61050CCC" w:rsidR="0035733E" w:rsidRPr="00963288" w:rsidRDefault="0035733E" w:rsidP="003E0F0D">
            <w:pPr>
              <w:pStyle w:val="CETBodytext"/>
              <w:jc w:val="center"/>
              <w:rPr>
                <w:rFonts w:cs="Arial"/>
                <w:i/>
                <w:iCs/>
                <w:szCs w:val="18"/>
              </w:rPr>
            </w:pPr>
            <w:r w:rsidRPr="00963288">
              <w:rPr>
                <w:rFonts w:cs="Arial"/>
                <w:i/>
                <w:iCs/>
                <w:szCs w:val="18"/>
              </w:rPr>
              <w:t>R² (0º)</w:t>
            </w:r>
          </w:p>
        </w:tc>
        <w:tc>
          <w:tcPr>
            <w:tcW w:w="2055" w:type="dxa"/>
            <w:shd w:val="clear" w:color="auto" w:fill="FFFFFF"/>
          </w:tcPr>
          <w:p w14:paraId="6BBA3ECC" w14:textId="19C8D60A" w:rsidR="0035733E" w:rsidRPr="00963288" w:rsidRDefault="0035733E" w:rsidP="003E0F0D">
            <w:pPr>
              <w:pStyle w:val="CETBodytext"/>
              <w:ind w:right="-1"/>
              <w:jc w:val="center"/>
              <w:rPr>
                <w:rFonts w:cs="Arial"/>
                <w:i/>
                <w:iCs/>
                <w:szCs w:val="18"/>
              </w:rPr>
            </w:pPr>
            <w:proofErr w:type="spellStart"/>
            <w:r w:rsidRPr="00963288">
              <w:rPr>
                <w:rFonts w:cs="Arial"/>
                <w:i/>
                <w:iCs/>
                <w:szCs w:val="18"/>
              </w:rPr>
              <w:t>k</w:t>
            </w:r>
            <w:proofErr w:type="gramStart"/>
            <w:r w:rsidRPr="00963288">
              <w:rPr>
                <w:rFonts w:ascii="Cambria Math" w:hAnsi="Cambria Math" w:cs="Cambria Math"/>
                <w:i/>
                <w:iCs/>
                <w:szCs w:val="18"/>
              </w:rPr>
              <w:t>₁</w:t>
            </w:r>
            <w:r w:rsidRPr="00963288">
              <w:rPr>
                <w:rFonts w:cs="Arial"/>
                <w:i/>
                <w:iCs/>
                <w:szCs w:val="18"/>
              </w:rPr>
              <w:t>,app</w:t>
            </w:r>
            <w:proofErr w:type="spellEnd"/>
            <w:proofErr w:type="gramEnd"/>
            <w:r w:rsidRPr="00963288">
              <w:rPr>
                <w:rFonts w:cs="Arial"/>
                <w:i/>
                <w:iCs/>
                <w:szCs w:val="18"/>
              </w:rPr>
              <w:t xml:space="preserve"> (min</w:t>
            </w:r>
            <w:r w:rsidRPr="00963288">
              <w:rPr>
                <w:rFonts w:ascii="Cambria Math" w:hAnsi="Cambria Math" w:cs="Cambria Math"/>
                <w:i/>
                <w:iCs/>
                <w:szCs w:val="18"/>
              </w:rPr>
              <w:t>⁻</w:t>
            </w:r>
            <w:r w:rsidRPr="00963288">
              <w:rPr>
                <w:rFonts w:cs="Arial"/>
                <w:i/>
                <w:iCs/>
                <w:szCs w:val="18"/>
              </w:rPr>
              <w:t>¹)</w:t>
            </w:r>
          </w:p>
        </w:tc>
        <w:tc>
          <w:tcPr>
            <w:tcW w:w="1411" w:type="dxa"/>
            <w:shd w:val="clear" w:color="auto" w:fill="FFFFFF"/>
          </w:tcPr>
          <w:p w14:paraId="6307FE3C" w14:textId="48C7EEA3" w:rsidR="0035733E" w:rsidRPr="00963288" w:rsidRDefault="0035733E" w:rsidP="003E0F0D">
            <w:pPr>
              <w:pStyle w:val="CETBodytext"/>
              <w:ind w:right="-1"/>
              <w:jc w:val="center"/>
              <w:rPr>
                <w:rFonts w:cs="Arial"/>
                <w:i/>
                <w:iCs/>
                <w:szCs w:val="18"/>
              </w:rPr>
            </w:pPr>
            <w:r w:rsidRPr="00963288">
              <w:rPr>
                <w:rFonts w:cs="Arial"/>
                <w:i/>
                <w:iCs/>
                <w:szCs w:val="18"/>
              </w:rPr>
              <w:t>R² (1º)</w:t>
            </w:r>
          </w:p>
        </w:tc>
      </w:tr>
      <w:tr w:rsidR="003E0F0D" w:rsidRPr="00963288" w14:paraId="62E36AD4" w14:textId="77777777" w:rsidTr="00C43CE1">
        <w:trPr>
          <w:trHeight w:val="220"/>
        </w:trPr>
        <w:tc>
          <w:tcPr>
            <w:tcW w:w="2124" w:type="dxa"/>
            <w:shd w:val="clear" w:color="auto" w:fill="FFFFFF"/>
          </w:tcPr>
          <w:p w14:paraId="5D1DA19B" w14:textId="50A2E177" w:rsidR="0035733E" w:rsidRPr="00963288" w:rsidRDefault="0035733E" w:rsidP="00C43CE1">
            <w:pPr>
              <w:pStyle w:val="CETBodytext"/>
              <w:jc w:val="left"/>
              <w:rPr>
                <w:rFonts w:cs="Arial"/>
                <w:szCs w:val="18"/>
              </w:rPr>
            </w:pPr>
            <w:r w:rsidRPr="00963288">
              <w:rPr>
                <w:rFonts w:cs="Arial"/>
                <w:szCs w:val="18"/>
              </w:rPr>
              <w:t>Model ergosterol solution</w:t>
            </w:r>
          </w:p>
        </w:tc>
        <w:tc>
          <w:tcPr>
            <w:tcW w:w="1751" w:type="dxa"/>
            <w:shd w:val="clear" w:color="auto" w:fill="FFFFFF"/>
          </w:tcPr>
          <w:p w14:paraId="54CD987D" w14:textId="086E5004" w:rsidR="0035733E" w:rsidRPr="00963288" w:rsidRDefault="0035733E" w:rsidP="003E0F0D">
            <w:pPr>
              <w:pStyle w:val="CETBodytext"/>
              <w:jc w:val="center"/>
              <w:rPr>
                <w:rFonts w:cs="Arial"/>
                <w:szCs w:val="18"/>
              </w:rPr>
            </w:pPr>
            <w:r w:rsidRPr="00963288">
              <w:rPr>
                <w:rFonts w:cs="Arial"/>
                <w:szCs w:val="18"/>
              </w:rPr>
              <w:t>(2.89</w:t>
            </w:r>
            <w:r w:rsidR="00B46143">
              <w:rPr>
                <w:rFonts w:cs="Arial"/>
                <w:szCs w:val="18"/>
              </w:rPr>
              <w:t xml:space="preserve"> </w:t>
            </w:r>
            <w:r w:rsidRPr="00963288">
              <w:rPr>
                <w:rFonts w:cs="Arial"/>
                <w:szCs w:val="18"/>
              </w:rPr>
              <w:t>±</w:t>
            </w:r>
            <w:r w:rsidR="00B46143">
              <w:rPr>
                <w:rFonts w:cs="Arial"/>
                <w:szCs w:val="18"/>
              </w:rPr>
              <w:t xml:space="preserve"> </w:t>
            </w:r>
            <w:r w:rsidRPr="00963288">
              <w:rPr>
                <w:rFonts w:cs="Arial"/>
                <w:szCs w:val="18"/>
              </w:rPr>
              <w:t>0.3</w:t>
            </w:r>
            <w:r w:rsidR="007E07CF">
              <w:rPr>
                <w:rFonts w:cs="Arial"/>
                <w:szCs w:val="18"/>
              </w:rPr>
              <w:t>3</w:t>
            </w:r>
            <w:r w:rsidRPr="00963288">
              <w:rPr>
                <w:rFonts w:cs="Arial"/>
                <w:szCs w:val="18"/>
              </w:rPr>
              <w:t>)</w:t>
            </w:r>
            <w:r w:rsidR="003E0F0D" w:rsidRPr="00963288">
              <w:rPr>
                <w:rFonts w:cs="Arial"/>
                <w:szCs w:val="18"/>
              </w:rPr>
              <w:t xml:space="preserve"> </w:t>
            </w:r>
            <w:r w:rsidRPr="00963288">
              <w:rPr>
                <w:rFonts w:cs="Arial"/>
                <w:szCs w:val="18"/>
              </w:rPr>
              <w:t>×</w:t>
            </w:r>
            <w:r w:rsidR="00134C41">
              <w:rPr>
                <w:rFonts w:cs="Arial"/>
                <w:szCs w:val="18"/>
              </w:rPr>
              <w:t xml:space="preserve"> </w:t>
            </w:r>
            <w:r w:rsidRPr="00963288">
              <w:rPr>
                <w:rFonts w:cs="Arial"/>
                <w:szCs w:val="18"/>
              </w:rPr>
              <w:t>10</w:t>
            </w:r>
            <w:r w:rsidRPr="00963288">
              <w:rPr>
                <w:rFonts w:ascii="Cambria Math" w:hAnsi="Cambria Math" w:cs="Cambria Math"/>
                <w:szCs w:val="18"/>
              </w:rPr>
              <w:t>⁻</w:t>
            </w:r>
            <w:r w:rsidRPr="00963288">
              <w:rPr>
                <w:rFonts w:cs="Arial"/>
                <w:szCs w:val="18"/>
              </w:rPr>
              <w:t>⁷</w:t>
            </w:r>
          </w:p>
        </w:tc>
        <w:tc>
          <w:tcPr>
            <w:tcW w:w="1325" w:type="dxa"/>
            <w:shd w:val="clear" w:color="auto" w:fill="FFFFFF"/>
          </w:tcPr>
          <w:p w14:paraId="6E5FE3CD" w14:textId="72052E50" w:rsidR="0035733E" w:rsidRPr="00963288" w:rsidRDefault="0035733E" w:rsidP="003E0F0D">
            <w:pPr>
              <w:pStyle w:val="CETBodytext"/>
              <w:jc w:val="center"/>
              <w:rPr>
                <w:rFonts w:cs="Arial"/>
                <w:szCs w:val="18"/>
              </w:rPr>
            </w:pPr>
            <w:r w:rsidRPr="00963288">
              <w:rPr>
                <w:rFonts w:cs="Arial"/>
                <w:szCs w:val="18"/>
              </w:rPr>
              <w:t>0.98</w:t>
            </w:r>
            <w:r w:rsidR="007E07CF">
              <w:rPr>
                <w:rFonts w:cs="Arial"/>
                <w:szCs w:val="18"/>
              </w:rPr>
              <w:t>8</w:t>
            </w:r>
            <w:r w:rsidRPr="00963288">
              <w:rPr>
                <w:rFonts w:cs="Arial"/>
                <w:szCs w:val="18"/>
              </w:rPr>
              <w:t xml:space="preserve"> ± 0.021</w:t>
            </w:r>
          </w:p>
        </w:tc>
        <w:tc>
          <w:tcPr>
            <w:tcW w:w="2055" w:type="dxa"/>
            <w:shd w:val="clear" w:color="auto" w:fill="FFFFFF"/>
          </w:tcPr>
          <w:p w14:paraId="6FB31AFE" w14:textId="22111D4E" w:rsidR="0035733E" w:rsidRPr="00963288" w:rsidRDefault="0035733E" w:rsidP="003E0F0D">
            <w:pPr>
              <w:pStyle w:val="CETBodytext"/>
              <w:ind w:right="-1"/>
              <w:jc w:val="center"/>
              <w:rPr>
                <w:rFonts w:cs="Arial"/>
                <w:szCs w:val="18"/>
              </w:rPr>
            </w:pPr>
            <w:r w:rsidRPr="00963288">
              <w:rPr>
                <w:rFonts w:cs="Arial"/>
                <w:szCs w:val="18"/>
              </w:rPr>
              <w:t>(4.0</w:t>
            </w:r>
            <w:r w:rsidR="007E07CF">
              <w:rPr>
                <w:rFonts w:cs="Arial"/>
                <w:szCs w:val="18"/>
              </w:rPr>
              <w:t>0</w:t>
            </w:r>
            <w:r w:rsidRPr="00963288">
              <w:rPr>
                <w:rFonts w:cs="Arial"/>
                <w:szCs w:val="18"/>
              </w:rPr>
              <w:t xml:space="preserve"> ± 0.3</w:t>
            </w:r>
            <w:r w:rsidR="007E07CF">
              <w:rPr>
                <w:rFonts w:cs="Arial"/>
                <w:szCs w:val="18"/>
              </w:rPr>
              <w:t>4</w:t>
            </w:r>
            <w:r w:rsidRPr="00963288">
              <w:rPr>
                <w:rFonts w:cs="Arial"/>
                <w:szCs w:val="18"/>
              </w:rPr>
              <w:t>) × 10</w:t>
            </w:r>
            <w:r w:rsidRPr="00963288">
              <w:rPr>
                <w:rFonts w:ascii="Cambria Math" w:hAnsi="Cambria Math" w:cs="Cambria Math"/>
                <w:szCs w:val="18"/>
              </w:rPr>
              <w:t>⁻</w:t>
            </w:r>
            <w:r w:rsidRPr="00963288">
              <w:rPr>
                <w:rFonts w:cs="Arial"/>
                <w:szCs w:val="18"/>
              </w:rPr>
              <w:t>³</w:t>
            </w:r>
          </w:p>
        </w:tc>
        <w:tc>
          <w:tcPr>
            <w:tcW w:w="1411" w:type="dxa"/>
            <w:shd w:val="clear" w:color="auto" w:fill="FFFFFF"/>
          </w:tcPr>
          <w:p w14:paraId="451F754A" w14:textId="36538084" w:rsidR="0035733E" w:rsidRPr="00963288" w:rsidRDefault="0035733E" w:rsidP="003E0F0D">
            <w:pPr>
              <w:pStyle w:val="CETBodytext"/>
              <w:ind w:right="-1"/>
              <w:jc w:val="center"/>
              <w:rPr>
                <w:rFonts w:cs="Arial"/>
                <w:szCs w:val="18"/>
              </w:rPr>
            </w:pPr>
            <w:r w:rsidRPr="00963288">
              <w:rPr>
                <w:rFonts w:cs="Arial"/>
                <w:szCs w:val="18"/>
              </w:rPr>
              <w:t>0.99</w:t>
            </w:r>
            <w:r w:rsidR="007E07CF">
              <w:rPr>
                <w:rFonts w:cs="Arial"/>
                <w:szCs w:val="18"/>
              </w:rPr>
              <w:t>3</w:t>
            </w:r>
            <w:r w:rsidRPr="00963288">
              <w:rPr>
                <w:rFonts w:cs="Arial"/>
                <w:szCs w:val="18"/>
              </w:rPr>
              <w:t xml:space="preserve"> ± 0.01</w:t>
            </w:r>
            <w:r w:rsidR="00B610FB">
              <w:rPr>
                <w:rFonts w:cs="Arial"/>
                <w:szCs w:val="18"/>
              </w:rPr>
              <w:t>0</w:t>
            </w:r>
          </w:p>
        </w:tc>
      </w:tr>
      <w:tr w:rsidR="003E0F0D" w:rsidRPr="00963288" w14:paraId="6617651A" w14:textId="77777777" w:rsidTr="00C43CE1">
        <w:trPr>
          <w:trHeight w:val="213"/>
        </w:trPr>
        <w:tc>
          <w:tcPr>
            <w:tcW w:w="2124" w:type="dxa"/>
            <w:shd w:val="clear" w:color="auto" w:fill="FFFFFF"/>
          </w:tcPr>
          <w:p w14:paraId="498623C7" w14:textId="1FA1E4E7" w:rsidR="0035733E" w:rsidRPr="00963288" w:rsidRDefault="0035733E" w:rsidP="00C43CE1">
            <w:pPr>
              <w:pStyle w:val="CETBodytext"/>
              <w:jc w:val="left"/>
              <w:rPr>
                <w:rFonts w:cs="Arial"/>
                <w:szCs w:val="18"/>
              </w:rPr>
            </w:pPr>
            <w:r w:rsidRPr="00963288">
              <w:rPr>
                <w:rFonts w:cs="Arial"/>
                <w:szCs w:val="18"/>
              </w:rPr>
              <w:t>White extracts</w:t>
            </w:r>
          </w:p>
        </w:tc>
        <w:tc>
          <w:tcPr>
            <w:tcW w:w="1751" w:type="dxa"/>
            <w:shd w:val="clear" w:color="auto" w:fill="FFFFFF"/>
          </w:tcPr>
          <w:p w14:paraId="3A175E30" w14:textId="2ADF86C5" w:rsidR="0035733E" w:rsidRPr="00963288" w:rsidRDefault="0035733E" w:rsidP="003E0F0D">
            <w:pPr>
              <w:pStyle w:val="CETBodytext"/>
              <w:jc w:val="center"/>
              <w:rPr>
                <w:rFonts w:cs="Arial"/>
                <w:szCs w:val="18"/>
              </w:rPr>
            </w:pPr>
            <w:r w:rsidRPr="00963288">
              <w:rPr>
                <w:rFonts w:cs="Arial"/>
                <w:szCs w:val="18"/>
              </w:rPr>
              <w:t>(1.25 ± 0.2</w:t>
            </w:r>
            <w:r w:rsidR="00B46143">
              <w:rPr>
                <w:rFonts w:cs="Arial"/>
                <w:szCs w:val="18"/>
              </w:rPr>
              <w:t>5</w:t>
            </w:r>
            <w:r w:rsidRPr="00963288">
              <w:rPr>
                <w:rFonts w:cs="Arial"/>
                <w:szCs w:val="18"/>
              </w:rPr>
              <w:t>)</w:t>
            </w:r>
            <w:r w:rsidR="003E0F0D" w:rsidRPr="00963288">
              <w:rPr>
                <w:rFonts w:cs="Arial"/>
                <w:szCs w:val="18"/>
              </w:rPr>
              <w:t xml:space="preserve"> </w:t>
            </w:r>
            <w:r w:rsidRPr="00963288">
              <w:rPr>
                <w:rFonts w:cs="Arial"/>
                <w:szCs w:val="18"/>
              </w:rPr>
              <w:t>×</w:t>
            </w:r>
            <w:r w:rsidR="003E0F0D" w:rsidRPr="00963288">
              <w:rPr>
                <w:rFonts w:cs="Arial"/>
                <w:szCs w:val="18"/>
              </w:rPr>
              <w:t xml:space="preserve"> </w:t>
            </w:r>
            <w:r w:rsidRPr="00963288">
              <w:rPr>
                <w:rFonts w:cs="Arial"/>
                <w:szCs w:val="18"/>
              </w:rPr>
              <w:t>10</w:t>
            </w:r>
            <w:r w:rsidRPr="00963288">
              <w:rPr>
                <w:rFonts w:ascii="Cambria Math" w:hAnsi="Cambria Math" w:cs="Cambria Math"/>
                <w:szCs w:val="18"/>
              </w:rPr>
              <w:t>⁻</w:t>
            </w:r>
            <w:r w:rsidRPr="00963288">
              <w:rPr>
                <w:rFonts w:cs="Arial"/>
                <w:szCs w:val="18"/>
              </w:rPr>
              <w:t>³</w:t>
            </w:r>
          </w:p>
        </w:tc>
        <w:tc>
          <w:tcPr>
            <w:tcW w:w="1325" w:type="dxa"/>
            <w:shd w:val="clear" w:color="auto" w:fill="FFFFFF"/>
          </w:tcPr>
          <w:p w14:paraId="2D85298F" w14:textId="043F5034" w:rsidR="0035733E" w:rsidRPr="00963288" w:rsidRDefault="0035733E" w:rsidP="003E0F0D">
            <w:pPr>
              <w:pStyle w:val="CETBodytext"/>
              <w:jc w:val="center"/>
              <w:rPr>
                <w:rFonts w:cs="Arial"/>
                <w:szCs w:val="18"/>
              </w:rPr>
            </w:pPr>
            <w:r w:rsidRPr="00963288">
              <w:rPr>
                <w:rFonts w:cs="Arial"/>
                <w:szCs w:val="18"/>
              </w:rPr>
              <w:t>0.7</w:t>
            </w:r>
            <w:r w:rsidR="00174777">
              <w:rPr>
                <w:rFonts w:cs="Arial"/>
                <w:szCs w:val="18"/>
              </w:rPr>
              <w:t>62</w:t>
            </w:r>
            <w:r w:rsidRPr="00963288">
              <w:rPr>
                <w:rFonts w:cs="Arial"/>
                <w:szCs w:val="18"/>
              </w:rPr>
              <w:t xml:space="preserve"> ± 0.0</w:t>
            </w:r>
            <w:r w:rsidR="009669D5">
              <w:rPr>
                <w:rFonts w:cs="Arial"/>
                <w:szCs w:val="18"/>
              </w:rPr>
              <w:t>47</w:t>
            </w:r>
          </w:p>
        </w:tc>
        <w:tc>
          <w:tcPr>
            <w:tcW w:w="2055" w:type="dxa"/>
            <w:shd w:val="clear" w:color="auto" w:fill="FFFFFF"/>
          </w:tcPr>
          <w:p w14:paraId="68982FC9" w14:textId="612A1C92" w:rsidR="0035733E" w:rsidRPr="00963288" w:rsidRDefault="0035733E" w:rsidP="003E0F0D">
            <w:pPr>
              <w:pStyle w:val="CETBodytext"/>
              <w:ind w:right="-1"/>
              <w:jc w:val="center"/>
              <w:rPr>
                <w:rFonts w:cs="Arial"/>
                <w:szCs w:val="18"/>
              </w:rPr>
            </w:pPr>
            <w:r w:rsidRPr="00963288">
              <w:rPr>
                <w:rFonts w:cs="Arial"/>
                <w:szCs w:val="18"/>
              </w:rPr>
              <w:t>(1.3</w:t>
            </w:r>
            <w:r w:rsidR="009B0474">
              <w:rPr>
                <w:rFonts w:cs="Arial"/>
                <w:szCs w:val="18"/>
              </w:rPr>
              <w:t>6</w:t>
            </w:r>
            <w:r w:rsidRPr="00963288">
              <w:rPr>
                <w:rFonts w:cs="Arial"/>
                <w:szCs w:val="18"/>
              </w:rPr>
              <w:t xml:space="preserve"> ± 0.</w:t>
            </w:r>
            <w:r w:rsidR="00E54CC3">
              <w:rPr>
                <w:rFonts w:cs="Arial"/>
                <w:szCs w:val="18"/>
              </w:rPr>
              <w:t>29</w:t>
            </w:r>
            <w:r w:rsidRPr="00963288">
              <w:rPr>
                <w:rFonts w:cs="Arial"/>
                <w:szCs w:val="18"/>
              </w:rPr>
              <w:t>) × 10</w:t>
            </w:r>
            <w:r w:rsidRPr="00963288">
              <w:rPr>
                <w:rFonts w:ascii="Cambria Math" w:hAnsi="Cambria Math" w:cs="Cambria Math"/>
                <w:szCs w:val="18"/>
              </w:rPr>
              <w:t>⁻</w:t>
            </w:r>
            <w:r w:rsidRPr="00963288">
              <w:rPr>
                <w:rFonts w:cs="Arial"/>
                <w:szCs w:val="18"/>
              </w:rPr>
              <w:t>³</w:t>
            </w:r>
          </w:p>
        </w:tc>
        <w:tc>
          <w:tcPr>
            <w:tcW w:w="1411" w:type="dxa"/>
            <w:shd w:val="clear" w:color="auto" w:fill="FFFFFF"/>
          </w:tcPr>
          <w:p w14:paraId="316E0DE2" w14:textId="1BCE3C4A" w:rsidR="0035733E" w:rsidRPr="00963288" w:rsidRDefault="0035733E" w:rsidP="003E0F0D">
            <w:pPr>
              <w:pStyle w:val="CETBodytext"/>
              <w:ind w:right="-1"/>
              <w:jc w:val="center"/>
              <w:rPr>
                <w:rFonts w:cs="Arial"/>
                <w:szCs w:val="18"/>
              </w:rPr>
            </w:pPr>
            <w:r w:rsidRPr="00963288">
              <w:rPr>
                <w:rFonts w:cs="Arial"/>
                <w:szCs w:val="18"/>
              </w:rPr>
              <w:t>0.746 ± 0.055</w:t>
            </w:r>
          </w:p>
        </w:tc>
      </w:tr>
      <w:tr w:rsidR="003E0F0D" w:rsidRPr="00963288" w14:paraId="724A2752" w14:textId="77777777" w:rsidTr="00C43CE1">
        <w:trPr>
          <w:trHeight w:val="220"/>
        </w:trPr>
        <w:tc>
          <w:tcPr>
            <w:tcW w:w="2124" w:type="dxa"/>
            <w:tcBorders>
              <w:bottom w:val="single" w:sz="12" w:space="0" w:color="008000"/>
            </w:tcBorders>
            <w:shd w:val="clear" w:color="auto" w:fill="FFFFFF"/>
          </w:tcPr>
          <w:p w14:paraId="2A8E73A8" w14:textId="56C02FE9" w:rsidR="0035733E" w:rsidRPr="00963288" w:rsidRDefault="0035733E" w:rsidP="00C43CE1">
            <w:pPr>
              <w:pStyle w:val="CETBodytext"/>
              <w:jc w:val="left"/>
              <w:rPr>
                <w:rFonts w:cs="Arial"/>
                <w:szCs w:val="18"/>
              </w:rPr>
            </w:pPr>
            <w:r w:rsidRPr="00963288">
              <w:rPr>
                <w:rFonts w:cs="Arial"/>
                <w:szCs w:val="18"/>
              </w:rPr>
              <w:t>Brown extracts</w:t>
            </w:r>
          </w:p>
        </w:tc>
        <w:tc>
          <w:tcPr>
            <w:tcW w:w="1751" w:type="dxa"/>
            <w:tcBorders>
              <w:bottom w:val="single" w:sz="12" w:space="0" w:color="008000"/>
            </w:tcBorders>
            <w:shd w:val="clear" w:color="auto" w:fill="FFFFFF"/>
          </w:tcPr>
          <w:p w14:paraId="35F7CC5F" w14:textId="7F712EC9" w:rsidR="0035733E" w:rsidRPr="00963288" w:rsidRDefault="0035733E" w:rsidP="003E0F0D">
            <w:pPr>
              <w:pStyle w:val="CETBodytext"/>
              <w:jc w:val="center"/>
              <w:rPr>
                <w:rFonts w:cs="Arial"/>
                <w:szCs w:val="18"/>
              </w:rPr>
            </w:pPr>
            <w:r w:rsidRPr="00963288">
              <w:rPr>
                <w:rFonts w:cs="Arial"/>
                <w:szCs w:val="18"/>
              </w:rPr>
              <w:t>(2.43 ± 0.14)</w:t>
            </w:r>
            <w:r w:rsidR="003E0F0D" w:rsidRPr="00963288">
              <w:rPr>
                <w:rFonts w:cs="Arial"/>
                <w:szCs w:val="18"/>
              </w:rPr>
              <w:t xml:space="preserve"> </w:t>
            </w:r>
            <w:r w:rsidRPr="00963288">
              <w:rPr>
                <w:rFonts w:cs="Arial"/>
                <w:szCs w:val="18"/>
              </w:rPr>
              <w:t>×</w:t>
            </w:r>
            <w:r w:rsidR="003E0F0D" w:rsidRPr="00963288">
              <w:rPr>
                <w:rFonts w:cs="Arial"/>
                <w:szCs w:val="18"/>
              </w:rPr>
              <w:t xml:space="preserve"> </w:t>
            </w:r>
            <w:r w:rsidRPr="00963288">
              <w:rPr>
                <w:rFonts w:cs="Arial"/>
                <w:szCs w:val="18"/>
              </w:rPr>
              <w:t>10</w:t>
            </w:r>
            <w:r w:rsidRPr="00963288">
              <w:rPr>
                <w:rFonts w:ascii="Cambria Math" w:hAnsi="Cambria Math" w:cs="Cambria Math"/>
                <w:szCs w:val="18"/>
              </w:rPr>
              <w:t>⁻</w:t>
            </w:r>
            <w:r w:rsidRPr="00963288">
              <w:rPr>
                <w:rFonts w:cs="Arial"/>
                <w:szCs w:val="18"/>
              </w:rPr>
              <w:t>³</w:t>
            </w:r>
          </w:p>
        </w:tc>
        <w:tc>
          <w:tcPr>
            <w:tcW w:w="1325" w:type="dxa"/>
            <w:tcBorders>
              <w:bottom w:val="single" w:sz="12" w:space="0" w:color="008000"/>
            </w:tcBorders>
            <w:shd w:val="clear" w:color="auto" w:fill="FFFFFF"/>
          </w:tcPr>
          <w:p w14:paraId="7E683844" w14:textId="70FAAFE5" w:rsidR="0035733E" w:rsidRPr="00963288" w:rsidRDefault="0035733E" w:rsidP="003E0F0D">
            <w:pPr>
              <w:pStyle w:val="CETBodytext"/>
              <w:jc w:val="center"/>
              <w:rPr>
                <w:rFonts w:cs="Arial"/>
                <w:szCs w:val="18"/>
              </w:rPr>
            </w:pPr>
            <w:r w:rsidRPr="00963288">
              <w:rPr>
                <w:rFonts w:cs="Arial"/>
                <w:szCs w:val="18"/>
              </w:rPr>
              <w:t>0.8</w:t>
            </w:r>
            <w:r w:rsidR="009669D5">
              <w:rPr>
                <w:rFonts w:cs="Arial"/>
                <w:szCs w:val="18"/>
              </w:rPr>
              <w:t>83</w:t>
            </w:r>
            <w:r w:rsidRPr="00963288">
              <w:rPr>
                <w:rFonts w:cs="Arial"/>
                <w:szCs w:val="18"/>
              </w:rPr>
              <w:t xml:space="preserve"> ± 0.0</w:t>
            </w:r>
            <w:r w:rsidR="009B0474">
              <w:rPr>
                <w:rFonts w:cs="Arial"/>
                <w:szCs w:val="18"/>
              </w:rPr>
              <w:t>69</w:t>
            </w:r>
          </w:p>
        </w:tc>
        <w:tc>
          <w:tcPr>
            <w:tcW w:w="2055" w:type="dxa"/>
            <w:tcBorders>
              <w:bottom w:val="single" w:sz="12" w:space="0" w:color="008000"/>
            </w:tcBorders>
            <w:shd w:val="clear" w:color="auto" w:fill="FFFFFF"/>
          </w:tcPr>
          <w:p w14:paraId="7F438E26" w14:textId="65643EB8" w:rsidR="0035733E" w:rsidRPr="00963288" w:rsidRDefault="0035733E" w:rsidP="003E0F0D">
            <w:pPr>
              <w:pStyle w:val="CETBodytext"/>
              <w:ind w:right="-1"/>
              <w:jc w:val="center"/>
              <w:rPr>
                <w:rFonts w:cs="Arial"/>
                <w:szCs w:val="18"/>
              </w:rPr>
            </w:pPr>
            <w:r w:rsidRPr="00963288">
              <w:rPr>
                <w:rFonts w:cs="Arial"/>
                <w:szCs w:val="18"/>
              </w:rPr>
              <w:t>(2.</w:t>
            </w:r>
            <w:r w:rsidR="00B610FB">
              <w:rPr>
                <w:rFonts w:cs="Arial"/>
                <w:szCs w:val="18"/>
              </w:rPr>
              <w:t>45</w:t>
            </w:r>
            <w:r w:rsidRPr="00963288">
              <w:rPr>
                <w:rFonts w:cs="Arial"/>
                <w:szCs w:val="18"/>
              </w:rPr>
              <w:t xml:space="preserve"> ± 0.26) × 10</w:t>
            </w:r>
            <w:r w:rsidRPr="00963288">
              <w:rPr>
                <w:rFonts w:ascii="Cambria Math" w:hAnsi="Cambria Math" w:cs="Cambria Math"/>
                <w:szCs w:val="18"/>
              </w:rPr>
              <w:t>⁻</w:t>
            </w:r>
            <w:r w:rsidRPr="00963288">
              <w:rPr>
                <w:rFonts w:cs="Arial"/>
                <w:szCs w:val="18"/>
              </w:rPr>
              <w:t>³</w:t>
            </w:r>
          </w:p>
        </w:tc>
        <w:tc>
          <w:tcPr>
            <w:tcW w:w="1411" w:type="dxa"/>
            <w:tcBorders>
              <w:bottom w:val="single" w:sz="12" w:space="0" w:color="008000"/>
            </w:tcBorders>
            <w:shd w:val="clear" w:color="auto" w:fill="FFFFFF"/>
          </w:tcPr>
          <w:p w14:paraId="5DB134F9" w14:textId="1B7D8207" w:rsidR="0035733E" w:rsidRPr="00963288" w:rsidRDefault="0035733E" w:rsidP="003E0F0D">
            <w:pPr>
              <w:pStyle w:val="CETBodytext"/>
              <w:ind w:right="-1"/>
              <w:jc w:val="center"/>
              <w:rPr>
                <w:rFonts w:cs="Arial"/>
                <w:szCs w:val="18"/>
              </w:rPr>
            </w:pPr>
            <w:r w:rsidRPr="00963288">
              <w:rPr>
                <w:rFonts w:cs="Arial"/>
                <w:szCs w:val="18"/>
              </w:rPr>
              <w:t>0.89</w:t>
            </w:r>
            <w:r w:rsidR="00B610FB">
              <w:rPr>
                <w:rFonts w:cs="Arial"/>
                <w:szCs w:val="18"/>
              </w:rPr>
              <w:t>6</w:t>
            </w:r>
            <w:r w:rsidRPr="00963288">
              <w:rPr>
                <w:rFonts w:cs="Arial"/>
                <w:szCs w:val="18"/>
              </w:rPr>
              <w:t xml:space="preserve"> ± 0.0</w:t>
            </w:r>
            <w:r w:rsidR="00B610FB">
              <w:rPr>
                <w:rFonts w:cs="Arial"/>
                <w:szCs w:val="18"/>
              </w:rPr>
              <w:t>64</w:t>
            </w:r>
          </w:p>
        </w:tc>
      </w:tr>
    </w:tbl>
    <w:p w14:paraId="2CEAF5DB" w14:textId="77777777" w:rsidR="002113DA" w:rsidRPr="00963288" w:rsidRDefault="002113DA" w:rsidP="002113DA">
      <w:pPr>
        <w:pStyle w:val="CETBodytext"/>
      </w:pPr>
    </w:p>
    <w:p w14:paraId="233185BE" w14:textId="679A55B3" w:rsidR="002113DA" w:rsidRPr="00963288" w:rsidRDefault="002113DA" w:rsidP="002113DA">
      <w:pPr>
        <w:pStyle w:val="CETBodytext"/>
      </w:pPr>
      <w:r w:rsidRPr="00963288">
        <w:t xml:space="preserve">Regarding </w:t>
      </w:r>
      <w:r w:rsidR="008072EB" w:rsidRPr="00963288">
        <w:t>kinetics</w:t>
      </w:r>
      <w:r w:rsidRPr="00963288">
        <w:t xml:space="preserve"> </w:t>
      </w:r>
      <w:r w:rsidR="008C0162" w:rsidRPr="00963288">
        <w:t>models</w:t>
      </w:r>
      <w:r w:rsidRPr="00963288">
        <w:t xml:space="preserve">, the zero-order yields moderate </w:t>
      </w:r>
      <w:r w:rsidR="008072EB" w:rsidRPr="00963288">
        <w:t>f</w:t>
      </w:r>
      <w:r w:rsidRPr="00963288">
        <w:t>its for the extracts,</w:t>
      </w:r>
      <w:r w:rsidR="008072EB" w:rsidRPr="00963288">
        <w:t xml:space="preserve"> while </w:t>
      </w:r>
      <w:r w:rsidRPr="00963288">
        <w:t>the apparent first-order model provides improved fits, particularly for brown extracts (</w:t>
      </w:r>
      <w:r w:rsidR="008C0162" w:rsidRPr="00963288">
        <w:t>R</w:t>
      </w:r>
      <w:r w:rsidR="008C0162" w:rsidRPr="00963288">
        <w:rPr>
          <w:vertAlign w:val="superscript"/>
        </w:rPr>
        <w:t>2</w:t>
      </w:r>
      <w:r w:rsidRPr="00963288">
        <w:t>≈0.89)</w:t>
      </w:r>
      <w:r w:rsidR="008072EB" w:rsidRPr="00963288">
        <w:t>. A further distinction between the two kinetic orders is evident in the magnitude and consistency of the estimated rate constants. Zero-order constants (</w:t>
      </w:r>
      <w:r w:rsidR="008072EB" w:rsidRPr="00963288">
        <w:rPr>
          <w:i/>
          <w:iCs/>
        </w:rPr>
        <w:t>k</w:t>
      </w:r>
      <w:r w:rsidR="008072EB" w:rsidRPr="00963288">
        <w:rPr>
          <w:i/>
          <w:iCs/>
          <w:vertAlign w:val="subscript"/>
        </w:rPr>
        <w:t>0</w:t>
      </w:r>
      <w:r w:rsidR="008072EB" w:rsidRPr="00963288">
        <w:t>) span several orders of magnitude across the investigated systems (</w:t>
      </w:r>
      <w:r w:rsidR="008072EB" w:rsidRPr="00963288">
        <w:rPr>
          <w:b/>
          <w:bCs/>
        </w:rPr>
        <w:t>Table 1</w:t>
      </w:r>
      <w:r w:rsidR="008072EB" w:rsidRPr="00963288">
        <w:t>), reflecting their strong dependence on absolute concentration scale and matrix-specific optical properties. In contrast, the apparent first-order rate constants (</w:t>
      </w:r>
      <w:r w:rsidR="008072EB" w:rsidRPr="00963288">
        <w:rPr>
          <w:i/>
          <w:iCs/>
        </w:rPr>
        <w:t>k</w:t>
      </w:r>
      <w:proofErr w:type="gramStart"/>
      <w:r w:rsidR="008072EB" w:rsidRPr="00963288">
        <w:rPr>
          <w:i/>
          <w:iCs/>
          <w:vertAlign w:val="subscript"/>
        </w:rPr>
        <w:t>1,app</w:t>
      </w:r>
      <w:proofErr w:type="gramEnd"/>
      <w:r w:rsidR="008072EB" w:rsidRPr="00963288">
        <w:rPr>
          <w:i/>
          <w:iCs/>
        </w:rPr>
        <w:t>)</w:t>
      </w:r>
      <w:r w:rsidR="008072EB" w:rsidRPr="00963288">
        <w:t xml:space="preserve"> fall within the same order of magnitude for all systems studied, indicating a more consistent and comparable kinetic description across both model solutions and mushroom extracts. </w:t>
      </w:r>
      <w:r w:rsidRPr="00963288">
        <w:t>Overall, the goodness</w:t>
      </w:r>
      <w:r w:rsidR="00A6270D" w:rsidRPr="00963288">
        <w:t>-</w:t>
      </w:r>
      <w:r w:rsidRPr="00963288">
        <w:t>of</w:t>
      </w:r>
      <w:r w:rsidR="00A6270D" w:rsidRPr="00963288">
        <w:t>-</w:t>
      </w:r>
      <w:r w:rsidRPr="00963288">
        <w:t>fit and associated uncertainties indicate that while both kinetic models can adequately describe the data within the studied conversion range, the apparent first-order formulation offers a more robust and transferable description for mushroom extracts</w:t>
      </w:r>
      <w:r w:rsidR="00424B91" w:rsidRPr="00963288">
        <w:t>.</w:t>
      </w:r>
    </w:p>
    <w:p w14:paraId="68D26B83" w14:textId="77777777" w:rsidR="00600535" w:rsidRPr="00963288" w:rsidRDefault="00600535" w:rsidP="00600535">
      <w:pPr>
        <w:pStyle w:val="CETHeading1"/>
        <w:rPr>
          <w:sz w:val="22"/>
          <w:szCs w:val="22"/>
        </w:rPr>
      </w:pPr>
      <w:r w:rsidRPr="00963288">
        <w:rPr>
          <w:sz w:val="22"/>
          <w:szCs w:val="22"/>
        </w:rPr>
        <w:lastRenderedPageBreak/>
        <w:t>Conclusions</w:t>
      </w:r>
    </w:p>
    <w:p w14:paraId="28F14362" w14:textId="6AD45E8C" w:rsidR="00CD1BB7" w:rsidRPr="00963288" w:rsidRDefault="009A662D" w:rsidP="001A1AA5">
      <w:pPr>
        <w:pStyle w:val="CETBodytext"/>
      </w:pPr>
      <w:r w:rsidRPr="00963288">
        <w:t xml:space="preserve">This study provides a preliminary process-oriented evaluation of ergosterol extraction and UVB-induced photoconversion kinetics from </w:t>
      </w:r>
      <w:r w:rsidRPr="00963288">
        <w:rPr>
          <w:i/>
          <w:iCs/>
        </w:rPr>
        <w:t>Agaricus bisporus</w:t>
      </w:r>
      <w:r w:rsidRPr="00963288">
        <w:t xml:space="preserve"> caps, bridging fundamental photochemical </w:t>
      </w:r>
      <w:r w:rsidR="00F20E3C" w:rsidRPr="00963288">
        <w:t>behavior</w:t>
      </w:r>
      <w:r w:rsidRPr="00963288">
        <w:t xml:space="preserve"> with extraction process design. By comparing different extraction strategies under controlled solid-to-solvent ratios and mechanical intensification (ultrasound and bead-assisted ultrasound), the work demonstrates that ethanol-based, ultrasound-assisted extraction constitutes a robust route for ergosterol recovery from fungal matrices, with direct applicability not only to process development but also to analytical quantification in complex samples. Beyond reporting extraction yields, this study highlights how matrix accessibility, particle size reduction, and solvent availability jointly influence the extraction efficiency</w:t>
      </w:r>
      <w:r w:rsidR="00DA545D" w:rsidRPr="00963288">
        <w:t xml:space="preserve"> (</w:t>
      </w:r>
      <w:r w:rsidRPr="00963288">
        <w:t>often underreported in the literature</w:t>
      </w:r>
      <w:r w:rsidR="008B08C3" w:rsidRPr="00963288">
        <w:t>)</w:t>
      </w:r>
      <w:r w:rsidRPr="00963288">
        <w:t>. Kinetic insights highlight the impact of biological matrix effects on photochemical behavior when comparing model ergosterol solutions with complex mushroom extracts, revealing that while both zero- and first-order models can describe</w:t>
      </w:r>
      <w:r w:rsidR="0066325A" w:rsidRPr="00963288">
        <w:t xml:space="preserve"> </w:t>
      </w:r>
      <w:proofErr w:type="gramStart"/>
      <w:r w:rsidR="0066325A" w:rsidRPr="00963288">
        <w:t>it</w:t>
      </w:r>
      <w:proofErr w:type="gramEnd"/>
      <w:r w:rsidR="0066325A" w:rsidRPr="00963288">
        <w:t xml:space="preserve"> but</w:t>
      </w:r>
      <w:r w:rsidRPr="00963288">
        <w:t xml:space="preserve"> apparent first-order kinetics provide a more consistent and transferable framework across the studied systems.</w:t>
      </w:r>
      <w:r w:rsidR="009F7A4A" w:rsidRPr="00963288">
        <w:t xml:space="preserve"> However, the observed selectivity towards vitamin D</w:t>
      </w:r>
      <w:r w:rsidR="009F7A4A" w:rsidRPr="00963288">
        <w:rPr>
          <w:rFonts w:ascii="Cambria Math" w:hAnsi="Cambria Math" w:cs="Cambria Math"/>
        </w:rPr>
        <w:t>₂</w:t>
      </w:r>
      <w:r w:rsidR="009F7A4A" w:rsidRPr="00963288">
        <w:t xml:space="preserve"> highlights the need to further elucidate reaction mechanisms, optimal UV doses, irradiation configuration, and the dynamic behavior of competing (photo)isomers </w:t>
      </w:r>
      <w:proofErr w:type="gramStart"/>
      <w:r w:rsidR="009F7A4A" w:rsidRPr="00963288">
        <w:t>in order to</w:t>
      </w:r>
      <w:proofErr w:type="gramEnd"/>
      <w:r w:rsidR="009F7A4A" w:rsidRPr="00963288">
        <w:t xml:space="preserve"> rationally tune and optimize photochemical pathways in complex fungal matrices.</w:t>
      </w:r>
    </w:p>
    <w:p w14:paraId="75CB38A3" w14:textId="7110D55E" w:rsidR="001A1AA5" w:rsidRPr="00963288" w:rsidRDefault="001A1AA5" w:rsidP="001A1AA5">
      <w:pPr>
        <w:pStyle w:val="CETBodytext"/>
      </w:pPr>
      <w:r w:rsidRPr="00963288">
        <w:t xml:space="preserve">From a broader </w:t>
      </w:r>
      <w:proofErr w:type="gramStart"/>
      <w:r w:rsidRPr="00963288">
        <w:t>systems</w:t>
      </w:r>
      <w:proofErr w:type="gramEnd"/>
      <w:r w:rsidRPr="00963288">
        <w:t xml:space="preserve"> and sustainability perspective, these findings emphasize the need to integrate effective extraction techniques with photochemical conversion settings to unlock the potential of fungal biomasses as a renewable source of ergosterol and vitamin D</w:t>
      </w:r>
      <w:r w:rsidR="004E4154" w:rsidRPr="00963288">
        <w:rPr>
          <w:vertAlign w:val="subscript"/>
        </w:rPr>
        <w:t>2</w:t>
      </w:r>
      <w:r w:rsidRPr="00963288">
        <w:t>.</w:t>
      </w:r>
      <w:r w:rsidR="009F7A4A" w:rsidRPr="00963288">
        <w:t xml:space="preserve"> Moreover, future work should also include evaluation</w:t>
      </w:r>
      <w:r w:rsidR="004E4154" w:rsidRPr="00963288">
        <w:t>s</w:t>
      </w:r>
      <w:r w:rsidR="009F7A4A" w:rsidRPr="00963288">
        <w:t xml:space="preserve"> of the environmental impacts of such fungal-based processes, to facilitate the benchmarking against alternative non-animal vitamin </w:t>
      </w:r>
      <w:r w:rsidR="00525931" w:rsidRPr="00963288">
        <w:t>D</w:t>
      </w:r>
      <w:r w:rsidR="00525931" w:rsidRPr="00963288">
        <w:rPr>
          <w:vertAlign w:val="subscript"/>
        </w:rPr>
        <w:t>2</w:t>
      </w:r>
      <w:r w:rsidR="009F7A4A" w:rsidRPr="00963288">
        <w:rPr>
          <w:vertAlign w:val="subscript"/>
        </w:rPr>
        <w:t xml:space="preserve"> </w:t>
      </w:r>
      <w:r w:rsidR="009F7A4A" w:rsidRPr="00963288">
        <w:t xml:space="preserve">production routes (e.g., submerged fermentation of </w:t>
      </w:r>
      <w:r w:rsidR="009F7A4A" w:rsidRPr="00963288">
        <w:rPr>
          <w:i/>
          <w:iCs/>
        </w:rPr>
        <w:t>Saccharomyces</w:t>
      </w:r>
      <w:r w:rsidR="009F7A4A" w:rsidRPr="00963288">
        <w:t xml:space="preserve"> spp.) as well as conventional vitamin D</w:t>
      </w:r>
      <w:r w:rsidR="004E4154" w:rsidRPr="00963288">
        <w:rPr>
          <w:vertAlign w:val="subscript"/>
        </w:rPr>
        <w:t>3</w:t>
      </w:r>
      <w:r w:rsidR="009F7A4A" w:rsidRPr="00963288">
        <w:t xml:space="preserve"> production, to </w:t>
      </w:r>
      <w:r w:rsidR="00824FB9" w:rsidRPr="00963288">
        <w:t>compare</w:t>
      </w:r>
      <w:r w:rsidR="009F7A4A" w:rsidRPr="00963288">
        <w:t xml:space="preserve"> their </w:t>
      </w:r>
      <w:r w:rsidR="00E46391" w:rsidRPr="00963288">
        <w:t>environmental footprint</w:t>
      </w:r>
      <w:r w:rsidR="009F7A4A" w:rsidRPr="00963288">
        <w:t>. Lastly</w:t>
      </w:r>
      <w:r w:rsidRPr="00963288">
        <w:t>, persistent gaps in the fundamental characterization of ergosterol</w:t>
      </w:r>
      <w:r w:rsidR="009F7A4A" w:rsidRPr="00963288">
        <w:t xml:space="preserve"> and vitamin D</w:t>
      </w:r>
      <w:r w:rsidR="009F7A4A" w:rsidRPr="00963288">
        <w:rPr>
          <w:vertAlign w:val="subscript"/>
        </w:rPr>
        <w:t>2</w:t>
      </w:r>
      <w:r w:rsidR="009F7A4A" w:rsidRPr="00963288">
        <w:t xml:space="preserve"> (as well as other isomers)</w:t>
      </w:r>
      <w:r w:rsidRPr="00963288">
        <w:t xml:space="preserve">, regarding </w:t>
      </w:r>
      <w:r w:rsidR="009F7A4A" w:rsidRPr="00963288">
        <w:t>their</w:t>
      </w:r>
      <w:r w:rsidRPr="00963288">
        <w:t xml:space="preserve"> solubility and spectroscopic behavior, limit predictive modeling and add uncertainty to both extraction and quantification. Addressing these limitations through standardized methodologies and improved physicochemical understanding will be critical for translating laboratory-scale findings into industrially relevant biotechnological processes aligned with circular bioeconomy and food-system resilience objectives.</w:t>
      </w:r>
    </w:p>
    <w:p w14:paraId="459D05E6" w14:textId="09E0AECB" w:rsidR="00600535" w:rsidRPr="00963288" w:rsidRDefault="00600535" w:rsidP="00600535">
      <w:pPr>
        <w:pStyle w:val="CETAcknowledgementstitle"/>
        <w:rPr>
          <w:lang w:val="en-US"/>
        </w:rPr>
      </w:pPr>
      <w:r w:rsidRPr="00963288">
        <w:rPr>
          <w:lang w:val="en-US"/>
        </w:rPr>
        <w:t>Acknowledgments</w:t>
      </w:r>
    </w:p>
    <w:p w14:paraId="33F8138F" w14:textId="31BF340C" w:rsidR="00600535" w:rsidRPr="00963288" w:rsidRDefault="00B862B4" w:rsidP="00B862B4">
      <w:pPr>
        <w:pStyle w:val="CETBodytext"/>
      </w:pPr>
      <w:r w:rsidRPr="00963288">
        <w:t>This research did not receive any specific grant from funding agencies in the public, commercial, or no</w:t>
      </w:r>
      <w:r w:rsidR="005E3C67" w:rsidRPr="00963288">
        <w:t>n</w:t>
      </w:r>
      <w:r w:rsidRPr="00963288">
        <w:t>-profit sectors. The authors</w:t>
      </w:r>
      <w:r w:rsidR="00424B91" w:rsidRPr="00963288">
        <w:t xml:space="preserve"> kindly</w:t>
      </w:r>
      <w:r w:rsidRPr="00963288">
        <w:t xml:space="preserve"> thank the Technology and Society Laboratory (TSL) a</w:t>
      </w:r>
      <w:r w:rsidR="005227EF" w:rsidRPr="00963288">
        <w:t xml:space="preserve">nd the Cellulose and Wood Materials Laboratory (CWM) of </w:t>
      </w:r>
      <w:r w:rsidRPr="00963288">
        <w:t xml:space="preserve">Empa for </w:t>
      </w:r>
      <w:r w:rsidR="005227EF" w:rsidRPr="00963288">
        <w:t xml:space="preserve">their </w:t>
      </w:r>
      <w:r w:rsidRPr="00963288">
        <w:t>internal funding and support.</w:t>
      </w:r>
    </w:p>
    <w:p w14:paraId="4F1327F8" w14:textId="271A15EE" w:rsidR="00600535" w:rsidRPr="00963288" w:rsidRDefault="00600535" w:rsidP="00600535">
      <w:pPr>
        <w:pStyle w:val="CETReference"/>
        <w:rPr>
          <w:lang w:val="en-US"/>
        </w:rPr>
      </w:pPr>
      <w:r w:rsidRPr="00963288">
        <w:rPr>
          <w:lang w:val="en-US"/>
        </w:rPr>
        <w:t>References</w:t>
      </w:r>
    </w:p>
    <w:p w14:paraId="77D5EE5B" w14:textId="08AC58D2" w:rsidR="00424B91" w:rsidRPr="006E6B03" w:rsidRDefault="00424B91" w:rsidP="006E6B03">
      <w:pPr>
        <w:pStyle w:val="CETReferencetext"/>
      </w:pPr>
      <w:proofErr w:type="spellStart"/>
      <w:r w:rsidRPr="006E6B03">
        <w:t>Balcers</w:t>
      </w:r>
      <w:proofErr w:type="spellEnd"/>
      <w:r w:rsidRPr="006E6B03">
        <w:t xml:space="preserve">, O., Miranda, U. and </w:t>
      </w:r>
      <w:proofErr w:type="spellStart"/>
      <w:r w:rsidRPr="006E6B03">
        <w:t>Veilande</w:t>
      </w:r>
      <w:proofErr w:type="spellEnd"/>
      <w:r w:rsidRPr="006E6B03">
        <w:t>, R. (2022) “Study of ergocalciferol and cholecalciferol (Vitamin D): Mod-</w:t>
      </w:r>
      <w:proofErr w:type="spellStart"/>
      <w:r w:rsidRPr="006E6B03">
        <w:t>eled</w:t>
      </w:r>
      <w:proofErr w:type="spellEnd"/>
      <w:r w:rsidRPr="006E6B03">
        <w:t xml:space="preserve"> optical properties and optical detection using absorption and Raman spectroscopy,” </w:t>
      </w:r>
      <w:proofErr w:type="spellStart"/>
      <w:r w:rsidRPr="006E6B03">
        <w:t>Spectrochimica</w:t>
      </w:r>
      <w:proofErr w:type="spellEnd"/>
      <w:r w:rsidRPr="006E6B03">
        <w:t xml:space="preserve"> Acta Part A: Molecular and Biomolecular Spectroscopy, 269, p. 120725. </w:t>
      </w:r>
    </w:p>
    <w:p w14:paraId="6526057A" w14:textId="317E72CB" w:rsidR="00424B91" w:rsidRPr="006E6B03" w:rsidRDefault="00424B91" w:rsidP="006E6B03">
      <w:pPr>
        <w:pStyle w:val="CETReferencetext"/>
      </w:pPr>
      <w:r w:rsidRPr="006E6B03">
        <w:t xml:space="preserve">Cardwell, G. et al. (2018) “A Review of Mushrooms as Potential Source of Dietary Vitamin D,” Nutrients, 10(10). </w:t>
      </w:r>
    </w:p>
    <w:p w14:paraId="7EAD133A" w14:textId="3B2BFB88" w:rsidR="00424B91" w:rsidRPr="006E6B03" w:rsidRDefault="00424B91" w:rsidP="006E6B03">
      <w:pPr>
        <w:pStyle w:val="CETReferencetext"/>
      </w:pPr>
      <w:r w:rsidRPr="006E6B03">
        <w:t xml:space="preserve">Cui, A. et al. (2023) “Global and regional prevalence of vitamin D deficiency in population-based studies from 2000 to 2022: A pooled analysis of 7.9 million participants,” Frontiers in Nutrition, 10. </w:t>
      </w:r>
    </w:p>
    <w:p w14:paraId="267EC14C" w14:textId="7CA77AEB" w:rsidR="00753AD7" w:rsidRPr="006E6B03" w:rsidRDefault="00753AD7" w:rsidP="006E6B03">
      <w:pPr>
        <w:pStyle w:val="CETReferencetext"/>
      </w:pPr>
      <w:r w:rsidRPr="00B0117A">
        <w:rPr>
          <w:lang w:val="it-IT"/>
        </w:rPr>
        <w:t>G</w:t>
      </w:r>
      <w:r w:rsidR="006E6B03" w:rsidRPr="00B0117A">
        <w:rPr>
          <w:lang w:val="it-IT"/>
        </w:rPr>
        <w:t>ó</w:t>
      </w:r>
      <w:r w:rsidRPr="00B0117A">
        <w:rPr>
          <w:lang w:val="it-IT"/>
        </w:rPr>
        <w:t xml:space="preserve">mez-Camacho, C. E., </w:t>
      </w:r>
      <w:proofErr w:type="spellStart"/>
      <w:r w:rsidRPr="00B0117A">
        <w:rPr>
          <w:lang w:val="it-IT"/>
        </w:rPr>
        <w:t>Mollea</w:t>
      </w:r>
      <w:proofErr w:type="spellEnd"/>
      <w:r w:rsidRPr="00B0117A">
        <w:rPr>
          <w:lang w:val="it-IT"/>
        </w:rPr>
        <w:t xml:space="preserve">, C., Bosco, F., Ruggeri, B., &amp; Mazzarino, I. (2022). </w:t>
      </w:r>
      <w:r w:rsidRPr="006E6B03">
        <w:t xml:space="preserve">Measurements of Protein Content in Aqueous and Alkaline Extracts from Brewer’s Spent Grains (BSG): Insights </w:t>
      </w:r>
      <w:proofErr w:type="gramStart"/>
      <w:r w:rsidRPr="006E6B03">
        <w:t>Into</w:t>
      </w:r>
      <w:proofErr w:type="gramEnd"/>
      <w:r w:rsidRPr="006E6B03">
        <w:t xml:space="preserve"> the Extraction Kinetics and Energy Consumption. Chemical Engineering Transactions, 93, 43–48.</w:t>
      </w:r>
    </w:p>
    <w:p w14:paraId="50C78637" w14:textId="40E3D388" w:rsidR="00424B91" w:rsidRPr="006E6B03" w:rsidRDefault="00424B91" w:rsidP="006E6B03">
      <w:pPr>
        <w:pStyle w:val="CETReferencetext"/>
      </w:pPr>
      <w:r w:rsidRPr="006E6B03">
        <w:t>van den Heuvel, E.G. et al. (2024) “Comparison of the Effect of Daily Vitamin D</w:t>
      </w:r>
      <w:r w:rsidRPr="00D83290">
        <w:rPr>
          <w:vertAlign w:val="subscript"/>
        </w:rPr>
        <w:t>2</w:t>
      </w:r>
      <w:r w:rsidRPr="006E6B03">
        <w:t xml:space="preserve"> and Vitamin D</w:t>
      </w:r>
      <w:r w:rsidRPr="00D83290">
        <w:rPr>
          <w:vertAlign w:val="subscript"/>
        </w:rPr>
        <w:t>3</w:t>
      </w:r>
      <w:r w:rsidRPr="006E6B03">
        <w:t xml:space="preserve"> </w:t>
      </w:r>
      <w:proofErr w:type="spellStart"/>
      <w:r w:rsidRPr="006E6B03">
        <w:t>Supplemen-tation</w:t>
      </w:r>
      <w:proofErr w:type="spellEnd"/>
      <w:r w:rsidRPr="006E6B03">
        <w:t xml:space="preserve"> on Serum 25-Hydroxyvitamin D Concentration and Importance of Body Mass Index: A Systematic Review and Meta-Analysis,” Advances in Nutrition (Bethesda, Md.), 15(1), p. 100133. </w:t>
      </w:r>
    </w:p>
    <w:p w14:paraId="1174C66C" w14:textId="44F9B46B" w:rsidR="00424B91" w:rsidRPr="006E6B03" w:rsidRDefault="00424B91" w:rsidP="006E6B03">
      <w:pPr>
        <w:pStyle w:val="CETReferencetext"/>
      </w:pPr>
      <w:r w:rsidRPr="006E6B03">
        <w:t>Hu, D. et al. (2021) “Comparison of Ergosterol and Vitamin D</w:t>
      </w:r>
      <w:r w:rsidRPr="00D83290">
        <w:rPr>
          <w:vertAlign w:val="subscript"/>
        </w:rPr>
        <w:t>2</w:t>
      </w:r>
      <w:r w:rsidRPr="006E6B03">
        <w:t xml:space="preserve"> in Mushrooms </w:t>
      </w:r>
      <w:r w:rsidRPr="00D83290">
        <w:rPr>
          <w:i/>
          <w:iCs/>
        </w:rPr>
        <w:t>Agaricus bisporus</w:t>
      </w:r>
      <w:r w:rsidRPr="006E6B03">
        <w:t xml:space="preserve"> and </w:t>
      </w:r>
      <w:r w:rsidRPr="00D83290">
        <w:rPr>
          <w:i/>
          <w:iCs/>
        </w:rPr>
        <w:t>Cordyceps militaris</w:t>
      </w:r>
      <w:r w:rsidRPr="006E6B03">
        <w:t xml:space="preserve"> Using Ultraviolet Irradiation Directly on Dry Powder or in Ethanol Suspension,” ACS Omega, 6(44), pp. 29506–29515. </w:t>
      </w:r>
    </w:p>
    <w:p w14:paraId="47ECD9ED" w14:textId="3A8B5386" w:rsidR="00424B91" w:rsidRPr="006E6B03" w:rsidRDefault="00424B91" w:rsidP="006E6B03">
      <w:pPr>
        <w:pStyle w:val="CETReferencetext"/>
      </w:pPr>
      <w:proofErr w:type="spellStart"/>
      <w:r w:rsidRPr="00B0117A">
        <w:rPr>
          <w:lang w:val="de-CH"/>
        </w:rPr>
        <w:t>Kalaras</w:t>
      </w:r>
      <w:proofErr w:type="spellEnd"/>
      <w:r w:rsidRPr="00B0117A">
        <w:rPr>
          <w:lang w:val="de-CH"/>
        </w:rPr>
        <w:t xml:space="preserve">, M.D. et al. </w:t>
      </w:r>
      <w:r w:rsidRPr="006E6B03">
        <w:t>(2012) “Generation of potentially bioactive ergosterol-derived products following pulsed ultraviolet light exposure of mushrooms (</w:t>
      </w:r>
      <w:r w:rsidRPr="00D83290">
        <w:rPr>
          <w:i/>
          <w:iCs/>
        </w:rPr>
        <w:t>Agaricus bisporus</w:t>
      </w:r>
      <w:r w:rsidRPr="006E6B03">
        <w:t>),” Food Chemistry, 135(2), pp. 396–401.</w:t>
      </w:r>
    </w:p>
    <w:p w14:paraId="03F059F8" w14:textId="77777777" w:rsidR="00DA545D" w:rsidRPr="006E6B03" w:rsidRDefault="00424B91" w:rsidP="006E6B03">
      <w:pPr>
        <w:pStyle w:val="CETReferencetext"/>
      </w:pPr>
      <w:r w:rsidRPr="00B0117A">
        <w:rPr>
          <w:lang w:val="de-CH"/>
        </w:rPr>
        <w:t xml:space="preserve">Sonnenberg, A.S.M. et al. </w:t>
      </w:r>
      <w:r w:rsidRPr="006E6B03">
        <w:t xml:space="preserve">(2016) “A detailed analysis of the recombination landscape of the button mushroom </w:t>
      </w:r>
      <w:r w:rsidRPr="00D83290">
        <w:rPr>
          <w:i/>
          <w:iCs/>
        </w:rPr>
        <w:t>Agaricus bisporus</w:t>
      </w:r>
      <w:r w:rsidRPr="006E6B03">
        <w:t xml:space="preserve"> var. </w:t>
      </w:r>
      <w:r w:rsidRPr="002F2997">
        <w:rPr>
          <w:i/>
          <w:iCs/>
        </w:rPr>
        <w:t>bisporus</w:t>
      </w:r>
      <w:r w:rsidRPr="006E6B03">
        <w:t>,” Fungal Genetics and Biology, 93, pp. 35–45.</w:t>
      </w:r>
    </w:p>
    <w:p w14:paraId="6679AA52" w14:textId="6ED88843" w:rsidR="00424B91" w:rsidRPr="006E6B03" w:rsidRDefault="00424B91" w:rsidP="006E6B03">
      <w:pPr>
        <w:pStyle w:val="CETReferencetext"/>
      </w:pPr>
      <w:proofErr w:type="spellStart"/>
      <w:r w:rsidRPr="006E6B03">
        <w:t>Terenetskaya</w:t>
      </w:r>
      <w:proofErr w:type="spellEnd"/>
      <w:r w:rsidRPr="006E6B03">
        <w:t xml:space="preserve">, I.P., </w:t>
      </w:r>
      <w:proofErr w:type="spellStart"/>
      <w:r w:rsidRPr="006E6B03">
        <w:t>Perminova</w:t>
      </w:r>
      <w:proofErr w:type="spellEnd"/>
      <w:r w:rsidRPr="006E6B03">
        <w:t>, O.G. and Yeremenko, A.M. (1990) “Photoisomerization of provitamin D in dis-</w:t>
      </w:r>
      <w:proofErr w:type="spellStart"/>
      <w:r w:rsidRPr="006E6B03">
        <w:t>persive</w:t>
      </w:r>
      <w:proofErr w:type="spellEnd"/>
      <w:r w:rsidRPr="006E6B03">
        <w:t xml:space="preserve"> systems,” Journal of Molecular Structure, 219, pp. 359–364. </w:t>
      </w:r>
    </w:p>
    <w:p w14:paraId="7C2BDD55" w14:textId="5DE45ACD" w:rsidR="00424B91" w:rsidRPr="006E6B03" w:rsidRDefault="00424B91" w:rsidP="006E6B03">
      <w:pPr>
        <w:pStyle w:val="CETReferencetext"/>
      </w:pPr>
      <w:r w:rsidRPr="006E6B03">
        <w:t>Wilkes, T.I. (2023) “Ergosterol extraction: a comparison of methodologies,” Access Microbiology, 5(4).</w:t>
      </w:r>
    </w:p>
    <w:sectPr w:rsidR="00424B91" w:rsidRPr="006E6B03"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A5A73" w14:textId="77777777" w:rsidR="00FF0AFA" w:rsidRPr="00963288" w:rsidRDefault="00FF0AFA" w:rsidP="004F5E36">
      <w:r w:rsidRPr="00963288">
        <w:separator/>
      </w:r>
    </w:p>
  </w:endnote>
  <w:endnote w:type="continuationSeparator" w:id="0">
    <w:p w14:paraId="1DE4D24B" w14:textId="77777777" w:rsidR="00FF0AFA" w:rsidRPr="00963288" w:rsidRDefault="00FF0AFA" w:rsidP="004F5E36">
      <w:r w:rsidRPr="009632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A0FF9" w14:textId="77777777" w:rsidR="00FF0AFA" w:rsidRPr="00963288" w:rsidRDefault="00FF0AFA" w:rsidP="004F5E36">
      <w:r w:rsidRPr="00963288">
        <w:separator/>
      </w:r>
    </w:p>
  </w:footnote>
  <w:footnote w:type="continuationSeparator" w:id="0">
    <w:p w14:paraId="000EE860" w14:textId="77777777" w:rsidR="00FF0AFA" w:rsidRPr="00963288" w:rsidRDefault="00FF0AFA" w:rsidP="004F5E36">
      <w:r w:rsidRPr="0096328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873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610"/>
    <w:rsid w:val="000027C0"/>
    <w:rsid w:val="00002BA6"/>
    <w:rsid w:val="000052FB"/>
    <w:rsid w:val="00005884"/>
    <w:rsid w:val="00005A19"/>
    <w:rsid w:val="000117CB"/>
    <w:rsid w:val="00013CD2"/>
    <w:rsid w:val="0003148D"/>
    <w:rsid w:val="00031EEC"/>
    <w:rsid w:val="0004017C"/>
    <w:rsid w:val="00045565"/>
    <w:rsid w:val="00051566"/>
    <w:rsid w:val="000562A9"/>
    <w:rsid w:val="00062A9A"/>
    <w:rsid w:val="00062B70"/>
    <w:rsid w:val="00065058"/>
    <w:rsid w:val="00083717"/>
    <w:rsid w:val="00086C39"/>
    <w:rsid w:val="00096390"/>
    <w:rsid w:val="000A03B2"/>
    <w:rsid w:val="000A67BD"/>
    <w:rsid w:val="000B0814"/>
    <w:rsid w:val="000D0268"/>
    <w:rsid w:val="000D1B46"/>
    <w:rsid w:val="000D34BE"/>
    <w:rsid w:val="000D369C"/>
    <w:rsid w:val="000D5A51"/>
    <w:rsid w:val="000E102F"/>
    <w:rsid w:val="000E36F1"/>
    <w:rsid w:val="000E3A73"/>
    <w:rsid w:val="000E414A"/>
    <w:rsid w:val="000E66E6"/>
    <w:rsid w:val="000E75FD"/>
    <w:rsid w:val="000F093C"/>
    <w:rsid w:val="000F4620"/>
    <w:rsid w:val="000F4FB4"/>
    <w:rsid w:val="000F787B"/>
    <w:rsid w:val="00105A79"/>
    <w:rsid w:val="0012091F"/>
    <w:rsid w:val="00121B06"/>
    <w:rsid w:val="00124AAD"/>
    <w:rsid w:val="00126BC2"/>
    <w:rsid w:val="001308B6"/>
    <w:rsid w:val="0013121F"/>
    <w:rsid w:val="00131FE6"/>
    <w:rsid w:val="0013263F"/>
    <w:rsid w:val="001331DF"/>
    <w:rsid w:val="00134C41"/>
    <w:rsid w:val="00134DE4"/>
    <w:rsid w:val="0014034D"/>
    <w:rsid w:val="00140FE3"/>
    <w:rsid w:val="00144D16"/>
    <w:rsid w:val="00150B60"/>
    <w:rsid w:val="00150E59"/>
    <w:rsid w:val="00152DE3"/>
    <w:rsid w:val="00153ABA"/>
    <w:rsid w:val="00164CF9"/>
    <w:rsid w:val="001667A6"/>
    <w:rsid w:val="00174777"/>
    <w:rsid w:val="00175B95"/>
    <w:rsid w:val="00184AD6"/>
    <w:rsid w:val="00197891"/>
    <w:rsid w:val="001A1AA5"/>
    <w:rsid w:val="001A4AF7"/>
    <w:rsid w:val="001A6EDA"/>
    <w:rsid w:val="001B0349"/>
    <w:rsid w:val="001B1E93"/>
    <w:rsid w:val="001B65C1"/>
    <w:rsid w:val="001C260F"/>
    <w:rsid w:val="001C33BE"/>
    <w:rsid w:val="001C33F1"/>
    <w:rsid w:val="001C3A19"/>
    <w:rsid w:val="001C684B"/>
    <w:rsid w:val="001C75FC"/>
    <w:rsid w:val="001D0CFB"/>
    <w:rsid w:val="001D21AF"/>
    <w:rsid w:val="001D53FC"/>
    <w:rsid w:val="001D56A0"/>
    <w:rsid w:val="001D5D34"/>
    <w:rsid w:val="001D6E86"/>
    <w:rsid w:val="001F4122"/>
    <w:rsid w:val="001F42A5"/>
    <w:rsid w:val="001F6108"/>
    <w:rsid w:val="001F7B9D"/>
    <w:rsid w:val="002007C5"/>
    <w:rsid w:val="00201C93"/>
    <w:rsid w:val="002113DA"/>
    <w:rsid w:val="00214105"/>
    <w:rsid w:val="00215129"/>
    <w:rsid w:val="002224B4"/>
    <w:rsid w:val="0022387D"/>
    <w:rsid w:val="002308A5"/>
    <w:rsid w:val="002447EF"/>
    <w:rsid w:val="0024627E"/>
    <w:rsid w:val="0025096B"/>
    <w:rsid w:val="00251550"/>
    <w:rsid w:val="00251FA3"/>
    <w:rsid w:val="00263B05"/>
    <w:rsid w:val="00263E64"/>
    <w:rsid w:val="002711C9"/>
    <w:rsid w:val="0027221A"/>
    <w:rsid w:val="00275B61"/>
    <w:rsid w:val="00275EFB"/>
    <w:rsid w:val="00280737"/>
    <w:rsid w:val="00280FAF"/>
    <w:rsid w:val="00282656"/>
    <w:rsid w:val="002924BE"/>
    <w:rsid w:val="00296B83"/>
    <w:rsid w:val="002A1304"/>
    <w:rsid w:val="002B1EFA"/>
    <w:rsid w:val="002B4015"/>
    <w:rsid w:val="002B78CE"/>
    <w:rsid w:val="002C2FB6"/>
    <w:rsid w:val="002D15BD"/>
    <w:rsid w:val="002E5FA7"/>
    <w:rsid w:val="002E6AF2"/>
    <w:rsid w:val="002F2997"/>
    <w:rsid w:val="002F3309"/>
    <w:rsid w:val="003008CE"/>
    <w:rsid w:val="003009B7"/>
    <w:rsid w:val="00300E56"/>
    <w:rsid w:val="0030152C"/>
    <w:rsid w:val="0030469C"/>
    <w:rsid w:val="0031387A"/>
    <w:rsid w:val="00321CA6"/>
    <w:rsid w:val="003225C7"/>
    <w:rsid w:val="00323763"/>
    <w:rsid w:val="00323C5F"/>
    <w:rsid w:val="00332B9B"/>
    <w:rsid w:val="00334C09"/>
    <w:rsid w:val="00335151"/>
    <w:rsid w:val="003451C7"/>
    <w:rsid w:val="003511BC"/>
    <w:rsid w:val="00351722"/>
    <w:rsid w:val="0035733E"/>
    <w:rsid w:val="003723D4"/>
    <w:rsid w:val="00381905"/>
    <w:rsid w:val="00384CC8"/>
    <w:rsid w:val="003871FD"/>
    <w:rsid w:val="00394EC4"/>
    <w:rsid w:val="003A1E30"/>
    <w:rsid w:val="003A2829"/>
    <w:rsid w:val="003A5D96"/>
    <w:rsid w:val="003A7D1C"/>
    <w:rsid w:val="003B304B"/>
    <w:rsid w:val="003B3146"/>
    <w:rsid w:val="003C1E68"/>
    <w:rsid w:val="003C7AC9"/>
    <w:rsid w:val="003D1E02"/>
    <w:rsid w:val="003D24AC"/>
    <w:rsid w:val="003D66C1"/>
    <w:rsid w:val="003E0F0D"/>
    <w:rsid w:val="003E38AA"/>
    <w:rsid w:val="003F015E"/>
    <w:rsid w:val="00400414"/>
    <w:rsid w:val="004051C3"/>
    <w:rsid w:val="004115FE"/>
    <w:rsid w:val="0041446B"/>
    <w:rsid w:val="004214CB"/>
    <w:rsid w:val="0042406E"/>
    <w:rsid w:val="00424B91"/>
    <w:rsid w:val="0044071E"/>
    <w:rsid w:val="00441DBB"/>
    <w:rsid w:val="0044329C"/>
    <w:rsid w:val="0044465C"/>
    <w:rsid w:val="00445274"/>
    <w:rsid w:val="00452C5D"/>
    <w:rsid w:val="00453E24"/>
    <w:rsid w:val="0045611E"/>
    <w:rsid w:val="00457456"/>
    <w:rsid w:val="004577FE"/>
    <w:rsid w:val="00457B9C"/>
    <w:rsid w:val="0046164A"/>
    <w:rsid w:val="004628D2"/>
    <w:rsid w:val="00462DCD"/>
    <w:rsid w:val="004648AD"/>
    <w:rsid w:val="0047001F"/>
    <w:rsid w:val="004703A9"/>
    <w:rsid w:val="00470C6C"/>
    <w:rsid w:val="004760DE"/>
    <w:rsid w:val="004763D7"/>
    <w:rsid w:val="004A004E"/>
    <w:rsid w:val="004A24CF"/>
    <w:rsid w:val="004A30C9"/>
    <w:rsid w:val="004A5E57"/>
    <w:rsid w:val="004B031D"/>
    <w:rsid w:val="004B216C"/>
    <w:rsid w:val="004B682B"/>
    <w:rsid w:val="004B76B9"/>
    <w:rsid w:val="004C194F"/>
    <w:rsid w:val="004C3D1D"/>
    <w:rsid w:val="004C3D84"/>
    <w:rsid w:val="004C7759"/>
    <w:rsid w:val="004C7913"/>
    <w:rsid w:val="004E4154"/>
    <w:rsid w:val="004E4DD6"/>
    <w:rsid w:val="004F5E36"/>
    <w:rsid w:val="00503A46"/>
    <w:rsid w:val="005050CE"/>
    <w:rsid w:val="005055EA"/>
    <w:rsid w:val="00507B47"/>
    <w:rsid w:val="00507BEF"/>
    <w:rsid w:val="00507CC9"/>
    <w:rsid w:val="005119A5"/>
    <w:rsid w:val="00513084"/>
    <w:rsid w:val="005171D8"/>
    <w:rsid w:val="00520339"/>
    <w:rsid w:val="005227EF"/>
    <w:rsid w:val="00525931"/>
    <w:rsid w:val="005278B7"/>
    <w:rsid w:val="00532016"/>
    <w:rsid w:val="005329C0"/>
    <w:rsid w:val="005346C8"/>
    <w:rsid w:val="0054225B"/>
    <w:rsid w:val="00543748"/>
    <w:rsid w:val="00543E7D"/>
    <w:rsid w:val="00547A68"/>
    <w:rsid w:val="005531C9"/>
    <w:rsid w:val="00570C43"/>
    <w:rsid w:val="00592274"/>
    <w:rsid w:val="0059375A"/>
    <w:rsid w:val="00594DDD"/>
    <w:rsid w:val="005A07E7"/>
    <w:rsid w:val="005A724A"/>
    <w:rsid w:val="005B2110"/>
    <w:rsid w:val="005B61E6"/>
    <w:rsid w:val="005C77E1"/>
    <w:rsid w:val="005D668A"/>
    <w:rsid w:val="005D6A2F"/>
    <w:rsid w:val="005E0592"/>
    <w:rsid w:val="005E0A35"/>
    <w:rsid w:val="005E1A82"/>
    <w:rsid w:val="005E3C67"/>
    <w:rsid w:val="005E794C"/>
    <w:rsid w:val="005F0A28"/>
    <w:rsid w:val="005F0E5E"/>
    <w:rsid w:val="005F6199"/>
    <w:rsid w:val="0060026D"/>
    <w:rsid w:val="00600535"/>
    <w:rsid w:val="006010C9"/>
    <w:rsid w:val="00601BCE"/>
    <w:rsid w:val="00610CD6"/>
    <w:rsid w:val="00620005"/>
    <w:rsid w:val="0062053A"/>
    <w:rsid w:val="00620DEE"/>
    <w:rsid w:val="00621F92"/>
    <w:rsid w:val="0062280A"/>
    <w:rsid w:val="006231E1"/>
    <w:rsid w:val="00625639"/>
    <w:rsid w:val="00631B33"/>
    <w:rsid w:val="0064184D"/>
    <w:rsid w:val="006422CC"/>
    <w:rsid w:val="00642AED"/>
    <w:rsid w:val="00651D18"/>
    <w:rsid w:val="0065518C"/>
    <w:rsid w:val="00660E3E"/>
    <w:rsid w:val="00662E74"/>
    <w:rsid w:val="0066325A"/>
    <w:rsid w:val="006747BC"/>
    <w:rsid w:val="00680C23"/>
    <w:rsid w:val="00683E23"/>
    <w:rsid w:val="00687B23"/>
    <w:rsid w:val="00693766"/>
    <w:rsid w:val="0069782B"/>
    <w:rsid w:val="006A3281"/>
    <w:rsid w:val="006A4D0C"/>
    <w:rsid w:val="006A5129"/>
    <w:rsid w:val="006A619C"/>
    <w:rsid w:val="006B4888"/>
    <w:rsid w:val="006B6BD4"/>
    <w:rsid w:val="006C2E45"/>
    <w:rsid w:val="006C359C"/>
    <w:rsid w:val="006C3EB7"/>
    <w:rsid w:val="006C5579"/>
    <w:rsid w:val="006D6058"/>
    <w:rsid w:val="006D6E2E"/>
    <w:rsid w:val="006D6E8B"/>
    <w:rsid w:val="006D7209"/>
    <w:rsid w:val="006D7CD4"/>
    <w:rsid w:val="006E2117"/>
    <w:rsid w:val="006E2C4D"/>
    <w:rsid w:val="006E6B03"/>
    <w:rsid w:val="006E737D"/>
    <w:rsid w:val="00703945"/>
    <w:rsid w:val="00707DD1"/>
    <w:rsid w:val="00713973"/>
    <w:rsid w:val="00720A24"/>
    <w:rsid w:val="00721A56"/>
    <w:rsid w:val="007223E8"/>
    <w:rsid w:val="007224FB"/>
    <w:rsid w:val="0072447E"/>
    <w:rsid w:val="00730797"/>
    <w:rsid w:val="00732386"/>
    <w:rsid w:val="00733A3E"/>
    <w:rsid w:val="0073514D"/>
    <w:rsid w:val="00740BF3"/>
    <w:rsid w:val="007447F3"/>
    <w:rsid w:val="00753AD7"/>
    <w:rsid w:val="0075499F"/>
    <w:rsid w:val="007617CC"/>
    <w:rsid w:val="0076240D"/>
    <w:rsid w:val="007661C8"/>
    <w:rsid w:val="0077098D"/>
    <w:rsid w:val="00785BF9"/>
    <w:rsid w:val="00787A6D"/>
    <w:rsid w:val="007931FA"/>
    <w:rsid w:val="007A35FE"/>
    <w:rsid w:val="007A4861"/>
    <w:rsid w:val="007A4C43"/>
    <w:rsid w:val="007A7BBA"/>
    <w:rsid w:val="007B0C50"/>
    <w:rsid w:val="007B48F9"/>
    <w:rsid w:val="007B57BE"/>
    <w:rsid w:val="007B7411"/>
    <w:rsid w:val="007C0B6D"/>
    <w:rsid w:val="007C1A43"/>
    <w:rsid w:val="007D0951"/>
    <w:rsid w:val="007E07CF"/>
    <w:rsid w:val="007F27C8"/>
    <w:rsid w:val="0080013E"/>
    <w:rsid w:val="00801856"/>
    <w:rsid w:val="008072EB"/>
    <w:rsid w:val="00810C74"/>
    <w:rsid w:val="008127DE"/>
    <w:rsid w:val="00813288"/>
    <w:rsid w:val="008168FC"/>
    <w:rsid w:val="0082157D"/>
    <w:rsid w:val="00821864"/>
    <w:rsid w:val="00824FB9"/>
    <w:rsid w:val="00830996"/>
    <w:rsid w:val="008314D7"/>
    <w:rsid w:val="008345F1"/>
    <w:rsid w:val="0085136F"/>
    <w:rsid w:val="00865B07"/>
    <w:rsid w:val="008667EA"/>
    <w:rsid w:val="0087637F"/>
    <w:rsid w:val="008831FE"/>
    <w:rsid w:val="00892AD5"/>
    <w:rsid w:val="008A1512"/>
    <w:rsid w:val="008B08C3"/>
    <w:rsid w:val="008C0162"/>
    <w:rsid w:val="008C3A19"/>
    <w:rsid w:val="008C425B"/>
    <w:rsid w:val="008D1140"/>
    <w:rsid w:val="008D32B9"/>
    <w:rsid w:val="008D433B"/>
    <w:rsid w:val="008D4A16"/>
    <w:rsid w:val="008E209A"/>
    <w:rsid w:val="008E2429"/>
    <w:rsid w:val="008E45BC"/>
    <w:rsid w:val="008E566E"/>
    <w:rsid w:val="008E5B37"/>
    <w:rsid w:val="008E63C0"/>
    <w:rsid w:val="0090161A"/>
    <w:rsid w:val="00901EB6"/>
    <w:rsid w:val="009041F8"/>
    <w:rsid w:val="00904C62"/>
    <w:rsid w:val="00906859"/>
    <w:rsid w:val="00922BA8"/>
    <w:rsid w:val="00923A25"/>
    <w:rsid w:val="00924DAC"/>
    <w:rsid w:val="0092610D"/>
    <w:rsid w:val="00926A0B"/>
    <w:rsid w:val="00927058"/>
    <w:rsid w:val="00942750"/>
    <w:rsid w:val="009450CE"/>
    <w:rsid w:val="009459BB"/>
    <w:rsid w:val="00947179"/>
    <w:rsid w:val="009511D4"/>
    <w:rsid w:val="0095164B"/>
    <w:rsid w:val="00954090"/>
    <w:rsid w:val="009547A3"/>
    <w:rsid w:val="009573E7"/>
    <w:rsid w:val="00963288"/>
    <w:rsid w:val="00963E05"/>
    <w:rsid w:val="00964A45"/>
    <w:rsid w:val="00965E17"/>
    <w:rsid w:val="00965FE4"/>
    <w:rsid w:val="009669D5"/>
    <w:rsid w:val="00967843"/>
    <w:rsid w:val="00967D54"/>
    <w:rsid w:val="00971028"/>
    <w:rsid w:val="00980848"/>
    <w:rsid w:val="00984025"/>
    <w:rsid w:val="0098454D"/>
    <w:rsid w:val="00993AF3"/>
    <w:rsid w:val="00993B84"/>
    <w:rsid w:val="00996483"/>
    <w:rsid w:val="00996F5A"/>
    <w:rsid w:val="009A662D"/>
    <w:rsid w:val="009B041A"/>
    <w:rsid w:val="009B0474"/>
    <w:rsid w:val="009C04FC"/>
    <w:rsid w:val="009C37C3"/>
    <w:rsid w:val="009C7C86"/>
    <w:rsid w:val="009D2FF7"/>
    <w:rsid w:val="009E1BEA"/>
    <w:rsid w:val="009E7884"/>
    <w:rsid w:val="009E788A"/>
    <w:rsid w:val="009F087A"/>
    <w:rsid w:val="009F0E08"/>
    <w:rsid w:val="009F7A4A"/>
    <w:rsid w:val="00A02F84"/>
    <w:rsid w:val="00A079AE"/>
    <w:rsid w:val="00A11576"/>
    <w:rsid w:val="00A14F6E"/>
    <w:rsid w:val="00A1763D"/>
    <w:rsid w:val="00A17CEC"/>
    <w:rsid w:val="00A2266D"/>
    <w:rsid w:val="00A26CBB"/>
    <w:rsid w:val="00A27EF0"/>
    <w:rsid w:val="00A338B6"/>
    <w:rsid w:val="00A36420"/>
    <w:rsid w:val="00A42361"/>
    <w:rsid w:val="00A43BEB"/>
    <w:rsid w:val="00A44C08"/>
    <w:rsid w:val="00A50B20"/>
    <w:rsid w:val="00A51390"/>
    <w:rsid w:val="00A556D3"/>
    <w:rsid w:val="00A60B0F"/>
    <w:rsid w:val="00A60D13"/>
    <w:rsid w:val="00A6270D"/>
    <w:rsid w:val="00A7223D"/>
    <w:rsid w:val="00A72745"/>
    <w:rsid w:val="00A765BD"/>
    <w:rsid w:val="00A76EFC"/>
    <w:rsid w:val="00A77768"/>
    <w:rsid w:val="00A854DE"/>
    <w:rsid w:val="00A85C52"/>
    <w:rsid w:val="00A87D50"/>
    <w:rsid w:val="00A91010"/>
    <w:rsid w:val="00A97F29"/>
    <w:rsid w:val="00AA3993"/>
    <w:rsid w:val="00AA6288"/>
    <w:rsid w:val="00AA702E"/>
    <w:rsid w:val="00AA7D26"/>
    <w:rsid w:val="00AB0964"/>
    <w:rsid w:val="00AB344C"/>
    <w:rsid w:val="00AB5011"/>
    <w:rsid w:val="00AC26FE"/>
    <w:rsid w:val="00AC7368"/>
    <w:rsid w:val="00AD0278"/>
    <w:rsid w:val="00AD16B9"/>
    <w:rsid w:val="00AE377D"/>
    <w:rsid w:val="00AF0EBA"/>
    <w:rsid w:val="00B0117A"/>
    <w:rsid w:val="00B02C8A"/>
    <w:rsid w:val="00B03AA9"/>
    <w:rsid w:val="00B11454"/>
    <w:rsid w:val="00B13FC7"/>
    <w:rsid w:val="00B163B9"/>
    <w:rsid w:val="00B17FBD"/>
    <w:rsid w:val="00B2389D"/>
    <w:rsid w:val="00B24A1C"/>
    <w:rsid w:val="00B315A6"/>
    <w:rsid w:val="00B31813"/>
    <w:rsid w:val="00B31A4F"/>
    <w:rsid w:val="00B33365"/>
    <w:rsid w:val="00B3785E"/>
    <w:rsid w:val="00B37F2C"/>
    <w:rsid w:val="00B46143"/>
    <w:rsid w:val="00B47BDE"/>
    <w:rsid w:val="00B57B36"/>
    <w:rsid w:val="00B57E6F"/>
    <w:rsid w:val="00B610FB"/>
    <w:rsid w:val="00B6442B"/>
    <w:rsid w:val="00B756FD"/>
    <w:rsid w:val="00B83C15"/>
    <w:rsid w:val="00B862B4"/>
    <w:rsid w:val="00B8686D"/>
    <w:rsid w:val="00B93F69"/>
    <w:rsid w:val="00BB1913"/>
    <w:rsid w:val="00BB1DDC"/>
    <w:rsid w:val="00BC30C9"/>
    <w:rsid w:val="00BD077D"/>
    <w:rsid w:val="00BD5A69"/>
    <w:rsid w:val="00BD60FF"/>
    <w:rsid w:val="00BE3E58"/>
    <w:rsid w:val="00BF61C3"/>
    <w:rsid w:val="00BF636F"/>
    <w:rsid w:val="00C01616"/>
    <w:rsid w:val="00C0162B"/>
    <w:rsid w:val="00C068ED"/>
    <w:rsid w:val="00C1132F"/>
    <w:rsid w:val="00C14E32"/>
    <w:rsid w:val="00C208E9"/>
    <w:rsid w:val="00C22E0C"/>
    <w:rsid w:val="00C345B1"/>
    <w:rsid w:val="00C37410"/>
    <w:rsid w:val="00C37726"/>
    <w:rsid w:val="00C40142"/>
    <w:rsid w:val="00C43CE1"/>
    <w:rsid w:val="00C451C1"/>
    <w:rsid w:val="00C47730"/>
    <w:rsid w:val="00C52C3C"/>
    <w:rsid w:val="00C57182"/>
    <w:rsid w:val="00C57863"/>
    <w:rsid w:val="00C640AF"/>
    <w:rsid w:val="00C655FD"/>
    <w:rsid w:val="00C708DD"/>
    <w:rsid w:val="00C72854"/>
    <w:rsid w:val="00C75407"/>
    <w:rsid w:val="00C841C6"/>
    <w:rsid w:val="00C870A8"/>
    <w:rsid w:val="00C904C9"/>
    <w:rsid w:val="00C91A33"/>
    <w:rsid w:val="00C94434"/>
    <w:rsid w:val="00C97EF2"/>
    <w:rsid w:val="00CA0D75"/>
    <w:rsid w:val="00CA1C95"/>
    <w:rsid w:val="00CA3636"/>
    <w:rsid w:val="00CA5A9C"/>
    <w:rsid w:val="00CB671D"/>
    <w:rsid w:val="00CC0219"/>
    <w:rsid w:val="00CC4C20"/>
    <w:rsid w:val="00CD1BB7"/>
    <w:rsid w:val="00CD2A62"/>
    <w:rsid w:val="00CD3517"/>
    <w:rsid w:val="00CD504E"/>
    <w:rsid w:val="00CD5FE2"/>
    <w:rsid w:val="00CD7AD9"/>
    <w:rsid w:val="00CE7C68"/>
    <w:rsid w:val="00CF4F22"/>
    <w:rsid w:val="00CF563E"/>
    <w:rsid w:val="00D02B4C"/>
    <w:rsid w:val="00D040C4"/>
    <w:rsid w:val="00D162C5"/>
    <w:rsid w:val="00D20AD1"/>
    <w:rsid w:val="00D21274"/>
    <w:rsid w:val="00D2582C"/>
    <w:rsid w:val="00D278AB"/>
    <w:rsid w:val="00D305DE"/>
    <w:rsid w:val="00D35786"/>
    <w:rsid w:val="00D46B7E"/>
    <w:rsid w:val="00D47D8A"/>
    <w:rsid w:val="00D50816"/>
    <w:rsid w:val="00D57C84"/>
    <w:rsid w:val="00D6057D"/>
    <w:rsid w:val="00D71299"/>
    <w:rsid w:val="00D71640"/>
    <w:rsid w:val="00D83290"/>
    <w:rsid w:val="00D836C5"/>
    <w:rsid w:val="00D84576"/>
    <w:rsid w:val="00D868E2"/>
    <w:rsid w:val="00D93F59"/>
    <w:rsid w:val="00DA1399"/>
    <w:rsid w:val="00DA24C6"/>
    <w:rsid w:val="00DA4D7B"/>
    <w:rsid w:val="00DA545D"/>
    <w:rsid w:val="00DD03DD"/>
    <w:rsid w:val="00DD271C"/>
    <w:rsid w:val="00DE264A"/>
    <w:rsid w:val="00DF5072"/>
    <w:rsid w:val="00E02D18"/>
    <w:rsid w:val="00E041E7"/>
    <w:rsid w:val="00E1355B"/>
    <w:rsid w:val="00E15746"/>
    <w:rsid w:val="00E225B1"/>
    <w:rsid w:val="00E23CA1"/>
    <w:rsid w:val="00E35685"/>
    <w:rsid w:val="00E409A8"/>
    <w:rsid w:val="00E42A91"/>
    <w:rsid w:val="00E44CFF"/>
    <w:rsid w:val="00E460C0"/>
    <w:rsid w:val="00E46391"/>
    <w:rsid w:val="00E47D61"/>
    <w:rsid w:val="00E50C12"/>
    <w:rsid w:val="00E54CC3"/>
    <w:rsid w:val="00E65B91"/>
    <w:rsid w:val="00E72067"/>
    <w:rsid w:val="00E7209D"/>
    <w:rsid w:val="00E72EAD"/>
    <w:rsid w:val="00E77223"/>
    <w:rsid w:val="00E8528B"/>
    <w:rsid w:val="00E85B94"/>
    <w:rsid w:val="00E86622"/>
    <w:rsid w:val="00E978D0"/>
    <w:rsid w:val="00E97A81"/>
    <w:rsid w:val="00EA4613"/>
    <w:rsid w:val="00EA6829"/>
    <w:rsid w:val="00EA7F91"/>
    <w:rsid w:val="00EB0FE4"/>
    <w:rsid w:val="00EB1523"/>
    <w:rsid w:val="00EB3668"/>
    <w:rsid w:val="00EB7DD4"/>
    <w:rsid w:val="00EC0E49"/>
    <w:rsid w:val="00EC101F"/>
    <w:rsid w:val="00EC12C9"/>
    <w:rsid w:val="00EC1D9F"/>
    <w:rsid w:val="00ED5FAD"/>
    <w:rsid w:val="00EE0131"/>
    <w:rsid w:val="00EE17B0"/>
    <w:rsid w:val="00EE45EC"/>
    <w:rsid w:val="00EF06D9"/>
    <w:rsid w:val="00EF0982"/>
    <w:rsid w:val="00EF316F"/>
    <w:rsid w:val="00EF4566"/>
    <w:rsid w:val="00F05109"/>
    <w:rsid w:val="00F07055"/>
    <w:rsid w:val="00F078C9"/>
    <w:rsid w:val="00F20E3C"/>
    <w:rsid w:val="00F3049E"/>
    <w:rsid w:val="00F30C64"/>
    <w:rsid w:val="00F32BA2"/>
    <w:rsid w:val="00F32CDB"/>
    <w:rsid w:val="00F3348F"/>
    <w:rsid w:val="00F33D25"/>
    <w:rsid w:val="00F37280"/>
    <w:rsid w:val="00F4009A"/>
    <w:rsid w:val="00F41EE4"/>
    <w:rsid w:val="00F50DED"/>
    <w:rsid w:val="00F565FE"/>
    <w:rsid w:val="00F63A70"/>
    <w:rsid w:val="00F63D8C"/>
    <w:rsid w:val="00F66A9C"/>
    <w:rsid w:val="00F7534E"/>
    <w:rsid w:val="00F807EE"/>
    <w:rsid w:val="00F92421"/>
    <w:rsid w:val="00F93EDF"/>
    <w:rsid w:val="00FA1802"/>
    <w:rsid w:val="00FA21D0"/>
    <w:rsid w:val="00FA5202"/>
    <w:rsid w:val="00FA5F5F"/>
    <w:rsid w:val="00FB730C"/>
    <w:rsid w:val="00FC2695"/>
    <w:rsid w:val="00FC3E03"/>
    <w:rsid w:val="00FC3FC1"/>
    <w:rsid w:val="00FF0AFA"/>
    <w:rsid w:val="03444B97"/>
    <w:rsid w:val="03F1701F"/>
    <w:rsid w:val="05A812F3"/>
    <w:rsid w:val="0C19D933"/>
    <w:rsid w:val="10027DF6"/>
    <w:rsid w:val="18E7CE70"/>
    <w:rsid w:val="1E49A85C"/>
    <w:rsid w:val="1FE64B0B"/>
    <w:rsid w:val="22CFE63D"/>
    <w:rsid w:val="2711C1AB"/>
    <w:rsid w:val="2DC32095"/>
    <w:rsid w:val="30A5CD5B"/>
    <w:rsid w:val="3CD948CE"/>
    <w:rsid w:val="4246E4B5"/>
    <w:rsid w:val="4E84FD38"/>
    <w:rsid w:val="5101A09F"/>
    <w:rsid w:val="533F496C"/>
    <w:rsid w:val="53898A40"/>
    <w:rsid w:val="55B2517B"/>
    <w:rsid w:val="7A5855D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C81F956-F948-42F1-8980-ED92617B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after="240" w:line="240" w:lineRule="auto"/>
      <w:ind w:left="0" w:firstLine="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CD1BB7"/>
    <w:rPr>
      <w:color w:val="605E5C"/>
      <w:shd w:val="clear" w:color="auto" w:fill="E1DFDD"/>
    </w:rPr>
  </w:style>
  <w:style w:type="character" w:styleId="PlaceholderText">
    <w:name w:val="Placeholder Text"/>
    <w:basedOn w:val="DefaultParagraphFont"/>
    <w:uiPriority w:val="99"/>
    <w:semiHidden/>
    <w:rsid w:val="009F087A"/>
    <w:rPr>
      <w:color w:val="666666"/>
    </w:rPr>
  </w:style>
  <w:style w:type="table" w:styleId="PlainTable3">
    <w:name w:val="Plain Table 3"/>
    <w:basedOn w:val="TableNormal"/>
    <w:uiPriority w:val="43"/>
    <w:rsid w:val="00394EC4"/>
    <w:pPr>
      <w:spacing w:after="0" w:line="240" w:lineRule="auto"/>
    </w:pPr>
    <w:rPr>
      <w:rFonts w:ascii="Segoe UI" w:eastAsia="Times New Roman" w:hAnsi="Segoe UI" w:cs="Times New Roman"/>
      <w:sz w:val="20"/>
      <w:szCs w:val="20"/>
      <w:lang w:val="de-DE" w:eastAsia="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F33D25"/>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los.gomez@empa.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empa.emp-eaw.ch\data\Abt506\04_Projekte\Theses%20and%20students\Serafini%20Francesco\kinetics%20ergosterol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819214856593"/>
          <c:y val="3.8363759391806619E-2"/>
          <c:w val="0.87985490376352327"/>
          <c:h val="0.60038726202935611"/>
        </c:manualLayout>
      </c:layout>
      <c:barChart>
        <c:barDir val="col"/>
        <c:grouping val="clustered"/>
        <c:varyColors val="0"/>
        <c:ser>
          <c:idx val="0"/>
          <c:order val="0"/>
          <c:tx>
            <c:strRef>
              <c:f>extraction!$D$18</c:f>
              <c:strCache>
                <c:ptCount val="1"/>
                <c:pt idx="0">
                  <c:v>UAE - White</c:v>
                </c:pt>
              </c:strCache>
            </c:strRef>
          </c:tx>
          <c:spPr>
            <a:solidFill>
              <a:schemeClr val="accent2">
                <a:lumMod val="40000"/>
                <a:lumOff val="60000"/>
              </a:schemeClr>
            </a:solidFill>
            <a:ln>
              <a:solidFill>
                <a:schemeClr val="tx1"/>
              </a:solidFill>
            </a:ln>
            <a:effectLst/>
          </c:spPr>
          <c:invertIfNegative val="0"/>
          <c:dLbls>
            <c:dLbl>
              <c:idx val="0"/>
              <c:tx>
                <c:rich>
                  <a:bodyPr/>
                  <a:lstStyle/>
                  <a:p>
                    <a:fld id="{F7BCCF65-8BD3-47E7-B073-FB812F92AD84}" type="CELLRANGE">
                      <a:rPr lang="en-US"/>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E4A-489D-BA20-E603793A6B23}"/>
                </c:ext>
              </c:extLst>
            </c:dLbl>
            <c:dLbl>
              <c:idx val="1"/>
              <c:tx>
                <c:rich>
                  <a:bodyPr/>
                  <a:lstStyle/>
                  <a:p>
                    <a:fld id="{0AD016AA-DC3D-48FF-B842-7B7C75EE7039}"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E4A-489D-BA20-E603793A6B23}"/>
                </c:ext>
              </c:extLst>
            </c:dLbl>
            <c:dLbl>
              <c:idx val="2"/>
              <c:layout>
                <c:manualLayout>
                  <c:x val="0"/>
                  <c:y val="9.7714330999217076E-3"/>
                </c:manualLayout>
              </c:layout>
              <c:tx>
                <c:rich>
                  <a:bodyPr/>
                  <a:lstStyle/>
                  <a:p>
                    <a:fld id="{322F9DA0-0118-46F9-8182-37B6F44F23B4}" type="CELLRANGE">
                      <a:rPr lang="en-US"/>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E4A-489D-BA20-E603793A6B23}"/>
                </c:ext>
              </c:extLst>
            </c:dLbl>
            <c:dLbl>
              <c:idx val="3"/>
              <c:layout>
                <c:manualLayout>
                  <c:x val="-4.2555004636728001E-17"/>
                  <c:y val="1.2841137232728004E-2"/>
                </c:manualLayout>
              </c:layout>
              <c:tx>
                <c:rich>
                  <a:bodyPr/>
                  <a:lstStyle/>
                  <a:p>
                    <a:fld id="{5EB5C5D4-EC49-4186-B3F7-8746CF9E0903}" type="CELLRANGE">
                      <a:rPr lang="en-US"/>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E4A-489D-BA20-E603793A6B23}"/>
                </c:ext>
              </c:extLst>
            </c:dLbl>
            <c:dLbl>
              <c:idx val="4"/>
              <c:tx>
                <c:rich>
                  <a:bodyPr/>
                  <a:lstStyle/>
                  <a:p>
                    <a:fld id="{18FF0842-3877-49A7-98C5-E4E7BB03B953}"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E4A-489D-BA20-E603793A6B23}"/>
                </c:ext>
              </c:extLst>
            </c:dLbl>
            <c:dLbl>
              <c:idx val="5"/>
              <c:tx>
                <c:rich>
                  <a:bodyPr/>
                  <a:lstStyle/>
                  <a:p>
                    <a:fld id="{302251B8-B091-44C8-AF62-E5C76A0BB576}"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E4A-489D-BA20-E603793A6B23}"/>
                </c:ext>
              </c:extLst>
            </c:dLbl>
            <c:dLbl>
              <c:idx val="6"/>
              <c:tx>
                <c:rich>
                  <a:bodyPr/>
                  <a:lstStyle/>
                  <a:p>
                    <a:fld id="{97B373B5-D31D-458E-87C7-2512F2012340}"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E4A-489D-BA20-E603793A6B23}"/>
                </c:ext>
              </c:extLst>
            </c:dLbl>
            <c:dLbl>
              <c:idx val="7"/>
              <c:tx>
                <c:rich>
                  <a:bodyPr/>
                  <a:lstStyle/>
                  <a:p>
                    <a:fld id="{A32FECE3-CA05-4093-83D8-7F62D31D5E0D}"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E4A-489D-BA20-E603793A6B23}"/>
                </c:ext>
              </c:extLst>
            </c:dLbl>
            <c:dLbl>
              <c:idx val="8"/>
              <c:tx>
                <c:rich>
                  <a:bodyPr/>
                  <a:lstStyle/>
                  <a:p>
                    <a:fld id="{3053B856-A679-45FB-9D5F-7B3775BCDE48}"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E4A-489D-BA20-E603793A6B23}"/>
                </c:ext>
              </c:extLst>
            </c:dLbl>
            <c:dLbl>
              <c:idx val="9"/>
              <c:layout>
                <c:manualLayout>
                  <c:x val="-3.2094825221195671E-4"/>
                  <c:y val="-1.8142446702605036E-3"/>
                </c:manualLayout>
              </c:layout>
              <c:tx>
                <c:rich>
                  <a:bodyPr/>
                  <a:lstStyle/>
                  <a:p>
                    <a:fld id="{ACE7684A-44B7-4FAA-AD3A-A199F15AF497}" type="CELLRANGE">
                      <a:rPr lang="en-US"/>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E4A-489D-BA20-E603793A6B23}"/>
                </c:ext>
              </c:extLst>
            </c:dLbl>
            <c:dLbl>
              <c:idx val="10"/>
              <c:layout>
                <c:manualLayout>
                  <c:x val="0"/>
                  <c:y val="-1.8291259092661306E-2"/>
                </c:manualLayout>
              </c:layout>
              <c:tx>
                <c:rich>
                  <a:bodyPr/>
                  <a:lstStyle/>
                  <a:p>
                    <a:fld id="{844E02E3-05AA-498C-8892-B1F46CA3028F}" type="CELLRANGE">
                      <a:rPr lang="en-US"/>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E4A-489D-BA20-E603793A6B23}"/>
                </c:ext>
              </c:extLst>
            </c:dLbl>
            <c:dLbl>
              <c:idx val="11"/>
              <c:tx>
                <c:rich>
                  <a:bodyPr/>
                  <a:lstStyle/>
                  <a:p>
                    <a:fld id="{DF6FEEA0-6DA2-4438-A618-DD7633B3B2BA}" type="CELLRANGE">
                      <a:rPr lang="de-CH"/>
                      <a:pPr/>
                      <a:t>[CELLRANGE]</a:t>
                    </a:fld>
                    <a:endParaRPr lang="de-CH"/>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extraction!$L$19:$L$30</c:f>
                <c:numCache>
                  <c:formatCode>General</c:formatCode>
                  <c:ptCount val="12"/>
                  <c:pt idx="0">
                    <c:v>0</c:v>
                  </c:pt>
                  <c:pt idx="1">
                    <c:v>0.41598347200000002</c:v>
                  </c:pt>
                  <c:pt idx="2">
                    <c:v>4.9185912999999998E-2</c:v>
                  </c:pt>
                  <c:pt idx="3">
                    <c:v>8.3289483999999997E-2</c:v>
                  </c:pt>
                  <c:pt idx="4">
                    <c:v>0.140266377</c:v>
                  </c:pt>
                  <c:pt idx="5">
                    <c:v>0</c:v>
                  </c:pt>
                  <c:pt idx="6">
                    <c:v>0</c:v>
                  </c:pt>
                  <c:pt idx="7">
                    <c:v>0.524336472</c:v>
                  </c:pt>
                  <c:pt idx="8">
                    <c:v>0.37975421599999998</c:v>
                  </c:pt>
                  <c:pt idx="9">
                    <c:v>0.36154594600000001</c:v>
                  </c:pt>
                  <c:pt idx="10">
                    <c:v>0.94610613200000004</c:v>
                  </c:pt>
                  <c:pt idx="11">
                    <c:v>0</c:v>
                  </c:pt>
                </c:numCache>
              </c:numRef>
            </c:plus>
            <c:minus>
              <c:numRef>
                <c:f>extraction!$L$19:$L$23</c:f>
                <c:numCache>
                  <c:formatCode>General</c:formatCode>
                  <c:ptCount val="5"/>
                  <c:pt idx="0">
                    <c:v>0</c:v>
                  </c:pt>
                  <c:pt idx="1">
                    <c:v>0.41598347200000002</c:v>
                  </c:pt>
                  <c:pt idx="2">
                    <c:v>4.9185912999999998E-2</c:v>
                  </c:pt>
                  <c:pt idx="3">
                    <c:v>8.3289483999999997E-2</c:v>
                  </c:pt>
                  <c:pt idx="4">
                    <c:v>0.140266377</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extraction!$D$19:$D$30</c:f>
              <c:numCache>
                <c:formatCode>General</c:formatCode>
                <c:ptCount val="12"/>
                <c:pt idx="0">
                  <c:v>0</c:v>
                </c:pt>
                <c:pt idx="1">
                  <c:v>5.2810291100000004</c:v>
                </c:pt>
                <c:pt idx="2">
                  <c:v>7.8923215039999999</c:v>
                </c:pt>
                <c:pt idx="3">
                  <c:v>8.0933699780000001</c:v>
                </c:pt>
                <c:pt idx="4">
                  <c:v>10.468547300000001</c:v>
                </c:pt>
                <c:pt idx="5">
                  <c:v>0</c:v>
                </c:pt>
                <c:pt idx="6">
                  <c:v>0</c:v>
                </c:pt>
                <c:pt idx="7">
                  <c:v>5.0550951120000001</c:v>
                </c:pt>
                <c:pt idx="8">
                  <c:v>6.0707306599999997</c:v>
                </c:pt>
                <c:pt idx="9">
                  <c:v>9.5562071979999992</c:v>
                </c:pt>
                <c:pt idx="10">
                  <c:v>13.15709687</c:v>
                </c:pt>
                <c:pt idx="11">
                  <c:v>0</c:v>
                </c:pt>
              </c:numCache>
            </c:numRef>
          </c:val>
          <c:extLst>
            <c:ext xmlns:c15="http://schemas.microsoft.com/office/drawing/2012/chart" uri="{02D57815-91ED-43cb-92C2-25804820EDAC}">
              <c15:datalabelsRange>
                <c15:f>extraction!$T$19:$T$30</c15:f>
                <c15:dlblRangeCache>
                  <c:ptCount val="12"/>
                  <c:pt idx="1">
                    <c:v>d</c:v>
                  </c:pt>
                  <c:pt idx="2">
                    <c:v>c</c:v>
                  </c:pt>
                  <c:pt idx="3">
                    <c:v>d</c:v>
                  </c:pt>
                  <c:pt idx="4">
                    <c:v>d</c:v>
                  </c:pt>
                  <c:pt idx="7">
                    <c:v>d</c:v>
                  </c:pt>
                  <c:pt idx="8">
                    <c:v>d</c:v>
                  </c:pt>
                  <c:pt idx="9">
                    <c:v>d</c:v>
                  </c:pt>
                  <c:pt idx="10">
                    <c:v>c</c:v>
                  </c:pt>
                </c15:dlblRangeCache>
              </c15:datalabelsRange>
            </c:ext>
            <c:ext xmlns:c16="http://schemas.microsoft.com/office/drawing/2014/chart" uri="{C3380CC4-5D6E-409C-BE32-E72D297353CC}">
              <c16:uniqueId val="{0000000C-BE4A-489D-BA20-E603793A6B23}"/>
            </c:ext>
          </c:extLst>
        </c:ser>
        <c:ser>
          <c:idx val="1"/>
          <c:order val="1"/>
          <c:tx>
            <c:strRef>
              <c:f>extraction!$E$18</c:f>
              <c:strCache>
                <c:ptCount val="1"/>
                <c:pt idx="0">
                  <c:v>UAE - Brown</c:v>
                </c:pt>
              </c:strCache>
            </c:strRef>
          </c:tx>
          <c:spPr>
            <a:solidFill>
              <a:schemeClr val="accent2">
                <a:lumMod val="50000"/>
              </a:schemeClr>
            </a:solidFill>
            <a:ln>
              <a:solidFill>
                <a:schemeClr val="tx1"/>
              </a:solidFill>
            </a:ln>
            <a:effectLst/>
          </c:spPr>
          <c:invertIfNegative val="0"/>
          <c:dLbls>
            <c:dLbl>
              <c:idx val="0"/>
              <c:tx>
                <c:rich>
                  <a:bodyPr/>
                  <a:lstStyle/>
                  <a:p>
                    <a:fld id="{1EA84304-4834-44AD-96A1-9986F7D6F920}"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BE4A-489D-BA20-E603793A6B23}"/>
                </c:ext>
              </c:extLst>
            </c:dLbl>
            <c:dLbl>
              <c:idx val="1"/>
              <c:layout>
                <c:manualLayout>
                  <c:x val="0"/>
                  <c:y val="9.8191194492014307E-3"/>
                </c:manualLayout>
              </c:layout>
              <c:tx>
                <c:rich>
                  <a:bodyPr/>
                  <a:lstStyle/>
                  <a:p>
                    <a:fld id="{55DD3419-FCB0-4DD7-9CCE-6F435A2548C3}"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BE4A-489D-BA20-E603793A6B23}"/>
                </c:ext>
              </c:extLst>
            </c:dLbl>
            <c:dLbl>
              <c:idx val="2"/>
              <c:layout>
                <c:manualLayout>
                  <c:x val="0"/>
                  <c:y val="1.9542866199843502E-2"/>
                </c:manualLayout>
              </c:layout>
              <c:tx>
                <c:rich>
                  <a:bodyPr/>
                  <a:lstStyle/>
                  <a:p>
                    <a:fld id="{05B8D92D-90A1-46F6-8644-6959B797BBDC}"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BE4A-489D-BA20-E603793A6B23}"/>
                </c:ext>
              </c:extLst>
            </c:dLbl>
            <c:dLbl>
              <c:idx val="3"/>
              <c:layout>
                <c:manualLayout>
                  <c:x val="0"/>
                  <c:y val="-5.4482748976453074E-3"/>
                </c:manualLayout>
              </c:layout>
              <c:tx>
                <c:rich>
                  <a:bodyPr/>
                  <a:lstStyle/>
                  <a:p>
                    <a:fld id="{F86D050A-F273-40CA-BABF-22BF82B9E620}"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BE4A-489D-BA20-E603793A6B23}"/>
                </c:ext>
              </c:extLst>
            </c:dLbl>
            <c:dLbl>
              <c:idx val="4"/>
              <c:layout>
                <c:manualLayout>
                  <c:x val="0"/>
                  <c:y val="1.4494960035693866E-2"/>
                </c:manualLayout>
              </c:layout>
              <c:tx>
                <c:rich>
                  <a:bodyPr/>
                  <a:lstStyle/>
                  <a:p>
                    <a:fld id="{A39C533C-2DF0-49A8-A0F8-87BED1D81136}"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BE4A-489D-BA20-E603793A6B23}"/>
                </c:ext>
              </c:extLst>
            </c:dLbl>
            <c:dLbl>
              <c:idx val="5"/>
              <c:tx>
                <c:rich>
                  <a:bodyPr/>
                  <a:lstStyle/>
                  <a:p>
                    <a:fld id="{7FE2980E-71D5-4C70-A2D9-2849592CD58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E4A-489D-BA20-E603793A6B23}"/>
                </c:ext>
              </c:extLst>
            </c:dLbl>
            <c:dLbl>
              <c:idx val="6"/>
              <c:tx>
                <c:rich>
                  <a:bodyPr/>
                  <a:lstStyle/>
                  <a:p>
                    <a:fld id="{DCA5DF10-C713-4E32-AC8B-CB3ED69DF772}"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E4A-489D-BA20-E603793A6B23}"/>
                </c:ext>
              </c:extLst>
            </c:dLbl>
            <c:dLbl>
              <c:idx val="7"/>
              <c:tx>
                <c:rich>
                  <a:bodyPr/>
                  <a:lstStyle/>
                  <a:p>
                    <a:fld id="{4D693B30-C1D5-41E5-82E3-43D36F53DD83}"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E4A-489D-BA20-E603793A6B23}"/>
                </c:ext>
              </c:extLst>
            </c:dLbl>
            <c:dLbl>
              <c:idx val="8"/>
              <c:layout>
                <c:manualLayout>
                  <c:x val="8.5110009273456002E-17"/>
                  <c:y val="-1.3403669175281237E-2"/>
                </c:manualLayout>
              </c:layout>
              <c:tx>
                <c:rich>
                  <a:bodyPr/>
                  <a:lstStyle/>
                  <a:p>
                    <a:fld id="{E86F8769-BDB3-4069-A533-8520B0FA9628}"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E4A-489D-BA20-E603793A6B23}"/>
                </c:ext>
              </c:extLst>
            </c:dLbl>
            <c:dLbl>
              <c:idx val="9"/>
              <c:layout>
                <c:manualLayout>
                  <c:x val="0"/>
                  <c:y val="-3.1139256471030295E-2"/>
                </c:manualLayout>
              </c:layout>
              <c:tx>
                <c:rich>
                  <a:bodyPr/>
                  <a:lstStyle/>
                  <a:p>
                    <a:fld id="{270B2DDA-5A05-4B0E-B14A-C7043F0C6438}"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E4A-489D-BA20-E603793A6B23}"/>
                </c:ext>
              </c:extLst>
            </c:dLbl>
            <c:dLbl>
              <c:idx val="10"/>
              <c:layout>
                <c:manualLayout>
                  <c:x val="0"/>
                  <c:y val="-1.9827667864465718E-2"/>
                </c:manualLayout>
              </c:layout>
              <c:tx>
                <c:rich>
                  <a:bodyPr/>
                  <a:lstStyle/>
                  <a:p>
                    <a:fld id="{162D0A53-A3C4-44C2-BBAC-687055A48BE8}"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E4A-489D-BA20-E603793A6B23}"/>
                </c:ext>
              </c:extLst>
            </c:dLbl>
            <c:dLbl>
              <c:idx val="11"/>
              <c:tx>
                <c:rich>
                  <a:bodyPr/>
                  <a:lstStyle/>
                  <a:p>
                    <a:fld id="{BC49FC43-5022-4A40-A55C-5B85AF06A2F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extraction!$M$19:$M$30</c:f>
                <c:numCache>
                  <c:formatCode>General</c:formatCode>
                  <c:ptCount val="12"/>
                  <c:pt idx="0">
                    <c:v>0</c:v>
                  </c:pt>
                  <c:pt idx="1">
                    <c:v>3.6169659E-2</c:v>
                  </c:pt>
                  <c:pt idx="2">
                    <c:v>4.8526688999999998E-2</c:v>
                  </c:pt>
                  <c:pt idx="3">
                    <c:v>0.303228897</c:v>
                  </c:pt>
                  <c:pt idx="4">
                    <c:v>0.127935877</c:v>
                  </c:pt>
                  <c:pt idx="5">
                    <c:v>0</c:v>
                  </c:pt>
                  <c:pt idx="6">
                    <c:v>0</c:v>
                  </c:pt>
                  <c:pt idx="7">
                    <c:v>0.28000000000000003</c:v>
                  </c:pt>
                  <c:pt idx="8">
                    <c:v>0.74</c:v>
                  </c:pt>
                  <c:pt idx="9">
                    <c:v>1.39</c:v>
                  </c:pt>
                  <c:pt idx="10">
                    <c:v>1.03</c:v>
                  </c:pt>
                  <c:pt idx="11">
                    <c:v>0</c:v>
                  </c:pt>
                </c:numCache>
              </c:numRef>
            </c:plus>
            <c:minus>
              <c:numRef>
                <c:f>extraction!$M$19:$M$30</c:f>
                <c:numCache>
                  <c:formatCode>General</c:formatCode>
                  <c:ptCount val="12"/>
                  <c:pt idx="0">
                    <c:v>0</c:v>
                  </c:pt>
                  <c:pt idx="1">
                    <c:v>3.6169659E-2</c:v>
                  </c:pt>
                  <c:pt idx="2">
                    <c:v>4.8526688999999998E-2</c:v>
                  </c:pt>
                  <c:pt idx="3">
                    <c:v>0.303228897</c:v>
                  </c:pt>
                  <c:pt idx="4">
                    <c:v>0.127935877</c:v>
                  </c:pt>
                  <c:pt idx="5">
                    <c:v>0</c:v>
                  </c:pt>
                  <c:pt idx="6">
                    <c:v>0</c:v>
                  </c:pt>
                  <c:pt idx="7">
                    <c:v>0.28000000000000003</c:v>
                  </c:pt>
                  <c:pt idx="8">
                    <c:v>0.74</c:v>
                  </c:pt>
                  <c:pt idx="9">
                    <c:v>1.39</c:v>
                  </c:pt>
                  <c:pt idx="10">
                    <c:v>1.03</c:v>
                  </c:pt>
                  <c:pt idx="11">
                    <c:v>0</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extraction!$E$19:$E$30</c:f>
              <c:numCache>
                <c:formatCode>General</c:formatCode>
                <c:ptCount val="12"/>
                <c:pt idx="0">
                  <c:v>0</c:v>
                </c:pt>
                <c:pt idx="1">
                  <c:v>2.7736728199999998</c:v>
                </c:pt>
                <c:pt idx="2">
                  <c:v>6.6586825620000001</c:v>
                </c:pt>
                <c:pt idx="3">
                  <c:v>8.5614968279999992</c:v>
                </c:pt>
                <c:pt idx="4">
                  <c:v>10.193481090000001</c:v>
                </c:pt>
                <c:pt idx="5">
                  <c:v>0</c:v>
                </c:pt>
                <c:pt idx="6">
                  <c:v>0</c:v>
                </c:pt>
                <c:pt idx="7">
                  <c:v>9.82</c:v>
                </c:pt>
                <c:pt idx="8">
                  <c:v>12.93</c:v>
                </c:pt>
                <c:pt idx="9">
                  <c:v>13.68</c:v>
                </c:pt>
                <c:pt idx="10">
                  <c:v>13.82</c:v>
                </c:pt>
                <c:pt idx="11">
                  <c:v>0</c:v>
                </c:pt>
              </c:numCache>
            </c:numRef>
          </c:val>
          <c:extLst>
            <c:ext xmlns:c15="http://schemas.microsoft.com/office/drawing/2012/chart" uri="{02D57815-91ED-43cb-92C2-25804820EDAC}">
              <c15:datalabelsRange>
                <c15:f>extraction!$U$19:$U$30</c15:f>
                <c15:dlblRangeCache>
                  <c:ptCount val="12"/>
                  <c:pt idx="1">
                    <c:v>e</c:v>
                  </c:pt>
                  <c:pt idx="2">
                    <c:v>d</c:v>
                  </c:pt>
                  <c:pt idx="3">
                    <c:v>d</c:v>
                  </c:pt>
                  <c:pt idx="4">
                    <c:v>d</c:v>
                  </c:pt>
                  <c:pt idx="7">
                    <c:v>b</c:v>
                  </c:pt>
                  <c:pt idx="8">
                    <c:v>a</c:v>
                  </c:pt>
                  <c:pt idx="9">
                    <c:v>b</c:v>
                  </c:pt>
                  <c:pt idx="10">
                    <c:v>c</c:v>
                  </c:pt>
                </c15:dlblRangeCache>
              </c15:datalabelsRange>
            </c:ext>
            <c:ext xmlns:c16="http://schemas.microsoft.com/office/drawing/2014/chart" uri="{C3380CC4-5D6E-409C-BE32-E72D297353CC}">
              <c16:uniqueId val="{00000019-BE4A-489D-BA20-E603793A6B23}"/>
            </c:ext>
          </c:extLst>
        </c:ser>
        <c:ser>
          <c:idx val="2"/>
          <c:order val="2"/>
          <c:tx>
            <c:strRef>
              <c:f>extraction!$F$18</c:f>
              <c:strCache>
                <c:ptCount val="1"/>
                <c:pt idx="0">
                  <c:v>BUAE - White</c:v>
                </c:pt>
              </c:strCache>
            </c:strRef>
          </c:tx>
          <c:spPr>
            <a:pattFill prst="wdDnDiag">
              <a:fgClr>
                <a:schemeClr val="accent2">
                  <a:lumMod val="40000"/>
                  <a:lumOff val="60000"/>
                </a:schemeClr>
              </a:fgClr>
              <a:bgClr>
                <a:schemeClr val="bg1"/>
              </a:bgClr>
            </a:pattFill>
            <a:ln>
              <a:solidFill>
                <a:schemeClr val="tx1"/>
              </a:solidFill>
            </a:ln>
            <a:effectLst/>
          </c:spPr>
          <c:invertIfNegative val="0"/>
          <c:dLbls>
            <c:dLbl>
              <c:idx val="0"/>
              <c:tx>
                <c:rich>
                  <a:bodyPr/>
                  <a:lstStyle/>
                  <a:p>
                    <a:fld id="{CB4FAE76-690B-40E1-8127-890256A661E3}"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E4A-489D-BA20-E603793A6B23}"/>
                </c:ext>
              </c:extLst>
            </c:dLbl>
            <c:dLbl>
              <c:idx val="1"/>
              <c:tx>
                <c:rich>
                  <a:bodyPr/>
                  <a:lstStyle/>
                  <a:p>
                    <a:fld id="{A5595502-74B0-471C-9326-949AA453E64D}"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E4A-489D-BA20-E603793A6B23}"/>
                </c:ext>
              </c:extLst>
            </c:dLbl>
            <c:dLbl>
              <c:idx val="2"/>
              <c:tx>
                <c:rich>
                  <a:bodyPr/>
                  <a:lstStyle/>
                  <a:p>
                    <a:fld id="{D3567BBA-D2D8-4139-B9FC-D57CD201FC42}"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E4A-489D-BA20-E603793A6B23}"/>
                </c:ext>
              </c:extLst>
            </c:dLbl>
            <c:dLbl>
              <c:idx val="3"/>
              <c:tx>
                <c:rich>
                  <a:bodyPr/>
                  <a:lstStyle/>
                  <a:p>
                    <a:fld id="{C6F6EC11-B859-4683-BDCA-5F93750A5D1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E4A-489D-BA20-E603793A6B23}"/>
                </c:ext>
              </c:extLst>
            </c:dLbl>
            <c:dLbl>
              <c:idx val="4"/>
              <c:tx>
                <c:rich>
                  <a:bodyPr/>
                  <a:lstStyle/>
                  <a:p>
                    <a:fld id="{35F7F55A-91E2-4BF3-AAA4-D05F8DDF9689}"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E4A-489D-BA20-E603793A6B23}"/>
                </c:ext>
              </c:extLst>
            </c:dLbl>
            <c:dLbl>
              <c:idx val="5"/>
              <c:tx>
                <c:rich>
                  <a:bodyPr/>
                  <a:lstStyle/>
                  <a:p>
                    <a:fld id="{D8713FFD-6AA0-4A2A-8DE0-CC15A3AA7BF5}"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E4A-489D-BA20-E603793A6B23}"/>
                </c:ext>
              </c:extLst>
            </c:dLbl>
            <c:dLbl>
              <c:idx val="6"/>
              <c:tx>
                <c:rich>
                  <a:bodyPr/>
                  <a:lstStyle/>
                  <a:p>
                    <a:fld id="{48C4BF93-B558-4BF2-A48E-3549B3ACAB9E}"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E4A-489D-BA20-E603793A6B23}"/>
                </c:ext>
              </c:extLst>
            </c:dLbl>
            <c:dLbl>
              <c:idx val="7"/>
              <c:tx>
                <c:rich>
                  <a:bodyPr/>
                  <a:lstStyle/>
                  <a:p>
                    <a:fld id="{1593FBB1-40D4-467A-AB3D-F89E3C485179}"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E4A-489D-BA20-E603793A6B23}"/>
                </c:ext>
              </c:extLst>
            </c:dLbl>
            <c:dLbl>
              <c:idx val="8"/>
              <c:tx>
                <c:rich>
                  <a:bodyPr/>
                  <a:lstStyle/>
                  <a:p>
                    <a:fld id="{555474ED-705E-4861-BC87-1070D1A42408}"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BE4A-489D-BA20-E603793A6B23}"/>
                </c:ext>
              </c:extLst>
            </c:dLbl>
            <c:dLbl>
              <c:idx val="9"/>
              <c:layout>
                <c:manualLayout>
                  <c:x val="0"/>
                  <c:y val="1.2482826548869171E-3"/>
                </c:manualLayout>
              </c:layout>
              <c:tx>
                <c:rich>
                  <a:bodyPr/>
                  <a:lstStyle/>
                  <a:p>
                    <a:fld id="{5651950D-91CC-40C2-AC74-5608914B7FF3}"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BE4A-489D-BA20-E603793A6B23}"/>
                </c:ext>
              </c:extLst>
            </c:dLbl>
            <c:dLbl>
              <c:idx val="10"/>
              <c:layout>
                <c:manualLayout>
                  <c:x val="0"/>
                  <c:y val="1.2482826548869171E-3"/>
                </c:manualLayout>
              </c:layout>
              <c:tx>
                <c:rich>
                  <a:bodyPr/>
                  <a:lstStyle/>
                  <a:p>
                    <a:fld id="{CA9122A9-8FC4-4598-840F-0C82235FAA57}"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BE4A-489D-BA20-E603793A6B23}"/>
                </c:ext>
              </c:extLst>
            </c:dLbl>
            <c:dLbl>
              <c:idx val="11"/>
              <c:tx>
                <c:rich>
                  <a:bodyPr/>
                  <a:lstStyle/>
                  <a:p>
                    <a:fld id="{92E65AC6-4C46-4D72-A2CF-6E9B356214EF}"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extraction!$N$19:$N$30</c:f>
                <c:numCache>
                  <c:formatCode>General</c:formatCode>
                  <c:ptCount val="12"/>
                  <c:pt idx="0">
                    <c:v>0</c:v>
                  </c:pt>
                  <c:pt idx="1">
                    <c:v>0.262644196</c:v>
                  </c:pt>
                  <c:pt idx="2">
                    <c:v>0.110641514</c:v>
                  </c:pt>
                  <c:pt idx="3">
                    <c:v>0.11194475700000001</c:v>
                  </c:pt>
                  <c:pt idx="4">
                    <c:v>5.1378636999999998E-2</c:v>
                  </c:pt>
                  <c:pt idx="5">
                    <c:v>0</c:v>
                  </c:pt>
                  <c:pt idx="6">
                    <c:v>0</c:v>
                  </c:pt>
                  <c:pt idx="7">
                    <c:v>0.58770461600000001</c:v>
                  </c:pt>
                  <c:pt idx="8">
                    <c:v>0.106090952</c:v>
                  </c:pt>
                  <c:pt idx="9">
                    <c:v>0.23722658099999999</c:v>
                  </c:pt>
                  <c:pt idx="10">
                    <c:v>0.45631443900000002</c:v>
                  </c:pt>
                  <c:pt idx="11">
                    <c:v>0</c:v>
                  </c:pt>
                </c:numCache>
              </c:numRef>
            </c:plus>
            <c:minus>
              <c:numRef>
                <c:f>extraction!$N$19:$N$30</c:f>
                <c:numCache>
                  <c:formatCode>General</c:formatCode>
                  <c:ptCount val="12"/>
                  <c:pt idx="0">
                    <c:v>0</c:v>
                  </c:pt>
                  <c:pt idx="1">
                    <c:v>0.262644196</c:v>
                  </c:pt>
                  <c:pt idx="2">
                    <c:v>0.110641514</c:v>
                  </c:pt>
                  <c:pt idx="3">
                    <c:v>0.11194475700000001</c:v>
                  </c:pt>
                  <c:pt idx="4">
                    <c:v>5.1378636999999998E-2</c:v>
                  </c:pt>
                  <c:pt idx="5">
                    <c:v>0</c:v>
                  </c:pt>
                  <c:pt idx="6">
                    <c:v>0</c:v>
                  </c:pt>
                  <c:pt idx="7">
                    <c:v>0.58770461600000001</c:v>
                  </c:pt>
                  <c:pt idx="8">
                    <c:v>0.106090952</c:v>
                  </c:pt>
                  <c:pt idx="9">
                    <c:v>0.23722658099999999</c:v>
                  </c:pt>
                  <c:pt idx="10">
                    <c:v>0.45631443900000002</c:v>
                  </c:pt>
                  <c:pt idx="11">
                    <c:v>0</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extraction!$F$19:$F$30</c:f>
              <c:numCache>
                <c:formatCode>General</c:formatCode>
                <c:ptCount val="12"/>
                <c:pt idx="0">
                  <c:v>0</c:v>
                </c:pt>
                <c:pt idx="1">
                  <c:v>2.234230766</c:v>
                </c:pt>
                <c:pt idx="2">
                  <c:v>7.8687835120000003</c:v>
                </c:pt>
                <c:pt idx="3">
                  <c:v>11.371721519999999</c:v>
                </c:pt>
                <c:pt idx="4">
                  <c:v>11.89879475</c:v>
                </c:pt>
                <c:pt idx="5">
                  <c:v>0</c:v>
                </c:pt>
                <c:pt idx="6">
                  <c:v>0</c:v>
                </c:pt>
                <c:pt idx="7">
                  <c:v>7.189411218</c:v>
                </c:pt>
                <c:pt idx="8">
                  <c:v>10.611846590000001</c:v>
                </c:pt>
                <c:pt idx="9">
                  <c:v>13.919435139999999</c:v>
                </c:pt>
                <c:pt idx="10">
                  <c:v>18.605185580000001</c:v>
                </c:pt>
                <c:pt idx="11">
                  <c:v>0</c:v>
                </c:pt>
              </c:numCache>
            </c:numRef>
          </c:val>
          <c:extLst>
            <c:ext xmlns:c15="http://schemas.microsoft.com/office/drawing/2012/chart" uri="{02D57815-91ED-43cb-92C2-25804820EDAC}">
              <c15:datalabelsRange>
                <c15:f>extraction!$V$19:$V$30</c15:f>
                <c15:dlblRangeCache>
                  <c:ptCount val="12"/>
                  <c:pt idx="1">
                    <c:v>e</c:v>
                  </c:pt>
                  <c:pt idx="2">
                    <c:v>c</c:v>
                  </c:pt>
                  <c:pt idx="3">
                    <c:v>c</c:v>
                  </c:pt>
                  <c:pt idx="4">
                    <c:v>c</c:v>
                  </c:pt>
                  <c:pt idx="7">
                    <c:v>c</c:v>
                  </c:pt>
                  <c:pt idx="8">
                    <c:v>b</c:v>
                  </c:pt>
                  <c:pt idx="9">
                    <c:v>a</c:v>
                  </c:pt>
                  <c:pt idx="10">
                    <c:v>a</c:v>
                  </c:pt>
                </c15:dlblRangeCache>
              </c15:datalabelsRange>
            </c:ext>
            <c:ext xmlns:c16="http://schemas.microsoft.com/office/drawing/2014/chart" uri="{C3380CC4-5D6E-409C-BE32-E72D297353CC}">
              <c16:uniqueId val="{00000026-BE4A-489D-BA20-E603793A6B23}"/>
            </c:ext>
          </c:extLst>
        </c:ser>
        <c:ser>
          <c:idx val="3"/>
          <c:order val="3"/>
          <c:tx>
            <c:strRef>
              <c:f>extraction!$G$18</c:f>
              <c:strCache>
                <c:ptCount val="1"/>
                <c:pt idx="0">
                  <c:v>BUAE - Brown</c:v>
                </c:pt>
              </c:strCache>
            </c:strRef>
          </c:tx>
          <c:spPr>
            <a:pattFill prst="wdDnDiag">
              <a:fgClr>
                <a:schemeClr val="accent2">
                  <a:lumMod val="50000"/>
                </a:schemeClr>
              </a:fgClr>
              <a:bgClr>
                <a:schemeClr val="bg1"/>
              </a:bgClr>
            </a:pattFill>
            <a:ln>
              <a:solidFill>
                <a:schemeClr val="tx1"/>
              </a:solidFill>
            </a:ln>
            <a:effectLst/>
          </c:spPr>
          <c:invertIfNegative val="0"/>
          <c:dLbls>
            <c:dLbl>
              <c:idx val="0"/>
              <c:tx>
                <c:rich>
                  <a:bodyPr/>
                  <a:lstStyle/>
                  <a:p>
                    <a:fld id="{36EE48C1-EB76-4FC7-8484-3456BD89D836}"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BE4A-489D-BA20-E603793A6B23}"/>
                </c:ext>
              </c:extLst>
            </c:dLbl>
            <c:dLbl>
              <c:idx val="1"/>
              <c:tx>
                <c:rich>
                  <a:bodyPr/>
                  <a:lstStyle/>
                  <a:p>
                    <a:fld id="{773BCE24-20B1-4F5D-BC4A-E4B42F994689}"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BE4A-489D-BA20-E603793A6B23}"/>
                </c:ext>
              </c:extLst>
            </c:dLbl>
            <c:dLbl>
              <c:idx val="2"/>
              <c:tx>
                <c:rich>
                  <a:bodyPr/>
                  <a:lstStyle/>
                  <a:p>
                    <a:fld id="{8EE6D8F7-742C-4C74-8007-5E4F67F8F68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BE4A-489D-BA20-E603793A6B23}"/>
                </c:ext>
              </c:extLst>
            </c:dLbl>
            <c:dLbl>
              <c:idx val="3"/>
              <c:layout>
                <c:manualLayout>
                  <c:x val="-4.2555004636728001E-17"/>
                  <c:y val="1.0052751881460967E-2"/>
                </c:manualLayout>
              </c:layout>
              <c:tx>
                <c:rich>
                  <a:bodyPr/>
                  <a:lstStyle/>
                  <a:p>
                    <a:fld id="{68A0B4E8-D199-4771-ABA0-C4E46C4E4859}"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BE4A-489D-BA20-E603793A6B23}"/>
                </c:ext>
              </c:extLst>
            </c:dLbl>
            <c:dLbl>
              <c:idx val="4"/>
              <c:tx>
                <c:rich>
                  <a:bodyPr/>
                  <a:lstStyle/>
                  <a:p>
                    <a:fld id="{6897B059-B794-4BA6-882F-8DBEEF1DFCCA}"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BE4A-489D-BA20-E603793A6B23}"/>
                </c:ext>
              </c:extLst>
            </c:dLbl>
            <c:dLbl>
              <c:idx val="5"/>
              <c:tx>
                <c:rich>
                  <a:bodyPr/>
                  <a:lstStyle/>
                  <a:p>
                    <a:fld id="{BBC8A1F1-86D2-4204-82C3-FB4A5D4D9FC4}"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BE4A-489D-BA20-E603793A6B23}"/>
                </c:ext>
              </c:extLst>
            </c:dLbl>
            <c:dLbl>
              <c:idx val="6"/>
              <c:tx>
                <c:rich>
                  <a:bodyPr/>
                  <a:lstStyle/>
                  <a:p>
                    <a:fld id="{F4DAD293-C6F4-41B4-B359-F41726450B75}"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BE4A-489D-BA20-E603793A6B23}"/>
                </c:ext>
              </c:extLst>
            </c:dLbl>
            <c:dLbl>
              <c:idx val="7"/>
              <c:tx>
                <c:rich>
                  <a:bodyPr/>
                  <a:lstStyle/>
                  <a:p>
                    <a:fld id="{931D54FB-405B-4D74-AD95-25CE62CD1A08}"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BE4A-489D-BA20-E603793A6B23}"/>
                </c:ext>
              </c:extLst>
            </c:dLbl>
            <c:dLbl>
              <c:idx val="8"/>
              <c:layout>
                <c:manualLayout>
                  <c:x val="0"/>
                  <c:y val="-1.3403669175281237E-2"/>
                </c:manualLayout>
              </c:layout>
              <c:tx>
                <c:rich>
                  <a:bodyPr/>
                  <a:lstStyle/>
                  <a:p>
                    <a:fld id="{D82D3EDF-602D-47AC-A013-BDB81721C58A}"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F-BE4A-489D-BA20-E603793A6B23}"/>
                </c:ext>
              </c:extLst>
            </c:dLbl>
            <c:dLbl>
              <c:idx val="9"/>
              <c:layout>
                <c:manualLayout>
                  <c:x val="0"/>
                  <c:y val="-3.1121842255172616E-2"/>
                </c:manualLayout>
              </c:layout>
              <c:tx>
                <c:rich>
                  <a:bodyPr/>
                  <a:lstStyle/>
                  <a:p>
                    <a:fld id="{9558D3F4-7744-4AEF-8567-02AE5EDF3746}"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BE4A-489D-BA20-E603793A6B23}"/>
                </c:ext>
              </c:extLst>
            </c:dLbl>
            <c:dLbl>
              <c:idx val="10"/>
              <c:tx>
                <c:rich>
                  <a:bodyPr/>
                  <a:lstStyle/>
                  <a:p>
                    <a:fld id="{2016E293-1B72-4F3B-A4E8-30DA0BA48D08}"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BE4A-489D-BA20-E603793A6B23}"/>
                </c:ext>
              </c:extLst>
            </c:dLbl>
            <c:dLbl>
              <c:idx val="11"/>
              <c:tx>
                <c:rich>
                  <a:bodyPr/>
                  <a:lstStyle/>
                  <a:p>
                    <a:fld id="{9C0F2680-8353-4872-A238-BAF44F88142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extraction!$O$19:$O$30</c:f>
                <c:numCache>
                  <c:formatCode>General</c:formatCode>
                  <c:ptCount val="12"/>
                  <c:pt idx="0">
                    <c:v>0</c:v>
                  </c:pt>
                  <c:pt idx="1">
                    <c:v>0.30067559500000002</c:v>
                  </c:pt>
                  <c:pt idx="2">
                    <c:v>0.190706757</c:v>
                  </c:pt>
                  <c:pt idx="3">
                    <c:v>5.5818318999999998E-2</c:v>
                  </c:pt>
                  <c:pt idx="4">
                    <c:v>9.3308338000000005E-2</c:v>
                  </c:pt>
                  <c:pt idx="5">
                    <c:v>0</c:v>
                  </c:pt>
                  <c:pt idx="6">
                    <c:v>0</c:v>
                  </c:pt>
                  <c:pt idx="7">
                    <c:v>0.54420366399999998</c:v>
                  </c:pt>
                  <c:pt idx="8">
                    <c:v>0.77856882100000002</c:v>
                  </c:pt>
                  <c:pt idx="9">
                    <c:v>1.470596284</c:v>
                  </c:pt>
                  <c:pt idx="10">
                    <c:v>0.63795834900000004</c:v>
                  </c:pt>
                  <c:pt idx="11">
                    <c:v>0</c:v>
                  </c:pt>
                </c:numCache>
              </c:numRef>
            </c:plus>
            <c:minus>
              <c:numRef>
                <c:f>extraction!$O$19:$O$30</c:f>
                <c:numCache>
                  <c:formatCode>General</c:formatCode>
                  <c:ptCount val="12"/>
                  <c:pt idx="0">
                    <c:v>0</c:v>
                  </c:pt>
                  <c:pt idx="1">
                    <c:v>0.30067559500000002</c:v>
                  </c:pt>
                  <c:pt idx="2">
                    <c:v>0.190706757</c:v>
                  </c:pt>
                  <c:pt idx="3">
                    <c:v>5.5818318999999998E-2</c:v>
                  </c:pt>
                  <c:pt idx="4">
                    <c:v>9.3308338000000005E-2</c:v>
                  </c:pt>
                  <c:pt idx="5">
                    <c:v>0</c:v>
                  </c:pt>
                  <c:pt idx="6">
                    <c:v>0</c:v>
                  </c:pt>
                  <c:pt idx="7">
                    <c:v>0.54420366399999998</c:v>
                  </c:pt>
                  <c:pt idx="8">
                    <c:v>0.77856882100000002</c:v>
                  </c:pt>
                  <c:pt idx="9">
                    <c:v>1.470596284</c:v>
                  </c:pt>
                  <c:pt idx="10">
                    <c:v>0.63795834900000004</c:v>
                  </c:pt>
                  <c:pt idx="11">
                    <c:v>0</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extraction!$G$19:$G$30</c:f>
              <c:numCache>
                <c:formatCode>General</c:formatCode>
                <c:ptCount val="12"/>
                <c:pt idx="0">
                  <c:v>0</c:v>
                </c:pt>
                <c:pt idx="1">
                  <c:v>2.5632568419999999</c:v>
                </c:pt>
                <c:pt idx="2">
                  <c:v>4.5610550180000002</c:v>
                </c:pt>
                <c:pt idx="3">
                  <c:v>6.500438044</c:v>
                </c:pt>
                <c:pt idx="4">
                  <c:v>7.5285447080000001</c:v>
                </c:pt>
                <c:pt idx="5">
                  <c:v>0</c:v>
                </c:pt>
                <c:pt idx="6">
                  <c:v>0</c:v>
                </c:pt>
                <c:pt idx="7">
                  <c:v>11.061980999999999</c:v>
                </c:pt>
                <c:pt idx="8">
                  <c:v>13.95804454</c:v>
                </c:pt>
                <c:pt idx="9">
                  <c:v>14.743417709999999</c:v>
                </c:pt>
                <c:pt idx="10">
                  <c:v>16.976822640000002</c:v>
                </c:pt>
                <c:pt idx="11">
                  <c:v>0</c:v>
                </c:pt>
              </c:numCache>
            </c:numRef>
          </c:val>
          <c:extLst>
            <c:ext xmlns:c15="http://schemas.microsoft.com/office/drawing/2012/chart" uri="{02D57815-91ED-43cb-92C2-25804820EDAC}">
              <c15:datalabelsRange>
                <c15:f>extraction!$W$19:$W$30</c15:f>
                <c15:dlblRangeCache>
                  <c:ptCount val="12"/>
                  <c:pt idx="1">
                    <c:v>e</c:v>
                  </c:pt>
                  <c:pt idx="2">
                    <c:v>e</c:v>
                  </c:pt>
                  <c:pt idx="3">
                    <c:v>e</c:v>
                  </c:pt>
                  <c:pt idx="4">
                    <c:v>e</c:v>
                  </c:pt>
                  <c:pt idx="7">
                    <c:v>a</c:v>
                  </c:pt>
                  <c:pt idx="8">
                    <c:v>a</c:v>
                  </c:pt>
                  <c:pt idx="9">
                    <c:v>a</c:v>
                  </c:pt>
                  <c:pt idx="10">
                    <c:v>b</c:v>
                  </c:pt>
                </c15:dlblRangeCache>
              </c15:datalabelsRange>
            </c:ext>
            <c:ext xmlns:c16="http://schemas.microsoft.com/office/drawing/2014/chart" uri="{C3380CC4-5D6E-409C-BE32-E72D297353CC}">
              <c16:uniqueId val="{00000033-BE4A-489D-BA20-E603793A6B23}"/>
            </c:ext>
          </c:extLst>
        </c:ser>
        <c:ser>
          <c:idx val="4"/>
          <c:order val="4"/>
          <c:tx>
            <c:strRef>
              <c:f>extraction!$H$18</c:f>
              <c:strCache>
                <c:ptCount val="1"/>
                <c:pt idx="0">
                  <c:v>LTE - White (powder)</c:v>
                </c:pt>
              </c:strCache>
            </c:strRef>
          </c:tx>
          <c:spPr>
            <a:pattFill prst="narHorz">
              <a:fgClr>
                <a:schemeClr val="accent2">
                  <a:lumMod val="20000"/>
                  <a:lumOff val="80000"/>
                </a:schemeClr>
              </a:fgClr>
              <a:bgClr>
                <a:schemeClr val="bg1"/>
              </a:bgClr>
            </a:pattFill>
            <a:ln>
              <a:solidFill>
                <a:schemeClr val="tx1"/>
              </a:solidFill>
            </a:ln>
            <a:effectLst/>
          </c:spPr>
          <c:invertIfNegative val="0"/>
          <c:dLbls>
            <c:dLbl>
              <c:idx val="0"/>
              <c:tx>
                <c:rich>
                  <a:bodyPr/>
                  <a:lstStyle/>
                  <a:p>
                    <a:fld id="{091726A7-259E-4DB7-9B11-CAB6643A6925}"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4-BE4A-489D-BA20-E603793A6B23}"/>
                </c:ext>
              </c:extLst>
            </c:dLbl>
            <c:dLbl>
              <c:idx val="1"/>
              <c:tx>
                <c:rich>
                  <a:bodyPr/>
                  <a:lstStyle/>
                  <a:p>
                    <a:fld id="{F338CB67-BB07-4BF0-A70E-100F659D8949}"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BE4A-489D-BA20-E603793A6B23}"/>
                </c:ext>
              </c:extLst>
            </c:dLbl>
            <c:dLbl>
              <c:idx val="2"/>
              <c:tx>
                <c:rich>
                  <a:bodyPr/>
                  <a:lstStyle/>
                  <a:p>
                    <a:fld id="{DF6B06E0-CBD9-4EF6-B9F8-29C925A2A2CB}"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E4A-489D-BA20-E603793A6B23}"/>
                </c:ext>
              </c:extLst>
            </c:dLbl>
            <c:dLbl>
              <c:idx val="3"/>
              <c:tx>
                <c:rich>
                  <a:bodyPr/>
                  <a:lstStyle/>
                  <a:p>
                    <a:fld id="{EB6E47F8-5909-4EEF-B2D8-CD1C366891AF}"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BE4A-489D-BA20-E603793A6B23}"/>
                </c:ext>
              </c:extLst>
            </c:dLbl>
            <c:dLbl>
              <c:idx val="4"/>
              <c:tx>
                <c:rich>
                  <a:bodyPr/>
                  <a:lstStyle/>
                  <a:p>
                    <a:fld id="{D27D8D0C-61EF-4BB4-8381-36C379C4201D}"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BE4A-489D-BA20-E603793A6B23}"/>
                </c:ext>
              </c:extLst>
            </c:dLbl>
            <c:dLbl>
              <c:idx val="5"/>
              <c:tx>
                <c:rich>
                  <a:bodyPr/>
                  <a:lstStyle/>
                  <a:p>
                    <a:fld id="{F511B71D-9BE4-437D-B557-A5D166FC78E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BE4A-489D-BA20-E603793A6B23}"/>
                </c:ext>
              </c:extLst>
            </c:dLbl>
            <c:dLbl>
              <c:idx val="6"/>
              <c:tx>
                <c:rich>
                  <a:bodyPr/>
                  <a:lstStyle/>
                  <a:p>
                    <a:fld id="{98D9508C-8BE2-46C1-BE8A-E48492CFAC7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BE4A-489D-BA20-E603793A6B23}"/>
                </c:ext>
              </c:extLst>
            </c:dLbl>
            <c:dLbl>
              <c:idx val="7"/>
              <c:tx>
                <c:rich>
                  <a:bodyPr/>
                  <a:lstStyle/>
                  <a:p>
                    <a:fld id="{55940ACE-54C9-4FC1-A5E9-BC68C6CE933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BE4A-489D-BA20-E603793A6B23}"/>
                </c:ext>
              </c:extLst>
            </c:dLbl>
            <c:dLbl>
              <c:idx val="8"/>
              <c:tx>
                <c:rich>
                  <a:bodyPr/>
                  <a:lstStyle/>
                  <a:p>
                    <a:fld id="{CBA9DBB3-33D9-41C8-B77D-AE978CBF7F6B}"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BE4A-489D-BA20-E603793A6B23}"/>
                </c:ext>
              </c:extLst>
            </c:dLbl>
            <c:dLbl>
              <c:idx val="9"/>
              <c:tx>
                <c:rich>
                  <a:bodyPr/>
                  <a:lstStyle/>
                  <a:p>
                    <a:fld id="{C6D8B73E-BCF3-40E7-B672-891067F82278}"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BE4A-489D-BA20-E603793A6B23}"/>
                </c:ext>
              </c:extLst>
            </c:dLbl>
            <c:dLbl>
              <c:idx val="10"/>
              <c:tx>
                <c:rich>
                  <a:bodyPr/>
                  <a:lstStyle/>
                  <a:p>
                    <a:endParaRPr lang="de-CH"/>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BE4A-489D-BA20-E603793A6B23}"/>
                </c:ext>
              </c:extLst>
            </c:dLbl>
            <c:dLbl>
              <c:idx val="11"/>
              <c:layout>
                <c:manualLayout>
                  <c:x val="0"/>
                  <c:y val="-5.1355050267717181E-2"/>
                </c:manualLayout>
              </c:layout>
              <c:tx>
                <c:rich>
                  <a:bodyPr/>
                  <a:lstStyle/>
                  <a:p>
                    <a:fld id="{3A2A38DB-5DE8-4853-A29B-BD35A71000DC}"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F-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extraction!$P$19:$P$30</c:f>
                <c:numCache>
                  <c:formatCode>General</c:formatCode>
                  <c:ptCount val="12"/>
                  <c:pt idx="0">
                    <c:v>0</c:v>
                  </c:pt>
                  <c:pt idx="1">
                    <c:v>0</c:v>
                  </c:pt>
                  <c:pt idx="2">
                    <c:v>0</c:v>
                  </c:pt>
                  <c:pt idx="3">
                    <c:v>0</c:v>
                  </c:pt>
                  <c:pt idx="4">
                    <c:v>0</c:v>
                  </c:pt>
                  <c:pt idx="5">
                    <c:v>0.33438710999999999</c:v>
                  </c:pt>
                  <c:pt idx="6">
                    <c:v>0</c:v>
                  </c:pt>
                  <c:pt idx="7">
                    <c:v>0</c:v>
                  </c:pt>
                  <c:pt idx="8">
                    <c:v>0</c:v>
                  </c:pt>
                  <c:pt idx="9">
                    <c:v>0</c:v>
                  </c:pt>
                  <c:pt idx="10">
                    <c:v>0</c:v>
                  </c:pt>
                  <c:pt idx="11">
                    <c:v>1.484121708</c:v>
                  </c:pt>
                </c:numCache>
              </c:numRef>
            </c:plus>
            <c:minus>
              <c:numRef>
                <c:f>extraction!$P$19:$P$30</c:f>
                <c:numCache>
                  <c:formatCode>General</c:formatCode>
                  <c:ptCount val="12"/>
                  <c:pt idx="0">
                    <c:v>0</c:v>
                  </c:pt>
                  <c:pt idx="1">
                    <c:v>0</c:v>
                  </c:pt>
                  <c:pt idx="2">
                    <c:v>0</c:v>
                  </c:pt>
                  <c:pt idx="3">
                    <c:v>0</c:v>
                  </c:pt>
                  <c:pt idx="4">
                    <c:v>0</c:v>
                  </c:pt>
                  <c:pt idx="5">
                    <c:v>0.33438710999999999</c:v>
                  </c:pt>
                  <c:pt idx="6">
                    <c:v>0</c:v>
                  </c:pt>
                  <c:pt idx="7">
                    <c:v>0</c:v>
                  </c:pt>
                  <c:pt idx="8">
                    <c:v>0</c:v>
                  </c:pt>
                  <c:pt idx="9">
                    <c:v>0</c:v>
                  </c:pt>
                  <c:pt idx="10">
                    <c:v>0</c:v>
                  </c:pt>
                  <c:pt idx="11">
                    <c:v>1.484121708</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extraction!$H$19:$H$30</c:f>
              <c:numCache>
                <c:formatCode>General</c:formatCode>
                <c:ptCount val="12"/>
                <c:pt idx="0">
                  <c:v>0</c:v>
                </c:pt>
                <c:pt idx="1">
                  <c:v>0</c:v>
                </c:pt>
                <c:pt idx="2">
                  <c:v>0</c:v>
                </c:pt>
                <c:pt idx="3">
                  <c:v>0</c:v>
                </c:pt>
                <c:pt idx="4">
                  <c:v>0</c:v>
                </c:pt>
                <c:pt idx="5">
                  <c:v>8.1002045450000004</c:v>
                </c:pt>
                <c:pt idx="6">
                  <c:v>0</c:v>
                </c:pt>
                <c:pt idx="7">
                  <c:v>0</c:v>
                </c:pt>
                <c:pt idx="8">
                  <c:v>0</c:v>
                </c:pt>
                <c:pt idx="9">
                  <c:v>0</c:v>
                </c:pt>
                <c:pt idx="11">
                  <c:v>15.98112446</c:v>
                </c:pt>
              </c:numCache>
            </c:numRef>
          </c:val>
          <c:extLst>
            <c:ext xmlns:c15="http://schemas.microsoft.com/office/drawing/2012/chart" uri="{02D57815-91ED-43cb-92C2-25804820EDAC}">
              <c15:datalabelsRange>
                <c15:f>extraction!$X$19:$X$30</c15:f>
                <c15:dlblRangeCache>
                  <c:ptCount val="12"/>
                  <c:pt idx="5">
                    <c:v>c</c:v>
                  </c:pt>
                  <c:pt idx="11">
                    <c:v>a</c:v>
                  </c:pt>
                </c15:dlblRangeCache>
              </c15:datalabelsRange>
            </c:ext>
            <c:ext xmlns:c16="http://schemas.microsoft.com/office/drawing/2014/chart" uri="{C3380CC4-5D6E-409C-BE32-E72D297353CC}">
              <c16:uniqueId val="{00000040-BE4A-489D-BA20-E603793A6B23}"/>
            </c:ext>
          </c:extLst>
        </c:ser>
        <c:ser>
          <c:idx val="5"/>
          <c:order val="5"/>
          <c:tx>
            <c:strRef>
              <c:f>extraction!$I$18</c:f>
              <c:strCache>
                <c:ptCount val="1"/>
                <c:pt idx="0">
                  <c:v>LTE - Brown (powder)</c:v>
                </c:pt>
              </c:strCache>
            </c:strRef>
          </c:tx>
          <c:spPr>
            <a:pattFill prst="narHorz">
              <a:fgClr>
                <a:schemeClr val="accent2">
                  <a:lumMod val="50000"/>
                </a:schemeClr>
              </a:fgClr>
              <a:bgClr>
                <a:schemeClr val="bg1"/>
              </a:bgClr>
            </a:pattFill>
            <a:ln>
              <a:solidFill>
                <a:schemeClr val="tx1"/>
              </a:solidFill>
            </a:ln>
            <a:effectLst/>
          </c:spPr>
          <c:invertIfNegative val="0"/>
          <c:dLbls>
            <c:dLbl>
              <c:idx val="0"/>
              <c:tx>
                <c:rich>
                  <a:bodyPr/>
                  <a:lstStyle/>
                  <a:p>
                    <a:fld id="{01760E61-3425-484E-BA8E-FF3DB6EDA71D}"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1-BE4A-489D-BA20-E603793A6B23}"/>
                </c:ext>
              </c:extLst>
            </c:dLbl>
            <c:dLbl>
              <c:idx val="1"/>
              <c:tx>
                <c:rich>
                  <a:bodyPr/>
                  <a:lstStyle/>
                  <a:p>
                    <a:fld id="{D7385189-9496-4681-B98E-4B76D076A855}"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BE4A-489D-BA20-E603793A6B23}"/>
                </c:ext>
              </c:extLst>
            </c:dLbl>
            <c:dLbl>
              <c:idx val="2"/>
              <c:tx>
                <c:rich>
                  <a:bodyPr/>
                  <a:lstStyle/>
                  <a:p>
                    <a:fld id="{63BF7447-A8EE-48FB-927C-8DF9F287E132}"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BE4A-489D-BA20-E603793A6B23}"/>
                </c:ext>
              </c:extLst>
            </c:dLbl>
            <c:dLbl>
              <c:idx val="3"/>
              <c:tx>
                <c:rich>
                  <a:bodyPr/>
                  <a:lstStyle/>
                  <a:p>
                    <a:fld id="{D9EBE18A-7316-4BB6-999F-50732E65AD27}"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BE4A-489D-BA20-E603793A6B23}"/>
                </c:ext>
              </c:extLst>
            </c:dLbl>
            <c:dLbl>
              <c:idx val="4"/>
              <c:tx>
                <c:rich>
                  <a:bodyPr/>
                  <a:lstStyle/>
                  <a:p>
                    <a:fld id="{7D4B7AE5-649C-4CD3-93B5-5AE2F4343CE5}"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BE4A-489D-BA20-E603793A6B23}"/>
                </c:ext>
              </c:extLst>
            </c:dLbl>
            <c:dLbl>
              <c:idx val="5"/>
              <c:layout>
                <c:manualLayout>
                  <c:x val="-1.0862496981953839E-16"/>
                  <c:y val="1.472867917380228E-2"/>
                </c:manualLayout>
              </c:layout>
              <c:tx>
                <c:rich>
                  <a:bodyPr/>
                  <a:lstStyle/>
                  <a:p>
                    <a:fld id="{31648659-1185-407C-971C-C8D8F88FF63D}"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6-BE4A-489D-BA20-E603793A6B23}"/>
                </c:ext>
              </c:extLst>
            </c:dLbl>
            <c:dLbl>
              <c:idx val="6"/>
              <c:tx>
                <c:rich>
                  <a:bodyPr/>
                  <a:lstStyle/>
                  <a:p>
                    <a:fld id="{095D5F13-472F-4D62-A19B-B7CC7C172F6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BE4A-489D-BA20-E603793A6B23}"/>
                </c:ext>
              </c:extLst>
            </c:dLbl>
            <c:dLbl>
              <c:idx val="7"/>
              <c:tx>
                <c:rich>
                  <a:bodyPr/>
                  <a:lstStyle/>
                  <a:p>
                    <a:fld id="{88BB9BCE-E599-48F4-86C3-B6A5EC2262F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BE4A-489D-BA20-E603793A6B23}"/>
                </c:ext>
              </c:extLst>
            </c:dLbl>
            <c:dLbl>
              <c:idx val="8"/>
              <c:tx>
                <c:rich>
                  <a:bodyPr/>
                  <a:lstStyle/>
                  <a:p>
                    <a:fld id="{75A33E25-8001-47A0-8303-1A308F59B7B8}"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BE4A-489D-BA20-E603793A6B23}"/>
                </c:ext>
              </c:extLst>
            </c:dLbl>
            <c:dLbl>
              <c:idx val="9"/>
              <c:tx>
                <c:rich>
                  <a:bodyPr/>
                  <a:lstStyle/>
                  <a:p>
                    <a:fld id="{CC0E826C-D7C2-45E6-93D6-06A47A4E158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BE4A-489D-BA20-E603793A6B23}"/>
                </c:ext>
              </c:extLst>
            </c:dLbl>
            <c:dLbl>
              <c:idx val="10"/>
              <c:tx>
                <c:rich>
                  <a:bodyPr/>
                  <a:lstStyle/>
                  <a:p>
                    <a:endParaRPr lang="de-CH"/>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B-BE4A-489D-BA20-E603793A6B23}"/>
                </c:ext>
              </c:extLst>
            </c:dLbl>
            <c:dLbl>
              <c:idx val="11"/>
              <c:layout>
                <c:manualLayout>
                  <c:x val="0"/>
                  <c:y val="-2.5014993376001667E-2"/>
                </c:manualLayout>
              </c:layout>
              <c:tx>
                <c:rich>
                  <a:bodyPr/>
                  <a:lstStyle/>
                  <a:p>
                    <a:fld id="{4F5C216D-8711-4EB0-AB04-B6CC5C62AA50}"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C-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extraction!$Q$19:$Q$30</c:f>
                <c:numCache>
                  <c:formatCode>General</c:formatCode>
                  <c:ptCount val="12"/>
                  <c:pt idx="0">
                    <c:v>0</c:v>
                  </c:pt>
                  <c:pt idx="1">
                    <c:v>0</c:v>
                  </c:pt>
                  <c:pt idx="2">
                    <c:v>0</c:v>
                  </c:pt>
                  <c:pt idx="3">
                    <c:v>0</c:v>
                  </c:pt>
                  <c:pt idx="4">
                    <c:v>0</c:v>
                  </c:pt>
                  <c:pt idx="5">
                    <c:v>9.8999658000000004E-2</c:v>
                  </c:pt>
                  <c:pt idx="6">
                    <c:v>0</c:v>
                  </c:pt>
                  <c:pt idx="7">
                    <c:v>0</c:v>
                  </c:pt>
                  <c:pt idx="8">
                    <c:v>0</c:v>
                  </c:pt>
                  <c:pt idx="9">
                    <c:v>0</c:v>
                  </c:pt>
                  <c:pt idx="10">
                    <c:v>0</c:v>
                  </c:pt>
                  <c:pt idx="11">
                    <c:v>0.865054616</c:v>
                  </c:pt>
                </c:numCache>
              </c:numRef>
            </c:plus>
            <c:minus>
              <c:numRef>
                <c:f>extraction!$Q$19:$Q$30</c:f>
                <c:numCache>
                  <c:formatCode>General</c:formatCode>
                  <c:ptCount val="12"/>
                  <c:pt idx="0">
                    <c:v>0</c:v>
                  </c:pt>
                  <c:pt idx="1">
                    <c:v>0</c:v>
                  </c:pt>
                  <c:pt idx="2">
                    <c:v>0</c:v>
                  </c:pt>
                  <c:pt idx="3">
                    <c:v>0</c:v>
                  </c:pt>
                  <c:pt idx="4">
                    <c:v>0</c:v>
                  </c:pt>
                  <c:pt idx="5">
                    <c:v>9.8999658000000004E-2</c:v>
                  </c:pt>
                  <c:pt idx="6">
                    <c:v>0</c:v>
                  </c:pt>
                  <c:pt idx="7">
                    <c:v>0</c:v>
                  </c:pt>
                  <c:pt idx="8">
                    <c:v>0</c:v>
                  </c:pt>
                  <c:pt idx="9">
                    <c:v>0</c:v>
                  </c:pt>
                  <c:pt idx="10">
                    <c:v>0</c:v>
                  </c:pt>
                  <c:pt idx="11">
                    <c:v>0.865054616</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extraction!$I$19:$I$30</c:f>
              <c:numCache>
                <c:formatCode>General</c:formatCode>
                <c:ptCount val="12"/>
                <c:pt idx="0">
                  <c:v>0</c:v>
                </c:pt>
                <c:pt idx="1">
                  <c:v>0</c:v>
                </c:pt>
                <c:pt idx="2">
                  <c:v>0</c:v>
                </c:pt>
                <c:pt idx="3">
                  <c:v>0</c:v>
                </c:pt>
                <c:pt idx="4">
                  <c:v>0</c:v>
                </c:pt>
                <c:pt idx="5">
                  <c:v>8.38019362</c:v>
                </c:pt>
                <c:pt idx="6">
                  <c:v>0</c:v>
                </c:pt>
                <c:pt idx="7">
                  <c:v>0</c:v>
                </c:pt>
                <c:pt idx="8">
                  <c:v>0</c:v>
                </c:pt>
                <c:pt idx="9">
                  <c:v>0</c:v>
                </c:pt>
                <c:pt idx="11">
                  <c:v>15.70437561</c:v>
                </c:pt>
              </c:numCache>
            </c:numRef>
          </c:val>
          <c:extLst>
            <c:ext xmlns:c15="http://schemas.microsoft.com/office/drawing/2012/chart" uri="{02D57815-91ED-43cb-92C2-25804820EDAC}">
              <c15:datalabelsRange>
                <c15:f>extraction!$X$19:$X$30</c15:f>
                <c15:dlblRangeCache>
                  <c:ptCount val="12"/>
                  <c:pt idx="5">
                    <c:v>c</c:v>
                  </c:pt>
                  <c:pt idx="11">
                    <c:v>a</c:v>
                  </c:pt>
                </c15:dlblRangeCache>
              </c15:datalabelsRange>
            </c:ext>
            <c:ext xmlns:c16="http://schemas.microsoft.com/office/drawing/2014/chart" uri="{C3380CC4-5D6E-409C-BE32-E72D297353CC}">
              <c16:uniqueId val="{0000004D-BE4A-489D-BA20-E603793A6B23}"/>
            </c:ext>
          </c:extLst>
        </c:ser>
        <c:ser>
          <c:idx val="6"/>
          <c:order val="6"/>
          <c:tx>
            <c:strRef>
              <c:f>extraction!$J$18</c:f>
              <c:strCache>
                <c:ptCount val="1"/>
                <c:pt idx="0">
                  <c:v>LTE - White (pieces)</c:v>
                </c:pt>
              </c:strCache>
            </c:strRef>
          </c:tx>
          <c:spPr>
            <a:pattFill prst="dkVert">
              <a:fgClr>
                <a:schemeClr val="accent2">
                  <a:lumMod val="20000"/>
                  <a:lumOff val="80000"/>
                </a:schemeClr>
              </a:fgClr>
              <a:bgClr>
                <a:schemeClr val="bg1"/>
              </a:bgClr>
            </a:pattFill>
            <a:ln>
              <a:solidFill>
                <a:schemeClr val="tx1"/>
              </a:solidFill>
            </a:ln>
            <a:effectLst/>
          </c:spPr>
          <c:invertIfNegative val="0"/>
          <c:dLbls>
            <c:dLbl>
              <c:idx val="0"/>
              <c:tx>
                <c:rich>
                  <a:bodyPr/>
                  <a:lstStyle/>
                  <a:p>
                    <a:fld id="{16C61455-5E71-4E6D-B666-6E2C43966DB6}"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E-BE4A-489D-BA20-E603793A6B23}"/>
                </c:ext>
              </c:extLst>
            </c:dLbl>
            <c:dLbl>
              <c:idx val="1"/>
              <c:tx>
                <c:rich>
                  <a:bodyPr/>
                  <a:lstStyle/>
                  <a:p>
                    <a:fld id="{2DF08AD1-63E1-400F-B75C-E57D4500D221}"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BE4A-489D-BA20-E603793A6B23}"/>
                </c:ext>
              </c:extLst>
            </c:dLbl>
            <c:dLbl>
              <c:idx val="2"/>
              <c:tx>
                <c:rich>
                  <a:bodyPr/>
                  <a:lstStyle/>
                  <a:p>
                    <a:fld id="{ED9CAE65-E6FD-423F-BFC0-A26D98B7C17E}"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BE4A-489D-BA20-E603793A6B23}"/>
                </c:ext>
              </c:extLst>
            </c:dLbl>
            <c:dLbl>
              <c:idx val="3"/>
              <c:tx>
                <c:rich>
                  <a:bodyPr/>
                  <a:lstStyle/>
                  <a:p>
                    <a:fld id="{1B6B1A2A-B4CF-414E-A10B-ADA30C9D0443}"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BE4A-489D-BA20-E603793A6B23}"/>
                </c:ext>
              </c:extLst>
            </c:dLbl>
            <c:dLbl>
              <c:idx val="4"/>
              <c:tx>
                <c:rich>
                  <a:bodyPr/>
                  <a:lstStyle/>
                  <a:p>
                    <a:fld id="{9C8ED205-B5C0-477C-B8BD-6940F2917782}"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BE4A-489D-BA20-E603793A6B23}"/>
                </c:ext>
              </c:extLst>
            </c:dLbl>
            <c:dLbl>
              <c:idx val="5"/>
              <c:tx>
                <c:rich>
                  <a:bodyPr/>
                  <a:lstStyle/>
                  <a:p>
                    <a:fld id="{DEE3AE2E-E3DC-4716-8FAF-6A060CE2E7EE}"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BE4A-489D-BA20-E603793A6B23}"/>
                </c:ext>
              </c:extLst>
            </c:dLbl>
            <c:dLbl>
              <c:idx val="6"/>
              <c:tx>
                <c:rich>
                  <a:bodyPr/>
                  <a:lstStyle/>
                  <a:p>
                    <a:fld id="{BA771F9A-9ED9-48EB-AF87-4DD866DCEB52}"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BE4A-489D-BA20-E603793A6B23}"/>
                </c:ext>
              </c:extLst>
            </c:dLbl>
            <c:dLbl>
              <c:idx val="7"/>
              <c:tx>
                <c:rich>
                  <a:bodyPr/>
                  <a:lstStyle/>
                  <a:p>
                    <a:fld id="{8144BADE-7412-4329-BC94-4B4DA3EE2CE7}"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BE4A-489D-BA20-E603793A6B23}"/>
                </c:ext>
              </c:extLst>
            </c:dLbl>
            <c:dLbl>
              <c:idx val="8"/>
              <c:tx>
                <c:rich>
                  <a:bodyPr/>
                  <a:lstStyle/>
                  <a:p>
                    <a:fld id="{7CCD0724-0FDE-4785-9209-7CE212A91383}"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BE4A-489D-BA20-E603793A6B23}"/>
                </c:ext>
              </c:extLst>
            </c:dLbl>
            <c:dLbl>
              <c:idx val="9"/>
              <c:tx>
                <c:rich>
                  <a:bodyPr/>
                  <a:lstStyle/>
                  <a:p>
                    <a:fld id="{AA235B9E-42CA-492A-A932-8FF4699147E0}"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BE4A-489D-BA20-E603793A6B23}"/>
                </c:ext>
              </c:extLst>
            </c:dLbl>
            <c:dLbl>
              <c:idx val="10"/>
              <c:tx>
                <c:rich>
                  <a:bodyPr/>
                  <a:lstStyle/>
                  <a:p>
                    <a:endParaRPr lang="de-CH"/>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8-BE4A-489D-BA20-E603793A6B23}"/>
                </c:ext>
              </c:extLst>
            </c:dLbl>
            <c:dLbl>
              <c:idx val="11"/>
              <c:layout>
                <c:manualLayout>
                  <c:x val="-2.1724993963907678E-16"/>
                  <c:y val="9.8191194492015209E-3"/>
                </c:manualLayout>
              </c:layout>
              <c:tx>
                <c:rich>
                  <a:bodyPr/>
                  <a:lstStyle/>
                  <a:p>
                    <a:fld id="{C3BF7952-5740-4F2E-842A-482F58DB2CE7}"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59-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extraction!$R$19:$R$30</c:f>
                <c:numCache>
                  <c:formatCode>General</c:formatCode>
                  <c:ptCount val="12"/>
                  <c:pt idx="0">
                    <c:v>0</c:v>
                  </c:pt>
                  <c:pt idx="1">
                    <c:v>0</c:v>
                  </c:pt>
                  <c:pt idx="2">
                    <c:v>0</c:v>
                  </c:pt>
                  <c:pt idx="3">
                    <c:v>0</c:v>
                  </c:pt>
                  <c:pt idx="4">
                    <c:v>0</c:v>
                  </c:pt>
                  <c:pt idx="5">
                    <c:v>7.3784020000000006E-2</c:v>
                  </c:pt>
                  <c:pt idx="6">
                    <c:v>0</c:v>
                  </c:pt>
                  <c:pt idx="7">
                    <c:v>0</c:v>
                  </c:pt>
                  <c:pt idx="8">
                    <c:v>0</c:v>
                  </c:pt>
                  <c:pt idx="9">
                    <c:v>0</c:v>
                  </c:pt>
                  <c:pt idx="10">
                    <c:v>0</c:v>
                  </c:pt>
                  <c:pt idx="11">
                    <c:v>0.168405586</c:v>
                  </c:pt>
                </c:numCache>
              </c:numRef>
            </c:plus>
            <c:minus>
              <c:numRef>
                <c:f>extraction!$R$24</c:f>
                <c:numCache>
                  <c:formatCode>General</c:formatCode>
                  <c:ptCount val="1"/>
                  <c:pt idx="0">
                    <c:v>7.3784020000000006E-2</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extraction!$J$19:$J$30</c:f>
              <c:numCache>
                <c:formatCode>General</c:formatCode>
                <c:ptCount val="12"/>
                <c:pt idx="0">
                  <c:v>0</c:v>
                </c:pt>
                <c:pt idx="1">
                  <c:v>0</c:v>
                </c:pt>
                <c:pt idx="2">
                  <c:v>0</c:v>
                </c:pt>
                <c:pt idx="3">
                  <c:v>0</c:v>
                </c:pt>
                <c:pt idx="4">
                  <c:v>0</c:v>
                </c:pt>
                <c:pt idx="5">
                  <c:v>3.747541993</c:v>
                </c:pt>
                <c:pt idx="6">
                  <c:v>0</c:v>
                </c:pt>
                <c:pt idx="7">
                  <c:v>0</c:v>
                </c:pt>
                <c:pt idx="8">
                  <c:v>0</c:v>
                </c:pt>
                <c:pt idx="9">
                  <c:v>0</c:v>
                </c:pt>
                <c:pt idx="11">
                  <c:v>10.37694806</c:v>
                </c:pt>
              </c:numCache>
            </c:numRef>
          </c:val>
          <c:extLst>
            <c:ext xmlns:c15="http://schemas.microsoft.com/office/drawing/2012/chart" uri="{02D57815-91ED-43cb-92C2-25804820EDAC}">
              <c15:datalabelsRange>
                <c15:f>extraction!$Z$19:$Z$30</c15:f>
                <c15:dlblRangeCache>
                  <c:ptCount val="12"/>
                  <c:pt idx="5">
                    <c:v>e</c:v>
                  </c:pt>
                  <c:pt idx="11">
                    <c:v>b</c:v>
                  </c:pt>
                </c15:dlblRangeCache>
              </c15:datalabelsRange>
            </c:ext>
            <c:ext xmlns:c16="http://schemas.microsoft.com/office/drawing/2014/chart" uri="{C3380CC4-5D6E-409C-BE32-E72D297353CC}">
              <c16:uniqueId val="{0000005A-BE4A-489D-BA20-E603793A6B23}"/>
            </c:ext>
          </c:extLst>
        </c:ser>
        <c:ser>
          <c:idx val="7"/>
          <c:order val="7"/>
          <c:tx>
            <c:strRef>
              <c:f>extraction!$K$18</c:f>
              <c:strCache>
                <c:ptCount val="1"/>
                <c:pt idx="0">
                  <c:v>LTE - Brown (pieces)</c:v>
                </c:pt>
              </c:strCache>
            </c:strRef>
          </c:tx>
          <c:spPr>
            <a:pattFill prst="dkVert">
              <a:fgClr>
                <a:schemeClr val="accent2">
                  <a:lumMod val="50000"/>
                </a:schemeClr>
              </a:fgClr>
              <a:bgClr>
                <a:schemeClr val="bg1"/>
              </a:bgClr>
            </a:pattFill>
            <a:ln>
              <a:solidFill>
                <a:schemeClr val="tx1"/>
              </a:solidFill>
            </a:ln>
            <a:effectLst/>
          </c:spPr>
          <c:invertIfNegative val="0"/>
          <c:dLbls>
            <c:dLbl>
              <c:idx val="0"/>
              <c:tx>
                <c:rich>
                  <a:bodyPr/>
                  <a:lstStyle/>
                  <a:p>
                    <a:fld id="{F7DDFF79-AEFD-402F-B572-064A92851D58}"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5B-BE4A-489D-BA20-E603793A6B23}"/>
                </c:ext>
              </c:extLst>
            </c:dLbl>
            <c:dLbl>
              <c:idx val="1"/>
              <c:tx>
                <c:rich>
                  <a:bodyPr/>
                  <a:lstStyle/>
                  <a:p>
                    <a:fld id="{2ACA5331-AA42-476D-A14E-91B7075218A5}"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BE4A-489D-BA20-E603793A6B23}"/>
                </c:ext>
              </c:extLst>
            </c:dLbl>
            <c:dLbl>
              <c:idx val="2"/>
              <c:tx>
                <c:rich>
                  <a:bodyPr/>
                  <a:lstStyle/>
                  <a:p>
                    <a:fld id="{17CBF390-B0A6-4EA7-9F98-88B4D56B4D6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BE4A-489D-BA20-E603793A6B23}"/>
                </c:ext>
              </c:extLst>
            </c:dLbl>
            <c:dLbl>
              <c:idx val="3"/>
              <c:tx>
                <c:rich>
                  <a:bodyPr/>
                  <a:lstStyle/>
                  <a:p>
                    <a:fld id="{15ECD558-F30C-4F67-B850-FC55D560FDB3}"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BE4A-489D-BA20-E603793A6B23}"/>
                </c:ext>
              </c:extLst>
            </c:dLbl>
            <c:dLbl>
              <c:idx val="4"/>
              <c:tx>
                <c:rich>
                  <a:bodyPr/>
                  <a:lstStyle/>
                  <a:p>
                    <a:fld id="{E3EA66D1-AC34-4927-BA16-289B9A0F3637}"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BE4A-489D-BA20-E603793A6B23}"/>
                </c:ext>
              </c:extLst>
            </c:dLbl>
            <c:dLbl>
              <c:idx val="5"/>
              <c:tx>
                <c:rich>
                  <a:bodyPr/>
                  <a:lstStyle/>
                  <a:p>
                    <a:fld id="{A6A544D2-54B1-4309-BA94-DFD730221D57}"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BE4A-489D-BA20-E603793A6B23}"/>
                </c:ext>
              </c:extLst>
            </c:dLbl>
            <c:dLbl>
              <c:idx val="6"/>
              <c:tx>
                <c:rich>
                  <a:bodyPr/>
                  <a:lstStyle/>
                  <a:p>
                    <a:fld id="{FFD5157C-A2A3-403E-A403-FFC3C59156EC}"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BE4A-489D-BA20-E603793A6B23}"/>
                </c:ext>
              </c:extLst>
            </c:dLbl>
            <c:dLbl>
              <c:idx val="7"/>
              <c:tx>
                <c:rich>
                  <a:bodyPr/>
                  <a:lstStyle/>
                  <a:p>
                    <a:fld id="{2FC73939-83F5-48D0-9060-3CEC21D7EA0A}"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BE4A-489D-BA20-E603793A6B23}"/>
                </c:ext>
              </c:extLst>
            </c:dLbl>
            <c:dLbl>
              <c:idx val="8"/>
              <c:tx>
                <c:rich>
                  <a:bodyPr/>
                  <a:lstStyle/>
                  <a:p>
                    <a:fld id="{E479B4CE-11B7-4554-8565-2F655038A5AD}"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BE4A-489D-BA20-E603793A6B23}"/>
                </c:ext>
              </c:extLst>
            </c:dLbl>
            <c:dLbl>
              <c:idx val="9"/>
              <c:tx>
                <c:rich>
                  <a:bodyPr/>
                  <a:lstStyle/>
                  <a:p>
                    <a:fld id="{2222B414-7A7A-494C-AD23-54FD1F65BC86}" type="CELLRANGE">
                      <a:rPr lang="de-CH"/>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BE4A-489D-BA20-E603793A6B23}"/>
                </c:ext>
              </c:extLst>
            </c:dLbl>
            <c:dLbl>
              <c:idx val="10"/>
              <c:tx>
                <c:rich>
                  <a:bodyPr/>
                  <a:lstStyle/>
                  <a:p>
                    <a:endParaRPr lang="de-CH"/>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5-BE4A-489D-BA20-E603793A6B23}"/>
                </c:ext>
              </c:extLst>
            </c:dLbl>
            <c:dLbl>
              <c:idx val="11"/>
              <c:layout>
                <c:manualLayout>
                  <c:x val="0"/>
                  <c:y val="4.9095597246006702E-3"/>
                </c:manualLayout>
              </c:layout>
              <c:tx>
                <c:rich>
                  <a:bodyPr/>
                  <a:lstStyle/>
                  <a:p>
                    <a:fld id="{60C8B7F7-5226-4EBB-8CAB-583A528CC212}" type="CELLRANGE">
                      <a:rPr lang="en-US"/>
                      <a:pPr/>
                      <a:t>[CELLRANGE]</a:t>
                    </a:fld>
                    <a:endParaRPr lang="de-CH"/>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66-BE4A-489D-BA20-E603793A6B23}"/>
                </c:ext>
              </c:extLst>
            </c:dLbl>
            <c:spPr>
              <a:noFill/>
              <a:ln>
                <a:noFill/>
              </a:ln>
              <a:effectLst/>
            </c:spPr>
            <c:txPr>
              <a:bodyPr rot="0" spcFirstLastPara="1" vertOverflow="ellipsis" vert="horz" wrap="square" lIns="38100" tIns="19050" rIns="38100" bIns="19050" anchor="ctr" anchorCtr="0">
                <a:spAutoFit/>
              </a:bodyPr>
              <a:lstStyle/>
              <a:p>
                <a:pPr algn="ctr" rtl="0">
                  <a:defRPr lang="en-US" sz="700" b="0" i="0" u="none" strike="noStrike" kern="1200" baseline="0">
                    <a:solidFill>
                      <a:sysClr val="windowText" lastClr="000000"/>
                    </a:solidFill>
                    <a:latin typeface="Segoe UL"/>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extraction!$S$19:$S$30</c:f>
                <c:numCache>
                  <c:formatCode>General</c:formatCode>
                  <c:ptCount val="12"/>
                  <c:pt idx="0">
                    <c:v>0</c:v>
                  </c:pt>
                  <c:pt idx="1">
                    <c:v>0</c:v>
                  </c:pt>
                  <c:pt idx="2">
                    <c:v>0</c:v>
                  </c:pt>
                  <c:pt idx="3">
                    <c:v>0</c:v>
                  </c:pt>
                  <c:pt idx="4">
                    <c:v>0</c:v>
                  </c:pt>
                  <c:pt idx="5">
                    <c:v>4.8874069999999999E-2</c:v>
                  </c:pt>
                  <c:pt idx="6">
                    <c:v>0</c:v>
                  </c:pt>
                  <c:pt idx="7">
                    <c:v>0</c:v>
                  </c:pt>
                  <c:pt idx="8">
                    <c:v>0</c:v>
                  </c:pt>
                  <c:pt idx="9">
                    <c:v>0</c:v>
                  </c:pt>
                  <c:pt idx="10">
                    <c:v>0</c:v>
                  </c:pt>
                  <c:pt idx="11">
                    <c:v>0.24330502200000001</c:v>
                  </c:pt>
                </c:numCache>
              </c:numRef>
            </c:plus>
            <c:minus>
              <c:numRef>
                <c:f>extraction!$S$19:$S$30</c:f>
                <c:numCache>
                  <c:formatCode>General</c:formatCode>
                  <c:ptCount val="12"/>
                  <c:pt idx="0">
                    <c:v>0</c:v>
                  </c:pt>
                  <c:pt idx="1">
                    <c:v>0</c:v>
                  </c:pt>
                  <c:pt idx="2">
                    <c:v>0</c:v>
                  </c:pt>
                  <c:pt idx="3">
                    <c:v>0</c:v>
                  </c:pt>
                  <c:pt idx="4">
                    <c:v>0</c:v>
                  </c:pt>
                  <c:pt idx="5">
                    <c:v>4.8874069999999999E-2</c:v>
                  </c:pt>
                  <c:pt idx="6">
                    <c:v>0</c:v>
                  </c:pt>
                  <c:pt idx="7">
                    <c:v>0</c:v>
                  </c:pt>
                  <c:pt idx="8">
                    <c:v>0</c:v>
                  </c:pt>
                  <c:pt idx="9">
                    <c:v>0</c:v>
                  </c:pt>
                  <c:pt idx="10">
                    <c:v>0</c:v>
                  </c:pt>
                  <c:pt idx="11">
                    <c:v>0.24330502200000001</c:v>
                  </c:pt>
                </c:numCache>
              </c:numRef>
            </c:minus>
            <c:spPr>
              <a:noFill/>
              <a:ln w="12700" cap="flat" cmpd="sng" algn="ctr">
                <a:solidFill>
                  <a:schemeClr val="tx1">
                    <a:lumMod val="65000"/>
                    <a:lumOff val="35000"/>
                    <a:alpha val="75000"/>
                  </a:schemeClr>
                </a:solidFill>
                <a:round/>
              </a:ln>
              <a:effectLst/>
            </c:spPr>
          </c:errBars>
          <c:cat>
            <c:multiLvlStrRef>
              <c:f>extraction!$B$19:$C$30</c:f>
              <c:multiLvlStrCache>
                <c:ptCount val="12"/>
                <c:lvl>
                  <c:pt idx="0">
                    <c:v>0 min</c:v>
                  </c:pt>
                  <c:pt idx="1">
                    <c:v>30 min</c:v>
                  </c:pt>
                  <c:pt idx="2">
                    <c:v>60 min</c:v>
                  </c:pt>
                  <c:pt idx="3">
                    <c:v>90 min</c:v>
                  </c:pt>
                  <c:pt idx="4">
                    <c:v>120 min</c:v>
                  </c:pt>
                  <c:pt idx="5">
                    <c:v>30 days</c:v>
                  </c:pt>
                  <c:pt idx="6">
                    <c:v>0 min</c:v>
                  </c:pt>
                  <c:pt idx="7">
                    <c:v>30 min</c:v>
                  </c:pt>
                  <c:pt idx="8">
                    <c:v>60 min</c:v>
                  </c:pt>
                  <c:pt idx="9">
                    <c:v>90 min</c:v>
                  </c:pt>
                  <c:pt idx="10">
                    <c:v>120 min</c:v>
                  </c:pt>
                  <c:pt idx="11">
                    <c:v>30 days</c:v>
                  </c:pt>
                </c:lvl>
                <c:lvl>
                  <c:pt idx="0">
                    <c:v>Solid-to-solvent 1:5</c:v>
                  </c:pt>
                  <c:pt idx="6">
                    <c:v>Solid-to-solvent 1:50</c:v>
                  </c:pt>
                </c:lvl>
              </c:multiLvlStrCache>
            </c:multiLvlStrRef>
          </c:cat>
          <c:val>
            <c:numRef>
              <c:f>extraction!$K$19:$K$30</c:f>
              <c:numCache>
                <c:formatCode>General</c:formatCode>
                <c:ptCount val="12"/>
                <c:pt idx="0">
                  <c:v>0</c:v>
                </c:pt>
                <c:pt idx="1">
                  <c:v>0</c:v>
                </c:pt>
                <c:pt idx="2">
                  <c:v>0</c:v>
                </c:pt>
                <c:pt idx="3">
                  <c:v>0</c:v>
                </c:pt>
                <c:pt idx="4">
                  <c:v>0</c:v>
                </c:pt>
                <c:pt idx="5">
                  <c:v>3.323317345</c:v>
                </c:pt>
                <c:pt idx="6">
                  <c:v>0</c:v>
                </c:pt>
                <c:pt idx="7">
                  <c:v>0</c:v>
                </c:pt>
                <c:pt idx="8">
                  <c:v>0</c:v>
                </c:pt>
                <c:pt idx="9">
                  <c:v>0</c:v>
                </c:pt>
                <c:pt idx="11">
                  <c:v>6.4527800539999998</c:v>
                </c:pt>
              </c:numCache>
            </c:numRef>
          </c:val>
          <c:extLst>
            <c:ext xmlns:c15="http://schemas.microsoft.com/office/drawing/2012/chart" uri="{02D57815-91ED-43cb-92C2-25804820EDAC}">
              <c15:datalabelsRange>
                <c15:f>extraction!$AA$19:$AA$30</c15:f>
                <c15:dlblRangeCache>
                  <c:ptCount val="12"/>
                  <c:pt idx="5">
                    <c:v>e</c:v>
                  </c:pt>
                  <c:pt idx="11">
                    <c:v>d</c:v>
                  </c:pt>
                </c15:dlblRangeCache>
              </c15:datalabelsRange>
            </c:ext>
            <c:ext xmlns:c16="http://schemas.microsoft.com/office/drawing/2014/chart" uri="{C3380CC4-5D6E-409C-BE32-E72D297353CC}">
              <c16:uniqueId val="{00000067-BE4A-489D-BA20-E603793A6B23}"/>
            </c:ext>
          </c:extLst>
        </c:ser>
        <c:dLbls>
          <c:showLegendKey val="0"/>
          <c:showVal val="0"/>
          <c:showCatName val="0"/>
          <c:showSerName val="0"/>
          <c:showPercent val="0"/>
          <c:showBubbleSize val="0"/>
        </c:dLbls>
        <c:gapWidth val="0"/>
        <c:overlap val="-20"/>
        <c:axId val="182039759"/>
        <c:axId val="182040719"/>
      </c:barChart>
      <c:catAx>
        <c:axId val="182039759"/>
        <c:scaling>
          <c:orientation val="minMax"/>
        </c:scaling>
        <c:delete val="0"/>
        <c:axPos val="b"/>
        <c:majorGridlines>
          <c:spPr>
            <a:ln w="9525" cap="flat" cmpd="sng" algn="ctr">
              <a:solidFill>
                <a:srgbClr val="4F81BD">
                  <a:alpha val="50000"/>
                </a:srgbClr>
              </a:solidFill>
              <a:round/>
            </a:ln>
            <a:effectLst/>
          </c:spPr>
        </c:majorGridlines>
        <c:title>
          <c:tx>
            <c:rich>
              <a:bodyPr rot="0" spcFirstLastPara="1" vertOverflow="ellipsis" vert="horz" wrap="square" anchor="ctr" anchorCtr="1"/>
              <a:lstStyle/>
              <a:p>
                <a:pPr algn="ctr" rtl="0">
                  <a:defRPr lang="de-CH" sz="900" b="0" i="0" u="none" strike="noStrike" kern="1200" baseline="0">
                    <a:solidFill>
                      <a:sysClr val="windowText" lastClr="000000"/>
                    </a:solidFill>
                    <a:latin typeface="Segoe Ul"/>
                    <a:ea typeface="+mn-ea"/>
                    <a:cs typeface="+mn-cs"/>
                  </a:defRPr>
                </a:pPr>
                <a:r>
                  <a:rPr lang="de-CH" sz="900" b="0" i="0" u="none" strike="noStrike" kern="1200" baseline="0">
                    <a:solidFill>
                      <a:sysClr val="windowText" lastClr="000000"/>
                    </a:solidFill>
                    <a:latin typeface="Segoe Ul"/>
                    <a:ea typeface="+mn-ea"/>
                    <a:cs typeface="+mn-cs"/>
                  </a:rPr>
                  <a:t>time </a:t>
                </a:r>
              </a:p>
            </c:rich>
          </c:tx>
          <c:layout>
            <c:manualLayout>
              <c:xMode val="edge"/>
              <c:yMode val="edge"/>
              <c:x val="0.9274882239813107"/>
              <c:y val="0.81679472021860533"/>
            </c:manualLayout>
          </c:layout>
          <c:overlay val="0"/>
          <c:spPr>
            <a:noFill/>
            <a:ln>
              <a:noFill/>
            </a:ln>
            <a:effectLst/>
          </c:spPr>
          <c:txPr>
            <a:bodyPr rot="0" spcFirstLastPara="1" vertOverflow="ellipsis" vert="horz" wrap="square" anchor="ctr" anchorCtr="1"/>
            <a:lstStyle/>
            <a:p>
              <a:pPr algn="ctr" rtl="0">
                <a:defRPr lang="de-CH" sz="900" b="0" i="0" u="none" strike="noStrike" kern="1200" baseline="0">
                  <a:solidFill>
                    <a:sysClr val="windowText" lastClr="000000"/>
                  </a:solidFill>
                  <a:latin typeface="Segoe Ul"/>
                  <a:ea typeface="+mn-ea"/>
                  <a:cs typeface="+mn-cs"/>
                </a:defRPr>
              </a:pPr>
              <a:endParaRPr lang="de-D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50" b="0" i="1" u="none" strike="noStrike" kern="1200" baseline="0">
                <a:solidFill>
                  <a:sysClr val="windowText" lastClr="000000"/>
                </a:solidFill>
                <a:latin typeface="Segoe Ul"/>
                <a:ea typeface="+mn-ea"/>
                <a:cs typeface="+mn-cs"/>
              </a:defRPr>
            </a:pPr>
            <a:endParaRPr lang="de-DE"/>
          </a:p>
        </c:txPr>
        <c:crossAx val="182040719"/>
        <c:crosses val="autoZero"/>
        <c:auto val="1"/>
        <c:lblAlgn val="ctr"/>
        <c:lblOffset val="100"/>
        <c:noMultiLvlLbl val="0"/>
      </c:catAx>
      <c:valAx>
        <c:axId val="182040719"/>
        <c:scaling>
          <c:orientation val="minMax"/>
          <c:max val="25"/>
          <c:min val="0"/>
        </c:scaling>
        <c:delete val="0"/>
        <c:axPos val="l"/>
        <c:majorGridlines>
          <c:spPr>
            <a:ln w="9525" cap="flat" cmpd="sng" algn="ctr">
              <a:solidFill>
                <a:srgbClr val="4F81BD">
                  <a:alpha val="50000"/>
                </a:srgbClr>
              </a:solidFill>
              <a:round/>
            </a:ln>
            <a:effectLst/>
          </c:spPr>
        </c:majorGridlines>
        <c:title>
          <c:tx>
            <c:rich>
              <a:bodyPr rot="-5400000" spcFirstLastPara="1" vertOverflow="ellipsis" vert="horz" wrap="square" anchor="ctr" anchorCtr="1"/>
              <a:lstStyle/>
              <a:p>
                <a:pPr algn="ctr">
                  <a:defRPr lang="de-CH" sz="900" b="0" i="0" u="none" strike="noStrike" kern="1200" baseline="0">
                    <a:solidFill>
                      <a:sysClr val="windowText" lastClr="000000"/>
                    </a:solidFill>
                    <a:latin typeface="Segoe Ul"/>
                    <a:ea typeface="+mn-ea"/>
                    <a:cs typeface="+mn-cs"/>
                  </a:defRPr>
                </a:pPr>
                <a:r>
                  <a:rPr lang="de-CH" sz="900" b="0" i="0" u="none" strike="noStrike" kern="1200" baseline="0">
                    <a:solidFill>
                      <a:sysClr val="windowText" lastClr="000000"/>
                    </a:solidFill>
                    <a:latin typeface="Segoe Ul"/>
                    <a:ea typeface="+mn-ea"/>
                    <a:cs typeface="+mn-cs"/>
                  </a:rPr>
                  <a:t>Extraction yield</a:t>
                </a:r>
              </a:p>
              <a:p>
                <a:pPr algn="ctr">
                  <a:defRPr lang="de-CH" sz="900">
                    <a:solidFill>
                      <a:sysClr val="windowText" lastClr="000000"/>
                    </a:solidFill>
                    <a:latin typeface="Segoe Ul"/>
                  </a:defRPr>
                </a:pPr>
                <a:r>
                  <a:rPr lang="de-CH" sz="900" b="0" i="0" u="none" strike="noStrike" kern="1200" baseline="0">
                    <a:solidFill>
                      <a:sysClr val="windowText" lastClr="000000"/>
                    </a:solidFill>
                    <a:latin typeface="Segoe Ul"/>
                    <a:ea typeface="+mn-ea"/>
                    <a:cs typeface="+mn-cs"/>
                  </a:rPr>
                  <a:t> (mg ergosterol/g</a:t>
                </a:r>
                <a:r>
                  <a:rPr lang="de-CH" sz="900" b="0" i="0" u="none" strike="noStrike" kern="1200" baseline="-25000">
                    <a:solidFill>
                      <a:sysClr val="windowText" lastClr="000000"/>
                    </a:solidFill>
                    <a:latin typeface="Segoe Ul"/>
                    <a:ea typeface="+mn-ea"/>
                    <a:cs typeface="+mn-cs"/>
                  </a:rPr>
                  <a:t>DM</a:t>
                </a:r>
                <a:r>
                  <a:rPr lang="de-CH" sz="900" b="0" i="0" u="none" strike="noStrike" kern="1200" baseline="0">
                    <a:solidFill>
                      <a:sysClr val="windowText" lastClr="000000"/>
                    </a:solidFill>
                    <a:latin typeface="Segoe Ul"/>
                    <a:ea typeface="+mn-ea"/>
                    <a:cs typeface="+mn-cs"/>
                  </a:rPr>
                  <a:t> )</a:t>
                </a:r>
              </a:p>
            </c:rich>
          </c:tx>
          <c:layout>
            <c:manualLayout>
              <c:xMode val="edge"/>
              <c:yMode val="edge"/>
              <c:x val="1.8294095240221405E-3"/>
              <c:y val="8.3990932431156032E-2"/>
            </c:manualLayout>
          </c:layout>
          <c:overlay val="0"/>
          <c:spPr>
            <a:noFill/>
            <a:ln>
              <a:noFill/>
            </a:ln>
            <a:effectLst/>
          </c:spPr>
          <c:txPr>
            <a:bodyPr rot="-5400000" spcFirstLastPara="1" vertOverflow="ellipsis" vert="horz" wrap="square" anchor="ctr" anchorCtr="1"/>
            <a:lstStyle/>
            <a:p>
              <a:pPr algn="ctr">
                <a:defRPr lang="de-CH" sz="900" b="0" i="0" u="none" strike="noStrike" kern="1200" baseline="0">
                  <a:solidFill>
                    <a:sysClr val="windowText" lastClr="000000"/>
                  </a:solidFill>
                  <a:latin typeface="Segoe Ul"/>
                  <a:ea typeface="+mn-ea"/>
                  <a:cs typeface="+mn-cs"/>
                </a:defRPr>
              </a:pPr>
              <a:endParaRPr lang="de-DE"/>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50" b="0" i="0" u="none" strike="noStrike" kern="1200" baseline="0">
                <a:solidFill>
                  <a:sysClr val="windowText" lastClr="000000"/>
                </a:solidFill>
                <a:latin typeface="Segoe Ul"/>
                <a:ea typeface="+mn-ea"/>
                <a:cs typeface="+mn-cs"/>
              </a:defRPr>
            </a:pPr>
            <a:endParaRPr lang="de-DE"/>
          </a:p>
        </c:txPr>
        <c:crossAx val="182039759"/>
        <c:crosses val="autoZero"/>
        <c:crossBetween val="between"/>
        <c:majorUnit val="5"/>
        <c:minorUnit val="1"/>
      </c:valAx>
      <c:spPr>
        <a:noFill/>
        <a:ln>
          <a:solidFill>
            <a:schemeClr val="tx1"/>
          </a:solidFill>
        </a:ln>
        <a:effectLst/>
      </c:spPr>
    </c:plotArea>
    <c:legend>
      <c:legendPos val="b"/>
      <c:layout>
        <c:manualLayout>
          <c:xMode val="edge"/>
          <c:yMode val="edge"/>
          <c:x val="0"/>
          <c:y val="0.86163327866459438"/>
          <c:w val="1"/>
          <c:h val="0.13836672133540559"/>
        </c:manualLayout>
      </c:layout>
      <c:overlay val="0"/>
      <c:spPr>
        <a:noFill/>
        <a:ln>
          <a:noFill/>
        </a:ln>
        <a:effectLst/>
      </c:spPr>
      <c:txPr>
        <a:bodyPr rot="0" spcFirstLastPara="1" vertOverflow="ellipsis" vert="horz" wrap="square" anchor="ctr" anchorCtr="1"/>
        <a:lstStyle/>
        <a:p>
          <a:pPr algn="ctr">
            <a:defRPr lang="en-US" sz="800" b="0" i="0" u="none" strike="noStrike" kern="1200" baseline="0">
              <a:solidFill>
                <a:sysClr val="windowText" lastClr="000000"/>
              </a:solidFill>
              <a:latin typeface="Segoe Ul"/>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7894023593909"/>
          <c:y val="7.2994938272881907E-2"/>
          <c:w val="0.45257860118772691"/>
          <c:h val="0.71753907722918631"/>
        </c:manualLayout>
      </c:layout>
      <c:scatterChart>
        <c:scatterStyle val="smoothMarker"/>
        <c:varyColors val="0"/>
        <c:ser>
          <c:idx val="0"/>
          <c:order val="0"/>
          <c:tx>
            <c:strRef>
              <c:f>Sheet3!$U$5</c:f>
              <c:strCache>
                <c:ptCount val="1"/>
                <c:pt idx="0">
                  <c:v>White extract (ergosterol)</c:v>
                </c:pt>
              </c:strCache>
            </c:strRef>
          </c:tx>
          <c:spPr>
            <a:ln w="19050" cap="rnd">
              <a:solidFill>
                <a:schemeClr val="tx1"/>
              </a:solidFill>
              <a:prstDash val="dash"/>
              <a:round/>
            </a:ln>
            <a:effectLst/>
          </c:spPr>
          <c:marker>
            <c:symbol val="square"/>
            <c:size val="5"/>
            <c:spPr>
              <a:solidFill>
                <a:srgbClr val="FFFF00"/>
              </a:solidFill>
              <a:ln w="9525">
                <a:solidFill>
                  <a:schemeClr val="tx1"/>
                </a:solidFill>
              </a:ln>
              <a:effectLst/>
            </c:spPr>
          </c:marker>
          <c:errBars>
            <c:errDir val="y"/>
            <c:errBarType val="both"/>
            <c:errValType val="cust"/>
            <c:noEndCap val="0"/>
            <c:plus>
              <c:numRef>
                <c:f>Sheet3!$V$6:$V$10</c:f>
                <c:numCache>
                  <c:formatCode>General</c:formatCode>
                  <c:ptCount val="5"/>
                  <c:pt idx="0">
                    <c:v>4.0000000000000003E-5</c:v>
                  </c:pt>
                  <c:pt idx="1">
                    <c:v>1.1E-4</c:v>
                  </c:pt>
                  <c:pt idx="2">
                    <c:v>9.0000000000000006E-5</c:v>
                  </c:pt>
                  <c:pt idx="3">
                    <c:v>2.9999999999999997E-4</c:v>
                  </c:pt>
                  <c:pt idx="4">
                    <c:v>1.4999999999999999E-4</c:v>
                  </c:pt>
                </c:numCache>
              </c:numRef>
            </c:plus>
            <c:minus>
              <c:numRef>
                <c:f>Sheet3!$V$6:$V$10</c:f>
                <c:numCache>
                  <c:formatCode>General</c:formatCode>
                  <c:ptCount val="5"/>
                  <c:pt idx="0">
                    <c:v>4.0000000000000003E-5</c:v>
                  </c:pt>
                  <c:pt idx="1">
                    <c:v>1.1E-4</c:v>
                  </c:pt>
                  <c:pt idx="2">
                    <c:v>9.0000000000000006E-5</c:v>
                  </c:pt>
                  <c:pt idx="3">
                    <c:v>2.9999999999999997E-4</c:v>
                  </c:pt>
                  <c:pt idx="4">
                    <c:v>1.4999999999999999E-4</c:v>
                  </c:pt>
                </c:numCache>
              </c:numRef>
            </c:minus>
            <c:spPr>
              <a:noFill/>
              <a:ln w="9525" cap="flat" cmpd="sng" algn="ctr">
                <a:solidFill>
                  <a:schemeClr val="tx1">
                    <a:lumMod val="65000"/>
                    <a:lumOff val="35000"/>
                  </a:schemeClr>
                </a:solidFill>
                <a:round/>
              </a:ln>
              <a:effectLst/>
            </c:spPr>
          </c:errBars>
          <c:xVal>
            <c:numRef>
              <c:f>Sheet3!$R$6:$R$10</c:f>
              <c:numCache>
                <c:formatCode>General</c:formatCode>
                <c:ptCount val="5"/>
                <c:pt idx="0">
                  <c:v>0</c:v>
                </c:pt>
                <c:pt idx="1">
                  <c:v>30</c:v>
                </c:pt>
                <c:pt idx="2">
                  <c:v>60</c:v>
                </c:pt>
                <c:pt idx="3">
                  <c:v>90</c:v>
                </c:pt>
                <c:pt idx="4">
                  <c:v>120</c:v>
                </c:pt>
              </c:numCache>
            </c:numRef>
          </c:xVal>
          <c:yVal>
            <c:numRef>
              <c:f>Sheet3!$U$6:$U$10</c:f>
              <c:numCache>
                <c:formatCode>0.00E+00</c:formatCode>
                <c:ptCount val="5"/>
                <c:pt idx="0">
                  <c:v>4.3600000000000002E-3</c:v>
                </c:pt>
                <c:pt idx="1">
                  <c:v>4.1999999999999997E-3</c:v>
                </c:pt>
                <c:pt idx="2">
                  <c:v>4.1099999999999999E-3</c:v>
                </c:pt>
                <c:pt idx="3">
                  <c:v>4.0800000000000003E-3</c:v>
                </c:pt>
                <c:pt idx="4">
                  <c:v>3.81E-3</c:v>
                </c:pt>
              </c:numCache>
            </c:numRef>
          </c:yVal>
          <c:smooth val="1"/>
          <c:extLst>
            <c:ext xmlns:c16="http://schemas.microsoft.com/office/drawing/2014/chart" uri="{C3380CC4-5D6E-409C-BE32-E72D297353CC}">
              <c16:uniqueId val="{00000000-710A-484C-8B69-932CC51B7536}"/>
            </c:ext>
          </c:extLst>
        </c:ser>
        <c:ser>
          <c:idx val="1"/>
          <c:order val="1"/>
          <c:tx>
            <c:strRef>
              <c:f>Sheet3!$W$5</c:f>
              <c:strCache>
                <c:ptCount val="1"/>
                <c:pt idx="0">
                  <c:v>Brown extract (ergosterol)</c:v>
                </c:pt>
              </c:strCache>
            </c:strRef>
          </c:tx>
          <c:spPr>
            <a:ln w="19050" cap="rnd">
              <a:solidFill>
                <a:schemeClr val="tx1"/>
              </a:solidFill>
              <a:prstDash val="dash"/>
              <a:round/>
            </a:ln>
            <a:effectLst/>
          </c:spPr>
          <c:marker>
            <c:symbol val="circle"/>
            <c:size val="5"/>
            <c:spPr>
              <a:solidFill>
                <a:schemeClr val="accent2">
                  <a:lumMod val="50000"/>
                </a:schemeClr>
              </a:solidFill>
              <a:ln w="9525">
                <a:solidFill>
                  <a:schemeClr val="tx1"/>
                </a:solidFill>
              </a:ln>
              <a:effectLst/>
            </c:spPr>
          </c:marker>
          <c:errBars>
            <c:errDir val="y"/>
            <c:errBarType val="both"/>
            <c:errValType val="cust"/>
            <c:noEndCap val="0"/>
            <c:plus>
              <c:numRef>
                <c:f>Sheet3!$X$6:$X$10</c:f>
                <c:numCache>
                  <c:formatCode>General</c:formatCode>
                  <c:ptCount val="5"/>
                  <c:pt idx="0">
                    <c:v>2.7999999999999998E-4</c:v>
                  </c:pt>
                  <c:pt idx="1">
                    <c:v>1.2E-4</c:v>
                  </c:pt>
                  <c:pt idx="2">
                    <c:v>2.1000000000000001E-4</c:v>
                  </c:pt>
                  <c:pt idx="3">
                    <c:v>2.4000000000000001E-4</c:v>
                  </c:pt>
                  <c:pt idx="4">
                    <c:v>2.5999999999999998E-4</c:v>
                  </c:pt>
                </c:numCache>
              </c:numRef>
            </c:plus>
            <c:minus>
              <c:numRef>
                <c:f>Sheet3!$X$6:$X$10</c:f>
                <c:numCache>
                  <c:formatCode>General</c:formatCode>
                  <c:ptCount val="5"/>
                  <c:pt idx="0">
                    <c:v>2.7999999999999998E-4</c:v>
                  </c:pt>
                  <c:pt idx="1">
                    <c:v>1.2E-4</c:v>
                  </c:pt>
                  <c:pt idx="2">
                    <c:v>2.1000000000000001E-4</c:v>
                  </c:pt>
                  <c:pt idx="3">
                    <c:v>2.4000000000000001E-4</c:v>
                  </c:pt>
                  <c:pt idx="4">
                    <c:v>2.5999999999999998E-4</c:v>
                  </c:pt>
                </c:numCache>
              </c:numRef>
            </c:minus>
            <c:spPr>
              <a:noFill/>
              <a:ln w="9525" cap="flat" cmpd="sng" algn="ctr">
                <a:solidFill>
                  <a:schemeClr val="tx1">
                    <a:lumMod val="65000"/>
                    <a:lumOff val="35000"/>
                  </a:schemeClr>
                </a:solidFill>
                <a:round/>
              </a:ln>
              <a:effectLst/>
            </c:spPr>
          </c:errBars>
          <c:xVal>
            <c:numRef>
              <c:f>Sheet3!$R$6:$R$10</c:f>
              <c:numCache>
                <c:formatCode>General</c:formatCode>
                <c:ptCount val="5"/>
                <c:pt idx="0">
                  <c:v>0</c:v>
                </c:pt>
                <c:pt idx="1">
                  <c:v>30</c:v>
                </c:pt>
                <c:pt idx="2">
                  <c:v>60</c:v>
                </c:pt>
                <c:pt idx="3">
                  <c:v>90</c:v>
                </c:pt>
                <c:pt idx="4">
                  <c:v>120</c:v>
                </c:pt>
              </c:numCache>
            </c:numRef>
          </c:xVal>
          <c:yVal>
            <c:numRef>
              <c:f>Sheet3!$W$6:$W$10</c:f>
              <c:numCache>
                <c:formatCode>0.00E+00</c:formatCode>
                <c:ptCount val="5"/>
                <c:pt idx="0">
                  <c:v>7.6499999999999997E-3</c:v>
                </c:pt>
                <c:pt idx="1">
                  <c:v>6.7000000000000002E-3</c:v>
                </c:pt>
                <c:pt idx="2">
                  <c:v>6.1999999999999998E-3</c:v>
                </c:pt>
                <c:pt idx="3">
                  <c:v>5.4400000000000004E-3</c:v>
                </c:pt>
                <c:pt idx="4">
                  <c:v>5.0699999999999999E-3</c:v>
                </c:pt>
              </c:numCache>
            </c:numRef>
          </c:yVal>
          <c:smooth val="1"/>
          <c:extLst>
            <c:ext xmlns:c16="http://schemas.microsoft.com/office/drawing/2014/chart" uri="{C3380CC4-5D6E-409C-BE32-E72D297353CC}">
              <c16:uniqueId val="{00000001-710A-484C-8B69-932CC51B7536}"/>
            </c:ext>
          </c:extLst>
        </c:ser>
        <c:ser>
          <c:idx val="2"/>
          <c:order val="2"/>
          <c:tx>
            <c:strRef>
              <c:f>Sheet3!$S$5</c:f>
              <c:strCache>
                <c:ptCount val="1"/>
                <c:pt idx="0">
                  <c:v>Model solution (ergosterol)</c:v>
                </c:pt>
              </c:strCache>
            </c:strRef>
          </c:tx>
          <c:spPr>
            <a:ln w="19050" cap="rnd">
              <a:solidFill>
                <a:schemeClr val="tx1"/>
              </a:solidFill>
              <a:prstDash val="dash"/>
              <a:round/>
            </a:ln>
            <a:effectLst/>
          </c:spPr>
          <c:marker>
            <c:symbol val="triangle"/>
            <c:size val="5"/>
            <c:spPr>
              <a:solidFill>
                <a:srgbClr val="FF0000"/>
              </a:solidFill>
              <a:ln w="9525">
                <a:solidFill>
                  <a:schemeClr val="tx1"/>
                </a:solidFill>
              </a:ln>
              <a:effectLst/>
            </c:spPr>
          </c:marker>
          <c:errBars>
            <c:errDir val="y"/>
            <c:errBarType val="both"/>
            <c:errValType val="cust"/>
            <c:noEndCap val="0"/>
            <c:plus>
              <c:numRef>
                <c:f>Sheet3!$D$6:$D$9</c:f>
                <c:numCache>
                  <c:formatCode>General</c:formatCode>
                  <c:ptCount val="4"/>
                  <c:pt idx="0">
                    <c:v>2.7700000000000001E-4</c:v>
                  </c:pt>
                  <c:pt idx="1">
                    <c:v>3.28E-4</c:v>
                  </c:pt>
                  <c:pt idx="2">
                    <c:v>3.7800000000000003E-4</c:v>
                  </c:pt>
                  <c:pt idx="3">
                    <c:v>4.2900000000000002E-4</c:v>
                  </c:pt>
                </c:numCache>
              </c:numRef>
            </c:plus>
            <c:minus>
              <c:numRef>
                <c:f>Sheet3!$D$6:$D$9</c:f>
                <c:numCache>
                  <c:formatCode>General</c:formatCode>
                  <c:ptCount val="4"/>
                  <c:pt idx="0">
                    <c:v>2.7700000000000001E-4</c:v>
                  </c:pt>
                  <c:pt idx="1">
                    <c:v>3.28E-4</c:v>
                  </c:pt>
                  <c:pt idx="2">
                    <c:v>3.7800000000000003E-4</c:v>
                  </c:pt>
                  <c:pt idx="3">
                    <c:v>4.2900000000000002E-4</c:v>
                  </c:pt>
                </c:numCache>
              </c:numRef>
            </c:minus>
            <c:spPr>
              <a:noFill/>
              <a:ln w="9525" cap="flat" cmpd="sng" algn="ctr">
                <a:solidFill>
                  <a:schemeClr val="tx1">
                    <a:lumMod val="65000"/>
                    <a:lumOff val="35000"/>
                  </a:schemeClr>
                </a:solidFill>
                <a:round/>
              </a:ln>
              <a:effectLst/>
            </c:spPr>
          </c:errBars>
          <c:xVal>
            <c:numRef>
              <c:f>Sheet3!$R$6:$R$10</c:f>
              <c:numCache>
                <c:formatCode>General</c:formatCode>
                <c:ptCount val="5"/>
                <c:pt idx="0">
                  <c:v>0</c:v>
                </c:pt>
                <c:pt idx="1">
                  <c:v>30</c:v>
                </c:pt>
                <c:pt idx="2">
                  <c:v>60</c:v>
                </c:pt>
                <c:pt idx="3">
                  <c:v>90</c:v>
                </c:pt>
                <c:pt idx="4">
                  <c:v>120</c:v>
                </c:pt>
              </c:numCache>
            </c:numRef>
          </c:xVal>
          <c:yVal>
            <c:numRef>
              <c:f>Sheet3!$S$6:$S$10</c:f>
              <c:numCache>
                <c:formatCode>0.00E+00</c:formatCode>
                <c:ptCount val="5"/>
                <c:pt idx="0">
                  <c:v>6.6600000000000001E-3</c:v>
                </c:pt>
                <c:pt idx="1">
                  <c:v>6.1700000000000001E-3</c:v>
                </c:pt>
                <c:pt idx="2">
                  <c:v>5.77E-3</c:v>
                </c:pt>
                <c:pt idx="3">
                  <c:v>5.2900000000000004E-3</c:v>
                </c:pt>
                <c:pt idx="4">
                  <c:v>4.8399999999999997E-3</c:v>
                </c:pt>
              </c:numCache>
            </c:numRef>
          </c:yVal>
          <c:smooth val="1"/>
          <c:extLst>
            <c:ext xmlns:c16="http://schemas.microsoft.com/office/drawing/2014/chart" uri="{C3380CC4-5D6E-409C-BE32-E72D297353CC}">
              <c16:uniqueId val="{00000002-710A-484C-8B69-932CC51B7536}"/>
            </c:ext>
          </c:extLst>
        </c:ser>
        <c:dLbls>
          <c:showLegendKey val="0"/>
          <c:showVal val="0"/>
          <c:showCatName val="0"/>
          <c:showSerName val="0"/>
          <c:showPercent val="0"/>
          <c:showBubbleSize val="0"/>
        </c:dLbls>
        <c:axId val="1129416912"/>
        <c:axId val="1129430352"/>
      </c:scatterChart>
      <c:scatterChart>
        <c:scatterStyle val="smoothMarker"/>
        <c:varyColors val="0"/>
        <c:ser>
          <c:idx val="3"/>
          <c:order val="3"/>
          <c:tx>
            <c:strRef>
              <c:f>Sheet3!$AA$5</c:f>
              <c:strCache>
                <c:ptCount val="1"/>
                <c:pt idx="0">
                  <c:v>White extract (VD2)</c:v>
                </c:pt>
              </c:strCache>
            </c:strRef>
          </c:tx>
          <c:spPr>
            <a:ln w="19050" cap="rnd">
              <a:solidFill>
                <a:schemeClr val="tx1"/>
              </a:solidFill>
              <a:round/>
            </a:ln>
            <a:effectLst/>
          </c:spPr>
          <c:marker>
            <c:symbol val="square"/>
            <c:size val="5"/>
            <c:spPr>
              <a:solidFill>
                <a:srgbClr val="FFFF00"/>
              </a:solidFill>
              <a:ln w="9525">
                <a:solidFill>
                  <a:schemeClr val="tx1"/>
                </a:solidFill>
              </a:ln>
              <a:effectLst/>
            </c:spPr>
          </c:marker>
          <c:errBars>
            <c:errDir val="y"/>
            <c:errBarType val="both"/>
            <c:errValType val="cust"/>
            <c:noEndCap val="0"/>
            <c:plus>
              <c:numRef>
                <c:f>Sheet3!$AB$6:$AB$10</c:f>
                <c:numCache>
                  <c:formatCode>General</c:formatCode>
                  <c:ptCount val="5"/>
                  <c:pt idx="0">
                    <c:v>0</c:v>
                  </c:pt>
                  <c:pt idx="1">
                    <c:v>2.0999999999999999E-8</c:v>
                  </c:pt>
                  <c:pt idx="2">
                    <c:v>1.4999999999999999E-8</c:v>
                  </c:pt>
                  <c:pt idx="3">
                    <c:v>1.6000000000000001E-8</c:v>
                  </c:pt>
                  <c:pt idx="4">
                    <c:v>2.7E-8</c:v>
                  </c:pt>
                </c:numCache>
              </c:numRef>
            </c:plus>
            <c:minus>
              <c:numRef>
                <c:f>Sheet3!$AB$6:$AB$10</c:f>
                <c:numCache>
                  <c:formatCode>General</c:formatCode>
                  <c:ptCount val="5"/>
                  <c:pt idx="0">
                    <c:v>0</c:v>
                  </c:pt>
                  <c:pt idx="1">
                    <c:v>2.0999999999999999E-8</c:v>
                  </c:pt>
                  <c:pt idx="2">
                    <c:v>1.4999999999999999E-8</c:v>
                  </c:pt>
                  <c:pt idx="3">
                    <c:v>1.6000000000000001E-8</c:v>
                  </c:pt>
                  <c:pt idx="4">
                    <c:v>2.7E-8</c:v>
                  </c:pt>
                </c:numCache>
              </c:numRef>
            </c:minus>
            <c:spPr>
              <a:noFill/>
              <a:ln w="9525" cap="flat" cmpd="sng" algn="ctr">
                <a:solidFill>
                  <a:schemeClr val="tx1">
                    <a:lumMod val="65000"/>
                    <a:lumOff val="35000"/>
                  </a:schemeClr>
                </a:solidFill>
                <a:round/>
              </a:ln>
              <a:effectLst/>
            </c:spPr>
          </c:errBars>
          <c:xVal>
            <c:numRef>
              <c:f>Sheet3!$R$6:$R$10</c:f>
              <c:numCache>
                <c:formatCode>General</c:formatCode>
                <c:ptCount val="5"/>
                <c:pt idx="0">
                  <c:v>0</c:v>
                </c:pt>
                <c:pt idx="1">
                  <c:v>30</c:v>
                </c:pt>
                <c:pt idx="2">
                  <c:v>60</c:v>
                </c:pt>
                <c:pt idx="3">
                  <c:v>90</c:v>
                </c:pt>
                <c:pt idx="4">
                  <c:v>120</c:v>
                </c:pt>
              </c:numCache>
            </c:numRef>
          </c:xVal>
          <c:yVal>
            <c:numRef>
              <c:f>Sheet3!$AA$6:$AA$10</c:f>
              <c:numCache>
                <c:formatCode>0.00E+00</c:formatCode>
                <c:ptCount val="5"/>
                <c:pt idx="0">
                  <c:v>2.8299999999999999E-8</c:v>
                </c:pt>
                <c:pt idx="1">
                  <c:v>1.8E-7</c:v>
                </c:pt>
                <c:pt idx="2">
                  <c:v>2.05E-7</c:v>
                </c:pt>
                <c:pt idx="3">
                  <c:v>2.2999999999999999E-7</c:v>
                </c:pt>
                <c:pt idx="4">
                  <c:v>2.4499999999999998E-7</c:v>
                </c:pt>
              </c:numCache>
            </c:numRef>
          </c:yVal>
          <c:smooth val="1"/>
          <c:extLst>
            <c:ext xmlns:c16="http://schemas.microsoft.com/office/drawing/2014/chart" uri="{C3380CC4-5D6E-409C-BE32-E72D297353CC}">
              <c16:uniqueId val="{00000003-710A-484C-8B69-932CC51B7536}"/>
            </c:ext>
          </c:extLst>
        </c:ser>
        <c:ser>
          <c:idx val="4"/>
          <c:order val="4"/>
          <c:tx>
            <c:strRef>
              <c:f>Sheet3!$Y$5</c:f>
              <c:strCache>
                <c:ptCount val="1"/>
                <c:pt idx="0">
                  <c:v>Model solution (VD2)</c:v>
                </c:pt>
              </c:strCache>
            </c:strRef>
          </c:tx>
          <c:spPr>
            <a:ln w="19050" cap="rnd">
              <a:solidFill>
                <a:schemeClr val="tx1"/>
              </a:solidFill>
              <a:round/>
            </a:ln>
            <a:effectLst/>
          </c:spPr>
          <c:marker>
            <c:symbol val="triangle"/>
            <c:size val="5"/>
            <c:spPr>
              <a:solidFill>
                <a:srgbClr val="FF0000"/>
              </a:solidFill>
              <a:ln w="9525">
                <a:solidFill>
                  <a:schemeClr val="tx1"/>
                </a:solidFill>
              </a:ln>
              <a:effectLst/>
            </c:spPr>
          </c:marker>
          <c:errBars>
            <c:errDir val="y"/>
            <c:errBarType val="both"/>
            <c:errValType val="cust"/>
            <c:noEndCap val="0"/>
            <c:plus>
              <c:numRef>
                <c:f>Sheet3!$Z$6:$Z$10</c:f>
                <c:numCache>
                  <c:formatCode>General</c:formatCode>
                  <c:ptCount val="5"/>
                  <c:pt idx="0">
                    <c:v>2.0000000000000001E-9</c:v>
                  </c:pt>
                  <c:pt idx="1">
                    <c:v>1.4999999999999999E-8</c:v>
                  </c:pt>
                  <c:pt idx="2">
                    <c:v>2E-8</c:v>
                  </c:pt>
                  <c:pt idx="3">
                    <c:v>2.9999999999999997E-8</c:v>
                  </c:pt>
                  <c:pt idx="4">
                    <c:v>4.0000000000000001E-8</c:v>
                  </c:pt>
                </c:numCache>
              </c:numRef>
            </c:plus>
            <c:minus>
              <c:numRef>
                <c:f>Sheet3!$Z$6:$Z$10</c:f>
                <c:numCache>
                  <c:formatCode>General</c:formatCode>
                  <c:ptCount val="5"/>
                  <c:pt idx="0">
                    <c:v>2.0000000000000001E-9</c:v>
                  </c:pt>
                  <c:pt idx="1">
                    <c:v>1.4999999999999999E-8</c:v>
                  </c:pt>
                  <c:pt idx="2">
                    <c:v>2E-8</c:v>
                  </c:pt>
                  <c:pt idx="3">
                    <c:v>2.9999999999999997E-8</c:v>
                  </c:pt>
                  <c:pt idx="4">
                    <c:v>4.0000000000000001E-8</c:v>
                  </c:pt>
                </c:numCache>
              </c:numRef>
            </c:minus>
            <c:spPr>
              <a:noFill/>
              <a:ln w="9525" cap="flat" cmpd="sng" algn="ctr">
                <a:solidFill>
                  <a:schemeClr val="tx1">
                    <a:lumMod val="65000"/>
                    <a:lumOff val="35000"/>
                  </a:schemeClr>
                </a:solidFill>
                <a:round/>
              </a:ln>
              <a:effectLst/>
            </c:spPr>
          </c:errBars>
          <c:xVal>
            <c:numRef>
              <c:f>Sheet3!$R$6:$R$10</c:f>
              <c:numCache>
                <c:formatCode>General</c:formatCode>
                <c:ptCount val="5"/>
                <c:pt idx="0">
                  <c:v>0</c:v>
                </c:pt>
                <c:pt idx="1">
                  <c:v>30</c:v>
                </c:pt>
                <c:pt idx="2">
                  <c:v>60</c:v>
                </c:pt>
                <c:pt idx="3">
                  <c:v>90</c:v>
                </c:pt>
                <c:pt idx="4">
                  <c:v>120</c:v>
                </c:pt>
              </c:numCache>
            </c:numRef>
          </c:xVal>
          <c:yVal>
            <c:numRef>
              <c:f>Sheet3!$Y$6:$Y$10</c:f>
              <c:numCache>
                <c:formatCode>0.00E+00</c:formatCode>
                <c:ptCount val="5"/>
                <c:pt idx="0">
                  <c:v>2.0999999999999999E-8</c:v>
                </c:pt>
                <c:pt idx="1">
                  <c:v>1.1999999999999999E-7</c:v>
                </c:pt>
                <c:pt idx="2">
                  <c:v>2.1E-7</c:v>
                </c:pt>
                <c:pt idx="3">
                  <c:v>2.9999999999999999E-7</c:v>
                </c:pt>
                <c:pt idx="4">
                  <c:v>3.8000000000000001E-7</c:v>
                </c:pt>
              </c:numCache>
            </c:numRef>
          </c:yVal>
          <c:smooth val="1"/>
          <c:extLst>
            <c:ext xmlns:c16="http://schemas.microsoft.com/office/drawing/2014/chart" uri="{C3380CC4-5D6E-409C-BE32-E72D297353CC}">
              <c16:uniqueId val="{00000004-710A-484C-8B69-932CC51B7536}"/>
            </c:ext>
          </c:extLst>
        </c:ser>
        <c:ser>
          <c:idx val="5"/>
          <c:order val="5"/>
          <c:tx>
            <c:strRef>
              <c:f>Sheet3!$AC$5</c:f>
              <c:strCache>
                <c:ptCount val="1"/>
                <c:pt idx="0">
                  <c:v>Brown extract (VD2)</c:v>
                </c:pt>
              </c:strCache>
            </c:strRef>
          </c:tx>
          <c:spPr>
            <a:ln w="19050" cap="rnd">
              <a:solidFill>
                <a:schemeClr val="tx1"/>
              </a:solidFill>
              <a:round/>
            </a:ln>
            <a:effectLst/>
          </c:spPr>
          <c:marker>
            <c:symbol val="circle"/>
            <c:size val="5"/>
            <c:spPr>
              <a:solidFill>
                <a:schemeClr val="accent2">
                  <a:lumMod val="50000"/>
                </a:schemeClr>
              </a:solidFill>
              <a:ln w="9525">
                <a:solidFill>
                  <a:schemeClr val="tx1"/>
                </a:solidFill>
              </a:ln>
              <a:effectLst/>
            </c:spPr>
          </c:marker>
          <c:errBars>
            <c:errDir val="y"/>
            <c:errBarType val="both"/>
            <c:errValType val="cust"/>
            <c:noEndCap val="0"/>
            <c:plus>
              <c:numRef>
                <c:f>Sheet3!$AD$6:$AD$10</c:f>
                <c:numCache>
                  <c:formatCode>General</c:formatCode>
                  <c:ptCount val="5"/>
                  <c:pt idx="0">
                    <c:v>0</c:v>
                  </c:pt>
                  <c:pt idx="1">
                    <c:v>3.8999999999999998E-8</c:v>
                  </c:pt>
                  <c:pt idx="2">
                    <c:v>3.4E-8</c:v>
                  </c:pt>
                  <c:pt idx="3">
                    <c:v>5.2000000000000002E-8</c:v>
                  </c:pt>
                  <c:pt idx="4">
                    <c:v>4.6999999999999997E-8</c:v>
                  </c:pt>
                </c:numCache>
              </c:numRef>
            </c:plus>
            <c:minus>
              <c:numRef>
                <c:f>Sheet3!$AD$6:$AD$10</c:f>
                <c:numCache>
                  <c:formatCode>General</c:formatCode>
                  <c:ptCount val="5"/>
                  <c:pt idx="0">
                    <c:v>0</c:v>
                  </c:pt>
                  <c:pt idx="1">
                    <c:v>3.8999999999999998E-8</c:v>
                  </c:pt>
                  <c:pt idx="2">
                    <c:v>3.4E-8</c:v>
                  </c:pt>
                  <c:pt idx="3">
                    <c:v>5.2000000000000002E-8</c:v>
                  </c:pt>
                  <c:pt idx="4">
                    <c:v>4.6999999999999997E-8</c:v>
                  </c:pt>
                </c:numCache>
              </c:numRef>
            </c:minus>
            <c:spPr>
              <a:noFill/>
              <a:ln w="9525" cap="flat" cmpd="sng" algn="ctr">
                <a:solidFill>
                  <a:schemeClr val="tx1">
                    <a:lumMod val="65000"/>
                    <a:lumOff val="35000"/>
                  </a:schemeClr>
                </a:solidFill>
                <a:round/>
              </a:ln>
              <a:effectLst/>
            </c:spPr>
          </c:errBars>
          <c:xVal>
            <c:numRef>
              <c:f>Sheet3!$R$6:$R$10</c:f>
              <c:numCache>
                <c:formatCode>General</c:formatCode>
                <c:ptCount val="5"/>
                <c:pt idx="0">
                  <c:v>0</c:v>
                </c:pt>
                <c:pt idx="1">
                  <c:v>30</c:v>
                </c:pt>
                <c:pt idx="2">
                  <c:v>60</c:v>
                </c:pt>
                <c:pt idx="3">
                  <c:v>90</c:v>
                </c:pt>
                <c:pt idx="4">
                  <c:v>120</c:v>
                </c:pt>
              </c:numCache>
            </c:numRef>
          </c:xVal>
          <c:yVal>
            <c:numRef>
              <c:f>Sheet3!$AC$6:$AC$10</c:f>
              <c:numCache>
                <c:formatCode>0.00E+00</c:formatCode>
                <c:ptCount val="5"/>
                <c:pt idx="0">
                  <c:v>2.8299999999999999E-8</c:v>
                </c:pt>
                <c:pt idx="1">
                  <c:v>3.2599999999999998E-7</c:v>
                </c:pt>
                <c:pt idx="2">
                  <c:v>3.8299999999999998E-7</c:v>
                </c:pt>
                <c:pt idx="3">
                  <c:v>4.4499999999999997E-7</c:v>
                </c:pt>
                <c:pt idx="4">
                  <c:v>4.4700000000000002E-7</c:v>
                </c:pt>
              </c:numCache>
            </c:numRef>
          </c:yVal>
          <c:smooth val="1"/>
          <c:extLst>
            <c:ext xmlns:c16="http://schemas.microsoft.com/office/drawing/2014/chart" uri="{C3380CC4-5D6E-409C-BE32-E72D297353CC}">
              <c16:uniqueId val="{00000005-710A-484C-8B69-932CC51B7536}"/>
            </c:ext>
          </c:extLst>
        </c:ser>
        <c:dLbls>
          <c:showLegendKey val="0"/>
          <c:showVal val="0"/>
          <c:showCatName val="0"/>
          <c:showSerName val="0"/>
          <c:showPercent val="0"/>
          <c:showBubbleSize val="0"/>
        </c:dLbls>
        <c:axId val="1316758175"/>
        <c:axId val="1316759135"/>
      </c:scatterChart>
      <c:valAx>
        <c:axId val="11294169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b" anchorCtr="1"/>
              <a:lstStyle/>
              <a:p>
                <a:pPr algn="ctr" rtl="0">
                  <a:defRPr lang="de-CH" sz="800" b="0" i="0" u="none" strike="noStrike" kern="1200" baseline="0">
                    <a:solidFill>
                      <a:sysClr val="windowText" lastClr="000000"/>
                    </a:solidFill>
                    <a:latin typeface="Segoe Ul"/>
                    <a:ea typeface="+mn-ea"/>
                    <a:cs typeface="+mn-cs"/>
                  </a:defRPr>
                </a:pPr>
                <a:r>
                  <a:rPr lang="de-CH" sz="800" b="0" i="0" u="none" strike="noStrike" kern="1200" baseline="0">
                    <a:solidFill>
                      <a:sysClr val="windowText" lastClr="000000"/>
                    </a:solidFill>
                    <a:latin typeface="Segoe Ul"/>
                    <a:ea typeface="+mn-ea"/>
                    <a:cs typeface="+mn-cs"/>
                  </a:rPr>
                  <a:t>time (min)</a:t>
                </a:r>
              </a:p>
            </c:rich>
          </c:tx>
          <c:layout>
            <c:manualLayout>
              <c:xMode val="edge"/>
              <c:yMode val="edge"/>
              <c:x val="0.34412422978671348"/>
              <c:y val="0.92032546887443267"/>
            </c:manualLayout>
          </c:layout>
          <c:overlay val="0"/>
          <c:spPr>
            <a:noFill/>
            <a:ln>
              <a:noFill/>
            </a:ln>
            <a:effectLst/>
          </c:spPr>
          <c:txPr>
            <a:bodyPr rot="0" spcFirstLastPara="1" vertOverflow="ellipsis" vert="horz" wrap="square" anchor="b" anchorCtr="1"/>
            <a:lstStyle/>
            <a:p>
              <a:pPr algn="ctr" rtl="0">
                <a:defRPr lang="de-CH" sz="800" b="0" i="0" u="none" strike="noStrike" kern="1200" baseline="0">
                  <a:solidFill>
                    <a:sysClr val="windowText" lastClr="000000"/>
                  </a:solidFill>
                  <a:latin typeface="Segoe Ul"/>
                  <a:ea typeface="+mn-ea"/>
                  <a:cs typeface="+mn-cs"/>
                </a:defRPr>
              </a:pPr>
              <a:endParaRPr lang="de-DE"/>
            </a:p>
          </c:tx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lgn="ctr">
              <a:defRPr lang="en-US" sz="800" b="0" i="0" u="none" strike="noStrike" kern="1200" baseline="0">
                <a:solidFill>
                  <a:sysClr val="windowText" lastClr="000000"/>
                </a:solidFill>
                <a:latin typeface="Segoe Ul"/>
                <a:ea typeface="+mn-ea"/>
                <a:cs typeface="+mn-cs"/>
              </a:defRPr>
            </a:pPr>
            <a:endParaRPr lang="de-DE"/>
          </a:p>
        </c:txPr>
        <c:crossAx val="1129430352"/>
        <c:crosses val="autoZero"/>
        <c:crossBetween val="midCat"/>
        <c:majorUnit val="20"/>
      </c:valAx>
      <c:valAx>
        <c:axId val="1129430352"/>
        <c:scaling>
          <c:orientation val="minMax"/>
          <c:max val="8.0000000000000019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de-CH" sz="800" b="0" i="0" u="none" strike="noStrike" kern="1200" baseline="0">
                    <a:solidFill>
                      <a:sysClr val="windowText" lastClr="000000"/>
                    </a:solidFill>
                    <a:latin typeface="Segoe Ul"/>
                    <a:ea typeface="+mn-ea"/>
                    <a:cs typeface="+mn-cs"/>
                  </a:defRPr>
                </a:pPr>
                <a:r>
                  <a:rPr lang="de-CH" sz="800" b="0" i="0" u="none" strike="noStrike" kern="1200" baseline="0">
                    <a:solidFill>
                      <a:sysClr val="windowText" lastClr="000000"/>
                    </a:solidFill>
                    <a:latin typeface="Segoe Ul"/>
                    <a:ea typeface="+mn-ea"/>
                    <a:cs typeface="+mn-cs"/>
                  </a:rPr>
                  <a:t>Ergosterol (mol/L)</a:t>
                </a:r>
              </a:p>
            </c:rich>
          </c:tx>
          <c:overlay val="0"/>
          <c:spPr>
            <a:noFill/>
            <a:ln>
              <a:noFill/>
            </a:ln>
            <a:effectLst/>
          </c:spPr>
          <c:txPr>
            <a:bodyPr rot="-5400000" spcFirstLastPara="1" vertOverflow="ellipsis" vert="horz" wrap="square" anchor="ctr" anchorCtr="1"/>
            <a:lstStyle/>
            <a:p>
              <a:pPr algn="ctr" rtl="0">
                <a:defRPr lang="de-CH" sz="800" b="0" i="0" u="none" strike="noStrike" kern="1200" baseline="0">
                  <a:solidFill>
                    <a:sysClr val="windowText" lastClr="000000"/>
                  </a:solidFill>
                  <a:latin typeface="Segoe Ul"/>
                  <a:ea typeface="+mn-ea"/>
                  <a:cs typeface="+mn-cs"/>
                </a:defRPr>
              </a:pPr>
              <a:endParaRPr lang="de-DE"/>
            </a:p>
          </c:txPr>
        </c:title>
        <c:numFmt formatCode="0.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Segoe Ul"/>
                <a:ea typeface="+mn-ea"/>
                <a:cs typeface="+mn-cs"/>
              </a:defRPr>
            </a:pPr>
            <a:endParaRPr lang="de-DE"/>
          </a:p>
        </c:txPr>
        <c:crossAx val="1129416912"/>
        <c:crosses val="autoZero"/>
        <c:crossBetween val="midCat"/>
      </c:valAx>
      <c:valAx>
        <c:axId val="1316759135"/>
        <c:scaling>
          <c:orientation val="minMax"/>
          <c:max val="1.1000000000000005E-6"/>
          <c:min val="1.0000000000000005E-8"/>
        </c:scaling>
        <c:delete val="0"/>
        <c:axPos val="r"/>
        <c:title>
          <c:tx>
            <c:rich>
              <a:bodyPr rot="-5400000" spcFirstLastPara="1" vertOverflow="ellipsis" vert="horz" wrap="square" anchor="ctr" anchorCtr="1"/>
              <a:lstStyle/>
              <a:p>
                <a:pPr algn="ctr" rtl="0">
                  <a:defRPr lang="de-CH" sz="900" b="0" i="0" u="none" strike="noStrike" kern="1200" baseline="0">
                    <a:solidFill>
                      <a:sysClr val="windowText" lastClr="000000"/>
                    </a:solidFill>
                    <a:latin typeface="Segoe Ul"/>
                    <a:ea typeface="+mn-ea"/>
                    <a:cs typeface="+mn-cs"/>
                  </a:defRPr>
                </a:pPr>
                <a:r>
                  <a:rPr lang="de-CH" sz="900" b="0" i="0" u="none" strike="noStrike" kern="1200" baseline="0">
                    <a:solidFill>
                      <a:sysClr val="windowText" lastClr="000000"/>
                    </a:solidFill>
                    <a:latin typeface="Segoe Ul"/>
                    <a:ea typeface="+mn-ea"/>
                    <a:cs typeface="+mn-cs"/>
                  </a:rPr>
                  <a:t>Vitamin D</a:t>
                </a:r>
                <a:r>
                  <a:rPr lang="de-CH" sz="900" b="0" i="0" u="none" strike="noStrike" kern="1200" baseline="-25000">
                    <a:solidFill>
                      <a:sysClr val="windowText" lastClr="000000"/>
                    </a:solidFill>
                    <a:latin typeface="Segoe Ul"/>
                    <a:ea typeface="+mn-ea"/>
                    <a:cs typeface="+mn-cs"/>
                  </a:rPr>
                  <a:t>2</a:t>
                </a:r>
                <a:r>
                  <a:rPr lang="de-CH" sz="900" b="0" i="0" u="none" strike="noStrike" kern="1200" baseline="0">
                    <a:solidFill>
                      <a:sysClr val="windowText" lastClr="000000"/>
                    </a:solidFill>
                    <a:latin typeface="Segoe Ul"/>
                    <a:ea typeface="+mn-ea"/>
                    <a:cs typeface="+mn-cs"/>
                  </a:rPr>
                  <a:t> (mol/L)</a:t>
                </a:r>
              </a:p>
            </c:rich>
          </c:tx>
          <c:layout>
            <c:manualLayout>
              <c:xMode val="edge"/>
              <c:yMode val="edge"/>
              <c:x val="0.66414403863132665"/>
              <c:y val="0.11419433983795504"/>
            </c:manualLayout>
          </c:layout>
          <c:overlay val="0"/>
          <c:spPr>
            <a:noFill/>
            <a:ln>
              <a:noFill/>
            </a:ln>
            <a:effectLst/>
          </c:spPr>
          <c:txPr>
            <a:bodyPr rot="-5400000" spcFirstLastPara="1" vertOverflow="ellipsis" vert="horz" wrap="square" anchor="ctr" anchorCtr="1"/>
            <a:lstStyle/>
            <a:p>
              <a:pPr algn="ctr" rtl="0">
                <a:defRPr lang="de-CH" sz="900" b="0" i="0" u="none" strike="noStrike" kern="1200" baseline="0">
                  <a:solidFill>
                    <a:sysClr val="windowText" lastClr="000000"/>
                  </a:solidFill>
                  <a:latin typeface="Segoe Ul"/>
                  <a:ea typeface="+mn-ea"/>
                  <a:cs typeface="+mn-cs"/>
                </a:defRPr>
              </a:pPr>
              <a:endParaRPr lang="de-DE"/>
            </a:p>
          </c:txPr>
        </c:title>
        <c:numFmt formatCode="0.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ctr">
              <a:defRPr lang="en-US" sz="800" b="0" i="0" u="none" strike="noStrike" kern="1200" baseline="0">
                <a:solidFill>
                  <a:sysClr val="windowText" lastClr="000000"/>
                </a:solidFill>
                <a:latin typeface="Segoe Ul"/>
                <a:ea typeface="+mn-ea"/>
                <a:cs typeface="+mn-cs"/>
              </a:defRPr>
            </a:pPr>
            <a:endParaRPr lang="de-DE"/>
          </a:p>
        </c:txPr>
        <c:crossAx val="1316758175"/>
        <c:crosses val="max"/>
        <c:crossBetween val="midCat"/>
        <c:majorUnit val="2.000000000000001E-7"/>
      </c:valAx>
      <c:valAx>
        <c:axId val="1316758175"/>
        <c:scaling>
          <c:orientation val="minMax"/>
        </c:scaling>
        <c:delete val="1"/>
        <c:axPos val="b"/>
        <c:numFmt formatCode="General" sourceLinked="1"/>
        <c:majorTickMark val="out"/>
        <c:minorTickMark val="none"/>
        <c:tickLblPos val="nextTo"/>
        <c:crossAx val="1316759135"/>
        <c:crosses val="autoZero"/>
        <c:crossBetween val="midCat"/>
      </c:valAx>
      <c:spPr>
        <a:noFill/>
        <a:ln>
          <a:solidFill>
            <a:schemeClr val="tx1"/>
          </a:solidFill>
        </a:ln>
        <a:effectLst/>
      </c:spPr>
    </c:plotArea>
    <c:legend>
      <c:legendPos val="r"/>
      <c:layout>
        <c:manualLayout>
          <c:xMode val="edge"/>
          <c:yMode val="edge"/>
          <c:x val="0.68610353339699826"/>
          <c:y val="3.326543421202785E-2"/>
          <c:w val="0.31160813708355112"/>
          <c:h val="0.93399262155167684"/>
        </c:manualLayout>
      </c:layout>
      <c:overlay val="0"/>
      <c:spPr>
        <a:noFill/>
        <a:ln>
          <a:noFill/>
        </a:ln>
        <a:effectLst/>
      </c:spPr>
      <c:txPr>
        <a:bodyPr rot="0" spcFirstLastPara="1" vertOverflow="ellipsis" vert="horz" wrap="square" anchor="ctr" anchorCtr="1"/>
        <a:lstStyle/>
        <a:p>
          <a:pPr algn="ctr" rtl="0">
            <a:defRPr lang="en-US" sz="800" b="0" i="0" u="none" strike="noStrike" kern="1200" baseline="0">
              <a:solidFill>
                <a:sysClr val="windowText" lastClr="000000"/>
              </a:solidFill>
              <a:latin typeface="Segoe Ul"/>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22a0650-0933-4c62-8826-0156a0c2c70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EE178BD8896748B0E2B15BBAF1CCED" ma:contentTypeVersion="11" ma:contentTypeDescription="Ein neues Dokument erstellen." ma:contentTypeScope="" ma:versionID="95fa0fe3249628e948f87c4c1067835c">
  <xsd:schema xmlns:xsd="http://www.w3.org/2001/XMLSchema" xmlns:xs="http://www.w3.org/2001/XMLSchema" xmlns:p="http://schemas.microsoft.com/office/2006/metadata/properties" xmlns:ns3="522a0650-0933-4c62-8826-0156a0c2c70e" targetNamespace="http://schemas.microsoft.com/office/2006/metadata/properties" ma:root="true" ma:fieldsID="a274189dd8e8543cfb19dd68e3fb19ad" ns3:_="">
    <xsd:import namespace="522a0650-0933-4c62-8826-0156a0c2c70e"/>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a0650-0933-4c62-8826-0156a0c2c70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CCC1B-C899-49B9-A69D-B8F506F7C349}">
  <ds:schemaRef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http://schemas.microsoft.com/office/2006/metadata/properties"/>
    <ds:schemaRef ds:uri="522a0650-0933-4c62-8826-0156a0c2c70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417BA66-E581-437F-904E-D50F88A69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a0650-0933-4c62-8826-0156a0c2c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0C868DFD-69BB-4AF1-8C9D-96EE6DC2FA38}">
  <ds:schemaRefs>
    <ds:schemaRef ds:uri="http://schemas.microsoft.com/sharepoint/v3/contenttype/forms"/>
  </ds:schemaRefs>
</ds:datastoreItem>
</file>

<file path=docMetadata/LabelInfo.xml><?xml version="1.0" encoding="utf-8"?>
<clbl:labelList xmlns:clbl="http://schemas.microsoft.com/office/2020/mipLabelMetadata">
  <clbl:label id="{57d89df2-dd68-41c1-9b64-81f74f077112}" enabled="0" method="" siteId="{57d89df2-dd68-41c1-9b64-81f74f07711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3651</Words>
  <Characters>23007</Characters>
  <Application>Microsoft Office Word</Application>
  <DocSecurity>0</DocSecurity>
  <Lines>191</Lines>
  <Paragraphs>53</Paragraphs>
  <ScaleCrop>false</ScaleCrop>
  <Company>Dipartimento CMIC - Politecnico di Milano</Company>
  <LinksUpToDate>false</LinksUpToDate>
  <CharactersWithSpaces>26605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Gomez, Carlos</cp:lastModifiedBy>
  <cp:revision>5</cp:revision>
  <cp:lastPrinted>2015-05-12T18:31:00Z</cp:lastPrinted>
  <dcterms:created xsi:type="dcterms:W3CDTF">2026-02-20T13:12:00Z</dcterms:created>
  <dcterms:modified xsi:type="dcterms:W3CDTF">2026-02-27T09:40:00Z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id="TlME1k4V"/&gt;&lt;style id="http://www.zotero.org/styles/harvard-cite-them-right" locale="en-US" hasBibliography="1" bibliographyStyleHasBeenSet="1"/&gt;&lt;prefs&gt;&lt;pref name="fieldType" value="Field"/&gt;&lt;pref </vt:lpwstr>
  </property>
  <property fmtid="{D5CDD505-2E9C-101B-9397-08002B2CF9AE}" pid="3" name="ZOTERO_PREF_2">
    <vt:lpwstr>name="storeReferences" value="true"/&gt;&lt;/prefs&gt;&lt;/data&gt;</vt:lpwstr>
  </property>
  <property fmtid="{D5CDD505-2E9C-101B-9397-08002B2CF9AE}" pid="4" name="ContentTypeId">
    <vt:lpwstr>0x010100A9EE178BD8896748B0E2B15BBAF1CCED</vt:lpwstr>
  </property>
</Properties>
</file>