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2B2141">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2B2141">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2B2141">
        <w:trPr>
          <w:trHeight w:val="68"/>
          <w:jc w:val="center"/>
        </w:trPr>
        <w:tc>
          <w:tcPr>
            <w:tcW w:w="8782"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bookmarkEnd w:id="0"/>
    </w:tbl>
    <w:p w14:paraId="1FD7DAE9" w14:textId="77777777" w:rsidR="00924465" w:rsidRDefault="00924465" w:rsidP="00924465">
      <w:pPr>
        <w:pStyle w:val="CETAuthors"/>
        <w:jc w:val="left"/>
      </w:pPr>
    </w:p>
    <w:p w14:paraId="7F57D696" w14:textId="4047DC36" w:rsidR="00924465" w:rsidRPr="00B4488C" w:rsidRDefault="00924465" w:rsidP="00924465">
      <w:pPr>
        <w:pStyle w:val="CETAuthors"/>
        <w:jc w:val="left"/>
        <w:rPr>
          <w:sz w:val="32"/>
          <w:szCs w:val="32"/>
          <w:highlight w:val="cyan"/>
        </w:rPr>
      </w:pPr>
      <w:r w:rsidRPr="00B4488C">
        <w:rPr>
          <w:sz w:val="32"/>
          <w:szCs w:val="32"/>
        </w:rPr>
        <w:t xml:space="preserve">Quantification of Mercury in Freshwater Sediments from an Agricultural Region in Northern Colombia Using </w:t>
      </w:r>
      <w:r w:rsidRPr="00B4488C">
        <w:rPr>
          <w:rStyle w:val="nfasis"/>
          <w:sz w:val="32"/>
          <w:szCs w:val="32"/>
        </w:rPr>
        <w:t>Caenorhabditis elegans</w:t>
      </w:r>
      <w:r w:rsidRPr="00B4488C">
        <w:rPr>
          <w:sz w:val="32"/>
          <w:szCs w:val="32"/>
        </w:rPr>
        <w:t xml:space="preserve"> as a Toxicological Model</w:t>
      </w:r>
    </w:p>
    <w:p w14:paraId="17874334" w14:textId="0E1C20D5" w:rsidR="00BD6256" w:rsidRPr="00EC4407" w:rsidRDefault="00EB2642" w:rsidP="00117AB2">
      <w:pPr>
        <w:pStyle w:val="CETAuthors"/>
        <w:rPr>
          <w:sz w:val="18"/>
          <w:szCs w:val="18"/>
          <w:lang w:val="es-CO"/>
        </w:rPr>
      </w:pPr>
      <w:r w:rsidRPr="00EC4407">
        <w:rPr>
          <w:sz w:val="18"/>
          <w:szCs w:val="18"/>
          <w:lang w:val="es-CO"/>
        </w:rPr>
        <w:t>Belkis Palacio Villalba</w:t>
      </w:r>
      <w:r w:rsidR="006F7C2D" w:rsidRPr="00EC4407">
        <w:rPr>
          <w:noProof w:val="0"/>
          <w:sz w:val="18"/>
          <w:szCs w:val="18"/>
          <w:vertAlign w:val="superscript"/>
          <w:lang w:val="es-CO"/>
        </w:rPr>
        <w:t xml:space="preserve"> </w:t>
      </w:r>
      <w:r w:rsidR="006F7C2D" w:rsidRPr="00EC4407">
        <w:rPr>
          <w:sz w:val="18"/>
          <w:szCs w:val="18"/>
          <w:lang w:val="es-CO"/>
        </w:rPr>
        <w:t xml:space="preserve">*, </w:t>
      </w:r>
      <w:r w:rsidRPr="00EC4407">
        <w:rPr>
          <w:sz w:val="18"/>
          <w:szCs w:val="18"/>
          <w:lang w:val="es-CO"/>
        </w:rPr>
        <w:t xml:space="preserve">Leonor Cervantes </w:t>
      </w:r>
      <w:r w:rsidR="00924465" w:rsidRPr="00EC4407">
        <w:rPr>
          <w:sz w:val="18"/>
          <w:szCs w:val="18"/>
          <w:lang w:val="es-CO"/>
        </w:rPr>
        <w:t>Ceballo</w:t>
      </w:r>
      <w:r w:rsidR="009F40DE" w:rsidRPr="00EC4407">
        <w:rPr>
          <w:sz w:val="18"/>
          <w:szCs w:val="18"/>
          <w:lang w:val="es-CO"/>
        </w:rPr>
        <w:t>s,</w:t>
      </w:r>
      <w:r w:rsidR="003C60CD" w:rsidRPr="00EC4407">
        <w:rPr>
          <w:sz w:val="18"/>
          <w:szCs w:val="18"/>
          <w:lang w:val="es-CO"/>
        </w:rPr>
        <w:t xml:space="preserve"> </w:t>
      </w:r>
      <w:r w:rsidRPr="00EC4407">
        <w:rPr>
          <w:sz w:val="18"/>
          <w:szCs w:val="18"/>
          <w:lang w:val="es-CO"/>
        </w:rPr>
        <w:t xml:space="preserve"> Daniela Alcala </w:t>
      </w:r>
      <w:r w:rsidR="009F40DE" w:rsidRPr="00EC4407">
        <w:rPr>
          <w:sz w:val="18"/>
          <w:szCs w:val="18"/>
          <w:lang w:val="es-CO"/>
        </w:rPr>
        <w:t>Montoya,</w:t>
      </w:r>
    </w:p>
    <w:p w14:paraId="1986199C" w14:textId="796D93AB" w:rsidR="00117AB2" w:rsidRPr="00EC4407" w:rsidRDefault="00507450" w:rsidP="00117AB2">
      <w:pPr>
        <w:pStyle w:val="CETAuthors"/>
        <w:rPr>
          <w:lang w:val="es-CO"/>
        </w:rPr>
      </w:pPr>
      <w:r w:rsidRPr="00EC4407">
        <w:rPr>
          <w:sz w:val="18"/>
          <w:szCs w:val="18"/>
          <w:lang w:val="es-CO"/>
        </w:rPr>
        <w:t>Maria Cecilia Garcia Espiñeira</w:t>
      </w:r>
    </w:p>
    <w:p w14:paraId="68FB8A00" w14:textId="6F07F4DE" w:rsidR="00771625" w:rsidRPr="00EC4407" w:rsidRDefault="00074C4D" w:rsidP="00771625">
      <w:pPr>
        <w:pStyle w:val="CETAddress"/>
        <w:rPr>
          <w:lang w:val="es-CO"/>
        </w:rPr>
      </w:pPr>
      <w:r w:rsidRPr="00EC4407">
        <w:rPr>
          <w:lang w:val="es-CO"/>
        </w:rPr>
        <w:t>Faculty of Medicine; Biomedical, Toxicological and Environmental Sciences Research Group (BIOTOXAM), University of Cartagena, Campus de Zaragocilla, Calle 29 # 50-50, Cartagena de Indias, 130014, Colombia</w:t>
      </w:r>
    </w:p>
    <w:p w14:paraId="0A631CC0" w14:textId="77777777" w:rsidR="00074C4D" w:rsidRPr="00EC4407" w:rsidRDefault="00074C4D" w:rsidP="00771625">
      <w:pPr>
        <w:pStyle w:val="CETAddress"/>
        <w:rPr>
          <w:lang w:val="es-CO"/>
        </w:rPr>
      </w:pPr>
    </w:p>
    <w:p w14:paraId="73F1267A" w14:textId="2D67E898" w:rsidR="00B57E6F" w:rsidRPr="00EC4407" w:rsidRDefault="00A70EA8" w:rsidP="00B57E6F">
      <w:pPr>
        <w:pStyle w:val="CETemail"/>
      </w:pPr>
      <w:r w:rsidRPr="00EC4407">
        <w:t>belkis.palacio@unicartagena.edu.co</w:t>
      </w:r>
    </w:p>
    <w:p w14:paraId="2E0E2D6B" w14:textId="5ED277C4" w:rsidR="000B2AD9" w:rsidRPr="000B2AD9" w:rsidRDefault="00301A0D" w:rsidP="000B2AD9">
      <w:pPr>
        <w:pStyle w:val="CETBodytext"/>
        <w:rPr>
          <w:rFonts w:cs="Arial"/>
          <w:szCs w:val="18"/>
        </w:rPr>
      </w:pPr>
      <w:r w:rsidRPr="00306990">
        <w:rPr>
          <w:rFonts w:cs="Arial"/>
          <w:szCs w:val="18"/>
          <w:lang w:val="en-GB"/>
        </w:rPr>
        <w:t xml:space="preserve">Mercury (Hg) contamination in freshwater sediments represents a major environmental concern due to its persistence, bioaccumulation potential, and high toxicity. In agricultural regions, intensive land use and hydrological modifications may enhance mercury mobilization and accumulation in aquatic systems. This study quantified total mercury concentrations in surface sediments from the Marialabaja swamp, an agriculturally impacted freshwater ecosystem in northern Colombia, and evaluated their toxicological effects using </w:t>
      </w:r>
      <w:r w:rsidRPr="00306990">
        <w:rPr>
          <w:rFonts w:cs="Arial"/>
          <w:i/>
          <w:iCs/>
          <w:szCs w:val="18"/>
          <w:lang w:val="en-GB"/>
        </w:rPr>
        <w:t>Caenorhabditis elegans</w:t>
      </w:r>
      <w:r w:rsidRPr="00306990">
        <w:rPr>
          <w:rFonts w:cs="Arial"/>
          <w:szCs w:val="18"/>
          <w:lang w:val="en-GB"/>
        </w:rPr>
        <w:t xml:space="preserve"> as an in vivo model. Total mercury was detected in all sediment samples, with concentrations ranging from 0.116 to 0.174 mg/kg</w:t>
      </w:r>
      <w:r w:rsidR="00405813">
        <w:rPr>
          <w:rFonts w:cs="Arial"/>
          <w:szCs w:val="18"/>
          <w:lang w:val="en-GB"/>
        </w:rPr>
        <w:t xml:space="preserve">. </w:t>
      </w:r>
      <w:r w:rsidR="00BF2B2E" w:rsidRPr="00BF2B2E">
        <w:rPr>
          <w:rFonts w:cs="Arial"/>
          <w:szCs w:val="18"/>
          <w:lang w:val="en-GB"/>
        </w:rPr>
        <w:t>Measured values were compared with internationally recognized sediment quality guidelines, including the Threshold Effect Level (TEL = 0.13 mg/kg) and Probable Effect Level (PEL = 0.70 mg/kg) from CCME, as well as the Effects Range Low (ERL = 0.15 mg/kg) and Effects Range Median (ERM = 0.71 mg/kg) from NOAA</w:t>
      </w:r>
      <w:r w:rsidR="00B316CE">
        <w:rPr>
          <w:rFonts w:cs="Arial"/>
          <w:szCs w:val="18"/>
          <w:lang w:val="en-GB"/>
        </w:rPr>
        <w:t xml:space="preserve">. </w:t>
      </w:r>
      <w:r w:rsidR="00BF2B2E" w:rsidRPr="00BF2B2E">
        <w:rPr>
          <w:rFonts w:cs="Arial"/>
          <w:szCs w:val="18"/>
          <w:lang w:val="en-GB"/>
        </w:rPr>
        <w:t xml:space="preserve">Sediment mercury concentrations at several sites exceeded TEL/ERL thresholds, indicating potential ecological risk. </w:t>
      </w:r>
      <w:r w:rsidR="00760B9D" w:rsidRPr="00760B9D">
        <w:rPr>
          <w:rFonts w:cs="Arial"/>
          <w:szCs w:val="18"/>
          <w:lang w:val="en-GB"/>
        </w:rPr>
        <w:t xml:space="preserve">Exposure to aqueous sediment extracts induced concentration-dependent lethality and locomotor impairment in </w:t>
      </w:r>
      <w:r w:rsidR="00760B9D" w:rsidRPr="009D6513">
        <w:rPr>
          <w:rFonts w:cs="Arial"/>
          <w:i/>
          <w:iCs/>
          <w:szCs w:val="18"/>
          <w:lang w:val="en-GB"/>
        </w:rPr>
        <w:t>C. elegans</w:t>
      </w:r>
      <w:r w:rsidR="00760B9D" w:rsidRPr="00760B9D">
        <w:rPr>
          <w:rFonts w:cs="Arial"/>
          <w:szCs w:val="18"/>
          <w:lang w:val="en-GB"/>
        </w:rPr>
        <w:t xml:space="preserve">. Transgenic reporter assays revealed activation of oxidative stress (sod-1, sod-3) and neurobehavioral pathways (nlg-1). </w:t>
      </w:r>
      <w:r w:rsidR="000B2AD9" w:rsidRPr="000B2AD9">
        <w:rPr>
          <w:rFonts w:cs="Arial"/>
          <w:szCs w:val="18"/>
        </w:rPr>
        <w:t xml:space="preserve">These findings demonstrate that sediment-associated mercury poses ecotoxicological risk and confirm the value of </w:t>
      </w:r>
      <w:r w:rsidR="000B2AD9" w:rsidRPr="004E20B6">
        <w:rPr>
          <w:rFonts w:cs="Arial"/>
          <w:i/>
          <w:iCs/>
          <w:szCs w:val="18"/>
        </w:rPr>
        <w:t>C. elegans</w:t>
      </w:r>
      <w:r w:rsidR="000B2AD9" w:rsidRPr="000B2AD9">
        <w:rPr>
          <w:rFonts w:cs="Arial"/>
          <w:szCs w:val="18"/>
        </w:rPr>
        <w:t xml:space="preserve"> as a sensitive and integrative model for environmental monitoring, highlighting the importance of combining chemical and biological tools for environmental risk assessment in agricultural freshwater systems.</w:t>
      </w:r>
    </w:p>
    <w:p w14:paraId="011FA907" w14:textId="77777777" w:rsidR="00E17C39" w:rsidRDefault="00E17C39" w:rsidP="00327FF0">
      <w:pPr>
        <w:pStyle w:val="CETBodytext"/>
        <w:rPr>
          <w:rFonts w:cs="Arial"/>
          <w:b/>
          <w:bCs/>
          <w:szCs w:val="18"/>
        </w:rPr>
      </w:pPr>
    </w:p>
    <w:p w14:paraId="10F34CDB" w14:textId="0E7A2161" w:rsidR="00327FF0" w:rsidRPr="00327FF0" w:rsidRDefault="00327FF0" w:rsidP="00327FF0">
      <w:pPr>
        <w:pStyle w:val="CETBodytext"/>
        <w:rPr>
          <w:rFonts w:cs="Arial"/>
          <w:b/>
          <w:bCs/>
          <w:szCs w:val="18"/>
        </w:rPr>
      </w:pPr>
      <w:r w:rsidRPr="00327FF0">
        <w:rPr>
          <w:rFonts w:cs="Arial"/>
          <w:b/>
          <w:bCs/>
          <w:szCs w:val="18"/>
        </w:rPr>
        <w:t>Keywords</w:t>
      </w:r>
    </w:p>
    <w:p w14:paraId="60D81FAF" w14:textId="77777777" w:rsidR="00327FF0" w:rsidRPr="00327FF0" w:rsidRDefault="00327FF0" w:rsidP="00327FF0">
      <w:pPr>
        <w:pStyle w:val="CETBodytext"/>
        <w:rPr>
          <w:rFonts w:cs="Arial"/>
          <w:szCs w:val="18"/>
        </w:rPr>
      </w:pPr>
      <w:r w:rsidRPr="00327FF0">
        <w:rPr>
          <w:rFonts w:cs="Arial"/>
          <w:szCs w:val="18"/>
        </w:rPr>
        <w:t xml:space="preserve">Mercury; freshwater sediments; </w:t>
      </w:r>
      <w:r w:rsidRPr="00327FF0">
        <w:rPr>
          <w:rFonts w:cs="Arial"/>
          <w:i/>
          <w:iCs/>
          <w:szCs w:val="18"/>
        </w:rPr>
        <w:t>Caenorhabditis elegans</w:t>
      </w:r>
      <w:r w:rsidRPr="00327FF0">
        <w:rPr>
          <w:rFonts w:cs="Arial"/>
          <w:szCs w:val="18"/>
        </w:rPr>
        <w:t>; oxidative stress; neurotoxicity</w:t>
      </w:r>
    </w:p>
    <w:p w14:paraId="4C24E616" w14:textId="77777777" w:rsidR="00B4488C" w:rsidRPr="00327FF0" w:rsidRDefault="00B4488C" w:rsidP="0037176F">
      <w:pPr>
        <w:pStyle w:val="CETBodytext"/>
        <w:rPr>
          <w:rFonts w:cs="Arial"/>
          <w:szCs w:val="18"/>
        </w:rPr>
      </w:pPr>
    </w:p>
    <w:p w14:paraId="1062F0EA" w14:textId="2D046D1A" w:rsidR="0059163A" w:rsidRPr="0059163A" w:rsidRDefault="00B4488C" w:rsidP="00B4488C">
      <w:pPr>
        <w:pStyle w:val="CETBodytext"/>
        <w:rPr>
          <w:rFonts w:cs="Arial"/>
          <w:b/>
          <w:bCs/>
          <w:szCs w:val="18"/>
          <w:lang w:val="en-GB"/>
        </w:rPr>
      </w:pPr>
      <w:r>
        <w:rPr>
          <w:rFonts w:cs="Arial"/>
          <w:b/>
          <w:bCs/>
          <w:szCs w:val="18"/>
          <w:lang w:val="en-GB"/>
        </w:rPr>
        <w:t xml:space="preserve">1. </w:t>
      </w:r>
      <w:r w:rsidR="0059163A" w:rsidRPr="0059163A">
        <w:rPr>
          <w:rFonts w:cs="Arial"/>
          <w:b/>
          <w:bCs/>
          <w:szCs w:val="18"/>
          <w:lang w:val="en-GB"/>
        </w:rPr>
        <w:t>Introduction</w:t>
      </w:r>
    </w:p>
    <w:p w14:paraId="4FFF340D" w14:textId="77777777" w:rsidR="00913210" w:rsidRDefault="00913210" w:rsidP="00CF72CA">
      <w:pPr>
        <w:pStyle w:val="CETBodytext"/>
        <w:rPr>
          <w:rFonts w:cs="Arial"/>
          <w:szCs w:val="18"/>
        </w:rPr>
      </w:pPr>
    </w:p>
    <w:p w14:paraId="2F5A4192" w14:textId="77777777" w:rsidR="0053084D" w:rsidRPr="0053084D" w:rsidRDefault="0053084D" w:rsidP="0053084D">
      <w:pPr>
        <w:rPr>
          <w:rFonts w:cs="Arial"/>
          <w:szCs w:val="18"/>
          <w:lang w:val="en-US"/>
        </w:rPr>
      </w:pPr>
      <w:r w:rsidRPr="0053084D">
        <w:rPr>
          <w:rFonts w:cs="Arial"/>
          <w:szCs w:val="18"/>
          <w:lang w:val="en-US"/>
        </w:rPr>
        <w:t xml:space="preserve">Mercury (Hg) is a global environmental contaminant characterized by high persistence, bioaccumulation potential, and severe toxicity to living organisms. In aquatic ecosystems, mercury occurs in both inorganic and organic forms, with methylmercury being the most toxic species due to its high bioavailability and capacity to biomagnify along food webs, ultimately affecting human populations (Clarkson, 1997; Clarkson et al., 2003). Freshwater sediments play a central role in the environmental cycling of mercury, acting as sinks and potential secondary sources through remobilization and microbial methylation processes (Fujimura and Usuki, 2022). In agricultural regions, irrigation systems, land-use changes, and hydrological connectivity may intensify mercury transport and accumulation in wetlands and floodplain environments (Harada, 1995; Bjørklund et al., 2017). </w:t>
      </w:r>
    </w:p>
    <w:p w14:paraId="0027497B" w14:textId="77777777" w:rsidR="002C4109" w:rsidRDefault="002C4109" w:rsidP="00913210">
      <w:pPr>
        <w:pStyle w:val="CETBodytext"/>
        <w:rPr>
          <w:rFonts w:cs="Arial"/>
          <w:szCs w:val="18"/>
        </w:rPr>
      </w:pPr>
    </w:p>
    <w:p w14:paraId="160635B4" w14:textId="27C65E95" w:rsidR="00913210" w:rsidRPr="00913210" w:rsidRDefault="00913210" w:rsidP="00913210">
      <w:pPr>
        <w:pStyle w:val="CETBodytext"/>
        <w:rPr>
          <w:rFonts w:cs="Arial"/>
          <w:szCs w:val="18"/>
        </w:rPr>
      </w:pPr>
      <w:r w:rsidRPr="00913210">
        <w:rPr>
          <w:rFonts w:cs="Arial"/>
          <w:szCs w:val="18"/>
        </w:rPr>
        <w:t xml:space="preserve">Mercury-induced toxicity has been consistently associated with oxidative stress, disruption of antioxidant defense systems, and neurotoxicity, particularly affecting the central nervous system. Methylmercury exhibits a strong affinity for thiol and selenol groups, leading to enzyme inhibition, redox imbalance, and neuronal </w:t>
      </w:r>
      <w:r w:rsidRPr="00913210">
        <w:rPr>
          <w:rFonts w:cs="Arial"/>
          <w:szCs w:val="18"/>
        </w:rPr>
        <w:lastRenderedPageBreak/>
        <w:t>dysfunction (Kaur et al., 2006; Franco et al., 2009). Experimental and epidemiological studies have linked mercury exposure to neurodevelopmental impairment and neurodegenerative processes (Grandjean et al., 1997).</w:t>
      </w:r>
    </w:p>
    <w:p w14:paraId="79781247" w14:textId="77777777" w:rsidR="000726CC" w:rsidRDefault="000726CC" w:rsidP="00913210">
      <w:pPr>
        <w:pStyle w:val="CETBodytext"/>
        <w:rPr>
          <w:rFonts w:cs="Arial"/>
          <w:i/>
          <w:iCs/>
          <w:szCs w:val="18"/>
        </w:rPr>
      </w:pPr>
    </w:p>
    <w:p w14:paraId="693ED562" w14:textId="6A947EA2" w:rsidR="004A4893" w:rsidRPr="00306990" w:rsidRDefault="00913210" w:rsidP="0037176F">
      <w:pPr>
        <w:pStyle w:val="CETBodytext"/>
        <w:rPr>
          <w:rFonts w:cs="Arial"/>
          <w:szCs w:val="18"/>
        </w:rPr>
      </w:pPr>
      <w:r w:rsidRPr="00913210">
        <w:rPr>
          <w:rFonts w:cs="Arial"/>
          <w:i/>
          <w:iCs/>
          <w:szCs w:val="18"/>
        </w:rPr>
        <w:t>Caenorhabditis elegans</w:t>
      </w:r>
      <w:r w:rsidRPr="00913210">
        <w:rPr>
          <w:rFonts w:cs="Arial"/>
          <w:szCs w:val="18"/>
        </w:rPr>
        <w:t xml:space="preserve"> has emerged as a robust model organism in environmental toxicology due to its short life cycle, genetic tractability, transparency, and conservation of molecular pathways involved in oxidative stress and neuronal signaling (Leung et al., 2008; Kaletta and Hengartner, 2006). The availability of transgenic reporter strains enables the evaluation of organism-level and molecular endpoints, providing mechanistic insight into contaminant-induced toxicity (Benítez and Olívero-Verbel, 2016). The objective of this study was to quantify total mercury concentrations in surface sediments from the Marialabaja swamp and to assess their toxicological effects using lethality, locomotion, oxidative stress, and neurobehavioral endpoints in </w:t>
      </w:r>
      <w:r w:rsidRPr="00913210">
        <w:rPr>
          <w:rFonts w:cs="Arial"/>
          <w:i/>
          <w:iCs/>
          <w:szCs w:val="18"/>
        </w:rPr>
        <w:t>C.</w:t>
      </w:r>
      <w:r w:rsidR="001E4186">
        <w:rPr>
          <w:rFonts w:cs="Arial"/>
          <w:i/>
          <w:iCs/>
          <w:szCs w:val="18"/>
        </w:rPr>
        <w:t xml:space="preserve"> </w:t>
      </w:r>
      <w:r w:rsidRPr="00913210">
        <w:rPr>
          <w:rFonts w:cs="Arial"/>
          <w:i/>
          <w:iCs/>
          <w:szCs w:val="18"/>
        </w:rPr>
        <w:t>elegans</w:t>
      </w:r>
      <w:r w:rsidRPr="00913210">
        <w:rPr>
          <w:rFonts w:cs="Arial"/>
          <w:szCs w:val="18"/>
        </w:rPr>
        <w:t>.</w:t>
      </w:r>
      <w:r w:rsidR="001E4186">
        <w:rPr>
          <w:rFonts w:cs="Arial"/>
          <w:szCs w:val="18"/>
        </w:rPr>
        <w:t xml:space="preserve"> </w:t>
      </w:r>
      <w:r w:rsidR="00567151" w:rsidRPr="00567151">
        <w:rPr>
          <w:rFonts w:cs="Arial"/>
          <w:szCs w:val="18"/>
          <w:lang w:val="en-GB"/>
        </w:rPr>
        <w:t>However, limited information is available on the biological effects of sediment-associated mercury in tropical agricultural freshwater ecosystems.</w:t>
      </w:r>
    </w:p>
    <w:p w14:paraId="6C47871A" w14:textId="77777777" w:rsidR="00C952CE" w:rsidRPr="00C952CE" w:rsidRDefault="00C952CE" w:rsidP="00C952CE">
      <w:pPr>
        <w:tabs>
          <w:tab w:val="clear" w:pos="7100"/>
        </w:tabs>
        <w:spacing w:before="100" w:beforeAutospacing="1" w:after="100" w:afterAutospacing="1" w:line="240" w:lineRule="auto"/>
        <w:jc w:val="left"/>
        <w:rPr>
          <w:rFonts w:cs="Arial"/>
          <w:b/>
          <w:bCs/>
          <w:szCs w:val="18"/>
          <w:lang w:val="en-US" w:eastAsia="es-CO"/>
        </w:rPr>
      </w:pPr>
      <w:r w:rsidRPr="00C952CE">
        <w:rPr>
          <w:rFonts w:cs="Arial"/>
          <w:b/>
          <w:bCs/>
          <w:szCs w:val="18"/>
          <w:lang w:val="en-US" w:eastAsia="es-CO"/>
        </w:rPr>
        <w:t>2. Materials and Methods</w:t>
      </w:r>
    </w:p>
    <w:p w14:paraId="0585CDA3" w14:textId="77777777" w:rsidR="00487B20" w:rsidRDefault="00C952CE" w:rsidP="00C952CE">
      <w:pPr>
        <w:tabs>
          <w:tab w:val="clear" w:pos="7100"/>
        </w:tabs>
        <w:spacing w:before="100" w:beforeAutospacing="1" w:after="100" w:afterAutospacing="1" w:line="240" w:lineRule="auto"/>
        <w:jc w:val="left"/>
        <w:rPr>
          <w:rFonts w:cs="Arial"/>
          <w:b/>
          <w:bCs/>
          <w:szCs w:val="18"/>
          <w:lang w:val="en-US" w:eastAsia="es-CO"/>
        </w:rPr>
      </w:pPr>
      <w:r w:rsidRPr="00C952CE">
        <w:rPr>
          <w:rFonts w:cs="Arial"/>
          <w:b/>
          <w:bCs/>
          <w:szCs w:val="18"/>
          <w:lang w:val="en-US" w:eastAsia="es-CO"/>
        </w:rPr>
        <w:t>2.1 Study area and sediment sampling</w:t>
      </w:r>
    </w:p>
    <w:p w14:paraId="3C75F6CC" w14:textId="534F3285" w:rsidR="007551C1" w:rsidRDefault="00EC4562" w:rsidP="00C952CE">
      <w:pPr>
        <w:tabs>
          <w:tab w:val="clear" w:pos="7100"/>
        </w:tabs>
        <w:spacing w:before="100" w:beforeAutospacing="1" w:after="100" w:afterAutospacing="1" w:line="240" w:lineRule="auto"/>
        <w:jc w:val="left"/>
        <w:rPr>
          <w:rFonts w:cs="Arial"/>
          <w:b/>
          <w:bCs/>
          <w:szCs w:val="18"/>
          <w:lang w:val="en-US" w:eastAsia="es-CO"/>
        </w:rPr>
      </w:pPr>
      <w:r w:rsidRPr="00EC4562">
        <w:rPr>
          <w:rFonts w:cs="Arial"/>
          <w:szCs w:val="18"/>
          <w:lang w:val="en-US" w:eastAsia="es-CO"/>
        </w:rPr>
        <w:t xml:space="preserve">The Marialabaja swamp is located in northern Colombia within the Montes de María region, an area characterized by intensive agricultural activity and extensive irrigation infrastructure connected to the Canal del Dique system (Quiroga Manrique and Vallejo Bernal, 2019; Daniels Puello, 2016). Surface sediment samples were collected from four representative sites distributed across the swamp. The geographic location of the study area and the sediment sampling sites is shown in </w:t>
      </w:r>
      <w:r w:rsidRPr="00EC4562">
        <w:rPr>
          <w:rFonts w:cs="Arial"/>
          <w:b/>
          <w:bCs/>
          <w:szCs w:val="18"/>
          <w:lang w:val="en-US" w:eastAsia="es-CO"/>
        </w:rPr>
        <w:t>Figure 1</w:t>
      </w:r>
      <w:r w:rsidRPr="00EC4562">
        <w:rPr>
          <w:rFonts w:cs="Arial"/>
          <w:szCs w:val="18"/>
          <w:lang w:val="en-US" w:eastAsia="es-CO"/>
        </w:rPr>
        <w:t>.</w:t>
      </w:r>
    </w:p>
    <w:p w14:paraId="042F4B4D" w14:textId="3AC1DCFB" w:rsidR="007551C1" w:rsidRDefault="007551C1" w:rsidP="00C952CE">
      <w:pPr>
        <w:tabs>
          <w:tab w:val="clear" w:pos="7100"/>
        </w:tabs>
        <w:spacing w:before="100" w:beforeAutospacing="1" w:after="100" w:afterAutospacing="1" w:line="240" w:lineRule="auto"/>
        <w:jc w:val="left"/>
        <w:rPr>
          <w:rFonts w:cs="Arial"/>
          <w:b/>
          <w:bCs/>
          <w:szCs w:val="18"/>
          <w:lang w:val="en-US" w:eastAsia="es-CO"/>
        </w:rPr>
      </w:pPr>
      <w:r w:rsidRPr="007551C1">
        <w:rPr>
          <w:rFonts w:cs="Arial"/>
          <w:b/>
          <w:bCs/>
          <w:noProof/>
          <w:szCs w:val="18"/>
          <w:lang w:val="en-US" w:eastAsia="es-CO"/>
        </w:rPr>
        <w:drawing>
          <wp:inline distT="0" distB="0" distL="0" distR="0" wp14:anchorId="3A4767F8" wp14:editId="5D16187A">
            <wp:extent cx="4587218" cy="2089150"/>
            <wp:effectExtent l="0" t="0" r="4445" b="6350"/>
            <wp:docPr id="2004720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20402" name=""/>
                    <pic:cNvPicPr/>
                  </pic:nvPicPr>
                  <pic:blipFill>
                    <a:blip r:embed="rId10"/>
                    <a:stretch>
                      <a:fillRect/>
                    </a:stretch>
                  </pic:blipFill>
                  <pic:spPr>
                    <a:xfrm>
                      <a:off x="0" y="0"/>
                      <a:ext cx="4640971" cy="2113631"/>
                    </a:xfrm>
                    <a:prstGeom prst="rect">
                      <a:avLst/>
                    </a:prstGeom>
                  </pic:spPr>
                </pic:pic>
              </a:graphicData>
            </a:graphic>
          </wp:inline>
        </w:drawing>
      </w:r>
    </w:p>
    <w:p w14:paraId="1FD65ED9" w14:textId="25686C6A" w:rsidR="00D80202" w:rsidRDefault="00D80202" w:rsidP="00C952CE">
      <w:pPr>
        <w:tabs>
          <w:tab w:val="clear" w:pos="7100"/>
        </w:tabs>
        <w:spacing w:before="100" w:beforeAutospacing="1" w:after="100" w:afterAutospacing="1" w:line="240" w:lineRule="auto"/>
        <w:jc w:val="left"/>
        <w:rPr>
          <w:rFonts w:cs="Arial"/>
          <w:szCs w:val="18"/>
          <w:lang w:eastAsia="es-CO"/>
        </w:rPr>
      </w:pPr>
      <w:r w:rsidRPr="00D80202">
        <w:rPr>
          <w:rFonts w:cs="Arial"/>
          <w:b/>
          <w:bCs/>
          <w:szCs w:val="18"/>
          <w:lang w:eastAsia="es-CO"/>
        </w:rPr>
        <w:t xml:space="preserve">Figure 1: </w:t>
      </w:r>
      <w:r w:rsidRPr="00D80202">
        <w:rPr>
          <w:rFonts w:cs="Arial"/>
          <w:szCs w:val="18"/>
          <w:lang w:eastAsia="es-CO"/>
        </w:rPr>
        <w:t>Geographical location of the Marialabaja swamp in the department of Bolívar, northern Colombia, and the sediment sampling sites (A–D).</w:t>
      </w:r>
    </w:p>
    <w:p w14:paraId="238175B0" w14:textId="6BF5CC9B" w:rsidR="00C952CE" w:rsidRPr="007551C1" w:rsidRDefault="007551C1" w:rsidP="00C952CE">
      <w:pPr>
        <w:tabs>
          <w:tab w:val="clear" w:pos="7100"/>
        </w:tabs>
        <w:spacing w:before="100" w:beforeAutospacing="1" w:after="100" w:afterAutospacing="1" w:line="240" w:lineRule="auto"/>
        <w:jc w:val="left"/>
        <w:rPr>
          <w:rFonts w:cs="Arial"/>
          <w:szCs w:val="18"/>
          <w:lang w:eastAsia="es-CO"/>
        </w:rPr>
      </w:pPr>
      <w:r w:rsidRPr="007551C1">
        <w:rPr>
          <w:rFonts w:cs="Arial"/>
          <w:i/>
          <w:iCs/>
          <w:szCs w:val="18"/>
          <w:lang w:eastAsia="es-CO"/>
        </w:rPr>
        <w:t xml:space="preserve"> </w:t>
      </w:r>
      <w:r w:rsidR="00C952CE" w:rsidRPr="00C952CE">
        <w:rPr>
          <w:rFonts w:cs="Arial"/>
          <w:b/>
          <w:bCs/>
          <w:szCs w:val="18"/>
          <w:lang w:val="en-US" w:eastAsia="es-CO"/>
        </w:rPr>
        <w:t>2.2 Sample preparation and total mercury analysis</w:t>
      </w:r>
    </w:p>
    <w:p w14:paraId="49660E69" w14:textId="06E0EB8B" w:rsidR="00542B85" w:rsidRPr="00C952CE" w:rsidRDefault="00C952CE" w:rsidP="00C952CE">
      <w:pPr>
        <w:tabs>
          <w:tab w:val="clear" w:pos="7100"/>
        </w:tabs>
        <w:spacing w:before="100" w:beforeAutospacing="1" w:after="100" w:afterAutospacing="1" w:line="240" w:lineRule="auto"/>
        <w:jc w:val="left"/>
        <w:rPr>
          <w:rFonts w:cs="Arial"/>
          <w:szCs w:val="18"/>
          <w:lang w:val="en-US" w:eastAsia="es-CO"/>
        </w:rPr>
      </w:pPr>
      <w:r w:rsidRPr="00C952CE">
        <w:rPr>
          <w:rFonts w:cs="Arial"/>
          <w:szCs w:val="18"/>
          <w:lang w:val="en-US" w:eastAsia="es-CO"/>
        </w:rPr>
        <w:t>Sediment samples were freeze-dried, homogenized, and sieved (&lt;63 µm). Total mercury concentrations were determined using a direct mercury analyzer based on thermal decomposition, amalgamation, and atomic absorption spectrometry, following US EPA SW-846 Method 7473 (Olivero</w:t>
      </w:r>
      <w:r w:rsidR="001E4186">
        <w:rPr>
          <w:rFonts w:cs="Arial"/>
          <w:szCs w:val="18"/>
          <w:lang w:val="en-US" w:eastAsia="es-CO"/>
        </w:rPr>
        <w:t xml:space="preserve"> </w:t>
      </w:r>
      <w:r w:rsidRPr="00C952CE">
        <w:rPr>
          <w:rFonts w:cs="Arial"/>
          <w:szCs w:val="18"/>
          <w:lang w:val="en-US" w:eastAsia="es-CO"/>
        </w:rPr>
        <w:t>et al., 2014). Quality control procedures included certified reference materials, calibration curves, blanks, and duplicate analyses.</w:t>
      </w:r>
    </w:p>
    <w:p w14:paraId="058AE826" w14:textId="77777777" w:rsidR="00C952CE" w:rsidRPr="00C952CE" w:rsidRDefault="00C952CE" w:rsidP="00C952CE">
      <w:pPr>
        <w:tabs>
          <w:tab w:val="clear" w:pos="7100"/>
        </w:tabs>
        <w:spacing w:before="100" w:beforeAutospacing="1" w:after="100" w:afterAutospacing="1" w:line="240" w:lineRule="auto"/>
        <w:jc w:val="left"/>
        <w:rPr>
          <w:rFonts w:cs="Arial"/>
          <w:b/>
          <w:bCs/>
          <w:szCs w:val="18"/>
          <w:lang w:val="en-US" w:eastAsia="es-CO"/>
        </w:rPr>
      </w:pPr>
      <w:r w:rsidRPr="00C952CE">
        <w:rPr>
          <w:rFonts w:cs="Arial"/>
          <w:b/>
          <w:bCs/>
          <w:szCs w:val="18"/>
          <w:lang w:val="en-US" w:eastAsia="es-CO"/>
        </w:rPr>
        <w:t>2.3 Preparation of aqueous sediment extracts</w:t>
      </w:r>
    </w:p>
    <w:p w14:paraId="1B852888" w14:textId="514C9B08" w:rsidR="00954CC5" w:rsidRPr="00442266" w:rsidRDefault="00954CC5" w:rsidP="00954CC5">
      <w:pPr>
        <w:tabs>
          <w:tab w:val="clear" w:pos="7100"/>
        </w:tabs>
        <w:spacing w:before="100" w:beforeAutospacing="1" w:after="100" w:afterAutospacing="1" w:line="240" w:lineRule="auto"/>
        <w:jc w:val="left"/>
        <w:rPr>
          <w:rFonts w:cs="Arial"/>
          <w:szCs w:val="18"/>
          <w:lang w:val="en-US" w:eastAsia="es-CO"/>
        </w:rPr>
      </w:pPr>
      <w:r w:rsidRPr="00442266">
        <w:rPr>
          <w:rFonts w:cs="Arial"/>
          <w:szCs w:val="18"/>
          <w:lang w:val="en-US" w:eastAsia="es-CO"/>
        </w:rPr>
        <w:t xml:space="preserve">Aqueous sediment extracts were prepared to estimate the bioavailable dissolved fraction of mercury rather than total sediment-bound concentrations (Eggleton and Thomas, 2004; Tejeda-Benítez et al., 2018). Freeze-dried sediment samples were homogenized and mixed with ultrapure water at a ratio of 1:4 (w/v). The suspensions were agitated for 24 h at room temperature, centrifuged at 4,000 rpm for 15 min, and the supernatant was filtered through a 0.45 </w:t>
      </w:r>
      <w:r w:rsidRPr="00442266">
        <w:rPr>
          <w:rFonts w:cs="Arial"/>
          <w:szCs w:val="18"/>
          <w:lang w:val="es-CO" w:eastAsia="es-CO"/>
        </w:rPr>
        <w:t>μ</w:t>
      </w:r>
      <w:r w:rsidRPr="00442266">
        <w:rPr>
          <w:rFonts w:cs="Arial"/>
          <w:szCs w:val="18"/>
          <w:lang w:val="en-US" w:eastAsia="es-CO"/>
        </w:rPr>
        <w:t>m membrane filter.</w:t>
      </w:r>
      <w:r w:rsidR="00993839" w:rsidRPr="00442266">
        <w:rPr>
          <w:rFonts w:cs="Arial"/>
          <w:szCs w:val="18"/>
          <w:lang w:val="en-US" w:eastAsia="es-CO"/>
        </w:rPr>
        <w:t xml:space="preserve"> </w:t>
      </w:r>
      <w:r w:rsidRPr="00442266">
        <w:rPr>
          <w:rFonts w:cs="Arial"/>
          <w:szCs w:val="18"/>
          <w:lang w:val="en-US" w:eastAsia="es-CO"/>
        </w:rPr>
        <w:t>Mercury concentrations in the extracts were quantified and expressed in parts per million (ppm), representing dissolved mercury available for biological uptake in bioassays.</w:t>
      </w:r>
    </w:p>
    <w:p w14:paraId="08FF08B2" w14:textId="77777777" w:rsidR="005D0A6B" w:rsidRDefault="00C952CE" w:rsidP="00C952CE">
      <w:pPr>
        <w:tabs>
          <w:tab w:val="clear" w:pos="7100"/>
        </w:tabs>
        <w:spacing w:before="100" w:beforeAutospacing="1" w:after="100" w:afterAutospacing="1" w:line="240" w:lineRule="auto"/>
        <w:jc w:val="left"/>
        <w:rPr>
          <w:rFonts w:cs="Arial"/>
          <w:b/>
          <w:bCs/>
          <w:szCs w:val="18"/>
          <w:lang w:val="en-US" w:eastAsia="es-CO"/>
        </w:rPr>
      </w:pPr>
      <w:r w:rsidRPr="00C952CE">
        <w:rPr>
          <w:rFonts w:cs="Arial"/>
          <w:b/>
          <w:bCs/>
          <w:szCs w:val="18"/>
          <w:lang w:val="en-US" w:eastAsia="es-CO"/>
        </w:rPr>
        <w:lastRenderedPageBreak/>
        <w:t xml:space="preserve">2.4 </w:t>
      </w:r>
      <w:r w:rsidRPr="00C952CE">
        <w:rPr>
          <w:rFonts w:cs="Arial"/>
          <w:b/>
          <w:bCs/>
          <w:i/>
          <w:iCs/>
          <w:szCs w:val="18"/>
          <w:lang w:val="en-US" w:eastAsia="es-CO"/>
        </w:rPr>
        <w:t>Caenorhabditis elegans</w:t>
      </w:r>
      <w:r w:rsidRPr="00C952CE">
        <w:rPr>
          <w:rFonts w:cs="Arial"/>
          <w:b/>
          <w:bCs/>
          <w:szCs w:val="18"/>
          <w:lang w:val="en-US" w:eastAsia="es-CO"/>
        </w:rPr>
        <w:t xml:space="preserve"> culture and exposure</w:t>
      </w:r>
    </w:p>
    <w:p w14:paraId="42F870FE" w14:textId="08FDBB17" w:rsidR="00C952CE" w:rsidRPr="005D0A6B" w:rsidRDefault="00C952CE" w:rsidP="00C952CE">
      <w:pPr>
        <w:tabs>
          <w:tab w:val="clear" w:pos="7100"/>
        </w:tabs>
        <w:spacing w:before="100" w:beforeAutospacing="1" w:after="100" w:afterAutospacing="1" w:line="240" w:lineRule="auto"/>
        <w:jc w:val="left"/>
        <w:rPr>
          <w:rFonts w:cs="Arial"/>
          <w:b/>
          <w:bCs/>
          <w:szCs w:val="18"/>
          <w:lang w:val="en-US" w:eastAsia="es-CO"/>
        </w:rPr>
      </w:pPr>
      <w:r w:rsidRPr="00C952CE">
        <w:rPr>
          <w:rFonts w:cs="Arial"/>
          <w:szCs w:val="18"/>
          <w:lang w:val="en-US" w:eastAsia="es-CO"/>
        </w:rPr>
        <w:t>Wild-type Bristol N2 and transgenic GFP reporter strains (</w:t>
      </w:r>
      <w:r w:rsidRPr="00C952CE">
        <w:rPr>
          <w:rFonts w:cs="Arial"/>
          <w:i/>
          <w:iCs/>
          <w:szCs w:val="18"/>
          <w:lang w:val="en-US" w:eastAsia="es-CO"/>
        </w:rPr>
        <w:t>sod-1::GFP</w:t>
      </w:r>
      <w:r w:rsidRPr="00C952CE">
        <w:rPr>
          <w:rFonts w:cs="Arial"/>
          <w:szCs w:val="18"/>
          <w:lang w:val="en-US" w:eastAsia="es-CO"/>
        </w:rPr>
        <w:t xml:space="preserve">, </w:t>
      </w:r>
      <w:r w:rsidRPr="00C952CE">
        <w:rPr>
          <w:rFonts w:cs="Arial"/>
          <w:i/>
          <w:iCs/>
          <w:szCs w:val="18"/>
          <w:lang w:val="en-US" w:eastAsia="es-CO"/>
        </w:rPr>
        <w:t>sod-3::GFP</w:t>
      </w:r>
      <w:r w:rsidRPr="00C952CE">
        <w:rPr>
          <w:rFonts w:cs="Arial"/>
          <w:szCs w:val="18"/>
          <w:lang w:val="en-US" w:eastAsia="es-CO"/>
        </w:rPr>
        <w:t xml:space="preserve">, and </w:t>
      </w:r>
      <w:r w:rsidRPr="00C952CE">
        <w:rPr>
          <w:rFonts w:cs="Arial"/>
          <w:i/>
          <w:iCs/>
          <w:szCs w:val="18"/>
          <w:lang w:val="en-US" w:eastAsia="es-CO"/>
        </w:rPr>
        <w:t>nlg-1</w:t>
      </w:r>
      <w:r w:rsidRPr="00C952CE">
        <w:rPr>
          <w:rFonts w:cs="Arial"/>
          <w:szCs w:val="18"/>
          <w:lang w:val="en-US" w:eastAsia="es-CO"/>
        </w:rPr>
        <w:t>) were obtained from the Caenorhabditis Genetics Center. Nematodes were maintained under standard laboratory conditions and synchronized prior to exposure (Corsi et al., 2015; Leung et al., 2008).</w:t>
      </w:r>
    </w:p>
    <w:p w14:paraId="50139B89" w14:textId="77777777" w:rsidR="00C952CE" w:rsidRPr="00C952CE" w:rsidRDefault="00C952CE" w:rsidP="00C952CE">
      <w:pPr>
        <w:tabs>
          <w:tab w:val="clear" w:pos="7100"/>
        </w:tabs>
        <w:spacing w:before="100" w:beforeAutospacing="1" w:after="100" w:afterAutospacing="1" w:line="240" w:lineRule="auto"/>
        <w:jc w:val="left"/>
        <w:rPr>
          <w:rFonts w:cs="Arial"/>
          <w:b/>
          <w:bCs/>
          <w:szCs w:val="18"/>
          <w:lang w:val="en-US" w:eastAsia="es-CO"/>
        </w:rPr>
      </w:pPr>
      <w:r w:rsidRPr="00C952CE">
        <w:rPr>
          <w:rFonts w:cs="Arial"/>
          <w:b/>
          <w:bCs/>
          <w:szCs w:val="18"/>
          <w:lang w:val="en-US" w:eastAsia="es-CO"/>
        </w:rPr>
        <w:t>2.5 Toxicity and reporter assays</w:t>
      </w:r>
    </w:p>
    <w:p w14:paraId="420E3FD9" w14:textId="2D63BBC6" w:rsidR="00EA27E1" w:rsidRPr="00C952CE" w:rsidRDefault="00C952CE" w:rsidP="00C952CE">
      <w:pPr>
        <w:tabs>
          <w:tab w:val="clear" w:pos="7100"/>
        </w:tabs>
        <w:spacing w:before="100" w:beforeAutospacing="1" w:after="100" w:afterAutospacing="1" w:line="240" w:lineRule="auto"/>
        <w:jc w:val="left"/>
        <w:rPr>
          <w:rFonts w:cs="Arial"/>
          <w:szCs w:val="18"/>
          <w:lang w:val="en-US" w:eastAsia="es-CO"/>
        </w:rPr>
      </w:pPr>
      <w:r w:rsidRPr="00C952CE">
        <w:rPr>
          <w:rFonts w:cs="Arial"/>
          <w:szCs w:val="18"/>
          <w:lang w:val="en-US" w:eastAsia="es-CO"/>
        </w:rPr>
        <w:t>Lethality and locomotion assays were performed after 24 h exposure to aqueous sediment extracts at different concentrations. Oxidative stress and neurobehavioral responses were evaluated using GFP reporter strains, with fluorescence intensity measured using a microplate reader (Staab et al., 2014; Anbalagan et al., 2013).</w:t>
      </w:r>
      <w:r w:rsidR="00EA27E1" w:rsidRPr="00EA27E1">
        <w:t xml:space="preserve"> </w:t>
      </w:r>
      <w:r w:rsidR="00EA27E1" w:rsidRPr="00EA27E1">
        <w:rPr>
          <w:rFonts w:cs="Arial"/>
          <w:szCs w:val="18"/>
          <w:lang w:eastAsia="es-CO"/>
        </w:rPr>
        <w:t>Each treatment included three independent biological replicates.</w:t>
      </w:r>
    </w:p>
    <w:p w14:paraId="69DCD290" w14:textId="77777777" w:rsidR="00C952CE" w:rsidRPr="00C952CE" w:rsidRDefault="00C952CE" w:rsidP="00C952CE">
      <w:pPr>
        <w:tabs>
          <w:tab w:val="clear" w:pos="7100"/>
        </w:tabs>
        <w:spacing w:before="100" w:beforeAutospacing="1" w:after="100" w:afterAutospacing="1" w:line="240" w:lineRule="auto"/>
        <w:jc w:val="left"/>
        <w:rPr>
          <w:rFonts w:cs="Arial"/>
          <w:b/>
          <w:bCs/>
          <w:szCs w:val="18"/>
          <w:lang w:val="en-US" w:eastAsia="es-CO"/>
        </w:rPr>
      </w:pPr>
      <w:r w:rsidRPr="00C952CE">
        <w:rPr>
          <w:rFonts w:cs="Arial"/>
          <w:b/>
          <w:bCs/>
          <w:szCs w:val="18"/>
          <w:lang w:val="en-US" w:eastAsia="es-CO"/>
        </w:rPr>
        <w:t>2.6 Statistical analysis</w:t>
      </w:r>
    </w:p>
    <w:p w14:paraId="7404261B" w14:textId="4C3BDEA5" w:rsidR="00690BA1" w:rsidRDefault="00F034A4" w:rsidP="00062067">
      <w:pPr>
        <w:tabs>
          <w:tab w:val="clear" w:pos="7100"/>
        </w:tabs>
        <w:spacing w:before="100" w:beforeAutospacing="1" w:after="100" w:afterAutospacing="1" w:line="240" w:lineRule="auto"/>
        <w:jc w:val="left"/>
        <w:rPr>
          <w:rFonts w:cs="Arial"/>
          <w:szCs w:val="18"/>
          <w:lang w:val="en-US" w:eastAsia="es-CO"/>
        </w:rPr>
      </w:pPr>
      <w:r w:rsidRPr="00F034A4">
        <w:rPr>
          <w:rFonts w:cs="Arial"/>
          <w:szCs w:val="18"/>
          <w:lang w:val="en-US" w:eastAsia="es-CO"/>
        </w:rPr>
        <w:t>Results are expressed as mean ± SEM of three independent biological replicates</w:t>
      </w:r>
      <w:r>
        <w:rPr>
          <w:rFonts w:cs="Arial"/>
          <w:szCs w:val="18"/>
          <w:lang w:val="en-US" w:eastAsia="es-CO"/>
        </w:rPr>
        <w:t xml:space="preserve">. </w:t>
      </w:r>
      <w:r w:rsidR="00C952CE" w:rsidRPr="00C952CE">
        <w:rPr>
          <w:rFonts w:cs="Arial"/>
          <w:szCs w:val="18"/>
          <w:lang w:val="en-US" w:eastAsia="es-CO"/>
        </w:rPr>
        <w:t xml:space="preserve">Statistical analyses were conducted using one-way ANOVA followed by Tukey’s post hoc test. </w:t>
      </w:r>
      <w:r w:rsidR="0051164D" w:rsidRPr="0051164D">
        <w:rPr>
          <w:rFonts w:cs="Arial"/>
          <w:szCs w:val="18"/>
          <w:lang w:val="en-US" w:eastAsia="es-CO"/>
        </w:rPr>
        <w:t>Statistical analyses were performed using GraphPad Prism.</w:t>
      </w:r>
      <w:r w:rsidR="009B7DCD">
        <w:rPr>
          <w:rFonts w:cs="Arial"/>
          <w:szCs w:val="18"/>
          <w:lang w:val="en-US" w:eastAsia="es-CO"/>
        </w:rPr>
        <w:t xml:space="preserve"> </w:t>
      </w:r>
      <w:r w:rsidR="00690BA1" w:rsidRPr="00690BA1">
        <w:rPr>
          <w:rFonts w:cs="Arial"/>
          <w:szCs w:val="18"/>
          <w:lang w:eastAsia="es-CO"/>
        </w:rPr>
        <w:t>Differences were considered significant at p &lt; 0.05</w:t>
      </w:r>
      <w:r w:rsidR="00C35597">
        <w:rPr>
          <w:rFonts w:cs="Arial"/>
          <w:szCs w:val="18"/>
          <w:lang w:eastAsia="es-CO"/>
        </w:rPr>
        <w:t>.</w:t>
      </w:r>
    </w:p>
    <w:p w14:paraId="2AD0CC0F" w14:textId="316C82E1" w:rsidR="000D5F69" w:rsidRPr="00306990" w:rsidRDefault="00F73CBA" w:rsidP="00062067">
      <w:pPr>
        <w:tabs>
          <w:tab w:val="clear" w:pos="7100"/>
        </w:tabs>
        <w:spacing w:before="100" w:beforeAutospacing="1" w:after="100" w:afterAutospacing="1" w:line="240" w:lineRule="auto"/>
        <w:jc w:val="left"/>
        <w:rPr>
          <w:rFonts w:cs="Arial"/>
          <w:b/>
          <w:bCs/>
          <w:szCs w:val="18"/>
          <w:lang w:val="en-US" w:eastAsia="es-CO"/>
        </w:rPr>
      </w:pPr>
      <w:r w:rsidRPr="00F73CBA">
        <w:rPr>
          <w:rFonts w:cs="Arial"/>
          <w:b/>
          <w:bCs/>
          <w:szCs w:val="18"/>
          <w:lang w:eastAsia="es-CO"/>
        </w:rPr>
        <w:t>3. Results and Discussion</w:t>
      </w:r>
    </w:p>
    <w:p w14:paraId="61688210" w14:textId="77777777" w:rsidR="003F6673" w:rsidRDefault="000B25CE" w:rsidP="005A4FF2">
      <w:pPr>
        <w:tabs>
          <w:tab w:val="clear" w:pos="7100"/>
        </w:tabs>
        <w:spacing w:before="100" w:beforeAutospacing="1" w:after="100" w:afterAutospacing="1" w:line="240" w:lineRule="auto"/>
        <w:jc w:val="left"/>
        <w:rPr>
          <w:rFonts w:cs="Arial"/>
          <w:b/>
          <w:bCs/>
          <w:szCs w:val="18"/>
          <w:lang w:val="en-US" w:eastAsia="es-CO"/>
        </w:rPr>
      </w:pPr>
      <w:r w:rsidRPr="000B25CE">
        <w:rPr>
          <w:rFonts w:cs="Arial"/>
          <w:b/>
          <w:bCs/>
          <w:szCs w:val="18"/>
          <w:lang w:val="en-US" w:eastAsia="es-CO"/>
        </w:rPr>
        <w:t>3.1 Total mercury concentrations in sediments</w:t>
      </w:r>
    </w:p>
    <w:p w14:paraId="0B6A6AE2" w14:textId="44E35CB6" w:rsidR="005A4FF2" w:rsidRPr="00520496" w:rsidRDefault="005A4FF2" w:rsidP="005A4FF2">
      <w:pPr>
        <w:tabs>
          <w:tab w:val="clear" w:pos="7100"/>
        </w:tabs>
        <w:spacing w:before="100" w:beforeAutospacing="1" w:after="100" w:afterAutospacing="1" w:line="240" w:lineRule="auto"/>
        <w:jc w:val="left"/>
        <w:rPr>
          <w:rFonts w:cs="Arial"/>
          <w:b/>
          <w:bCs/>
          <w:szCs w:val="18"/>
          <w:lang w:val="en-US" w:eastAsia="es-CO"/>
        </w:rPr>
      </w:pPr>
      <w:r w:rsidRPr="00311ECF">
        <w:rPr>
          <w:rFonts w:cs="Arial"/>
          <w:szCs w:val="18"/>
          <w:lang w:val="en-US" w:eastAsia="es-CO"/>
        </w:rPr>
        <w:t>Total mercury was detected in all surface sediment samples collected from the Marialabaja swamp, indicating widespread contamination within the aquatic system. Concentrations ranged from 0.116 to 0.174 mg/kg, with the highest mean values observed at sites B and D, while the lowest concentrations were recorded at site C (</w:t>
      </w:r>
      <w:r w:rsidRPr="00520496">
        <w:rPr>
          <w:rFonts w:cs="Arial"/>
          <w:szCs w:val="18"/>
          <w:lang w:val="en-US" w:eastAsia="es-CO"/>
        </w:rPr>
        <w:t>Table 1).</w:t>
      </w:r>
    </w:p>
    <w:p w14:paraId="0C9307BE" w14:textId="77777777" w:rsidR="005A4FF2" w:rsidRPr="00520496" w:rsidRDefault="005A4FF2" w:rsidP="005A4FF2">
      <w:pPr>
        <w:tabs>
          <w:tab w:val="clear" w:pos="7100"/>
        </w:tabs>
        <w:spacing w:before="100" w:beforeAutospacing="1" w:after="100" w:afterAutospacing="1" w:line="240" w:lineRule="auto"/>
        <w:jc w:val="left"/>
        <w:rPr>
          <w:rFonts w:cs="Arial"/>
          <w:szCs w:val="18"/>
          <w:lang w:val="en-US" w:eastAsia="es-CO"/>
        </w:rPr>
      </w:pPr>
      <w:r w:rsidRPr="00520496">
        <w:rPr>
          <w:rFonts w:cs="Arial"/>
          <w:szCs w:val="18"/>
          <w:lang w:val="en-US" w:eastAsia="es-CO"/>
        </w:rPr>
        <w:t>Measured mercury concentrations were compared with internationally recognized sediment quality guidelines, including the Threshold Effect Level (TEL = 0.13 mg/kg) and Probable Effect Level (PEL = 0.70 mg/kg) established by the Canadian Council of Ministers of the Environment (CCME), as well as the Effects Range Low (ERL = 0.15 mg/kg) and Effects Range Median (ERM = 0.71 mg/kg) defined by NOAA (MacDonald et al., 2000; Long et al., 1995; CCME, 2001).</w:t>
      </w:r>
    </w:p>
    <w:p w14:paraId="21C62F46" w14:textId="3E2E694E" w:rsidR="005A4FF2" w:rsidRPr="00520496" w:rsidRDefault="005A4FF2" w:rsidP="000D5210">
      <w:pPr>
        <w:tabs>
          <w:tab w:val="clear" w:pos="7100"/>
        </w:tabs>
        <w:spacing w:before="100" w:beforeAutospacing="1" w:after="100" w:afterAutospacing="1" w:line="240" w:lineRule="auto"/>
        <w:jc w:val="left"/>
        <w:rPr>
          <w:rFonts w:cs="Arial"/>
          <w:szCs w:val="18"/>
          <w:lang w:val="en-US" w:eastAsia="es-CO"/>
        </w:rPr>
      </w:pPr>
      <w:r w:rsidRPr="00520496">
        <w:rPr>
          <w:rFonts w:cs="Arial"/>
          <w:szCs w:val="18"/>
          <w:lang w:val="en-US" w:eastAsia="es-CO"/>
        </w:rPr>
        <w:t>Sediment mercury concentrations at sites A, B, and D exceeded TEL and ERL thresholds, indicating a potential risk of adverse biological effects, although all values remained below PEL and ERM levels associated with a high probability of ecological toxicity. These results suggest localized ecological concern linked to agricultural activity, irrigation practices, and sediment transport processes in the Marialabaja irrigation district.</w:t>
      </w:r>
    </w:p>
    <w:p w14:paraId="56B636AF" w14:textId="426753A8" w:rsidR="002475CF" w:rsidRPr="00EC4407" w:rsidRDefault="001F3784" w:rsidP="00501692">
      <w:pPr>
        <w:tabs>
          <w:tab w:val="clear" w:pos="7100"/>
        </w:tabs>
        <w:spacing w:before="100" w:beforeAutospacing="1" w:after="100" w:afterAutospacing="1" w:line="240" w:lineRule="auto"/>
        <w:jc w:val="left"/>
        <w:rPr>
          <w:rFonts w:cs="Arial"/>
          <w:szCs w:val="18"/>
          <w:lang w:val="en-US" w:eastAsia="es-CO"/>
        </w:rPr>
      </w:pPr>
      <w:r w:rsidRPr="001F3784">
        <w:rPr>
          <w:rFonts w:cs="Arial"/>
          <w:szCs w:val="18"/>
          <w:lang w:eastAsia="es-CO"/>
        </w:rPr>
        <w:t>Table 1: Total mercury concentrations (Hg-T) in surface sediments from the Marialabaja swamp.</w:t>
      </w:r>
    </w:p>
    <w:tbl>
      <w:tblPr>
        <w:tblStyle w:val="Tablanormal4"/>
        <w:tblW w:w="6379" w:type="dxa"/>
        <w:shd w:val="clear" w:color="auto" w:fill="FFFFFF" w:themeFill="background1"/>
        <w:tblLayout w:type="fixed"/>
        <w:tblLook w:val="04A0" w:firstRow="1" w:lastRow="0" w:firstColumn="1" w:lastColumn="0" w:noHBand="0" w:noVBand="1"/>
      </w:tblPr>
      <w:tblGrid>
        <w:gridCol w:w="1276"/>
        <w:gridCol w:w="2410"/>
        <w:gridCol w:w="1559"/>
        <w:gridCol w:w="1134"/>
      </w:tblGrid>
      <w:tr w:rsidR="005C1BFE" w:rsidRPr="00853439" w14:paraId="41967DE3" w14:textId="77777777" w:rsidTr="00A02ABE">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276" w:type="dxa"/>
            <w:tcBorders>
              <w:top w:val="single" w:sz="24" w:space="0" w:color="9BBB59" w:themeColor="accent3"/>
              <w:bottom w:val="single" w:sz="24" w:space="0" w:color="9BBB59" w:themeColor="accent3"/>
            </w:tcBorders>
            <w:shd w:val="clear" w:color="auto" w:fill="FFFFFF" w:themeFill="background1"/>
            <w:vAlign w:val="center"/>
            <w:hideMark/>
          </w:tcPr>
          <w:p w14:paraId="4C201C4A" w14:textId="455D218E" w:rsidR="005C1BFE" w:rsidRPr="00853439" w:rsidRDefault="005C1BFE" w:rsidP="00B8275D">
            <w:pPr>
              <w:tabs>
                <w:tab w:val="clear" w:pos="7100"/>
              </w:tabs>
              <w:spacing w:before="100" w:beforeAutospacing="1" w:after="100" w:afterAutospacing="1" w:line="240" w:lineRule="auto"/>
              <w:rPr>
                <w:rFonts w:cs="Arial"/>
                <w:b w:val="0"/>
                <w:bCs w:val="0"/>
                <w:szCs w:val="18"/>
                <w:lang w:val="en-US" w:eastAsia="es-CO"/>
              </w:rPr>
            </w:pPr>
            <w:r w:rsidRPr="00B8275D">
              <w:rPr>
                <w:rFonts w:cs="Arial"/>
                <w:b w:val="0"/>
                <w:bCs w:val="0"/>
                <w:szCs w:val="18"/>
                <w:lang w:val="en-US" w:eastAsia="es-CO"/>
              </w:rPr>
              <w:t>Site</w:t>
            </w:r>
          </w:p>
        </w:tc>
        <w:tc>
          <w:tcPr>
            <w:tcW w:w="2410" w:type="dxa"/>
            <w:tcBorders>
              <w:top w:val="single" w:sz="24" w:space="0" w:color="9BBB59" w:themeColor="accent3"/>
              <w:bottom w:val="single" w:sz="24" w:space="0" w:color="9BBB59" w:themeColor="accent3"/>
            </w:tcBorders>
            <w:shd w:val="clear" w:color="auto" w:fill="FFFFFF" w:themeFill="background1"/>
            <w:vAlign w:val="center"/>
            <w:hideMark/>
          </w:tcPr>
          <w:p w14:paraId="06EA1B9A" w14:textId="7D4870B7" w:rsidR="005C1BFE" w:rsidRPr="00853439" w:rsidRDefault="005C1BFE" w:rsidP="00B8275D">
            <w:pPr>
              <w:tabs>
                <w:tab w:val="clear" w:pos="7100"/>
              </w:tabs>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18"/>
                <w:lang w:val="en-US" w:eastAsia="es-CO"/>
              </w:rPr>
            </w:pPr>
            <w:r w:rsidRPr="00B8275D">
              <w:rPr>
                <w:rFonts w:cs="Arial"/>
                <w:b w:val="0"/>
                <w:bCs w:val="0"/>
                <w:szCs w:val="18"/>
                <w:lang w:eastAsia="es-CO"/>
              </w:rPr>
              <w:t>Hg-T (mg/kg) Mean ± Error</w:t>
            </w:r>
          </w:p>
        </w:tc>
        <w:tc>
          <w:tcPr>
            <w:tcW w:w="1559" w:type="dxa"/>
            <w:tcBorders>
              <w:top w:val="single" w:sz="24" w:space="0" w:color="9BBB59" w:themeColor="accent3"/>
              <w:bottom w:val="single" w:sz="24" w:space="0" w:color="9BBB59" w:themeColor="accent3"/>
            </w:tcBorders>
            <w:shd w:val="clear" w:color="auto" w:fill="FFFFFF" w:themeFill="background1"/>
            <w:vAlign w:val="center"/>
            <w:hideMark/>
          </w:tcPr>
          <w:p w14:paraId="2FC07AC5" w14:textId="29FDB1E8" w:rsidR="005C1BFE" w:rsidRPr="00853439" w:rsidRDefault="005C1BFE" w:rsidP="00B8275D">
            <w:pPr>
              <w:tabs>
                <w:tab w:val="clear" w:pos="7100"/>
              </w:tabs>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18"/>
                <w:lang w:val="en-US" w:eastAsia="es-CO"/>
              </w:rPr>
            </w:pPr>
            <w:r w:rsidRPr="00B8275D">
              <w:rPr>
                <w:rFonts w:cs="Arial"/>
                <w:b w:val="0"/>
                <w:bCs w:val="0"/>
                <w:szCs w:val="18"/>
                <w:lang w:eastAsia="es-CO"/>
              </w:rPr>
              <w:t>SD</w:t>
            </w:r>
          </w:p>
        </w:tc>
        <w:tc>
          <w:tcPr>
            <w:tcW w:w="1134" w:type="dxa"/>
            <w:tcBorders>
              <w:top w:val="single" w:sz="24" w:space="0" w:color="9BBB59" w:themeColor="accent3"/>
              <w:bottom w:val="single" w:sz="24" w:space="0" w:color="9BBB59" w:themeColor="accent3"/>
            </w:tcBorders>
            <w:shd w:val="clear" w:color="auto" w:fill="FFFFFF" w:themeFill="background1"/>
            <w:vAlign w:val="center"/>
            <w:hideMark/>
          </w:tcPr>
          <w:p w14:paraId="5F379232" w14:textId="243DE6B0" w:rsidR="005C1BFE" w:rsidRPr="00853439" w:rsidRDefault="005C1BFE" w:rsidP="00B8275D">
            <w:pPr>
              <w:tabs>
                <w:tab w:val="clear" w:pos="7100"/>
              </w:tabs>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18"/>
                <w:lang w:val="en-US" w:eastAsia="es-CO"/>
              </w:rPr>
            </w:pPr>
            <w:r w:rsidRPr="00B8275D">
              <w:rPr>
                <w:rFonts w:cs="Arial"/>
                <w:b w:val="0"/>
                <w:bCs w:val="0"/>
                <w:szCs w:val="18"/>
                <w:lang w:eastAsia="es-CO"/>
              </w:rPr>
              <w:t>CV (%)</w:t>
            </w:r>
          </w:p>
        </w:tc>
      </w:tr>
      <w:tr w:rsidR="005C1BFE" w:rsidRPr="00853439" w14:paraId="2217396B" w14:textId="77777777" w:rsidTr="00A02AB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276" w:type="dxa"/>
            <w:tcBorders>
              <w:top w:val="single" w:sz="24" w:space="0" w:color="9BBB59" w:themeColor="accent3"/>
            </w:tcBorders>
            <w:shd w:val="clear" w:color="auto" w:fill="FFFFFF" w:themeFill="background1"/>
            <w:hideMark/>
          </w:tcPr>
          <w:p w14:paraId="4568358C" w14:textId="42EB544D" w:rsidR="005C1BFE" w:rsidRPr="00853439" w:rsidRDefault="005C1BFE" w:rsidP="00B8275D">
            <w:pPr>
              <w:tabs>
                <w:tab w:val="clear" w:pos="7100"/>
              </w:tabs>
              <w:spacing w:before="100" w:beforeAutospacing="1" w:after="100" w:afterAutospacing="1" w:line="240" w:lineRule="auto"/>
              <w:rPr>
                <w:rFonts w:cs="Arial"/>
                <w:b w:val="0"/>
                <w:bCs w:val="0"/>
                <w:szCs w:val="18"/>
                <w:lang w:val="en-US" w:eastAsia="es-CO"/>
              </w:rPr>
            </w:pPr>
            <w:r w:rsidRPr="00B8275D">
              <w:rPr>
                <w:rFonts w:cs="Arial"/>
                <w:b w:val="0"/>
                <w:bCs w:val="0"/>
                <w:szCs w:val="18"/>
                <w:lang w:val="en-US" w:eastAsia="es-CO"/>
              </w:rPr>
              <w:t>A</w:t>
            </w:r>
          </w:p>
        </w:tc>
        <w:tc>
          <w:tcPr>
            <w:tcW w:w="2410" w:type="dxa"/>
            <w:tcBorders>
              <w:top w:val="single" w:sz="24" w:space="0" w:color="9BBB59" w:themeColor="accent3"/>
            </w:tcBorders>
            <w:shd w:val="clear" w:color="auto" w:fill="FFFFFF" w:themeFill="background1"/>
            <w:hideMark/>
          </w:tcPr>
          <w:p w14:paraId="49DB0BA8" w14:textId="71AAA985" w:rsidR="005C1BFE" w:rsidRPr="00A02ABE" w:rsidRDefault="005C1BFE" w:rsidP="00B8275D">
            <w:pPr>
              <w:tabs>
                <w:tab w:val="clear" w:pos="7100"/>
              </w:tabs>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r w:rsidRPr="00A02ABE">
              <w:t>0.149 ± 0.005</w:t>
            </w:r>
          </w:p>
        </w:tc>
        <w:tc>
          <w:tcPr>
            <w:tcW w:w="1559" w:type="dxa"/>
            <w:tcBorders>
              <w:top w:val="single" w:sz="24" w:space="0" w:color="9BBB59" w:themeColor="accent3"/>
            </w:tcBorders>
            <w:shd w:val="clear" w:color="auto" w:fill="FFFFFF" w:themeFill="background1"/>
            <w:hideMark/>
          </w:tcPr>
          <w:p w14:paraId="088F5012" w14:textId="28B9E8A6" w:rsidR="005C1BFE" w:rsidRPr="00853439" w:rsidRDefault="00B8275D" w:rsidP="00B8275D">
            <w:pPr>
              <w:tabs>
                <w:tab w:val="clear" w:pos="7100"/>
              </w:tabs>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cs="Arial"/>
                <w:szCs w:val="18"/>
                <w:lang w:val="en-US" w:eastAsia="es-CO"/>
              </w:rPr>
            </w:pPr>
            <w:r w:rsidRPr="00B8275D">
              <w:rPr>
                <w:rFonts w:cs="Arial"/>
                <w:szCs w:val="18"/>
                <w:lang w:val="es-CO" w:eastAsia="es-CO"/>
              </w:rPr>
              <w:t xml:space="preserve">0.007                </w:t>
            </w:r>
          </w:p>
        </w:tc>
        <w:tc>
          <w:tcPr>
            <w:tcW w:w="1134" w:type="dxa"/>
            <w:tcBorders>
              <w:top w:val="single" w:sz="24" w:space="0" w:color="9BBB59" w:themeColor="accent3"/>
            </w:tcBorders>
            <w:shd w:val="clear" w:color="auto" w:fill="FFFFFF" w:themeFill="background1"/>
            <w:hideMark/>
          </w:tcPr>
          <w:p w14:paraId="719E2F42" w14:textId="4C3E27AB" w:rsidR="005C1BFE" w:rsidRPr="00853439" w:rsidRDefault="005C1BFE" w:rsidP="00B8275D">
            <w:pPr>
              <w:tabs>
                <w:tab w:val="clear" w:pos="7100"/>
              </w:tabs>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cs="Arial"/>
                <w:szCs w:val="18"/>
                <w:lang w:val="en-US" w:eastAsia="es-CO"/>
              </w:rPr>
            </w:pPr>
            <w:r w:rsidRPr="00B8275D">
              <w:rPr>
                <w:rFonts w:cs="Arial"/>
                <w:szCs w:val="18"/>
                <w:lang w:eastAsia="es-CO"/>
              </w:rPr>
              <w:t>4.84</w:t>
            </w:r>
          </w:p>
        </w:tc>
      </w:tr>
      <w:tr w:rsidR="00CF2C16" w:rsidRPr="00853439" w14:paraId="661B640D" w14:textId="77777777" w:rsidTr="00A02ABE">
        <w:trPr>
          <w:trHeight w:val="405"/>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hideMark/>
          </w:tcPr>
          <w:p w14:paraId="7002764A" w14:textId="02C867AA" w:rsidR="00CF2C16" w:rsidRPr="00853439" w:rsidRDefault="00CF2C16" w:rsidP="00CF2C16">
            <w:pPr>
              <w:tabs>
                <w:tab w:val="clear" w:pos="7100"/>
              </w:tabs>
              <w:spacing w:before="100" w:beforeAutospacing="1" w:after="100" w:afterAutospacing="1" w:line="240" w:lineRule="auto"/>
              <w:rPr>
                <w:rFonts w:cs="Arial"/>
                <w:b w:val="0"/>
                <w:bCs w:val="0"/>
                <w:szCs w:val="18"/>
                <w:lang w:val="en-US" w:eastAsia="es-CO"/>
              </w:rPr>
            </w:pPr>
            <w:r w:rsidRPr="00B8275D">
              <w:rPr>
                <w:rFonts w:cs="Arial"/>
                <w:b w:val="0"/>
                <w:bCs w:val="0"/>
                <w:szCs w:val="18"/>
                <w:lang w:val="en-US" w:eastAsia="es-CO"/>
              </w:rPr>
              <w:t>B</w:t>
            </w:r>
          </w:p>
        </w:tc>
        <w:tc>
          <w:tcPr>
            <w:tcW w:w="2410" w:type="dxa"/>
            <w:shd w:val="clear" w:color="auto" w:fill="FFFFFF" w:themeFill="background1"/>
            <w:hideMark/>
          </w:tcPr>
          <w:p w14:paraId="2980EC78" w14:textId="5A207E66" w:rsidR="00CF2C16" w:rsidRPr="00A02ABE" w:rsidRDefault="00CF2C16" w:rsidP="00CF2C16">
            <w:pPr>
              <w:tabs>
                <w:tab w:val="clear" w:pos="7100"/>
              </w:tabs>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pPr>
            <w:r w:rsidRPr="00A02ABE">
              <w:t>0.157 ± 0.001</w:t>
            </w:r>
          </w:p>
        </w:tc>
        <w:tc>
          <w:tcPr>
            <w:tcW w:w="1559" w:type="dxa"/>
            <w:shd w:val="clear" w:color="auto" w:fill="FFFFFF" w:themeFill="background1"/>
            <w:hideMark/>
          </w:tcPr>
          <w:p w14:paraId="60CEA7B8" w14:textId="20C9F51A" w:rsidR="00CF2C16" w:rsidRPr="00853439" w:rsidRDefault="00CF2C16" w:rsidP="00CF2C16">
            <w:pPr>
              <w:tabs>
                <w:tab w:val="clear" w:pos="7100"/>
              </w:tabs>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Arial"/>
                <w:szCs w:val="18"/>
                <w:lang w:val="en-US" w:eastAsia="es-CO"/>
              </w:rPr>
            </w:pPr>
            <w:r w:rsidRPr="00B8275D">
              <w:rPr>
                <w:rFonts w:cs="Arial"/>
                <w:szCs w:val="18"/>
                <w:lang w:eastAsia="es-CO"/>
              </w:rPr>
              <w:t>0.002</w:t>
            </w:r>
          </w:p>
        </w:tc>
        <w:tc>
          <w:tcPr>
            <w:tcW w:w="1134" w:type="dxa"/>
            <w:shd w:val="clear" w:color="auto" w:fill="FFFFFF" w:themeFill="background1"/>
            <w:hideMark/>
          </w:tcPr>
          <w:p w14:paraId="28B7803A" w14:textId="6660026B" w:rsidR="00CF2C16" w:rsidRPr="00853439" w:rsidRDefault="00CF2C16" w:rsidP="00CF2C16">
            <w:pPr>
              <w:tabs>
                <w:tab w:val="clear" w:pos="7100"/>
              </w:tabs>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Arial"/>
                <w:szCs w:val="18"/>
                <w:lang w:val="en-US" w:eastAsia="es-CO"/>
              </w:rPr>
            </w:pPr>
            <w:r w:rsidRPr="00343618">
              <w:rPr>
                <w:rFonts w:cs="Arial"/>
                <w:szCs w:val="18"/>
                <w:lang w:eastAsia="es-CO"/>
              </w:rPr>
              <w:t>1.04</w:t>
            </w:r>
          </w:p>
        </w:tc>
      </w:tr>
      <w:tr w:rsidR="00CF2C16" w:rsidRPr="00853439" w14:paraId="710AB939" w14:textId="77777777" w:rsidTr="00A02AB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276" w:type="dxa"/>
            <w:shd w:val="clear" w:color="auto" w:fill="FFFFFF" w:themeFill="background1"/>
            <w:hideMark/>
          </w:tcPr>
          <w:p w14:paraId="43DA3C83" w14:textId="1F8D2165" w:rsidR="00CF2C16" w:rsidRPr="00853439" w:rsidRDefault="00CF2C16" w:rsidP="00CF2C16">
            <w:pPr>
              <w:tabs>
                <w:tab w:val="clear" w:pos="7100"/>
              </w:tabs>
              <w:spacing w:before="100" w:beforeAutospacing="1" w:after="100" w:afterAutospacing="1" w:line="240" w:lineRule="auto"/>
              <w:rPr>
                <w:rFonts w:cs="Arial"/>
                <w:b w:val="0"/>
                <w:bCs w:val="0"/>
                <w:szCs w:val="18"/>
                <w:lang w:val="en-US" w:eastAsia="es-CO"/>
              </w:rPr>
            </w:pPr>
            <w:r w:rsidRPr="00B8275D">
              <w:rPr>
                <w:rFonts w:cs="Arial"/>
                <w:b w:val="0"/>
                <w:bCs w:val="0"/>
                <w:szCs w:val="18"/>
                <w:lang w:val="en-US" w:eastAsia="es-CO"/>
              </w:rPr>
              <w:t>C</w:t>
            </w:r>
          </w:p>
        </w:tc>
        <w:tc>
          <w:tcPr>
            <w:tcW w:w="2410" w:type="dxa"/>
            <w:shd w:val="clear" w:color="auto" w:fill="FFFFFF" w:themeFill="background1"/>
            <w:hideMark/>
          </w:tcPr>
          <w:p w14:paraId="265035BF" w14:textId="084FE767" w:rsidR="00CF2C16" w:rsidRPr="00853439" w:rsidRDefault="00CF2C16" w:rsidP="00CF2C16">
            <w:pPr>
              <w:tabs>
                <w:tab w:val="clear" w:pos="7100"/>
              </w:tabs>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cs="Arial"/>
                <w:szCs w:val="18"/>
                <w:lang w:val="en-US" w:eastAsia="es-CO"/>
              </w:rPr>
            </w:pPr>
            <w:r w:rsidRPr="00B8275D">
              <w:rPr>
                <w:rFonts w:cs="Arial"/>
                <w:szCs w:val="18"/>
                <w:lang w:eastAsia="es-CO"/>
              </w:rPr>
              <w:t>0.117 ± 0.001</w:t>
            </w:r>
          </w:p>
        </w:tc>
        <w:tc>
          <w:tcPr>
            <w:tcW w:w="1559" w:type="dxa"/>
            <w:shd w:val="clear" w:color="auto" w:fill="FFFFFF" w:themeFill="background1"/>
            <w:hideMark/>
          </w:tcPr>
          <w:p w14:paraId="77C13A0B" w14:textId="4653FCB2" w:rsidR="00CF2C16" w:rsidRPr="00853439" w:rsidRDefault="00CF2C16" w:rsidP="00CF2C16">
            <w:pPr>
              <w:tabs>
                <w:tab w:val="clear" w:pos="7100"/>
              </w:tabs>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cs="Arial"/>
                <w:szCs w:val="18"/>
                <w:lang w:val="en-US" w:eastAsia="es-CO"/>
              </w:rPr>
            </w:pPr>
            <w:r w:rsidRPr="00B8275D">
              <w:rPr>
                <w:rFonts w:cs="Arial"/>
                <w:szCs w:val="18"/>
                <w:lang w:eastAsia="es-CO"/>
              </w:rPr>
              <w:t>0.001</w:t>
            </w:r>
          </w:p>
        </w:tc>
        <w:tc>
          <w:tcPr>
            <w:tcW w:w="1134" w:type="dxa"/>
            <w:shd w:val="clear" w:color="auto" w:fill="FFFFFF" w:themeFill="background1"/>
            <w:hideMark/>
          </w:tcPr>
          <w:p w14:paraId="0D18365E" w14:textId="6E388E20" w:rsidR="00CF2C16" w:rsidRPr="00853439" w:rsidRDefault="00CF2C16" w:rsidP="00CF2C16">
            <w:pPr>
              <w:tabs>
                <w:tab w:val="clear" w:pos="7100"/>
              </w:tabs>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cs="Arial"/>
                <w:szCs w:val="18"/>
                <w:lang w:val="en-US" w:eastAsia="es-CO"/>
              </w:rPr>
            </w:pPr>
            <w:r w:rsidRPr="00FF5DEB">
              <w:rPr>
                <w:rFonts w:cs="Arial"/>
                <w:szCs w:val="18"/>
                <w:lang w:eastAsia="es-CO"/>
              </w:rPr>
              <w:t>0.18</w:t>
            </w:r>
          </w:p>
        </w:tc>
      </w:tr>
      <w:tr w:rsidR="00CF2C16" w:rsidRPr="00853439" w14:paraId="550ADA50" w14:textId="77777777" w:rsidTr="00A02ABE">
        <w:trPr>
          <w:trHeight w:val="405"/>
        </w:trPr>
        <w:tc>
          <w:tcPr>
            <w:cnfStyle w:val="001000000000" w:firstRow="0" w:lastRow="0" w:firstColumn="1" w:lastColumn="0" w:oddVBand="0" w:evenVBand="0" w:oddHBand="0" w:evenHBand="0" w:firstRowFirstColumn="0" w:firstRowLastColumn="0" w:lastRowFirstColumn="0" w:lastRowLastColumn="0"/>
            <w:tcW w:w="1276" w:type="dxa"/>
            <w:tcBorders>
              <w:bottom w:val="single" w:sz="24" w:space="0" w:color="9BBB59" w:themeColor="accent3"/>
            </w:tcBorders>
            <w:shd w:val="clear" w:color="auto" w:fill="FFFFFF" w:themeFill="background1"/>
            <w:hideMark/>
          </w:tcPr>
          <w:p w14:paraId="7887140C" w14:textId="3EDB2336" w:rsidR="00CF2C16" w:rsidRPr="00853439" w:rsidRDefault="00CF2C16" w:rsidP="00CF2C16">
            <w:pPr>
              <w:tabs>
                <w:tab w:val="clear" w:pos="7100"/>
              </w:tabs>
              <w:spacing w:before="100" w:beforeAutospacing="1" w:after="100" w:afterAutospacing="1" w:line="240" w:lineRule="auto"/>
              <w:rPr>
                <w:rFonts w:cs="Arial"/>
                <w:b w:val="0"/>
                <w:bCs w:val="0"/>
                <w:szCs w:val="18"/>
                <w:lang w:val="en-US" w:eastAsia="es-CO"/>
              </w:rPr>
            </w:pPr>
            <w:r w:rsidRPr="00B8275D">
              <w:rPr>
                <w:rFonts w:cs="Arial"/>
                <w:b w:val="0"/>
                <w:bCs w:val="0"/>
                <w:szCs w:val="18"/>
                <w:lang w:val="en-US" w:eastAsia="es-CO"/>
              </w:rPr>
              <w:t>D</w:t>
            </w:r>
          </w:p>
        </w:tc>
        <w:tc>
          <w:tcPr>
            <w:tcW w:w="2410" w:type="dxa"/>
            <w:tcBorders>
              <w:bottom w:val="single" w:sz="24" w:space="0" w:color="9BBB59" w:themeColor="accent3"/>
            </w:tcBorders>
            <w:shd w:val="clear" w:color="auto" w:fill="FFFFFF" w:themeFill="background1"/>
            <w:hideMark/>
          </w:tcPr>
          <w:p w14:paraId="7118F5F6" w14:textId="246EA42B" w:rsidR="00CF2C16" w:rsidRPr="00853439" w:rsidRDefault="00CF2C16" w:rsidP="00CF2C16">
            <w:pPr>
              <w:tabs>
                <w:tab w:val="clear" w:pos="7100"/>
              </w:tabs>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Arial"/>
                <w:szCs w:val="18"/>
                <w:lang w:val="en-US" w:eastAsia="es-CO"/>
              </w:rPr>
            </w:pPr>
            <w:r w:rsidRPr="00B8275D">
              <w:rPr>
                <w:rFonts w:cs="Arial"/>
                <w:szCs w:val="18"/>
                <w:lang w:eastAsia="es-CO"/>
              </w:rPr>
              <w:t>0.173 ± 0.001</w:t>
            </w:r>
          </w:p>
        </w:tc>
        <w:tc>
          <w:tcPr>
            <w:tcW w:w="1559" w:type="dxa"/>
            <w:tcBorders>
              <w:bottom w:val="single" w:sz="24" w:space="0" w:color="9BBB59" w:themeColor="accent3"/>
            </w:tcBorders>
            <w:shd w:val="clear" w:color="auto" w:fill="FFFFFF" w:themeFill="background1"/>
            <w:hideMark/>
          </w:tcPr>
          <w:p w14:paraId="638806D3" w14:textId="0942B01B" w:rsidR="00CF2C16" w:rsidRPr="00853439" w:rsidRDefault="00CF2C16" w:rsidP="00CF2C16">
            <w:pPr>
              <w:tabs>
                <w:tab w:val="clear" w:pos="7100"/>
              </w:tabs>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Arial"/>
                <w:szCs w:val="18"/>
                <w:lang w:val="en-US" w:eastAsia="es-CO"/>
              </w:rPr>
            </w:pPr>
            <w:r w:rsidRPr="00B8275D">
              <w:rPr>
                <w:rFonts w:cs="Arial"/>
                <w:szCs w:val="18"/>
                <w:lang w:eastAsia="es-CO"/>
              </w:rPr>
              <w:t>0.001</w:t>
            </w:r>
          </w:p>
        </w:tc>
        <w:tc>
          <w:tcPr>
            <w:tcW w:w="1134" w:type="dxa"/>
            <w:tcBorders>
              <w:bottom w:val="single" w:sz="24" w:space="0" w:color="9BBB59" w:themeColor="accent3"/>
            </w:tcBorders>
            <w:shd w:val="clear" w:color="auto" w:fill="FFFFFF" w:themeFill="background1"/>
            <w:hideMark/>
          </w:tcPr>
          <w:p w14:paraId="22B08629" w14:textId="598F53D0" w:rsidR="00CF2C16" w:rsidRPr="00853439" w:rsidRDefault="00CF2C16" w:rsidP="00CF2C16">
            <w:pPr>
              <w:tabs>
                <w:tab w:val="clear" w:pos="7100"/>
              </w:tabs>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Arial"/>
                <w:szCs w:val="18"/>
                <w:lang w:val="en-US" w:eastAsia="es-CO"/>
              </w:rPr>
            </w:pPr>
            <w:r w:rsidRPr="00CF2C16">
              <w:rPr>
                <w:rFonts w:cs="Arial"/>
                <w:szCs w:val="18"/>
                <w:lang w:eastAsia="es-CO"/>
              </w:rPr>
              <w:t>0.53</w:t>
            </w:r>
          </w:p>
        </w:tc>
      </w:tr>
    </w:tbl>
    <w:p w14:paraId="5F454F54" w14:textId="77777777" w:rsidR="00682914" w:rsidRDefault="00343B7E" w:rsidP="00343B7E">
      <w:pPr>
        <w:tabs>
          <w:tab w:val="clear" w:pos="7100"/>
        </w:tabs>
        <w:spacing w:before="100" w:beforeAutospacing="1" w:after="100" w:afterAutospacing="1" w:line="240" w:lineRule="auto"/>
        <w:jc w:val="left"/>
        <w:rPr>
          <w:rFonts w:cs="Arial"/>
          <w:b/>
          <w:bCs/>
          <w:szCs w:val="18"/>
          <w:lang w:val="en-US" w:eastAsia="es-CO"/>
        </w:rPr>
      </w:pPr>
      <w:r w:rsidRPr="00343B7E">
        <w:rPr>
          <w:rFonts w:cs="Arial"/>
          <w:b/>
          <w:bCs/>
          <w:szCs w:val="18"/>
          <w:lang w:val="en-US" w:eastAsia="es-CO"/>
        </w:rPr>
        <w:t xml:space="preserve">3.2 Relationship between sediment Hg (mg/kg) and extract exposure (ppm) </w:t>
      </w:r>
    </w:p>
    <w:p w14:paraId="7FC77958" w14:textId="31DBFB52" w:rsidR="00343B7E" w:rsidRPr="00682914" w:rsidRDefault="00343B7E" w:rsidP="00343B7E">
      <w:pPr>
        <w:tabs>
          <w:tab w:val="clear" w:pos="7100"/>
        </w:tabs>
        <w:spacing w:before="100" w:beforeAutospacing="1" w:after="100" w:afterAutospacing="1" w:line="240" w:lineRule="auto"/>
        <w:jc w:val="left"/>
        <w:rPr>
          <w:rFonts w:cs="Arial"/>
          <w:b/>
          <w:bCs/>
          <w:szCs w:val="18"/>
          <w:lang w:val="en-US" w:eastAsia="es-CO"/>
        </w:rPr>
      </w:pPr>
      <w:r w:rsidRPr="00520496">
        <w:rPr>
          <w:rFonts w:cs="Arial"/>
          <w:szCs w:val="18"/>
          <w:lang w:val="en-US" w:eastAsia="es-CO"/>
        </w:rPr>
        <w:t>Total mercury in sediments represents the environmental burden, whereas ppm concentrations in bioassays reflect the bioavailable dissolved fraction (Luoma and Rainbow, 2008). Only a fraction of sediment-bound mercury becomes solubilized and biologically accessible (Eggleton and Thomas, 2004).</w:t>
      </w:r>
      <w:r w:rsidR="00CE2C97" w:rsidRPr="00520496">
        <w:rPr>
          <w:rFonts w:cs="Arial"/>
          <w:szCs w:val="18"/>
          <w:lang w:val="en-US" w:eastAsia="es-CO"/>
        </w:rPr>
        <w:t xml:space="preserve"> </w:t>
      </w:r>
      <w:r w:rsidRPr="00520496">
        <w:rPr>
          <w:rFonts w:cs="Arial"/>
          <w:szCs w:val="18"/>
          <w:lang w:val="en-US" w:eastAsia="es-CO"/>
        </w:rPr>
        <w:t xml:space="preserve">Thus, ppm values </w:t>
      </w:r>
      <w:r w:rsidRPr="00520496">
        <w:rPr>
          <w:rFonts w:cs="Arial"/>
          <w:szCs w:val="18"/>
          <w:lang w:val="en-US" w:eastAsia="es-CO"/>
        </w:rPr>
        <w:lastRenderedPageBreak/>
        <w:t>should not be interpreted as direct conversions from sediment mg/kg, but rather as estimates of environmentally relevant exposure that better represent uptake potential in aquatic organisms (Chapman et al., 2003).</w:t>
      </w:r>
    </w:p>
    <w:p w14:paraId="005956B5" w14:textId="2635E04E" w:rsidR="00501692" w:rsidRPr="00501692" w:rsidRDefault="00DB1029" w:rsidP="00501692">
      <w:pPr>
        <w:tabs>
          <w:tab w:val="clear" w:pos="7100"/>
        </w:tabs>
        <w:spacing w:before="100" w:beforeAutospacing="1" w:after="100" w:afterAutospacing="1" w:line="240" w:lineRule="auto"/>
        <w:jc w:val="left"/>
        <w:rPr>
          <w:rFonts w:cs="Arial"/>
          <w:b/>
          <w:bCs/>
          <w:szCs w:val="18"/>
          <w:lang w:val="en-US" w:eastAsia="es-CO"/>
        </w:rPr>
      </w:pPr>
      <w:r>
        <w:rPr>
          <w:rFonts w:cs="Arial"/>
          <w:b/>
          <w:bCs/>
          <w:szCs w:val="18"/>
          <w:lang w:val="en-US" w:eastAsia="es-CO"/>
        </w:rPr>
        <w:t xml:space="preserve">3.3 </w:t>
      </w:r>
      <w:r w:rsidR="00501692" w:rsidRPr="00501692">
        <w:rPr>
          <w:rFonts w:cs="Arial"/>
          <w:b/>
          <w:bCs/>
          <w:szCs w:val="18"/>
          <w:lang w:val="en-US" w:eastAsia="es-CO"/>
        </w:rPr>
        <w:t>Effects on lethality and locomotion</w:t>
      </w:r>
    </w:p>
    <w:p w14:paraId="5DDFDBA6" w14:textId="6EF5552C" w:rsidR="00D96C25" w:rsidRPr="00501692" w:rsidRDefault="00D96C25" w:rsidP="00501692">
      <w:pPr>
        <w:tabs>
          <w:tab w:val="clear" w:pos="7100"/>
        </w:tabs>
        <w:spacing w:before="100" w:beforeAutospacing="1" w:after="100" w:afterAutospacing="1" w:line="240" w:lineRule="auto"/>
        <w:jc w:val="left"/>
        <w:rPr>
          <w:rFonts w:cs="Arial"/>
          <w:szCs w:val="18"/>
          <w:lang w:val="en-US" w:eastAsia="es-CO"/>
        </w:rPr>
      </w:pPr>
      <w:r w:rsidRPr="00D96C25">
        <w:rPr>
          <w:rFonts w:cs="Arial"/>
          <w:szCs w:val="18"/>
          <w:lang w:val="en-US" w:eastAsia="es-CO"/>
        </w:rPr>
        <w:t xml:space="preserve">Exposure of </w:t>
      </w:r>
      <w:r w:rsidRPr="00D96C25">
        <w:rPr>
          <w:rFonts w:cs="Arial"/>
          <w:i/>
          <w:iCs/>
          <w:szCs w:val="18"/>
          <w:lang w:val="en-US" w:eastAsia="es-CO"/>
        </w:rPr>
        <w:t>C. elegans</w:t>
      </w:r>
      <w:r w:rsidRPr="00D96C25">
        <w:rPr>
          <w:rFonts w:cs="Arial"/>
          <w:szCs w:val="18"/>
          <w:lang w:val="en-US" w:eastAsia="es-CO"/>
        </w:rPr>
        <w:t xml:space="preserve"> to aqueous sediment extracts resulted in concentration-dependent biological effects. Lethality assays showed no significant differences compared with the control at 10 and 100 ppm; however, exposure to 1,000 ppm induced a significant increase in mortality (</w:t>
      </w:r>
      <w:r w:rsidRPr="00D96C25">
        <w:rPr>
          <w:rFonts w:cs="Arial"/>
          <w:b/>
          <w:bCs/>
          <w:szCs w:val="18"/>
          <w:lang w:val="en-US" w:eastAsia="es-CO"/>
        </w:rPr>
        <w:t>Figure 2a</w:t>
      </w:r>
      <w:r w:rsidRPr="00D96C25">
        <w:rPr>
          <w:rFonts w:cs="Arial"/>
          <w:szCs w:val="18"/>
          <w:lang w:val="en-US" w:eastAsia="es-CO"/>
        </w:rPr>
        <w:t>), indicating that sediment-associated mercury remains biologically available and capable of inducing acute toxicity at higher concentrations.</w:t>
      </w:r>
      <w:r w:rsidR="00682914">
        <w:rPr>
          <w:rFonts w:cs="Arial"/>
          <w:szCs w:val="18"/>
          <w:lang w:val="en-US" w:eastAsia="es-CO"/>
        </w:rPr>
        <w:t xml:space="preserve"> </w:t>
      </w:r>
      <w:r w:rsidRPr="00D96C25">
        <w:rPr>
          <w:rFonts w:cs="Arial"/>
          <w:szCs w:val="18"/>
          <w:lang w:val="en-US" w:eastAsia="es-CO"/>
        </w:rPr>
        <w:t>In contrast, locomotion was significantly impaired at all tested concentrations (</w:t>
      </w:r>
      <w:r w:rsidRPr="00D96C25">
        <w:rPr>
          <w:rFonts w:cs="Arial"/>
          <w:b/>
          <w:bCs/>
          <w:szCs w:val="18"/>
          <w:lang w:val="en-US" w:eastAsia="es-CO"/>
        </w:rPr>
        <w:t>Figure 2b</w:t>
      </w:r>
      <w:r w:rsidRPr="00D96C25">
        <w:rPr>
          <w:rFonts w:cs="Arial"/>
          <w:szCs w:val="18"/>
          <w:lang w:val="en-US" w:eastAsia="es-CO"/>
        </w:rPr>
        <w:t xml:space="preserve">), demonstrating that sublethal endpoints are more sensitive indicators of mercury toxicity. Locomotor activity in </w:t>
      </w:r>
      <w:r w:rsidRPr="00D96C25">
        <w:rPr>
          <w:rFonts w:cs="Arial"/>
          <w:i/>
          <w:iCs/>
          <w:szCs w:val="18"/>
          <w:lang w:val="en-US" w:eastAsia="es-CO"/>
        </w:rPr>
        <w:t>C. elegans</w:t>
      </w:r>
      <w:r w:rsidRPr="00D96C25">
        <w:rPr>
          <w:rFonts w:cs="Arial"/>
          <w:szCs w:val="18"/>
          <w:lang w:val="en-US" w:eastAsia="es-CO"/>
        </w:rPr>
        <w:t xml:space="preserve"> is closely linked to neuronal and neuromuscular function, and reductions in body bends reflect early neurotoxic effects. The observation that locomotion was affected even at non-lethal concentrations suggests disruption of neuronal signaling prior to overt toxicity.</w:t>
      </w:r>
    </w:p>
    <w:p w14:paraId="334F1419" w14:textId="300C64F6" w:rsidR="00EF7D94" w:rsidRDefault="00DB2E75" w:rsidP="009C74BD">
      <w:pPr>
        <w:tabs>
          <w:tab w:val="clear" w:pos="7100"/>
        </w:tabs>
        <w:spacing w:before="100" w:beforeAutospacing="1" w:after="100" w:afterAutospacing="1" w:line="240" w:lineRule="auto"/>
        <w:jc w:val="left"/>
        <w:rPr>
          <w:rFonts w:cs="Arial"/>
          <w:b/>
          <w:bCs/>
          <w:szCs w:val="18"/>
          <w:lang w:val="en-US" w:eastAsia="es-CO"/>
        </w:rPr>
      </w:pPr>
      <w:r w:rsidRPr="00DB2E75">
        <w:rPr>
          <w:rFonts w:ascii="Cambria" w:eastAsia="MS Mincho" w:hAnsi="Cambria"/>
          <w:noProof/>
          <w:sz w:val="22"/>
          <w:szCs w:val="22"/>
          <w:lang w:val="en-US"/>
        </w:rPr>
        <w:drawing>
          <wp:inline distT="0" distB="0" distL="0" distR="0" wp14:anchorId="6AA3425E" wp14:editId="1754E434">
            <wp:extent cx="2565400" cy="174158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A_Lethality_Prism_Q1.png"/>
                    <pic:cNvPicPr/>
                  </pic:nvPicPr>
                  <pic:blipFill>
                    <a:blip r:embed="rId11"/>
                    <a:stretch>
                      <a:fillRect/>
                    </a:stretch>
                  </pic:blipFill>
                  <pic:spPr>
                    <a:xfrm>
                      <a:off x="0" y="0"/>
                      <a:ext cx="2601738" cy="1766250"/>
                    </a:xfrm>
                    <a:prstGeom prst="rect">
                      <a:avLst/>
                    </a:prstGeom>
                  </pic:spPr>
                </pic:pic>
              </a:graphicData>
            </a:graphic>
          </wp:inline>
        </w:drawing>
      </w:r>
      <w:r w:rsidR="00520496">
        <w:rPr>
          <w:rFonts w:cs="Arial"/>
          <w:b/>
          <w:bCs/>
          <w:szCs w:val="18"/>
          <w:lang w:val="en-US" w:eastAsia="es-CO"/>
        </w:rPr>
        <w:t xml:space="preserve">  </w:t>
      </w:r>
      <w:r w:rsidR="00324DDD">
        <w:rPr>
          <w:rFonts w:cs="Arial"/>
          <w:b/>
          <w:bCs/>
          <w:szCs w:val="18"/>
          <w:lang w:val="en-US" w:eastAsia="es-CO"/>
        </w:rPr>
        <w:t xml:space="preserve">  </w:t>
      </w:r>
      <w:r w:rsidR="009C74BD">
        <w:rPr>
          <w:rFonts w:cs="Arial"/>
          <w:b/>
          <w:bCs/>
          <w:szCs w:val="18"/>
          <w:lang w:val="en-US" w:eastAsia="es-CO"/>
        </w:rPr>
        <w:t xml:space="preserve"> </w:t>
      </w:r>
      <w:r w:rsidR="00B00234" w:rsidRPr="00776F3E">
        <w:rPr>
          <w:rFonts w:cs="Arial"/>
          <w:b/>
          <w:bCs/>
          <w:noProof/>
          <w:szCs w:val="18"/>
          <w:lang w:val="es-CO" w:eastAsia="es-CO"/>
        </w:rPr>
        <w:drawing>
          <wp:inline distT="0" distB="0" distL="0" distR="0" wp14:anchorId="22FA8AF6" wp14:editId="111C01D8">
            <wp:extent cx="2606040" cy="1737569"/>
            <wp:effectExtent l="0" t="0" r="3810" b="0"/>
            <wp:docPr id="14590873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113" cy="1782956"/>
                    </a:xfrm>
                    <a:prstGeom prst="rect">
                      <a:avLst/>
                    </a:prstGeom>
                    <a:noFill/>
                    <a:ln>
                      <a:noFill/>
                    </a:ln>
                  </pic:spPr>
                </pic:pic>
              </a:graphicData>
            </a:graphic>
          </wp:inline>
        </w:drawing>
      </w:r>
    </w:p>
    <w:p w14:paraId="1AEA481A" w14:textId="1A41175F" w:rsidR="0044344F" w:rsidRPr="00745407" w:rsidRDefault="006F56F2" w:rsidP="0044344F">
      <w:pPr>
        <w:tabs>
          <w:tab w:val="clear" w:pos="7100"/>
        </w:tabs>
        <w:spacing w:before="100" w:beforeAutospacing="1" w:after="100" w:afterAutospacing="1" w:line="240" w:lineRule="auto"/>
        <w:jc w:val="left"/>
        <w:rPr>
          <w:rFonts w:cs="Arial"/>
          <w:b/>
          <w:bCs/>
          <w:szCs w:val="18"/>
          <w:lang w:val="en-US" w:eastAsia="es-CO"/>
        </w:rPr>
      </w:pPr>
      <w:r w:rsidRPr="006F56F2">
        <w:rPr>
          <w:rFonts w:cs="Arial"/>
          <w:b/>
          <w:bCs/>
          <w:szCs w:val="18"/>
          <w:lang w:val="en-US" w:eastAsia="es-CO"/>
        </w:rPr>
        <w:t xml:space="preserve">Figure </w:t>
      </w:r>
      <w:r w:rsidR="00962FFC">
        <w:rPr>
          <w:rFonts w:cs="Arial"/>
          <w:b/>
          <w:bCs/>
          <w:szCs w:val="18"/>
          <w:lang w:val="en-US" w:eastAsia="es-CO"/>
        </w:rPr>
        <w:t>2</w:t>
      </w:r>
      <w:r w:rsidRPr="006F56F2">
        <w:rPr>
          <w:rFonts w:cs="Arial"/>
          <w:b/>
          <w:bCs/>
          <w:szCs w:val="18"/>
          <w:lang w:val="en-US" w:eastAsia="es-CO"/>
        </w:rPr>
        <w:t>:</w:t>
      </w:r>
      <w:r w:rsidRPr="006F56F2">
        <w:rPr>
          <w:rFonts w:cs="Arial"/>
          <w:szCs w:val="18"/>
          <w:lang w:val="en-US" w:eastAsia="es-CO"/>
        </w:rPr>
        <w:t xml:space="preserve"> Effects of aqueous sediment extracts on </w:t>
      </w:r>
      <w:r w:rsidRPr="006F56F2">
        <w:rPr>
          <w:rFonts w:cs="Arial"/>
          <w:i/>
          <w:iCs/>
          <w:szCs w:val="18"/>
          <w:lang w:val="en-US" w:eastAsia="es-CO"/>
        </w:rPr>
        <w:t>C. elegans</w:t>
      </w:r>
      <w:r w:rsidRPr="006F56F2">
        <w:rPr>
          <w:rFonts w:cs="Arial"/>
          <w:szCs w:val="18"/>
          <w:lang w:val="en-US" w:eastAsia="es-CO"/>
        </w:rPr>
        <w:t>.</w:t>
      </w:r>
      <w:r w:rsidR="006D3F78">
        <w:rPr>
          <w:rFonts w:cs="Arial"/>
          <w:szCs w:val="18"/>
          <w:lang w:val="en-US" w:eastAsia="es-CO"/>
        </w:rPr>
        <w:t xml:space="preserve"> </w:t>
      </w:r>
      <w:r w:rsidRPr="006F56F2">
        <w:rPr>
          <w:rFonts w:cs="Arial"/>
          <w:szCs w:val="18"/>
          <w:lang w:val="en-US" w:eastAsia="es-CO"/>
        </w:rPr>
        <w:t>(</w:t>
      </w:r>
      <w:r w:rsidR="00E713E9">
        <w:rPr>
          <w:rFonts w:cs="Arial"/>
          <w:szCs w:val="18"/>
          <w:lang w:val="en-US" w:eastAsia="es-CO"/>
        </w:rPr>
        <w:t>2</w:t>
      </w:r>
      <w:r w:rsidRPr="006F56F2">
        <w:rPr>
          <w:rFonts w:cs="Arial"/>
          <w:szCs w:val="18"/>
          <w:lang w:val="en-US" w:eastAsia="es-CO"/>
        </w:rPr>
        <w:t>a) Lethality after 24 h exposure.</w:t>
      </w:r>
      <w:r w:rsidR="006D3F78">
        <w:rPr>
          <w:rFonts w:cs="Arial"/>
          <w:szCs w:val="18"/>
          <w:lang w:val="en-US" w:eastAsia="es-CO"/>
        </w:rPr>
        <w:t xml:space="preserve"> </w:t>
      </w:r>
      <w:r w:rsidRPr="006F56F2">
        <w:rPr>
          <w:rFonts w:cs="Arial"/>
          <w:szCs w:val="18"/>
          <w:lang w:val="en-US" w:eastAsia="es-CO"/>
        </w:rPr>
        <w:t>(</w:t>
      </w:r>
      <w:r w:rsidR="00E713E9">
        <w:rPr>
          <w:rFonts w:cs="Arial"/>
          <w:szCs w:val="18"/>
          <w:lang w:val="en-US" w:eastAsia="es-CO"/>
        </w:rPr>
        <w:t>2</w:t>
      </w:r>
      <w:r w:rsidRPr="006F56F2">
        <w:rPr>
          <w:rFonts w:cs="Arial"/>
          <w:szCs w:val="18"/>
          <w:lang w:val="en-US" w:eastAsia="es-CO"/>
        </w:rPr>
        <w:t>b) Locomotion expressed as body bends per unit time.</w:t>
      </w:r>
      <w:r w:rsidR="006D3F78">
        <w:rPr>
          <w:rFonts w:cs="Arial"/>
          <w:szCs w:val="18"/>
          <w:lang w:val="en-US" w:eastAsia="es-CO"/>
        </w:rPr>
        <w:t xml:space="preserve"> </w:t>
      </w:r>
      <w:r w:rsidRPr="006F56F2">
        <w:rPr>
          <w:rFonts w:cs="Arial"/>
          <w:szCs w:val="18"/>
          <w:lang w:val="en-US" w:eastAsia="es-CO"/>
        </w:rPr>
        <w:t>Values represent mean ± SEM. * indicates significant differences compared to the control (p &lt; 0.05).</w:t>
      </w:r>
    </w:p>
    <w:p w14:paraId="07AA662C" w14:textId="77777777" w:rsidR="00EF218B" w:rsidRDefault="0044344F" w:rsidP="003625CC">
      <w:pPr>
        <w:tabs>
          <w:tab w:val="clear" w:pos="7100"/>
        </w:tabs>
        <w:spacing w:before="100" w:beforeAutospacing="1" w:after="100" w:afterAutospacing="1" w:line="240" w:lineRule="auto"/>
        <w:jc w:val="left"/>
        <w:rPr>
          <w:rFonts w:cs="Arial"/>
          <w:b/>
          <w:bCs/>
          <w:szCs w:val="18"/>
          <w:lang w:val="en-US" w:eastAsia="es-CO"/>
        </w:rPr>
      </w:pPr>
      <w:r w:rsidRPr="0044344F">
        <w:rPr>
          <w:rFonts w:cs="Arial"/>
          <w:b/>
          <w:bCs/>
          <w:szCs w:val="18"/>
          <w:lang w:val="en-US" w:eastAsia="es-CO"/>
        </w:rPr>
        <w:t>3.</w:t>
      </w:r>
      <w:r w:rsidR="00CD62C7">
        <w:rPr>
          <w:rFonts w:cs="Arial"/>
          <w:b/>
          <w:bCs/>
          <w:szCs w:val="18"/>
          <w:lang w:val="en-US" w:eastAsia="es-CO"/>
        </w:rPr>
        <w:t>4</w:t>
      </w:r>
      <w:r w:rsidRPr="0044344F">
        <w:rPr>
          <w:rFonts w:cs="Arial"/>
          <w:b/>
          <w:bCs/>
          <w:szCs w:val="18"/>
          <w:lang w:val="en-US" w:eastAsia="es-CO"/>
        </w:rPr>
        <w:t xml:space="preserve"> Oxidative stress response in </w:t>
      </w:r>
      <w:r w:rsidRPr="0044344F">
        <w:rPr>
          <w:rFonts w:cs="Arial"/>
          <w:b/>
          <w:bCs/>
          <w:i/>
          <w:iCs/>
          <w:szCs w:val="18"/>
          <w:lang w:val="en-US" w:eastAsia="es-CO"/>
        </w:rPr>
        <w:t>C. elegans</w:t>
      </w:r>
    </w:p>
    <w:p w14:paraId="7F9A21A0" w14:textId="510D5609" w:rsidR="003625CC" w:rsidRPr="00EF218B" w:rsidRDefault="0044344F" w:rsidP="003625CC">
      <w:pPr>
        <w:tabs>
          <w:tab w:val="clear" w:pos="7100"/>
        </w:tabs>
        <w:spacing w:before="100" w:beforeAutospacing="1" w:after="100" w:afterAutospacing="1" w:line="240" w:lineRule="auto"/>
        <w:jc w:val="left"/>
        <w:rPr>
          <w:rFonts w:cs="Arial"/>
          <w:b/>
          <w:bCs/>
          <w:szCs w:val="18"/>
          <w:lang w:val="en-US" w:eastAsia="es-CO"/>
        </w:rPr>
      </w:pPr>
      <w:r w:rsidRPr="0044344F">
        <w:rPr>
          <w:rFonts w:cs="Arial"/>
          <w:szCs w:val="18"/>
          <w:lang w:val="en-US" w:eastAsia="es-CO"/>
        </w:rPr>
        <w:t xml:space="preserve">At the molecular level, oxidative stress reporter assays revealed significant induction of GFP expression driven by the </w:t>
      </w:r>
      <w:r w:rsidRPr="0044344F">
        <w:rPr>
          <w:rFonts w:cs="Arial"/>
          <w:i/>
          <w:iCs/>
          <w:szCs w:val="18"/>
          <w:lang w:val="en-US" w:eastAsia="es-CO"/>
        </w:rPr>
        <w:t>sod-1</w:t>
      </w:r>
      <w:r w:rsidRPr="0044344F">
        <w:rPr>
          <w:rFonts w:cs="Arial"/>
          <w:szCs w:val="18"/>
          <w:lang w:val="en-US" w:eastAsia="es-CO"/>
        </w:rPr>
        <w:t xml:space="preserve"> and </w:t>
      </w:r>
      <w:r w:rsidRPr="0044344F">
        <w:rPr>
          <w:rFonts w:cs="Arial"/>
          <w:i/>
          <w:iCs/>
          <w:szCs w:val="18"/>
          <w:lang w:val="en-US" w:eastAsia="es-CO"/>
        </w:rPr>
        <w:t>sod-3</w:t>
      </w:r>
      <w:r w:rsidRPr="0044344F">
        <w:rPr>
          <w:rFonts w:cs="Arial"/>
          <w:szCs w:val="18"/>
          <w:lang w:val="en-US" w:eastAsia="es-CO"/>
        </w:rPr>
        <w:t xml:space="preserve"> promoters following exposure to aqueous sediment extracts (Figure 3). Superoxide dismutases play a central role in the detoxification of reactive oxygen species, and their upregulation reflects an adaptive cellular response to increased oxidative burden.</w:t>
      </w:r>
      <w:r w:rsidR="001365EA">
        <w:rPr>
          <w:rFonts w:cs="Arial"/>
          <w:szCs w:val="18"/>
          <w:lang w:val="en-US" w:eastAsia="es-CO"/>
        </w:rPr>
        <w:t xml:space="preserve"> </w:t>
      </w:r>
      <w:r w:rsidRPr="0044344F">
        <w:rPr>
          <w:rFonts w:cs="Arial"/>
          <w:szCs w:val="18"/>
          <w:lang w:val="en-US" w:eastAsia="es-CO"/>
        </w:rPr>
        <w:t>These results support the hypothesis that oxidative stress is a key mechanism underlying mercury-induced toxicity, even at environmentally relevant concentrations. Sustained activation of antioxidant defense pathways may lead to cellular exhaustion under chronic exposure scenarios, potentially contributing to long-term toxic effects in exposed organisms.</w:t>
      </w:r>
    </w:p>
    <w:p w14:paraId="5B2A7FD2" w14:textId="733E4F08" w:rsidR="003271C6" w:rsidRPr="003271C6" w:rsidRDefault="003271C6" w:rsidP="003271C6">
      <w:pPr>
        <w:tabs>
          <w:tab w:val="clear" w:pos="7100"/>
        </w:tabs>
        <w:spacing w:before="100" w:beforeAutospacing="1" w:after="100" w:afterAutospacing="1" w:line="240" w:lineRule="auto"/>
        <w:jc w:val="left"/>
        <w:rPr>
          <w:rFonts w:cs="Arial"/>
          <w:b/>
          <w:bCs/>
          <w:szCs w:val="18"/>
          <w:lang w:val="es-CO" w:eastAsia="es-CO"/>
        </w:rPr>
      </w:pPr>
      <w:r w:rsidRPr="003271C6">
        <w:rPr>
          <w:rFonts w:cs="Arial"/>
          <w:b/>
          <w:bCs/>
          <w:noProof/>
          <w:szCs w:val="18"/>
          <w:lang w:val="es-CO" w:eastAsia="es-CO"/>
        </w:rPr>
        <w:drawing>
          <wp:inline distT="0" distB="0" distL="0" distR="0" wp14:anchorId="70C1F03E" wp14:editId="642DCF17">
            <wp:extent cx="4921590" cy="1809750"/>
            <wp:effectExtent l="0" t="0" r="0" b="0"/>
            <wp:docPr id="23531800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3344" cy="1865553"/>
                    </a:xfrm>
                    <a:prstGeom prst="rect">
                      <a:avLst/>
                    </a:prstGeom>
                    <a:noFill/>
                    <a:ln>
                      <a:noFill/>
                    </a:ln>
                  </pic:spPr>
                </pic:pic>
              </a:graphicData>
            </a:graphic>
          </wp:inline>
        </w:drawing>
      </w:r>
    </w:p>
    <w:p w14:paraId="30A6F3A2" w14:textId="782D61D6" w:rsidR="002475CF" w:rsidRDefault="00997B1E" w:rsidP="002475CF">
      <w:pPr>
        <w:tabs>
          <w:tab w:val="clear" w:pos="7100"/>
        </w:tabs>
        <w:spacing w:before="100" w:beforeAutospacing="1" w:after="100" w:afterAutospacing="1" w:line="240" w:lineRule="auto"/>
        <w:jc w:val="left"/>
        <w:rPr>
          <w:rFonts w:cs="Arial"/>
          <w:szCs w:val="18"/>
          <w:lang w:val="en-US" w:eastAsia="es-CO"/>
        </w:rPr>
      </w:pPr>
      <w:r w:rsidRPr="00997B1E">
        <w:rPr>
          <w:rFonts w:cs="Arial"/>
          <w:b/>
          <w:bCs/>
          <w:szCs w:val="18"/>
          <w:lang w:eastAsia="es-CO"/>
        </w:rPr>
        <w:t>Figure 3:</w:t>
      </w:r>
      <w:r w:rsidRPr="00997B1E">
        <w:rPr>
          <w:rFonts w:cs="Arial"/>
          <w:szCs w:val="18"/>
          <w:lang w:eastAsia="es-CO"/>
        </w:rPr>
        <w:t xml:space="preserve"> Oxidative stress response evaluated by relative GFP fluorescence in transgenic </w:t>
      </w:r>
      <w:r w:rsidRPr="00997B1E">
        <w:rPr>
          <w:rFonts w:cs="Arial"/>
          <w:i/>
          <w:iCs/>
          <w:szCs w:val="18"/>
          <w:lang w:eastAsia="es-CO"/>
        </w:rPr>
        <w:t>C. elegans</w:t>
      </w:r>
      <w:r w:rsidRPr="00997B1E">
        <w:rPr>
          <w:rFonts w:cs="Arial"/>
          <w:szCs w:val="18"/>
          <w:lang w:eastAsia="es-CO"/>
        </w:rPr>
        <w:t xml:space="preserve"> exposed to aqueous sediment extracts. Fluorescence values were normalized to the control. Bars represent mean ± </w:t>
      </w:r>
      <w:r w:rsidRPr="00997B1E">
        <w:rPr>
          <w:rFonts w:cs="Arial"/>
          <w:szCs w:val="18"/>
          <w:lang w:eastAsia="es-CO"/>
        </w:rPr>
        <w:lastRenderedPageBreak/>
        <w:t>SEM. * indicates significant differences compared with the control (p &lt; 0.05; one-way ANOVA followed by Tukey’s post hoc test).</w:t>
      </w:r>
    </w:p>
    <w:p w14:paraId="4C0EDC59" w14:textId="1074E273" w:rsidR="00AE79DB" w:rsidRPr="00AE79DB" w:rsidRDefault="00AE79DB" w:rsidP="00AE79DB">
      <w:pPr>
        <w:tabs>
          <w:tab w:val="clear" w:pos="7100"/>
        </w:tabs>
        <w:spacing w:before="100" w:beforeAutospacing="1" w:after="100" w:afterAutospacing="1" w:line="240" w:lineRule="auto"/>
        <w:jc w:val="left"/>
        <w:rPr>
          <w:rFonts w:cs="Arial"/>
          <w:b/>
          <w:bCs/>
          <w:szCs w:val="18"/>
          <w:lang w:val="en-US" w:eastAsia="es-CO"/>
        </w:rPr>
      </w:pPr>
      <w:r w:rsidRPr="00AE79DB">
        <w:rPr>
          <w:rFonts w:cs="Arial"/>
          <w:b/>
          <w:bCs/>
          <w:szCs w:val="18"/>
          <w:lang w:val="en-US" w:eastAsia="es-CO"/>
        </w:rPr>
        <w:t>3.</w:t>
      </w:r>
      <w:r w:rsidR="00CD62C7">
        <w:rPr>
          <w:rFonts w:cs="Arial"/>
          <w:b/>
          <w:bCs/>
          <w:szCs w:val="18"/>
          <w:lang w:val="en-US" w:eastAsia="es-CO"/>
        </w:rPr>
        <w:t>5</w:t>
      </w:r>
      <w:r w:rsidRPr="00AE79DB">
        <w:rPr>
          <w:rFonts w:cs="Arial"/>
          <w:b/>
          <w:bCs/>
          <w:szCs w:val="18"/>
          <w:lang w:val="en-US" w:eastAsia="es-CO"/>
        </w:rPr>
        <w:t xml:space="preserve"> Neurobehavioral alterations associated with mercury exposure</w:t>
      </w:r>
    </w:p>
    <w:p w14:paraId="4B5913E3" w14:textId="10DA498A" w:rsidR="00C915F6" w:rsidRDefault="00AE79DB" w:rsidP="00BA087F">
      <w:pPr>
        <w:tabs>
          <w:tab w:val="clear" w:pos="7100"/>
        </w:tabs>
        <w:spacing w:before="100" w:beforeAutospacing="1" w:after="100" w:afterAutospacing="1" w:line="240" w:lineRule="auto"/>
        <w:jc w:val="left"/>
        <w:rPr>
          <w:rFonts w:cs="Arial"/>
          <w:szCs w:val="18"/>
          <w:lang w:val="en-US" w:eastAsia="es-CO"/>
        </w:rPr>
      </w:pPr>
      <w:r w:rsidRPr="00AE79DB">
        <w:rPr>
          <w:rFonts w:cs="Arial"/>
          <w:szCs w:val="18"/>
          <w:lang w:val="en-US" w:eastAsia="es-CO"/>
        </w:rPr>
        <w:t xml:space="preserve">Neurobehavioral alterations were further evidenced by changes in </w:t>
      </w:r>
      <w:r w:rsidRPr="00AE79DB">
        <w:rPr>
          <w:rFonts w:cs="Arial"/>
          <w:i/>
          <w:iCs/>
          <w:szCs w:val="18"/>
          <w:lang w:val="en-US" w:eastAsia="es-CO"/>
        </w:rPr>
        <w:t>nlg-1</w:t>
      </w:r>
      <w:r w:rsidRPr="00AE79DB">
        <w:rPr>
          <w:rFonts w:cs="Arial"/>
          <w:szCs w:val="18"/>
          <w:lang w:val="en-US" w:eastAsia="es-CO"/>
        </w:rPr>
        <w:t xml:space="preserve"> expression in exposed nematodes. Neuroligins are essential for synaptic organization and neuronal communication, and their dysregulation has been associated with impaired synaptic function and altered behavior. The modulation of </w:t>
      </w:r>
      <w:r w:rsidRPr="00AE79DB">
        <w:rPr>
          <w:rFonts w:cs="Arial"/>
          <w:i/>
          <w:iCs/>
          <w:szCs w:val="18"/>
          <w:lang w:val="en-US" w:eastAsia="es-CO"/>
        </w:rPr>
        <w:t>nlg-1</w:t>
      </w:r>
      <w:r w:rsidRPr="00AE79DB">
        <w:rPr>
          <w:rFonts w:cs="Arial"/>
          <w:szCs w:val="18"/>
          <w:lang w:val="en-US" w:eastAsia="es-CO"/>
        </w:rPr>
        <w:t xml:space="preserve"> expression observed in this study suggests that mercury exposure interferes with synaptic integrity and neural connectivity, providing a mechanistic explanation for the locomotor deficits detected in </w:t>
      </w:r>
      <w:r w:rsidRPr="00AE79DB">
        <w:rPr>
          <w:rFonts w:cs="Arial"/>
          <w:i/>
          <w:iCs/>
          <w:szCs w:val="18"/>
          <w:lang w:val="en-US" w:eastAsia="es-CO"/>
        </w:rPr>
        <w:t>C. elegans</w:t>
      </w:r>
      <w:r w:rsidRPr="00AE79DB">
        <w:rPr>
          <w:rFonts w:cs="Arial"/>
          <w:szCs w:val="18"/>
          <w:lang w:val="en-US" w:eastAsia="es-CO"/>
        </w:rPr>
        <w:t>.</w:t>
      </w:r>
      <w:r w:rsidR="00923F1A">
        <w:rPr>
          <w:rFonts w:cs="Arial"/>
          <w:szCs w:val="18"/>
          <w:lang w:val="en-US" w:eastAsia="es-CO"/>
        </w:rPr>
        <w:t xml:space="preserve"> </w:t>
      </w:r>
      <w:r w:rsidRPr="00AE79DB">
        <w:rPr>
          <w:rFonts w:cs="Arial"/>
          <w:szCs w:val="18"/>
          <w:lang w:val="en-US" w:eastAsia="es-CO"/>
        </w:rPr>
        <w:t xml:space="preserve">The integration of behavioral and molecular endpoints strengthens the interpretation of mercury-induced neurotoxicity and highlights the usefulness of </w:t>
      </w:r>
      <w:r w:rsidRPr="00AE79DB">
        <w:rPr>
          <w:rFonts w:cs="Arial"/>
          <w:i/>
          <w:iCs/>
          <w:szCs w:val="18"/>
          <w:lang w:val="en-US" w:eastAsia="es-CO"/>
        </w:rPr>
        <w:t>C. elegans</w:t>
      </w:r>
      <w:r w:rsidRPr="00AE79DB">
        <w:rPr>
          <w:rFonts w:cs="Arial"/>
          <w:szCs w:val="18"/>
          <w:lang w:val="en-US" w:eastAsia="es-CO"/>
        </w:rPr>
        <w:t xml:space="preserve"> as a model for linking sublethal behavioral effects with underlying cellular mechanisms.</w:t>
      </w:r>
    </w:p>
    <w:p w14:paraId="79F2F797" w14:textId="77777777" w:rsidR="006810C4" w:rsidRDefault="00CE75DF" w:rsidP="00E93293">
      <w:pPr>
        <w:tabs>
          <w:tab w:val="clear" w:pos="7100"/>
        </w:tabs>
        <w:spacing w:before="100" w:beforeAutospacing="1" w:after="100" w:afterAutospacing="1" w:line="240" w:lineRule="auto"/>
        <w:jc w:val="left"/>
        <w:rPr>
          <w:rFonts w:cs="Arial"/>
          <w:szCs w:val="18"/>
          <w:lang w:val="es-CO" w:eastAsia="es-CO"/>
        </w:rPr>
      </w:pPr>
      <w:r w:rsidRPr="00CE75DF">
        <w:rPr>
          <w:rFonts w:cs="Arial"/>
          <w:noProof/>
          <w:szCs w:val="18"/>
          <w:lang w:val="es-CO" w:eastAsia="es-CO"/>
        </w:rPr>
        <w:drawing>
          <wp:inline distT="0" distB="0" distL="0" distR="0" wp14:anchorId="5F22DACB" wp14:editId="0C9F839F">
            <wp:extent cx="3041650" cy="2156460"/>
            <wp:effectExtent l="0" t="0" r="6350" b="0"/>
            <wp:docPr id="4235783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0981" cy="2170165"/>
                    </a:xfrm>
                    <a:prstGeom prst="rect">
                      <a:avLst/>
                    </a:prstGeom>
                    <a:noFill/>
                    <a:ln>
                      <a:noFill/>
                    </a:ln>
                  </pic:spPr>
                </pic:pic>
              </a:graphicData>
            </a:graphic>
          </wp:inline>
        </w:drawing>
      </w:r>
    </w:p>
    <w:p w14:paraId="0A3FADD4" w14:textId="4D9F7908" w:rsidR="00240214" w:rsidRPr="005C33C3" w:rsidRDefault="00473CEB" w:rsidP="00E93293">
      <w:pPr>
        <w:tabs>
          <w:tab w:val="clear" w:pos="7100"/>
        </w:tabs>
        <w:spacing w:before="100" w:beforeAutospacing="1" w:after="100" w:afterAutospacing="1" w:line="240" w:lineRule="auto"/>
        <w:jc w:val="left"/>
        <w:rPr>
          <w:rFonts w:cs="Arial"/>
          <w:szCs w:val="18"/>
          <w:lang w:val="en-US" w:eastAsia="es-CO"/>
        </w:rPr>
      </w:pPr>
      <w:r w:rsidRPr="00473CEB">
        <w:rPr>
          <w:rFonts w:cs="Arial"/>
          <w:b/>
          <w:bCs/>
          <w:szCs w:val="18"/>
          <w:lang w:eastAsia="es-CO"/>
        </w:rPr>
        <w:t>Figure 4:</w:t>
      </w:r>
      <w:r w:rsidRPr="00473CEB">
        <w:rPr>
          <w:rFonts w:cs="Arial"/>
          <w:szCs w:val="18"/>
          <w:lang w:eastAsia="es-CO"/>
        </w:rPr>
        <w:t xml:space="preserve"> Neurobehavioral response assessed by relative GFP fluorescence driven by the </w:t>
      </w:r>
      <w:r w:rsidRPr="00473CEB">
        <w:rPr>
          <w:rFonts w:cs="Arial"/>
          <w:i/>
          <w:iCs/>
          <w:szCs w:val="18"/>
          <w:lang w:eastAsia="es-CO"/>
        </w:rPr>
        <w:t>nlg-1</w:t>
      </w:r>
      <w:r w:rsidRPr="00473CEB">
        <w:rPr>
          <w:rFonts w:cs="Arial"/>
          <w:szCs w:val="18"/>
          <w:lang w:eastAsia="es-CO"/>
        </w:rPr>
        <w:t xml:space="preserve"> promoter in transgenic </w:t>
      </w:r>
      <w:r w:rsidRPr="00473CEB">
        <w:rPr>
          <w:rFonts w:cs="Arial"/>
          <w:i/>
          <w:iCs/>
          <w:szCs w:val="18"/>
          <w:lang w:eastAsia="es-CO"/>
        </w:rPr>
        <w:t>C. elegans</w:t>
      </w:r>
      <w:r w:rsidRPr="00473CEB">
        <w:rPr>
          <w:rFonts w:cs="Arial"/>
          <w:szCs w:val="18"/>
          <w:lang w:eastAsia="es-CO"/>
        </w:rPr>
        <w:t xml:space="preserve"> after exposure to aqueous sediment extracts for 24 h. Values represent mean ± SEM. * p &lt; 0.05, ** p &lt; 0.01 compared with the control (one-way ANOVA followed by Tukey’s post hoc test).</w:t>
      </w:r>
    </w:p>
    <w:p w14:paraId="343C8FB9" w14:textId="7051B954" w:rsidR="00E93293" w:rsidRPr="00E93293" w:rsidRDefault="00E93293" w:rsidP="00E93293">
      <w:pPr>
        <w:tabs>
          <w:tab w:val="clear" w:pos="7100"/>
        </w:tabs>
        <w:spacing w:before="100" w:beforeAutospacing="1" w:after="100" w:afterAutospacing="1" w:line="240" w:lineRule="auto"/>
        <w:jc w:val="left"/>
        <w:rPr>
          <w:rFonts w:cs="Arial"/>
          <w:b/>
          <w:bCs/>
          <w:szCs w:val="18"/>
          <w:lang w:val="en-US" w:eastAsia="es-CO"/>
        </w:rPr>
      </w:pPr>
      <w:r w:rsidRPr="00E93293">
        <w:rPr>
          <w:rFonts w:cs="Arial"/>
          <w:b/>
          <w:bCs/>
          <w:szCs w:val="18"/>
          <w:lang w:val="en-US" w:eastAsia="es-CO"/>
        </w:rPr>
        <w:t>4. Conclusions</w:t>
      </w:r>
    </w:p>
    <w:p w14:paraId="12628826" w14:textId="77777777" w:rsidR="00E93293" w:rsidRDefault="00E93293" w:rsidP="00E93293">
      <w:pPr>
        <w:tabs>
          <w:tab w:val="clear" w:pos="7100"/>
        </w:tabs>
        <w:spacing w:before="100" w:beforeAutospacing="1" w:after="100" w:afterAutospacing="1" w:line="240" w:lineRule="auto"/>
        <w:jc w:val="left"/>
        <w:rPr>
          <w:rFonts w:cs="Arial"/>
          <w:szCs w:val="18"/>
          <w:lang w:val="en-US" w:eastAsia="es-CO"/>
        </w:rPr>
      </w:pPr>
      <w:r w:rsidRPr="00E93293">
        <w:rPr>
          <w:rFonts w:cs="Arial"/>
          <w:szCs w:val="18"/>
          <w:lang w:val="en-US" w:eastAsia="es-CO"/>
        </w:rPr>
        <w:t xml:space="preserve">This study demonstrates that surface sediments from the Marialabaja swamp contain biologically active mercury capable of inducing lethal and sublethal toxic effects in </w:t>
      </w:r>
      <w:r w:rsidRPr="00E93293">
        <w:rPr>
          <w:rFonts w:cs="Arial"/>
          <w:i/>
          <w:iCs/>
          <w:szCs w:val="18"/>
          <w:lang w:val="en-US" w:eastAsia="es-CO"/>
        </w:rPr>
        <w:t>Caenorhabditis elegans</w:t>
      </w:r>
      <w:r w:rsidRPr="00E93293">
        <w:rPr>
          <w:rFonts w:cs="Arial"/>
          <w:szCs w:val="18"/>
          <w:lang w:val="en-US" w:eastAsia="es-CO"/>
        </w:rPr>
        <w:t xml:space="preserve">. Mercury exposure impaired locomotion and activated oxidative stress and neurobehavioral pathways, underscoring the ecological relevance of sediment-associated contamination in agricultural freshwater systems. The results emphasize the importance of integrating chemical analysis with biological assays for environmental risk assessment and support the use of </w:t>
      </w:r>
      <w:r w:rsidRPr="00E93293">
        <w:rPr>
          <w:rFonts w:cs="Arial"/>
          <w:i/>
          <w:iCs/>
          <w:szCs w:val="18"/>
          <w:lang w:val="en-US" w:eastAsia="es-CO"/>
        </w:rPr>
        <w:t>C. elegans</w:t>
      </w:r>
      <w:r w:rsidRPr="00E93293">
        <w:rPr>
          <w:rFonts w:cs="Arial"/>
          <w:szCs w:val="18"/>
          <w:lang w:val="en-US" w:eastAsia="es-CO"/>
        </w:rPr>
        <w:t xml:space="preserve"> as a sensitive and mechanistically informative model for sediment toxicity evaluation.</w:t>
      </w:r>
    </w:p>
    <w:p w14:paraId="332937AA" w14:textId="77777777" w:rsidR="00487B20" w:rsidRDefault="00DD1CBA" w:rsidP="00DD1CBA">
      <w:pPr>
        <w:tabs>
          <w:tab w:val="clear" w:pos="7100"/>
        </w:tabs>
        <w:spacing w:before="100" w:beforeAutospacing="1" w:after="100" w:afterAutospacing="1" w:line="240" w:lineRule="auto"/>
        <w:jc w:val="left"/>
        <w:rPr>
          <w:rFonts w:cs="Arial"/>
          <w:b/>
          <w:bCs/>
          <w:szCs w:val="18"/>
          <w:lang w:val="en-US" w:eastAsia="es-CO"/>
        </w:rPr>
      </w:pPr>
      <w:r w:rsidRPr="00DD1CBA">
        <w:rPr>
          <w:rFonts w:cs="Arial"/>
          <w:b/>
          <w:bCs/>
          <w:szCs w:val="18"/>
          <w:lang w:val="en-US" w:eastAsia="es-CO"/>
        </w:rPr>
        <w:t>Conflict of interest</w:t>
      </w:r>
    </w:p>
    <w:p w14:paraId="7D60EE48" w14:textId="295B6B1E" w:rsidR="00DD1CBA" w:rsidRPr="00487B20" w:rsidRDefault="00DD1CBA" w:rsidP="00DD1CBA">
      <w:pPr>
        <w:tabs>
          <w:tab w:val="clear" w:pos="7100"/>
        </w:tabs>
        <w:spacing w:before="100" w:beforeAutospacing="1" w:after="100" w:afterAutospacing="1" w:line="240" w:lineRule="auto"/>
        <w:jc w:val="left"/>
        <w:rPr>
          <w:rFonts w:cs="Arial"/>
          <w:b/>
          <w:bCs/>
          <w:szCs w:val="18"/>
          <w:lang w:val="en-US" w:eastAsia="es-CO"/>
        </w:rPr>
      </w:pPr>
      <w:r w:rsidRPr="00DD1CBA">
        <w:rPr>
          <w:rFonts w:cs="Arial"/>
          <w:szCs w:val="18"/>
          <w:lang w:val="en-US" w:eastAsia="es-CO"/>
        </w:rPr>
        <w:t>The authors declare no conflict of interest.</w:t>
      </w:r>
    </w:p>
    <w:p w14:paraId="690A48A7" w14:textId="77777777" w:rsidR="008C6A74" w:rsidRDefault="008C6A74" w:rsidP="008C6A74">
      <w:pPr>
        <w:tabs>
          <w:tab w:val="clear" w:pos="7100"/>
        </w:tabs>
        <w:spacing w:before="100" w:beforeAutospacing="1" w:after="100" w:afterAutospacing="1" w:line="240" w:lineRule="auto"/>
        <w:jc w:val="left"/>
        <w:rPr>
          <w:rFonts w:cs="Arial"/>
          <w:b/>
          <w:szCs w:val="18"/>
          <w:lang w:eastAsia="es-CO"/>
        </w:rPr>
      </w:pPr>
      <w:r w:rsidRPr="008C6A74">
        <w:rPr>
          <w:rFonts w:cs="Arial"/>
          <w:b/>
          <w:szCs w:val="18"/>
          <w:lang w:eastAsia="es-CO"/>
        </w:rPr>
        <w:t>Acknowledgments</w:t>
      </w:r>
    </w:p>
    <w:p w14:paraId="791F869D" w14:textId="6C8A4E39" w:rsidR="00D80202" w:rsidRPr="00487B20" w:rsidRDefault="00E42B45" w:rsidP="00487B20">
      <w:pPr>
        <w:tabs>
          <w:tab w:val="clear" w:pos="7100"/>
        </w:tabs>
        <w:spacing w:before="100" w:beforeAutospacing="1" w:after="100" w:afterAutospacing="1" w:line="240" w:lineRule="auto"/>
        <w:jc w:val="left"/>
        <w:rPr>
          <w:rFonts w:cs="Arial"/>
          <w:bCs/>
          <w:szCs w:val="18"/>
          <w:lang w:val="en-US" w:eastAsia="es-CO"/>
        </w:rPr>
      </w:pPr>
      <w:r w:rsidRPr="00E42B45">
        <w:rPr>
          <w:rFonts w:cs="Arial"/>
          <w:bCs/>
          <w:szCs w:val="18"/>
          <w:lang w:val="en-US" w:eastAsia="es-CO"/>
        </w:rPr>
        <w:t>Vice-Rectory for Research at the University of Cartagena-Colombia, support Research Group BIOTOXAM Grant N° 003A-2022, Resolution No. 01388 august 31, 2021. National Program for Doctoral Formation Minciencias Grant 727- 2015.</w:t>
      </w:r>
    </w:p>
    <w:p w14:paraId="428B022A" w14:textId="74C85905" w:rsidR="00E65B91" w:rsidRPr="00306990" w:rsidRDefault="00600535" w:rsidP="00487B20">
      <w:pPr>
        <w:pStyle w:val="CETReference"/>
        <w:rPr>
          <w:rFonts w:cs="Arial"/>
          <w:szCs w:val="18"/>
        </w:rPr>
      </w:pPr>
      <w:r w:rsidRPr="00306990">
        <w:rPr>
          <w:rFonts w:cs="Arial"/>
          <w:szCs w:val="18"/>
        </w:rPr>
        <w:t>References</w:t>
      </w:r>
    </w:p>
    <w:p w14:paraId="012F7725" w14:textId="77777777" w:rsidR="00126D60" w:rsidRPr="006E475B" w:rsidRDefault="00126D60" w:rsidP="00126D60">
      <w:pPr>
        <w:pStyle w:val="CETReferencetext"/>
        <w:rPr>
          <w:rFonts w:cs="Arial"/>
          <w:szCs w:val="18"/>
          <w:lang w:val="en-US"/>
        </w:rPr>
      </w:pPr>
      <w:r w:rsidRPr="006E475B">
        <w:rPr>
          <w:rFonts w:cs="Arial"/>
          <w:szCs w:val="18"/>
          <w:lang w:val="en-US"/>
        </w:rPr>
        <w:t xml:space="preserve">Anbalagan, C., Lafayette, I., Antoniou-Kourounioti, M., Haque, M., King, J., Johnsen, B., Baillie, D., Gutierrez, C., Martin, R., 2013, Transgenic nematodes as biosensors for metal stress in soil pore water samples, </w:t>
      </w:r>
      <w:r w:rsidRPr="006E475B">
        <w:rPr>
          <w:rFonts w:cs="Arial"/>
          <w:i/>
          <w:iCs/>
          <w:szCs w:val="18"/>
          <w:lang w:val="en-US"/>
        </w:rPr>
        <w:t>Environmental Toxicology and Chemistry</w:t>
      </w:r>
      <w:r w:rsidRPr="006E475B">
        <w:rPr>
          <w:rFonts w:cs="Arial"/>
          <w:szCs w:val="18"/>
          <w:lang w:val="en-US"/>
        </w:rPr>
        <w:t>, 32, 2601–2610.</w:t>
      </w:r>
    </w:p>
    <w:p w14:paraId="14FA7294" w14:textId="77777777" w:rsidR="00126D60" w:rsidRPr="006E475B" w:rsidRDefault="00126D60" w:rsidP="00126D60">
      <w:pPr>
        <w:pStyle w:val="CETReferencetext"/>
        <w:rPr>
          <w:rFonts w:cs="Arial"/>
          <w:szCs w:val="18"/>
          <w:lang w:val="en-US"/>
        </w:rPr>
      </w:pPr>
      <w:r w:rsidRPr="006E475B">
        <w:rPr>
          <w:rFonts w:cs="Arial"/>
          <w:szCs w:val="18"/>
          <w:lang w:val="en-US"/>
        </w:rPr>
        <w:lastRenderedPageBreak/>
        <w:t xml:space="preserve">Benítez, L., Olívero-Verbel, J., 2016, </w:t>
      </w:r>
      <w:r w:rsidRPr="006E475B">
        <w:rPr>
          <w:rFonts w:cs="Arial"/>
          <w:i/>
          <w:iCs/>
          <w:szCs w:val="18"/>
          <w:lang w:val="en-US"/>
        </w:rPr>
        <w:t>Caenorhabditis elegans</w:t>
      </w:r>
      <w:r w:rsidRPr="006E475B">
        <w:rPr>
          <w:rFonts w:cs="Arial"/>
          <w:szCs w:val="18"/>
          <w:lang w:val="en-US"/>
        </w:rPr>
        <w:t xml:space="preserve">, a biological model for research in toxicology, </w:t>
      </w:r>
      <w:r w:rsidRPr="006E475B">
        <w:rPr>
          <w:rFonts w:cs="Arial"/>
          <w:i/>
          <w:iCs/>
          <w:szCs w:val="18"/>
          <w:lang w:val="en-US"/>
        </w:rPr>
        <w:t>Reviews of Environmental Contamination and Toxicology</w:t>
      </w:r>
      <w:r w:rsidRPr="006E475B">
        <w:rPr>
          <w:rFonts w:cs="Arial"/>
          <w:szCs w:val="18"/>
          <w:lang w:val="en-US"/>
        </w:rPr>
        <w:t>, 237, 1–35.</w:t>
      </w:r>
    </w:p>
    <w:p w14:paraId="670A4AB7" w14:textId="77777777" w:rsidR="00126D60" w:rsidRDefault="00126D60" w:rsidP="00126D60">
      <w:pPr>
        <w:pStyle w:val="CETReferencetext"/>
        <w:rPr>
          <w:rFonts w:cs="Arial"/>
          <w:szCs w:val="18"/>
          <w:lang w:val="en-US"/>
        </w:rPr>
      </w:pPr>
      <w:r w:rsidRPr="006E475B">
        <w:rPr>
          <w:rFonts w:cs="Arial"/>
          <w:szCs w:val="18"/>
          <w:lang w:val="en-US"/>
        </w:rPr>
        <w:t xml:space="preserve">Bjørklund, G., Dadar, M., Mutter, J., Aaseth, J., 2017, The toxicology of mercury: current research and emerging trends, </w:t>
      </w:r>
      <w:r w:rsidRPr="006E475B">
        <w:rPr>
          <w:rFonts w:cs="Arial"/>
          <w:i/>
          <w:iCs/>
          <w:szCs w:val="18"/>
          <w:lang w:val="en-US"/>
        </w:rPr>
        <w:t>Environmental Research</w:t>
      </w:r>
      <w:r w:rsidRPr="006E475B">
        <w:rPr>
          <w:rFonts w:cs="Arial"/>
          <w:szCs w:val="18"/>
          <w:lang w:val="en-US"/>
        </w:rPr>
        <w:t>, 159, 545–554.</w:t>
      </w:r>
    </w:p>
    <w:p w14:paraId="06A3DFAE" w14:textId="3523562D" w:rsidR="005C33C3" w:rsidRDefault="005C33C3" w:rsidP="00126D60">
      <w:pPr>
        <w:pStyle w:val="CETReferencetext"/>
        <w:rPr>
          <w:rFonts w:cs="Arial"/>
          <w:szCs w:val="18"/>
          <w:lang w:val="en-US"/>
        </w:rPr>
      </w:pPr>
      <w:r w:rsidRPr="005C33C3">
        <w:rPr>
          <w:rFonts w:cs="Arial"/>
          <w:szCs w:val="18"/>
          <w:lang w:val="en-US"/>
        </w:rPr>
        <w:t>Canadian Council of Ministers of the Environment (CCME), 2001, Canadian sediment quality guidelines for the protection of aquatic life: Mercury, Canadian Environmental Quality Guidelines, Winnipeg.</w:t>
      </w:r>
    </w:p>
    <w:p w14:paraId="2E4A4E50" w14:textId="5578B50D" w:rsidR="00A00D22" w:rsidRPr="006E475B" w:rsidRDefault="00A00D22" w:rsidP="00126D60">
      <w:pPr>
        <w:pStyle w:val="CETReferencetext"/>
        <w:rPr>
          <w:rFonts w:cs="Arial"/>
          <w:szCs w:val="18"/>
          <w:lang w:val="en-US"/>
        </w:rPr>
      </w:pPr>
      <w:r w:rsidRPr="00A00D22">
        <w:rPr>
          <w:rFonts w:cs="Arial"/>
          <w:szCs w:val="18"/>
          <w:lang w:val="en-US"/>
        </w:rPr>
        <w:t>Chapman, P.M., Wang, F., Janssen, C., Goulet, R., Kamunde, C., 2003, Conducting ecological risk assessments of inorganic metals and metalloids: current status, Human and Ecological Risk Assessment, 9, 641–697.</w:t>
      </w:r>
    </w:p>
    <w:p w14:paraId="10E1479B" w14:textId="77777777" w:rsidR="00126D60" w:rsidRPr="006E475B" w:rsidRDefault="00126D60" w:rsidP="00126D60">
      <w:pPr>
        <w:pStyle w:val="CETReferencetext"/>
        <w:rPr>
          <w:rFonts w:cs="Arial"/>
          <w:szCs w:val="18"/>
          <w:lang w:val="en-US"/>
        </w:rPr>
      </w:pPr>
      <w:r w:rsidRPr="006E475B">
        <w:rPr>
          <w:rFonts w:cs="Arial"/>
          <w:szCs w:val="18"/>
          <w:lang w:val="en-US"/>
        </w:rPr>
        <w:t xml:space="preserve">Clarkson, T.W., 1997, The toxicology of mercury, </w:t>
      </w:r>
      <w:r w:rsidRPr="006E475B">
        <w:rPr>
          <w:rFonts w:cs="Arial"/>
          <w:i/>
          <w:iCs/>
          <w:szCs w:val="18"/>
          <w:lang w:val="en-US"/>
        </w:rPr>
        <w:t>Critical Reviews in Clinical Laboratory Sciences</w:t>
      </w:r>
      <w:r w:rsidRPr="006E475B">
        <w:rPr>
          <w:rFonts w:cs="Arial"/>
          <w:szCs w:val="18"/>
          <w:lang w:val="en-US"/>
        </w:rPr>
        <w:t>, 34, 369–403.</w:t>
      </w:r>
    </w:p>
    <w:p w14:paraId="2D84BD82" w14:textId="77777777" w:rsidR="00126D60" w:rsidRPr="006E475B" w:rsidRDefault="00126D60" w:rsidP="00126D60">
      <w:pPr>
        <w:pStyle w:val="CETReferencetext"/>
        <w:rPr>
          <w:rFonts w:cs="Arial"/>
          <w:szCs w:val="18"/>
          <w:lang w:val="en-US"/>
        </w:rPr>
      </w:pPr>
      <w:r w:rsidRPr="006E475B">
        <w:rPr>
          <w:rFonts w:cs="Arial"/>
          <w:szCs w:val="18"/>
          <w:lang w:val="en-US"/>
        </w:rPr>
        <w:t xml:space="preserve">Clarkson, T.W., Magós, L., Myers, G.J., 2003, The toxicology of mercury—current exposures and clinical manifestations, </w:t>
      </w:r>
      <w:r w:rsidRPr="006E475B">
        <w:rPr>
          <w:rFonts w:cs="Arial"/>
          <w:i/>
          <w:iCs/>
          <w:szCs w:val="18"/>
          <w:lang w:val="en-US"/>
        </w:rPr>
        <w:t>New England Journal of Medicine</w:t>
      </w:r>
      <w:r w:rsidRPr="006E475B">
        <w:rPr>
          <w:rFonts w:cs="Arial"/>
          <w:szCs w:val="18"/>
          <w:lang w:val="en-US"/>
        </w:rPr>
        <w:t>, 349, 1731–1737.</w:t>
      </w:r>
    </w:p>
    <w:p w14:paraId="5866E08B" w14:textId="77777777" w:rsidR="00126D60" w:rsidRPr="006E475B" w:rsidRDefault="00126D60" w:rsidP="00126D60">
      <w:pPr>
        <w:pStyle w:val="CETReferencetext"/>
        <w:rPr>
          <w:rFonts w:cs="Arial"/>
          <w:szCs w:val="18"/>
          <w:lang w:val="en-US"/>
        </w:rPr>
      </w:pPr>
      <w:r w:rsidRPr="006E475B">
        <w:rPr>
          <w:rFonts w:cs="Arial"/>
          <w:szCs w:val="18"/>
          <w:lang w:val="en-US"/>
        </w:rPr>
        <w:t xml:space="preserve">Corsi, A.K., Wightman, B., Chalfie, M., 2015, A transparent window into biology: a primer on </w:t>
      </w:r>
      <w:r w:rsidRPr="006E475B">
        <w:rPr>
          <w:rFonts w:cs="Arial"/>
          <w:i/>
          <w:iCs/>
          <w:szCs w:val="18"/>
          <w:lang w:val="en-US"/>
        </w:rPr>
        <w:t>Caenorhabditis elegans</w:t>
      </w:r>
      <w:r w:rsidRPr="006E475B">
        <w:rPr>
          <w:rFonts w:cs="Arial"/>
          <w:szCs w:val="18"/>
          <w:lang w:val="en-US"/>
        </w:rPr>
        <w:t xml:space="preserve">, </w:t>
      </w:r>
      <w:r w:rsidRPr="006E475B">
        <w:rPr>
          <w:rFonts w:cs="Arial"/>
          <w:i/>
          <w:iCs/>
          <w:szCs w:val="18"/>
          <w:lang w:val="en-US"/>
        </w:rPr>
        <w:t>Genetics</w:t>
      </w:r>
      <w:r w:rsidRPr="006E475B">
        <w:rPr>
          <w:rFonts w:cs="Arial"/>
          <w:szCs w:val="18"/>
          <w:lang w:val="en-US"/>
        </w:rPr>
        <w:t>, 200, 387–407.</w:t>
      </w:r>
    </w:p>
    <w:p w14:paraId="7DC116CC" w14:textId="77777777" w:rsidR="00126D60" w:rsidRDefault="00126D60" w:rsidP="00126D60">
      <w:pPr>
        <w:pStyle w:val="CETReferencetext"/>
        <w:rPr>
          <w:rFonts w:cs="Arial"/>
          <w:szCs w:val="18"/>
          <w:lang w:val="en-US"/>
        </w:rPr>
      </w:pPr>
      <w:r w:rsidRPr="006E475B">
        <w:rPr>
          <w:rFonts w:cs="Arial"/>
          <w:szCs w:val="18"/>
          <w:lang w:val="es-CO"/>
        </w:rPr>
        <w:t xml:space="preserve">Daniels Puello, A.J., 2016, La transformación de la estructura productiva de los Montes de María: de despensa agrícola a distrito minero-energético, </w:t>
      </w:r>
      <w:r w:rsidRPr="006E475B">
        <w:rPr>
          <w:rFonts w:cs="Arial"/>
          <w:i/>
          <w:iCs/>
          <w:szCs w:val="18"/>
          <w:lang w:val="es-CO"/>
        </w:rPr>
        <w:t xml:space="preserve">Memorias. </w:t>
      </w:r>
      <w:r w:rsidRPr="006E475B">
        <w:rPr>
          <w:rFonts w:cs="Arial"/>
          <w:i/>
          <w:iCs/>
          <w:szCs w:val="18"/>
          <w:lang w:val="en-US"/>
        </w:rPr>
        <w:t>Revista Digital de Historia y Arqueología desde el Caribe</w:t>
      </w:r>
      <w:r w:rsidRPr="006E475B">
        <w:rPr>
          <w:rFonts w:cs="Arial"/>
          <w:szCs w:val="18"/>
          <w:lang w:val="en-US"/>
        </w:rPr>
        <w:t>, 29, 52–83.</w:t>
      </w:r>
    </w:p>
    <w:p w14:paraId="7E323310" w14:textId="0988303A" w:rsidR="00CA552A" w:rsidRPr="006E475B" w:rsidRDefault="00CA552A" w:rsidP="00126D60">
      <w:pPr>
        <w:pStyle w:val="CETReferencetext"/>
        <w:rPr>
          <w:rFonts w:cs="Arial"/>
          <w:szCs w:val="18"/>
          <w:lang w:val="en-US"/>
        </w:rPr>
      </w:pPr>
      <w:r w:rsidRPr="00CA552A">
        <w:rPr>
          <w:rFonts w:cs="Arial"/>
          <w:szCs w:val="18"/>
          <w:lang w:val="en-US"/>
        </w:rPr>
        <w:t>Eggleton, J., Thomas, K.V., 2004, A review of factors affecting the release and bioavailability of contaminants during sediment disturbance events, Environment International, 30, 973–980.</w:t>
      </w:r>
    </w:p>
    <w:p w14:paraId="73949C4C" w14:textId="77777777" w:rsidR="00126D60" w:rsidRPr="006E475B" w:rsidRDefault="00126D60" w:rsidP="00126D60">
      <w:pPr>
        <w:pStyle w:val="CETReferencetext"/>
        <w:rPr>
          <w:rFonts w:cs="Arial"/>
          <w:szCs w:val="18"/>
          <w:lang w:val="en-US"/>
        </w:rPr>
      </w:pPr>
      <w:r w:rsidRPr="006E475B">
        <w:rPr>
          <w:rFonts w:cs="Arial"/>
          <w:szCs w:val="18"/>
          <w:lang w:val="en-US"/>
        </w:rPr>
        <w:t xml:space="preserve">Franco, J.L., Posser, T., Dunkley, P.R., Dickson, P.W., Mattos, J.J., Martins, R., Bainy, A.C.D., Dafre, A.L., Farina, M., 2009, Methylmercury neurotoxicity is associated with inhibition of the antioxidant enzyme glutathione peroxidase, </w:t>
      </w:r>
      <w:r w:rsidRPr="006E475B">
        <w:rPr>
          <w:rFonts w:cs="Arial"/>
          <w:i/>
          <w:iCs/>
          <w:szCs w:val="18"/>
          <w:lang w:val="en-US"/>
        </w:rPr>
        <w:t>Free Radical Biology and Medicine</w:t>
      </w:r>
      <w:r w:rsidRPr="006E475B">
        <w:rPr>
          <w:rFonts w:cs="Arial"/>
          <w:szCs w:val="18"/>
          <w:lang w:val="en-US"/>
        </w:rPr>
        <w:t>, 47, 449–457.</w:t>
      </w:r>
    </w:p>
    <w:p w14:paraId="273D0A1E" w14:textId="77777777" w:rsidR="00126D60" w:rsidRPr="006E475B" w:rsidRDefault="00126D60" w:rsidP="00126D60">
      <w:pPr>
        <w:pStyle w:val="CETReferencetext"/>
        <w:rPr>
          <w:rFonts w:cs="Arial"/>
          <w:szCs w:val="18"/>
          <w:lang w:val="en-US"/>
        </w:rPr>
      </w:pPr>
      <w:r w:rsidRPr="006E475B">
        <w:rPr>
          <w:rFonts w:cs="Arial"/>
          <w:szCs w:val="18"/>
          <w:lang w:val="en-US"/>
        </w:rPr>
        <w:t xml:space="preserve">Fujimura, M., Usuki, F., 2022, Cellular conditions responsible for methylmercury-mediated neurotoxicity, </w:t>
      </w:r>
      <w:r w:rsidRPr="006E475B">
        <w:rPr>
          <w:rFonts w:cs="Arial"/>
          <w:i/>
          <w:iCs/>
          <w:szCs w:val="18"/>
          <w:lang w:val="en-US"/>
        </w:rPr>
        <w:t>International Journal of Molecular Sciences</w:t>
      </w:r>
      <w:r w:rsidRPr="006E475B">
        <w:rPr>
          <w:rFonts w:cs="Arial"/>
          <w:szCs w:val="18"/>
          <w:lang w:val="en-US"/>
        </w:rPr>
        <w:t>, 23, 7218.</w:t>
      </w:r>
    </w:p>
    <w:p w14:paraId="6BB9FA23" w14:textId="77777777" w:rsidR="00126D60" w:rsidRPr="006E475B" w:rsidRDefault="00126D60" w:rsidP="00126D60">
      <w:pPr>
        <w:pStyle w:val="CETReferencetext"/>
        <w:rPr>
          <w:rFonts w:cs="Arial"/>
          <w:szCs w:val="18"/>
          <w:lang w:val="en-US"/>
        </w:rPr>
      </w:pPr>
      <w:r w:rsidRPr="006E475B">
        <w:rPr>
          <w:rFonts w:cs="Arial"/>
          <w:szCs w:val="18"/>
          <w:lang w:val="en-US"/>
        </w:rPr>
        <w:t xml:space="preserve">Grandjean, P., Weihe, P., White, R.F., Debes, F., Araki, S., Yokoyama, K., Murata, K., Sørensen, N., Dahl, R., Jørgensen, P.J., 1997, Cognitive deficit in 7-year-old children with prenatal exposure to methylmercury, </w:t>
      </w:r>
      <w:r w:rsidRPr="006E475B">
        <w:rPr>
          <w:rFonts w:cs="Arial"/>
          <w:i/>
          <w:iCs/>
          <w:szCs w:val="18"/>
          <w:lang w:val="en-US"/>
        </w:rPr>
        <w:t>Neurotoxicology and Teratology</w:t>
      </w:r>
      <w:r w:rsidRPr="006E475B">
        <w:rPr>
          <w:rFonts w:cs="Arial"/>
          <w:szCs w:val="18"/>
          <w:lang w:val="en-US"/>
        </w:rPr>
        <w:t>, 19, 417–428.</w:t>
      </w:r>
    </w:p>
    <w:p w14:paraId="58BDF75E" w14:textId="77777777" w:rsidR="00126D60" w:rsidRPr="006E475B" w:rsidRDefault="00126D60" w:rsidP="00126D60">
      <w:pPr>
        <w:pStyle w:val="CETReferencetext"/>
        <w:rPr>
          <w:rFonts w:cs="Arial"/>
          <w:szCs w:val="18"/>
          <w:lang w:val="en-US"/>
        </w:rPr>
      </w:pPr>
      <w:r w:rsidRPr="006E475B">
        <w:rPr>
          <w:rFonts w:cs="Arial"/>
          <w:szCs w:val="18"/>
          <w:lang w:val="en-US"/>
        </w:rPr>
        <w:t xml:space="preserve">Harada, M., 1995, Minamata disease: methylmercury poisoning in Japan caused by environmental pollution, </w:t>
      </w:r>
      <w:r w:rsidRPr="006E475B">
        <w:rPr>
          <w:rFonts w:cs="Arial"/>
          <w:i/>
          <w:iCs/>
          <w:szCs w:val="18"/>
          <w:lang w:val="en-US"/>
        </w:rPr>
        <w:t>Critical Reviews in Toxicology</w:t>
      </w:r>
      <w:r w:rsidRPr="006E475B">
        <w:rPr>
          <w:rFonts w:cs="Arial"/>
          <w:szCs w:val="18"/>
          <w:lang w:val="en-US"/>
        </w:rPr>
        <w:t>, 25, 1–24.</w:t>
      </w:r>
    </w:p>
    <w:p w14:paraId="0AC7A54C" w14:textId="77777777" w:rsidR="00126D60" w:rsidRPr="006E475B" w:rsidRDefault="00126D60" w:rsidP="00126D60">
      <w:pPr>
        <w:pStyle w:val="CETReferencetext"/>
        <w:rPr>
          <w:rFonts w:cs="Arial"/>
          <w:szCs w:val="18"/>
          <w:lang w:val="en-US"/>
        </w:rPr>
      </w:pPr>
      <w:r w:rsidRPr="006E475B">
        <w:rPr>
          <w:rFonts w:cs="Arial"/>
          <w:szCs w:val="18"/>
          <w:lang w:val="en-US"/>
        </w:rPr>
        <w:t xml:space="preserve">Kaletta, T., Hengartner, M.O., 2006, Finding function in novel targets: </w:t>
      </w:r>
      <w:r w:rsidRPr="006E475B">
        <w:rPr>
          <w:rFonts w:cs="Arial"/>
          <w:i/>
          <w:iCs/>
          <w:szCs w:val="18"/>
          <w:lang w:val="en-US"/>
        </w:rPr>
        <w:t>C. elegans</w:t>
      </w:r>
      <w:r w:rsidRPr="006E475B">
        <w:rPr>
          <w:rFonts w:cs="Arial"/>
          <w:szCs w:val="18"/>
          <w:lang w:val="en-US"/>
        </w:rPr>
        <w:t xml:space="preserve"> as a model organism, </w:t>
      </w:r>
      <w:r w:rsidRPr="006E475B">
        <w:rPr>
          <w:rFonts w:cs="Arial"/>
          <w:i/>
          <w:iCs/>
          <w:szCs w:val="18"/>
          <w:lang w:val="en-US"/>
        </w:rPr>
        <w:t>Nature Reviews Drug Discovery</w:t>
      </w:r>
      <w:r w:rsidRPr="006E475B">
        <w:rPr>
          <w:rFonts w:cs="Arial"/>
          <w:szCs w:val="18"/>
          <w:lang w:val="en-US"/>
        </w:rPr>
        <w:t>, 5, 387–399.</w:t>
      </w:r>
    </w:p>
    <w:p w14:paraId="281D076A" w14:textId="77777777" w:rsidR="00126D60" w:rsidRPr="006E475B" w:rsidRDefault="00126D60" w:rsidP="00126D60">
      <w:pPr>
        <w:pStyle w:val="CETReferencetext"/>
        <w:rPr>
          <w:rFonts w:cs="Arial"/>
          <w:szCs w:val="18"/>
          <w:lang w:val="en-US"/>
        </w:rPr>
      </w:pPr>
      <w:r w:rsidRPr="006E475B">
        <w:rPr>
          <w:rFonts w:cs="Arial"/>
          <w:szCs w:val="18"/>
          <w:lang w:val="en-US"/>
        </w:rPr>
        <w:t xml:space="preserve">Kaur, P., Aschner, M., Syversen, T., 2006, Glutathione modulation influences methylmercury-induced neurotoxicity in primary cell cultures of neurons and astrocytes, </w:t>
      </w:r>
      <w:r w:rsidRPr="006E475B">
        <w:rPr>
          <w:rFonts w:cs="Arial"/>
          <w:i/>
          <w:iCs/>
          <w:szCs w:val="18"/>
          <w:lang w:val="en-US"/>
        </w:rPr>
        <w:t>NeuroToxicology</w:t>
      </w:r>
      <w:r w:rsidRPr="006E475B">
        <w:rPr>
          <w:rFonts w:cs="Arial"/>
          <w:szCs w:val="18"/>
          <w:lang w:val="en-US"/>
        </w:rPr>
        <w:t>, 27, 492–500.</w:t>
      </w:r>
    </w:p>
    <w:p w14:paraId="7CB226D3" w14:textId="77777777" w:rsidR="00126D60" w:rsidRDefault="00126D60" w:rsidP="00126D60">
      <w:pPr>
        <w:pStyle w:val="CETReferencetext"/>
        <w:rPr>
          <w:rFonts w:cs="Arial"/>
          <w:szCs w:val="18"/>
          <w:lang w:val="en-US"/>
        </w:rPr>
      </w:pPr>
      <w:r w:rsidRPr="006E475B">
        <w:rPr>
          <w:rFonts w:cs="Arial"/>
          <w:szCs w:val="18"/>
          <w:lang w:val="en-US"/>
        </w:rPr>
        <w:t xml:space="preserve">Leung, M.C.K., Williams, P.L., Benedetto, A., Au, C., Helmcke, K.J., Aschner, M., Meyer, J.N., 2008, </w:t>
      </w:r>
      <w:r w:rsidRPr="006E475B">
        <w:rPr>
          <w:rFonts w:cs="Arial"/>
          <w:i/>
          <w:iCs/>
          <w:szCs w:val="18"/>
          <w:lang w:val="en-US"/>
        </w:rPr>
        <w:t>Caenorhabditis elegans</w:t>
      </w:r>
      <w:r w:rsidRPr="006E475B">
        <w:rPr>
          <w:rFonts w:cs="Arial"/>
          <w:szCs w:val="18"/>
          <w:lang w:val="en-US"/>
        </w:rPr>
        <w:t xml:space="preserve">: an emerging model in biomedical and environmental toxicology, </w:t>
      </w:r>
      <w:r w:rsidRPr="006E475B">
        <w:rPr>
          <w:rFonts w:cs="Arial"/>
          <w:i/>
          <w:iCs/>
          <w:szCs w:val="18"/>
          <w:lang w:val="en-US"/>
        </w:rPr>
        <w:t>Toxicological Sciences</w:t>
      </w:r>
      <w:r w:rsidRPr="006E475B">
        <w:rPr>
          <w:rFonts w:cs="Arial"/>
          <w:szCs w:val="18"/>
          <w:lang w:val="en-US"/>
        </w:rPr>
        <w:t>, 106, 5–28.</w:t>
      </w:r>
    </w:p>
    <w:p w14:paraId="3BEC25A8" w14:textId="369C2F0A" w:rsidR="00225DE4" w:rsidRDefault="00225DE4" w:rsidP="00126D60">
      <w:pPr>
        <w:pStyle w:val="CETReferencetext"/>
        <w:rPr>
          <w:rFonts w:cs="Arial"/>
          <w:szCs w:val="18"/>
          <w:lang w:val="en-US"/>
        </w:rPr>
      </w:pPr>
      <w:r w:rsidRPr="00225DE4">
        <w:rPr>
          <w:rFonts w:cs="Arial"/>
          <w:szCs w:val="18"/>
          <w:lang w:val="en-US"/>
        </w:rPr>
        <w:t>Long, E.R., MacDonald, D.D., Smith, S.L., Calder, F.D., 1995, Incidence of adverse biological effects within ranges of chemical concentrations in marine and estuarine sediments, Environmental Management, 19, 81–97.</w:t>
      </w:r>
    </w:p>
    <w:p w14:paraId="4D5B8F1C" w14:textId="3CD0D28C" w:rsidR="00225DE4" w:rsidRDefault="00225DE4" w:rsidP="00126D60">
      <w:pPr>
        <w:pStyle w:val="CETReferencetext"/>
        <w:rPr>
          <w:rFonts w:cs="Arial"/>
          <w:szCs w:val="18"/>
          <w:lang w:val="en-US"/>
        </w:rPr>
      </w:pPr>
      <w:r w:rsidRPr="00225DE4">
        <w:rPr>
          <w:rFonts w:cs="Arial"/>
          <w:szCs w:val="18"/>
          <w:lang w:val="en-US"/>
        </w:rPr>
        <w:t>Luoma, S.N., Rainbow, P.S., 2008, Metal contamination in aquatic environments: science and lateral management, Cambridge University Press, Cambridge.</w:t>
      </w:r>
    </w:p>
    <w:p w14:paraId="503803B2" w14:textId="434AF538" w:rsidR="00CE2C97" w:rsidRPr="006E475B" w:rsidRDefault="00CE2C97" w:rsidP="00126D60">
      <w:pPr>
        <w:pStyle w:val="CETReferencetext"/>
        <w:rPr>
          <w:rFonts w:cs="Arial"/>
          <w:szCs w:val="18"/>
          <w:lang w:val="en-US"/>
        </w:rPr>
      </w:pPr>
      <w:r w:rsidRPr="00CE2C97">
        <w:rPr>
          <w:rFonts w:cs="Arial"/>
          <w:szCs w:val="18"/>
          <w:lang w:val="en-US"/>
        </w:rPr>
        <w:t>MacDonald, D.D., Ingersoll, C.G., Berger, T.A., 2000, Development and evaluation of consensus-based sediment quality guidelines for freshwater ecosystems, Archives of Environmental Contamination and Toxicology, 39, 20–31.</w:t>
      </w:r>
    </w:p>
    <w:p w14:paraId="59886B21" w14:textId="77777777" w:rsidR="00126D60" w:rsidRPr="006E475B" w:rsidRDefault="00126D60" w:rsidP="00126D60">
      <w:pPr>
        <w:pStyle w:val="CETReferencetext"/>
        <w:rPr>
          <w:rFonts w:cs="Arial"/>
          <w:szCs w:val="18"/>
          <w:lang w:val="en-US"/>
        </w:rPr>
      </w:pPr>
      <w:r w:rsidRPr="006E475B">
        <w:rPr>
          <w:rFonts w:cs="Arial"/>
          <w:szCs w:val="18"/>
          <w:lang w:val="en-US"/>
        </w:rPr>
        <w:t xml:space="preserve">Olivero-Verbel, J., Caballero-Gallardo, K., Marrugo-Negrete, J., 2014, Relationship between physicochemical parameters and heavy metal concentrations in sediments of a tropical estuary, </w:t>
      </w:r>
      <w:r w:rsidRPr="006E475B">
        <w:rPr>
          <w:rFonts w:cs="Arial"/>
          <w:i/>
          <w:iCs/>
          <w:szCs w:val="18"/>
          <w:lang w:val="en-US"/>
        </w:rPr>
        <w:t>Environmental Science and Pollution Research</w:t>
      </w:r>
      <w:r w:rsidRPr="006E475B">
        <w:rPr>
          <w:rFonts w:cs="Arial"/>
          <w:szCs w:val="18"/>
          <w:lang w:val="en-US"/>
        </w:rPr>
        <w:t>, 21, 6336–6348.</w:t>
      </w:r>
    </w:p>
    <w:p w14:paraId="6182C234" w14:textId="77777777" w:rsidR="00126D60" w:rsidRPr="006E475B" w:rsidRDefault="00126D60" w:rsidP="00126D60">
      <w:pPr>
        <w:pStyle w:val="CETReferencetext"/>
        <w:rPr>
          <w:rFonts w:cs="Arial"/>
          <w:szCs w:val="18"/>
          <w:lang w:val="es-CO"/>
        </w:rPr>
      </w:pPr>
      <w:r w:rsidRPr="006E475B">
        <w:rPr>
          <w:rFonts w:cs="Arial"/>
          <w:szCs w:val="18"/>
          <w:lang w:val="es-CO"/>
        </w:rPr>
        <w:t xml:space="preserve">Quiroga Manrique, C., Vallejo Bernal, D., 2019, Territorios de agua: infraestructura agrícola, reforma agraria y palma de aceite en el municipio de Marialabaja (Bolívar), </w:t>
      </w:r>
      <w:r w:rsidRPr="006E475B">
        <w:rPr>
          <w:rFonts w:cs="Arial"/>
          <w:i/>
          <w:iCs/>
          <w:szCs w:val="18"/>
          <w:lang w:val="es-CO"/>
        </w:rPr>
        <w:t>Revista Colombiana de Antropología</w:t>
      </w:r>
      <w:r w:rsidRPr="006E475B">
        <w:rPr>
          <w:rFonts w:cs="Arial"/>
          <w:szCs w:val="18"/>
          <w:lang w:val="es-CO"/>
        </w:rPr>
        <w:t>, 55, 59–89.</w:t>
      </w:r>
    </w:p>
    <w:p w14:paraId="70613056" w14:textId="77777777" w:rsidR="00126D60" w:rsidRPr="006E475B" w:rsidRDefault="00126D60" w:rsidP="00126D60">
      <w:pPr>
        <w:pStyle w:val="CETReferencetext"/>
        <w:rPr>
          <w:rFonts w:cs="Arial"/>
          <w:szCs w:val="18"/>
          <w:lang w:val="en-US"/>
        </w:rPr>
      </w:pPr>
      <w:r w:rsidRPr="006E475B">
        <w:rPr>
          <w:rFonts w:cs="Arial"/>
          <w:szCs w:val="18"/>
          <w:lang w:val="en-US"/>
        </w:rPr>
        <w:t xml:space="preserve">Staab, T.A., Egrafov, O., Knowles, J.A., Sieburth, D., 2014, Regulation of synaptic </w:t>
      </w:r>
      <w:r w:rsidRPr="006E475B">
        <w:rPr>
          <w:rFonts w:cs="Arial"/>
          <w:i/>
          <w:iCs/>
          <w:szCs w:val="18"/>
          <w:lang w:val="en-US"/>
        </w:rPr>
        <w:t>nlg-1</w:t>
      </w:r>
      <w:r w:rsidRPr="006E475B">
        <w:rPr>
          <w:rFonts w:cs="Arial"/>
          <w:szCs w:val="18"/>
          <w:lang w:val="en-US"/>
        </w:rPr>
        <w:t xml:space="preserve"> abundance by the SKN-1/Nrf stress response pathway protects against oxidative stress, </w:t>
      </w:r>
      <w:r w:rsidRPr="006E475B">
        <w:rPr>
          <w:rFonts w:cs="Arial"/>
          <w:i/>
          <w:iCs/>
          <w:szCs w:val="18"/>
          <w:lang w:val="en-US"/>
        </w:rPr>
        <w:t>PLOS Genetics</w:t>
      </w:r>
      <w:r w:rsidRPr="006E475B">
        <w:rPr>
          <w:rFonts w:cs="Arial"/>
          <w:szCs w:val="18"/>
          <w:lang w:val="en-US"/>
        </w:rPr>
        <w:t>, 10, e1004100.</w:t>
      </w:r>
    </w:p>
    <w:p w14:paraId="5B883F36" w14:textId="77777777" w:rsidR="00126D60" w:rsidRPr="006E475B" w:rsidRDefault="00126D60" w:rsidP="00126D60">
      <w:pPr>
        <w:pStyle w:val="CETReferencetext"/>
        <w:rPr>
          <w:rFonts w:cs="Arial"/>
          <w:szCs w:val="18"/>
          <w:lang w:val="en-US"/>
        </w:rPr>
      </w:pPr>
      <w:r w:rsidRPr="006E475B">
        <w:rPr>
          <w:rFonts w:cs="Arial"/>
          <w:szCs w:val="18"/>
          <w:lang w:val="en-US"/>
        </w:rPr>
        <w:t xml:space="preserve">Tejeda-Benítez, L., Flegal, R., Olivero-Verbel, J., 2018, Toxicity of sediment extracts assessed using </w:t>
      </w:r>
      <w:r w:rsidRPr="006E475B">
        <w:rPr>
          <w:rFonts w:cs="Arial"/>
          <w:i/>
          <w:iCs/>
          <w:szCs w:val="18"/>
          <w:lang w:val="en-US"/>
        </w:rPr>
        <w:t>Caenorhabditis elegans</w:t>
      </w:r>
      <w:r w:rsidRPr="006E475B">
        <w:rPr>
          <w:rFonts w:cs="Arial"/>
          <w:szCs w:val="18"/>
          <w:lang w:val="en-US"/>
        </w:rPr>
        <w:t xml:space="preserve">, </w:t>
      </w:r>
      <w:r w:rsidRPr="006E475B">
        <w:rPr>
          <w:rFonts w:cs="Arial"/>
          <w:i/>
          <w:iCs/>
          <w:szCs w:val="18"/>
          <w:lang w:val="en-US"/>
        </w:rPr>
        <w:t>Ecotoxicology and Environmental Safety</w:t>
      </w:r>
      <w:r w:rsidRPr="006E475B">
        <w:rPr>
          <w:rFonts w:cs="Arial"/>
          <w:szCs w:val="18"/>
          <w:lang w:val="en-US"/>
        </w:rPr>
        <w:t>, 156, 216–222.</w:t>
      </w:r>
    </w:p>
    <w:p w14:paraId="6E4911DB" w14:textId="77777777" w:rsidR="00126D60" w:rsidRPr="006E475B" w:rsidRDefault="00126D60" w:rsidP="00745407">
      <w:pPr>
        <w:pStyle w:val="CETReferencetext"/>
        <w:rPr>
          <w:rFonts w:cs="Arial"/>
          <w:szCs w:val="18"/>
          <w:lang w:val="en-US"/>
        </w:rPr>
      </w:pPr>
    </w:p>
    <w:sectPr w:rsidR="00126D60" w:rsidRPr="006E475B"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96CA" w14:textId="77777777" w:rsidR="00630722" w:rsidRDefault="00630722" w:rsidP="004F5E36">
      <w:r>
        <w:separator/>
      </w:r>
    </w:p>
  </w:endnote>
  <w:endnote w:type="continuationSeparator" w:id="0">
    <w:p w14:paraId="4C5CB873" w14:textId="77777777" w:rsidR="00630722" w:rsidRDefault="0063072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076C" w14:textId="77777777" w:rsidR="00630722" w:rsidRDefault="00630722" w:rsidP="004F5E36">
      <w:r>
        <w:separator/>
      </w:r>
    </w:p>
  </w:footnote>
  <w:footnote w:type="continuationSeparator" w:id="0">
    <w:p w14:paraId="4C8A5AEB" w14:textId="77777777" w:rsidR="00630722" w:rsidRDefault="0063072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567"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231B"/>
    <w:rsid w:val="0002489B"/>
    <w:rsid w:val="0003148D"/>
    <w:rsid w:val="00031EEC"/>
    <w:rsid w:val="00042F10"/>
    <w:rsid w:val="00051566"/>
    <w:rsid w:val="00056288"/>
    <w:rsid w:val="000562A9"/>
    <w:rsid w:val="000610D0"/>
    <w:rsid w:val="00062067"/>
    <w:rsid w:val="00062732"/>
    <w:rsid w:val="00062A9A"/>
    <w:rsid w:val="00065058"/>
    <w:rsid w:val="000726CC"/>
    <w:rsid w:val="00072AB9"/>
    <w:rsid w:val="000738DF"/>
    <w:rsid w:val="00074C4D"/>
    <w:rsid w:val="00084AD2"/>
    <w:rsid w:val="00085C66"/>
    <w:rsid w:val="00086C39"/>
    <w:rsid w:val="000A03B2"/>
    <w:rsid w:val="000A39ED"/>
    <w:rsid w:val="000A56E0"/>
    <w:rsid w:val="000B25CE"/>
    <w:rsid w:val="000B2AD9"/>
    <w:rsid w:val="000C40A3"/>
    <w:rsid w:val="000D0268"/>
    <w:rsid w:val="000D34BE"/>
    <w:rsid w:val="000D5210"/>
    <w:rsid w:val="000D5F69"/>
    <w:rsid w:val="000E0FD9"/>
    <w:rsid w:val="000E102F"/>
    <w:rsid w:val="000E36F1"/>
    <w:rsid w:val="000E3A73"/>
    <w:rsid w:val="000E414A"/>
    <w:rsid w:val="000E74C9"/>
    <w:rsid w:val="000E75FD"/>
    <w:rsid w:val="000F093C"/>
    <w:rsid w:val="000F787B"/>
    <w:rsid w:val="00117AB2"/>
    <w:rsid w:val="0012091F"/>
    <w:rsid w:val="00124AAD"/>
    <w:rsid w:val="00126BC2"/>
    <w:rsid w:val="00126D60"/>
    <w:rsid w:val="001308B6"/>
    <w:rsid w:val="0013121F"/>
    <w:rsid w:val="00131FE6"/>
    <w:rsid w:val="0013263F"/>
    <w:rsid w:val="001331DF"/>
    <w:rsid w:val="00134DE4"/>
    <w:rsid w:val="001365EA"/>
    <w:rsid w:val="0014034D"/>
    <w:rsid w:val="00140FE3"/>
    <w:rsid w:val="00143560"/>
    <w:rsid w:val="001435A0"/>
    <w:rsid w:val="00144517"/>
    <w:rsid w:val="00144D16"/>
    <w:rsid w:val="00150E59"/>
    <w:rsid w:val="00152DE3"/>
    <w:rsid w:val="00164CF9"/>
    <w:rsid w:val="00165E9C"/>
    <w:rsid w:val="001667A6"/>
    <w:rsid w:val="001811DE"/>
    <w:rsid w:val="00184AD6"/>
    <w:rsid w:val="00192794"/>
    <w:rsid w:val="00195FFF"/>
    <w:rsid w:val="001A04C3"/>
    <w:rsid w:val="001A4AF7"/>
    <w:rsid w:val="001B0349"/>
    <w:rsid w:val="001B1E93"/>
    <w:rsid w:val="001B5565"/>
    <w:rsid w:val="001B65C1"/>
    <w:rsid w:val="001C260F"/>
    <w:rsid w:val="001C324A"/>
    <w:rsid w:val="001C33F1"/>
    <w:rsid w:val="001C684B"/>
    <w:rsid w:val="001D0CFB"/>
    <w:rsid w:val="001D21AF"/>
    <w:rsid w:val="001D4B09"/>
    <w:rsid w:val="001D53FC"/>
    <w:rsid w:val="001E4186"/>
    <w:rsid w:val="001E7152"/>
    <w:rsid w:val="001F069B"/>
    <w:rsid w:val="001F0F45"/>
    <w:rsid w:val="001F3784"/>
    <w:rsid w:val="001F42A5"/>
    <w:rsid w:val="001F7B9D"/>
    <w:rsid w:val="00201C93"/>
    <w:rsid w:val="002224B4"/>
    <w:rsid w:val="00224D6F"/>
    <w:rsid w:val="00225DE4"/>
    <w:rsid w:val="00231916"/>
    <w:rsid w:val="00237D73"/>
    <w:rsid w:val="00240214"/>
    <w:rsid w:val="00240560"/>
    <w:rsid w:val="002447EF"/>
    <w:rsid w:val="002475CF"/>
    <w:rsid w:val="00251550"/>
    <w:rsid w:val="00252A6A"/>
    <w:rsid w:val="00263B05"/>
    <w:rsid w:val="00267AD4"/>
    <w:rsid w:val="0027221A"/>
    <w:rsid w:val="00275B61"/>
    <w:rsid w:val="00280DE1"/>
    <w:rsid w:val="00280FAF"/>
    <w:rsid w:val="00282656"/>
    <w:rsid w:val="00282B21"/>
    <w:rsid w:val="00290EEE"/>
    <w:rsid w:val="00296626"/>
    <w:rsid w:val="00296B83"/>
    <w:rsid w:val="00297319"/>
    <w:rsid w:val="002A0E64"/>
    <w:rsid w:val="002B01DE"/>
    <w:rsid w:val="002B2141"/>
    <w:rsid w:val="002B4015"/>
    <w:rsid w:val="002B78CE"/>
    <w:rsid w:val="002C2FB6"/>
    <w:rsid w:val="002C4109"/>
    <w:rsid w:val="002D27E6"/>
    <w:rsid w:val="002D57D6"/>
    <w:rsid w:val="002E5FA7"/>
    <w:rsid w:val="002F110D"/>
    <w:rsid w:val="002F3309"/>
    <w:rsid w:val="003008CE"/>
    <w:rsid w:val="003009B7"/>
    <w:rsid w:val="00300E56"/>
    <w:rsid w:val="0030152C"/>
    <w:rsid w:val="00301A0D"/>
    <w:rsid w:val="003027DC"/>
    <w:rsid w:val="0030469C"/>
    <w:rsid w:val="00306990"/>
    <w:rsid w:val="00311ECF"/>
    <w:rsid w:val="00313ABE"/>
    <w:rsid w:val="00321CA6"/>
    <w:rsid w:val="00323736"/>
    <w:rsid w:val="00323763"/>
    <w:rsid w:val="00323C5F"/>
    <w:rsid w:val="00324DDD"/>
    <w:rsid w:val="003271C6"/>
    <w:rsid w:val="00327FF0"/>
    <w:rsid w:val="00330B10"/>
    <w:rsid w:val="00334C09"/>
    <w:rsid w:val="00343618"/>
    <w:rsid w:val="00343B7E"/>
    <w:rsid w:val="003625CC"/>
    <w:rsid w:val="00366B36"/>
    <w:rsid w:val="0037176F"/>
    <w:rsid w:val="003723D4"/>
    <w:rsid w:val="00377E62"/>
    <w:rsid w:val="00381905"/>
    <w:rsid w:val="00384CC8"/>
    <w:rsid w:val="00386B8B"/>
    <w:rsid w:val="003871FD"/>
    <w:rsid w:val="003A1E30"/>
    <w:rsid w:val="003A2829"/>
    <w:rsid w:val="003A7D1C"/>
    <w:rsid w:val="003B304B"/>
    <w:rsid w:val="003B3146"/>
    <w:rsid w:val="003C2CF5"/>
    <w:rsid w:val="003C60CD"/>
    <w:rsid w:val="003D1E02"/>
    <w:rsid w:val="003F015E"/>
    <w:rsid w:val="003F6673"/>
    <w:rsid w:val="003F7EE7"/>
    <w:rsid w:val="00400414"/>
    <w:rsid w:val="00404684"/>
    <w:rsid w:val="00404ACA"/>
    <w:rsid w:val="00405813"/>
    <w:rsid w:val="00413B7F"/>
    <w:rsid w:val="0041406F"/>
    <w:rsid w:val="0041446B"/>
    <w:rsid w:val="00414F72"/>
    <w:rsid w:val="004176EB"/>
    <w:rsid w:val="004179A2"/>
    <w:rsid w:val="00430AF5"/>
    <w:rsid w:val="00434DDF"/>
    <w:rsid w:val="0044071E"/>
    <w:rsid w:val="00442266"/>
    <w:rsid w:val="0044329C"/>
    <w:rsid w:val="0044344F"/>
    <w:rsid w:val="00453E24"/>
    <w:rsid w:val="00457456"/>
    <w:rsid w:val="004577FE"/>
    <w:rsid w:val="00457B9C"/>
    <w:rsid w:val="0046164A"/>
    <w:rsid w:val="004628D2"/>
    <w:rsid w:val="00462DCD"/>
    <w:rsid w:val="004648AD"/>
    <w:rsid w:val="004703A9"/>
    <w:rsid w:val="00473CEB"/>
    <w:rsid w:val="004760DE"/>
    <w:rsid w:val="004763D7"/>
    <w:rsid w:val="00485C51"/>
    <w:rsid w:val="00487B20"/>
    <w:rsid w:val="004A004E"/>
    <w:rsid w:val="004A1EE0"/>
    <w:rsid w:val="004A24CF"/>
    <w:rsid w:val="004A3AAD"/>
    <w:rsid w:val="004A4893"/>
    <w:rsid w:val="004A573F"/>
    <w:rsid w:val="004A5E57"/>
    <w:rsid w:val="004B76C1"/>
    <w:rsid w:val="004B7D39"/>
    <w:rsid w:val="004C194F"/>
    <w:rsid w:val="004C3D1D"/>
    <w:rsid w:val="004C3D84"/>
    <w:rsid w:val="004C7913"/>
    <w:rsid w:val="004D4D68"/>
    <w:rsid w:val="004E20B6"/>
    <w:rsid w:val="004E4DD6"/>
    <w:rsid w:val="004F1574"/>
    <w:rsid w:val="004F5E36"/>
    <w:rsid w:val="00501692"/>
    <w:rsid w:val="00507450"/>
    <w:rsid w:val="00507B47"/>
    <w:rsid w:val="00507BEF"/>
    <w:rsid w:val="00507CC9"/>
    <w:rsid w:val="0051164D"/>
    <w:rsid w:val="005119A5"/>
    <w:rsid w:val="00513592"/>
    <w:rsid w:val="00520496"/>
    <w:rsid w:val="005278B7"/>
    <w:rsid w:val="005307C5"/>
    <w:rsid w:val="0053084D"/>
    <w:rsid w:val="00532016"/>
    <w:rsid w:val="005346C8"/>
    <w:rsid w:val="0054260C"/>
    <w:rsid w:val="0054293B"/>
    <w:rsid w:val="00542B85"/>
    <w:rsid w:val="00542C2B"/>
    <w:rsid w:val="00543E7D"/>
    <w:rsid w:val="00544691"/>
    <w:rsid w:val="00545772"/>
    <w:rsid w:val="0054738D"/>
    <w:rsid w:val="00547A68"/>
    <w:rsid w:val="00551943"/>
    <w:rsid w:val="005531C9"/>
    <w:rsid w:val="00553F79"/>
    <w:rsid w:val="00562004"/>
    <w:rsid w:val="00567151"/>
    <w:rsid w:val="00570C43"/>
    <w:rsid w:val="005710DE"/>
    <w:rsid w:val="00576AD1"/>
    <w:rsid w:val="00582F7B"/>
    <w:rsid w:val="0059052F"/>
    <w:rsid w:val="0059163A"/>
    <w:rsid w:val="00592274"/>
    <w:rsid w:val="005944A8"/>
    <w:rsid w:val="0059601D"/>
    <w:rsid w:val="005A4FF2"/>
    <w:rsid w:val="005B2110"/>
    <w:rsid w:val="005B44F6"/>
    <w:rsid w:val="005B61E6"/>
    <w:rsid w:val="005C1BFE"/>
    <w:rsid w:val="005C33C3"/>
    <w:rsid w:val="005C45B4"/>
    <w:rsid w:val="005C77E1"/>
    <w:rsid w:val="005D0A6B"/>
    <w:rsid w:val="005D31A3"/>
    <w:rsid w:val="005D668A"/>
    <w:rsid w:val="005D6A2F"/>
    <w:rsid w:val="005E0592"/>
    <w:rsid w:val="005E07BF"/>
    <w:rsid w:val="005E1A82"/>
    <w:rsid w:val="005E794C"/>
    <w:rsid w:val="005F0A28"/>
    <w:rsid w:val="005F0E5E"/>
    <w:rsid w:val="005F2F99"/>
    <w:rsid w:val="005F3952"/>
    <w:rsid w:val="00600535"/>
    <w:rsid w:val="006106B6"/>
    <w:rsid w:val="00610CD6"/>
    <w:rsid w:val="00620DEE"/>
    <w:rsid w:val="00621F92"/>
    <w:rsid w:val="006227BA"/>
    <w:rsid w:val="0062280A"/>
    <w:rsid w:val="006231E1"/>
    <w:rsid w:val="00625639"/>
    <w:rsid w:val="00630722"/>
    <w:rsid w:val="00631B33"/>
    <w:rsid w:val="00632FFA"/>
    <w:rsid w:val="0064184D"/>
    <w:rsid w:val="006422CC"/>
    <w:rsid w:val="00646E2F"/>
    <w:rsid w:val="00651D18"/>
    <w:rsid w:val="00660E3E"/>
    <w:rsid w:val="00661647"/>
    <w:rsid w:val="00662E74"/>
    <w:rsid w:val="00680C23"/>
    <w:rsid w:val="00680D2D"/>
    <w:rsid w:val="006810C4"/>
    <w:rsid w:val="00682914"/>
    <w:rsid w:val="00683E23"/>
    <w:rsid w:val="00690BA1"/>
    <w:rsid w:val="00693766"/>
    <w:rsid w:val="00695BC5"/>
    <w:rsid w:val="006A3281"/>
    <w:rsid w:val="006B3A9B"/>
    <w:rsid w:val="006B4888"/>
    <w:rsid w:val="006C2E45"/>
    <w:rsid w:val="006C2FB1"/>
    <w:rsid w:val="006C359C"/>
    <w:rsid w:val="006C5579"/>
    <w:rsid w:val="006D3F78"/>
    <w:rsid w:val="006D6573"/>
    <w:rsid w:val="006D6E8B"/>
    <w:rsid w:val="006D7209"/>
    <w:rsid w:val="006E1A74"/>
    <w:rsid w:val="006E475B"/>
    <w:rsid w:val="006E737D"/>
    <w:rsid w:val="006F56F2"/>
    <w:rsid w:val="006F7C2D"/>
    <w:rsid w:val="00702DD0"/>
    <w:rsid w:val="007035D0"/>
    <w:rsid w:val="00707DD1"/>
    <w:rsid w:val="00713973"/>
    <w:rsid w:val="00720A24"/>
    <w:rsid w:val="00732386"/>
    <w:rsid w:val="0073514D"/>
    <w:rsid w:val="007447F3"/>
    <w:rsid w:val="00745407"/>
    <w:rsid w:val="0075499F"/>
    <w:rsid w:val="007551C1"/>
    <w:rsid w:val="00760B9D"/>
    <w:rsid w:val="007617CC"/>
    <w:rsid w:val="00764F92"/>
    <w:rsid w:val="007661C8"/>
    <w:rsid w:val="0077098D"/>
    <w:rsid w:val="00771625"/>
    <w:rsid w:val="0077517F"/>
    <w:rsid w:val="00776F3E"/>
    <w:rsid w:val="00781B18"/>
    <w:rsid w:val="00785BF9"/>
    <w:rsid w:val="007931FA"/>
    <w:rsid w:val="007A4854"/>
    <w:rsid w:val="007A4861"/>
    <w:rsid w:val="007A7BBA"/>
    <w:rsid w:val="007B0C50"/>
    <w:rsid w:val="007B4496"/>
    <w:rsid w:val="007B48F9"/>
    <w:rsid w:val="007C1A43"/>
    <w:rsid w:val="007D0951"/>
    <w:rsid w:val="007D2EA4"/>
    <w:rsid w:val="007D694F"/>
    <w:rsid w:val="007E2963"/>
    <w:rsid w:val="007E3C87"/>
    <w:rsid w:val="007F27C8"/>
    <w:rsid w:val="00800030"/>
    <w:rsid w:val="0080013E"/>
    <w:rsid w:val="0080080D"/>
    <w:rsid w:val="00813288"/>
    <w:rsid w:val="008168FC"/>
    <w:rsid w:val="00830996"/>
    <w:rsid w:val="008314D7"/>
    <w:rsid w:val="008345F1"/>
    <w:rsid w:val="00853439"/>
    <w:rsid w:val="00861BAA"/>
    <w:rsid w:val="00865B07"/>
    <w:rsid w:val="00866115"/>
    <w:rsid w:val="008667EA"/>
    <w:rsid w:val="00870E08"/>
    <w:rsid w:val="00872CA6"/>
    <w:rsid w:val="0087637F"/>
    <w:rsid w:val="00892AD5"/>
    <w:rsid w:val="00893DA4"/>
    <w:rsid w:val="008A1512"/>
    <w:rsid w:val="008A2070"/>
    <w:rsid w:val="008B4C5B"/>
    <w:rsid w:val="008B61FC"/>
    <w:rsid w:val="008C379A"/>
    <w:rsid w:val="008C6A74"/>
    <w:rsid w:val="008D1EC4"/>
    <w:rsid w:val="008D32B9"/>
    <w:rsid w:val="008D433B"/>
    <w:rsid w:val="008D4A16"/>
    <w:rsid w:val="008E209A"/>
    <w:rsid w:val="008E45BC"/>
    <w:rsid w:val="008E566E"/>
    <w:rsid w:val="008F2688"/>
    <w:rsid w:val="0090161A"/>
    <w:rsid w:val="00901EB6"/>
    <w:rsid w:val="009041F8"/>
    <w:rsid w:val="00904C62"/>
    <w:rsid w:val="00913210"/>
    <w:rsid w:val="00920A2B"/>
    <w:rsid w:val="00922BA8"/>
    <w:rsid w:val="00923F1A"/>
    <w:rsid w:val="00924465"/>
    <w:rsid w:val="00924DAC"/>
    <w:rsid w:val="00926EE6"/>
    <w:rsid w:val="00927058"/>
    <w:rsid w:val="00942750"/>
    <w:rsid w:val="009450CE"/>
    <w:rsid w:val="009459BB"/>
    <w:rsid w:val="00947179"/>
    <w:rsid w:val="0095164B"/>
    <w:rsid w:val="00954090"/>
    <w:rsid w:val="00954CC5"/>
    <w:rsid w:val="009573E7"/>
    <w:rsid w:val="0096142A"/>
    <w:rsid w:val="00962FFC"/>
    <w:rsid w:val="00963E05"/>
    <w:rsid w:val="00964A45"/>
    <w:rsid w:val="00967843"/>
    <w:rsid w:val="0096787A"/>
    <w:rsid w:val="00967D54"/>
    <w:rsid w:val="00971028"/>
    <w:rsid w:val="00977740"/>
    <w:rsid w:val="00993839"/>
    <w:rsid w:val="00993B84"/>
    <w:rsid w:val="00994E51"/>
    <w:rsid w:val="00996483"/>
    <w:rsid w:val="00996F5A"/>
    <w:rsid w:val="00997B1E"/>
    <w:rsid w:val="009A461E"/>
    <w:rsid w:val="009B041A"/>
    <w:rsid w:val="009B7DCD"/>
    <w:rsid w:val="009C37C3"/>
    <w:rsid w:val="009C664D"/>
    <w:rsid w:val="009C74BD"/>
    <w:rsid w:val="009C7C86"/>
    <w:rsid w:val="009D2FF7"/>
    <w:rsid w:val="009D6513"/>
    <w:rsid w:val="009E38EC"/>
    <w:rsid w:val="009E7884"/>
    <w:rsid w:val="009E788A"/>
    <w:rsid w:val="009F0E08"/>
    <w:rsid w:val="009F40DE"/>
    <w:rsid w:val="009F7CE4"/>
    <w:rsid w:val="00A00701"/>
    <w:rsid w:val="00A00D22"/>
    <w:rsid w:val="00A02ABE"/>
    <w:rsid w:val="00A03EAE"/>
    <w:rsid w:val="00A079AE"/>
    <w:rsid w:val="00A10F91"/>
    <w:rsid w:val="00A1359B"/>
    <w:rsid w:val="00A1763D"/>
    <w:rsid w:val="00A17CEC"/>
    <w:rsid w:val="00A23E75"/>
    <w:rsid w:val="00A26CBB"/>
    <w:rsid w:val="00A27EF0"/>
    <w:rsid w:val="00A30FAD"/>
    <w:rsid w:val="00A32C7E"/>
    <w:rsid w:val="00A41FEE"/>
    <w:rsid w:val="00A42361"/>
    <w:rsid w:val="00A50B20"/>
    <w:rsid w:val="00A51123"/>
    <w:rsid w:val="00A51390"/>
    <w:rsid w:val="00A604B5"/>
    <w:rsid w:val="00A60D13"/>
    <w:rsid w:val="00A70EA8"/>
    <w:rsid w:val="00A7223D"/>
    <w:rsid w:val="00A72745"/>
    <w:rsid w:val="00A76EFC"/>
    <w:rsid w:val="00A87D50"/>
    <w:rsid w:val="00A91010"/>
    <w:rsid w:val="00A911B6"/>
    <w:rsid w:val="00A97612"/>
    <w:rsid w:val="00A97F29"/>
    <w:rsid w:val="00AA702E"/>
    <w:rsid w:val="00AA7D26"/>
    <w:rsid w:val="00AB0964"/>
    <w:rsid w:val="00AB5011"/>
    <w:rsid w:val="00AB6EBC"/>
    <w:rsid w:val="00AC7368"/>
    <w:rsid w:val="00AD0278"/>
    <w:rsid w:val="00AD16B9"/>
    <w:rsid w:val="00AE377D"/>
    <w:rsid w:val="00AE79DB"/>
    <w:rsid w:val="00AF0EBA"/>
    <w:rsid w:val="00B00234"/>
    <w:rsid w:val="00B02C8A"/>
    <w:rsid w:val="00B0593E"/>
    <w:rsid w:val="00B1176C"/>
    <w:rsid w:val="00B17FBD"/>
    <w:rsid w:val="00B27DBE"/>
    <w:rsid w:val="00B315A6"/>
    <w:rsid w:val="00B316CE"/>
    <w:rsid w:val="00B31813"/>
    <w:rsid w:val="00B33365"/>
    <w:rsid w:val="00B4488C"/>
    <w:rsid w:val="00B54163"/>
    <w:rsid w:val="00B57B36"/>
    <w:rsid w:val="00B57E6F"/>
    <w:rsid w:val="00B64220"/>
    <w:rsid w:val="00B67258"/>
    <w:rsid w:val="00B8275D"/>
    <w:rsid w:val="00B8686D"/>
    <w:rsid w:val="00B86BCE"/>
    <w:rsid w:val="00B93F69"/>
    <w:rsid w:val="00BA087F"/>
    <w:rsid w:val="00BA71F7"/>
    <w:rsid w:val="00BB1DDC"/>
    <w:rsid w:val="00BB5B87"/>
    <w:rsid w:val="00BC30C9"/>
    <w:rsid w:val="00BC6F9B"/>
    <w:rsid w:val="00BD077D"/>
    <w:rsid w:val="00BD6256"/>
    <w:rsid w:val="00BE0260"/>
    <w:rsid w:val="00BE3E58"/>
    <w:rsid w:val="00BF2B2E"/>
    <w:rsid w:val="00C008DE"/>
    <w:rsid w:val="00C01616"/>
    <w:rsid w:val="00C0162B"/>
    <w:rsid w:val="00C068ED"/>
    <w:rsid w:val="00C208E9"/>
    <w:rsid w:val="00C22E0C"/>
    <w:rsid w:val="00C34367"/>
    <w:rsid w:val="00C345B1"/>
    <w:rsid w:val="00C35597"/>
    <w:rsid w:val="00C40142"/>
    <w:rsid w:val="00C42B19"/>
    <w:rsid w:val="00C526B2"/>
    <w:rsid w:val="00C52C3C"/>
    <w:rsid w:val="00C57182"/>
    <w:rsid w:val="00C57863"/>
    <w:rsid w:val="00C623D2"/>
    <w:rsid w:val="00C640AF"/>
    <w:rsid w:val="00C655FD"/>
    <w:rsid w:val="00C658E8"/>
    <w:rsid w:val="00C75407"/>
    <w:rsid w:val="00C841C6"/>
    <w:rsid w:val="00C870A8"/>
    <w:rsid w:val="00C915F6"/>
    <w:rsid w:val="00C94434"/>
    <w:rsid w:val="00C952CE"/>
    <w:rsid w:val="00CA0D75"/>
    <w:rsid w:val="00CA1C95"/>
    <w:rsid w:val="00CA387B"/>
    <w:rsid w:val="00CA552A"/>
    <w:rsid w:val="00CA5A9C"/>
    <w:rsid w:val="00CC4C20"/>
    <w:rsid w:val="00CD1061"/>
    <w:rsid w:val="00CD3517"/>
    <w:rsid w:val="00CD5FE2"/>
    <w:rsid w:val="00CD62C7"/>
    <w:rsid w:val="00CE2C97"/>
    <w:rsid w:val="00CE75DF"/>
    <w:rsid w:val="00CE7C68"/>
    <w:rsid w:val="00CF2C16"/>
    <w:rsid w:val="00CF72CA"/>
    <w:rsid w:val="00D02B4C"/>
    <w:rsid w:val="00D040C4"/>
    <w:rsid w:val="00D20AD1"/>
    <w:rsid w:val="00D2376F"/>
    <w:rsid w:val="00D2582C"/>
    <w:rsid w:val="00D27C1E"/>
    <w:rsid w:val="00D32BC5"/>
    <w:rsid w:val="00D35A8D"/>
    <w:rsid w:val="00D43694"/>
    <w:rsid w:val="00D46B7E"/>
    <w:rsid w:val="00D57C84"/>
    <w:rsid w:val="00D6057D"/>
    <w:rsid w:val="00D629EC"/>
    <w:rsid w:val="00D67EE3"/>
    <w:rsid w:val="00D713A2"/>
    <w:rsid w:val="00D71640"/>
    <w:rsid w:val="00D80202"/>
    <w:rsid w:val="00D836C5"/>
    <w:rsid w:val="00D84576"/>
    <w:rsid w:val="00D96C25"/>
    <w:rsid w:val="00DA1399"/>
    <w:rsid w:val="00DA24C6"/>
    <w:rsid w:val="00DA4D7B"/>
    <w:rsid w:val="00DA7CEB"/>
    <w:rsid w:val="00DB1029"/>
    <w:rsid w:val="00DB2E75"/>
    <w:rsid w:val="00DB4BB2"/>
    <w:rsid w:val="00DC05C6"/>
    <w:rsid w:val="00DD1CBA"/>
    <w:rsid w:val="00DD271C"/>
    <w:rsid w:val="00DE264A"/>
    <w:rsid w:val="00DE2E08"/>
    <w:rsid w:val="00DE5C68"/>
    <w:rsid w:val="00DF5072"/>
    <w:rsid w:val="00E02D18"/>
    <w:rsid w:val="00E041E7"/>
    <w:rsid w:val="00E1311B"/>
    <w:rsid w:val="00E16397"/>
    <w:rsid w:val="00E17C39"/>
    <w:rsid w:val="00E23CA1"/>
    <w:rsid w:val="00E2670D"/>
    <w:rsid w:val="00E305DD"/>
    <w:rsid w:val="00E409A8"/>
    <w:rsid w:val="00E42B45"/>
    <w:rsid w:val="00E47D61"/>
    <w:rsid w:val="00E504DF"/>
    <w:rsid w:val="00E50C12"/>
    <w:rsid w:val="00E523CF"/>
    <w:rsid w:val="00E57D42"/>
    <w:rsid w:val="00E6183D"/>
    <w:rsid w:val="00E65B91"/>
    <w:rsid w:val="00E713E9"/>
    <w:rsid w:val="00E7209D"/>
    <w:rsid w:val="00E72EAD"/>
    <w:rsid w:val="00E77223"/>
    <w:rsid w:val="00E80BCA"/>
    <w:rsid w:val="00E83CA9"/>
    <w:rsid w:val="00E8528B"/>
    <w:rsid w:val="00E85B94"/>
    <w:rsid w:val="00E9139D"/>
    <w:rsid w:val="00E93293"/>
    <w:rsid w:val="00E978D0"/>
    <w:rsid w:val="00EA215E"/>
    <w:rsid w:val="00EA27E1"/>
    <w:rsid w:val="00EA4613"/>
    <w:rsid w:val="00EA7F91"/>
    <w:rsid w:val="00EB1523"/>
    <w:rsid w:val="00EB2642"/>
    <w:rsid w:val="00EC0B2A"/>
    <w:rsid w:val="00EC0E49"/>
    <w:rsid w:val="00EC101F"/>
    <w:rsid w:val="00EC1D9F"/>
    <w:rsid w:val="00EC40C1"/>
    <w:rsid w:val="00EC4407"/>
    <w:rsid w:val="00EC4543"/>
    <w:rsid w:val="00EC4562"/>
    <w:rsid w:val="00EC5340"/>
    <w:rsid w:val="00EC640B"/>
    <w:rsid w:val="00ED0E95"/>
    <w:rsid w:val="00EE0131"/>
    <w:rsid w:val="00EE17B0"/>
    <w:rsid w:val="00EE7AE1"/>
    <w:rsid w:val="00EF06D9"/>
    <w:rsid w:val="00EF0982"/>
    <w:rsid w:val="00EF218B"/>
    <w:rsid w:val="00EF3E71"/>
    <w:rsid w:val="00EF5C4D"/>
    <w:rsid w:val="00EF7D94"/>
    <w:rsid w:val="00F034A4"/>
    <w:rsid w:val="00F07BDA"/>
    <w:rsid w:val="00F27EBD"/>
    <w:rsid w:val="00F3049E"/>
    <w:rsid w:val="00F30C64"/>
    <w:rsid w:val="00F32BA2"/>
    <w:rsid w:val="00F32CDB"/>
    <w:rsid w:val="00F3348F"/>
    <w:rsid w:val="00F37280"/>
    <w:rsid w:val="00F41EE4"/>
    <w:rsid w:val="00F46924"/>
    <w:rsid w:val="00F54F35"/>
    <w:rsid w:val="00F565FE"/>
    <w:rsid w:val="00F63A70"/>
    <w:rsid w:val="00F63D8C"/>
    <w:rsid w:val="00F64E5C"/>
    <w:rsid w:val="00F73CBA"/>
    <w:rsid w:val="00F7534E"/>
    <w:rsid w:val="00F93EDF"/>
    <w:rsid w:val="00FA1802"/>
    <w:rsid w:val="00FA21D0"/>
    <w:rsid w:val="00FA5F5F"/>
    <w:rsid w:val="00FB00FB"/>
    <w:rsid w:val="00FB0757"/>
    <w:rsid w:val="00FB730C"/>
    <w:rsid w:val="00FC2695"/>
    <w:rsid w:val="00FC3E03"/>
    <w:rsid w:val="00FC3FC1"/>
    <w:rsid w:val="00FF17C6"/>
    <w:rsid w:val="00FF5DE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ind w:left="0"/>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
    <w:name w:val="E-mail Signature"/>
    <w:basedOn w:val="Normal"/>
    <w:link w:val="FirmadecorreoCar"/>
    <w:uiPriority w:val="99"/>
    <w:semiHidden/>
    <w:unhideWhenUsed/>
    <w:rsid w:val="0003148D"/>
    <w:pPr>
      <w:spacing w:line="240" w:lineRule="auto"/>
    </w:pPr>
  </w:style>
  <w:style w:type="character" w:customStyle="1" w:styleId="FirmadecorreoCar">
    <w:name w:val="Firma de correo Car"/>
    <w:basedOn w:val="Fuentedeprrafopredeter"/>
    <w:link w:val="Firmadecorre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117AB2"/>
    <w:rPr>
      <w:color w:val="605E5C"/>
      <w:shd w:val="clear" w:color="auto" w:fill="E1DFDD"/>
    </w:rPr>
  </w:style>
  <w:style w:type="character" w:styleId="nfasis">
    <w:name w:val="Emphasis"/>
    <w:basedOn w:val="Fuentedeprrafopredeter"/>
    <w:uiPriority w:val="20"/>
    <w:qFormat/>
    <w:rsid w:val="00924465"/>
    <w:rPr>
      <w:i/>
      <w:iCs/>
    </w:rPr>
  </w:style>
  <w:style w:type="table" w:styleId="Tablanormal4">
    <w:name w:val="Plain Table 4"/>
    <w:basedOn w:val="Tablanormal"/>
    <w:uiPriority w:val="44"/>
    <w:rsid w:val="00C008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2950</Words>
  <Characters>16228</Characters>
  <Application>Microsoft Office Word</Application>
  <DocSecurity>0</DocSecurity>
  <Lines>135</Lines>
  <Paragraphs>38</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BELKIS PALACIO</cp:lastModifiedBy>
  <cp:revision>81</cp:revision>
  <cp:lastPrinted>2015-05-12T18:31:00Z</cp:lastPrinted>
  <dcterms:created xsi:type="dcterms:W3CDTF">2026-01-25T22:21:00Z</dcterms:created>
  <dcterms:modified xsi:type="dcterms:W3CDTF">2026-01-26T01:38:00Z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